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5C878" w14:textId="77777777" w:rsidR="00066894" w:rsidRPr="0032485D" w:rsidRDefault="00066894" w:rsidP="00355DF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89170" w14:textId="77777777" w:rsidR="00355DF2" w:rsidRPr="0032485D" w:rsidRDefault="00355DF2" w:rsidP="00355DF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b/>
          <w:sz w:val="24"/>
          <w:szCs w:val="24"/>
        </w:rPr>
        <w:t>SÚHRN CHARAKTERISTICKÝCH VLASTNOSTÍ LIEKU</w:t>
      </w:r>
    </w:p>
    <w:p w14:paraId="78705A9D" w14:textId="77777777" w:rsidR="00355DF2" w:rsidRPr="0032485D" w:rsidRDefault="00355DF2" w:rsidP="00355DF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512C94" w14:textId="77777777" w:rsidR="00355DF2" w:rsidRPr="0032485D" w:rsidRDefault="00355DF2" w:rsidP="00355D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b/>
          <w:bCs/>
          <w:iCs/>
          <w:noProof/>
        </w:rPr>
        <w:t>1.</w:t>
      </w:r>
      <w:r w:rsidRPr="0032485D">
        <w:rPr>
          <w:rFonts w:ascii="Times New Roman" w:eastAsia="Times New Roman" w:hAnsi="Times New Roman" w:cs="Times New Roman"/>
          <w:bCs/>
          <w:iCs/>
          <w:noProof/>
        </w:rPr>
        <w:tab/>
      </w:r>
      <w:r w:rsidRPr="0032485D">
        <w:rPr>
          <w:rFonts w:ascii="Times New Roman" w:eastAsia="Times New Roman" w:hAnsi="Times New Roman" w:cs="Times New Roman"/>
          <w:b/>
        </w:rPr>
        <w:t>NÁZOV LIEKU</w:t>
      </w:r>
    </w:p>
    <w:p w14:paraId="0A27E0D7" w14:textId="77777777" w:rsidR="00355DF2" w:rsidRPr="0032485D" w:rsidRDefault="00355DF2" w:rsidP="00355DF2">
      <w:pPr>
        <w:tabs>
          <w:tab w:val="left" w:pos="567"/>
        </w:tabs>
        <w:spacing w:after="0" w:line="247" w:lineRule="auto"/>
        <w:ind w:right="5923"/>
        <w:jc w:val="both"/>
        <w:rPr>
          <w:rFonts w:ascii="Times New Roman" w:eastAsia="Times New Roman" w:hAnsi="Times New Roman" w:cs="Times New Roman"/>
          <w:iCs/>
        </w:rPr>
      </w:pPr>
    </w:p>
    <w:p w14:paraId="36E95EFD" w14:textId="77777777" w:rsidR="00355DF2" w:rsidRPr="0032485D" w:rsidRDefault="00355DF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12,5 mg </w:t>
      </w:r>
    </w:p>
    <w:p w14:paraId="0E36078C" w14:textId="77777777" w:rsidR="00355DF2" w:rsidRPr="0032485D" w:rsidRDefault="00355DF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25 mg </w:t>
      </w:r>
    </w:p>
    <w:p w14:paraId="3C0DDAEA" w14:textId="77777777" w:rsidR="00355DF2" w:rsidRPr="0032485D" w:rsidRDefault="00355DF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37,5 mg </w:t>
      </w:r>
    </w:p>
    <w:p w14:paraId="1C6BE1CE" w14:textId="77777777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50 mg </w:t>
      </w:r>
    </w:p>
    <w:p w14:paraId="71C24EB6" w14:textId="19985EE2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tvrdé kapsuly</w:t>
      </w:r>
    </w:p>
    <w:p w14:paraId="465282C5" w14:textId="77777777" w:rsidR="00355DF2" w:rsidRPr="0032485D" w:rsidRDefault="00355DF2" w:rsidP="00355D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666F93B5" w14:textId="77777777" w:rsidR="00355DF2" w:rsidRPr="0032485D" w:rsidRDefault="00355DF2" w:rsidP="00355D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1828648" w14:textId="77777777" w:rsidR="00355DF2" w:rsidRPr="0032485D" w:rsidRDefault="00355DF2" w:rsidP="00355DF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b/>
        </w:rPr>
        <w:t>2.</w:t>
      </w:r>
      <w:r w:rsidRPr="0032485D">
        <w:rPr>
          <w:rFonts w:ascii="Times New Roman" w:eastAsia="Times New Roman" w:hAnsi="Times New Roman" w:cs="Times New Roman"/>
          <w:b/>
        </w:rPr>
        <w:tab/>
        <w:t>KVALITATÍVNE A KVANTITATÍVNE ZLOŽENIE</w:t>
      </w:r>
    </w:p>
    <w:p w14:paraId="676657D6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44AB38" w14:textId="77777777" w:rsidR="00355DF2" w:rsidRPr="0032485D" w:rsidRDefault="00355DF2" w:rsidP="00355DF2">
      <w:pPr>
        <w:shd w:val="clear" w:color="auto" w:fill="F2F2F2"/>
        <w:tabs>
          <w:tab w:val="left" w:pos="567"/>
        </w:tabs>
        <w:spacing w:before="7" w:after="0" w:line="240" w:lineRule="auto"/>
        <w:ind w:right="-2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12,5 mg </w:t>
      </w:r>
    </w:p>
    <w:p w14:paraId="5169748F" w14:textId="77777777" w:rsidR="00355DF2" w:rsidRPr="0032485D" w:rsidRDefault="00355DF2" w:rsidP="00355DF2">
      <w:pPr>
        <w:shd w:val="clear" w:color="auto" w:fill="F2F2F2"/>
        <w:tabs>
          <w:tab w:val="left" w:pos="567"/>
        </w:tabs>
        <w:spacing w:before="7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Každá kapsula obsahuje 12,5 mg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>.</w:t>
      </w:r>
    </w:p>
    <w:p w14:paraId="55A97D65" w14:textId="77777777" w:rsidR="00355DF2" w:rsidRPr="0032485D" w:rsidRDefault="00355DF2" w:rsidP="00355DF2">
      <w:pPr>
        <w:tabs>
          <w:tab w:val="left" w:pos="567"/>
        </w:tabs>
        <w:spacing w:before="8" w:after="0" w:line="240" w:lineRule="exact"/>
        <w:jc w:val="both"/>
        <w:rPr>
          <w:rFonts w:ascii="Times New Roman" w:eastAsia="Times New Roman" w:hAnsi="Times New Roman" w:cs="Times New Roman"/>
        </w:rPr>
      </w:pPr>
    </w:p>
    <w:p w14:paraId="623C77A9" w14:textId="77777777" w:rsidR="00355DF2" w:rsidRPr="0032485D" w:rsidRDefault="00355DF2" w:rsidP="00355DF2">
      <w:pPr>
        <w:shd w:val="clear" w:color="auto" w:fill="D9D9D9"/>
        <w:tabs>
          <w:tab w:val="left" w:pos="56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25 mg </w:t>
      </w:r>
    </w:p>
    <w:p w14:paraId="44C784C8" w14:textId="77777777" w:rsidR="00355DF2" w:rsidRPr="0032485D" w:rsidRDefault="00355DF2" w:rsidP="00355DF2">
      <w:pPr>
        <w:shd w:val="clear" w:color="auto" w:fill="D9D9D9"/>
        <w:tabs>
          <w:tab w:val="left" w:pos="567"/>
        </w:tabs>
        <w:spacing w:before="7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Každá kapsula obsahuje 25 mg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>.</w:t>
      </w:r>
    </w:p>
    <w:p w14:paraId="353DC632" w14:textId="77777777" w:rsidR="00355DF2" w:rsidRPr="0032485D" w:rsidRDefault="00355DF2" w:rsidP="00355DF2">
      <w:pPr>
        <w:tabs>
          <w:tab w:val="left" w:pos="567"/>
        </w:tabs>
        <w:spacing w:before="5" w:after="0" w:line="240" w:lineRule="exact"/>
        <w:jc w:val="both"/>
        <w:rPr>
          <w:rFonts w:ascii="Times New Roman" w:eastAsia="Times New Roman" w:hAnsi="Times New Roman" w:cs="Times New Roman"/>
        </w:rPr>
      </w:pPr>
    </w:p>
    <w:p w14:paraId="1DE94854" w14:textId="77777777" w:rsidR="00355DF2" w:rsidRPr="0032485D" w:rsidRDefault="00355DF2" w:rsidP="00355DF2">
      <w:pPr>
        <w:shd w:val="clear" w:color="auto" w:fill="BFBFBF"/>
        <w:tabs>
          <w:tab w:val="left" w:pos="56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37,5 mg </w:t>
      </w:r>
    </w:p>
    <w:p w14:paraId="19888207" w14:textId="77777777" w:rsidR="00355DF2" w:rsidRPr="0032485D" w:rsidRDefault="00355DF2" w:rsidP="00355DF2">
      <w:pPr>
        <w:shd w:val="clear" w:color="auto" w:fill="BFBFBF"/>
        <w:tabs>
          <w:tab w:val="left" w:pos="567"/>
        </w:tabs>
        <w:spacing w:before="7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Každá kapsula obsahuje 37,5 mg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>.</w:t>
      </w:r>
    </w:p>
    <w:p w14:paraId="24F11346" w14:textId="77777777" w:rsidR="00355DF2" w:rsidRPr="0032485D" w:rsidRDefault="00355DF2" w:rsidP="00355DF2">
      <w:pPr>
        <w:tabs>
          <w:tab w:val="left" w:pos="567"/>
        </w:tabs>
        <w:spacing w:before="5" w:after="0" w:line="240" w:lineRule="exact"/>
        <w:jc w:val="both"/>
        <w:rPr>
          <w:rFonts w:ascii="Times New Roman" w:eastAsia="Times New Roman" w:hAnsi="Times New Roman" w:cs="Times New Roman"/>
        </w:rPr>
      </w:pPr>
    </w:p>
    <w:p w14:paraId="4F7D17E8" w14:textId="77777777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50 mg </w:t>
      </w:r>
    </w:p>
    <w:p w14:paraId="0D0AF0F5" w14:textId="77777777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Každá kapsula obsahuje 50 mg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>.</w:t>
      </w:r>
    </w:p>
    <w:p w14:paraId="77CA9A07" w14:textId="77777777" w:rsidR="00355DF2" w:rsidRPr="0032485D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u w:val="single"/>
        </w:rPr>
      </w:pPr>
    </w:p>
    <w:p w14:paraId="3283F322" w14:textId="54ADCE60" w:rsidR="00355DF2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Úplný zoznam pomocných látok, pozri časť 6.1.</w:t>
      </w:r>
    </w:p>
    <w:p w14:paraId="2AD31C15" w14:textId="77777777" w:rsidR="005C4A07" w:rsidRPr="0032485D" w:rsidRDefault="005C4A07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132B1C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6976C8" w14:textId="77777777" w:rsidR="00355DF2" w:rsidRPr="0032485D" w:rsidRDefault="00355DF2" w:rsidP="00355DF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</w:rPr>
      </w:pPr>
      <w:r w:rsidRPr="0032485D">
        <w:rPr>
          <w:rFonts w:ascii="Times New Roman" w:eastAsia="Times New Roman" w:hAnsi="Times New Roman" w:cs="Times New Roman"/>
          <w:b/>
        </w:rPr>
        <w:t>3.</w:t>
      </w:r>
      <w:r w:rsidRPr="0032485D">
        <w:rPr>
          <w:rFonts w:ascii="Times New Roman" w:eastAsia="Times New Roman" w:hAnsi="Times New Roman" w:cs="Times New Roman"/>
          <w:b/>
        </w:rPr>
        <w:tab/>
        <w:t>LIEKOVÁ FORMA</w:t>
      </w:r>
    </w:p>
    <w:p w14:paraId="5DFEDDE6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93BB84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Tvrdá kapsula (kapsula).</w:t>
      </w:r>
    </w:p>
    <w:p w14:paraId="5F8D6D33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A32AD9" w14:textId="77777777" w:rsidR="003772A2" w:rsidRDefault="00355DF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12,5 mg </w:t>
      </w:r>
    </w:p>
    <w:p w14:paraId="41AFA132" w14:textId="77777777" w:rsidR="00355DF2" w:rsidRPr="0032485D" w:rsidRDefault="00355DF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shd w:val="clear" w:color="auto" w:fill="F2F2F2"/>
        </w:rPr>
        <w:t xml:space="preserve">Želatínové kapsuly veľkosti 4 (približná dĺžka 14,3 mm) s oranžovým uzáverom a oranžovým telom, potlačené bielym nápisom “12,5 mg” na tele kapsuly, obsahujúce žlté až oranžové granuly. </w:t>
      </w:r>
    </w:p>
    <w:p w14:paraId="09C7D741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999528" w14:textId="77777777" w:rsidR="00355DF2" w:rsidRPr="0032485D" w:rsidRDefault="00355DF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25 mg </w:t>
      </w:r>
    </w:p>
    <w:p w14:paraId="68FBF060" w14:textId="77777777" w:rsidR="00355DF2" w:rsidRPr="0032485D" w:rsidRDefault="00355DF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D9D9D9"/>
        </w:rPr>
      </w:pPr>
      <w:r w:rsidRPr="0032485D">
        <w:rPr>
          <w:rFonts w:ascii="Times New Roman" w:eastAsia="Times New Roman" w:hAnsi="Times New Roman" w:cs="Times New Roman"/>
          <w:color w:val="000000"/>
          <w:szCs w:val="20"/>
          <w:shd w:val="clear" w:color="auto" w:fill="D9D9D9"/>
        </w:rPr>
        <w:t xml:space="preserve">Želatínové kapsuly veľkosti 3 (približná dĺžka 15,9 mm) s karamelovým uzáverom a oranžovým telom, potlačené bielym nápisom “25 mg” na tele kapsuly, obsahujúce žlté až oranžové granuly. </w:t>
      </w:r>
    </w:p>
    <w:p w14:paraId="244192B4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A5D897" w14:textId="77777777" w:rsidR="00355DF2" w:rsidRPr="0032485D" w:rsidRDefault="00355DF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37,5 mg </w:t>
      </w:r>
    </w:p>
    <w:p w14:paraId="2F72BA20" w14:textId="77777777" w:rsidR="00355DF2" w:rsidRPr="0032485D" w:rsidRDefault="00355DF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2485D">
        <w:rPr>
          <w:rFonts w:ascii="Times New Roman" w:eastAsia="Times New Roman" w:hAnsi="Times New Roman" w:cs="Times New Roman"/>
          <w:szCs w:val="20"/>
        </w:rPr>
        <w:t xml:space="preserve">Želatínové kapsuly veľkosti 2 (približná dĺžka 18,0 mm) so žltým uzáverom a žltým telom, potlačené čiernym nápisom “37,5 mg” na tele kapsuly, obsahujúce žlté až oranžové granuly. </w:t>
      </w:r>
    </w:p>
    <w:p w14:paraId="5F5B29FA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66502F" w14:textId="77777777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  <w:u w:val="single"/>
        </w:rPr>
        <w:t xml:space="preserve"> 50 mg </w:t>
      </w:r>
    </w:p>
    <w:p w14:paraId="3B1EF849" w14:textId="77777777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2485D">
        <w:rPr>
          <w:rFonts w:ascii="Times New Roman" w:eastAsia="Times New Roman" w:hAnsi="Times New Roman" w:cs="Times New Roman"/>
          <w:szCs w:val="20"/>
        </w:rPr>
        <w:t xml:space="preserve">Želatínové kapsuly veľkosti 1 (približná dĺžka 19,4 mm) s karamelovým uzáverom a karamelovým telom, potlačené bielym nápisom “50 mg” na tele kapsuly, obsahujúce žlté až oranžové granuly. </w:t>
      </w:r>
    </w:p>
    <w:p w14:paraId="2E27E0DD" w14:textId="77777777" w:rsidR="00355DF2" w:rsidRPr="0032485D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EA37AE" w14:textId="77777777" w:rsidR="00355DF2" w:rsidRPr="0032485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66ED4C" w14:textId="77777777" w:rsidR="00355DF2" w:rsidRPr="0032485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AA4358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</w:rPr>
      </w:pPr>
      <w:r w:rsidRPr="0032485D">
        <w:rPr>
          <w:rFonts w:ascii="Times New Roman" w:eastAsia="Times New Roman" w:hAnsi="Times New Roman" w:cs="Times New Roman"/>
          <w:b/>
          <w:caps/>
        </w:rPr>
        <w:t>4.</w:t>
      </w:r>
      <w:r w:rsidRPr="0032485D">
        <w:rPr>
          <w:rFonts w:ascii="Times New Roman" w:eastAsia="Times New Roman" w:hAnsi="Times New Roman" w:cs="Times New Roman"/>
          <w:b/>
          <w:caps/>
        </w:rPr>
        <w:tab/>
      </w:r>
      <w:r w:rsidR="00066894" w:rsidRPr="0032485D">
        <w:rPr>
          <w:rFonts w:ascii="Times New Roman" w:eastAsia="Times New Roman" w:hAnsi="Times New Roman" w:cs="Times New Roman"/>
          <w:b/>
          <w:caps/>
        </w:rPr>
        <w:t>KLINICKÉ ÚDAJE</w:t>
      </w:r>
    </w:p>
    <w:p w14:paraId="6FE64C6D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0EDA0C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b/>
        </w:rPr>
        <w:t>4.1</w:t>
      </w:r>
      <w:r w:rsidRPr="0032485D">
        <w:rPr>
          <w:rFonts w:ascii="Times New Roman" w:eastAsia="Times New Roman" w:hAnsi="Times New Roman" w:cs="Times New Roman"/>
          <w:b/>
        </w:rPr>
        <w:tab/>
        <w:t>T</w:t>
      </w:r>
      <w:r w:rsidR="00066894" w:rsidRPr="0032485D">
        <w:rPr>
          <w:rFonts w:ascii="Times New Roman" w:eastAsia="Times New Roman" w:hAnsi="Times New Roman" w:cs="Times New Roman"/>
          <w:b/>
        </w:rPr>
        <w:t>erapeutické indikácie</w:t>
      </w:r>
    </w:p>
    <w:p w14:paraId="61CFE04A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DC604E" w14:textId="6596EF6D" w:rsidR="00355DF2" w:rsidRPr="0032485D" w:rsidRDefault="0006689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  <w:u w:val="single" w:color="000000"/>
        </w:rPr>
        <w:t>Gastronitestinálny</w:t>
      </w:r>
      <w:proofErr w:type="spellEnd"/>
      <w:r w:rsidRPr="0032485D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  <w:u w:val="single" w:color="000000"/>
        </w:rPr>
        <w:t>stromálny</w:t>
      </w:r>
      <w:proofErr w:type="spellEnd"/>
      <w:r w:rsidRPr="0032485D">
        <w:rPr>
          <w:rFonts w:ascii="Times New Roman" w:eastAsia="Times New Roman" w:hAnsi="Times New Roman" w:cs="Times New Roman"/>
          <w:u w:val="single" w:color="000000"/>
        </w:rPr>
        <w:t xml:space="preserve"> tumor</w:t>
      </w:r>
      <w:r w:rsidR="00355DF2" w:rsidRPr="0032485D">
        <w:rPr>
          <w:rFonts w:ascii="Times New Roman" w:eastAsia="Times New Roman" w:hAnsi="Times New Roman" w:cs="Times New Roman"/>
          <w:u w:val="single" w:color="000000"/>
        </w:rPr>
        <w:t xml:space="preserve"> (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gastrointestinal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stromal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tumor</w:t>
      </w:r>
      <w:r w:rsidR="00767AD9">
        <w:rPr>
          <w:rFonts w:ascii="Times New Roman" w:eastAsia="Times New Roman" w:hAnsi="Times New Roman" w:cs="Times New Roman"/>
          <w:u w:val="single" w:color="000000"/>
        </w:rPr>
        <w:t>,</w:t>
      </w:r>
      <w:r w:rsidR="00355DF2" w:rsidRPr="0032485D">
        <w:rPr>
          <w:rFonts w:ascii="Times New Roman" w:eastAsia="Times New Roman" w:hAnsi="Times New Roman" w:cs="Times New Roman"/>
          <w:u w:val="single" w:color="000000"/>
        </w:rPr>
        <w:t>GIST</w:t>
      </w:r>
      <w:proofErr w:type="spellEnd"/>
      <w:r w:rsidR="00355DF2" w:rsidRPr="0032485D">
        <w:rPr>
          <w:rFonts w:ascii="Times New Roman" w:eastAsia="Times New Roman" w:hAnsi="Times New Roman" w:cs="Times New Roman"/>
          <w:u w:val="single" w:color="000000"/>
        </w:rPr>
        <w:t>)</w:t>
      </w:r>
    </w:p>
    <w:p w14:paraId="67677FFA" w14:textId="77777777" w:rsidR="00066894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lastRenderedPageBreak/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je indikovaný na liečbu </w:t>
      </w:r>
      <w:proofErr w:type="spellStart"/>
      <w:r w:rsidRPr="0032485D">
        <w:rPr>
          <w:rFonts w:ascii="Times New Roman" w:eastAsia="Times New Roman" w:hAnsi="Times New Roman" w:cs="Times New Roman"/>
        </w:rPr>
        <w:t>neresekovateľného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a/alebo metastatického malígneho</w:t>
      </w:r>
    </w:p>
    <w:p w14:paraId="08A58C8A" w14:textId="77777777" w:rsidR="00066894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gastrointestinálneho </w:t>
      </w:r>
      <w:proofErr w:type="spellStart"/>
      <w:r w:rsidRPr="0032485D">
        <w:rPr>
          <w:rFonts w:ascii="Times New Roman" w:eastAsia="Times New Roman" w:hAnsi="Times New Roman" w:cs="Times New Roman"/>
        </w:rPr>
        <w:t>stromálneho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tumoru (GIST) u dospelých po zlyhaní liečby </w:t>
      </w:r>
      <w:proofErr w:type="spellStart"/>
      <w:r w:rsidRPr="0032485D">
        <w:rPr>
          <w:rFonts w:ascii="Times New Roman" w:eastAsia="Times New Roman" w:hAnsi="Times New Roman" w:cs="Times New Roman"/>
        </w:rPr>
        <w:t>imatinibom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v dôsledku</w:t>
      </w:r>
    </w:p>
    <w:p w14:paraId="520D4121" w14:textId="77777777" w:rsidR="00355DF2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rezistencie alebo neznášanlivosti.</w:t>
      </w:r>
    </w:p>
    <w:p w14:paraId="61887544" w14:textId="77777777" w:rsidR="00066894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078938" w14:textId="1FC10A44" w:rsidR="00355DF2" w:rsidRPr="0032485D" w:rsidRDefault="0006689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u w:val="single" w:color="000000"/>
        </w:rPr>
        <w:t>Metastatický karcinóm z obličkových buniek</w:t>
      </w:r>
      <w:r w:rsidR="00355DF2" w:rsidRPr="0032485D">
        <w:rPr>
          <w:rFonts w:ascii="Times New Roman" w:eastAsia="Times New Roman" w:hAnsi="Times New Roman" w:cs="Times New Roman"/>
          <w:u w:val="single" w:color="000000"/>
        </w:rPr>
        <w:t xml:space="preserve"> (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metastatic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renal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cell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carcinoma</w:t>
      </w:r>
      <w:proofErr w:type="spellEnd"/>
      <w:r w:rsidR="00767AD9">
        <w:rPr>
          <w:rFonts w:eastAsia="TimesNewRoman"/>
          <w:u w:val="single"/>
        </w:rPr>
        <w:t>,</w:t>
      </w:r>
      <w:r w:rsidR="00767AD9" w:rsidRPr="0032485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355DF2" w:rsidRPr="0032485D">
        <w:rPr>
          <w:rFonts w:ascii="Times New Roman" w:eastAsia="Times New Roman" w:hAnsi="Times New Roman" w:cs="Times New Roman"/>
          <w:u w:val="single" w:color="000000"/>
        </w:rPr>
        <w:t>MRCC)</w:t>
      </w:r>
    </w:p>
    <w:p w14:paraId="7B28092C" w14:textId="77777777" w:rsidR="00355DF2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je indikovaný na liečbu pokročilého/metastatického karcinómu z obličkových buniek (MRCC) u dospelých.</w:t>
      </w:r>
    </w:p>
    <w:p w14:paraId="49F4E966" w14:textId="77777777" w:rsidR="00066894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AAD72E" w14:textId="4B8CAC1E" w:rsidR="00355DF2" w:rsidRPr="0032485D" w:rsidRDefault="0006689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u w:val="single" w:color="000000"/>
        </w:rPr>
        <w:t xml:space="preserve">Pankreatické neuroendokrinné nádory </w:t>
      </w:r>
      <w:r w:rsidR="00355DF2" w:rsidRPr="0032485D">
        <w:rPr>
          <w:rFonts w:ascii="Times New Roman" w:eastAsia="Times New Roman" w:hAnsi="Times New Roman" w:cs="Times New Roman"/>
          <w:u w:val="single" w:color="000000"/>
        </w:rPr>
        <w:t>(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pancreatic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neuroendocrine</w:t>
      </w:r>
      <w:proofErr w:type="spellEnd"/>
      <w:r w:rsidR="00767AD9" w:rsidRPr="00A9610C">
        <w:rPr>
          <w:rFonts w:ascii="Times New Roman" w:eastAsia="TimesNewRoman" w:hAnsi="Times New Roman" w:cs="Times New Roman"/>
          <w:u w:val="single"/>
        </w:rPr>
        <w:t xml:space="preserve"> </w:t>
      </w:r>
      <w:proofErr w:type="spellStart"/>
      <w:r w:rsidR="00767AD9" w:rsidRPr="00A9610C">
        <w:rPr>
          <w:rFonts w:ascii="Times New Roman" w:eastAsia="TimesNewRoman" w:hAnsi="Times New Roman" w:cs="Times New Roman"/>
          <w:u w:val="single"/>
        </w:rPr>
        <w:t>tumours</w:t>
      </w:r>
      <w:proofErr w:type="spellEnd"/>
      <w:r w:rsidR="00767AD9">
        <w:rPr>
          <w:rFonts w:eastAsia="TimesNewRoman"/>
          <w:u w:val="single"/>
        </w:rPr>
        <w:t>,</w:t>
      </w:r>
      <w:r w:rsidR="00767AD9" w:rsidRPr="0032485D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355DF2" w:rsidRPr="0032485D">
        <w:rPr>
          <w:rFonts w:ascii="Times New Roman" w:eastAsia="Times New Roman" w:hAnsi="Times New Roman" w:cs="Times New Roman"/>
          <w:u w:val="single" w:color="000000"/>
        </w:rPr>
        <w:t>pNET</w:t>
      </w:r>
      <w:proofErr w:type="spellEnd"/>
      <w:r w:rsidR="00355DF2" w:rsidRPr="0032485D">
        <w:rPr>
          <w:rFonts w:ascii="Times New Roman" w:eastAsia="Times New Roman" w:hAnsi="Times New Roman" w:cs="Times New Roman"/>
          <w:u w:val="single" w:color="000000"/>
        </w:rPr>
        <w:t>)</w:t>
      </w:r>
    </w:p>
    <w:p w14:paraId="5C0DD37B" w14:textId="77777777" w:rsidR="00355DF2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je indikovaný na liečbu </w:t>
      </w:r>
      <w:proofErr w:type="spellStart"/>
      <w:r w:rsidRPr="0032485D">
        <w:rPr>
          <w:rFonts w:ascii="Times New Roman" w:eastAsia="Times New Roman" w:hAnsi="Times New Roman" w:cs="Times New Roman"/>
        </w:rPr>
        <w:t>neresekovateľných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alebo metastatických, dobre diferencovaných pankreatických neuroendokrinných nádorov (</w:t>
      </w:r>
      <w:proofErr w:type="spellStart"/>
      <w:r w:rsidRPr="0032485D">
        <w:rPr>
          <w:rFonts w:ascii="Times New Roman" w:eastAsia="Times New Roman" w:hAnsi="Times New Roman" w:cs="Times New Roman"/>
        </w:rPr>
        <w:t>pNET</w:t>
      </w:r>
      <w:proofErr w:type="spellEnd"/>
      <w:r w:rsidRPr="0032485D">
        <w:rPr>
          <w:rFonts w:ascii="Times New Roman" w:eastAsia="Times New Roman" w:hAnsi="Times New Roman" w:cs="Times New Roman"/>
        </w:rPr>
        <w:t>) s progresiou ochorenia u dospelých.</w:t>
      </w:r>
    </w:p>
    <w:p w14:paraId="1976F25F" w14:textId="77777777" w:rsidR="00066894" w:rsidRPr="0032485D" w:rsidRDefault="00066894" w:rsidP="000668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CF471" w14:textId="77777777" w:rsidR="00355DF2" w:rsidRPr="0032485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485D">
        <w:rPr>
          <w:rFonts w:ascii="Times New Roman" w:eastAsia="Times New Roman" w:hAnsi="Times New Roman" w:cs="Times New Roman"/>
          <w:b/>
        </w:rPr>
        <w:t>4.2</w:t>
      </w:r>
      <w:r w:rsidRPr="0032485D">
        <w:rPr>
          <w:rFonts w:ascii="Times New Roman" w:eastAsia="Times New Roman" w:hAnsi="Times New Roman" w:cs="Times New Roman"/>
          <w:b/>
        </w:rPr>
        <w:tab/>
      </w:r>
      <w:r w:rsidR="00066894" w:rsidRPr="0032485D">
        <w:rPr>
          <w:rFonts w:ascii="Times New Roman" w:eastAsia="Times New Roman" w:hAnsi="Times New Roman" w:cs="Times New Roman"/>
          <w:b/>
          <w:bCs/>
        </w:rPr>
        <w:t>Dávkovanie a spôsob podávania</w:t>
      </w:r>
    </w:p>
    <w:p w14:paraId="547A42EE" w14:textId="77777777" w:rsidR="00355DF2" w:rsidRPr="0032485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6680EC" w14:textId="4D9B153F" w:rsidR="00355DF2" w:rsidRPr="0032485D" w:rsidRDefault="0057598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Liečbu </w:t>
      </w:r>
      <w:proofErr w:type="spellStart"/>
      <w:r w:rsidRPr="0032485D">
        <w:rPr>
          <w:rFonts w:ascii="Times New Roman" w:eastAsia="Times New Roman" w:hAnsi="Times New Roman" w:cs="Times New Roman"/>
        </w:rPr>
        <w:t>sunitinibom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má začať lekár, ktorý má skúsenosti </w:t>
      </w:r>
      <w:r w:rsidR="00767AD9">
        <w:rPr>
          <w:rFonts w:ascii="Times New Roman" w:eastAsia="Times New Roman" w:hAnsi="Times New Roman" w:cs="Times New Roman"/>
        </w:rPr>
        <w:t>s</w:t>
      </w:r>
      <w:r w:rsidRPr="0032485D">
        <w:rPr>
          <w:rFonts w:ascii="Times New Roman" w:eastAsia="Times New Roman" w:hAnsi="Times New Roman" w:cs="Times New Roman"/>
        </w:rPr>
        <w:t xml:space="preserve"> podávaní</w:t>
      </w:r>
      <w:r w:rsidR="00767AD9">
        <w:rPr>
          <w:rFonts w:ascii="Times New Roman" w:eastAsia="Times New Roman" w:hAnsi="Times New Roman" w:cs="Times New Roman"/>
        </w:rPr>
        <w:t>m</w:t>
      </w:r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protinádorových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liekov.</w:t>
      </w:r>
    </w:p>
    <w:p w14:paraId="046CD420" w14:textId="77777777" w:rsidR="00575983" w:rsidRPr="0032485D" w:rsidRDefault="0057598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1282CD" w14:textId="77777777" w:rsidR="00355DF2" w:rsidRPr="0032485D" w:rsidRDefault="00575983" w:rsidP="00355DF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32485D">
        <w:rPr>
          <w:rFonts w:ascii="Times New Roman" w:eastAsia="Times New Roman" w:hAnsi="Times New Roman" w:cs="Times New Roman"/>
          <w:u w:val="single"/>
        </w:rPr>
        <w:t>Dávkovanie</w:t>
      </w:r>
    </w:p>
    <w:p w14:paraId="0730CEA3" w14:textId="77777777" w:rsidR="00355DF2" w:rsidRPr="0032485D" w:rsidRDefault="00575983" w:rsidP="005759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Pre GIST a MRCC odporúčaná dávka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je 50 mg užívaná perorálne raz denne počas štyroch po sebe nasledujúcich týždňov, po ktorých nasleduje dvojtýždňová prestávka v liečbe (Schéma 4/2), aby sa zavŕšil kompletný šesťtýždňový cyklus.</w:t>
      </w:r>
    </w:p>
    <w:p w14:paraId="767406B9" w14:textId="77777777" w:rsidR="00575983" w:rsidRPr="0032485D" w:rsidRDefault="00575983" w:rsidP="005759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32DA4C" w14:textId="77777777" w:rsidR="00575983" w:rsidRPr="0032485D" w:rsidRDefault="00575983" w:rsidP="005759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Pre </w:t>
      </w:r>
      <w:proofErr w:type="spellStart"/>
      <w:r w:rsidRPr="0032485D">
        <w:rPr>
          <w:rFonts w:ascii="Times New Roman" w:eastAsia="Times New Roman" w:hAnsi="Times New Roman" w:cs="Times New Roman"/>
        </w:rPr>
        <w:t>pNET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odporúčaná dávka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je 37,5 mg užívaná perorálne raz denne bez plánovanej</w:t>
      </w:r>
    </w:p>
    <w:p w14:paraId="25ED6F73" w14:textId="77777777" w:rsidR="00355DF2" w:rsidRPr="0032485D" w:rsidRDefault="00575983" w:rsidP="005759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prestávky v liečbe.</w:t>
      </w:r>
    </w:p>
    <w:p w14:paraId="20D96074" w14:textId="77777777" w:rsidR="00575983" w:rsidRPr="0032485D" w:rsidRDefault="00575983" w:rsidP="005759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55F52B" w14:textId="77777777" w:rsidR="00355DF2" w:rsidRPr="0032485D" w:rsidRDefault="0057598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  <w:u w:val="single" w:color="000000"/>
        </w:rPr>
        <w:t>Úpravy dávky</w:t>
      </w:r>
    </w:p>
    <w:p w14:paraId="52AB40D8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E39096" w14:textId="77777777" w:rsidR="00355DF2" w:rsidRPr="0032485D" w:rsidRDefault="0057598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</w:rPr>
        <w:t xml:space="preserve">Bezpečnosť a </w:t>
      </w:r>
      <w:proofErr w:type="spellStart"/>
      <w:r w:rsidRPr="0032485D">
        <w:rPr>
          <w:rFonts w:ascii="Times New Roman" w:eastAsia="Times New Roman" w:hAnsi="Times New Roman" w:cs="Times New Roman"/>
          <w:i/>
        </w:rPr>
        <w:t>tolerabilita</w:t>
      </w:r>
      <w:proofErr w:type="spellEnd"/>
    </w:p>
    <w:p w14:paraId="4B2E9678" w14:textId="518AE954" w:rsidR="00355DF2" w:rsidRPr="0032485D" w:rsidRDefault="00E47C7B" w:rsidP="00E47C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Pre GIST a MRCC sa zmeny dávky môžu vykonávať postupne po 12,5 mg v závislosti </w:t>
      </w:r>
      <w:r w:rsidR="00C75263">
        <w:rPr>
          <w:rFonts w:ascii="Times New Roman" w:eastAsia="Times New Roman" w:hAnsi="Times New Roman" w:cs="Times New Roman"/>
        </w:rPr>
        <w:t>od</w:t>
      </w:r>
      <w:r w:rsidRPr="0032485D">
        <w:rPr>
          <w:rFonts w:ascii="Times New Roman" w:eastAsia="Times New Roman" w:hAnsi="Times New Roman" w:cs="Times New Roman"/>
        </w:rPr>
        <w:t xml:space="preserve"> individuálnej bezpečnosti a znášanlivosti. Denná dávka nesmie prekročiť 75 mg, ani byť znížená pod 25 mg.</w:t>
      </w:r>
    </w:p>
    <w:p w14:paraId="554F5A7A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4ECED6" w14:textId="77777777" w:rsidR="00355DF2" w:rsidRPr="0032485D" w:rsidRDefault="00E47C7B" w:rsidP="00E47C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Pre </w:t>
      </w:r>
      <w:proofErr w:type="spellStart"/>
      <w:r w:rsidRPr="0032485D">
        <w:rPr>
          <w:rFonts w:ascii="Times New Roman" w:eastAsia="Times New Roman" w:hAnsi="Times New Roman" w:cs="Times New Roman"/>
        </w:rPr>
        <w:t>pNET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sa zmeny dávky môžu vykonávať postupne po 12,5 mg v závislosti od individuálnej bezpečnosti a znášanlivosti. Maximálna dávka podávaná v 3. fáze štúdie s </w:t>
      </w:r>
      <w:proofErr w:type="spellStart"/>
      <w:r w:rsidRPr="0032485D">
        <w:rPr>
          <w:rFonts w:ascii="Times New Roman" w:eastAsia="Times New Roman" w:hAnsi="Times New Roman" w:cs="Times New Roman"/>
        </w:rPr>
        <w:t>pNET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bola 50 mg denne.</w:t>
      </w:r>
    </w:p>
    <w:p w14:paraId="4A61E3C0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6B07D4" w14:textId="77777777" w:rsidR="00355DF2" w:rsidRPr="0032485D" w:rsidRDefault="00E47C7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Prerušenie dávkovania sa môže vyžadovať v závislosti od individuálnej bezpečnosti a znášanlivosti.</w:t>
      </w:r>
    </w:p>
    <w:p w14:paraId="2D182A02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1047FA" w14:textId="77777777" w:rsidR="00355DF2" w:rsidRPr="0032485D" w:rsidRDefault="00E47C7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  <w:iCs/>
        </w:rPr>
        <w:t>Inhibítory CYP3A4/induktory</w:t>
      </w:r>
    </w:p>
    <w:p w14:paraId="72A5EC9A" w14:textId="59261461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Má sa vyhnúť s</w:t>
      </w:r>
      <w:r w:rsidR="00C75263">
        <w:rPr>
          <w:rFonts w:ascii="Times New Roman" w:eastAsia="Times New Roman" w:hAnsi="Times New Roman" w:cs="Times New Roman"/>
        </w:rPr>
        <w:t>úbež</w:t>
      </w:r>
      <w:r w:rsidRPr="0032485D">
        <w:rPr>
          <w:rFonts w:ascii="Times New Roman" w:eastAsia="Times New Roman" w:hAnsi="Times New Roman" w:cs="Times New Roman"/>
        </w:rPr>
        <w:t xml:space="preserve">nému podávaniu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so silnými induktormi CYP3A4, ako je </w:t>
      </w:r>
      <w:proofErr w:type="spellStart"/>
      <w:r w:rsidRPr="0032485D">
        <w:rPr>
          <w:rFonts w:ascii="Times New Roman" w:eastAsia="Times New Roman" w:hAnsi="Times New Roman" w:cs="Times New Roman"/>
        </w:rPr>
        <w:t>rifampicín</w:t>
      </w:r>
      <w:proofErr w:type="spellEnd"/>
    </w:p>
    <w:p w14:paraId="6272C548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(pozri časti 4.4 a 4.5). Ak to nie je možné, dávku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bude možno potrebné zvýšiť po 12,5 mg</w:t>
      </w:r>
    </w:p>
    <w:p w14:paraId="68074660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prídavkoch (až na 87,5 mg denne pre GIST a MRCC alebo 62,5 mg denne pre </w:t>
      </w:r>
      <w:proofErr w:type="spellStart"/>
      <w:r w:rsidRPr="0032485D">
        <w:rPr>
          <w:rFonts w:ascii="Times New Roman" w:eastAsia="Times New Roman" w:hAnsi="Times New Roman" w:cs="Times New Roman"/>
        </w:rPr>
        <w:t>pNET</w:t>
      </w:r>
      <w:proofErr w:type="spellEnd"/>
      <w:r w:rsidRPr="0032485D">
        <w:rPr>
          <w:rFonts w:ascii="Times New Roman" w:eastAsia="Times New Roman" w:hAnsi="Times New Roman" w:cs="Times New Roman"/>
        </w:rPr>
        <w:t>) na základe</w:t>
      </w:r>
    </w:p>
    <w:p w14:paraId="7A23CE4D" w14:textId="77777777" w:rsidR="00355DF2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starostlivého monitorovania znášanlivosti.</w:t>
      </w:r>
    </w:p>
    <w:p w14:paraId="4AAE62B9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0E2BB3" w14:textId="24E8B76A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Má sa vyhnúť s</w:t>
      </w:r>
      <w:r w:rsidR="00C75263">
        <w:rPr>
          <w:rFonts w:ascii="Times New Roman" w:eastAsia="Times New Roman" w:hAnsi="Times New Roman" w:cs="Times New Roman"/>
        </w:rPr>
        <w:t>úbež</w:t>
      </w:r>
      <w:r w:rsidRPr="0032485D">
        <w:rPr>
          <w:rFonts w:ascii="Times New Roman" w:eastAsia="Times New Roman" w:hAnsi="Times New Roman" w:cs="Times New Roman"/>
        </w:rPr>
        <w:t xml:space="preserve">nému podávaniu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so silnými inhibítormi CYP3A4, ako je </w:t>
      </w:r>
      <w:proofErr w:type="spellStart"/>
      <w:r w:rsidRPr="0032485D">
        <w:rPr>
          <w:rFonts w:ascii="Times New Roman" w:eastAsia="Times New Roman" w:hAnsi="Times New Roman" w:cs="Times New Roman"/>
        </w:rPr>
        <w:t>ketokonazol</w:t>
      </w:r>
      <w:proofErr w:type="spellEnd"/>
    </w:p>
    <w:p w14:paraId="7DAF395B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(pozri časti 4.4 a 4.5). Ak to nie je možné, dávky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bude možno potrebné znížiť na minimálnu</w:t>
      </w:r>
    </w:p>
    <w:p w14:paraId="46385544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dennú dávku 37,5 mg pre GIST a MRCC alebo 25 mg denne pre </w:t>
      </w:r>
      <w:proofErr w:type="spellStart"/>
      <w:r w:rsidRPr="0032485D">
        <w:rPr>
          <w:rFonts w:ascii="Times New Roman" w:eastAsia="Times New Roman" w:hAnsi="Times New Roman" w:cs="Times New Roman"/>
        </w:rPr>
        <w:t>pNET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na základe starostlivého</w:t>
      </w:r>
    </w:p>
    <w:p w14:paraId="7A2BD942" w14:textId="77777777" w:rsidR="00355DF2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monitorovania znášanlivosti.</w:t>
      </w:r>
    </w:p>
    <w:p w14:paraId="7F3AA4B8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CE2ED8" w14:textId="0ED11FBF" w:rsidR="00D33868" w:rsidRPr="0032485D" w:rsidRDefault="00D33868" w:rsidP="00D338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Musí sa zvážiť výber alternatívnych sú</w:t>
      </w:r>
      <w:r w:rsidR="00C75263">
        <w:rPr>
          <w:rFonts w:ascii="Times New Roman" w:eastAsia="Times New Roman" w:hAnsi="Times New Roman" w:cs="Times New Roman"/>
        </w:rPr>
        <w:t>bež</w:t>
      </w:r>
      <w:r w:rsidRPr="0032485D">
        <w:rPr>
          <w:rFonts w:ascii="Times New Roman" w:eastAsia="Times New Roman" w:hAnsi="Times New Roman" w:cs="Times New Roman"/>
        </w:rPr>
        <w:t>ne podávaných liekov so žiadnou alebo minimálnou</w:t>
      </w:r>
    </w:p>
    <w:p w14:paraId="0BE7BBA9" w14:textId="77777777" w:rsidR="00355DF2" w:rsidRPr="0032485D" w:rsidRDefault="00D33868" w:rsidP="00D338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schopnosťou indukovať alebo inhibovať CYP3A4.</w:t>
      </w:r>
    </w:p>
    <w:p w14:paraId="5416F5CB" w14:textId="77777777" w:rsidR="00D33868" w:rsidRPr="0032485D" w:rsidRDefault="00D33868" w:rsidP="00D33868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FE05DD1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  <w:u w:val="single" w:color="000000"/>
        </w:rPr>
        <w:t>Osobitné skupiny pacientov</w:t>
      </w:r>
    </w:p>
    <w:p w14:paraId="2D7BD213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36F0C2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  <w:iCs/>
        </w:rPr>
        <w:t>Pediatrická populácia</w:t>
      </w:r>
    </w:p>
    <w:p w14:paraId="10BEEB64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Bezpečnosť a účinnosť </w:t>
      </w:r>
      <w:proofErr w:type="spellStart"/>
      <w:r w:rsidR="008B65C6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u pacientov mladších ako 18 rokov nebola stanovená.</w:t>
      </w:r>
      <w:r w:rsidR="00355DF2" w:rsidRPr="0032485D">
        <w:rPr>
          <w:rFonts w:ascii="Times New Roman" w:eastAsia="Times New Roman" w:hAnsi="Times New Roman" w:cs="Times New Roman"/>
        </w:rPr>
        <w:t xml:space="preserve"> </w:t>
      </w:r>
    </w:p>
    <w:p w14:paraId="0759158E" w14:textId="77777777" w:rsidR="00355DF2" w:rsidRPr="0032485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9C91DE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V súčasnosti dostupné údaje sú opísané v častiach 4.8, 5.1 a 5.2, ale neumožňujú uviesť odporúčania</w:t>
      </w:r>
    </w:p>
    <w:p w14:paraId="3494F513" w14:textId="77777777" w:rsidR="00355DF2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2485D">
        <w:rPr>
          <w:rFonts w:ascii="Times New Roman" w:eastAsia="Times New Roman" w:hAnsi="Times New Roman" w:cs="Times New Roman"/>
        </w:rPr>
        <w:lastRenderedPageBreak/>
        <w:t>na dávkovanie</w:t>
      </w:r>
      <w:r w:rsidRPr="0032485D">
        <w:rPr>
          <w:rFonts w:ascii="Times New Roman" w:eastAsia="Times New Roman" w:hAnsi="Times New Roman" w:cs="Times New Roman"/>
          <w:b/>
          <w:bCs/>
        </w:rPr>
        <w:t>.</w:t>
      </w:r>
    </w:p>
    <w:p w14:paraId="518AA475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D3EC14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</w:rPr>
        <w:t>Starší ľudia</w:t>
      </w:r>
    </w:p>
    <w:p w14:paraId="3314915C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Približne jedna tretina pacientov v klinických štúdiách, ktorá dostávala </w:t>
      </w: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>, mala 65 rokov</w:t>
      </w:r>
    </w:p>
    <w:p w14:paraId="371944F3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a viac. Medzi mladšími a staršími pacientmi sa nepozorovali žiadne signifikantné rozdiely, čo sa týka</w:t>
      </w:r>
    </w:p>
    <w:p w14:paraId="5F76DF8A" w14:textId="77777777" w:rsidR="00355DF2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bezpečnosti alebo účinnosti.</w:t>
      </w:r>
    </w:p>
    <w:p w14:paraId="6E6A92FD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95D64B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  <w:iCs/>
        </w:rPr>
        <w:t>Porucha funkcie pečene</w:t>
      </w:r>
    </w:p>
    <w:p w14:paraId="0A5A615C" w14:textId="5B5B3ADE" w:rsidR="00355DF2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Pri podávaní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pacientom s miern</w:t>
      </w:r>
      <w:r w:rsidR="00C75263">
        <w:rPr>
          <w:rFonts w:ascii="Times New Roman" w:eastAsia="Times New Roman" w:hAnsi="Times New Roman" w:cs="Times New Roman"/>
        </w:rPr>
        <w:t>ou</w:t>
      </w:r>
      <w:r w:rsidRPr="0032485D">
        <w:rPr>
          <w:rFonts w:ascii="Times New Roman" w:eastAsia="Times New Roman" w:hAnsi="Times New Roman" w:cs="Times New Roman"/>
        </w:rPr>
        <w:t xml:space="preserve"> alebo stredn</w:t>
      </w:r>
      <w:r w:rsidR="00C75263">
        <w:rPr>
          <w:rFonts w:ascii="Times New Roman" w:eastAsia="Times New Roman" w:hAnsi="Times New Roman" w:cs="Times New Roman"/>
        </w:rPr>
        <w:t>e závažnou</w:t>
      </w:r>
      <w:r w:rsidRPr="0032485D">
        <w:rPr>
          <w:rFonts w:ascii="Times New Roman" w:eastAsia="Times New Roman" w:hAnsi="Times New Roman" w:cs="Times New Roman"/>
        </w:rPr>
        <w:t xml:space="preserve"> (trieda A </w:t>
      </w:r>
      <w:proofErr w:type="spellStart"/>
      <w:r w:rsidRPr="0032485D">
        <w:rPr>
          <w:rFonts w:ascii="Times New Roman" w:eastAsia="Times New Roman" w:hAnsi="Times New Roman" w:cs="Times New Roman"/>
        </w:rPr>
        <w:t>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B klasifikácie podľa</w:t>
      </w:r>
      <w:r w:rsidR="00C32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Childa-Pugha</w:t>
      </w:r>
      <w:proofErr w:type="spellEnd"/>
      <w:r w:rsidRPr="0032485D">
        <w:rPr>
          <w:rFonts w:ascii="Times New Roman" w:eastAsia="Times New Roman" w:hAnsi="Times New Roman" w:cs="Times New Roman"/>
        </w:rPr>
        <w:t>) po</w:t>
      </w:r>
      <w:r w:rsidR="00C75263">
        <w:rPr>
          <w:rFonts w:ascii="Times New Roman" w:eastAsia="Times New Roman" w:hAnsi="Times New Roman" w:cs="Times New Roman"/>
        </w:rPr>
        <w:t>ruchou funkcie</w:t>
      </w:r>
      <w:r w:rsidRPr="0032485D">
        <w:rPr>
          <w:rFonts w:ascii="Times New Roman" w:eastAsia="Times New Roman" w:hAnsi="Times New Roman" w:cs="Times New Roman"/>
        </w:rPr>
        <w:t xml:space="preserve"> pečene sa neodporúča úprava úvodnej dávky. </w:t>
      </w: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sa neskúmal u jedincov so závažn</w:t>
      </w:r>
      <w:r w:rsidR="00C75263">
        <w:rPr>
          <w:rFonts w:ascii="Times New Roman" w:eastAsia="Times New Roman" w:hAnsi="Times New Roman" w:cs="Times New Roman"/>
        </w:rPr>
        <w:t>ou poruchou funkcie pečene</w:t>
      </w:r>
      <w:r w:rsidRPr="0032485D">
        <w:rPr>
          <w:rFonts w:ascii="Times New Roman" w:eastAsia="Times New Roman" w:hAnsi="Times New Roman" w:cs="Times New Roman"/>
        </w:rPr>
        <w:t xml:space="preserve"> triedy C klasifikácie podľa </w:t>
      </w:r>
      <w:proofErr w:type="spellStart"/>
      <w:r w:rsidRPr="0032485D">
        <w:rPr>
          <w:rFonts w:ascii="Times New Roman" w:eastAsia="Times New Roman" w:hAnsi="Times New Roman" w:cs="Times New Roman"/>
        </w:rPr>
        <w:t>Childa-Pugha</w:t>
      </w:r>
      <w:proofErr w:type="spellEnd"/>
      <w:r w:rsidRPr="0032485D">
        <w:rPr>
          <w:rFonts w:ascii="Times New Roman" w:eastAsia="Times New Roman" w:hAnsi="Times New Roman" w:cs="Times New Roman"/>
        </w:rPr>
        <w:t>, a preto sa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32485D">
        <w:rPr>
          <w:rFonts w:ascii="Times New Roman" w:eastAsia="Times New Roman" w:hAnsi="Times New Roman" w:cs="Times New Roman"/>
        </w:rPr>
        <w:t>jeho použitie u pacientov so závažnou poruchou funkcie pečene nemôže odporúčať (pozri časť 5.2).</w:t>
      </w:r>
    </w:p>
    <w:p w14:paraId="4855C0B7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CF1276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2485D">
        <w:rPr>
          <w:rFonts w:ascii="Times New Roman" w:eastAsia="Times New Roman" w:hAnsi="Times New Roman" w:cs="Times New Roman"/>
          <w:i/>
          <w:iCs/>
        </w:rPr>
        <w:t>Porucha funkcie obličiek</w:t>
      </w:r>
    </w:p>
    <w:p w14:paraId="4F03F482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Ak sa </w:t>
      </w: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podáva pacientom s poruchou funkcie obličiek (miernym až závažným) alebo</w:t>
      </w:r>
    </w:p>
    <w:p w14:paraId="65C80F8B" w14:textId="55EE4F48" w:rsidR="00355DF2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s terminálnym ochorením obličiek </w:t>
      </w:r>
      <w:r w:rsidR="00C75263">
        <w:rPr>
          <w:rFonts w:ascii="Times New Roman" w:eastAsia="Times New Roman" w:hAnsi="Times New Roman" w:cs="Times New Roman"/>
        </w:rPr>
        <w:t xml:space="preserve">(end </w:t>
      </w:r>
      <w:proofErr w:type="spellStart"/>
      <w:r w:rsidR="00C75263">
        <w:rPr>
          <w:rFonts w:ascii="Times New Roman" w:eastAsia="Times New Roman" w:hAnsi="Times New Roman" w:cs="Times New Roman"/>
        </w:rPr>
        <w:t>stage</w:t>
      </w:r>
      <w:proofErr w:type="spellEnd"/>
      <w:r w:rsidR="00C7526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5263">
        <w:rPr>
          <w:rFonts w:ascii="Times New Roman" w:eastAsia="Times New Roman" w:hAnsi="Times New Roman" w:cs="Times New Roman"/>
        </w:rPr>
        <w:t>renal</w:t>
      </w:r>
      <w:proofErr w:type="spellEnd"/>
      <w:r w:rsidR="00C7526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5263">
        <w:rPr>
          <w:rFonts w:ascii="Times New Roman" w:eastAsia="Times New Roman" w:hAnsi="Times New Roman" w:cs="Times New Roman"/>
        </w:rPr>
        <w:t>disease</w:t>
      </w:r>
      <w:proofErr w:type="spellEnd"/>
      <w:r w:rsidR="00C75263">
        <w:rPr>
          <w:rFonts w:ascii="Times New Roman" w:eastAsia="Times New Roman" w:hAnsi="Times New Roman" w:cs="Times New Roman"/>
        </w:rPr>
        <w:t xml:space="preserve">, </w:t>
      </w:r>
      <w:r w:rsidRPr="0032485D">
        <w:rPr>
          <w:rFonts w:ascii="Times New Roman" w:eastAsia="Times New Roman" w:hAnsi="Times New Roman" w:cs="Times New Roman"/>
        </w:rPr>
        <w:t xml:space="preserve">ESRD) na hemodialýze, úprava úvodnej dávky sa nevyžaduje. Úprava dávky pri nasledujúcich podaniach má byť založená na individuálnej bezpečnosti a </w:t>
      </w:r>
      <w:proofErr w:type="spellStart"/>
      <w:r w:rsidRPr="0032485D">
        <w:rPr>
          <w:rFonts w:ascii="Times New Roman" w:eastAsia="Times New Roman" w:hAnsi="Times New Roman" w:cs="Times New Roman"/>
        </w:rPr>
        <w:t>tolerabilite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(pozri časť 5.2).</w:t>
      </w:r>
    </w:p>
    <w:p w14:paraId="47092C0D" w14:textId="77777777" w:rsidR="00D33868" w:rsidRPr="0032485D" w:rsidRDefault="00D33868" w:rsidP="00D338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EBBF6C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u w:val="single" w:color="000000"/>
        </w:rPr>
        <w:t>Spôsob podávania</w:t>
      </w:r>
    </w:p>
    <w:p w14:paraId="001B5DC4" w14:textId="77777777" w:rsidR="00355DF2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Zentiva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je na perorálne podávanie. Môže sa užívať s jedlom alebo bez jedla.</w:t>
      </w:r>
    </w:p>
    <w:p w14:paraId="34E8DF47" w14:textId="77777777" w:rsidR="00D33868" w:rsidRPr="0032485D" w:rsidRDefault="00D3386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CA6DAD" w14:textId="77777777" w:rsidR="00D33868" w:rsidRPr="0032485D" w:rsidRDefault="00D33868" w:rsidP="00D3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Ak pacient vynechá dávku, nesmie sa mu podať dodatočná dávka. Pacient má užiť zvyčajnú</w:t>
      </w:r>
    </w:p>
    <w:p w14:paraId="44DE67A1" w14:textId="77777777" w:rsidR="00355DF2" w:rsidRPr="0032485D" w:rsidRDefault="00D33868" w:rsidP="00D3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predpísanú dávku na nasledujúci deň.</w:t>
      </w:r>
    </w:p>
    <w:p w14:paraId="233A66E7" w14:textId="77777777" w:rsidR="00D33868" w:rsidRPr="0032485D" w:rsidRDefault="00D33868" w:rsidP="00D3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highlight w:val="yellow"/>
        </w:rPr>
      </w:pPr>
    </w:p>
    <w:p w14:paraId="128A767A" w14:textId="77777777" w:rsidR="00355DF2" w:rsidRPr="0032485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32485D">
        <w:rPr>
          <w:rFonts w:ascii="Times New Roman" w:eastAsia="Times New Roman" w:hAnsi="Times New Roman" w:cs="Times New Roman"/>
          <w:b/>
          <w:szCs w:val="20"/>
        </w:rPr>
        <w:t>4.3</w:t>
      </w:r>
      <w:r w:rsidRPr="0032485D">
        <w:rPr>
          <w:rFonts w:ascii="Times New Roman" w:eastAsia="Times New Roman" w:hAnsi="Times New Roman" w:cs="Times New Roman"/>
          <w:b/>
          <w:szCs w:val="20"/>
        </w:rPr>
        <w:tab/>
      </w:r>
      <w:r w:rsidR="00D33868" w:rsidRPr="0032485D">
        <w:rPr>
          <w:rFonts w:ascii="Times New Roman" w:eastAsia="Times New Roman" w:hAnsi="Times New Roman" w:cs="Times New Roman"/>
          <w:b/>
          <w:szCs w:val="20"/>
        </w:rPr>
        <w:t>Kontraindikácie</w:t>
      </w:r>
    </w:p>
    <w:p w14:paraId="64EFCF87" w14:textId="77777777" w:rsidR="00355DF2" w:rsidRPr="0032485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EF96A7F" w14:textId="77777777" w:rsidR="00355DF2" w:rsidRPr="0032485D" w:rsidRDefault="00D33868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32485D">
        <w:rPr>
          <w:rFonts w:ascii="Times New Roman" w:eastAsia="Times New Roman" w:hAnsi="Times New Roman" w:cs="Times New Roman"/>
          <w:szCs w:val="20"/>
        </w:rPr>
        <w:t>Precitlivenosť na liečivo alebo na ktorúkoľvek z pomocných látok uvedených v časti 6.1.</w:t>
      </w:r>
    </w:p>
    <w:p w14:paraId="21777F07" w14:textId="77777777" w:rsidR="00D33868" w:rsidRPr="0032485D" w:rsidRDefault="00D33868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050F0CF" w14:textId="77777777" w:rsidR="00355DF2" w:rsidRPr="0032485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32485D">
        <w:rPr>
          <w:rFonts w:ascii="Times New Roman" w:eastAsia="Times New Roman" w:hAnsi="Times New Roman" w:cs="Times New Roman"/>
          <w:b/>
          <w:szCs w:val="20"/>
        </w:rPr>
        <w:t>4.4</w:t>
      </w:r>
      <w:r w:rsidRPr="0032485D">
        <w:rPr>
          <w:rFonts w:ascii="Times New Roman" w:eastAsia="Times New Roman" w:hAnsi="Times New Roman" w:cs="Times New Roman"/>
          <w:b/>
          <w:szCs w:val="20"/>
        </w:rPr>
        <w:tab/>
      </w:r>
      <w:r w:rsidR="00D33868" w:rsidRPr="0032485D">
        <w:rPr>
          <w:rFonts w:ascii="Times New Roman" w:eastAsia="Times New Roman" w:hAnsi="Times New Roman" w:cs="Times New Roman"/>
          <w:b/>
          <w:bCs/>
          <w:szCs w:val="20"/>
        </w:rPr>
        <w:t>Osobitné upozornenia a opatrenia pri používaní</w:t>
      </w:r>
    </w:p>
    <w:p w14:paraId="3C32F0B1" w14:textId="77777777" w:rsidR="00355DF2" w:rsidRPr="0032485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94898B0" w14:textId="326467EE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Treba sa vyhnúť s</w:t>
      </w:r>
      <w:r w:rsidR="00902D40">
        <w:rPr>
          <w:rFonts w:ascii="Times New Roman" w:eastAsia="Times New Roman" w:hAnsi="Times New Roman" w:cs="Times New Roman"/>
        </w:rPr>
        <w:t>úbež</w:t>
      </w:r>
      <w:r w:rsidRPr="0032485D">
        <w:rPr>
          <w:rFonts w:ascii="Times New Roman" w:eastAsia="Times New Roman" w:hAnsi="Times New Roman" w:cs="Times New Roman"/>
        </w:rPr>
        <w:t>nému podávaniu so silnými induktormi CYP3A4, pretože sa môžu znížiť</w:t>
      </w:r>
    </w:p>
    <w:p w14:paraId="41164665" w14:textId="77777777" w:rsidR="00355DF2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koncentrácie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v plazme (pozri časti 4.2 a 4.5).</w:t>
      </w:r>
    </w:p>
    <w:p w14:paraId="0E975BD9" w14:textId="77777777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AB4E6D" w14:textId="50F3E915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Treba sa vyhnúť s</w:t>
      </w:r>
      <w:r w:rsidR="00902D40">
        <w:rPr>
          <w:rFonts w:ascii="Times New Roman" w:eastAsia="Times New Roman" w:hAnsi="Times New Roman" w:cs="Times New Roman"/>
        </w:rPr>
        <w:t>úbež</w:t>
      </w:r>
      <w:r w:rsidRPr="0032485D">
        <w:rPr>
          <w:rFonts w:ascii="Times New Roman" w:eastAsia="Times New Roman" w:hAnsi="Times New Roman" w:cs="Times New Roman"/>
        </w:rPr>
        <w:t>nému podávaniu so silným inhibítorom CYP3A4, pretože sa môžu zvýšiť</w:t>
      </w:r>
    </w:p>
    <w:p w14:paraId="49EC8716" w14:textId="77777777" w:rsidR="00355DF2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koncentrácie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v plazme (pozri časti 4.2 a 4.5).</w:t>
      </w:r>
    </w:p>
    <w:p w14:paraId="12072884" w14:textId="77777777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A1B68" w14:textId="77777777" w:rsidR="00355DF2" w:rsidRPr="0032485D" w:rsidRDefault="009333BC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  <w:u w:val="single" w:color="000000"/>
        </w:rPr>
        <w:t>Poruchy kože a podkožného tkaniva</w:t>
      </w:r>
    </w:p>
    <w:p w14:paraId="13EA3B40" w14:textId="77777777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Pacientov treba upozorniť, že počas liečby </w:t>
      </w:r>
      <w:proofErr w:type="spellStart"/>
      <w:r w:rsidRPr="0032485D">
        <w:rPr>
          <w:rFonts w:ascii="Times New Roman" w:eastAsia="Times New Roman" w:hAnsi="Times New Roman" w:cs="Times New Roman"/>
        </w:rPr>
        <w:t>sunitinibom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sa môže objaviť depigmentácia vlasov alebo</w:t>
      </w:r>
    </w:p>
    <w:p w14:paraId="1BEFD141" w14:textId="77777777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kože. Medzi ďalšie dermatologické účinky patrí suchosť, zhrubnutie alebo praskanie kože, pľuzgiere</w:t>
      </w:r>
    </w:p>
    <w:p w14:paraId="5A3B7DA2" w14:textId="38419961" w:rsidR="00355DF2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alebo vyrážka na dlaniach rúk a </w:t>
      </w:r>
      <w:r w:rsidR="00902D40">
        <w:rPr>
          <w:rFonts w:ascii="Times New Roman" w:eastAsia="Times New Roman" w:hAnsi="Times New Roman" w:cs="Times New Roman"/>
        </w:rPr>
        <w:t>chodidl</w:t>
      </w:r>
      <w:r w:rsidRPr="0032485D">
        <w:rPr>
          <w:rFonts w:ascii="Times New Roman" w:eastAsia="Times New Roman" w:hAnsi="Times New Roman" w:cs="Times New Roman"/>
        </w:rPr>
        <w:t>ách nôh.</w:t>
      </w:r>
    </w:p>
    <w:p w14:paraId="374F9395" w14:textId="77777777" w:rsidR="009333BC" w:rsidRPr="0032485D" w:rsidRDefault="009333BC" w:rsidP="009333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DD8BE8" w14:textId="77777777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Vyššie uvedené reakcie neboli kumulatívne, zvyčajne boli reverzibilné a vo všeobecnosti neviedli</w:t>
      </w:r>
    </w:p>
    <w:p w14:paraId="084CEF6B" w14:textId="77777777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k prerušeniu liečby. Boli hlásené prípady </w:t>
      </w:r>
      <w:proofErr w:type="spellStart"/>
      <w:r w:rsidRPr="0032485D">
        <w:rPr>
          <w:rFonts w:ascii="Times New Roman" w:eastAsia="Times New Roman" w:hAnsi="Times New Roman" w:cs="Times New Roman"/>
        </w:rPr>
        <w:t>pyoderma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gangrenosum</w:t>
      </w:r>
      <w:proofErr w:type="spellEnd"/>
      <w:r w:rsidRPr="0032485D">
        <w:rPr>
          <w:rFonts w:ascii="Times New Roman" w:eastAsia="Times New Roman" w:hAnsi="Times New Roman" w:cs="Times New Roman"/>
        </w:rPr>
        <w:t>, vo všeobecnosti reverzibilné po</w:t>
      </w:r>
    </w:p>
    <w:p w14:paraId="0A898ED4" w14:textId="77777777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prerušení liečby </w:t>
      </w:r>
      <w:proofErr w:type="spellStart"/>
      <w:r w:rsidRPr="0032485D">
        <w:rPr>
          <w:rFonts w:ascii="Times New Roman" w:eastAsia="Times New Roman" w:hAnsi="Times New Roman" w:cs="Times New Roman"/>
        </w:rPr>
        <w:t>sunitinibom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. Boli hlásené závažné kožné reakcie, vrátane </w:t>
      </w:r>
      <w:proofErr w:type="spellStart"/>
      <w:r w:rsidRPr="0032485D">
        <w:rPr>
          <w:rFonts w:ascii="Times New Roman" w:eastAsia="Times New Roman" w:hAnsi="Times New Roman" w:cs="Times New Roman"/>
        </w:rPr>
        <w:t>multiformného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erytému</w:t>
      </w:r>
      <w:proofErr w:type="spellEnd"/>
    </w:p>
    <w:p w14:paraId="5A3912E7" w14:textId="77777777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(EM – </w:t>
      </w:r>
      <w:proofErr w:type="spellStart"/>
      <w:r w:rsidRPr="0032485D">
        <w:rPr>
          <w:rFonts w:ascii="Times New Roman" w:eastAsia="Times New Roman" w:hAnsi="Times New Roman" w:cs="Times New Roman"/>
        </w:rPr>
        <w:t>erythema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485D">
        <w:rPr>
          <w:rFonts w:ascii="Times New Roman" w:eastAsia="Times New Roman" w:hAnsi="Times New Roman" w:cs="Times New Roman"/>
        </w:rPr>
        <w:t>multiforme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), prípady podozrenia na </w:t>
      </w:r>
      <w:proofErr w:type="spellStart"/>
      <w:r w:rsidRPr="0032485D">
        <w:rPr>
          <w:rFonts w:ascii="Times New Roman" w:eastAsia="Times New Roman" w:hAnsi="Times New Roman" w:cs="Times New Roman"/>
        </w:rPr>
        <w:t>Stevensov-Johnsonov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syndróm (SJS) a toxickej</w:t>
      </w:r>
    </w:p>
    <w:p w14:paraId="5A9705D4" w14:textId="449E0F46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epidermálnej </w:t>
      </w:r>
      <w:proofErr w:type="spellStart"/>
      <w:r w:rsidRPr="0032485D">
        <w:rPr>
          <w:rFonts w:ascii="Times New Roman" w:eastAsia="Times New Roman" w:hAnsi="Times New Roman" w:cs="Times New Roman"/>
        </w:rPr>
        <w:t>nekrolýzy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(TEN), z ktorých niektoré boli fatálne. Ak sú prítomné </w:t>
      </w:r>
      <w:r w:rsidR="00902D40">
        <w:rPr>
          <w:rFonts w:ascii="Times New Roman" w:eastAsia="Times New Roman" w:hAnsi="Times New Roman" w:cs="Times New Roman"/>
        </w:rPr>
        <w:t>prejavy</w:t>
      </w:r>
      <w:r w:rsidRPr="0032485D">
        <w:rPr>
          <w:rFonts w:ascii="Times New Roman" w:eastAsia="Times New Roman" w:hAnsi="Times New Roman" w:cs="Times New Roman"/>
        </w:rPr>
        <w:t xml:space="preserve"> alebo príznaky SJS, TEN alebo EM (napr. progresívna kožná vyrážka často s pľuzgiermi alebo léziami slizníc), liečba</w:t>
      </w:r>
    </w:p>
    <w:p w14:paraId="6EC78E20" w14:textId="77777777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sunitinibom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má byť prerušená. Ak sa potvrdí diagnóza SJS alebo TEN, liečba už nesmie byť znovu</w:t>
      </w:r>
    </w:p>
    <w:p w14:paraId="78A441FB" w14:textId="77777777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 xml:space="preserve">obnovená. V niektorých prípadoch podozrivých z EM, pacienti tolerujú opätovné podanie </w:t>
      </w:r>
      <w:proofErr w:type="spellStart"/>
      <w:r w:rsidRPr="0032485D">
        <w:rPr>
          <w:rFonts w:ascii="Times New Roman" w:eastAsia="Times New Roman" w:hAnsi="Times New Roman" w:cs="Times New Roman"/>
        </w:rPr>
        <w:t>sunitinibu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v</w:t>
      </w:r>
    </w:p>
    <w:p w14:paraId="50842ACD" w14:textId="7EBCD3EE" w:rsidR="00EF6425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485D">
        <w:rPr>
          <w:rFonts w:ascii="Times New Roman" w:eastAsia="Times New Roman" w:hAnsi="Times New Roman" w:cs="Times New Roman"/>
        </w:rPr>
        <w:t>nižšej dávke po ústupe reakcie; niektorí títo pacienti dostávali sú</w:t>
      </w:r>
      <w:r w:rsidR="00902D40">
        <w:rPr>
          <w:rFonts w:ascii="Times New Roman" w:eastAsia="Times New Roman" w:hAnsi="Times New Roman" w:cs="Times New Roman"/>
        </w:rPr>
        <w:t>bež</w:t>
      </w:r>
      <w:r w:rsidRPr="0032485D">
        <w:rPr>
          <w:rFonts w:ascii="Times New Roman" w:eastAsia="Times New Roman" w:hAnsi="Times New Roman" w:cs="Times New Roman"/>
        </w:rPr>
        <w:t>nú liečbu kortikosteroidmi alebo</w:t>
      </w:r>
    </w:p>
    <w:p w14:paraId="796AD49C" w14:textId="77777777" w:rsidR="00355DF2" w:rsidRPr="0032485D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485D">
        <w:rPr>
          <w:rFonts w:ascii="Times New Roman" w:eastAsia="Times New Roman" w:hAnsi="Times New Roman" w:cs="Times New Roman"/>
        </w:rPr>
        <w:t>antihistaminikami</w:t>
      </w:r>
      <w:proofErr w:type="spellEnd"/>
      <w:r w:rsidRPr="0032485D">
        <w:rPr>
          <w:rFonts w:ascii="Times New Roman" w:eastAsia="Times New Roman" w:hAnsi="Times New Roman" w:cs="Times New Roman"/>
        </w:rPr>
        <w:t xml:space="preserve"> (pozri časť 4.8).</w:t>
      </w:r>
    </w:p>
    <w:p w14:paraId="126B5238" w14:textId="77777777" w:rsidR="00EF6425" w:rsidRPr="00355DF2" w:rsidRDefault="00EF6425" w:rsidP="00EF64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A3DF766" w14:textId="77777777" w:rsidR="00355DF2" w:rsidRPr="00355DF2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648E1B6" w14:textId="77777777" w:rsidR="00355DF2" w:rsidRPr="00216603" w:rsidRDefault="00EF6425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  <w:u w:val="single" w:color="000000"/>
        </w:rPr>
        <w:t>Krvácanie a krvácanie do tumoru</w:t>
      </w:r>
    </w:p>
    <w:p w14:paraId="65080544" w14:textId="77777777" w:rsidR="0032485D" w:rsidRPr="00216603" w:rsidRDefault="0032485D" w:rsidP="0032485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16603">
        <w:rPr>
          <w:rFonts w:ascii="Times New Roman" w:eastAsia="Times New Roman" w:hAnsi="Times New Roman" w:cs="Times New Roman"/>
        </w:rPr>
        <w:t>Hemoragické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príhody, z ktorých niektoré boli smrteľné, hlásené v klinických štúdiách so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</w:p>
    <w:p w14:paraId="7FBEEF2B" w14:textId="77777777" w:rsidR="0032485D" w:rsidRPr="00216603" w:rsidRDefault="0032485D" w:rsidP="0032485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lastRenderedPageBreak/>
        <w:t>a počas dohľadu po uvedení lieku na trh zahŕňali krvácanie z gastrointestinálneho traktu, dýchacej</w:t>
      </w:r>
    </w:p>
    <w:p w14:paraId="5AEA5349" w14:textId="77777777" w:rsidR="00355DF2" w:rsidRPr="00216603" w:rsidRDefault="0032485D" w:rsidP="0032485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sústavy, močových ciest a krvácanie do mozgu (pozri časť 4.8).</w:t>
      </w:r>
    </w:p>
    <w:p w14:paraId="6A89EB5D" w14:textId="77777777" w:rsidR="00355DF2" w:rsidRPr="00216603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173271" w14:textId="77777777" w:rsidR="00355DF2" w:rsidRPr="00216603" w:rsidRDefault="00750ED9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Rutinné vyšetrenie prípadov krvácania má zahŕňať kompletný krvný obraz a fyzikálne vyšetrenie.</w:t>
      </w:r>
    </w:p>
    <w:p w14:paraId="3CF6E2DB" w14:textId="77777777" w:rsidR="00750ED9" w:rsidRPr="00216603" w:rsidRDefault="00750ED9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69C22C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16603">
        <w:rPr>
          <w:rFonts w:ascii="Times New Roman" w:eastAsia="Times New Roman" w:hAnsi="Times New Roman" w:cs="Times New Roman"/>
        </w:rPr>
        <w:t>Epistaxa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bola najčastejšou </w:t>
      </w:r>
      <w:proofErr w:type="spellStart"/>
      <w:r w:rsidRPr="00216603">
        <w:rPr>
          <w:rFonts w:ascii="Times New Roman" w:eastAsia="Times New Roman" w:hAnsi="Times New Roman" w:cs="Times New Roman"/>
        </w:rPr>
        <w:t>hemoragickou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nežiaducou reakciou, ktorá bola hlásená približne u polovice</w:t>
      </w:r>
    </w:p>
    <w:p w14:paraId="024B114B" w14:textId="3447D794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pacientov s</w:t>
      </w:r>
      <w:r w:rsidR="00A44422">
        <w:rPr>
          <w:rFonts w:ascii="Times New Roman" w:eastAsia="Times New Roman" w:hAnsi="Times New Roman" w:cs="Times New Roman"/>
        </w:rPr>
        <w:t>o solídnymi</w:t>
      </w:r>
      <w:r w:rsidRPr="00216603">
        <w:rPr>
          <w:rFonts w:ascii="Times New Roman" w:eastAsia="Times New Roman" w:hAnsi="Times New Roman" w:cs="Times New Roman"/>
        </w:rPr>
        <w:t xml:space="preserve"> tumormi, u ktorých sa vyskytli </w:t>
      </w:r>
      <w:proofErr w:type="spellStart"/>
      <w:r w:rsidRPr="00216603">
        <w:rPr>
          <w:rFonts w:ascii="Times New Roman" w:eastAsia="Times New Roman" w:hAnsi="Times New Roman" w:cs="Times New Roman"/>
        </w:rPr>
        <w:t>hemoragické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príhody. Niektoré z týchto udalostí </w:t>
      </w:r>
      <w:proofErr w:type="spellStart"/>
      <w:r w:rsidRPr="00216603">
        <w:rPr>
          <w:rFonts w:ascii="Times New Roman" w:eastAsia="Times New Roman" w:hAnsi="Times New Roman" w:cs="Times New Roman"/>
        </w:rPr>
        <w:t>epistaxy</w:t>
      </w:r>
      <w:proofErr w:type="spellEnd"/>
    </w:p>
    <w:p w14:paraId="14E30EAA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boli závažné, ale veľmi zriedkavo smrteľné.</w:t>
      </w:r>
    </w:p>
    <w:p w14:paraId="65B64DE0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D66B1C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Boli hlásené prípady krvácania do tumoru, niekedy spojené s nádorovou nekrózou; niektoré z týchto</w:t>
      </w:r>
    </w:p>
    <w:p w14:paraId="45D7D7C1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16603">
        <w:rPr>
          <w:rFonts w:ascii="Times New Roman" w:eastAsia="Times New Roman" w:hAnsi="Times New Roman" w:cs="Times New Roman"/>
        </w:rPr>
        <w:t>hemoragických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príhod boli smrteľné.</w:t>
      </w:r>
    </w:p>
    <w:p w14:paraId="047CE501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69FB54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Krvácanie do nádoru sa môže objaviť náhle a v prípade pľúcnych nádorov sa môže prejaviť ako</w:t>
      </w:r>
    </w:p>
    <w:p w14:paraId="6ADBA68C" w14:textId="2D1B5A0F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závažn</w:t>
      </w:r>
      <w:r w:rsidR="00A44422">
        <w:rPr>
          <w:rFonts w:ascii="Times New Roman" w:eastAsia="Times New Roman" w:hAnsi="Times New Roman" w:cs="Times New Roman"/>
        </w:rPr>
        <w:t>á</w:t>
      </w:r>
      <w:r w:rsidRPr="00216603">
        <w:rPr>
          <w:rFonts w:ascii="Times New Roman" w:eastAsia="Times New Roman" w:hAnsi="Times New Roman" w:cs="Times New Roman"/>
        </w:rPr>
        <w:t xml:space="preserve"> a život ohrozujúca </w:t>
      </w:r>
      <w:proofErr w:type="spellStart"/>
      <w:r w:rsidRPr="00216603">
        <w:rPr>
          <w:rFonts w:ascii="Times New Roman" w:eastAsia="Times New Roman" w:hAnsi="Times New Roman" w:cs="Times New Roman"/>
        </w:rPr>
        <w:t>hemoptýza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alebo pľúcna </w:t>
      </w:r>
      <w:proofErr w:type="spellStart"/>
      <w:r w:rsidRPr="00216603">
        <w:rPr>
          <w:rFonts w:ascii="Times New Roman" w:eastAsia="Times New Roman" w:hAnsi="Times New Roman" w:cs="Times New Roman"/>
        </w:rPr>
        <w:t>hemorágia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. Prípady pľúcnej </w:t>
      </w:r>
      <w:proofErr w:type="spellStart"/>
      <w:r w:rsidRPr="00216603">
        <w:rPr>
          <w:rFonts w:ascii="Times New Roman" w:eastAsia="Times New Roman" w:hAnsi="Times New Roman" w:cs="Times New Roman"/>
        </w:rPr>
        <w:t>hemorágie</w:t>
      </w:r>
      <w:proofErr w:type="spellEnd"/>
      <w:r w:rsidRPr="00216603">
        <w:rPr>
          <w:rFonts w:ascii="Times New Roman" w:eastAsia="Times New Roman" w:hAnsi="Times New Roman" w:cs="Times New Roman"/>
        </w:rPr>
        <w:t>, niektoré</w:t>
      </w:r>
    </w:p>
    <w:p w14:paraId="07912B52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so smrteľným koncom, sa pozorovali v klinických skúšaniach a boli hlásené aj u pacientov s MRCC,</w:t>
      </w:r>
    </w:p>
    <w:p w14:paraId="67378FF9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GIST a pľúcnym karcinómom liečených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po uvedení lieku na trh. Použitie </w:t>
      </w:r>
      <w:proofErr w:type="spellStart"/>
      <w:r w:rsidRPr="00216603">
        <w:rPr>
          <w:rFonts w:ascii="Times New Roman" w:eastAsia="Times New Roman" w:hAnsi="Times New Roman" w:cs="Times New Roman"/>
        </w:rPr>
        <w:t>sunitinibu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nie je</w:t>
      </w:r>
    </w:p>
    <w:p w14:paraId="599B4395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schválené u pacientov s pľúcnym karcinómom.</w:t>
      </w:r>
    </w:p>
    <w:p w14:paraId="347C9C32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8107AD" w14:textId="0D5AAA06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Pacientom, ktorí sú sú</w:t>
      </w:r>
      <w:r w:rsidR="00A44422">
        <w:rPr>
          <w:rFonts w:ascii="Times New Roman" w:eastAsia="Times New Roman" w:hAnsi="Times New Roman" w:cs="Times New Roman"/>
        </w:rPr>
        <w:t>bež</w:t>
      </w:r>
      <w:r w:rsidRPr="00216603">
        <w:rPr>
          <w:rFonts w:ascii="Times New Roman" w:eastAsia="Times New Roman" w:hAnsi="Times New Roman" w:cs="Times New Roman"/>
        </w:rPr>
        <w:t xml:space="preserve">ne liečení </w:t>
      </w:r>
      <w:proofErr w:type="spellStart"/>
      <w:r w:rsidRPr="00216603">
        <w:rPr>
          <w:rFonts w:ascii="Times New Roman" w:eastAsia="Times New Roman" w:hAnsi="Times New Roman" w:cs="Times New Roman"/>
        </w:rPr>
        <w:t>antikoagulanciami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(napr. </w:t>
      </w:r>
      <w:proofErr w:type="spellStart"/>
      <w:r w:rsidRPr="00216603">
        <w:rPr>
          <w:rFonts w:ascii="Times New Roman" w:eastAsia="Times New Roman" w:hAnsi="Times New Roman" w:cs="Times New Roman"/>
        </w:rPr>
        <w:t>warfarínom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16603">
        <w:rPr>
          <w:rFonts w:ascii="Times New Roman" w:eastAsia="Times New Roman" w:hAnsi="Times New Roman" w:cs="Times New Roman"/>
        </w:rPr>
        <w:t>acenokumarolom</w:t>
      </w:r>
      <w:proofErr w:type="spellEnd"/>
      <w:r w:rsidRPr="00216603">
        <w:rPr>
          <w:rFonts w:ascii="Times New Roman" w:eastAsia="Times New Roman" w:hAnsi="Times New Roman" w:cs="Times New Roman"/>
        </w:rPr>
        <w:t>), sa má</w:t>
      </w:r>
    </w:p>
    <w:p w14:paraId="101045B4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pravidelne kontrolovať krvný obraz (trombocyty), </w:t>
      </w:r>
      <w:proofErr w:type="spellStart"/>
      <w:r w:rsidRPr="00216603">
        <w:rPr>
          <w:rFonts w:ascii="Times New Roman" w:eastAsia="Times New Roman" w:hAnsi="Times New Roman" w:cs="Times New Roman"/>
        </w:rPr>
        <w:t>hemokoagulačné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faktory (PT/INR) a robiť</w:t>
      </w:r>
    </w:p>
    <w:p w14:paraId="5B4EB34D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fyzikálne vyšetrenie.</w:t>
      </w:r>
    </w:p>
    <w:p w14:paraId="7541718D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AE3398" w14:textId="77777777" w:rsidR="00355DF2" w:rsidRPr="00216603" w:rsidRDefault="00750ED9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  <w:u w:val="single" w:color="000000"/>
        </w:rPr>
        <w:t>Poruchy gastrointestinálneho traktu</w:t>
      </w:r>
    </w:p>
    <w:p w14:paraId="37FE3459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Najčastejšie hlásenými gastrointestinálnymi nežiaducimi účinkami boli hnačka, nevoľnosť/vracanie,</w:t>
      </w:r>
    </w:p>
    <w:p w14:paraId="2E2B03EA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bolesť brucha, </w:t>
      </w:r>
      <w:proofErr w:type="spellStart"/>
      <w:r w:rsidRPr="00216603">
        <w:rPr>
          <w:rFonts w:ascii="Times New Roman" w:eastAsia="Times New Roman" w:hAnsi="Times New Roman" w:cs="Times New Roman"/>
        </w:rPr>
        <w:t>dyspepsia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16603">
        <w:rPr>
          <w:rFonts w:ascii="Times New Roman" w:eastAsia="Times New Roman" w:hAnsi="Times New Roman" w:cs="Times New Roman"/>
        </w:rPr>
        <w:t>stomatitída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/bolesť v ústach; hlásené boli aj prípady </w:t>
      </w:r>
      <w:proofErr w:type="spellStart"/>
      <w:r w:rsidRPr="00216603">
        <w:rPr>
          <w:rFonts w:ascii="Times New Roman" w:eastAsia="Times New Roman" w:hAnsi="Times New Roman" w:cs="Times New Roman"/>
        </w:rPr>
        <w:t>ezofagitídy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(pozri časť</w:t>
      </w:r>
    </w:p>
    <w:p w14:paraId="4341E9B8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4.8).</w:t>
      </w:r>
    </w:p>
    <w:p w14:paraId="52B01D25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5B0475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Podporná starostlivosť pri gastrointestinálnych nežiaducich reakciách vyžadujúcich liečbu môže</w:t>
      </w:r>
    </w:p>
    <w:p w14:paraId="43C6EB8C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zahŕňať medikamentóznu liečbu </w:t>
      </w:r>
      <w:proofErr w:type="spellStart"/>
      <w:r w:rsidRPr="00216603">
        <w:rPr>
          <w:rFonts w:ascii="Times New Roman" w:eastAsia="Times New Roman" w:hAnsi="Times New Roman" w:cs="Times New Roman"/>
        </w:rPr>
        <w:t>antiemetikami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16603">
        <w:rPr>
          <w:rFonts w:ascii="Times New Roman" w:eastAsia="Times New Roman" w:hAnsi="Times New Roman" w:cs="Times New Roman"/>
        </w:rPr>
        <w:t>antidiaroikami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216603">
        <w:rPr>
          <w:rFonts w:ascii="Times New Roman" w:eastAsia="Times New Roman" w:hAnsi="Times New Roman" w:cs="Times New Roman"/>
        </w:rPr>
        <w:t>antacidami</w:t>
      </w:r>
      <w:proofErr w:type="spellEnd"/>
      <w:r w:rsidRPr="00216603">
        <w:rPr>
          <w:rFonts w:ascii="Times New Roman" w:eastAsia="Times New Roman" w:hAnsi="Times New Roman" w:cs="Times New Roman"/>
        </w:rPr>
        <w:t>.</w:t>
      </w:r>
    </w:p>
    <w:p w14:paraId="41473B0B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B0DF06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U pacientov s </w:t>
      </w:r>
      <w:proofErr w:type="spellStart"/>
      <w:r w:rsidRPr="00216603">
        <w:rPr>
          <w:rFonts w:ascii="Times New Roman" w:eastAsia="Times New Roman" w:hAnsi="Times New Roman" w:cs="Times New Roman"/>
        </w:rPr>
        <w:t>vnútrobrušnými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malígnymi nádormi, ktorí boli liečení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  <w:r w:rsidRPr="00216603">
        <w:rPr>
          <w:rFonts w:ascii="Times New Roman" w:eastAsia="Times New Roman" w:hAnsi="Times New Roman" w:cs="Times New Roman"/>
        </w:rPr>
        <w:t>, boli hlásené</w:t>
      </w:r>
    </w:p>
    <w:p w14:paraId="7068D4B3" w14:textId="77777777" w:rsidR="00355DF2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závažné, niekedy smrteľné gastrointestinálne komplikácie vrátane gastrointestinálnej perforácie.</w:t>
      </w:r>
    </w:p>
    <w:p w14:paraId="00B4C9F9" w14:textId="77777777" w:rsidR="00750ED9" w:rsidRPr="00216603" w:rsidRDefault="00750ED9" w:rsidP="00750E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B4FB26" w14:textId="77777777" w:rsidR="00355DF2" w:rsidRPr="00216603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  <w:u w:val="single" w:color="000000"/>
        </w:rPr>
        <w:t>Hyperten</w:t>
      </w:r>
      <w:r w:rsidR="00750ED9" w:rsidRPr="00216603">
        <w:rPr>
          <w:rFonts w:ascii="Times New Roman" w:eastAsia="Times New Roman" w:hAnsi="Times New Roman" w:cs="Times New Roman"/>
          <w:u w:val="single" w:color="000000"/>
        </w:rPr>
        <w:t>zia</w:t>
      </w:r>
    </w:p>
    <w:p w14:paraId="6413A24B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V súvislosti so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bola hlásená hypertenzia, vrátane závažnej hypertenzie (systolický tlak</w:t>
      </w:r>
    </w:p>
    <w:p w14:paraId="6045F325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&gt; 200 </w:t>
      </w:r>
      <w:proofErr w:type="spellStart"/>
      <w:r w:rsidRPr="00216603">
        <w:rPr>
          <w:rFonts w:ascii="Times New Roman" w:eastAsia="Times New Roman" w:hAnsi="Times New Roman" w:cs="Times New Roman"/>
        </w:rPr>
        <w:t>mmHg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alebo diastolický tlak &gt;110 </w:t>
      </w:r>
      <w:proofErr w:type="spellStart"/>
      <w:r w:rsidRPr="00216603">
        <w:rPr>
          <w:rFonts w:ascii="Times New Roman" w:eastAsia="Times New Roman" w:hAnsi="Times New Roman" w:cs="Times New Roman"/>
        </w:rPr>
        <w:t>mmHg</w:t>
      </w:r>
      <w:proofErr w:type="spellEnd"/>
      <w:r w:rsidRPr="00216603">
        <w:rPr>
          <w:rFonts w:ascii="Times New Roman" w:eastAsia="Times New Roman" w:hAnsi="Times New Roman" w:cs="Times New Roman"/>
        </w:rPr>
        <w:t>). Pacienti majú byť preventívne vyšetrení</w:t>
      </w:r>
    </w:p>
    <w:p w14:paraId="768DB724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na hypertenziu a v prípade potreby primerane liečení.</w:t>
      </w:r>
    </w:p>
    <w:p w14:paraId="35B7E514" w14:textId="77777777" w:rsidR="00355DF2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Pacientom so závažnou a nedostatočne medikamentózne kontrolovanou hypertenziou sa odporúča dočasné prerušenie liečby. V liečbe je možné pokračovať, akonáhle je hypertenzia primerane kontrolovaná (pozri časť 4.8).</w:t>
      </w:r>
    </w:p>
    <w:p w14:paraId="6ADBF3A0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1E2648" w14:textId="77777777" w:rsidR="00355DF2" w:rsidRPr="00216603" w:rsidRDefault="0021660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  <w:u w:val="single" w:color="000000"/>
        </w:rPr>
        <w:t>Hematologické poruchy</w:t>
      </w:r>
    </w:p>
    <w:p w14:paraId="06AF5407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V súvislosti so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bol hlásený pokles absolútneho počtu </w:t>
      </w:r>
      <w:proofErr w:type="spellStart"/>
      <w:r w:rsidRPr="00216603">
        <w:rPr>
          <w:rFonts w:ascii="Times New Roman" w:eastAsia="Times New Roman" w:hAnsi="Times New Roman" w:cs="Times New Roman"/>
        </w:rPr>
        <w:t>neutrofilov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a pokles počtu</w:t>
      </w:r>
    </w:p>
    <w:p w14:paraId="0F37490B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trombocytov (pozri časť 4.8). Vyššie uvedené účinky neboli kumulatívne, zvyčajne boli reverzibilné</w:t>
      </w:r>
    </w:p>
    <w:p w14:paraId="56F9DCD3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a vo všeobecnosti neviedli k prerušeniu liečby. Žiadna z týchto príhod v štúdiách fázy 3 nebola</w:t>
      </w:r>
    </w:p>
    <w:p w14:paraId="4A995C79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smrteľná, avšak zriedkavé smrteľné hematologické príhody, vrátane </w:t>
      </w:r>
      <w:proofErr w:type="spellStart"/>
      <w:r w:rsidRPr="00216603">
        <w:rPr>
          <w:rFonts w:ascii="Times New Roman" w:eastAsia="Times New Roman" w:hAnsi="Times New Roman" w:cs="Times New Roman"/>
        </w:rPr>
        <w:t>hemorágie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spojenej</w:t>
      </w:r>
    </w:p>
    <w:p w14:paraId="787D7548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s </w:t>
      </w:r>
      <w:proofErr w:type="spellStart"/>
      <w:r w:rsidRPr="00216603">
        <w:rPr>
          <w:rFonts w:ascii="Times New Roman" w:eastAsia="Times New Roman" w:hAnsi="Times New Roman" w:cs="Times New Roman"/>
        </w:rPr>
        <w:t>trombocytopéniou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16603">
        <w:rPr>
          <w:rFonts w:ascii="Times New Roman" w:eastAsia="Times New Roman" w:hAnsi="Times New Roman" w:cs="Times New Roman"/>
        </w:rPr>
        <w:t>neutropenickými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infekciami, boli hlásené počas sledovania po uvedení lieku</w:t>
      </w:r>
    </w:p>
    <w:p w14:paraId="00093782" w14:textId="77777777" w:rsidR="00355DF2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na trh.</w:t>
      </w:r>
    </w:p>
    <w:p w14:paraId="7CA31C83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89C6D4" w14:textId="77777777" w:rsidR="00355DF2" w:rsidRPr="00216603" w:rsidRDefault="0021660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Počas liečby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bol pozorovaný včasný, ale aj neskorý výskyt anémie.</w:t>
      </w:r>
    </w:p>
    <w:p w14:paraId="789D703B" w14:textId="77777777" w:rsidR="00216603" w:rsidRPr="00216603" w:rsidRDefault="0021660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E770A2" w14:textId="77777777" w:rsidR="00216603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 xml:space="preserve">Na začiatku každého liečebného cyklu </w:t>
      </w:r>
      <w:proofErr w:type="spellStart"/>
      <w:r w:rsidRPr="00216603">
        <w:rPr>
          <w:rFonts w:ascii="Times New Roman" w:eastAsia="Times New Roman" w:hAnsi="Times New Roman" w:cs="Times New Roman"/>
        </w:rPr>
        <w:t>sunitinibom</w:t>
      </w:r>
      <w:proofErr w:type="spellEnd"/>
      <w:r w:rsidRPr="00216603">
        <w:rPr>
          <w:rFonts w:ascii="Times New Roman" w:eastAsia="Times New Roman" w:hAnsi="Times New Roman" w:cs="Times New Roman"/>
        </w:rPr>
        <w:t xml:space="preserve"> sa musí pacientom vyšetriť celkový krvný obraz</w:t>
      </w:r>
    </w:p>
    <w:p w14:paraId="2BD8D197" w14:textId="77777777" w:rsidR="00355DF2" w:rsidRPr="00216603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603">
        <w:rPr>
          <w:rFonts w:ascii="Times New Roman" w:eastAsia="Times New Roman" w:hAnsi="Times New Roman" w:cs="Times New Roman"/>
        </w:rPr>
        <w:t>(pozri časť 4.8).</w:t>
      </w:r>
    </w:p>
    <w:p w14:paraId="37ED666C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7F0B89" w14:textId="77777777" w:rsidR="00355DF2" w:rsidRPr="00FE3E1D" w:rsidRDefault="0021660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  <w:u w:val="single" w:color="000000"/>
        </w:rPr>
        <w:t>Poruchy srdca</w:t>
      </w:r>
    </w:p>
    <w:p w14:paraId="09EA597E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lastRenderedPageBreak/>
        <w:t xml:space="preserve">Kardiovaskulárne príhody, vrátane zlyhania srdca, </w:t>
      </w:r>
      <w:proofErr w:type="spellStart"/>
      <w:r w:rsidRPr="00FE3E1D">
        <w:rPr>
          <w:rFonts w:ascii="Times New Roman" w:eastAsia="Times New Roman" w:hAnsi="Times New Roman" w:cs="Times New Roman"/>
        </w:rPr>
        <w:t>kardiomyopatie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, zníženia </w:t>
      </w:r>
      <w:proofErr w:type="spellStart"/>
      <w:r w:rsidRPr="00FE3E1D">
        <w:rPr>
          <w:rFonts w:ascii="Times New Roman" w:eastAsia="Times New Roman" w:hAnsi="Times New Roman" w:cs="Times New Roman"/>
        </w:rPr>
        <w:t>ejekčnej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frakcie ľavej</w:t>
      </w:r>
    </w:p>
    <w:p w14:paraId="7E77FEA0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komory pod dolnú hranicu normy, </w:t>
      </w:r>
      <w:proofErr w:type="spellStart"/>
      <w:r w:rsidRPr="00FE3E1D">
        <w:rPr>
          <w:rFonts w:ascii="Times New Roman" w:eastAsia="Times New Roman" w:hAnsi="Times New Roman" w:cs="Times New Roman"/>
        </w:rPr>
        <w:t>myokarditídy</w:t>
      </w:r>
      <w:proofErr w:type="spellEnd"/>
      <w:r w:rsidRPr="00FE3E1D">
        <w:rPr>
          <w:rFonts w:ascii="Times New Roman" w:eastAsia="Times New Roman" w:hAnsi="Times New Roman" w:cs="Times New Roman"/>
        </w:rPr>
        <w:t>, ischémie myokardu a infarktu myokardu, z ktorých</w:t>
      </w:r>
    </w:p>
    <w:p w14:paraId="5C7047BE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niektoré boli smrteľné, boli hlásené u pacientov liečených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>. Tieto údaje naznačujú, že</w:t>
      </w:r>
    </w:p>
    <w:p w14:paraId="5A7D3B88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sunitinib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zvyšuje riziko </w:t>
      </w:r>
      <w:proofErr w:type="spellStart"/>
      <w:r w:rsidRPr="00FE3E1D">
        <w:rPr>
          <w:rFonts w:ascii="Times New Roman" w:eastAsia="Times New Roman" w:hAnsi="Times New Roman" w:cs="Times New Roman"/>
        </w:rPr>
        <w:t>kardiomyopatie</w:t>
      </w:r>
      <w:proofErr w:type="spellEnd"/>
      <w:r w:rsidRPr="00FE3E1D">
        <w:rPr>
          <w:rFonts w:ascii="Times New Roman" w:eastAsia="Times New Roman" w:hAnsi="Times New Roman" w:cs="Times New Roman"/>
        </w:rPr>
        <w:t>. U liečených pacientov neboli okrem účinku špecifického</w:t>
      </w:r>
    </w:p>
    <w:p w14:paraId="1161C5BF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pre liek identifikované žiadne špecifické dodatočné rizikové faktory pre </w:t>
      </w:r>
      <w:proofErr w:type="spellStart"/>
      <w:r w:rsidRPr="00FE3E1D">
        <w:rPr>
          <w:rFonts w:ascii="Times New Roman" w:eastAsia="Times New Roman" w:hAnsi="Times New Roman" w:cs="Times New Roman"/>
        </w:rPr>
        <w:t>kardiomyopatiu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indukovanú</w:t>
      </w:r>
    </w:p>
    <w:p w14:paraId="6EEBF518" w14:textId="77777777" w:rsidR="00216603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FE3E1D">
        <w:rPr>
          <w:rFonts w:ascii="Times New Roman" w:eastAsia="Times New Roman" w:hAnsi="Times New Roman" w:cs="Times New Roman"/>
        </w:rPr>
        <w:t>Sunitinib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používajte s opatrnosťou u pacientov, u ktorých sa vyskytuje riziko týchto</w:t>
      </w:r>
    </w:p>
    <w:p w14:paraId="6D268936" w14:textId="77777777" w:rsidR="00355DF2" w:rsidRPr="00FE3E1D" w:rsidRDefault="00216603" w:rsidP="00216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udalostí alebo ktorí majú tieto udalosti v anamnéze (pozri časť 4.8).</w:t>
      </w:r>
    </w:p>
    <w:p w14:paraId="7A6AC13E" w14:textId="77777777" w:rsidR="00355DF2" w:rsidRPr="00FE3E1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8465A0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Zo všetkých klinických štúdií so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boli vylúčení pacienti s prítomnosťou závažnej srdcovej</w:t>
      </w:r>
    </w:p>
    <w:p w14:paraId="2E3B9FF1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príhody do 12 mesiacov pred podaním </w:t>
      </w:r>
      <w:proofErr w:type="spellStart"/>
      <w:r w:rsidRPr="00FE3E1D">
        <w:rPr>
          <w:rFonts w:ascii="Times New Roman" w:eastAsia="Times New Roman" w:hAnsi="Times New Roman" w:cs="Times New Roman"/>
        </w:rPr>
        <w:t>sunitinibu</w:t>
      </w:r>
      <w:proofErr w:type="spellEnd"/>
      <w:r w:rsidRPr="00FE3E1D">
        <w:rPr>
          <w:rFonts w:ascii="Times New Roman" w:eastAsia="Times New Roman" w:hAnsi="Times New Roman" w:cs="Times New Roman"/>
        </w:rPr>
        <w:t>, ako je infarkt myokardu (vrátane ťažkej/nestabilnej</w:t>
      </w:r>
    </w:p>
    <w:p w14:paraId="40739AEC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angíny), koronárny/periférny arteriálny </w:t>
      </w:r>
      <w:proofErr w:type="spellStart"/>
      <w:r w:rsidRPr="00FE3E1D">
        <w:rPr>
          <w:rFonts w:ascii="Times New Roman" w:eastAsia="Times New Roman" w:hAnsi="Times New Roman" w:cs="Times New Roman"/>
        </w:rPr>
        <w:t>bypass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, symptomatické </w:t>
      </w:r>
      <w:proofErr w:type="spellStart"/>
      <w:r w:rsidRPr="00FE3E1D">
        <w:rPr>
          <w:rFonts w:ascii="Times New Roman" w:eastAsia="Times New Roman" w:hAnsi="Times New Roman" w:cs="Times New Roman"/>
        </w:rPr>
        <w:t>kongestívne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zlyhávanie srdca</w:t>
      </w:r>
    </w:p>
    <w:p w14:paraId="2E0B1651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(</w:t>
      </w:r>
      <w:proofErr w:type="spellStart"/>
      <w:r w:rsidRPr="00FE3E1D">
        <w:rPr>
          <w:rFonts w:ascii="Times New Roman" w:eastAsia="Times New Roman" w:hAnsi="Times New Roman" w:cs="Times New Roman"/>
        </w:rPr>
        <w:t>congestive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3E1D">
        <w:rPr>
          <w:rFonts w:ascii="Times New Roman" w:eastAsia="Times New Roman" w:hAnsi="Times New Roman" w:cs="Times New Roman"/>
        </w:rPr>
        <w:t>heart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3E1D">
        <w:rPr>
          <w:rFonts w:ascii="Times New Roman" w:eastAsia="Times New Roman" w:hAnsi="Times New Roman" w:cs="Times New Roman"/>
        </w:rPr>
        <w:t>failure,CHF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), cievna mozgová príhoda alebo </w:t>
      </w:r>
      <w:proofErr w:type="spellStart"/>
      <w:r w:rsidRPr="00FE3E1D">
        <w:rPr>
          <w:rFonts w:ascii="Times New Roman" w:eastAsia="Times New Roman" w:hAnsi="Times New Roman" w:cs="Times New Roman"/>
        </w:rPr>
        <w:t>tranzitórny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ischemický atak či pľúcna</w:t>
      </w:r>
    </w:p>
    <w:p w14:paraId="7A63FF4F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embólia. Nie je známe, či pacienti s týmito </w:t>
      </w:r>
      <w:proofErr w:type="spellStart"/>
      <w:r w:rsidRPr="00FE3E1D">
        <w:rPr>
          <w:rFonts w:ascii="Times New Roman" w:eastAsia="Times New Roman" w:hAnsi="Times New Roman" w:cs="Times New Roman"/>
        </w:rPr>
        <w:t>konkomitantnými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stavmi môžu mať zvýšené riziko rozvoja</w:t>
      </w:r>
    </w:p>
    <w:p w14:paraId="69466A64" w14:textId="77777777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dysfunkcie ľavej komory súvisiacej so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>.</w:t>
      </w:r>
    </w:p>
    <w:p w14:paraId="4D6C5F5C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932EE0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Odporúča sa, aby lekár zvážil toto riziko v porovnaní s možným prínosom liečby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>.</w:t>
      </w:r>
    </w:p>
    <w:p w14:paraId="167A3B24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U pacientov sa majú počas podávania </w:t>
      </w:r>
      <w:proofErr w:type="spellStart"/>
      <w:r w:rsidRPr="00FE3E1D">
        <w:rPr>
          <w:rFonts w:ascii="Times New Roman" w:eastAsia="Times New Roman" w:hAnsi="Times New Roman" w:cs="Times New Roman"/>
        </w:rPr>
        <w:t>sunitinibu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starostlivo monitorovať klinické prejavy a príznaky</w:t>
      </w:r>
    </w:p>
    <w:p w14:paraId="6A3B9FE7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CHF, zvlášť u pacientov s kardiologickými rizikovými faktormi a/alebo ochoreniami koronárnych</w:t>
      </w:r>
    </w:p>
    <w:p w14:paraId="0C725A3B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artérií v anamnéze. Na začiatku liečby a potom v pravidelných intervaloch počas liečby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sa</w:t>
      </w:r>
    </w:p>
    <w:p w14:paraId="19FC3FD6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má zvážiť vyšetrenie LVEF. U pacientov bez rizikových kardiálnych faktorov sa má zvážiť vyšetrenie</w:t>
      </w:r>
    </w:p>
    <w:p w14:paraId="7D29A345" w14:textId="77777777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ejekčnej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frakcie pred začiatkom liečby.</w:t>
      </w:r>
    </w:p>
    <w:p w14:paraId="4169868D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5BAC10" w14:textId="4A8E19D4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Ak sú prítomné klinické prejavy </w:t>
      </w:r>
      <w:proofErr w:type="spellStart"/>
      <w:r w:rsidR="00A44422" w:rsidRPr="00A9610C">
        <w:rPr>
          <w:rFonts w:ascii="Times New Roman" w:eastAsia="TimesNewRoman" w:hAnsi="Times New Roman" w:cs="Times New Roman"/>
        </w:rPr>
        <w:t>kongestívneho</w:t>
      </w:r>
      <w:proofErr w:type="spellEnd"/>
      <w:r w:rsidR="00A44422" w:rsidRPr="00A9610C">
        <w:rPr>
          <w:rFonts w:ascii="Times New Roman" w:eastAsia="TimesNewRoman" w:hAnsi="Times New Roman" w:cs="Times New Roman"/>
        </w:rPr>
        <w:t xml:space="preserve"> zlyhávania srdca,</w:t>
      </w:r>
      <w:r w:rsidR="00A44422" w:rsidRPr="00FE3E1D">
        <w:rPr>
          <w:rFonts w:ascii="Times New Roman" w:eastAsia="Times New Roman" w:hAnsi="Times New Roman" w:cs="Times New Roman"/>
        </w:rPr>
        <w:t xml:space="preserve"> </w:t>
      </w:r>
      <w:r w:rsidRPr="00FE3E1D">
        <w:rPr>
          <w:rFonts w:ascii="Times New Roman" w:eastAsia="Times New Roman" w:hAnsi="Times New Roman" w:cs="Times New Roman"/>
        </w:rPr>
        <w:t xml:space="preserve">CHF, odporúča sa liečbu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ukončiť. Pacientom bez klinických prejavov CHF, avšak s </w:t>
      </w:r>
      <w:proofErr w:type="spellStart"/>
      <w:r w:rsidRPr="00FE3E1D">
        <w:rPr>
          <w:rFonts w:ascii="Times New Roman" w:eastAsia="Times New Roman" w:hAnsi="Times New Roman" w:cs="Times New Roman"/>
        </w:rPr>
        <w:t>ejekčnou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frakciou &lt; 50 % a &gt; 20 % poklesom oproti východiskovej hodnote, sa musí podávanie </w:t>
      </w:r>
      <w:proofErr w:type="spellStart"/>
      <w:r w:rsidRPr="00FE3E1D">
        <w:rPr>
          <w:rFonts w:ascii="Times New Roman" w:eastAsia="Times New Roman" w:hAnsi="Times New Roman" w:cs="Times New Roman"/>
        </w:rPr>
        <w:t>sunitinibu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prerušiť a/alebo znížiť dávka.</w:t>
      </w:r>
    </w:p>
    <w:p w14:paraId="3FE49750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8DA610" w14:textId="77777777" w:rsidR="00355DF2" w:rsidRPr="00FE3E1D" w:rsidRDefault="00406207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  <w:u w:val="single" w:color="000000"/>
        </w:rPr>
        <w:t>Predĺženie QT-intervalu</w:t>
      </w:r>
    </w:p>
    <w:p w14:paraId="38289106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FE3E1D">
        <w:rPr>
          <w:rFonts w:ascii="Times New Roman" w:eastAsia="TimesNewRomanPSMT" w:hAnsi="Times New Roman" w:cs="Times New Roman"/>
          <w:lang w:eastAsia="el-GR"/>
        </w:rPr>
        <w:t xml:space="preserve">U pacientov vystavených </w:t>
      </w:r>
      <w:proofErr w:type="spellStart"/>
      <w:r w:rsidRPr="00FE3E1D">
        <w:rPr>
          <w:rFonts w:ascii="Times New Roman" w:eastAsia="TimesNewRomanPSMT" w:hAnsi="Times New Roman" w:cs="Times New Roman"/>
          <w:lang w:eastAsia="el-GR"/>
        </w:rPr>
        <w:t>sunitinibu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 xml:space="preserve"> sa pozorovalo predĺženie QT-intervalu a </w:t>
      </w:r>
      <w:proofErr w:type="spellStart"/>
      <w:r w:rsidRPr="00FE3E1D">
        <w:rPr>
          <w:rFonts w:ascii="Times New Roman" w:eastAsia="TimesNewRomanPSMT" w:hAnsi="Times New Roman" w:cs="Times New Roman"/>
          <w:i/>
          <w:lang w:eastAsia="el-GR"/>
        </w:rPr>
        <w:t>torsade</w:t>
      </w:r>
      <w:proofErr w:type="spellEnd"/>
      <w:r w:rsidRPr="00FE3E1D">
        <w:rPr>
          <w:rFonts w:ascii="Times New Roman" w:eastAsia="TimesNewRomanPSMT" w:hAnsi="Times New Roman" w:cs="Times New Roman"/>
          <w:i/>
          <w:lang w:eastAsia="el-GR"/>
        </w:rPr>
        <w:t xml:space="preserve"> de </w:t>
      </w:r>
      <w:proofErr w:type="spellStart"/>
      <w:r w:rsidRPr="00FE3E1D">
        <w:rPr>
          <w:rFonts w:ascii="Times New Roman" w:eastAsia="TimesNewRomanPSMT" w:hAnsi="Times New Roman" w:cs="Times New Roman"/>
          <w:i/>
          <w:lang w:eastAsia="el-GR"/>
        </w:rPr>
        <w:t>pointes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>.</w:t>
      </w:r>
    </w:p>
    <w:p w14:paraId="07506B86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i/>
          <w:lang w:eastAsia="el-GR"/>
        </w:rPr>
      </w:pPr>
      <w:r w:rsidRPr="00FE3E1D">
        <w:rPr>
          <w:rFonts w:ascii="Times New Roman" w:eastAsia="TimesNewRomanPSMT" w:hAnsi="Times New Roman" w:cs="Times New Roman"/>
          <w:lang w:eastAsia="el-GR"/>
        </w:rPr>
        <w:t xml:space="preserve">Predĺženie QT intervalu môže viesť k zvýšenému riziku </w:t>
      </w:r>
      <w:proofErr w:type="spellStart"/>
      <w:r w:rsidRPr="00FE3E1D">
        <w:rPr>
          <w:rFonts w:ascii="Times New Roman" w:eastAsia="TimesNewRomanPSMT" w:hAnsi="Times New Roman" w:cs="Times New Roman"/>
          <w:lang w:eastAsia="el-GR"/>
        </w:rPr>
        <w:t>ventrikulárnej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 xml:space="preserve"> arytmie vrátane </w:t>
      </w:r>
      <w:proofErr w:type="spellStart"/>
      <w:r w:rsidRPr="00FE3E1D">
        <w:rPr>
          <w:rFonts w:ascii="Times New Roman" w:eastAsia="TimesNewRomanPSMT" w:hAnsi="Times New Roman" w:cs="Times New Roman"/>
          <w:i/>
          <w:lang w:eastAsia="el-GR"/>
        </w:rPr>
        <w:t>torsade</w:t>
      </w:r>
      <w:proofErr w:type="spellEnd"/>
      <w:r w:rsidRPr="00FE3E1D">
        <w:rPr>
          <w:rFonts w:ascii="Times New Roman" w:eastAsia="TimesNewRomanPSMT" w:hAnsi="Times New Roman" w:cs="Times New Roman"/>
          <w:i/>
          <w:lang w:eastAsia="el-GR"/>
        </w:rPr>
        <w:t xml:space="preserve"> de</w:t>
      </w:r>
    </w:p>
    <w:p w14:paraId="3339AD13" w14:textId="77777777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FE3E1D">
        <w:rPr>
          <w:rFonts w:ascii="Times New Roman" w:eastAsia="TimesNewRomanPSMT" w:hAnsi="Times New Roman" w:cs="Times New Roman"/>
          <w:i/>
          <w:lang w:eastAsia="el-GR"/>
        </w:rPr>
        <w:t>pointes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>.</w:t>
      </w:r>
    </w:p>
    <w:p w14:paraId="46B190FC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1400A5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Sunitinib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sa má s opatrnosťou používať u pacientov so známou anamnézou predĺženia QT-intervalu,</w:t>
      </w:r>
    </w:p>
    <w:p w14:paraId="0B697F67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u pacientov, ktorí užívajú </w:t>
      </w:r>
      <w:proofErr w:type="spellStart"/>
      <w:r w:rsidRPr="00FE3E1D">
        <w:rPr>
          <w:rFonts w:ascii="Times New Roman" w:eastAsia="Times New Roman" w:hAnsi="Times New Roman" w:cs="Times New Roman"/>
        </w:rPr>
        <w:t>antiarytmiká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alebo lieky, ktoré môžu predlžovať QT-interval alebo</w:t>
      </w:r>
    </w:p>
    <w:p w14:paraId="69495481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u pacientov s už existujúcim závažným ochorením srdca, bradykardiou alebo s poruchou</w:t>
      </w:r>
    </w:p>
    <w:p w14:paraId="3D3BBAA5" w14:textId="6A3960F9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elektrolytovej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rovnováhy. Sú</w:t>
      </w:r>
      <w:r w:rsidR="007A1438">
        <w:rPr>
          <w:rFonts w:ascii="Times New Roman" w:eastAsia="Times New Roman" w:hAnsi="Times New Roman" w:cs="Times New Roman"/>
        </w:rPr>
        <w:t>bež</w:t>
      </w:r>
      <w:r w:rsidRPr="00FE3E1D">
        <w:rPr>
          <w:rFonts w:ascii="Times New Roman" w:eastAsia="Times New Roman" w:hAnsi="Times New Roman" w:cs="Times New Roman"/>
        </w:rPr>
        <w:t>né podávanie so silnými inhibítormi CYP3A4 sa musí obmedziť kvôli</w:t>
      </w:r>
    </w:p>
    <w:p w14:paraId="3774275B" w14:textId="77777777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možnému zvýšeniu koncentrácie </w:t>
      </w:r>
      <w:proofErr w:type="spellStart"/>
      <w:r w:rsidRPr="00FE3E1D">
        <w:rPr>
          <w:rFonts w:ascii="Times New Roman" w:eastAsia="Times New Roman" w:hAnsi="Times New Roman" w:cs="Times New Roman"/>
        </w:rPr>
        <w:t>sunitinibu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v plazme (pozri časti 4.2, 4.5 a 4.8).</w:t>
      </w:r>
    </w:p>
    <w:p w14:paraId="7E16989C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E98E9C" w14:textId="77777777" w:rsidR="00355DF2" w:rsidRPr="00FE3E1D" w:rsidRDefault="00406207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  <w:u w:val="single" w:color="000000"/>
        </w:rPr>
        <w:t>Venózne</w:t>
      </w:r>
      <w:proofErr w:type="spellEnd"/>
      <w:r w:rsidRPr="00FE3E1D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FE3E1D">
        <w:rPr>
          <w:rFonts w:ascii="Times New Roman" w:eastAsia="Times New Roman" w:hAnsi="Times New Roman" w:cs="Times New Roman"/>
          <w:u w:val="single" w:color="000000"/>
        </w:rPr>
        <w:t>trombembolické</w:t>
      </w:r>
      <w:proofErr w:type="spellEnd"/>
      <w:r w:rsidRPr="00FE3E1D">
        <w:rPr>
          <w:rFonts w:ascii="Times New Roman" w:eastAsia="Times New Roman" w:hAnsi="Times New Roman" w:cs="Times New Roman"/>
          <w:u w:val="single" w:color="000000"/>
        </w:rPr>
        <w:t xml:space="preserve"> príhody</w:t>
      </w:r>
    </w:p>
    <w:p w14:paraId="7210CCE9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FE3E1D">
        <w:rPr>
          <w:rFonts w:ascii="Times New Roman" w:eastAsia="TimesNewRomanPSMT" w:hAnsi="Times New Roman" w:cs="Times New Roman"/>
          <w:lang w:eastAsia="el-GR"/>
        </w:rPr>
        <w:t xml:space="preserve">U pacientov, ktorí dostávali </w:t>
      </w:r>
      <w:proofErr w:type="spellStart"/>
      <w:r w:rsidRPr="00FE3E1D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 xml:space="preserve">, boli hlásené </w:t>
      </w:r>
      <w:proofErr w:type="spellStart"/>
      <w:r w:rsidRPr="00FE3E1D">
        <w:rPr>
          <w:rFonts w:ascii="Times New Roman" w:eastAsia="TimesNewRomanPSMT" w:hAnsi="Times New Roman" w:cs="Times New Roman"/>
          <w:lang w:eastAsia="el-GR"/>
        </w:rPr>
        <w:t>venózne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FE3E1D">
        <w:rPr>
          <w:rFonts w:ascii="Times New Roman" w:eastAsia="TimesNewRomanPSMT" w:hAnsi="Times New Roman" w:cs="Times New Roman"/>
          <w:lang w:eastAsia="el-GR"/>
        </w:rPr>
        <w:t>trombembolické</w:t>
      </w:r>
      <w:proofErr w:type="spellEnd"/>
      <w:r w:rsidRPr="00FE3E1D">
        <w:rPr>
          <w:rFonts w:ascii="Times New Roman" w:eastAsia="TimesNewRomanPSMT" w:hAnsi="Times New Roman" w:cs="Times New Roman"/>
          <w:lang w:eastAsia="el-GR"/>
        </w:rPr>
        <w:t xml:space="preserve"> príhody, ktoré súviseli</w:t>
      </w:r>
    </w:p>
    <w:p w14:paraId="09920979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FE3E1D">
        <w:rPr>
          <w:rFonts w:ascii="Times New Roman" w:eastAsia="TimesNewRomanPSMT" w:hAnsi="Times New Roman" w:cs="Times New Roman"/>
          <w:lang w:eastAsia="el-GR"/>
        </w:rPr>
        <w:t>s liečbou – vrátane hlbokej žilovej trombózy a pľúcnej embólie (pozri časť 4.8). V rámci dohľadu</w:t>
      </w:r>
    </w:p>
    <w:p w14:paraId="42822021" w14:textId="77777777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FE3E1D">
        <w:rPr>
          <w:rFonts w:ascii="Times New Roman" w:eastAsia="TimesNewRomanPSMT" w:hAnsi="Times New Roman" w:cs="Times New Roman"/>
          <w:lang w:eastAsia="el-GR"/>
        </w:rPr>
        <w:t>po uvedení lieku na trh boli hlásené prípady pľúcnej embólie so smrteľným následkom.</w:t>
      </w:r>
    </w:p>
    <w:p w14:paraId="15175C2C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37B0B8" w14:textId="77777777" w:rsidR="00355DF2" w:rsidRPr="00FE3E1D" w:rsidRDefault="00406207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  <w:u w:val="single" w:color="000000"/>
        </w:rPr>
        <w:t xml:space="preserve">Artériové </w:t>
      </w:r>
      <w:proofErr w:type="spellStart"/>
      <w:r w:rsidRPr="00FE3E1D">
        <w:rPr>
          <w:rFonts w:ascii="Times New Roman" w:eastAsia="Times New Roman" w:hAnsi="Times New Roman" w:cs="Times New Roman"/>
          <w:u w:val="single" w:color="000000"/>
        </w:rPr>
        <w:t>trombembolické</w:t>
      </w:r>
      <w:proofErr w:type="spellEnd"/>
      <w:r w:rsidRPr="00FE3E1D">
        <w:rPr>
          <w:rFonts w:ascii="Times New Roman" w:eastAsia="Times New Roman" w:hAnsi="Times New Roman" w:cs="Times New Roman"/>
          <w:u w:val="single" w:color="000000"/>
        </w:rPr>
        <w:t xml:space="preserve"> príhody</w:t>
      </w:r>
    </w:p>
    <w:p w14:paraId="3F83472E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U pacientov liečených </w:t>
      </w:r>
      <w:proofErr w:type="spellStart"/>
      <w:r w:rsidRPr="00FE3E1D">
        <w:rPr>
          <w:rFonts w:ascii="Times New Roman" w:eastAsia="Times New Roman" w:hAnsi="Times New Roman" w:cs="Times New Roman"/>
        </w:rPr>
        <w:t>sunitinibom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boli hlásené artériové </w:t>
      </w:r>
      <w:proofErr w:type="spellStart"/>
      <w:r w:rsidRPr="00FE3E1D">
        <w:rPr>
          <w:rFonts w:ascii="Times New Roman" w:eastAsia="Times New Roman" w:hAnsi="Times New Roman" w:cs="Times New Roman"/>
        </w:rPr>
        <w:t>trombembolické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príhody (ATP),</w:t>
      </w:r>
    </w:p>
    <w:p w14:paraId="2A4E7C5D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v niektorých prípadoch smrteľné. Najčastejšie príhody zahŕňali </w:t>
      </w:r>
      <w:proofErr w:type="spellStart"/>
      <w:r w:rsidRPr="00FE3E1D">
        <w:rPr>
          <w:rFonts w:ascii="Times New Roman" w:eastAsia="Times New Roman" w:hAnsi="Times New Roman" w:cs="Times New Roman"/>
        </w:rPr>
        <w:t>cerebrovaskulárnu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príhodu, </w:t>
      </w:r>
      <w:proofErr w:type="spellStart"/>
      <w:r w:rsidRPr="00FE3E1D">
        <w:rPr>
          <w:rFonts w:ascii="Times New Roman" w:eastAsia="Times New Roman" w:hAnsi="Times New Roman" w:cs="Times New Roman"/>
        </w:rPr>
        <w:t>tranzitórny</w:t>
      </w:r>
      <w:proofErr w:type="spellEnd"/>
    </w:p>
    <w:p w14:paraId="2005CEA8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ischemický atak a mozgový infarkt. Rizikové faktory spojené s ATP, okrem základného malígneho</w:t>
      </w:r>
    </w:p>
    <w:p w14:paraId="19D5D8D4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ochorenia a veku </w:t>
      </w:r>
      <w:r w:rsidR="00FE3E1D" w:rsidRPr="00FE3E1D">
        <w:rPr>
          <w:rFonts w:ascii="Times New Roman" w:eastAsia="Times New Roman" w:hAnsi="Times New Roman" w:cs="Times New Roman"/>
        </w:rPr>
        <w:t>≥</w:t>
      </w:r>
      <w:r w:rsidRPr="00FE3E1D">
        <w:rPr>
          <w:rFonts w:ascii="Times New Roman" w:eastAsia="Times New Roman" w:hAnsi="Times New Roman" w:cs="Times New Roman"/>
        </w:rPr>
        <w:t xml:space="preserve"> 65 rokov, zahŕňali hypertenziu, diabetes mellitus a predchádzajúce</w:t>
      </w:r>
    </w:p>
    <w:p w14:paraId="3BEBEFAB" w14:textId="77777777" w:rsidR="00355DF2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trombembolické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ochorenie.</w:t>
      </w:r>
    </w:p>
    <w:p w14:paraId="655644DE" w14:textId="77777777" w:rsidR="00406207" w:rsidRPr="00FE3E1D" w:rsidRDefault="00406207" w:rsidP="004062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9CD902" w14:textId="77777777" w:rsidR="00355DF2" w:rsidRPr="00FE3E1D" w:rsidRDefault="00FE3E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FE3E1D">
        <w:rPr>
          <w:rFonts w:ascii="Times New Roman" w:eastAsia="Times New Roman" w:hAnsi="Times New Roman" w:cs="Times New Roman"/>
          <w:u w:val="single"/>
        </w:rPr>
        <w:t xml:space="preserve">Aneuryzmy a arteriálne </w:t>
      </w:r>
      <w:proofErr w:type="spellStart"/>
      <w:r w:rsidRPr="00FE3E1D">
        <w:rPr>
          <w:rFonts w:ascii="Times New Roman" w:eastAsia="Times New Roman" w:hAnsi="Times New Roman" w:cs="Times New Roman"/>
          <w:u w:val="single"/>
        </w:rPr>
        <w:t>disekcie</w:t>
      </w:r>
      <w:proofErr w:type="spellEnd"/>
    </w:p>
    <w:p w14:paraId="513DEBD4" w14:textId="77777777" w:rsidR="00FE3E1D" w:rsidRPr="00FE3E1D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Používanie inhibítorov dráhy vaskulárneho endotelového rastového faktora (</w:t>
      </w:r>
      <w:proofErr w:type="spellStart"/>
      <w:r w:rsidRPr="00FE3E1D">
        <w:rPr>
          <w:rFonts w:ascii="Times New Roman" w:eastAsia="Times New Roman" w:hAnsi="Times New Roman" w:cs="Times New Roman"/>
        </w:rPr>
        <w:t>vascular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3E1D">
        <w:rPr>
          <w:rFonts w:ascii="Times New Roman" w:eastAsia="Times New Roman" w:hAnsi="Times New Roman" w:cs="Times New Roman"/>
        </w:rPr>
        <w:t>endothelial</w:t>
      </w:r>
      <w:proofErr w:type="spellEnd"/>
    </w:p>
    <w:p w14:paraId="4F8D1681" w14:textId="77777777" w:rsidR="00FE3E1D" w:rsidRPr="00FE3E1D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3E1D">
        <w:rPr>
          <w:rFonts w:ascii="Times New Roman" w:eastAsia="Times New Roman" w:hAnsi="Times New Roman" w:cs="Times New Roman"/>
        </w:rPr>
        <w:t>growth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3E1D">
        <w:rPr>
          <w:rFonts w:ascii="Times New Roman" w:eastAsia="Times New Roman" w:hAnsi="Times New Roman" w:cs="Times New Roman"/>
        </w:rPr>
        <w:t>factor</w:t>
      </w:r>
      <w:proofErr w:type="spellEnd"/>
      <w:r w:rsidRPr="00FE3E1D">
        <w:rPr>
          <w:rFonts w:ascii="Times New Roman" w:eastAsia="Times New Roman" w:hAnsi="Times New Roman" w:cs="Times New Roman"/>
        </w:rPr>
        <w:t>, VEGF) u pacientov s hypertenziou alebo bez hypertenzie môže podporovať tvorbu</w:t>
      </w:r>
    </w:p>
    <w:p w14:paraId="72A541AE" w14:textId="77777777" w:rsidR="00FE3E1D" w:rsidRPr="00FE3E1D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 xml:space="preserve">aneuryziem a/alebo arteriálnych </w:t>
      </w:r>
      <w:proofErr w:type="spellStart"/>
      <w:r w:rsidRPr="00FE3E1D">
        <w:rPr>
          <w:rFonts w:ascii="Times New Roman" w:eastAsia="Times New Roman" w:hAnsi="Times New Roman" w:cs="Times New Roman"/>
        </w:rPr>
        <w:t>disekcií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. Pred podaním </w:t>
      </w:r>
      <w:proofErr w:type="spellStart"/>
      <w:r w:rsidRPr="00FE3E1D">
        <w:rPr>
          <w:rFonts w:ascii="Times New Roman" w:eastAsia="Times New Roman" w:hAnsi="Times New Roman" w:cs="Times New Roman"/>
        </w:rPr>
        <w:t>sunitinibu</w:t>
      </w:r>
      <w:proofErr w:type="spellEnd"/>
      <w:r w:rsidRPr="00FE3E1D">
        <w:rPr>
          <w:rFonts w:ascii="Times New Roman" w:eastAsia="Times New Roman" w:hAnsi="Times New Roman" w:cs="Times New Roman"/>
        </w:rPr>
        <w:t xml:space="preserve"> sa toto riziko musí dôkladne zvážiť</w:t>
      </w:r>
    </w:p>
    <w:p w14:paraId="48D5A2DA" w14:textId="77777777" w:rsidR="00355DF2" w:rsidRPr="00FE3E1D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3E1D">
        <w:rPr>
          <w:rFonts w:ascii="Times New Roman" w:eastAsia="Times New Roman" w:hAnsi="Times New Roman" w:cs="Times New Roman"/>
        </w:rPr>
        <w:t>u pacientov s rizikovými faktormi, ako je napríklad hypertenzia alebo aneuryzma v anamnéze.</w:t>
      </w:r>
    </w:p>
    <w:p w14:paraId="46D55BBD" w14:textId="77777777" w:rsidR="00FE3E1D" w:rsidRPr="00355DF2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22D33A3" w14:textId="77777777" w:rsidR="00355DF2" w:rsidRPr="00A05EE6" w:rsidRDefault="00FE3E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5EE6">
        <w:rPr>
          <w:rFonts w:ascii="Times New Roman" w:eastAsia="Times New Roman" w:hAnsi="Times New Roman" w:cs="Times New Roman"/>
          <w:u w:val="single" w:color="000000"/>
        </w:rPr>
        <w:t>Trombotická</w:t>
      </w:r>
      <w:proofErr w:type="spellEnd"/>
      <w:r w:rsidRPr="00A05EE6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A05EE6">
        <w:rPr>
          <w:rFonts w:ascii="Times New Roman" w:eastAsia="Times New Roman" w:hAnsi="Times New Roman" w:cs="Times New Roman"/>
          <w:u w:val="single" w:color="000000"/>
        </w:rPr>
        <w:t>mikroangiopatia</w:t>
      </w:r>
      <w:proofErr w:type="spellEnd"/>
      <w:r w:rsidRPr="00A05EE6">
        <w:rPr>
          <w:rFonts w:ascii="Times New Roman" w:eastAsia="Times New Roman" w:hAnsi="Times New Roman" w:cs="Times New Roman"/>
          <w:u w:val="single" w:color="000000"/>
        </w:rPr>
        <w:t xml:space="preserve"> (TMA)</w:t>
      </w:r>
    </w:p>
    <w:p w14:paraId="1B229CC1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lastRenderedPageBreak/>
        <w:t xml:space="preserve">Ak sa vyskytne hemolytická anémia, </w:t>
      </w:r>
      <w:proofErr w:type="spellStart"/>
      <w:r w:rsidRPr="00A05EE6">
        <w:rPr>
          <w:rFonts w:ascii="Times New Roman" w:eastAsia="Times New Roman" w:hAnsi="Times New Roman" w:cs="Times New Roman"/>
        </w:rPr>
        <w:t>trombocytopénia</w:t>
      </w:r>
      <w:proofErr w:type="spellEnd"/>
      <w:r w:rsidRPr="00A05EE6">
        <w:rPr>
          <w:rFonts w:ascii="Times New Roman" w:eastAsia="Times New Roman" w:hAnsi="Times New Roman" w:cs="Times New Roman"/>
        </w:rPr>
        <w:t>, únava, kolísavá neurologická manifestácia,</w:t>
      </w:r>
    </w:p>
    <w:p w14:paraId="19E455DC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porucha funkcie obličiek a horúčka, je potrebné zobrať do úvahy diagnózu TMA, vrátane </w:t>
      </w:r>
      <w:proofErr w:type="spellStart"/>
      <w:r w:rsidRPr="00A05EE6">
        <w:rPr>
          <w:rFonts w:ascii="Times New Roman" w:eastAsia="Times New Roman" w:hAnsi="Times New Roman" w:cs="Times New Roman"/>
        </w:rPr>
        <w:t>trombotickej</w:t>
      </w:r>
      <w:proofErr w:type="spellEnd"/>
    </w:p>
    <w:p w14:paraId="67BE96D0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5EE6">
        <w:rPr>
          <w:rFonts w:ascii="Times New Roman" w:eastAsia="Times New Roman" w:hAnsi="Times New Roman" w:cs="Times New Roman"/>
        </w:rPr>
        <w:t>trombocytopenickej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purpury (TTP) a hemolytického uremického syndrómu (HUS), ktoré v niektorých</w:t>
      </w:r>
    </w:p>
    <w:p w14:paraId="15AC84C1" w14:textId="77777777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prípadoch môžu viesť ku zlyhaniu obličiek alebo smrteľným následkom. U pacientov, u ktorých sa vyvinula TMA, sa musí liečba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prerušiť a je nevyhnutné okamžite začať liečbu TMA. Po prerušení liečby sa pozorovalo vymiznutie príznakov TMA (pozri časť 4.8).</w:t>
      </w:r>
    </w:p>
    <w:p w14:paraId="166D95C4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1735C8" w14:textId="77777777" w:rsidR="00355DF2" w:rsidRPr="00A05EE6" w:rsidRDefault="00FE3E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  <w:u w:val="single" w:color="000000"/>
        </w:rPr>
        <w:t>Dysfunkcia štítnej žľazy</w:t>
      </w:r>
    </w:p>
    <w:p w14:paraId="6676E842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U všetkých pacientov sa odporúča vykonať základné laboratórne vyšetrenia funkcie štítnej žľazy.</w:t>
      </w:r>
    </w:p>
    <w:p w14:paraId="7AB92B6D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Pacienti s už prítomnou </w:t>
      </w:r>
      <w:proofErr w:type="spellStart"/>
      <w:r w:rsidRPr="00A05EE6">
        <w:rPr>
          <w:rFonts w:ascii="Times New Roman" w:eastAsia="Times New Roman" w:hAnsi="Times New Roman" w:cs="Times New Roman"/>
        </w:rPr>
        <w:t>hypotyreózou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A05EE6">
        <w:rPr>
          <w:rFonts w:ascii="Times New Roman" w:eastAsia="Times New Roman" w:hAnsi="Times New Roman" w:cs="Times New Roman"/>
        </w:rPr>
        <w:t>hypertyreózou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majú byť liečení podľa štandardných</w:t>
      </w:r>
    </w:p>
    <w:p w14:paraId="2CC3F3AD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klinických postupov pred začiatkom liečby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. Počas liečby </w:t>
      </w:r>
      <w:proofErr w:type="spellStart"/>
      <w:r w:rsidRPr="00A05EE6">
        <w:rPr>
          <w:rFonts w:ascii="Times New Roman" w:eastAsia="Times New Roman" w:hAnsi="Times New Roman" w:cs="Times New Roman"/>
        </w:rPr>
        <w:t>sutinibom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sa má každé</w:t>
      </w:r>
    </w:p>
    <w:p w14:paraId="74681015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3 mesiace vykonávať rutinné monitorovanie funkcie štítnej žľazy. Okrem toho sa u pacientov počas</w:t>
      </w:r>
    </w:p>
    <w:p w14:paraId="573DE678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liečby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majú dôsledne sledovať prejavy a príznaky dysfunkcie štítnej žľazy a pacientom,</w:t>
      </w:r>
    </w:p>
    <w:p w14:paraId="7CBF78B6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u ktorých sa objavia akékoľvek prejavy a/alebo príznaky poukazujúce na dysfunkciu štítnej žľazy, sa</w:t>
      </w:r>
    </w:p>
    <w:p w14:paraId="5886C644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má urobiť laboratórne vyšetrenie funkcie štítnej žľazy, ak je klinicky indikované. Pacientov, u ktorých</w:t>
      </w:r>
    </w:p>
    <w:p w14:paraId="45710B20" w14:textId="77777777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sa vyvinie dysfunkcia štítnej žľazy, treba liečiť podľa zásad platných v medicínskej praxi.</w:t>
      </w:r>
    </w:p>
    <w:p w14:paraId="1CC49E19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F1E5E5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Výskyt </w:t>
      </w:r>
      <w:proofErr w:type="spellStart"/>
      <w:r w:rsidRPr="00A05EE6">
        <w:rPr>
          <w:rFonts w:ascii="Times New Roman" w:eastAsia="Times New Roman" w:hAnsi="Times New Roman" w:cs="Times New Roman"/>
        </w:rPr>
        <w:t>hypotyreózy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sa pozoroval na začiatku liečby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>, ale aj neskôr počas liečby (pozri</w:t>
      </w:r>
    </w:p>
    <w:p w14:paraId="040D609B" w14:textId="77777777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časť 4.8).</w:t>
      </w:r>
    </w:p>
    <w:p w14:paraId="103FC8B1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02F27B" w14:textId="77777777" w:rsidR="00355DF2" w:rsidRPr="00A05EE6" w:rsidRDefault="00FE3E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  <w:u w:val="single" w:color="000000"/>
        </w:rPr>
        <w:t>Pankreatitída</w:t>
      </w:r>
    </w:p>
    <w:p w14:paraId="4320D993" w14:textId="364A2486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U pacientov s rôznymi </w:t>
      </w:r>
      <w:r w:rsidR="007A1438">
        <w:rPr>
          <w:rFonts w:ascii="Times New Roman" w:eastAsia="Times New Roman" w:hAnsi="Times New Roman" w:cs="Times New Roman"/>
        </w:rPr>
        <w:t xml:space="preserve">solídnymi </w:t>
      </w:r>
      <w:r w:rsidRPr="00A05EE6">
        <w:rPr>
          <w:rFonts w:ascii="Times New Roman" w:eastAsia="Times New Roman" w:hAnsi="Times New Roman" w:cs="Times New Roman"/>
        </w:rPr>
        <w:t xml:space="preserve">nádormi, ktorí dostávali </w:t>
      </w:r>
      <w:proofErr w:type="spellStart"/>
      <w:r w:rsidRPr="00A05EE6">
        <w:rPr>
          <w:rFonts w:ascii="Times New Roman" w:eastAsia="Times New Roman" w:hAnsi="Times New Roman" w:cs="Times New Roman"/>
        </w:rPr>
        <w:t>sunitinib</w:t>
      </w:r>
      <w:proofErr w:type="spellEnd"/>
      <w:r w:rsidRPr="00A05EE6">
        <w:rPr>
          <w:rFonts w:ascii="Times New Roman" w:eastAsia="Times New Roman" w:hAnsi="Times New Roman" w:cs="Times New Roman"/>
        </w:rPr>
        <w:t>, sa pozorovalo zvýšenie aktivity sérovej</w:t>
      </w:r>
      <w:r w:rsidR="007A143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5EE6">
        <w:rPr>
          <w:rFonts w:ascii="Times New Roman" w:eastAsia="Times New Roman" w:hAnsi="Times New Roman" w:cs="Times New Roman"/>
        </w:rPr>
        <w:t>lipázy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05EE6">
        <w:rPr>
          <w:rFonts w:ascii="Times New Roman" w:eastAsia="Times New Roman" w:hAnsi="Times New Roman" w:cs="Times New Roman"/>
        </w:rPr>
        <w:t>amylázy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. Zvýšenie aktivity </w:t>
      </w:r>
      <w:proofErr w:type="spellStart"/>
      <w:r w:rsidRPr="00A05EE6">
        <w:rPr>
          <w:rFonts w:ascii="Times New Roman" w:eastAsia="Times New Roman" w:hAnsi="Times New Roman" w:cs="Times New Roman"/>
        </w:rPr>
        <w:t>lipázy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u pacientov s rôznymi </w:t>
      </w:r>
      <w:r w:rsidR="007A1438">
        <w:rPr>
          <w:rFonts w:ascii="Times New Roman" w:eastAsia="Times New Roman" w:hAnsi="Times New Roman" w:cs="Times New Roman"/>
        </w:rPr>
        <w:t xml:space="preserve">solídnymi </w:t>
      </w:r>
      <w:r w:rsidRPr="00A05EE6">
        <w:rPr>
          <w:rFonts w:ascii="Times New Roman" w:eastAsia="Times New Roman" w:hAnsi="Times New Roman" w:cs="Times New Roman"/>
        </w:rPr>
        <w:t>nádormi bolo prechodné a</w:t>
      </w:r>
      <w:r w:rsidR="007A1438">
        <w:rPr>
          <w:rFonts w:ascii="Times New Roman" w:eastAsia="Times New Roman" w:hAnsi="Times New Roman" w:cs="Times New Roman"/>
        </w:rPr>
        <w:t> </w:t>
      </w:r>
      <w:r w:rsidRPr="00A05EE6">
        <w:rPr>
          <w:rFonts w:ascii="Times New Roman" w:eastAsia="Times New Roman" w:hAnsi="Times New Roman" w:cs="Times New Roman"/>
        </w:rPr>
        <w:t>tento</w:t>
      </w:r>
      <w:r w:rsidR="007A1438">
        <w:rPr>
          <w:rFonts w:ascii="Times New Roman" w:eastAsia="Times New Roman" w:hAnsi="Times New Roman" w:cs="Times New Roman"/>
        </w:rPr>
        <w:t xml:space="preserve"> </w:t>
      </w:r>
      <w:r w:rsidRPr="00A05EE6">
        <w:rPr>
          <w:rFonts w:ascii="Times New Roman" w:eastAsia="Times New Roman" w:hAnsi="Times New Roman" w:cs="Times New Roman"/>
        </w:rPr>
        <w:t>nález vo všeobecnosti nesprevádzali prejavy či príznaky pankreatitídy (pozri časť 4.8).</w:t>
      </w:r>
    </w:p>
    <w:p w14:paraId="5E47B856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77B694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Boli hlásené závažné pankreatické príhody, niektoré so smrteľným koncom. Ak sú prítomné príznaky</w:t>
      </w:r>
    </w:p>
    <w:p w14:paraId="0BA3FE7F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pankreatitídy, </w:t>
      </w:r>
      <w:proofErr w:type="spellStart"/>
      <w:r w:rsidRPr="00A05EE6">
        <w:rPr>
          <w:rFonts w:ascii="Times New Roman" w:eastAsia="Times New Roman" w:hAnsi="Times New Roman" w:cs="Times New Roman"/>
        </w:rPr>
        <w:t>sunitinib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sa má pacientom vysadiť a má im byť poskytnutá primeraná podporná</w:t>
      </w:r>
    </w:p>
    <w:p w14:paraId="2D67007E" w14:textId="77777777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starostlivosť.</w:t>
      </w:r>
    </w:p>
    <w:p w14:paraId="638AA326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A1C1EE" w14:textId="77777777" w:rsidR="00355DF2" w:rsidRPr="00A05EE6" w:rsidRDefault="00FE3E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5EE6">
        <w:rPr>
          <w:rFonts w:ascii="Times New Roman" w:eastAsia="Times New Roman" w:hAnsi="Times New Roman" w:cs="Times New Roman"/>
          <w:u w:val="single" w:color="000000"/>
        </w:rPr>
        <w:t>Hepatotoxicita</w:t>
      </w:r>
      <w:proofErr w:type="spellEnd"/>
    </w:p>
    <w:p w14:paraId="5099B6CE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U pacientov liečených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bola pozorovaná </w:t>
      </w:r>
      <w:proofErr w:type="spellStart"/>
      <w:r w:rsidRPr="00A05EE6">
        <w:rPr>
          <w:rFonts w:ascii="Times New Roman" w:eastAsia="Times New Roman" w:hAnsi="Times New Roman" w:cs="Times New Roman"/>
        </w:rPr>
        <w:t>hepatotoxicita</w:t>
      </w:r>
      <w:proofErr w:type="spellEnd"/>
      <w:r w:rsidRPr="00A05EE6">
        <w:rPr>
          <w:rFonts w:ascii="Times New Roman" w:eastAsia="Times New Roman" w:hAnsi="Times New Roman" w:cs="Times New Roman"/>
        </w:rPr>
        <w:t>. Prípady zlyhania pečene, niektoré</w:t>
      </w:r>
    </w:p>
    <w:p w14:paraId="2805D771" w14:textId="637F17D6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so smrteľným koncom, sa pozorovali u &lt; 1 % pacientov s</w:t>
      </w:r>
      <w:r w:rsidR="007A1438">
        <w:rPr>
          <w:rFonts w:ascii="Times New Roman" w:eastAsia="Times New Roman" w:hAnsi="Times New Roman" w:cs="Times New Roman"/>
        </w:rPr>
        <w:t>o solídnymi</w:t>
      </w:r>
      <w:r w:rsidRPr="00A05EE6">
        <w:rPr>
          <w:rFonts w:ascii="Times New Roman" w:eastAsia="Times New Roman" w:hAnsi="Times New Roman" w:cs="Times New Roman"/>
        </w:rPr>
        <w:t xml:space="preserve"> nádormi, ktorí boli liečení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>. Pred</w:t>
      </w:r>
      <w:r w:rsidR="007A1438">
        <w:rPr>
          <w:rFonts w:ascii="Times New Roman" w:eastAsia="Times New Roman" w:hAnsi="Times New Roman" w:cs="Times New Roman"/>
        </w:rPr>
        <w:t xml:space="preserve"> </w:t>
      </w:r>
      <w:r w:rsidRPr="00A05EE6">
        <w:rPr>
          <w:rFonts w:ascii="Times New Roman" w:eastAsia="Times New Roman" w:hAnsi="Times New Roman" w:cs="Times New Roman"/>
        </w:rPr>
        <w:t>začatím liečby, počas každého cyklu a vždy, keď je to z klinického hľadiska indikované, monitorujte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A05EE6">
        <w:rPr>
          <w:rFonts w:ascii="Times New Roman" w:eastAsia="Times New Roman" w:hAnsi="Times New Roman" w:cs="Times New Roman"/>
        </w:rPr>
        <w:t>testy pečeňových funkcií (</w:t>
      </w:r>
      <w:proofErr w:type="spellStart"/>
      <w:r w:rsidRPr="00A05EE6">
        <w:rPr>
          <w:rFonts w:ascii="Times New Roman" w:eastAsia="Times New Roman" w:hAnsi="Times New Roman" w:cs="Times New Roman"/>
        </w:rPr>
        <w:t>alanínaminotransferázu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[ALT], </w:t>
      </w:r>
      <w:proofErr w:type="spellStart"/>
      <w:r w:rsidRPr="00A05EE6">
        <w:rPr>
          <w:rFonts w:ascii="Times New Roman" w:eastAsia="Times New Roman" w:hAnsi="Times New Roman" w:cs="Times New Roman"/>
        </w:rPr>
        <w:t>aspartátaminotransferázu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[AST], hladiny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A05EE6">
        <w:rPr>
          <w:rFonts w:ascii="Times New Roman" w:eastAsia="Times New Roman" w:hAnsi="Times New Roman" w:cs="Times New Roman"/>
        </w:rPr>
        <w:t xml:space="preserve">bilirubínu). Ak sú prítomné prejavy a príznaky zlyhávania pečene, liečba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sa musí ukončiť</w:t>
      </w:r>
      <w:r w:rsidR="007A1438">
        <w:rPr>
          <w:rFonts w:ascii="Times New Roman" w:eastAsia="Times New Roman" w:hAnsi="Times New Roman" w:cs="Times New Roman"/>
        </w:rPr>
        <w:t xml:space="preserve"> </w:t>
      </w:r>
      <w:r w:rsidRPr="00A05EE6">
        <w:rPr>
          <w:rFonts w:ascii="Times New Roman" w:eastAsia="Times New Roman" w:hAnsi="Times New Roman" w:cs="Times New Roman"/>
        </w:rPr>
        <w:t>a má sa poskytnúť vhodná podporná liečba (pozri časť 4.8).</w:t>
      </w:r>
    </w:p>
    <w:p w14:paraId="0326C519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6408A8" w14:textId="77777777" w:rsidR="00355DF2" w:rsidRPr="00A05EE6" w:rsidRDefault="00FE3E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  <w:u w:val="single" w:color="000000"/>
        </w:rPr>
        <w:t>Funkcia obličiek</w:t>
      </w:r>
    </w:p>
    <w:p w14:paraId="75ACCDD4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Boli hlásené prípady poruchy funkcie obličiek, obličkového zlyhania a/alebo akútneho obličkového</w:t>
      </w:r>
    </w:p>
    <w:p w14:paraId="016122B8" w14:textId="77777777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zlyhania, v niektorých prípadoch so smrteľným koncom (pozri časť 4.8).</w:t>
      </w:r>
    </w:p>
    <w:p w14:paraId="067D9216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5A1409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Rizikové faktory spojené s poruchou funkcie/zlyhaním obličiek u pacientov užívajúcich </w:t>
      </w:r>
      <w:proofErr w:type="spellStart"/>
      <w:r w:rsidRPr="00A05EE6">
        <w:rPr>
          <w:rFonts w:ascii="Times New Roman" w:eastAsia="Times New Roman" w:hAnsi="Times New Roman" w:cs="Times New Roman"/>
        </w:rPr>
        <w:t>sunitinib</w:t>
      </w:r>
      <w:proofErr w:type="spellEnd"/>
    </w:p>
    <w:p w14:paraId="0CBF6B88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zahŕňali okrem prítomného RCC, vyšší vek, diabetes mellitus, prítomnosť poruchy funkcie obličiek,</w:t>
      </w:r>
    </w:p>
    <w:p w14:paraId="268CF4D7" w14:textId="77777777" w:rsidR="00355DF2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zlyhanie srdca, hypertenziu, sepsu, dehydratáciu/</w:t>
      </w:r>
      <w:proofErr w:type="spellStart"/>
      <w:r w:rsidRPr="00A05EE6">
        <w:rPr>
          <w:rFonts w:ascii="Times New Roman" w:eastAsia="Times New Roman" w:hAnsi="Times New Roman" w:cs="Times New Roman"/>
        </w:rPr>
        <w:t>hypovolémiu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05EE6">
        <w:rPr>
          <w:rFonts w:ascii="Times New Roman" w:eastAsia="Times New Roman" w:hAnsi="Times New Roman" w:cs="Times New Roman"/>
        </w:rPr>
        <w:t>rabdomyolýzu</w:t>
      </w:r>
      <w:proofErr w:type="spellEnd"/>
      <w:r w:rsidRPr="00A05EE6">
        <w:rPr>
          <w:rFonts w:ascii="Times New Roman" w:eastAsia="Times New Roman" w:hAnsi="Times New Roman" w:cs="Times New Roman"/>
        </w:rPr>
        <w:t>.</w:t>
      </w:r>
    </w:p>
    <w:p w14:paraId="08999D21" w14:textId="77777777" w:rsidR="00FE3E1D" w:rsidRPr="00A05EE6" w:rsidRDefault="00FE3E1D" w:rsidP="00FE3E1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2DA973" w14:textId="77777777" w:rsidR="00A05EE6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Bezpečnosť pokračujúcej liečby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u pacientov so stredne závažnou až závažnou</w:t>
      </w:r>
    </w:p>
    <w:p w14:paraId="5ACA4591" w14:textId="77777777" w:rsidR="00355DF2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5EE6">
        <w:rPr>
          <w:rFonts w:ascii="Times New Roman" w:eastAsia="Times New Roman" w:hAnsi="Times New Roman" w:cs="Times New Roman"/>
        </w:rPr>
        <w:t>proteinúriou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sa systematicky nehodnotila.</w:t>
      </w:r>
    </w:p>
    <w:p w14:paraId="1CDBACA3" w14:textId="77777777" w:rsidR="00A05EE6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7A9E57" w14:textId="77777777" w:rsidR="00A05EE6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Boli hlásené prípady </w:t>
      </w:r>
      <w:proofErr w:type="spellStart"/>
      <w:r w:rsidRPr="00A05EE6">
        <w:rPr>
          <w:rFonts w:ascii="Times New Roman" w:eastAsia="Times New Roman" w:hAnsi="Times New Roman" w:cs="Times New Roman"/>
        </w:rPr>
        <w:t>proteinúrie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a zriedkavé prípady </w:t>
      </w:r>
      <w:proofErr w:type="spellStart"/>
      <w:r w:rsidRPr="00A05EE6">
        <w:rPr>
          <w:rFonts w:ascii="Times New Roman" w:eastAsia="Times New Roman" w:hAnsi="Times New Roman" w:cs="Times New Roman"/>
        </w:rPr>
        <w:t>nefrotického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syndrómu. Odporúča sa vstupné</w:t>
      </w:r>
    </w:p>
    <w:p w14:paraId="25194121" w14:textId="77777777" w:rsidR="00A05EE6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vyšetrenie moču a pacienti majú byť monitorovaní na rozvoj alebo zhoršenie </w:t>
      </w:r>
      <w:proofErr w:type="spellStart"/>
      <w:r w:rsidRPr="00A05EE6">
        <w:rPr>
          <w:rFonts w:ascii="Times New Roman" w:eastAsia="Times New Roman" w:hAnsi="Times New Roman" w:cs="Times New Roman"/>
        </w:rPr>
        <w:t>proteinúrie</w:t>
      </w:r>
      <w:proofErr w:type="spellEnd"/>
      <w:r w:rsidRPr="00A05EE6">
        <w:rPr>
          <w:rFonts w:ascii="Times New Roman" w:eastAsia="Times New Roman" w:hAnsi="Times New Roman" w:cs="Times New Roman"/>
        </w:rPr>
        <w:t>. U pacientov</w:t>
      </w:r>
    </w:p>
    <w:p w14:paraId="54E45A71" w14:textId="77777777" w:rsidR="00355DF2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s </w:t>
      </w:r>
      <w:proofErr w:type="spellStart"/>
      <w:r w:rsidRPr="00A05EE6">
        <w:rPr>
          <w:rFonts w:ascii="Times New Roman" w:eastAsia="Times New Roman" w:hAnsi="Times New Roman" w:cs="Times New Roman"/>
        </w:rPr>
        <w:t>nefrotickým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syndrómom ukončite podávanie </w:t>
      </w:r>
      <w:proofErr w:type="spellStart"/>
      <w:r w:rsidRPr="00A05EE6">
        <w:rPr>
          <w:rFonts w:ascii="Times New Roman" w:eastAsia="Times New Roman" w:hAnsi="Times New Roman" w:cs="Times New Roman"/>
        </w:rPr>
        <w:t>sunitinibu</w:t>
      </w:r>
      <w:proofErr w:type="spellEnd"/>
      <w:r w:rsidRPr="00A05EE6">
        <w:rPr>
          <w:rFonts w:ascii="Times New Roman" w:eastAsia="Times New Roman" w:hAnsi="Times New Roman" w:cs="Times New Roman"/>
        </w:rPr>
        <w:t>.</w:t>
      </w:r>
    </w:p>
    <w:p w14:paraId="576E7784" w14:textId="77777777" w:rsidR="00A05EE6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EBF452" w14:textId="77777777" w:rsidR="00355DF2" w:rsidRPr="00A05EE6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  <w:u w:val="single" w:color="000000"/>
        </w:rPr>
        <w:t>Fistula</w:t>
      </w:r>
      <w:r w:rsidR="00A05EE6" w:rsidRPr="00A05EE6">
        <w:rPr>
          <w:rFonts w:ascii="Times New Roman" w:eastAsia="Times New Roman" w:hAnsi="Times New Roman" w:cs="Times New Roman"/>
          <w:u w:val="single" w:color="000000"/>
        </w:rPr>
        <w:t xml:space="preserve"> </w:t>
      </w:r>
    </w:p>
    <w:p w14:paraId="4E08C0CF" w14:textId="77777777" w:rsidR="00A05EE6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 xml:space="preserve">Ak dôjde k vytvoreniu fistuly, liečba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  <w:r w:rsidRPr="00A05EE6">
        <w:rPr>
          <w:rFonts w:ascii="Times New Roman" w:eastAsia="Times New Roman" w:hAnsi="Times New Roman" w:cs="Times New Roman"/>
        </w:rPr>
        <w:t xml:space="preserve"> sa má prerušiť. O pokračovaní v liečbe </w:t>
      </w:r>
      <w:proofErr w:type="spellStart"/>
      <w:r w:rsidRPr="00A05EE6">
        <w:rPr>
          <w:rFonts w:ascii="Times New Roman" w:eastAsia="Times New Roman" w:hAnsi="Times New Roman" w:cs="Times New Roman"/>
        </w:rPr>
        <w:t>sunitinibom</w:t>
      </w:r>
      <w:proofErr w:type="spellEnd"/>
    </w:p>
    <w:p w14:paraId="40D9A8EE" w14:textId="77777777" w:rsidR="00355DF2" w:rsidRPr="00A05EE6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EE6">
        <w:rPr>
          <w:rFonts w:ascii="Times New Roman" w:eastAsia="Times New Roman" w:hAnsi="Times New Roman" w:cs="Times New Roman"/>
        </w:rPr>
        <w:t>u pacientov s fistulou sú dostupné obmedzené informácie (pozri časť 4.8).</w:t>
      </w:r>
    </w:p>
    <w:p w14:paraId="7932833B" w14:textId="77777777" w:rsidR="00355DF2" w:rsidRPr="002704D8" w:rsidRDefault="00A05EE6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  <w:u w:val="single" w:color="000000"/>
        </w:rPr>
        <w:lastRenderedPageBreak/>
        <w:t>Zhoršené hojenie rán</w:t>
      </w:r>
    </w:p>
    <w:p w14:paraId="21E1674C" w14:textId="77777777" w:rsidR="00355DF2" w:rsidRPr="002704D8" w:rsidRDefault="00A05EE6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Počas liečby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boli hlásené prípady zhoršeného hojenia rán.</w:t>
      </w:r>
    </w:p>
    <w:p w14:paraId="5F4481A2" w14:textId="77777777" w:rsidR="00A05EE6" w:rsidRPr="002704D8" w:rsidRDefault="00A05EE6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2E1870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Nevykonali sa žiadne formálne klinické štúdie zamerané na účinok </w:t>
      </w:r>
      <w:proofErr w:type="spellStart"/>
      <w:r w:rsidRPr="002704D8">
        <w:rPr>
          <w:rFonts w:ascii="Times New Roman" w:eastAsia="Times New Roman" w:hAnsi="Times New Roman" w:cs="Times New Roman"/>
        </w:rPr>
        <w:t>sunitinibu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na hojenie rán.</w:t>
      </w:r>
    </w:p>
    <w:p w14:paraId="1D6C72CE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U pacientov podstupujúcich veľký chirurgický zákrok sa z preventívnych dôvodov odporúča dočasné</w:t>
      </w:r>
    </w:p>
    <w:p w14:paraId="647D14D0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prerušenie liečby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>. Existujú iba limitované klinické skúsenosti týkajúce sa načasovania</w:t>
      </w:r>
    </w:p>
    <w:p w14:paraId="2D945072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opätovného začatia liečby následne po veľkom chirurgickom zákroku. Preto rozhodnutie pokračovať</w:t>
      </w:r>
    </w:p>
    <w:p w14:paraId="2DDEF9EF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v liečbe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následne po veľkom chirurgickom zákroku má byť založené na klinickom</w:t>
      </w:r>
    </w:p>
    <w:p w14:paraId="5E271B77" w14:textId="77777777" w:rsidR="00355DF2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zhodnotení zotavovania sa po zákroku.</w:t>
      </w:r>
    </w:p>
    <w:p w14:paraId="1D5595AD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5BC178" w14:textId="77777777" w:rsidR="00355DF2" w:rsidRPr="002704D8" w:rsidRDefault="00A05EE6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704D8">
        <w:rPr>
          <w:rFonts w:ascii="Times New Roman" w:eastAsia="Times New Roman" w:hAnsi="Times New Roman" w:cs="Times New Roman"/>
          <w:u w:val="single" w:color="000000"/>
        </w:rPr>
        <w:t>Osteonekróza</w:t>
      </w:r>
      <w:proofErr w:type="spellEnd"/>
      <w:r w:rsidRPr="002704D8">
        <w:rPr>
          <w:rFonts w:ascii="Times New Roman" w:eastAsia="Times New Roman" w:hAnsi="Times New Roman" w:cs="Times New Roman"/>
          <w:u w:val="single" w:color="000000"/>
        </w:rPr>
        <w:t xml:space="preserve"> čeľuste </w:t>
      </w:r>
      <w:r w:rsidR="00355DF2" w:rsidRPr="002704D8">
        <w:rPr>
          <w:rFonts w:ascii="Times New Roman" w:eastAsia="Times New Roman" w:hAnsi="Times New Roman" w:cs="Times New Roman"/>
          <w:u w:val="single" w:color="000000"/>
        </w:rPr>
        <w:t>(</w:t>
      </w:r>
      <w:proofErr w:type="spellStart"/>
      <w:r w:rsidR="002704D8" w:rsidRPr="002704D8">
        <w:rPr>
          <w:rFonts w:ascii="Times New Roman" w:eastAsia="Times New Roman" w:hAnsi="Times New Roman" w:cs="Times New Roman"/>
          <w:u w:val="single" w:color="000000"/>
        </w:rPr>
        <w:t>osteonecrosis</w:t>
      </w:r>
      <w:proofErr w:type="spellEnd"/>
      <w:r w:rsidR="002704D8" w:rsidRPr="002704D8">
        <w:rPr>
          <w:rFonts w:ascii="Times New Roman" w:eastAsia="Times New Roman" w:hAnsi="Times New Roman" w:cs="Times New Roman"/>
          <w:u w:val="single" w:color="000000"/>
        </w:rPr>
        <w:t xml:space="preserve"> of </w:t>
      </w:r>
      <w:proofErr w:type="spellStart"/>
      <w:r w:rsidR="002704D8" w:rsidRPr="002704D8">
        <w:rPr>
          <w:rFonts w:ascii="Times New Roman" w:eastAsia="Times New Roman" w:hAnsi="Times New Roman" w:cs="Times New Roman"/>
          <w:u w:val="single" w:color="000000"/>
        </w:rPr>
        <w:t>the</w:t>
      </w:r>
      <w:proofErr w:type="spellEnd"/>
      <w:r w:rsidR="002704D8" w:rsidRPr="002704D8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2704D8" w:rsidRPr="002704D8">
        <w:rPr>
          <w:rFonts w:ascii="Times New Roman" w:eastAsia="Times New Roman" w:hAnsi="Times New Roman" w:cs="Times New Roman"/>
          <w:u w:val="single" w:color="000000"/>
        </w:rPr>
        <w:t>jaw</w:t>
      </w:r>
      <w:proofErr w:type="spellEnd"/>
      <w:r w:rsidR="002704D8" w:rsidRPr="002704D8">
        <w:rPr>
          <w:rFonts w:ascii="Times New Roman" w:eastAsia="Times New Roman" w:hAnsi="Times New Roman" w:cs="Times New Roman"/>
          <w:u w:val="single" w:color="000000"/>
        </w:rPr>
        <w:t xml:space="preserve">, </w:t>
      </w:r>
      <w:r w:rsidR="00355DF2" w:rsidRPr="002704D8">
        <w:rPr>
          <w:rFonts w:ascii="Times New Roman" w:eastAsia="Times New Roman" w:hAnsi="Times New Roman" w:cs="Times New Roman"/>
          <w:u w:val="single" w:color="000000"/>
        </w:rPr>
        <w:t>ONJ)</w:t>
      </w:r>
    </w:p>
    <w:p w14:paraId="161A1E92" w14:textId="77777777" w:rsidR="00355DF2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U pacientov liečených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boli hlásené prípady ONJ. Väčšina prípadov bola hlásená u pacientov, ktorí predtým alebo súčasne dostávali liečbu intravenóznymi </w:t>
      </w:r>
      <w:proofErr w:type="spellStart"/>
      <w:r w:rsidRPr="002704D8">
        <w:rPr>
          <w:rFonts w:ascii="Times New Roman" w:eastAsia="Times New Roman" w:hAnsi="Times New Roman" w:cs="Times New Roman"/>
        </w:rPr>
        <w:t>bisfosfonátmi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, pre ktoré je ONJ identifikovaným rizikom. Preto je potrebná zvýšená opatrnosť, keď sa </w:t>
      </w:r>
      <w:proofErr w:type="spellStart"/>
      <w:r w:rsidRPr="002704D8">
        <w:rPr>
          <w:rFonts w:ascii="Times New Roman" w:eastAsia="Times New Roman" w:hAnsi="Times New Roman" w:cs="Times New Roman"/>
        </w:rPr>
        <w:t>sunitinib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používa s intravenóznymi </w:t>
      </w:r>
      <w:proofErr w:type="spellStart"/>
      <w:r w:rsidRPr="002704D8">
        <w:rPr>
          <w:rFonts w:ascii="Times New Roman" w:eastAsia="Times New Roman" w:hAnsi="Times New Roman" w:cs="Times New Roman"/>
        </w:rPr>
        <w:t>bisfosfonátmi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buď súbežne alebo následne.</w:t>
      </w:r>
    </w:p>
    <w:p w14:paraId="031371D4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027AA1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Invazívne stomatologické zákroky sú tiež identifikovaným rizikovým faktorom. Pred liečbou</w:t>
      </w:r>
    </w:p>
    <w:p w14:paraId="26273734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treba zvážiť vyšetrenie zubov a náležité preventívne ošetrenie zubov. U pacientov, ktorí</w:t>
      </w:r>
    </w:p>
    <w:p w14:paraId="497D7FA9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predtým dostávali alebo dostávajú intravenózne </w:t>
      </w:r>
      <w:proofErr w:type="spellStart"/>
      <w:r w:rsidRPr="002704D8">
        <w:rPr>
          <w:rFonts w:ascii="Times New Roman" w:eastAsia="Times New Roman" w:hAnsi="Times New Roman" w:cs="Times New Roman"/>
        </w:rPr>
        <w:t>bisfosfonáty</w:t>
      </w:r>
      <w:proofErr w:type="spellEnd"/>
      <w:r w:rsidRPr="002704D8">
        <w:rPr>
          <w:rFonts w:ascii="Times New Roman" w:eastAsia="Times New Roman" w:hAnsi="Times New Roman" w:cs="Times New Roman"/>
        </w:rPr>
        <w:t>, sa treba, ak je to možné, vyhnúť</w:t>
      </w:r>
    </w:p>
    <w:p w14:paraId="6E9751F4" w14:textId="77777777" w:rsidR="00355DF2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invazívnym stomatologickým zákrokom (pozri časť 4.8).</w:t>
      </w:r>
    </w:p>
    <w:p w14:paraId="3E2FFC7F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F65B8B" w14:textId="77777777" w:rsidR="00355DF2" w:rsidRPr="002704D8" w:rsidRDefault="00A05EE6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704D8">
        <w:rPr>
          <w:rFonts w:ascii="Times New Roman" w:eastAsia="Times New Roman" w:hAnsi="Times New Roman" w:cs="Times New Roman"/>
          <w:u w:val="single" w:color="000000"/>
        </w:rPr>
        <w:t>Hypersenzitivita</w:t>
      </w:r>
      <w:proofErr w:type="spellEnd"/>
      <w:r w:rsidRPr="002704D8">
        <w:rPr>
          <w:rFonts w:ascii="Times New Roman" w:eastAsia="Times New Roman" w:hAnsi="Times New Roman" w:cs="Times New Roman"/>
          <w:u w:val="single" w:color="000000"/>
        </w:rPr>
        <w:t>/</w:t>
      </w:r>
      <w:proofErr w:type="spellStart"/>
      <w:r w:rsidRPr="002704D8">
        <w:rPr>
          <w:rFonts w:ascii="Times New Roman" w:eastAsia="Times New Roman" w:hAnsi="Times New Roman" w:cs="Times New Roman"/>
          <w:u w:val="single" w:color="000000"/>
        </w:rPr>
        <w:t>angioedém</w:t>
      </w:r>
      <w:proofErr w:type="spellEnd"/>
    </w:p>
    <w:p w14:paraId="7322C14E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Ak sa v dôsledku </w:t>
      </w:r>
      <w:proofErr w:type="spellStart"/>
      <w:r w:rsidRPr="002704D8">
        <w:rPr>
          <w:rFonts w:ascii="Times New Roman" w:eastAsia="Times New Roman" w:hAnsi="Times New Roman" w:cs="Times New Roman"/>
        </w:rPr>
        <w:t>hypersenzitivity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vyskytne </w:t>
      </w:r>
      <w:proofErr w:type="spellStart"/>
      <w:r w:rsidRPr="002704D8">
        <w:rPr>
          <w:rFonts w:ascii="Times New Roman" w:eastAsia="Times New Roman" w:hAnsi="Times New Roman" w:cs="Times New Roman"/>
        </w:rPr>
        <w:t>angioedém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, má sa liečba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prerušiť a poskytnúť</w:t>
      </w:r>
    </w:p>
    <w:p w14:paraId="175EB710" w14:textId="77777777" w:rsidR="00355DF2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štandardná lekárska starostlivosť (pozri časť 4.8).</w:t>
      </w:r>
    </w:p>
    <w:p w14:paraId="27A19FAE" w14:textId="77777777" w:rsidR="00A05EE6" w:rsidRPr="002704D8" w:rsidRDefault="00A05EE6" w:rsidP="00A05E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7798E5" w14:textId="77777777" w:rsidR="00355DF2" w:rsidRPr="002704D8" w:rsidRDefault="00A05EE6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  <w:u w:val="single" w:color="000000"/>
        </w:rPr>
        <w:t>Kŕče</w:t>
      </w:r>
    </w:p>
    <w:p w14:paraId="4D317C5B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V klinických štúdiách so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a počas dohľadu po uvedení lieku na trh sa hlásili kŕče.</w:t>
      </w:r>
    </w:p>
    <w:p w14:paraId="7E7C8FF0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Pacientov s kŕčmi a prejavmi/príznakmi, ktoré poukazujú na syndróm </w:t>
      </w:r>
      <w:proofErr w:type="spellStart"/>
      <w:r w:rsidRPr="002704D8">
        <w:rPr>
          <w:rFonts w:ascii="Times New Roman" w:eastAsia="Times New Roman" w:hAnsi="Times New Roman" w:cs="Times New Roman"/>
        </w:rPr>
        <w:t>posteriórnej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reverzibilnej</w:t>
      </w:r>
    </w:p>
    <w:p w14:paraId="0BAAE513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704D8">
        <w:rPr>
          <w:rFonts w:ascii="Times New Roman" w:eastAsia="Times New Roman" w:hAnsi="Times New Roman" w:cs="Times New Roman"/>
        </w:rPr>
        <w:t>leukoencefalopatie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704D8">
        <w:rPr>
          <w:rFonts w:ascii="Times New Roman" w:eastAsia="Times New Roman" w:hAnsi="Times New Roman" w:cs="Times New Roman"/>
        </w:rPr>
        <w:t>reversible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</w:rPr>
        <w:t>posterior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</w:rPr>
        <w:t>leukoencephalopathy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</w:rPr>
        <w:t>syndrome</w:t>
      </w:r>
      <w:proofErr w:type="spellEnd"/>
      <w:r w:rsidRPr="002704D8">
        <w:rPr>
          <w:rFonts w:ascii="Times New Roman" w:eastAsia="Times New Roman" w:hAnsi="Times New Roman" w:cs="Times New Roman"/>
        </w:rPr>
        <w:t>, RPLS), ako je hypertenzia,</w:t>
      </w:r>
    </w:p>
    <w:p w14:paraId="3622B92F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bolesť hlavy, zníženie bdelosti, zmenené mentálne funkcie a strata zraku, vrátane </w:t>
      </w:r>
      <w:proofErr w:type="spellStart"/>
      <w:r w:rsidRPr="002704D8">
        <w:rPr>
          <w:rFonts w:ascii="Times New Roman" w:eastAsia="Times New Roman" w:hAnsi="Times New Roman" w:cs="Times New Roman"/>
        </w:rPr>
        <w:t>kortikálnej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slepoty,</w:t>
      </w:r>
    </w:p>
    <w:p w14:paraId="6D270B26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treba kontrolovať a liečiť vrátane liečby hypertenzie. Odporúča sa dočasne prerušiť liečbu</w:t>
      </w:r>
    </w:p>
    <w:p w14:paraId="0DE3B129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>; po úprave stavu sa môže liečba obnoviť podľa uváženia ošetrujúceho lekára (pozri</w:t>
      </w:r>
    </w:p>
    <w:p w14:paraId="73102B36" w14:textId="77777777" w:rsidR="00355DF2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časť 4.8).</w:t>
      </w:r>
    </w:p>
    <w:p w14:paraId="4E56B518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6E4AEF" w14:textId="77777777" w:rsidR="00355DF2" w:rsidRPr="002704D8" w:rsidRDefault="002704D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  <w:u w:val="single" w:color="000000"/>
        </w:rPr>
        <w:t xml:space="preserve">Syndróm z rozpadu nádoru (tumor </w:t>
      </w:r>
      <w:proofErr w:type="spellStart"/>
      <w:r w:rsidRPr="002704D8">
        <w:rPr>
          <w:rFonts w:ascii="Times New Roman" w:eastAsia="Times New Roman" w:hAnsi="Times New Roman" w:cs="Times New Roman"/>
          <w:u w:val="single" w:color="000000"/>
        </w:rPr>
        <w:t>lysis</w:t>
      </w:r>
      <w:proofErr w:type="spellEnd"/>
      <w:r w:rsidRPr="002704D8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  <w:u w:val="single" w:color="000000"/>
        </w:rPr>
        <w:t>syndrome</w:t>
      </w:r>
      <w:proofErr w:type="spellEnd"/>
      <w:r w:rsidRPr="002704D8">
        <w:rPr>
          <w:rFonts w:ascii="Times New Roman" w:eastAsia="Times New Roman" w:hAnsi="Times New Roman" w:cs="Times New Roman"/>
          <w:u w:val="single" w:color="000000"/>
        </w:rPr>
        <w:t>, TLS)</w:t>
      </w:r>
    </w:p>
    <w:p w14:paraId="753D9E45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Prípady TLS, niektoré smrteľné, boli zriedkavo pozorované v klinických skúšaniach a boli hlásené aj</w:t>
      </w:r>
    </w:p>
    <w:p w14:paraId="57EDA930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u pacientov liečených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v rámci sledovania po uvedení lieku na trh. Rizikové faktory pre</w:t>
      </w:r>
    </w:p>
    <w:p w14:paraId="53807479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TLS zahŕňajú veľkú nádorovú masu už existujúcu chronickú </w:t>
      </w:r>
      <w:proofErr w:type="spellStart"/>
      <w:r w:rsidRPr="002704D8">
        <w:rPr>
          <w:rFonts w:ascii="Times New Roman" w:eastAsia="Times New Roman" w:hAnsi="Times New Roman" w:cs="Times New Roman"/>
        </w:rPr>
        <w:t>renálnu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</w:rPr>
        <w:t>insuficienciu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704D8">
        <w:rPr>
          <w:rFonts w:ascii="Times New Roman" w:eastAsia="Times New Roman" w:hAnsi="Times New Roman" w:cs="Times New Roman"/>
        </w:rPr>
        <w:t>oligúriu</w:t>
      </w:r>
      <w:proofErr w:type="spellEnd"/>
      <w:r w:rsidRPr="002704D8">
        <w:rPr>
          <w:rFonts w:ascii="Times New Roman" w:eastAsia="Times New Roman" w:hAnsi="Times New Roman" w:cs="Times New Roman"/>
        </w:rPr>
        <w:t>,</w:t>
      </w:r>
    </w:p>
    <w:p w14:paraId="02011E3A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dehydratáciu, hypotenziu a kyslý moč. Títo pacienti majú byť prísne monitorovaní a liečení podľa</w:t>
      </w:r>
    </w:p>
    <w:p w14:paraId="7FF1497E" w14:textId="77777777" w:rsidR="00355DF2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klinických indikácií a má sa zvážiť profylaktická hydratácia.</w:t>
      </w:r>
    </w:p>
    <w:p w14:paraId="669D7058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EBBD68" w14:textId="77777777" w:rsidR="00355DF2" w:rsidRPr="002704D8" w:rsidRDefault="002704D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  <w:u w:val="single" w:color="000000"/>
        </w:rPr>
        <w:t>Infekcie</w:t>
      </w:r>
    </w:p>
    <w:p w14:paraId="2ECE05AA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Boli hlásené závažné infekcie, s </w:t>
      </w:r>
      <w:proofErr w:type="spellStart"/>
      <w:r w:rsidRPr="002704D8">
        <w:rPr>
          <w:rFonts w:ascii="Times New Roman" w:eastAsia="Times New Roman" w:hAnsi="Times New Roman" w:cs="Times New Roman"/>
        </w:rPr>
        <w:t>neutropéniou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alebo bez nej, vrátane niektorých so smrteľnými</w:t>
      </w:r>
    </w:p>
    <w:p w14:paraId="30BC1E27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následkami. Boli hlásené menej časté prípady </w:t>
      </w:r>
      <w:proofErr w:type="spellStart"/>
      <w:r w:rsidRPr="002704D8">
        <w:rPr>
          <w:rFonts w:ascii="Times New Roman" w:eastAsia="Times New Roman" w:hAnsi="Times New Roman" w:cs="Times New Roman"/>
        </w:rPr>
        <w:t>nekrotizujúcej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</w:rPr>
        <w:t>fasciitídy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vrátane </w:t>
      </w:r>
      <w:proofErr w:type="spellStart"/>
      <w:r w:rsidRPr="002704D8">
        <w:rPr>
          <w:rFonts w:ascii="Times New Roman" w:eastAsia="Times New Roman" w:hAnsi="Times New Roman" w:cs="Times New Roman"/>
        </w:rPr>
        <w:t>perinea</w:t>
      </w:r>
      <w:proofErr w:type="spellEnd"/>
      <w:r w:rsidRPr="002704D8">
        <w:rPr>
          <w:rFonts w:ascii="Times New Roman" w:eastAsia="Times New Roman" w:hAnsi="Times New Roman" w:cs="Times New Roman"/>
        </w:rPr>
        <w:t>, niektoré</w:t>
      </w:r>
    </w:p>
    <w:p w14:paraId="3BDD9E60" w14:textId="77777777" w:rsidR="00355DF2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smrteľné (pozri časť 4.8).</w:t>
      </w:r>
    </w:p>
    <w:p w14:paraId="4011AB68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E98928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U pacientov, u ktorých sa rozvinie </w:t>
      </w:r>
      <w:proofErr w:type="spellStart"/>
      <w:r w:rsidRPr="002704D8">
        <w:rPr>
          <w:rFonts w:ascii="Times New Roman" w:eastAsia="Times New Roman" w:hAnsi="Times New Roman" w:cs="Times New Roman"/>
        </w:rPr>
        <w:t>nekrotizujúca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04D8">
        <w:rPr>
          <w:rFonts w:ascii="Times New Roman" w:eastAsia="Times New Roman" w:hAnsi="Times New Roman" w:cs="Times New Roman"/>
        </w:rPr>
        <w:t>fasciitída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, sa má liečba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ukončiť</w:t>
      </w:r>
    </w:p>
    <w:p w14:paraId="1A3F64E1" w14:textId="77777777" w:rsidR="00355DF2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a okamžite sa má začať vhodná liečba.</w:t>
      </w:r>
    </w:p>
    <w:p w14:paraId="0D0DB8B3" w14:textId="77777777" w:rsidR="002704D8" w:rsidRPr="002704D8" w:rsidRDefault="002704D8" w:rsidP="002704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736967" w14:textId="77777777" w:rsidR="00355DF2" w:rsidRPr="002704D8" w:rsidRDefault="002704D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  <w:u w:val="single" w:color="000000"/>
        </w:rPr>
        <w:t>Hypoglykémia</w:t>
      </w:r>
    </w:p>
    <w:p w14:paraId="009F89B9" w14:textId="77777777" w:rsidR="002704D8" w:rsidRPr="002704D8" w:rsidRDefault="002704D8" w:rsidP="002704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Počas liečby </w:t>
      </w:r>
      <w:proofErr w:type="spellStart"/>
      <w:r w:rsidRPr="002704D8">
        <w:rPr>
          <w:rFonts w:ascii="Times New Roman" w:eastAsia="Times New Roman" w:hAnsi="Times New Roman" w:cs="Times New Roman"/>
        </w:rPr>
        <w:t>sunitinibom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boli zaznamenané poklesy v hladine glukózy v krvi, ktoré boli v niektorých</w:t>
      </w:r>
    </w:p>
    <w:p w14:paraId="03732C38" w14:textId="77777777" w:rsidR="002704D8" w:rsidRPr="002704D8" w:rsidRDefault="002704D8" w:rsidP="002704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prípadoch klinicky symptomatické a vyžiadali si hospitalizáciu z dôvodu straty vedomia. V prípade</w:t>
      </w:r>
    </w:p>
    <w:p w14:paraId="747401AF" w14:textId="77777777" w:rsidR="002704D8" w:rsidRPr="002704D8" w:rsidRDefault="002704D8" w:rsidP="002704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symptomatickej hypoglykémie sa má podávanie </w:t>
      </w:r>
      <w:proofErr w:type="spellStart"/>
      <w:r w:rsidRPr="002704D8">
        <w:rPr>
          <w:rFonts w:ascii="Times New Roman" w:eastAsia="Times New Roman" w:hAnsi="Times New Roman" w:cs="Times New Roman"/>
        </w:rPr>
        <w:t>sunitinibu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dočasne prerušiť. U pacientov s diabetes</w:t>
      </w:r>
    </w:p>
    <w:p w14:paraId="21719BC2" w14:textId="77777777" w:rsidR="002704D8" w:rsidRPr="002704D8" w:rsidRDefault="002704D8" w:rsidP="002704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>mellitus sa majú pravidelne kontrolovať hladiny glukózy v krvi, aby sa posúdilo, či je na</w:t>
      </w:r>
    </w:p>
    <w:p w14:paraId="1E711B66" w14:textId="77777777" w:rsidR="002704D8" w:rsidRPr="002704D8" w:rsidRDefault="002704D8" w:rsidP="002704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4D8">
        <w:rPr>
          <w:rFonts w:ascii="Times New Roman" w:eastAsia="Times New Roman" w:hAnsi="Times New Roman" w:cs="Times New Roman"/>
        </w:rPr>
        <w:t xml:space="preserve">minimalizáciu rizika hypoglykémie potrebné upraviť dávkovanie </w:t>
      </w:r>
      <w:proofErr w:type="spellStart"/>
      <w:r w:rsidRPr="002704D8">
        <w:rPr>
          <w:rFonts w:ascii="Times New Roman" w:eastAsia="Times New Roman" w:hAnsi="Times New Roman" w:cs="Times New Roman"/>
        </w:rPr>
        <w:t>antidiabetického</w:t>
      </w:r>
      <w:proofErr w:type="spellEnd"/>
      <w:r w:rsidRPr="002704D8">
        <w:rPr>
          <w:rFonts w:ascii="Times New Roman" w:eastAsia="Times New Roman" w:hAnsi="Times New Roman" w:cs="Times New Roman"/>
        </w:rPr>
        <w:t xml:space="preserve"> lieku (pozri</w:t>
      </w:r>
    </w:p>
    <w:p w14:paraId="7434DB30" w14:textId="77777777" w:rsidR="00355DF2" w:rsidRPr="002704D8" w:rsidRDefault="002704D8" w:rsidP="002704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704D8">
        <w:rPr>
          <w:rFonts w:ascii="Times New Roman" w:eastAsia="Times New Roman" w:hAnsi="Times New Roman" w:cs="Times New Roman"/>
        </w:rPr>
        <w:t>časť 4.8).</w:t>
      </w:r>
    </w:p>
    <w:p w14:paraId="2AC9B70D" w14:textId="77777777" w:rsidR="00355DF2" w:rsidRPr="00544B58" w:rsidRDefault="00355DF2" w:rsidP="00355D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u w:val="single"/>
        </w:rPr>
      </w:pPr>
      <w:r w:rsidRPr="00544B58">
        <w:rPr>
          <w:rFonts w:ascii="Times New Roman" w:eastAsia="Times New Roman" w:hAnsi="Times New Roman" w:cs="Times New Roman"/>
          <w:i/>
          <w:szCs w:val="20"/>
          <w:u w:val="single"/>
        </w:rPr>
        <w:lastRenderedPageBreak/>
        <w:t>Sod</w:t>
      </w:r>
      <w:r w:rsidR="002704D8" w:rsidRPr="00544B58">
        <w:rPr>
          <w:rFonts w:ascii="Times New Roman" w:eastAsia="Times New Roman" w:hAnsi="Times New Roman" w:cs="Times New Roman"/>
          <w:i/>
          <w:szCs w:val="20"/>
          <w:u w:val="single"/>
        </w:rPr>
        <w:t>ík</w:t>
      </w:r>
    </w:p>
    <w:p w14:paraId="178035E2" w14:textId="0E898448" w:rsidR="00355DF2" w:rsidRPr="00544B58" w:rsidRDefault="002704D8" w:rsidP="00355D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544B58">
        <w:rPr>
          <w:rFonts w:ascii="Times New Roman" w:eastAsia="Times New Roman" w:hAnsi="Times New Roman" w:cs="Times New Roman"/>
          <w:szCs w:val="20"/>
        </w:rPr>
        <w:t>Tento liek obsahuje menej ako 1 mmol sodíka (23 mg) v jedn</w:t>
      </w:r>
      <w:r w:rsidR="00822971">
        <w:rPr>
          <w:rFonts w:ascii="Times New Roman" w:eastAsia="Times New Roman" w:hAnsi="Times New Roman" w:cs="Times New Roman"/>
          <w:szCs w:val="20"/>
        </w:rPr>
        <w:t>otke</w:t>
      </w:r>
      <w:r w:rsidRPr="00544B58">
        <w:rPr>
          <w:rFonts w:ascii="Times New Roman" w:eastAsia="Times New Roman" w:hAnsi="Times New Roman" w:cs="Times New Roman"/>
          <w:szCs w:val="20"/>
        </w:rPr>
        <w:t xml:space="preserve"> dávk</w:t>
      </w:r>
      <w:r w:rsidR="00822971">
        <w:rPr>
          <w:rFonts w:ascii="Times New Roman" w:eastAsia="Times New Roman" w:hAnsi="Times New Roman" w:cs="Times New Roman"/>
          <w:szCs w:val="20"/>
        </w:rPr>
        <w:t>ovania</w:t>
      </w:r>
      <w:r w:rsidRPr="00544B58">
        <w:rPr>
          <w:rFonts w:ascii="Times New Roman" w:eastAsia="Times New Roman" w:hAnsi="Times New Roman" w:cs="Times New Roman"/>
          <w:szCs w:val="20"/>
        </w:rPr>
        <w:t>, t. j. v podstate zanedbateľné množstvo sodíka.</w:t>
      </w:r>
    </w:p>
    <w:p w14:paraId="2C9FCF82" w14:textId="77777777" w:rsidR="00355DF2" w:rsidRPr="00544B58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</w:p>
    <w:p w14:paraId="09E86EBE" w14:textId="77777777" w:rsidR="00355DF2" w:rsidRPr="00544B58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544B58">
        <w:rPr>
          <w:rFonts w:ascii="Times New Roman" w:eastAsia="Times New Roman" w:hAnsi="Times New Roman" w:cs="Times New Roman"/>
          <w:b/>
          <w:szCs w:val="20"/>
        </w:rPr>
        <w:t>4.5</w:t>
      </w:r>
      <w:r w:rsidRPr="00544B58">
        <w:rPr>
          <w:rFonts w:ascii="Times New Roman" w:eastAsia="Times New Roman" w:hAnsi="Times New Roman" w:cs="Times New Roman"/>
          <w:b/>
          <w:szCs w:val="20"/>
        </w:rPr>
        <w:tab/>
      </w:r>
      <w:r w:rsidR="002704D8" w:rsidRPr="00544B58">
        <w:rPr>
          <w:rFonts w:ascii="Times New Roman" w:eastAsia="Times New Roman" w:hAnsi="Times New Roman" w:cs="Times New Roman"/>
          <w:b/>
          <w:szCs w:val="20"/>
        </w:rPr>
        <w:t>Liekové a iné interakcie</w:t>
      </w:r>
    </w:p>
    <w:p w14:paraId="34ED3190" w14:textId="77777777" w:rsidR="00355DF2" w:rsidRPr="00544B58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93202E" w14:textId="77777777" w:rsidR="00355DF2" w:rsidRPr="00544B58" w:rsidRDefault="002704D8" w:rsidP="00355DF2">
      <w:pPr>
        <w:tabs>
          <w:tab w:val="left" w:pos="567"/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Interakčné štúdie sa uskutočnili len u dospelých.</w:t>
      </w:r>
      <w:r w:rsidR="00355DF2" w:rsidRPr="00544B58">
        <w:rPr>
          <w:rFonts w:ascii="Times New Roman" w:eastAsia="Times New Roman" w:hAnsi="Times New Roman" w:cs="Times New Roman"/>
        </w:rPr>
        <w:t xml:space="preserve"> </w:t>
      </w:r>
    </w:p>
    <w:p w14:paraId="49464766" w14:textId="77777777" w:rsidR="00355DF2" w:rsidRPr="00544B58" w:rsidRDefault="00355DF2" w:rsidP="00355DF2">
      <w:pPr>
        <w:tabs>
          <w:tab w:val="left" w:pos="567"/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2DE0DC" w14:textId="77777777" w:rsidR="00355DF2" w:rsidRPr="00544B58" w:rsidRDefault="002704D8" w:rsidP="00355DF2">
      <w:pPr>
        <w:tabs>
          <w:tab w:val="left" w:pos="567"/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u w:val="single" w:color="000000"/>
        </w:rPr>
        <w:t xml:space="preserve">Lieky, ktoré môžu zvýšiť plazmatické koncentrácie </w:t>
      </w:r>
      <w:proofErr w:type="spellStart"/>
      <w:r w:rsidRPr="00544B58">
        <w:rPr>
          <w:rFonts w:ascii="Times New Roman" w:eastAsia="Times New Roman" w:hAnsi="Times New Roman" w:cs="Times New Roman"/>
          <w:u w:val="single" w:color="000000"/>
        </w:rPr>
        <w:t>sunitinibu</w:t>
      </w:r>
      <w:proofErr w:type="spellEnd"/>
    </w:p>
    <w:p w14:paraId="0318125F" w14:textId="77777777" w:rsidR="00355DF2" w:rsidRPr="00544B58" w:rsidRDefault="00495D78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before="7" w:after="0" w:line="240" w:lineRule="auto"/>
        <w:ind w:right="-20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i/>
          <w:iCs/>
          <w:w w:val="103"/>
        </w:rPr>
        <w:t>Účinok inhibítorov CYP3A4</w:t>
      </w:r>
    </w:p>
    <w:p w14:paraId="4D856DB3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Spoločné podávanie jednorazovej dávky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zdravým dobrovoľníkom so silným inhibítorom</w:t>
      </w:r>
    </w:p>
    <w:p w14:paraId="12CE45CC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CYP3A4, </w:t>
      </w:r>
      <w:proofErr w:type="spellStart"/>
      <w:r w:rsidRPr="00544B58">
        <w:rPr>
          <w:rFonts w:ascii="Times New Roman" w:eastAsia="Times New Roman" w:hAnsi="Times New Roman" w:cs="Times New Roman"/>
        </w:rPr>
        <w:t>ketokonazolom</w:t>
      </w:r>
      <w:proofErr w:type="spellEnd"/>
      <w:r w:rsidRPr="00544B58">
        <w:rPr>
          <w:rFonts w:ascii="Times New Roman" w:eastAsia="Times New Roman" w:hAnsi="Times New Roman" w:cs="Times New Roman"/>
        </w:rPr>
        <w:t>, viedlo ku 49 % zvýšeniu maximálnej koncentrácie (</w:t>
      </w:r>
      <w:proofErr w:type="spellStart"/>
      <w:r w:rsidRPr="00544B58">
        <w:rPr>
          <w:rFonts w:ascii="Times New Roman" w:eastAsia="Times New Roman" w:hAnsi="Times New Roman" w:cs="Times New Roman"/>
        </w:rPr>
        <w:t>c</w:t>
      </w:r>
      <w:r w:rsidRPr="00544B58">
        <w:rPr>
          <w:rFonts w:ascii="Times New Roman" w:eastAsia="Times New Roman" w:hAnsi="Times New Roman" w:cs="Times New Roman"/>
          <w:vertAlign w:val="subscript"/>
        </w:rPr>
        <w:t>max</w:t>
      </w:r>
      <w:proofErr w:type="spellEnd"/>
      <w:r w:rsidRPr="00544B58">
        <w:rPr>
          <w:rFonts w:ascii="Times New Roman" w:eastAsia="Times New Roman" w:hAnsi="Times New Roman" w:cs="Times New Roman"/>
        </w:rPr>
        <w:t>) komplexu</w:t>
      </w:r>
    </w:p>
    <w:p w14:paraId="0E585E75" w14:textId="77777777" w:rsidR="00355DF2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[</w:t>
      </w:r>
      <w:proofErr w:type="spellStart"/>
      <w:r w:rsidRPr="00544B58">
        <w:rPr>
          <w:rFonts w:ascii="Times New Roman" w:eastAsia="Times New Roman" w:hAnsi="Times New Roman" w:cs="Times New Roman"/>
        </w:rPr>
        <w:t>sunitinib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+ primárny metabolit] a k 51 % zvýšeniu plochy pod krivkou (AUC</w:t>
      </w:r>
      <w:r w:rsidRPr="00544B58">
        <w:rPr>
          <w:rFonts w:ascii="Times New Roman" w:eastAsia="Times New Roman" w:hAnsi="Times New Roman" w:cs="Times New Roman"/>
          <w:vertAlign w:val="subscript"/>
        </w:rPr>
        <w:t>0-∞</w:t>
      </w:r>
      <w:r w:rsidRPr="00544B58">
        <w:rPr>
          <w:rFonts w:ascii="Times New Roman" w:eastAsia="Times New Roman" w:hAnsi="Times New Roman" w:cs="Times New Roman"/>
        </w:rPr>
        <w:t>) tohto komplexu.</w:t>
      </w:r>
    </w:p>
    <w:p w14:paraId="6F2C5C95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E8B52C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Podávanie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so silnými inhibítormi CYP3A4 (napr. </w:t>
      </w:r>
      <w:proofErr w:type="spellStart"/>
      <w:r w:rsidRPr="00544B58">
        <w:rPr>
          <w:rFonts w:ascii="Times New Roman" w:eastAsia="Times New Roman" w:hAnsi="Times New Roman" w:cs="Times New Roman"/>
        </w:rPr>
        <w:t>ritonavirom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44B58">
        <w:rPr>
          <w:rFonts w:ascii="Times New Roman" w:eastAsia="Times New Roman" w:hAnsi="Times New Roman" w:cs="Times New Roman"/>
        </w:rPr>
        <w:t>itrakonazolom</w:t>
      </w:r>
      <w:proofErr w:type="spellEnd"/>
      <w:r w:rsidRPr="00544B58">
        <w:rPr>
          <w:rFonts w:ascii="Times New Roman" w:eastAsia="Times New Roman" w:hAnsi="Times New Roman" w:cs="Times New Roman"/>
        </w:rPr>
        <w:t>,</w:t>
      </w:r>
    </w:p>
    <w:p w14:paraId="617B01F8" w14:textId="77777777" w:rsidR="00355DF2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44B58">
        <w:rPr>
          <w:rFonts w:ascii="Times New Roman" w:eastAsia="Times New Roman" w:hAnsi="Times New Roman" w:cs="Times New Roman"/>
        </w:rPr>
        <w:t>erytromycínom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44B58">
        <w:rPr>
          <w:rFonts w:ascii="Times New Roman" w:eastAsia="Times New Roman" w:hAnsi="Times New Roman" w:cs="Times New Roman"/>
        </w:rPr>
        <w:t>klaritromycínom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grapefruitovou šťavou) môže zvýšiť koncentrácie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>.</w:t>
      </w:r>
    </w:p>
    <w:p w14:paraId="47076EA5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2C8AD5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Preto sa má kombináciám s CYP3A4 inhibítormi vyhnúť alebo zvážiť výber alternatívneho súčasne</w:t>
      </w:r>
    </w:p>
    <w:p w14:paraId="5ED6CD84" w14:textId="77777777" w:rsidR="00355DF2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podávaného lieku so žiadnou alebo minimálnou schopnosťou inhibovať CYP3A4.</w:t>
      </w:r>
    </w:p>
    <w:p w14:paraId="71972D60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B4A659" w14:textId="77777777" w:rsidR="00355DF2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Ak to nie je možné, dávku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</w:rPr>
        <w:t>Zentiva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bude možno potrebné znížiť na minimálnu dennú dávku 37,5 mg pre GIST a MRCC alebo 25 mg denne pre </w:t>
      </w:r>
      <w:proofErr w:type="spellStart"/>
      <w:r w:rsidRPr="00544B58">
        <w:rPr>
          <w:rFonts w:ascii="Times New Roman" w:eastAsia="Times New Roman" w:hAnsi="Times New Roman" w:cs="Times New Roman"/>
        </w:rPr>
        <w:t>pNET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na základe starostlivého monitorovania znášanlivosti (pozri časť 4.2).</w:t>
      </w:r>
    </w:p>
    <w:p w14:paraId="605E8284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C1E828" w14:textId="77777777" w:rsidR="00355DF2" w:rsidRPr="00544B58" w:rsidRDefault="00495D78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before="7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i/>
          <w:iCs/>
          <w:w w:val="103"/>
        </w:rPr>
        <w:t>Účinok inhibítorov proteínu rezistencie rakoviny prsníka (</w:t>
      </w:r>
      <w:proofErr w:type="spellStart"/>
      <w:r w:rsidRPr="00544B58">
        <w:rPr>
          <w:rFonts w:ascii="Times New Roman" w:eastAsia="Times New Roman" w:hAnsi="Times New Roman" w:cs="Times New Roman"/>
          <w:i/>
          <w:iCs/>
          <w:w w:val="103"/>
        </w:rPr>
        <w:t>Breast</w:t>
      </w:r>
      <w:proofErr w:type="spellEnd"/>
      <w:r w:rsidRPr="00544B58">
        <w:rPr>
          <w:rFonts w:ascii="Times New Roman" w:eastAsia="Times New Roman" w:hAnsi="Times New Roman" w:cs="Times New Roman"/>
          <w:i/>
          <w:iCs/>
          <w:w w:val="103"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  <w:i/>
          <w:iCs/>
          <w:w w:val="103"/>
        </w:rPr>
        <w:t>Cancer</w:t>
      </w:r>
      <w:proofErr w:type="spellEnd"/>
      <w:r w:rsidRPr="00544B58">
        <w:rPr>
          <w:rFonts w:ascii="Times New Roman" w:eastAsia="Times New Roman" w:hAnsi="Times New Roman" w:cs="Times New Roman"/>
          <w:i/>
          <w:iCs/>
          <w:w w:val="103"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  <w:i/>
          <w:iCs/>
          <w:w w:val="103"/>
        </w:rPr>
        <w:t>Resistance</w:t>
      </w:r>
      <w:proofErr w:type="spellEnd"/>
      <w:r w:rsidRPr="00544B58">
        <w:rPr>
          <w:rFonts w:ascii="Times New Roman" w:eastAsia="Times New Roman" w:hAnsi="Times New Roman" w:cs="Times New Roman"/>
          <w:i/>
          <w:iCs/>
          <w:w w:val="103"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  <w:i/>
          <w:iCs/>
          <w:w w:val="103"/>
        </w:rPr>
        <w:t>Protein</w:t>
      </w:r>
      <w:proofErr w:type="spellEnd"/>
      <w:r w:rsidRPr="00544B58">
        <w:rPr>
          <w:rFonts w:ascii="Times New Roman" w:eastAsia="Times New Roman" w:hAnsi="Times New Roman" w:cs="Times New Roman"/>
          <w:i/>
          <w:iCs/>
          <w:w w:val="103"/>
        </w:rPr>
        <w:t>, BCRP)</w:t>
      </w:r>
    </w:p>
    <w:p w14:paraId="3DF41714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O interakcii medzi </w:t>
      </w:r>
      <w:proofErr w:type="spellStart"/>
      <w:r w:rsidRPr="00544B58">
        <w:rPr>
          <w:rFonts w:ascii="Times New Roman" w:eastAsia="Times New Roman" w:hAnsi="Times New Roman" w:cs="Times New Roman"/>
        </w:rPr>
        <w:t>sunitinibom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a inhibítormi BCRP je k dispozícii len obmedzené množstvo</w:t>
      </w:r>
    </w:p>
    <w:p w14:paraId="58263E38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klinických údajov a nedá sa vylúčiť možnosť interakcie medzi </w:t>
      </w:r>
      <w:proofErr w:type="spellStart"/>
      <w:r w:rsidRPr="00544B58">
        <w:rPr>
          <w:rFonts w:ascii="Times New Roman" w:eastAsia="Times New Roman" w:hAnsi="Times New Roman" w:cs="Times New Roman"/>
        </w:rPr>
        <w:t>sunitinibom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a inými inhibítormi BCRP</w:t>
      </w:r>
    </w:p>
    <w:p w14:paraId="4E2DD005" w14:textId="77777777" w:rsidR="00355DF2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(pozri časť 5.2).</w:t>
      </w:r>
    </w:p>
    <w:p w14:paraId="4E923C50" w14:textId="77777777" w:rsidR="00495D78" w:rsidRPr="00544B58" w:rsidRDefault="00495D78" w:rsidP="0049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 w:color="000000"/>
        </w:rPr>
      </w:pPr>
    </w:p>
    <w:p w14:paraId="5B20A380" w14:textId="77777777" w:rsidR="00355DF2" w:rsidRPr="00544B58" w:rsidRDefault="00495D7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u w:val="single" w:color="000000"/>
        </w:rPr>
        <w:t xml:space="preserve">Lieky, ktoré môžu znížiť plazmatické koncentrácie </w:t>
      </w:r>
      <w:proofErr w:type="spellStart"/>
      <w:r w:rsidRPr="00544B58">
        <w:rPr>
          <w:rFonts w:ascii="Times New Roman" w:eastAsia="Times New Roman" w:hAnsi="Times New Roman" w:cs="Times New Roman"/>
          <w:u w:val="single" w:color="000000"/>
        </w:rPr>
        <w:t>sunitinibu</w:t>
      </w:r>
      <w:proofErr w:type="spellEnd"/>
    </w:p>
    <w:p w14:paraId="0E2D488F" w14:textId="77777777" w:rsidR="00355DF2" w:rsidRPr="00544B58" w:rsidRDefault="007E6745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before="9" w:after="0" w:line="240" w:lineRule="auto"/>
        <w:ind w:right="-20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i/>
          <w:iCs/>
          <w:w w:val="103"/>
        </w:rPr>
        <w:t>Účinok induktorov CYP3A4</w:t>
      </w:r>
    </w:p>
    <w:p w14:paraId="7A454E5E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Spoločné podávanie jednorazovej dávky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zdravým dobrovoľníkom s induktorom CYP3A4,</w:t>
      </w:r>
    </w:p>
    <w:p w14:paraId="4FDC63BC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44B58">
        <w:rPr>
          <w:rFonts w:ascii="Times New Roman" w:eastAsia="Times New Roman" w:hAnsi="Times New Roman" w:cs="Times New Roman"/>
        </w:rPr>
        <w:t>rifampicínom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viedlo k 23 % zníženiu </w:t>
      </w:r>
      <w:proofErr w:type="spellStart"/>
      <w:r w:rsidRPr="00544B58">
        <w:rPr>
          <w:rFonts w:ascii="Times New Roman" w:eastAsia="Times New Roman" w:hAnsi="Times New Roman" w:cs="Times New Roman"/>
        </w:rPr>
        <w:t>C</w:t>
      </w:r>
      <w:r w:rsidRPr="00544B58">
        <w:rPr>
          <w:rFonts w:ascii="Times New Roman" w:eastAsia="Times New Roman" w:hAnsi="Times New Roman" w:cs="Times New Roman"/>
          <w:vertAlign w:val="subscript"/>
        </w:rPr>
        <w:t>max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komplexu [</w:t>
      </w:r>
      <w:proofErr w:type="spellStart"/>
      <w:r w:rsidRPr="00544B58">
        <w:rPr>
          <w:rFonts w:ascii="Times New Roman" w:eastAsia="Times New Roman" w:hAnsi="Times New Roman" w:cs="Times New Roman"/>
        </w:rPr>
        <w:t>sunitinib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+ primárny metabolit] a k 46 %</w:t>
      </w:r>
    </w:p>
    <w:p w14:paraId="54EAF93D" w14:textId="77777777" w:rsidR="00355DF2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zníženiu AUC</w:t>
      </w:r>
      <w:r w:rsidRPr="00544B58">
        <w:rPr>
          <w:rFonts w:ascii="Times New Roman" w:eastAsia="Times New Roman" w:hAnsi="Times New Roman" w:cs="Times New Roman"/>
          <w:vertAlign w:val="subscript"/>
        </w:rPr>
        <w:t>0-∞</w:t>
      </w:r>
      <w:r w:rsidRPr="00544B58">
        <w:rPr>
          <w:rFonts w:ascii="Times New Roman" w:eastAsia="Times New Roman" w:hAnsi="Times New Roman" w:cs="Times New Roman"/>
        </w:rPr>
        <w:t xml:space="preserve"> tohto komplexu.</w:t>
      </w:r>
    </w:p>
    <w:p w14:paraId="5568801C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07A20B" w14:textId="4CA4760D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Podávanie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so silnými induktormi CYP3A4 (napr. </w:t>
      </w:r>
      <w:proofErr w:type="spellStart"/>
      <w:r w:rsidRPr="00544B58">
        <w:rPr>
          <w:rFonts w:ascii="Times New Roman" w:eastAsia="Times New Roman" w:hAnsi="Times New Roman" w:cs="Times New Roman"/>
        </w:rPr>
        <w:t>dexametaz</w:t>
      </w:r>
      <w:r w:rsidR="00822971">
        <w:rPr>
          <w:rFonts w:ascii="Times New Roman" w:eastAsia="Times New Roman" w:hAnsi="Times New Roman" w:cs="Times New Roman"/>
        </w:rPr>
        <w:t>ó</w:t>
      </w:r>
      <w:r w:rsidRPr="00544B58">
        <w:rPr>
          <w:rFonts w:ascii="Times New Roman" w:eastAsia="Times New Roman" w:hAnsi="Times New Roman" w:cs="Times New Roman"/>
        </w:rPr>
        <w:t>nom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44B58">
        <w:rPr>
          <w:rFonts w:ascii="Times New Roman" w:eastAsia="Times New Roman" w:hAnsi="Times New Roman" w:cs="Times New Roman"/>
        </w:rPr>
        <w:t>fenytoínom</w:t>
      </w:r>
      <w:proofErr w:type="spellEnd"/>
      <w:r w:rsidRPr="00544B58">
        <w:rPr>
          <w:rFonts w:ascii="Times New Roman" w:eastAsia="Times New Roman" w:hAnsi="Times New Roman" w:cs="Times New Roman"/>
        </w:rPr>
        <w:t>,</w:t>
      </w:r>
    </w:p>
    <w:p w14:paraId="30E03ABE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44B58">
        <w:rPr>
          <w:rFonts w:ascii="Times New Roman" w:eastAsia="Times New Roman" w:hAnsi="Times New Roman" w:cs="Times New Roman"/>
        </w:rPr>
        <w:t>karbamazepínom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44B58">
        <w:rPr>
          <w:rFonts w:ascii="Times New Roman" w:eastAsia="Times New Roman" w:hAnsi="Times New Roman" w:cs="Times New Roman"/>
        </w:rPr>
        <w:t>rifampicínom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44B58">
        <w:rPr>
          <w:rFonts w:ascii="Times New Roman" w:eastAsia="Times New Roman" w:hAnsi="Times New Roman" w:cs="Times New Roman"/>
        </w:rPr>
        <w:t>fenobarbitalom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544B58">
        <w:rPr>
          <w:rFonts w:ascii="Times New Roman" w:eastAsia="Times New Roman" w:hAnsi="Times New Roman" w:cs="Times New Roman"/>
        </w:rPr>
        <w:t>fytofarmakami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obsahujúcimi ľubovník</w:t>
      </w:r>
    </w:p>
    <w:p w14:paraId="253A4E16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bodkovaný/</w:t>
      </w:r>
      <w:proofErr w:type="spellStart"/>
      <w:r w:rsidRPr="00544B58">
        <w:rPr>
          <w:rFonts w:ascii="Times New Roman" w:eastAsia="Times New Roman" w:hAnsi="Times New Roman" w:cs="Times New Roman"/>
          <w:i/>
        </w:rPr>
        <w:t>Hypericum</w:t>
      </w:r>
      <w:proofErr w:type="spellEnd"/>
      <w:r w:rsidRPr="00544B58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  <w:i/>
        </w:rPr>
        <w:t>perforatum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) môže znížiť koncentrácie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>. Preto sa má kombináciám</w:t>
      </w:r>
    </w:p>
    <w:p w14:paraId="48D26B46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s CYP3A4 induktormi vyhnúť, prípadne zvážiť výber alternatívneho súčasne podávaného lieku so</w:t>
      </w:r>
    </w:p>
    <w:p w14:paraId="4B6A28A2" w14:textId="77777777" w:rsidR="00355DF2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žiadnou alebo minimálnou schopnosťou indukovať CYP3A4. Ak to nie je možné, dávku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</w:rPr>
        <w:t>Zentiva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bude možno potrebné zvýšiť po 12,5 mg prídavkoch (až na 87,5 mg/deň pre GIST a MRCC alebo 62,5 mg pre </w:t>
      </w:r>
      <w:proofErr w:type="spellStart"/>
      <w:r w:rsidRPr="00544B58">
        <w:rPr>
          <w:rFonts w:ascii="Times New Roman" w:eastAsia="Times New Roman" w:hAnsi="Times New Roman" w:cs="Times New Roman"/>
        </w:rPr>
        <w:t>pNET</w:t>
      </w:r>
      <w:proofErr w:type="spellEnd"/>
      <w:r w:rsidRPr="00544B58">
        <w:rPr>
          <w:rFonts w:ascii="Times New Roman" w:eastAsia="Times New Roman" w:hAnsi="Times New Roman" w:cs="Times New Roman"/>
        </w:rPr>
        <w:t>) na základe starostlivého monitorovania znášanlivosti (pozri časť 4.2).</w:t>
      </w:r>
    </w:p>
    <w:p w14:paraId="42A59E47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B5D1F2" w14:textId="77777777" w:rsidR="00355DF2" w:rsidRPr="00544B58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544B58">
        <w:rPr>
          <w:rFonts w:ascii="Times New Roman" w:eastAsia="Times New Roman" w:hAnsi="Times New Roman" w:cs="Times New Roman"/>
          <w:b/>
          <w:szCs w:val="20"/>
        </w:rPr>
        <w:t>4.6</w:t>
      </w:r>
      <w:r w:rsidRPr="00544B58">
        <w:rPr>
          <w:rFonts w:ascii="Times New Roman" w:eastAsia="Times New Roman" w:hAnsi="Times New Roman" w:cs="Times New Roman"/>
          <w:b/>
          <w:szCs w:val="20"/>
        </w:rPr>
        <w:tab/>
      </w:r>
      <w:proofErr w:type="spellStart"/>
      <w:r w:rsidR="007E6745" w:rsidRPr="00544B58">
        <w:rPr>
          <w:rFonts w:ascii="Times New Roman" w:eastAsia="Times New Roman" w:hAnsi="Times New Roman" w:cs="Times New Roman"/>
          <w:b/>
          <w:szCs w:val="20"/>
        </w:rPr>
        <w:t>Fertilita</w:t>
      </w:r>
      <w:proofErr w:type="spellEnd"/>
      <w:r w:rsidR="007E6745" w:rsidRPr="00544B58">
        <w:rPr>
          <w:rFonts w:ascii="Times New Roman" w:eastAsia="Times New Roman" w:hAnsi="Times New Roman" w:cs="Times New Roman"/>
          <w:b/>
          <w:szCs w:val="20"/>
        </w:rPr>
        <w:t>, gravidita a laktácia</w:t>
      </w:r>
    </w:p>
    <w:p w14:paraId="68442E0B" w14:textId="77777777" w:rsidR="00355DF2" w:rsidRPr="00544B58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1AA742E0" w14:textId="77777777" w:rsidR="00355DF2" w:rsidRPr="00544B58" w:rsidRDefault="007E6745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u w:val="single" w:color="000000"/>
        </w:rPr>
        <w:t>Antikoncepcia u mužov a žien</w:t>
      </w:r>
    </w:p>
    <w:p w14:paraId="1DBD4DEA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Ženy vo fertilnom veku majú byť poučené, aby počas liečby </w:t>
      </w:r>
      <w:proofErr w:type="spellStart"/>
      <w:r w:rsidRPr="00544B58">
        <w:rPr>
          <w:rFonts w:ascii="Times New Roman" w:eastAsia="Times New Roman" w:hAnsi="Times New Roman" w:cs="Times New Roman"/>
        </w:rPr>
        <w:t>sunitinibom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používali účinnú antikoncepciu</w:t>
      </w:r>
    </w:p>
    <w:p w14:paraId="0262C8E0" w14:textId="77777777" w:rsidR="00355DF2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a vyhli sa tak otehotneniu.</w:t>
      </w:r>
    </w:p>
    <w:p w14:paraId="22C0FC10" w14:textId="77777777" w:rsidR="007E6745" w:rsidRPr="00544B58" w:rsidRDefault="007E6745" w:rsidP="007E67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92BE9D" w14:textId="77777777" w:rsidR="00355DF2" w:rsidRPr="00544B58" w:rsidRDefault="007E6745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u w:val="single" w:color="000000"/>
        </w:rPr>
        <w:t>Gravidita</w:t>
      </w:r>
    </w:p>
    <w:p w14:paraId="78A784D8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Nie sú k dispozícii žiadne štúdie o použití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u gravidných žien. Štúdie na zvieratách</w:t>
      </w:r>
    </w:p>
    <w:p w14:paraId="4DA03D51" w14:textId="77777777" w:rsidR="00355DF2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preukázali reprodukčnú toxicitu vrátane </w:t>
      </w:r>
      <w:proofErr w:type="spellStart"/>
      <w:r w:rsidRPr="00544B58">
        <w:rPr>
          <w:rFonts w:ascii="Times New Roman" w:eastAsia="Times New Roman" w:hAnsi="Times New Roman" w:cs="Times New Roman"/>
        </w:rPr>
        <w:t>malformácií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plodu (pozri časť 5.3). </w:t>
      </w:r>
      <w:proofErr w:type="spellStart"/>
      <w:r w:rsidRPr="00544B58">
        <w:rPr>
          <w:rFonts w:ascii="Times New Roman" w:eastAsia="Times New Roman" w:hAnsi="Times New Roman" w:cs="Times New Roman"/>
        </w:rPr>
        <w:t>Sunitinib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44B58">
        <w:rPr>
          <w:rFonts w:ascii="Times New Roman" w:eastAsia="Times New Roman" w:hAnsi="Times New Roman" w:cs="Times New Roman"/>
        </w:rPr>
        <w:t>Zentiva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sa má používať počas gravidity alebo u žien, ktoré nepoužívajú účinnú antikoncepciu iba v prípade, že potenciálny prínos prevyšuje potenciálne riziko pre plod. Ak sa </w:t>
      </w:r>
      <w:proofErr w:type="spellStart"/>
      <w:r w:rsidRPr="00544B58">
        <w:rPr>
          <w:rFonts w:ascii="Times New Roman" w:eastAsia="Times New Roman" w:hAnsi="Times New Roman" w:cs="Times New Roman"/>
        </w:rPr>
        <w:t>sunitinib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používa počas gravidity, alebo ak pacientka otehotnie počas liečby </w:t>
      </w:r>
      <w:proofErr w:type="spellStart"/>
      <w:r w:rsidRPr="00544B58">
        <w:rPr>
          <w:rFonts w:ascii="Times New Roman" w:eastAsia="Times New Roman" w:hAnsi="Times New Roman" w:cs="Times New Roman"/>
        </w:rPr>
        <w:t>sunitinibom</w:t>
      </w:r>
      <w:proofErr w:type="spellEnd"/>
      <w:r w:rsidRPr="00544B58">
        <w:rPr>
          <w:rFonts w:ascii="Times New Roman" w:eastAsia="Times New Roman" w:hAnsi="Times New Roman" w:cs="Times New Roman"/>
        </w:rPr>
        <w:t>, musí byť oboznámená s možným rizikom pre plod.</w:t>
      </w:r>
    </w:p>
    <w:p w14:paraId="175D272B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B44ED2" w14:textId="77777777" w:rsidR="00355DF2" w:rsidRPr="00544B58" w:rsidRDefault="00544B5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  <w:u w:val="single" w:color="000000"/>
        </w:rPr>
        <w:lastRenderedPageBreak/>
        <w:t>Dojčenie</w:t>
      </w:r>
    </w:p>
    <w:p w14:paraId="7F40C2F3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44B58">
        <w:rPr>
          <w:rFonts w:ascii="Times New Roman" w:eastAsia="Times New Roman" w:hAnsi="Times New Roman" w:cs="Times New Roman"/>
        </w:rPr>
        <w:t>Sunitinib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a/alebo jeho metabolity sa u potkanov vylučujú do materského mlieka. Nie je známe, či sa</w:t>
      </w:r>
    </w:p>
    <w:p w14:paraId="7283DD6F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44B58">
        <w:rPr>
          <w:rFonts w:ascii="Times New Roman" w:eastAsia="Times New Roman" w:hAnsi="Times New Roman" w:cs="Times New Roman"/>
        </w:rPr>
        <w:t>sunitinib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alebo jeho primárny aktívny metabolit vylučujú do materského mlieka u človeka. Vzhľadom</w:t>
      </w:r>
    </w:p>
    <w:p w14:paraId="47D2E096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>na to, že u človeka sa liečivá obvykle vylučujú do materského mlieka ako aj kvôli potenciálnemu</w:t>
      </w:r>
    </w:p>
    <w:p w14:paraId="7FFEBEAB" w14:textId="77777777" w:rsidR="00355DF2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riziku závažných nežiaducich reakcií u dojčených detí, ženy nesmú dojčiť počas užívania </w:t>
      </w:r>
      <w:proofErr w:type="spellStart"/>
      <w:r w:rsidRPr="00544B58">
        <w:rPr>
          <w:rFonts w:ascii="Times New Roman" w:eastAsia="Times New Roman" w:hAnsi="Times New Roman" w:cs="Times New Roman"/>
        </w:rPr>
        <w:t>sunitinibu</w:t>
      </w:r>
      <w:proofErr w:type="spellEnd"/>
      <w:r w:rsidRPr="00544B58">
        <w:rPr>
          <w:rFonts w:ascii="Times New Roman" w:eastAsia="Times New Roman" w:hAnsi="Times New Roman" w:cs="Times New Roman"/>
        </w:rPr>
        <w:t>.</w:t>
      </w:r>
    </w:p>
    <w:p w14:paraId="6AE5A0B4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52F987" w14:textId="77777777" w:rsidR="00355DF2" w:rsidRPr="00544B58" w:rsidRDefault="00544B5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44B58">
        <w:rPr>
          <w:rFonts w:ascii="Times New Roman" w:eastAsia="Times New Roman" w:hAnsi="Times New Roman" w:cs="Times New Roman"/>
          <w:u w:val="single" w:color="000000"/>
        </w:rPr>
        <w:t>Fertilita</w:t>
      </w:r>
      <w:proofErr w:type="spellEnd"/>
    </w:p>
    <w:p w14:paraId="383B6551" w14:textId="77777777" w:rsidR="00544B58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Podľa výsledkov predklinických skúmaní môže liečba </w:t>
      </w:r>
      <w:proofErr w:type="spellStart"/>
      <w:r w:rsidRPr="00544B58">
        <w:rPr>
          <w:rFonts w:ascii="Times New Roman" w:eastAsia="Times New Roman" w:hAnsi="Times New Roman" w:cs="Times New Roman"/>
        </w:rPr>
        <w:t>sunitinibom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nepriaznivo vplývať na mužskú</w:t>
      </w:r>
    </w:p>
    <w:p w14:paraId="59AAB3E2" w14:textId="77777777" w:rsidR="00355DF2" w:rsidRPr="00544B58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4B58">
        <w:rPr>
          <w:rFonts w:ascii="Times New Roman" w:eastAsia="Times New Roman" w:hAnsi="Times New Roman" w:cs="Times New Roman"/>
        </w:rPr>
        <w:t xml:space="preserve">a ženskú </w:t>
      </w:r>
      <w:proofErr w:type="spellStart"/>
      <w:r w:rsidRPr="00544B58">
        <w:rPr>
          <w:rFonts w:ascii="Times New Roman" w:eastAsia="Times New Roman" w:hAnsi="Times New Roman" w:cs="Times New Roman"/>
        </w:rPr>
        <w:t>fertilitu</w:t>
      </w:r>
      <w:proofErr w:type="spellEnd"/>
      <w:r w:rsidRPr="00544B58">
        <w:rPr>
          <w:rFonts w:ascii="Times New Roman" w:eastAsia="Times New Roman" w:hAnsi="Times New Roman" w:cs="Times New Roman"/>
        </w:rPr>
        <w:t xml:space="preserve"> (pozri časť 5.3).</w:t>
      </w:r>
    </w:p>
    <w:p w14:paraId="04C3CEAE" w14:textId="77777777" w:rsidR="00544B58" w:rsidRPr="00C80AFA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6DC9A10" w14:textId="77777777" w:rsidR="00355DF2" w:rsidRPr="00C80AFA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C80AFA">
        <w:rPr>
          <w:rFonts w:ascii="Times New Roman" w:eastAsia="Times New Roman" w:hAnsi="Times New Roman" w:cs="Times New Roman"/>
          <w:b/>
          <w:szCs w:val="20"/>
        </w:rPr>
        <w:t>4.7</w:t>
      </w:r>
      <w:r w:rsidRPr="00C80AFA">
        <w:rPr>
          <w:rFonts w:ascii="Times New Roman" w:eastAsia="Times New Roman" w:hAnsi="Times New Roman" w:cs="Times New Roman"/>
          <w:b/>
          <w:szCs w:val="20"/>
        </w:rPr>
        <w:tab/>
      </w:r>
      <w:r w:rsidR="00544B58" w:rsidRPr="00C80AFA">
        <w:rPr>
          <w:rFonts w:ascii="Times New Roman" w:eastAsia="Times New Roman" w:hAnsi="Times New Roman" w:cs="Times New Roman"/>
          <w:b/>
          <w:szCs w:val="20"/>
        </w:rPr>
        <w:t>Ovplyvnenie schopnosti viesť vozidlá a obsluhovať stroje</w:t>
      </w:r>
    </w:p>
    <w:p w14:paraId="380F4223" w14:textId="77777777" w:rsidR="00355DF2" w:rsidRPr="00C80AFA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C6908E3" w14:textId="77777777" w:rsidR="00544B58" w:rsidRPr="00C80AFA" w:rsidRDefault="00355DF2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80AFA">
        <w:rPr>
          <w:rFonts w:ascii="Times New Roman" w:eastAsia="Times New Roman" w:hAnsi="Times New Roman" w:cs="Times New Roman"/>
        </w:rPr>
        <w:t>Sunitinib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</w:t>
      </w:r>
      <w:r w:rsidR="00544B58" w:rsidRPr="00C80AFA">
        <w:rPr>
          <w:rFonts w:ascii="Times New Roman" w:eastAsia="Times New Roman" w:hAnsi="Times New Roman" w:cs="Times New Roman"/>
        </w:rPr>
        <w:t>má malý vplyv na schopnosť viesť vozidlá a obsluhovať stroje. Pacienti majú byť poučení, že</w:t>
      </w:r>
    </w:p>
    <w:p w14:paraId="2486D3F1" w14:textId="77777777" w:rsidR="00355DF2" w:rsidRPr="00C80AFA" w:rsidRDefault="00544B58" w:rsidP="00544B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 xml:space="preserve">sa u nich počas liečby </w:t>
      </w:r>
      <w:proofErr w:type="spellStart"/>
      <w:r w:rsidRPr="00C80AFA">
        <w:rPr>
          <w:rFonts w:ascii="Times New Roman" w:eastAsia="Times New Roman" w:hAnsi="Times New Roman" w:cs="Times New Roman"/>
        </w:rPr>
        <w:t>sunitinibom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môžu vyskytnúť závraty.</w:t>
      </w:r>
    </w:p>
    <w:p w14:paraId="637D9878" w14:textId="77777777" w:rsidR="00355DF2" w:rsidRPr="00C80AFA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4F1E37" w14:textId="77777777" w:rsidR="00355DF2" w:rsidRPr="00C80AFA" w:rsidRDefault="00544B58" w:rsidP="00544B5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C80AFA">
        <w:rPr>
          <w:rFonts w:ascii="Times New Roman" w:eastAsia="Times New Roman" w:hAnsi="Times New Roman" w:cs="Times New Roman"/>
          <w:b/>
          <w:szCs w:val="20"/>
        </w:rPr>
        <w:t>Nežiaduce účinky</w:t>
      </w:r>
    </w:p>
    <w:p w14:paraId="4A471007" w14:textId="77777777" w:rsidR="00355DF2" w:rsidRPr="00C80AFA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3EB389" w14:textId="77777777" w:rsidR="00355DF2" w:rsidRPr="00C80AFA" w:rsidRDefault="00544B5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  <w:u w:val="single" w:color="000000"/>
        </w:rPr>
        <w:t>Súhrn bezpečnostného profilu</w:t>
      </w:r>
    </w:p>
    <w:p w14:paraId="377A6430" w14:textId="5C51BDE4" w:rsidR="00355DF2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 xml:space="preserve">Najzávažnejšie nežiaduce reakcie spájané so </w:t>
      </w:r>
      <w:proofErr w:type="spellStart"/>
      <w:r w:rsidRPr="00C80AFA">
        <w:rPr>
          <w:rFonts w:ascii="Times New Roman" w:eastAsia="Times New Roman" w:hAnsi="Times New Roman" w:cs="Times New Roman"/>
        </w:rPr>
        <w:t>sunitinibom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, niekedy fatálne, sú </w:t>
      </w:r>
      <w:proofErr w:type="spellStart"/>
      <w:r w:rsidRPr="00C80AFA">
        <w:rPr>
          <w:rFonts w:ascii="Times New Roman" w:eastAsia="Times New Roman" w:hAnsi="Times New Roman" w:cs="Times New Roman"/>
        </w:rPr>
        <w:t>renálne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zlyhanie, srdcové zlyhanie, pľúcna embólia, gastrointestinálna perforácia a </w:t>
      </w:r>
      <w:proofErr w:type="spellStart"/>
      <w:r w:rsidRPr="00C80AFA">
        <w:rPr>
          <w:rFonts w:ascii="Times New Roman" w:eastAsia="Times New Roman" w:hAnsi="Times New Roman" w:cs="Times New Roman"/>
        </w:rPr>
        <w:t>hemorágie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(napr. krvácanie z dýchacej sústavy, gastrointestinálneho traktu,</w:t>
      </w:r>
      <w:r w:rsidRPr="00C80AFA">
        <w:t xml:space="preserve"> </w:t>
      </w:r>
      <w:r w:rsidRPr="00C80AFA">
        <w:rPr>
          <w:rFonts w:ascii="Times New Roman" w:eastAsia="Times New Roman" w:hAnsi="Times New Roman" w:cs="Times New Roman"/>
        </w:rPr>
        <w:t>krvácanie do nádoru, močových ciest, a do mozgu).</w:t>
      </w:r>
      <w:r w:rsidRPr="00C80AFA">
        <w:t xml:space="preserve"> </w:t>
      </w:r>
      <w:r w:rsidRPr="00C80AFA">
        <w:rPr>
          <w:rFonts w:ascii="Times New Roman" w:eastAsia="Times New Roman" w:hAnsi="Times New Roman" w:cs="Times New Roman"/>
        </w:rPr>
        <w:t xml:space="preserve">Najčastejšie nežiaduce reakcie akéhokoľvek stupňa závažnosti (s výskytom u pacientov v registračných klinických skúšaniach s RCC, GIST a </w:t>
      </w:r>
      <w:proofErr w:type="spellStart"/>
      <w:r w:rsidRPr="00C80AFA">
        <w:rPr>
          <w:rFonts w:ascii="Times New Roman" w:eastAsia="Times New Roman" w:hAnsi="Times New Roman" w:cs="Times New Roman"/>
        </w:rPr>
        <w:t>pNET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) zahŕňali: zníženú chuť do jedla, poruchu chuti, hypertenziu, únavu, gastrointestinálne poruchy (napr. hnačku, nevoľnosť, </w:t>
      </w:r>
      <w:proofErr w:type="spellStart"/>
      <w:r w:rsidRPr="00C80AFA">
        <w:rPr>
          <w:rFonts w:ascii="Times New Roman" w:eastAsia="Times New Roman" w:hAnsi="Times New Roman" w:cs="Times New Roman"/>
        </w:rPr>
        <w:t>stomatitídu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0AFA">
        <w:rPr>
          <w:rFonts w:ascii="Times New Roman" w:eastAsia="Times New Roman" w:hAnsi="Times New Roman" w:cs="Times New Roman"/>
        </w:rPr>
        <w:t>dyspepsi</w:t>
      </w:r>
      <w:r w:rsidR="00822971">
        <w:rPr>
          <w:rFonts w:ascii="Times New Roman" w:eastAsia="Times New Roman" w:hAnsi="Times New Roman" w:cs="Times New Roman"/>
        </w:rPr>
        <w:t>u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a vracanie), zmeny sfarbenia kože, syndróm </w:t>
      </w:r>
      <w:proofErr w:type="spellStart"/>
      <w:r w:rsidRPr="00C80AFA">
        <w:rPr>
          <w:rFonts w:ascii="Times New Roman" w:eastAsia="Times New Roman" w:hAnsi="Times New Roman" w:cs="Times New Roman"/>
        </w:rPr>
        <w:t>palmárno-plantárnej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0AFA">
        <w:rPr>
          <w:rFonts w:ascii="Times New Roman" w:eastAsia="Times New Roman" w:hAnsi="Times New Roman" w:cs="Times New Roman"/>
        </w:rPr>
        <w:t>erytrodyzestézie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. Tieto príznaky môžu slabnúť pri pokračovaní liečby. Počas liečby sa môže vyvinúť </w:t>
      </w:r>
      <w:proofErr w:type="spellStart"/>
      <w:r w:rsidRPr="00C80AFA">
        <w:rPr>
          <w:rFonts w:ascii="Times New Roman" w:eastAsia="Times New Roman" w:hAnsi="Times New Roman" w:cs="Times New Roman"/>
        </w:rPr>
        <w:t>hypotyreóza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. Hematologické poruchy (napr. </w:t>
      </w:r>
      <w:proofErr w:type="spellStart"/>
      <w:r w:rsidRPr="00C80AFA">
        <w:rPr>
          <w:rFonts w:ascii="Times New Roman" w:eastAsia="Times New Roman" w:hAnsi="Times New Roman" w:cs="Times New Roman"/>
        </w:rPr>
        <w:t>neutropénia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0AFA">
        <w:rPr>
          <w:rFonts w:ascii="Times New Roman" w:eastAsia="Times New Roman" w:hAnsi="Times New Roman" w:cs="Times New Roman"/>
        </w:rPr>
        <w:t>trombocytopénia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a anémia) patria medzi najčastejšie sa vyskytujúce nežiaduce reakcie.</w:t>
      </w:r>
    </w:p>
    <w:p w14:paraId="6D6261F9" w14:textId="77777777" w:rsidR="00355DF2" w:rsidRPr="00C80AFA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5573CE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Smrteľné príhody, iné ako sú uvedené v časti 4.4 vyššie alebo v časti 4.8 nižšie, ktoré sa považovali za</w:t>
      </w:r>
    </w:p>
    <w:p w14:paraId="5348AAD5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 xml:space="preserve">pravdepodobne súvisiace so </w:t>
      </w:r>
      <w:proofErr w:type="spellStart"/>
      <w:r w:rsidRPr="00C80AFA">
        <w:rPr>
          <w:rFonts w:ascii="Times New Roman" w:eastAsia="Times New Roman" w:hAnsi="Times New Roman" w:cs="Times New Roman"/>
        </w:rPr>
        <w:t>sunitinibom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, zahŕňali </w:t>
      </w:r>
      <w:proofErr w:type="spellStart"/>
      <w:r w:rsidRPr="00C80AFA">
        <w:rPr>
          <w:rFonts w:ascii="Times New Roman" w:eastAsia="Times New Roman" w:hAnsi="Times New Roman" w:cs="Times New Roman"/>
        </w:rPr>
        <w:t>multiorgánové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zlyhanie, rozptýlenú </w:t>
      </w:r>
      <w:proofErr w:type="spellStart"/>
      <w:r w:rsidRPr="00C80AFA">
        <w:rPr>
          <w:rFonts w:ascii="Times New Roman" w:eastAsia="Times New Roman" w:hAnsi="Times New Roman" w:cs="Times New Roman"/>
        </w:rPr>
        <w:t>intravaskulárnu</w:t>
      </w:r>
      <w:proofErr w:type="spellEnd"/>
    </w:p>
    <w:p w14:paraId="25CE971B" w14:textId="77777777" w:rsidR="00355DF2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 xml:space="preserve">koaguláciu, peritoneálne krvácanie, </w:t>
      </w:r>
      <w:proofErr w:type="spellStart"/>
      <w:r w:rsidRPr="00C80AFA">
        <w:rPr>
          <w:rFonts w:ascii="Times New Roman" w:eastAsia="Times New Roman" w:hAnsi="Times New Roman" w:cs="Times New Roman"/>
        </w:rPr>
        <w:t>insuficienciu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nadobličiek, </w:t>
      </w:r>
      <w:proofErr w:type="spellStart"/>
      <w:r w:rsidRPr="00C80AFA">
        <w:rPr>
          <w:rFonts w:ascii="Times New Roman" w:eastAsia="Times New Roman" w:hAnsi="Times New Roman" w:cs="Times New Roman"/>
        </w:rPr>
        <w:t>pneumotorax</w:t>
      </w:r>
      <w:proofErr w:type="spellEnd"/>
      <w:r w:rsidRPr="00C80AFA">
        <w:rPr>
          <w:rFonts w:ascii="Times New Roman" w:eastAsia="Times New Roman" w:hAnsi="Times New Roman" w:cs="Times New Roman"/>
        </w:rPr>
        <w:t>, šok a náhlu smrť.</w:t>
      </w:r>
    </w:p>
    <w:p w14:paraId="0187A59A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E8C0AA" w14:textId="77777777" w:rsidR="00355DF2" w:rsidRPr="00C80AFA" w:rsidRDefault="0001187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  <w:u w:val="single" w:color="000000"/>
        </w:rPr>
        <w:t>Tabuľkový zoznam nežiaducich reakcií</w:t>
      </w:r>
    </w:p>
    <w:p w14:paraId="3B340AAF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 xml:space="preserve">Nežiaduce reakcie, ktoré boli hlásené u pacientov s GIST, MRCC a </w:t>
      </w:r>
      <w:proofErr w:type="spellStart"/>
      <w:r w:rsidRPr="00C80AFA">
        <w:rPr>
          <w:rFonts w:ascii="Times New Roman" w:eastAsia="Times New Roman" w:hAnsi="Times New Roman" w:cs="Times New Roman"/>
        </w:rPr>
        <w:t>pNET</w:t>
      </w:r>
      <w:proofErr w:type="spellEnd"/>
      <w:r w:rsidRPr="00C80AFA">
        <w:rPr>
          <w:rFonts w:ascii="Times New Roman" w:eastAsia="Times New Roman" w:hAnsi="Times New Roman" w:cs="Times New Roman"/>
        </w:rPr>
        <w:t xml:space="preserve"> v spoločnom súbore údajov</w:t>
      </w:r>
    </w:p>
    <w:p w14:paraId="568AA11B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o 7 115 pacientoch, sú uvedené nižšie a zoradené podľa tried orgánových systémov a frekvencie</w:t>
      </w:r>
    </w:p>
    <w:p w14:paraId="1F53783B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a stupňa závažnosti (NCI-CTCAE). Uvedené sú aj nežiaduce reakcie identifikované v klinických</w:t>
      </w:r>
    </w:p>
    <w:p w14:paraId="603826BB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štúdiách po uvedení lieku na trh. V rámci jednotlivých skupín frekvencií sú nežiaduce účinky</w:t>
      </w:r>
    </w:p>
    <w:p w14:paraId="6532AFB8" w14:textId="77777777" w:rsidR="00355DF2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usporiadané v poradí klesajúcej závažnosti.</w:t>
      </w:r>
    </w:p>
    <w:p w14:paraId="648C133D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CAEC7D" w14:textId="77777777" w:rsidR="00011874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Frekvencie sú definované ako: veľmi časté</w:t>
      </w:r>
      <w:r w:rsidR="00355DF2" w:rsidRPr="00C80AFA">
        <w:rPr>
          <w:rFonts w:ascii="Times New Roman" w:eastAsia="Times New Roman" w:hAnsi="Times New Roman" w:cs="Times New Roman"/>
        </w:rPr>
        <w:t xml:space="preserve"> (≥1/10), </w:t>
      </w:r>
      <w:r w:rsidRPr="00C80AFA">
        <w:rPr>
          <w:rFonts w:ascii="Times New Roman" w:eastAsia="Times New Roman" w:hAnsi="Times New Roman" w:cs="Times New Roman"/>
        </w:rPr>
        <w:t>časté</w:t>
      </w:r>
      <w:r w:rsidR="00355DF2" w:rsidRPr="00C80AFA">
        <w:rPr>
          <w:rFonts w:ascii="Times New Roman" w:eastAsia="Times New Roman" w:hAnsi="Times New Roman" w:cs="Times New Roman"/>
        </w:rPr>
        <w:t xml:space="preserve"> (≥1/100 </w:t>
      </w:r>
      <w:r w:rsidRPr="00C80AFA">
        <w:rPr>
          <w:rFonts w:ascii="Times New Roman" w:eastAsia="Times New Roman" w:hAnsi="Times New Roman" w:cs="Times New Roman"/>
        </w:rPr>
        <w:t>až</w:t>
      </w:r>
      <w:r w:rsidR="00355DF2" w:rsidRPr="00C80AFA">
        <w:rPr>
          <w:rFonts w:ascii="Times New Roman" w:eastAsia="Times New Roman" w:hAnsi="Times New Roman" w:cs="Times New Roman"/>
        </w:rPr>
        <w:t xml:space="preserve"> &lt;1/10), </w:t>
      </w:r>
      <w:r w:rsidRPr="00C80AFA">
        <w:rPr>
          <w:rFonts w:ascii="Times New Roman" w:eastAsia="Times New Roman" w:hAnsi="Times New Roman" w:cs="Times New Roman"/>
        </w:rPr>
        <w:t>menej časté</w:t>
      </w:r>
      <w:r w:rsidR="00355DF2" w:rsidRPr="00C80AFA">
        <w:rPr>
          <w:rFonts w:ascii="Times New Roman" w:eastAsia="Times New Roman" w:hAnsi="Times New Roman" w:cs="Times New Roman"/>
        </w:rPr>
        <w:t xml:space="preserve"> (≥1/1,000 </w:t>
      </w:r>
      <w:r w:rsidRPr="00C80AFA">
        <w:rPr>
          <w:rFonts w:ascii="Times New Roman" w:eastAsia="Times New Roman" w:hAnsi="Times New Roman" w:cs="Times New Roman"/>
        </w:rPr>
        <w:t>až</w:t>
      </w:r>
      <w:r w:rsidR="00355DF2" w:rsidRPr="00C80AFA">
        <w:rPr>
          <w:rFonts w:ascii="Times New Roman" w:eastAsia="Times New Roman" w:hAnsi="Times New Roman" w:cs="Times New Roman"/>
        </w:rPr>
        <w:t xml:space="preserve"> &lt;1/100), </w:t>
      </w:r>
      <w:r w:rsidRPr="00C80AFA">
        <w:rPr>
          <w:rFonts w:ascii="Times New Roman" w:eastAsia="Times New Roman" w:hAnsi="Times New Roman" w:cs="Times New Roman"/>
        </w:rPr>
        <w:t>zriedkavé (≥1/10,000 až</w:t>
      </w:r>
      <w:r w:rsidR="00355DF2" w:rsidRPr="00C80AFA">
        <w:rPr>
          <w:rFonts w:ascii="Times New Roman" w:eastAsia="Times New Roman" w:hAnsi="Times New Roman" w:cs="Times New Roman"/>
        </w:rPr>
        <w:t xml:space="preserve"> </w:t>
      </w:r>
      <w:r w:rsidR="00355DF2" w:rsidRPr="00C80AFA">
        <w:rPr>
          <w:rFonts w:ascii="Times New Roman" w:eastAsia="Times New Roman" w:hAnsi="Times New Roman" w:cs="Times New Roman"/>
          <w:sz w:val="20"/>
          <w:szCs w:val="20"/>
        </w:rPr>
        <w:t>&lt;</w:t>
      </w:r>
      <w:r w:rsidR="00355DF2" w:rsidRPr="00C80AFA">
        <w:rPr>
          <w:rFonts w:ascii="Times New Roman" w:eastAsia="Times New Roman" w:hAnsi="Times New Roman" w:cs="Times New Roman"/>
        </w:rPr>
        <w:t xml:space="preserve">1/1,000), </w:t>
      </w:r>
      <w:r w:rsidRPr="00C80AFA">
        <w:rPr>
          <w:rFonts w:ascii="Times New Roman" w:eastAsia="Times New Roman" w:hAnsi="Times New Roman" w:cs="Times New Roman"/>
        </w:rPr>
        <w:t>veľmi zriedkavé</w:t>
      </w:r>
      <w:r w:rsidR="00355DF2" w:rsidRPr="00C80AFA">
        <w:rPr>
          <w:rFonts w:ascii="Times New Roman" w:eastAsia="Times New Roman" w:hAnsi="Times New Roman" w:cs="Times New Roman"/>
        </w:rPr>
        <w:t xml:space="preserve"> (&lt;1/10,000), </w:t>
      </w:r>
      <w:r w:rsidRPr="00C80AFA">
        <w:rPr>
          <w:rFonts w:ascii="Times New Roman" w:eastAsia="Times New Roman" w:hAnsi="Times New Roman" w:cs="Times New Roman"/>
        </w:rPr>
        <w:t>neznáme</w:t>
      </w:r>
      <w:r w:rsidR="00355DF2" w:rsidRPr="00C80AFA">
        <w:rPr>
          <w:rFonts w:ascii="Times New Roman" w:eastAsia="Times New Roman" w:hAnsi="Times New Roman" w:cs="Times New Roman"/>
        </w:rPr>
        <w:t xml:space="preserve"> (</w:t>
      </w:r>
      <w:r w:rsidRPr="00C80AFA">
        <w:rPr>
          <w:rFonts w:ascii="Times New Roman" w:eastAsia="Times New Roman" w:hAnsi="Times New Roman" w:cs="Times New Roman"/>
        </w:rPr>
        <w:t>z dostupných</w:t>
      </w:r>
    </w:p>
    <w:p w14:paraId="3FDF75BD" w14:textId="77777777" w:rsidR="00355DF2" w:rsidRPr="00C80AFA" w:rsidRDefault="00011874" w:rsidP="000118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0AFA">
        <w:rPr>
          <w:rFonts w:ascii="Times New Roman" w:eastAsia="Times New Roman" w:hAnsi="Times New Roman" w:cs="Times New Roman"/>
        </w:rPr>
        <w:t>údajov).</w:t>
      </w:r>
    </w:p>
    <w:p w14:paraId="7AB4B716" w14:textId="77777777" w:rsidR="00355DF2" w:rsidRPr="00C80AFA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E0C89F" w14:textId="77777777" w:rsidR="00355DF2" w:rsidRPr="00C80AFA" w:rsidRDefault="0001187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80AFA">
        <w:rPr>
          <w:rFonts w:ascii="Times New Roman" w:eastAsia="Times New Roman" w:hAnsi="Times New Roman" w:cs="Times New Roman"/>
          <w:b/>
        </w:rPr>
        <w:t>Tabuľka 1. Nežiaduce reakcie hlásené v klinických skúšaniach</w:t>
      </w: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890"/>
        <w:gridCol w:w="1843"/>
        <w:gridCol w:w="1588"/>
        <w:gridCol w:w="1908"/>
        <w:gridCol w:w="1281"/>
      </w:tblGrid>
      <w:tr w:rsidR="00355DF2" w:rsidRPr="008B65C6" w14:paraId="0800F9FA" w14:textId="77777777" w:rsidTr="00885276">
        <w:tc>
          <w:tcPr>
            <w:tcW w:w="1762" w:type="dxa"/>
            <w:shd w:val="clear" w:color="auto" w:fill="auto"/>
          </w:tcPr>
          <w:p w14:paraId="277D3888" w14:textId="77777777" w:rsidR="00011874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Trieda</w:t>
            </w:r>
          </w:p>
          <w:p w14:paraId="09EE78CD" w14:textId="77777777" w:rsidR="00011874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orgánových</w:t>
            </w:r>
          </w:p>
          <w:p w14:paraId="1C9D0E37" w14:textId="77777777" w:rsidR="00355DF2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systémov</w:t>
            </w:r>
          </w:p>
        </w:tc>
        <w:tc>
          <w:tcPr>
            <w:tcW w:w="1890" w:type="dxa"/>
            <w:shd w:val="clear" w:color="auto" w:fill="auto"/>
          </w:tcPr>
          <w:p w14:paraId="5037213B" w14:textId="77777777" w:rsidR="00355DF2" w:rsidRPr="008B65C6" w:rsidRDefault="00011874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Veľmi časté</w:t>
            </w:r>
          </w:p>
        </w:tc>
        <w:tc>
          <w:tcPr>
            <w:tcW w:w="1843" w:type="dxa"/>
            <w:shd w:val="clear" w:color="auto" w:fill="auto"/>
          </w:tcPr>
          <w:p w14:paraId="6E02B8AF" w14:textId="77777777" w:rsidR="00355DF2" w:rsidRPr="008B65C6" w:rsidRDefault="00011874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Časté</w:t>
            </w:r>
          </w:p>
        </w:tc>
        <w:tc>
          <w:tcPr>
            <w:tcW w:w="1588" w:type="dxa"/>
            <w:shd w:val="clear" w:color="auto" w:fill="auto"/>
          </w:tcPr>
          <w:p w14:paraId="7974131F" w14:textId="77777777" w:rsidR="00355DF2" w:rsidRPr="008B65C6" w:rsidRDefault="00011874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Menej časté</w:t>
            </w:r>
          </w:p>
        </w:tc>
        <w:tc>
          <w:tcPr>
            <w:tcW w:w="1908" w:type="dxa"/>
            <w:shd w:val="clear" w:color="auto" w:fill="auto"/>
          </w:tcPr>
          <w:p w14:paraId="750E8EB5" w14:textId="77777777" w:rsidR="00355DF2" w:rsidRPr="008B65C6" w:rsidRDefault="00011874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Zriedkavé</w:t>
            </w:r>
          </w:p>
        </w:tc>
        <w:tc>
          <w:tcPr>
            <w:tcW w:w="1281" w:type="dxa"/>
          </w:tcPr>
          <w:p w14:paraId="4A85BF19" w14:textId="77777777" w:rsidR="00355DF2" w:rsidRPr="008B65C6" w:rsidRDefault="00011874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Neznáme</w:t>
            </w:r>
          </w:p>
        </w:tc>
      </w:tr>
      <w:tr w:rsidR="00355DF2" w:rsidRPr="008B65C6" w14:paraId="791DF7DF" w14:textId="77777777" w:rsidTr="00885276">
        <w:tc>
          <w:tcPr>
            <w:tcW w:w="1762" w:type="dxa"/>
            <w:shd w:val="clear" w:color="auto" w:fill="auto"/>
          </w:tcPr>
          <w:p w14:paraId="2882A1C5" w14:textId="77777777" w:rsidR="00011874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Infekcie a</w:t>
            </w:r>
          </w:p>
          <w:p w14:paraId="3684D404" w14:textId="77777777" w:rsidR="00355DF2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nákazy</w:t>
            </w:r>
          </w:p>
        </w:tc>
        <w:tc>
          <w:tcPr>
            <w:tcW w:w="1890" w:type="dxa"/>
            <w:shd w:val="clear" w:color="auto" w:fill="auto"/>
          </w:tcPr>
          <w:p w14:paraId="20C661F1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A80EC6" w14:textId="77777777" w:rsidR="00355DF2" w:rsidRPr="008B65C6" w:rsidRDefault="0001187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vírusové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infekcie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B4BB2EC" w14:textId="77777777" w:rsidR="00011874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infekcie dýchacích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21BDE47" w14:textId="77777777" w:rsidR="00355DF2" w:rsidRPr="008B65C6" w:rsidRDefault="00011874" w:rsidP="0001187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ciest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22B1BC3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absce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AD4FD19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mykotické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infe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kcie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7FEB2A0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infekcia močového</w:t>
            </w:r>
          </w:p>
          <w:p w14:paraId="6117786B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ústrojenstva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C7387F9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kožné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infe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kcie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73432E6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sepsa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f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88" w:type="dxa"/>
            <w:shd w:val="clear" w:color="auto" w:fill="auto"/>
          </w:tcPr>
          <w:p w14:paraId="08917A6C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nekrotizujúca</w:t>
            </w:r>
            <w:proofErr w:type="spellEnd"/>
          </w:p>
          <w:p w14:paraId="5012450B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fasciitída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7EF9F98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bakteriálne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infekcie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6ECA79EF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B4BF5B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16BED996" w14:textId="77777777" w:rsidTr="00885276">
        <w:tc>
          <w:tcPr>
            <w:tcW w:w="1762" w:type="dxa"/>
            <w:shd w:val="clear" w:color="auto" w:fill="auto"/>
          </w:tcPr>
          <w:p w14:paraId="0DBB22D8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Poruchy krvi a</w:t>
            </w:r>
          </w:p>
          <w:p w14:paraId="5F34839F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lymfatického</w:t>
            </w:r>
          </w:p>
          <w:p w14:paraId="7CAA4BB7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systému</w:t>
            </w:r>
          </w:p>
        </w:tc>
        <w:tc>
          <w:tcPr>
            <w:tcW w:w="1890" w:type="dxa"/>
            <w:shd w:val="clear" w:color="auto" w:fill="auto"/>
          </w:tcPr>
          <w:p w14:paraId="2C27AD55" w14:textId="46EEC69E" w:rsidR="00C56784" w:rsidRPr="008B65C6" w:rsidRDefault="00885276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neutrop</w:t>
            </w:r>
            <w:r w:rsidR="00822971"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931677B" w14:textId="77777777" w:rsidR="00C56784" w:rsidRPr="008B65C6" w:rsidRDefault="00885276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rombocytopénia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75B85BE" w14:textId="77777777" w:rsidR="00C56784" w:rsidRPr="008B65C6" w:rsidRDefault="00885276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némia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D269C5F" w14:textId="51467FBA" w:rsidR="00355DF2" w:rsidRPr="008B65C6" w:rsidRDefault="00885276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leukop</w:t>
            </w:r>
            <w:r w:rsidR="00822971">
              <w:rPr>
                <w:rFonts w:ascii="Times New Roman" w:eastAsia="Times New Roman" w:hAnsi="Times New Roman" w:cs="Times New Roman"/>
                <w:sz w:val="20"/>
                <w:szCs w:val="20"/>
              </w:rPr>
              <w:t>é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nia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D49B3E3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lymfopénia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3F870154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pancytopénia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394AC2B7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trombotická</w:t>
            </w:r>
            <w:proofErr w:type="spellEnd"/>
          </w:p>
          <w:p w14:paraId="041CC019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mikroangiopatia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h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81" w:type="dxa"/>
          </w:tcPr>
          <w:p w14:paraId="5E023BD9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261D63EC" w14:textId="77777777" w:rsidTr="00885276">
        <w:tc>
          <w:tcPr>
            <w:tcW w:w="1762" w:type="dxa"/>
            <w:shd w:val="clear" w:color="auto" w:fill="auto"/>
          </w:tcPr>
          <w:p w14:paraId="32AE1C98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5C8BC989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imunitného</w:t>
            </w:r>
          </w:p>
          <w:p w14:paraId="79BF7032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systému</w:t>
            </w:r>
          </w:p>
        </w:tc>
        <w:tc>
          <w:tcPr>
            <w:tcW w:w="1890" w:type="dxa"/>
            <w:shd w:val="clear" w:color="auto" w:fill="auto"/>
          </w:tcPr>
          <w:p w14:paraId="40402FCA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763B82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7D5F658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hypersenzitivita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76585B38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angioedém</w:t>
            </w:r>
            <w:proofErr w:type="spellEnd"/>
          </w:p>
        </w:tc>
        <w:tc>
          <w:tcPr>
            <w:tcW w:w="1281" w:type="dxa"/>
          </w:tcPr>
          <w:p w14:paraId="36B05799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2858544A" w14:textId="77777777" w:rsidTr="00885276">
        <w:tc>
          <w:tcPr>
            <w:tcW w:w="1762" w:type="dxa"/>
            <w:shd w:val="clear" w:color="auto" w:fill="auto"/>
          </w:tcPr>
          <w:p w14:paraId="508F1852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1CA4D57D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endokrinného</w:t>
            </w:r>
          </w:p>
          <w:p w14:paraId="7A9ECBC3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systému</w:t>
            </w:r>
          </w:p>
        </w:tc>
        <w:tc>
          <w:tcPr>
            <w:tcW w:w="1890" w:type="dxa"/>
            <w:shd w:val="clear" w:color="auto" w:fill="auto"/>
          </w:tcPr>
          <w:p w14:paraId="38FBF040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hypotyreóza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43C9D32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146747C1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hypertyreóza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5938809E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tyreoitída</w:t>
            </w:r>
            <w:proofErr w:type="spellEnd"/>
          </w:p>
        </w:tc>
        <w:tc>
          <w:tcPr>
            <w:tcW w:w="1281" w:type="dxa"/>
          </w:tcPr>
          <w:p w14:paraId="67AB0E81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188BD01E" w14:textId="77777777" w:rsidTr="00885276">
        <w:tc>
          <w:tcPr>
            <w:tcW w:w="1762" w:type="dxa"/>
            <w:shd w:val="clear" w:color="auto" w:fill="auto"/>
          </w:tcPr>
          <w:p w14:paraId="5FA66429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0D5D6B77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metabolizmu</w:t>
            </w:r>
          </w:p>
          <w:p w14:paraId="53F05D4A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výživy</w:t>
            </w:r>
          </w:p>
        </w:tc>
        <w:tc>
          <w:tcPr>
            <w:tcW w:w="1890" w:type="dxa"/>
            <w:shd w:val="clear" w:color="auto" w:fill="auto"/>
          </w:tcPr>
          <w:p w14:paraId="4737CE67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znížená chuť do</w:t>
            </w:r>
          </w:p>
          <w:p w14:paraId="42F61C2F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jedla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6A41DF3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dehydratácia</w:t>
            </w:r>
          </w:p>
          <w:p w14:paraId="111DDC2E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hypoglykémia</w:t>
            </w:r>
          </w:p>
        </w:tc>
        <w:tc>
          <w:tcPr>
            <w:tcW w:w="1588" w:type="dxa"/>
            <w:shd w:val="clear" w:color="auto" w:fill="auto"/>
          </w:tcPr>
          <w:p w14:paraId="41948F93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7B54E373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syndróm</w:t>
            </w:r>
          </w:p>
          <w:p w14:paraId="02A6A5F2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nádorového</w:t>
            </w:r>
          </w:p>
          <w:p w14:paraId="4E38EF6F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rozpadu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81" w:type="dxa"/>
          </w:tcPr>
          <w:p w14:paraId="794649D8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2058E3F4" w14:textId="77777777" w:rsidTr="00885276">
        <w:tc>
          <w:tcPr>
            <w:tcW w:w="1762" w:type="dxa"/>
            <w:shd w:val="clear" w:color="auto" w:fill="auto"/>
          </w:tcPr>
          <w:p w14:paraId="46BBD10F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Psychické</w:t>
            </w:r>
          </w:p>
          <w:p w14:paraId="2E501533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</w:tc>
        <w:tc>
          <w:tcPr>
            <w:tcW w:w="1890" w:type="dxa"/>
            <w:shd w:val="clear" w:color="auto" w:fill="auto"/>
          </w:tcPr>
          <w:p w14:paraId="514A1CD1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nsomnia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3406F38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epres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1588" w:type="dxa"/>
            <w:shd w:val="clear" w:color="auto" w:fill="auto"/>
          </w:tcPr>
          <w:p w14:paraId="79F78365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2778A18B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9DA220B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7AD19E6A" w14:textId="77777777" w:rsidTr="00885276">
        <w:tc>
          <w:tcPr>
            <w:tcW w:w="1762" w:type="dxa"/>
            <w:shd w:val="clear" w:color="auto" w:fill="auto"/>
          </w:tcPr>
          <w:p w14:paraId="0D2DC6F5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30366B23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nervového</w:t>
            </w:r>
          </w:p>
          <w:p w14:paraId="32B8F828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systému</w:t>
            </w:r>
          </w:p>
        </w:tc>
        <w:tc>
          <w:tcPr>
            <w:tcW w:w="1890" w:type="dxa"/>
            <w:shd w:val="clear" w:color="auto" w:fill="auto"/>
          </w:tcPr>
          <w:p w14:paraId="7D14D338" w14:textId="189EE4BB" w:rsidR="00C56784" w:rsidRPr="008B65C6" w:rsidRDefault="00885276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ávrat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2F8107E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 hlavy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19D8313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poruchy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chuti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j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2BA2674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periférna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neuropatia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A61EC9C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parestézia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9BEE68E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hypestézia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B9F8CCE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hyperestézia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32E9B605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cerebrálne krvácanie*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AF8A8F8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cerebrovaskulár</w:t>
            </w:r>
            <w:r w:rsidR="00180B09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proofErr w:type="spellEnd"/>
          </w:p>
          <w:p w14:paraId="4077130D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príhody*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322B536" w14:textId="22B98B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tranzi</w:t>
            </w:r>
            <w:r w:rsidR="00822971">
              <w:rPr>
                <w:rFonts w:ascii="Times New Roman" w:eastAsia="Times New Roman" w:hAnsi="Times New Roman" w:cs="Times New Roman"/>
                <w:sz w:val="20"/>
                <w:szCs w:val="20"/>
              </w:rPr>
              <w:t>tórny</w:t>
            </w:r>
            <w:proofErr w:type="spellEnd"/>
            <w:r w:rsidR="008229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ischemický</w:t>
            </w:r>
          </w:p>
          <w:p w14:paraId="558EAA23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atak</w:t>
            </w:r>
          </w:p>
        </w:tc>
        <w:tc>
          <w:tcPr>
            <w:tcW w:w="1908" w:type="dxa"/>
            <w:shd w:val="clear" w:color="auto" w:fill="auto"/>
          </w:tcPr>
          <w:p w14:paraId="5D21F288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syndróm</w:t>
            </w:r>
          </w:p>
          <w:p w14:paraId="7A6221DF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posteriórnej</w:t>
            </w:r>
            <w:proofErr w:type="spellEnd"/>
          </w:p>
          <w:p w14:paraId="21BA5961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reverzibilnej</w:t>
            </w:r>
          </w:p>
          <w:p w14:paraId="0503B156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encefalopatie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81" w:type="dxa"/>
          </w:tcPr>
          <w:p w14:paraId="79B6F493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779C2668" w14:textId="77777777" w:rsidTr="00885276">
        <w:tc>
          <w:tcPr>
            <w:tcW w:w="1762" w:type="dxa"/>
            <w:shd w:val="clear" w:color="auto" w:fill="auto"/>
          </w:tcPr>
          <w:p w14:paraId="56B741D1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 oka</w:t>
            </w:r>
          </w:p>
        </w:tc>
        <w:tc>
          <w:tcPr>
            <w:tcW w:w="1890" w:type="dxa"/>
            <w:shd w:val="clear" w:color="auto" w:fill="auto"/>
          </w:tcPr>
          <w:p w14:paraId="4F64CBC3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8E9D3B3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opuch okolo očí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D6B6E63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opuch očných viečok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D76CF8A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zvýšené slzenie</w:t>
            </w:r>
          </w:p>
        </w:tc>
        <w:tc>
          <w:tcPr>
            <w:tcW w:w="1588" w:type="dxa"/>
            <w:shd w:val="clear" w:color="auto" w:fill="auto"/>
          </w:tcPr>
          <w:p w14:paraId="6204B979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6A4C36B7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8DBE991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56DA14AF" w14:textId="77777777" w:rsidTr="00885276">
        <w:tc>
          <w:tcPr>
            <w:tcW w:w="1762" w:type="dxa"/>
            <w:shd w:val="clear" w:color="auto" w:fill="auto"/>
          </w:tcPr>
          <w:p w14:paraId="3C7A4F9B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 srdca</w:t>
            </w:r>
          </w:p>
          <w:p w14:paraId="3B4CAF79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srdcovej</w:t>
            </w:r>
          </w:p>
          <w:p w14:paraId="07F47759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činnosti</w:t>
            </w:r>
          </w:p>
        </w:tc>
        <w:tc>
          <w:tcPr>
            <w:tcW w:w="1890" w:type="dxa"/>
            <w:shd w:val="clear" w:color="auto" w:fill="auto"/>
          </w:tcPr>
          <w:p w14:paraId="48934243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61CF44" w14:textId="77777777" w:rsidR="00355DF2" w:rsidRPr="008B65C6" w:rsidRDefault="00C56784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ischémia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myokardu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k</w:t>
            </w:r>
            <w:proofErr w:type="spellEnd"/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759561E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pokles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ejekčnej</w:t>
            </w:r>
            <w:proofErr w:type="spellEnd"/>
          </w:p>
          <w:p w14:paraId="4949A4C0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frakcie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29422A26" w14:textId="798F956E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kongestívne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srdcové zlyh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áv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anie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A57C9D2" w14:textId="77777777" w:rsidR="00C56784" w:rsidRPr="008B65C6" w:rsidRDefault="00885276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infark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proofErr w:type="spellStart"/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myokardu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</w:t>
            </w:r>
            <w:proofErr w:type="spellEnd"/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C56784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4E66B35" w14:textId="77777777" w:rsidR="00C56784" w:rsidRPr="008B65C6" w:rsidRDefault="00180B09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srdcové zlyhanie*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6ABBC00" w14:textId="77777777" w:rsidR="00C56784" w:rsidRPr="008B65C6" w:rsidRDefault="00180B09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kardiomyopatia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5582D7C" w14:textId="77777777" w:rsidR="00C56784" w:rsidRPr="008B65C6" w:rsidRDefault="00180B09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perikardiálny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výpotok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2D5AD95" w14:textId="77777777" w:rsidR="00C56784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predĺženie QT na</w:t>
            </w:r>
          </w:p>
          <w:p w14:paraId="0A712E89" w14:textId="77777777" w:rsidR="00355DF2" w:rsidRPr="008B65C6" w:rsidRDefault="00C56784" w:rsidP="00C567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elektrokardiogra</w:t>
            </w:r>
            <w:proofErr w:type="spellEnd"/>
            <w:r w:rsidR="00180B09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3312E58F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zlyhanie ľavej</w:t>
            </w:r>
          </w:p>
          <w:p w14:paraId="76FD63B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srdcovej komory*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1E7F364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torsade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</w:t>
            </w:r>
          </w:p>
          <w:p w14:paraId="6A714A46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pointes</w:t>
            </w:r>
            <w:proofErr w:type="spellEnd"/>
          </w:p>
        </w:tc>
        <w:tc>
          <w:tcPr>
            <w:tcW w:w="1281" w:type="dxa"/>
          </w:tcPr>
          <w:p w14:paraId="173B3E84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43171609" w14:textId="77777777" w:rsidTr="00885276">
        <w:tc>
          <w:tcPr>
            <w:tcW w:w="1762" w:type="dxa"/>
            <w:shd w:val="clear" w:color="auto" w:fill="auto"/>
          </w:tcPr>
          <w:p w14:paraId="07586966" w14:textId="77777777" w:rsidR="00355DF2" w:rsidRPr="008B65C6" w:rsidRDefault="00180B09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 ciev</w:t>
            </w:r>
          </w:p>
        </w:tc>
        <w:tc>
          <w:tcPr>
            <w:tcW w:w="1890" w:type="dxa"/>
            <w:shd w:val="clear" w:color="auto" w:fill="auto"/>
          </w:tcPr>
          <w:p w14:paraId="65D03024" w14:textId="77777777" w:rsidR="00355DF2" w:rsidRPr="008B65C6" w:rsidRDefault="00180B09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hypertenzia</w:t>
            </w:r>
          </w:p>
        </w:tc>
        <w:tc>
          <w:tcPr>
            <w:tcW w:w="1843" w:type="dxa"/>
            <w:shd w:val="clear" w:color="auto" w:fill="auto"/>
          </w:tcPr>
          <w:p w14:paraId="7ED3B6D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hlboká žilová</w:t>
            </w:r>
          </w:p>
          <w:p w14:paraId="1B1AF156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trombóza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3A93AC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návaly tepla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E4173AF" w14:textId="43280A2E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sčerven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nie kože</w:t>
            </w:r>
          </w:p>
        </w:tc>
        <w:tc>
          <w:tcPr>
            <w:tcW w:w="1588" w:type="dxa"/>
            <w:shd w:val="clear" w:color="auto" w:fill="auto"/>
          </w:tcPr>
          <w:p w14:paraId="6FFFD6D0" w14:textId="77777777" w:rsidR="00355DF2" w:rsidRPr="008B65C6" w:rsidRDefault="00180B09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krvácanie nádoru*</w:t>
            </w:r>
          </w:p>
        </w:tc>
        <w:tc>
          <w:tcPr>
            <w:tcW w:w="1908" w:type="dxa"/>
            <w:shd w:val="clear" w:color="auto" w:fill="auto"/>
          </w:tcPr>
          <w:p w14:paraId="44E0EC63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D97181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aneuryzmy</w:t>
            </w:r>
          </w:p>
          <w:p w14:paraId="47E405AE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 arteriálne</w:t>
            </w:r>
          </w:p>
          <w:p w14:paraId="11BAB74F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disekcie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55DF2" w:rsidRPr="008B65C6" w14:paraId="733C8466" w14:textId="77777777" w:rsidTr="00885276">
        <w:tc>
          <w:tcPr>
            <w:tcW w:w="1762" w:type="dxa"/>
            <w:shd w:val="clear" w:color="auto" w:fill="auto"/>
          </w:tcPr>
          <w:p w14:paraId="67B523EB" w14:textId="77777777" w:rsidR="00180B09" w:rsidRPr="008B65C6" w:rsidRDefault="00180B09" w:rsidP="001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</w:pPr>
            <w:r w:rsidRPr="008B65C6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>Poruchy</w:t>
            </w:r>
          </w:p>
          <w:p w14:paraId="2B2FE79B" w14:textId="77777777" w:rsidR="00180B09" w:rsidRPr="008B65C6" w:rsidRDefault="00180B09" w:rsidP="001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</w:pPr>
            <w:r w:rsidRPr="008B65C6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>dýchacej</w:t>
            </w:r>
          </w:p>
          <w:p w14:paraId="67D4FB19" w14:textId="77777777" w:rsidR="00180B09" w:rsidRPr="008B65C6" w:rsidRDefault="00180B09" w:rsidP="001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</w:pPr>
            <w:r w:rsidRPr="008B65C6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>sústavy,</w:t>
            </w:r>
          </w:p>
          <w:p w14:paraId="70B1ED75" w14:textId="77777777" w:rsidR="00180B09" w:rsidRPr="008B65C6" w:rsidRDefault="00180B09" w:rsidP="001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</w:pPr>
            <w:r w:rsidRPr="008B65C6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>hrudníka</w:t>
            </w:r>
          </w:p>
          <w:p w14:paraId="74EF999C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8B65C6">
              <w:rPr>
                <w:rFonts w:ascii="Times New Roman" w:eastAsia="TimesNewRoman,Bold" w:hAnsi="Times New Roman" w:cs="Times New Roman"/>
                <w:b/>
                <w:bCs/>
                <w:sz w:val="20"/>
                <w:szCs w:val="20"/>
              </w:rPr>
              <w:t>mediastína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6E4FC78" w14:textId="77777777" w:rsidR="00180B09" w:rsidRPr="008B65C6" w:rsidRDefault="00885276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180B09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yspnoe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9B658BE" w14:textId="77777777" w:rsidR="00180B09" w:rsidRPr="008B65C6" w:rsidRDefault="00885276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180B09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pistaxa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3774000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kašeľ</w:t>
            </w:r>
          </w:p>
        </w:tc>
        <w:tc>
          <w:tcPr>
            <w:tcW w:w="1843" w:type="dxa"/>
            <w:shd w:val="clear" w:color="auto" w:fill="auto"/>
          </w:tcPr>
          <w:p w14:paraId="30DF04B6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pľúcna embólia*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6C4833F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pleurálny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výpotok*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BEBEC83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hemoptýza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4DD5BB1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ponámahové</w:t>
            </w:r>
            <w:proofErr w:type="spellEnd"/>
          </w:p>
          <w:p w14:paraId="4B138A1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dyspnoe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7A65B31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orofaryngeálna</w:t>
            </w:r>
            <w:proofErr w:type="spellEnd"/>
          </w:p>
          <w:p w14:paraId="54054CC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</w:p>
          <w:p w14:paraId="6A5F504C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nazálna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kongescia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59863ED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suchosť nosa</w:t>
            </w:r>
          </w:p>
        </w:tc>
        <w:tc>
          <w:tcPr>
            <w:tcW w:w="1588" w:type="dxa"/>
            <w:shd w:val="clear" w:color="auto" w:fill="auto"/>
          </w:tcPr>
          <w:p w14:paraId="223E5FA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pľúcne krvácanie*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DE85A5D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respiračné zlyhanie*</w:t>
            </w:r>
          </w:p>
        </w:tc>
        <w:tc>
          <w:tcPr>
            <w:tcW w:w="1908" w:type="dxa"/>
            <w:shd w:val="clear" w:color="auto" w:fill="auto"/>
          </w:tcPr>
          <w:p w14:paraId="65DF93AD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D313148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76E77575" w14:textId="77777777" w:rsidTr="00885276">
        <w:tc>
          <w:tcPr>
            <w:tcW w:w="1762" w:type="dxa"/>
            <w:shd w:val="clear" w:color="auto" w:fill="auto"/>
          </w:tcPr>
          <w:p w14:paraId="73B036CF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4A33A9D8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gastrointesti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   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nálneho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traktu</w:t>
            </w:r>
          </w:p>
        </w:tc>
        <w:tc>
          <w:tcPr>
            <w:tcW w:w="1890" w:type="dxa"/>
            <w:shd w:val="clear" w:color="auto" w:fill="auto"/>
          </w:tcPr>
          <w:p w14:paraId="3B07AD0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stomatitída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086563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bolesť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brucha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CA63FF1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vracanie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0EFD0B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hnačka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2730B0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dyspepsia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9837D7E" w14:textId="721B5828" w:rsidR="00180B09" w:rsidRPr="008B65C6" w:rsidRDefault="00885276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ea,</w:t>
            </w:r>
          </w:p>
          <w:p w14:paraId="447240E6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zápcha</w:t>
            </w:r>
          </w:p>
        </w:tc>
        <w:tc>
          <w:tcPr>
            <w:tcW w:w="1843" w:type="dxa"/>
            <w:shd w:val="clear" w:color="auto" w:fill="auto"/>
          </w:tcPr>
          <w:p w14:paraId="6E308BFF" w14:textId="07192F0D" w:rsidR="00180B09" w:rsidRPr="008B65C6" w:rsidRDefault="004B766D" w:rsidP="00A961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lastRenderedPageBreak/>
              <w:t>g</w:t>
            </w:r>
            <w:r w:rsidRPr="00A9610C"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>astroezofágová</w:t>
            </w:r>
            <w:proofErr w:type="spellEnd"/>
            <w:r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0B09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refluxná</w:t>
            </w:r>
            <w:proofErr w:type="spellEnd"/>
            <w:r w:rsidR="00180B09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choroba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777AAAC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dysfágia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4DB7E33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gastrointestinálne</w:t>
            </w:r>
          </w:p>
          <w:p w14:paraId="13852BB8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krvácanie*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6EAE65E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ezofagitída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C948AA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abdominálna</w:t>
            </w:r>
          </w:p>
          <w:p w14:paraId="5997EEB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distenzia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4AE290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abdominálny</w:t>
            </w:r>
          </w:p>
          <w:p w14:paraId="18694BD0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diskomfort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A8E229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D28F6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krvácanie</w:t>
            </w:r>
          </w:p>
          <w:p w14:paraId="7DD4C00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 konečníka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5D8BE2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krvácanie z ďasien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7042C72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ulcerácie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ústach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629ED6E" w14:textId="1E11E162" w:rsidR="00180B09" w:rsidRPr="008B65C6" w:rsidRDefault="00885276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talgia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1864A8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cheilitída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7E63EBC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hemoroidy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701B1C1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glosodýnia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70CEB7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 v ústach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5B2107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sucho v ústach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B2E9612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flatulencia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5401FA8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diskomfort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ústach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80B582F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eruktácia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0642C8FC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perforácia</w:t>
            </w:r>
          </w:p>
          <w:p w14:paraId="4B253114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gastrointestinál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-neho traktu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q,</w:t>
            </w:r>
            <w:r w:rsidR="00355DF2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CD8BBAE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pankreatitída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1A5063C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fistula v konečníku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2ED07BC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kolitída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1A4E8C45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267E5CB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3372DCAC" w14:textId="77777777" w:rsidTr="00885276">
        <w:tc>
          <w:tcPr>
            <w:tcW w:w="1762" w:type="dxa"/>
            <w:shd w:val="clear" w:color="auto" w:fill="auto"/>
          </w:tcPr>
          <w:p w14:paraId="28920C1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05E7325E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pečene</w:t>
            </w:r>
          </w:p>
          <w:p w14:paraId="1183E95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žlčových</w:t>
            </w:r>
          </w:p>
          <w:p w14:paraId="0C9C4485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ciest</w:t>
            </w:r>
          </w:p>
        </w:tc>
        <w:tc>
          <w:tcPr>
            <w:tcW w:w="1890" w:type="dxa"/>
            <w:shd w:val="clear" w:color="auto" w:fill="auto"/>
          </w:tcPr>
          <w:p w14:paraId="61FD4A7A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D1F11F2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3C0052C5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zlyhanie pečene*,</w:t>
            </w:r>
          </w:p>
          <w:p w14:paraId="737431F2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cholecystitída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*,</w:t>
            </w:r>
          </w:p>
          <w:p w14:paraId="4BACFDB6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porucha funkcie pečene</w:t>
            </w:r>
          </w:p>
        </w:tc>
        <w:tc>
          <w:tcPr>
            <w:tcW w:w="1908" w:type="dxa"/>
            <w:shd w:val="clear" w:color="auto" w:fill="auto"/>
          </w:tcPr>
          <w:p w14:paraId="468DFF11" w14:textId="77777777" w:rsidR="00355DF2" w:rsidRPr="008B65C6" w:rsidRDefault="00180B09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hepatitída</w:t>
            </w:r>
          </w:p>
        </w:tc>
        <w:tc>
          <w:tcPr>
            <w:tcW w:w="1281" w:type="dxa"/>
          </w:tcPr>
          <w:p w14:paraId="507F01BF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1F2AAAEE" w14:textId="77777777" w:rsidTr="00885276">
        <w:tc>
          <w:tcPr>
            <w:tcW w:w="1762" w:type="dxa"/>
            <w:shd w:val="clear" w:color="auto" w:fill="auto"/>
          </w:tcPr>
          <w:p w14:paraId="5888759E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 kože</w:t>
            </w:r>
          </w:p>
          <w:p w14:paraId="06152504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podkožného</w:t>
            </w:r>
          </w:p>
          <w:p w14:paraId="7439AC2B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tkaniva</w:t>
            </w:r>
          </w:p>
        </w:tc>
        <w:tc>
          <w:tcPr>
            <w:tcW w:w="1890" w:type="dxa"/>
            <w:shd w:val="clear" w:color="auto" w:fill="auto"/>
          </w:tcPr>
          <w:p w14:paraId="638EE3C8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zmena sfarbenia</w:t>
            </w:r>
          </w:p>
          <w:p w14:paraId="7BC55AB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pokožky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D368110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syndróm</w:t>
            </w:r>
          </w:p>
          <w:p w14:paraId="0F022772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palmárnoplantárnej</w:t>
            </w:r>
            <w:proofErr w:type="spellEnd"/>
          </w:p>
          <w:p w14:paraId="60AFF1B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erytrodyzestézie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8D8E740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vyrážka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42C6010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zmeny sfarbenia</w:t>
            </w:r>
          </w:p>
          <w:p w14:paraId="056E092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vlasov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962C223" w14:textId="32FDEF63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such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kož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0CBE9AC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exfoliácia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kože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7455509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kožná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reakcia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v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9DBF458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ekzém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6397EAD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pľuzgier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6BDA13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erytém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3DEAA2C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alopécia</w:t>
            </w:r>
            <w:proofErr w:type="spellEnd"/>
          </w:p>
          <w:p w14:paraId="7033491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akné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A885298" w14:textId="77777777" w:rsidR="00180B09" w:rsidRPr="008B65C6" w:rsidRDefault="00885276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pruritus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AD57DA4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hyperpigmentácia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B41D01F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kože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6DA2368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kožná lézia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98D2711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hyperkeratóza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720B2A8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dermatitída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C72BE0E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poruchy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nechtov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w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08F215ED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4A3FDBDF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multiformný</w:t>
            </w:r>
            <w:proofErr w:type="spellEnd"/>
          </w:p>
          <w:p w14:paraId="0EE2CB63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erytém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DA1527B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Stevensov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0E61765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Johnsonov</w:t>
            </w:r>
            <w:proofErr w:type="spellEnd"/>
          </w:p>
          <w:p w14:paraId="361C47F2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syndróm*</w:t>
            </w:r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600E8FA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pyoderma</w:t>
            </w:r>
            <w:proofErr w:type="spellEnd"/>
          </w:p>
          <w:p w14:paraId="1BF6A566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gangrenosum</w:t>
            </w:r>
            <w:proofErr w:type="spellEnd"/>
            <w:r w:rsidR="00885276"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0340727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toxická</w:t>
            </w:r>
          </w:p>
          <w:p w14:paraId="47035FD9" w14:textId="77777777" w:rsidR="00180B09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epidermálna</w:t>
            </w:r>
          </w:p>
          <w:p w14:paraId="6780EB43" w14:textId="77777777" w:rsidR="00355DF2" w:rsidRPr="008B65C6" w:rsidRDefault="00180B09" w:rsidP="00180B0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nekrolýza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81" w:type="dxa"/>
          </w:tcPr>
          <w:p w14:paraId="57CE449A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3C8D4157" w14:textId="77777777" w:rsidTr="00885276">
        <w:tc>
          <w:tcPr>
            <w:tcW w:w="1762" w:type="dxa"/>
            <w:shd w:val="clear" w:color="auto" w:fill="auto"/>
          </w:tcPr>
          <w:p w14:paraId="42EC1DE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77446F59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kostrovej</w:t>
            </w:r>
          </w:p>
          <w:p w14:paraId="1770A544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svalovej</w:t>
            </w:r>
          </w:p>
          <w:p w14:paraId="5780E5F6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sústavy</w:t>
            </w:r>
          </w:p>
          <w:p w14:paraId="0702FA6B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spojivového</w:t>
            </w:r>
          </w:p>
          <w:p w14:paraId="184D8B81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tkaniva</w:t>
            </w:r>
          </w:p>
        </w:tc>
        <w:tc>
          <w:tcPr>
            <w:tcW w:w="1890" w:type="dxa"/>
            <w:shd w:val="clear" w:color="auto" w:fill="auto"/>
          </w:tcPr>
          <w:p w14:paraId="71ED82E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</w:t>
            </w:r>
          </w:p>
          <w:p w14:paraId="3FC44DE8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v končatinách,</w:t>
            </w:r>
          </w:p>
          <w:p w14:paraId="68EDA3B5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artralgia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FAE3C34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 chrbta</w:t>
            </w:r>
          </w:p>
        </w:tc>
        <w:tc>
          <w:tcPr>
            <w:tcW w:w="1843" w:type="dxa"/>
            <w:shd w:val="clear" w:color="auto" w:fill="auto"/>
          </w:tcPr>
          <w:p w14:paraId="5A4894D8" w14:textId="52D57744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muskuloskeletáln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D830959" w14:textId="624D3E6C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</w:t>
            </w:r>
            <w:r w:rsidR="004B766D">
              <w:rPr>
                <w:rFonts w:ascii="Times New Roman" w:eastAsia="Times New Roman" w:hAnsi="Times New Roman" w:cs="Times New Roman"/>
                <w:sz w:val="20"/>
                <w:szCs w:val="20"/>
              </w:rPr>
              <w:t>ť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70A5DDF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svalové kŕče,</w:t>
            </w:r>
          </w:p>
          <w:p w14:paraId="03BFF2E1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myalgia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5D5646C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svalová slabosť</w:t>
            </w:r>
          </w:p>
        </w:tc>
        <w:tc>
          <w:tcPr>
            <w:tcW w:w="1588" w:type="dxa"/>
            <w:shd w:val="clear" w:color="auto" w:fill="auto"/>
          </w:tcPr>
          <w:p w14:paraId="167A7667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osteonekróza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čeľuste,</w:t>
            </w:r>
          </w:p>
          <w:p w14:paraId="731D07EF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fistula*</w:t>
            </w:r>
          </w:p>
        </w:tc>
        <w:tc>
          <w:tcPr>
            <w:tcW w:w="1908" w:type="dxa"/>
            <w:shd w:val="clear" w:color="auto" w:fill="auto"/>
          </w:tcPr>
          <w:p w14:paraId="3BC656B5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rabdomyolýza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*,</w:t>
            </w:r>
          </w:p>
          <w:p w14:paraId="42F93366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myopatia</w:t>
            </w:r>
            <w:proofErr w:type="spellEnd"/>
          </w:p>
        </w:tc>
        <w:tc>
          <w:tcPr>
            <w:tcW w:w="1281" w:type="dxa"/>
          </w:tcPr>
          <w:p w14:paraId="6D359B21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4D65B203" w14:textId="77777777" w:rsidTr="00885276">
        <w:tc>
          <w:tcPr>
            <w:tcW w:w="1762" w:type="dxa"/>
            <w:shd w:val="clear" w:color="auto" w:fill="auto"/>
          </w:tcPr>
          <w:p w14:paraId="1210864B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1EFC9D00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obličiek</w:t>
            </w:r>
          </w:p>
          <w:p w14:paraId="5C1FD3D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močových</w:t>
            </w:r>
          </w:p>
          <w:p w14:paraId="4C0F3DA4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ciest</w:t>
            </w:r>
          </w:p>
        </w:tc>
        <w:tc>
          <w:tcPr>
            <w:tcW w:w="1890" w:type="dxa"/>
            <w:shd w:val="clear" w:color="auto" w:fill="auto"/>
          </w:tcPr>
          <w:p w14:paraId="7FBCA88C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39AF940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zlyhanie obličiek*,</w:t>
            </w:r>
          </w:p>
          <w:p w14:paraId="6B58BF6C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akútne zlyhanie</w:t>
            </w:r>
          </w:p>
          <w:p w14:paraId="46B494C2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obličiek*,</w:t>
            </w:r>
          </w:p>
          <w:p w14:paraId="18BBC081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chromatúria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5D4C929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proteinúria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7F3621D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krvácanie z močových</w:t>
            </w:r>
          </w:p>
          <w:p w14:paraId="5ABDA10E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ciest</w:t>
            </w:r>
          </w:p>
        </w:tc>
        <w:tc>
          <w:tcPr>
            <w:tcW w:w="1908" w:type="dxa"/>
            <w:shd w:val="clear" w:color="auto" w:fill="auto"/>
          </w:tcPr>
          <w:p w14:paraId="37D86F7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nefrotický</w:t>
            </w:r>
            <w:proofErr w:type="spellEnd"/>
          </w:p>
          <w:p w14:paraId="0539698D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syndróm</w:t>
            </w:r>
          </w:p>
        </w:tc>
        <w:tc>
          <w:tcPr>
            <w:tcW w:w="1281" w:type="dxa"/>
          </w:tcPr>
          <w:p w14:paraId="0692EB9E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00E8BF3C" w14:textId="77777777" w:rsidTr="00885276">
        <w:tc>
          <w:tcPr>
            <w:tcW w:w="1762" w:type="dxa"/>
            <w:shd w:val="clear" w:color="auto" w:fill="auto"/>
          </w:tcPr>
          <w:p w14:paraId="516AFDF9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Celkové</w:t>
            </w:r>
          </w:p>
          <w:p w14:paraId="109E0DFB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poruchy</w:t>
            </w:r>
          </w:p>
          <w:p w14:paraId="1A8B0577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reakcie</w:t>
            </w:r>
          </w:p>
          <w:p w14:paraId="625D714F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 mieste</w:t>
            </w:r>
          </w:p>
          <w:p w14:paraId="35D0BDB0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podania</w:t>
            </w:r>
          </w:p>
        </w:tc>
        <w:tc>
          <w:tcPr>
            <w:tcW w:w="1890" w:type="dxa"/>
            <w:shd w:val="clear" w:color="auto" w:fill="auto"/>
          </w:tcPr>
          <w:p w14:paraId="2409E88C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zápal slizníc,</w:t>
            </w:r>
          </w:p>
          <w:p w14:paraId="2B2B1402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únava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x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EAB5FB4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edém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y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F834119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pyrexia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9654B93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 hrudníka,</w:t>
            </w:r>
          </w:p>
          <w:p w14:paraId="6E112B07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bolesť,</w:t>
            </w:r>
          </w:p>
          <w:p w14:paraId="23ACA993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ochorenie podobné</w:t>
            </w:r>
          </w:p>
          <w:p w14:paraId="31F233F6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chrípke,</w:t>
            </w:r>
          </w:p>
          <w:p w14:paraId="33C029C0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zimnica</w:t>
            </w:r>
          </w:p>
        </w:tc>
        <w:tc>
          <w:tcPr>
            <w:tcW w:w="1588" w:type="dxa"/>
            <w:shd w:val="clear" w:color="auto" w:fill="auto"/>
          </w:tcPr>
          <w:p w14:paraId="6E0E8C3B" w14:textId="77777777" w:rsidR="00355DF2" w:rsidRPr="008B65C6" w:rsidRDefault="00885276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zhoršené hojenie</w:t>
            </w:r>
          </w:p>
        </w:tc>
        <w:tc>
          <w:tcPr>
            <w:tcW w:w="1908" w:type="dxa"/>
            <w:shd w:val="clear" w:color="auto" w:fill="auto"/>
          </w:tcPr>
          <w:p w14:paraId="3F269956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6D55348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DF2" w:rsidRPr="008B65C6" w14:paraId="3CE70EAE" w14:textId="77777777" w:rsidTr="00885276">
        <w:tc>
          <w:tcPr>
            <w:tcW w:w="1762" w:type="dxa"/>
            <w:shd w:val="clear" w:color="auto" w:fill="auto"/>
          </w:tcPr>
          <w:p w14:paraId="7BFD1E9C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Laboratórne</w:t>
            </w:r>
          </w:p>
          <w:p w14:paraId="388C4142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funkčné</w:t>
            </w:r>
          </w:p>
          <w:p w14:paraId="77B04648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vyšetrenia</w:t>
            </w:r>
          </w:p>
        </w:tc>
        <w:tc>
          <w:tcPr>
            <w:tcW w:w="1890" w:type="dxa"/>
            <w:shd w:val="clear" w:color="auto" w:fill="auto"/>
          </w:tcPr>
          <w:p w14:paraId="40853908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1E9D1EE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pokles hmotnosti,</w:t>
            </w:r>
          </w:p>
          <w:p w14:paraId="12277221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znížený počet</w:t>
            </w:r>
          </w:p>
          <w:p w14:paraId="0E52073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bielych krviniek,</w:t>
            </w:r>
          </w:p>
          <w:p w14:paraId="7BEBE820" w14:textId="4860A374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zvýšená 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hladina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lipáz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4350C56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pokles počtu</w:t>
            </w:r>
          </w:p>
          <w:p w14:paraId="22270AB2" w14:textId="3C436C0D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trombocytov, znížen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 hladina 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hemoglobín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zvýšená 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hladina </w:t>
            </w: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amyláz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z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ED22521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zvýšená hladina</w:t>
            </w:r>
          </w:p>
          <w:p w14:paraId="6EE7545A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aspartátaminotrans-ferázy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B9BFA14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zvýšená hladina</w:t>
            </w:r>
          </w:p>
          <w:p w14:paraId="69D5B4FE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alanínaminotransfe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-rázy,</w:t>
            </w:r>
          </w:p>
          <w:p w14:paraId="468D6B69" w14:textId="01951621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>á hladina</w:t>
            </w: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kreatinín</w:t>
            </w:r>
            <w:r w:rsidR="00AF08BF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A5E6DA4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v krvi,</w:t>
            </w:r>
          </w:p>
          <w:p w14:paraId="53A105E4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zvýšený tlak krvi,</w:t>
            </w:r>
          </w:p>
          <w:p w14:paraId="636BE972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zvýšená hladina</w:t>
            </w:r>
          </w:p>
          <w:p w14:paraId="3DE7B0A7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kyseliny močovej v</w:t>
            </w:r>
          </w:p>
          <w:p w14:paraId="7C70C244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krvi</w:t>
            </w:r>
          </w:p>
        </w:tc>
        <w:tc>
          <w:tcPr>
            <w:tcW w:w="1588" w:type="dxa"/>
            <w:shd w:val="clear" w:color="auto" w:fill="auto"/>
          </w:tcPr>
          <w:p w14:paraId="0CD9B579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zvýšená hladina</w:t>
            </w:r>
          </w:p>
          <w:p w14:paraId="1713A5B9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kreatínfosfoki-názy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krvi,</w:t>
            </w:r>
          </w:p>
          <w:p w14:paraId="67C9579D" w14:textId="77777777" w:rsidR="00885276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zvýšená hladina</w:t>
            </w:r>
          </w:p>
          <w:p w14:paraId="3232FEB9" w14:textId="77777777" w:rsidR="00355DF2" w:rsidRPr="008B65C6" w:rsidRDefault="00885276" w:rsidP="0088527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tyreostimulačné</w:t>
            </w:r>
            <w:proofErr w:type="spellEnd"/>
            <w:r w:rsidRPr="008B65C6">
              <w:rPr>
                <w:rFonts w:ascii="Times New Roman" w:eastAsia="Times New Roman" w:hAnsi="Times New Roman" w:cs="Times New Roman"/>
                <w:sz w:val="20"/>
                <w:szCs w:val="20"/>
              </w:rPr>
              <w:t>-ho hormónu v krvi</w:t>
            </w:r>
          </w:p>
        </w:tc>
        <w:tc>
          <w:tcPr>
            <w:tcW w:w="1908" w:type="dxa"/>
            <w:shd w:val="clear" w:color="auto" w:fill="auto"/>
          </w:tcPr>
          <w:p w14:paraId="6962CD21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E646799" w14:textId="77777777" w:rsidR="00355DF2" w:rsidRPr="008B65C6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2B0899" w14:textId="77777777" w:rsidR="00355DF2" w:rsidRPr="00C80AFA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80AFA">
        <w:rPr>
          <w:rFonts w:ascii="Times New Roman" w:eastAsia="CIDFont+F2" w:hAnsi="Times New Roman" w:cs="Times New Roman"/>
          <w:sz w:val="20"/>
          <w:szCs w:val="20"/>
          <w:lang w:eastAsia="el-GR"/>
        </w:rPr>
        <w:t>*</w:t>
      </w:r>
      <w:r w:rsidRPr="00C80AFA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885276" w:rsidRPr="00C80AFA">
        <w:rPr>
          <w:rFonts w:ascii="Times New Roman" w:eastAsia="CIDFont+F2" w:hAnsi="Times New Roman" w:cs="Times New Roman"/>
          <w:sz w:val="20"/>
          <w:szCs w:val="20"/>
          <w:lang w:eastAsia="el-GR"/>
        </w:rPr>
        <w:t>Vrátane smrteľných udalostí.</w:t>
      </w:r>
    </w:p>
    <w:p w14:paraId="18F591D4" w14:textId="77777777" w:rsidR="00885276" w:rsidRPr="00030CE1" w:rsidRDefault="00885276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Nasledujúce výrazy boli zlúčené: </w:t>
      </w:r>
    </w:p>
    <w:p w14:paraId="1FE826FE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a</w:t>
      </w: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Zápal nosohltanu a ústny opar.</w:t>
      </w:r>
    </w:p>
    <w:p w14:paraId="282CA1DC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b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Zápal priedušiek, infekcia dolných dýchacích ciest, zápal pľúc a infekcia dýchacích ciest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534A489E" w14:textId="77777777" w:rsidR="00355DF2" w:rsidRPr="00030CE1" w:rsidRDefault="00355DF2" w:rsidP="0060664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c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Absces, absces končatiny, análny absces, absces ďasien, absces pečene, absces pankreasu,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perineálny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absces,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perirektálny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absces, absces konečníka, podkožný absces a zubný absces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63D0AB1D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d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Kvasinková infekcia pažeráka a úst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57416FF2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e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Celulitída a infekcia kože.</w:t>
      </w:r>
    </w:p>
    <w:p w14:paraId="04706CC9" w14:textId="77777777" w:rsidR="0060664A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f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Sepsa a septický šok. </w:t>
      </w:r>
    </w:p>
    <w:p w14:paraId="680A14A3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g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Brušný absces, brušná sepsa,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divertikulitída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osteomyelitída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.</w:t>
      </w:r>
    </w:p>
    <w:p w14:paraId="65C6A534" w14:textId="77777777" w:rsidR="00355DF2" w:rsidRPr="00030CE1" w:rsidRDefault="00355DF2" w:rsidP="006066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h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Trombotická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mikroangiopatia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trombotická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trombocytopenická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purpura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hemolyticko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-uremický syndróm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10BC9CA0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i</w:t>
      </w: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Znížená chuť do jedla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anorexia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.</w:t>
      </w:r>
    </w:p>
    <w:p w14:paraId="2ED16CB5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j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Dysgeúzia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ageúzia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poruchy chuti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334439A4" w14:textId="77777777" w:rsidR="00355DF2" w:rsidRPr="00030CE1" w:rsidRDefault="00355DF2" w:rsidP="0060664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k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Akútny koronárny syndróm, angína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pektoris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, nestabilná angína,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oklúzia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koronárnej artérie, ischémia myokardu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5B6412E8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l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Pokles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ejekčnej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frakcie/abnormálna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ejekčná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frakcia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29362F51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m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Akútny infarkt myokardu, infarkt myokardu, latentný infarkt myokardu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1EC1F285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n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Orofaryngálna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faryngolaryngálna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bolesť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1181A5B8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o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Stomatitída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aftózna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stomatitída</w:t>
      </w:r>
      <w:proofErr w:type="spellEnd"/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35BF4FAC" w14:textId="77777777" w:rsidR="0060664A" w:rsidRPr="00030CE1" w:rsidRDefault="00355DF2" w:rsidP="00606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p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Stomatitída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aftózna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stomatitída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.</w:t>
      </w:r>
    </w:p>
    <w:p w14:paraId="07604C6F" w14:textId="77777777" w:rsidR="00355DF2" w:rsidRPr="00030CE1" w:rsidRDefault="0060664A" w:rsidP="0060664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p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  <w:t>Abdominálna bolesť, bolesť v dolnej časti brucha, bolesť v hornej časti brucha</w:t>
      </w:r>
      <w:r w:rsidR="00355DF2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1460F4BA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q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Perforácia gastrointestinálneho traktu a perforácia čreva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66993219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r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Kolitída a ischemická kolitída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.</w:t>
      </w:r>
    </w:p>
    <w:p w14:paraId="1E23E192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s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Cholecystitída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akalkulózna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cholecystitída</w:t>
      </w:r>
      <w:proofErr w:type="spellEnd"/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61915483" w14:textId="77777777" w:rsidR="00355DF2" w:rsidRPr="00030CE1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t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Žlté sfarbenie kože, zmeny sfarbenia kože a porucha pigmentácie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1F640174" w14:textId="77777777" w:rsidR="00355DF2" w:rsidRPr="00030CE1" w:rsidRDefault="00355DF2" w:rsidP="0060664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u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Psoriasiformná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dermatitída,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exfoliatívna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vyrážka, vyrážka,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erytémová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vyrážka, folikulárna vyrážka, generalizovaná vyrážka, makulárna vyrážka,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makulo-papulózna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vyrážka,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papulózna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vyrážka a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pruritická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vyrážka.</w:t>
      </w:r>
    </w:p>
    <w:p w14:paraId="5A988D24" w14:textId="77777777" w:rsidR="00355DF2" w:rsidRPr="00030CE1" w:rsidRDefault="00355DF2" w:rsidP="0060664A">
      <w:pPr>
        <w:tabs>
          <w:tab w:val="left" w:pos="709"/>
        </w:tabs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v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Kožná reakcia a porucha kože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296B7B4A" w14:textId="77777777" w:rsidR="00355DF2" w:rsidRPr="00030CE1" w:rsidRDefault="00355DF2" w:rsidP="0060664A">
      <w:pPr>
        <w:tabs>
          <w:tab w:val="left" w:pos="709"/>
        </w:tabs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w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Poškodenie a zmena sfarbenia nechtov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1B659E3A" w14:textId="77777777" w:rsidR="00355DF2" w:rsidRPr="00030CE1" w:rsidRDefault="00355DF2" w:rsidP="0060664A">
      <w:pPr>
        <w:tabs>
          <w:tab w:val="left" w:pos="709"/>
        </w:tabs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x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Únava a asténia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2473D078" w14:textId="77777777" w:rsidR="00355DF2" w:rsidRPr="00030CE1" w:rsidRDefault="00355DF2" w:rsidP="0060664A">
      <w:pPr>
        <w:tabs>
          <w:tab w:val="left" w:pos="709"/>
        </w:tabs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y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Opuch tváre, edém a periférny edém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0A114451" w14:textId="77777777" w:rsidR="00355DF2" w:rsidRPr="00030CE1" w:rsidRDefault="00355DF2" w:rsidP="0060664A">
      <w:pPr>
        <w:tabs>
          <w:tab w:val="left" w:pos="709"/>
        </w:tabs>
        <w:spacing w:after="0" w:line="240" w:lineRule="auto"/>
        <w:jc w:val="both"/>
        <w:rPr>
          <w:rFonts w:ascii="Times New Roman" w:eastAsia="CIDFont+F2" w:hAnsi="Times New Roman" w:cs="Times New Roman"/>
          <w:sz w:val="20"/>
          <w:szCs w:val="20"/>
          <w:lang w:eastAsia="el-GR"/>
        </w:rPr>
      </w:pPr>
      <w:r w:rsidRPr="00030CE1">
        <w:rPr>
          <w:rFonts w:ascii="Times New Roman" w:eastAsia="CIDFont+F2" w:hAnsi="Times New Roman" w:cs="Times New Roman"/>
          <w:sz w:val="20"/>
          <w:szCs w:val="20"/>
          <w:vertAlign w:val="superscript"/>
          <w:lang w:eastAsia="el-GR"/>
        </w:rPr>
        <w:t>z</w:t>
      </w:r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ab/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Amyláza</w:t>
      </w:r>
      <w:proofErr w:type="spellEnd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 a zvýšená </w:t>
      </w:r>
      <w:proofErr w:type="spellStart"/>
      <w:r w:rsidR="0060664A"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>amyláza</w:t>
      </w:r>
      <w:proofErr w:type="spellEnd"/>
      <w:r w:rsidRPr="00030CE1">
        <w:rPr>
          <w:rFonts w:ascii="Times New Roman" w:eastAsia="CIDFont+F2" w:hAnsi="Times New Roman" w:cs="Times New Roman"/>
          <w:sz w:val="20"/>
          <w:szCs w:val="20"/>
          <w:lang w:eastAsia="el-GR"/>
        </w:rPr>
        <w:t xml:space="preserve">. </w:t>
      </w:r>
    </w:p>
    <w:p w14:paraId="53769E28" w14:textId="77777777" w:rsidR="00355DF2" w:rsidRPr="00030CE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89E505B" w14:textId="77777777" w:rsidR="00355DF2" w:rsidRPr="00030CE1" w:rsidRDefault="0060664A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  <w:u w:val="single" w:color="000000"/>
        </w:rPr>
        <w:t>Opis vybraných nežiaducich reakcií</w:t>
      </w:r>
    </w:p>
    <w:p w14:paraId="3C7D7525" w14:textId="77777777" w:rsidR="00355DF2" w:rsidRPr="00030CE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03EE39" w14:textId="77777777" w:rsidR="00355DF2" w:rsidRPr="00030CE1" w:rsidRDefault="0060664A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30CE1">
        <w:rPr>
          <w:rFonts w:ascii="Times New Roman" w:eastAsia="Times New Roman" w:hAnsi="Times New Roman" w:cs="Times New Roman"/>
          <w:i/>
        </w:rPr>
        <w:t>Infekcie a nákazy</w:t>
      </w:r>
    </w:p>
    <w:p w14:paraId="15D6DC1F" w14:textId="77777777" w:rsidR="0060664A" w:rsidRPr="00030CE1" w:rsidRDefault="0060664A" w:rsidP="006066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Boli hlásené prípady závažných infekcií (s </w:t>
      </w:r>
      <w:proofErr w:type="spellStart"/>
      <w:r w:rsidRPr="00030CE1">
        <w:rPr>
          <w:rFonts w:ascii="Times New Roman" w:eastAsia="Times New Roman" w:hAnsi="Times New Roman" w:cs="Times New Roman"/>
        </w:rPr>
        <w:t>neutropéniou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alebo bez </w:t>
      </w:r>
      <w:proofErr w:type="spellStart"/>
      <w:r w:rsidRPr="00030CE1">
        <w:rPr>
          <w:rFonts w:ascii="Times New Roman" w:eastAsia="Times New Roman" w:hAnsi="Times New Roman" w:cs="Times New Roman"/>
        </w:rPr>
        <w:t>neutropénie</w:t>
      </w:r>
      <w:proofErr w:type="spellEnd"/>
      <w:r w:rsidRPr="00030CE1">
        <w:rPr>
          <w:rFonts w:ascii="Times New Roman" w:eastAsia="Times New Roman" w:hAnsi="Times New Roman" w:cs="Times New Roman"/>
        </w:rPr>
        <w:t>), vrátane prípadov so</w:t>
      </w:r>
    </w:p>
    <w:p w14:paraId="6EC75BD0" w14:textId="77777777" w:rsidR="0060664A" w:rsidRPr="00030CE1" w:rsidRDefault="0060664A" w:rsidP="006066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smrteľným koncom. Boli hlásené prípady </w:t>
      </w:r>
      <w:proofErr w:type="spellStart"/>
      <w:r w:rsidRPr="00030CE1">
        <w:rPr>
          <w:rFonts w:ascii="Times New Roman" w:eastAsia="Times New Roman" w:hAnsi="Times New Roman" w:cs="Times New Roman"/>
        </w:rPr>
        <w:t>nekrotizujúcej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0CE1">
        <w:rPr>
          <w:rFonts w:ascii="Times New Roman" w:eastAsia="Times New Roman" w:hAnsi="Times New Roman" w:cs="Times New Roman"/>
        </w:rPr>
        <w:t>fascititídy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, vrátane </w:t>
      </w:r>
      <w:proofErr w:type="spellStart"/>
      <w:r w:rsidRPr="00030CE1">
        <w:rPr>
          <w:rFonts w:ascii="Times New Roman" w:eastAsia="Times New Roman" w:hAnsi="Times New Roman" w:cs="Times New Roman"/>
        </w:rPr>
        <w:t>perinea</w:t>
      </w:r>
      <w:proofErr w:type="spellEnd"/>
      <w:r w:rsidRPr="00030CE1">
        <w:rPr>
          <w:rFonts w:ascii="Times New Roman" w:eastAsia="Times New Roman" w:hAnsi="Times New Roman" w:cs="Times New Roman"/>
        </w:rPr>
        <w:t>, niekedy smrteľné</w:t>
      </w:r>
    </w:p>
    <w:p w14:paraId="711A307F" w14:textId="77777777" w:rsidR="00355DF2" w:rsidRPr="00030CE1" w:rsidRDefault="0060664A" w:rsidP="006066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(pozri tiež časť 4.4).</w:t>
      </w:r>
    </w:p>
    <w:p w14:paraId="14C374BF" w14:textId="77777777" w:rsidR="0060664A" w:rsidRPr="00030CE1" w:rsidRDefault="0060664A" w:rsidP="006066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27990" w14:textId="77777777" w:rsidR="00355DF2" w:rsidRPr="00030CE1" w:rsidRDefault="0060664A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30CE1">
        <w:rPr>
          <w:rFonts w:ascii="Times New Roman" w:eastAsia="Times New Roman" w:hAnsi="Times New Roman" w:cs="Times New Roman"/>
          <w:i/>
        </w:rPr>
        <w:t>Poruchy krvi a lymfatického systému</w:t>
      </w:r>
    </w:p>
    <w:p w14:paraId="41DE494D" w14:textId="77777777" w:rsidR="0074554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lastRenderedPageBreak/>
        <w:t xml:space="preserve">Pokles absolútneho počtu </w:t>
      </w:r>
      <w:proofErr w:type="spellStart"/>
      <w:r w:rsidRPr="00030CE1">
        <w:rPr>
          <w:rFonts w:ascii="Times New Roman" w:eastAsia="Times New Roman" w:hAnsi="Times New Roman" w:cs="Times New Roman"/>
        </w:rPr>
        <w:t>neutrofilov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3. a 4. stupňa závažnosti bol v uvedenom poradí hlásený: u 10 %</w:t>
      </w:r>
    </w:p>
    <w:p w14:paraId="07AEED76" w14:textId="77777777" w:rsidR="0074554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a 1,7 % pacientov v štúdii fázy 3 s GIST, u 16 % a 1,6 % pacientov v štúdii fázy 3 s MRCC a u 13 % a</w:t>
      </w:r>
    </w:p>
    <w:p w14:paraId="5CD87D37" w14:textId="77777777" w:rsidR="0074554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2,4 % pacientov v štúdii fázy 3 s </w:t>
      </w:r>
      <w:proofErr w:type="spellStart"/>
      <w:r w:rsidRPr="00030CE1">
        <w:rPr>
          <w:rFonts w:ascii="Times New Roman" w:eastAsia="Times New Roman" w:hAnsi="Times New Roman" w:cs="Times New Roman"/>
        </w:rPr>
        <w:t>pNET</w:t>
      </w:r>
      <w:proofErr w:type="spellEnd"/>
      <w:r w:rsidRPr="00030CE1">
        <w:rPr>
          <w:rFonts w:ascii="Times New Roman" w:eastAsia="Times New Roman" w:hAnsi="Times New Roman" w:cs="Times New Roman"/>
        </w:rPr>
        <w:t>. Pokles počtu trombocytov 3. a 4. stupňa závažnosti bol</w:t>
      </w:r>
    </w:p>
    <w:p w14:paraId="78488D68" w14:textId="77777777" w:rsidR="0074554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v uvedenom poradí hlásený: u 3,7 % a 0,4 % pacientov v štúdii fázy 3 s GIST, u 8,2 % a 1,1 %</w:t>
      </w:r>
    </w:p>
    <w:p w14:paraId="1265B43D" w14:textId="77777777" w:rsidR="00355DF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pacientov v štúdii fázy 3 s MRCC a u 3,7 % a 1,2 % pacientov v štúdii fázy 3 s </w:t>
      </w:r>
      <w:proofErr w:type="spellStart"/>
      <w:r w:rsidRPr="00030CE1">
        <w:rPr>
          <w:rFonts w:ascii="Times New Roman" w:eastAsia="Times New Roman" w:hAnsi="Times New Roman" w:cs="Times New Roman"/>
        </w:rPr>
        <w:t>pNET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(pozri časť 4.4).</w:t>
      </w:r>
    </w:p>
    <w:p w14:paraId="62C03989" w14:textId="77777777" w:rsidR="0074554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6C3183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Prípady krvácania boli hlásené u 18 % pacientov užívajúcich </w:t>
      </w:r>
      <w:proofErr w:type="spellStart"/>
      <w:r w:rsidRPr="00030CE1">
        <w:rPr>
          <w:rFonts w:ascii="Times New Roman" w:eastAsia="Times New Roman" w:hAnsi="Times New Roman" w:cs="Times New Roman"/>
        </w:rPr>
        <w:t>sunitinib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v štúdii fázy 3 s GIST</w:t>
      </w:r>
    </w:p>
    <w:p w14:paraId="68B421EA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v porovnaní so 17 % pacientov užívajúcich placebo. U pacientov užívajúcich </w:t>
      </w:r>
      <w:proofErr w:type="spellStart"/>
      <w:r w:rsidRPr="00030CE1">
        <w:rPr>
          <w:rFonts w:ascii="Times New Roman" w:eastAsia="Times New Roman" w:hAnsi="Times New Roman" w:cs="Times New Roman"/>
        </w:rPr>
        <w:t>sunitinib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pre predtým</w:t>
      </w:r>
    </w:p>
    <w:p w14:paraId="6185F81B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neliečený MRCC, sa krvácanie vyskytlo v 39 % v porovnaní s 11 % pacientov užívajúcich </w:t>
      </w:r>
      <w:proofErr w:type="spellStart"/>
      <w:r w:rsidRPr="00030CE1">
        <w:rPr>
          <w:rFonts w:ascii="Times New Roman" w:eastAsia="Times New Roman" w:hAnsi="Times New Roman" w:cs="Times New Roman"/>
        </w:rPr>
        <w:t>interferón</w:t>
      </w:r>
      <w:proofErr w:type="spellEnd"/>
      <w:r w:rsidRPr="00030CE1">
        <w:rPr>
          <w:rFonts w:ascii="Times New Roman" w:eastAsia="Times New Roman" w:hAnsi="Times New Roman" w:cs="Times New Roman"/>
        </w:rPr>
        <w:t>-</w:t>
      </w:r>
    </w:p>
    <w:p w14:paraId="6B8C0570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α (IFN-α). U 17 (4,5 %) pacientov liečených </w:t>
      </w:r>
      <w:proofErr w:type="spellStart"/>
      <w:r w:rsidRPr="00030CE1">
        <w:rPr>
          <w:rFonts w:ascii="Times New Roman" w:eastAsia="Times New Roman" w:hAnsi="Times New Roman" w:cs="Times New Roman"/>
        </w:rPr>
        <w:t>sunitinibom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sa vyskytlo krvácanie 3. alebo</w:t>
      </w:r>
    </w:p>
    <w:p w14:paraId="75B98D86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vyššieho stupňa v porovnaní s 5 (1,7 %) pacientami užívajúcimi IFN-α. U pacientov užívajúcich</w:t>
      </w:r>
    </w:p>
    <w:p w14:paraId="6A7746FD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proofErr w:type="spellStart"/>
      <w:r w:rsidRPr="00030CE1">
        <w:rPr>
          <w:rFonts w:ascii="Times New Roman" w:eastAsia="Times New Roman" w:hAnsi="Times New Roman" w:cs="Times New Roman"/>
        </w:rPr>
        <w:t>sunitinib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pre MRCC rezistentný na cytokíny sa u 26 % objavilo krvácanie. Prípady krvácania, okrem</w:t>
      </w:r>
    </w:p>
    <w:p w14:paraId="7CEB34BE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proofErr w:type="spellStart"/>
      <w:r w:rsidRPr="00030CE1">
        <w:rPr>
          <w:rFonts w:ascii="Times New Roman" w:eastAsia="Times New Roman" w:hAnsi="Times New Roman" w:cs="Times New Roman"/>
        </w:rPr>
        <w:t>epistaxy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, sa vyskytli u 21,7 % pacientov užívajúcich </w:t>
      </w:r>
      <w:proofErr w:type="spellStart"/>
      <w:r w:rsidRPr="00030CE1">
        <w:rPr>
          <w:rFonts w:ascii="Times New Roman" w:eastAsia="Times New Roman" w:hAnsi="Times New Roman" w:cs="Times New Roman"/>
        </w:rPr>
        <w:t>sunitinib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v štúdii fázy 3 s </w:t>
      </w:r>
      <w:proofErr w:type="spellStart"/>
      <w:r w:rsidRPr="00030CE1">
        <w:rPr>
          <w:rFonts w:ascii="Times New Roman" w:eastAsia="Times New Roman" w:hAnsi="Times New Roman" w:cs="Times New Roman"/>
        </w:rPr>
        <w:t>pNET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v porovnaní</w:t>
      </w:r>
    </w:p>
    <w:p w14:paraId="66535F3F" w14:textId="77777777" w:rsidR="00355DF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s 9,85 % pacientov, ktorí dostávali placebo (pozri časť 4.4).</w:t>
      </w:r>
    </w:p>
    <w:p w14:paraId="2779E867" w14:textId="77777777" w:rsidR="00745542" w:rsidRPr="00030CE1" w:rsidRDefault="00745542" w:rsidP="00745542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jc w:val="both"/>
        <w:rPr>
          <w:rFonts w:ascii="Times New Roman" w:eastAsia="Times New Roman" w:hAnsi="Times New Roman" w:cs="Times New Roman"/>
        </w:rPr>
      </w:pPr>
    </w:p>
    <w:p w14:paraId="0AD57C35" w14:textId="77777777" w:rsidR="00355DF2" w:rsidRPr="00030CE1" w:rsidRDefault="0074554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V klinických štúdiách bolo krvácanie do nádoru hlásené približne u 2 % pacientov s GIST.</w:t>
      </w:r>
    </w:p>
    <w:p w14:paraId="3B0AA6FD" w14:textId="77777777" w:rsidR="00745542" w:rsidRPr="00030CE1" w:rsidRDefault="0074554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B5186B" w14:textId="77777777" w:rsidR="00355DF2" w:rsidRPr="00030CE1" w:rsidRDefault="0074554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30CE1">
        <w:rPr>
          <w:rFonts w:ascii="Times New Roman" w:eastAsia="Times New Roman" w:hAnsi="Times New Roman" w:cs="Times New Roman"/>
          <w:i/>
        </w:rPr>
        <w:t>Poruchy imunitného systému</w:t>
      </w:r>
    </w:p>
    <w:p w14:paraId="187698EA" w14:textId="77777777" w:rsidR="00355DF2" w:rsidRPr="00030CE1" w:rsidRDefault="00745542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Boli hlásené </w:t>
      </w:r>
      <w:proofErr w:type="spellStart"/>
      <w:r w:rsidRPr="00030CE1">
        <w:rPr>
          <w:rFonts w:ascii="Times New Roman" w:eastAsia="Times New Roman" w:hAnsi="Times New Roman" w:cs="Times New Roman"/>
        </w:rPr>
        <w:t>hypersenzitívne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reakcie vrátane </w:t>
      </w:r>
      <w:proofErr w:type="spellStart"/>
      <w:r w:rsidRPr="00030CE1">
        <w:rPr>
          <w:rFonts w:ascii="Times New Roman" w:eastAsia="Times New Roman" w:hAnsi="Times New Roman" w:cs="Times New Roman"/>
        </w:rPr>
        <w:t>angioedému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(pozri časť 4.4).</w:t>
      </w:r>
    </w:p>
    <w:p w14:paraId="18D50CE5" w14:textId="77777777" w:rsidR="00745542" w:rsidRPr="00030CE1" w:rsidRDefault="00745542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05C7666" w14:textId="77777777" w:rsidR="00355DF2" w:rsidRPr="00030CE1" w:rsidRDefault="00745542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  <w:i/>
          <w:iCs/>
          <w:w w:val="103"/>
        </w:rPr>
        <w:t>Endokrinné poruchy</w:t>
      </w:r>
    </w:p>
    <w:p w14:paraId="3636EC4A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Hypotyreóza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bola hlásená ako nežiaduca reakcia u 7 pacientov (4 %), ktorí dostávali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</w:p>
    <w:p w14:paraId="7413A66D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 xml:space="preserve">v 2 štúdiách s MRCC rezistentným na cytokíny; u 61 pacientov (16 %), ktorí dostávali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</w:p>
    <w:p w14:paraId="30E491BE" w14:textId="77777777" w:rsidR="00355DF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>a u 3 pacientov (&lt; 1 %) v skupine s IFN-α v štúdii s predtým neliečeným MRCC.</w:t>
      </w:r>
    </w:p>
    <w:p w14:paraId="4BB80076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6CF691EC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>Okrem toho bolo hlásené zvýšenie hormónu stimulujúceho štítnu žľazu (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thyroid-stimulating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hormone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>,</w:t>
      </w:r>
    </w:p>
    <w:p w14:paraId="4A48E985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>TSH) u 4 pacientov (2 %) s MRCC rezistentným na cytokíny. Celkovo malo 7 % pacientov z MRCC</w:t>
      </w:r>
    </w:p>
    <w:p w14:paraId="6A33649D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 xml:space="preserve">populácie buď klinické, alebo laboratórne príznaky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hypotyreózy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>, ktoré sa objavili počas liečby.</w:t>
      </w:r>
    </w:p>
    <w:p w14:paraId="50A7B7F2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 xml:space="preserve">Získaná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hypotyreóza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bola zaznamenaná u 6,2 % pacientov s GIST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v porovnaní</w:t>
      </w:r>
    </w:p>
    <w:p w14:paraId="4D48A1BE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 xml:space="preserve">s 1 % pacientov užívajúcich placebo. V štúdii fázy 3 s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sa u 6 pacientov (7,2 %) liečených</w:t>
      </w:r>
    </w:p>
    <w:p w14:paraId="7671E643" w14:textId="77777777" w:rsidR="00355DF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u jedného pacienta (1,2 %) užívajúceho placebo hlásila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hypotyreóza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>.</w:t>
      </w:r>
    </w:p>
    <w:p w14:paraId="0A9B9C4B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0EC797C8" w14:textId="77777777" w:rsidR="0074554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 xml:space="preserve">Funkcia štítnej žľazy bola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prospektívne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monitorovaná v 2 štúdiách u pacientov s karcinómom prsníka;</w:t>
      </w:r>
    </w:p>
    <w:p w14:paraId="1A167F6B" w14:textId="77777777" w:rsidR="00355DF2" w:rsidRPr="00030CE1" w:rsidRDefault="00745542" w:rsidP="0074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nie je schválený na použitie pri karcinóme prsníka. V jednej štúdii bola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hypotyreóza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hlásená u 15 (13,6 %)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u 3 (2,9 %) pacientov so štandardnou liečbou. Zvýšenie hladín TSH v krvi bolo hlásené u 1 (0,9 %)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nebolo hlásené u žiadneho pacienta so štandardnou liečbou.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Hypertyreóza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nebola hlásená u žiadneho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, bola však hlásená u 1 (1,0 %) pacienta so štandardnou liečbou. V druhej štúdii bola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hypotyreóza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hlásená celkovo u 31 (13 %)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u 2 (0,8 %)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kapecitabínom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. Zvýšenie hladín TSH v krvi bolo hlásené u 12 (5,0 %)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nebolo hlásené u žiadneho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kapecitabínom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>.</w:t>
      </w:r>
    </w:p>
    <w:p w14:paraId="6C22E257" w14:textId="77777777" w:rsidR="00355DF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Hypertyreóza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bola hlásená u 4 (1,7 %)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nebula hlásená u žiadneho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kapecitabínom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. Zníženie hladín TSH v krvi bolo hlásené u 3 (1,3 %)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nebolo hlásené u žiadneho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kapecitabínom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. Zvýšenie hladín T4 bolo hlásené u 2 (0,8 %) pacientov liečených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u 1 (0,4 %)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kapecitabínom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. Zvýšenie hladín T3 bolo hlásené u 1 (0,8 %)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nebolo hlásené u žiadneho pacienta liečeného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kapecitabínom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>. Všetky hlásené príhody súvisiace so štítnou žľazou boli 1. – 2. stupňa (pozri časť 4.4).</w:t>
      </w:r>
    </w:p>
    <w:p w14:paraId="115225D6" w14:textId="77777777" w:rsidR="00745542" w:rsidRPr="00030CE1" w:rsidRDefault="00745542" w:rsidP="007455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822A88" w14:textId="77777777" w:rsidR="00355DF2" w:rsidRPr="00030CE1" w:rsidRDefault="0074554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30CE1">
        <w:rPr>
          <w:rFonts w:ascii="Times New Roman" w:eastAsia="Times New Roman" w:hAnsi="Times New Roman" w:cs="Times New Roman"/>
          <w:i/>
        </w:rPr>
        <w:t>Poruchy metabolizmu a výživy</w:t>
      </w:r>
    </w:p>
    <w:p w14:paraId="77A66830" w14:textId="77777777" w:rsidR="00030CE1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 xml:space="preserve">U pacientov s </w:t>
      </w:r>
      <w:proofErr w:type="spellStart"/>
      <w:r w:rsidRPr="00030CE1">
        <w:rPr>
          <w:rFonts w:ascii="Times New Roman" w:eastAsia="Times New Roman" w:hAnsi="Times New Roman" w:cs="Times New Roman"/>
        </w:rPr>
        <w:t>pNET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bola hlásená vyššia miera </w:t>
      </w:r>
      <w:proofErr w:type="spellStart"/>
      <w:r w:rsidRPr="00030CE1">
        <w:rPr>
          <w:rFonts w:ascii="Times New Roman" w:eastAsia="Times New Roman" w:hAnsi="Times New Roman" w:cs="Times New Roman"/>
        </w:rPr>
        <w:t>incidencie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0CE1">
        <w:rPr>
          <w:rFonts w:ascii="Times New Roman" w:eastAsia="Times New Roman" w:hAnsi="Times New Roman" w:cs="Times New Roman"/>
        </w:rPr>
        <w:t>hypoglykemických</w:t>
      </w:r>
      <w:proofErr w:type="spellEnd"/>
      <w:r w:rsidRPr="00030CE1">
        <w:rPr>
          <w:rFonts w:ascii="Times New Roman" w:eastAsia="Times New Roman" w:hAnsi="Times New Roman" w:cs="Times New Roman"/>
        </w:rPr>
        <w:t xml:space="preserve"> udalostí v porovnaní</w:t>
      </w:r>
    </w:p>
    <w:p w14:paraId="45F7EFE6" w14:textId="77777777" w:rsidR="00030CE1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s pacientami s MRCC a GIST. Väčšina týchto nežiaducich udalostí pozorovaných v klinických</w:t>
      </w:r>
    </w:p>
    <w:p w14:paraId="53BB2B23" w14:textId="77777777" w:rsidR="00355DF2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0CE1">
        <w:rPr>
          <w:rFonts w:ascii="Times New Roman" w:eastAsia="Times New Roman" w:hAnsi="Times New Roman" w:cs="Times New Roman"/>
        </w:rPr>
        <w:t>štúdiách sa však nepovažuje za súvisiacu s liečbou v rámci štúdie (pozri časť 4.4).</w:t>
      </w:r>
    </w:p>
    <w:p w14:paraId="4E72BCB9" w14:textId="77777777" w:rsidR="00030CE1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BEEB56" w14:textId="77777777" w:rsidR="00355DF2" w:rsidRPr="00030CE1" w:rsidRDefault="00030CE1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el-GR"/>
        </w:rPr>
      </w:pPr>
      <w:r w:rsidRPr="00030CE1">
        <w:rPr>
          <w:rFonts w:ascii="Times New Roman" w:eastAsia="Times New Roman" w:hAnsi="Times New Roman" w:cs="Times New Roman"/>
          <w:i/>
          <w:iCs/>
          <w:lang w:eastAsia="el-GR"/>
        </w:rPr>
        <w:t>Poruchy nervového systému</w:t>
      </w:r>
    </w:p>
    <w:p w14:paraId="11570BD3" w14:textId="77777777" w:rsidR="00030CE1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 xml:space="preserve">V klinických štúdiách so </w:t>
      </w:r>
      <w:proofErr w:type="spellStart"/>
      <w:r w:rsidRPr="00030CE1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030CE1">
        <w:rPr>
          <w:rFonts w:ascii="Times New Roman" w:eastAsia="TimesNewRomanPSMT" w:hAnsi="Times New Roman" w:cs="Times New Roman"/>
          <w:lang w:eastAsia="el-GR"/>
        </w:rPr>
        <w:t xml:space="preserve"> a v rámci dohľadu po uvedení lieku na trh bolo u pacientov</w:t>
      </w:r>
    </w:p>
    <w:p w14:paraId="536D5F5D" w14:textId="77777777" w:rsidR="00030CE1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>hlásených niekoľko prípadov (&lt; 1 %), niektoré z nich smrteľné, v ktorých sa udávali záchvaty</w:t>
      </w:r>
    </w:p>
    <w:p w14:paraId="25F05817" w14:textId="77777777" w:rsidR="00030CE1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lastRenderedPageBreak/>
        <w:t>a prítomnosť rádiologicky potvrdeného RPLS. Záchvaty sa pozorovali u pacientov s rádiologicky</w:t>
      </w:r>
    </w:p>
    <w:p w14:paraId="10703403" w14:textId="77777777" w:rsidR="00355DF2" w:rsidRPr="00030CE1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030CE1">
        <w:rPr>
          <w:rFonts w:ascii="Times New Roman" w:eastAsia="TimesNewRomanPSMT" w:hAnsi="Times New Roman" w:cs="Times New Roman"/>
          <w:lang w:eastAsia="el-GR"/>
        </w:rPr>
        <w:t>potvrdenými metastázami do mozgu alebo bez nich (pozri časť 4.4).</w:t>
      </w:r>
    </w:p>
    <w:p w14:paraId="3B881FC5" w14:textId="77777777" w:rsidR="00030CE1" w:rsidRPr="00355DF2" w:rsidRDefault="00030CE1" w:rsidP="00030C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037A9BF" w14:textId="77777777" w:rsidR="00355DF2" w:rsidRPr="00E229BE" w:rsidRDefault="00030CE1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el-GR"/>
        </w:rPr>
      </w:pPr>
      <w:r w:rsidRPr="00E229BE">
        <w:rPr>
          <w:rFonts w:ascii="Times New Roman" w:eastAsia="Times New Roman" w:hAnsi="Times New Roman" w:cs="Times New Roman"/>
          <w:i/>
          <w:iCs/>
          <w:lang w:eastAsia="el-GR"/>
        </w:rPr>
        <w:t>Poruchy srdca a srdcovej činnosti</w:t>
      </w:r>
    </w:p>
    <w:p w14:paraId="2277F4C8" w14:textId="4F7E9693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V klinických </w:t>
      </w:r>
      <w:r w:rsidR="00BA452F">
        <w:rPr>
          <w:rFonts w:ascii="Times New Roman" w:eastAsia="TimesNewRomanPSMT" w:hAnsi="Times New Roman" w:cs="Times New Roman"/>
          <w:lang w:eastAsia="el-GR"/>
        </w:rPr>
        <w:t>skúšania</w:t>
      </w:r>
      <w:r w:rsidRPr="00E229BE">
        <w:rPr>
          <w:rFonts w:ascii="Times New Roman" w:eastAsia="TimesNewRomanPSMT" w:hAnsi="Times New Roman" w:cs="Times New Roman"/>
          <w:lang w:eastAsia="el-GR"/>
        </w:rPr>
        <w:t xml:space="preserve">ch boli poklesy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ejekčnej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frakcie ľavej komory (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left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ventricular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ejection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fraction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>,</w:t>
      </w:r>
    </w:p>
    <w:p w14:paraId="6EF661D0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LVEF) o ≥ 20 % a pod dolnú hranicu normy hlásené u približne 2 % pacientov s GIST liečených</w:t>
      </w:r>
    </w:p>
    <w:p w14:paraId="7D135B80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>, u 4 % pacientov s MRCC rezistentným na cytokíny a u 2 % pacientov s GIST, ktorí</w:t>
      </w:r>
    </w:p>
    <w:p w14:paraId="6AAA2FEA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užívali placebo. Tieto poklesy LVEF nejavili známky progresie a často sa upravili pri pokračovaní</w:t>
      </w:r>
    </w:p>
    <w:p w14:paraId="1DFD0BF0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liečby. V štúdii s predtým neliečeným MRCC malo 27 % pacientov liečených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a 15 %</w:t>
      </w:r>
    </w:p>
    <w:p w14:paraId="0FBFA732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pacientov liečených INF-α hodnotu LVEF pod dolnou hranicou normy. Dvom pacientom (&lt; 1 %),</w:t>
      </w:r>
    </w:p>
    <w:p w14:paraId="467DD4B3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ktorí dostávali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, bolo diagnostikované CHF. </w:t>
      </w:r>
    </w:p>
    <w:p w14:paraId="64559EF5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U pacientov s GIST boli hlásené: „zlyhávanie srdca“, „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kongestívne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zlyhávanie srdca“ alebo „zlyhanie</w:t>
      </w:r>
    </w:p>
    <w:p w14:paraId="43C0053B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ľavej komory“ u 1,2 % pacientov liečených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a u 1 % pacientov, ktorí užívali placebo. V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pivotnej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štúdii fázy 3 u pacientov s GIST (N = 312) boli smrteľné srdcové reakcie súvisiace</w:t>
      </w:r>
    </w:p>
    <w:p w14:paraId="38957550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s liečbou hlásené u 1 % pacientov v každej skupine štúdie (t. j. v skupine so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a v skupine</w:t>
      </w:r>
    </w:p>
    <w:p w14:paraId="58C23F79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s placebom). V štúdii fázy 2 u pacientov s MRCC rezistentným na cytokíny sa u 0,9 % pacientov</w:t>
      </w:r>
    </w:p>
    <w:p w14:paraId="2F09F4C0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vyskytol s liečbou súvisiaci smrteľný infarkt myokardu a v štúdii fázy 3 u predtým neliečených</w:t>
      </w:r>
    </w:p>
    <w:p w14:paraId="2BFF43E4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pacientov s MRCC sa smrteľné srdcové udalosti vyskytli u 0,6 % pacientov v skupine s IFN-α a u 0 %</w:t>
      </w:r>
    </w:p>
    <w:p w14:paraId="7ADC4902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pacientov v skupine so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. V štúdii fázy 3 u pacientov s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sa u jedného (1 %) pacienta,</w:t>
      </w:r>
    </w:p>
    <w:p w14:paraId="6FE9C0FE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ktorý dostával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>, vyskytlo smrteľné zlyhanie srdca súvisiace s liečbou.</w:t>
      </w:r>
    </w:p>
    <w:p w14:paraId="759DC66F" w14:textId="77777777" w:rsidR="00355DF2" w:rsidRPr="00E229B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0D27B66" w14:textId="77777777" w:rsidR="00355DF2" w:rsidRPr="00E229BE" w:rsidRDefault="00E229BE" w:rsidP="00355D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el-GR"/>
        </w:rPr>
      </w:pPr>
      <w:r w:rsidRPr="00E229BE">
        <w:rPr>
          <w:rFonts w:ascii="Times New Roman" w:eastAsia="Times New Roman" w:hAnsi="Times New Roman" w:cs="Times New Roman"/>
          <w:i/>
          <w:iCs/>
          <w:lang w:eastAsia="el-GR"/>
        </w:rPr>
        <w:t>Poruchy ciev</w:t>
      </w:r>
    </w:p>
    <w:p w14:paraId="65D4C142" w14:textId="77777777" w:rsidR="00355DF2" w:rsidRPr="00E229BE" w:rsidRDefault="00E229BE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u w:val="single"/>
          <w:lang w:eastAsia="el-GR"/>
        </w:rPr>
      </w:pPr>
      <w:r w:rsidRPr="00E229BE">
        <w:rPr>
          <w:rFonts w:ascii="Times New Roman" w:eastAsia="TimesNewRomanPSMT" w:hAnsi="Times New Roman" w:cs="Times New Roman"/>
          <w:u w:val="single"/>
          <w:lang w:eastAsia="el-GR"/>
        </w:rPr>
        <w:t>Hypertenzia</w:t>
      </w:r>
    </w:p>
    <w:p w14:paraId="2E06EC93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V klinických skúšaniach bola hypertenzia veľmi častou nežiaducou reakciou. Dávka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sunitinibu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bola</w:t>
      </w:r>
    </w:p>
    <w:p w14:paraId="5AAE96F2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znížená alebo jeho podávanie dočasne prerušené približne u 2,7 % pacientov, u ktorých sa vyskytla hypertenzia. U žiadneho z týchto pacientov nebola liečba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natrvalo ukončená.</w:t>
      </w:r>
    </w:p>
    <w:p w14:paraId="76E1B00E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U 4,7 % pacientov s nádormi sa vyskytla závažná hypertenzia (&gt; 200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mmHg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systolického alebo</w:t>
      </w:r>
    </w:p>
    <w:p w14:paraId="4B2C09BD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110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mmHg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diastolického tlaku krvi). Hypertenzia bola hlásená približne u 33,9 % pacientov, ktorí</w:t>
      </w:r>
    </w:p>
    <w:p w14:paraId="737E6CDA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dostávali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na liečbu predtým neliečeného MRCC, v porovnaní s 3,6 % pacientov liečených</w:t>
      </w:r>
    </w:p>
    <w:p w14:paraId="5422D530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IFN-α. Závažná hypertenzia bola hlásená u 12 % predtým neliečených pacientov užívajúcich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</w:p>
    <w:p w14:paraId="57598527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a u &lt; 1 % pacientov liečených IFN-α. Hypertenzia bola hlásená u 26,5 % pacientov užívajúcich</w:t>
      </w:r>
    </w:p>
    <w:p w14:paraId="20560688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v štúdii fázy 3 s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v porovnaní so 4,9 % pacientov užívajúcich placebo. Závažná</w:t>
      </w:r>
    </w:p>
    <w:p w14:paraId="1F454F53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hypertenzia bola hlásená u 10 % pacientov s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užívajúcich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a u 3 % pacientov</w:t>
      </w:r>
    </w:p>
    <w:p w14:paraId="4100D44E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užívajúcich placebo.</w:t>
      </w:r>
    </w:p>
    <w:p w14:paraId="57DD942B" w14:textId="77777777" w:rsidR="00355DF2" w:rsidRPr="00E229BE" w:rsidRDefault="00355DF2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6A8A1BAC" w14:textId="77777777" w:rsidR="00355DF2" w:rsidRPr="00E229BE" w:rsidRDefault="00E229BE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u w:val="single"/>
          <w:lang w:eastAsia="el-GR"/>
        </w:rPr>
      </w:pPr>
      <w:proofErr w:type="spellStart"/>
      <w:r w:rsidRPr="00E229BE">
        <w:rPr>
          <w:rFonts w:ascii="Times New Roman" w:eastAsia="TimesNewRomanPSMT" w:hAnsi="Times New Roman" w:cs="Times New Roman"/>
          <w:u w:val="single"/>
          <w:lang w:eastAsia="el-GR"/>
        </w:rPr>
        <w:t>Venózne</w:t>
      </w:r>
      <w:proofErr w:type="spellEnd"/>
      <w:r w:rsidRPr="00E229BE">
        <w:rPr>
          <w:rFonts w:ascii="Times New Roman" w:eastAsia="TimesNewRomanPSMT" w:hAnsi="Times New Roman" w:cs="Times New Roman"/>
          <w:u w:val="single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u w:val="single"/>
          <w:lang w:eastAsia="el-GR"/>
        </w:rPr>
        <w:t>trombembolické</w:t>
      </w:r>
      <w:proofErr w:type="spellEnd"/>
      <w:r w:rsidRPr="00E229BE">
        <w:rPr>
          <w:rFonts w:ascii="Times New Roman" w:eastAsia="TimesNewRomanPSMT" w:hAnsi="Times New Roman" w:cs="Times New Roman"/>
          <w:u w:val="single"/>
          <w:lang w:eastAsia="el-GR"/>
        </w:rPr>
        <w:t xml:space="preserve"> príhody</w:t>
      </w:r>
    </w:p>
    <w:p w14:paraId="4F547E75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Venózne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trombembolické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príhody súvisiace s liečbou boli hlásené u približne 1,0 % pacientov s</w:t>
      </w:r>
    </w:p>
    <w:p w14:paraId="77843AB3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nádormi, ktorí dostávali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v rámci klinických skúšaní, vrátane GIST a RCC.</w:t>
      </w:r>
    </w:p>
    <w:p w14:paraId="26CCC9F5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196C8942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U 7 pacientov (3 %) užívajúcich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a u žiadneho pacienta užívajúceho placebo sa</w:t>
      </w:r>
    </w:p>
    <w:p w14:paraId="73DA66DD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v štúdii fázy 3 s GIST vyskytli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venózne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trombembolické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príhody; u 5 zo 7 išlo o hlbokú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venóznu</w:t>
      </w:r>
      <w:proofErr w:type="spellEnd"/>
    </w:p>
    <w:p w14:paraId="1CA92DD7" w14:textId="46637426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trombózu (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deep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venous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thrombosis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, DVT) 3. stupňa a u 2 išlo o 1. alebo 2. stupeň. </w:t>
      </w:r>
      <w:r w:rsidR="00BA452F">
        <w:rPr>
          <w:rFonts w:ascii="Times New Roman" w:eastAsia="TimesNewRomanPSMT" w:hAnsi="Times New Roman" w:cs="Times New Roman"/>
          <w:lang w:eastAsia="el-GR"/>
        </w:rPr>
        <w:t>Štyria</w:t>
      </w:r>
      <w:r w:rsidRPr="00E229BE">
        <w:rPr>
          <w:rFonts w:ascii="Times New Roman" w:eastAsia="TimesNewRomanPSMT" w:hAnsi="Times New Roman" w:cs="Times New Roman"/>
          <w:lang w:eastAsia="el-GR"/>
        </w:rPr>
        <w:t xml:space="preserve"> z týchto 7</w:t>
      </w:r>
    </w:p>
    <w:p w14:paraId="215046D5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pacientov s GIST ukončili liečbu po prvom spozorovaní DVT.</w:t>
      </w:r>
    </w:p>
    <w:p w14:paraId="1FBA15EC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40E7CF95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U 13 pacientov (3 %) užívajúcich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v štúdii fázy 3 na predtým neliečený MRCC</w:t>
      </w:r>
    </w:p>
    <w:p w14:paraId="18136099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a u 4 pacientov (2 %) v 2 štúdiách s MRCC rezistentným na cytokíny boli hlásené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venózne</w:t>
      </w:r>
      <w:proofErr w:type="spellEnd"/>
    </w:p>
    <w:p w14:paraId="3A6D7C6A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trombembolické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príhody. U 9 z týchto pacientov sa vyskytla pľúcna embólia; 1 bola 2. stupňa</w:t>
      </w:r>
    </w:p>
    <w:p w14:paraId="154AB624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a 8 bolo 4. stupňa. 8 z týchto pacientov malo DVT; jeden 1. stupňa, dvaja 2. stupňa, štyria</w:t>
      </w:r>
    </w:p>
    <w:p w14:paraId="6E3A4F6D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3. stupňa a jeden 4. stupňa. U 1 pacienta s pľúcnou embóliou v štúdii s MRCC rezistentným</w:t>
      </w:r>
    </w:p>
    <w:p w14:paraId="4E060C52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na cytokíny bolo prerušené podávanie lieku.</w:t>
      </w:r>
    </w:p>
    <w:p w14:paraId="59138C37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5DF6FF6F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U pacientov s predtým neliečeným MRCC užívajúcich IFN-α bolo hlásených 6 (2 %)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venóznych</w:t>
      </w:r>
      <w:proofErr w:type="spellEnd"/>
    </w:p>
    <w:p w14:paraId="67B21CEA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trombembolických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príhod; 1 pacient (&lt; 1 %) mal DVT 3. stupňa a 5 pacientov (1 %) malo pľúcnu</w:t>
      </w:r>
    </w:p>
    <w:p w14:paraId="370C23CF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embóliu, všetci 4. stupňa.</w:t>
      </w:r>
    </w:p>
    <w:p w14:paraId="67C69E21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49AD4156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V štúdii fázy 3 u pacientov s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boli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venózne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trombembolické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príhody hlásené u 1 (1,2 %)</w:t>
      </w:r>
    </w:p>
    <w:p w14:paraId="16B068EB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lastRenderedPageBreak/>
        <w:t xml:space="preserve">pacienta v skupine so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a u 5 (6,1 %) pacientov v skupine s placebom. U 2 z týchto</w:t>
      </w:r>
    </w:p>
    <w:p w14:paraId="08B5CFB3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pacientov užívajúcich placebo išlo o DVT, pričom u 1 pacienta bola 2. stupňa a u 1 bola 3. stupňa.</w:t>
      </w:r>
    </w:p>
    <w:p w14:paraId="41EDAEB7" w14:textId="77777777" w:rsidR="00E229BE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 xml:space="preserve">V registračných štúdiách u pacientov s GIST, MRCC a </w:t>
      </w:r>
      <w:proofErr w:type="spellStart"/>
      <w:r w:rsidRPr="00E229BE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E229BE">
        <w:rPr>
          <w:rFonts w:ascii="Times New Roman" w:eastAsia="TimesNewRomanPSMT" w:hAnsi="Times New Roman" w:cs="Times New Roman"/>
          <w:lang w:eastAsia="el-GR"/>
        </w:rPr>
        <w:t xml:space="preserve"> neboli hlásené žiadne prípady</w:t>
      </w:r>
    </w:p>
    <w:p w14:paraId="56546E28" w14:textId="77777777" w:rsidR="00355DF2" w:rsidRPr="00E229BE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E229BE">
        <w:rPr>
          <w:rFonts w:ascii="Times New Roman" w:eastAsia="TimesNewRomanPSMT" w:hAnsi="Times New Roman" w:cs="Times New Roman"/>
          <w:lang w:eastAsia="el-GR"/>
        </w:rPr>
        <w:t>so smrteľným koncom. Prípady so smrteľným koncom sa pozorovali po uvedení lieku na trh.</w:t>
      </w:r>
    </w:p>
    <w:p w14:paraId="0012DFE8" w14:textId="77777777" w:rsidR="00E229BE" w:rsidRPr="00355DF2" w:rsidRDefault="00E229BE" w:rsidP="00E22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en-US" w:eastAsia="el-GR"/>
        </w:rPr>
      </w:pPr>
    </w:p>
    <w:p w14:paraId="6F2485EB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V štúdiách fázy 3 u pacientov, ktorí dostávali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, sa prípady pľúcnej embólie pozorovali</w:t>
      </w:r>
    </w:p>
    <w:p w14:paraId="673282E1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približne u 3,1 % pacientov s GIST a približne u 1,2 % pacientov s MRCC. V štúdii fázy 3 u pacientov</w:t>
      </w:r>
    </w:p>
    <w:p w14:paraId="17D3D89E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s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, ktorí dostávali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, nebola hlásená žiadna pľúcna embólia. Zriedkavé prípady</w:t>
      </w:r>
    </w:p>
    <w:p w14:paraId="3529E7F0" w14:textId="77777777" w:rsidR="00355DF2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so smrteľným koncom sa pozorovali po uvedení lieku na trh.</w:t>
      </w:r>
    </w:p>
    <w:p w14:paraId="23B3A10E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3D3658C6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Pacienti, u ktorých sa vyskytla pľúcna embólia v predchádzajúcich 12 mesiacoch, boli vylúčení</w:t>
      </w:r>
    </w:p>
    <w:p w14:paraId="68F870BB" w14:textId="77777777" w:rsidR="00355DF2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z klinických štúdií so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.</w:t>
      </w:r>
    </w:p>
    <w:p w14:paraId="1E0996BE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PSMT" w:hAnsi="Calibri" w:cs="Times New Roman"/>
          <w:lang w:eastAsia="el-GR"/>
        </w:rPr>
      </w:pPr>
    </w:p>
    <w:p w14:paraId="70E8C492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U pacientov, ktorí dostávali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v registračných štúdiách fázy 3, boli pľúcne príhody (t. j.</w:t>
      </w:r>
    </w:p>
    <w:p w14:paraId="2CCA152B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dyspnoe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,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pleurálny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výpotok, pľúcna embólia alebo pľúcny edém) hlásené približne u 17,8 % pacientov</w:t>
      </w:r>
    </w:p>
    <w:p w14:paraId="5F9ADD79" w14:textId="77777777" w:rsidR="00355DF2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s GIST, približne u 26,7 % pacientov s MRCC a u 12 % pacientov s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.</w:t>
      </w:r>
    </w:p>
    <w:p w14:paraId="532F5667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1693615B" w14:textId="6CE24E42" w:rsidR="00355DF2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Približne 22,2 % pacientov s</w:t>
      </w:r>
      <w:r w:rsidR="00BA452F">
        <w:rPr>
          <w:rFonts w:ascii="Times New Roman" w:eastAsia="TimesNewRomanPSMT" w:hAnsi="Times New Roman" w:cs="Times New Roman"/>
          <w:lang w:eastAsia="el-GR"/>
        </w:rPr>
        <w:t xml:space="preserve">o solídnymi </w:t>
      </w:r>
      <w:r w:rsidRPr="0012104F">
        <w:rPr>
          <w:rFonts w:ascii="Times New Roman" w:eastAsia="TimesNewRomanPSMT" w:hAnsi="Times New Roman" w:cs="Times New Roman"/>
          <w:lang w:eastAsia="el-GR"/>
        </w:rPr>
        <w:t>nádormi, vrátane GIST a MRCC, ktorí v klinických skúšaniach dostávali</w:t>
      </w:r>
      <w:r w:rsidR="00BA452F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, malo pľúcne príhody.</w:t>
      </w:r>
    </w:p>
    <w:p w14:paraId="2F0A933C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lang w:eastAsia="el-GR"/>
        </w:rPr>
      </w:pPr>
    </w:p>
    <w:p w14:paraId="43BF40F5" w14:textId="77777777" w:rsidR="00355DF2" w:rsidRPr="0012104F" w:rsidRDefault="0012104F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lang w:eastAsia="el-GR"/>
        </w:rPr>
      </w:pPr>
      <w:r w:rsidRPr="0012104F">
        <w:rPr>
          <w:rFonts w:ascii="Times New Roman" w:eastAsia="TimesNewRomanPSMT" w:hAnsi="Times New Roman" w:cs="Times New Roman"/>
          <w:i/>
          <w:iCs/>
          <w:lang w:eastAsia="el-GR"/>
        </w:rPr>
        <w:t>Poruchy gastrointestinálneho traktu</w:t>
      </w:r>
    </w:p>
    <w:p w14:paraId="1B2BE0E1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U pacientov liečených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sunitinibom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pre GIST alebo MRCC sa pankreatitída pozorovala menej často</w:t>
      </w:r>
    </w:p>
    <w:p w14:paraId="7D5EE476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(&lt; 1 %). V štúdii fázy 3 u pacientov s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pNET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nebola hlásená žiadna pankreatitída súvisiaca s liečbou</w:t>
      </w:r>
    </w:p>
    <w:p w14:paraId="3C6F8312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(pozri časť 4.4).</w:t>
      </w:r>
    </w:p>
    <w:p w14:paraId="1D041B4A" w14:textId="77777777" w:rsidR="00355DF2" w:rsidRPr="0012104F" w:rsidRDefault="00355DF2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41979FE1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Smrteľné gastrointestinálne krvácanie bolo hlásené u 0,98 % pacientov, ktorí dostávali placebo</w:t>
      </w:r>
    </w:p>
    <w:p w14:paraId="70DD44D7" w14:textId="77777777" w:rsidR="00355DF2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v štúdii fázy 3 s GIST.</w:t>
      </w:r>
    </w:p>
    <w:p w14:paraId="73A6DE98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63B65C09" w14:textId="77777777" w:rsidR="00355DF2" w:rsidRPr="0012104F" w:rsidRDefault="0012104F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2104F">
        <w:rPr>
          <w:rFonts w:ascii="Times New Roman" w:eastAsia="Times New Roman" w:hAnsi="Times New Roman" w:cs="Times New Roman"/>
          <w:i/>
        </w:rPr>
        <w:t>Poruchy pečene a žlčových ciest</w:t>
      </w:r>
    </w:p>
    <w:p w14:paraId="65F5B7FC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>Bola hlásená hepatálna dysfunkcia, ktorá môže zahŕňať odchýlky testov pečeňových funkcií,</w:t>
      </w:r>
    </w:p>
    <w:p w14:paraId="1EA01BE9" w14:textId="77777777" w:rsidR="00355DF2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>hepatitídu alebo zlyhanie pečene (pozri časť 4.4).</w:t>
      </w:r>
    </w:p>
    <w:p w14:paraId="7F5B798E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533A76" w14:textId="77777777" w:rsidR="00355DF2" w:rsidRPr="0012104F" w:rsidRDefault="0012104F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2104F">
        <w:rPr>
          <w:rFonts w:ascii="Times New Roman" w:eastAsia="Times New Roman" w:hAnsi="Times New Roman" w:cs="Times New Roman"/>
          <w:i/>
        </w:rPr>
        <w:t>Poruchy kože a podkožného tkaniva</w:t>
      </w:r>
    </w:p>
    <w:p w14:paraId="5AF6C710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 xml:space="preserve">Boli hlásené prípady </w:t>
      </w:r>
      <w:proofErr w:type="spellStart"/>
      <w:r w:rsidRPr="0012104F">
        <w:rPr>
          <w:rFonts w:ascii="Times New Roman" w:eastAsia="Times New Roman" w:hAnsi="Times New Roman" w:cs="Times New Roman"/>
        </w:rPr>
        <w:t>pyoderma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104F">
        <w:rPr>
          <w:rFonts w:ascii="Times New Roman" w:eastAsia="Times New Roman" w:hAnsi="Times New Roman" w:cs="Times New Roman"/>
        </w:rPr>
        <w:t>gangrenosum</w:t>
      </w:r>
      <w:proofErr w:type="spellEnd"/>
      <w:r w:rsidRPr="0012104F">
        <w:rPr>
          <w:rFonts w:ascii="Times New Roman" w:eastAsia="Times New Roman" w:hAnsi="Times New Roman" w:cs="Times New Roman"/>
        </w:rPr>
        <w:t>, vo všeobecnosti reverzibilné po prerušení liečby</w:t>
      </w:r>
    </w:p>
    <w:p w14:paraId="483F96F1" w14:textId="77777777" w:rsidR="00355DF2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2104F">
        <w:rPr>
          <w:rFonts w:ascii="Times New Roman" w:eastAsia="Times New Roman" w:hAnsi="Times New Roman" w:cs="Times New Roman"/>
        </w:rPr>
        <w:t>sunitinibom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 (pozri časť 4.4).</w:t>
      </w:r>
    </w:p>
    <w:p w14:paraId="4A8E6521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CA8B10" w14:textId="77777777" w:rsidR="00355DF2" w:rsidRPr="0012104F" w:rsidRDefault="0012104F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2104F">
        <w:rPr>
          <w:rFonts w:ascii="Times New Roman" w:eastAsia="Times New Roman" w:hAnsi="Times New Roman" w:cs="Times New Roman"/>
          <w:i/>
        </w:rPr>
        <w:t>Poruchy kostrovej a svalovej sústavy a spojivového tkaniva</w:t>
      </w:r>
    </w:p>
    <w:p w14:paraId="1C45CA1E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 xml:space="preserve">Boli hlásené prípady </w:t>
      </w:r>
      <w:proofErr w:type="spellStart"/>
      <w:r w:rsidRPr="0012104F">
        <w:rPr>
          <w:rFonts w:ascii="Times New Roman" w:eastAsia="Times New Roman" w:hAnsi="Times New Roman" w:cs="Times New Roman"/>
        </w:rPr>
        <w:t>myopatie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 a/alebo </w:t>
      </w:r>
      <w:proofErr w:type="spellStart"/>
      <w:r w:rsidRPr="0012104F">
        <w:rPr>
          <w:rFonts w:ascii="Times New Roman" w:eastAsia="Times New Roman" w:hAnsi="Times New Roman" w:cs="Times New Roman"/>
        </w:rPr>
        <w:t>rabdomyolýzy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, niektoré s akútnym </w:t>
      </w:r>
      <w:proofErr w:type="spellStart"/>
      <w:r w:rsidRPr="0012104F">
        <w:rPr>
          <w:rFonts w:ascii="Times New Roman" w:eastAsia="Times New Roman" w:hAnsi="Times New Roman" w:cs="Times New Roman"/>
        </w:rPr>
        <w:t>renálnym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 zlyhaním.</w:t>
      </w:r>
    </w:p>
    <w:p w14:paraId="3C67AA8E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>Pacienti s prejavmi alebo príznakmi svalovej toxicity majú byť liečení štandardnými lekárskymi</w:t>
      </w:r>
    </w:p>
    <w:p w14:paraId="7006D244" w14:textId="77777777" w:rsidR="00355DF2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>postupmi (pozri časť 4.4).</w:t>
      </w:r>
    </w:p>
    <w:p w14:paraId="50BD5BE2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7ADD93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>Boli hlásené prípady vytvorenia fistuly, niekedy spojené s nekrózou nádoru a regresiou, v niektorých</w:t>
      </w:r>
    </w:p>
    <w:p w14:paraId="0392F62C" w14:textId="77777777" w:rsidR="00355DF2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>prípadoch so smrteľným koncom (pozri časť 4.4).</w:t>
      </w:r>
    </w:p>
    <w:p w14:paraId="37FA9814" w14:textId="77777777" w:rsidR="0012104F" w:rsidRPr="0012104F" w:rsidRDefault="0012104F" w:rsidP="0012104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A9038B" w14:textId="77777777" w:rsidR="00355DF2" w:rsidRPr="0012104F" w:rsidRDefault="0012104F" w:rsidP="0012104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12104F">
        <w:rPr>
          <w:rFonts w:ascii="Times New Roman" w:eastAsia="Times New Roman" w:hAnsi="Times New Roman" w:cs="Times New Roman"/>
        </w:rPr>
        <w:t xml:space="preserve">U pacientov liečených </w:t>
      </w:r>
      <w:proofErr w:type="spellStart"/>
      <w:r w:rsidRPr="0012104F">
        <w:rPr>
          <w:rFonts w:ascii="Times New Roman" w:eastAsia="Times New Roman" w:hAnsi="Times New Roman" w:cs="Times New Roman"/>
        </w:rPr>
        <w:t>sunitinibom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 boli hlásené prípady ONJ, z ktorých sa väčšina vyskytla u pacientov, ktorí mali identifikované rizikové faktory pre ONJ, zvlášť expozíciu intravenóznym </w:t>
      </w:r>
      <w:proofErr w:type="spellStart"/>
      <w:r w:rsidRPr="0012104F">
        <w:rPr>
          <w:rFonts w:ascii="Times New Roman" w:eastAsia="Times New Roman" w:hAnsi="Times New Roman" w:cs="Times New Roman"/>
        </w:rPr>
        <w:t>bifosfonátom</w:t>
      </w:r>
      <w:proofErr w:type="spellEnd"/>
      <w:r w:rsidRPr="0012104F">
        <w:rPr>
          <w:rFonts w:ascii="Times New Roman" w:eastAsia="Times New Roman" w:hAnsi="Times New Roman" w:cs="Times New Roman"/>
        </w:rPr>
        <w:t xml:space="preserve"> a/alebo stomatologické ochorenie v anamnéze vyžadujúce invazívny stomatologický zákrok (pozri tiež časť 4.4).</w:t>
      </w:r>
    </w:p>
    <w:p w14:paraId="25F9C1E4" w14:textId="77777777" w:rsidR="0012104F" w:rsidRPr="0012104F" w:rsidRDefault="0012104F" w:rsidP="0012104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79900BDC" w14:textId="77777777" w:rsidR="00355DF2" w:rsidRPr="0012104F" w:rsidRDefault="0012104F" w:rsidP="003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el-GR"/>
        </w:rPr>
      </w:pPr>
      <w:r w:rsidRPr="0012104F">
        <w:rPr>
          <w:rFonts w:ascii="Times New Roman" w:eastAsia="Times New Roman" w:hAnsi="Times New Roman" w:cs="Times New Roman"/>
          <w:i/>
          <w:iCs/>
          <w:lang w:eastAsia="el-GR"/>
        </w:rPr>
        <w:t>Laboratórne a funkčné vyšetrenia</w:t>
      </w:r>
    </w:p>
    <w:p w14:paraId="2623F46E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Údaje z predklinických (</w:t>
      </w:r>
      <w:r w:rsidRPr="0012104F">
        <w:rPr>
          <w:rFonts w:ascii="Times New Roman" w:eastAsia="TimesNewRomanPSMT" w:hAnsi="Times New Roman" w:cs="Times New Roman"/>
          <w:i/>
          <w:lang w:eastAsia="el-GR"/>
        </w:rPr>
        <w:t>in vitro</w:t>
      </w:r>
      <w:r w:rsidRPr="0012104F">
        <w:rPr>
          <w:rFonts w:ascii="Times New Roman" w:eastAsia="TimesNewRomanPSMT" w:hAnsi="Times New Roman" w:cs="Times New Roman"/>
          <w:lang w:eastAsia="el-GR"/>
        </w:rPr>
        <w:t xml:space="preserve"> a </w:t>
      </w:r>
      <w:r w:rsidRPr="0012104F">
        <w:rPr>
          <w:rFonts w:ascii="Times New Roman" w:eastAsia="TimesNewRomanPSMT" w:hAnsi="Times New Roman" w:cs="Times New Roman"/>
          <w:i/>
          <w:lang w:eastAsia="el-GR"/>
        </w:rPr>
        <w:t xml:space="preserve">in </w:t>
      </w:r>
      <w:proofErr w:type="spellStart"/>
      <w:r w:rsidRPr="0012104F">
        <w:rPr>
          <w:rFonts w:ascii="Times New Roman" w:eastAsia="TimesNewRomanPSMT" w:hAnsi="Times New Roman" w:cs="Times New Roman"/>
          <w:i/>
          <w:lang w:eastAsia="el-GR"/>
        </w:rPr>
        <w:t>vivo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) štúdií pri dávkach vyšších, ako je odporúčaná dávka pre</w:t>
      </w:r>
    </w:p>
    <w:p w14:paraId="4C64DD07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ľudí, ukazujú, že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má potenciál inhibovať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repolarizačný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proces srdcového akčného potenciálu</w:t>
      </w:r>
    </w:p>
    <w:p w14:paraId="548030CE" w14:textId="77777777" w:rsidR="00355DF2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(napr. predĺženie QT-intervalu).</w:t>
      </w:r>
    </w:p>
    <w:p w14:paraId="54DD31D1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44CCF6BE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Predĺženie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QTc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-intervalu na viac ako 500 ms bolo hlásené u 0,5 % a zmeny o viac ako 60 ms oproti</w:t>
      </w:r>
    </w:p>
    <w:p w14:paraId="0622AC5F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>vstupnej hodnote boli hlásené u 1,1 % zo 450 pacientov s nádorom; oba z týchto parametrov sú uznané</w:t>
      </w:r>
    </w:p>
    <w:p w14:paraId="7B3B67B7" w14:textId="77777777" w:rsidR="0012104F" w:rsidRPr="0012104F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lastRenderedPageBreak/>
        <w:t>ako potenciálne signifikantné zmeny. Pri približne dvojnásobných terapeutických koncentráciách sa</w:t>
      </w:r>
    </w:p>
    <w:p w14:paraId="3106C1F4" w14:textId="77777777" w:rsidR="00355DF2" w:rsidRDefault="0012104F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12104F">
        <w:rPr>
          <w:rFonts w:ascii="Times New Roman" w:eastAsia="TimesNewRomanPSMT" w:hAnsi="Times New Roman" w:cs="Times New Roman"/>
          <w:lang w:eastAsia="el-GR"/>
        </w:rPr>
        <w:t xml:space="preserve">ukázalo, že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 predlžuje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QTcF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 xml:space="preserve">-interval (korekcia QT-intervalu podľa </w:t>
      </w:r>
      <w:proofErr w:type="spellStart"/>
      <w:r w:rsidRPr="0012104F">
        <w:rPr>
          <w:rFonts w:ascii="Times New Roman" w:eastAsia="TimesNewRomanPSMT" w:hAnsi="Times New Roman" w:cs="Times New Roman"/>
          <w:lang w:eastAsia="el-GR"/>
        </w:rPr>
        <w:t>Fridericia</w:t>
      </w:r>
      <w:proofErr w:type="spellEnd"/>
      <w:r w:rsidRPr="0012104F">
        <w:rPr>
          <w:rFonts w:ascii="Times New Roman" w:eastAsia="TimesNewRomanPSMT" w:hAnsi="Times New Roman" w:cs="Times New Roman"/>
          <w:lang w:eastAsia="el-GR"/>
        </w:rPr>
        <w:t>).</w:t>
      </w:r>
    </w:p>
    <w:p w14:paraId="6B4B8BD3" w14:textId="77777777" w:rsidR="00C125B2" w:rsidRPr="0012104F" w:rsidRDefault="00C125B2" w:rsidP="0012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4C4003DB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Predĺženie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-intervalu sa skúmalo v skúšaní s 24 pacientmi vo veku 20 – 87 rokov s pokročilými</w:t>
      </w:r>
    </w:p>
    <w:p w14:paraId="4EE0B91B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malignitami. Výsledky tejto štúdie ukázali, že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sunitinib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mal vplyv na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 (definovaný ako</w:t>
      </w:r>
    </w:p>
    <w:p w14:paraId="1E2A24C4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priemerná zmena upravená vzhľadom k placebu o &gt; 10 ms s 90 % horným limitom intervalu</w:t>
      </w:r>
    </w:p>
    <w:p w14:paraId="51D13284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spoľahlivosti (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confidence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interval, CI) &gt; 15 ms) pri terapeutickej koncentrácii (3. deň) pri použití</w:t>
      </w:r>
    </w:p>
    <w:p w14:paraId="618BDE73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korekčnej metódy oproti vstupnej hodnote v rámci dňa a pri koncentrácii väčšej, ako je terapeutická</w:t>
      </w:r>
    </w:p>
    <w:p w14:paraId="4DE1BC37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(9. deň) pri použití oboch korekčných metód oproti vstupnej hodnote. Žiaden pacient nemal hodnotu</w:t>
      </w:r>
    </w:p>
    <w:p w14:paraId="67FE6D09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-intervalu &gt; 500 ms. Hoci sa vplyv na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QTcF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 pozoroval na 3. deň 24 hodín po podaní</w:t>
      </w:r>
    </w:p>
    <w:p w14:paraId="26A9D10E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dávky (t. j. pri terapeutickej koncentrácii v plazme očakávanej po podaní odporúčanej úvodnej dávky</w:t>
      </w:r>
    </w:p>
    <w:p w14:paraId="5BC5D74F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50 mg) pri použití korekčnej metódy oproti vstupnej hodnote v rámci dňa, klinický význam tohto</w:t>
      </w:r>
    </w:p>
    <w:p w14:paraId="4FE1C7A4" w14:textId="77777777" w:rsidR="00355DF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nálezu nie je jasný.</w:t>
      </w:r>
    </w:p>
    <w:p w14:paraId="23B4C588" w14:textId="77777777" w:rsidR="00C125B2" w:rsidRPr="00C57FE7" w:rsidRDefault="00C125B2" w:rsidP="00C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</w:p>
    <w:p w14:paraId="690ABBE9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Pri použití rozsiahlych sériových vyšetrení EKG v časoch korešpondujúcich buď s terapeutickou,</w:t>
      </w:r>
    </w:p>
    <w:p w14:paraId="5BD7BAC0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alebo vyššou ako terapeutickou expozíciou sa u žiadneho z pacientov v hodnotiteľnej alebo</w:t>
      </w:r>
    </w:p>
    <w:p w14:paraId="7E24412C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ITT-populácii nepozoroval výskyt predĺženia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-intervalu, ktorý by sa považoval za „závažný“ (t. j.</w:t>
      </w:r>
    </w:p>
    <w:p w14:paraId="4FE524A0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rovný alebo väčší ako 3. stupeň podľa všeobecných terminologických kritérií pre nežiaduce účinky</w:t>
      </w:r>
    </w:p>
    <w:p w14:paraId="24BB00D8" w14:textId="77777777" w:rsidR="00355DF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[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common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terminology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criteria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for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adverse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events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, CTCAE] verzia 3.0).</w:t>
      </w:r>
    </w:p>
    <w:p w14:paraId="351C1578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/>
        <w:jc w:val="both"/>
        <w:rPr>
          <w:rFonts w:ascii="Times New Roman" w:eastAsia="Times New Roman" w:hAnsi="Times New Roman" w:cs="Times New Roman"/>
        </w:rPr>
      </w:pPr>
    </w:p>
    <w:p w14:paraId="11705C83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Pri terapeutických koncentráciách v plazme bola maximálna priemerná zmena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QTcF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-intervalu</w:t>
      </w:r>
    </w:p>
    <w:p w14:paraId="1E99BEBF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(korekcia podľa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Fridericia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) oproti vstupnej hodnote 9 ms (90 % CI: 15,1 ms). Pri približne</w:t>
      </w:r>
    </w:p>
    <w:p w14:paraId="0B375EDC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dvojnásobných terapeutických koncentráciách bola maximálna zmena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QTcF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-intervalu oproti vstupnej</w:t>
      </w:r>
    </w:p>
    <w:p w14:paraId="663EDD9C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hodnote 15,4 ms (90 % CI: 22,4 ms).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Moxifloxacín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 xml:space="preserve"> (400 mg), ktorý sa používal ako pozitívna</w:t>
      </w:r>
    </w:p>
    <w:p w14:paraId="14C892A6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kontrola, vykazoval maximálnu priemernú zmenu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QTcF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-intervalu 5,6 ms oproti vstupnej hodnote. Ani</w:t>
      </w:r>
    </w:p>
    <w:p w14:paraId="6DAEB023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 xml:space="preserve">u jedného účastníka nebol účinok na </w:t>
      </w:r>
      <w:proofErr w:type="spellStart"/>
      <w:r w:rsidRPr="00C57FE7">
        <w:rPr>
          <w:rFonts w:ascii="Times New Roman" w:eastAsia="TimesNewRomanPSMT" w:hAnsi="Times New Roman" w:cs="Times New Roman"/>
          <w:lang w:eastAsia="el-GR"/>
        </w:rPr>
        <w:t>QTc</w:t>
      </w:r>
      <w:proofErr w:type="spellEnd"/>
      <w:r w:rsidRPr="00C57FE7">
        <w:rPr>
          <w:rFonts w:ascii="Times New Roman" w:eastAsia="TimesNewRomanPSMT" w:hAnsi="Times New Roman" w:cs="Times New Roman"/>
          <w:lang w:eastAsia="el-GR"/>
        </w:rPr>
        <w:t>-interval vyšší ako 2. stupeň (CTCAE, verzia 3.0) (pozri</w:t>
      </w:r>
    </w:p>
    <w:p w14:paraId="61A813A4" w14:textId="77777777" w:rsidR="00355DF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 w:hanging="134"/>
        <w:jc w:val="both"/>
        <w:rPr>
          <w:rFonts w:ascii="Times New Roman" w:eastAsia="TimesNewRomanPSMT" w:hAnsi="Times New Roman" w:cs="Times New Roman"/>
          <w:lang w:eastAsia="el-GR"/>
        </w:rPr>
      </w:pPr>
      <w:r w:rsidRPr="00C57FE7">
        <w:rPr>
          <w:rFonts w:ascii="Times New Roman" w:eastAsia="TimesNewRomanPSMT" w:hAnsi="Times New Roman" w:cs="Times New Roman"/>
          <w:lang w:eastAsia="el-GR"/>
        </w:rPr>
        <w:t>časť 4.4).</w:t>
      </w:r>
    </w:p>
    <w:p w14:paraId="08066E32" w14:textId="77777777" w:rsidR="00C125B2" w:rsidRPr="00C57FE7" w:rsidRDefault="00C125B2" w:rsidP="00C125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34" w:right="-20"/>
        <w:jc w:val="both"/>
        <w:rPr>
          <w:rFonts w:ascii="Times New Roman" w:eastAsia="Times New Roman" w:hAnsi="Times New Roman" w:cs="Times New Roman"/>
        </w:rPr>
      </w:pPr>
    </w:p>
    <w:p w14:paraId="79BE320D" w14:textId="77777777" w:rsidR="00355DF2" w:rsidRPr="00C57FE7" w:rsidRDefault="00C125B2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u w:val="single"/>
        </w:rPr>
      </w:pPr>
      <w:r w:rsidRPr="00C57FE7">
        <w:rPr>
          <w:rFonts w:ascii="Times New Roman" w:eastAsia="Times New Roman" w:hAnsi="Times New Roman" w:cs="Times New Roman"/>
          <w:spacing w:val="1"/>
          <w:w w:val="103"/>
          <w:u w:val="single"/>
        </w:rPr>
        <w:t>Dlhodobá bezpečnosť pri MRCC</w:t>
      </w:r>
    </w:p>
    <w:p w14:paraId="10931E47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Dlhodobá bezpečnosť </w:t>
      </w:r>
      <w:proofErr w:type="spellStart"/>
      <w:r w:rsidRPr="00C57FE7">
        <w:rPr>
          <w:rFonts w:ascii="Times New Roman" w:eastAsia="Times New Roman" w:hAnsi="Times New Roman" w:cs="Times New Roman"/>
        </w:rPr>
        <w:t>sunitinibu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u pacientov s MRCC sa analyzovala v 9 ukončených klinických</w:t>
      </w:r>
    </w:p>
    <w:p w14:paraId="76FD3F83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štúdiách, realizovaných v prvej línii liečby u pacientov </w:t>
      </w:r>
      <w:proofErr w:type="spellStart"/>
      <w:r w:rsidRPr="00C57FE7">
        <w:rPr>
          <w:rFonts w:ascii="Times New Roman" w:eastAsia="Times New Roman" w:hAnsi="Times New Roman" w:cs="Times New Roman"/>
        </w:rPr>
        <w:t>refraktérnych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C57FE7">
        <w:rPr>
          <w:rFonts w:ascii="Times New Roman" w:eastAsia="Times New Roman" w:hAnsi="Times New Roman" w:cs="Times New Roman"/>
        </w:rPr>
        <w:t>bevacizumab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a cytokíny,</w:t>
      </w:r>
    </w:p>
    <w:p w14:paraId="6C7A8DDB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analýza zahŕňala 5 739 pacientov, z ktorých sa 807 (14 %) liečilo ≥ 2 roky až 6 rokov. U tých</w:t>
      </w:r>
    </w:p>
    <w:p w14:paraId="34A101C5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807 pacientov, ktorí sa dlhodobo liečili </w:t>
      </w:r>
      <w:proofErr w:type="spellStart"/>
      <w:r w:rsidRPr="00C57FE7">
        <w:rPr>
          <w:rFonts w:ascii="Times New Roman" w:eastAsia="Times New Roman" w:hAnsi="Times New Roman" w:cs="Times New Roman"/>
        </w:rPr>
        <w:t>sunitinibom</w:t>
      </w:r>
      <w:proofErr w:type="spellEnd"/>
      <w:r w:rsidRPr="00C57FE7">
        <w:rPr>
          <w:rFonts w:ascii="Times New Roman" w:eastAsia="Times New Roman" w:hAnsi="Times New Roman" w:cs="Times New Roman"/>
        </w:rPr>
        <w:t>, sa väčšina nežiaducich reakcií súvisiacich</w:t>
      </w:r>
    </w:p>
    <w:p w14:paraId="1FCDBC1C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17 s liečbou (</w:t>
      </w:r>
      <w:proofErr w:type="spellStart"/>
      <w:r w:rsidRPr="00C57FE7">
        <w:rPr>
          <w:rFonts w:ascii="Times New Roman" w:eastAsia="Times New Roman" w:hAnsi="Times New Roman" w:cs="Times New Roman"/>
        </w:rPr>
        <w:t>treatment-related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7FE7">
        <w:rPr>
          <w:rFonts w:ascii="Times New Roman" w:eastAsia="Times New Roman" w:hAnsi="Times New Roman" w:cs="Times New Roman"/>
        </w:rPr>
        <w:t>adverse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7FE7">
        <w:rPr>
          <w:rFonts w:ascii="Times New Roman" w:eastAsia="Times New Roman" w:hAnsi="Times New Roman" w:cs="Times New Roman"/>
        </w:rPr>
        <w:t>events</w:t>
      </w:r>
      <w:proofErr w:type="spellEnd"/>
      <w:r w:rsidRPr="00C57FE7">
        <w:rPr>
          <w:rFonts w:ascii="Times New Roman" w:eastAsia="Times New Roman" w:hAnsi="Times New Roman" w:cs="Times New Roman"/>
        </w:rPr>
        <w:t>, TRAE) po prvýkrát zaznamenala v rámci prvých</w:t>
      </w:r>
    </w:p>
    <w:p w14:paraId="32B633F9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6 mesiacov až 1 roka a potom boli stabilné alebo sa ich frekvencia časom znižovala. Výnimkou bola</w:t>
      </w:r>
    </w:p>
    <w:p w14:paraId="12F49AF8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57FE7">
        <w:rPr>
          <w:rFonts w:ascii="Times New Roman" w:eastAsia="Times New Roman" w:hAnsi="Times New Roman" w:cs="Times New Roman"/>
        </w:rPr>
        <w:t>hypotyreóza</w:t>
      </w:r>
      <w:proofErr w:type="spellEnd"/>
      <w:r w:rsidRPr="00C57FE7">
        <w:rPr>
          <w:rFonts w:ascii="Times New Roman" w:eastAsia="Times New Roman" w:hAnsi="Times New Roman" w:cs="Times New Roman"/>
        </w:rPr>
        <w:t>, ktorej výskyt časom postupne narastal, pričom sa počas 6-ročného obdobia</w:t>
      </w:r>
    </w:p>
    <w:p w14:paraId="4CE9E8D2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zaznamenávali nové prípady. Neukázalo sa, že by sa predĺžená liečba </w:t>
      </w:r>
      <w:proofErr w:type="spellStart"/>
      <w:r w:rsidRPr="00C57FE7">
        <w:rPr>
          <w:rFonts w:ascii="Times New Roman" w:eastAsia="Times New Roman" w:hAnsi="Times New Roman" w:cs="Times New Roman"/>
        </w:rPr>
        <w:t>sunitinibom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spájala s novými</w:t>
      </w:r>
    </w:p>
    <w:p w14:paraId="44959A21" w14:textId="77777777" w:rsidR="00355DF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typmi TRAE.</w:t>
      </w:r>
    </w:p>
    <w:p w14:paraId="3A46B5A9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B3EDC9" w14:textId="77777777" w:rsidR="00355DF2" w:rsidRPr="00C57FE7" w:rsidRDefault="00C125B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  <w:u w:val="single" w:color="000000"/>
        </w:rPr>
        <w:t>Pediatrická populácia</w:t>
      </w:r>
    </w:p>
    <w:p w14:paraId="22B6063F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Bezpečnostný profil </w:t>
      </w:r>
      <w:proofErr w:type="spellStart"/>
      <w:r w:rsidRPr="00C57FE7">
        <w:rPr>
          <w:rFonts w:ascii="Times New Roman" w:eastAsia="Times New Roman" w:hAnsi="Times New Roman" w:cs="Times New Roman"/>
        </w:rPr>
        <w:t>sunitinibu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bol odvodený zo štúdie fázy 1 so zvyšujúcou sa dávkou, otvorenej</w:t>
      </w:r>
    </w:p>
    <w:p w14:paraId="3C1A6AA4" w14:textId="77777777" w:rsidR="00355DF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štúdie fázy 2, jednoramennej štúdie fázy 1/2 a z publikácií, ako je uvedené nižšie.</w:t>
      </w:r>
    </w:p>
    <w:p w14:paraId="5C79E18E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CEE578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Štúdia fázy 1 so zvyšujúcou sa dávkou perorálneho </w:t>
      </w:r>
      <w:proofErr w:type="spellStart"/>
      <w:r w:rsidRPr="00C57FE7">
        <w:rPr>
          <w:rFonts w:ascii="Times New Roman" w:eastAsia="Times New Roman" w:hAnsi="Times New Roman" w:cs="Times New Roman"/>
        </w:rPr>
        <w:t>sunitinibu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sa uskutočnila u 35 pacientov,</w:t>
      </w:r>
    </w:p>
    <w:p w14:paraId="7E46011C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pričom 30 z nich bolo pediatrických pacientov (vo veku 3 - 17 rokov) a 5 mladých dospelých</w:t>
      </w:r>
    </w:p>
    <w:p w14:paraId="19E7B53F" w14:textId="1B70893C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pacientov (vo veku 18 - 21 rokov), s </w:t>
      </w:r>
      <w:proofErr w:type="spellStart"/>
      <w:r w:rsidRPr="00C57FE7">
        <w:rPr>
          <w:rFonts w:ascii="Times New Roman" w:eastAsia="Times New Roman" w:hAnsi="Times New Roman" w:cs="Times New Roman"/>
        </w:rPr>
        <w:t>refraktérnymi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</w:t>
      </w:r>
      <w:r w:rsidR="002E55E2">
        <w:rPr>
          <w:rFonts w:ascii="Times New Roman" w:eastAsia="Times New Roman" w:hAnsi="Times New Roman" w:cs="Times New Roman"/>
        </w:rPr>
        <w:t xml:space="preserve">solídnymi </w:t>
      </w:r>
      <w:r w:rsidRPr="00C57FE7">
        <w:rPr>
          <w:rFonts w:ascii="Times New Roman" w:eastAsia="Times New Roman" w:hAnsi="Times New Roman" w:cs="Times New Roman"/>
        </w:rPr>
        <w:t>nádormi, pričom u väčšiny z nich sa primárne</w:t>
      </w:r>
      <w:r w:rsidR="002E55E2">
        <w:rPr>
          <w:rFonts w:ascii="Times New Roman" w:eastAsia="Times New Roman" w:hAnsi="Times New Roman" w:cs="Times New Roman"/>
        </w:rPr>
        <w:t xml:space="preserve"> </w:t>
      </w:r>
      <w:r w:rsidRPr="00C57FE7">
        <w:rPr>
          <w:rFonts w:ascii="Times New Roman" w:eastAsia="Times New Roman" w:hAnsi="Times New Roman" w:cs="Times New Roman"/>
        </w:rPr>
        <w:t xml:space="preserve">diagnostikoval mozgový nádor. U všetkých účastníkov štúdie došlo k nežiaducim reakciám na </w:t>
      </w:r>
      <w:proofErr w:type="spellStart"/>
      <w:r w:rsidRPr="00C57FE7">
        <w:rPr>
          <w:rFonts w:ascii="Times New Roman" w:eastAsia="Times New Roman" w:hAnsi="Times New Roman" w:cs="Times New Roman"/>
        </w:rPr>
        <w:t>like</w:t>
      </w:r>
      <w:proofErr w:type="spellEnd"/>
      <w:r w:rsidRPr="00C57FE7">
        <w:rPr>
          <w:rFonts w:ascii="Times New Roman" w:eastAsia="Times New Roman" w:hAnsi="Times New Roman" w:cs="Times New Roman"/>
        </w:rPr>
        <w:t>;</w:t>
      </w:r>
      <w:r w:rsidR="002E55E2">
        <w:rPr>
          <w:rFonts w:ascii="Times New Roman" w:eastAsia="Times New Roman" w:hAnsi="Times New Roman" w:cs="Times New Roman"/>
        </w:rPr>
        <w:t xml:space="preserve"> </w:t>
      </w:r>
      <w:r w:rsidRPr="00C57FE7">
        <w:rPr>
          <w:rFonts w:ascii="Times New Roman" w:eastAsia="Times New Roman" w:hAnsi="Times New Roman" w:cs="Times New Roman"/>
        </w:rPr>
        <w:t xml:space="preserve">väčšina z týchto reakcií bola závažná (stupeň toxicity ≥ 3) a zahŕňala aj srdcovú toxicitu. Najbežnejšími nežiaducimi reakciami na liek boli gastrointestinálna (GI) toxicita, </w:t>
      </w:r>
      <w:proofErr w:type="spellStart"/>
      <w:r w:rsidRPr="00C57FE7">
        <w:rPr>
          <w:rFonts w:ascii="Times New Roman" w:eastAsia="Times New Roman" w:hAnsi="Times New Roman" w:cs="Times New Roman"/>
        </w:rPr>
        <w:t>neutropénia</w:t>
      </w:r>
      <w:proofErr w:type="spellEnd"/>
      <w:r w:rsidRPr="00C57FE7">
        <w:rPr>
          <w:rFonts w:ascii="Times New Roman" w:eastAsia="Times New Roman" w:hAnsi="Times New Roman" w:cs="Times New Roman"/>
        </w:rPr>
        <w:t>, únava</w:t>
      </w:r>
    </w:p>
    <w:p w14:paraId="6920E702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a zvýšenie ALT. Riziko srdcových nežiaducich reakcií na liek sa ukázalo byť vyššie u tých</w:t>
      </w:r>
    </w:p>
    <w:p w14:paraId="2E4B2F9D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pediatrických pacientov, ktorí boli predtým vystavení ožarovaniu srdca alebo </w:t>
      </w:r>
      <w:proofErr w:type="spellStart"/>
      <w:r w:rsidRPr="00C57FE7">
        <w:rPr>
          <w:rFonts w:ascii="Times New Roman" w:eastAsia="Times New Roman" w:hAnsi="Times New Roman" w:cs="Times New Roman"/>
        </w:rPr>
        <w:t>antracyklínu</w:t>
      </w:r>
      <w:proofErr w:type="spellEnd"/>
      <w:r w:rsidRPr="00C57FE7">
        <w:rPr>
          <w:rFonts w:ascii="Times New Roman" w:eastAsia="Times New Roman" w:hAnsi="Times New Roman" w:cs="Times New Roman"/>
        </w:rPr>
        <w:t>, v</w:t>
      </w:r>
    </w:p>
    <w:p w14:paraId="156E657E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porovnaní s pediatrickými pacientmi bez predchádzajúcej expozície. U týchto pediatrických pacientov,</w:t>
      </w:r>
    </w:p>
    <w:p w14:paraId="473842E1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ktorí predtým neboli vystavení </w:t>
      </w:r>
      <w:proofErr w:type="spellStart"/>
      <w:r w:rsidRPr="00C57FE7">
        <w:rPr>
          <w:rFonts w:ascii="Times New Roman" w:eastAsia="Times New Roman" w:hAnsi="Times New Roman" w:cs="Times New Roman"/>
        </w:rPr>
        <w:t>antracyklínom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alebo ožarovaniu srdca, bola identifikovaná maximálne</w:t>
      </w:r>
    </w:p>
    <w:p w14:paraId="546A7CBE" w14:textId="77777777" w:rsidR="00355DF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tolerovaná dávka (MTD) (pozri časť 5.1). </w:t>
      </w:r>
    </w:p>
    <w:p w14:paraId="1440580C" w14:textId="77777777" w:rsidR="00355DF2" w:rsidRPr="00C57FE7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7E81BB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Otvorená štúdia fázy 2 sa uskutočnila u 29 pacientov, z ktorých 27 bolo pediatrických pacientov (vo</w:t>
      </w:r>
    </w:p>
    <w:p w14:paraId="27438D58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lastRenderedPageBreak/>
        <w:t xml:space="preserve">veku 3 - 16 rokov) a 2 boli mladí dospelí pacienti (vo veku 18 - 19 rokov), s </w:t>
      </w:r>
      <w:proofErr w:type="spellStart"/>
      <w:r w:rsidRPr="00C57FE7">
        <w:rPr>
          <w:rFonts w:ascii="Times New Roman" w:eastAsia="Times New Roman" w:hAnsi="Times New Roman" w:cs="Times New Roman"/>
        </w:rPr>
        <w:t>rekurentným</w:t>
      </w:r>
      <w:proofErr w:type="spellEnd"/>
      <w:r w:rsidRPr="00C57FE7">
        <w:rPr>
          <w:rFonts w:ascii="Times New Roman" w:eastAsia="Times New Roman" w:hAnsi="Times New Roman" w:cs="Times New Roman"/>
        </w:rPr>
        <w:t>/progresívnym/</w:t>
      </w:r>
      <w:proofErr w:type="spellStart"/>
      <w:r w:rsidRPr="00C57FE7">
        <w:rPr>
          <w:rFonts w:ascii="Times New Roman" w:eastAsia="Times New Roman" w:hAnsi="Times New Roman" w:cs="Times New Roman"/>
        </w:rPr>
        <w:t>refraktérnym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7FE7">
        <w:rPr>
          <w:rFonts w:ascii="Times New Roman" w:eastAsia="Times New Roman" w:hAnsi="Times New Roman" w:cs="Times New Roman"/>
        </w:rPr>
        <w:t>gliómom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vysokého stupňa (HGG) alebo </w:t>
      </w:r>
      <w:proofErr w:type="spellStart"/>
      <w:r w:rsidRPr="00C57FE7">
        <w:rPr>
          <w:rFonts w:ascii="Times New Roman" w:eastAsia="Times New Roman" w:hAnsi="Times New Roman" w:cs="Times New Roman"/>
        </w:rPr>
        <w:t>ependymómom</w:t>
      </w:r>
      <w:proofErr w:type="spellEnd"/>
      <w:r w:rsidRPr="00C57FE7">
        <w:rPr>
          <w:rFonts w:ascii="Times New Roman" w:eastAsia="Times New Roman" w:hAnsi="Times New Roman" w:cs="Times New Roman"/>
        </w:rPr>
        <w:t>.</w:t>
      </w:r>
    </w:p>
    <w:p w14:paraId="65923B76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V žiadnej zo skupín sa nevyskytli nežiaduce reakcie 5. stupňa. Najbežnejšími (≥ 10 %) nežiaducimi</w:t>
      </w:r>
    </w:p>
    <w:p w14:paraId="36001D8C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udalosťami súvisiacimi s liečbou boli pokles počtu </w:t>
      </w:r>
      <w:proofErr w:type="spellStart"/>
      <w:r w:rsidRPr="00C57FE7">
        <w:rPr>
          <w:rFonts w:ascii="Times New Roman" w:eastAsia="Times New Roman" w:hAnsi="Times New Roman" w:cs="Times New Roman"/>
        </w:rPr>
        <w:t>neutrofilov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(6 [20,7 %] pacientov) a vnútrolebečné</w:t>
      </w:r>
    </w:p>
    <w:p w14:paraId="3D7A4B1E" w14:textId="77777777" w:rsidR="00355DF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krvácanie (3 [10,3 %] pacientov).</w:t>
      </w:r>
    </w:p>
    <w:p w14:paraId="17A08DC6" w14:textId="77777777" w:rsidR="00C125B2" w:rsidRPr="00C57FE7" w:rsidRDefault="00C125B2" w:rsidP="00C125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6BB089" w14:textId="77777777" w:rsidR="00C57FE7" w:rsidRPr="00C57FE7" w:rsidRDefault="00C57FE7" w:rsidP="00C57F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Jednoramenná štúdia fázy 1/2 sa uskutočnila u 6 pediatrických pacientov (vo veku 13 - 16 rokov)</w:t>
      </w:r>
    </w:p>
    <w:p w14:paraId="0F6035D0" w14:textId="77777777" w:rsidR="00C57FE7" w:rsidRPr="00C57FE7" w:rsidRDefault="00C57FE7" w:rsidP="00C57F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s pokročilým </w:t>
      </w:r>
      <w:proofErr w:type="spellStart"/>
      <w:r w:rsidRPr="00C57FE7">
        <w:rPr>
          <w:rFonts w:ascii="Times New Roman" w:eastAsia="Times New Roman" w:hAnsi="Times New Roman" w:cs="Times New Roman"/>
        </w:rPr>
        <w:t>neresektovateľným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GIST. Najčastejšími nežiaducimi reakciami na liek boli hnačka,</w:t>
      </w:r>
    </w:p>
    <w:p w14:paraId="78FD2F52" w14:textId="77777777" w:rsidR="00C57FE7" w:rsidRPr="00C57FE7" w:rsidRDefault="00C57FE7" w:rsidP="00C57F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nevoľnosť, pokles počtu bielych krviniek, </w:t>
      </w:r>
      <w:proofErr w:type="spellStart"/>
      <w:r w:rsidRPr="00C57FE7">
        <w:rPr>
          <w:rFonts w:ascii="Times New Roman" w:eastAsia="Times New Roman" w:hAnsi="Times New Roman" w:cs="Times New Roman"/>
        </w:rPr>
        <w:t>neutropénia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a bolesť hlavy, každá u 3 (50 %) pacientov,</w:t>
      </w:r>
    </w:p>
    <w:p w14:paraId="2ECC7892" w14:textId="066DD72D" w:rsidR="00355DF2" w:rsidRPr="00C57FE7" w:rsidRDefault="00C57FE7" w:rsidP="00C57F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 xml:space="preserve">primárne 1. alebo 2. stupňa závažnosti. U 4 zo 6 (66,7 %) pacientov sa vyskytli nežiaduce udalosti súvisiace s liečbou 3. – 4. stupňa (3. stupňa boli </w:t>
      </w:r>
      <w:proofErr w:type="spellStart"/>
      <w:r w:rsidRPr="00C57FE7">
        <w:rPr>
          <w:rFonts w:ascii="Times New Roman" w:eastAsia="Times New Roman" w:hAnsi="Times New Roman" w:cs="Times New Roman"/>
        </w:rPr>
        <w:t>hypofosfatémia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57FE7">
        <w:rPr>
          <w:rFonts w:ascii="Times New Roman" w:eastAsia="Times New Roman" w:hAnsi="Times New Roman" w:cs="Times New Roman"/>
        </w:rPr>
        <w:t>neutrop</w:t>
      </w:r>
      <w:r w:rsidR="001967D9">
        <w:rPr>
          <w:rFonts w:ascii="Times New Roman" w:eastAsia="Times New Roman" w:hAnsi="Times New Roman" w:cs="Times New Roman"/>
        </w:rPr>
        <w:t>é</w:t>
      </w:r>
      <w:r w:rsidRPr="00C57FE7">
        <w:rPr>
          <w:rFonts w:ascii="Times New Roman" w:eastAsia="Times New Roman" w:hAnsi="Times New Roman" w:cs="Times New Roman"/>
        </w:rPr>
        <w:t>nia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57FE7">
        <w:rPr>
          <w:rFonts w:ascii="Times New Roman" w:eastAsia="Times New Roman" w:hAnsi="Times New Roman" w:cs="Times New Roman"/>
        </w:rPr>
        <w:t>trombocytopénia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, každá u 1 pacienta, a 4. stupňa bola </w:t>
      </w:r>
      <w:proofErr w:type="spellStart"/>
      <w:r w:rsidRPr="00C57FE7">
        <w:rPr>
          <w:rFonts w:ascii="Times New Roman" w:eastAsia="Times New Roman" w:hAnsi="Times New Roman" w:cs="Times New Roman"/>
        </w:rPr>
        <w:t>neutropénia</w:t>
      </w:r>
      <w:proofErr w:type="spellEnd"/>
      <w:r w:rsidRPr="00C57FE7">
        <w:rPr>
          <w:rFonts w:ascii="Times New Roman" w:eastAsia="Times New Roman" w:hAnsi="Times New Roman" w:cs="Times New Roman"/>
        </w:rPr>
        <w:t xml:space="preserve"> u 1 pacienta). V tejto štúdii neboli hlásené žiadne závažné nežiaduce udalosti (SAE) ani nežiaduce reakcie na liek 5. stupňa. V klinickej štúdii aj publikáciách bol bezpečnostný profil konzistentný so známym bezpečnostným</w:t>
      </w:r>
      <w:r w:rsidR="001967D9">
        <w:rPr>
          <w:rFonts w:ascii="Times New Roman" w:eastAsia="Times New Roman" w:hAnsi="Times New Roman" w:cs="Times New Roman"/>
        </w:rPr>
        <w:t xml:space="preserve"> </w:t>
      </w:r>
      <w:r w:rsidRPr="00C57FE7">
        <w:rPr>
          <w:rFonts w:ascii="Times New Roman" w:eastAsia="Times New Roman" w:hAnsi="Times New Roman" w:cs="Times New Roman"/>
        </w:rPr>
        <w:t>profilom u dospelých.</w:t>
      </w:r>
    </w:p>
    <w:p w14:paraId="753A54E6" w14:textId="77777777" w:rsidR="00355DF2" w:rsidRPr="00C57FE7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D7EFEB" w14:textId="77777777" w:rsidR="00355DF2" w:rsidRPr="00C57FE7" w:rsidRDefault="00C57FE7" w:rsidP="00355DF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57FE7">
        <w:rPr>
          <w:rFonts w:ascii="Times New Roman" w:eastAsia="Times New Roman" w:hAnsi="Times New Roman" w:cs="Times New Roman"/>
          <w:u w:val="single"/>
        </w:rPr>
        <w:t>Hlásenie podozrení na nežiaduce reakcie</w:t>
      </w:r>
    </w:p>
    <w:p w14:paraId="4C1BE7A8" w14:textId="77777777" w:rsidR="00C57FE7" w:rsidRPr="00C57FE7" w:rsidRDefault="00C57FE7" w:rsidP="00C57F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Hlásenie podozrení na nežiaduce reakcie po registrácii lieku je dôležité. Umožňuje priebežné</w:t>
      </w:r>
    </w:p>
    <w:p w14:paraId="6592F757" w14:textId="77777777" w:rsidR="00C57FE7" w:rsidRPr="00C57FE7" w:rsidRDefault="00C57FE7" w:rsidP="00C57F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FE7">
        <w:rPr>
          <w:rFonts w:ascii="Times New Roman" w:eastAsia="Times New Roman" w:hAnsi="Times New Roman" w:cs="Times New Roman"/>
        </w:rPr>
        <w:t>monitorovanie pomeru prínosu a rizika lieku. Od zdravotníckych pracovníkov sa vyžaduje, aby hlásili</w:t>
      </w:r>
    </w:p>
    <w:p w14:paraId="5227A03E" w14:textId="77777777" w:rsidR="00355DF2" w:rsidRPr="00C57FE7" w:rsidRDefault="00C57FE7" w:rsidP="00C57F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C57FE7">
        <w:rPr>
          <w:rFonts w:ascii="Times New Roman" w:eastAsia="Times New Roman" w:hAnsi="Times New Roman" w:cs="Times New Roman"/>
        </w:rPr>
        <w:t xml:space="preserve">akékoľvek podozrenia na nežiaduce reakcie </w:t>
      </w:r>
      <w:r w:rsidRPr="00C57FE7">
        <w:rPr>
          <w:rFonts w:ascii="Times New Roman" w:eastAsia="Times New Roman" w:hAnsi="Times New Roman" w:cs="Times New Roman"/>
          <w:highlight w:val="lightGray"/>
        </w:rPr>
        <w:t>na národné centrum hlásenia uvedené v</w:t>
      </w:r>
      <w:r w:rsidRPr="00C57FE7">
        <w:rPr>
          <w:rFonts w:ascii="Times New Roman" w:eastAsia="Times New Roman" w:hAnsi="Times New Roman" w:cs="Times New Roman"/>
          <w:color w:val="0000FF"/>
          <w:highlight w:val="lightGray"/>
          <w:u w:val="single"/>
        </w:rPr>
        <w:t xml:space="preserve"> </w:t>
      </w:r>
      <w:hyperlink r:id="rId7" w:history="1">
        <w:r w:rsidRPr="00C57FE7">
          <w:rPr>
            <w:rFonts w:ascii="Times New Roman" w:eastAsia="Times New Roman" w:hAnsi="Times New Roman" w:cs="Times New Roman"/>
            <w:color w:val="0000FF"/>
            <w:highlight w:val="lightGray"/>
            <w:u w:val="single"/>
          </w:rPr>
          <w:t xml:space="preserve">Prílohe </w:t>
        </w:r>
        <w:r w:rsidR="00355DF2" w:rsidRPr="00C57FE7">
          <w:rPr>
            <w:rFonts w:ascii="Times New Roman" w:eastAsia="Times New Roman" w:hAnsi="Times New Roman" w:cs="Times New Roman"/>
            <w:color w:val="0000FF"/>
            <w:highlight w:val="lightGray"/>
            <w:u w:val="single"/>
          </w:rPr>
          <w:t>V</w:t>
        </w:r>
      </w:hyperlink>
      <w:r w:rsidR="00355DF2" w:rsidRPr="00C57FE7">
        <w:rPr>
          <w:rFonts w:ascii="Times New Roman" w:eastAsia="Times New Roman" w:hAnsi="Times New Roman" w:cs="Times New Roman"/>
          <w:highlight w:val="lightGray"/>
        </w:rPr>
        <w:t>.</w:t>
      </w:r>
    </w:p>
    <w:p w14:paraId="553B49FB" w14:textId="77777777" w:rsidR="00355DF2" w:rsidRPr="00C57FE7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E920BC2" w14:textId="77777777" w:rsidR="00355DF2" w:rsidRPr="00B47FEB" w:rsidRDefault="00C57FE7" w:rsidP="00C57F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47FEB">
        <w:rPr>
          <w:rFonts w:ascii="Times New Roman" w:eastAsia="Times New Roman" w:hAnsi="Times New Roman" w:cs="Times New Roman"/>
          <w:b/>
          <w:szCs w:val="20"/>
        </w:rPr>
        <w:t>4.9</w:t>
      </w:r>
      <w:r w:rsidRPr="00B47FEB">
        <w:rPr>
          <w:rFonts w:ascii="Times New Roman" w:eastAsia="Times New Roman" w:hAnsi="Times New Roman" w:cs="Times New Roman"/>
          <w:b/>
          <w:szCs w:val="20"/>
        </w:rPr>
        <w:tab/>
        <w:t>Predávkovanie</w:t>
      </w:r>
    </w:p>
    <w:p w14:paraId="23D9E8B2" w14:textId="77777777" w:rsidR="00355DF2" w:rsidRPr="00B47FEB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9C0B89F" w14:textId="77777777" w:rsidR="00C57FE7" w:rsidRPr="00B47FEB" w:rsidRDefault="00C57FE7" w:rsidP="00C57F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Neexistuje žiadne špecifické </w:t>
      </w:r>
      <w:proofErr w:type="spellStart"/>
      <w:r w:rsidRPr="00B47FEB">
        <w:rPr>
          <w:rFonts w:ascii="Times New Roman" w:eastAsia="Times New Roman" w:hAnsi="Times New Roman" w:cs="Times New Roman"/>
        </w:rPr>
        <w:t>antidotum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na predávkovanie </w:t>
      </w:r>
      <w:proofErr w:type="spellStart"/>
      <w:r w:rsidRPr="00B47FEB">
        <w:rPr>
          <w:rFonts w:ascii="Times New Roman" w:eastAsia="Times New Roman" w:hAnsi="Times New Roman" w:cs="Times New Roman"/>
        </w:rPr>
        <w:t>Sunitinibom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7FEB">
        <w:rPr>
          <w:rFonts w:ascii="Times New Roman" w:eastAsia="Times New Roman" w:hAnsi="Times New Roman" w:cs="Times New Roman"/>
        </w:rPr>
        <w:t>Zentiva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a liečba predávkovania má spočívať vo všeobecných podporných opatreniach. V indikovaných prípadoch sa môže odstránenie</w:t>
      </w:r>
    </w:p>
    <w:p w14:paraId="7177A24C" w14:textId="77777777" w:rsidR="00355DF2" w:rsidRPr="00B47FEB" w:rsidRDefault="00C57FE7" w:rsidP="00C57F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neabsorbovaného liečiva dosiahnuť vracaním alebo výplachom žalúdka. Boli hlásené prípady predávkovania; niektoré prípady boli spojené s nežiaducimi reakciami v súlade so známym bezpečnostným profilom </w:t>
      </w:r>
      <w:proofErr w:type="spellStart"/>
      <w:r w:rsidRPr="00B47FEB">
        <w:rPr>
          <w:rFonts w:ascii="Times New Roman" w:eastAsia="Times New Roman" w:hAnsi="Times New Roman" w:cs="Times New Roman"/>
        </w:rPr>
        <w:t>sunitinibu</w:t>
      </w:r>
      <w:proofErr w:type="spellEnd"/>
      <w:r w:rsidRPr="00B47FEB">
        <w:rPr>
          <w:rFonts w:ascii="Times New Roman" w:eastAsia="Times New Roman" w:hAnsi="Times New Roman" w:cs="Times New Roman"/>
        </w:rPr>
        <w:t>.</w:t>
      </w:r>
    </w:p>
    <w:p w14:paraId="159A253D" w14:textId="77777777" w:rsidR="00C57FE7" w:rsidRPr="00B47FEB" w:rsidRDefault="00C57FE7" w:rsidP="00C57F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</w:rPr>
      </w:pPr>
    </w:p>
    <w:p w14:paraId="559350BA" w14:textId="77777777" w:rsidR="00355DF2" w:rsidRPr="00B47FEB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F8CD8EC" w14:textId="77777777" w:rsidR="00355DF2" w:rsidRPr="00B47FEB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B47FEB">
        <w:rPr>
          <w:rFonts w:ascii="Times New Roman" w:eastAsia="Times New Roman" w:hAnsi="Times New Roman" w:cs="Times New Roman"/>
          <w:b/>
          <w:szCs w:val="20"/>
        </w:rPr>
        <w:t>5.</w:t>
      </w:r>
      <w:r w:rsidRPr="00B47FEB">
        <w:rPr>
          <w:rFonts w:ascii="Times New Roman" w:eastAsia="Times New Roman" w:hAnsi="Times New Roman" w:cs="Times New Roman"/>
          <w:b/>
          <w:szCs w:val="20"/>
        </w:rPr>
        <w:tab/>
      </w:r>
      <w:r w:rsidR="00C57FE7" w:rsidRPr="00B47FEB">
        <w:rPr>
          <w:rFonts w:ascii="Times New Roman" w:eastAsia="Times New Roman" w:hAnsi="Times New Roman" w:cs="Times New Roman"/>
          <w:b/>
          <w:szCs w:val="20"/>
        </w:rPr>
        <w:t>FARMAKOLOGICKÉ VLASTNOSTI</w:t>
      </w:r>
    </w:p>
    <w:p w14:paraId="296A980C" w14:textId="77777777" w:rsidR="00355DF2" w:rsidRPr="00B47FEB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7957D4AE" w14:textId="77777777" w:rsidR="00355DF2" w:rsidRPr="00B47FEB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B47FEB">
        <w:rPr>
          <w:rFonts w:ascii="Times New Roman" w:eastAsia="Times New Roman" w:hAnsi="Times New Roman" w:cs="Times New Roman"/>
          <w:b/>
          <w:szCs w:val="20"/>
        </w:rPr>
        <w:t xml:space="preserve">5.1 </w:t>
      </w:r>
      <w:r w:rsidRPr="00B47FEB">
        <w:rPr>
          <w:rFonts w:ascii="Times New Roman" w:eastAsia="Times New Roman" w:hAnsi="Times New Roman" w:cs="Times New Roman"/>
          <w:b/>
          <w:szCs w:val="20"/>
        </w:rPr>
        <w:tab/>
      </w:r>
      <w:proofErr w:type="spellStart"/>
      <w:r w:rsidR="00C57FE7" w:rsidRPr="00B47FEB">
        <w:rPr>
          <w:rFonts w:ascii="Times New Roman" w:eastAsia="Times New Roman" w:hAnsi="Times New Roman" w:cs="Times New Roman"/>
          <w:b/>
          <w:szCs w:val="20"/>
        </w:rPr>
        <w:t>Farmakodynamické</w:t>
      </w:r>
      <w:proofErr w:type="spellEnd"/>
      <w:r w:rsidR="00C57FE7" w:rsidRPr="00B47FEB">
        <w:rPr>
          <w:rFonts w:ascii="Times New Roman" w:eastAsia="Times New Roman" w:hAnsi="Times New Roman" w:cs="Times New Roman"/>
          <w:b/>
          <w:szCs w:val="20"/>
        </w:rPr>
        <w:t xml:space="preserve"> vlastnosti</w:t>
      </w:r>
    </w:p>
    <w:p w14:paraId="39870CA0" w14:textId="77777777" w:rsidR="00355DF2" w:rsidRPr="00B47FEB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CFC21E2" w14:textId="4531845B" w:rsidR="00355DF2" w:rsidRPr="00B47FEB" w:rsidRDefault="00C57FE7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B47FEB">
        <w:rPr>
          <w:rFonts w:ascii="Times New Roman" w:eastAsia="Times New Roman" w:hAnsi="Times New Roman" w:cs="Times New Roman"/>
        </w:rPr>
        <w:t>Farmakoterapeutická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skupina: </w:t>
      </w:r>
      <w:proofErr w:type="spellStart"/>
      <w:r w:rsidR="00745E9D">
        <w:rPr>
          <w:rFonts w:ascii="Times New Roman" w:eastAsia="Times New Roman" w:hAnsi="Times New Roman" w:cs="Times New Roman"/>
          <w:spacing w:val="-3"/>
        </w:rPr>
        <w:t>Cytostatiká</w:t>
      </w:r>
      <w:proofErr w:type="spellEnd"/>
      <w:r w:rsidR="00355DF2" w:rsidRPr="00B47FEB">
        <w:rPr>
          <w:rFonts w:ascii="Times New Roman" w:eastAsia="Times New Roman" w:hAnsi="Times New Roman" w:cs="Times New Roman"/>
        </w:rPr>
        <w:t>,</w:t>
      </w:r>
      <w:r w:rsidR="00355DF2" w:rsidRPr="00B47FEB">
        <w:rPr>
          <w:rFonts w:ascii="Times New Roman" w:eastAsia="Times New Roman" w:hAnsi="Times New Roman" w:cs="Times New Roman"/>
          <w:spacing w:val="19"/>
        </w:rPr>
        <w:t xml:space="preserve"> </w:t>
      </w:r>
      <w:r w:rsidRPr="00B47FEB">
        <w:rPr>
          <w:rFonts w:ascii="Times New Roman" w:eastAsia="Times New Roman" w:hAnsi="Times New Roman" w:cs="Times New Roman"/>
        </w:rPr>
        <w:t xml:space="preserve">inhibítory </w:t>
      </w:r>
      <w:proofErr w:type="spellStart"/>
      <w:r w:rsidRPr="00B47FEB">
        <w:rPr>
          <w:rFonts w:ascii="Times New Roman" w:eastAsia="Times New Roman" w:hAnsi="Times New Roman" w:cs="Times New Roman"/>
        </w:rPr>
        <w:t>proteínkinázy</w:t>
      </w:r>
      <w:proofErr w:type="spellEnd"/>
      <w:r w:rsidRPr="00B47FEB">
        <w:rPr>
          <w:rFonts w:ascii="Times New Roman" w:eastAsia="Times New Roman" w:hAnsi="Times New Roman" w:cs="Times New Roman"/>
        </w:rPr>
        <w:t>; ATC kód : L01XE04</w:t>
      </w:r>
    </w:p>
    <w:p w14:paraId="3FAC80B7" w14:textId="77777777" w:rsidR="00355DF2" w:rsidRPr="00B47FEB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D2CD5D" w14:textId="77777777" w:rsidR="00355DF2" w:rsidRPr="00B47FEB" w:rsidRDefault="00C57FE7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  <w:u w:val="single" w:color="000000"/>
        </w:rPr>
        <w:t>Mechanizmus účinku</w:t>
      </w:r>
    </w:p>
    <w:p w14:paraId="4D1D3D4E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47FEB">
        <w:rPr>
          <w:rFonts w:ascii="Times New Roman" w:eastAsia="Times New Roman" w:hAnsi="Times New Roman" w:cs="Times New Roman"/>
        </w:rPr>
        <w:t>Sunitinib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inhibuje početné RTK, ktoré sa podieľajú na raste nádoru, </w:t>
      </w:r>
      <w:proofErr w:type="spellStart"/>
      <w:r w:rsidRPr="00B47FEB">
        <w:rPr>
          <w:rFonts w:ascii="Times New Roman" w:eastAsia="Times New Roman" w:hAnsi="Times New Roman" w:cs="Times New Roman"/>
        </w:rPr>
        <w:t>neoangiogenéze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a metastatickom</w:t>
      </w:r>
    </w:p>
    <w:p w14:paraId="75C5AEFA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šírení nádoru. </w:t>
      </w:r>
      <w:proofErr w:type="spellStart"/>
      <w:r w:rsidRPr="00B47FEB">
        <w:rPr>
          <w:rFonts w:ascii="Times New Roman" w:eastAsia="Times New Roman" w:hAnsi="Times New Roman" w:cs="Times New Roman"/>
        </w:rPr>
        <w:t>Sunitinib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bol identifikovaný ako inhibítor receptorov pre doštičkový rastový faktor</w:t>
      </w:r>
    </w:p>
    <w:p w14:paraId="6F50688D" w14:textId="3EFE4B13" w:rsidR="00355DF2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(PDGFRα a PDGFRβ), </w:t>
      </w:r>
      <w:r w:rsidR="009C657C">
        <w:rPr>
          <w:rFonts w:ascii="Times New Roman" w:eastAsia="Times New Roman" w:hAnsi="Times New Roman" w:cs="Times New Roman"/>
        </w:rPr>
        <w:t xml:space="preserve"> receptorov pre rastový faktor </w:t>
      </w:r>
      <w:r w:rsidRPr="00B47FEB">
        <w:rPr>
          <w:rFonts w:ascii="Times New Roman" w:eastAsia="Times New Roman" w:hAnsi="Times New Roman" w:cs="Times New Roman"/>
        </w:rPr>
        <w:t>VEGF (VEGFR1, VEGFR2 a VEGFR3), receptoru pre faktor</w:t>
      </w:r>
      <w:r w:rsidR="00C364C6">
        <w:rPr>
          <w:rFonts w:ascii="Times New Roman" w:eastAsia="Times New Roman" w:hAnsi="Times New Roman" w:cs="Times New Roman"/>
        </w:rPr>
        <w:t xml:space="preserve"> </w:t>
      </w:r>
      <w:r w:rsidRPr="00B47FEB">
        <w:rPr>
          <w:rFonts w:ascii="Times New Roman" w:eastAsia="Times New Roman" w:hAnsi="Times New Roman" w:cs="Times New Roman"/>
        </w:rPr>
        <w:t xml:space="preserve">kmeňových buniek (KIT), </w:t>
      </w:r>
      <w:proofErr w:type="spellStart"/>
      <w:r w:rsidRPr="00B47FEB">
        <w:rPr>
          <w:rFonts w:ascii="Times New Roman" w:eastAsia="Times New Roman" w:hAnsi="Times New Roman" w:cs="Times New Roman"/>
        </w:rPr>
        <w:t>tyrozínkinázy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3 podobnej </w:t>
      </w:r>
      <w:proofErr w:type="spellStart"/>
      <w:r w:rsidRPr="00B47FEB">
        <w:rPr>
          <w:rFonts w:ascii="Times New Roman" w:eastAsia="Times New Roman" w:hAnsi="Times New Roman" w:cs="Times New Roman"/>
        </w:rPr>
        <w:t>Fms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(FLT3), receptoru pre faktor stimulujúci</w:t>
      </w:r>
      <w:r w:rsidR="00C364C6">
        <w:rPr>
          <w:rFonts w:ascii="Times New Roman" w:eastAsia="Times New Roman" w:hAnsi="Times New Roman" w:cs="Times New Roman"/>
        </w:rPr>
        <w:t xml:space="preserve"> </w:t>
      </w:r>
      <w:r w:rsidRPr="00B47FEB">
        <w:rPr>
          <w:rFonts w:ascii="Times New Roman" w:eastAsia="Times New Roman" w:hAnsi="Times New Roman" w:cs="Times New Roman"/>
        </w:rPr>
        <w:t xml:space="preserve">kolónie (CSF - 1R) a receptoru pre </w:t>
      </w:r>
      <w:proofErr w:type="spellStart"/>
      <w:r w:rsidRPr="00B47FEB">
        <w:rPr>
          <w:rFonts w:ascii="Times New Roman" w:eastAsia="Times New Roman" w:hAnsi="Times New Roman" w:cs="Times New Roman"/>
        </w:rPr>
        <w:t>neurotrofický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faktor odvodený od </w:t>
      </w:r>
      <w:proofErr w:type="spellStart"/>
      <w:r w:rsidRPr="00B47FEB">
        <w:rPr>
          <w:rFonts w:ascii="Times New Roman" w:eastAsia="Times New Roman" w:hAnsi="Times New Roman" w:cs="Times New Roman"/>
        </w:rPr>
        <w:t>gliálnej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línie buniek (RET).</w:t>
      </w:r>
      <w:r w:rsidR="00C364C6">
        <w:rPr>
          <w:rFonts w:ascii="Times New Roman" w:eastAsia="Times New Roman" w:hAnsi="Times New Roman" w:cs="Times New Roman"/>
        </w:rPr>
        <w:t xml:space="preserve"> </w:t>
      </w:r>
      <w:r w:rsidRPr="00B47FEB">
        <w:rPr>
          <w:rFonts w:ascii="Times New Roman" w:eastAsia="Times New Roman" w:hAnsi="Times New Roman" w:cs="Times New Roman"/>
        </w:rPr>
        <w:t xml:space="preserve">V biochemických a bunkových testoch vykazuje primárny metabolit podobnú účinnosť ako </w:t>
      </w:r>
      <w:proofErr w:type="spellStart"/>
      <w:r w:rsidRPr="00B47FEB">
        <w:rPr>
          <w:rFonts w:ascii="Times New Roman" w:eastAsia="Times New Roman" w:hAnsi="Times New Roman" w:cs="Times New Roman"/>
        </w:rPr>
        <w:t>sunitinib</w:t>
      </w:r>
      <w:proofErr w:type="spellEnd"/>
      <w:r w:rsidRPr="00B47FEB">
        <w:rPr>
          <w:rFonts w:ascii="Times New Roman" w:eastAsia="Times New Roman" w:hAnsi="Times New Roman" w:cs="Times New Roman"/>
        </w:rPr>
        <w:t>.</w:t>
      </w:r>
    </w:p>
    <w:p w14:paraId="7AC7DF4E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CEBDBA" w14:textId="77777777" w:rsidR="00355DF2" w:rsidRPr="00B47FEB" w:rsidRDefault="00B47FE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  <w:u w:val="single" w:color="000000"/>
        </w:rPr>
        <w:t>Klinická účinnosť a bezpečnosť</w:t>
      </w:r>
    </w:p>
    <w:p w14:paraId="7651754A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Klinická bezpečnosť a účinnosť </w:t>
      </w:r>
      <w:proofErr w:type="spellStart"/>
      <w:r w:rsidRPr="00B47FEB">
        <w:rPr>
          <w:rFonts w:ascii="Times New Roman" w:eastAsia="Times New Roman" w:hAnsi="Times New Roman" w:cs="Times New Roman"/>
        </w:rPr>
        <w:t>sunitinibu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bola skúmaná v liečbe pacientov s GIST, ktorí boli</w:t>
      </w:r>
    </w:p>
    <w:p w14:paraId="2E0D873A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rezistentní na </w:t>
      </w:r>
      <w:proofErr w:type="spellStart"/>
      <w:r w:rsidRPr="00B47FEB">
        <w:rPr>
          <w:rFonts w:ascii="Times New Roman" w:eastAsia="Times New Roman" w:hAnsi="Times New Roman" w:cs="Times New Roman"/>
        </w:rPr>
        <w:t>imatinib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47FEB">
        <w:rPr>
          <w:rFonts w:ascii="Times New Roman" w:eastAsia="Times New Roman" w:hAnsi="Times New Roman" w:cs="Times New Roman"/>
        </w:rPr>
        <w:t>t.j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. počas alebo po liečbe </w:t>
      </w:r>
      <w:proofErr w:type="spellStart"/>
      <w:r w:rsidRPr="00B47FEB">
        <w:rPr>
          <w:rFonts w:ascii="Times New Roman" w:eastAsia="Times New Roman" w:hAnsi="Times New Roman" w:cs="Times New Roman"/>
        </w:rPr>
        <w:t>imatinibom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u nich došlo k progresii ochorenia), alebo</w:t>
      </w:r>
    </w:p>
    <w:p w14:paraId="580992E9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neznášali </w:t>
      </w:r>
      <w:proofErr w:type="spellStart"/>
      <w:r w:rsidRPr="00B47FEB">
        <w:rPr>
          <w:rFonts w:ascii="Times New Roman" w:eastAsia="Times New Roman" w:hAnsi="Times New Roman" w:cs="Times New Roman"/>
        </w:rPr>
        <w:t>imatinib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47FEB">
        <w:rPr>
          <w:rFonts w:ascii="Times New Roman" w:eastAsia="Times New Roman" w:hAnsi="Times New Roman" w:cs="Times New Roman"/>
        </w:rPr>
        <w:t>t.j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. počas liečby </w:t>
      </w:r>
      <w:proofErr w:type="spellStart"/>
      <w:r w:rsidRPr="00B47FEB">
        <w:rPr>
          <w:rFonts w:ascii="Times New Roman" w:eastAsia="Times New Roman" w:hAnsi="Times New Roman" w:cs="Times New Roman"/>
        </w:rPr>
        <w:t>imatinibom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u nich vznikli prejavy závažnej toxicity, ktoré</w:t>
      </w:r>
    </w:p>
    <w:p w14:paraId="0255E27E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znemožnili pokračovať v liečbe), v liečbe pacientov s MRCC a liečbe pacientov s </w:t>
      </w:r>
      <w:proofErr w:type="spellStart"/>
      <w:r w:rsidRPr="00B47FEB">
        <w:rPr>
          <w:rFonts w:ascii="Times New Roman" w:eastAsia="Times New Roman" w:hAnsi="Times New Roman" w:cs="Times New Roman"/>
        </w:rPr>
        <w:t>neresekovateľným</w:t>
      </w:r>
      <w:proofErr w:type="spellEnd"/>
    </w:p>
    <w:p w14:paraId="33DEBA31" w14:textId="77777777" w:rsidR="00355DF2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47FEB">
        <w:rPr>
          <w:rFonts w:ascii="Times New Roman" w:eastAsia="Times New Roman" w:hAnsi="Times New Roman" w:cs="Times New Roman"/>
        </w:rPr>
        <w:t>pNET</w:t>
      </w:r>
      <w:proofErr w:type="spellEnd"/>
      <w:r w:rsidRPr="00B47FEB">
        <w:rPr>
          <w:rFonts w:ascii="Times New Roman" w:eastAsia="Times New Roman" w:hAnsi="Times New Roman" w:cs="Times New Roman"/>
        </w:rPr>
        <w:t>.</w:t>
      </w:r>
    </w:p>
    <w:p w14:paraId="0299A90C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F6E12A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>Účinnosť je pri GIST založená na čase do progresie nádoru (</w:t>
      </w:r>
      <w:proofErr w:type="spellStart"/>
      <w:r w:rsidRPr="00B47FEB">
        <w:rPr>
          <w:rFonts w:ascii="Times New Roman" w:eastAsia="Times New Roman" w:hAnsi="Times New Roman" w:cs="Times New Roman"/>
        </w:rPr>
        <w:t>time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B47FEB">
        <w:rPr>
          <w:rFonts w:ascii="Times New Roman" w:eastAsia="Times New Roman" w:hAnsi="Times New Roman" w:cs="Times New Roman"/>
        </w:rPr>
        <w:t>tumour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7FEB">
        <w:rPr>
          <w:rFonts w:ascii="Times New Roman" w:eastAsia="Times New Roman" w:hAnsi="Times New Roman" w:cs="Times New Roman"/>
        </w:rPr>
        <w:t>progression</w:t>
      </w:r>
      <w:proofErr w:type="spellEnd"/>
      <w:r w:rsidRPr="00B47FEB">
        <w:rPr>
          <w:rFonts w:ascii="Times New Roman" w:eastAsia="Times New Roman" w:hAnsi="Times New Roman" w:cs="Times New Roman"/>
        </w:rPr>
        <w:t>, TTP)</w:t>
      </w:r>
    </w:p>
    <w:p w14:paraId="2928DDC1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>a zlepšení prežívania, u pacientov s predtým neliečeným MRCC na prežívaní bez progresie</w:t>
      </w:r>
    </w:p>
    <w:p w14:paraId="1FD00943" w14:textId="77777777" w:rsidR="00B47FEB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>(</w:t>
      </w:r>
      <w:proofErr w:type="spellStart"/>
      <w:r w:rsidRPr="00B47FEB">
        <w:rPr>
          <w:rFonts w:ascii="Times New Roman" w:eastAsia="Times New Roman" w:hAnsi="Times New Roman" w:cs="Times New Roman"/>
        </w:rPr>
        <w:t>progression-free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7FEB">
        <w:rPr>
          <w:rFonts w:ascii="Times New Roman" w:eastAsia="Times New Roman" w:hAnsi="Times New Roman" w:cs="Times New Roman"/>
        </w:rPr>
        <w:t>survival</w:t>
      </w:r>
      <w:proofErr w:type="spellEnd"/>
      <w:r w:rsidRPr="00B47FEB">
        <w:rPr>
          <w:rFonts w:ascii="Times New Roman" w:eastAsia="Times New Roman" w:hAnsi="Times New Roman" w:cs="Times New Roman"/>
        </w:rPr>
        <w:t>, PFS), resp. na miere objektívnej odpovede (</w:t>
      </w:r>
      <w:proofErr w:type="spellStart"/>
      <w:r w:rsidRPr="00B47FEB">
        <w:rPr>
          <w:rFonts w:ascii="Times New Roman" w:eastAsia="Times New Roman" w:hAnsi="Times New Roman" w:cs="Times New Roman"/>
        </w:rPr>
        <w:t>objective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7FEB">
        <w:rPr>
          <w:rFonts w:ascii="Times New Roman" w:eastAsia="Times New Roman" w:hAnsi="Times New Roman" w:cs="Times New Roman"/>
        </w:rPr>
        <w:t>response</w:t>
      </w:r>
      <w:proofErr w:type="spellEnd"/>
      <w:r w:rsidRPr="00B47F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47FEB">
        <w:rPr>
          <w:rFonts w:ascii="Times New Roman" w:eastAsia="Times New Roman" w:hAnsi="Times New Roman" w:cs="Times New Roman"/>
        </w:rPr>
        <w:t>rates</w:t>
      </w:r>
      <w:proofErr w:type="spellEnd"/>
      <w:r w:rsidRPr="00B47FEB">
        <w:rPr>
          <w:rFonts w:ascii="Times New Roman" w:eastAsia="Times New Roman" w:hAnsi="Times New Roman" w:cs="Times New Roman"/>
        </w:rPr>
        <w:t>, ORR)</w:t>
      </w:r>
    </w:p>
    <w:p w14:paraId="0B000225" w14:textId="77777777" w:rsidR="00355DF2" w:rsidRPr="00B47FEB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FEB">
        <w:rPr>
          <w:rFonts w:ascii="Times New Roman" w:eastAsia="Times New Roman" w:hAnsi="Times New Roman" w:cs="Times New Roman"/>
        </w:rPr>
        <w:t xml:space="preserve">pri MRCC rezistentnom na cytokíny a na PFS u pacientov s </w:t>
      </w:r>
      <w:proofErr w:type="spellStart"/>
      <w:r w:rsidRPr="00B47FEB">
        <w:rPr>
          <w:rFonts w:ascii="Times New Roman" w:eastAsia="Times New Roman" w:hAnsi="Times New Roman" w:cs="Times New Roman"/>
        </w:rPr>
        <w:t>pNET</w:t>
      </w:r>
      <w:proofErr w:type="spellEnd"/>
      <w:r w:rsidRPr="00B47FEB">
        <w:rPr>
          <w:rFonts w:ascii="Times New Roman" w:eastAsia="Times New Roman" w:hAnsi="Times New Roman" w:cs="Times New Roman"/>
        </w:rPr>
        <w:t>.</w:t>
      </w:r>
    </w:p>
    <w:p w14:paraId="0FF4BFDC" w14:textId="77777777" w:rsidR="00B47FEB" w:rsidRPr="00355DF2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B712002" w14:textId="77777777" w:rsidR="00355DF2" w:rsidRPr="009D59E3" w:rsidRDefault="00B47FE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D59E3">
        <w:rPr>
          <w:rFonts w:ascii="Times New Roman" w:eastAsia="Times New Roman" w:hAnsi="Times New Roman" w:cs="Times New Roman"/>
          <w:i/>
        </w:rPr>
        <w:lastRenderedPageBreak/>
        <w:t xml:space="preserve">Gastrointestinálne </w:t>
      </w:r>
      <w:proofErr w:type="spellStart"/>
      <w:r w:rsidRPr="009D59E3">
        <w:rPr>
          <w:rFonts w:ascii="Times New Roman" w:eastAsia="Times New Roman" w:hAnsi="Times New Roman" w:cs="Times New Roman"/>
          <w:i/>
        </w:rPr>
        <w:t>stromálne</w:t>
      </w:r>
      <w:proofErr w:type="spellEnd"/>
      <w:r w:rsidRPr="009D59E3">
        <w:rPr>
          <w:rFonts w:ascii="Times New Roman" w:eastAsia="Times New Roman" w:hAnsi="Times New Roman" w:cs="Times New Roman"/>
          <w:i/>
        </w:rPr>
        <w:t xml:space="preserve"> tumory</w:t>
      </w:r>
    </w:p>
    <w:p w14:paraId="7DE5B255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U pacientov s GIST po zlyhaní liečby </w:t>
      </w:r>
      <w:proofErr w:type="spellStart"/>
      <w:r w:rsidRPr="009D59E3">
        <w:rPr>
          <w:rFonts w:ascii="Times New Roman" w:eastAsia="Times New Roman" w:hAnsi="Times New Roman" w:cs="Times New Roman"/>
        </w:rPr>
        <w:t>imatinibom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(medián maximálnej dennej dávky 800 mg)</w:t>
      </w:r>
    </w:p>
    <w:p w14:paraId="6FF75D43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v dôsledku rezistencie alebo intolerancie bola vykonaná počiatočná otvorená štúdia so stúpajúcimi</w:t>
      </w:r>
    </w:p>
    <w:p w14:paraId="7FC1D33D" w14:textId="57FC3B3F" w:rsidR="00355DF2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dávkami </w:t>
      </w:r>
      <w:proofErr w:type="spellStart"/>
      <w:r w:rsidRPr="009D59E3">
        <w:rPr>
          <w:rFonts w:ascii="Times New Roman" w:eastAsia="Times New Roman" w:hAnsi="Times New Roman" w:cs="Times New Roman"/>
        </w:rPr>
        <w:t>sunitinibu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. 97 pacientov bolo zaradených do štúdie pri rôznom dávkovaní a schémach podávania; 55 pacientov dostávalo 50 mg </w:t>
      </w:r>
      <w:proofErr w:type="spellStart"/>
      <w:r w:rsidR="00C364C6">
        <w:rPr>
          <w:rFonts w:ascii="Times New Roman" w:eastAsia="Times New Roman" w:hAnsi="Times New Roman" w:cs="Times New Roman"/>
        </w:rPr>
        <w:t>sunitinibu</w:t>
      </w:r>
      <w:proofErr w:type="spellEnd"/>
      <w:r w:rsidR="00C364C6">
        <w:rPr>
          <w:rFonts w:ascii="Times New Roman" w:eastAsia="Times New Roman" w:hAnsi="Times New Roman" w:cs="Times New Roman"/>
        </w:rPr>
        <w:t xml:space="preserve"> </w:t>
      </w:r>
      <w:r w:rsidRPr="009D59E3">
        <w:rPr>
          <w:rFonts w:ascii="Times New Roman" w:eastAsia="Times New Roman" w:hAnsi="Times New Roman" w:cs="Times New Roman"/>
        </w:rPr>
        <w:t>v odporúčanej liečebnej Schéme 4 týždne liečba /2 týždne prestávka („Schéma 4/2“).</w:t>
      </w:r>
    </w:p>
    <w:p w14:paraId="49D1CDC3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CF7C66" w14:textId="77777777" w:rsidR="00355DF2" w:rsidRPr="009D59E3" w:rsidRDefault="00B47FE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Medián TTP bol v tejto štúdii 34 týždňov (95 % CI: 22,0, 46,0).</w:t>
      </w:r>
    </w:p>
    <w:p w14:paraId="02E3FE45" w14:textId="77777777" w:rsidR="00B47FEB" w:rsidRPr="009D59E3" w:rsidRDefault="00B47FE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9E4CCB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U pacientov s GIST, ktorí neznášali </w:t>
      </w:r>
      <w:proofErr w:type="spellStart"/>
      <w:r w:rsidRPr="009D59E3">
        <w:rPr>
          <w:rFonts w:ascii="Times New Roman" w:eastAsia="Times New Roman" w:hAnsi="Times New Roman" w:cs="Times New Roman"/>
        </w:rPr>
        <w:t>imatinib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alebo u nich počas alebo po tejto liečbe ochorenie</w:t>
      </w:r>
    </w:p>
    <w:p w14:paraId="76F4FCA2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D59E3">
        <w:rPr>
          <w:rFonts w:ascii="Times New Roman" w:eastAsia="Times New Roman" w:hAnsi="Times New Roman" w:cs="Times New Roman"/>
        </w:rPr>
        <w:t>progredovalo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(medián maximálnej dennej dávky </w:t>
      </w:r>
      <w:proofErr w:type="spellStart"/>
      <w:r w:rsidRPr="009D59E3">
        <w:rPr>
          <w:rFonts w:ascii="Times New Roman" w:eastAsia="Times New Roman" w:hAnsi="Times New Roman" w:cs="Times New Roman"/>
        </w:rPr>
        <w:t>imatinibu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- 800 mg), bola vykonaná </w:t>
      </w:r>
      <w:proofErr w:type="spellStart"/>
      <w:r w:rsidRPr="009D59E3">
        <w:rPr>
          <w:rFonts w:ascii="Times New Roman" w:eastAsia="Times New Roman" w:hAnsi="Times New Roman" w:cs="Times New Roman"/>
        </w:rPr>
        <w:t>randomizovaná</w:t>
      </w:r>
      <w:proofErr w:type="spellEnd"/>
      <w:r w:rsidRPr="009D59E3">
        <w:rPr>
          <w:rFonts w:ascii="Times New Roman" w:eastAsia="Times New Roman" w:hAnsi="Times New Roman" w:cs="Times New Roman"/>
        </w:rPr>
        <w:t>,</w:t>
      </w:r>
    </w:p>
    <w:p w14:paraId="2F8CD18E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dvojito zaslepená, placebom kontrolovaná štúdia 3. fázy so </w:t>
      </w:r>
      <w:proofErr w:type="spellStart"/>
      <w:r w:rsidRPr="009D59E3">
        <w:rPr>
          <w:rFonts w:ascii="Times New Roman" w:eastAsia="Times New Roman" w:hAnsi="Times New Roman" w:cs="Times New Roman"/>
        </w:rPr>
        <w:t>sunitinibom</w:t>
      </w:r>
      <w:proofErr w:type="spellEnd"/>
      <w:r w:rsidRPr="009D59E3">
        <w:rPr>
          <w:rFonts w:ascii="Times New Roman" w:eastAsia="Times New Roman" w:hAnsi="Times New Roman" w:cs="Times New Roman"/>
        </w:rPr>
        <w:t>. V tejto štúdii bolo</w:t>
      </w:r>
    </w:p>
    <w:p w14:paraId="4850146B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D59E3">
        <w:rPr>
          <w:rFonts w:ascii="Times New Roman" w:eastAsia="Times New Roman" w:hAnsi="Times New Roman" w:cs="Times New Roman"/>
        </w:rPr>
        <w:t>randomizovaných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312 pacientov (2 : 1) na perorálne podávanie 50 mg </w:t>
      </w:r>
      <w:proofErr w:type="spellStart"/>
      <w:r w:rsidRPr="009D59E3">
        <w:rPr>
          <w:rFonts w:ascii="Times New Roman" w:eastAsia="Times New Roman" w:hAnsi="Times New Roman" w:cs="Times New Roman"/>
        </w:rPr>
        <w:t>sunitinibu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alebo placeba raz za</w:t>
      </w:r>
    </w:p>
    <w:p w14:paraId="432C32EC" w14:textId="77777777" w:rsidR="00B47FEB" w:rsidRPr="009D59E3" w:rsidRDefault="00B47FEB" w:rsidP="00B47F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deň v schéme 4/2 až do progresie ochorenia alebo do vyradenia zo štúdie kvôli inej príčine</w:t>
      </w:r>
    </w:p>
    <w:p w14:paraId="11AA70B6" w14:textId="77777777" w:rsidR="009D59E3" w:rsidRPr="009D59E3" w:rsidRDefault="00B47FEB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(207 pacientov dostávalo </w:t>
      </w:r>
      <w:proofErr w:type="spellStart"/>
      <w:r w:rsidRPr="009D59E3">
        <w:rPr>
          <w:rFonts w:ascii="Times New Roman" w:eastAsia="Times New Roman" w:hAnsi="Times New Roman" w:cs="Times New Roman"/>
        </w:rPr>
        <w:t>sunitinib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, 105 pacientov placebo). </w:t>
      </w:r>
      <w:r w:rsidR="009D59E3" w:rsidRPr="009D59E3">
        <w:rPr>
          <w:rFonts w:ascii="Times New Roman" w:eastAsia="Times New Roman" w:hAnsi="Times New Roman" w:cs="Times New Roman"/>
        </w:rPr>
        <w:t>Primárny cieľ v rámci hodnotenia</w:t>
      </w:r>
    </w:p>
    <w:p w14:paraId="52B2BBF3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účinnosti v tejto štúdii bol TTP definovaný ako čas od </w:t>
      </w:r>
      <w:proofErr w:type="spellStart"/>
      <w:r w:rsidRPr="009D59E3">
        <w:rPr>
          <w:rFonts w:ascii="Times New Roman" w:eastAsia="Times New Roman" w:hAnsi="Times New Roman" w:cs="Times New Roman"/>
        </w:rPr>
        <w:t>randomizácie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po prvý objektívny dôkaz</w:t>
      </w:r>
    </w:p>
    <w:p w14:paraId="2DE13E35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progresie nádoru. V čase vopred stanovenej predbežnej analýzy bol medián TTP pri liečbe</w:t>
      </w:r>
    </w:p>
    <w:p w14:paraId="351C446E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D59E3">
        <w:rPr>
          <w:rFonts w:ascii="Times New Roman" w:eastAsia="Times New Roman" w:hAnsi="Times New Roman" w:cs="Times New Roman"/>
        </w:rPr>
        <w:t>sunitinibom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28,9 týždňa (95 % CI: 21,3, 34,1) podľa hodnotenia </w:t>
      </w:r>
      <w:proofErr w:type="spellStart"/>
      <w:r w:rsidRPr="009D59E3">
        <w:rPr>
          <w:rFonts w:ascii="Times New Roman" w:eastAsia="Times New Roman" w:hAnsi="Times New Roman" w:cs="Times New Roman"/>
        </w:rPr>
        <w:t>investigátorov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a 27,3 týždňa</w:t>
      </w:r>
    </w:p>
    <w:p w14:paraId="187A0D40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(95 % CI: 16,0, 32,1) podľa hodnotenia nezávislej komisie a zároveň bol štatisticky signifikantne dlhší</w:t>
      </w:r>
    </w:p>
    <w:p w14:paraId="1D5B0933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ako TTP pri liečbe placebom 5,1 týždňa (95 % CI: 4,4, 10,1) podľa hodnotenia </w:t>
      </w:r>
      <w:proofErr w:type="spellStart"/>
      <w:r w:rsidRPr="009D59E3">
        <w:rPr>
          <w:rFonts w:ascii="Times New Roman" w:eastAsia="Times New Roman" w:hAnsi="Times New Roman" w:cs="Times New Roman"/>
        </w:rPr>
        <w:t>investigátorov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a</w:t>
      </w:r>
    </w:p>
    <w:p w14:paraId="487C9ECD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6,4 týždňa (95 % CI: 4,4, 10,0) podľa hodnotenia nezávislej komisie. Rozdiel v celkovom prežívaní</w:t>
      </w:r>
    </w:p>
    <w:p w14:paraId="6FE4FDEE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(</w:t>
      </w:r>
      <w:proofErr w:type="spellStart"/>
      <w:r w:rsidRPr="009D59E3">
        <w:rPr>
          <w:rFonts w:ascii="Times New Roman" w:eastAsia="Times New Roman" w:hAnsi="Times New Roman" w:cs="Times New Roman"/>
        </w:rPr>
        <w:t>overall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D59E3">
        <w:rPr>
          <w:rFonts w:ascii="Times New Roman" w:eastAsia="Times New Roman" w:hAnsi="Times New Roman" w:cs="Times New Roman"/>
        </w:rPr>
        <w:t>survival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, OS) vychádzal štatisticky v prospech </w:t>
      </w:r>
      <w:proofErr w:type="spellStart"/>
      <w:r w:rsidRPr="009D59E3">
        <w:rPr>
          <w:rFonts w:ascii="Times New Roman" w:eastAsia="Times New Roman" w:hAnsi="Times New Roman" w:cs="Times New Roman"/>
        </w:rPr>
        <w:t>sunitinibu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[miera rizika [hazard </w:t>
      </w:r>
      <w:proofErr w:type="spellStart"/>
      <w:r w:rsidRPr="009D59E3">
        <w:rPr>
          <w:rFonts w:ascii="Times New Roman" w:eastAsia="Times New Roman" w:hAnsi="Times New Roman" w:cs="Times New Roman"/>
        </w:rPr>
        <w:t>ratio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(HR):</w:t>
      </w:r>
    </w:p>
    <w:p w14:paraId="5E3F998F" w14:textId="1A07EB8D" w:rsidR="00355DF2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0,491; (95 % CI: 0,290, 0,831)]; riziko úmrtia bolo v</w:t>
      </w:r>
      <w:r w:rsidR="00C364C6">
        <w:rPr>
          <w:rFonts w:ascii="Times New Roman" w:eastAsia="Times New Roman" w:hAnsi="Times New Roman" w:cs="Times New Roman"/>
        </w:rPr>
        <w:t> skupine s placebom</w:t>
      </w:r>
      <w:r w:rsidRPr="009D59E3">
        <w:rPr>
          <w:rFonts w:ascii="Times New Roman" w:eastAsia="Times New Roman" w:hAnsi="Times New Roman" w:cs="Times New Roman"/>
        </w:rPr>
        <w:t xml:space="preserve"> dvakrát vyššie v</w:t>
      </w:r>
      <w:r w:rsidR="00C3209E">
        <w:rPr>
          <w:rFonts w:ascii="Times New Roman" w:eastAsia="Times New Roman" w:hAnsi="Times New Roman" w:cs="Times New Roman"/>
        </w:rPr>
        <w:t> </w:t>
      </w:r>
      <w:r w:rsidRPr="009D59E3">
        <w:rPr>
          <w:rFonts w:ascii="Times New Roman" w:eastAsia="Times New Roman" w:hAnsi="Times New Roman" w:cs="Times New Roman"/>
        </w:rPr>
        <w:t>porovnaní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9D59E3">
        <w:rPr>
          <w:rFonts w:ascii="Times New Roman" w:eastAsia="Times New Roman" w:hAnsi="Times New Roman" w:cs="Times New Roman"/>
        </w:rPr>
        <w:t xml:space="preserve">so </w:t>
      </w:r>
      <w:r w:rsidR="00C364C6">
        <w:rPr>
          <w:rFonts w:ascii="Times New Roman" w:eastAsia="Times New Roman" w:hAnsi="Times New Roman" w:cs="Times New Roman"/>
        </w:rPr>
        <w:t xml:space="preserve">skupinou so </w:t>
      </w:r>
      <w:proofErr w:type="spellStart"/>
      <w:r w:rsidRPr="009D59E3">
        <w:rPr>
          <w:rFonts w:ascii="Times New Roman" w:eastAsia="Times New Roman" w:hAnsi="Times New Roman" w:cs="Times New Roman"/>
        </w:rPr>
        <w:t>sunitinibo</w:t>
      </w:r>
      <w:r w:rsidR="00C364C6">
        <w:rPr>
          <w:rFonts w:ascii="Times New Roman" w:eastAsia="Times New Roman" w:hAnsi="Times New Roman" w:cs="Times New Roman"/>
        </w:rPr>
        <w:t>m</w:t>
      </w:r>
      <w:proofErr w:type="spellEnd"/>
      <w:r w:rsidRPr="009D59E3">
        <w:rPr>
          <w:rFonts w:ascii="Times New Roman" w:eastAsia="Times New Roman" w:hAnsi="Times New Roman" w:cs="Times New Roman"/>
        </w:rPr>
        <w:t>.</w:t>
      </w:r>
    </w:p>
    <w:p w14:paraId="48F2F43E" w14:textId="77777777" w:rsidR="00355DF2" w:rsidRPr="009D59E3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90BA94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Po predbežnej analýze účinnosti a bezpečnosti na základe odporúčania nezávislej komisie na</w:t>
      </w:r>
    </w:p>
    <w:p w14:paraId="6A528140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monitorovanie dát a bezpečnosti (</w:t>
      </w:r>
      <w:proofErr w:type="spellStart"/>
      <w:r w:rsidRPr="009D59E3">
        <w:rPr>
          <w:rFonts w:ascii="Times New Roman" w:eastAsia="Times New Roman" w:hAnsi="Times New Roman" w:cs="Times New Roman"/>
        </w:rPr>
        <w:t>data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9D59E3">
        <w:rPr>
          <w:rFonts w:ascii="Times New Roman" w:eastAsia="Times New Roman" w:hAnsi="Times New Roman" w:cs="Times New Roman"/>
        </w:rPr>
        <w:t>safety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monitoring </w:t>
      </w:r>
      <w:proofErr w:type="spellStart"/>
      <w:r w:rsidRPr="009D59E3">
        <w:rPr>
          <w:rFonts w:ascii="Times New Roman" w:eastAsia="Times New Roman" w:hAnsi="Times New Roman" w:cs="Times New Roman"/>
        </w:rPr>
        <w:t>board</w:t>
      </w:r>
      <w:proofErr w:type="spellEnd"/>
      <w:r w:rsidRPr="009D59E3">
        <w:rPr>
          <w:rFonts w:ascii="Times New Roman" w:eastAsia="Times New Roman" w:hAnsi="Times New Roman" w:cs="Times New Roman"/>
        </w:rPr>
        <w:t>, DSMB) bola štúdia odslepená</w:t>
      </w:r>
    </w:p>
    <w:p w14:paraId="7A356B02" w14:textId="3CE450EC" w:rsidR="00355DF2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a pacientom v </w:t>
      </w:r>
      <w:r w:rsidR="00C364C6">
        <w:rPr>
          <w:rFonts w:ascii="Times New Roman" w:eastAsia="Times New Roman" w:hAnsi="Times New Roman" w:cs="Times New Roman"/>
        </w:rPr>
        <w:t>skupi</w:t>
      </w:r>
      <w:r w:rsidRPr="009D59E3">
        <w:rPr>
          <w:rFonts w:ascii="Times New Roman" w:eastAsia="Times New Roman" w:hAnsi="Times New Roman" w:cs="Times New Roman"/>
        </w:rPr>
        <w:t xml:space="preserve">ne s placebom bola ponúknutá liečba </w:t>
      </w:r>
      <w:proofErr w:type="spellStart"/>
      <w:r w:rsidRPr="009D59E3">
        <w:rPr>
          <w:rFonts w:ascii="Times New Roman" w:eastAsia="Times New Roman" w:hAnsi="Times New Roman" w:cs="Times New Roman"/>
        </w:rPr>
        <w:t>sunitinibom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v otvorenej fáze štúdie.</w:t>
      </w:r>
    </w:p>
    <w:p w14:paraId="6E57281B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AA81BB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V otvorenej fáze štúdie dostávalo </w:t>
      </w:r>
      <w:proofErr w:type="spellStart"/>
      <w:r w:rsidRPr="009D59E3">
        <w:rPr>
          <w:rFonts w:ascii="Times New Roman" w:eastAsia="Times New Roman" w:hAnsi="Times New Roman" w:cs="Times New Roman"/>
        </w:rPr>
        <w:t>sunitinib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celkovo 255 pacientov vrátane 99 pacientov, ktorí boli</w:t>
      </w:r>
    </w:p>
    <w:p w14:paraId="483FA864" w14:textId="77777777" w:rsidR="00355DF2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pôvodne liečení placebom.</w:t>
      </w:r>
    </w:p>
    <w:p w14:paraId="4D2BECC7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277013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Analýza primárnych a sekundárnych cieľov v otvorenej fáze štúdie opakovane potvrdila výsledky</w:t>
      </w:r>
    </w:p>
    <w:p w14:paraId="69036450" w14:textId="77777777" w:rsidR="00355DF2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získané v čase predbežnej analýzy, ako je uvedené v Tabuľke 2:</w:t>
      </w:r>
    </w:p>
    <w:p w14:paraId="422C41FB" w14:textId="77777777" w:rsidR="009D59E3" w:rsidRPr="009D59E3" w:rsidRDefault="009D59E3" w:rsidP="009D59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EC09C2" w14:textId="77777777" w:rsidR="00355DF2" w:rsidRPr="009D59E3" w:rsidRDefault="007F450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D59E3">
        <w:rPr>
          <w:rFonts w:ascii="Times New Roman" w:eastAsia="Times New Roman" w:hAnsi="Times New Roman" w:cs="Times New Roman"/>
          <w:b/>
        </w:rPr>
        <w:t>Tabuľka 2. Súhrn cieľov účinnosti (ITT populácia) pre 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54"/>
        <w:gridCol w:w="1643"/>
        <w:gridCol w:w="1635"/>
        <w:gridCol w:w="987"/>
        <w:gridCol w:w="1507"/>
      </w:tblGrid>
      <w:tr w:rsidR="00355DF2" w:rsidRPr="009D59E3" w14:paraId="5D8963F0" w14:textId="77777777" w:rsidTr="00575983">
        <w:tc>
          <w:tcPr>
            <w:tcW w:w="1643" w:type="dxa"/>
            <w:shd w:val="clear" w:color="auto" w:fill="auto"/>
          </w:tcPr>
          <w:p w14:paraId="183F2D92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7373" w:type="dxa"/>
            <w:gridSpan w:val="5"/>
            <w:shd w:val="clear" w:color="auto" w:fill="auto"/>
          </w:tcPr>
          <w:p w14:paraId="4AC40890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  <w:spacing w:val="2"/>
                <w:w w:val="108"/>
              </w:rPr>
              <w:t xml:space="preserve">Dvojito zaslepená </w:t>
            </w:r>
            <w:proofErr w:type="spellStart"/>
            <w:r w:rsidRPr="009D59E3">
              <w:rPr>
                <w:rFonts w:ascii="Times New Roman" w:eastAsia="Times New Roman" w:hAnsi="Times New Roman" w:cs="Times New Roman"/>
                <w:b/>
                <w:spacing w:val="2"/>
                <w:w w:val="108"/>
              </w:rPr>
              <w:t>liečba</w:t>
            </w:r>
            <w:r w:rsidRPr="009D59E3">
              <w:rPr>
                <w:rFonts w:ascii="Times New Roman" w:eastAsia="Times New Roman" w:hAnsi="Times New Roman" w:cs="Times New Roman"/>
                <w:b/>
                <w:spacing w:val="2"/>
                <w:w w:val="108"/>
                <w:vertAlign w:val="superscript"/>
              </w:rPr>
              <w:t>a</w:t>
            </w:r>
            <w:proofErr w:type="spellEnd"/>
          </w:p>
        </w:tc>
      </w:tr>
      <w:tr w:rsidR="00355DF2" w:rsidRPr="009D59E3" w14:paraId="23E89854" w14:textId="77777777" w:rsidTr="00575983">
        <w:trPr>
          <w:trHeight w:val="797"/>
        </w:trPr>
        <w:tc>
          <w:tcPr>
            <w:tcW w:w="1643" w:type="dxa"/>
            <w:shd w:val="clear" w:color="auto" w:fill="auto"/>
          </w:tcPr>
          <w:p w14:paraId="7ACBD00A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77F91860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Mediá</w:t>
            </w:r>
            <w:r w:rsidR="00355DF2" w:rsidRPr="009D59E3">
              <w:rPr>
                <w:rFonts w:ascii="Times New Roman" w:eastAsia="Times New Roman" w:hAnsi="Times New Roman" w:cs="Times New Roman"/>
                <w:b/>
              </w:rPr>
              <w:t>n (95% CI)</w:t>
            </w:r>
          </w:p>
        </w:tc>
        <w:tc>
          <w:tcPr>
            <w:tcW w:w="2529" w:type="dxa"/>
            <w:gridSpan w:val="2"/>
            <w:shd w:val="clear" w:color="auto" w:fill="auto"/>
          </w:tcPr>
          <w:p w14:paraId="2A2907BF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HR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031B0162" w14:textId="77777777" w:rsidR="007F450E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Liečebná skupina</w:t>
            </w:r>
          </w:p>
          <w:p w14:paraId="3E10BBA8" w14:textId="77777777" w:rsidR="007F450E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s placebom</w:t>
            </w:r>
          </w:p>
          <w:p w14:paraId="22FBF892" w14:textId="77777777" w:rsidR="007F450E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s prestupom na</w:t>
            </w:r>
          </w:p>
          <w:p w14:paraId="377BD008" w14:textId="77777777" w:rsidR="00355DF2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 xml:space="preserve">aktívnu </w:t>
            </w:r>
            <w:proofErr w:type="spellStart"/>
            <w:r w:rsidRPr="009D59E3">
              <w:rPr>
                <w:rFonts w:ascii="Times New Roman" w:eastAsia="Times New Roman" w:hAnsi="Times New Roman" w:cs="Times New Roman"/>
                <w:b/>
              </w:rPr>
              <w:t>liečbu</w:t>
            </w:r>
            <w:r w:rsidRPr="009D59E3">
              <w:rPr>
                <w:rFonts w:ascii="Times New Roman" w:eastAsia="Times New Roman" w:hAnsi="Times New Roman" w:cs="Times New Roman"/>
                <w:b/>
                <w:vertAlign w:val="superscript"/>
              </w:rPr>
              <w:t>b</w:t>
            </w:r>
            <w:proofErr w:type="spellEnd"/>
          </w:p>
        </w:tc>
      </w:tr>
      <w:tr w:rsidR="00355DF2" w:rsidRPr="009D59E3" w14:paraId="3E471F9C" w14:textId="77777777" w:rsidTr="00575983">
        <w:tc>
          <w:tcPr>
            <w:tcW w:w="1643" w:type="dxa"/>
            <w:shd w:val="clear" w:color="auto" w:fill="auto"/>
          </w:tcPr>
          <w:p w14:paraId="2D2884B1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Cieľ</w:t>
            </w:r>
          </w:p>
        </w:tc>
        <w:tc>
          <w:tcPr>
            <w:tcW w:w="1669" w:type="dxa"/>
            <w:shd w:val="clear" w:color="auto" w:fill="auto"/>
          </w:tcPr>
          <w:p w14:paraId="06773A4B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59E3">
              <w:rPr>
                <w:rFonts w:ascii="Times New Roman" w:eastAsia="Times New Roman" w:hAnsi="Times New Roman" w:cs="Times New Roman"/>
                <w:b/>
              </w:rPr>
              <w:t>Sunitinib</w:t>
            </w:r>
            <w:proofErr w:type="spellEnd"/>
          </w:p>
        </w:tc>
        <w:tc>
          <w:tcPr>
            <w:tcW w:w="1661" w:type="dxa"/>
            <w:shd w:val="clear" w:color="auto" w:fill="auto"/>
          </w:tcPr>
          <w:p w14:paraId="2704075F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Placebo</w:t>
            </w:r>
          </w:p>
        </w:tc>
        <w:tc>
          <w:tcPr>
            <w:tcW w:w="1656" w:type="dxa"/>
            <w:shd w:val="clear" w:color="auto" w:fill="auto"/>
          </w:tcPr>
          <w:p w14:paraId="609B7CDC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(95% CI)</w:t>
            </w:r>
          </w:p>
        </w:tc>
        <w:tc>
          <w:tcPr>
            <w:tcW w:w="873" w:type="dxa"/>
            <w:shd w:val="clear" w:color="auto" w:fill="auto"/>
          </w:tcPr>
          <w:p w14:paraId="4811EA59" w14:textId="77777777" w:rsidR="00355DF2" w:rsidRPr="009D59E3" w:rsidRDefault="00355DF2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p-</w:t>
            </w:r>
            <w:r w:rsidR="007F450E" w:rsidRPr="009D59E3">
              <w:rPr>
                <w:rFonts w:ascii="Times New Roman" w:eastAsia="Times New Roman" w:hAnsi="Times New Roman" w:cs="Times New Roman"/>
                <w:b/>
              </w:rPr>
              <w:t>hodnota</w:t>
            </w:r>
          </w:p>
        </w:tc>
        <w:tc>
          <w:tcPr>
            <w:tcW w:w="1514" w:type="dxa"/>
            <w:vMerge/>
            <w:shd w:val="clear" w:color="auto" w:fill="auto"/>
          </w:tcPr>
          <w:p w14:paraId="72583DC8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DF2" w:rsidRPr="009D59E3" w14:paraId="63ADC8B4" w14:textId="77777777" w:rsidTr="00575983">
        <w:tc>
          <w:tcPr>
            <w:tcW w:w="1643" w:type="dxa"/>
            <w:shd w:val="clear" w:color="auto" w:fill="auto"/>
          </w:tcPr>
          <w:p w14:paraId="49948A8C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Primá</w:t>
            </w:r>
            <w:r w:rsidR="00355DF2" w:rsidRPr="009D59E3">
              <w:rPr>
                <w:rFonts w:ascii="Times New Roman" w:eastAsia="Times New Roman" w:hAnsi="Times New Roman" w:cs="Times New Roman"/>
                <w:b/>
              </w:rPr>
              <w:t>r</w:t>
            </w:r>
            <w:r w:rsidRPr="009D59E3">
              <w:rPr>
                <w:rFonts w:ascii="Times New Roman" w:eastAsia="Times New Roman" w:hAnsi="Times New Roman" w:cs="Times New Roman"/>
                <w:b/>
              </w:rPr>
              <w:t>n</w:t>
            </w:r>
            <w:r w:rsidR="00355DF2" w:rsidRPr="009D59E3">
              <w:rPr>
                <w:rFonts w:ascii="Times New Roman" w:eastAsia="Times New Roman" w:hAnsi="Times New Roman" w:cs="Times New Roman"/>
                <w:b/>
              </w:rPr>
              <w:t xml:space="preserve">y </w:t>
            </w:r>
          </w:p>
        </w:tc>
        <w:tc>
          <w:tcPr>
            <w:tcW w:w="7373" w:type="dxa"/>
            <w:gridSpan w:val="5"/>
            <w:shd w:val="clear" w:color="auto" w:fill="auto"/>
          </w:tcPr>
          <w:p w14:paraId="629405C2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DF2" w:rsidRPr="009D59E3" w14:paraId="4F8BD501" w14:textId="77777777" w:rsidTr="00575983">
        <w:tc>
          <w:tcPr>
            <w:tcW w:w="1643" w:type="dxa"/>
            <w:shd w:val="clear" w:color="auto" w:fill="auto"/>
          </w:tcPr>
          <w:p w14:paraId="1CF98A71" w14:textId="77777777" w:rsidR="00355DF2" w:rsidRPr="009D59E3" w:rsidRDefault="00355DF2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TTP (</w:t>
            </w:r>
            <w:r w:rsidR="007F450E" w:rsidRPr="009D59E3">
              <w:rPr>
                <w:rFonts w:ascii="Times New Roman" w:eastAsia="Times New Roman" w:hAnsi="Times New Roman" w:cs="Times New Roman"/>
              </w:rPr>
              <w:t>týždne</w:t>
            </w:r>
            <w:r w:rsidRPr="009D59E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373" w:type="dxa"/>
            <w:gridSpan w:val="5"/>
            <w:shd w:val="clear" w:color="auto" w:fill="auto"/>
          </w:tcPr>
          <w:p w14:paraId="2C40DDDB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DF2" w:rsidRPr="009D59E3" w14:paraId="035042A8" w14:textId="77777777" w:rsidTr="00575983">
        <w:tc>
          <w:tcPr>
            <w:tcW w:w="1643" w:type="dxa"/>
            <w:shd w:val="clear" w:color="auto" w:fill="auto"/>
          </w:tcPr>
          <w:p w14:paraId="427754EA" w14:textId="77777777" w:rsidR="007F450E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Predbežná</w:t>
            </w:r>
          </w:p>
          <w:p w14:paraId="77016EC5" w14:textId="77777777" w:rsidR="00355DF2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analýza</w:t>
            </w:r>
          </w:p>
        </w:tc>
        <w:tc>
          <w:tcPr>
            <w:tcW w:w="1669" w:type="dxa"/>
            <w:shd w:val="clear" w:color="auto" w:fill="auto"/>
          </w:tcPr>
          <w:p w14:paraId="0D036CA3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27,3 (16,0, 32,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1661" w:type="dxa"/>
            <w:shd w:val="clear" w:color="auto" w:fill="auto"/>
          </w:tcPr>
          <w:p w14:paraId="576B6070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6,4 (4,4, 10,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1656" w:type="dxa"/>
            <w:shd w:val="clear" w:color="auto" w:fill="auto"/>
          </w:tcPr>
          <w:p w14:paraId="4D5F7D81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0,329 (0,233, 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466)</w:t>
            </w:r>
          </w:p>
        </w:tc>
        <w:tc>
          <w:tcPr>
            <w:tcW w:w="873" w:type="dxa"/>
            <w:shd w:val="clear" w:color="auto" w:fill="auto"/>
          </w:tcPr>
          <w:p w14:paraId="635EAF61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&lt;0,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1514" w:type="dxa"/>
            <w:shd w:val="clear" w:color="auto" w:fill="auto"/>
          </w:tcPr>
          <w:p w14:paraId="427AFD32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5DF2" w:rsidRPr="009D59E3" w14:paraId="76C26C5F" w14:textId="77777777" w:rsidTr="00575983">
        <w:tc>
          <w:tcPr>
            <w:tcW w:w="1643" w:type="dxa"/>
            <w:shd w:val="clear" w:color="auto" w:fill="auto"/>
          </w:tcPr>
          <w:p w14:paraId="3919D231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Finálna analýza</w:t>
            </w:r>
          </w:p>
        </w:tc>
        <w:tc>
          <w:tcPr>
            <w:tcW w:w="1669" w:type="dxa"/>
            <w:shd w:val="clear" w:color="auto" w:fill="auto"/>
          </w:tcPr>
          <w:p w14:paraId="2EA16D42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26,6 (16,0, 32,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1661" w:type="dxa"/>
            <w:shd w:val="clear" w:color="auto" w:fill="auto"/>
          </w:tcPr>
          <w:p w14:paraId="01E94416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6,4 (4,4, 10,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1656" w:type="dxa"/>
            <w:shd w:val="clear" w:color="auto" w:fill="auto"/>
          </w:tcPr>
          <w:p w14:paraId="6CE5C1ED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0,339 (0,244, 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472)</w:t>
            </w:r>
          </w:p>
        </w:tc>
        <w:tc>
          <w:tcPr>
            <w:tcW w:w="873" w:type="dxa"/>
            <w:shd w:val="clear" w:color="auto" w:fill="auto"/>
          </w:tcPr>
          <w:p w14:paraId="454D9B4F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&lt;0,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1514" w:type="dxa"/>
            <w:shd w:val="clear" w:color="auto" w:fill="auto"/>
          </w:tcPr>
          <w:p w14:paraId="4D4BF9FE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10</w:t>
            </w:r>
            <w:r w:rsidR="007F450E" w:rsidRPr="009D59E3">
              <w:rPr>
                <w:rFonts w:ascii="Times New Roman" w:eastAsia="Times New Roman" w:hAnsi="Times New Roman" w:cs="Times New Roman"/>
              </w:rPr>
              <w:t>,4 (4,3, 22,</w:t>
            </w:r>
            <w:r w:rsidRPr="009D59E3">
              <w:rPr>
                <w:rFonts w:ascii="Times New Roman" w:eastAsia="Times New Roman" w:hAnsi="Times New Roman" w:cs="Times New Roman"/>
              </w:rPr>
              <w:t>0)</w:t>
            </w:r>
          </w:p>
        </w:tc>
      </w:tr>
      <w:tr w:rsidR="00355DF2" w:rsidRPr="009D59E3" w14:paraId="0AF512EE" w14:textId="77777777" w:rsidTr="00575983">
        <w:tc>
          <w:tcPr>
            <w:tcW w:w="1643" w:type="dxa"/>
            <w:shd w:val="clear" w:color="auto" w:fill="auto"/>
          </w:tcPr>
          <w:p w14:paraId="1BC47652" w14:textId="77777777" w:rsidR="00355DF2" w:rsidRPr="009D59E3" w:rsidRDefault="00355DF2" w:rsidP="007F45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  <w:b/>
              </w:rPr>
              <w:t>Se</w:t>
            </w:r>
            <w:r w:rsidR="007F450E" w:rsidRPr="009D59E3">
              <w:rPr>
                <w:rFonts w:ascii="Times New Roman" w:eastAsia="Times New Roman" w:hAnsi="Times New Roman" w:cs="Times New Roman"/>
                <w:b/>
              </w:rPr>
              <w:t>kundárny</w:t>
            </w:r>
          </w:p>
        </w:tc>
        <w:tc>
          <w:tcPr>
            <w:tcW w:w="7373" w:type="dxa"/>
            <w:gridSpan w:val="5"/>
            <w:shd w:val="clear" w:color="auto" w:fill="auto"/>
          </w:tcPr>
          <w:p w14:paraId="5AFBDA5D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5DF2" w:rsidRPr="009D59E3" w14:paraId="582094C9" w14:textId="77777777" w:rsidTr="00575983">
        <w:tc>
          <w:tcPr>
            <w:tcW w:w="1643" w:type="dxa"/>
            <w:shd w:val="clear" w:color="auto" w:fill="auto"/>
          </w:tcPr>
          <w:p w14:paraId="76E3F293" w14:textId="77777777" w:rsidR="00355DF2" w:rsidRPr="009D59E3" w:rsidRDefault="00355DF2" w:rsidP="007F45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PFS (</w:t>
            </w:r>
            <w:r w:rsidR="007F450E" w:rsidRPr="009D59E3">
              <w:rPr>
                <w:rFonts w:ascii="Times New Roman" w:eastAsia="Times New Roman" w:hAnsi="Times New Roman" w:cs="Times New Roman"/>
              </w:rPr>
              <w:t>týždne</w:t>
            </w:r>
            <w:r w:rsidRPr="009D59E3">
              <w:rPr>
                <w:rFonts w:ascii="Times New Roman" w:eastAsia="Times New Roman" w:hAnsi="Times New Roman" w:cs="Times New Roman"/>
              </w:rPr>
              <w:t>)</w:t>
            </w:r>
            <w:r w:rsidRPr="009D59E3">
              <w:rPr>
                <w:rFonts w:ascii="Times New Roman" w:eastAsia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7373" w:type="dxa"/>
            <w:gridSpan w:val="5"/>
            <w:shd w:val="clear" w:color="auto" w:fill="auto"/>
          </w:tcPr>
          <w:p w14:paraId="21DDE17F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5DF2" w:rsidRPr="009D59E3" w14:paraId="30EE47F2" w14:textId="77777777" w:rsidTr="00575983">
        <w:tc>
          <w:tcPr>
            <w:tcW w:w="1643" w:type="dxa"/>
            <w:shd w:val="clear" w:color="auto" w:fill="auto"/>
          </w:tcPr>
          <w:p w14:paraId="74F8C014" w14:textId="77777777" w:rsidR="007F450E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Predbežná</w:t>
            </w:r>
          </w:p>
          <w:p w14:paraId="05EDB009" w14:textId="77777777" w:rsidR="00355DF2" w:rsidRPr="009D59E3" w:rsidRDefault="007F450E" w:rsidP="007F45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analýza</w:t>
            </w:r>
          </w:p>
        </w:tc>
        <w:tc>
          <w:tcPr>
            <w:tcW w:w="1669" w:type="dxa"/>
            <w:shd w:val="clear" w:color="auto" w:fill="auto"/>
          </w:tcPr>
          <w:p w14:paraId="0A870AFC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24,1 (11,1, 28,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1661" w:type="dxa"/>
            <w:shd w:val="clear" w:color="auto" w:fill="auto"/>
          </w:tcPr>
          <w:p w14:paraId="79BD247C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6,0 (4,4, 9,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1656" w:type="dxa"/>
            <w:shd w:val="clear" w:color="auto" w:fill="auto"/>
          </w:tcPr>
          <w:p w14:paraId="682D9910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0,333 (0,238, 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467)</w:t>
            </w:r>
          </w:p>
        </w:tc>
        <w:tc>
          <w:tcPr>
            <w:tcW w:w="873" w:type="dxa"/>
            <w:shd w:val="clear" w:color="auto" w:fill="auto"/>
          </w:tcPr>
          <w:p w14:paraId="3855E9EF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&lt;0,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1514" w:type="dxa"/>
            <w:shd w:val="clear" w:color="auto" w:fill="auto"/>
          </w:tcPr>
          <w:p w14:paraId="52FC379C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5DF2" w:rsidRPr="009D59E3" w14:paraId="3D8E403D" w14:textId="77777777" w:rsidTr="00575983">
        <w:tc>
          <w:tcPr>
            <w:tcW w:w="1643" w:type="dxa"/>
            <w:shd w:val="clear" w:color="auto" w:fill="auto"/>
          </w:tcPr>
          <w:p w14:paraId="404AD473" w14:textId="77777777" w:rsidR="00355DF2" w:rsidRPr="009D59E3" w:rsidRDefault="007F450E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Finálna analýza</w:t>
            </w:r>
          </w:p>
        </w:tc>
        <w:tc>
          <w:tcPr>
            <w:tcW w:w="1669" w:type="dxa"/>
            <w:shd w:val="clear" w:color="auto" w:fill="auto"/>
          </w:tcPr>
          <w:p w14:paraId="11C508D6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22,9 (10,9, 28,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1661" w:type="dxa"/>
            <w:shd w:val="clear" w:color="auto" w:fill="auto"/>
          </w:tcPr>
          <w:p w14:paraId="4EF0B10A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6,0 (4,4, 9,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1656" w:type="dxa"/>
            <w:shd w:val="clear" w:color="auto" w:fill="auto"/>
          </w:tcPr>
          <w:p w14:paraId="02C4A86D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0,347 (0,253, 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475)</w:t>
            </w:r>
          </w:p>
        </w:tc>
        <w:tc>
          <w:tcPr>
            <w:tcW w:w="873" w:type="dxa"/>
            <w:shd w:val="clear" w:color="auto" w:fill="auto"/>
          </w:tcPr>
          <w:p w14:paraId="4D7DFE44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&lt;0,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1514" w:type="dxa"/>
            <w:shd w:val="clear" w:color="auto" w:fill="auto"/>
          </w:tcPr>
          <w:p w14:paraId="75905809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5DF2" w:rsidRPr="009D59E3" w14:paraId="040CB639" w14:textId="77777777" w:rsidTr="00575983">
        <w:tc>
          <w:tcPr>
            <w:tcW w:w="1643" w:type="dxa"/>
            <w:shd w:val="clear" w:color="auto" w:fill="auto"/>
          </w:tcPr>
          <w:p w14:paraId="15433E74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lastRenderedPageBreak/>
              <w:t>ORR (%)</w:t>
            </w:r>
            <w:r w:rsidRPr="009D59E3"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7373" w:type="dxa"/>
            <w:gridSpan w:val="5"/>
            <w:shd w:val="clear" w:color="auto" w:fill="auto"/>
          </w:tcPr>
          <w:p w14:paraId="4FBF96E5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5DF2" w:rsidRPr="009D59E3" w14:paraId="734CE925" w14:textId="77777777" w:rsidTr="00575983">
        <w:tc>
          <w:tcPr>
            <w:tcW w:w="1643" w:type="dxa"/>
            <w:shd w:val="clear" w:color="auto" w:fill="auto"/>
          </w:tcPr>
          <w:p w14:paraId="76B752D0" w14:textId="77777777" w:rsidR="00B11EED" w:rsidRPr="009D59E3" w:rsidRDefault="00B11EED" w:rsidP="00B11EE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Predbežná</w:t>
            </w:r>
          </w:p>
          <w:p w14:paraId="71F0F8E9" w14:textId="77777777" w:rsidR="00355DF2" w:rsidRPr="009D59E3" w:rsidRDefault="00B11EED" w:rsidP="00B11EE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analýza</w:t>
            </w:r>
          </w:p>
        </w:tc>
        <w:tc>
          <w:tcPr>
            <w:tcW w:w="1669" w:type="dxa"/>
            <w:shd w:val="clear" w:color="auto" w:fill="auto"/>
          </w:tcPr>
          <w:p w14:paraId="4489EC85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6,8 (3,7, 11,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1661" w:type="dxa"/>
            <w:shd w:val="clear" w:color="auto" w:fill="auto"/>
          </w:tcPr>
          <w:p w14:paraId="7A43771D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 (-)</w:t>
            </w:r>
          </w:p>
        </w:tc>
        <w:tc>
          <w:tcPr>
            <w:tcW w:w="1656" w:type="dxa"/>
            <w:shd w:val="clear" w:color="auto" w:fill="auto"/>
          </w:tcPr>
          <w:p w14:paraId="093D9AB6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873" w:type="dxa"/>
            <w:shd w:val="clear" w:color="auto" w:fill="auto"/>
          </w:tcPr>
          <w:p w14:paraId="1B64DF4F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006</w:t>
            </w:r>
          </w:p>
        </w:tc>
        <w:tc>
          <w:tcPr>
            <w:tcW w:w="1514" w:type="dxa"/>
            <w:shd w:val="clear" w:color="auto" w:fill="auto"/>
          </w:tcPr>
          <w:p w14:paraId="07D78D1B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5DF2" w:rsidRPr="009D59E3" w14:paraId="2B009FEE" w14:textId="77777777" w:rsidTr="00575983">
        <w:tc>
          <w:tcPr>
            <w:tcW w:w="1643" w:type="dxa"/>
            <w:shd w:val="clear" w:color="auto" w:fill="auto"/>
          </w:tcPr>
          <w:p w14:paraId="68993450" w14:textId="77777777" w:rsidR="00355DF2" w:rsidRPr="009D59E3" w:rsidRDefault="00B11EED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Finálna analýza</w:t>
            </w:r>
          </w:p>
        </w:tc>
        <w:tc>
          <w:tcPr>
            <w:tcW w:w="1669" w:type="dxa"/>
            <w:shd w:val="clear" w:color="auto" w:fill="auto"/>
          </w:tcPr>
          <w:p w14:paraId="5878D546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6,6 (3,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8, 10.5)</w:t>
            </w:r>
          </w:p>
        </w:tc>
        <w:tc>
          <w:tcPr>
            <w:tcW w:w="1661" w:type="dxa"/>
            <w:shd w:val="clear" w:color="auto" w:fill="auto"/>
          </w:tcPr>
          <w:p w14:paraId="2E9AD412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 (-)</w:t>
            </w:r>
          </w:p>
        </w:tc>
        <w:tc>
          <w:tcPr>
            <w:tcW w:w="1656" w:type="dxa"/>
            <w:shd w:val="clear" w:color="auto" w:fill="auto"/>
          </w:tcPr>
          <w:p w14:paraId="04C670C3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873" w:type="dxa"/>
            <w:shd w:val="clear" w:color="auto" w:fill="auto"/>
          </w:tcPr>
          <w:p w14:paraId="4BE0A17C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004</w:t>
            </w:r>
          </w:p>
        </w:tc>
        <w:tc>
          <w:tcPr>
            <w:tcW w:w="1514" w:type="dxa"/>
            <w:shd w:val="clear" w:color="auto" w:fill="auto"/>
          </w:tcPr>
          <w:p w14:paraId="039FF82E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10,1 (5,0, 17,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8)</w:t>
            </w:r>
          </w:p>
        </w:tc>
      </w:tr>
      <w:tr w:rsidR="00355DF2" w:rsidRPr="009D59E3" w14:paraId="62B63089" w14:textId="77777777" w:rsidTr="00575983">
        <w:tc>
          <w:tcPr>
            <w:tcW w:w="1643" w:type="dxa"/>
            <w:shd w:val="clear" w:color="auto" w:fill="auto"/>
          </w:tcPr>
          <w:p w14:paraId="52042F2C" w14:textId="77777777" w:rsidR="00355DF2" w:rsidRPr="009D59E3" w:rsidRDefault="00355DF2" w:rsidP="00576BD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OS (</w:t>
            </w:r>
            <w:r w:rsidR="00576BD1" w:rsidRPr="009D59E3">
              <w:rPr>
                <w:rFonts w:ascii="Times New Roman" w:eastAsia="Times New Roman" w:hAnsi="Times New Roman" w:cs="Times New Roman"/>
              </w:rPr>
              <w:t>týždne</w:t>
            </w:r>
            <w:r w:rsidRPr="009D59E3">
              <w:rPr>
                <w:rFonts w:ascii="Times New Roman" w:eastAsia="Times New Roman" w:hAnsi="Times New Roman" w:cs="Times New Roman"/>
              </w:rPr>
              <w:t>)</w:t>
            </w:r>
            <w:r w:rsidRPr="009D59E3">
              <w:rPr>
                <w:rFonts w:ascii="Times New Roman" w:eastAsia="Times New Roman" w:hAnsi="Times New Roman" w:cs="Times New Roman"/>
                <w:vertAlign w:val="superscript"/>
              </w:rPr>
              <w:t>e</w:t>
            </w:r>
          </w:p>
        </w:tc>
        <w:tc>
          <w:tcPr>
            <w:tcW w:w="7373" w:type="dxa"/>
            <w:gridSpan w:val="5"/>
            <w:shd w:val="clear" w:color="auto" w:fill="auto"/>
          </w:tcPr>
          <w:p w14:paraId="0592904B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5DF2" w:rsidRPr="009D59E3" w14:paraId="1516F2BA" w14:textId="77777777" w:rsidTr="00575983">
        <w:tc>
          <w:tcPr>
            <w:tcW w:w="1643" w:type="dxa"/>
            <w:shd w:val="clear" w:color="auto" w:fill="auto"/>
          </w:tcPr>
          <w:p w14:paraId="0270E6D1" w14:textId="77777777" w:rsidR="00576BD1" w:rsidRPr="009D59E3" w:rsidRDefault="00576BD1" w:rsidP="00576B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Predbežná</w:t>
            </w:r>
          </w:p>
          <w:p w14:paraId="40539ABF" w14:textId="77777777" w:rsidR="00355DF2" w:rsidRPr="009D59E3" w:rsidRDefault="00576BD1" w:rsidP="00576B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analýza</w:t>
            </w:r>
          </w:p>
        </w:tc>
        <w:tc>
          <w:tcPr>
            <w:tcW w:w="1669" w:type="dxa"/>
            <w:shd w:val="clear" w:color="auto" w:fill="auto"/>
          </w:tcPr>
          <w:p w14:paraId="62645B6B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14:paraId="3F13F409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6" w:type="dxa"/>
            <w:shd w:val="clear" w:color="auto" w:fill="auto"/>
          </w:tcPr>
          <w:p w14:paraId="7B85C0C7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0,491 (0,290, 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831)</w:t>
            </w:r>
          </w:p>
        </w:tc>
        <w:tc>
          <w:tcPr>
            <w:tcW w:w="873" w:type="dxa"/>
            <w:shd w:val="clear" w:color="auto" w:fill="auto"/>
          </w:tcPr>
          <w:p w14:paraId="55418562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14" w:type="dxa"/>
            <w:shd w:val="clear" w:color="auto" w:fill="auto"/>
          </w:tcPr>
          <w:p w14:paraId="4DA6DA71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5DF2" w:rsidRPr="009D59E3" w14:paraId="2C955D5D" w14:textId="77777777" w:rsidTr="00575983">
        <w:tc>
          <w:tcPr>
            <w:tcW w:w="1643" w:type="dxa"/>
            <w:shd w:val="clear" w:color="auto" w:fill="auto"/>
          </w:tcPr>
          <w:p w14:paraId="2C6A7C99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Finálna analýza</w:t>
            </w:r>
          </w:p>
        </w:tc>
        <w:tc>
          <w:tcPr>
            <w:tcW w:w="1669" w:type="dxa"/>
            <w:shd w:val="clear" w:color="auto" w:fill="auto"/>
          </w:tcPr>
          <w:p w14:paraId="0C3AC7D0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72,7 (61,3, 83,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1661" w:type="dxa"/>
            <w:shd w:val="clear" w:color="auto" w:fill="auto"/>
          </w:tcPr>
          <w:p w14:paraId="46101BF4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64,9 (45,7, 96,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1656" w:type="dxa"/>
            <w:shd w:val="clear" w:color="auto" w:fill="auto"/>
          </w:tcPr>
          <w:p w14:paraId="730D2B9D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0,876 (0,679, 1,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129)</w:t>
            </w:r>
          </w:p>
        </w:tc>
        <w:tc>
          <w:tcPr>
            <w:tcW w:w="873" w:type="dxa"/>
            <w:shd w:val="clear" w:color="auto" w:fill="auto"/>
          </w:tcPr>
          <w:p w14:paraId="5B4F2D48" w14:textId="77777777" w:rsidR="00355DF2" w:rsidRPr="009D59E3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0,</w:t>
            </w:r>
            <w:r w:rsidR="00355DF2" w:rsidRPr="009D59E3"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1514" w:type="dxa"/>
            <w:shd w:val="clear" w:color="auto" w:fill="auto"/>
          </w:tcPr>
          <w:p w14:paraId="0788F7C1" w14:textId="77777777" w:rsidR="00355DF2" w:rsidRPr="009D59E3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59E3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792B7FBD" w14:textId="77777777" w:rsidR="007F450E" w:rsidRPr="009D59E3" w:rsidRDefault="007F450E" w:rsidP="007F450E">
      <w:pPr>
        <w:tabs>
          <w:tab w:val="left" w:pos="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  <w:lang w:eastAsia="el-GR"/>
        </w:rPr>
      </w:pPr>
      <w:r w:rsidRPr="009D59E3">
        <w:rPr>
          <w:rFonts w:ascii="Times New Roman" w:eastAsia="TimesNewRomanPSMT" w:hAnsi="Times New Roman" w:cs="Times New Roman"/>
          <w:sz w:val="18"/>
          <w:szCs w:val="18"/>
          <w:lang w:eastAsia="el-GR"/>
        </w:rPr>
        <w:t xml:space="preserve">Skratky: CI = interval spoľahlivosti; HR= miera rizika; ITT = </w:t>
      </w:r>
      <w:proofErr w:type="spellStart"/>
      <w:r w:rsidRPr="009D59E3">
        <w:rPr>
          <w:rFonts w:ascii="Times New Roman" w:eastAsia="TimesNewRomanPSMT" w:hAnsi="Times New Roman" w:cs="Times New Roman"/>
          <w:sz w:val="18"/>
          <w:szCs w:val="18"/>
          <w:lang w:eastAsia="el-GR"/>
        </w:rPr>
        <w:t>intent</w:t>
      </w:r>
      <w:proofErr w:type="spellEnd"/>
      <w:r w:rsidRPr="009D59E3">
        <w:rPr>
          <w:rFonts w:ascii="Times New Roman" w:eastAsia="TimesNewRomanPSMT" w:hAnsi="Times New Roman" w:cs="Times New Roman"/>
          <w:sz w:val="18"/>
          <w:szCs w:val="18"/>
          <w:lang w:eastAsia="el-GR"/>
        </w:rPr>
        <w:t>-to-</w:t>
      </w:r>
      <w:proofErr w:type="spellStart"/>
      <w:r w:rsidRPr="009D59E3">
        <w:rPr>
          <w:rFonts w:ascii="Times New Roman" w:eastAsia="TimesNewRomanPSMT" w:hAnsi="Times New Roman" w:cs="Times New Roman"/>
          <w:sz w:val="18"/>
          <w:szCs w:val="18"/>
          <w:lang w:eastAsia="el-GR"/>
        </w:rPr>
        <w:t>treat</w:t>
      </w:r>
      <w:proofErr w:type="spellEnd"/>
      <w:r w:rsidRPr="009D59E3">
        <w:rPr>
          <w:rFonts w:ascii="Times New Roman" w:eastAsia="TimesNewRomanPSMT" w:hAnsi="Times New Roman" w:cs="Times New Roman"/>
          <w:sz w:val="18"/>
          <w:szCs w:val="18"/>
          <w:lang w:eastAsia="el-GR"/>
        </w:rPr>
        <w:t>; NA = neaplikovateľné; ORR = miera objektívnej odpovede; OS = celkové prežívanie; PFS = prežívanie bez progresie; TTP = čas do progresie nádoru.</w:t>
      </w:r>
    </w:p>
    <w:p w14:paraId="14D07664" w14:textId="77777777" w:rsidR="00576BD1" w:rsidRPr="009D59E3" w:rsidRDefault="00355DF2" w:rsidP="00576BD1">
      <w:pPr>
        <w:tabs>
          <w:tab w:val="left" w:pos="460"/>
          <w:tab w:val="left" w:pos="567"/>
        </w:tabs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a</w:t>
      </w:r>
      <w:r w:rsidRPr="009D59E3">
        <w:rPr>
          <w:rFonts w:ascii="Times New Roman" w:eastAsia="Times New Roman" w:hAnsi="Times New Roman" w:cs="Times New Roman"/>
          <w:sz w:val="18"/>
          <w:szCs w:val="18"/>
        </w:rPr>
        <w:tab/>
      </w:r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>Výsledky dvojito zaslepenej liečby pochádzajú z ITT populácie s použitím merania centrálneho rádiológa tam,</w:t>
      </w:r>
    </w:p>
    <w:p w14:paraId="1C5A9034" w14:textId="77777777" w:rsidR="00355DF2" w:rsidRPr="009D59E3" w:rsidRDefault="00576BD1" w:rsidP="00576BD1">
      <w:pPr>
        <w:tabs>
          <w:tab w:val="left" w:pos="460"/>
          <w:tab w:val="left" w:pos="567"/>
        </w:tabs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</w:rPr>
        <w:tab/>
        <w:t>kde to bolo vhodné.</w:t>
      </w:r>
    </w:p>
    <w:p w14:paraId="595AE55E" w14:textId="77777777" w:rsidR="00576BD1" w:rsidRPr="009D59E3" w:rsidRDefault="00355DF2" w:rsidP="00576BD1">
      <w:pPr>
        <w:tabs>
          <w:tab w:val="left" w:pos="567"/>
        </w:tabs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b</w:t>
      </w:r>
      <w:r w:rsidRPr="009D59E3">
        <w:rPr>
          <w:rFonts w:ascii="Times New Roman" w:eastAsia="Times New Roman" w:hAnsi="Times New Roman" w:cs="Times New Roman"/>
          <w:sz w:val="18"/>
          <w:szCs w:val="18"/>
        </w:rPr>
        <w:tab/>
      </w:r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 xml:space="preserve">Výsledky účinnosti pre 99 subjektov, ktorým bola zmenená liečba z placeba na </w:t>
      </w:r>
      <w:proofErr w:type="spellStart"/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>sunitinib</w:t>
      </w:r>
      <w:proofErr w:type="spellEnd"/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 xml:space="preserve"> po odslepení. Vstupné</w:t>
      </w:r>
    </w:p>
    <w:p w14:paraId="0F1E361F" w14:textId="77777777" w:rsidR="00355DF2" w:rsidRPr="009D59E3" w:rsidRDefault="00576BD1" w:rsidP="00576BD1">
      <w:pPr>
        <w:tabs>
          <w:tab w:val="left" w:pos="567"/>
        </w:tabs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</w:rPr>
        <w:tab/>
        <w:t xml:space="preserve">hodnoty boli vymazané v čase zmeny liečby a analýza účinnosti je založená na hodnotení </w:t>
      </w:r>
      <w:proofErr w:type="spellStart"/>
      <w:r w:rsidRPr="009D59E3">
        <w:rPr>
          <w:rFonts w:ascii="Times New Roman" w:eastAsia="Times New Roman" w:hAnsi="Times New Roman" w:cs="Times New Roman"/>
          <w:sz w:val="18"/>
          <w:szCs w:val="18"/>
        </w:rPr>
        <w:t>investigátorov</w:t>
      </w:r>
      <w:proofErr w:type="spellEnd"/>
      <w:r w:rsidRPr="009D59E3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50EF71D" w14:textId="77777777" w:rsidR="00355DF2" w:rsidRPr="009D59E3" w:rsidRDefault="00355DF2" w:rsidP="00355DF2">
      <w:pPr>
        <w:tabs>
          <w:tab w:val="left" w:pos="46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c</w:t>
      </w:r>
      <w:r w:rsidRPr="009D59E3">
        <w:rPr>
          <w:rFonts w:ascii="Times New Roman" w:eastAsia="Times New Roman" w:hAnsi="Times New Roman" w:cs="Times New Roman"/>
          <w:sz w:val="18"/>
          <w:szCs w:val="18"/>
        </w:rPr>
        <w:tab/>
      </w:r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>Predbežné hodnoty PFS boli aktualizované na základe prepočítania pôvodných údajov.</w:t>
      </w:r>
    </w:p>
    <w:p w14:paraId="7A2AE1AF" w14:textId="77777777" w:rsidR="00576BD1" w:rsidRPr="009D59E3" w:rsidRDefault="00355DF2" w:rsidP="00355DF2">
      <w:pPr>
        <w:tabs>
          <w:tab w:val="left" w:pos="48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d</w:t>
      </w:r>
      <w:r w:rsidRPr="009D59E3">
        <w:rPr>
          <w:rFonts w:ascii="Times New Roman" w:eastAsia="Times New Roman" w:hAnsi="Times New Roman" w:cs="Times New Roman"/>
          <w:sz w:val="18"/>
          <w:szCs w:val="18"/>
        </w:rPr>
        <w:tab/>
      </w:r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 xml:space="preserve">Výsledky pre ORR sú udávané ako percento pacientov, u ktorých bola potvrdená odpoveď v rámci 95 % CI. </w:t>
      </w:r>
    </w:p>
    <w:p w14:paraId="5A20E1B8" w14:textId="77777777" w:rsidR="00355DF2" w:rsidRPr="009D59E3" w:rsidRDefault="00355DF2" w:rsidP="00576BD1">
      <w:pPr>
        <w:tabs>
          <w:tab w:val="left" w:pos="48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59E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e</w:t>
      </w:r>
      <w:r w:rsidRPr="009D59E3">
        <w:rPr>
          <w:rFonts w:ascii="Times New Roman" w:eastAsia="Times New Roman" w:hAnsi="Times New Roman" w:cs="Times New Roman"/>
          <w:sz w:val="18"/>
          <w:szCs w:val="18"/>
        </w:rPr>
        <w:tab/>
      </w:r>
      <w:r w:rsidR="00576BD1" w:rsidRPr="009D59E3">
        <w:rPr>
          <w:rFonts w:ascii="Times New Roman" w:eastAsia="Times New Roman" w:hAnsi="Times New Roman" w:cs="Times New Roman"/>
          <w:sz w:val="18"/>
          <w:szCs w:val="18"/>
        </w:rPr>
        <w:t>Medián nebol dosiahnutý, pretože údaje ešte neboli zrelé.</w:t>
      </w:r>
    </w:p>
    <w:p w14:paraId="3A804675" w14:textId="77777777" w:rsidR="00576BD1" w:rsidRPr="009D59E3" w:rsidRDefault="00576BD1" w:rsidP="00576BD1">
      <w:pPr>
        <w:tabs>
          <w:tab w:val="left" w:pos="48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1BBE95" w14:textId="77777777" w:rsidR="00576BD1" w:rsidRPr="009D59E3" w:rsidRDefault="00576BD1" w:rsidP="00576B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Medián OS v ITT populácii bol 72,7 týždňa v skupine pacientov liečených </w:t>
      </w:r>
      <w:proofErr w:type="spellStart"/>
      <w:r w:rsidRPr="009D59E3">
        <w:rPr>
          <w:rFonts w:ascii="Times New Roman" w:eastAsia="Times New Roman" w:hAnsi="Times New Roman" w:cs="Times New Roman"/>
        </w:rPr>
        <w:t>sunitinibom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a 64,9 týždňa</w:t>
      </w:r>
    </w:p>
    <w:p w14:paraId="516B504A" w14:textId="77777777" w:rsidR="00576BD1" w:rsidRPr="009D59E3" w:rsidRDefault="00576BD1" w:rsidP="00576B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>v skupine pacientov na placebe (HR: 0,876; 95 % CI: 0,679, 1,129; p = 0,306). V tejto analýze boli do</w:t>
      </w:r>
    </w:p>
    <w:p w14:paraId="1CF411E2" w14:textId="77777777" w:rsidR="00576BD1" w:rsidRPr="009D59E3" w:rsidRDefault="00576BD1" w:rsidP="00576B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liečebného ramena s placebom zaradení aj pacienti pôvodne </w:t>
      </w:r>
      <w:proofErr w:type="spellStart"/>
      <w:r w:rsidRPr="009D59E3">
        <w:rPr>
          <w:rFonts w:ascii="Times New Roman" w:eastAsia="Times New Roman" w:hAnsi="Times New Roman" w:cs="Times New Roman"/>
        </w:rPr>
        <w:t>randomizovaní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na placebo, ktorí následne</w:t>
      </w:r>
    </w:p>
    <w:p w14:paraId="5A5ECD43" w14:textId="77777777" w:rsidR="00355DF2" w:rsidRPr="009D59E3" w:rsidRDefault="00576BD1" w:rsidP="00576B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59E3">
        <w:rPr>
          <w:rFonts w:ascii="Times New Roman" w:eastAsia="Times New Roman" w:hAnsi="Times New Roman" w:cs="Times New Roman"/>
        </w:rPr>
        <w:t xml:space="preserve">boli liečení </w:t>
      </w:r>
      <w:proofErr w:type="spellStart"/>
      <w:r w:rsidRPr="009D59E3">
        <w:rPr>
          <w:rFonts w:ascii="Times New Roman" w:eastAsia="Times New Roman" w:hAnsi="Times New Roman" w:cs="Times New Roman"/>
        </w:rPr>
        <w:t>sunitinibom</w:t>
      </w:r>
      <w:proofErr w:type="spellEnd"/>
      <w:r w:rsidRPr="009D59E3">
        <w:rPr>
          <w:rFonts w:ascii="Times New Roman" w:eastAsia="Times New Roman" w:hAnsi="Times New Roman" w:cs="Times New Roman"/>
        </w:rPr>
        <w:t xml:space="preserve"> v otvorenej fáze štúdie.</w:t>
      </w:r>
    </w:p>
    <w:p w14:paraId="01F56C18" w14:textId="77777777" w:rsidR="00576BD1" w:rsidRPr="00355DF2" w:rsidRDefault="00576BD1" w:rsidP="00576B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F4085A6" w14:textId="77777777" w:rsidR="00355DF2" w:rsidRPr="00A9082E" w:rsidRDefault="009D59E3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9082E">
        <w:rPr>
          <w:rFonts w:ascii="Times New Roman" w:eastAsia="Times New Roman" w:hAnsi="Times New Roman" w:cs="Times New Roman"/>
          <w:i/>
        </w:rPr>
        <w:t>Doteraz neliečený metastatický karcinóm z obličkových buniek</w:t>
      </w:r>
    </w:p>
    <w:p w14:paraId="2953FC3D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9082E">
        <w:rPr>
          <w:rFonts w:ascii="Times New Roman" w:eastAsia="Times New Roman" w:hAnsi="Times New Roman" w:cs="Times New Roman"/>
        </w:rPr>
        <w:t>Randomizovaná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82E">
        <w:rPr>
          <w:rFonts w:ascii="Times New Roman" w:eastAsia="Times New Roman" w:hAnsi="Times New Roman" w:cs="Times New Roman"/>
        </w:rPr>
        <w:t>multicentrická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medzinárodná štúdia 3. fázy hodnotiaca účinnosť a bezpečnosť</w:t>
      </w:r>
    </w:p>
    <w:p w14:paraId="16006CDB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9082E">
        <w:rPr>
          <w:rFonts w:ascii="Times New Roman" w:eastAsia="Times New Roman" w:hAnsi="Times New Roman" w:cs="Times New Roman"/>
        </w:rPr>
        <w:t>sunitinibu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v porovnaní s </w:t>
      </w:r>
      <w:proofErr w:type="spellStart"/>
      <w:r w:rsidRPr="00A9082E">
        <w:rPr>
          <w:rFonts w:ascii="Times New Roman" w:eastAsia="Times New Roman" w:hAnsi="Times New Roman" w:cs="Times New Roman"/>
        </w:rPr>
        <w:t>interferónom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IFN-α bola vykonaná u pacientov s doteraz neliečeným</w:t>
      </w:r>
    </w:p>
    <w:p w14:paraId="295CC5FB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karcinómom z obličkových buniek MRCC. 750 pacientov bolo </w:t>
      </w:r>
      <w:proofErr w:type="spellStart"/>
      <w:r w:rsidRPr="00A9082E">
        <w:rPr>
          <w:rFonts w:ascii="Times New Roman" w:eastAsia="Times New Roman" w:hAnsi="Times New Roman" w:cs="Times New Roman"/>
        </w:rPr>
        <w:t>randomizovaných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do</w:t>
      </w:r>
    </w:p>
    <w:p w14:paraId="6723FF67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liečebných ramien 1:1; pacienti boli liečení buď </w:t>
      </w:r>
      <w:proofErr w:type="spellStart"/>
      <w:r w:rsidRPr="00A9082E">
        <w:rPr>
          <w:rFonts w:ascii="Times New Roman" w:eastAsia="Times New Roman" w:hAnsi="Times New Roman" w:cs="Times New Roman"/>
        </w:rPr>
        <w:t>sunitinibom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v opakovaných 6-týždňových cykloch</w:t>
      </w:r>
    </w:p>
    <w:p w14:paraId="6B0A0EB9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pozostávajúcich zo 4 týždňov perorálneho podávania 50 mg denne, po ktorých nasledovali 2 týždne</w:t>
      </w:r>
    </w:p>
    <w:p w14:paraId="7BE3B628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bez liečby (Schéma 4/2), alebo IFN-α podávaným ako </w:t>
      </w:r>
      <w:proofErr w:type="spellStart"/>
      <w:r w:rsidRPr="00A9082E">
        <w:rPr>
          <w:rFonts w:ascii="Times New Roman" w:eastAsia="Times New Roman" w:hAnsi="Times New Roman" w:cs="Times New Roman"/>
        </w:rPr>
        <w:t>subkutánna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injekcia s 3 miliónmi jednotiek</w:t>
      </w:r>
    </w:p>
    <w:p w14:paraId="69D00C8C" w14:textId="77777777" w:rsidR="00355DF2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(MU) prvý týždeň, 6 MU druhý týždeň a 9 MU tretí týždeň a potom 3-krát týždenne </w:t>
      </w:r>
      <w:proofErr w:type="spellStart"/>
      <w:r w:rsidRPr="00A9082E">
        <w:rPr>
          <w:rFonts w:ascii="Times New Roman" w:eastAsia="Times New Roman" w:hAnsi="Times New Roman" w:cs="Times New Roman"/>
        </w:rPr>
        <w:t>obdeň</w:t>
      </w:r>
      <w:proofErr w:type="spellEnd"/>
      <w:r w:rsidRPr="00A9082E">
        <w:rPr>
          <w:rFonts w:ascii="Times New Roman" w:eastAsia="Times New Roman" w:hAnsi="Times New Roman" w:cs="Times New Roman"/>
        </w:rPr>
        <w:t>.</w:t>
      </w:r>
    </w:p>
    <w:p w14:paraId="6D7E45FA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4F6FF9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Medián trvania liečby </w:t>
      </w:r>
      <w:proofErr w:type="spellStart"/>
      <w:r w:rsidRPr="00A9082E">
        <w:rPr>
          <w:rFonts w:ascii="Times New Roman" w:eastAsia="Times New Roman" w:hAnsi="Times New Roman" w:cs="Times New Roman"/>
        </w:rPr>
        <w:t>sunitinibom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bol 11,1 mesiacov (rozsah: 0,4 - 46,1) a 4,1 mesiacov (rozsah</w:t>
      </w:r>
    </w:p>
    <w:p w14:paraId="22876984" w14:textId="1E013944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0,1 - 45,6) pri liečbe IFN-α. S liečbou súvisiace závažné nežiaduce </w:t>
      </w:r>
      <w:r w:rsidR="00C364C6">
        <w:rPr>
          <w:rFonts w:ascii="Times New Roman" w:eastAsia="Times New Roman" w:hAnsi="Times New Roman" w:cs="Times New Roman"/>
        </w:rPr>
        <w:t>udalosti</w:t>
      </w:r>
      <w:r w:rsidRPr="00A9082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9082E">
        <w:rPr>
          <w:rFonts w:ascii="Times New Roman" w:eastAsia="Times New Roman" w:hAnsi="Times New Roman" w:cs="Times New Roman"/>
        </w:rPr>
        <w:t>treatment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82E">
        <w:rPr>
          <w:rFonts w:ascii="Times New Roman" w:eastAsia="Times New Roman" w:hAnsi="Times New Roman" w:cs="Times New Roman"/>
        </w:rPr>
        <w:t>related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82E">
        <w:rPr>
          <w:rFonts w:ascii="Times New Roman" w:eastAsia="Times New Roman" w:hAnsi="Times New Roman" w:cs="Times New Roman"/>
        </w:rPr>
        <w:t>serious</w:t>
      </w:r>
      <w:proofErr w:type="spellEnd"/>
    </w:p>
    <w:p w14:paraId="3FE7C06C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9082E">
        <w:rPr>
          <w:rFonts w:ascii="Times New Roman" w:eastAsia="Times New Roman" w:hAnsi="Times New Roman" w:cs="Times New Roman"/>
        </w:rPr>
        <w:t>adverse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82E">
        <w:rPr>
          <w:rFonts w:ascii="Times New Roman" w:eastAsia="Times New Roman" w:hAnsi="Times New Roman" w:cs="Times New Roman"/>
        </w:rPr>
        <w:t>events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082E">
        <w:rPr>
          <w:rFonts w:ascii="Times New Roman" w:eastAsia="Times New Roman" w:hAnsi="Times New Roman" w:cs="Times New Roman"/>
        </w:rPr>
        <w:t>TRSAEs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) boli hlásené u 23,7 % pacientov liečených </w:t>
      </w:r>
      <w:proofErr w:type="spellStart"/>
      <w:r w:rsidRPr="00A9082E">
        <w:rPr>
          <w:rFonts w:ascii="Times New Roman" w:eastAsia="Times New Roman" w:hAnsi="Times New Roman" w:cs="Times New Roman"/>
        </w:rPr>
        <w:t>sunitinibom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a u 6,9 % pacientov</w:t>
      </w:r>
    </w:p>
    <w:p w14:paraId="38CDD669" w14:textId="2FFE9CC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liečených IFN-α. Avšak miera prerušenia z dôvodu nežiaducich </w:t>
      </w:r>
      <w:r w:rsidR="00C364C6">
        <w:rPr>
          <w:rFonts w:ascii="Times New Roman" w:eastAsia="Times New Roman" w:hAnsi="Times New Roman" w:cs="Times New Roman"/>
        </w:rPr>
        <w:t>udalostí</w:t>
      </w:r>
      <w:r w:rsidRPr="00A9082E">
        <w:rPr>
          <w:rFonts w:ascii="Times New Roman" w:eastAsia="Times New Roman" w:hAnsi="Times New Roman" w:cs="Times New Roman"/>
        </w:rPr>
        <w:t xml:space="preserve"> bola 20 % pri </w:t>
      </w:r>
      <w:proofErr w:type="spellStart"/>
      <w:r w:rsidRPr="00A9082E">
        <w:rPr>
          <w:rFonts w:ascii="Times New Roman" w:eastAsia="Times New Roman" w:hAnsi="Times New Roman" w:cs="Times New Roman"/>
        </w:rPr>
        <w:t>sunitinibe</w:t>
      </w:r>
      <w:proofErr w:type="spellEnd"/>
    </w:p>
    <w:p w14:paraId="4BA7588E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a 23 % pri IFN-α. Prerušenie podávania sa vyskytlo u 202 pacientov (54 %) na </w:t>
      </w:r>
      <w:proofErr w:type="spellStart"/>
      <w:r w:rsidRPr="00A9082E">
        <w:rPr>
          <w:rFonts w:ascii="Times New Roman" w:eastAsia="Times New Roman" w:hAnsi="Times New Roman" w:cs="Times New Roman"/>
        </w:rPr>
        <w:t>sunitinibe</w:t>
      </w:r>
      <w:proofErr w:type="spellEnd"/>
    </w:p>
    <w:p w14:paraId="6DFD1454" w14:textId="77777777" w:rsidR="00036B74" w:rsidRPr="00A9082E" w:rsidRDefault="00036B74" w:rsidP="00036B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a 141 pacientov (39 %) na IFN-α. Redukcia dávky sa vyskytla u 194 pacientov (52 %) na </w:t>
      </w:r>
      <w:proofErr w:type="spellStart"/>
      <w:r w:rsidRPr="00A9082E">
        <w:rPr>
          <w:rFonts w:ascii="Times New Roman" w:eastAsia="Times New Roman" w:hAnsi="Times New Roman" w:cs="Times New Roman"/>
        </w:rPr>
        <w:t>sunitinibe</w:t>
      </w:r>
      <w:proofErr w:type="spellEnd"/>
    </w:p>
    <w:p w14:paraId="2101C511" w14:textId="77777777" w:rsidR="00A9082E" w:rsidRPr="00A9082E" w:rsidRDefault="00036B74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a 98 pacientov (27 %) na IFN-α. </w:t>
      </w:r>
      <w:r w:rsidR="00A9082E" w:rsidRPr="00A9082E">
        <w:rPr>
          <w:rFonts w:ascii="Times New Roman" w:eastAsia="Times New Roman" w:hAnsi="Times New Roman" w:cs="Times New Roman"/>
        </w:rPr>
        <w:t>Pacienti boli liečení do progresie ochorenia alebo do odstúpenia zo</w:t>
      </w:r>
    </w:p>
    <w:p w14:paraId="5BF1DC0A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štúdie. Primárnym cieľom hodnotenia účinnosti bolo PFS. Plánovaná priebežná analýza ukázala</w:t>
      </w:r>
    </w:p>
    <w:p w14:paraId="689354AE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štatisticky signifikantnú výhodu pre </w:t>
      </w:r>
      <w:proofErr w:type="spellStart"/>
      <w:r w:rsidRPr="00A9082E">
        <w:rPr>
          <w:rFonts w:ascii="Times New Roman" w:eastAsia="Times New Roman" w:hAnsi="Times New Roman" w:cs="Times New Roman"/>
        </w:rPr>
        <w:t>sunitinib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oproti IFN-α, v tejto štúdii medián PFS pre </w:t>
      </w:r>
      <w:proofErr w:type="spellStart"/>
      <w:r w:rsidRPr="00A9082E">
        <w:rPr>
          <w:rFonts w:ascii="Times New Roman" w:eastAsia="Times New Roman" w:hAnsi="Times New Roman" w:cs="Times New Roman"/>
        </w:rPr>
        <w:t>sunitinibom</w:t>
      </w:r>
      <w:proofErr w:type="spellEnd"/>
    </w:p>
    <w:p w14:paraId="77248A5F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liečenú skupinu bol 47,3 týždňa v porovnaní s 22,0 týždňami pre skupinu liečenú IFN-α; HR bolo</w:t>
      </w:r>
    </w:p>
    <w:p w14:paraId="4FDD65AF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0,415 (95 % CI = 0,320, 0,539, p-hodnota &lt; 0,001). Ostatné ciele zahŕňali ORR, OS a bezpečnosť.</w:t>
      </w:r>
    </w:p>
    <w:p w14:paraId="7B92B81F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Centrálne rádiologické vyšetrenia boli pozastavené po dosiahnutí primárneho cieľa. V čase finálnej</w:t>
      </w:r>
    </w:p>
    <w:p w14:paraId="46AE7D64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analýzy bola ORR stanovená na podklade vyšetrení </w:t>
      </w:r>
      <w:proofErr w:type="spellStart"/>
      <w:r w:rsidRPr="00A9082E">
        <w:rPr>
          <w:rFonts w:ascii="Times New Roman" w:eastAsia="Times New Roman" w:hAnsi="Times New Roman" w:cs="Times New Roman"/>
        </w:rPr>
        <w:t>investigátormi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46 % (95 % CI: 41%, 51%) pre</w:t>
      </w:r>
    </w:p>
    <w:p w14:paraId="2F0D302F" w14:textId="5857A2BE" w:rsidR="00355DF2" w:rsidRPr="00A9082E" w:rsidRDefault="00C364C6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skupinu</w:t>
      </w:r>
      <w:r w:rsidR="00A9082E" w:rsidRPr="00A9082E">
        <w:rPr>
          <w:rFonts w:ascii="Times New Roman" w:eastAsia="Times New Roman" w:hAnsi="Times New Roman" w:cs="Times New Roman"/>
        </w:rPr>
        <w:t xml:space="preserve"> so </w:t>
      </w:r>
      <w:proofErr w:type="spellStart"/>
      <w:r w:rsidR="00A9082E" w:rsidRPr="00A9082E">
        <w:rPr>
          <w:rFonts w:ascii="Times New Roman" w:eastAsia="Times New Roman" w:hAnsi="Times New Roman" w:cs="Times New Roman"/>
        </w:rPr>
        <w:t>sunitinibom</w:t>
      </w:r>
      <w:proofErr w:type="spellEnd"/>
      <w:r w:rsidR="00A9082E" w:rsidRPr="00A9082E">
        <w:rPr>
          <w:rFonts w:ascii="Times New Roman" w:eastAsia="Times New Roman" w:hAnsi="Times New Roman" w:cs="Times New Roman"/>
        </w:rPr>
        <w:t xml:space="preserve"> a 12,0 % (95 % CI: 9 %, 16 %) pre </w:t>
      </w:r>
      <w:r>
        <w:rPr>
          <w:rFonts w:ascii="Times New Roman" w:eastAsia="Times New Roman" w:hAnsi="Times New Roman" w:cs="Times New Roman"/>
        </w:rPr>
        <w:t>skupinu</w:t>
      </w:r>
      <w:r w:rsidR="00A9082E" w:rsidRPr="00A9082E">
        <w:rPr>
          <w:rFonts w:ascii="Times New Roman" w:eastAsia="Times New Roman" w:hAnsi="Times New Roman" w:cs="Times New Roman"/>
        </w:rPr>
        <w:t xml:space="preserve"> s IFN-α (p&lt; 0,001).</w:t>
      </w:r>
    </w:p>
    <w:p w14:paraId="27FE4029" w14:textId="77777777" w:rsidR="00355DF2" w:rsidRPr="00A9082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F02A80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 xml:space="preserve">Liečba </w:t>
      </w:r>
      <w:proofErr w:type="spellStart"/>
      <w:r w:rsidRPr="00A9082E">
        <w:rPr>
          <w:rFonts w:ascii="Times New Roman" w:eastAsia="Times New Roman" w:hAnsi="Times New Roman" w:cs="Times New Roman"/>
        </w:rPr>
        <w:t>sunitinibom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bola spojená s dlhším prežívaním v porovnaní s IFN-α. Medián OS bol</w:t>
      </w:r>
    </w:p>
    <w:p w14:paraId="1B9B66E4" w14:textId="09B940F8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114,6 týždňa pre</w:t>
      </w:r>
      <w:r w:rsidR="00C364C6">
        <w:rPr>
          <w:rFonts w:ascii="Times New Roman" w:eastAsia="Times New Roman" w:hAnsi="Times New Roman" w:cs="Times New Roman"/>
        </w:rPr>
        <w:t xml:space="preserve"> skupinu</w:t>
      </w:r>
      <w:r w:rsidRPr="00A9082E">
        <w:rPr>
          <w:rFonts w:ascii="Times New Roman" w:eastAsia="Times New Roman" w:hAnsi="Times New Roman" w:cs="Times New Roman"/>
        </w:rPr>
        <w:t xml:space="preserve"> so </w:t>
      </w:r>
      <w:proofErr w:type="spellStart"/>
      <w:r w:rsidRPr="00A9082E">
        <w:rPr>
          <w:rFonts w:ascii="Times New Roman" w:eastAsia="Times New Roman" w:hAnsi="Times New Roman" w:cs="Times New Roman"/>
        </w:rPr>
        <w:t>sunitinibom</w:t>
      </w:r>
      <w:proofErr w:type="spellEnd"/>
      <w:r w:rsidRPr="00A9082E">
        <w:rPr>
          <w:rFonts w:ascii="Times New Roman" w:eastAsia="Times New Roman" w:hAnsi="Times New Roman" w:cs="Times New Roman"/>
        </w:rPr>
        <w:t xml:space="preserve"> (95 % CI: 100,1, 142,9) a 94,9 týždňov pre </w:t>
      </w:r>
      <w:r w:rsidR="00C364C6">
        <w:rPr>
          <w:rFonts w:ascii="Times New Roman" w:eastAsia="Times New Roman" w:hAnsi="Times New Roman" w:cs="Times New Roman"/>
        </w:rPr>
        <w:t>skupinu</w:t>
      </w:r>
      <w:r w:rsidRPr="00A9082E">
        <w:rPr>
          <w:rFonts w:ascii="Times New Roman" w:eastAsia="Times New Roman" w:hAnsi="Times New Roman" w:cs="Times New Roman"/>
        </w:rPr>
        <w:t xml:space="preserve"> s IFN-α</w:t>
      </w:r>
    </w:p>
    <w:p w14:paraId="33C6EC01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(95 % CI: 77,7, 117,0) pri HR 0,821 (95 % CI: 0,673, 1,001; p = 0,0510 podľa nestratifikovaného</w:t>
      </w:r>
    </w:p>
    <w:p w14:paraId="7158BE86" w14:textId="77777777" w:rsidR="00355DF2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“log-</w:t>
      </w:r>
      <w:proofErr w:type="spellStart"/>
      <w:r w:rsidRPr="00A9082E">
        <w:rPr>
          <w:rFonts w:ascii="Times New Roman" w:eastAsia="Times New Roman" w:hAnsi="Times New Roman" w:cs="Times New Roman"/>
        </w:rPr>
        <w:t>rank</w:t>
      </w:r>
      <w:proofErr w:type="spellEnd"/>
      <w:r w:rsidRPr="00A9082E">
        <w:rPr>
          <w:rFonts w:ascii="Times New Roman" w:eastAsia="Times New Roman" w:hAnsi="Times New Roman" w:cs="Times New Roman"/>
        </w:rPr>
        <w:t>“ testu).</w:t>
      </w:r>
    </w:p>
    <w:p w14:paraId="7492048D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C58864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Celkové PFS a OS pozorované v ITT populácii, tak ako boli stanovené vyšetrením v centrálnom</w:t>
      </w:r>
    </w:p>
    <w:p w14:paraId="550E1ED9" w14:textId="77777777" w:rsidR="00355DF2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82E">
        <w:rPr>
          <w:rFonts w:ascii="Times New Roman" w:eastAsia="Times New Roman" w:hAnsi="Times New Roman" w:cs="Times New Roman"/>
        </w:rPr>
        <w:t>rádiologickom laboratóriu, sú zhrnuté v Tabuľke 3:</w:t>
      </w:r>
    </w:p>
    <w:p w14:paraId="19C23F5B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053557" w14:textId="77777777" w:rsidR="00A9082E" w:rsidRPr="00A9082E" w:rsidRDefault="00A9082E" w:rsidP="00A908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DC15AE" w14:textId="77777777" w:rsidR="00355DF2" w:rsidRPr="00457787" w:rsidRDefault="00576BD1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57787">
        <w:rPr>
          <w:rFonts w:ascii="Times New Roman" w:eastAsia="Times New Roman" w:hAnsi="Times New Roman" w:cs="Times New Roman"/>
          <w:b/>
        </w:rPr>
        <w:t xml:space="preserve">Tabuľka 3. Súhrn cieľov účinnosti (ITT populácia) u predtým neliečeného </w:t>
      </w:r>
      <w:proofErr w:type="spellStart"/>
      <w:r w:rsidRPr="00457787">
        <w:rPr>
          <w:rFonts w:ascii="Times New Roman" w:eastAsia="Times New Roman" w:hAnsi="Times New Roman" w:cs="Times New Roman"/>
          <w:b/>
        </w:rPr>
        <w:t>mRCC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1944"/>
        <w:gridCol w:w="390"/>
        <w:gridCol w:w="2320"/>
      </w:tblGrid>
      <w:tr w:rsidR="00355DF2" w:rsidRPr="00457787" w14:paraId="03D23053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B490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  <w:b/>
              </w:rPr>
              <w:t>Súhrn výsledkov prežívania bez progresie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D800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457787">
              <w:rPr>
                <w:rFonts w:ascii="Times New Roman" w:eastAsia="Times New Roman" w:hAnsi="Times New Roman" w:cs="Times New Roman"/>
                <w:b/>
                <w:bCs/>
                <w:iCs/>
              </w:rPr>
              <w:t>Sunitinib</w:t>
            </w:r>
            <w:proofErr w:type="spellEnd"/>
            <w:r w:rsidRPr="0045778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14:paraId="253229C1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  <w:b/>
                <w:bCs/>
                <w:iCs/>
              </w:rPr>
              <w:t>(N = 375)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9BF8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IFN-α </w:t>
            </w:r>
          </w:p>
          <w:p w14:paraId="7E043E2D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  <w:b/>
                <w:bCs/>
                <w:iCs/>
              </w:rPr>
              <w:t>(N = 375)</w:t>
            </w:r>
          </w:p>
        </w:tc>
      </w:tr>
      <w:tr w:rsidR="00355DF2" w:rsidRPr="00457787" w14:paraId="60F93E2B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89E3" w14:textId="77777777" w:rsidR="00576BD1" w:rsidRPr="00457787" w:rsidRDefault="00576BD1" w:rsidP="00576BD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 xml:space="preserve">Pacienti, u ktorých ochorenie </w:t>
            </w: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neprogredovalo</w:t>
            </w:r>
            <w:proofErr w:type="spellEnd"/>
            <w:r w:rsidRPr="00457787">
              <w:rPr>
                <w:rFonts w:ascii="Times New Roman" w:eastAsia="Times New Roman" w:hAnsi="Times New Roman" w:cs="Times New Roman"/>
              </w:rPr>
              <w:t>,</w:t>
            </w:r>
          </w:p>
          <w:p w14:paraId="2A7AA9F9" w14:textId="77777777" w:rsidR="00355DF2" w:rsidRPr="00457787" w:rsidRDefault="00576BD1" w:rsidP="00576BD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alebo ktorí nezomreli [n (%)]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8D80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161 (42,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2B62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176 (46,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9)</w:t>
            </w:r>
          </w:p>
        </w:tc>
      </w:tr>
      <w:tr w:rsidR="00355DF2" w:rsidRPr="00457787" w14:paraId="560003DB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E34B" w14:textId="77777777" w:rsidR="00576BD1" w:rsidRPr="00457787" w:rsidRDefault="00576BD1" w:rsidP="00576BD1">
            <w:pPr>
              <w:tabs>
                <w:tab w:val="left" w:pos="567"/>
              </w:tabs>
              <w:spacing w:before="8" w:after="0" w:line="240" w:lineRule="auto"/>
              <w:ind w:right="-74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Pacienti, u ktorých bola pozorovaná progresia,</w:t>
            </w:r>
          </w:p>
          <w:p w14:paraId="39668EC3" w14:textId="77777777" w:rsidR="00355DF2" w:rsidRPr="00457787" w:rsidRDefault="00576BD1" w:rsidP="00576BD1">
            <w:pPr>
              <w:tabs>
                <w:tab w:val="left" w:pos="567"/>
              </w:tabs>
              <w:spacing w:before="8" w:after="0" w:line="240" w:lineRule="auto"/>
              <w:ind w:right="-74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alebo ktorí zomreli [n (%)]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9280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214 (57,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1329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199 (53,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355DF2" w:rsidRPr="00457787" w14:paraId="0634E168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BB0E" w14:textId="77777777" w:rsidR="00355DF2" w:rsidRPr="00457787" w:rsidRDefault="00355DF2" w:rsidP="00576BD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PFS (</w:t>
            </w:r>
            <w:r w:rsidR="00576BD1" w:rsidRPr="00457787">
              <w:rPr>
                <w:rFonts w:ascii="Times New Roman" w:eastAsia="Times New Roman" w:hAnsi="Times New Roman" w:cs="Times New Roman"/>
              </w:rPr>
              <w:t>týždne</w:t>
            </w:r>
            <w:r w:rsidRPr="004577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55DF2" w:rsidRPr="00457787" w14:paraId="6D0C03B8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F3AD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Kvartil</w:t>
            </w:r>
            <w:proofErr w:type="spellEnd"/>
            <w:r w:rsidR="00355DF2" w:rsidRPr="00457787">
              <w:rPr>
                <w:rFonts w:ascii="Times New Roman" w:eastAsia="Times New Roman" w:hAnsi="Times New Roman" w:cs="Times New Roman"/>
              </w:rPr>
              <w:t xml:space="preserve"> (95</w:t>
            </w:r>
            <w:r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% CI)</w:t>
            </w:r>
          </w:p>
        </w:tc>
      </w:tr>
      <w:tr w:rsidR="00355DF2" w:rsidRPr="00457787" w14:paraId="0B63DCAB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9BD0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25</w:t>
            </w:r>
            <w:r w:rsidR="00576BD1"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78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38AE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22,7 (18,0, 34,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34F1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10,0 (7,3, 10,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3)</w:t>
            </w:r>
          </w:p>
        </w:tc>
      </w:tr>
      <w:tr w:rsidR="00355DF2" w:rsidRPr="00457787" w14:paraId="094DF4B1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3ACE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50</w:t>
            </w:r>
            <w:r w:rsidR="00576BD1"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78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AA87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48,3 (46,4, 58,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F800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22,1 (17,1, 24,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0)</w:t>
            </w:r>
          </w:p>
        </w:tc>
      </w:tr>
      <w:tr w:rsidR="00355DF2" w:rsidRPr="00457787" w14:paraId="5F84383F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D1DE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75</w:t>
            </w:r>
            <w:r w:rsidR="00576BD1"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78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E187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84,3 (72,9, 95,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D481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58,1 (45,6, 82,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355DF2" w:rsidRPr="00457787" w14:paraId="26B5DC1D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AB7D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Nestratifikovaná analýza</w:t>
            </w:r>
          </w:p>
        </w:tc>
      </w:tr>
      <w:tr w:rsidR="00355DF2" w:rsidRPr="00457787" w14:paraId="6628D69C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0832" w14:textId="77777777" w:rsidR="00355DF2" w:rsidRPr="00457787" w:rsidRDefault="00576BD1" w:rsidP="00576BD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HR (</w:t>
            </w: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sunitinib</w:t>
            </w:r>
            <w:proofErr w:type="spellEnd"/>
            <w:r w:rsidRPr="00457787">
              <w:rPr>
                <w:rFonts w:ascii="Times New Roman" w:eastAsia="Times New Roman" w:hAnsi="Times New Roman" w:cs="Times New Roman"/>
              </w:rPr>
              <w:t xml:space="preserve"> oproti 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IFN-α)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40D4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0,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5268</w:t>
            </w:r>
          </w:p>
        </w:tc>
      </w:tr>
      <w:tr w:rsidR="00355DF2" w:rsidRPr="00457787" w14:paraId="4ACB3793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775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95% CI pre</w:t>
            </w:r>
            <w:r w:rsidR="00355DF2" w:rsidRPr="00457787">
              <w:rPr>
                <w:rFonts w:ascii="Times New Roman" w:eastAsia="Times New Roman" w:hAnsi="Times New Roman" w:cs="Times New Roman"/>
              </w:rPr>
              <w:t xml:space="preserve"> HR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B5D9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(0,4316, 0,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6430)</w:t>
            </w:r>
          </w:p>
        </w:tc>
      </w:tr>
      <w:tr w:rsidR="00355DF2" w:rsidRPr="00457787" w14:paraId="43BF2AA4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D1E6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 xml:space="preserve">hodnota </w:t>
            </w: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p</w:t>
            </w:r>
            <w:r w:rsidR="00355DF2" w:rsidRPr="00457787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5A0A" w14:textId="77777777" w:rsidR="00355DF2" w:rsidRPr="00457787" w:rsidRDefault="00576BD1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&lt;0,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0001</w:t>
            </w:r>
          </w:p>
        </w:tc>
      </w:tr>
      <w:tr w:rsidR="00355DF2" w:rsidRPr="00457787" w14:paraId="3102D644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BCE8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7787">
              <w:rPr>
                <w:rFonts w:ascii="Times New Roman" w:eastAsia="Times New Roman" w:hAnsi="Times New Roman" w:cs="Times New Roman"/>
                <w:b/>
              </w:rPr>
              <w:t>Súhrn výsledkov celkového prežívania</w:t>
            </w:r>
          </w:p>
        </w:tc>
      </w:tr>
      <w:tr w:rsidR="00355DF2" w:rsidRPr="00457787" w14:paraId="6F34357F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BB34" w14:textId="77777777" w:rsidR="00835C3F" w:rsidRPr="00457787" w:rsidRDefault="00835C3F" w:rsidP="00835C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Pacienti, o ktorých nie je známe, že zomreli</w:t>
            </w:r>
          </w:p>
          <w:p w14:paraId="1934A531" w14:textId="77777777" w:rsidR="00355DF2" w:rsidRPr="00457787" w:rsidRDefault="00835C3F" w:rsidP="00835C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[n (%)]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007A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185 (49,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FA39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175 (46,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7)</w:t>
            </w:r>
          </w:p>
        </w:tc>
      </w:tr>
      <w:tr w:rsidR="00355DF2" w:rsidRPr="00457787" w14:paraId="469B63D4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2C58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Pacienti, u ktorých bolo zistené úmrtie [n (%)]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F254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190 (50,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497F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200 (53,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3)</w:t>
            </w:r>
          </w:p>
        </w:tc>
      </w:tr>
      <w:tr w:rsidR="00355DF2" w:rsidRPr="00457787" w14:paraId="1FD799C2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9BEC" w14:textId="22FE181A" w:rsidR="00355DF2" w:rsidRPr="00457787" w:rsidRDefault="00355DF2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OS (</w:t>
            </w:r>
            <w:r w:rsidR="00C364C6">
              <w:rPr>
                <w:rFonts w:ascii="Times New Roman" w:eastAsia="Times New Roman" w:hAnsi="Times New Roman" w:cs="Times New Roman"/>
              </w:rPr>
              <w:t>t</w:t>
            </w:r>
            <w:r w:rsidR="00835C3F" w:rsidRPr="00457787">
              <w:rPr>
                <w:rFonts w:ascii="Times New Roman" w:eastAsia="Times New Roman" w:hAnsi="Times New Roman" w:cs="Times New Roman"/>
              </w:rPr>
              <w:t>ýždne</w:t>
            </w:r>
            <w:r w:rsidRPr="004577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55DF2" w:rsidRPr="00457787" w14:paraId="017EA14E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65F8" w14:textId="08EF6528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Kvartil</w:t>
            </w:r>
            <w:proofErr w:type="spellEnd"/>
            <w:r w:rsidR="00355DF2" w:rsidRPr="00457787">
              <w:rPr>
                <w:rFonts w:ascii="Times New Roman" w:eastAsia="Times New Roman" w:hAnsi="Times New Roman" w:cs="Times New Roman"/>
              </w:rPr>
              <w:t xml:space="preserve"> (95% CI)</w:t>
            </w:r>
          </w:p>
        </w:tc>
      </w:tr>
      <w:tr w:rsidR="00355DF2" w:rsidRPr="00457787" w14:paraId="0A13501A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E860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25</w:t>
            </w:r>
            <w:r w:rsidR="00835C3F"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78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02C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56,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6 (</w:t>
            </w:r>
            <w:r w:rsidRPr="00457787">
              <w:rPr>
                <w:rFonts w:ascii="Times New Roman" w:eastAsia="Times New Roman" w:hAnsi="Times New Roman" w:cs="Times New Roman"/>
              </w:rPr>
              <w:t>48,7, 68,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72C2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41,7 (32,6, 51,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6)</w:t>
            </w:r>
          </w:p>
        </w:tc>
      </w:tr>
      <w:tr w:rsidR="00355DF2" w:rsidRPr="00457787" w14:paraId="06528A34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9DD5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50</w:t>
            </w:r>
            <w:r w:rsidR="00835C3F"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78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CA8C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114,6 (100,1, 142,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325B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94.9 (77,7, 117,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0)</w:t>
            </w:r>
          </w:p>
        </w:tc>
      </w:tr>
      <w:tr w:rsidR="00355DF2" w:rsidRPr="00457787" w14:paraId="30BB6F5E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A8C3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75</w:t>
            </w:r>
            <w:r w:rsidR="00835C3F"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78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1054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NA (NA, NA)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4CC1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NA (NA, NA)</w:t>
            </w:r>
          </w:p>
        </w:tc>
      </w:tr>
      <w:tr w:rsidR="00355DF2" w:rsidRPr="00457787" w14:paraId="6493639F" w14:textId="77777777" w:rsidTr="0057598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2851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Nestratifikovaná analýza</w:t>
            </w:r>
          </w:p>
        </w:tc>
      </w:tr>
      <w:tr w:rsidR="00355DF2" w:rsidRPr="00457787" w14:paraId="4B5F4AE3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AD72" w14:textId="77777777" w:rsidR="00355DF2" w:rsidRPr="00457787" w:rsidRDefault="00355DF2" w:rsidP="00835C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HR (</w:t>
            </w: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sunitinib</w:t>
            </w:r>
            <w:proofErr w:type="spellEnd"/>
            <w:r w:rsidRPr="004577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35C3F" w:rsidRPr="00457787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457787">
              <w:rPr>
                <w:rFonts w:ascii="Times New Roman" w:eastAsia="Times New Roman" w:hAnsi="Times New Roman" w:cs="Times New Roman"/>
              </w:rPr>
              <w:t xml:space="preserve"> IFN-α)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AA5C" w14:textId="77777777" w:rsidR="00355DF2" w:rsidRPr="00457787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0</w:t>
            </w:r>
            <w:r w:rsidR="00835C3F" w:rsidRPr="00457787">
              <w:rPr>
                <w:rFonts w:ascii="Times New Roman" w:eastAsia="Times New Roman" w:hAnsi="Times New Roman" w:cs="Times New Roman"/>
              </w:rPr>
              <w:t>,</w:t>
            </w:r>
            <w:r w:rsidRPr="00457787">
              <w:rPr>
                <w:rFonts w:ascii="Times New Roman" w:eastAsia="Times New Roman" w:hAnsi="Times New Roman" w:cs="Times New Roman"/>
              </w:rPr>
              <w:t>8209</w:t>
            </w:r>
          </w:p>
        </w:tc>
      </w:tr>
      <w:tr w:rsidR="00355DF2" w:rsidRPr="00457787" w14:paraId="67714688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BA89" w14:textId="77777777" w:rsidR="00355DF2" w:rsidRPr="00457787" w:rsidRDefault="00355DF2" w:rsidP="00835C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 xml:space="preserve">95% CI </w:t>
            </w:r>
            <w:r w:rsidR="00835C3F" w:rsidRPr="00457787">
              <w:rPr>
                <w:rFonts w:ascii="Times New Roman" w:eastAsia="Times New Roman" w:hAnsi="Times New Roman" w:cs="Times New Roman"/>
              </w:rPr>
              <w:t>pre</w:t>
            </w:r>
            <w:r w:rsidRPr="00457787">
              <w:rPr>
                <w:rFonts w:ascii="Times New Roman" w:eastAsia="Times New Roman" w:hAnsi="Times New Roman" w:cs="Times New Roman"/>
              </w:rPr>
              <w:t xml:space="preserve"> HR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EBF8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(0,6730, 1,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0013)</w:t>
            </w:r>
          </w:p>
        </w:tc>
      </w:tr>
      <w:tr w:rsidR="00355DF2" w:rsidRPr="00457787" w14:paraId="4DB12592" w14:textId="77777777" w:rsidTr="00575983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CD82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 xml:space="preserve">hodnota </w:t>
            </w:r>
            <w:proofErr w:type="spellStart"/>
            <w:r w:rsidRPr="00457787">
              <w:rPr>
                <w:rFonts w:ascii="Times New Roman" w:eastAsia="Times New Roman" w:hAnsi="Times New Roman" w:cs="Times New Roman"/>
              </w:rPr>
              <w:t>p</w:t>
            </w:r>
            <w:r w:rsidR="00355DF2" w:rsidRPr="00457787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E8F6" w14:textId="77777777" w:rsidR="00355DF2" w:rsidRPr="00457787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7787">
              <w:rPr>
                <w:rFonts w:ascii="Times New Roman" w:eastAsia="Times New Roman" w:hAnsi="Times New Roman" w:cs="Times New Roman"/>
              </w:rPr>
              <w:t>0,</w:t>
            </w:r>
            <w:r w:rsidR="00355DF2" w:rsidRPr="00457787">
              <w:rPr>
                <w:rFonts w:ascii="Times New Roman" w:eastAsia="Times New Roman" w:hAnsi="Times New Roman" w:cs="Times New Roman"/>
              </w:rPr>
              <w:t>0510</w:t>
            </w:r>
          </w:p>
        </w:tc>
      </w:tr>
    </w:tbl>
    <w:p w14:paraId="1FFB23CA" w14:textId="77777777" w:rsidR="00835C3F" w:rsidRPr="00457787" w:rsidRDefault="00835C3F" w:rsidP="00835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l-GR"/>
        </w:rPr>
      </w:pPr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Skratky: CI = interval spoľahlivosti</w:t>
      </w:r>
      <w:r w:rsidR="00355DF2"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; HR = </w:t>
      </w:r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miera rizika</w:t>
      </w:r>
      <w:r w:rsidR="00355DF2"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; </w:t>
      </w:r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INF-α = </w:t>
      </w:r>
      <w:proofErr w:type="spellStart"/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interferón</w:t>
      </w:r>
      <w:proofErr w:type="spellEnd"/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-alfa; ITT = </w:t>
      </w:r>
      <w:proofErr w:type="spellStart"/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intent</w:t>
      </w:r>
      <w:proofErr w:type="spellEnd"/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-to-</w:t>
      </w:r>
      <w:proofErr w:type="spellStart"/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treat</w:t>
      </w:r>
      <w:proofErr w:type="spellEnd"/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; n = počet pacientov; NA = neaplikovateľné; OS = celkové prežívanie; PFS = prežívanie bez progresie.</w:t>
      </w:r>
      <w:r w:rsidRPr="00457787"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l-GR"/>
        </w:rPr>
        <w:t xml:space="preserve"> </w:t>
      </w:r>
    </w:p>
    <w:p w14:paraId="0098B662" w14:textId="77777777" w:rsidR="00355DF2" w:rsidRPr="00457787" w:rsidRDefault="00355DF2" w:rsidP="00835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l-GR"/>
        </w:rPr>
      </w:pPr>
      <w:r w:rsidRPr="00457787"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l-GR"/>
        </w:rPr>
        <w:t>a</w:t>
      </w:r>
      <w:r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 </w:t>
      </w:r>
      <w:r w:rsidR="00835C3F"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Podľa dvojstranného log-</w:t>
      </w:r>
      <w:proofErr w:type="spellStart"/>
      <w:r w:rsidR="00835C3F"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>rank</w:t>
      </w:r>
      <w:proofErr w:type="spellEnd"/>
      <w:r w:rsidR="00835C3F" w:rsidRPr="00457787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 testu</w:t>
      </w:r>
    </w:p>
    <w:p w14:paraId="7D997157" w14:textId="77777777" w:rsidR="00355DF2" w:rsidRPr="00457787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029E091A" w14:textId="77777777" w:rsidR="00A9082E" w:rsidRPr="00457787" w:rsidRDefault="00A9082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57787">
        <w:rPr>
          <w:rFonts w:ascii="Times New Roman" w:eastAsia="Times New Roman" w:hAnsi="Times New Roman" w:cs="Times New Roman"/>
          <w:i/>
        </w:rPr>
        <w:t>Metastatický karcinóm z obličkových buniek rezistentný na cytokíny</w:t>
      </w:r>
    </w:p>
    <w:p w14:paraId="03CFD815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 xml:space="preserve">U pacientov </w:t>
      </w:r>
      <w:proofErr w:type="spellStart"/>
      <w:r w:rsidRPr="00457787">
        <w:rPr>
          <w:rFonts w:ascii="Times New Roman" w:eastAsia="Times New Roman" w:hAnsi="Times New Roman" w:cs="Times New Roman"/>
        </w:rPr>
        <w:t>refraktérnych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na predchádzajúcu </w:t>
      </w:r>
      <w:proofErr w:type="spellStart"/>
      <w:r w:rsidRPr="00457787">
        <w:rPr>
          <w:rFonts w:ascii="Times New Roman" w:eastAsia="Times New Roman" w:hAnsi="Times New Roman" w:cs="Times New Roman"/>
        </w:rPr>
        <w:t>cytokínovú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liečbu </w:t>
      </w:r>
      <w:proofErr w:type="spellStart"/>
      <w:r w:rsidRPr="00457787">
        <w:rPr>
          <w:rFonts w:ascii="Times New Roman" w:eastAsia="Times New Roman" w:hAnsi="Times New Roman" w:cs="Times New Roman"/>
        </w:rPr>
        <w:t>interleukínom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2 alebo IFN-α bola</w:t>
      </w:r>
    </w:p>
    <w:p w14:paraId="57A1427F" w14:textId="63085C7D" w:rsidR="00355DF2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 xml:space="preserve">vykonaná klinická štúdia 2. fázy so </w:t>
      </w:r>
      <w:proofErr w:type="spellStart"/>
      <w:r w:rsidRPr="00457787">
        <w:rPr>
          <w:rFonts w:ascii="Times New Roman" w:eastAsia="Times New Roman" w:hAnsi="Times New Roman" w:cs="Times New Roman"/>
        </w:rPr>
        <w:t>sunitinibom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. 63 pacientom sa podávala úvodná dávka </w:t>
      </w:r>
      <w:proofErr w:type="spellStart"/>
      <w:r w:rsidRPr="00457787">
        <w:rPr>
          <w:rFonts w:ascii="Times New Roman" w:eastAsia="Times New Roman" w:hAnsi="Times New Roman" w:cs="Times New Roman"/>
        </w:rPr>
        <w:t>sunitinibu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50 mg perorálne raz denne počas 4 po sebe nasledujúcich týždňov, po ktorých nasledovali 2 týždne bez liečby, aby sa zavŕšil kompletný 6-týždňový cyklus (Schéma 4/2). Primárnym cieľom v rámci hodnotenia účinnosti bola ORR hodnotená na podklade kritérií pre odpoveď na liečbu u</w:t>
      </w:r>
      <w:r w:rsidR="004A3A31">
        <w:rPr>
          <w:rFonts w:ascii="Times New Roman" w:eastAsia="Times New Roman" w:hAnsi="Times New Roman" w:cs="Times New Roman"/>
        </w:rPr>
        <w:t xml:space="preserve"> solídnych </w:t>
      </w:r>
      <w:r w:rsidRPr="00457787">
        <w:rPr>
          <w:rFonts w:ascii="Times New Roman" w:eastAsia="Times New Roman" w:hAnsi="Times New Roman" w:cs="Times New Roman"/>
        </w:rPr>
        <w:t>tumorov (</w:t>
      </w:r>
      <w:proofErr w:type="spellStart"/>
      <w:r w:rsidRPr="00457787">
        <w:rPr>
          <w:rFonts w:ascii="Times New Roman" w:eastAsia="Times New Roman" w:hAnsi="Times New Roman" w:cs="Times New Roman"/>
        </w:rPr>
        <w:t>Response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7787">
        <w:rPr>
          <w:rFonts w:ascii="Times New Roman" w:eastAsia="Times New Roman" w:hAnsi="Times New Roman" w:cs="Times New Roman"/>
        </w:rPr>
        <w:t>Evaluation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7787">
        <w:rPr>
          <w:rFonts w:ascii="Times New Roman" w:eastAsia="Times New Roman" w:hAnsi="Times New Roman" w:cs="Times New Roman"/>
        </w:rPr>
        <w:t>Criteria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457787">
        <w:rPr>
          <w:rFonts w:ascii="Times New Roman" w:eastAsia="Times New Roman" w:hAnsi="Times New Roman" w:cs="Times New Roman"/>
        </w:rPr>
        <w:t>Solid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7787">
        <w:rPr>
          <w:rFonts w:ascii="Times New Roman" w:eastAsia="Times New Roman" w:hAnsi="Times New Roman" w:cs="Times New Roman"/>
        </w:rPr>
        <w:t>Tumours</w:t>
      </w:r>
      <w:proofErr w:type="spellEnd"/>
      <w:r w:rsidRPr="00457787">
        <w:rPr>
          <w:rFonts w:ascii="Times New Roman" w:eastAsia="Times New Roman" w:hAnsi="Times New Roman" w:cs="Times New Roman"/>
        </w:rPr>
        <w:t>, RECIST).</w:t>
      </w:r>
    </w:p>
    <w:p w14:paraId="6080DAB1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529DAE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>V tejto štúdii bola miera objektívnej odpovede 36,5 % (95 % CI: 24,7 %, 49,6 %) a medián TTP bol</w:t>
      </w:r>
    </w:p>
    <w:p w14:paraId="5E77ECD5" w14:textId="77777777" w:rsidR="00355DF2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>37,7 týždňa (95 % CI: 24,0, 46,4).</w:t>
      </w:r>
    </w:p>
    <w:p w14:paraId="39C5924D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8A7587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 xml:space="preserve">U pacientov s MRCC </w:t>
      </w:r>
      <w:proofErr w:type="spellStart"/>
      <w:r w:rsidRPr="00457787">
        <w:rPr>
          <w:rFonts w:ascii="Times New Roman" w:eastAsia="Times New Roman" w:hAnsi="Times New Roman" w:cs="Times New Roman"/>
        </w:rPr>
        <w:t>refraktérnych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na predchádzajúcu </w:t>
      </w:r>
      <w:proofErr w:type="spellStart"/>
      <w:r w:rsidRPr="00457787">
        <w:rPr>
          <w:rFonts w:ascii="Times New Roman" w:eastAsia="Times New Roman" w:hAnsi="Times New Roman" w:cs="Times New Roman"/>
        </w:rPr>
        <w:t>cytokínovú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liečbu bola vykonaná podporná,</w:t>
      </w:r>
    </w:p>
    <w:p w14:paraId="39CBA8EA" w14:textId="3712C6F5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 xml:space="preserve">otvorená, </w:t>
      </w:r>
      <w:proofErr w:type="spellStart"/>
      <w:r w:rsidRPr="00457787">
        <w:rPr>
          <w:rFonts w:ascii="Times New Roman" w:eastAsia="Times New Roman" w:hAnsi="Times New Roman" w:cs="Times New Roman"/>
        </w:rPr>
        <w:t>multicentrická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štúdia s</w:t>
      </w:r>
      <w:r w:rsidR="004A3A31">
        <w:rPr>
          <w:rFonts w:ascii="Times New Roman" w:eastAsia="Times New Roman" w:hAnsi="Times New Roman" w:cs="Times New Roman"/>
        </w:rPr>
        <w:t> </w:t>
      </w:r>
      <w:r w:rsidRPr="00457787">
        <w:rPr>
          <w:rFonts w:ascii="Times New Roman" w:eastAsia="Times New Roman" w:hAnsi="Times New Roman" w:cs="Times New Roman"/>
        </w:rPr>
        <w:t>jedn</w:t>
      </w:r>
      <w:r w:rsidR="004A3A31">
        <w:rPr>
          <w:rFonts w:ascii="Times New Roman" w:eastAsia="Times New Roman" w:hAnsi="Times New Roman" w:cs="Times New Roman"/>
        </w:rPr>
        <w:t>ou liečebnou skupinou</w:t>
      </w:r>
      <w:r w:rsidRPr="00457787">
        <w:rPr>
          <w:rFonts w:ascii="Times New Roman" w:eastAsia="Times New Roman" w:hAnsi="Times New Roman" w:cs="Times New Roman"/>
        </w:rPr>
        <w:t>, ktorá hodnotila účinnosť a bezpečnosť</w:t>
      </w:r>
    </w:p>
    <w:p w14:paraId="551BF000" w14:textId="77777777" w:rsidR="00355DF2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57787">
        <w:rPr>
          <w:rFonts w:ascii="Times New Roman" w:eastAsia="Times New Roman" w:hAnsi="Times New Roman" w:cs="Times New Roman"/>
        </w:rPr>
        <w:t>sunitinibu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457787">
        <w:rPr>
          <w:rFonts w:ascii="Times New Roman" w:eastAsia="Times New Roman" w:hAnsi="Times New Roman" w:cs="Times New Roman"/>
        </w:rPr>
        <w:t>Sunitinib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sa podával 106 pacientom v dávke minimálne 50 mg denne podľa Schémy 4/2.</w:t>
      </w:r>
    </w:p>
    <w:p w14:paraId="2BD3056B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83B668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>Primárnym cieľom v rámci hodnotenia účinnosti bola v tejto štúdii ORR. Sekundárne ciele boli TTP,</w:t>
      </w:r>
    </w:p>
    <w:p w14:paraId="2CF99A23" w14:textId="77777777" w:rsidR="00355DF2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>trvanie odpovede (</w:t>
      </w:r>
      <w:proofErr w:type="spellStart"/>
      <w:r w:rsidRPr="00457787">
        <w:rPr>
          <w:rFonts w:ascii="Times New Roman" w:eastAsia="Times New Roman" w:hAnsi="Times New Roman" w:cs="Times New Roman"/>
        </w:rPr>
        <w:t>duration</w:t>
      </w:r>
      <w:proofErr w:type="spellEnd"/>
      <w:r w:rsidRPr="00457787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457787">
        <w:rPr>
          <w:rFonts w:ascii="Times New Roman" w:eastAsia="Times New Roman" w:hAnsi="Times New Roman" w:cs="Times New Roman"/>
        </w:rPr>
        <w:t>response</w:t>
      </w:r>
      <w:proofErr w:type="spellEnd"/>
      <w:r w:rsidRPr="00457787">
        <w:rPr>
          <w:rFonts w:ascii="Times New Roman" w:eastAsia="Times New Roman" w:hAnsi="Times New Roman" w:cs="Times New Roman"/>
        </w:rPr>
        <w:t>, DR) a OS.</w:t>
      </w:r>
    </w:p>
    <w:p w14:paraId="7E9AE8D5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E33575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>V tejto štúdii bola ORR 35,8 % (95 % CI: 26,8%, 47,5 %). Medián pre DR a OS sa doteraz</w:t>
      </w:r>
    </w:p>
    <w:p w14:paraId="02868992" w14:textId="77777777" w:rsidR="00355DF2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7787">
        <w:rPr>
          <w:rFonts w:ascii="Times New Roman" w:eastAsia="Times New Roman" w:hAnsi="Times New Roman" w:cs="Times New Roman"/>
        </w:rPr>
        <w:t>nedosiahol.</w:t>
      </w:r>
    </w:p>
    <w:p w14:paraId="7E586520" w14:textId="77777777" w:rsidR="00457787" w:rsidRPr="00457787" w:rsidRDefault="00457787" w:rsidP="004577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2C7A96" w14:textId="77777777" w:rsidR="00355DF2" w:rsidRPr="00457787" w:rsidRDefault="00457787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57787">
        <w:rPr>
          <w:rFonts w:ascii="Times New Roman" w:eastAsia="Times New Roman" w:hAnsi="Times New Roman" w:cs="Times New Roman"/>
          <w:i/>
        </w:rPr>
        <w:lastRenderedPageBreak/>
        <w:t>Pankreatické neuroendokrinné nádory</w:t>
      </w:r>
    </w:p>
    <w:p w14:paraId="65677D91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Podporná otvorená, </w:t>
      </w:r>
      <w:proofErr w:type="spellStart"/>
      <w:r w:rsidRPr="00FA71C1">
        <w:rPr>
          <w:rFonts w:ascii="Times New Roman" w:eastAsia="Times New Roman" w:hAnsi="Times New Roman" w:cs="Times New Roman"/>
        </w:rPr>
        <w:t>multicentrická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štúdia 2. fázy hodnotila účinnosť a bezpečnosť </w:t>
      </w:r>
      <w:proofErr w:type="spellStart"/>
      <w:r w:rsidRPr="00FA71C1">
        <w:rPr>
          <w:rFonts w:ascii="Times New Roman" w:eastAsia="Times New Roman" w:hAnsi="Times New Roman" w:cs="Times New Roman"/>
        </w:rPr>
        <w:t>monoterapie</w:t>
      </w:r>
      <w:proofErr w:type="spellEnd"/>
    </w:p>
    <w:p w14:paraId="4E4922E7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dávke 50 mg denne v Schéme 4/2 u pacientov s </w:t>
      </w:r>
      <w:proofErr w:type="spellStart"/>
      <w:r w:rsidRPr="00FA71C1">
        <w:rPr>
          <w:rFonts w:ascii="Times New Roman" w:eastAsia="Times New Roman" w:hAnsi="Times New Roman" w:cs="Times New Roman"/>
        </w:rPr>
        <w:t>neresekovateľným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71C1">
        <w:rPr>
          <w:rFonts w:ascii="Times New Roman" w:eastAsia="Times New Roman" w:hAnsi="Times New Roman" w:cs="Times New Roman"/>
        </w:rPr>
        <w:t>pNET</w:t>
      </w:r>
      <w:proofErr w:type="spellEnd"/>
      <w:r w:rsidRPr="00FA71C1">
        <w:rPr>
          <w:rFonts w:ascii="Times New Roman" w:eastAsia="Times New Roman" w:hAnsi="Times New Roman" w:cs="Times New Roman"/>
        </w:rPr>
        <w:t>. V kohorte</w:t>
      </w:r>
    </w:p>
    <w:p w14:paraId="66CCE217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66 pacientov s nádorom z buniek pankreatických ostrovčekov bola primárnym cieľom miera odpovede</w:t>
      </w:r>
    </w:p>
    <w:p w14:paraId="5D0A74F4" w14:textId="77777777" w:rsidR="00355DF2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17 %.</w:t>
      </w:r>
    </w:p>
    <w:p w14:paraId="7535A45B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EF3098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U pacientov s </w:t>
      </w:r>
      <w:proofErr w:type="spellStart"/>
      <w:r w:rsidRPr="00FA71C1">
        <w:rPr>
          <w:rFonts w:ascii="Times New Roman" w:eastAsia="Times New Roman" w:hAnsi="Times New Roman" w:cs="Times New Roman"/>
        </w:rPr>
        <w:t>neresekovateľným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71C1">
        <w:rPr>
          <w:rFonts w:ascii="Times New Roman" w:eastAsia="Times New Roman" w:hAnsi="Times New Roman" w:cs="Times New Roman"/>
        </w:rPr>
        <w:t>pNET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sa vykonala </w:t>
      </w:r>
      <w:proofErr w:type="spellStart"/>
      <w:r w:rsidRPr="00FA71C1">
        <w:rPr>
          <w:rFonts w:ascii="Times New Roman" w:eastAsia="Times New Roman" w:hAnsi="Times New Roman" w:cs="Times New Roman"/>
        </w:rPr>
        <w:t>pivotná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71C1">
        <w:rPr>
          <w:rFonts w:ascii="Times New Roman" w:eastAsia="Times New Roman" w:hAnsi="Times New Roman" w:cs="Times New Roman"/>
        </w:rPr>
        <w:t>multicentrická</w:t>
      </w:r>
      <w:proofErr w:type="spellEnd"/>
      <w:r w:rsidRPr="00FA71C1">
        <w:rPr>
          <w:rFonts w:ascii="Times New Roman" w:eastAsia="Times New Roman" w:hAnsi="Times New Roman" w:cs="Times New Roman"/>
        </w:rPr>
        <w:t>, medzinárodná,</w:t>
      </w:r>
    </w:p>
    <w:p w14:paraId="642802AB" w14:textId="77777777" w:rsidR="00355DF2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A71C1">
        <w:rPr>
          <w:rFonts w:ascii="Times New Roman" w:eastAsia="Times New Roman" w:hAnsi="Times New Roman" w:cs="Times New Roman"/>
        </w:rPr>
        <w:t>randomizovaná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, dvojito zaslepená, placebom kontrolovaná štúdia 3. fázy s </w:t>
      </w:r>
      <w:proofErr w:type="spellStart"/>
      <w:r w:rsidRPr="00FA71C1">
        <w:rPr>
          <w:rFonts w:ascii="Times New Roman" w:eastAsia="Times New Roman" w:hAnsi="Times New Roman" w:cs="Times New Roman"/>
        </w:rPr>
        <w:t>monoterapiou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>.</w:t>
      </w:r>
    </w:p>
    <w:p w14:paraId="6DFB56F3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4399A4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Pacienti, u ktorých sa vyžadovalo, aby mali potvrdenú progresiu za základe RECIST kritérií v rámci</w:t>
      </w:r>
    </w:p>
    <w:p w14:paraId="626A2209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predchádzajúcich 12 mesiacov, boli </w:t>
      </w:r>
      <w:proofErr w:type="spellStart"/>
      <w:r w:rsidRPr="00FA71C1">
        <w:rPr>
          <w:rFonts w:ascii="Times New Roman" w:eastAsia="Times New Roman" w:hAnsi="Times New Roman" w:cs="Times New Roman"/>
        </w:rPr>
        <w:t>randomizovaní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(1:1) na liečbu buď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dávke 37,5 mg</w:t>
      </w:r>
    </w:p>
    <w:p w14:paraId="1CA89DF8" w14:textId="77777777" w:rsidR="00355DF2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raz denne bez plánovanej prestávky v liečbe (N = 86) alebo placebom (N = 85).</w:t>
      </w:r>
    </w:p>
    <w:p w14:paraId="0BC0FFC0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201543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Primárnym cieľom bolo porovnanie PFS u pacientov užívajúcich </w:t>
      </w:r>
      <w:proofErr w:type="spellStart"/>
      <w:r w:rsidRPr="00FA71C1">
        <w:rPr>
          <w:rFonts w:ascii="Times New Roman" w:eastAsia="Times New Roman" w:hAnsi="Times New Roman" w:cs="Times New Roman"/>
        </w:rPr>
        <w:t>sunitinib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a u pacientov užívajúcich</w:t>
      </w:r>
    </w:p>
    <w:p w14:paraId="17DC5AC6" w14:textId="77777777" w:rsidR="00355DF2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placebo. Ostatné ciele zahŕňali OS, ORR, PRO a bezpečnosť.</w:t>
      </w:r>
    </w:p>
    <w:p w14:paraId="7B931094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EFF5E0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Demografické charakteristiky skupín liečených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a placebom boli porovnateľné. Navyše</w:t>
      </w:r>
    </w:p>
    <w:p w14:paraId="37B872CF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malo 49 % pacientov liečených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a 52 % pacientov na placebe nefunkčné nádory a 92 %</w:t>
      </w:r>
    </w:p>
    <w:p w14:paraId="3A194046" w14:textId="77777777" w:rsidR="00355DF2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pacientov v oboch ramenách malo metastázy v pečeni.</w:t>
      </w:r>
    </w:p>
    <w:p w14:paraId="75C3856F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E2E284" w14:textId="77777777" w:rsidR="00355DF2" w:rsidRPr="00FA71C1" w:rsidRDefault="00B7721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Použitie </w:t>
      </w:r>
      <w:proofErr w:type="spellStart"/>
      <w:r w:rsidRPr="00FA71C1">
        <w:rPr>
          <w:rFonts w:ascii="Times New Roman" w:eastAsia="Times New Roman" w:hAnsi="Times New Roman" w:cs="Times New Roman"/>
        </w:rPr>
        <w:t>somatostatínových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71C1">
        <w:rPr>
          <w:rFonts w:ascii="Times New Roman" w:eastAsia="Times New Roman" w:hAnsi="Times New Roman" w:cs="Times New Roman"/>
        </w:rPr>
        <w:t>analógov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bolo v štúdii povolené.</w:t>
      </w:r>
    </w:p>
    <w:p w14:paraId="6318D112" w14:textId="77777777" w:rsidR="00B7721E" w:rsidRPr="00FA71C1" w:rsidRDefault="00B7721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1987B0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Celkovo 66 % pacientov na </w:t>
      </w:r>
      <w:proofErr w:type="spellStart"/>
      <w:r w:rsidRPr="00FA71C1">
        <w:rPr>
          <w:rFonts w:ascii="Times New Roman" w:eastAsia="Times New Roman" w:hAnsi="Times New Roman" w:cs="Times New Roman"/>
        </w:rPr>
        <w:t>sunitinibe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porovnaní so 72 % pacientov na placebe dostávalo</w:t>
      </w:r>
    </w:p>
    <w:p w14:paraId="50775735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predchádzajúcu systémovú liečbu. Navyše 24 % pacientov na </w:t>
      </w:r>
      <w:proofErr w:type="spellStart"/>
      <w:r w:rsidRPr="00FA71C1">
        <w:rPr>
          <w:rFonts w:ascii="Times New Roman" w:eastAsia="Times New Roman" w:hAnsi="Times New Roman" w:cs="Times New Roman"/>
        </w:rPr>
        <w:t>sunitinibe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porovnaní s 22 % pacientov</w:t>
      </w:r>
    </w:p>
    <w:p w14:paraId="0D597827" w14:textId="77777777" w:rsidR="00355DF2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na placebe dostávalo </w:t>
      </w:r>
      <w:proofErr w:type="spellStart"/>
      <w:r w:rsidRPr="00FA71C1">
        <w:rPr>
          <w:rFonts w:ascii="Times New Roman" w:eastAsia="Times New Roman" w:hAnsi="Times New Roman" w:cs="Times New Roman"/>
        </w:rPr>
        <w:t>analógy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71C1">
        <w:rPr>
          <w:rFonts w:ascii="Times New Roman" w:eastAsia="Times New Roman" w:hAnsi="Times New Roman" w:cs="Times New Roman"/>
        </w:rPr>
        <w:t>somatostatínu</w:t>
      </w:r>
      <w:proofErr w:type="spellEnd"/>
      <w:r w:rsidRPr="00FA71C1">
        <w:rPr>
          <w:rFonts w:ascii="Times New Roman" w:eastAsia="Times New Roman" w:hAnsi="Times New Roman" w:cs="Times New Roman"/>
        </w:rPr>
        <w:t>.</w:t>
      </w:r>
    </w:p>
    <w:p w14:paraId="3C633939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971D5E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Pri PFS hodnotenom </w:t>
      </w:r>
      <w:proofErr w:type="spellStart"/>
      <w:r w:rsidRPr="00FA71C1">
        <w:rPr>
          <w:rFonts w:ascii="Times New Roman" w:eastAsia="Times New Roman" w:hAnsi="Times New Roman" w:cs="Times New Roman"/>
        </w:rPr>
        <w:t>investigátormi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sa pozorovala klinicky signifikantná výhoda </w:t>
      </w:r>
      <w:proofErr w:type="spellStart"/>
      <w:r w:rsidRPr="00FA71C1">
        <w:rPr>
          <w:rFonts w:ascii="Times New Roman" w:eastAsia="Times New Roman" w:hAnsi="Times New Roman" w:cs="Times New Roman"/>
        </w:rPr>
        <w:t>sunitinibu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oproti</w:t>
      </w:r>
    </w:p>
    <w:p w14:paraId="4ACF1038" w14:textId="2A99C03B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placebu. Medián PFS bol 11,4 mesiacov pre </w:t>
      </w:r>
      <w:r w:rsidR="004A3A31">
        <w:rPr>
          <w:rFonts w:ascii="Times New Roman" w:eastAsia="Times New Roman" w:hAnsi="Times New Roman" w:cs="Times New Roman"/>
        </w:rPr>
        <w:t>skupinu</w:t>
      </w:r>
      <w:r w:rsidRPr="00FA71C1">
        <w:rPr>
          <w:rFonts w:ascii="Times New Roman" w:eastAsia="Times New Roman" w:hAnsi="Times New Roman" w:cs="Times New Roman"/>
        </w:rPr>
        <w:t xml:space="preserve"> so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porovnaní s 5,5 mesiacmi pre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="004A3A31">
        <w:rPr>
          <w:rFonts w:ascii="Times New Roman" w:eastAsia="Times New Roman" w:hAnsi="Times New Roman" w:cs="Times New Roman"/>
        </w:rPr>
        <w:t>skupinu</w:t>
      </w:r>
      <w:r w:rsidRPr="00FA71C1">
        <w:rPr>
          <w:rFonts w:ascii="Times New Roman" w:eastAsia="Times New Roman" w:hAnsi="Times New Roman" w:cs="Times New Roman"/>
        </w:rPr>
        <w:t xml:space="preserve"> s placebom [HR: 0,418 (95 % CI: 0,263 - 0,662), p = 0,0001]; podobné výsledky sa</w:t>
      </w:r>
    </w:p>
    <w:p w14:paraId="04AE15AE" w14:textId="77777777" w:rsidR="00B7721E" w:rsidRPr="00FA71C1" w:rsidRDefault="00B7721E" w:rsidP="00B772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pozorovali, ak sa na stanovenie progresie ochorenia použili odvodené vyšetrenia odpovede nádorov</w:t>
      </w:r>
    </w:p>
    <w:p w14:paraId="258265D1" w14:textId="77777777" w:rsidR="00FA71C1" w:rsidRPr="00FA71C1" w:rsidRDefault="00B7721E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založené na aplikácii RECIST kritérií na merania nádorov </w:t>
      </w:r>
      <w:proofErr w:type="spellStart"/>
      <w:r w:rsidRPr="00FA71C1">
        <w:rPr>
          <w:rFonts w:ascii="Times New Roman" w:eastAsia="Times New Roman" w:hAnsi="Times New Roman" w:cs="Times New Roman"/>
        </w:rPr>
        <w:t>investigátormi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, ako je uvedené v Tabuľke 4. </w:t>
      </w:r>
      <w:r w:rsidR="00FA71C1" w:rsidRPr="00FA71C1">
        <w:rPr>
          <w:rFonts w:ascii="Times New Roman" w:eastAsia="Times New Roman" w:hAnsi="Times New Roman" w:cs="Times New Roman"/>
        </w:rPr>
        <w:t xml:space="preserve">HR v prospech </w:t>
      </w:r>
      <w:proofErr w:type="spellStart"/>
      <w:r w:rsidR="00FA71C1" w:rsidRPr="00FA71C1">
        <w:rPr>
          <w:rFonts w:ascii="Times New Roman" w:eastAsia="Times New Roman" w:hAnsi="Times New Roman" w:cs="Times New Roman"/>
        </w:rPr>
        <w:t>sunitinibu</w:t>
      </w:r>
      <w:proofErr w:type="spellEnd"/>
      <w:r w:rsidR="00FA71C1" w:rsidRPr="00FA71C1">
        <w:rPr>
          <w:rFonts w:ascii="Times New Roman" w:eastAsia="Times New Roman" w:hAnsi="Times New Roman" w:cs="Times New Roman"/>
        </w:rPr>
        <w:t xml:space="preserve"> sa pozorovalo vo všetkých podskupinách pacientov odvodených od</w:t>
      </w:r>
    </w:p>
    <w:p w14:paraId="1688BFD8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hodnotených vstupných charakteristík vrátane analýzy podľa počtu predchádzajúcich systémových</w:t>
      </w:r>
    </w:p>
    <w:p w14:paraId="17348ECC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terapií. Celkovo 29 pacientov v ramene so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a 24 pacientov v ramene s placebom neužívalo</w:t>
      </w:r>
    </w:p>
    <w:p w14:paraId="5656ECF8" w14:textId="5C130600" w:rsidR="00355DF2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predtým žiadnu systémovú terapiu; u týchto pacientov bolo HR pre PFS 0,365 (95 % CI: 0,156 - 0,857), p = 0,0156. Podobne u 57 pacientov v </w:t>
      </w:r>
      <w:r w:rsidR="004A3A31">
        <w:rPr>
          <w:rFonts w:ascii="Times New Roman" w:eastAsia="Times New Roman" w:hAnsi="Times New Roman" w:cs="Times New Roman"/>
        </w:rPr>
        <w:t>skupine</w:t>
      </w:r>
      <w:r w:rsidRPr="00FA71C1">
        <w:rPr>
          <w:rFonts w:ascii="Times New Roman" w:eastAsia="Times New Roman" w:hAnsi="Times New Roman" w:cs="Times New Roman"/>
        </w:rPr>
        <w:t xml:space="preserve"> so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(vrátane 28 pacientov s 1 predchádzajúcou systémovou terapiou a 29 pacientov s 2 a viac predchádzajúcimi systémovými terapiami) a u 61 pacientov v </w:t>
      </w:r>
      <w:r w:rsidR="004A3A31">
        <w:rPr>
          <w:rFonts w:ascii="Times New Roman" w:eastAsia="Times New Roman" w:hAnsi="Times New Roman" w:cs="Times New Roman"/>
        </w:rPr>
        <w:t>skupi</w:t>
      </w:r>
      <w:r w:rsidRPr="00FA71C1">
        <w:rPr>
          <w:rFonts w:ascii="Times New Roman" w:eastAsia="Times New Roman" w:hAnsi="Times New Roman" w:cs="Times New Roman"/>
        </w:rPr>
        <w:t>ne s placebom (vrátane 25 pacientov s 1 predchádzajúcou systémovou terapiou a 36 pacientov s 2 a viac predchádzajúcimi systémovými terapiami), bolo HR pre PFS 0,456 (95 % CI: 0,264 - 0,787), p = 0,0036.</w:t>
      </w:r>
    </w:p>
    <w:p w14:paraId="5FCDBD29" w14:textId="77777777" w:rsidR="00355DF2" w:rsidRPr="00FA71C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DEAA47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Tam, kde progresia bola založená na meraní nádorov udávanom </w:t>
      </w:r>
      <w:proofErr w:type="spellStart"/>
      <w:r w:rsidRPr="00FA71C1">
        <w:rPr>
          <w:rFonts w:ascii="Times New Roman" w:eastAsia="Times New Roman" w:hAnsi="Times New Roman" w:cs="Times New Roman"/>
        </w:rPr>
        <w:t>investigátormi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a kde všetci pacienti</w:t>
      </w:r>
    </w:p>
    <w:p w14:paraId="63376492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cenzurovaní pre iné príčiny ako ukončenie štúdie boli považovaní za PFS príhody, sa vykonala</w:t>
      </w:r>
    </w:p>
    <w:p w14:paraId="5F1A1BC4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analýza senzitivity PFS. Táto analýza poskytla konzervatívny odhad liečebného efektu </w:t>
      </w:r>
      <w:proofErr w:type="spellStart"/>
      <w:r w:rsidRPr="00FA71C1">
        <w:rPr>
          <w:rFonts w:ascii="Times New Roman" w:eastAsia="Times New Roman" w:hAnsi="Times New Roman" w:cs="Times New Roman"/>
        </w:rPr>
        <w:t>sunitinibu</w:t>
      </w:r>
      <w:proofErr w:type="spellEnd"/>
    </w:p>
    <w:p w14:paraId="07A8092B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a podporila primárnu analýzu tým, že demonštrovala HR 0,507 (95% CI 0,350 - 0,733), p = 0,000193.</w:t>
      </w:r>
    </w:p>
    <w:p w14:paraId="54747DBA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A71C1">
        <w:rPr>
          <w:rFonts w:ascii="Times New Roman" w:eastAsia="Times New Roman" w:hAnsi="Times New Roman" w:cs="Times New Roman"/>
        </w:rPr>
        <w:t>Pivotná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štúdia s pankreatickým NET bola predčasne ukončená na odporúčanie nezávislého Výboru pre</w:t>
      </w:r>
    </w:p>
    <w:p w14:paraId="140830E0" w14:textId="77777777" w:rsidR="00355DF2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monitorovanie liekov (</w:t>
      </w:r>
      <w:proofErr w:type="spellStart"/>
      <w:r w:rsidRPr="00FA71C1">
        <w:rPr>
          <w:rFonts w:ascii="Times New Roman" w:eastAsia="Times New Roman" w:hAnsi="Times New Roman" w:cs="Times New Roman"/>
        </w:rPr>
        <w:t>Drug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Monitoring </w:t>
      </w:r>
      <w:proofErr w:type="spellStart"/>
      <w:r w:rsidRPr="00FA71C1">
        <w:rPr>
          <w:rFonts w:ascii="Times New Roman" w:eastAsia="Times New Roman" w:hAnsi="Times New Roman" w:cs="Times New Roman"/>
        </w:rPr>
        <w:t>Committee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) a primárny cieľ sa založil na hodnotení </w:t>
      </w:r>
      <w:proofErr w:type="spellStart"/>
      <w:r w:rsidRPr="00FA71C1">
        <w:rPr>
          <w:rFonts w:ascii="Times New Roman" w:eastAsia="Times New Roman" w:hAnsi="Times New Roman" w:cs="Times New Roman"/>
        </w:rPr>
        <w:t>investigátorov</w:t>
      </w:r>
      <w:proofErr w:type="spellEnd"/>
      <w:r w:rsidRPr="00FA71C1">
        <w:rPr>
          <w:rFonts w:ascii="Times New Roman" w:eastAsia="Times New Roman" w:hAnsi="Times New Roman" w:cs="Times New Roman"/>
        </w:rPr>
        <w:t>, pričom obe skutočnosti mohli ovplyvniť odhad efektu liečby.</w:t>
      </w:r>
    </w:p>
    <w:p w14:paraId="1947AEDC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0BEB36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S cieľom vylúčiť skreslenia (</w:t>
      </w:r>
      <w:proofErr w:type="spellStart"/>
      <w:r w:rsidRPr="00FA71C1">
        <w:rPr>
          <w:rFonts w:ascii="Times New Roman" w:eastAsia="Times New Roman" w:hAnsi="Times New Roman" w:cs="Times New Roman"/>
        </w:rPr>
        <w:t>bias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) v hodnotení PFS založenom na vyšetreniach </w:t>
      </w:r>
      <w:proofErr w:type="spellStart"/>
      <w:r w:rsidRPr="00FA71C1">
        <w:rPr>
          <w:rFonts w:ascii="Times New Roman" w:eastAsia="Times New Roman" w:hAnsi="Times New Roman" w:cs="Times New Roman"/>
        </w:rPr>
        <w:t>investigátorov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sa</w:t>
      </w:r>
    </w:p>
    <w:p w14:paraId="5A4B66C9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vykonalo BICR </w:t>
      </w:r>
      <w:proofErr w:type="spellStart"/>
      <w:r w:rsidRPr="00FA71C1">
        <w:rPr>
          <w:rFonts w:ascii="Times New Roman" w:eastAsia="Times New Roman" w:hAnsi="Times New Roman" w:cs="Times New Roman"/>
        </w:rPr>
        <w:t>skenov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; toto hodnotenie potvrdilo hodnotenie </w:t>
      </w:r>
      <w:proofErr w:type="spellStart"/>
      <w:r w:rsidRPr="00FA71C1">
        <w:rPr>
          <w:rFonts w:ascii="Times New Roman" w:eastAsia="Times New Roman" w:hAnsi="Times New Roman" w:cs="Times New Roman"/>
        </w:rPr>
        <w:t>investigátorov</w:t>
      </w:r>
      <w:proofErr w:type="spellEnd"/>
      <w:r w:rsidRPr="00FA71C1">
        <w:rPr>
          <w:rFonts w:ascii="Times New Roman" w:eastAsia="Times New Roman" w:hAnsi="Times New Roman" w:cs="Times New Roman"/>
        </w:rPr>
        <w:t>, ako je uvedené</w:t>
      </w:r>
    </w:p>
    <w:p w14:paraId="19B303B7" w14:textId="77777777" w:rsidR="00355DF2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v Tabuľke 4.</w:t>
      </w:r>
    </w:p>
    <w:p w14:paraId="03A23D08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14:paraId="020BFC34" w14:textId="77777777" w:rsidR="00355DF2" w:rsidRPr="00FA71C1" w:rsidRDefault="00835C3F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FA71C1">
        <w:rPr>
          <w:rFonts w:ascii="Times New Roman" w:eastAsia="Times New Roman" w:hAnsi="Times New Roman" w:cs="Times New Roman"/>
          <w:b/>
          <w:bCs/>
          <w:iCs/>
        </w:rPr>
        <w:t xml:space="preserve">Tabuľka 4. Výsledky účinnosti </w:t>
      </w:r>
      <w:proofErr w:type="spellStart"/>
      <w:r w:rsidRPr="00FA71C1">
        <w:rPr>
          <w:rFonts w:ascii="Times New Roman" w:eastAsia="Times New Roman" w:hAnsi="Times New Roman" w:cs="Times New Roman"/>
          <w:b/>
          <w:bCs/>
          <w:iCs/>
        </w:rPr>
        <w:t>pNET</w:t>
      </w:r>
      <w:proofErr w:type="spellEnd"/>
      <w:r w:rsidRPr="00FA71C1">
        <w:rPr>
          <w:rFonts w:ascii="Times New Roman" w:eastAsia="Times New Roman" w:hAnsi="Times New Roman" w:cs="Times New Roman"/>
          <w:b/>
          <w:bCs/>
          <w:iCs/>
        </w:rPr>
        <w:t xml:space="preserve"> zo štúdie 3. fázy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560"/>
        <w:gridCol w:w="1382"/>
      </w:tblGrid>
      <w:tr w:rsidR="00355DF2" w:rsidRPr="00FA71C1" w14:paraId="62564025" w14:textId="77777777" w:rsidTr="00835C3F">
        <w:tc>
          <w:tcPr>
            <w:tcW w:w="3652" w:type="dxa"/>
            <w:shd w:val="clear" w:color="auto" w:fill="auto"/>
          </w:tcPr>
          <w:p w14:paraId="20D71562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>Parametre účinnosti</w:t>
            </w:r>
          </w:p>
        </w:tc>
        <w:tc>
          <w:tcPr>
            <w:tcW w:w="1276" w:type="dxa"/>
            <w:shd w:val="clear" w:color="auto" w:fill="auto"/>
          </w:tcPr>
          <w:p w14:paraId="765C16CF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A71C1">
              <w:rPr>
                <w:rFonts w:ascii="Times New Roman" w:eastAsia="Times New Roman" w:hAnsi="Times New Roman" w:cs="Times New Roman"/>
                <w:b/>
              </w:rPr>
              <w:t>Sunitinib</w:t>
            </w:r>
            <w:proofErr w:type="spellEnd"/>
            <w:r w:rsidRPr="00FA71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5E3FB9C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>(N = 86)</w:t>
            </w:r>
          </w:p>
        </w:tc>
        <w:tc>
          <w:tcPr>
            <w:tcW w:w="1417" w:type="dxa"/>
            <w:shd w:val="clear" w:color="auto" w:fill="auto"/>
          </w:tcPr>
          <w:p w14:paraId="5638659D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>Placebo</w:t>
            </w:r>
          </w:p>
          <w:p w14:paraId="4C9F1EFC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>(N = 85)</w:t>
            </w:r>
          </w:p>
        </w:tc>
        <w:tc>
          <w:tcPr>
            <w:tcW w:w="1560" w:type="dxa"/>
            <w:shd w:val="clear" w:color="auto" w:fill="auto"/>
          </w:tcPr>
          <w:p w14:paraId="0F74996B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 xml:space="preserve">HR </w:t>
            </w:r>
          </w:p>
          <w:p w14:paraId="072E589E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>(95% CI)</w:t>
            </w:r>
          </w:p>
        </w:tc>
        <w:tc>
          <w:tcPr>
            <w:tcW w:w="1382" w:type="dxa"/>
            <w:shd w:val="clear" w:color="auto" w:fill="auto"/>
          </w:tcPr>
          <w:p w14:paraId="180A6876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1C1">
              <w:rPr>
                <w:rFonts w:ascii="Times New Roman" w:eastAsia="Times New Roman" w:hAnsi="Times New Roman" w:cs="Times New Roman"/>
                <w:b/>
              </w:rPr>
              <w:t>Hodnota p</w:t>
            </w:r>
          </w:p>
        </w:tc>
      </w:tr>
      <w:tr w:rsidR="00355DF2" w:rsidRPr="00FA71C1" w14:paraId="497A2965" w14:textId="77777777" w:rsidTr="00835C3F">
        <w:tc>
          <w:tcPr>
            <w:tcW w:w="3652" w:type="dxa"/>
            <w:shd w:val="clear" w:color="auto" w:fill="auto"/>
          </w:tcPr>
          <w:p w14:paraId="21E7BE02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lastRenderedPageBreak/>
              <w:t>Prežívanie bez progresie</w:t>
            </w:r>
          </w:p>
          <w:p w14:paraId="52712226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[medián, mesiace (95 % CI)] podľa</w:t>
            </w:r>
          </w:p>
          <w:p w14:paraId="5937FA53" w14:textId="77777777" w:rsidR="00355DF2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 xml:space="preserve">hodnotenia </w:t>
            </w:r>
            <w:proofErr w:type="spellStart"/>
            <w:r w:rsidRPr="00FA71C1">
              <w:rPr>
                <w:rFonts w:ascii="Times New Roman" w:eastAsia="Times New Roman" w:hAnsi="Times New Roman" w:cs="Times New Roman"/>
              </w:rPr>
              <w:t>investigátorov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38B18EB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11,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4</w:t>
            </w:r>
          </w:p>
          <w:p w14:paraId="1A47D640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(7,4, 19,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317C9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5,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5</w:t>
            </w:r>
          </w:p>
          <w:p w14:paraId="18E45F40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(3,6, 7,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26DCF1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418</w:t>
            </w:r>
          </w:p>
          <w:p w14:paraId="49F6AFFD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(0,263, 0,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662)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7CA5DB8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0001</w:t>
            </w:r>
            <w:r w:rsidR="00355DF2" w:rsidRPr="00FA71C1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</w:tr>
      <w:tr w:rsidR="00355DF2" w:rsidRPr="00FA71C1" w14:paraId="5A3AAD6D" w14:textId="77777777" w:rsidTr="00835C3F">
        <w:tc>
          <w:tcPr>
            <w:tcW w:w="3652" w:type="dxa"/>
            <w:shd w:val="clear" w:color="auto" w:fill="auto"/>
          </w:tcPr>
          <w:p w14:paraId="6E92E174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Prežívanie bez progresie</w:t>
            </w:r>
          </w:p>
          <w:p w14:paraId="13E01036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[medián, mesiace (95 % CI)] podľa</w:t>
            </w:r>
          </w:p>
          <w:p w14:paraId="15DA9ED8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odvodených vyšetrení odpovede</w:t>
            </w:r>
          </w:p>
          <w:p w14:paraId="7F0C72EC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nádorov založených na aplikácii</w:t>
            </w:r>
          </w:p>
          <w:p w14:paraId="1BA1B941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RECIST kritérií na merania nádorov</w:t>
            </w:r>
          </w:p>
          <w:p w14:paraId="264CAD49" w14:textId="77777777" w:rsidR="00355DF2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71C1">
              <w:rPr>
                <w:rFonts w:ascii="Times New Roman" w:eastAsia="Times New Roman" w:hAnsi="Times New Roman" w:cs="Times New Roman"/>
              </w:rPr>
              <w:t>investigátormi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6A0859C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12,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 xml:space="preserve">6 </w:t>
            </w:r>
          </w:p>
          <w:p w14:paraId="3732A570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(7,4, 16,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18584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5,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 xml:space="preserve">4 </w:t>
            </w:r>
          </w:p>
          <w:p w14:paraId="2E6BEBE6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(3,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5,</w:t>
            </w:r>
            <w:r w:rsidRPr="00FA71C1">
              <w:rPr>
                <w:rFonts w:ascii="Times New Roman" w:eastAsia="Times New Roman" w:hAnsi="Times New Roman" w:cs="Times New Roman"/>
              </w:rPr>
              <w:t xml:space="preserve"> 6,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45B350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 xml:space="preserve">401 </w:t>
            </w:r>
          </w:p>
          <w:p w14:paraId="75FCFF51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(0,252, 0,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640)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DBBEFD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000066</w:t>
            </w:r>
            <w:r w:rsidR="00355DF2" w:rsidRPr="00FA71C1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</w:tr>
      <w:tr w:rsidR="00355DF2" w:rsidRPr="00FA71C1" w14:paraId="2CD2EE16" w14:textId="77777777" w:rsidTr="00835C3F">
        <w:tc>
          <w:tcPr>
            <w:tcW w:w="3652" w:type="dxa"/>
            <w:shd w:val="clear" w:color="auto" w:fill="auto"/>
          </w:tcPr>
          <w:p w14:paraId="181C0D4F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Prežívanie bez progresie</w:t>
            </w:r>
          </w:p>
          <w:p w14:paraId="073759F5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[medián, mesiace (95 % CI)] podľa</w:t>
            </w:r>
          </w:p>
          <w:p w14:paraId="7182BFB4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zaslepeného nezávislého centrálneho</w:t>
            </w:r>
          </w:p>
          <w:p w14:paraId="400142F8" w14:textId="77777777" w:rsidR="00355DF2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prehodnotenia vyšetrení nádorov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2F133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12,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 xml:space="preserve">6 </w:t>
            </w:r>
          </w:p>
          <w:p w14:paraId="539BE17B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(11,1, 20,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260F1E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5,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 xml:space="preserve">8 </w:t>
            </w:r>
          </w:p>
          <w:p w14:paraId="351EA6CC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(3,8, 7,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1C316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 xml:space="preserve">315 </w:t>
            </w:r>
          </w:p>
          <w:p w14:paraId="1CD6212D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(0,181, 0,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546)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DC36A54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000015</w:t>
            </w:r>
            <w:r w:rsidR="00355DF2" w:rsidRPr="00FA71C1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</w:tr>
      <w:tr w:rsidR="00355DF2" w:rsidRPr="00FA71C1" w14:paraId="2214ABDA" w14:textId="77777777" w:rsidTr="00835C3F">
        <w:tc>
          <w:tcPr>
            <w:tcW w:w="3652" w:type="dxa"/>
            <w:shd w:val="clear" w:color="auto" w:fill="auto"/>
          </w:tcPr>
          <w:p w14:paraId="3304861A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Celkové prežívanie [sledovanie počas</w:t>
            </w:r>
          </w:p>
          <w:p w14:paraId="4F99718E" w14:textId="77777777" w:rsidR="00355DF2" w:rsidRPr="00FA71C1" w:rsidRDefault="00835C3F" w:rsidP="00835C3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5 rokov] [medián, mesiace (95 % CI)]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633D2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38,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6</w:t>
            </w:r>
          </w:p>
          <w:p w14:paraId="1F1ED3F6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(25,6, 56,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64195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29,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1</w:t>
            </w:r>
          </w:p>
          <w:p w14:paraId="76FEDA53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(16,4, 36,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8)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0AA341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730</w:t>
            </w:r>
          </w:p>
          <w:p w14:paraId="7525CD40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(0,504, 1,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057)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6400BE2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71C1">
              <w:rPr>
                <w:rFonts w:ascii="Times New Roman" w:eastAsia="Times New Roman" w:hAnsi="Times New Roman" w:cs="Times New Roman"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</w:rPr>
              <w:t>0940</w:t>
            </w:r>
            <w:r w:rsidR="00355DF2" w:rsidRPr="00FA71C1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</w:tr>
      <w:tr w:rsidR="00355DF2" w:rsidRPr="00FA71C1" w14:paraId="0A814FEA" w14:textId="77777777" w:rsidTr="00835C3F">
        <w:tc>
          <w:tcPr>
            <w:tcW w:w="3652" w:type="dxa"/>
            <w:shd w:val="clear" w:color="auto" w:fill="auto"/>
          </w:tcPr>
          <w:p w14:paraId="0E11A05E" w14:textId="77777777" w:rsidR="00835C3F" w:rsidRPr="00FA71C1" w:rsidRDefault="00835C3F" w:rsidP="00835C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Miera objektívnej odpovede</w:t>
            </w:r>
          </w:p>
          <w:p w14:paraId="5541E547" w14:textId="77777777" w:rsidR="00355DF2" w:rsidRPr="00FA71C1" w:rsidRDefault="00835C3F" w:rsidP="00835C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[%, (95 % CI)]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5B84C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9,</w:t>
            </w:r>
            <w:r w:rsidR="00355DF2" w:rsidRPr="00FA71C1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  <w:p w14:paraId="627C1DD7" w14:textId="77777777" w:rsidR="00355DF2" w:rsidRPr="00FA71C1" w:rsidRDefault="00355DF2" w:rsidP="00835C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(3</w:t>
            </w:r>
            <w:r w:rsidR="00835C3F" w:rsidRPr="00FA71C1">
              <w:rPr>
                <w:rFonts w:ascii="Times New Roman" w:eastAsia="Times New Roman" w:hAnsi="Times New Roman" w:cs="Times New Roman"/>
                <w:bCs/>
                <w:iCs/>
              </w:rPr>
              <w:t>,2, 15,</w:t>
            </w: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19FF7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B29EEC" w14:textId="77777777" w:rsidR="00355DF2" w:rsidRPr="00FA71C1" w:rsidRDefault="00355DF2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NA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687958F" w14:textId="77777777" w:rsidR="00355DF2" w:rsidRPr="00FA71C1" w:rsidRDefault="00835C3F" w:rsidP="00355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A71C1">
              <w:rPr>
                <w:rFonts w:ascii="Times New Roman" w:eastAsia="Times New Roman" w:hAnsi="Times New Roman" w:cs="Times New Roman"/>
                <w:bCs/>
                <w:iCs/>
              </w:rPr>
              <w:t>0,</w:t>
            </w:r>
            <w:r w:rsidR="00355DF2" w:rsidRPr="00FA71C1">
              <w:rPr>
                <w:rFonts w:ascii="Times New Roman" w:eastAsia="Times New Roman" w:hAnsi="Times New Roman" w:cs="Times New Roman"/>
                <w:bCs/>
                <w:iCs/>
              </w:rPr>
              <w:t>0066</w:t>
            </w:r>
            <w:r w:rsidR="00355DF2" w:rsidRPr="00FA71C1">
              <w:rPr>
                <w:rFonts w:ascii="Times New Roman" w:eastAsia="Times New Roman" w:hAnsi="Times New Roman" w:cs="Times New Roman"/>
                <w:bCs/>
                <w:iCs/>
                <w:vertAlign w:val="superscript"/>
              </w:rPr>
              <w:t>b</w:t>
            </w:r>
          </w:p>
        </w:tc>
      </w:tr>
    </w:tbl>
    <w:p w14:paraId="1DE389FE" w14:textId="60DA2642" w:rsidR="00355DF2" w:rsidRPr="00FA71C1" w:rsidRDefault="00835C3F" w:rsidP="00835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l-GR"/>
        </w:rPr>
      </w:pPr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Skratky: CI = interval spoľahlivosti; </w:t>
      </w:r>
      <w:r w:rsidR="00355DF2"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HR = </w:t>
      </w:r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>miera rizika</w:t>
      </w:r>
      <w:r w:rsidR="00355DF2"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; </w:t>
      </w:r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N = počet pacientov; NA = neaplikovateľné; </w:t>
      </w:r>
      <w:proofErr w:type="spellStart"/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>pNET</w:t>
      </w:r>
      <w:proofErr w:type="spellEnd"/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 = pankreatické neuroendokrinné nádory; RECIST = kritériá na hodnotenie odpovede u</w:t>
      </w:r>
      <w:r w:rsidR="004A3A3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 solídnych </w:t>
      </w:r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>nádorov.</w:t>
      </w:r>
    </w:p>
    <w:p w14:paraId="3D31A1C7" w14:textId="77777777" w:rsidR="001664C8" w:rsidRPr="00FA71C1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71C1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a </w:t>
      </w:r>
      <w:r w:rsidR="001664C8" w:rsidRPr="00FA71C1">
        <w:rPr>
          <w:rFonts w:ascii="Times New Roman" w:eastAsia="Times New Roman" w:hAnsi="Times New Roman" w:cs="Times New Roman"/>
          <w:sz w:val="18"/>
          <w:szCs w:val="18"/>
        </w:rPr>
        <w:t>2-stranný nestratifikovaný log-</w:t>
      </w:r>
      <w:proofErr w:type="spellStart"/>
      <w:r w:rsidR="001664C8" w:rsidRPr="00FA71C1">
        <w:rPr>
          <w:rFonts w:ascii="Times New Roman" w:eastAsia="Times New Roman" w:hAnsi="Times New Roman" w:cs="Times New Roman"/>
          <w:sz w:val="18"/>
          <w:szCs w:val="18"/>
        </w:rPr>
        <w:t>rank</w:t>
      </w:r>
      <w:proofErr w:type="spellEnd"/>
      <w:r w:rsidR="001664C8" w:rsidRPr="00FA71C1">
        <w:rPr>
          <w:rFonts w:ascii="Times New Roman" w:eastAsia="Times New Roman" w:hAnsi="Times New Roman" w:cs="Times New Roman"/>
          <w:sz w:val="18"/>
          <w:szCs w:val="18"/>
        </w:rPr>
        <w:t xml:space="preserve"> test </w:t>
      </w:r>
    </w:p>
    <w:p w14:paraId="3418143A" w14:textId="77777777" w:rsidR="00355DF2" w:rsidRPr="00FA71C1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71C1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b </w:t>
      </w:r>
      <w:proofErr w:type="spellStart"/>
      <w:r w:rsidR="001664C8" w:rsidRPr="00FA71C1">
        <w:rPr>
          <w:rFonts w:ascii="Times New Roman" w:eastAsia="Times New Roman" w:hAnsi="Times New Roman" w:cs="Times New Roman"/>
          <w:sz w:val="18"/>
          <w:szCs w:val="18"/>
        </w:rPr>
        <w:t>Fisherov</w:t>
      </w:r>
      <w:proofErr w:type="spellEnd"/>
      <w:r w:rsidR="001664C8" w:rsidRPr="00FA71C1">
        <w:rPr>
          <w:rFonts w:ascii="Times New Roman" w:eastAsia="Times New Roman" w:hAnsi="Times New Roman" w:cs="Times New Roman"/>
          <w:sz w:val="18"/>
          <w:szCs w:val="18"/>
        </w:rPr>
        <w:t xml:space="preserve"> exaktný test</w:t>
      </w:r>
    </w:p>
    <w:p w14:paraId="1ACCD31C" w14:textId="77777777" w:rsidR="00355DF2" w:rsidRPr="00FA71C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CIDFont+F3" w:hAnsi="Times New Roman" w:cs="Times New Roman"/>
          <w:b/>
          <w:u w:val="single"/>
          <w:lang w:eastAsia="el-GR"/>
        </w:rPr>
      </w:pPr>
    </w:p>
    <w:p w14:paraId="3ECB8B13" w14:textId="77777777" w:rsidR="00355DF2" w:rsidRPr="00FA71C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CIDFont+F3" w:hAnsi="Times New Roman" w:cs="Times New Roman"/>
          <w:b/>
          <w:u w:val="single"/>
          <w:lang w:eastAsia="el-GR"/>
        </w:rPr>
      </w:pPr>
    </w:p>
    <w:p w14:paraId="21A330B2" w14:textId="77777777" w:rsidR="00355DF2" w:rsidRPr="00FA71C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CIDFont+F3" w:hAnsi="Times New Roman" w:cs="Times New Roman"/>
          <w:b/>
          <w:u w:val="single"/>
          <w:lang w:eastAsia="el-GR"/>
        </w:rPr>
      </w:pPr>
    </w:p>
    <w:p w14:paraId="0C8FD982" w14:textId="77777777" w:rsidR="00355DF2" w:rsidRPr="00FA71C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CIDFont+F3" w:hAnsi="Times New Roman" w:cs="Times New Roman"/>
          <w:b/>
          <w:u w:val="single"/>
          <w:lang w:eastAsia="el-GR"/>
        </w:rPr>
      </w:pPr>
    </w:p>
    <w:p w14:paraId="05981697" w14:textId="2BFAA046" w:rsidR="00355DF2" w:rsidRPr="00FA71C1" w:rsidRDefault="007F450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FA71C1">
        <w:rPr>
          <w:rFonts w:ascii="Times New Roman" w:eastAsia="CIDFont+F3" w:hAnsi="Times New Roman" w:cs="Times New Roman"/>
          <w:b/>
          <w:u w:val="single"/>
          <w:lang w:eastAsia="el-GR"/>
        </w:rPr>
        <w:t xml:space="preserve">Obr. 1 </w:t>
      </w:r>
      <w:proofErr w:type="spellStart"/>
      <w:r w:rsidRPr="00FA71C1">
        <w:rPr>
          <w:rFonts w:ascii="Times New Roman" w:eastAsia="CIDFont+F3" w:hAnsi="Times New Roman" w:cs="Times New Roman"/>
          <w:b/>
          <w:u w:val="single"/>
          <w:lang w:eastAsia="el-GR"/>
        </w:rPr>
        <w:t>Kaplanov</w:t>
      </w:r>
      <w:r w:rsidR="004A3A31">
        <w:rPr>
          <w:rFonts w:ascii="Times New Roman" w:eastAsia="CIDFont+F3" w:hAnsi="Times New Roman" w:cs="Times New Roman"/>
          <w:b/>
          <w:u w:val="single"/>
          <w:lang w:eastAsia="el-GR"/>
        </w:rPr>
        <w:t>a</w:t>
      </w:r>
      <w:r w:rsidRPr="00FA71C1">
        <w:rPr>
          <w:rFonts w:ascii="Times New Roman" w:eastAsia="CIDFont+F3" w:hAnsi="Times New Roman" w:cs="Times New Roman"/>
          <w:b/>
          <w:u w:val="single"/>
          <w:lang w:eastAsia="el-GR"/>
        </w:rPr>
        <w:t>-Meierov</w:t>
      </w:r>
      <w:r w:rsidR="004A3A31">
        <w:rPr>
          <w:rFonts w:ascii="Times New Roman" w:eastAsia="CIDFont+F3" w:hAnsi="Times New Roman" w:cs="Times New Roman"/>
          <w:b/>
          <w:u w:val="single"/>
          <w:lang w:eastAsia="el-GR"/>
        </w:rPr>
        <w:t>a</w:t>
      </w:r>
      <w:proofErr w:type="spellEnd"/>
      <w:r w:rsidRPr="00FA71C1">
        <w:rPr>
          <w:rFonts w:ascii="Times New Roman" w:eastAsia="CIDFont+F3" w:hAnsi="Times New Roman" w:cs="Times New Roman"/>
          <w:b/>
          <w:u w:val="single"/>
          <w:lang w:eastAsia="el-GR"/>
        </w:rPr>
        <w:t xml:space="preserve"> </w:t>
      </w:r>
      <w:r w:rsidR="004A3A31">
        <w:rPr>
          <w:rFonts w:ascii="Times New Roman" w:eastAsia="CIDFont+F3" w:hAnsi="Times New Roman" w:cs="Times New Roman"/>
          <w:b/>
          <w:u w:val="single"/>
          <w:lang w:eastAsia="el-GR"/>
        </w:rPr>
        <w:t>krivka</w:t>
      </w:r>
      <w:r w:rsidRPr="00FA71C1">
        <w:rPr>
          <w:rFonts w:ascii="Times New Roman" w:eastAsia="CIDFont+F3" w:hAnsi="Times New Roman" w:cs="Times New Roman"/>
          <w:b/>
          <w:u w:val="single"/>
          <w:lang w:eastAsia="el-GR"/>
        </w:rPr>
        <w:t xml:space="preserve"> PFS v štúdii 3. fázy s </w:t>
      </w:r>
      <w:proofErr w:type="spellStart"/>
      <w:r w:rsidRPr="00FA71C1">
        <w:rPr>
          <w:rFonts w:ascii="Times New Roman" w:eastAsia="CIDFont+F3" w:hAnsi="Times New Roman" w:cs="Times New Roman"/>
          <w:b/>
          <w:u w:val="single"/>
          <w:lang w:eastAsia="el-GR"/>
        </w:rPr>
        <w:t>pNET</w:t>
      </w:r>
      <w:proofErr w:type="spellEnd"/>
    </w:p>
    <w:p w14:paraId="36A74179" w14:textId="77777777" w:rsidR="00355DF2" w:rsidRPr="00FA71C1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498795A6" w14:textId="77777777" w:rsidR="00355DF2" w:rsidRPr="00FA71C1" w:rsidRDefault="007F450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noProof/>
          <w:lang w:eastAsia="sk-SK"/>
        </w:rPr>
        <w:drawing>
          <wp:inline distT="0" distB="0" distL="0" distR="0" wp14:anchorId="6E3D8942" wp14:editId="49C78D4E">
            <wp:extent cx="4562475" cy="33242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E136" w14:textId="77777777" w:rsidR="007F450E" w:rsidRPr="00FA71C1" w:rsidRDefault="007F450E" w:rsidP="007F450E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l-GR"/>
        </w:rPr>
      </w:pPr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>Skratky: CI = interval spoľahlivosti; N = počet pacientov; PFS = prežívanie bez progresie;</w:t>
      </w:r>
    </w:p>
    <w:p w14:paraId="11C0C1A4" w14:textId="77777777" w:rsidR="00355DF2" w:rsidRPr="00FA71C1" w:rsidRDefault="007F450E" w:rsidP="007F450E">
      <w:pPr>
        <w:tabs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lang w:eastAsia="el-GR"/>
        </w:rPr>
      </w:pPr>
      <w:proofErr w:type="spellStart"/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>pNET</w:t>
      </w:r>
      <w:proofErr w:type="spellEnd"/>
      <w:r w:rsidRPr="00FA71C1">
        <w:rPr>
          <w:rFonts w:ascii="Times New Roman" w:eastAsia="TimesNewRomanPSMT" w:hAnsi="Times New Roman" w:cs="Times New Roman"/>
          <w:sz w:val="20"/>
          <w:szCs w:val="20"/>
          <w:lang w:eastAsia="el-GR"/>
        </w:rPr>
        <w:t xml:space="preserve"> = pankreatické neuroendokrinné nádory.</w:t>
      </w:r>
    </w:p>
    <w:p w14:paraId="2AD16F25" w14:textId="77777777" w:rsidR="007F450E" w:rsidRPr="00FA71C1" w:rsidRDefault="007F450E" w:rsidP="007F450E">
      <w:pPr>
        <w:tabs>
          <w:tab w:val="left" w:pos="567"/>
        </w:tabs>
        <w:spacing w:after="0" w:line="240" w:lineRule="auto"/>
        <w:jc w:val="both"/>
        <w:rPr>
          <w:rFonts w:ascii="TimesNewRomanPSMT" w:eastAsia="TimesNewRomanPSMT" w:hAnsi="Times New Roman" w:cs="TimesNewRomanPSMT"/>
          <w:sz w:val="19"/>
          <w:szCs w:val="19"/>
          <w:lang w:eastAsia="el-GR"/>
        </w:rPr>
      </w:pPr>
    </w:p>
    <w:p w14:paraId="3FA1AB9E" w14:textId="48E35F4B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Údaje o OS neboli zrelé v čase ukončenia štúdie [20,6 mesiacov (95% Cl: 20,6; NR) pre </w:t>
      </w:r>
      <w:r w:rsidR="004A3A31">
        <w:rPr>
          <w:rFonts w:ascii="Times New Roman" w:eastAsia="Times New Roman" w:hAnsi="Times New Roman" w:cs="Times New Roman"/>
        </w:rPr>
        <w:t>skupinu</w:t>
      </w:r>
      <w:r w:rsidRPr="00FA71C1">
        <w:rPr>
          <w:rFonts w:ascii="Times New Roman" w:eastAsia="Times New Roman" w:hAnsi="Times New Roman" w:cs="Times New Roman"/>
        </w:rPr>
        <w:t xml:space="preserve"> so</w:t>
      </w:r>
    </w:p>
    <w:p w14:paraId="3841A9AF" w14:textId="55CB8D1F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porovnaní s NR (95% Cl: 15,5; NR) pre </w:t>
      </w:r>
      <w:r w:rsidR="004A3A31">
        <w:rPr>
          <w:rFonts w:ascii="Times New Roman" w:eastAsia="Times New Roman" w:hAnsi="Times New Roman" w:cs="Times New Roman"/>
        </w:rPr>
        <w:t>skupinu</w:t>
      </w:r>
      <w:r w:rsidRPr="00FA71C1">
        <w:rPr>
          <w:rFonts w:ascii="Times New Roman" w:eastAsia="Times New Roman" w:hAnsi="Times New Roman" w:cs="Times New Roman"/>
        </w:rPr>
        <w:t xml:space="preserve"> s placebom, HR: 0,409 (95% Cl: 0,187;</w:t>
      </w:r>
    </w:p>
    <w:p w14:paraId="4A177DE2" w14:textId="77777777" w:rsidR="00355DF2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0,894), p = 0,204]. V ramene so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sa vyskytlo 9 úmrtí a v ramene s placebom 21 úmrtí.</w:t>
      </w:r>
    </w:p>
    <w:p w14:paraId="024522BE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528C1F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Po progresii ochorenia boli pacienti odslepení a pacientom, ktorí užívali placebo, bola ponúknutá</w:t>
      </w:r>
    </w:p>
    <w:p w14:paraId="46D6447A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nezaslepená liečba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samostatnej pokračovacej štúdii. V dôsledku predčasného ukončenia</w:t>
      </w:r>
    </w:p>
    <w:p w14:paraId="250DC42E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lastRenderedPageBreak/>
        <w:t>štúdie bola liečba ostávajúcich pacientov odslepená a bola im ponúknutá nezaslepená liečba</w:t>
      </w:r>
    </w:p>
    <w:p w14:paraId="1C2BD39B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v pokračovacej štúdii. Celkovo 59 z 85 pacientov (69,4%) z ramena s placebom prešlo na</w:t>
      </w:r>
    </w:p>
    <w:p w14:paraId="5861B24E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 xml:space="preserve">nezaslepenú liečbu </w:t>
      </w:r>
      <w:proofErr w:type="spellStart"/>
      <w:r w:rsidRPr="00FA71C1">
        <w:rPr>
          <w:rFonts w:ascii="Times New Roman" w:eastAsia="Times New Roman" w:hAnsi="Times New Roman" w:cs="Times New Roman"/>
        </w:rPr>
        <w:t>sunitinibom</w:t>
      </w:r>
      <w:proofErr w:type="spellEnd"/>
      <w:r w:rsidRPr="00FA71C1">
        <w:rPr>
          <w:rFonts w:ascii="Times New Roman" w:eastAsia="Times New Roman" w:hAnsi="Times New Roman" w:cs="Times New Roman"/>
        </w:rPr>
        <w:t xml:space="preserve"> po progresii ochorenia alebo pri odslepení v čase predčasného</w:t>
      </w:r>
    </w:p>
    <w:p w14:paraId="370241BD" w14:textId="77777777" w:rsidR="00FA71C1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ukončenia. OS pozorované po 5 rokoch sledovania v pokračujúcej štúdii preukázalo HR 0,730 (95%</w:t>
      </w:r>
    </w:p>
    <w:p w14:paraId="6CA0BC9C" w14:textId="77777777" w:rsidR="00355DF2" w:rsidRPr="00FA71C1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71C1">
        <w:rPr>
          <w:rFonts w:ascii="Times New Roman" w:eastAsia="Times New Roman" w:hAnsi="Times New Roman" w:cs="Times New Roman"/>
        </w:rPr>
        <w:t>Cl: 0,504; 1,057).</w:t>
      </w:r>
    </w:p>
    <w:p w14:paraId="6D709B6A" w14:textId="77777777" w:rsidR="00FA71C1" w:rsidRPr="00355DF2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14071D55" w14:textId="77777777" w:rsidR="00FA71C1" w:rsidRPr="00A73707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Výsledky dotazníka kvality života od Európskej organizácie pre výskum a liečbu rakoviny (</w:t>
      </w:r>
      <w:proofErr w:type="spellStart"/>
      <w:r w:rsidRPr="00A73707">
        <w:rPr>
          <w:rFonts w:ascii="Times New Roman" w:eastAsia="Times New Roman" w:hAnsi="Times New Roman" w:cs="Times New Roman"/>
        </w:rPr>
        <w:t>European</w:t>
      </w:r>
      <w:proofErr w:type="spellEnd"/>
    </w:p>
    <w:p w14:paraId="6FFD080A" w14:textId="77777777" w:rsidR="00FA71C1" w:rsidRPr="00A73707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Organization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for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Research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A73707">
        <w:rPr>
          <w:rFonts w:ascii="Times New Roman" w:eastAsia="Times New Roman" w:hAnsi="Times New Roman" w:cs="Times New Roman"/>
        </w:rPr>
        <w:t>Treatment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A73707">
        <w:rPr>
          <w:rFonts w:ascii="Times New Roman" w:eastAsia="Times New Roman" w:hAnsi="Times New Roman" w:cs="Times New Roman"/>
        </w:rPr>
        <w:t>Cancer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Quality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A73707">
        <w:rPr>
          <w:rFonts w:ascii="Times New Roman" w:eastAsia="Times New Roman" w:hAnsi="Times New Roman" w:cs="Times New Roman"/>
        </w:rPr>
        <w:t>Life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Questionnaire</w:t>
      </w:r>
      <w:proofErr w:type="spellEnd"/>
      <w:r w:rsidRPr="00A73707">
        <w:rPr>
          <w:rFonts w:ascii="Times New Roman" w:eastAsia="Times New Roman" w:hAnsi="Times New Roman" w:cs="Times New Roman"/>
        </w:rPr>
        <w:t>, EORTC QLQ-C-</w:t>
      </w:r>
    </w:p>
    <w:p w14:paraId="592A5062" w14:textId="77777777" w:rsidR="00FA71C1" w:rsidRPr="00A73707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30) ukázali, že celková všeobecná so zdravím súvisiaca kvalita života a 5 funkčných domén (fyzická,</w:t>
      </w:r>
    </w:p>
    <w:p w14:paraId="475A970B" w14:textId="77777777" w:rsidR="00FA71C1" w:rsidRPr="00A73707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funkčná, kognitívna, emočná a sociálna) sa zachovali u pacientov liečených </w:t>
      </w:r>
      <w:proofErr w:type="spellStart"/>
      <w:r w:rsidRPr="00A73707">
        <w:rPr>
          <w:rFonts w:ascii="Times New Roman" w:eastAsia="Times New Roman" w:hAnsi="Times New Roman" w:cs="Times New Roman"/>
        </w:rPr>
        <w:t>sunitinibom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v porovnaní</w:t>
      </w:r>
    </w:p>
    <w:p w14:paraId="796159DC" w14:textId="77777777" w:rsidR="00355DF2" w:rsidRPr="00A73707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s placebom s obmedzenými nežiaducimi symptomatickými prejavmi.</w:t>
      </w:r>
    </w:p>
    <w:p w14:paraId="26C13719" w14:textId="77777777" w:rsidR="00FA71C1" w:rsidRPr="00A73707" w:rsidRDefault="00FA71C1" w:rsidP="00FA71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6B7C64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Vykonala sa medzinárodná, </w:t>
      </w:r>
      <w:proofErr w:type="spellStart"/>
      <w:r w:rsidRPr="00A73707">
        <w:rPr>
          <w:rFonts w:ascii="Times New Roman" w:eastAsia="Times New Roman" w:hAnsi="Times New Roman" w:cs="Times New Roman"/>
        </w:rPr>
        <w:t>multicentrická</w:t>
      </w:r>
      <w:proofErr w:type="spellEnd"/>
      <w:r w:rsidRPr="00A73707">
        <w:rPr>
          <w:rFonts w:ascii="Times New Roman" w:eastAsia="Times New Roman" w:hAnsi="Times New Roman" w:cs="Times New Roman"/>
        </w:rPr>
        <w:t>, jednoramenná, otvorená štúdia fázy 4 hodnotiaca účinnosť</w:t>
      </w:r>
    </w:p>
    <w:p w14:paraId="7F8FFF03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a bezpečnosť </w:t>
      </w:r>
      <w:proofErr w:type="spellStart"/>
      <w:r w:rsidRPr="00A73707">
        <w:rPr>
          <w:rFonts w:ascii="Times New Roman" w:eastAsia="Times New Roman" w:hAnsi="Times New Roman" w:cs="Times New Roman"/>
        </w:rPr>
        <w:t>sunitinibu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u pacientov s </w:t>
      </w:r>
      <w:proofErr w:type="spellStart"/>
      <w:r w:rsidRPr="00A73707">
        <w:rPr>
          <w:rFonts w:ascii="Times New Roman" w:eastAsia="Times New Roman" w:hAnsi="Times New Roman" w:cs="Times New Roman"/>
        </w:rPr>
        <w:t>progredujúcim</w:t>
      </w:r>
      <w:proofErr w:type="spellEnd"/>
      <w:r w:rsidRPr="00A73707">
        <w:rPr>
          <w:rFonts w:ascii="Times New Roman" w:eastAsia="Times New Roman" w:hAnsi="Times New Roman" w:cs="Times New Roman"/>
        </w:rPr>
        <w:t>, pokročilým/metastatickým, dobre</w:t>
      </w:r>
    </w:p>
    <w:p w14:paraId="52370B80" w14:textId="77777777" w:rsidR="00355DF2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diferencovaným, </w:t>
      </w:r>
      <w:proofErr w:type="spellStart"/>
      <w:r w:rsidRPr="00A73707">
        <w:rPr>
          <w:rFonts w:ascii="Times New Roman" w:eastAsia="Times New Roman" w:hAnsi="Times New Roman" w:cs="Times New Roman"/>
        </w:rPr>
        <w:t>neresekovateľným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pNET</w:t>
      </w:r>
      <w:proofErr w:type="spellEnd"/>
      <w:r w:rsidRPr="00A73707">
        <w:rPr>
          <w:rFonts w:ascii="Times New Roman" w:eastAsia="Times New Roman" w:hAnsi="Times New Roman" w:cs="Times New Roman"/>
        </w:rPr>
        <w:t>.</w:t>
      </w:r>
    </w:p>
    <w:p w14:paraId="24C11F9E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E6BC61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106 pacientov (61 pacientov v kohorte bez predchádzajúcej liečby a 45 pacientov v kohorte</w:t>
      </w:r>
    </w:p>
    <w:p w14:paraId="71D58FC1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neskoršej línie) dostalo perorálne liečbu </w:t>
      </w:r>
      <w:proofErr w:type="spellStart"/>
      <w:r w:rsidRPr="00A73707">
        <w:rPr>
          <w:rFonts w:ascii="Times New Roman" w:eastAsia="Times New Roman" w:hAnsi="Times New Roman" w:cs="Times New Roman"/>
        </w:rPr>
        <w:t>sunitinibom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s dávkou 37,5 mg jedenkrát denne v režime</w:t>
      </w:r>
    </w:p>
    <w:p w14:paraId="28F8D9FF" w14:textId="77777777" w:rsidR="00355DF2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kontinuálneho denného dávkovania (CDD – </w:t>
      </w:r>
      <w:proofErr w:type="spellStart"/>
      <w:r w:rsidRPr="00A73707">
        <w:rPr>
          <w:rFonts w:ascii="Times New Roman" w:eastAsia="Times New Roman" w:hAnsi="Times New Roman" w:cs="Times New Roman"/>
        </w:rPr>
        <w:t>continuous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daily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3707">
        <w:rPr>
          <w:rFonts w:ascii="Times New Roman" w:eastAsia="Times New Roman" w:hAnsi="Times New Roman" w:cs="Times New Roman"/>
        </w:rPr>
        <w:t>dosing</w:t>
      </w:r>
      <w:proofErr w:type="spellEnd"/>
      <w:r w:rsidRPr="00A73707">
        <w:rPr>
          <w:rFonts w:ascii="Times New Roman" w:eastAsia="Times New Roman" w:hAnsi="Times New Roman" w:cs="Times New Roman"/>
        </w:rPr>
        <w:t>).</w:t>
      </w:r>
    </w:p>
    <w:p w14:paraId="6DCFE147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02523C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Medián PFS hodnotený skúšajúcim lekárom bol 13,2 mesiaca v celkovej populácii (95 % CI: 10,9;</w:t>
      </w:r>
    </w:p>
    <w:p w14:paraId="0319A1F1" w14:textId="77777777" w:rsidR="00355DF2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16,7) aj v kohorte bez predchádzajúcej liečby (95 % CI: 7,4; 16,8).</w:t>
      </w:r>
    </w:p>
    <w:p w14:paraId="09663B5F" w14:textId="77777777" w:rsidR="005F220C" w:rsidRPr="00A73707" w:rsidRDefault="005F220C" w:rsidP="005F22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 w:color="000000"/>
        </w:rPr>
      </w:pPr>
    </w:p>
    <w:p w14:paraId="3200746C" w14:textId="77777777" w:rsidR="00355DF2" w:rsidRPr="00A73707" w:rsidRDefault="005F220C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  <w:u w:val="single" w:color="000000"/>
        </w:rPr>
        <w:t>Pediatrická populácia</w:t>
      </w:r>
    </w:p>
    <w:p w14:paraId="567F1396" w14:textId="77777777" w:rsidR="00355DF2" w:rsidRPr="00A73707" w:rsidRDefault="005F220C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Skúsenosti s používaním </w:t>
      </w:r>
      <w:proofErr w:type="spellStart"/>
      <w:r w:rsidRPr="00A73707">
        <w:rPr>
          <w:rFonts w:ascii="Times New Roman" w:eastAsia="Times New Roman" w:hAnsi="Times New Roman" w:cs="Times New Roman"/>
        </w:rPr>
        <w:t>sunitinibu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u pediatrických pacientov sú obmedzené (pozri časť 4.2).</w:t>
      </w:r>
    </w:p>
    <w:p w14:paraId="641F5392" w14:textId="77777777" w:rsidR="005F220C" w:rsidRPr="00A73707" w:rsidRDefault="005F220C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D5E3C1" w14:textId="7CF1C609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Štúdia fázy I so zvyšujúcou sa dávkou perorálneho </w:t>
      </w:r>
      <w:proofErr w:type="spellStart"/>
      <w:r w:rsidRPr="00A73707">
        <w:rPr>
          <w:rFonts w:ascii="Times New Roman" w:eastAsia="Times New Roman" w:hAnsi="Times New Roman" w:cs="Times New Roman"/>
        </w:rPr>
        <w:t>sunitinibu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sa uskutoč</w:t>
      </w:r>
      <w:r w:rsidR="004A3A31">
        <w:rPr>
          <w:rFonts w:ascii="Times New Roman" w:eastAsia="Times New Roman" w:hAnsi="Times New Roman" w:cs="Times New Roman"/>
        </w:rPr>
        <w:t>n</w:t>
      </w:r>
      <w:r w:rsidRPr="00A73707">
        <w:rPr>
          <w:rFonts w:ascii="Times New Roman" w:eastAsia="Times New Roman" w:hAnsi="Times New Roman" w:cs="Times New Roman"/>
        </w:rPr>
        <w:t>ila u 35 pacientov, pričom</w:t>
      </w:r>
    </w:p>
    <w:p w14:paraId="488F232D" w14:textId="77777777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30 bolo pediatrických pacientov (vo veku 3 -17 rokov) a 5 mladých dospelých pacientov (vo veku</w:t>
      </w:r>
    </w:p>
    <w:p w14:paraId="36455ACD" w14:textId="530D3D4F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18 - 21 rokov), s </w:t>
      </w:r>
      <w:proofErr w:type="spellStart"/>
      <w:r w:rsidRPr="00A73707">
        <w:rPr>
          <w:rFonts w:ascii="Times New Roman" w:eastAsia="Times New Roman" w:hAnsi="Times New Roman" w:cs="Times New Roman"/>
        </w:rPr>
        <w:t>refraktérnymi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</w:t>
      </w:r>
      <w:r w:rsidR="004A3A31">
        <w:rPr>
          <w:rFonts w:ascii="Times New Roman" w:eastAsia="Times New Roman" w:hAnsi="Times New Roman" w:cs="Times New Roman"/>
        </w:rPr>
        <w:t xml:space="preserve">solídnymi </w:t>
      </w:r>
      <w:r w:rsidRPr="00A73707">
        <w:rPr>
          <w:rFonts w:ascii="Times New Roman" w:eastAsia="Times New Roman" w:hAnsi="Times New Roman" w:cs="Times New Roman"/>
        </w:rPr>
        <w:t>nádormi, pričom väčšina z nich mala pri zaradení do štúdie primárne</w:t>
      </w:r>
    </w:p>
    <w:p w14:paraId="1DB94211" w14:textId="77777777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diagnostikovaný mozgový nádor. V prvej časti štúdie sa pozorovala dávku obmedzujúca</w:t>
      </w:r>
    </w:p>
    <w:p w14:paraId="6728469D" w14:textId="77777777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kardiotoxicita</w:t>
      </w:r>
      <w:proofErr w:type="spellEnd"/>
      <w:r w:rsidRPr="00A73707">
        <w:rPr>
          <w:rFonts w:ascii="Times New Roman" w:eastAsia="Times New Roman" w:hAnsi="Times New Roman" w:cs="Times New Roman"/>
        </w:rPr>
        <w:t>, a preto sa štúdia zmenila tak, aby sa vylúčili pacienti, ktorí boli predtým vystavení</w:t>
      </w:r>
    </w:p>
    <w:p w14:paraId="0F29D6F8" w14:textId="77777777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potenciálne </w:t>
      </w:r>
      <w:proofErr w:type="spellStart"/>
      <w:r w:rsidRPr="00A73707">
        <w:rPr>
          <w:rFonts w:ascii="Times New Roman" w:eastAsia="Times New Roman" w:hAnsi="Times New Roman" w:cs="Times New Roman"/>
        </w:rPr>
        <w:t>kardiotoxickým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terapiám (vrátane </w:t>
      </w:r>
      <w:proofErr w:type="spellStart"/>
      <w:r w:rsidRPr="00A73707">
        <w:rPr>
          <w:rFonts w:ascii="Times New Roman" w:eastAsia="Times New Roman" w:hAnsi="Times New Roman" w:cs="Times New Roman"/>
        </w:rPr>
        <w:t>antracyklínov</w:t>
      </w:r>
      <w:proofErr w:type="spellEnd"/>
      <w:r w:rsidRPr="00A73707">
        <w:rPr>
          <w:rFonts w:ascii="Times New Roman" w:eastAsia="Times New Roman" w:hAnsi="Times New Roman" w:cs="Times New Roman"/>
        </w:rPr>
        <w:t>) alebo ožarovaniu srdca. V druhej časti</w:t>
      </w:r>
    </w:p>
    <w:p w14:paraId="5328AB14" w14:textId="77777777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štúdie, do ktorej boli zahrnutí pacienti s predchádzajúcou </w:t>
      </w:r>
      <w:proofErr w:type="spellStart"/>
      <w:r w:rsidRPr="00A73707">
        <w:rPr>
          <w:rFonts w:ascii="Times New Roman" w:eastAsia="Times New Roman" w:hAnsi="Times New Roman" w:cs="Times New Roman"/>
        </w:rPr>
        <w:t>protinádorovou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liečbou, ale bez rizikových</w:t>
      </w:r>
    </w:p>
    <w:p w14:paraId="5A3806F0" w14:textId="77777777" w:rsidR="00CA3FB1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faktorov srdcovej toxicity, bol </w:t>
      </w:r>
      <w:proofErr w:type="spellStart"/>
      <w:r w:rsidRPr="00A73707">
        <w:rPr>
          <w:rFonts w:ascii="Times New Roman" w:eastAsia="Times New Roman" w:hAnsi="Times New Roman" w:cs="Times New Roman"/>
        </w:rPr>
        <w:t>sunitinib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vo všeobecnosti tolerovateľný a klinicky </w:t>
      </w:r>
      <w:proofErr w:type="spellStart"/>
      <w:r w:rsidRPr="00A73707">
        <w:rPr>
          <w:rFonts w:ascii="Times New Roman" w:eastAsia="Times New Roman" w:hAnsi="Times New Roman" w:cs="Times New Roman"/>
        </w:rPr>
        <w:t>manažovateľný</w:t>
      </w:r>
      <w:proofErr w:type="spellEnd"/>
    </w:p>
    <w:p w14:paraId="061F4CF5" w14:textId="799A69D2" w:rsidR="00355DF2" w:rsidRPr="00A73707" w:rsidRDefault="00CA3FB1" w:rsidP="00CA3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v dávke 15 mg/m</w:t>
      </w:r>
      <w:r w:rsidRPr="00A73707">
        <w:rPr>
          <w:rFonts w:ascii="Times New Roman" w:eastAsia="Times New Roman" w:hAnsi="Times New Roman" w:cs="Times New Roman"/>
          <w:vertAlign w:val="superscript"/>
        </w:rPr>
        <w:t>2</w:t>
      </w:r>
      <w:r w:rsidRPr="00A73707">
        <w:rPr>
          <w:rFonts w:ascii="Times New Roman" w:eastAsia="Times New Roman" w:hAnsi="Times New Roman" w:cs="Times New Roman"/>
        </w:rPr>
        <w:t xml:space="preserve"> denne (</w:t>
      </w:r>
      <w:r w:rsidR="004A3A31">
        <w:rPr>
          <w:rFonts w:ascii="Times New Roman" w:eastAsia="Times New Roman" w:hAnsi="Times New Roman" w:cs="Times New Roman"/>
        </w:rPr>
        <w:t xml:space="preserve">maximálna tolerovaná dávka, </w:t>
      </w:r>
      <w:r w:rsidRPr="00A73707">
        <w:rPr>
          <w:rFonts w:ascii="Times New Roman" w:eastAsia="Times New Roman" w:hAnsi="Times New Roman" w:cs="Times New Roman"/>
        </w:rPr>
        <w:t>MTD) v Schéme 4/2. U žiadneho zo subjektov sa nedosiahla kompletná</w:t>
      </w:r>
      <w:r w:rsidR="004A3A31">
        <w:rPr>
          <w:rFonts w:ascii="Times New Roman" w:eastAsia="Times New Roman" w:hAnsi="Times New Roman" w:cs="Times New Roman"/>
        </w:rPr>
        <w:t xml:space="preserve"> </w:t>
      </w:r>
      <w:r w:rsidRPr="00A73707">
        <w:rPr>
          <w:rFonts w:ascii="Times New Roman" w:eastAsia="Times New Roman" w:hAnsi="Times New Roman" w:cs="Times New Roman"/>
        </w:rPr>
        <w:t>odpoveď alebo čiastočná odpoveď. Stabilizované ochorenie sa pozorovalo u 6 pacientov (17 %). Jeden</w:t>
      </w:r>
      <w:r w:rsidR="004A3A31">
        <w:rPr>
          <w:rFonts w:ascii="Times New Roman" w:eastAsia="Times New Roman" w:hAnsi="Times New Roman" w:cs="Times New Roman"/>
        </w:rPr>
        <w:t xml:space="preserve"> </w:t>
      </w:r>
      <w:r w:rsidRPr="00A73707">
        <w:rPr>
          <w:rFonts w:ascii="Times New Roman" w:eastAsia="Times New Roman" w:hAnsi="Times New Roman" w:cs="Times New Roman"/>
        </w:rPr>
        <w:t>pacient s GIST sa zapojil do štúdie na dávkovej úrovni 15 mg/m</w:t>
      </w:r>
      <w:r w:rsidRPr="00A73707">
        <w:rPr>
          <w:rFonts w:ascii="Times New Roman" w:eastAsia="Times New Roman" w:hAnsi="Times New Roman" w:cs="Times New Roman"/>
          <w:vertAlign w:val="superscript"/>
        </w:rPr>
        <w:t>2</w:t>
      </w:r>
      <w:r w:rsidRPr="00A73707">
        <w:rPr>
          <w:rFonts w:ascii="Times New Roman" w:eastAsia="Times New Roman" w:hAnsi="Times New Roman" w:cs="Times New Roman"/>
        </w:rPr>
        <w:t>, pričom sa nedokázal žiadny prínos</w:t>
      </w:r>
      <w:r w:rsidR="004A3A31">
        <w:rPr>
          <w:rFonts w:ascii="Times New Roman" w:eastAsia="Times New Roman" w:hAnsi="Times New Roman" w:cs="Times New Roman"/>
        </w:rPr>
        <w:t xml:space="preserve"> </w:t>
      </w:r>
      <w:r w:rsidRPr="00A73707">
        <w:rPr>
          <w:rFonts w:ascii="Times New Roman" w:eastAsia="Times New Roman" w:hAnsi="Times New Roman" w:cs="Times New Roman"/>
        </w:rPr>
        <w:t>terapie. Celkovo sa pozorovali podobné nežiaduce reakcie na liek ako u dospelých (pozri časť 4.8).</w:t>
      </w:r>
    </w:p>
    <w:p w14:paraId="79D7F937" w14:textId="77777777" w:rsidR="00355DF2" w:rsidRPr="00A73707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80A53E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Otvorená štúdia fázy 2 sa uskutočnila u 29 pacientov, pričom 27 bolo pediatrických pacientov (vo</w:t>
      </w:r>
    </w:p>
    <w:p w14:paraId="7B503BDF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veku 3 - 16 rokov) a 2 boli mladí dospelí pacienti (vo veku 18 - 19 rokov), s HGG alebo</w:t>
      </w:r>
    </w:p>
    <w:p w14:paraId="5015E00F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ependymómom</w:t>
      </w:r>
      <w:proofErr w:type="spellEnd"/>
      <w:r w:rsidRPr="00A73707">
        <w:rPr>
          <w:rFonts w:ascii="Times New Roman" w:eastAsia="Times New Roman" w:hAnsi="Times New Roman" w:cs="Times New Roman"/>
        </w:rPr>
        <w:t>. Štúdia bola uzatvorená v čase plánovanej predbežnej analýzy kvôli nedostatočnej</w:t>
      </w:r>
    </w:p>
    <w:p w14:paraId="724177A3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kontrole ochorenia. Medián PFS bol 2,3 mesiaca v skupine HGG a 2,7 mesiaca v skupine</w:t>
      </w:r>
    </w:p>
    <w:p w14:paraId="5497A066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ependymómu</w:t>
      </w:r>
      <w:proofErr w:type="spellEnd"/>
      <w:r w:rsidRPr="00A73707">
        <w:rPr>
          <w:rFonts w:ascii="Times New Roman" w:eastAsia="Times New Roman" w:hAnsi="Times New Roman" w:cs="Times New Roman"/>
        </w:rPr>
        <w:t>. Medián celkového OS bol 5,1 mesiaca v skupine HGG a 12,3 mesiaca v skupine</w:t>
      </w:r>
    </w:p>
    <w:p w14:paraId="57F15061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ependymómu</w:t>
      </w:r>
      <w:proofErr w:type="spellEnd"/>
      <w:r w:rsidRPr="00A73707">
        <w:rPr>
          <w:rFonts w:ascii="Times New Roman" w:eastAsia="Times New Roman" w:hAnsi="Times New Roman" w:cs="Times New Roman"/>
        </w:rPr>
        <w:t>. Najbežnejšími (≥ 10 %) hlásenými nežiaducimi udalosťami súvisiacimi s liečbou</w:t>
      </w:r>
    </w:p>
    <w:p w14:paraId="5FA58595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u pacientov v oboch skupinách dohromady boli pokles počtu </w:t>
      </w:r>
      <w:proofErr w:type="spellStart"/>
      <w:r w:rsidRPr="00A73707">
        <w:rPr>
          <w:rFonts w:ascii="Times New Roman" w:eastAsia="Times New Roman" w:hAnsi="Times New Roman" w:cs="Times New Roman"/>
        </w:rPr>
        <w:t>neutrofilov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(6 pacientov [20,7 %]) a</w:t>
      </w:r>
    </w:p>
    <w:p w14:paraId="6C0297FE" w14:textId="77777777" w:rsidR="00355DF2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vnútrolebečné krvácanie (3 pacienti [10,3 %]) (pozri časť 4.8).</w:t>
      </w:r>
    </w:p>
    <w:p w14:paraId="3A8DD692" w14:textId="77777777" w:rsidR="00553D37" w:rsidRPr="00A73707" w:rsidRDefault="00553D37" w:rsidP="00553D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6D7D12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Z údajov zo štúdie fázy 1/2 s perorálnym </w:t>
      </w:r>
      <w:proofErr w:type="spellStart"/>
      <w:r w:rsidRPr="00A73707">
        <w:rPr>
          <w:rFonts w:ascii="Times New Roman" w:eastAsia="Times New Roman" w:hAnsi="Times New Roman" w:cs="Times New Roman"/>
        </w:rPr>
        <w:t>sunitinibom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uskutočnenej u 6 pediatrických pacientov</w:t>
      </w:r>
    </w:p>
    <w:p w14:paraId="79641A2A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s GIST vo veku 13 rokov - 16 rokov, ktorí dostávali </w:t>
      </w:r>
      <w:proofErr w:type="spellStart"/>
      <w:r w:rsidRPr="00A73707">
        <w:rPr>
          <w:rFonts w:ascii="Times New Roman" w:eastAsia="Times New Roman" w:hAnsi="Times New Roman" w:cs="Times New Roman"/>
        </w:rPr>
        <w:t>sunitinib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v schéme 4/2 v dávkach medzi</w:t>
      </w:r>
    </w:p>
    <w:p w14:paraId="104CBC90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15 mg/m2 denne a 30 mg/m</w:t>
      </w:r>
      <w:r w:rsidRPr="00A73707">
        <w:rPr>
          <w:rFonts w:ascii="Times New Roman" w:eastAsia="Times New Roman" w:hAnsi="Times New Roman" w:cs="Times New Roman"/>
          <w:vertAlign w:val="superscript"/>
        </w:rPr>
        <w:t>2</w:t>
      </w:r>
      <w:r w:rsidRPr="00A73707">
        <w:rPr>
          <w:rFonts w:ascii="Times New Roman" w:eastAsia="Times New Roman" w:hAnsi="Times New Roman" w:cs="Times New Roman"/>
        </w:rPr>
        <w:t xml:space="preserve"> denne, a z dostupných publikovaných údajov (20 pediatrických pacientov</w:t>
      </w:r>
    </w:p>
    <w:p w14:paraId="6AEAAB2A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alebo mladých dospelých pacientov s GIST) vyplynulo, že liečba </w:t>
      </w:r>
      <w:proofErr w:type="spellStart"/>
      <w:r w:rsidRPr="00A73707">
        <w:rPr>
          <w:rFonts w:ascii="Times New Roman" w:eastAsia="Times New Roman" w:hAnsi="Times New Roman" w:cs="Times New Roman"/>
        </w:rPr>
        <w:t>sunitinibom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viedla k stabilizácii</w:t>
      </w:r>
    </w:p>
    <w:p w14:paraId="47B555B4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ochorenia u 18 z 26 (69,2 %) pacientov buď po zlyhaní </w:t>
      </w:r>
      <w:proofErr w:type="spellStart"/>
      <w:r w:rsidRPr="00A73707">
        <w:rPr>
          <w:rFonts w:ascii="Times New Roman" w:eastAsia="Times New Roman" w:hAnsi="Times New Roman" w:cs="Times New Roman"/>
        </w:rPr>
        <w:t>imatinibu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či jeho neznášanlivosti</w:t>
      </w:r>
    </w:p>
    <w:p w14:paraId="12A5C684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(16 pacientov so stabilným ochorením z 21), alebo de novo/po operácii (2 pacienti so stabilným</w:t>
      </w:r>
    </w:p>
    <w:p w14:paraId="7CBD6D8C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lastRenderedPageBreak/>
        <w:t>ochorením z 5). V štúdii fázy 1/2 sa stabilné ochorenie a progresia ochorenia pozorovali každé u 3 zo</w:t>
      </w:r>
    </w:p>
    <w:p w14:paraId="0A208B86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6 pacientov (1 pacient dostával </w:t>
      </w:r>
      <w:proofErr w:type="spellStart"/>
      <w:r w:rsidRPr="00A73707">
        <w:rPr>
          <w:rFonts w:ascii="Times New Roman" w:eastAsia="Times New Roman" w:hAnsi="Times New Roman" w:cs="Times New Roman"/>
        </w:rPr>
        <w:t>imatinib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ako </w:t>
      </w:r>
      <w:proofErr w:type="spellStart"/>
      <w:r w:rsidRPr="00A73707">
        <w:rPr>
          <w:rFonts w:ascii="Times New Roman" w:eastAsia="Times New Roman" w:hAnsi="Times New Roman" w:cs="Times New Roman"/>
        </w:rPr>
        <w:t>neoadjuvantnú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liečbu a 1 pacient dostával </w:t>
      </w:r>
      <w:proofErr w:type="spellStart"/>
      <w:r w:rsidRPr="00A73707">
        <w:rPr>
          <w:rFonts w:ascii="Times New Roman" w:eastAsia="Times New Roman" w:hAnsi="Times New Roman" w:cs="Times New Roman"/>
        </w:rPr>
        <w:t>imatinib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ako</w:t>
      </w:r>
    </w:p>
    <w:p w14:paraId="1D954A4E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adjuvantnú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liečbu). V tejto štúdii sa u 4 zo 6 pacientov (66,7 %) vyskytli nežiaduce udalosti súvisiace</w:t>
      </w:r>
    </w:p>
    <w:p w14:paraId="035055C7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s liečbou 3. – 4. stupňa (3. stupňa boli </w:t>
      </w:r>
      <w:proofErr w:type="spellStart"/>
      <w:r w:rsidRPr="00A73707">
        <w:rPr>
          <w:rFonts w:ascii="Times New Roman" w:eastAsia="Times New Roman" w:hAnsi="Times New Roman" w:cs="Times New Roman"/>
        </w:rPr>
        <w:t>hypofosfatémia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73707">
        <w:rPr>
          <w:rFonts w:ascii="Times New Roman" w:eastAsia="Times New Roman" w:hAnsi="Times New Roman" w:cs="Times New Roman"/>
        </w:rPr>
        <w:t>neutropénia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73707">
        <w:rPr>
          <w:rFonts w:ascii="Times New Roman" w:eastAsia="Times New Roman" w:hAnsi="Times New Roman" w:cs="Times New Roman"/>
        </w:rPr>
        <w:t>trombocytopénia</w:t>
      </w:r>
      <w:proofErr w:type="spellEnd"/>
      <w:r w:rsidRPr="00A73707">
        <w:rPr>
          <w:rFonts w:ascii="Times New Roman" w:eastAsia="Times New Roman" w:hAnsi="Times New Roman" w:cs="Times New Roman"/>
        </w:rPr>
        <w:t>, každá</w:t>
      </w:r>
    </w:p>
    <w:p w14:paraId="3BF752B0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 xml:space="preserve">u 1 pacienta, a 4. stupňa bola </w:t>
      </w:r>
      <w:proofErr w:type="spellStart"/>
      <w:r w:rsidRPr="00A73707">
        <w:rPr>
          <w:rFonts w:ascii="Times New Roman" w:eastAsia="Times New Roman" w:hAnsi="Times New Roman" w:cs="Times New Roman"/>
        </w:rPr>
        <w:t>neutropénia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u 1 pacienta). Okrem toho boli v publikáciách hlásené</w:t>
      </w:r>
    </w:p>
    <w:p w14:paraId="1A2C07E7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nasledujúce nežiaduce reakcie na liek 3. stupňa u 5 pacientov: únava (2), gastrointestinálne nežiaduce</w:t>
      </w:r>
    </w:p>
    <w:p w14:paraId="2637EADB" w14:textId="77777777" w:rsidR="00A73707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707">
        <w:rPr>
          <w:rFonts w:ascii="Times New Roman" w:eastAsia="Times New Roman" w:hAnsi="Times New Roman" w:cs="Times New Roman"/>
        </w:rPr>
        <w:t>reakcie na liek (vrátane hnačky) (2), hematologické nežiaduce reakcie na liek (vrátane anémie) (2),</w:t>
      </w:r>
    </w:p>
    <w:p w14:paraId="4A39A767" w14:textId="77777777" w:rsidR="00355DF2" w:rsidRPr="00A73707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73707">
        <w:rPr>
          <w:rFonts w:ascii="Times New Roman" w:eastAsia="Times New Roman" w:hAnsi="Times New Roman" w:cs="Times New Roman"/>
        </w:rPr>
        <w:t>cholecystitída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(1), </w:t>
      </w:r>
      <w:proofErr w:type="spellStart"/>
      <w:r w:rsidRPr="00A73707">
        <w:rPr>
          <w:rFonts w:ascii="Times New Roman" w:eastAsia="Times New Roman" w:hAnsi="Times New Roman" w:cs="Times New Roman"/>
        </w:rPr>
        <w:t>hypertyroidizmus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(1) a </w:t>
      </w:r>
      <w:proofErr w:type="spellStart"/>
      <w:r w:rsidRPr="00A73707">
        <w:rPr>
          <w:rFonts w:ascii="Times New Roman" w:eastAsia="Times New Roman" w:hAnsi="Times New Roman" w:cs="Times New Roman"/>
        </w:rPr>
        <w:t>mukozitída</w:t>
      </w:r>
      <w:proofErr w:type="spellEnd"/>
      <w:r w:rsidRPr="00A73707">
        <w:rPr>
          <w:rFonts w:ascii="Times New Roman" w:eastAsia="Times New Roman" w:hAnsi="Times New Roman" w:cs="Times New Roman"/>
        </w:rPr>
        <w:t xml:space="preserve"> (1).</w:t>
      </w:r>
    </w:p>
    <w:p w14:paraId="20D7FE13" w14:textId="77777777" w:rsidR="00355DF2" w:rsidRPr="00A73707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3AE8B6" w14:textId="77777777" w:rsidR="00A73707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Uskutočnila sa populačná </w:t>
      </w:r>
      <w:proofErr w:type="spellStart"/>
      <w:r w:rsidRPr="002000F0">
        <w:rPr>
          <w:rFonts w:ascii="Times New Roman" w:eastAsia="Times New Roman" w:hAnsi="Times New Roman" w:cs="Times New Roman"/>
        </w:rPr>
        <w:t>farmakokinetická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(PK) a </w:t>
      </w:r>
      <w:proofErr w:type="spellStart"/>
      <w:r w:rsidRPr="002000F0">
        <w:rPr>
          <w:rFonts w:ascii="Times New Roman" w:eastAsia="Times New Roman" w:hAnsi="Times New Roman" w:cs="Times New Roman"/>
        </w:rPr>
        <w:t>farmakokineticko-farmakodynamická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(PK/PD)</w:t>
      </w:r>
    </w:p>
    <w:p w14:paraId="03FE3E60" w14:textId="77777777" w:rsidR="00A73707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analýza za účelom </w:t>
      </w:r>
      <w:proofErr w:type="spellStart"/>
      <w:r w:rsidRPr="002000F0">
        <w:rPr>
          <w:rFonts w:ascii="Times New Roman" w:eastAsia="Times New Roman" w:hAnsi="Times New Roman" w:cs="Times New Roman"/>
        </w:rPr>
        <w:t>extrapolovať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PK a kľúčové ukazovatele bezpečnosti a účinnosti </w:t>
      </w:r>
      <w:proofErr w:type="spellStart"/>
      <w:r w:rsidRPr="002000F0">
        <w:rPr>
          <w:rFonts w:ascii="Times New Roman" w:eastAsia="Times New Roman" w:hAnsi="Times New Roman" w:cs="Times New Roman"/>
        </w:rPr>
        <w:t>sunitinibu</w:t>
      </w:r>
      <w:proofErr w:type="spellEnd"/>
    </w:p>
    <w:p w14:paraId="4BAB9B74" w14:textId="77777777" w:rsidR="00A73707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u pediatrických pacientov s GIST (vo veku 6 až 17 rokov). Táto analýza bola založená na údajoch</w:t>
      </w:r>
    </w:p>
    <w:p w14:paraId="2C6EA973" w14:textId="603E5B20" w:rsidR="00355DF2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získaných od dospelých pacientov s GIST alebo</w:t>
      </w:r>
      <w:r w:rsidR="0032032F">
        <w:rPr>
          <w:rFonts w:ascii="Times New Roman" w:eastAsia="Times New Roman" w:hAnsi="Times New Roman" w:cs="Times New Roman"/>
        </w:rPr>
        <w:t xml:space="preserve"> solídnymi</w:t>
      </w:r>
      <w:r w:rsidRPr="002000F0">
        <w:rPr>
          <w:rFonts w:ascii="Times New Roman" w:eastAsia="Times New Roman" w:hAnsi="Times New Roman" w:cs="Times New Roman"/>
        </w:rPr>
        <w:t xml:space="preserve"> nádormi a od pediatrických pacientov s</w:t>
      </w:r>
      <w:r w:rsidR="0032032F">
        <w:rPr>
          <w:rFonts w:ascii="Times New Roman" w:eastAsia="Times New Roman" w:hAnsi="Times New Roman" w:cs="Times New Roman"/>
        </w:rPr>
        <w:t>o solídnymi</w:t>
      </w:r>
      <w:r w:rsidRPr="002000F0">
        <w:rPr>
          <w:rFonts w:ascii="Times New Roman" w:eastAsia="Times New Roman" w:hAnsi="Times New Roman" w:cs="Times New Roman"/>
        </w:rPr>
        <w:t xml:space="preserve"> nádormi. Na</w:t>
      </w:r>
      <w:r w:rsidR="0032032F">
        <w:rPr>
          <w:rFonts w:ascii="Times New Roman" w:eastAsia="Times New Roman" w:hAnsi="Times New Roman" w:cs="Times New Roman"/>
        </w:rPr>
        <w:t xml:space="preserve"> </w:t>
      </w:r>
      <w:r w:rsidRPr="002000F0">
        <w:rPr>
          <w:rFonts w:ascii="Times New Roman" w:eastAsia="Times New Roman" w:hAnsi="Times New Roman" w:cs="Times New Roman"/>
        </w:rPr>
        <w:t>základe modelových analýz sa ukázalo, že nižší vek a menšia veľkosť tela nemajú negatívny vplyv na</w:t>
      </w:r>
      <w:r w:rsidR="0032032F">
        <w:rPr>
          <w:rFonts w:ascii="Times New Roman" w:eastAsia="Times New Roman" w:hAnsi="Times New Roman" w:cs="Times New Roman"/>
        </w:rPr>
        <w:t xml:space="preserve"> </w:t>
      </w:r>
      <w:r w:rsidRPr="002000F0">
        <w:rPr>
          <w:rFonts w:ascii="Times New Roman" w:eastAsia="Times New Roman" w:hAnsi="Times New Roman" w:cs="Times New Roman"/>
        </w:rPr>
        <w:t xml:space="preserve">bezpečnosť a účinnosť vo vzťahu k plazmatickej expozícii </w:t>
      </w:r>
      <w:proofErr w:type="spellStart"/>
      <w:r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Pr="002000F0">
        <w:rPr>
          <w:rFonts w:ascii="Times New Roman" w:eastAsia="Times New Roman" w:hAnsi="Times New Roman" w:cs="Times New Roman"/>
        </w:rPr>
        <w:t>. Neukázalo sa, že by bol pomer</w:t>
      </w:r>
      <w:r w:rsidR="0032032F">
        <w:rPr>
          <w:rFonts w:ascii="Times New Roman" w:eastAsia="Times New Roman" w:hAnsi="Times New Roman" w:cs="Times New Roman"/>
        </w:rPr>
        <w:t xml:space="preserve"> </w:t>
      </w:r>
      <w:r w:rsidRPr="002000F0">
        <w:rPr>
          <w:rFonts w:ascii="Times New Roman" w:eastAsia="Times New Roman" w:hAnsi="Times New Roman" w:cs="Times New Roman"/>
        </w:rPr>
        <w:t xml:space="preserve">prínosu a rizika pre </w:t>
      </w:r>
      <w:proofErr w:type="spellStart"/>
      <w:r w:rsidRPr="002000F0">
        <w:rPr>
          <w:rFonts w:ascii="Times New Roman" w:eastAsia="Times New Roman" w:hAnsi="Times New Roman" w:cs="Times New Roman"/>
        </w:rPr>
        <w:t>sunitinib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negatívne ovplyvnený nižším vekom a menšou veľkosťou tela, a na tento</w:t>
      </w:r>
      <w:r w:rsidR="0032032F">
        <w:rPr>
          <w:rFonts w:ascii="Times New Roman" w:eastAsia="Times New Roman" w:hAnsi="Times New Roman" w:cs="Times New Roman"/>
        </w:rPr>
        <w:t xml:space="preserve"> </w:t>
      </w:r>
      <w:r w:rsidRPr="002000F0">
        <w:rPr>
          <w:rFonts w:ascii="Times New Roman" w:eastAsia="Times New Roman" w:hAnsi="Times New Roman" w:cs="Times New Roman"/>
        </w:rPr>
        <w:t>pomer mala hlavný vplyv jeho plazmatická expozícia.</w:t>
      </w:r>
    </w:p>
    <w:p w14:paraId="2C676B2F" w14:textId="77777777" w:rsidR="00A73707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87ABB7" w14:textId="77777777" w:rsidR="00355DF2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EMA udelila výnimku z povinnosti predložiť výsledky štúdií s referenčným liekom obsahujúcim </w:t>
      </w:r>
      <w:proofErr w:type="spellStart"/>
      <w:r w:rsidRPr="002000F0">
        <w:rPr>
          <w:rFonts w:ascii="Times New Roman" w:eastAsia="Times New Roman" w:hAnsi="Times New Roman" w:cs="Times New Roman"/>
        </w:rPr>
        <w:t>sunitinib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vo všetkých podskupinách pediatrickej populácie pre liečbu karcinómu z obličkových buniek alebo karcinómu obličkovej panvičky (okrem </w:t>
      </w:r>
      <w:proofErr w:type="spellStart"/>
      <w:r w:rsidRPr="002000F0">
        <w:rPr>
          <w:rFonts w:ascii="Times New Roman" w:eastAsia="Times New Roman" w:hAnsi="Times New Roman" w:cs="Times New Roman"/>
        </w:rPr>
        <w:t>nefroblastómu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000F0">
        <w:rPr>
          <w:rFonts w:ascii="Times New Roman" w:eastAsia="Times New Roman" w:hAnsi="Times New Roman" w:cs="Times New Roman"/>
        </w:rPr>
        <w:t>nefroblastomatózy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000F0">
        <w:rPr>
          <w:rFonts w:ascii="Times New Roman" w:eastAsia="Times New Roman" w:hAnsi="Times New Roman" w:cs="Times New Roman"/>
        </w:rPr>
        <w:t>jasnobunkového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sarkómu, </w:t>
      </w:r>
      <w:proofErr w:type="spellStart"/>
      <w:r w:rsidRPr="002000F0">
        <w:rPr>
          <w:rFonts w:ascii="Times New Roman" w:eastAsia="Times New Roman" w:hAnsi="Times New Roman" w:cs="Times New Roman"/>
        </w:rPr>
        <w:t>mezoblastického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00F0">
        <w:rPr>
          <w:rFonts w:ascii="Times New Roman" w:eastAsia="Times New Roman" w:hAnsi="Times New Roman" w:cs="Times New Roman"/>
        </w:rPr>
        <w:t>nefrómu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000F0">
        <w:rPr>
          <w:rFonts w:ascii="Times New Roman" w:eastAsia="Times New Roman" w:hAnsi="Times New Roman" w:cs="Times New Roman"/>
        </w:rPr>
        <w:t>renálneho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00F0">
        <w:rPr>
          <w:rFonts w:ascii="Times New Roman" w:eastAsia="Times New Roman" w:hAnsi="Times New Roman" w:cs="Times New Roman"/>
        </w:rPr>
        <w:t>medulárneho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karcinómu a </w:t>
      </w:r>
      <w:proofErr w:type="spellStart"/>
      <w:r w:rsidRPr="002000F0">
        <w:rPr>
          <w:rFonts w:ascii="Times New Roman" w:eastAsia="Times New Roman" w:hAnsi="Times New Roman" w:cs="Times New Roman"/>
        </w:rPr>
        <w:t>rabdoidného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tumoru obličky) (pozri časť 4.2).</w:t>
      </w:r>
    </w:p>
    <w:p w14:paraId="6DD34373" w14:textId="77777777" w:rsidR="00A73707" w:rsidRPr="002000F0" w:rsidRDefault="00A73707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CF86EA" w14:textId="77777777" w:rsidR="00355DF2" w:rsidRPr="002000F0" w:rsidRDefault="00A73707" w:rsidP="00A737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EMA udelila výnimku z povinnosti predložiť výsledky štúdií s referenčným liekom obsahujúcim </w:t>
      </w:r>
      <w:proofErr w:type="spellStart"/>
      <w:r w:rsidRPr="002000F0">
        <w:rPr>
          <w:rFonts w:ascii="Times New Roman" w:eastAsia="Times New Roman" w:hAnsi="Times New Roman" w:cs="Times New Roman"/>
        </w:rPr>
        <w:t>sunitinib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vo všetkých podskupinách pediatrickej populácie pre liečbu </w:t>
      </w:r>
      <w:proofErr w:type="spellStart"/>
      <w:r w:rsidRPr="002000F0">
        <w:rPr>
          <w:rFonts w:ascii="Times New Roman" w:eastAsia="Times New Roman" w:hAnsi="Times New Roman" w:cs="Times New Roman"/>
        </w:rPr>
        <w:t>gastroenteropankreatických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neuroendokrinných tumorov (okrem </w:t>
      </w:r>
      <w:proofErr w:type="spellStart"/>
      <w:r w:rsidRPr="002000F0">
        <w:rPr>
          <w:rFonts w:ascii="Times New Roman" w:eastAsia="Times New Roman" w:hAnsi="Times New Roman" w:cs="Times New Roman"/>
        </w:rPr>
        <w:t>neuroblastómu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000F0">
        <w:rPr>
          <w:rFonts w:ascii="Times New Roman" w:eastAsia="Times New Roman" w:hAnsi="Times New Roman" w:cs="Times New Roman"/>
        </w:rPr>
        <w:t>neuroganglioblastómu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000F0">
        <w:rPr>
          <w:rFonts w:ascii="Times New Roman" w:eastAsia="Times New Roman" w:hAnsi="Times New Roman" w:cs="Times New Roman"/>
        </w:rPr>
        <w:t>feochromocytómu</w:t>
      </w:r>
      <w:proofErr w:type="spellEnd"/>
      <w:r w:rsidRPr="002000F0">
        <w:rPr>
          <w:rFonts w:ascii="Times New Roman" w:eastAsia="Times New Roman" w:hAnsi="Times New Roman" w:cs="Times New Roman"/>
        </w:rPr>
        <w:t>) (pozri časť 4.2).</w:t>
      </w:r>
    </w:p>
    <w:p w14:paraId="2077ADD4" w14:textId="77777777" w:rsidR="00A73707" w:rsidRPr="002000F0" w:rsidRDefault="00A73707" w:rsidP="00A737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A546A4B" w14:textId="77777777" w:rsidR="00355DF2" w:rsidRPr="002000F0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2000F0">
        <w:rPr>
          <w:rFonts w:ascii="Times New Roman" w:eastAsia="Times New Roman" w:hAnsi="Times New Roman" w:cs="Times New Roman"/>
          <w:b/>
          <w:szCs w:val="20"/>
        </w:rPr>
        <w:t>5.2</w:t>
      </w:r>
      <w:r w:rsidRPr="002000F0">
        <w:rPr>
          <w:rFonts w:ascii="Times New Roman" w:eastAsia="Times New Roman" w:hAnsi="Times New Roman" w:cs="Times New Roman"/>
          <w:b/>
          <w:szCs w:val="20"/>
        </w:rPr>
        <w:tab/>
      </w:r>
      <w:proofErr w:type="spellStart"/>
      <w:r w:rsidR="00A73707" w:rsidRPr="002000F0">
        <w:rPr>
          <w:rFonts w:ascii="Times New Roman" w:eastAsia="Times New Roman" w:hAnsi="Times New Roman" w:cs="Times New Roman"/>
          <w:b/>
          <w:szCs w:val="20"/>
        </w:rPr>
        <w:t>Farmakokinetické</w:t>
      </w:r>
      <w:proofErr w:type="spellEnd"/>
      <w:r w:rsidR="00A73707" w:rsidRPr="002000F0">
        <w:rPr>
          <w:rFonts w:ascii="Times New Roman" w:eastAsia="Times New Roman" w:hAnsi="Times New Roman" w:cs="Times New Roman"/>
          <w:b/>
          <w:szCs w:val="20"/>
        </w:rPr>
        <w:t xml:space="preserve"> vlastnosti</w:t>
      </w:r>
    </w:p>
    <w:p w14:paraId="037E95A4" w14:textId="77777777" w:rsidR="00355DF2" w:rsidRPr="002000F0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</w:p>
    <w:p w14:paraId="6002F62D" w14:textId="1066112B" w:rsidR="00355DF2" w:rsidRPr="002000F0" w:rsidRDefault="00077C5B" w:rsidP="00A737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Farmakokinetika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 w:rsidR="00CB78CE">
        <w:rPr>
          <w:rFonts w:ascii="Times New Roman" w:eastAsia="Times New Roman" w:hAnsi="Times New Roman" w:cs="Times New Roman"/>
        </w:rPr>
        <w:t>Pharmacokinetics</w:t>
      </w:r>
      <w:proofErr w:type="spellEnd"/>
      <w:r w:rsidR="00CB78C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PK)</w:t>
      </w:r>
      <w:r w:rsidR="00A73707" w:rsidRPr="002000F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73707"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="00A73707" w:rsidRPr="002000F0">
        <w:rPr>
          <w:rFonts w:ascii="Times New Roman" w:eastAsia="Times New Roman" w:hAnsi="Times New Roman" w:cs="Times New Roman"/>
        </w:rPr>
        <w:t xml:space="preserve"> bola hodnotená u 135 zdravých dobrovoľníkov a 266 pacientov s</w:t>
      </w:r>
      <w:r>
        <w:rPr>
          <w:rFonts w:ascii="Times New Roman" w:eastAsia="Times New Roman" w:hAnsi="Times New Roman" w:cs="Times New Roman"/>
        </w:rPr>
        <w:t>o solídnymi</w:t>
      </w:r>
      <w:r w:rsidR="00A73707" w:rsidRPr="002000F0">
        <w:rPr>
          <w:rFonts w:ascii="Times New Roman" w:eastAsia="Times New Roman" w:hAnsi="Times New Roman" w:cs="Times New Roman"/>
        </w:rPr>
        <w:t xml:space="preserve"> nádormi. PK bola</w:t>
      </w:r>
      <w:r>
        <w:rPr>
          <w:rFonts w:ascii="Times New Roman" w:eastAsia="Times New Roman" w:hAnsi="Times New Roman" w:cs="Times New Roman"/>
        </w:rPr>
        <w:t xml:space="preserve"> </w:t>
      </w:r>
      <w:r w:rsidR="00A73707" w:rsidRPr="002000F0">
        <w:rPr>
          <w:rFonts w:ascii="Times New Roman" w:eastAsia="Times New Roman" w:hAnsi="Times New Roman" w:cs="Times New Roman"/>
        </w:rPr>
        <w:t>podobná u celej sledovanej populácie s</w:t>
      </w:r>
      <w:r w:rsidR="00724C19">
        <w:rPr>
          <w:rFonts w:ascii="Times New Roman" w:eastAsia="Times New Roman" w:hAnsi="Times New Roman" w:cs="Times New Roman"/>
        </w:rPr>
        <w:t>o solídnymi</w:t>
      </w:r>
      <w:r w:rsidR="00A73707" w:rsidRPr="002000F0">
        <w:rPr>
          <w:rFonts w:ascii="Times New Roman" w:eastAsia="Times New Roman" w:hAnsi="Times New Roman" w:cs="Times New Roman"/>
        </w:rPr>
        <w:t xml:space="preserve"> nádormi a u zdravých dobrovoľníkov</w:t>
      </w:r>
      <w:r w:rsidR="00355DF2" w:rsidRPr="002000F0">
        <w:rPr>
          <w:rFonts w:ascii="Times New Roman" w:eastAsia="Times New Roman" w:hAnsi="Times New Roman" w:cs="Times New Roman"/>
        </w:rPr>
        <w:t>.</w:t>
      </w:r>
    </w:p>
    <w:p w14:paraId="6CAAFFB3" w14:textId="77777777" w:rsidR="00355DF2" w:rsidRPr="002000F0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1DF8EA" w14:textId="6F211FDD" w:rsidR="00355DF2" w:rsidRPr="002000F0" w:rsidRDefault="00A73707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Pri dávkovaní od 25 mg - 100 mg proporcionálne </w:t>
      </w:r>
      <w:r w:rsidR="00077C5B">
        <w:rPr>
          <w:rFonts w:ascii="Times New Roman" w:eastAsia="Times New Roman" w:hAnsi="Times New Roman" w:cs="Times New Roman"/>
        </w:rPr>
        <w:t>s</w:t>
      </w:r>
      <w:r w:rsidRPr="002000F0">
        <w:rPr>
          <w:rFonts w:ascii="Times New Roman" w:eastAsia="Times New Roman" w:hAnsi="Times New Roman" w:cs="Times New Roman"/>
        </w:rPr>
        <w:t xml:space="preserve"> dávk</w:t>
      </w:r>
      <w:r w:rsidR="00077C5B">
        <w:rPr>
          <w:rFonts w:ascii="Times New Roman" w:eastAsia="Times New Roman" w:hAnsi="Times New Roman" w:cs="Times New Roman"/>
        </w:rPr>
        <w:t>ou</w:t>
      </w:r>
      <w:r w:rsidRPr="002000F0">
        <w:rPr>
          <w:rFonts w:ascii="Times New Roman" w:eastAsia="Times New Roman" w:hAnsi="Times New Roman" w:cs="Times New Roman"/>
        </w:rPr>
        <w:t xml:space="preserve"> </w:t>
      </w:r>
      <w:r w:rsidR="00077C5B">
        <w:rPr>
          <w:rFonts w:ascii="Times New Roman" w:eastAsia="Times New Roman" w:hAnsi="Times New Roman" w:cs="Times New Roman"/>
        </w:rPr>
        <w:t>rastie</w:t>
      </w:r>
      <w:r w:rsidRPr="002000F0">
        <w:rPr>
          <w:rFonts w:ascii="Times New Roman" w:eastAsia="Times New Roman" w:hAnsi="Times New Roman" w:cs="Times New Roman"/>
        </w:rPr>
        <w:t xml:space="preserve"> </w:t>
      </w:r>
      <w:r w:rsidR="00077C5B">
        <w:rPr>
          <w:rFonts w:ascii="Times New Roman" w:eastAsia="Times New Roman" w:hAnsi="Times New Roman" w:cs="Times New Roman"/>
        </w:rPr>
        <w:t xml:space="preserve">plocha </w:t>
      </w:r>
      <w:r w:rsidRPr="002000F0">
        <w:rPr>
          <w:rFonts w:ascii="Times New Roman" w:eastAsia="Times New Roman" w:hAnsi="Times New Roman" w:cs="Times New Roman"/>
        </w:rPr>
        <w:t>pod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2000F0">
        <w:rPr>
          <w:rFonts w:ascii="Times New Roman" w:eastAsia="Times New Roman" w:hAnsi="Times New Roman" w:cs="Times New Roman"/>
        </w:rPr>
        <w:t xml:space="preserve">krivkou </w:t>
      </w:r>
      <w:r w:rsidR="00077C5B">
        <w:rPr>
          <w:rFonts w:ascii="Times New Roman" w:eastAsia="Times New Roman" w:hAnsi="Times New Roman" w:cs="Times New Roman"/>
        </w:rPr>
        <w:t xml:space="preserve">plazmatickej koncentrácie </w:t>
      </w:r>
      <w:r w:rsidRPr="002000F0">
        <w:rPr>
          <w:rFonts w:ascii="Times New Roman" w:eastAsia="Times New Roman" w:hAnsi="Times New Roman" w:cs="Times New Roman"/>
        </w:rPr>
        <w:t xml:space="preserve">(AUC = </w:t>
      </w:r>
      <w:proofErr w:type="spellStart"/>
      <w:r w:rsidRPr="002000F0">
        <w:rPr>
          <w:rFonts w:ascii="Times New Roman" w:eastAsia="Times New Roman" w:hAnsi="Times New Roman" w:cs="Times New Roman"/>
        </w:rPr>
        <w:t>area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00F0">
        <w:rPr>
          <w:rFonts w:ascii="Times New Roman" w:eastAsia="Times New Roman" w:hAnsi="Times New Roman" w:cs="Times New Roman"/>
        </w:rPr>
        <w:t>under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00F0">
        <w:rPr>
          <w:rFonts w:ascii="Times New Roman" w:eastAsia="Times New Roman" w:hAnsi="Times New Roman" w:cs="Times New Roman"/>
        </w:rPr>
        <w:t>curve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) a </w:t>
      </w:r>
      <w:proofErr w:type="spellStart"/>
      <w:r w:rsidRPr="002000F0">
        <w:rPr>
          <w:rFonts w:ascii="Times New Roman" w:eastAsia="Times New Roman" w:hAnsi="Times New Roman" w:cs="Times New Roman"/>
        </w:rPr>
        <w:t>C</w:t>
      </w:r>
      <w:r w:rsidRPr="002000F0">
        <w:rPr>
          <w:rFonts w:ascii="Times New Roman" w:eastAsia="Times New Roman" w:hAnsi="Times New Roman" w:cs="Times New Roman"/>
          <w:vertAlign w:val="subscript"/>
        </w:rPr>
        <w:t>max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. Pri opakovanom podávaní denne sa </w:t>
      </w:r>
      <w:proofErr w:type="spellStart"/>
      <w:r w:rsidRPr="002000F0">
        <w:rPr>
          <w:rFonts w:ascii="Times New Roman" w:eastAsia="Times New Roman" w:hAnsi="Times New Roman" w:cs="Times New Roman"/>
        </w:rPr>
        <w:t>sunitinib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kumuluje</w:t>
      </w:r>
      <w:r w:rsidR="00077C5B">
        <w:rPr>
          <w:rFonts w:ascii="Times New Roman" w:eastAsia="Times New Roman" w:hAnsi="Times New Roman" w:cs="Times New Roman"/>
        </w:rPr>
        <w:t xml:space="preserve"> </w:t>
      </w:r>
      <w:r w:rsidRPr="002000F0">
        <w:rPr>
          <w:rFonts w:ascii="Times New Roman" w:eastAsia="Times New Roman" w:hAnsi="Times New Roman" w:cs="Times New Roman"/>
        </w:rPr>
        <w:t>3- až 4-násobne, jeho primárny metabolit sa kumuluje 7- až 10-násobne. Ustálené koncentrácie</w:t>
      </w:r>
      <w:r w:rsidR="00077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a jeho primárneho metabolitu sa dosiahnu do 10 až 14 dní. </w:t>
      </w:r>
      <w:r w:rsidR="002000F0" w:rsidRPr="002000F0">
        <w:rPr>
          <w:rFonts w:ascii="Times New Roman" w:eastAsia="Times New Roman" w:hAnsi="Times New Roman" w:cs="Times New Roman"/>
        </w:rPr>
        <w:t>Na 14. deň sú kombinované</w:t>
      </w:r>
      <w:r w:rsidR="00077C5B">
        <w:rPr>
          <w:rFonts w:ascii="Times New Roman" w:eastAsia="Times New Roman" w:hAnsi="Times New Roman" w:cs="Times New Roman"/>
        </w:rPr>
        <w:t xml:space="preserve"> 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="002000F0" w:rsidRPr="002000F0">
        <w:rPr>
          <w:rFonts w:ascii="Times New Roman" w:eastAsia="Times New Roman" w:hAnsi="Times New Roman" w:cs="Times New Roman"/>
        </w:rPr>
        <w:t xml:space="preserve">plazmatické koncentrácie </w:t>
      </w:r>
      <w:proofErr w:type="spellStart"/>
      <w:r w:rsidR="002000F0"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="002000F0" w:rsidRPr="002000F0">
        <w:rPr>
          <w:rFonts w:ascii="Times New Roman" w:eastAsia="Times New Roman" w:hAnsi="Times New Roman" w:cs="Times New Roman"/>
        </w:rPr>
        <w:t xml:space="preserve"> a jeho aktívneho metabolitu 62,9 - 101 </w:t>
      </w:r>
      <w:proofErr w:type="spellStart"/>
      <w:r w:rsidR="002000F0" w:rsidRPr="002000F0">
        <w:rPr>
          <w:rFonts w:ascii="Times New Roman" w:eastAsia="Times New Roman" w:hAnsi="Times New Roman" w:cs="Times New Roman"/>
        </w:rPr>
        <w:t>ng</w:t>
      </w:r>
      <w:proofErr w:type="spellEnd"/>
      <w:r w:rsidR="002000F0" w:rsidRPr="002000F0">
        <w:rPr>
          <w:rFonts w:ascii="Times New Roman" w:eastAsia="Times New Roman" w:hAnsi="Times New Roman" w:cs="Times New Roman"/>
        </w:rPr>
        <w:t>/ml, čo predstavujú</w:t>
      </w:r>
      <w:r w:rsidR="00077C5B">
        <w:rPr>
          <w:rFonts w:ascii="Times New Roman" w:eastAsia="Times New Roman" w:hAnsi="Times New Roman" w:cs="Times New Roman"/>
        </w:rPr>
        <w:t xml:space="preserve"> 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="002000F0" w:rsidRPr="002000F0">
        <w:rPr>
          <w:rFonts w:ascii="Times New Roman" w:eastAsia="Times New Roman" w:hAnsi="Times New Roman" w:cs="Times New Roman"/>
        </w:rPr>
        <w:t xml:space="preserve">cieľové koncentrácie predpokladané z predklinických údajov na inhibíciu </w:t>
      </w:r>
      <w:proofErr w:type="spellStart"/>
      <w:r w:rsidR="002000F0" w:rsidRPr="002000F0">
        <w:rPr>
          <w:rFonts w:ascii="Times New Roman" w:eastAsia="Times New Roman" w:hAnsi="Times New Roman" w:cs="Times New Roman"/>
        </w:rPr>
        <w:t>receptorovej</w:t>
      </w:r>
      <w:proofErr w:type="spellEnd"/>
      <w:r w:rsidR="002000F0" w:rsidRPr="002000F0">
        <w:rPr>
          <w:rFonts w:ascii="Times New Roman" w:eastAsia="Times New Roman" w:hAnsi="Times New Roman" w:cs="Times New Roman"/>
        </w:rPr>
        <w:t xml:space="preserve"> fosforylácie </w:t>
      </w:r>
      <w:r w:rsidR="002000F0" w:rsidRPr="002000F0">
        <w:rPr>
          <w:rFonts w:ascii="Times New Roman" w:eastAsia="Times New Roman" w:hAnsi="Times New Roman" w:cs="Times New Roman"/>
          <w:i/>
        </w:rPr>
        <w:t>in</w:t>
      </w:r>
      <w:r w:rsidR="00077C5B">
        <w:rPr>
          <w:rFonts w:ascii="Times New Roman" w:eastAsia="Times New Roman" w:hAnsi="Times New Roman" w:cs="Times New Roman"/>
          <w:i/>
        </w:rPr>
        <w:t xml:space="preserve"> </w:t>
      </w:r>
      <w:r w:rsidR="002000F0" w:rsidRPr="002000F0">
        <w:rPr>
          <w:rFonts w:ascii="Times New Roman" w:eastAsia="Times New Roman" w:hAnsi="Times New Roman" w:cs="Times New Roman"/>
          <w:i/>
        </w:rPr>
        <w:t>vitro</w:t>
      </w:r>
      <w:r w:rsidR="002000F0" w:rsidRPr="002000F0">
        <w:rPr>
          <w:rFonts w:ascii="Times New Roman" w:eastAsia="Times New Roman" w:hAnsi="Times New Roman" w:cs="Times New Roman"/>
        </w:rPr>
        <w:t xml:space="preserve">, ktorá vedie </w:t>
      </w:r>
      <w:r w:rsidR="002000F0" w:rsidRPr="002000F0">
        <w:rPr>
          <w:rFonts w:ascii="Times New Roman" w:eastAsia="Times New Roman" w:hAnsi="Times New Roman" w:cs="Times New Roman"/>
          <w:i/>
        </w:rPr>
        <w:t xml:space="preserve">in </w:t>
      </w:r>
      <w:proofErr w:type="spellStart"/>
      <w:r w:rsidR="002000F0" w:rsidRPr="002000F0">
        <w:rPr>
          <w:rFonts w:ascii="Times New Roman" w:eastAsia="Times New Roman" w:hAnsi="Times New Roman" w:cs="Times New Roman"/>
          <w:i/>
        </w:rPr>
        <w:t>vivo</w:t>
      </w:r>
      <w:proofErr w:type="spellEnd"/>
      <w:r w:rsidR="002000F0" w:rsidRPr="002000F0">
        <w:rPr>
          <w:rFonts w:ascii="Times New Roman" w:eastAsia="Times New Roman" w:hAnsi="Times New Roman" w:cs="Times New Roman"/>
        </w:rPr>
        <w:t xml:space="preserve"> k zastaveniu/redukcii rastu nádorov. Primárny aktívny metabolit tvorí</w:t>
      </w:r>
      <w:r w:rsidR="00077C5B">
        <w:rPr>
          <w:rFonts w:ascii="Times New Roman" w:eastAsia="Times New Roman" w:hAnsi="Times New Roman" w:cs="Times New Roman"/>
        </w:rPr>
        <w:t xml:space="preserve"> </w:t>
      </w:r>
      <w:r w:rsidR="002000F0" w:rsidRPr="002000F0">
        <w:rPr>
          <w:rFonts w:ascii="Times New Roman" w:eastAsia="Times New Roman" w:hAnsi="Times New Roman" w:cs="Times New Roman"/>
        </w:rPr>
        <w:t>23 % až 37 % celkovej expozície. Pri opakovanom podávaní denne alebo opakovaných liečebných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="002000F0" w:rsidRPr="002000F0">
        <w:rPr>
          <w:rFonts w:ascii="Times New Roman" w:eastAsia="Times New Roman" w:hAnsi="Times New Roman" w:cs="Times New Roman"/>
        </w:rPr>
        <w:t xml:space="preserve">cykloch v testovaných dávkových režimoch sa nepozorovali žiadne signifikantné zmeny PK </w:t>
      </w:r>
      <w:proofErr w:type="spellStart"/>
      <w:r w:rsidR="002000F0"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="00C3209E">
        <w:rPr>
          <w:rFonts w:ascii="Times New Roman" w:eastAsia="Times New Roman" w:hAnsi="Times New Roman" w:cs="Times New Roman"/>
        </w:rPr>
        <w:t xml:space="preserve"> </w:t>
      </w:r>
      <w:r w:rsidR="002000F0" w:rsidRPr="002000F0">
        <w:rPr>
          <w:rFonts w:ascii="Times New Roman" w:eastAsia="Times New Roman" w:hAnsi="Times New Roman" w:cs="Times New Roman"/>
        </w:rPr>
        <w:t>alebo jeho primárneho aktívneho metabolitu.</w:t>
      </w:r>
    </w:p>
    <w:p w14:paraId="53E3120E" w14:textId="77777777" w:rsidR="00355DF2" w:rsidRPr="002000F0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389666" w14:textId="77777777" w:rsidR="00355DF2" w:rsidRPr="002000F0" w:rsidRDefault="002000F0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  <w:u w:val="single" w:color="000000"/>
        </w:rPr>
        <w:t>Absorpcia</w:t>
      </w:r>
    </w:p>
    <w:p w14:paraId="1AEEB5CD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Po perorálnom podaní </w:t>
      </w:r>
      <w:proofErr w:type="spellStart"/>
      <w:r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sa </w:t>
      </w:r>
      <w:proofErr w:type="spellStart"/>
      <w:r w:rsidRPr="002000F0">
        <w:rPr>
          <w:rFonts w:ascii="Times New Roman" w:eastAsia="Times New Roman" w:hAnsi="Times New Roman" w:cs="Times New Roman"/>
        </w:rPr>
        <w:t>C</w:t>
      </w:r>
      <w:r w:rsidRPr="002000F0">
        <w:rPr>
          <w:rFonts w:ascii="Times New Roman" w:eastAsia="Times New Roman" w:hAnsi="Times New Roman" w:cs="Times New Roman"/>
          <w:vertAlign w:val="subscript"/>
        </w:rPr>
        <w:t>max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obvykle pozoruje po 6 - 12 hodinách času do maximálnej</w:t>
      </w:r>
    </w:p>
    <w:p w14:paraId="52C13EC8" w14:textId="77777777" w:rsidR="00355DF2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koncentrácie (</w:t>
      </w:r>
      <w:proofErr w:type="spellStart"/>
      <w:r w:rsidRPr="002000F0">
        <w:rPr>
          <w:rFonts w:ascii="Times New Roman" w:eastAsia="Times New Roman" w:hAnsi="Times New Roman" w:cs="Times New Roman"/>
        </w:rPr>
        <w:t>t</w:t>
      </w:r>
      <w:r w:rsidRPr="002000F0">
        <w:rPr>
          <w:rFonts w:ascii="Times New Roman" w:eastAsia="Times New Roman" w:hAnsi="Times New Roman" w:cs="Times New Roman"/>
          <w:vertAlign w:val="subscript"/>
        </w:rPr>
        <w:t>max</w:t>
      </w:r>
      <w:proofErr w:type="spellEnd"/>
      <w:r w:rsidRPr="002000F0">
        <w:rPr>
          <w:rFonts w:ascii="Times New Roman" w:eastAsia="Times New Roman" w:hAnsi="Times New Roman" w:cs="Times New Roman"/>
        </w:rPr>
        <w:t>) po podaní.</w:t>
      </w:r>
    </w:p>
    <w:p w14:paraId="5A92592B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73B0A5" w14:textId="77777777" w:rsidR="00355DF2" w:rsidRPr="002000F0" w:rsidRDefault="002000F0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Potrava neovplyvňuje biologickú dostupnosť </w:t>
      </w:r>
      <w:proofErr w:type="spellStart"/>
      <w:r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Pr="002000F0">
        <w:rPr>
          <w:rFonts w:ascii="Times New Roman" w:eastAsia="Times New Roman" w:hAnsi="Times New Roman" w:cs="Times New Roman"/>
        </w:rPr>
        <w:t>.</w:t>
      </w:r>
    </w:p>
    <w:p w14:paraId="604C849A" w14:textId="77777777" w:rsidR="002000F0" w:rsidRPr="002000F0" w:rsidRDefault="002000F0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87FFE7" w14:textId="77777777" w:rsidR="00355DF2" w:rsidRPr="002000F0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  <w:u w:val="single" w:color="000000"/>
        </w:rPr>
        <w:t>Distrib</w:t>
      </w:r>
      <w:r w:rsidR="002000F0" w:rsidRPr="002000F0">
        <w:rPr>
          <w:rFonts w:ascii="Times New Roman" w:eastAsia="Times New Roman" w:hAnsi="Times New Roman" w:cs="Times New Roman"/>
          <w:u w:val="single" w:color="000000"/>
        </w:rPr>
        <w:t>úcia</w:t>
      </w:r>
    </w:p>
    <w:p w14:paraId="667139B3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V </w:t>
      </w:r>
      <w:r w:rsidRPr="002000F0">
        <w:rPr>
          <w:rFonts w:ascii="Times New Roman" w:eastAsia="Times New Roman" w:hAnsi="Times New Roman" w:cs="Times New Roman"/>
          <w:i/>
        </w:rPr>
        <w:t>in vitro</w:t>
      </w:r>
      <w:r w:rsidRPr="002000F0">
        <w:rPr>
          <w:rFonts w:ascii="Times New Roman" w:eastAsia="Times New Roman" w:hAnsi="Times New Roman" w:cs="Times New Roman"/>
        </w:rPr>
        <w:t xml:space="preserve"> testoch sa </w:t>
      </w:r>
      <w:proofErr w:type="spellStart"/>
      <w:r w:rsidRPr="002000F0">
        <w:rPr>
          <w:rFonts w:ascii="Times New Roman" w:eastAsia="Times New Roman" w:hAnsi="Times New Roman" w:cs="Times New Roman"/>
        </w:rPr>
        <w:t>sunitinib</w:t>
      </w:r>
      <w:proofErr w:type="spellEnd"/>
      <w:r w:rsidRPr="002000F0">
        <w:rPr>
          <w:rFonts w:ascii="Times New Roman" w:eastAsia="Times New Roman" w:hAnsi="Times New Roman" w:cs="Times New Roman"/>
        </w:rPr>
        <w:t>, resp. jeho primárny aktívny metabolit viazal na bielkoviny ľudskej</w:t>
      </w:r>
    </w:p>
    <w:p w14:paraId="20BF80BD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plazmy v 95 %, resp. 90 % bez evidentnej závislosti od koncentrácie. Zdanlivý distribučný objem</w:t>
      </w:r>
    </w:p>
    <w:p w14:paraId="6DBA9E09" w14:textId="77777777" w:rsidR="00355DF2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000F0">
        <w:rPr>
          <w:rFonts w:ascii="Times New Roman" w:eastAsia="Times New Roman" w:hAnsi="Times New Roman" w:cs="Times New Roman"/>
        </w:rPr>
        <w:t>sunitinibu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2000F0">
        <w:rPr>
          <w:rFonts w:ascii="Times New Roman" w:eastAsia="Times New Roman" w:hAnsi="Times New Roman" w:cs="Times New Roman"/>
        </w:rPr>
        <w:t>Vd</w:t>
      </w:r>
      <w:proofErr w:type="spellEnd"/>
      <w:r w:rsidRPr="002000F0">
        <w:rPr>
          <w:rFonts w:ascii="Times New Roman" w:eastAsia="Times New Roman" w:hAnsi="Times New Roman" w:cs="Times New Roman"/>
        </w:rPr>
        <w:t>) bol veľký, 2230 l, čo svedčí o distribúcii do tkanív.</w:t>
      </w:r>
    </w:p>
    <w:p w14:paraId="2B4DB522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2AA88D" w14:textId="77777777" w:rsidR="00355DF2" w:rsidRPr="002000F0" w:rsidRDefault="002000F0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  <w:u w:val="single" w:color="000000"/>
        </w:rPr>
        <w:t>Metabolické interakcie</w:t>
      </w:r>
    </w:p>
    <w:p w14:paraId="029102D7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  <w:i/>
        </w:rPr>
        <w:t>In vitro</w:t>
      </w:r>
      <w:r w:rsidRPr="002000F0">
        <w:rPr>
          <w:rFonts w:ascii="Times New Roman" w:eastAsia="Times New Roman" w:hAnsi="Times New Roman" w:cs="Times New Roman"/>
        </w:rPr>
        <w:t xml:space="preserve"> kalkulované hodnoty </w:t>
      </w:r>
      <w:proofErr w:type="spellStart"/>
      <w:r w:rsidRPr="002000F0">
        <w:rPr>
          <w:rFonts w:ascii="Times New Roman" w:eastAsia="Times New Roman" w:hAnsi="Times New Roman" w:cs="Times New Roman"/>
        </w:rPr>
        <w:t>Ki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pre všetky </w:t>
      </w:r>
      <w:proofErr w:type="spellStart"/>
      <w:r w:rsidRPr="002000F0">
        <w:rPr>
          <w:rFonts w:ascii="Times New Roman" w:eastAsia="Times New Roman" w:hAnsi="Times New Roman" w:cs="Times New Roman"/>
        </w:rPr>
        <w:t>cytochrómové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testované </w:t>
      </w:r>
      <w:proofErr w:type="spellStart"/>
      <w:r w:rsidRPr="002000F0">
        <w:rPr>
          <w:rFonts w:ascii="Times New Roman" w:eastAsia="Times New Roman" w:hAnsi="Times New Roman" w:cs="Times New Roman"/>
        </w:rPr>
        <w:t>izoformy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P450 (CYP) (CYP1A2,</w:t>
      </w:r>
    </w:p>
    <w:p w14:paraId="1026AEE0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CYP2A6, CYP2B6, CYP2C8, CYP2C9, CYP2C19, CYP2D6, CYP2E1, CYP3A4/5 a CYP4A9/11)</w:t>
      </w:r>
    </w:p>
    <w:p w14:paraId="370F86C4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 xml:space="preserve">ukazujú, že je nepravdepodobné, aby </w:t>
      </w:r>
      <w:proofErr w:type="spellStart"/>
      <w:r w:rsidRPr="002000F0">
        <w:rPr>
          <w:rFonts w:ascii="Times New Roman" w:eastAsia="Times New Roman" w:hAnsi="Times New Roman" w:cs="Times New Roman"/>
        </w:rPr>
        <w:t>sunitinib</w:t>
      </w:r>
      <w:proofErr w:type="spellEnd"/>
      <w:r w:rsidRPr="002000F0">
        <w:rPr>
          <w:rFonts w:ascii="Times New Roman" w:eastAsia="Times New Roman" w:hAnsi="Times New Roman" w:cs="Times New Roman"/>
        </w:rPr>
        <w:t xml:space="preserve"> a jeho primárny aktívny metabolit indukovali,</w:t>
      </w:r>
    </w:p>
    <w:p w14:paraId="69B1F14E" w14:textId="77777777" w:rsidR="002000F0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v akomkoľvek klinicky významnom rozsahu, metabolizmus iných liečiv, ktoré by mohli byť</w:t>
      </w:r>
    </w:p>
    <w:p w14:paraId="6A8330F3" w14:textId="77777777" w:rsidR="00355DF2" w:rsidRPr="002000F0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00F0">
        <w:rPr>
          <w:rFonts w:ascii="Times New Roman" w:eastAsia="Times New Roman" w:hAnsi="Times New Roman" w:cs="Times New Roman"/>
        </w:rPr>
        <w:t>metabolizované týmito enzýmami.</w:t>
      </w:r>
    </w:p>
    <w:p w14:paraId="45F9BE88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0F4299" w14:textId="77777777" w:rsidR="00355DF2" w:rsidRPr="006E619B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619B">
        <w:rPr>
          <w:rFonts w:ascii="Times New Roman" w:eastAsia="Times New Roman" w:hAnsi="Times New Roman" w:cs="Times New Roman"/>
          <w:u w:val="single" w:color="000000"/>
        </w:rPr>
        <w:t>Biotransform</w:t>
      </w:r>
      <w:r w:rsidR="002000F0" w:rsidRPr="006E619B">
        <w:rPr>
          <w:rFonts w:ascii="Times New Roman" w:eastAsia="Times New Roman" w:hAnsi="Times New Roman" w:cs="Times New Roman"/>
          <w:u w:val="single" w:color="000000"/>
        </w:rPr>
        <w:t>ácia</w:t>
      </w:r>
      <w:proofErr w:type="spellEnd"/>
    </w:p>
    <w:p w14:paraId="797A9D3A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619B">
        <w:rPr>
          <w:rFonts w:ascii="Times New Roman" w:eastAsia="Times New Roman" w:hAnsi="Times New Roman" w:cs="Times New Roman"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je primárne metabolizovaný prostredníctvom CYP3A4, </w:t>
      </w:r>
      <w:proofErr w:type="spellStart"/>
      <w:r w:rsidRPr="006E619B">
        <w:rPr>
          <w:rFonts w:ascii="Times New Roman" w:eastAsia="Times New Roman" w:hAnsi="Times New Roman" w:cs="Times New Roman"/>
        </w:rPr>
        <w:t>izoformy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CYP, pričom vzniká jeho</w:t>
      </w:r>
    </w:p>
    <w:p w14:paraId="6FEEBC5E" w14:textId="64D04D08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primárny aktívny metabolit, </w:t>
      </w:r>
      <w:proofErr w:type="spellStart"/>
      <w:r w:rsidRPr="006E619B">
        <w:rPr>
          <w:rFonts w:ascii="Times New Roman" w:eastAsia="Times New Roman" w:hAnsi="Times New Roman" w:cs="Times New Roman"/>
        </w:rPr>
        <w:t>deetylsunitinib</w:t>
      </w:r>
      <w:proofErr w:type="spellEnd"/>
      <w:r w:rsidRPr="006E619B">
        <w:rPr>
          <w:rFonts w:ascii="Times New Roman" w:eastAsia="Times New Roman" w:hAnsi="Times New Roman" w:cs="Times New Roman"/>
        </w:rPr>
        <w:t>, ktorý sa takisto ďalej metabolizuje prostredníctvom toho</w:t>
      </w:r>
    </w:p>
    <w:p w14:paraId="34BD5D8E" w14:textId="77777777" w:rsidR="00355DF2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istého </w:t>
      </w:r>
      <w:proofErr w:type="spellStart"/>
      <w:r w:rsidRPr="006E619B">
        <w:rPr>
          <w:rFonts w:ascii="Times New Roman" w:eastAsia="Times New Roman" w:hAnsi="Times New Roman" w:cs="Times New Roman"/>
        </w:rPr>
        <w:t>izoenzýmu</w:t>
      </w:r>
      <w:proofErr w:type="spellEnd"/>
      <w:r w:rsidRPr="006E619B">
        <w:rPr>
          <w:rFonts w:ascii="Times New Roman" w:eastAsia="Times New Roman" w:hAnsi="Times New Roman" w:cs="Times New Roman"/>
        </w:rPr>
        <w:t>.</w:t>
      </w:r>
    </w:p>
    <w:p w14:paraId="5FBAF0B8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B19E69" w14:textId="26280D8A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Treba sa vyhnúť sú</w:t>
      </w:r>
      <w:r w:rsidR="00CB78CE">
        <w:rPr>
          <w:rFonts w:ascii="Times New Roman" w:eastAsia="Times New Roman" w:hAnsi="Times New Roman" w:cs="Times New Roman"/>
        </w:rPr>
        <w:t>bež</w:t>
      </w:r>
      <w:r w:rsidRPr="006E619B">
        <w:rPr>
          <w:rFonts w:ascii="Times New Roman" w:eastAsia="Times New Roman" w:hAnsi="Times New Roman" w:cs="Times New Roman"/>
        </w:rPr>
        <w:t xml:space="preserve">nému podávaniu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so silným induktormi CYP3A4 alebo inhibítormi,</w:t>
      </w:r>
    </w:p>
    <w:p w14:paraId="3616D446" w14:textId="77777777" w:rsidR="00355DF2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lebo môžu byť zmenené plazmatické hladiny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(pozri časť 4.4 a 4.5).</w:t>
      </w:r>
    </w:p>
    <w:p w14:paraId="24DA48C3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2637AE" w14:textId="77777777" w:rsidR="00355DF2" w:rsidRPr="006E619B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  <w:u w:val="single" w:color="000000"/>
        </w:rPr>
        <w:t>Elimin</w:t>
      </w:r>
      <w:r w:rsidR="002000F0" w:rsidRPr="006E619B">
        <w:rPr>
          <w:rFonts w:ascii="Times New Roman" w:eastAsia="Times New Roman" w:hAnsi="Times New Roman" w:cs="Times New Roman"/>
          <w:u w:val="single" w:color="000000"/>
        </w:rPr>
        <w:t>ácia</w:t>
      </w:r>
    </w:p>
    <w:p w14:paraId="0632FC0F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Vylučovanie sa deje predovšetkým prostredníctvom stolice (61 %), vylučovanie nezmeneného liečiva</w:t>
      </w:r>
    </w:p>
    <w:p w14:paraId="6CFC89DD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a jeho metabolitov obličkami dosahuje 16 % podanej dávky. </w:t>
      </w:r>
      <w:proofErr w:type="spellStart"/>
      <w:r w:rsidRPr="006E619B">
        <w:rPr>
          <w:rFonts w:ascii="Times New Roman" w:eastAsia="Times New Roman" w:hAnsi="Times New Roman" w:cs="Times New Roman"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a jeho primárny aktívny</w:t>
      </w:r>
    </w:p>
    <w:p w14:paraId="2F41C8E4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metabolit boli hlavnými zlúčeninami, ktoré boli identifikované v plazme, moči a stolici, čo</w:t>
      </w:r>
    </w:p>
    <w:p w14:paraId="09C491FF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predstavovalo 91,5 %, 86,4 %, resp. 73,8 % rádioaktivity v odobraných vzorkách. Menej významné</w:t>
      </w:r>
    </w:p>
    <w:p w14:paraId="55219BD5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metabolity boli identifikované v moči a stolici, ale spravidla sa nezistili v plazme. Celkový </w:t>
      </w:r>
      <w:proofErr w:type="spellStart"/>
      <w:r w:rsidRPr="006E619B">
        <w:rPr>
          <w:rFonts w:ascii="Times New Roman" w:eastAsia="Times New Roman" w:hAnsi="Times New Roman" w:cs="Times New Roman"/>
        </w:rPr>
        <w:t>klírens</w:t>
      </w:r>
      <w:proofErr w:type="spellEnd"/>
    </w:p>
    <w:p w14:paraId="05641D10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perorálnej dávky (CL/F) bol 34 – 62 l/h. Po perorálnom podaní zdravým dobrovoľníkom boli</w:t>
      </w:r>
    </w:p>
    <w:p w14:paraId="6CBBAAC1" w14:textId="699C349B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eliminačné polčasy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a jeho primárneho aktívneho </w:t>
      </w:r>
      <w:proofErr w:type="spellStart"/>
      <w:r w:rsidRPr="006E619B">
        <w:rPr>
          <w:rFonts w:ascii="Times New Roman" w:eastAsia="Times New Roman" w:hAnsi="Times New Roman" w:cs="Times New Roman"/>
        </w:rPr>
        <w:t>deetylmetabolitu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približne 40 - 60 hodín</w:t>
      </w:r>
    </w:p>
    <w:p w14:paraId="769293F0" w14:textId="77777777" w:rsidR="00355DF2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resp. 80 - 110 hodín.</w:t>
      </w:r>
    </w:p>
    <w:p w14:paraId="704258B1" w14:textId="77777777" w:rsidR="002000F0" w:rsidRPr="006E619B" w:rsidRDefault="002000F0" w:rsidP="002000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517DE7" w14:textId="77777777" w:rsidR="00355DF2" w:rsidRPr="006E619B" w:rsidRDefault="002000F0" w:rsidP="00355D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u w:val="single"/>
        </w:rPr>
      </w:pPr>
      <w:r w:rsidRPr="006E619B">
        <w:rPr>
          <w:rFonts w:ascii="Times New Roman" w:eastAsia="Times New Roman" w:hAnsi="Times New Roman" w:cs="Times New Roman"/>
          <w:w w:val="103"/>
          <w:u w:val="single"/>
        </w:rPr>
        <w:t>Súbežné podávanie s liekmi, ktoré sú inhibítormi BCRP</w:t>
      </w:r>
    </w:p>
    <w:p w14:paraId="1D57EDA6" w14:textId="77777777" w:rsidR="002000F0" w:rsidRPr="006E619B" w:rsidRDefault="002000F0" w:rsidP="002000F0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iCs/>
        </w:rPr>
      </w:pPr>
      <w:r w:rsidRPr="006E619B">
        <w:rPr>
          <w:rFonts w:ascii="Times New Roman" w:eastAsia="Times New Roman" w:hAnsi="Times New Roman" w:cs="Times New Roman"/>
          <w:iCs/>
        </w:rPr>
        <w:t xml:space="preserve">In vitro je </w:t>
      </w:r>
      <w:proofErr w:type="spellStart"/>
      <w:r w:rsidRPr="006E619B">
        <w:rPr>
          <w:rFonts w:ascii="Times New Roman" w:eastAsia="Times New Roman" w:hAnsi="Times New Roman" w:cs="Times New Roman"/>
          <w:iCs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  <w:iCs/>
        </w:rPr>
        <w:t xml:space="preserve"> substrátom pre </w:t>
      </w:r>
      <w:proofErr w:type="spellStart"/>
      <w:r w:rsidRPr="006E619B">
        <w:rPr>
          <w:rFonts w:ascii="Times New Roman" w:eastAsia="Times New Roman" w:hAnsi="Times New Roman" w:cs="Times New Roman"/>
          <w:iCs/>
        </w:rPr>
        <w:t>efluxný</w:t>
      </w:r>
      <w:proofErr w:type="spellEnd"/>
      <w:r w:rsidRPr="006E619B">
        <w:rPr>
          <w:rFonts w:ascii="Times New Roman" w:eastAsia="Times New Roman" w:hAnsi="Times New Roman" w:cs="Times New Roman"/>
          <w:iCs/>
        </w:rPr>
        <w:t xml:space="preserve"> transportér BCRP. V štúdii A6181038 súbežné podávanie</w:t>
      </w:r>
    </w:p>
    <w:p w14:paraId="5144ADE7" w14:textId="77777777" w:rsidR="002000F0" w:rsidRPr="006E619B" w:rsidRDefault="002000F0" w:rsidP="002000F0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iCs/>
        </w:rPr>
      </w:pPr>
      <w:r w:rsidRPr="006E619B">
        <w:rPr>
          <w:rFonts w:ascii="Times New Roman" w:eastAsia="Times New Roman" w:hAnsi="Times New Roman" w:cs="Times New Roman"/>
          <w:iCs/>
        </w:rPr>
        <w:t xml:space="preserve">s </w:t>
      </w:r>
      <w:proofErr w:type="spellStart"/>
      <w:r w:rsidRPr="006E619B">
        <w:rPr>
          <w:rFonts w:ascii="Times New Roman" w:eastAsia="Times New Roman" w:hAnsi="Times New Roman" w:cs="Times New Roman"/>
          <w:iCs/>
        </w:rPr>
        <w:t>gefitinibom</w:t>
      </w:r>
      <w:proofErr w:type="spellEnd"/>
      <w:r w:rsidRPr="006E619B">
        <w:rPr>
          <w:rFonts w:ascii="Times New Roman" w:eastAsia="Times New Roman" w:hAnsi="Times New Roman" w:cs="Times New Roman"/>
          <w:iCs/>
        </w:rPr>
        <w:t xml:space="preserve">, inhibítorom BCRP, nevyústilo do klinicky relevantného účinku na </w:t>
      </w:r>
      <w:proofErr w:type="spellStart"/>
      <w:r w:rsidRPr="006E619B">
        <w:rPr>
          <w:rFonts w:ascii="Times New Roman" w:eastAsia="Times New Roman" w:hAnsi="Times New Roman" w:cs="Times New Roman"/>
          <w:iCs/>
        </w:rPr>
        <w:t>C</w:t>
      </w:r>
      <w:r w:rsidRPr="006E619B">
        <w:rPr>
          <w:rFonts w:ascii="Times New Roman" w:eastAsia="Times New Roman" w:hAnsi="Times New Roman" w:cs="Times New Roman"/>
          <w:iCs/>
          <w:vertAlign w:val="subscript"/>
        </w:rPr>
        <w:t>max</w:t>
      </w:r>
      <w:proofErr w:type="spellEnd"/>
      <w:r w:rsidRPr="006E619B">
        <w:rPr>
          <w:rFonts w:ascii="Times New Roman" w:eastAsia="Times New Roman" w:hAnsi="Times New Roman" w:cs="Times New Roman"/>
          <w:iCs/>
        </w:rPr>
        <w:t xml:space="preserve"> a AUC</w:t>
      </w:r>
    </w:p>
    <w:p w14:paraId="52D06463" w14:textId="77777777" w:rsidR="0096576D" w:rsidRPr="006E619B" w:rsidRDefault="002000F0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</w:rPr>
      </w:pPr>
      <w:proofErr w:type="spellStart"/>
      <w:r w:rsidRPr="006E619B">
        <w:rPr>
          <w:rFonts w:ascii="Times New Roman" w:eastAsia="Times New Roman" w:hAnsi="Times New Roman" w:cs="Times New Roman"/>
          <w:iCs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  <w:iCs/>
        </w:rPr>
        <w:t xml:space="preserve"> alebo celkového lieku (</w:t>
      </w:r>
      <w:proofErr w:type="spellStart"/>
      <w:r w:rsidRPr="006E619B">
        <w:rPr>
          <w:rFonts w:ascii="Times New Roman" w:eastAsia="Times New Roman" w:hAnsi="Times New Roman" w:cs="Times New Roman"/>
          <w:iCs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  <w:iCs/>
        </w:rPr>
        <w:t xml:space="preserve"> + metabolit) (pozri časť 4.5).</w:t>
      </w:r>
      <w:r w:rsidRPr="006E619B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="0096576D" w:rsidRPr="006E619B">
        <w:rPr>
          <w:rFonts w:ascii="Times New Roman" w:eastAsia="Times New Roman" w:hAnsi="Times New Roman" w:cs="Times New Roman"/>
          <w:spacing w:val="1"/>
        </w:rPr>
        <w:t>Táto štúdia bola</w:t>
      </w:r>
    </w:p>
    <w:p w14:paraId="1FA81244" w14:textId="77777777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spacing w:val="1"/>
        </w:rPr>
      </w:pPr>
      <w:proofErr w:type="spellStart"/>
      <w:r w:rsidRPr="006E619B">
        <w:rPr>
          <w:rFonts w:ascii="Times New Roman" w:eastAsia="Times New Roman" w:hAnsi="Times New Roman" w:cs="Times New Roman"/>
          <w:spacing w:val="1"/>
        </w:rPr>
        <w:t>multicentrická</w:t>
      </w:r>
      <w:proofErr w:type="spellEnd"/>
      <w:r w:rsidRPr="006E619B">
        <w:rPr>
          <w:rFonts w:ascii="Times New Roman" w:eastAsia="Times New Roman" w:hAnsi="Times New Roman" w:cs="Times New Roman"/>
          <w:spacing w:val="1"/>
        </w:rPr>
        <w:t>, otvorená štúdia fázy 1/2 skúmajúca bezpečnosť/tolerovateľnosť, maximálnu</w:t>
      </w:r>
    </w:p>
    <w:p w14:paraId="0DD18E8D" w14:textId="77777777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  <w:spacing w:val="1"/>
        </w:rPr>
        <w:t xml:space="preserve">tolerovanú dávku a </w:t>
      </w:r>
      <w:proofErr w:type="spellStart"/>
      <w:r w:rsidRPr="006E619B">
        <w:rPr>
          <w:rFonts w:ascii="Times New Roman" w:eastAsia="Times New Roman" w:hAnsi="Times New Roman" w:cs="Times New Roman"/>
          <w:spacing w:val="1"/>
        </w:rPr>
        <w:t>protinádorovú</w:t>
      </w:r>
      <w:proofErr w:type="spellEnd"/>
      <w:r w:rsidRPr="006E619B">
        <w:rPr>
          <w:rFonts w:ascii="Times New Roman" w:eastAsia="Times New Roman" w:hAnsi="Times New Roman" w:cs="Times New Roman"/>
          <w:spacing w:val="1"/>
        </w:rPr>
        <w:t xml:space="preserve"> aktivitu </w:t>
      </w:r>
      <w:proofErr w:type="spellStart"/>
      <w:r w:rsidRPr="006E619B">
        <w:rPr>
          <w:rFonts w:ascii="Times New Roman" w:eastAsia="Times New Roman" w:hAnsi="Times New Roman" w:cs="Times New Roman"/>
          <w:spacing w:val="1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  <w:spacing w:val="1"/>
        </w:rPr>
        <w:t xml:space="preserve"> v kombinácii s </w:t>
      </w:r>
      <w:proofErr w:type="spellStart"/>
      <w:r w:rsidRPr="006E619B">
        <w:rPr>
          <w:rFonts w:ascii="Times New Roman" w:eastAsia="Times New Roman" w:hAnsi="Times New Roman" w:cs="Times New Roman"/>
          <w:spacing w:val="1"/>
        </w:rPr>
        <w:t>gefitinibom</w:t>
      </w:r>
      <w:proofErr w:type="spellEnd"/>
      <w:r w:rsidRPr="006E619B">
        <w:rPr>
          <w:rFonts w:ascii="Times New Roman" w:eastAsia="Times New Roman" w:hAnsi="Times New Roman" w:cs="Times New Roman"/>
          <w:spacing w:val="1"/>
        </w:rPr>
        <w:t xml:space="preserve"> u pacientov s MRCC. </w:t>
      </w:r>
      <w:r w:rsidRPr="006E619B">
        <w:rPr>
          <w:rFonts w:ascii="Times New Roman" w:eastAsia="Times New Roman" w:hAnsi="Times New Roman" w:cs="Times New Roman"/>
        </w:rPr>
        <w:t xml:space="preserve">Ako sekundárny cieľ štúdie sa vyhodnocovala PK </w:t>
      </w:r>
      <w:proofErr w:type="spellStart"/>
      <w:r w:rsidRPr="006E619B">
        <w:rPr>
          <w:rFonts w:ascii="Times New Roman" w:eastAsia="Times New Roman" w:hAnsi="Times New Roman" w:cs="Times New Roman"/>
        </w:rPr>
        <w:t>gefitinibu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(250 mg denne) a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(37,5 mg</w:t>
      </w:r>
    </w:p>
    <w:p w14:paraId="3B567484" w14:textId="289B1778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[1. kohorta, n = 4] alebo 50 mg [2. kohorta, n = 7] denne s režimom 4 týždne </w:t>
      </w:r>
      <w:r w:rsidR="00CB78CE">
        <w:rPr>
          <w:rFonts w:ascii="Times New Roman" w:eastAsia="Times New Roman" w:hAnsi="Times New Roman" w:cs="Times New Roman"/>
        </w:rPr>
        <w:t xml:space="preserve">s </w:t>
      </w:r>
      <w:r w:rsidRPr="006E619B">
        <w:rPr>
          <w:rFonts w:ascii="Times New Roman" w:eastAsia="Times New Roman" w:hAnsi="Times New Roman" w:cs="Times New Roman"/>
        </w:rPr>
        <w:t>liečb</w:t>
      </w:r>
      <w:r w:rsidR="00CB78CE">
        <w:rPr>
          <w:rFonts w:ascii="Times New Roman" w:eastAsia="Times New Roman" w:hAnsi="Times New Roman" w:cs="Times New Roman"/>
        </w:rPr>
        <w:t>ou</w:t>
      </w:r>
      <w:r w:rsidRPr="006E619B">
        <w:rPr>
          <w:rFonts w:ascii="Times New Roman" w:eastAsia="Times New Roman" w:hAnsi="Times New Roman" w:cs="Times New Roman"/>
        </w:rPr>
        <w:t>, po ktorej</w:t>
      </w:r>
    </w:p>
    <w:p w14:paraId="7EC0B5C1" w14:textId="77777777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nasledovali 2 týždne bez liečby), keď sa podávali súbežne. Zmeny v PK parametroch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</w:p>
    <w:p w14:paraId="4209AA18" w14:textId="77777777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nemali žiadny klinický význam a nepoukazovali na žiadne interakcie medzi liekmi, avšak vzhľadom</w:t>
      </w:r>
    </w:p>
    <w:p w14:paraId="07CF33AA" w14:textId="77777777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na relatívne nízky počet pacientov (tzn. N = 7 + 4) a strednú až veľkú variabilitu medzi pacientmi</w:t>
      </w:r>
    </w:p>
    <w:p w14:paraId="32FDA52D" w14:textId="77777777" w:rsidR="0096576D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v ich </w:t>
      </w:r>
      <w:proofErr w:type="spellStart"/>
      <w:r w:rsidRPr="006E619B">
        <w:rPr>
          <w:rFonts w:ascii="Times New Roman" w:eastAsia="Times New Roman" w:hAnsi="Times New Roman" w:cs="Times New Roman"/>
        </w:rPr>
        <w:t>farmakokinetických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parametroch, sa PK zistenia z tejto štúdie, týkajúce sa interakcie medzi</w:t>
      </w:r>
    </w:p>
    <w:p w14:paraId="47B66D77" w14:textId="77777777" w:rsidR="00355DF2" w:rsidRPr="006E619B" w:rsidRDefault="0096576D" w:rsidP="0096576D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liekmi, musia interpretovať opatrne.</w:t>
      </w:r>
    </w:p>
    <w:p w14:paraId="3C9237F6" w14:textId="77777777" w:rsidR="00355DF2" w:rsidRPr="006E619B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79A804" w14:textId="77777777" w:rsidR="00355DF2" w:rsidRPr="006E619B" w:rsidRDefault="0096576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  <w:u w:val="single" w:color="000000"/>
        </w:rPr>
        <w:t>Osobitné skupiny pacientov</w:t>
      </w:r>
    </w:p>
    <w:p w14:paraId="662F7E83" w14:textId="77777777" w:rsidR="00355DF2" w:rsidRPr="006E619B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15585B" w14:textId="77777777" w:rsidR="00355DF2" w:rsidRPr="006E619B" w:rsidRDefault="0096576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E619B">
        <w:rPr>
          <w:rFonts w:ascii="Times New Roman" w:eastAsia="Times New Roman" w:hAnsi="Times New Roman" w:cs="Times New Roman"/>
          <w:i/>
        </w:rPr>
        <w:t>Porucha funkcie pečene</w:t>
      </w:r>
    </w:p>
    <w:p w14:paraId="18EB8310" w14:textId="77777777" w:rsidR="0096576D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619B">
        <w:rPr>
          <w:rFonts w:ascii="Times New Roman" w:eastAsia="Times New Roman" w:hAnsi="Times New Roman" w:cs="Times New Roman"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a jeho primárny metabolit sa metabolizujú prevažne v pečeni. Systémové expozície po</w:t>
      </w:r>
    </w:p>
    <w:p w14:paraId="39164936" w14:textId="5FC61BD0" w:rsidR="00355DF2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jednorazovej dávke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boli u jedincov s miern</w:t>
      </w:r>
      <w:r w:rsidR="00CB78CE">
        <w:rPr>
          <w:rFonts w:ascii="Times New Roman" w:eastAsia="Times New Roman" w:hAnsi="Times New Roman" w:cs="Times New Roman"/>
        </w:rPr>
        <w:t>ou</w:t>
      </w:r>
      <w:r w:rsidRPr="006E619B">
        <w:rPr>
          <w:rFonts w:ascii="Times New Roman" w:eastAsia="Times New Roman" w:hAnsi="Times New Roman" w:cs="Times New Roman"/>
        </w:rPr>
        <w:t xml:space="preserve"> alebo stredn</w:t>
      </w:r>
      <w:r w:rsidR="00CB78CE">
        <w:rPr>
          <w:rFonts w:ascii="Times New Roman" w:eastAsia="Times New Roman" w:hAnsi="Times New Roman" w:cs="Times New Roman"/>
        </w:rPr>
        <w:t>e závažnou</w:t>
      </w:r>
      <w:r w:rsidRPr="006E619B">
        <w:rPr>
          <w:rFonts w:ascii="Times New Roman" w:eastAsia="Times New Roman" w:hAnsi="Times New Roman" w:cs="Times New Roman"/>
        </w:rPr>
        <w:t xml:space="preserve"> (trieda A </w:t>
      </w:r>
      <w:proofErr w:type="spellStart"/>
      <w:r w:rsidRPr="006E619B">
        <w:rPr>
          <w:rFonts w:ascii="Times New Roman" w:eastAsia="Times New Roman" w:hAnsi="Times New Roman" w:cs="Times New Roman"/>
        </w:rPr>
        <w:t>a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B klasifikácie</w:t>
      </w:r>
      <w:r w:rsidR="00CB78CE">
        <w:rPr>
          <w:rFonts w:ascii="Times New Roman" w:eastAsia="Times New Roman" w:hAnsi="Times New Roman" w:cs="Times New Roman"/>
        </w:rPr>
        <w:t xml:space="preserve"> </w:t>
      </w:r>
      <w:r w:rsidRPr="006E619B">
        <w:rPr>
          <w:rFonts w:ascii="Times New Roman" w:eastAsia="Times New Roman" w:hAnsi="Times New Roman" w:cs="Times New Roman"/>
        </w:rPr>
        <w:t xml:space="preserve">podľa </w:t>
      </w:r>
      <w:proofErr w:type="spellStart"/>
      <w:r w:rsidRPr="006E619B">
        <w:rPr>
          <w:rFonts w:ascii="Times New Roman" w:eastAsia="Times New Roman" w:hAnsi="Times New Roman" w:cs="Times New Roman"/>
        </w:rPr>
        <w:t>Childa-Pugha</w:t>
      </w:r>
      <w:proofErr w:type="spellEnd"/>
      <w:r w:rsidRPr="006E619B">
        <w:rPr>
          <w:rFonts w:ascii="Times New Roman" w:eastAsia="Times New Roman" w:hAnsi="Times New Roman" w:cs="Times New Roman"/>
        </w:rPr>
        <w:t>) po</w:t>
      </w:r>
      <w:r w:rsidR="00CB78CE">
        <w:rPr>
          <w:rFonts w:ascii="Times New Roman" w:eastAsia="Times New Roman" w:hAnsi="Times New Roman" w:cs="Times New Roman"/>
        </w:rPr>
        <w:t>ruchou funkcie</w:t>
      </w:r>
      <w:r w:rsidRPr="006E619B">
        <w:rPr>
          <w:rFonts w:ascii="Times New Roman" w:eastAsia="Times New Roman" w:hAnsi="Times New Roman" w:cs="Times New Roman"/>
        </w:rPr>
        <w:t xml:space="preserve"> pečene podobné v porovnaní s jedincami s normálnou funkciou</w:t>
      </w:r>
      <w:r w:rsidR="00CB78CE">
        <w:rPr>
          <w:rFonts w:ascii="Times New Roman" w:eastAsia="Times New Roman" w:hAnsi="Times New Roman" w:cs="Times New Roman"/>
        </w:rPr>
        <w:t xml:space="preserve"> </w:t>
      </w:r>
      <w:r w:rsidRPr="006E619B">
        <w:rPr>
          <w:rFonts w:ascii="Times New Roman" w:eastAsia="Times New Roman" w:hAnsi="Times New Roman" w:cs="Times New Roman"/>
        </w:rPr>
        <w:t xml:space="preserve">pečene. </w:t>
      </w:r>
      <w:proofErr w:type="spellStart"/>
      <w:r w:rsidRPr="006E619B">
        <w:rPr>
          <w:rFonts w:ascii="Times New Roman" w:eastAsia="Times New Roman" w:hAnsi="Times New Roman" w:cs="Times New Roman"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sa neskúmal u jedincov so závažn</w:t>
      </w:r>
      <w:r w:rsidR="00CB78CE">
        <w:rPr>
          <w:rFonts w:ascii="Times New Roman" w:eastAsia="Times New Roman" w:hAnsi="Times New Roman" w:cs="Times New Roman"/>
        </w:rPr>
        <w:t>ou</w:t>
      </w:r>
      <w:r w:rsidRPr="006E619B">
        <w:rPr>
          <w:rFonts w:ascii="Times New Roman" w:eastAsia="Times New Roman" w:hAnsi="Times New Roman" w:cs="Times New Roman"/>
        </w:rPr>
        <w:t xml:space="preserve"> (trieda C klasifikácie podľa </w:t>
      </w:r>
      <w:proofErr w:type="spellStart"/>
      <w:r w:rsidRPr="006E619B">
        <w:rPr>
          <w:rFonts w:ascii="Times New Roman" w:eastAsia="Times New Roman" w:hAnsi="Times New Roman" w:cs="Times New Roman"/>
        </w:rPr>
        <w:t>Childa-Pugha</w:t>
      </w:r>
      <w:proofErr w:type="spellEnd"/>
      <w:r w:rsidRPr="006E619B">
        <w:rPr>
          <w:rFonts w:ascii="Times New Roman" w:eastAsia="Times New Roman" w:hAnsi="Times New Roman" w:cs="Times New Roman"/>
        </w:rPr>
        <w:t>)</w:t>
      </w:r>
      <w:r w:rsidR="00CB78CE">
        <w:rPr>
          <w:rFonts w:ascii="Times New Roman" w:eastAsia="Times New Roman" w:hAnsi="Times New Roman" w:cs="Times New Roman"/>
        </w:rPr>
        <w:t xml:space="preserve"> </w:t>
      </w:r>
      <w:r w:rsidRPr="006E619B">
        <w:rPr>
          <w:rFonts w:ascii="Times New Roman" w:eastAsia="Times New Roman" w:hAnsi="Times New Roman" w:cs="Times New Roman"/>
        </w:rPr>
        <w:t>po</w:t>
      </w:r>
      <w:r w:rsidR="00CB78CE">
        <w:rPr>
          <w:rFonts w:ascii="Times New Roman" w:eastAsia="Times New Roman" w:hAnsi="Times New Roman" w:cs="Times New Roman"/>
        </w:rPr>
        <w:t>ruchou funkcie</w:t>
      </w:r>
      <w:r w:rsidRPr="006E619B">
        <w:rPr>
          <w:rFonts w:ascii="Times New Roman" w:eastAsia="Times New Roman" w:hAnsi="Times New Roman" w:cs="Times New Roman"/>
        </w:rPr>
        <w:t xml:space="preserve"> pečene.</w:t>
      </w:r>
    </w:p>
    <w:p w14:paraId="27037B41" w14:textId="77777777" w:rsidR="0096576D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9C2FE6" w14:textId="77777777" w:rsidR="0096576D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Zo štúdií u pacientov s nádorovým ochorením boli vylúčení pacienti s hodnotou ALT alebo AST &gt; 2,5</w:t>
      </w:r>
    </w:p>
    <w:p w14:paraId="41E668BD" w14:textId="77777777" w:rsidR="0096576D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x ULN (</w:t>
      </w:r>
      <w:proofErr w:type="spellStart"/>
      <w:r w:rsidRPr="006E619B">
        <w:rPr>
          <w:rFonts w:ascii="Times New Roman" w:eastAsia="Times New Roman" w:hAnsi="Times New Roman" w:cs="Times New Roman"/>
        </w:rPr>
        <w:t>upper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limit of </w:t>
      </w:r>
      <w:proofErr w:type="spellStart"/>
      <w:r w:rsidRPr="006E619B">
        <w:rPr>
          <w:rFonts w:ascii="Times New Roman" w:eastAsia="Times New Roman" w:hAnsi="Times New Roman" w:cs="Times New Roman"/>
        </w:rPr>
        <w:t>normal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= horný limit normy) alebo s hodnotou &gt;5,0 x ULN, ak bolo zvýšenie</w:t>
      </w:r>
    </w:p>
    <w:p w14:paraId="3F4D00DD" w14:textId="77777777" w:rsidR="00355DF2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spôsobené metastázami do pečene.</w:t>
      </w:r>
    </w:p>
    <w:p w14:paraId="0826EED6" w14:textId="77777777" w:rsidR="0096576D" w:rsidRPr="006E619B" w:rsidRDefault="0096576D" w:rsidP="009657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A54555" w14:textId="77777777" w:rsidR="00355DF2" w:rsidRPr="006E619B" w:rsidRDefault="0096576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E619B">
        <w:rPr>
          <w:rFonts w:ascii="Times New Roman" w:eastAsia="Times New Roman" w:hAnsi="Times New Roman" w:cs="Times New Roman"/>
          <w:i/>
        </w:rPr>
        <w:t>Porucha funkcie obličiek</w:t>
      </w:r>
    </w:p>
    <w:p w14:paraId="5761B38E" w14:textId="77777777" w:rsidR="006E619B" w:rsidRPr="006E619B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Populačné PK analýzy ukázali, že zdanlivý </w:t>
      </w:r>
      <w:proofErr w:type="spellStart"/>
      <w:r w:rsidRPr="006E619B">
        <w:rPr>
          <w:rFonts w:ascii="Times New Roman" w:eastAsia="Times New Roman" w:hAnsi="Times New Roman" w:cs="Times New Roman"/>
        </w:rPr>
        <w:t>klírens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(CL/F)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nebol ovplyvnený </w:t>
      </w:r>
      <w:proofErr w:type="spellStart"/>
      <w:r w:rsidRPr="006E619B">
        <w:rPr>
          <w:rFonts w:ascii="Times New Roman" w:eastAsia="Times New Roman" w:hAnsi="Times New Roman" w:cs="Times New Roman"/>
        </w:rPr>
        <w:t>klírensom</w:t>
      </w:r>
      <w:proofErr w:type="spellEnd"/>
    </w:p>
    <w:p w14:paraId="5A323B15" w14:textId="77777777" w:rsidR="006E619B" w:rsidRPr="006E619B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>kreatinínu (</w:t>
      </w:r>
      <w:proofErr w:type="spellStart"/>
      <w:r w:rsidRPr="006E619B">
        <w:rPr>
          <w:rFonts w:ascii="Times New Roman" w:eastAsia="Times New Roman" w:hAnsi="Times New Roman" w:cs="Times New Roman"/>
        </w:rPr>
        <w:t>CLcr</w:t>
      </w:r>
      <w:proofErr w:type="spellEnd"/>
      <w:r w:rsidRPr="006E619B">
        <w:rPr>
          <w:rFonts w:ascii="Times New Roman" w:eastAsia="Times New Roman" w:hAnsi="Times New Roman" w:cs="Times New Roman"/>
        </w:rPr>
        <w:t>) v rámci meraného rozmedzia (42 - 347 ml/min). Systémové expozície po podaní</w:t>
      </w:r>
    </w:p>
    <w:p w14:paraId="54116F11" w14:textId="202678FE" w:rsidR="006E619B" w:rsidRPr="006E619B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lastRenderedPageBreak/>
        <w:t>jedno</w:t>
      </w:r>
      <w:r w:rsidR="00C725CF">
        <w:rPr>
          <w:rFonts w:ascii="Times New Roman" w:eastAsia="Times New Roman" w:hAnsi="Times New Roman" w:cs="Times New Roman"/>
        </w:rPr>
        <w:t>razo</w:t>
      </w:r>
      <w:r w:rsidRPr="006E619B">
        <w:rPr>
          <w:rFonts w:ascii="Times New Roman" w:eastAsia="Times New Roman" w:hAnsi="Times New Roman" w:cs="Times New Roman"/>
        </w:rPr>
        <w:t xml:space="preserve">vej dávky </w:t>
      </w:r>
      <w:proofErr w:type="spellStart"/>
      <w:r w:rsidRPr="006E619B">
        <w:rPr>
          <w:rFonts w:ascii="Times New Roman" w:eastAsia="Times New Roman" w:hAnsi="Times New Roman" w:cs="Times New Roman"/>
        </w:rPr>
        <w:t>sunitinibu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boli podobné u pacientov so závažnou poruchou funkcie obličiek (</w:t>
      </w:r>
      <w:proofErr w:type="spellStart"/>
      <w:r w:rsidRPr="006E619B">
        <w:rPr>
          <w:rFonts w:ascii="Times New Roman" w:eastAsia="Times New Roman" w:hAnsi="Times New Roman" w:cs="Times New Roman"/>
        </w:rPr>
        <w:t>klírens</w:t>
      </w:r>
      <w:proofErr w:type="spellEnd"/>
    </w:p>
    <w:p w14:paraId="3BDEC23B" w14:textId="77777777" w:rsidR="00355DF2" w:rsidRPr="006E619B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619B">
        <w:rPr>
          <w:rFonts w:ascii="Times New Roman" w:eastAsia="Times New Roman" w:hAnsi="Times New Roman" w:cs="Times New Roman"/>
        </w:rPr>
        <w:t xml:space="preserve">kreatinínu </w:t>
      </w:r>
      <w:proofErr w:type="spellStart"/>
      <w:r w:rsidRPr="006E619B">
        <w:rPr>
          <w:rFonts w:ascii="Times New Roman" w:eastAsia="Times New Roman" w:hAnsi="Times New Roman" w:cs="Times New Roman"/>
        </w:rPr>
        <w:t>CLcr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&lt; 30 ml/min) v porovnaní s pacientmi s normálnou funkciou obličiek (</w:t>
      </w:r>
      <w:proofErr w:type="spellStart"/>
      <w:r w:rsidRPr="006E619B">
        <w:rPr>
          <w:rFonts w:ascii="Times New Roman" w:eastAsia="Times New Roman" w:hAnsi="Times New Roman" w:cs="Times New Roman"/>
        </w:rPr>
        <w:t>CLcr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&gt; 80 ml/min). Aj keď sa </w:t>
      </w:r>
      <w:proofErr w:type="spellStart"/>
      <w:r w:rsidRPr="006E619B">
        <w:rPr>
          <w:rFonts w:ascii="Times New Roman" w:eastAsia="Times New Roman" w:hAnsi="Times New Roman" w:cs="Times New Roman"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a jeho primárny metabolit neeliminovali prostredníctvom hemodialýzy u pacientov s ESRD, celkové systémové expozície boli nižšie o 47 % pre </w:t>
      </w:r>
      <w:proofErr w:type="spellStart"/>
      <w:r w:rsidRPr="006E619B">
        <w:rPr>
          <w:rFonts w:ascii="Times New Roman" w:eastAsia="Times New Roman" w:hAnsi="Times New Roman" w:cs="Times New Roman"/>
        </w:rPr>
        <w:t>sunitinib</w:t>
      </w:r>
      <w:proofErr w:type="spellEnd"/>
      <w:r w:rsidRPr="006E619B">
        <w:rPr>
          <w:rFonts w:ascii="Times New Roman" w:eastAsia="Times New Roman" w:hAnsi="Times New Roman" w:cs="Times New Roman"/>
        </w:rPr>
        <w:t xml:space="preserve"> a 31 % pre jeho primárny metabolit v porovnaní s pacientmi s normálnou funkciou obličiek.</w:t>
      </w:r>
    </w:p>
    <w:p w14:paraId="6BCE3037" w14:textId="77777777" w:rsidR="006E619B" w:rsidRPr="00355DF2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601CA590" w14:textId="77777777" w:rsidR="00355DF2" w:rsidRPr="008F7923" w:rsidRDefault="006E619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923">
        <w:rPr>
          <w:rFonts w:ascii="Times New Roman" w:eastAsia="Times New Roman" w:hAnsi="Times New Roman" w:cs="Times New Roman"/>
          <w:i/>
        </w:rPr>
        <w:t>Hmotnosť, skóre</w:t>
      </w:r>
    </w:p>
    <w:p w14:paraId="4608819E" w14:textId="77777777" w:rsidR="006E619B" w:rsidRPr="008F7923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Populačné PK analýzy hodnotiace demografické údaje svedčia, že nie sú potrebné úpravy dávky</w:t>
      </w:r>
    </w:p>
    <w:p w14:paraId="4F617159" w14:textId="77777777" w:rsidR="00355DF2" w:rsidRPr="008F7923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vzhľadom na hmotnosť alebo skóre ECOG (</w:t>
      </w:r>
      <w:proofErr w:type="spellStart"/>
      <w:r w:rsidRPr="008F7923">
        <w:rPr>
          <w:rFonts w:ascii="Times New Roman" w:eastAsia="Times New Roman" w:hAnsi="Times New Roman" w:cs="Times New Roman"/>
        </w:rPr>
        <w:t>Eastern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7923">
        <w:rPr>
          <w:rFonts w:ascii="Times New Roman" w:eastAsia="Times New Roman" w:hAnsi="Times New Roman" w:cs="Times New Roman"/>
        </w:rPr>
        <w:t>Cooperative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7923">
        <w:rPr>
          <w:rFonts w:ascii="Times New Roman" w:eastAsia="Times New Roman" w:hAnsi="Times New Roman" w:cs="Times New Roman"/>
        </w:rPr>
        <w:t>Oncology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Group)</w:t>
      </w:r>
      <w:r w:rsidR="00355DF2" w:rsidRPr="008F7923">
        <w:rPr>
          <w:rFonts w:ascii="Times New Roman" w:eastAsia="Times New Roman" w:hAnsi="Times New Roman" w:cs="Times New Roman"/>
        </w:rPr>
        <w:t>.</w:t>
      </w:r>
    </w:p>
    <w:p w14:paraId="68465333" w14:textId="77777777" w:rsidR="00355DF2" w:rsidRPr="008F7923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F2ACA2" w14:textId="77777777" w:rsidR="00355DF2" w:rsidRPr="008F7923" w:rsidRDefault="006E619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923">
        <w:rPr>
          <w:rFonts w:ascii="Times New Roman" w:eastAsia="Times New Roman" w:hAnsi="Times New Roman" w:cs="Times New Roman"/>
          <w:i/>
        </w:rPr>
        <w:t>Pohlavie</w:t>
      </w:r>
    </w:p>
    <w:p w14:paraId="34D5AC47" w14:textId="77777777" w:rsidR="006E619B" w:rsidRPr="008F7923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 xml:space="preserve">Dostupné údaje ukazujú, že ženy môžu mať asi o 30 % nižší zdanlivý </w:t>
      </w:r>
      <w:proofErr w:type="spellStart"/>
      <w:r w:rsidRPr="008F7923">
        <w:rPr>
          <w:rFonts w:ascii="Times New Roman" w:eastAsia="Times New Roman" w:hAnsi="Times New Roman" w:cs="Times New Roman"/>
        </w:rPr>
        <w:t>klírens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(CL/F) </w:t>
      </w:r>
      <w:proofErr w:type="spellStart"/>
      <w:r w:rsidRPr="008F7923">
        <w:rPr>
          <w:rFonts w:ascii="Times New Roman" w:eastAsia="Times New Roman" w:hAnsi="Times New Roman" w:cs="Times New Roman"/>
        </w:rPr>
        <w:t>sunitinibu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ako</w:t>
      </w:r>
    </w:p>
    <w:p w14:paraId="043EE927" w14:textId="77777777" w:rsidR="00355DF2" w:rsidRPr="008F7923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muži, tento rozdiel však nevyžaduje úpravu dávky.</w:t>
      </w:r>
    </w:p>
    <w:p w14:paraId="7C8329F9" w14:textId="77777777" w:rsidR="006E619B" w:rsidRPr="008F7923" w:rsidRDefault="006E619B" w:rsidP="006E61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EE271F" w14:textId="77777777" w:rsidR="00355DF2" w:rsidRPr="008F7923" w:rsidRDefault="006E619B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923">
        <w:rPr>
          <w:rFonts w:ascii="Times New Roman" w:eastAsia="Times New Roman" w:hAnsi="Times New Roman" w:cs="Times New Roman"/>
          <w:i/>
        </w:rPr>
        <w:t>Pediatrická populácia</w:t>
      </w:r>
    </w:p>
    <w:p w14:paraId="215FBF3C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 xml:space="preserve">Skúsenosti s používaním </w:t>
      </w:r>
      <w:proofErr w:type="spellStart"/>
      <w:r w:rsidRPr="008F7923">
        <w:rPr>
          <w:rFonts w:ascii="Times New Roman" w:eastAsia="Times New Roman" w:hAnsi="Times New Roman" w:cs="Times New Roman"/>
        </w:rPr>
        <w:t>sunitinibu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u pediatrických pacientov sú obmedzené (pozri časť 4.2).</w:t>
      </w:r>
    </w:p>
    <w:p w14:paraId="713814A5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Realizovali sa populačné PK analýzy spojených dátových súborov od dospelých pacientov s GIST</w:t>
      </w:r>
    </w:p>
    <w:p w14:paraId="6A4EC1D9" w14:textId="624B08B0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a</w:t>
      </w:r>
      <w:r w:rsidR="00C725CF">
        <w:rPr>
          <w:rFonts w:ascii="Times New Roman" w:eastAsia="Times New Roman" w:hAnsi="Times New Roman" w:cs="Times New Roman"/>
        </w:rPr>
        <w:t xml:space="preserve"> solídnymi </w:t>
      </w:r>
      <w:r w:rsidRPr="008F7923">
        <w:rPr>
          <w:rFonts w:ascii="Times New Roman" w:eastAsia="Times New Roman" w:hAnsi="Times New Roman" w:cs="Times New Roman"/>
        </w:rPr>
        <w:t>nádormi a pediatrických pacientov s</w:t>
      </w:r>
      <w:r w:rsidR="00C725CF">
        <w:rPr>
          <w:rFonts w:ascii="Times New Roman" w:eastAsia="Times New Roman" w:hAnsi="Times New Roman" w:cs="Times New Roman"/>
        </w:rPr>
        <w:t>o solídnymi</w:t>
      </w:r>
      <w:r w:rsidRPr="008F7923">
        <w:rPr>
          <w:rFonts w:ascii="Times New Roman" w:eastAsia="Times New Roman" w:hAnsi="Times New Roman" w:cs="Times New Roman"/>
        </w:rPr>
        <w:t xml:space="preserve"> nádormi. Uskutočnili sa postupné </w:t>
      </w:r>
      <w:proofErr w:type="spellStart"/>
      <w:r w:rsidRPr="008F7923">
        <w:rPr>
          <w:rFonts w:ascii="Times New Roman" w:eastAsia="Times New Roman" w:hAnsi="Times New Roman" w:cs="Times New Roman"/>
        </w:rPr>
        <w:t>kovariančné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modelové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>analýzy na vyhodnotenie účinku veku a veľkosti tela (telesnej hmotnosti alebo plochy povrchu tela),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ako aj iných spoločných premenných na dôležité PK parametre pre </w:t>
      </w:r>
      <w:proofErr w:type="spellStart"/>
      <w:r w:rsidRPr="008F7923">
        <w:rPr>
          <w:rFonts w:ascii="Times New Roman" w:eastAsia="Times New Roman" w:hAnsi="Times New Roman" w:cs="Times New Roman"/>
        </w:rPr>
        <w:t>sunitinib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a jeho aktívny metabolit.</w:t>
      </w:r>
    </w:p>
    <w:p w14:paraId="6A6FA494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Pokiaľ ide o testované spoločné premenné súvisiace s vekom a veľkosťou tela bol vek signifikantnou</w:t>
      </w:r>
    </w:p>
    <w:p w14:paraId="5809C08B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 xml:space="preserve">spoločnou premennou pre zdanlivý </w:t>
      </w:r>
      <w:proofErr w:type="spellStart"/>
      <w:r w:rsidRPr="008F7923">
        <w:rPr>
          <w:rFonts w:ascii="Times New Roman" w:eastAsia="Times New Roman" w:hAnsi="Times New Roman" w:cs="Times New Roman"/>
        </w:rPr>
        <w:t>klírens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7923">
        <w:rPr>
          <w:rFonts w:ascii="Times New Roman" w:eastAsia="Times New Roman" w:hAnsi="Times New Roman" w:cs="Times New Roman"/>
        </w:rPr>
        <w:t>sunitinibu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(čím nižší vek pediatrického pacienta, tým nižší</w:t>
      </w:r>
    </w:p>
    <w:p w14:paraId="092C7B3A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 xml:space="preserve">zdanlivý </w:t>
      </w:r>
      <w:proofErr w:type="spellStart"/>
      <w:r w:rsidRPr="008F7923">
        <w:rPr>
          <w:rFonts w:ascii="Times New Roman" w:eastAsia="Times New Roman" w:hAnsi="Times New Roman" w:cs="Times New Roman"/>
        </w:rPr>
        <w:t>klírens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). Podobne signifikantnou spoločnou premennou zdanlivého </w:t>
      </w:r>
      <w:proofErr w:type="spellStart"/>
      <w:r w:rsidRPr="008F7923">
        <w:rPr>
          <w:rFonts w:ascii="Times New Roman" w:eastAsia="Times New Roman" w:hAnsi="Times New Roman" w:cs="Times New Roman"/>
        </w:rPr>
        <w:t>klírensu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aktívneho</w:t>
      </w:r>
    </w:p>
    <w:p w14:paraId="0A8014AC" w14:textId="77777777" w:rsidR="00355DF2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 xml:space="preserve">metabolitu bola plocha povrchu tela (čím menšia povrchová plocha tela, tým nižší zdanlivý </w:t>
      </w:r>
      <w:proofErr w:type="spellStart"/>
      <w:r w:rsidRPr="008F7923">
        <w:rPr>
          <w:rFonts w:ascii="Times New Roman" w:eastAsia="Times New Roman" w:hAnsi="Times New Roman" w:cs="Times New Roman"/>
        </w:rPr>
        <w:t>klírens</w:t>
      </w:r>
      <w:proofErr w:type="spellEnd"/>
      <w:r w:rsidRPr="008F7923">
        <w:rPr>
          <w:rFonts w:ascii="Times New Roman" w:eastAsia="Times New Roman" w:hAnsi="Times New Roman" w:cs="Times New Roman"/>
        </w:rPr>
        <w:t>).</w:t>
      </w:r>
    </w:p>
    <w:p w14:paraId="6EA5D197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667627" w14:textId="77777777" w:rsidR="008F7923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>Ďalej, na základe integrovanej populačnej PK analýzy združených údajov z 3 pediatrických štúdií</w:t>
      </w:r>
    </w:p>
    <w:p w14:paraId="42886173" w14:textId="1BDAC3F1" w:rsidR="00355DF2" w:rsidRPr="008F7923" w:rsidRDefault="008F7923" w:rsidP="008F79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923">
        <w:rPr>
          <w:rFonts w:ascii="Times New Roman" w:eastAsia="Times New Roman" w:hAnsi="Times New Roman" w:cs="Times New Roman"/>
        </w:rPr>
        <w:t xml:space="preserve">(2 pediatrické štúdie </w:t>
      </w:r>
      <w:r w:rsidR="00C725CF">
        <w:rPr>
          <w:rFonts w:ascii="Times New Roman" w:eastAsia="Times New Roman" w:hAnsi="Times New Roman" w:cs="Times New Roman"/>
        </w:rPr>
        <w:t xml:space="preserve">so solídnym </w:t>
      </w:r>
      <w:r w:rsidRPr="008F7923">
        <w:rPr>
          <w:rFonts w:ascii="Times New Roman" w:eastAsia="Times New Roman" w:hAnsi="Times New Roman" w:cs="Times New Roman"/>
        </w:rPr>
        <w:t>nádor</w:t>
      </w:r>
      <w:r w:rsidR="00C725CF">
        <w:rPr>
          <w:rFonts w:ascii="Times New Roman" w:eastAsia="Times New Roman" w:hAnsi="Times New Roman" w:cs="Times New Roman"/>
        </w:rPr>
        <w:t>om</w:t>
      </w:r>
      <w:r w:rsidRPr="008F7923">
        <w:rPr>
          <w:rFonts w:ascii="Times New Roman" w:eastAsia="Times New Roman" w:hAnsi="Times New Roman" w:cs="Times New Roman"/>
        </w:rPr>
        <w:t xml:space="preserve"> a 1 pediatrická štúdia </w:t>
      </w:r>
      <w:r w:rsidR="00C725CF">
        <w:rPr>
          <w:rFonts w:ascii="Times New Roman" w:eastAsia="Times New Roman" w:hAnsi="Times New Roman" w:cs="Times New Roman"/>
        </w:rPr>
        <w:t xml:space="preserve">s </w:t>
      </w:r>
      <w:r w:rsidRPr="008F7923">
        <w:rPr>
          <w:rFonts w:ascii="Times New Roman" w:eastAsia="Times New Roman" w:hAnsi="Times New Roman" w:cs="Times New Roman"/>
        </w:rPr>
        <w:t>GIST; vek: 6 rokov - 11 rokov a 12 rokov -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17 rokov) bola významnou spoločnou premennou zdanlivého </w:t>
      </w:r>
      <w:proofErr w:type="spellStart"/>
      <w:r w:rsidRPr="008F7923">
        <w:rPr>
          <w:rFonts w:ascii="Times New Roman" w:eastAsia="Times New Roman" w:hAnsi="Times New Roman" w:cs="Times New Roman"/>
        </w:rPr>
        <w:t>klírensu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7923">
        <w:rPr>
          <w:rFonts w:ascii="Times New Roman" w:eastAsia="Times New Roman" w:hAnsi="Times New Roman" w:cs="Times New Roman"/>
        </w:rPr>
        <w:t>sunitinibu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a jeho aktívneho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metabolitu </w:t>
      </w:r>
      <w:r w:rsidR="00C725CF">
        <w:rPr>
          <w:rFonts w:ascii="Times New Roman" w:eastAsia="Times New Roman" w:hAnsi="Times New Roman" w:cs="Times New Roman"/>
        </w:rPr>
        <w:t>východisková hodnota</w:t>
      </w:r>
      <w:r w:rsidRPr="008F7923">
        <w:rPr>
          <w:rFonts w:ascii="Times New Roman" w:eastAsia="Times New Roman" w:hAnsi="Times New Roman" w:cs="Times New Roman"/>
        </w:rPr>
        <w:t xml:space="preserve"> ploch</w:t>
      </w:r>
      <w:r w:rsidR="00C725CF">
        <w:rPr>
          <w:rFonts w:ascii="Times New Roman" w:eastAsia="Times New Roman" w:hAnsi="Times New Roman" w:cs="Times New Roman"/>
        </w:rPr>
        <w:t>y</w:t>
      </w:r>
      <w:r w:rsidRPr="008F7923">
        <w:rPr>
          <w:rFonts w:ascii="Times New Roman" w:eastAsia="Times New Roman" w:hAnsi="Times New Roman" w:cs="Times New Roman"/>
        </w:rPr>
        <w:t xml:space="preserve"> povrchu tela (</w:t>
      </w:r>
      <w:r w:rsidR="00C725CF">
        <w:rPr>
          <w:rFonts w:ascii="Times New Roman" w:eastAsia="Times New Roman" w:hAnsi="Times New Roman" w:cs="Times New Roman"/>
        </w:rPr>
        <w:t xml:space="preserve">body </w:t>
      </w:r>
      <w:proofErr w:type="spellStart"/>
      <w:r w:rsidR="00C725CF">
        <w:rPr>
          <w:rFonts w:ascii="Times New Roman" w:eastAsia="Times New Roman" w:hAnsi="Times New Roman" w:cs="Times New Roman"/>
        </w:rPr>
        <w:t>surface</w:t>
      </w:r>
      <w:proofErr w:type="spellEnd"/>
      <w:r w:rsidR="00C725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725CF">
        <w:rPr>
          <w:rFonts w:ascii="Times New Roman" w:eastAsia="Times New Roman" w:hAnsi="Times New Roman" w:cs="Times New Roman"/>
        </w:rPr>
        <w:t>area</w:t>
      </w:r>
      <w:proofErr w:type="spellEnd"/>
      <w:r w:rsidR="00C725CF">
        <w:rPr>
          <w:rFonts w:ascii="Times New Roman" w:eastAsia="Times New Roman" w:hAnsi="Times New Roman" w:cs="Times New Roman"/>
        </w:rPr>
        <w:t xml:space="preserve">, </w:t>
      </w:r>
      <w:r w:rsidRPr="008F7923">
        <w:rPr>
          <w:rFonts w:ascii="Times New Roman" w:eastAsia="Times New Roman" w:hAnsi="Times New Roman" w:cs="Times New Roman"/>
        </w:rPr>
        <w:t>BSA). Na základe tejto analýzy sa predpokladá, že dávka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>približne 20 mg/m</w:t>
      </w:r>
      <w:r w:rsidRPr="008F7923">
        <w:rPr>
          <w:rFonts w:ascii="Times New Roman" w:eastAsia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 xml:space="preserve"> denne s hodnotami BSA: 1,10 – 1,87 </w:t>
      </w:r>
      <w:r w:rsidR="007166E2" w:rsidRPr="00A9610C">
        <w:rPr>
          <w:rFonts w:ascii="Times New Roman" w:hAnsi="Times New Roman" w:cs="Times New Roman"/>
        </w:rPr>
        <w:t>m</w:t>
      </w:r>
      <w:r w:rsidR="007166E2" w:rsidRPr="00A9610C">
        <w:rPr>
          <w:rFonts w:ascii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>) u pediatrických pacientov poskytne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plazmatické expozície </w:t>
      </w:r>
      <w:proofErr w:type="spellStart"/>
      <w:r w:rsidRPr="008F7923">
        <w:rPr>
          <w:rFonts w:ascii="Times New Roman" w:eastAsia="Times New Roman" w:hAnsi="Times New Roman" w:cs="Times New Roman"/>
        </w:rPr>
        <w:t>sunitinibu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a jeho aktívneho metabolitu porovnateľné (75 až 125 % AUC)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s tými, ktoré sa vyskytujú u dospelých s GIST, ktorým sa podáva </w:t>
      </w:r>
      <w:proofErr w:type="spellStart"/>
      <w:r w:rsidRPr="008F7923">
        <w:rPr>
          <w:rFonts w:ascii="Times New Roman" w:eastAsia="Times New Roman" w:hAnsi="Times New Roman" w:cs="Times New Roman"/>
        </w:rPr>
        <w:t>sunitinib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50 mg denne v schéme 4/2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(AUC 1 233 </w:t>
      </w:r>
      <w:proofErr w:type="spellStart"/>
      <w:r w:rsidRPr="008F7923">
        <w:rPr>
          <w:rFonts w:ascii="Times New Roman" w:eastAsia="Times New Roman" w:hAnsi="Times New Roman" w:cs="Times New Roman"/>
        </w:rPr>
        <w:t>ng.hod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./ml). V pediatrických štúdiách bola </w:t>
      </w:r>
      <w:r w:rsidR="007166E2">
        <w:rPr>
          <w:rFonts w:ascii="Times New Roman" w:eastAsia="Times New Roman" w:hAnsi="Times New Roman" w:cs="Times New Roman"/>
        </w:rPr>
        <w:t>začiatočn</w:t>
      </w:r>
      <w:r w:rsidRPr="008F7923">
        <w:rPr>
          <w:rFonts w:ascii="Times New Roman" w:eastAsia="Times New Roman" w:hAnsi="Times New Roman" w:cs="Times New Roman"/>
        </w:rPr>
        <w:t xml:space="preserve">á dávka </w:t>
      </w:r>
      <w:proofErr w:type="spellStart"/>
      <w:r w:rsidRPr="008F7923">
        <w:rPr>
          <w:rFonts w:ascii="Times New Roman" w:eastAsia="Times New Roman" w:hAnsi="Times New Roman" w:cs="Times New Roman"/>
        </w:rPr>
        <w:t>sunitinibu</w:t>
      </w:r>
      <w:proofErr w:type="spellEnd"/>
      <w:r w:rsidRPr="008F7923">
        <w:rPr>
          <w:rFonts w:ascii="Times New Roman" w:eastAsia="Times New Roman" w:hAnsi="Times New Roman" w:cs="Times New Roman"/>
        </w:rPr>
        <w:t xml:space="preserve"> 15 mg/m</w:t>
      </w:r>
      <w:r w:rsidRPr="008F7923">
        <w:rPr>
          <w:rFonts w:ascii="Times New Roman" w:eastAsia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 xml:space="preserve"> (na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>základe maximálne tolerovanej dávky (MTD) identifikovanej v štúdii fázy I so zvyšujúcou sa dávkou,</w:t>
      </w:r>
      <w:r w:rsidR="00C3209E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>pozri časť 5.1), ktorá sa u pediatrických pacientov s GIST zvyšovala na 22,5 mg/</w:t>
      </w:r>
      <w:r w:rsidR="007166E2" w:rsidRPr="00A9610C">
        <w:rPr>
          <w:rFonts w:ascii="Times New Roman" w:hAnsi="Times New Roman" w:cs="Times New Roman"/>
        </w:rPr>
        <w:t>m</w:t>
      </w:r>
      <w:r w:rsidR="007166E2" w:rsidRPr="00A9610C">
        <w:rPr>
          <w:rFonts w:ascii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 xml:space="preserve"> a následne na</w:t>
      </w:r>
      <w:r w:rsidR="00C725CF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>30 mg/m</w:t>
      </w:r>
      <w:r w:rsidRPr="008F7923">
        <w:rPr>
          <w:rFonts w:ascii="Times New Roman" w:eastAsia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 xml:space="preserve"> (tak, aby nepresiahla celkovú dávku 50 mg/deň) na základe individuálnej bezpečnosti/znášanlivosti pacienta. Okrem toho bola v súlade so zverejnenou literatúrou</w:t>
      </w:r>
      <w:r w:rsidR="007A15D1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 xml:space="preserve">o pediatrických pacientoch s GIST vypočítaná </w:t>
      </w:r>
      <w:r w:rsidR="007166E2">
        <w:rPr>
          <w:rFonts w:ascii="Times New Roman" w:eastAsia="Times New Roman" w:hAnsi="Times New Roman" w:cs="Times New Roman"/>
        </w:rPr>
        <w:t>začiatočn</w:t>
      </w:r>
      <w:r w:rsidRPr="008F7923">
        <w:rPr>
          <w:rFonts w:ascii="Times New Roman" w:eastAsia="Times New Roman" w:hAnsi="Times New Roman" w:cs="Times New Roman"/>
        </w:rPr>
        <w:t>á dávka v rozsahu od 16,6 mg/m</w:t>
      </w:r>
      <w:r w:rsidRPr="008F7923">
        <w:rPr>
          <w:rFonts w:ascii="Times New Roman" w:eastAsia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 xml:space="preserve"> až</w:t>
      </w:r>
      <w:r w:rsidR="007A15D1">
        <w:rPr>
          <w:rFonts w:ascii="Times New Roman" w:eastAsia="Times New Roman" w:hAnsi="Times New Roman" w:cs="Times New Roman"/>
        </w:rPr>
        <w:t xml:space="preserve"> </w:t>
      </w:r>
      <w:r w:rsidRPr="008F7923">
        <w:rPr>
          <w:rFonts w:ascii="Times New Roman" w:eastAsia="Times New Roman" w:hAnsi="Times New Roman" w:cs="Times New Roman"/>
        </w:rPr>
        <w:t>36 m/m</w:t>
      </w:r>
      <w:r w:rsidRPr="008F7923">
        <w:rPr>
          <w:rFonts w:ascii="Times New Roman" w:eastAsia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>, pričom sa dávky zvýšili až na 40,4 mg/m</w:t>
      </w:r>
      <w:r w:rsidRPr="008F7923">
        <w:rPr>
          <w:rFonts w:ascii="Times New Roman" w:eastAsia="Times New Roman" w:hAnsi="Times New Roman" w:cs="Times New Roman"/>
          <w:vertAlign w:val="superscript"/>
        </w:rPr>
        <w:t>2</w:t>
      </w:r>
      <w:r w:rsidRPr="008F7923">
        <w:rPr>
          <w:rFonts w:ascii="Times New Roman" w:eastAsia="Times New Roman" w:hAnsi="Times New Roman" w:cs="Times New Roman"/>
        </w:rPr>
        <w:t xml:space="preserve"> (nepresahujúc celkovú dávku 50 mg/deň).</w:t>
      </w:r>
    </w:p>
    <w:p w14:paraId="050F49DB" w14:textId="77777777" w:rsidR="00355DF2" w:rsidRPr="005C0EE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90F834" w14:textId="77777777" w:rsidR="00355DF2" w:rsidRPr="005C0EEE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5C0EEE">
        <w:rPr>
          <w:rFonts w:ascii="Times New Roman" w:eastAsia="Times New Roman" w:hAnsi="Times New Roman" w:cs="Times New Roman"/>
          <w:b/>
          <w:szCs w:val="20"/>
        </w:rPr>
        <w:t>5.3</w:t>
      </w:r>
      <w:r w:rsidRPr="005C0EEE">
        <w:rPr>
          <w:rFonts w:ascii="Times New Roman" w:eastAsia="Times New Roman" w:hAnsi="Times New Roman" w:cs="Times New Roman"/>
          <w:b/>
          <w:szCs w:val="20"/>
        </w:rPr>
        <w:tab/>
      </w:r>
      <w:r w:rsidR="008F7923" w:rsidRPr="005C0EEE">
        <w:rPr>
          <w:rFonts w:ascii="Times New Roman" w:eastAsia="Times New Roman" w:hAnsi="Times New Roman" w:cs="Times New Roman"/>
          <w:b/>
          <w:szCs w:val="20"/>
        </w:rPr>
        <w:t>Predklinické údaje o bezpečnosti</w:t>
      </w:r>
    </w:p>
    <w:p w14:paraId="728EABB8" w14:textId="77777777" w:rsidR="00355DF2" w:rsidRPr="005C0EE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5EA0F6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V štúdiách toxicity na potkanoch a opiciach boli pri opakovanom podávaní v trvaní do 9 mesiacov</w:t>
      </w:r>
    </w:p>
    <w:p w14:paraId="5751E597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primárne účinky na cieľové orgány zistené v tráviacom trakte (vracanie a hnačka u opíc);</w:t>
      </w:r>
    </w:p>
    <w:p w14:paraId="7BE1C518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v nadobličkách (</w:t>
      </w:r>
      <w:proofErr w:type="spellStart"/>
      <w:r w:rsidRPr="005C0EEE">
        <w:rPr>
          <w:rFonts w:ascii="Times New Roman" w:eastAsia="Times New Roman" w:hAnsi="Times New Roman" w:cs="Times New Roman"/>
        </w:rPr>
        <w:t>kortikálna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kongescia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a/alebo </w:t>
      </w:r>
      <w:proofErr w:type="spellStart"/>
      <w:r w:rsidRPr="005C0EEE">
        <w:rPr>
          <w:rFonts w:ascii="Times New Roman" w:eastAsia="Times New Roman" w:hAnsi="Times New Roman" w:cs="Times New Roman"/>
        </w:rPr>
        <w:t>hemorágia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u potkanov a opíc, s nekrózou a následnou</w:t>
      </w:r>
    </w:p>
    <w:p w14:paraId="1F53117F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fibrózou u potkanov); v </w:t>
      </w:r>
      <w:proofErr w:type="spellStart"/>
      <w:r w:rsidRPr="005C0EEE">
        <w:rPr>
          <w:rFonts w:ascii="Times New Roman" w:eastAsia="Times New Roman" w:hAnsi="Times New Roman" w:cs="Times New Roman"/>
        </w:rPr>
        <w:t>hemolymfopoetickom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systéme (</w:t>
      </w:r>
      <w:proofErr w:type="spellStart"/>
      <w:r w:rsidRPr="005C0EEE">
        <w:rPr>
          <w:rFonts w:ascii="Times New Roman" w:eastAsia="Times New Roman" w:hAnsi="Times New Roman" w:cs="Times New Roman"/>
        </w:rPr>
        <w:t>hypocelularita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kostnej drene a </w:t>
      </w:r>
      <w:proofErr w:type="spellStart"/>
      <w:r w:rsidRPr="005C0EEE">
        <w:rPr>
          <w:rFonts w:ascii="Times New Roman" w:eastAsia="Times New Roman" w:hAnsi="Times New Roman" w:cs="Times New Roman"/>
        </w:rPr>
        <w:t>lymfoidná</w:t>
      </w:r>
      <w:proofErr w:type="spellEnd"/>
    </w:p>
    <w:p w14:paraId="50D2FEA4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C0EEE">
        <w:rPr>
          <w:rFonts w:ascii="Times New Roman" w:eastAsia="Times New Roman" w:hAnsi="Times New Roman" w:cs="Times New Roman"/>
        </w:rPr>
        <w:t>deplécia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týmu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, sleziny a lymfatických uzlín); v </w:t>
      </w:r>
      <w:proofErr w:type="spellStart"/>
      <w:r w:rsidRPr="005C0EEE">
        <w:rPr>
          <w:rFonts w:ascii="Times New Roman" w:eastAsia="Times New Roman" w:hAnsi="Times New Roman" w:cs="Times New Roman"/>
        </w:rPr>
        <w:t>exokrinnej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časti pankreasu (</w:t>
      </w:r>
      <w:proofErr w:type="spellStart"/>
      <w:r w:rsidRPr="005C0EEE">
        <w:rPr>
          <w:rFonts w:ascii="Times New Roman" w:eastAsia="Times New Roman" w:hAnsi="Times New Roman" w:cs="Times New Roman"/>
        </w:rPr>
        <w:t>degranulácia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acinárnych</w:t>
      </w:r>
      <w:proofErr w:type="spellEnd"/>
    </w:p>
    <w:p w14:paraId="497FBAAF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buniek s nekrózou jednotlivých buniek); v slinných žľazách (</w:t>
      </w:r>
      <w:proofErr w:type="spellStart"/>
      <w:r w:rsidRPr="005C0EEE">
        <w:rPr>
          <w:rFonts w:ascii="Times New Roman" w:eastAsia="Times New Roman" w:hAnsi="Times New Roman" w:cs="Times New Roman"/>
        </w:rPr>
        <w:t>acinárna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hypertrofia); v kostných</w:t>
      </w:r>
    </w:p>
    <w:p w14:paraId="4429B500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spojeniach (zhrubnutie rastových platničiek); v maternici (atrofia); a vo vaječníkoch (spomalený vývoj</w:t>
      </w:r>
    </w:p>
    <w:p w14:paraId="0F118A48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folikulov). Všetky tieto nálezy sa vyskytli pri klinicky relevantných expozičných plazmatických</w:t>
      </w:r>
    </w:p>
    <w:p w14:paraId="2EF2B85C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hladinách </w:t>
      </w:r>
      <w:proofErr w:type="spellStart"/>
      <w:r w:rsidRPr="005C0EEE">
        <w:rPr>
          <w:rFonts w:ascii="Times New Roman" w:eastAsia="Times New Roman" w:hAnsi="Times New Roman" w:cs="Times New Roman"/>
        </w:rPr>
        <w:t>sunitinibu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. Ďalšie účinky pozorované v iných štúdiách zahŕňali: predĺženie </w:t>
      </w:r>
      <w:proofErr w:type="spellStart"/>
      <w:r w:rsidRPr="005C0EEE">
        <w:rPr>
          <w:rFonts w:ascii="Times New Roman" w:eastAsia="Times New Roman" w:hAnsi="Times New Roman" w:cs="Times New Roman"/>
        </w:rPr>
        <w:t>QTc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intervalu,</w:t>
      </w:r>
    </w:p>
    <w:p w14:paraId="309770D9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pokles LVEF a atrofiu semenníkových </w:t>
      </w:r>
      <w:proofErr w:type="spellStart"/>
      <w:r w:rsidRPr="005C0EEE">
        <w:rPr>
          <w:rFonts w:ascii="Times New Roman" w:eastAsia="Times New Roman" w:hAnsi="Times New Roman" w:cs="Times New Roman"/>
        </w:rPr>
        <w:t>tubulov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, zmnoženie </w:t>
      </w:r>
      <w:proofErr w:type="spellStart"/>
      <w:r w:rsidRPr="005C0EEE">
        <w:rPr>
          <w:rFonts w:ascii="Times New Roman" w:eastAsia="Times New Roman" w:hAnsi="Times New Roman" w:cs="Times New Roman"/>
        </w:rPr>
        <w:t>mezangia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v obličke, </w:t>
      </w:r>
      <w:proofErr w:type="spellStart"/>
      <w:r w:rsidRPr="005C0EEE">
        <w:rPr>
          <w:rFonts w:ascii="Times New Roman" w:eastAsia="Times New Roman" w:hAnsi="Times New Roman" w:cs="Times New Roman"/>
        </w:rPr>
        <w:t>hemorágie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v</w:t>
      </w:r>
    </w:p>
    <w:p w14:paraId="3CD0FCFD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tráviacom trakte a na sliznici úst a hypertrofiu buniek prednej hypofýzy. Predpokladá sa, že zmeny na</w:t>
      </w:r>
    </w:p>
    <w:p w14:paraId="38864CAE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maternici (atrofia </w:t>
      </w:r>
      <w:proofErr w:type="spellStart"/>
      <w:r w:rsidRPr="005C0EEE">
        <w:rPr>
          <w:rFonts w:ascii="Times New Roman" w:eastAsia="Times New Roman" w:hAnsi="Times New Roman" w:cs="Times New Roman"/>
        </w:rPr>
        <w:t>endometria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) a rastovej platničke kostí (zahustenie </w:t>
      </w:r>
      <w:proofErr w:type="spellStart"/>
      <w:r w:rsidRPr="005C0EEE">
        <w:rPr>
          <w:rFonts w:ascii="Times New Roman" w:eastAsia="Times New Roman" w:hAnsi="Times New Roman" w:cs="Times New Roman"/>
        </w:rPr>
        <w:t>epifyzárnej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chrupavky alebo</w:t>
      </w:r>
    </w:p>
    <w:p w14:paraId="13386FBA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dysplázia chrupavky) súvisia s farmakologickým účinkom </w:t>
      </w:r>
      <w:proofErr w:type="spellStart"/>
      <w:r w:rsidRPr="005C0EEE">
        <w:rPr>
          <w:rFonts w:ascii="Times New Roman" w:eastAsia="Times New Roman" w:hAnsi="Times New Roman" w:cs="Times New Roman"/>
        </w:rPr>
        <w:t>sunitinibu</w:t>
      </w:r>
      <w:proofErr w:type="spellEnd"/>
      <w:r w:rsidRPr="005C0EEE">
        <w:rPr>
          <w:rFonts w:ascii="Times New Roman" w:eastAsia="Times New Roman" w:hAnsi="Times New Roman" w:cs="Times New Roman"/>
        </w:rPr>
        <w:t>. Väčšina týchto prejavov bola</w:t>
      </w:r>
    </w:p>
    <w:p w14:paraId="7722F51B" w14:textId="77777777" w:rsidR="00355DF2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lastRenderedPageBreak/>
        <w:t>reverzibilná po 2 až 6 týždňoch bez liečby.</w:t>
      </w:r>
    </w:p>
    <w:p w14:paraId="1321F20A" w14:textId="77777777" w:rsidR="00355DF2" w:rsidRPr="005C0EE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4F2C66" w14:textId="77777777" w:rsidR="00355DF2" w:rsidRPr="005C0EEE" w:rsidRDefault="006918C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C0EEE">
        <w:rPr>
          <w:rFonts w:ascii="Times New Roman" w:eastAsia="Times New Roman" w:hAnsi="Times New Roman" w:cs="Times New Roman"/>
          <w:u w:val="single" w:color="000000"/>
        </w:rPr>
        <w:t>Genotoxicita</w:t>
      </w:r>
      <w:proofErr w:type="spellEnd"/>
    </w:p>
    <w:p w14:paraId="3066F276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C0EEE">
        <w:rPr>
          <w:rFonts w:ascii="Times New Roman" w:eastAsia="Times New Roman" w:hAnsi="Times New Roman" w:cs="Times New Roman"/>
        </w:rPr>
        <w:t>Genotoxický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potenciál </w:t>
      </w:r>
      <w:proofErr w:type="spellStart"/>
      <w:r w:rsidRPr="005C0EEE">
        <w:rPr>
          <w:rFonts w:ascii="Times New Roman" w:eastAsia="Times New Roman" w:hAnsi="Times New Roman" w:cs="Times New Roman"/>
        </w:rPr>
        <w:t>sunitinibu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bol hodnotený </w:t>
      </w:r>
      <w:r w:rsidRPr="005C0EEE">
        <w:rPr>
          <w:rFonts w:ascii="Times New Roman" w:eastAsia="Times New Roman" w:hAnsi="Times New Roman" w:cs="Times New Roman"/>
          <w:i/>
        </w:rPr>
        <w:t>in vitro</w:t>
      </w:r>
      <w:r w:rsidRPr="005C0EEE">
        <w:rPr>
          <w:rFonts w:ascii="Times New Roman" w:eastAsia="Times New Roman" w:hAnsi="Times New Roman" w:cs="Times New Roman"/>
        </w:rPr>
        <w:t xml:space="preserve"> a </w:t>
      </w:r>
      <w:r w:rsidRPr="005C0EEE">
        <w:rPr>
          <w:rFonts w:ascii="Times New Roman" w:eastAsia="Times New Roman" w:hAnsi="Times New Roman" w:cs="Times New Roman"/>
          <w:i/>
        </w:rPr>
        <w:t xml:space="preserve">in </w:t>
      </w:r>
      <w:proofErr w:type="spellStart"/>
      <w:r w:rsidRPr="005C0EEE">
        <w:rPr>
          <w:rFonts w:ascii="Times New Roman" w:eastAsia="Times New Roman" w:hAnsi="Times New Roman" w:cs="Times New Roman"/>
          <w:i/>
        </w:rPr>
        <w:t>vivo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C0EEE">
        <w:rPr>
          <w:rFonts w:ascii="Times New Roman" w:eastAsia="Times New Roman" w:hAnsi="Times New Roman" w:cs="Times New Roman"/>
        </w:rPr>
        <w:t>Sunitinib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nebol mutagénny pre</w:t>
      </w:r>
    </w:p>
    <w:p w14:paraId="7870758D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baktérie pri metabolickej aktivácii v pečeni potkanov. </w:t>
      </w:r>
      <w:r w:rsidRPr="005C0EEE">
        <w:rPr>
          <w:rFonts w:ascii="Times New Roman" w:eastAsia="Times New Roman" w:hAnsi="Times New Roman" w:cs="Times New Roman"/>
          <w:i/>
        </w:rPr>
        <w:t>In vitro</w:t>
      </w:r>
      <w:r w:rsidRPr="005C0EEE">
        <w:rPr>
          <w:rFonts w:ascii="Times New Roman" w:eastAsia="Times New Roman" w:hAnsi="Times New Roman" w:cs="Times New Roman"/>
        </w:rPr>
        <w:t xml:space="preserve"> nevyvolal </w:t>
      </w:r>
      <w:proofErr w:type="spellStart"/>
      <w:r w:rsidRPr="005C0EEE">
        <w:rPr>
          <w:rFonts w:ascii="Times New Roman" w:eastAsia="Times New Roman" w:hAnsi="Times New Roman" w:cs="Times New Roman"/>
        </w:rPr>
        <w:t>sunitinib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štrukturálne</w:t>
      </w:r>
    </w:p>
    <w:p w14:paraId="0D5A9684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chromozómové aberácie v lymfocytoch z periférnej krvi človeka. </w:t>
      </w:r>
      <w:r w:rsidRPr="005C0EEE">
        <w:rPr>
          <w:rFonts w:ascii="Times New Roman" w:eastAsia="Times New Roman" w:hAnsi="Times New Roman" w:cs="Times New Roman"/>
          <w:i/>
        </w:rPr>
        <w:t>In vitro</w:t>
      </w:r>
      <w:r w:rsidRPr="005C0EEE">
        <w:rPr>
          <w:rFonts w:ascii="Times New Roman" w:eastAsia="Times New Roman" w:hAnsi="Times New Roman" w:cs="Times New Roman"/>
        </w:rPr>
        <w:t xml:space="preserve"> sa pozorovala na</w:t>
      </w:r>
    </w:p>
    <w:p w14:paraId="674CF5D5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lymfocytoch z periférnej krvi človeka </w:t>
      </w:r>
      <w:proofErr w:type="spellStart"/>
      <w:r w:rsidRPr="005C0EEE">
        <w:rPr>
          <w:rFonts w:ascii="Times New Roman" w:eastAsia="Times New Roman" w:hAnsi="Times New Roman" w:cs="Times New Roman"/>
        </w:rPr>
        <w:t>polyploidia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(numerické chromozómové aberácie) v prítomnosti</w:t>
      </w:r>
    </w:p>
    <w:p w14:paraId="0E7FC8D8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aj neprítomnosti metabolickej aktivácie. U potkanov nebol </w:t>
      </w:r>
      <w:proofErr w:type="spellStart"/>
      <w:r w:rsidRPr="005C0EEE">
        <w:rPr>
          <w:rFonts w:ascii="Times New Roman" w:eastAsia="Times New Roman" w:hAnsi="Times New Roman" w:cs="Times New Roman"/>
        </w:rPr>
        <w:t>sunitinib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r w:rsidRPr="005C0EEE">
        <w:rPr>
          <w:rFonts w:ascii="Times New Roman" w:eastAsia="Times New Roman" w:hAnsi="Times New Roman" w:cs="Times New Roman"/>
          <w:i/>
        </w:rPr>
        <w:t xml:space="preserve">in </w:t>
      </w:r>
      <w:proofErr w:type="spellStart"/>
      <w:r w:rsidRPr="005C0EEE">
        <w:rPr>
          <w:rFonts w:ascii="Times New Roman" w:eastAsia="Times New Roman" w:hAnsi="Times New Roman" w:cs="Times New Roman"/>
          <w:i/>
        </w:rPr>
        <w:t>vivo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klastogénny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v kostnej</w:t>
      </w:r>
    </w:p>
    <w:p w14:paraId="5748BF7D" w14:textId="77777777" w:rsidR="00355DF2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dreni. Hlavný aktívny metabolit sa nehodnotil z hľadiska </w:t>
      </w:r>
      <w:proofErr w:type="spellStart"/>
      <w:r w:rsidRPr="005C0EEE">
        <w:rPr>
          <w:rFonts w:ascii="Times New Roman" w:eastAsia="Times New Roman" w:hAnsi="Times New Roman" w:cs="Times New Roman"/>
        </w:rPr>
        <w:t>genotoxického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potenciálu.</w:t>
      </w:r>
    </w:p>
    <w:p w14:paraId="1CE70105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1ED1CA" w14:textId="77777777" w:rsidR="00355DF2" w:rsidRPr="005C0EEE" w:rsidRDefault="006918C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C0EEE">
        <w:rPr>
          <w:rFonts w:ascii="Times New Roman" w:eastAsia="Times New Roman" w:hAnsi="Times New Roman" w:cs="Times New Roman"/>
          <w:u w:val="single" w:color="000000"/>
        </w:rPr>
        <w:t>Karcinogenicita</w:t>
      </w:r>
      <w:proofErr w:type="spellEnd"/>
    </w:p>
    <w:p w14:paraId="5649291F" w14:textId="5701BBD4" w:rsidR="00355DF2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V 1-mesačnej štúdii zameranej na zistenie rozsahu dávky</w:t>
      </w:r>
      <w:r w:rsidR="005102F0">
        <w:rPr>
          <w:rFonts w:ascii="Times New Roman" w:eastAsia="Times New Roman" w:hAnsi="Times New Roman" w:cs="Times New Roman"/>
        </w:rPr>
        <w:t xml:space="preserve"> </w:t>
      </w:r>
      <w:r w:rsidRPr="005C0EEE">
        <w:rPr>
          <w:rFonts w:ascii="Times New Roman" w:eastAsia="Times New Roman" w:hAnsi="Times New Roman" w:cs="Times New Roman"/>
        </w:rPr>
        <w:t>s CDD (v dávkach 0, 10, 25, 75 alebo 200 mg/kg/deň)</w:t>
      </w:r>
      <w:r w:rsidR="005102F0">
        <w:rPr>
          <w:rFonts w:ascii="Times New Roman" w:eastAsia="Times New Roman" w:hAnsi="Times New Roman" w:cs="Times New Roman"/>
        </w:rPr>
        <w:t xml:space="preserve"> žalúdočnou sondou</w:t>
      </w:r>
      <w:r w:rsidRPr="005C0EEE">
        <w:rPr>
          <w:rFonts w:ascii="Times New Roman" w:eastAsia="Times New Roman" w:hAnsi="Times New Roman" w:cs="Times New Roman"/>
        </w:rPr>
        <w:t xml:space="preserve"> </w:t>
      </w:r>
      <w:r w:rsidR="005102F0" w:rsidRPr="00A9610C">
        <w:rPr>
          <w:rFonts w:ascii="Times New Roman" w:eastAsia="TimesNewRoman" w:hAnsi="Times New Roman" w:cs="Times New Roman"/>
        </w:rPr>
        <w:t>pri kontinuálnom dennom podávaní</w:t>
      </w:r>
      <w:r w:rsidR="005102F0" w:rsidRPr="000A3459">
        <w:rPr>
          <w:rFonts w:eastAsia="TimesNewRoman"/>
        </w:rPr>
        <w:t xml:space="preserve"> </w:t>
      </w:r>
      <w:r w:rsidRPr="005C0EEE">
        <w:rPr>
          <w:rFonts w:ascii="Times New Roman" w:eastAsia="Times New Roman" w:hAnsi="Times New Roman" w:cs="Times New Roman"/>
        </w:rPr>
        <w:t xml:space="preserve">u rasH2 </w:t>
      </w:r>
      <w:proofErr w:type="spellStart"/>
      <w:r w:rsidRPr="005C0EEE">
        <w:rPr>
          <w:rFonts w:ascii="Times New Roman" w:eastAsia="Times New Roman" w:hAnsi="Times New Roman" w:cs="Times New Roman"/>
        </w:rPr>
        <w:t>transgénnych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myší sa pri </w:t>
      </w:r>
      <w:proofErr w:type="spellStart"/>
      <w:r w:rsidRPr="005C0EEE">
        <w:rPr>
          <w:rFonts w:ascii="Times New Roman" w:eastAsia="Times New Roman" w:hAnsi="Times New Roman" w:cs="Times New Roman"/>
        </w:rPr>
        <w:t>najvyššejtestovanej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dávke (200 mg/kg/deň) pozoroval karcinóm a </w:t>
      </w:r>
      <w:proofErr w:type="spellStart"/>
      <w:r w:rsidRPr="005C0EEE">
        <w:rPr>
          <w:rFonts w:ascii="Times New Roman" w:eastAsia="Times New Roman" w:hAnsi="Times New Roman" w:cs="Times New Roman"/>
        </w:rPr>
        <w:t>hyperplázia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Brunnerovych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žliaz </w:t>
      </w:r>
      <w:proofErr w:type="spellStart"/>
      <w:r w:rsidRPr="005C0EEE">
        <w:rPr>
          <w:rFonts w:ascii="Times New Roman" w:eastAsia="Times New Roman" w:hAnsi="Times New Roman" w:cs="Times New Roman"/>
        </w:rPr>
        <w:t>duodena</w:t>
      </w:r>
      <w:proofErr w:type="spellEnd"/>
      <w:r w:rsidRPr="005C0EEE">
        <w:rPr>
          <w:rFonts w:ascii="Times New Roman" w:eastAsia="Times New Roman" w:hAnsi="Times New Roman" w:cs="Times New Roman"/>
        </w:rPr>
        <w:t>.</w:t>
      </w:r>
    </w:p>
    <w:p w14:paraId="4FBB5C4F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A852A9" w14:textId="3866E388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U rasH2 </w:t>
      </w:r>
      <w:proofErr w:type="spellStart"/>
      <w:r w:rsidRPr="005C0EEE">
        <w:rPr>
          <w:rFonts w:ascii="Times New Roman" w:eastAsia="Times New Roman" w:hAnsi="Times New Roman" w:cs="Times New Roman"/>
        </w:rPr>
        <w:t>transgénnych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myší bola uskutočnená 6-mesačná štúdia zameraná na </w:t>
      </w:r>
      <w:proofErr w:type="spellStart"/>
      <w:r w:rsidRPr="005C0EEE">
        <w:rPr>
          <w:rFonts w:ascii="Times New Roman" w:eastAsia="Times New Roman" w:hAnsi="Times New Roman" w:cs="Times New Roman"/>
        </w:rPr>
        <w:t>karcinogenicitu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r w:rsidR="00062880">
        <w:rPr>
          <w:rFonts w:ascii="Times New Roman" w:eastAsia="Times New Roman" w:hAnsi="Times New Roman" w:cs="Times New Roman"/>
        </w:rPr>
        <w:t xml:space="preserve">s použitím žalúdočnej sondy </w:t>
      </w:r>
      <w:r w:rsidRPr="005C0EEE">
        <w:rPr>
          <w:rFonts w:ascii="Times New Roman" w:eastAsia="Times New Roman" w:hAnsi="Times New Roman" w:cs="Times New Roman"/>
        </w:rPr>
        <w:t>s denným podávaním (v dávkach 0, 8, 25, 75 [znížená na 50] mg/kg/deň).</w:t>
      </w:r>
    </w:p>
    <w:p w14:paraId="2D77EB06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C0EEE">
        <w:rPr>
          <w:rFonts w:ascii="Times New Roman" w:eastAsia="Times New Roman" w:hAnsi="Times New Roman" w:cs="Times New Roman"/>
        </w:rPr>
        <w:t>Gastroduodenálne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karcinómy, zvýšený výskyt sprievodných </w:t>
      </w:r>
      <w:proofErr w:type="spellStart"/>
      <w:r w:rsidRPr="005C0EEE">
        <w:rPr>
          <w:rFonts w:ascii="Times New Roman" w:eastAsia="Times New Roman" w:hAnsi="Times New Roman" w:cs="Times New Roman"/>
        </w:rPr>
        <w:t>hemangiosarkómov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a/alebo </w:t>
      </w:r>
      <w:proofErr w:type="spellStart"/>
      <w:r w:rsidRPr="005C0EEE">
        <w:rPr>
          <w:rFonts w:ascii="Times New Roman" w:eastAsia="Times New Roman" w:hAnsi="Times New Roman" w:cs="Times New Roman"/>
        </w:rPr>
        <w:t>hyperplázia</w:t>
      </w:r>
      <w:proofErr w:type="spellEnd"/>
    </w:p>
    <w:p w14:paraId="6C7FFF8C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sliznice žalúdka boli pozorované pri dávkach ≥ 25 mg/kg/deň následne po 1- až 6-mesačnej dobe</w:t>
      </w:r>
    </w:p>
    <w:p w14:paraId="057B8ACF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podávania (≥ 7,3-násobok AUC u pacientov, ktorým sa podávala odporúčaná denná dávka [</w:t>
      </w:r>
      <w:proofErr w:type="spellStart"/>
      <w:r w:rsidRPr="005C0EEE">
        <w:rPr>
          <w:rFonts w:ascii="Times New Roman" w:eastAsia="Times New Roman" w:hAnsi="Times New Roman" w:cs="Times New Roman"/>
        </w:rPr>
        <w:t>recommended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daily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dose</w:t>
      </w:r>
      <w:proofErr w:type="spellEnd"/>
      <w:r w:rsidRPr="005C0EEE">
        <w:rPr>
          <w:rFonts w:ascii="Times New Roman" w:eastAsia="Times New Roman" w:hAnsi="Times New Roman" w:cs="Times New Roman"/>
        </w:rPr>
        <w:t>(RDD)]).</w:t>
      </w:r>
    </w:p>
    <w:p w14:paraId="6F88DEDE" w14:textId="77777777" w:rsidR="00355DF2" w:rsidRPr="005C0EE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DAE946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V 2-ročnej štúdii zameranej na </w:t>
      </w:r>
      <w:proofErr w:type="spellStart"/>
      <w:r w:rsidRPr="005C0EEE">
        <w:rPr>
          <w:rFonts w:ascii="Times New Roman" w:eastAsia="Times New Roman" w:hAnsi="Times New Roman" w:cs="Times New Roman"/>
        </w:rPr>
        <w:t>karcinogenicitu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u potkanov (v dávkach 0, 0,33, 1 alebo 3 mg/kg/deň)</w:t>
      </w:r>
    </w:p>
    <w:p w14:paraId="193421BC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malo podávanie </w:t>
      </w:r>
      <w:proofErr w:type="spellStart"/>
      <w:r w:rsidRPr="005C0EEE">
        <w:rPr>
          <w:rFonts w:ascii="Times New Roman" w:eastAsia="Times New Roman" w:hAnsi="Times New Roman" w:cs="Times New Roman"/>
        </w:rPr>
        <w:t>sunitinibu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počas 28-dňového cyklu s následnou 7-dňovou prestávkou v liečbe za</w:t>
      </w:r>
    </w:p>
    <w:p w14:paraId="7FFEF426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následok zvýšenie </w:t>
      </w:r>
      <w:proofErr w:type="spellStart"/>
      <w:r w:rsidRPr="005C0EEE">
        <w:rPr>
          <w:rFonts w:ascii="Times New Roman" w:eastAsia="Times New Roman" w:hAnsi="Times New Roman" w:cs="Times New Roman"/>
        </w:rPr>
        <w:t>incidencie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feochromocytómu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5C0EEE">
        <w:rPr>
          <w:rFonts w:ascii="Times New Roman" w:eastAsia="Times New Roman" w:hAnsi="Times New Roman" w:cs="Times New Roman"/>
        </w:rPr>
        <w:t>hyperpláziu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drene nadobličky potkanov mužského</w:t>
      </w:r>
    </w:p>
    <w:p w14:paraId="72E94140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pohlavia pri dávke 3 mg/kg/deň po &gt; 1-ročnom podávaní (≥ 7,8-násobok AUC u pacientov liečených</w:t>
      </w:r>
    </w:p>
    <w:p w14:paraId="7979205E" w14:textId="77777777" w:rsidR="00355DF2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RDD). Nádor </w:t>
      </w:r>
      <w:proofErr w:type="spellStart"/>
      <w:r w:rsidRPr="005C0EEE">
        <w:rPr>
          <w:rFonts w:ascii="Times New Roman" w:eastAsia="Times New Roman" w:hAnsi="Times New Roman" w:cs="Times New Roman"/>
        </w:rPr>
        <w:t>Brunnerových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žliaz </w:t>
      </w:r>
      <w:proofErr w:type="spellStart"/>
      <w:r w:rsidRPr="005C0EEE">
        <w:rPr>
          <w:rFonts w:ascii="Times New Roman" w:eastAsia="Times New Roman" w:hAnsi="Times New Roman" w:cs="Times New Roman"/>
        </w:rPr>
        <w:t>duodéna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sa objavil u samíc pri dávke ≥ 1 mg/kg/deň a u samcov pri dávke 3 mg/kg/deň a </w:t>
      </w:r>
      <w:proofErr w:type="spellStart"/>
      <w:r w:rsidRPr="005C0EEE">
        <w:rPr>
          <w:rFonts w:ascii="Times New Roman" w:eastAsia="Times New Roman" w:hAnsi="Times New Roman" w:cs="Times New Roman"/>
        </w:rPr>
        <w:t>hyperplázia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buniek sliznice v žľazovom tkanive žalúdka bola evidentná u samcov pri dávke 3 mg/kg/deň, čo predstavuje ≥ 0,9-, 7,8- a 7,8-násobok AUC v uvedenom poradí u pacientov, ktorým sa podávala RDD. Význam malígnych nálezov pozorovaných u (rasH2 </w:t>
      </w:r>
      <w:proofErr w:type="spellStart"/>
      <w:r w:rsidRPr="005C0EEE">
        <w:rPr>
          <w:rFonts w:ascii="Times New Roman" w:eastAsia="Times New Roman" w:hAnsi="Times New Roman" w:cs="Times New Roman"/>
        </w:rPr>
        <w:t>transgénnych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) myší a potkanov v rámci štúdií </w:t>
      </w:r>
      <w:proofErr w:type="spellStart"/>
      <w:r w:rsidRPr="005C0EEE">
        <w:rPr>
          <w:rFonts w:ascii="Times New Roman" w:eastAsia="Times New Roman" w:hAnsi="Times New Roman" w:cs="Times New Roman"/>
        </w:rPr>
        <w:t>karcinogenicity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počas liečby </w:t>
      </w:r>
      <w:proofErr w:type="spellStart"/>
      <w:r w:rsidRPr="005C0EEE">
        <w:rPr>
          <w:rFonts w:ascii="Times New Roman" w:eastAsia="Times New Roman" w:hAnsi="Times New Roman" w:cs="Times New Roman"/>
        </w:rPr>
        <w:t>sunitinibom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pre človeka nie je známy.</w:t>
      </w:r>
    </w:p>
    <w:p w14:paraId="36DBBA8C" w14:textId="77777777" w:rsidR="00355DF2" w:rsidRPr="005C0EE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906534" w14:textId="77777777" w:rsidR="00355DF2" w:rsidRPr="005C0EEE" w:rsidRDefault="006918C4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  <w:u w:val="single" w:color="000000"/>
        </w:rPr>
        <w:t>Reprodukčná a vývojová toxicita</w:t>
      </w:r>
    </w:p>
    <w:p w14:paraId="0C87354A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V štúdiách reprodukčnej toxicity sa nepozorovalo žiadne ovplyvnenie </w:t>
      </w:r>
      <w:proofErr w:type="spellStart"/>
      <w:r w:rsidRPr="005C0EEE">
        <w:rPr>
          <w:rFonts w:ascii="Times New Roman" w:eastAsia="Times New Roman" w:hAnsi="Times New Roman" w:cs="Times New Roman"/>
        </w:rPr>
        <w:t>fertility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samcov alebo samíc.</w:t>
      </w:r>
    </w:p>
    <w:p w14:paraId="3A14109B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Avšak v štúdiách toxicity na potkanoch a opiciach sa pri opakovanom podávaní pri dosiahnutí klinicky</w:t>
      </w:r>
    </w:p>
    <w:p w14:paraId="2ECDD10B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významných systémových expozičných hladín pozorovalo ovplyvnenie </w:t>
      </w:r>
      <w:proofErr w:type="spellStart"/>
      <w:r w:rsidRPr="005C0EEE">
        <w:rPr>
          <w:rFonts w:ascii="Times New Roman" w:eastAsia="Times New Roman" w:hAnsi="Times New Roman" w:cs="Times New Roman"/>
        </w:rPr>
        <w:t>fertility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samíc vo forme</w:t>
      </w:r>
    </w:p>
    <w:p w14:paraId="28D95875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folikulárnej </w:t>
      </w:r>
      <w:proofErr w:type="spellStart"/>
      <w:r w:rsidRPr="005C0EEE">
        <w:rPr>
          <w:rFonts w:ascii="Times New Roman" w:eastAsia="Times New Roman" w:hAnsi="Times New Roman" w:cs="Times New Roman"/>
        </w:rPr>
        <w:t>atrézie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, degenerácie žltých teliesok, zmien na </w:t>
      </w:r>
      <w:proofErr w:type="spellStart"/>
      <w:r w:rsidRPr="005C0EEE">
        <w:rPr>
          <w:rFonts w:ascii="Times New Roman" w:eastAsia="Times New Roman" w:hAnsi="Times New Roman" w:cs="Times New Roman"/>
        </w:rPr>
        <w:t>endometriu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v maternici a poklese hmotnosti</w:t>
      </w:r>
    </w:p>
    <w:p w14:paraId="35234297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maternice a vaječníkov. Pri plazmatických expozičných hladinách predstavujúcich 25-násobok</w:t>
      </w:r>
    </w:p>
    <w:p w14:paraId="24BE7CA4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systémovej expozície u ľudí sa pozorovalo ovplyvnenie </w:t>
      </w:r>
      <w:proofErr w:type="spellStart"/>
      <w:r w:rsidRPr="005C0EEE">
        <w:rPr>
          <w:rFonts w:ascii="Times New Roman" w:eastAsia="Times New Roman" w:hAnsi="Times New Roman" w:cs="Times New Roman"/>
        </w:rPr>
        <w:t>fertility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potkaních samcov vo forme </w:t>
      </w:r>
      <w:proofErr w:type="spellStart"/>
      <w:r w:rsidRPr="005C0EEE">
        <w:rPr>
          <w:rFonts w:ascii="Times New Roman" w:eastAsia="Times New Roman" w:hAnsi="Times New Roman" w:cs="Times New Roman"/>
        </w:rPr>
        <w:t>tubulárnej</w:t>
      </w:r>
      <w:proofErr w:type="spellEnd"/>
    </w:p>
    <w:p w14:paraId="3AC054A1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atrofie v semenníkoch, zníženia počtu </w:t>
      </w:r>
      <w:proofErr w:type="spellStart"/>
      <w:r w:rsidRPr="005C0EEE">
        <w:rPr>
          <w:rFonts w:ascii="Times New Roman" w:eastAsia="Times New Roman" w:hAnsi="Times New Roman" w:cs="Times New Roman"/>
        </w:rPr>
        <w:t>spermatozoí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v nadsemenníkoch a koloidnej </w:t>
      </w:r>
      <w:proofErr w:type="spellStart"/>
      <w:r w:rsidRPr="005C0EEE">
        <w:rPr>
          <w:rFonts w:ascii="Times New Roman" w:eastAsia="Times New Roman" w:hAnsi="Times New Roman" w:cs="Times New Roman"/>
        </w:rPr>
        <w:t>deplécie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v prostate</w:t>
      </w:r>
    </w:p>
    <w:p w14:paraId="7F7B6F0A" w14:textId="77777777" w:rsidR="00355DF2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a semenných vačkoch.</w:t>
      </w:r>
    </w:p>
    <w:p w14:paraId="3D5FC892" w14:textId="77777777" w:rsidR="006918C4" w:rsidRPr="005C0EEE" w:rsidRDefault="006918C4" w:rsidP="006918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9E5F49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U potkanov bola zjavná embryonálno-fetálna mortalita vo forme signifikantného poklesu živých</w:t>
      </w:r>
    </w:p>
    <w:p w14:paraId="3CBA299E" w14:textId="5E339E03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plodov, zvýšeného počtu </w:t>
      </w:r>
      <w:proofErr w:type="spellStart"/>
      <w:r w:rsidRPr="005C0EEE">
        <w:rPr>
          <w:rFonts w:ascii="Times New Roman" w:eastAsia="Times New Roman" w:hAnsi="Times New Roman" w:cs="Times New Roman"/>
        </w:rPr>
        <w:t>re</w:t>
      </w:r>
      <w:r w:rsidR="00782CD0">
        <w:rPr>
          <w:rFonts w:ascii="Times New Roman" w:eastAsia="Times New Roman" w:hAnsi="Times New Roman" w:cs="Times New Roman"/>
        </w:rPr>
        <w:t>s</w:t>
      </w:r>
      <w:r w:rsidRPr="005C0EEE">
        <w:rPr>
          <w:rFonts w:ascii="Times New Roman" w:eastAsia="Times New Roman" w:hAnsi="Times New Roman" w:cs="Times New Roman"/>
        </w:rPr>
        <w:t>orpcií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, zvýšenia </w:t>
      </w:r>
      <w:proofErr w:type="spellStart"/>
      <w:r w:rsidRPr="005C0EEE">
        <w:rPr>
          <w:rFonts w:ascii="Times New Roman" w:eastAsia="Times New Roman" w:hAnsi="Times New Roman" w:cs="Times New Roman"/>
        </w:rPr>
        <w:t>postimplantačných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strát a celkovej straty vrhu</w:t>
      </w:r>
    </w:p>
    <w:p w14:paraId="4CDB71C8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u 8 z 28 gravidných samíc pri plazmatických expozičných hladinách predstavujúcich 5,5-násobok</w:t>
      </w:r>
    </w:p>
    <w:p w14:paraId="19A8E844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systémovej expozície u ľudí. U králikov došlo pri plazmatických expozičných hladinách</w:t>
      </w:r>
    </w:p>
    <w:p w14:paraId="7FE32DAD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predstavujúcich 3-násobok systémovej expozície u ľudí k poklesu hmotnosti gravidnej maternice</w:t>
      </w:r>
    </w:p>
    <w:p w14:paraId="495C2FCC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a počtu živých plodov v dôsledku zvýšeného počtu </w:t>
      </w:r>
      <w:proofErr w:type="spellStart"/>
      <w:r w:rsidRPr="005C0EEE">
        <w:rPr>
          <w:rFonts w:ascii="Times New Roman" w:eastAsia="Times New Roman" w:hAnsi="Times New Roman" w:cs="Times New Roman"/>
        </w:rPr>
        <w:t>resorpcií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, zvýšených </w:t>
      </w:r>
      <w:proofErr w:type="spellStart"/>
      <w:r w:rsidRPr="005C0EEE">
        <w:rPr>
          <w:rFonts w:ascii="Times New Roman" w:eastAsia="Times New Roman" w:hAnsi="Times New Roman" w:cs="Times New Roman"/>
        </w:rPr>
        <w:t>postimplantačných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strát, ako</w:t>
      </w:r>
    </w:p>
    <w:p w14:paraId="70A278F4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aj celkovej straty vrhu u 4 zo 6 gravidných samíc. Liečba </w:t>
      </w:r>
      <w:proofErr w:type="spellStart"/>
      <w:r w:rsidRPr="005C0EEE">
        <w:rPr>
          <w:rFonts w:ascii="Times New Roman" w:eastAsia="Times New Roman" w:hAnsi="Times New Roman" w:cs="Times New Roman"/>
        </w:rPr>
        <w:t>sunitinibom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počas organogenézy viedla</w:t>
      </w:r>
    </w:p>
    <w:p w14:paraId="24070C4C" w14:textId="77777777" w:rsidR="00355DF2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u potkanov pri dávke ≥5 mg/kg/deň k vývojovým chybám pozostávajúcim zo zvýšenej </w:t>
      </w:r>
      <w:proofErr w:type="spellStart"/>
      <w:r w:rsidRPr="005C0EEE">
        <w:rPr>
          <w:rFonts w:ascii="Times New Roman" w:eastAsia="Times New Roman" w:hAnsi="Times New Roman" w:cs="Times New Roman"/>
        </w:rPr>
        <w:t>incidencie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0EEE">
        <w:rPr>
          <w:rFonts w:ascii="Times New Roman" w:eastAsia="Times New Roman" w:hAnsi="Times New Roman" w:cs="Times New Roman"/>
        </w:rPr>
        <w:t>malformácií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kostry plodu, charakterizovaných predovšetkým ako spomalená osifikácia hrudných/bedrových stavcov, ktoré sa vyskytli pri plazmatických expozičných hladinách predstavujúcich 5,5-násobok systémovej expozície u ľudí. U králikov predstavovali vývojové chyby častejší výskyt rázštepu pery pri plazmatických expozičných hladinách približne rovnakých ako hladiny </w:t>
      </w:r>
      <w:r w:rsidRPr="005C0EEE">
        <w:rPr>
          <w:rFonts w:ascii="Times New Roman" w:eastAsia="Times New Roman" w:hAnsi="Times New Roman" w:cs="Times New Roman"/>
        </w:rPr>
        <w:lastRenderedPageBreak/>
        <w:t>pozorované v klinickej praxi; a rázštep pery a podnebia sa vyskytol častejšie pri plazmatických expozičných hladinách predstavujúcich 2,7-násobok systémovej expozície u ľudí.</w:t>
      </w:r>
    </w:p>
    <w:p w14:paraId="3D6F8990" w14:textId="77777777" w:rsidR="00355DF2" w:rsidRPr="005C0EEE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FD3DDD" w14:textId="77777777" w:rsidR="00D96B79" w:rsidRPr="005C0EEE" w:rsidRDefault="00D96B79" w:rsidP="00D96B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C0EEE">
        <w:rPr>
          <w:rFonts w:ascii="Times New Roman" w:eastAsia="Times New Roman" w:hAnsi="Times New Roman" w:cs="Times New Roman"/>
        </w:rPr>
        <w:t>Sunitinib</w:t>
      </w:r>
      <w:proofErr w:type="spellEnd"/>
      <w:r w:rsidRPr="005C0EEE">
        <w:rPr>
          <w:rFonts w:ascii="Times New Roman" w:eastAsia="Times New Roman" w:hAnsi="Times New Roman" w:cs="Times New Roman"/>
        </w:rPr>
        <w:t xml:space="preserve"> (0,3; 1,0; 3,0 mg/kg/deň) bol hodnotený v štúdii zameranej na pre- a </w:t>
      </w:r>
      <w:proofErr w:type="spellStart"/>
      <w:r w:rsidRPr="005C0EEE">
        <w:rPr>
          <w:rFonts w:ascii="Times New Roman" w:eastAsia="Times New Roman" w:hAnsi="Times New Roman" w:cs="Times New Roman"/>
        </w:rPr>
        <w:t>postnatálny</w:t>
      </w:r>
      <w:proofErr w:type="spellEnd"/>
    </w:p>
    <w:p w14:paraId="603B3E58" w14:textId="7D41CF79" w:rsidR="005C0EEE" w:rsidRPr="005C0EEE" w:rsidRDefault="00D96B79" w:rsidP="005C0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výv</w:t>
      </w:r>
      <w:r w:rsidR="00782CD0">
        <w:rPr>
          <w:rFonts w:ascii="Times New Roman" w:eastAsia="Times New Roman" w:hAnsi="Times New Roman" w:cs="Times New Roman"/>
        </w:rPr>
        <w:t>in</w:t>
      </w:r>
      <w:r w:rsidRPr="005C0EEE">
        <w:rPr>
          <w:rFonts w:ascii="Times New Roman" w:eastAsia="Times New Roman" w:hAnsi="Times New Roman" w:cs="Times New Roman"/>
        </w:rPr>
        <w:t xml:space="preserve"> u gravidných potkanov. </w:t>
      </w:r>
      <w:r w:rsidR="005C0EEE" w:rsidRPr="005C0EEE">
        <w:rPr>
          <w:rFonts w:ascii="Times New Roman" w:eastAsia="Times New Roman" w:hAnsi="Times New Roman" w:cs="Times New Roman"/>
        </w:rPr>
        <w:t xml:space="preserve">Počas </w:t>
      </w:r>
      <w:proofErr w:type="spellStart"/>
      <w:r w:rsidR="005C0EEE" w:rsidRPr="005C0EEE">
        <w:rPr>
          <w:rFonts w:ascii="Times New Roman" w:eastAsia="Times New Roman" w:hAnsi="Times New Roman" w:cs="Times New Roman"/>
        </w:rPr>
        <w:t>gestácie</w:t>
      </w:r>
      <w:proofErr w:type="spellEnd"/>
      <w:r w:rsidR="005C0EEE" w:rsidRPr="005C0EEE">
        <w:rPr>
          <w:rFonts w:ascii="Times New Roman" w:eastAsia="Times New Roman" w:hAnsi="Times New Roman" w:cs="Times New Roman"/>
        </w:rPr>
        <w:t xml:space="preserve"> a laktácie sa znížili prírastky telesnej hmotnosti matky</w:t>
      </w:r>
    </w:p>
    <w:p w14:paraId="5BD3A7EF" w14:textId="73E15828" w:rsidR="005C0EEE" w:rsidRPr="005C0EEE" w:rsidRDefault="005C0EEE" w:rsidP="005C0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 xml:space="preserve">pri dávke  ≥ 1 mg/kg/deň, ale nepozorovala sa žiadna toxicita na reprodukciu u </w:t>
      </w:r>
      <w:r w:rsidR="00782CD0">
        <w:rPr>
          <w:rFonts w:ascii="Times New Roman" w:eastAsia="Times New Roman" w:hAnsi="Times New Roman" w:cs="Times New Roman"/>
        </w:rPr>
        <w:t>samíc</w:t>
      </w:r>
      <w:r w:rsidRPr="005C0EEE">
        <w:rPr>
          <w:rFonts w:ascii="Times New Roman" w:eastAsia="Times New Roman" w:hAnsi="Times New Roman" w:cs="Times New Roman"/>
        </w:rPr>
        <w:t xml:space="preserve"> až do</w:t>
      </w:r>
    </w:p>
    <w:p w14:paraId="61DE603A" w14:textId="77777777" w:rsidR="005C0EEE" w:rsidRPr="005C0EEE" w:rsidRDefault="005C0EEE" w:rsidP="005C0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3 mg/kg/deň (odhadovaná expozícia ≥ 2,3-násobok AUC u pacientov, ktorým sa podávala RDD). Pri dávke 3 mg/kg/deň sa u mláďat pozoroval pokles telesnej hmotnosti počas obdobia</w:t>
      </w:r>
    </w:p>
    <w:p w14:paraId="2B1E7A32" w14:textId="77777777" w:rsidR="005C0EEE" w:rsidRPr="005C0EEE" w:rsidRDefault="005C0EEE" w:rsidP="005C0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pred aj po odstavení. Žiadna vývojová toxicita sa nepozorovala pri dávke 1 mg/kg/deň (približná</w:t>
      </w:r>
    </w:p>
    <w:p w14:paraId="4B42A3EF" w14:textId="77777777" w:rsidR="00355DF2" w:rsidRPr="005C0EEE" w:rsidRDefault="005C0EEE" w:rsidP="005C0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EE">
        <w:rPr>
          <w:rFonts w:ascii="Times New Roman" w:eastAsia="Times New Roman" w:hAnsi="Times New Roman" w:cs="Times New Roman"/>
        </w:rPr>
        <w:t>expozícia ≥ 0,9-násobok AUC u pacientov, ktorým sa podávala odporúčaná denná dávka).</w:t>
      </w:r>
    </w:p>
    <w:p w14:paraId="5697E482" w14:textId="77777777" w:rsidR="00355DF2" w:rsidRPr="00355DF2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1C264385" w14:textId="77777777" w:rsidR="00355DF2" w:rsidRPr="00355DF2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02F8F533" w14:textId="77777777" w:rsidR="00355DF2" w:rsidRPr="00355DF2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355DF2">
        <w:rPr>
          <w:rFonts w:ascii="Times New Roman" w:eastAsia="Times New Roman" w:hAnsi="Times New Roman" w:cs="Times New Roman"/>
          <w:b/>
          <w:szCs w:val="20"/>
          <w:lang w:val="en-GB"/>
        </w:rPr>
        <w:t>6.</w:t>
      </w:r>
      <w:r w:rsidRPr="00355DF2">
        <w:rPr>
          <w:rFonts w:ascii="Times New Roman" w:eastAsia="Times New Roman" w:hAnsi="Times New Roman" w:cs="Times New Roman"/>
          <w:b/>
          <w:szCs w:val="20"/>
          <w:lang w:val="en-GB"/>
        </w:rPr>
        <w:tab/>
      </w:r>
      <w:r w:rsidR="005C0EEE" w:rsidRPr="005C0EEE">
        <w:rPr>
          <w:rFonts w:ascii="Times New Roman" w:eastAsia="Times New Roman" w:hAnsi="Times New Roman" w:cs="Times New Roman"/>
          <w:b/>
          <w:szCs w:val="20"/>
          <w:lang w:val="en-GB"/>
        </w:rPr>
        <w:t>FARMACEUTICKÉ INFORMÁCIE</w:t>
      </w:r>
    </w:p>
    <w:p w14:paraId="23E35BA1" w14:textId="77777777" w:rsidR="00355DF2" w:rsidRPr="00355DF2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n-GB"/>
        </w:rPr>
      </w:pPr>
    </w:p>
    <w:p w14:paraId="643EE882" w14:textId="77777777" w:rsidR="00355DF2" w:rsidRPr="00355DF2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val="en-GB"/>
        </w:rPr>
      </w:pPr>
      <w:r w:rsidRPr="00355DF2">
        <w:rPr>
          <w:rFonts w:ascii="Times New Roman" w:eastAsia="Times New Roman" w:hAnsi="Times New Roman" w:cs="Times New Roman"/>
          <w:b/>
          <w:szCs w:val="20"/>
          <w:lang w:val="en-GB"/>
        </w:rPr>
        <w:t>6.1</w:t>
      </w:r>
      <w:r w:rsidRPr="00355DF2">
        <w:rPr>
          <w:rFonts w:ascii="Times New Roman" w:eastAsia="Times New Roman" w:hAnsi="Times New Roman" w:cs="Times New Roman"/>
          <w:b/>
          <w:szCs w:val="20"/>
          <w:lang w:val="en-GB"/>
        </w:rPr>
        <w:tab/>
      </w:r>
      <w:proofErr w:type="spellStart"/>
      <w:r w:rsidR="005C0EEE" w:rsidRPr="005C0EEE">
        <w:rPr>
          <w:rFonts w:ascii="Times New Roman" w:eastAsia="Times New Roman" w:hAnsi="Times New Roman" w:cs="Times New Roman"/>
          <w:b/>
          <w:szCs w:val="20"/>
          <w:lang w:val="en-GB"/>
        </w:rPr>
        <w:t>Zoznam</w:t>
      </w:r>
      <w:proofErr w:type="spellEnd"/>
      <w:r w:rsidR="005C0EEE" w:rsidRPr="005C0EEE">
        <w:rPr>
          <w:rFonts w:ascii="Times New Roman" w:eastAsia="Times New Roman" w:hAnsi="Times New Roman" w:cs="Times New Roman"/>
          <w:b/>
          <w:szCs w:val="20"/>
          <w:lang w:val="en-GB"/>
        </w:rPr>
        <w:t xml:space="preserve"> </w:t>
      </w:r>
      <w:proofErr w:type="spellStart"/>
      <w:r w:rsidR="005C0EEE" w:rsidRPr="005C0EEE">
        <w:rPr>
          <w:rFonts w:ascii="Times New Roman" w:eastAsia="Times New Roman" w:hAnsi="Times New Roman" w:cs="Times New Roman"/>
          <w:b/>
          <w:szCs w:val="20"/>
          <w:lang w:val="en-GB"/>
        </w:rPr>
        <w:t>pomocných</w:t>
      </w:r>
      <w:proofErr w:type="spellEnd"/>
      <w:r w:rsidR="005C0EEE" w:rsidRPr="005C0EEE">
        <w:rPr>
          <w:rFonts w:ascii="Times New Roman" w:eastAsia="Times New Roman" w:hAnsi="Times New Roman" w:cs="Times New Roman"/>
          <w:b/>
          <w:szCs w:val="20"/>
          <w:lang w:val="en-GB"/>
        </w:rPr>
        <w:t xml:space="preserve"> </w:t>
      </w:r>
      <w:proofErr w:type="spellStart"/>
      <w:r w:rsidR="005C0EEE" w:rsidRPr="005C0EEE">
        <w:rPr>
          <w:rFonts w:ascii="Times New Roman" w:eastAsia="Times New Roman" w:hAnsi="Times New Roman" w:cs="Times New Roman"/>
          <w:b/>
          <w:szCs w:val="20"/>
          <w:lang w:val="en-GB"/>
        </w:rPr>
        <w:t>látok</w:t>
      </w:r>
      <w:proofErr w:type="spellEnd"/>
    </w:p>
    <w:p w14:paraId="5C6ABCD5" w14:textId="77777777" w:rsidR="00355DF2" w:rsidRPr="00355DF2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05DB3004" w14:textId="77777777" w:rsidR="00355DF2" w:rsidRPr="00355DF2" w:rsidRDefault="005C0EEE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>
        <w:rPr>
          <w:rFonts w:ascii="Times New Roman" w:eastAsia="Times New Roman" w:hAnsi="Times New Roman" w:cs="Times New Roman"/>
          <w:i/>
          <w:lang w:val="en-GB"/>
        </w:rPr>
        <w:t>Obsah</w:t>
      </w:r>
      <w:proofErr w:type="spellEnd"/>
      <w:r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GB"/>
        </w:rPr>
        <w:t>kapsuly</w:t>
      </w:r>
      <w:proofErr w:type="spellEnd"/>
    </w:p>
    <w:p w14:paraId="44CDCDDD" w14:textId="77777777" w:rsidR="00355DF2" w:rsidRPr="00355DF2" w:rsidRDefault="003772A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Celulóza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mikrokryštalická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(E460)</w:t>
      </w:r>
    </w:p>
    <w:p w14:paraId="265F6AE8" w14:textId="77777777" w:rsidR="00355DF2" w:rsidRPr="00355DF2" w:rsidRDefault="003772A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Manitol</w:t>
      </w:r>
      <w:proofErr w:type="spellEnd"/>
      <w:r w:rsidR="00355DF2" w:rsidRPr="00355DF2">
        <w:rPr>
          <w:rFonts w:ascii="Times New Roman" w:eastAsia="Times New Roman" w:hAnsi="Times New Roman" w:cs="Times New Roman"/>
          <w:lang w:val="en-GB"/>
        </w:rPr>
        <w:t xml:space="preserve"> (E421)</w:t>
      </w:r>
    </w:p>
    <w:p w14:paraId="35951508" w14:textId="77777777" w:rsidR="003772A2" w:rsidRDefault="003772A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Kroskarmelóza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sodná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soľ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3354AA13" w14:textId="77777777" w:rsidR="00355DF2" w:rsidRPr="00355DF2" w:rsidRDefault="003772A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Povidón</w:t>
      </w:r>
      <w:proofErr w:type="spellEnd"/>
      <w:r w:rsidR="00355DF2" w:rsidRPr="00355DF2">
        <w:rPr>
          <w:rFonts w:ascii="Times New Roman" w:eastAsia="Times New Roman" w:hAnsi="Times New Roman" w:cs="Times New Roman"/>
          <w:lang w:val="en-GB"/>
        </w:rPr>
        <w:t xml:space="preserve"> K30 (E1201)</w:t>
      </w:r>
    </w:p>
    <w:p w14:paraId="520D7065" w14:textId="77777777" w:rsidR="00355DF2" w:rsidRPr="00355DF2" w:rsidRDefault="003772A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Stearát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horečnatý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(E470b)</w:t>
      </w:r>
    </w:p>
    <w:p w14:paraId="689DB632" w14:textId="77777777" w:rsidR="00355DF2" w:rsidRPr="00355DF2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05637E66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u w:val="single" w:color="000000"/>
          <w:lang w:val="en-GB"/>
        </w:rPr>
        <w:t>Sunitinib Zentiva</w:t>
      </w:r>
      <w:r w:rsidR="00355DF2" w:rsidRPr="00355DF2">
        <w:rPr>
          <w:rFonts w:ascii="Times New Roman" w:eastAsia="Times New Roman" w:hAnsi="Times New Roman" w:cs="Times New Roman"/>
          <w:u w:val="single" w:color="000000"/>
          <w:lang w:val="en-GB"/>
        </w:rPr>
        <w:t xml:space="preserve"> 12</w:t>
      </w:r>
      <w:r>
        <w:rPr>
          <w:rFonts w:ascii="Times New Roman" w:eastAsia="Times New Roman" w:hAnsi="Times New Roman" w:cs="Times New Roman"/>
          <w:u w:val="single" w:color="000000"/>
          <w:lang w:val="en-GB"/>
        </w:rPr>
        <w:t>,</w:t>
      </w:r>
      <w:r w:rsidR="00355DF2" w:rsidRPr="00355DF2">
        <w:rPr>
          <w:rFonts w:ascii="Times New Roman" w:eastAsia="Times New Roman" w:hAnsi="Times New Roman" w:cs="Times New Roman"/>
          <w:u w:val="single" w:color="000000"/>
          <w:lang w:val="en-GB"/>
        </w:rPr>
        <w:t xml:space="preserve">5 mg </w:t>
      </w:r>
    </w:p>
    <w:p w14:paraId="54F4C78D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>
        <w:rPr>
          <w:rFonts w:ascii="Times New Roman" w:eastAsia="Times New Roman" w:hAnsi="Times New Roman" w:cs="Times New Roman"/>
          <w:i/>
          <w:lang w:val="en-GB"/>
        </w:rPr>
        <w:t>Obal</w:t>
      </w:r>
      <w:proofErr w:type="spellEnd"/>
      <w:r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GB"/>
        </w:rPr>
        <w:t>kapsuly</w:t>
      </w:r>
      <w:proofErr w:type="spellEnd"/>
    </w:p>
    <w:p w14:paraId="4D98446A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Č</w:t>
      </w:r>
      <w:r w:rsidRPr="003772A2">
        <w:rPr>
          <w:rFonts w:ascii="Times New Roman" w:eastAsia="Times New Roman" w:hAnsi="Times New Roman" w:cs="Times New Roman"/>
          <w:lang w:val="en-GB"/>
        </w:rPr>
        <w:t>ervený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(E172)</w:t>
      </w:r>
    </w:p>
    <w:p w14:paraId="65856854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O</w:t>
      </w:r>
      <w:r w:rsidRPr="003772A2">
        <w:rPr>
          <w:rFonts w:ascii="Times New Roman" w:eastAsia="Times New Roman" w:hAnsi="Times New Roman" w:cs="Times New Roman"/>
          <w:lang w:val="en-GB"/>
        </w:rPr>
        <w:t xml:space="preserve">xid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(E171)</w:t>
      </w:r>
    </w:p>
    <w:p w14:paraId="4A0045D7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Želatína</w:t>
      </w:r>
      <w:proofErr w:type="spellEnd"/>
    </w:p>
    <w:p w14:paraId="07843575" w14:textId="77777777" w:rsidR="00355DF2" w:rsidRPr="00355DF2" w:rsidRDefault="00355DF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6036FA4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Potlačový</w:t>
      </w:r>
      <w:proofErr w:type="spellEnd"/>
      <w:r w:rsidRPr="003772A2">
        <w:rPr>
          <w:rFonts w:ascii="Times New Roman" w:eastAsia="Times New Roman" w:hAnsi="Times New Roman" w:cs="Times New Roman"/>
          <w:i/>
          <w:lang w:val="en-GB"/>
        </w:rPr>
        <w:t xml:space="preserve"> atrament</w:t>
      </w:r>
      <w:r>
        <w:rPr>
          <w:rFonts w:ascii="Times New Roman" w:eastAsia="Times New Roman" w:hAnsi="Times New Roman" w:cs="Times New Roman"/>
          <w:i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lang w:val="en-GB"/>
        </w:rPr>
        <w:t>biely</w:t>
      </w:r>
      <w:proofErr w:type="spellEnd"/>
    </w:p>
    <w:p w14:paraId="7CDED1DF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Šelak</w:t>
      </w:r>
      <w:proofErr w:type="spellEnd"/>
      <w:r w:rsidR="00355DF2" w:rsidRPr="00355DF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B265C6A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O</w:t>
      </w:r>
      <w:r w:rsidRPr="003772A2">
        <w:rPr>
          <w:rFonts w:ascii="Times New Roman" w:eastAsia="Times New Roman" w:hAnsi="Times New Roman" w:cs="Times New Roman"/>
          <w:lang w:val="en-GB"/>
        </w:rPr>
        <w:t xml:space="preserve">xid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(E171)</w:t>
      </w:r>
    </w:p>
    <w:p w14:paraId="59B4007C" w14:textId="77777777" w:rsidR="00355DF2" w:rsidRPr="00355DF2" w:rsidRDefault="003772A2" w:rsidP="00355DF2">
      <w:pPr>
        <w:shd w:val="clear" w:color="auto" w:fill="F2F2F2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P</w:t>
      </w:r>
      <w:r w:rsidRPr="003772A2">
        <w:rPr>
          <w:rFonts w:ascii="Times New Roman" w:eastAsia="Times New Roman" w:hAnsi="Times New Roman" w:cs="Times New Roman"/>
          <w:lang w:val="en-GB"/>
        </w:rPr>
        <w:t>ropylénglykol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(E1520)</w:t>
      </w:r>
    </w:p>
    <w:p w14:paraId="698374CE" w14:textId="77777777" w:rsidR="00355DF2" w:rsidRPr="00355DF2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324E1EB" w14:textId="77777777" w:rsidR="00355DF2" w:rsidRPr="00355DF2" w:rsidRDefault="003772A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u w:val="single" w:color="000000"/>
          <w:lang w:val="en-GB"/>
        </w:rPr>
        <w:t>Sunitinib Zentiva</w:t>
      </w:r>
      <w:r w:rsidR="00355DF2" w:rsidRPr="00355DF2">
        <w:rPr>
          <w:rFonts w:ascii="Times New Roman" w:eastAsia="Times New Roman" w:hAnsi="Times New Roman" w:cs="Times New Roman"/>
          <w:u w:val="single" w:color="000000"/>
          <w:lang w:val="en-GB"/>
        </w:rPr>
        <w:t xml:space="preserve"> 25 mg </w:t>
      </w:r>
    </w:p>
    <w:p w14:paraId="68FBE177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Obal</w:t>
      </w:r>
      <w:proofErr w:type="spellEnd"/>
      <w:r w:rsidRPr="003772A2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kapsuly</w:t>
      </w:r>
      <w:proofErr w:type="spellEnd"/>
    </w:p>
    <w:p w14:paraId="22057E0E" w14:textId="77777777" w:rsidR="00355DF2" w:rsidRPr="00355DF2" w:rsidRDefault="003772A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Čierny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(E172)</w:t>
      </w:r>
    </w:p>
    <w:p w14:paraId="47C1A12C" w14:textId="77777777" w:rsidR="00355DF2" w:rsidRPr="00355DF2" w:rsidRDefault="003772A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Červený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(E172)</w:t>
      </w:r>
    </w:p>
    <w:p w14:paraId="6A50F6C3" w14:textId="77777777" w:rsidR="00355DF2" w:rsidRPr="00355DF2" w:rsidRDefault="003772A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Žltý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(E172)</w:t>
      </w:r>
    </w:p>
    <w:p w14:paraId="3F17989E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r w:rsidRPr="003772A2">
        <w:rPr>
          <w:rFonts w:ascii="Times New Roman" w:eastAsia="Times New Roman" w:hAnsi="Times New Roman" w:cs="Times New Roman"/>
          <w:lang w:val="en-GB"/>
        </w:rPr>
        <w:t xml:space="preserve">Oxid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(E171)</w:t>
      </w:r>
    </w:p>
    <w:p w14:paraId="0746AFF5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Želatína</w:t>
      </w:r>
      <w:proofErr w:type="spellEnd"/>
    </w:p>
    <w:p w14:paraId="3DD8F337" w14:textId="77777777" w:rsidR="00355DF2" w:rsidRDefault="003772A2" w:rsidP="00355DF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46F75B13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Potlačový</w:t>
      </w:r>
      <w:proofErr w:type="spellEnd"/>
      <w:r w:rsidRPr="003772A2">
        <w:rPr>
          <w:rFonts w:ascii="Times New Roman" w:eastAsia="Times New Roman" w:hAnsi="Times New Roman" w:cs="Times New Roman"/>
          <w:i/>
          <w:lang w:val="en-GB"/>
        </w:rPr>
        <w:t xml:space="preserve"> atrament, </w:t>
      </w: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biely</w:t>
      </w:r>
      <w:proofErr w:type="spellEnd"/>
    </w:p>
    <w:p w14:paraId="1A6DB66E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Šelak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7DFC5B38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3772A2">
        <w:rPr>
          <w:rFonts w:ascii="Times New Roman" w:eastAsia="Times New Roman" w:hAnsi="Times New Roman" w:cs="Times New Roman"/>
          <w:lang w:val="en-GB"/>
        </w:rPr>
        <w:t xml:space="preserve">Oxid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(E171)</w:t>
      </w:r>
    </w:p>
    <w:p w14:paraId="55447B90" w14:textId="77777777" w:rsidR="003772A2" w:rsidRPr="003772A2" w:rsidRDefault="003772A2" w:rsidP="003772A2">
      <w:pPr>
        <w:shd w:val="clear" w:color="auto" w:fill="D9D9D9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Propylénglykol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(E1520)</w:t>
      </w:r>
    </w:p>
    <w:p w14:paraId="3F4525D8" w14:textId="77777777" w:rsidR="00355DF2" w:rsidRPr="00355DF2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AC9A3D6" w14:textId="77777777" w:rsidR="00355DF2" w:rsidRPr="00355DF2" w:rsidRDefault="003772A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u w:val="single" w:color="000000"/>
          <w:lang w:val="en-GB"/>
        </w:rPr>
        <w:t>Sunitinib Zentiva 37,</w:t>
      </w:r>
      <w:r w:rsidR="00355DF2" w:rsidRPr="00355DF2">
        <w:rPr>
          <w:rFonts w:ascii="Times New Roman" w:eastAsia="Times New Roman" w:hAnsi="Times New Roman" w:cs="Times New Roman"/>
          <w:u w:val="single" w:color="000000"/>
          <w:lang w:val="en-GB"/>
        </w:rPr>
        <w:t>5 mg</w:t>
      </w:r>
      <w:r w:rsidR="00355DF2" w:rsidRPr="00355DF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49F36D1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Obal</w:t>
      </w:r>
      <w:proofErr w:type="spellEnd"/>
      <w:r w:rsidRPr="003772A2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kapsuly</w:t>
      </w:r>
      <w:proofErr w:type="spellEnd"/>
    </w:p>
    <w:p w14:paraId="6B069CE1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Žltý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(E172)</w:t>
      </w:r>
    </w:p>
    <w:p w14:paraId="77BD6357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r w:rsidRPr="003772A2">
        <w:rPr>
          <w:rFonts w:ascii="Times New Roman" w:eastAsia="Times New Roman" w:hAnsi="Times New Roman" w:cs="Times New Roman"/>
          <w:lang w:val="en-GB"/>
        </w:rPr>
        <w:t xml:space="preserve">Oxid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(E171)</w:t>
      </w:r>
    </w:p>
    <w:p w14:paraId="3798E755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Želatína</w:t>
      </w:r>
      <w:proofErr w:type="spellEnd"/>
    </w:p>
    <w:p w14:paraId="7FEF82EA" w14:textId="77777777" w:rsidR="00355DF2" w:rsidRPr="00355DF2" w:rsidRDefault="00355DF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27E3F73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i/>
          <w:lang w:val="en-GB"/>
        </w:rPr>
        <w:t>Potlačový</w:t>
      </w:r>
      <w:proofErr w:type="spellEnd"/>
      <w:r w:rsidRPr="003772A2">
        <w:rPr>
          <w:rFonts w:ascii="Times New Roman" w:eastAsia="Times New Roman" w:hAnsi="Times New Roman" w:cs="Times New Roman"/>
          <w:i/>
          <w:lang w:val="en-GB"/>
        </w:rPr>
        <w:t xml:space="preserve"> atrament, </w:t>
      </w:r>
      <w:proofErr w:type="spellStart"/>
      <w:r>
        <w:rPr>
          <w:rFonts w:ascii="Times New Roman" w:eastAsia="Times New Roman" w:hAnsi="Times New Roman" w:cs="Times New Roman"/>
          <w:i/>
          <w:lang w:val="en-GB"/>
        </w:rPr>
        <w:t>čierny</w:t>
      </w:r>
      <w:proofErr w:type="spellEnd"/>
    </w:p>
    <w:p w14:paraId="6054DCBE" w14:textId="77777777" w:rsidR="00355DF2" w:rsidRPr="00355DF2" w:rsidRDefault="003772A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Šelak</w:t>
      </w:r>
      <w:proofErr w:type="spellEnd"/>
    </w:p>
    <w:p w14:paraId="32A5472E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Čierny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(E172)</w:t>
      </w:r>
    </w:p>
    <w:p w14:paraId="09A8879B" w14:textId="77777777" w:rsidR="003772A2" w:rsidRPr="003772A2" w:rsidRDefault="003772A2" w:rsidP="003772A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lastRenderedPageBreak/>
        <w:t>Propylénglykol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(E1520)</w:t>
      </w:r>
    </w:p>
    <w:p w14:paraId="2166FB42" w14:textId="425C16A1" w:rsidR="00355DF2" w:rsidRPr="00355DF2" w:rsidRDefault="003772A2" w:rsidP="00355DF2">
      <w:pPr>
        <w:shd w:val="clear" w:color="auto" w:fill="BFBFB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lang w:val="en-GB"/>
        </w:rPr>
        <w:t>Hydroxid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am</w:t>
      </w:r>
      <w:r w:rsidR="00924957">
        <w:rPr>
          <w:rFonts w:ascii="Times New Roman" w:eastAsia="Times New Roman" w:hAnsi="Times New Roman" w:cs="Times New Roman"/>
          <w:lang w:val="en-GB"/>
        </w:rPr>
        <w:t>ón</w:t>
      </w:r>
      <w:r>
        <w:rPr>
          <w:rFonts w:ascii="Times New Roman" w:eastAsia="Times New Roman" w:hAnsi="Times New Roman" w:cs="Times New Roman"/>
          <w:lang w:val="en-GB"/>
        </w:rPr>
        <w:t>n</w:t>
      </w:r>
      <w:r w:rsidR="00924957">
        <w:rPr>
          <w:rFonts w:ascii="Times New Roman" w:eastAsia="Times New Roman" w:hAnsi="Times New Roman" w:cs="Times New Roman"/>
          <w:lang w:val="en-GB"/>
        </w:rPr>
        <w:t>y</w:t>
      </w:r>
      <w:proofErr w:type="spellEnd"/>
      <w:r w:rsidR="00355DF2" w:rsidRPr="00355DF2">
        <w:rPr>
          <w:rFonts w:ascii="Times New Roman" w:eastAsia="Times New Roman" w:hAnsi="Times New Roman" w:cs="Times New Roman"/>
          <w:lang w:val="en-GB"/>
        </w:rPr>
        <w:t xml:space="preserve"> (E527)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6C1E46D" w14:textId="77777777" w:rsidR="00355DF2" w:rsidRPr="00355DF2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764EE15" w14:textId="77777777" w:rsidR="00355DF2" w:rsidRPr="00355DF2" w:rsidRDefault="003772A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u w:val="single" w:color="000000"/>
          <w:lang w:val="en-GB"/>
        </w:rPr>
        <w:t>Sunitinib Zentiva</w:t>
      </w:r>
      <w:r w:rsidR="00355DF2" w:rsidRPr="00355DF2">
        <w:rPr>
          <w:rFonts w:ascii="Times New Roman" w:eastAsia="Times New Roman" w:hAnsi="Times New Roman" w:cs="Times New Roman"/>
          <w:u w:val="single" w:color="000000"/>
          <w:lang w:val="en-GB"/>
        </w:rPr>
        <w:t xml:space="preserve"> 50 mg </w:t>
      </w:r>
    </w:p>
    <w:p w14:paraId="560E7637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i/>
          <w:lang w:val="en-GB"/>
        </w:rPr>
        <w:t>Obal</w:t>
      </w:r>
      <w:proofErr w:type="spellEnd"/>
      <w:r w:rsidRPr="001B198C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1B198C">
        <w:rPr>
          <w:rFonts w:ascii="Times New Roman" w:eastAsia="Times New Roman" w:hAnsi="Times New Roman" w:cs="Times New Roman"/>
          <w:i/>
          <w:lang w:val="en-GB"/>
        </w:rPr>
        <w:t>kapsuly</w:t>
      </w:r>
      <w:proofErr w:type="spellEnd"/>
    </w:p>
    <w:p w14:paraId="03DA0CFA" w14:textId="77777777" w:rsidR="00355DF2" w:rsidRPr="00355DF2" w:rsidRDefault="001B198C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Čierny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3772A2">
        <w:rPr>
          <w:rFonts w:ascii="Times New Roman" w:eastAsia="Times New Roman" w:hAnsi="Times New Roman" w:cs="Times New Roman"/>
          <w:lang w:val="en-GB"/>
        </w:rPr>
        <w:t xml:space="preserve"> </w:t>
      </w:r>
      <w:r w:rsidR="00355DF2" w:rsidRPr="00355DF2">
        <w:rPr>
          <w:rFonts w:ascii="Times New Roman" w:eastAsia="Times New Roman" w:hAnsi="Times New Roman" w:cs="Times New Roman"/>
          <w:lang w:val="en-GB"/>
        </w:rPr>
        <w:t>(E172)</w:t>
      </w:r>
    </w:p>
    <w:p w14:paraId="5F3082FF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Červený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(E172)</w:t>
      </w:r>
    </w:p>
    <w:p w14:paraId="631E68F8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Žltý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oxid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železitý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(E172)</w:t>
      </w:r>
    </w:p>
    <w:p w14:paraId="20ADE75C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r w:rsidRPr="001B198C">
        <w:rPr>
          <w:rFonts w:ascii="Times New Roman" w:eastAsia="Times New Roman" w:hAnsi="Times New Roman" w:cs="Times New Roman"/>
          <w:lang w:val="en-GB"/>
        </w:rPr>
        <w:t xml:space="preserve">Oxid </w:t>
      </w: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(E171)</w:t>
      </w:r>
    </w:p>
    <w:p w14:paraId="4A91722A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Želatína</w:t>
      </w:r>
      <w:proofErr w:type="spellEnd"/>
    </w:p>
    <w:p w14:paraId="48D58282" w14:textId="77777777" w:rsidR="00355DF2" w:rsidRDefault="00355DF2" w:rsidP="00355DF2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41FC997B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i/>
          <w:lang w:val="en-GB"/>
        </w:rPr>
        <w:t>Potlačový</w:t>
      </w:r>
      <w:proofErr w:type="spellEnd"/>
      <w:r w:rsidRPr="001B198C">
        <w:rPr>
          <w:rFonts w:ascii="Times New Roman" w:eastAsia="Times New Roman" w:hAnsi="Times New Roman" w:cs="Times New Roman"/>
          <w:i/>
          <w:lang w:val="en-GB"/>
        </w:rPr>
        <w:t xml:space="preserve"> atrament, </w:t>
      </w:r>
      <w:proofErr w:type="spellStart"/>
      <w:r w:rsidRPr="001B198C">
        <w:rPr>
          <w:rFonts w:ascii="Times New Roman" w:eastAsia="Times New Roman" w:hAnsi="Times New Roman" w:cs="Times New Roman"/>
          <w:i/>
          <w:lang w:val="en-GB"/>
        </w:rPr>
        <w:t>biely</w:t>
      </w:r>
      <w:proofErr w:type="spellEnd"/>
    </w:p>
    <w:p w14:paraId="1298DEE0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Šelak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DAAED07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B198C">
        <w:rPr>
          <w:rFonts w:ascii="Times New Roman" w:eastAsia="Times New Roman" w:hAnsi="Times New Roman" w:cs="Times New Roman"/>
          <w:lang w:val="en-GB"/>
        </w:rPr>
        <w:t xml:space="preserve">Oxid </w:t>
      </w: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titaničitý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(E171)</w:t>
      </w:r>
    </w:p>
    <w:p w14:paraId="7153DB1D" w14:textId="77777777" w:rsidR="001B198C" w:rsidRPr="001B198C" w:rsidRDefault="001B198C" w:rsidP="001B198C">
      <w:pPr>
        <w:shd w:val="clear" w:color="auto" w:fill="A6A6A6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1B198C">
        <w:rPr>
          <w:rFonts w:ascii="Times New Roman" w:eastAsia="Times New Roman" w:hAnsi="Times New Roman" w:cs="Times New Roman"/>
          <w:lang w:val="en-GB"/>
        </w:rPr>
        <w:t>Propylénglykol</w:t>
      </w:r>
      <w:proofErr w:type="spellEnd"/>
      <w:r w:rsidRPr="001B198C">
        <w:rPr>
          <w:rFonts w:ascii="Times New Roman" w:eastAsia="Times New Roman" w:hAnsi="Times New Roman" w:cs="Times New Roman"/>
          <w:lang w:val="en-GB"/>
        </w:rPr>
        <w:t xml:space="preserve"> (E1520)</w:t>
      </w:r>
    </w:p>
    <w:p w14:paraId="3909E2DE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szCs w:val="20"/>
        </w:rPr>
      </w:pPr>
    </w:p>
    <w:p w14:paraId="4B5137E3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6.2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97401D" w:rsidRPr="0097401D">
        <w:rPr>
          <w:rFonts w:ascii="Times New Roman" w:eastAsia="Times New Roman" w:hAnsi="Times New Roman" w:cs="Times New Roman"/>
          <w:b/>
          <w:szCs w:val="20"/>
        </w:rPr>
        <w:t>Inkompatibility</w:t>
      </w:r>
    </w:p>
    <w:p w14:paraId="05D9E61F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35DE0E5" w14:textId="77777777" w:rsidR="00355DF2" w:rsidRPr="0097401D" w:rsidRDefault="0097401D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szCs w:val="20"/>
        </w:rPr>
        <w:t>Neaplikovateľné.</w:t>
      </w:r>
    </w:p>
    <w:p w14:paraId="13897C6C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C76FCCD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6.3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97401D" w:rsidRPr="0097401D">
        <w:rPr>
          <w:rFonts w:ascii="Times New Roman" w:eastAsia="Times New Roman" w:hAnsi="Times New Roman" w:cs="Times New Roman"/>
          <w:b/>
          <w:szCs w:val="20"/>
        </w:rPr>
        <w:t>Čas použiteľnosti</w:t>
      </w:r>
    </w:p>
    <w:p w14:paraId="1BCCF57A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0F21B38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97401D">
        <w:rPr>
          <w:rFonts w:ascii="Times New Roman" w:eastAsia="Times New Roman" w:hAnsi="Times New Roman" w:cs="Times New Roman"/>
          <w:color w:val="000000"/>
          <w:szCs w:val="20"/>
        </w:rPr>
        <w:t xml:space="preserve">3 </w:t>
      </w:r>
      <w:r w:rsidR="0097401D" w:rsidRPr="0097401D">
        <w:rPr>
          <w:rFonts w:ascii="Times New Roman" w:eastAsia="Times New Roman" w:hAnsi="Times New Roman" w:cs="Times New Roman"/>
          <w:color w:val="000000"/>
          <w:szCs w:val="20"/>
        </w:rPr>
        <w:t>roky</w:t>
      </w:r>
      <w:r w:rsidRPr="0097401D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14:paraId="030AFB47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75694A7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6.4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97401D" w:rsidRPr="0097401D">
        <w:rPr>
          <w:rFonts w:ascii="Times New Roman" w:eastAsia="Times New Roman" w:hAnsi="Times New Roman" w:cs="Times New Roman"/>
          <w:b/>
          <w:szCs w:val="20"/>
        </w:rPr>
        <w:t>Špeciálne upozornenia na uchovávanie</w:t>
      </w:r>
    </w:p>
    <w:p w14:paraId="2F91BDE9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052F6C10" w14:textId="77777777" w:rsidR="00355DF2" w:rsidRPr="0097401D" w:rsidRDefault="0097401D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Tento liek nevyžaduje žiadne zvláštne podmienky na uchovávanie.</w:t>
      </w:r>
    </w:p>
    <w:p w14:paraId="0751622E" w14:textId="77777777" w:rsidR="0097401D" w:rsidRPr="0097401D" w:rsidRDefault="0097401D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30334F" w14:textId="77777777" w:rsidR="00355DF2" w:rsidRPr="0097401D" w:rsidRDefault="0097401D" w:rsidP="0097401D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Druh obalu a obsah balenia</w:t>
      </w:r>
    </w:p>
    <w:p w14:paraId="4C2D4B2B" w14:textId="77777777" w:rsidR="00355DF2" w:rsidRPr="0097401D" w:rsidRDefault="001664C8" w:rsidP="001664C8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szCs w:val="20"/>
        </w:rPr>
        <w:tab/>
      </w:r>
    </w:p>
    <w:p w14:paraId="00A998ED" w14:textId="61DD06A3" w:rsidR="00355DF2" w:rsidRPr="0097401D" w:rsidRDefault="009740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P</w:t>
      </w:r>
      <w:r w:rsidR="002D000B">
        <w:rPr>
          <w:rFonts w:ascii="Times New Roman" w:eastAsia="Times New Roman" w:hAnsi="Times New Roman" w:cs="Times New Roman"/>
        </w:rPr>
        <w:t>a</w:t>
      </w:r>
      <w:r w:rsidRPr="0097401D">
        <w:rPr>
          <w:rFonts w:ascii="Times New Roman" w:eastAsia="Times New Roman" w:hAnsi="Times New Roman" w:cs="Times New Roman"/>
        </w:rPr>
        <w:t>pierová škatuľka</w:t>
      </w:r>
      <w:r w:rsidR="00355DF2" w:rsidRPr="0097401D">
        <w:rPr>
          <w:rFonts w:ascii="Times New Roman" w:eastAsia="Times New Roman" w:hAnsi="Times New Roman" w:cs="Times New Roman"/>
        </w:rPr>
        <w:t xml:space="preserve"> </w:t>
      </w:r>
      <w:r w:rsidRPr="0097401D">
        <w:rPr>
          <w:rFonts w:ascii="Times New Roman" w:eastAsia="Times New Roman" w:hAnsi="Times New Roman" w:cs="Times New Roman"/>
        </w:rPr>
        <w:t>s</w:t>
      </w:r>
      <w:r w:rsidR="00355DF2" w:rsidRPr="0097401D">
        <w:rPr>
          <w:rFonts w:ascii="Times New Roman" w:eastAsia="Times New Roman" w:hAnsi="Times New Roman" w:cs="Times New Roman"/>
        </w:rPr>
        <w:t xml:space="preserve"> </w:t>
      </w:r>
      <w:bookmarkStart w:id="0" w:name="_Hlk36714274"/>
      <w:proofErr w:type="spellStart"/>
      <w:r w:rsidR="00355DF2" w:rsidRPr="0097401D">
        <w:rPr>
          <w:rFonts w:ascii="Times New Roman" w:eastAsia="Times New Roman" w:hAnsi="Times New Roman" w:cs="Times New Roman"/>
        </w:rPr>
        <w:t>Aluminium</w:t>
      </w:r>
      <w:proofErr w:type="spellEnd"/>
      <w:r w:rsidR="00355DF2" w:rsidRPr="0097401D">
        <w:rPr>
          <w:rFonts w:ascii="Times New Roman" w:eastAsia="Times New Roman" w:hAnsi="Times New Roman" w:cs="Times New Roman"/>
        </w:rPr>
        <w:t>-OPA/</w:t>
      </w:r>
      <w:proofErr w:type="spellStart"/>
      <w:r w:rsidR="00355DF2" w:rsidRPr="0097401D">
        <w:rPr>
          <w:rFonts w:ascii="Times New Roman" w:eastAsia="Times New Roman" w:hAnsi="Times New Roman" w:cs="Times New Roman"/>
        </w:rPr>
        <w:t>Alu</w:t>
      </w:r>
      <w:proofErr w:type="spellEnd"/>
      <w:r w:rsidR="00355DF2" w:rsidRPr="0097401D">
        <w:rPr>
          <w:rFonts w:ascii="Times New Roman" w:eastAsia="Times New Roman" w:hAnsi="Times New Roman" w:cs="Times New Roman"/>
        </w:rPr>
        <w:t xml:space="preserve">/PVC </w:t>
      </w:r>
      <w:bookmarkEnd w:id="0"/>
      <w:proofErr w:type="spellStart"/>
      <w:r w:rsidRPr="0097401D">
        <w:rPr>
          <w:rFonts w:ascii="Times New Roman" w:eastAsia="Times New Roman" w:hAnsi="Times New Roman" w:cs="Times New Roman"/>
        </w:rPr>
        <w:t>blistrami</w:t>
      </w:r>
      <w:proofErr w:type="spellEnd"/>
      <w:r w:rsidR="00355DF2" w:rsidRPr="0097401D">
        <w:rPr>
          <w:rFonts w:ascii="Times New Roman" w:eastAsia="Times New Roman" w:hAnsi="Times New Roman" w:cs="Times New Roman"/>
        </w:rPr>
        <w:t xml:space="preserve"> </w:t>
      </w:r>
      <w:r w:rsidRPr="0097401D">
        <w:rPr>
          <w:rFonts w:ascii="Times New Roman" w:eastAsia="Times New Roman" w:hAnsi="Times New Roman" w:cs="Times New Roman"/>
        </w:rPr>
        <w:t>obsahujúcimi</w:t>
      </w:r>
      <w:r w:rsidR="00355DF2" w:rsidRPr="0097401D">
        <w:rPr>
          <w:rFonts w:ascii="Times New Roman" w:eastAsia="Times New Roman" w:hAnsi="Times New Roman" w:cs="Times New Roman"/>
        </w:rPr>
        <w:t xml:space="preserve"> 28 </w:t>
      </w:r>
      <w:r w:rsidRPr="0097401D">
        <w:rPr>
          <w:rFonts w:ascii="Times New Roman" w:eastAsia="Times New Roman" w:hAnsi="Times New Roman" w:cs="Times New Roman"/>
        </w:rPr>
        <w:t>tvrdých kapsúl</w:t>
      </w:r>
      <w:r w:rsidR="00355DF2" w:rsidRPr="0097401D">
        <w:rPr>
          <w:rFonts w:ascii="Times New Roman" w:eastAsia="Times New Roman" w:hAnsi="Times New Roman" w:cs="Times New Roman"/>
        </w:rPr>
        <w:t>.</w:t>
      </w:r>
    </w:p>
    <w:p w14:paraId="055C6995" w14:textId="7754877C" w:rsidR="00355DF2" w:rsidRPr="0097401D" w:rsidRDefault="009740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P</w:t>
      </w:r>
      <w:r w:rsidR="002D000B">
        <w:rPr>
          <w:rFonts w:ascii="Times New Roman" w:eastAsia="Times New Roman" w:hAnsi="Times New Roman" w:cs="Times New Roman"/>
        </w:rPr>
        <w:t>a</w:t>
      </w:r>
      <w:r w:rsidRPr="0097401D">
        <w:rPr>
          <w:rFonts w:ascii="Times New Roman" w:eastAsia="Times New Roman" w:hAnsi="Times New Roman" w:cs="Times New Roman"/>
        </w:rPr>
        <w:t xml:space="preserve">pierová škatuľka s </w:t>
      </w:r>
      <w:proofErr w:type="spellStart"/>
      <w:r w:rsidRPr="0097401D">
        <w:rPr>
          <w:rFonts w:ascii="Times New Roman" w:eastAsia="Times New Roman" w:hAnsi="Times New Roman" w:cs="Times New Roman"/>
        </w:rPr>
        <w:t>Aluminium</w:t>
      </w:r>
      <w:proofErr w:type="spellEnd"/>
      <w:r w:rsidRPr="0097401D">
        <w:rPr>
          <w:rFonts w:ascii="Times New Roman" w:eastAsia="Times New Roman" w:hAnsi="Times New Roman" w:cs="Times New Roman"/>
        </w:rPr>
        <w:t>-OPA/</w:t>
      </w:r>
      <w:proofErr w:type="spellStart"/>
      <w:r w:rsidRPr="0097401D">
        <w:rPr>
          <w:rFonts w:ascii="Times New Roman" w:eastAsia="Times New Roman" w:hAnsi="Times New Roman" w:cs="Times New Roman"/>
        </w:rPr>
        <w:t>Alu</w:t>
      </w:r>
      <w:proofErr w:type="spellEnd"/>
      <w:r w:rsidRPr="0097401D">
        <w:rPr>
          <w:rFonts w:ascii="Times New Roman" w:eastAsia="Times New Roman" w:hAnsi="Times New Roman" w:cs="Times New Roman"/>
        </w:rPr>
        <w:t xml:space="preserve">/PVC perforovanými jednodávkovými </w:t>
      </w:r>
      <w:proofErr w:type="spellStart"/>
      <w:r w:rsidRPr="0097401D">
        <w:rPr>
          <w:rFonts w:ascii="Times New Roman" w:eastAsia="Times New Roman" w:hAnsi="Times New Roman" w:cs="Times New Roman"/>
        </w:rPr>
        <w:t>blistrami</w:t>
      </w:r>
      <w:proofErr w:type="spellEnd"/>
      <w:r w:rsidR="00355DF2" w:rsidRPr="0097401D">
        <w:rPr>
          <w:rFonts w:ascii="Times New Roman" w:eastAsia="Times New Roman" w:hAnsi="Times New Roman" w:cs="Times New Roman"/>
        </w:rPr>
        <w:t xml:space="preserve"> 28 x 1 </w:t>
      </w:r>
      <w:r w:rsidRPr="0097401D">
        <w:rPr>
          <w:rFonts w:ascii="Times New Roman" w:eastAsia="Times New Roman" w:hAnsi="Times New Roman" w:cs="Times New Roman"/>
        </w:rPr>
        <w:t>a</w:t>
      </w:r>
      <w:r w:rsidR="00355DF2" w:rsidRPr="0097401D">
        <w:rPr>
          <w:rFonts w:ascii="Times New Roman" w:eastAsia="Times New Roman" w:hAnsi="Times New Roman" w:cs="Times New Roman"/>
        </w:rPr>
        <w:t xml:space="preserve"> 30 x 1 </w:t>
      </w:r>
      <w:r w:rsidRPr="0097401D">
        <w:rPr>
          <w:rFonts w:ascii="Times New Roman" w:eastAsia="Times New Roman" w:hAnsi="Times New Roman" w:cs="Times New Roman"/>
        </w:rPr>
        <w:t>tvrd</w:t>
      </w:r>
      <w:r w:rsidR="002272C8">
        <w:rPr>
          <w:rFonts w:ascii="Times New Roman" w:eastAsia="Times New Roman" w:hAnsi="Times New Roman" w:cs="Times New Roman"/>
        </w:rPr>
        <w:t>á kapsula</w:t>
      </w:r>
      <w:r w:rsidR="00355DF2" w:rsidRPr="0097401D">
        <w:rPr>
          <w:rFonts w:ascii="Times New Roman" w:eastAsia="Times New Roman" w:hAnsi="Times New Roman" w:cs="Times New Roman"/>
        </w:rPr>
        <w:t>.</w:t>
      </w:r>
    </w:p>
    <w:p w14:paraId="454B366C" w14:textId="74AB8BF7" w:rsidR="00355DF2" w:rsidRPr="0097401D" w:rsidRDefault="0097401D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P</w:t>
      </w:r>
      <w:r w:rsidR="002D000B">
        <w:rPr>
          <w:rFonts w:ascii="Times New Roman" w:eastAsia="Times New Roman" w:hAnsi="Times New Roman" w:cs="Times New Roman"/>
        </w:rPr>
        <w:t>a</w:t>
      </w:r>
      <w:r w:rsidRPr="0097401D">
        <w:rPr>
          <w:rFonts w:ascii="Times New Roman" w:eastAsia="Times New Roman" w:hAnsi="Times New Roman" w:cs="Times New Roman"/>
        </w:rPr>
        <w:t>pierová škatuľka s</w:t>
      </w:r>
      <w:r w:rsidR="00355DF2" w:rsidRPr="0097401D">
        <w:rPr>
          <w:rFonts w:ascii="Times New Roman" w:eastAsia="Times New Roman" w:hAnsi="Times New Roman" w:cs="Times New Roman"/>
        </w:rPr>
        <w:t xml:space="preserve"> </w:t>
      </w:r>
      <w:r w:rsidRPr="0097401D">
        <w:rPr>
          <w:rFonts w:ascii="Times New Roman" w:eastAsia="Times New Roman" w:hAnsi="Times New Roman" w:cs="Times New Roman"/>
        </w:rPr>
        <w:t>fľaškou z polyetylénu s vysokou hustotou (HDPE) s polypropylénovým</w:t>
      </w:r>
      <w:r w:rsidR="00355DF2" w:rsidRPr="0097401D">
        <w:rPr>
          <w:rFonts w:ascii="Times New Roman" w:eastAsia="Times New Roman" w:hAnsi="Times New Roman" w:cs="Times New Roman"/>
        </w:rPr>
        <w:t xml:space="preserve"> (PP) </w:t>
      </w:r>
      <w:r w:rsidRPr="004554BB">
        <w:rPr>
          <w:rFonts w:ascii="Times New Roman" w:eastAsia="Times New Roman" w:hAnsi="Times New Roman" w:cs="Times New Roman"/>
        </w:rPr>
        <w:t>detským bezpečnostným uzáverom</w:t>
      </w:r>
      <w:r w:rsidRPr="0097401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401D">
        <w:rPr>
          <w:rFonts w:ascii="Times New Roman" w:eastAsia="Times New Roman" w:hAnsi="Times New Roman" w:cs="Times New Roman"/>
        </w:rPr>
        <w:t>skrutkovacím</w:t>
      </w:r>
      <w:proofErr w:type="spellEnd"/>
      <w:r w:rsidRPr="0097401D">
        <w:rPr>
          <w:rFonts w:ascii="Times New Roman" w:eastAsia="Times New Roman" w:hAnsi="Times New Roman" w:cs="Times New Roman"/>
        </w:rPr>
        <w:t xml:space="preserve"> uzáverom) obsahujúca 30 tvrdých kapsúl</w:t>
      </w:r>
      <w:r w:rsidR="00355DF2" w:rsidRPr="0097401D">
        <w:rPr>
          <w:rFonts w:ascii="Times New Roman" w:eastAsia="Times New Roman" w:hAnsi="Times New Roman" w:cs="Times New Roman"/>
        </w:rPr>
        <w:t xml:space="preserve">. </w:t>
      </w:r>
    </w:p>
    <w:p w14:paraId="7173A288" w14:textId="77777777" w:rsidR="00355DF2" w:rsidRPr="0097401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2F3F6D" w14:textId="77777777" w:rsidR="00355DF2" w:rsidRPr="0097401D" w:rsidRDefault="001664C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Na trh nemusia byť uvedené všetky veľkosti balenia.</w:t>
      </w:r>
    </w:p>
    <w:p w14:paraId="3BA13AE6" w14:textId="77777777" w:rsidR="001664C8" w:rsidRPr="0097401D" w:rsidRDefault="001664C8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35D5E99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6.6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1664C8" w:rsidRPr="0097401D">
        <w:rPr>
          <w:rFonts w:ascii="Times New Roman" w:eastAsia="Times New Roman" w:hAnsi="Times New Roman" w:cs="Times New Roman"/>
          <w:b/>
          <w:szCs w:val="20"/>
        </w:rPr>
        <w:t>Špeciálne opatrenia na likvidáciu</w:t>
      </w:r>
    </w:p>
    <w:p w14:paraId="2002F3A4" w14:textId="77777777" w:rsidR="00355DF2" w:rsidRPr="0097401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C49AF2C" w14:textId="77777777" w:rsidR="001664C8" w:rsidRPr="0097401D" w:rsidRDefault="001664C8" w:rsidP="001664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Všetok nepoužitý liek alebo odpad vzniknutý z lieku sa má zlikvidovať v súlade s národnými</w:t>
      </w:r>
    </w:p>
    <w:p w14:paraId="21D20799" w14:textId="77777777" w:rsidR="00355DF2" w:rsidRPr="0097401D" w:rsidRDefault="001664C8" w:rsidP="001664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požiadavkami.</w:t>
      </w:r>
    </w:p>
    <w:p w14:paraId="117A3F8B" w14:textId="77777777" w:rsidR="001664C8" w:rsidRPr="0097401D" w:rsidRDefault="001664C8" w:rsidP="001664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E46B80" w14:textId="77777777" w:rsidR="00355DF2" w:rsidRPr="0097401D" w:rsidRDefault="00355DF2" w:rsidP="00355D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FCC339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7.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1664C8" w:rsidRPr="0097401D">
        <w:rPr>
          <w:rFonts w:ascii="Times New Roman" w:eastAsia="Times New Roman" w:hAnsi="Times New Roman" w:cs="Times New Roman"/>
          <w:b/>
          <w:szCs w:val="20"/>
        </w:rPr>
        <w:t>DRŽITEĽ ROZHODNUTIA O REGISTRÁCII</w:t>
      </w:r>
    </w:p>
    <w:p w14:paraId="7DDA449C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9870BE2" w14:textId="77777777" w:rsidR="001664C8" w:rsidRPr="0097401D" w:rsidRDefault="001664C8" w:rsidP="001664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401D">
        <w:rPr>
          <w:rFonts w:ascii="Times New Roman" w:eastAsia="Times New Roman" w:hAnsi="Times New Roman" w:cs="Times New Roman"/>
        </w:rPr>
        <w:t>Zentiva</w:t>
      </w:r>
      <w:proofErr w:type="spellEnd"/>
      <w:r w:rsidRPr="0097401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401D">
        <w:rPr>
          <w:rFonts w:ascii="Times New Roman" w:eastAsia="Times New Roman" w:hAnsi="Times New Roman" w:cs="Times New Roman"/>
        </w:rPr>
        <w:t>k.s</w:t>
      </w:r>
      <w:proofErr w:type="spellEnd"/>
      <w:r w:rsidRPr="0097401D">
        <w:rPr>
          <w:rFonts w:ascii="Times New Roman" w:eastAsia="Times New Roman" w:hAnsi="Times New Roman" w:cs="Times New Roman"/>
        </w:rPr>
        <w:t>.</w:t>
      </w:r>
    </w:p>
    <w:p w14:paraId="0CDFB6A5" w14:textId="77777777" w:rsidR="001664C8" w:rsidRPr="0097401D" w:rsidRDefault="001664C8" w:rsidP="001664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 xml:space="preserve">U </w:t>
      </w:r>
      <w:proofErr w:type="spellStart"/>
      <w:r w:rsidRPr="0097401D">
        <w:rPr>
          <w:rFonts w:ascii="Times New Roman" w:eastAsia="Times New Roman" w:hAnsi="Times New Roman" w:cs="Times New Roman"/>
        </w:rPr>
        <w:t>kabelovny</w:t>
      </w:r>
      <w:proofErr w:type="spellEnd"/>
      <w:r w:rsidRPr="0097401D">
        <w:rPr>
          <w:rFonts w:ascii="Times New Roman" w:eastAsia="Times New Roman" w:hAnsi="Times New Roman" w:cs="Times New Roman"/>
        </w:rPr>
        <w:t xml:space="preserve"> 130,</w:t>
      </w:r>
    </w:p>
    <w:p w14:paraId="7D6E8DBD" w14:textId="77777777" w:rsidR="001664C8" w:rsidRPr="0097401D" w:rsidRDefault="001664C8" w:rsidP="001664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 xml:space="preserve">Dolní </w:t>
      </w:r>
      <w:proofErr w:type="spellStart"/>
      <w:r w:rsidRPr="0097401D">
        <w:rPr>
          <w:rFonts w:ascii="Times New Roman" w:eastAsia="Times New Roman" w:hAnsi="Times New Roman" w:cs="Times New Roman"/>
        </w:rPr>
        <w:t>Měcholupy</w:t>
      </w:r>
      <w:proofErr w:type="spellEnd"/>
      <w:r w:rsidRPr="0097401D">
        <w:rPr>
          <w:rFonts w:ascii="Times New Roman" w:eastAsia="Times New Roman" w:hAnsi="Times New Roman" w:cs="Times New Roman"/>
        </w:rPr>
        <w:t xml:space="preserve">, </w:t>
      </w:r>
    </w:p>
    <w:p w14:paraId="15407589" w14:textId="77777777" w:rsidR="001664C8" w:rsidRPr="0097401D" w:rsidRDefault="001664C8" w:rsidP="001664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>102 37 Praha 10,</w:t>
      </w:r>
    </w:p>
    <w:p w14:paraId="64E9D592" w14:textId="77777777" w:rsidR="00355DF2" w:rsidRPr="0097401D" w:rsidRDefault="001664C8" w:rsidP="001664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7401D">
        <w:rPr>
          <w:rFonts w:ascii="Times New Roman" w:eastAsia="Times New Roman" w:hAnsi="Times New Roman" w:cs="Times New Roman"/>
        </w:rPr>
        <w:t xml:space="preserve">Česká </w:t>
      </w:r>
      <w:proofErr w:type="spellStart"/>
      <w:r w:rsidRPr="0097401D">
        <w:rPr>
          <w:rFonts w:ascii="Times New Roman" w:eastAsia="Times New Roman" w:hAnsi="Times New Roman" w:cs="Times New Roman"/>
        </w:rPr>
        <w:t>repubika</w:t>
      </w:r>
      <w:proofErr w:type="spellEnd"/>
    </w:p>
    <w:p w14:paraId="79B322D8" w14:textId="77777777" w:rsidR="001664C8" w:rsidRPr="0097401D" w:rsidRDefault="001664C8" w:rsidP="001664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84CAC61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07E0570" w14:textId="77777777" w:rsidR="00355DF2" w:rsidRPr="0097401D" w:rsidRDefault="00355DF2" w:rsidP="001664C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8.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1664C8" w:rsidRPr="0097401D">
        <w:rPr>
          <w:rFonts w:ascii="Times New Roman" w:eastAsia="Times New Roman" w:hAnsi="Times New Roman" w:cs="Times New Roman"/>
          <w:b/>
          <w:szCs w:val="20"/>
        </w:rPr>
        <w:t>REGISTRAČNÉ ČÍSLA</w:t>
      </w:r>
    </w:p>
    <w:p w14:paraId="5DA391B9" w14:textId="77777777" w:rsidR="001664C8" w:rsidRPr="0097401D" w:rsidRDefault="001664C8" w:rsidP="001664C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Cs w:val="20"/>
        </w:rPr>
      </w:pPr>
    </w:p>
    <w:p w14:paraId="671A3F98" w14:textId="1D1DF818" w:rsidR="00355DF2" w:rsidRDefault="00733926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A9610C">
        <w:rPr>
          <w:rFonts w:ascii="Times New Roman" w:eastAsia="Times New Roman" w:hAnsi="Times New Roman" w:cs="Times New Roman"/>
          <w:szCs w:val="20"/>
        </w:rPr>
        <w:t>Sunitinib</w:t>
      </w:r>
      <w:proofErr w:type="spellEnd"/>
      <w:r w:rsidRPr="00A9610C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A9610C">
        <w:rPr>
          <w:rFonts w:ascii="Times New Roman" w:eastAsia="Times New Roman" w:hAnsi="Times New Roman" w:cs="Times New Roman"/>
          <w:szCs w:val="20"/>
        </w:rPr>
        <w:t>Zentiva</w:t>
      </w:r>
      <w:proofErr w:type="spellEnd"/>
      <w:r w:rsidRPr="00A9610C">
        <w:rPr>
          <w:rFonts w:ascii="Times New Roman" w:eastAsia="Times New Roman" w:hAnsi="Times New Roman" w:cs="Times New Roman"/>
          <w:szCs w:val="20"/>
        </w:rPr>
        <w:t xml:space="preserve"> 12,5 mg</w:t>
      </w:r>
      <w:r>
        <w:rPr>
          <w:rFonts w:ascii="Times New Roman" w:eastAsia="Times New Roman" w:hAnsi="Times New Roman" w:cs="Times New Roman"/>
          <w:szCs w:val="20"/>
        </w:rPr>
        <w:t>: 44/0278/20-S</w:t>
      </w:r>
    </w:p>
    <w:p w14:paraId="36008807" w14:textId="44B71EED" w:rsidR="00733926" w:rsidRDefault="00733926" w:rsidP="007339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A157D5">
        <w:rPr>
          <w:rFonts w:ascii="Times New Roman" w:eastAsia="Times New Roman" w:hAnsi="Times New Roman" w:cs="Times New Roman"/>
          <w:szCs w:val="20"/>
        </w:rPr>
        <w:lastRenderedPageBreak/>
        <w:t>Sunitinib</w:t>
      </w:r>
      <w:proofErr w:type="spellEnd"/>
      <w:r w:rsidRPr="00A157D5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A157D5">
        <w:rPr>
          <w:rFonts w:ascii="Times New Roman" w:eastAsia="Times New Roman" w:hAnsi="Times New Roman" w:cs="Times New Roman"/>
          <w:szCs w:val="20"/>
        </w:rPr>
        <w:t>Zentiva</w:t>
      </w:r>
      <w:proofErr w:type="spellEnd"/>
      <w:r w:rsidRPr="00A157D5">
        <w:rPr>
          <w:rFonts w:ascii="Times New Roman" w:eastAsia="Times New Roman" w:hAnsi="Times New Roman" w:cs="Times New Roman"/>
          <w:szCs w:val="20"/>
        </w:rPr>
        <w:t xml:space="preserve"> 25 mg</w:t>
      </w:r>
      <w:r>
        <w:rPr>
          <w:rFonts w:ascii="Times New Roman" w:eastAsia="Times New Roman" w:hAnsi="Times New Roman" w:cs="Times New Roman"/>
          <w:szCs w:val="20"/>
        </w:rPr>
        <w:t>: 44/0279/20-S</w:t>
      </w:r>
    </w:p>
    <w:p w14:paraId="310170EA" w14:textId="3EC62C82" w:rsidR="00733926" w:rsidRDefault="00733926" w:rsidP="007339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A157D5">
        <w:rPr>
          <w:rFonts w:ascii="Times New Roman" w:eastAsia="Times New Roman" w:hAnsi="Times New Roman" w:cs="Times New Roman"/>
          <w:szCs w:val="20"/>
        </w:rPr>
        <w:t>Sunitinib</w:t>
      </w:r>
      <w:proofErr w:type="spellEnd"/>
      <w:r w:rsidRPr="00A157D5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A157D5">
        <w:rPr>
          <w:rFonts w:ascii="Times New Roman" w:eastAsia="Times New Roman" w:hAnsi="Times New Roman" w:cs="Times New Roman"/>
          <w:szCs w:val="20"/>
        </w:rPr>
        <w:t>Zentiva</w:t>
      </w:r>
      <w:proofErr w:type="spellEnd"/>
      <w:r w:rsidRPr="00A157D5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37</w:t>
      </w:r>
      <w:r w:rsidRPr="00A157D5">
        <w:rPr>
          <w:rFonts w:ascii="Times New Roman" w:eastAsia="Times New Roman" w:hAnsi="Times New Roman" w:cs="Times New Roman"/>
          <w:szCs w:val="20"/>
        </w:rPr>
        <w:t>,5 mg</w:t>
      </w:r>
      <w:r>
        <w:rPr>
          <w:rFonts w:ascii="Times New Roman" w:eastAsia="Times New Roman" w:hAnsi="Times New Roman" w:cs="Times New Roman"/>
          <w:szCs w:val="20"/>
        </w:rPr>
        <w:t>: 44/0280/20-S</w:t>
      </w:r>
    </w:p>
    <w:p w14:paraId="402A4763" w14:textId="6E018A9B" w:rsidR="00733926" w:rsidRDefault="00733926" w:rsidP="007339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A157D5">
        <w:rPr>
          <w:rFonts w:ascii="Times New Roman" w:eastAsia="Times New Roman" w:hAnsi="Times New Roman" w:cs="Times New Roman"/>
          <w:szCs w:val="20"/>
        </w:rPr>
        <w:t>Sunitinib</w:t>
      </w:r>
      <w:proofErr w:type="spellEnd"/>
      <w:r w:rsidRPr="00A157D5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A157D5">
        <w:rPr>
          <w:rFonts w:ascii="Times New Roman" w:eastAsia="Times New Roman" w:hAnsi="Times New Roman" w:cs="Times New Roman"/>
          <w:szCs w:val="20"/>
        </w:rPr>
        <w:t>Zentiva</w:t>
      </w:r>
      <w:proofErr w:type="spellEnd"/>
      <w:r w:rsidRPr="00A157D5">
        <w:rPr>
          <w:rFonts w:ascii="Times New Roman" w:eastAsia="Times New Roman" w:hAnsi="Times New Roman" w:cs="Times New Roman"/>
          <w:szCs w:val="20"/>
        </w:rPr>
        <w:t xml:space="preserve"> 5</w:t>
      </w:r>
      <w:r>
        <w:rPr>
          <w:rFonts w:ascii="Times New Roman" w:eastAsia="Times New Roman" w:hAnsi="Times New Roman" w:cs="Times New Roman"/>
          <w:szCs w:val="20"/>
        </w:rPr>
        <w:t>0</w:t>
      </w:r>
      <w:r w:rsidRPr="00A157D5">
        <w:rPr>
          <w:rFonts w:ascii="Times New Roman" w:eastAsia="Times New Roman" w:hAnsi="Times New Roman" w:cs="Times New Roman"/>
          <w:szCs w:val="20"/>
        </w:rPr>
        <w:t xml:space="preserve"> mg</w:t>
      </w:r>
      <w:r>
        <w:rPr>
          <w:rFonts w:ascii="Times New Roman" w:eastAsia="Times New Roman" w:hAnsi="Times New Roman" w:cs="Times New Roman"/>
          <w:szCs w:val="20"/>
        </w:rPr>
        <w:t>: 44/0281/20-S</w:t>
      </w:r>
    </w:p>
    <w:p w14:paraId="75069ECE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A0736F4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1D3FAB2" w14:textId="77777777" w:rsidR="00355DF2" w:rsidRPr="0097401D" w:rsidRDefault="00355DF2" w:rsidP="001664C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9.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1664C8" w:rsidRPr="0097401D">
        <w:rPr>
          <w:rFonts w:ascii="Times New Roman" w:eastAsia="Times New Roman" w:hAnsi="Times New Roman" w:cs="Times New Roman"/>
          <w:b/>
          <w:szCs w:val="20"/>
        </w:rPr>
        <w:t>DÁTUM PRVEJ REGISTRÁCIE/ PREDĹŽENIA REGISTRÁCIE</w:t>
      </w:r>
    </w:p>
    <w:p w14:paraId="5C454026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7BAE890" w14:textId="77777777" w:rsidR="001664C8" w:rsidRPr="0097401D" w:rsidRDefault="001664C8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97401D">
        <w:rPr>
          <w:rFonts w:ascii="Times New Roman" w:eastAsia="Times New Roman" w:hAnsi="Times New Roman" w:cs="Times New Roman"/>
          <w:szCs w:val="20"/>
        </w:rPr>
        <w:t>Dátum prvej registrácie:</w:t>
      </w:r>
    </w:p>
    <w:p w14:paraId="0878D8B2" w14:textId="77777777" w:rsidR="001664C8" w:rsidRPr="0097401D" w:rsidRDefault="001664C8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F1DEC39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9FC0C17" w14:textId="77777777" w:rsidR="00355DF2" w:rsidRPr="0097401D" w:rsidRDefault="00355DF2" w:rsidP="00355DF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97401D">
        <w:rPr>
          <w:rFonts w:ascii="Times New Roman" w:eastAsia="Times New Roman" w:hAnsi="Times New Roman" w:cs="Times New Roman"/>
          <w:b/>
          <w:szCs w:val="20"/>
        </w:rPr>
        <w:t>10.</w:t>
      </w:r>
      <w:r w:rsidRPr="0097401D">
        <w:rPr>
          <w:rFonts w:ascii="Times New Roman" w:eastAsia="Times New Roman" w:hAnsi="Times New Roman" w:cs="Times New Roman"/>
          <w:b/>
          <w:szCs w:val="20"/>
        </w:rPr>
        <w:tab/>
      </w:r>
      <w:r w:rsidR="001664C8" w:rsidRPr="0097401D">
        <w:rPr>
          <w:rFonts w:ascii="Times New Roman" w:eastAsia="Times New Roman" w:hAnsi="Times New Roman" w:cs="Times New Roman"/>
          <w:b/>
          <w:szCs w:val="20"/>
        </w:rPr>
        <w:t>DÁTUM REVÍZIE TEXTU</w:t>
      </w:r>
    </w:p>
    <w:p w14:paraId="3568AFD7" w14:textId="77777777" w:rsidR="00355DF2" w:rsidRPr="0097401D" w:rsidRDefault="00355DF2" w:rsidP="00355D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C2E8AA6" w14:textId="5586A24F" w:rsidR="00355DF2" w:rsidRPr="00A9610C" w:rsidRDefault="002D000B" w:rsidP="00355DF2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GB"/>
        </w:rPr>
      </w:pPr>
      <w:r w:rsidRPr="00A9610C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en-GB"/>
        </w:rPr>
        <w:t>12/2020</w:t>
      </w:r>
    </w:p>
    <w:p w14:paraId="7089B6FA" w14:textId="77777777" w:rsidR="00FB2ECA" w:rsidRDefault="00FB2ECA"/>
    <w:sectPr w:rsidR="00FB2ECA" w:rsidSect="006D768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CFAC3" w14:textId="77777777" w:rsidR="00733926" w:rsidRDefault="00733926">
      <w:pPr>
        <w:spacing w:after="0" w:line="240" w:lineRule="auto"/>
      </w:pPr>
      <w:r>
        <w:separator/>
      </w:r>
    </w:p>
  </w:endnote>
  <w:endnote w:type="continuationSeparator" w:id="0">
    <w:p w14:paraId="61D3B8F0" w14:textId="77777777" w:rsidR="00733926" w:rsidRDefault="0073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MS Mincho"/>
    <w:charset w:val="8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E2363" w14:textId="77777777" w:rsidR="00733926" w:rsidRPr="000C1913" w:rsidRDefault="00733926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21</w:t>
    </w:r>
    <w:r w:rsidRPr="000C1913">
      <w:rPr>
        <w:rStyle w:val="slostrany"/>
        <w:rFonts w:ascii="Arial" w:hAnsi="Arial" w:cs="Arial"/>
      </w:rPr>
      <w:fldChar w:fldCharType="end"/>
    </w:r>
  </w:p>
  <w:p w14:paraId="4D1079AF" w14:textId="77777777" w:rsidR="00733926" w:rsidRDefault="007339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84624" w14:textId="77777777" w:rsidR="00733926" w:rsidRPr="000C1913" w:rsidRDefault="00733926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3F679949" w14:textId="77777777" w:rsidR="00733926" w:rsidRDefault="007339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4CB92" w14:textId="77777777" w:rsidR="00733926" w:rsidRDefault="00733926">
      <w:pPr>
        <w:spacing w:after="0" w:line="240" w:lineRule="auto"/>
      </w:pPr>
      <w:r>
        <w:separator/>
      </w:r>
    </w:p>
  </w:footnote>
  <w:footnote w:type="continuationSeparator" w:id="0">
    <w:p w14:paraId="7F8B57F5" w14:textId="77777777" w:rsidR="00733926" w:rsidRDefault="0073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10515" w14:textId="77777777" w:rsidR="00733926" w:rsidRPr="0007759C" w:rsidRDefault="00733926" w:rsidP="006D7688">
    <w:pPr>
      <w:pStyle w:val="Hlavika"/>
      <w:rPr>
        <w:rFonts w:ascii="Times New Roman" w:hAnsi="Times New Roman"/>
        <w:sz w:val="18"/>
        <w:szCs w:val="18"/>
      </w:rPr>
    </w:pPr>
    <w:proofErr w:type="spellStart"/>
    <w:r w:rsidRPr="0007759C">
      <w:rPr>
        <w:rFonts w:ascii="Times New Roman" w:hAnsi="Times New Roman"/>
        <w:sz w:val="18"/>
        <w:szCs w:val="18"/>
      </w:rPr>
      <w:t>Schválený</w:t>
    </w:r>
    <w:proofErr w:type="spellEnd"/>
    <w:r w:rsidRPr="0007759C">
      <w:rPr>
        <w:rFonts w:ascii="Times New Roman" w:hAnsi="Times New Roman"/>
        <w:sz w:val="18"/>
        <w:szCs w:val="18"/>
      </w:rPr>
      <w:t xml:space="preserve"> text k </w:t>
    </w:r>
    <w:proofErr w:type="spellStart"/>
    <w:r w:rsidRPr="0007759C">
      <w:rPr>
        <w:rFonts w:ascii="Times New Roman" w:hAnsi="Times New Roman"/>
        <w:sz w:val="18"/>
        <w:szCs w:val="18"/>
      </w:rPr>
      <w:t>rozhodnutiu</w:t>
    </w:r>
    <w:proofErr w:type="spellEnd"/>
    <w:r w:rsidRPr="0007759C">
      <w:rPr>
        <w:rFonts w:ascii="Times New Roman" w:hAnsi="Times New Roman"/>
        <w:sz w:val="18"/>
        <w:szCs w:val="18"/>
      </w:rPr>
      <w:t xml:space="preserve"> o </w:t>
    </w:r>
    <w:proofErr w:type="spellStart"/>
    <w:r w:rsidRPr="0007759C">
      <w:rPr>
        <w:rFonts w:ascii="Times New Roman" w:hAnsi="Times New Roman"/>
        <w:sz w:val="18"/>
        <w:szCs w:val="18"/>
      </w:rPr>
      <w:t>registrácii</w:t>
    </w:r>
    <w:proofErr w:type="spellEnd"/>
    <w:r w:rsidRPr="0007759C">
      <w:rPr>
        <w:rFonts w:ascii="Times New Roman" w:hAnsi="Times New Roman"/>
        <w:sz w:val="18"/>
        <w:szCs w:val="18"/>
      </w:rPr>
      <w:t xml:space="preserve">, </w:t>
    </w:r>
    <w:proofErr w:type="spellStart"/>
    <w:r w:rsidRPr="0007759C">
      <w:rPr>
        <w:rFonts w:ascii="Times New Roman" w:hAnsi="Times New Roman"/>
        <w:sz w:val="18"/>
        <w:szCs w:val="18"/>
      </w:rPr>
      <w:t>ev</w:t>
    </w:r>
    <w:proofErr w:type="spellEnd"/>
    <w:r w:rsidRPr="0007759C">
      <w:rPr>
        <w:rFonts w:ascii="Times New Roman" w:hAnsi="Times New Roman"/>
        <w:sz w:val="18"/>
        <w:szCs w:val="18"/>
      </w:rPr>
      <w:t>. č.:</w:t>
    </w:r>
    <w:r>
      <w:rPr>
        <w:rFonts w:ascii="Times New Roman" w:hAnsi="Times New Roman"/>
        <w:sz w:val="18"/>
        <w:szCs w:val="18"/>
      </w:rPr>
      <w:t xml:space="preserve"> </w:t>
    </w:r>
    <w:r w:rsidRPr="0007759C">
      <w:rPr>
        <w:rFonts w:ascii="Times New Roman" w:hAnsi="Times New Roman"/>
        <w:sz w:val="18"/>
        <w:szCs w:val="18"/>
      </w:rPr>
      <w:t>2019/06443-REG</w:t>
    </w:r>
    <w:r>
      <w:rPr>
        <w:rFonts w:ascii="Times New Roman" w:hAnsi="Times New Roman"/>
        <w:sz w:val="18"/>
        <w:szCs w:val="18"/>
      </w:rPr>
      <w:t>, 2019/06444</w:t>
    </w:r>
    <w:r w:rsidRPr="0007759C">
      <w:rPr>
        <w:rFonts w:ascii="Times New Roman" w:hAnsi="Times New Roman"/>
        <w:sz w:val="18"/>
        <w:szCs w:val="18"/>
      </w:rPr>
      <w:t>-REG</w:t>
    </w:r>
    <w:r>
      <w:rPr>
        <w:rFonts w:ascii="Times New Roman" w:hAnsi="Times New Roman"/>
        <w:sz w:val="18"/>
        <w:szCs w:val="18"/>
      </w:rPr>
      <w:t>, 2019/06445</w:t>
    </w:r>
    <w:r w:rsidRPr="0007759C">
      <w:rPr>
        <w:rFonts w:ascii="Times New Roman" w:hAnsi="Times New Roman"/>
        <w:sz w:val="18"/>
        <w:szCs w:val="18"/>
      </w:rPr>
      <w:t>-REG</w:t>
    </w:r>
    <w:r>
      <w:rPr>
        <w:rFonts w:ascii="Times New Roman" w:hAnsi="Times New Roman"/>
        <w:sz w:val="18"/>
        <w:szCs w:val="18"/>
      </w:rPr>
      <w:t>, 2019/06446</w:t>
    </w:r>
    <w:r w:rsidRPr="00BF6C32">
      <w:rPr>
        <w:rFonts w:ascii="Times New Roman" w:hAnsi="Times New Roman"/>
        <w:sz w:val="18"/>
        <w:szCs w:val="18"/>
      </w:rPr>
      <w:t>-REG</w:t>
    </w:r>
  </w:p>
  <w:p w14:paraId="27ACCEE5" w14:textId="77777777" w:rsidR="00733926" w:rsidRDefault="007339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D9710" w14:textId="77777777" w:rsidR="00733926" w:rsidRPr="0007759C" w:rsidRDefault="00733926">
    <w:pPr>
      <w:pStyle w:val="Hlavika"/>
      <w:rPr>
        <w:rFonts w:ascii="Times New Roman" w:hAnsi="Times New Roman"/>
        <w:sz w:val="18"/>
        <w:szCs w:val="18"/>
      </w:rPr>
    </w:pPr>
    <w:proofErr w:type="spellStart"/>
    <w:r w:rsidRPr="0007759C">
      <w:rPr>
        <w:rFonts w:ascii="Times New Roman" w:hAnsi="Times New Roman"/>
        <w:sz w:val="18"/>
        <w:szCs w:val="18"/>
      </w:rPr>
      <w:t>Schválený</w:t>
    </w:r>
    <w:proofErr w:type="spellEnd"/>
    <w:r w:rsidRPr="0007759C">
      <w:rPr>
        <w:rFonts w:ascii="Times New Roman" w:hAnsi="Times New Roman"/>
        <w:sz w:val="18"/>
        <w:szCs w:val="18"/>
      </w:rPr>
      <w:t xml:space="preserve"> text k </w:t>
    </w:r>
    <w:proofErr w:type="spellStart"/>
    <w:r w:rsidRPr="0007759C">
      <w:rPr>
        <w:rFonts w:ascii="Times New Roman" w:hAnsi="Times New Roman"/>
        <w:sz w:val="18"/>
        <w:szCs w:val="18"/>
      </w:rPr>
      <w:t>rozhodnutiu</w:t>
    </w:r>
    <w:proofErr w:type="spellEnd"/>
    <w:r w:rsidRPr="0007759C">
      <w:rPr>
        <w:rFonts w:ascii="Times New Roman" w:hAnsi="Times New Roman"/>
        <w:sz w:val="18"/>
        <w:szCs w:val="18"/>
      </w:rPr>
      <w:t xml:space="preserve"> o </w:t>
    </w:r>
    <w:proofErr w:type="spellStart"/>
    <w:r w:rsidRPr="0007759C">
      <w:rPr>
        <w:rFonts w:ascii="Times New Roman" w:hAnsi="Times New Roman"/>
        <w:sz w:val="18"/>
        <w:szCs w:val="18"/>
      </w:rPr>
      <w:t>registrácii</w:t>
    </w:r>
    <w:proofErr w:type="spellEnd"/>
    <w:r w:rsidRPr="0007759C">
      <w:rPr>
        <w:rFonts w:ascii="Times New Roman" w:hAnsi="Times New Roman"/>
        <w:sz w:val="18"/>
        <w:szCs w:val="18"/>
      </w:rPr>
      <w:t xml:space="preserve">, </w:t>
    </w:r>
    <w:proofErr w:type="spellStart"/>
    <w:r w:rsidRPr="0007759C">
      <w:rPr>
        <w:rFonts w:ascii="Times New Roman" w:hAnsi="Times New Roman"/>
        <w:sz w:val="18"/>
        <w:szCs w:val="18"/>
      </w:rPr>
      <w:t>ev</w:t>
    </w:r>
    <w:proofErr w:type="spellEnd"/>
    <w:r w:rsidRPr="0007759C">
      <w:rPr>
        <w:rFonts w:ascii="Times New Roman" w:hAnsi="Times New Roman"/>
        <w:sz w:val="18"/>
        <w:szCs w:val="18"/>
      </w:rPr>
      <w:t>. č.:</w:t>
    </w:r>
    <w:r>
      <w:rPr>
        <w:rFonts w:ascii="Times New Roman" w:hAnsi="Times New Roman"/>
        <w:sz w:val="18"/>
        <w:szCs w:val="18"/>
      </w:rPr>
      <w:t xml:space="preserve"> </w:t>
    </w:r>
    <w:r w:rsidRPr="0007759C">
      <w:rPr>
        <w:rFonts w:ascii="Times New Roman" w:hAnsi="Times New Roman"/>
        <w:sz w:val="18"/>
        <w:szCs w:val="18"/>
      </w:rPr>
      <w:t>2019/06443-REG</w:t>
    </w:r>
    <w:r>
      <w:rPr>
        <w:rFonts w:ascii="Times New Roman" w:hAnsi="Times New Roman"/>
        <w:sz w:val="18"/>
        <w:szCs w:val="18"/>
      </w:rPr>
      <w:t>, 2019/06444</w:t>
    </w:r>
    <w:r w:rsidRPr="0007759C">
      <w:rPr>
        <w:rFonts w:ascii="Times New Roman" w:hAnsi="Times New Roman"/>
        <w:sz w:val="18"/>
        <w:szCs w:val="18"/>
      </w:rPr>
      <w:t>-REG</w:t>
    </w:r>
    <w:r>
      <w:rPr>
        <w:rFonts w:ascii="Times New Roman" w:hAnsi="Times New Roman"/>
        <w:sz w:val="18"/>
        <w:szCs w:val="18"/>
      </w:rPr>
      <w:t>, 2019/06445</w:t>
    </w:r>
    <w:r w:rsidRPr="0007759C">
      <w:rPr>
        <w:rFonts w:ascii="Times New Roman" w:hAnsi="Times New Roman"/>
        <w:sz w:val="18"/>
        <w:szCs w:val="18"/>
      </w:rPr>
      <w:t>-REG</w:t>
    </w:r>
    <w:r>
      <w:rPr>
        <w:rFonts w:ascii="Times New Roman" w:hAnsi="Times New Roman"/>
        <w:sz w:val="18"/>
        <w:szCs w:val="18"/>
      </w:rPr>
      <w:t>, 2019/06446</w:t>
    </w:r>
    <w:r w:rsidRPr="00BF6C32">
      <w:rPr>
        <w:rFonts w:ascii="Times New Roman" w:hAnsi="Times New Roman"/>
        <w:sz w:val="18"/>
        <w:szCs w:val="18"/>
      </w:rPr>
      <w:t>-REG</w:t>
    </w:r>
  </w:p>
  <w:p w14:paraId="4AB920B8" w14:textId="77777777" w:rsidR="00733926" w:rsidRDefault="007339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B043B41"/>
    <w:multiLevelType w:val="hybridMultilevel"/>
    <w:tmpl w:val="BDD67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85821"/>
    <w:multiLevelType w:val="hybridMultilevel"/>
    <w:tmpl w:val="925ECAB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69485B"/>
    <w:multiLevelType w:val="hybridMultilevel"/>
    <w:tmpl w:val="0C7410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5F630C5"/>
    <w:multiLevelType w:val="hybridMultilevel"/>
    <w:tmpl w:val="64C8C166"/>
    <w:lvl w:ilvl="0" w:tplc="ECAAC99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E342F"/>
    <w:multiLevelType w:val="hybridMultilevel"/>
    <w:tmpl w:val="699C1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463605"/>
    <w:multiLevelType w:val="hybridMultilevel"/>
    <w:tmpl w:val="77C08FD2"/>
    <w:lvl w:ilvl="0" w:tplc="2BDAC3C2">
      <w:numFmt w:val="bullet"/>
      <w:lvlText w:val="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63AE6887"/>
    <w:multiLevelType w:val="hybridMultilevel"/>
    <w:tmpl w:val="8E748DF8"/>
    <w:lvl w:ilvl="0" w:tplc="2BDAC3C2">
      <w:numFmt w:val="bullet"/>
      <w:lvlText w:val="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B60B7"/>
    <w:multiLevelType w:val="hybridMultilevel"/>
    <w:tmpl w:val="34B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708636A"/>
    <w:multiLevelType w:val="hybridMultilevel"/>
    <w:tmpl w:val="478E7A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1"/>
  </w:num>
  <w:num w:numId="4">
    <w:abstractNumId w:val="40"/>
  </w:num>
  <w:num w:numId="5">
    <w:abstractNumId w:val="13"/>
  </w:num>
  <w:num w:numId="6">
    <w:abstractNumId w:val="25"/>
  </w:num>
  <w:num w:numId="7">
    <w:abstractNumId w:val="24"/>
  </w:num>
  <w:num w:numId="8">
    <w:abstractNumId w:val="9"/>
  </w:num>
  <w:num w:numId="9">
    <w:abstractNumId w:val="38"/>
  </w:num>
  <w:num w:numId="10">
    <w:abstractNumId w:val="39"/>
  </w:num>
  <w:num w:numId="11">
    <w:abstractNumId w:val="18"/>
  </w:num>
  <w:num w:numId="12">
    <w:abstractNumId w:val="15"/>
  </w:num>
  <w:num w:numId="13">
    <w:abstractNumId w:val="2"/>
  </w:num>
  <w:num w:numId="14">
    <w:abstractNumId w:val="36"/>
  </w:num>
  <w:num w:numId="15">
    <w:abstractNumId w:val="21"/>
  </w:num>
  <w:num w:numId="16">
    <w:abstractNumId w:val="42"/>
  </w:num>
  <w:num w:numId="17">
    <w:abstractNumId w:val="10"/>
  </w:num>
  <w:num w:numId="18">
    <w:abstractNumId w:val="1"/>
  </w:num>
  <w:num w:numId="19">
    <w:abstractNumId w:val="19"/>
  </w:num>
  <w:num w:numId="20">
    <w:abstractNumId w:val="3"/>
  </w:num>
  <w:num w:numId="21">
    <w:abstractNumId w:val="7"/>
  </w:num>
  <w:num w:numId="22">
    <w:abstractNumId w:val="28"/>
  </w:num>
  <w:num w:numId="23">
    <w:abstractNumId w:val="35"/>
  </w:num>
  <w:num w:numId="24">
    <w:abstractNumId w:val="27"/>
  </w:num>
  <w:num w:numId="25">
    <w:abstractNumId w:val="14"/>
  </w:num>
  <w:num w:numId="26">
    <w:abstractNumId w:val="12"/>
  </w:num>
  <w:num w:numId="27">
    <w:abstractNumId w:val="23"/>
  </w:num>
  <w:num w:numId="28">
    <w:abstractNumId w:val="26"/>
  </w:num>
  <w:num w:numId="29">
    <w:abstractNumId w:val="16"/>
  </w:num>
  <w:num w:numId="30">
    <w:abstractNumId w:val="11"/>
  </w:num>
  <w:num w:numId="31">
    <w:abstractNumId w:val="30"/>
  </w:num>
  <w:num w:numId="32">
    <w:abstractNumId w:val="32"/>
  </w:num>
  <w:num w:numId="33">
    <w:abstractNumId w:val="29"/>
  </w:num>
  <w:num w:numId="34">
    <w:abstractNumId w:val="17"/>
  </w:num>
  <w:num w:numId="35">
    <w:abstractNumId w:val="4"/>
  </w:num>
  <w:num w:numId="36">
    <w:abstractNumId w:val="43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37"/>
  </w:num>
  <w:num w:numId="39">
    <w:abstractNumId w:val="6"/>
  </w:num>
  <w:num w:numId="40">
    <w:abstractNumId w:val="8"/>
  </w:num>
  <w:num w:numId="41">
    <w:abstractNumId w:val="31"/>
  </w:num>
  <w:num w:numId="42">
    <w:abstractNumId w:val="33"/>
  </w:num>
  <w:num w:numId="43">
    <w:abstractNumId w:val="5"/>
  </w:num>
  <w:num w:numId="44">
    <w:abstractNumId w:val="22"/>
  </w:num>
  <w:num w:numId="45">
    <w:abstractNumId w:val="2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2"/>
    <w:rsid w:val="00011874"/>
    <w:rsid w:val="00030CE1"/>
    <w:rsid w:val="00036B74"/>
    <w:rsid w:val="000506C3"/>
    <w:rsid w:val="00062880"/>
    <w:rsid w:val="00066894"/>
    <w:rsid w:val="000734B3"/>
    <w:rsid w:val="0007759C"/>
    <w:rsid w:val="00077C5B"/>
    <w:rsid w:val="00106508"/>
    <w:rsid w:val="0012104F"/>
    <w:rsid w:val="001664C8"/>
    <w:rsid w:val="00180B09"/>
    <w:rsid w:val="001967D9"/>
    <w:rsid w:val="001B198C"/>
    <w:rsid w:val="002000F0"/>
    <w:rsid w:val="00216603"/>
    <w:rsid w:val="002272C8"/>
    <w:rsid w:val="00263DFA"/>
    <w:rsid w:val="002704D8"/>
    <w:rsid w:val="002D000B"/>
    <w:rsid w:val="002E55E2"/>
    <w:rsid w:val="00317FAA"/>
    <w:rsid w:val="0032032F"/>
    <w:rsid w:val="0032485D"/>
    <w:rsid w:val="00355DF2"/>
    <w:rsid w:val="003772A2"/>
    <w:rsid w:val="00406207"/>
    <w:rsid w:val="004554BB"/>
    <w:rsid w:val="00457787"/>
    <w:rsid w:val="00495D78"/>
    <w:rsid w:val="004A3A31"/>
    <w:rsid w:val="004B766D"/>
    <w:rsid w:val="005102F0"/>
    <w:rsid w:val="00544B58"/>
    <w:rsid w:val="00544C9A"/>
    <w:rsid w:val="00553D37"/>
    <w:rsid w:val="00575983"/>
    <w:rsid w:val="00576BD1"/>
    <w:rsid w:val="005C0EEE"/>
    <w:rsid w:val="005C4A07"/>
    <w:rsid w:val="005F220C"/>
    <w:rsid w:val="0060664A"/>
    <w:rsid w:val="006918C4"/>
    <w:rsid w:val="006D7688"/>
    <w:rsid w:val="006E619B"/>
    <w:rsid w:val="006F6513"/>
    <w:rsid w:val="007166E2"/>
    <w:rsid w:val="00724C19"/>
    <w:rsid w:val="00733926"/>
    <w:rsid w:val="00745542"/>
    <w:rsid w:val="00745E9D"/>
    <w:rsid w:val="00750ED9"/>
    <w:rsid w:val="00767AD9"/>
    <w:rsid w:val="00782CD0"/>
    <w:rsid w:val="007A1438"/>
    <w:rsid w:val="007A15D1"/>
    <w:rsid w:val="007E6745"/>
    <w:rsid w:val="007F450E"/>
    <w:rsid w:val="00822971"/>
    <w:rsid w:val="00835C3F"/>
    <w:rsid w:val="00885276"/>
    <w:rsid w:val="008B65C6"/>
    <w:rsid w:val="008F7923"/>
    <w:rsid w:val="00902D40"/>
    <w:rsid w:val="00924957"/>
    <w:rsid w:val="009333BC"/>
    <w:rsid w:val="0096576D"/>
    <w:rsid w:val="0097401D"/>
    <w:rsid w:val="009C657C"/>
    <w:rsid w:val="009D59E3"/>
    <w:rsid w:val="00A05EE6"/>
    <w:rsid w:val="00A44422"/>
    <w:rsid w:val="00A73707"/>
    <w:rsid w:val="00A9082E"/>
    <w:rsid w:val="00A9610C"/>
    <w:rsid w:val="00AF08BF"/>
    <w:rsid w:val="00B11EED"/>
    <w:rsid w:val="00B47FEB"/>
    <w:rsid w:val="00B7721E"/>
    <w:rsid w:val="00BA452F"/>
    <w:rsid w:val="00BB5DDF"/>
    <w:rsid w:val="00BF2DAE"/>
    <w:rsid w:val="00BF6C32"/>
    <w:rsid w:val="00C125B2"/>
    <w:rsid w:val="00C3209E"/>
    <w:rsid w:val="00C364C6"/>
    <w:rsid w:val="00C56784"/>
    <w:rsid w:val="00C57FE7"/>
    <w:rsid w:val="00C725CF"/>
    <w:rsid w:val="00C75263"/>
    <w:rsid w:val="00C80AFA"/>
    <w:rsid w:val="00CA3FB1"/>
    <w:rsid w:val="00CB78CE"/>
    <w:rsid w:val="00D33868"/>
    <w:rsid w:val="00D96B79"/>
    <w:rsid w:val="00D97F6D"/>
    <w:rsid w:val="00E229BE"/>
    <w:rsid w:val="00E47C7B"/>
    <w:rsid w:val="00EF6425"/>
    <w:rsid w:val="00FA71C1"/>
    <w:rsid w:val="00FB2ECA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CCE9CE0"/>
  <w15:chartTrackingRefBased/>
  <w15:docId w15:val="{6B8E0CCA-B5A1-4176-9FEC-CB05286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72A2"/>
  </w:style>
  <w:style w:type="paragraph" w:styleId="Nadpis1">
    <w:name w:val="heading 1"/>
    <w:basedOn w:val="Normlny"/>
    <w:next w:val="Normlny"/>
    <w:link w:val="Nadpis1Char"/>
    <w:qFormat/>
    <w:rsid w:val="00355DF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paragraph" w:styleId="Nadpis2">
    <w:name w:val="heading 2"/>
    <w:basedOn w:val="Normlny"/>
    <w:next w:val="Normlny"/>
    <w:link w:val="Nadpis2Char"/>
    <w:qFormat/>
    <w:rsid w:val="00355DF2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4"/>
      <w:szCs w:val="20"/>
      <w:lang w:val="en-GB"/>
    </w:rPr>
  </w:style>
  <w:style w:type="paragraph" w:styleId="Nadpis3">
    <w:name w:val="heading 3"/>
    <w:basedOn w:val="Normlny"/>
    <w:next w:val="Normlny"/>
    <w:link w:val="Nadpis3Char"/>
    <w:qFormat/>
    <w:rsid w:val="00355DF2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qFormat/>
    <w:rsid w:val="00355D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Cs w:val="20"/>
      <w:lang w:val="en-GB"/>
    </w:rPr>
  </w:style>
  <w:style w:type="paragraph" w:styleId="Nadpis5">
    <w:name w:val="heading 5"/>
    <w:basedOn w:val="Normlny"/>
    <w:next w:val="Normlny"/>
    <w:link w:val="Nadpis5Char"/>
    <w:qFormat/>
    <w:rsid w:val="00355D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styleId="Nadpis6">
    <w:name w:val="heading 6"/>
    <w:basedOn w:val="Normlny"/>
    <w:next w:val="Normlny"/>
    <w:link w:val="Nadpis6Char"/>
    <w:qFormat/>
    <w:rsid w:val="00355D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Nadpis7">
    <w:name w:val="heading 7"/>
    <w:basedOn w:val="Normlny"/>
    <w:next w:val="Normlny"/>
    <w:link w:val="Nadpis7Char"/>
    <w:qFormat/>
    <w:rsid w:val="00355D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Nadpis8">
    <w:name w:val="heading 8"/>
    <w:basedOn w:val="Normlny"/>
    <w:next w:val="Normlny"/>
    <w:link w:val="Nadpis8Char"/>
    <w:qFormat/>
    <w:rsid w:val="00355DF2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Nadpis9">
    <w:name w:val="heading 9"/>
    <w:basedOn w:val="Normlny"/>
    <w:next w:val="Normlny"/>
    <w:link w:val="Nadpis9Char"/>
    <w:qFormat/>
    <w:rsid w:val="00355DF2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55DF2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355DF2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355DF2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355DF2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355DF2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355DF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355DF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355DF2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355DF2"/>
    <w:rPr>
      <w:rFonts w:ascii="Times New Roman" w:eastAsia="Times New Roman" w:hAnsi="Times New Roman" w:cs="Times New Roman"/>
      <w:b/>
      <w:i/>
      <w:szCs w:val="20"/>
      <w:lang w:val="en-GB"/>
    </w:rPr>
  </w:style>
  <w:style w:type="numbering" w:customStyle="1" w:styleId="Bezzoznamu1">
    <w:name w:val="Bez zoznamu1"/>
    <w:next w:val="Bezzoznamu"/>
    <w:semiHidden/>
    <w:rsid w:val="00355DF2"/>
  </w:style>
  <w:style w:type="paragraph" w:styleId="Hlavika">
    <w:name w:val="header"/>
    <w:basedOn w:val="Normlny"/>
    <w:link w:val="HlavikaChar"/>
    <w:uiPriority w:val="99"/>
    <w:rsid w:val="00355DF2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355DF2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rsid w:val="00355D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sz w:val="16"/>
      <w:szCs w:val="20"/>
      <w:lang w:val="en-GB"/>
    </w:rPr>
  </w:style>
  <w:style w:type="character" w:customStyle="1" w:styleId="PtaChar">
    <w:name w:val="Päta Char"/>
    <w:basedOn w:val="Predvolenpsmoodseku"/>
    <w:link w:val="Pta"/>
    <w:rsid w:val="00355DF2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355DF2"/>
  </w:style>
  <w:style w:type="paragraph" w:styleId="Zarkazkladnhotextu">
    <w:name w:val="Body Text Indent"/>
    <w:basedOn w:val="Normlny"/>
    <w:link w:val="ZarkazkladnhotextuChar"/>
    <w:rsid w:val="00355DF2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355DF2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355DF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lang w:val="en-GB" w:eastAsia="en-GB"/>
    </w:rPr>
  </w:style>
  <w:style w:type="character" w:customStyle="1" w:styleId="Zkladntext3Char">
    <w:name w:val="Základný text 3 Char"/>
    <w:basedOn w:val="Predvolenpsmoodseku"/>
    <w:link w:val="Zkladntext3"/>
    <w:rsid w:val="00355DF2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355DF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Times New Roman" w:hAnsi="Times New Roman" w:cs="Times New Roman"/>
      <w:b/>
      <w:bCs/>
      <w:color w:val="0000FF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55DF2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355DF2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customStyle="1" w:styleId="ZkladntextChar">
    <w:name w:val="Základný text Char"/>
    <w:basedOn w:val="Predvolenpsmoodseku"/>
    <w:link w:val="Zkladntext"/>
    <w:rsid w:val="00355DF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355DF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355DF2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semiHidden/>
    <w:rsid w:val="00355DF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5DF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355D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355D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styleId="truktradokumentu">
    <w:name w:val="Document Map"/>
    <w:basedOn w:val="Normlny"/>
    <w:link w:val="truktradokumentuChar"/>
    <w:semiHidden/>
    <w:rsid w:val="00355DF2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Times New Roman" w:hAnsi="Tahoma" w:cs="Tahoma"/>
      <w:szCs w:val="20"/>
      <w:lang w:val="en-GB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55DF2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355DF2"/>
    <w:rPr>
      <w:color w:val="0000FF"/>
      <w:u w:val="single"/>
    </w:rPr>
  </w:style>
  <w:style w:type="paragraph" w:customStyle="1" w:styleId="AHeader1">
    <w:name w:val="AHeader 1"/>
    <w:basedOn w:val="Normlny"/>
    <w:rsid w:val="00355DF2"/>
    <w:pPr>
      <w:numPr>
        <w:numId w:val="30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355DF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355DF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355DF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355DF2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355DF2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Times New Roman" w:hAnsi="Times New Roman" w:cs="Times New Roman"/>
      <w:szCs w:val="21"/>
      <w:lang w:val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55DF2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355DF2"/>
    <w:rPr>
      <w:color w:val="800080"/>
      <w:u w:val="single"/>
    </w:rPr>
  </w:style>
  <w:style w:type="paragraph" w:customStyle="1" w:styleId="Default">
    <w:name w:val="Default"/>
    <w:rsid w:val="00355D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355DF2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semiHidden/>
    <w:rsid w:val="00355DF2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355D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55DF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odytextAgency">
    <w:name w:val="Body text (Agency)"/>
    <w:basedOn w:val="Normlny"/>
    <w:link w:val="BodytextAgencyChar"/>
    <w:rsid w:val="00355DF2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55DF2"/>
    <w:rPr>
      <w:rFonts w:ascii="Verdana" w:eastAsia="Verdana" w:hAnsi="Verdana" w:cs="Verdana"/>
      <w:sz w:val="18"/>
      <w:szCs w:val="18"/>
      <w:lang w:val="en-GB" w:eastAsia="en-GB"/>
    </w:rPr>
  </w:style>
  <w:style w:type="table" w:styleId="Mriekatabuky">
    <w:name w:val="Table Grid"/>
    <w:basedOn w:val="Normlnatabuka"/>
    <w:rsid w:val="00355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355DF2"/>
  </w:style>
  <w:style w:type="paragraph" w:styleId="Odsekzoznamu">
    <w:name w:val="List Paragraph"/>
    <w:basedOn w:val="Normlny"/>
    <w:uiPriority w:val="34"/>
    <w:qFormat/>
    <w:rsid w:val="00355DF2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13484</Words>
  <Characters>76863</Characters>
  <Application>Microsoft Office Word</Application>
  <DocSecurity>0</DocSecurity>
  <Lines>640</Lines>
  <Paragraphs>180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90167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Bobkova, Miroslava /SK/EXT</dc:creator>
  <cp:keywords/>
  <dc:description/>
  <cp:lastModifiedBy>Martina Hudecova</cp:lastModifiedBy>
  <cp:revision>3</cp:revision>
  <dcterms:created xsi:type="dcterms:W3CDTF">2020-12-08T08:23:00Z</dcterms:created>
  <dcterms:modified xsi:type="dcterms:W3CDTF">2020-12-08T09:16:00Z</dcterms:modified>
</cp:coreProperties>
</file>