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897C0" w14:textId="77777777" w:rsidR="00775E4E" w:rsidRDefault="00775E4E" w:rsidP="00775E4E">
      <w:pPr>
        <w:pStyle w:val="Nzov"/>
        <w:tabs>
          <w:tab w:val="left" w:pos="567"/>
        </w:tabs>
        <w:rPr>
          <w:rFonts w:ascii="Times New Roman" w:hAnsi="Times New Roman"/>
          <w:caps/>
          <w:szCs w:val="22"/>
        </w:rPr>
      </w:pPr>
      <w:r>
        <w:rPr>
          <w:rFonts w:ascii="Times New Roman" w:hAnsi="Times New Roman"/>
          <w:caps/>
          <w:szCs w:val="22"/>
        </w:rPr>
        <w:t>Súhrn charakteristických vlastností lieku</w:t>
      </w:r>
    </w:p>
    <w:p w14:paraId="0FB279FE" w14:textId="77777777" w:rsidR="00775E4E" w:rsidRDefault="00775E4E" w:rsidP="00775E4E">
      <w:pPr>
        <w:pStyle w:val="Nadpis4"/>
        <w:keepNext w:val="0"/>
        <w:tabs>
          <w:tab w:val="left" w:pos="567"/>
        </w:tabs>
        <w:rPr>
          <w:rFonts w:ascii="Times New Roman" w:hAnsi="Times New Roman"/>
          <w:b w:val="0"/>
          <w:szCs w:val="22"/>
        </w:rPr>
      </w:pPr>
    </w:p>
    <w:p w14:paraId="4CFEC590" w14:textId="77777777" w:rsidR="00775E4E" w:rsidRDefault="00775E4E" w:rsidP="00775E4E">
      <w:pPr>
        <w:rPr>
          <w:sz w:val="22"/>
          <w:szCs w:val="22"/>
        </w:rPr>
      </w:pPr>
    </w:p>
    <w:p w14:paraId="64EDF94E" w14:textId="77777777" w:rsidR="00775E4E" w:rsidRDefault="00775E4E" w:rsidP="00775E4E">
      <w:pPr>
        <w:keepNext/>
        <w:numPr>
          <w:ilvl w:val="0"/>
          <w:numId w:val="1"/>
        </w:numP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Názov lieku</w:t>
      </w:r>
    </w:p>
    <w:p w14:paraId="188216EE" w14:textId="77777777" w:rsidR="00775E4E" w:rsidRDefault="00775E4E" w:rsidP="00775E4E">
      <w:pPr>
        <w:pStyle w:val="Pta"/>
        <w:keepNext/>
        <w:tabs>
          <w:tab w:val="left" w:pos="567"/>
        </w:tabs>
        <w:jc w:val="left"/>
        <w:rPr>
          <w:sz w:val="22"/>
          <w:szCs w:val="22"/>
        </w:rPr>
      </w:pPr>
    </w:p>
    <w:p w14:paraId="51B66A06" w14:textId="77777777" w:rsidR="00775E4E" w:rsidRDefault="00775E4E" w:rsidP="00775E4E">
      <w:pPr>
        <w:pStyle w:val="Pta"/>
        <w:tabs>
          <w:tab w:val="left" w:pos="567"/>
        </w:tabs>
        <w:jc w:val="left"/>
        <w:rPr>
          <w:sz w:val="22"/>
          <w:szCs w:val="22"/>
        </w:rPr>
      </w:pPr>
      <w:r>
        <w:rPr>
          <w:sz w:val="22"/>
          <w:szCs w:val="22"/>
        </w:rPr>
        <w:t>ERDOMED 225 mg</w:t>
      </w:r>
    </w:p>
    <w:p w14:paraId="5E0E3F8B" w14:textId="77777777" w:rsidR="00775E4E" w:rsidRDefault="00775E4E" w:rsidP="00775E4E">
      <w:pPr>
        <w:pStyle w:val="Pta"/>
        <w:tabs>
          <w:tab w:val="left" w:pos="567"/>
        </w:tabs>
        <w:jc w:val="left"/>
        <w:rPr>
          <w:sz w:val="22"/>
          <w:szCs w:val="22"/>
        </w:rPr>
      </w:pPr>
      <w:r>
        <w:rPr>
          <w:sz w:val="22"/>
          <w:szCs w:val="22"/>
        </w:rPr>
        <w:t>granulát na perorálnu suspenziu</w:t>
      </w:r>
    </w:p>
    <w:p w14:paraId="63A8AFC1" w14:textId="77777777" w:rsidR="00775E4E" w:rsidRDefault="00775E4E" w:rsidP="00775E4E">
      <w:pPr>
        <w:pStyle w:val="Pta"/>
        <w:tabs>
          <w:tab w:val="left" w:pos="567"/>
        </w:tabs>
        <w:jc w:val="left"/>
        <w:rPr>
          <w:b/>
          <w:sz w:val="22"/>
          <w:szCs w:val="22"/>
        </w:rPr>
      </w:pPr>
    </w:p>
    <w:p w14:paraId="596B6D68" w14:textId="77777777" w:rsidR="00775E4E" w:rsidRDefault="00775E4E" w:rsidP="00775E4E">
      <w:pPr>
        <w:pStyle w:val="Pta"/>
        <w:tabs>
          <w:tab w:val="left" w:pos="567"/>
        </w:tabs>
        <w:jc w:val="left"/>
        <w:rPr>
          <w:b/>
          <w:sz w:val="22"/>
          <w:szCs w:val="22"/>
        </w:rPr>
      </w:pPr>
    </w:p>
    <w:p w14:paraId="09511703" w14:textId="77777777" w:rsidR="00775E4E" w:rsidRDefault="00775E4E" w:rsidP="00775E4E">
      <w:pPr>
        <w:keepNext/>
        <w:numPr>
          <w:ilvl w:val="0"/>
          <w:numId w:val="1"/>
        </w:numPr>
        <w:ind w:left="567" w:hanging="567"/>
        <w:rPr>
          <w:b/>
          <w:sz w:val="22"/>
          <w:szCs w:val="22"/>
        </w:rPr>
      </w:pPr>
      <w:r>
        <w:rPr>
          <w:b/>
          <w:caps/>
          <w:sz w:val="22"/>
          <w:szCs w:val="22"/>
        </w:rPr>
        <w:t>Kvalitatívne a kvantitatívne zloženie</w:t>
      </w:r>
    </w:p>
    <w:p w14:paraId="06EC749B" w14:textId="77777777" w:rsidR="00775E4E" w:rsidRDefault="00775E4E" w:rsidP="00775E4E">
      <w:pPr>
        <w:pStyle w:val="Pta"/>
        <w:keepNext/>
        <w:tabs>
          <w:tab w:val="left" w:pos="567"/>
        </w:tabs>
        <w:jc w:val="left"/>
        <w:rPr>
          <w:sz w:val="22"/>
          <w:szCs w:val="22"/>
        </w:rPr>
      </w:pPr>
    </w:p>
    <w:p w14:paraId="38421FB9" w14:textId="77777777" w:rsidR="00775E4E" w:rsidRDefault="00775E4E" w:rsidP="00775E4E">
      <w:pPr>
        <w:pStyle w:val="Pta"/>
        <w:tabs>
          <w:tab w:val="left" w:pos="567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Jedno vrecko s granulátom na perorálnu suspenziu obsahuje 225 mg </w:t>
      </w:r>
      <w:proofErr w:type="spellStart"/>
      <w:r>
        <w:rPr>
          <w:sz w:val="22"/>
          <w:szCs w:val="22"/>
        </w:rPr>
        <w:t>erdosteínu</w:t>
      </w:r>
      <w:proofErr w:type="spellEnd"/>
      <w:r>
        <w:rPr>
          <w:sz w:val="22"/>
          <w:szCs w:val="22"/>
        </w:rPr>
        <w:t>.</w:t>
      </w:r>
    </w:p>
    <w:p w14:paraId="5BC7C5A3" w14:textId="77777777" w:rsidR="00775E4E" w:rsidRDefault="00775E4E" w:rsidP="00775E4E">
      <w:pPr>
        <w:pStyle w:val="Pta"/>
        <w:tabs>
          <w:tab w:val="left" w:pos="567"/>
        </w:tabs>
        <w:jc w:val="left"/>
        <w:rPr>
          <w:sz w:val="22"/>
          <w:szCs w:val="22"/>
        </w:rPr>
      </w:pPr>
    </w:p>
    <w:p w14:paraId="19F5D85B" w14:textId="77777777" w:rsidR="00775E4E" w:rsidRDefault="00775E4E" w:rsidP="00775E4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  <w:u w:val="single"/>
        </w:rPr>
        <w:t>Pomocné látky so známym účinkom:</w:t>
      </w:r>
    </w:p>
    <w:p w14:paraId="0779E23F" w14:textId="77777777" w:rsidR="00775E4E" w:rsidRDefault="00775E4E" w:rsidP="00775E4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  <w:lang w:eastAsia="sk-SK"/>
        </w:rPr>
        <w:t>3,54 g</w:t>
      </w:r>
      <w:r>
        <w:rPr>
          <w:sz w:val="22"/>
          <w:szCs w:val="22"/>
        </w:rPr>
        <w:t xml:space="preserve"> sacharózy v jednom vrecku.</w:t>
      </w:r>
    </w:p>
    <w:p w14:paraId="69E92D6D" w14:textId="77777777" w:rsidR="00775E4E" w:rsidRDefault="00775E4E" w:rsidP="00775E4E">
      <w:pPr>
        <w:pStyle w:val="Pta"/>
        <w:tabs>
          <w:tab w:val="left" w:pos="567"/>
        </w:tabs>
        <w:jc w:val="left"/>
        <w:rPr>
          <w:sz w:val="22"/>
          <w:szCs w:val="22"/>
        </w:rPr>
      </w:pPr>
      <w:r>
        <w:rPr>
          <w:sz w:val="22"/>
          <w:szCs w:val="22"/>
        </w:rPr>
        <w:t>Úplný zoznam pomocných látok, pozri časť 6.1.</w:t>
      </w:r>
    </w:p>
    <w:p w14:paraId="3180A4B0" w14:textId="77777777" w:rsidR="00775E4E" w:rsidRDefault="00775E4E" w:rsidP="00775E4E">
      <w:pPr>
        <w:pStyle w:val="Pta"/>
        <w:tabs>
          <w:tab w:val="left" w:pos="567"/>
        </w:tabs>
        <w:jc w:val="left"/>
        <w:rPr>
          <w:sz w:val="22"/>
          <w:szCs w:val="22"/>
        </w:rPr>
      </w:pPr>
    </w:p>
    <w:p w14:paraId="2F3AB19B" w14:textId="77777777" w:rsidR="00775E4E" w:rsidRDefault="00775E4E" w:rsidP="00775E4E">
      <w:pPr>
        <w:pStyle w:val="Pta"/>
        <w:tabs>
          <w:tab w:val="left" w:pos="567"/>
        </w:tabs>
        <w:jc w:val="left"/>
        <w:rPr>
          <w:sz w:val="22"/>
          <w:szCs w:val="22"/>
        </w:rPr>
      </w:pPr>
    </w:p>
    <w:p w14:paraId="79BC4D97" w14:textId="77777777" w:rsidR="00775E4E" w:rsidRDefault="00775E4E" w:rsidP="00775E4E">
      <w:pPr>
        <w:keepNext/>
        <w:numPr>
          <w:ilvl w:val="0"/>
          <w:numId w:val="1"/>
        </w:numPr>
        <w:tabs>
          <w:tab w:val="left" w:pos="567"/>
        </w:tabs>
        <w:ind w:left="567" w:hanging="567"/>
        <w:rPr>
          <w:b/>
          <w:sz w:val="22"/>
          <w:szCs w:val="22"/>
        </w:rPr>
      </w:pPr>
      <w:r>
        <w:rPr>
          <w:b/>
          <w:caps/>
          <w:sz w:val="22"/>
          <w:szCs w:val="22"/>
        </w:rPr>
        <w:t>Lieková forma</w:t>
      </w:r>
    </w:p>
    <w:p w14:paraId="47F9823B" w14:textId="77777777" w:rsidR="00775E4E" w:rsidRDefault="00775E4E" w:rsidP="00775E4E">
      <w:pPr>
        <w:keepNext/>
        <w:tabs>
          <w:tab w:val="left" w:pos="567"/>
        </w:tabs>
        <w:rPr>
          <w:sz w:val="22"/>
          <w:szCs w:val="22"/>
        </w:rPr>
      </w:pPr>
    </w:p>
    <w:p w14:paraId="4A05EC52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Granulát na perorálnu suspenziu.</w:t>
      </w:r>
    </w:p>
    <w:p w14:paraId="6047EC4A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Popis lieku: j</w:t>
      </w:r>
      <w:r>
        <w:rPr>
          <w:sz w:val="22"/>
          <w:szCs w:val="22"/>
        </w:rPr>
        <w:t>emný sypký biely granulát s charakteristickou vôňou a chuťou.</w:t>
      </w:r>
    </w:p>
    <w:p w14:paraId="4240BF4E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</w:p>
    <w:p w14:paraId="48F7E6CE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</w:p>
    <w:p w14:paraId="695E5403" w14:textId="77777777" w:rsidR="00775E4E" w:rsidRDefault="00775E4E" w:rsidP="00775E4E">
      <w:pPr>
        <w:keepNext/>
        <w:numPr>
          <w:ilvl w:val="0"/>
          <w:numId w:val="1"/>
        </w:numP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Klinické údaje</w:t>
      </w:r>
    </w:p>
    <w:p w14:paraId="62C9D57F" w14:textId="77777777" w:rsidR="00775E4E" w:rsidRDefault="00775E4E" w:rsidP="00775E4E">
      <w:pPr>
        <w:keepNext/>
        <w:tabs>
          <w:tab w:val="left" w:pos="567"/>
        </w:tabs>
        <w:rPr>
          <w:b/>
          <w:i/>
          <w:sz w:val="22"/>
          <w:szCs w:val="22"/>
        </w:rPr>
      </w:pPr>
    </w:p>
    <w:p w14:paraId="7410643E" w14:textId="77777777" w:rsidR="00775E4E" w:rsidRDefault="00775E4E" w:rsidP="00775E4E">
      <w:pPr>
        <w:keepNext/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4.1</w:t>
      </w:r>
      <w:r>
        <w:rPr>
          <w:b/>
          <w:sz w:val="22"/>
          <w:szCs w:val="22"/>
        </w:rPr>
        <w:tab/>
        <w:t>Terapeutické indikácie</w:t>
      </w:r>
    </w:p>
    <w:p w14:paraId="33E28913" w14:textId="77777777" w:rsidR="00775E4E" w:rsidRDefault="00775E4E" w:rsidP="00775E4E">
      <w:pPr>
        <w:keepNext/>
        <w:tabs>
          <w:tab w:val="left" w:pos="567"/>
        </w:tabs>
        <w:rPr>
          <w:sz w:val="22"/>
          <w:szCs w:val="22"/>
        </w:rPr>
      </w:pPr>
    </w:p>
    <w:p w14:paraId="14B15CC5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Tento liek znižuje viskozitu bronchiálnych sekrétov, čo uľahčuje vykašliavanie. Je indikovaný na liečbu akútnych a chronických ochorení horných a dolných dýchacích ciest ako sú bronchitídy, </w:t>
      </w:r>
      <w:proofErr w:type="spellStart"/>
      <w:r>
        <w:rPr>
          <w:sz w:val="22"/>
          <w:szCs w:val="22"/>
        </w:rPr>
        <w:t>rinitídy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sinusitídy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laryngofaryngitídy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exacerbácie</w:t>
      </w:r>
      <w:proofErr w:type="spellEnd"/>
      <w:r>
        <w:rPr>
          <w:sz w:val="22"/>
          <w:szCs w:val="22"/>
        </w:rPr>
        <w:t xml:space="preserve"> príznakov chronickej bronchitídy a chronickej obštrukčnej choroby pľúc (CHOCHP), bronchiálnej astmy s </w:t>
      </w:r>
      <w:proofErr w:type="spellStart"/>
      <w:r>
        <w:rPr>
          <w:sz w:val="22"/>
          <w:szCs w:val="22"/>
        </w:rPr>
        <w:t>hypersekréciou</w:t>
      </w:r>
      <w:proofErr w:type="spellEnd"/>
      <w:r>
        <w:rPr>
          <w:sz w:val="22"/>
          <w:szCs w:val="22"/>
        </w:rPr>
        <w:t xml:space="preserve"> hlienu a bronchiektázie.</w:t>
      </w:r>
    </w:p>
    <w:p w14:paraId="7340B440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Tento liek je tiež indikovaný ako súbežná liečba s antibiotikami v prípade </w:t>
      </w:r>
      <w:proofErr w:type="spellStart"/>
      <w:r>
        <w:rPr>
          <w:sz w:val="22"/>
          <w:szCs w:val="22"/>
        </w:rPr>
        <w:t>exacerbácie</w:t>
      </w:r>
      <w:proofErr w:type="spellEnd"/>
      <w:r>
        <w:rPr>
          <w:sz w:val="22"/>
          <w:szCs w:val="22"/>
        </w:rPr>
        <w:t xml:space="preserve"> sprevádzanej bakteriálnou infekciou a na prevenciu komplikácií po chirurgickom zákroku, ako je zápal pľúc alebo </w:t>
      </w:r>
      <w:proofErr w:type="spellStart"/>
      <w:r>
        <w:rPr>
          <w:sz w:val="22"/>
          <w:szCs w:val="22"/>
        </w:rPr>
        <w:t>nevzdušnosť</w:t>
      </w:r>
      <w:proofErr w:type="spellEnd"/>
      <w:r>
        <w:rPr>
          <w:sz w:val="22"/>
          <w:szCs w:val="22"/>
        </w:rPr>
        <w:t xml:space="preserve"> časti pľúc.</w:t>
      </w:r>
    </w:p>
    <w:p w14:paraId="144FEE6B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Erdosteín</w:t>
      </w:r>
      <w:proofErr w:type="spellEnd"/>
      <w:r>
        <w:rPr>
          <w:sz w:val="22"/>
          <w:szCs w:val="22"/>
        </w:rPr>
        <w:t xml:space="preserve"> má tiež </w:t>
      </w:r>
      <w:proofErr w:type="spellStart"/>
      <w:r>
        <w:rPr>
          <w:sz w:val="22"/>
          <w:szCs w:val="22"/>
        </w:rPr>
        <w:t>protektívny</w:t>
      </w:r>
      <w:proofErr w:type="spellEnd"/>
      <w:r>
        <w:rPr>
          <w:sz w:val="22"/>
          <w:szCs w:val="22"/>
        </w:rPr>
        <w:t xml:space="preserve"> účinok proti zhoršeniu ochorenia dýchacích ciest a na základe odporúčania lekára môže byť indikovaný aj na preventívnu liečbu stabilných chronických bronchitíd u fajčiarov a na prevenciu </w:t>
      </w:r>
      <w:proofErr w:type="spellStart"/>
      <w:r>
        <w:rPr>
          <w:sz w:val="22"/>
          <w:szCs w:val="22"/>
        </w:rPr>
        <w:t>rekurentných</w:t>
      </w:r>
      <w:proofErr w:type="spellEnd"/>
      <w:r>
        <w:rPr>
          <w:sz w:val="22"/>
          <w:szCs w:val="22"/>
        </w:rPr>
        <w:t xml:space="preserve"> infekčných epizód (napr. počas zimnej sezóny a podobne).</w:t>
      </w:r>
    </w:p>
    <w:p w14:paraId="597A3964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</w:p>
    <w:p w14:paraId="40F885D9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ERDOMED 225 mg je indikovaný dospelým a dospievajúcim vo veku od 12 rokov.</w:t>
      </w:r>
    </w:p>
    <w:p w14:paraId="1933AB7A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</w:p>
    <w:p w14:paraId="6E463265" w14:textId="77777777" w:rsidR="00775E4E" w:rsidRDefault="00775E4E" w:rsidP="00775E4E">
      <w:pPr>
        <w:keepNext/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4.2</w:t>
      </w:r>
      <w:r>
        <w:rPr>
          <w:b/>
          <w:sz w:val="22"/>
          <w:szCs w:val="22"/>
        </w:rPr>
        <w:tab/>
        <w:t>Dávkovanie a spôsob podávania</w:t>
      </w:r>
    </w:p>
    <w:p w14:paraId="16084D0C" w14:textId="77777777" w:rsidR="00775E4E" w:rsidRDefault="00775E4E" w:rsidP="00775E4E">
      <w:pPr>
        <w:keepNext/>
        <w:tabs>
          <w:tab w:val="left" w:pos="567"/>
        </w:tabs>
        <w:rPr>
          <w:sz w:val="22"/>
          <w:szCs w:val="22"/>
        </w:rPr>
      </w:pPr>
    </w:p>
    <w:p w14:paraId="57807EAE" w14:textId="77777777" w:rsidR="00775E4E" w:rsidRDefault="00775E4E" w:rsidP="00775E4E">
      <w:pPr>
        <w:keepNext/>
        <w:tabs>
          <w:tab w:val="left" w:pos="567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Dávkovanie u dospelých a dospievajúcich</w:t>
      </w:r>
    </w:p>
    <w:p w14:paraId="7788B153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1 vrecko (225 mg) 2- až 3-krát denne.</w:t>
      </w:r>
    </w:p>
    <w:p w14:paraId="5207AE5E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</w:p>
    <w:p w14:paraId="0BB937AD" w14:textId="77777777" w:rsidR="00775E4E" w:rsidRDefault="00775E4E" w:rsidP="00775E4E">
      <w:pPr>
        <w:keepNext/>
        <w:tabs>
          <w:tab w:val="left" w:pos="567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Pediatrická populácia</w:t>
      </w:r>
    </w:p>
    <w:p w14:paraId="5B998E0F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Bezpečnosť a účinnosť ERDOMEDU 225 mg u detí vo veku do 12 rokov neboli doteraz stanovené.</w:t>
      </w:r>
    </w:p>
    <w:p w14:paraId="2CEBC7B7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</w:p>
    <w:p w14:paraId="6C599164" w14:textId="77777777" w:rsidR="00775E4E" w:rsidRDefault="00775E4E" w:rsidP="00775E4E">
      <w:pPr>
        <w:keepNext/>
        <w:tabs>
          <w:tab w:val="left" w:pos="567"/>
        </w:tabs>
        <w:rPr>
          <w:i/>
          <w:sz w:val="22"/>
          <w:szCs w:val="22"/>
        </w:rPr>
      </w:pPr>
      <w:bookmarkStart w:id="0" w:name="_Hlk499648244"/>
      <w:r>
        <w:rPr>
          <w:i/>
          <w:sz w:val="22"/>
          <w:szCs w:val="22"/>
        </w:rPr>
        <w:t>Osobitné skupiny pacientov</w:t>
      </w:r>
    </w:p>
    <w:p w14:paraId="432BA855" w14:textId="77777777" w:rsidR="00775E4E" w:rsidRDefault="00775E4E" w:rsidP="00775E4E">
      <w:pPr>
        <w:tabs>
          <w:tab w:val="left" w:pos="567"/>
        </w:tabs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Perorálna dávka </w:t>
      </w:r>
      <w:proofErr w:type="spellStart"/>
      <w:r>
        <w:rPr>
          <w:sz w:val="22"/>
          <w:szCs w:val="22"/>
          <w:shd w:val="clear" w:color="auto" w:fill="FFFFFF"/>
        </w:rPr>
        <w:t>erdosteínu</w:t>
      </w:r>
      <w:proofErr w:type="spellEnd"/>
      <w:r>
        <w:rPr>
          <w:sz w:val="22"/>
          <w:szCs w:val="22"/>
          <w:shd w:val="clear" w:color="auto" w:fill="FFFFFF"/>
        </w:rPr>
        <w:t xml:space="preserve"> u pacientov s miernou poruchou funkcie pečene je obmedzená na maximálne 300 mg denne. </w:t>
      </w:r>
      <w:proofErr w:type="spellStart"/>
      <w:r>
        <w:rPr>
          <w:sz w:val="22"/>
          <w:szCs w:val="22"/>
          <w:shd w:val="clear" w:color="auto" w:fill="FFFFFF"/>
        </w:rPr>
        <w:t>Erdosteín</w:t>
      </w:r>
      <w:proofErr w:type="spellEnd"/>
      <w:r>
        <w:rPr>
          <w:sz w:val="22"/>
          <w:szCs w:val="22"/>
          <w:shd w:val="clear" w:color="auto" w:fill="FFFFFF"/>
        </w:rPr>
        <w:t xml:space="preserve"> je kontraindikovaný u pacientov so závažnou poruchou funkcie pečene (pozri časť 4.3).</w:t>
      </w:r>
    </w:p>
    <w:p w14:paraId="7CE59A38" w14:textId="77777777" w:rsidR="00775E4E" w:rsidRDefault="00775E4E" w:rsidP="00775E4E">
      <w:pPr>
        <w:tabs>
          <w:tab w:val="left" w:pos="567"/>
        </w:tabs>
        <w:rPr>
          <w:sz w:val="22"/>
          <w:szCs w:val="22"/>
          <w:lang w:val="en-GB"/>
        </w:rPr>
      </w:pPr>
      <w:r>
        <w:rPr>
          <w:sz w:val="22"/>
          <w:szCs w:val="22"/>
        </w:rPr>
        <w:t xml:space="preserve">U pacientov so zlyhaním obličiek s rýchlosťou </w:t>
      </w:r>
      <w:proofErr w:type="spellStart"/>
      <w:r>
        <w:rPr>
          <w:sz w:val="22"/>
          <w:szCs w:val="22"/>
        </w:rPr>
        <w:t>glomerulárnej</w:t>
      </w:r>
      <w:proofErr w:type="spellEnd"/>
      <w:r>
        <w:rPr>
          <w:sz w:val="22"/>
          <w:szCs w:val="22"/>
        </w:rPr>
        <w:t xml:space="preserve"> filtrácie (GFR) ≥ 30 ml/min (mierna až stredne závažná porucha funkcie obličiek)</w:t>
      </w:r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nie</w:t>
      </w:r>
      <w:proofErr w:type="spellEnd"/>
      <w:r>
        <w:rPr>
          <w:sz w:val="22"/>
          <w:szCs w:val="22"/>
          <w:lang w:val="en-GB"/>
        </w:rPr>
        <w:t xml:space="preserve"> je </w:t>
      </w:r>
      <w:proofErr w:type="spellStart"/>
      <w:r>
        <w:rPr>
          <w:sz w:val="22"/>
          <w:szCs w:val="22"/>
          <w:lang w:val="en-GB"/>
        </w:rPr>
        <w:t>potrebná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úprava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dávkovania</w:t>
      </w:r>
      <w:proofErr w:type="spellEnd"/>
      <w:r>
        <w:rPr>
          <w:sz w:val="22"/>
          <w:szCs w:val="22"/>
          <w:lang w:val="en-GB"/>
        </w:rPr>
        <w:t>.</w:t>
      </w:r>
    </w:p>
    <w:p w14:paraId="0F5A5247" w14:textId="77777777" w:rsidR="00775E4E" w:rsidRDefault="00775E4E" w:rsidP="00775E4E">
      <w:pPr>
        <w:tabs>
          <w:tab w:val="left" w:pos="567"/>
        </w:tabs>
        <w:rPr>
          <w:sz w:val="22"/>
          <w:szCs w:val="22"/>
          <w:lang w:val="en-GB"/>
        </w:rPr>
      </w:pPr>
    </w:p>
    <w:p w14:paraId="1713320E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Ak lekár neurčí inak, tento liek sa nemá užívať dlhšie ako 7 dní.</w:t>
      </w:r>
    </w:p>
    <w:p w14:paraId="567408C5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</w:p>
    <w:bookmarkEnd w:id="0"/>
    <w:p w14:paraId="3C81448F" w14:textId="77777777" w:rsidR="00775E4E" w:rsidRDefault="00775E4E" w:rsidP="00775E4E">
      <w:pPr>
        <w:keepNext/>
        <w:tabs>
          <w:tab w:val="left" w:pos="567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Spôsob podávania</w:t>
      </w:r>
    </w:p>
    <w:p w14:paraId="462FF75E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bookmarkStart w:id="1" w:name="_Hlk527547635"/>
      <w:r>
        <w:rPr>
          <w:sz w:val="22"/>
          <w:szCs w:val="22"/>
        </w:rPr>
        <w:t xml:space="preserve">Obsah vrecka sa má rozpustiť v približne 120 ml (polovica objemu bežného pohára) vlažnej tekutiny (voda, čaj) a ak je to potrebné, má sa miešať až do vzniku riedkej zakalenej suspenzie. </w:t>
      </w:r>
      <w:bookmarkEnd w:id="1"/>
      <w:r>
        <w:rPr>
          <w:sz w:val="22"/>
          <w:szCs w:val="22"/>
        </w:rPr>
        <w:t>Po príprave sa má suspenzia ihneď vypiť.</w:t>
      </w:r>
    </w:p>
    <w:p w14:paraId="3931ADB0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</w:p>
    <w:p w14:paraId="41E0F8ED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Liek sa nemá užívať krátko pred spaním.</w:t>
      </w:r>
    </w:p>
    <w:p w14:paraId="6EBA7A94" w14:textId="77777777" w:rsidR="00775E4E" w:rsidRDefault="00775E4E" w:rsidP="00775E4E">
      <w:pPr>
        <w:pStyle w:val="Nadpis3"/>
        <w:keepNext w:val="0"/>
        <w:tabs>
          <w:tab w:val="left" w:pos="567"/>
        </w:tabs>
        <w:rPr>
          <w:rFonts w:ascii="Times New Roman" w:hAnsi="Times New Roman"/>
          <w:b w:val="0"/>
          <w:szCs w:val="22"/>
        </w:rPr>
      </w:pPr>
    </w:p>
    <w:p w14:paraId="02FD81D8" w14:textId="77777777" w:rsidR="00775E4E" w:rsidRDefault="00775E4E" w:rsidP="00775E4E">
      <w:pPr>
        <w:keepNext/>
        <w:numPr>
          <w:ilvl w:val="1"/>
          <w:numId w:val="2"/>
        </w:num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Kontraindikácie</w:t>
      </w:r>
    </w:p>
    <w:p w14:paraId="526AFB88" w14:textId="77777777" w:rsidR="00775E4E" w:rsidRDefault="00775E4E" w:rsidP="00775E4E">
      <w:pPr>
        <w:keepNext/>
        <w:tabs>
          <w:tab w:val="left" w:pos="567"/>
        </w:tabs>
        <w:rPr>
          <w:b/>
          <w:sz w:val="22"/>
          <w:szCs w:val="22"/>
        </w:rPr>
      </w:pPr>
    </w:p>
    <w:p w14:paraId="6D4075DC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Precitlivenosť na liečivo alebo na ktorúkoľvek z pomocných látok uvedených v časti 6.1 a na látky obsahujúce voľné </w:t>
      </w:r>
      <w:proofErr w:type="spellStart"/>
      <w:r>
        <w:rPr>
          <w:sz w:val="22"/>
          <w:szCs w:val="22"/>
        </w:rPr>
        <w:t>sulfhydrylové</w:t>
      </w:r>
      <w:proofErr w:type="spellEnd"/>
      <w:r>
        <w:rPr>
          <w:sz w:val="22"/>
          <w:szCs w:val="22"/>
        </w:rPr>
        <w:t xml:space="preserve"> (SH-) skupiny.</w:t>
      </w:r>
    </w:p>
    <w:p w14:paraId="5CF66784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</w:p>
    <w:p w14:paraId="73EE10B0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Liek nemajú užívať ani pacienti:</w:t>
      </w:r>
    </w:p>
    <w:p w14:paraId="0F0312B2" w14:textId="77777777" w:rsidR="00775E4E" w:rsidRDefault="00775E4E" w:rsidP="00775E4E">
      <w:pPr>
        <w:numPr>
          <w:ilvl w:val="0"/>
          <w:numId w:val="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so závažnou poruchou funkcie pečene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zvýšená alkalická </w:t>
      </w:r>
      <w:proofErr w:type="spellStart"/>
      <w:r>
        <w:rPr>
          <w:sz w:val="22"/>
          <w:szCs w:val="22"/>
        </w:rPr>
        <w:t>fosfatáza</w:t>
      </w:r>
      <w:proofErr w:type="spellEnd"/>
      <w:r>
        <w:rPr>
          <w:sz w:val="22"/>
          <w:szCs w:val="22"/>
        </w:rPr>
        <w:t xml:space="preserve"> v sére alebo zvýšené </w:t>
      </w:r>
      <w:proofErr w:type="spellStart"/>
      <w:r>
        <w:rPr>
          <w:sz w:val="22"/>
          <w:szCs w:val="22"/>
        </w:rPr>
        <w:t>transaminázy</w:t>
      </w:r>
      <w:proofErr w:type="spellEnd"/>
      <w:r>
        <w:rPr>
          <w:sz w:val="22"/>
          <w:szCs w:val="22"/>
        </w:rPr>
        <w:t xml:space="preserve"> v sére atď.),</w:t>
      </w:r>
    </w:p>
    <w:p w14:paraId="03F0F9BB" w14:textId="77777777" w:rsidR="00775E4E" w:rsidRDefault="00775E4E" w:rsidP="00775E4E">
      <w:pPr>
        <w:numPr>
          <w:ilvl w:val="0"/>
          <w:numId w:val="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so závažne zníženou funkciou obličiek (GFR &lt; 30 ml/min),</w:t>
      </w:r>
    </w:p>
    <w:p w14:paraId="4EA91DDA" w14:textId="77777777" w:rsidR="00775E4E" w:rsidRDefault="00775E4E" w:rsidP="00775E4E">
      <w:pPr>
        <w:numPr>
          <w:ilvl w:val="0"/>
          <w:numId w:val="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s </w:t>
      </w:r>
      <w:proofErr w:type="spellStart"/>
      <w:r>
        <w:rPr>
          <w:sz w:val="22"/>
          <w:szCs w:val="22"/>
        </w:rPr>
        <w:t>homocystinúriou</w:t>
      </w:r>
      <w:proofErr w:type="spellEnd"/>
      <w:r>
        <w:rPr>
          <w:sz w:val="22"/>
          <w:szCs w:val="22"/>
        </w:rPr>
        <w:t xml:space="preserve"> (liek je zdrojom </w:t>
      </w:r>
      <w:proofErr w:type="spellStart"/>
      <w:r>
        <w:rPr>
          <w:sz w:val="22"/>
          <w:szCs w:val="22"/>
        </w:rPr>
        <w:t>homocysteínu</w:t>
      </w:r>
      <w:proofErr w:type="spellEnd"/>
      <w:r>
        <w:rPr>
          <w:sz w:val="22"/>
          <w:szCs w:val="22"/>
        </w:rPr>
        <w:t xml:space="preserve"> a nie sú dostupné žiadne údaje týkajúce sa podávania </w:t>
      </w:r>
      <w:proofErr w:type="spellStart"/>
      <w:r>
        <w:rPr>
          <w:sz w:val="22"/>
          <w:szCs w:val="22"/>
        </w:rPr>
        <w:t>erdosteínu</w:t>
      </w:r>
      <w:proofErr w:type="spellEnd"/>
      <w:r>
        <w:rPr>
          <w:sz w:val="22"/>
          <w:szCs w:val="22"/>
        </w:rPr>
        <w:t xml:space="preserve"> pri </w:t>
      </w:r>
      <w:proofErr w:type="spellStart"/>
      <w:r>
        <w:rPr>
          <w:sz w:val="22"/>
          <w:szCs w:val="22"/>
        </w:rPr>
        <w:t>kongenitálnych</w:t>
      </w:r>
      <w:proofErr w:type="spellEnd"/>
      <w:r>
        <w:rPr>
          <w:sz w:val="22"/>
          <w:szCs w:val="22"/>
        </w:rPr>
        <w:t xml:space="preserve"> poruchách metabolizmu aminokyselín, najmä u tých pacientov, ktorí sú na diéte bez obsahu metionínu). Vzhľadom na možnú interferenciu metabolitov lieku s metabolizmom metionínu je ERDOMED 225 mg kontraindikovaný u pacientov s cirhózou pečene a s deficitom enzýmu </w:t>
      </w:r>
      <w:proofErr w:type="spellStart"/>
      <w:r>
        <w:rPr>
          <w:sz w:val="22"/>
          <w:szCs w:val="22"/>
        </w:rPr>
        <w:t>cystationín-syntáza</w:t>
      </w:r>
      <w:proofErr w:type="spellEnd"/>
      <w:r>
        <w:rPr>
          <w:sz w:val="22"/>
          <w:szCs w:val="22"/>
        </w:rPr>
        <w:t>.</w:t>
      </w:r>
    </w:p>
    <w:p w14:paraId="48EB0066" w14:textId="77777777" w:rsidR="00775E4E" w:rsidRDefault="00775E4E" w:rsidP="00775E4E">
      <w:pPr>
        <w:pStyle w:val="Nadpis3"/>
        <w:keepNext w:val="0"/>
        <w:tabs>
          <w:tab w:val="left" w:pos="567"/>
        </w:tabs>
        <w:rPr>
          <w:rFonts w:ascii="Times New Roman" w:hAnsi="Times New Roman"/>
          <w:b w:val="0"/>
          <w:szCs w:val="22"/>
        </w:rPr>
      </w:pPr>
    </w:p>
    <w:p w14:paraId="7A7B187A" w14:textId="77777777" w:rsidR="00775E4E" w:rsidRDefault="00775E4E" w:rsidP="00775E4E">
      <w:pPr>
        <w:pStyle w:val="Nadpis3"/>
        <w:tabs>
          <w:tab w:val="left" w:pos="567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4.4</w:t>
      </w:r>
      <w:r>
        <w:rPr>
          <w:rFonts w:ascii="Times New Roman" w:hAnsi="Times New Roman"/>
          <w:szCs w:val="22"/>
        </w:rPr>
        <w:tab/>
        <w:t>Osobitné upozornenia a opatrenia pri používaní</w:t>
      </w:r>
    </w:p>
    <w:p w14:paraId="5F66EED7" w14:textId="77777777" w:rsidR="00775E4E" w:rsidRDefault="00775E4E" w:rsidP="00775E4E">
      <w:pPr>
        <w:pStyle w:val="Nadpis3"/>
        <w:tabs>
          <w:tab w:val="left" w:pos="567"/>
        </w:tabs>
        <w:rPr>
          <w:rFonts w:ascii="Times New Roman" w:hAnsi="Times New Roman"/>
          <w:b w:val="0"/>
          <w:szCs w:val="22"/>
        </w:rPr>
      </w:pPr>
    </w:p>
    <w:p w14:paraId="0AE584F3" w14:textId="77777777" w:rsidR="00775E4E" w:rsidRDefault="00775E4E" w:rsidP="00775E4E">
      <w:pPr>
        <w:pStyle w:val="Nadpis3"/>
        <w:keepNext w:val="0"/>
        <w:tabs>
          <w:tab w:val="left" w:pos="567"/>
        </w:tabs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 xml:space="preserve">Pri výskyte bežných prejavov a príznakov precitlivenosti sa musí liečba </w:t>
      </w:r>
      <w:proofErr w:type="spellStart"/>
      <w:r>
        <w:rPr>
          <w:rFonts w:ascii="Times New Roman" w:hAnsi="Times New Roman"/>
          <w:b w:val="0"/>
          <w:szCs w:val="22"/>
        </w:rPr>
        <w:t>erdosteínom</w:t>
      </w:r>
      <w:proofErr w:type="spellEnd"/>
      <w:r>
        <w:rPr>
          <w:rFonts w:ascii="Times New Roman" w:hAnsi="Times New Roman"/>
          <w:b w:val="0"/>
          <w:szCs w:val="22"/>
        </w:rPr>
        <w:t xml:space="preserve"> okamžite prerušiť.</w:t>
      </w:r>
    </w:p>
    <w:p w14:paraId="222A25C3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</w:p>
    <w:p w14:paraId="45F76841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Súbežné podávanie </w:t>
      </w:r>
      <w:proofErr w:type="spellStart"/>
      <w:r>
        <w:rPr>
          <w:sz w:val="22"/>
          <w:szCs w:val="22"/>
        </w:rPr>
        <w:t>erdosteínu</w:t>
      </w:r>
      <w:proofErr w:type="spellEnd"/>
      <w:r>
        <w:rPr>
          <w:sz w:val="22"/>
          <w:szCs w:val="22"/>
        </w:rPr>
        <w:t xml:space="preserve"> s </w:t>
      </w:r>
      <w:proofErr w:type="spellStart"/>
      <w:r>
        <w:rPr>
          <w:sz w:val="22"/>
          <w:szCs w:val="22"/>
        </w:rPr>
        <w:t>antitusikami</w:t>
      </w:r>
      <w:proofErr w:type="spellEnd"/>
      <w:r>
        <w:rPr>
          <w:sz w:val="22"/>
          <w:szCs w:val="22"/>
        </w:rPr>
        <w:t xml:space="preserve"> nemá racionálne opodstatnenie a môže spôsobiť akumuláciu sekrétu v bronchiálnom strome so zvýšením rizika </w:t>
      </w:r>
      <w:proofErr w:type="spellStart"/>
      <w:r>
        <w:rPr>
          <w:sz w:val="22"/>
          <w:szCs w:val="22"/>
        </w:rPr>
        <w:t>superinfekcie</w:t>
      </w:r>
      <w:proofErr w:type="spellEnd"/>
      <w:r>
        <w:rPr>
          <w:sz w:val="22"/>
          <w:szCs w:val="22"/>
        </w:rPr>
        <w:t xml:space="preserve"> alebo bronchospazmu.</w:t>
      </w:r>
    </w:p>
    <w:p w14:paraId="3F676B37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</w:p>
    <w:p w14:paraId="7D890281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Tento liek sa má používať s opatrnosťou u pacientov s oslabeným kašľovým reflexom alebo s poruchou </w:t>
      </w:r>
      <w:proofErr w:type="spellStart"/>
      <w:r>
        <w:rPr>
          <w:sz w:val="22"/>
          <w:szCs w:val="22"/>
        </w:rPr>
        <w:t>mukociliárneho</w:t>
      </w:r>
      <w:proofErr w:type="spellEnd"/>
      <w:r>
        <w:rPr>
          <w:sz w:val="22"/>
          <w:szCs w:val="22"/>
        </w:rPr>
        <w:t xml:space="preserve"> eskalátora (</w:t>
      </w:r>
      <w:bookmarkStart w:id="2" w:name="_Hlk499573350"/>
      <w:r>
        <w:rPr>
          <w:sz w:val="22"/>
          <w:szCs w:val="22"/>
        </w:rPr>
        <w:t>vzhľadom na riziko nahromadenia veľkého množstva hlienu</w:t>
      </w:r>
      <w:bookmarkEnd w:id="2"/>
      <w:r>
        <w:rPr>
          <w:sz w:val="22"/>
          <w:szCs w:val="22"/>
        </w:rPr>
        <w:t>).</w:t>
      </w:r>
    </w:p>
    <w:p w14:paraId="0C3213CA" w14:textId="77777777" w:rsidR="00775E4E" w:rsidRDefault="00775E4E" w:rsidP="00775E4E">
      <w:pPr>
        <w:pStyle w:val="Nadpis3"/>
        <w:keepNext w:val="0"/>
        <w:tabs>
          <w:tab w:val="left" w:pos="567"/>
        </w:tabs>
        <w:rPr>
          <w:rFonts w:ascii="Times New Roman" w:hAnsi="Times New Roman"/>
          <w:b w:val="0"/>
          <w:szCs w:val="22"/>
        </w:rPr>
      </w:pPr>
    </w:p>
    <w:p w14:paraId="782DE8D9" w14:textId="77777777" w:rsidR="00775E4E" w:rsidRDefault="00775E4E" w:rsidP="00775E4E">
      <w:pPr>
        <w:pStyle w:val="Nadpis3"/>
        <w:keepNext w:val="0"/>
        <w:tabs>
          <w:tab w:val="left" w:pos="567"/>
        </w:tabs>
        <w:rPr>
          <w:rFonts w:ascii="Times New Roman" w:hAnsi="Times New Roman"/>
          <w:b w:val="0"/>
          <w:szCs w:val="22"/>
        </w:rPr>
      </w:pPr>
      <w:proofErr w:type="spellStart"/>
      <w:r>
        <w:rPr>
          <w:rFonts w:ascii="Times New Roman" w:hAnsi="Times New Roman"/>
          <w:b w:val="0"/>
          <w:szCs w:val="22"/>
        </w:rPr>
        <w:t>Erdosteín</w:t>
      </w:r>
      <w:proofErr w:type="spellEnd"/>
      <w:r>
        <w:rPr>
          <w:rFonts w:ascii="Times New Roman" w:hAnsi="Times New Roman"/>
          <w:b w:val="0"/>
          <w:szCs w:val="22"/>
        </w:rPr>
        <w:t xml:space="preserve"> sa má používať s opatrnosťou u pacientov s vredom žalúdka alebo dvanástnika.</w:t>
      </w:r>
    </w:p>
    <w:p w14:paraId="144ABD14" w14:textId="77777777" w:rsidR="00775E4E" w:rsidRDefault="00775E4E" w:rsidP="00775E4E">
      <w:pPr>
        <w:rPr>
          <w:sz w:val="22"/>
          <w:szCs w:val="22"/>
        </w:rPr>
      </w:pPr>
    </w:p>
    <w:p w14:paraId="12445FA4" w14:textId="77777777" w:rsidR="00775E4E" w:rsidRDefault="00775E4E" w:rsidP="00775E4E">
      <w:pPr>
        <w:autoSpaceDE w:val="0"/>
        <w:autoSpaceDN w:val="0"/>
        <w:adjustRightInd w:val="0"/>
        <w:ind w:firstLine="20"/>
        <w:rPr>
          <w:sz w:val="22"/>
          <w:szCs w:val="22"/>
        </w:rPr>
      </w:pPr>
      <w:r>
        <w:rPr>
          <w:sz w:val="22"/>
          <w:szCs w:val="22"/>
        </w:rPr>
        <w:t xml:space="preserve">Tento liek obsahuje sacharózu. Pacienti so zriedkavými dedičnými problémami intolerancie fruktózy, </w:t>
      </w:r>
      <w:proofErr w:type="spellStart"/>
      <w:r>
        <w:rPr>
          <w:sz w:val="22"/>
          <w:szCs w:val="22"/>
        </w:rPr>
        <w:t>glukózo-galaktózovej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malabsorpcie</w:t>
      </w:r>
      <w:proofErr w:type="spellEnd"/>
      <w:r>
        <w:rPr>
          <w:sz w:val="22"/>
          <w:szCs w:val="22"/>
        </w:rPr>
        <w:t xml:space="preserve"> alebo deficitu </w:t>
      </w:r>
      <w:proofErr w:type="spellStart"/>
      <w:r>
        <w:rPr>
          <w:sz w:val="22"/>
          <w:szCs w:val="22"/>
        </w:rPr>
        <w:t>sacharázy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izomaltázy</w:t>
      </w:r>
      <w:proofErr w:type="spellEnd"/>
      <w:r>
        <w:rPr>
          <w:sz w:val="22"/>
          <w:szCs w:val="22"/>
        </w:rPr>
        <w:t xml:space="preserve"> nesmú užívať tento liek.</w:t>
      </w:r>
    </w:p>
    <w:p w14:paraId="6415D2F8" w14:textId="77777777" w:rsidR="00775E4E" w:rsidRDefault="00775E4E" w:rsidP="00775E4E">
      <w:pPr>
        <w:rPr>
          <w:sz w:val="22"/>
          <w:szCs w:val="22"/>
        </w:rPr>
      </w:pPr>
    </w:p>
    <w:p w14:paraId="344B5D5E" w14:textId="77777777" w:rsidR="00775E4E" w:rsidRDefault="00775E4E" w:rsidP="00775E4E">
      <w:pPr>
        <w:autoSpaceDE w:val="0"/>
        <w:autoSpaceDN w:val="0"/>
        <w:adjustRightInd w:val="0"/>
        <w:rPr>
          <w:sz w:val="22"/>
          <w:szCs w:val="22"/>
        </w:rPr>
      </w:pPr>
      <w:bookmarkStart w:id="3" w:name="_Hlk514842591"/>
      <w:r>
        <w:rPr>
          <w:sz w:val="22"/>
          <w:szCs w:val="22"/>
        </w:rPr>
        <w:t xml:space="preserve">Tento liek obsahuje menej ako 1 mmol sodíka (23 mg) v jednom vrecku, 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>. v podstate zanedbateľné množstvo sodíka</w:t>
      </w:r>
      <w:bookmarkEnd w:id="3"/>
      <w:r>
        <w:rPr>
          <w:sz w:val="22"/>
          <w:szCs w:val="22"/>
        </w:rPr>
        <w:t>.</w:t>
      </w:r>
    </w:p>
    <w:p w14:paraId="4A49C0DB" w14:textId="77777777" w:rsidR="00775E4E" w:rsidRDefault="00775E4E" w:rsidP="00775E4E">
      <w:pPr>
        <w:autoSpaceDE w:val="0"/>
        <w:autoSpaceDN w:val="0"/>
        <w:adjustRightInd w:val="0"/>
        <w:rPr>
          <w:sz w:val="22"/>
          <w:szCs w:val="22"/>
        </w:rPr>
      </w:pPr>
    </w:p>
    <w:p w14:paraId="0A786602" w14:textId="77777777" w:rsidR="00775E4E" w:rsidRDefault="00775E4E" w:rsidP="00775E4E">
      <w:pPr>
        <w:pStyle w:val="Nadpis3"/>
        <w:tabs>
          <w:tab w:val="left" w:pos="567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4.5</w:t>
      </w:r>
      <w:r>
        <w:rPr>
          <w:rFonts w:ascii="Times New Roman" w:hAnsi="Times New Roman"/>
          <w:szCs w:val="22"/>
        </w:rPr>
        <w:tab/>
        <w:t>Liekové a iné interakcie</w:t>
      </w:r>
    </w:p>
    <w:p w14:paraId="47EE030A" w14:textId="77777777" w:rsidR="00775E4E" w:rsidRDefault="00775E4E" w:rsidP="00775E4E">
      <w:pPr>
        <w:keepNext/>
        <w:tabs>
          <w:tab w:val="left" w:pos="567"/>
        </w:tabs>
        <w:rPr>
          <w:sz w:val="22"/>
          <w:szCs w:val="22"/>
        </w:rPr>
      </w:pPr>
    </w:p>
    <w:p w14:paraId="10F765D6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Nepozorovali sa žiadne nežiaduce interakcie s inými liečivami často používanými pri infekciách dýchacích ciest a CHOCHP ako sú </w:t>
      </w:r>
      <w:proofErr w:type="spellStart"/>
      <w:r>
        <w:rPr>
          <w:sz w:val="22"/>
          <w:szCs w:val="22"/>
        </w:rPr>
        <w:t>bronchodilatátory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teofylín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erytromycín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amoxicilín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sulfametoprim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sulfametoxazol</w:t>
      </w:r>
      <w:proofErr w:type="spellEnd"/>
      <w:r>
        <w:rPr>
          <w:sz w:val="22"/>
          <w:szCs w:val="22"/>
        </w:rPr>
        <w:t xml:space="preserve"> + </w:t>
      </w:r>
      <w:proofErr w:type="spellStart"/>
      <w:r>
        <w:rPr>
          <w:sz w:val="22"/>
          <w:szCs w:val="22"/>
        </w:rPr>
        <w:t>tripetoprim</w:t>
      </w:r>
      <w:proofErr w:type="spellEnd"/>
      <w:r>
        <w:rPr>
          <w:sz w:val="22"/>
          <w:szCs w:val="22"/>
        </w:rPr>
        <w:t xml:space="preserve">). </w:t>
      </w:r>
      <w:proofErr w:type="spellStart"/>
      <w:r>
        <w:rPr>
          <w:sz w:val="22"/>
          <w:szCs w:val="22"/>
        </w:rPr>
        <w:t>Erdosteín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potencuje</w:t>
      </w:r>
      <w:proofErr w:type="spellEnd"/>
      <w:r>
        <w:rPr>
          <w:sz w:val="22"/>
          <w:szCs w:val="22"/>
        </w:rPr>
        <w:t xml:space="preserve"> účinok niektorých antibiotík (napr. </w:t>
      </w:r>
      <w:proofErr w:type="spellStart"/>
      <w:r>
        <w:rPr>
          <w:sz w:val="22"/>
          <w:szCs w:val="22"/>
        </w:rPr>
        <w:t>amoxicilínu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klaritromycínu</w:t>
      </w:r>
      <w:proofErr w:type="spellEnd"/>
      <w:r>
        <w:rPr>
          <w:sz w:val="22"/>
          <w:szCs w:val="22"/>
        </w:rPr>
        <w:t>), čo sa môže využiť na terapeutické účely. Bol dokázaný synergický účinok s </w:t>
      </w:r>
      <w:proofErr w:type="spellStart"/>
      <w:r>
        <w:rPr>
          <w:sz w:val="22"/>
          <w:szCs w:val="22"/>
        </w:rPr>
        <w:t>budezonidom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salbutamolom</w:t>
      </w:r>
      <w:proofErr w:type="spellEnd"/>
      <w:r>
        <w:rPr>
          <w:sz w:val="22"/>
          <w:szCs w:val="22"/>
        </w:rPr>
        <w:t>.</w:t>
      </w:r>
    </w:p>
    <w:p w14:paraId="7E0A75FD" w14:textId="77777777" w:rsidR="00775E4E" w:rsidRDefault="00775E4E" w:rsidP="00775E4E">
      <w:pPr>
        <w:pStyle w:val="Nadpis3"/>
        <w:keepNext w:val="0"/>
        <w:tabs>
          <w:tab w:val="left" w:pos="567"/>
        </w:tabs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 xml:space="preserve">Súbežné podávanie </w:t>
      </w:r>
      <w:proofErr w:type="spellStart"/>
      <w:r>
        <w:rPr>
          <w:rFonts w:ascii="Times New Roman" w:hAnsi="Times New Roman"/>
          <w:b w:val="0"/>
          <w:szCs w:val="22"/>
        </w:rPr>
        <w:t>erdosteínu</w:t>
      </w:r>
      <w:proofErr w:type="spellEnd"/>
      <w:r>
        <w:rPr>
          <w:rFonts w:ascii="Times New Roman" w:hAnsi="Times New Roman"/>
          <w:b w:val="0"/>
          <w:szCs w:val="22"/>
        </w:rPr>
        <w:t xml:space="preserve"> s </w:t>
      </w:r>
      <w:proofErr w:type="spellStart"/>
      <w:r>
        <w:rPr>
          <w:rFonts w:ascii="Times New Roman" w:hAnsi="Times New Roman"/>
          <w:b w:val="0"/>
          <w:szCs w:val="22"/>
        </w:rPr>
        <w:t>antitusikami</w:t>
      </w:r>
      <w:proofErr w:type="spellEnd"/>
      <w:r>
        <w:rPr>
          <w:rFonts w:ascii="Times New Roman" w:hAnsi="Times New Roman"/>
          <w:b w:val="0"/>
          <w:szCs w:val="22"/>
        </w:rPr>
        <w:t xml:space="preserve"> nemá opodstatnenie a môže viesť k akumulácii skvapalneného hlienu v bronchiálnom strome so zvyšovaním rizika </w:t>
      </w:r>
      <w:proofErr w:type="spellStart"/>
      <w:r>
        <w:rPr>
          <w:rFonts w:ascii="Times New Roman" w:hAnsi="Times New Roman"/>
          <w:b w:val="0"/>
          <w:szCs w:val="22"/>
        </w:rPr>
        <w:t>superinfekcie</w:t>
      </w:r>
      <w:proofErr w:type="spellEnd"/>
      <w:r>
        <w:rPr>
          <w:rFonts w:ascii="Times New Roman" w:hAnsi="Times New Roman"/>
          <w:b w:val="0"/>
          <w:szCs w:val="22"/>
        </w:rPr>
        <w:t xml:space="preserve"> alebo bronchospazmov.</w:t>
      </w:r>
    </w:p>
    <w:p w14:paraId="725D7467" w14:textId="77777777" w:rsidR="00775E4E" w:rsidRDefault="00775E4E" w:rsidP="00775E4E">
      <w:pPr>
        <w:pStyle w:val="Nadpis3"/>
        <w:keepNext w:val="0"/>
        <w:tabs>
          <w:tab w:val="left" w:pos="567"/>
        </w:tabs>
        <w:rPr>
          <w:rFonts w:ascii="Times New Roman" w:hAnsi="Times New Roman"/>
          <w:b w:val="0"/>
          <w:szCs w:val="22"/>
        </w:rPr>
      </w:pPr>
    </w:p>
    <w:p w14:paraId="06477940" w14:textId="77777777" w:rsidR="00775E4E" w:rsidRDefault="00775E4E" w:rsidP="00775E4E">
      <w:pPr>
        <w:pStyle w:val="Nadpis3"/>
        <w:tabs>
          <w:tab w:val="left" w:pos="567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4.6</w:t>
      </w:r>
      <w:r>
        <w:rPr>
          <w:rFonts w:ascii="Times New Roman" w:hAnsi="Times New Roman"/>
          <w:szCs w:val="22"/>
        </w:rPr>
        <w:tab/>
      </w:r>
      <w:proofErr w:type="spellStart"/>
      <w:r>
        <w:rPr>
          <w:rFonts w:ascii="Times New Roman" w:hAnsi="Times New Roman"/>
          <w:szCs w:val="22"/>
        </w:rPr>
        <w:t>Fertilita</w:t>
      </w:r>
      <w:proofErr w:type="spellEnd"/>
      <w:r>
        <w:rPr>
          <w:rFonts w:ascii="Times New Roman" w:hAnsi="Times New Roman"/>
          <w:szCs w:val="22"/>
        </w:rPr>
        <w:t>, gravidita a laktácia</w:t>
      </w:r>
    </w:p>
    <w:p w14:paraId="7F033A07" w14:textId="77777777" w:rsidR="00775E4E" w:rsidRDefault="00775E4E" w:rsidP="00775E4E">
      <w:pPr>
        <w:keepNext/>
        <w:tabs>
          <w:tab w:val="left" w:pos="567"/>
        </w:tabs>
        <w:rPr>
          <w:sz w:val="22"/>
          <w:szCs w:val="22"/>
        </w:rPr>
      </w:pPr>
    </w:p>
    <w:p w14:paraId="39D61E12" w14:textId="77777777" w:rsidR="00775E4E" w:rsidRDefault="00775E4E" w:rsidP="00775E4E">
      <w:pPr>
        <w:keepNext/>
        <w:tabs>
          <w:tab w:val="left" w:pos="567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Gravidita</w:t>
      </w:r>
    </w:p>
    <w:p w14:paraId="664C785F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noProof/>
          <w:sz w:val="22"/>
          <w:szCs w:val="22"/>
        </w:rPr>
        <w:t xml:space="preserve">Nie sú k dispozícii alebo je iba obmedzené množstvo údajov </w:t>
      </w:r>
      <w:r>
        <w:rPr>
          <w:sz w:val="22"/>
          <w:szCs w:val="22"/>
        </w:rPr>
        <w:t xml:space="preserve">(menej ako 300 ukončených gravidít) </w:t>
      </w:r>
      <w:r>
        <w:rPr>
          <w:noProof/>
          <w:sz w:val="22"/>
          <w:szCs w:val="22"/>
        </w:rPr>
        <w:t>o </w:t>
      </w:r>
      <w:r>
        <w:rPr>
          <w:sz w:val="22"/>
          <w:szCs w:val="22"/>
        </w:rPr>
        <w:t xml:space="preserve">použití </w:t>
      </w:r>
      <w:proofErr w:type="spellStart"/>
      <w:r>
        <w:rPr>
          <w:sz w:val="22"/>
          <w:szCs w:val="22"/>
        </w:rPr>
        <w:t>erdosteínu</w:t>
      </w:r>
      <w:proofErr w:type="spellEnd"/>
      <w:r>
        <w:rPr>
          <w:sz w:val="22"/>
          <w:szCs w:val="22"/>
        </w:rPr>
        <w:t xml:space="preserve"> u gravidných žien.</w:t>
      </w:r>
    </w:p>
    <w:p w14:paraId="1EB2BA91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Štúdie na zvieratách nepreukázali priame alebo nepriame škodlivé účinky z hľadiska reprodukčnej toxicity.</w:t>
      </w:r>
    </w:p>
    <w:p w14:paraId="49AC0F49" w14:textId="77777777" w:rsidR="00775E4E" w:rsidRDefault="00775E4E" w:rsidP="00775E4E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Ako preventívne opatrenie je vhodnejšie vyhnúť sa užívaniu ERDOMEDU 225 mg počas gravidity.</w:t>
      </w:r>
    </w:p>
    <w:p w14:paraId="68D34FB7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</w:p>
    <w:p w14:paraId="0DA6046A" w14:textId="77777777" w:rsidR="00775E4E" w:rsidRDefault="00775E4E" w:rsidP="00775E4E">
      <w:pPr>
        <w:keepNext/>
        <w:tabs>
          <w:tab w:val="left" w:pos="567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Dojčenie</w:t>
      </w:r>
    </w:p>
    <w:p w14:paraId="3503FD52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ERDOMED 225 mg sa nemá užívať počas dojčenia.</w:t>
      </w:r>
    </w:p>
    <w:p w14:paraId="751A1012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</w:p>
    <w:p w14:paraId="03E78837" w14:textId="77777777" w:rsidR="00775E4E" w:rsidRDefault="00775E4E" w:rsidP="00775E4E">
      <w:pPr>
        <w:keepNext/>
        <w:tabs>
          <w:tab w:val="left" w:pos="567"/>
        </w:tabs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Fertilita</w:t>
      </w:r>
      <w:proofErr w:type="spellEnd"/>
    </w:p>
    <w:p w14:paraId="64615B41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K dispozícii nie sú žiadne údaje o vplyve ERDOMEDU 225 mg na </w:t>
      </w:r>
      <w:proofErr w:type="spellStart"/>
      <w:r>
        <w:rPr>
          <w:sz w:val="22"/>
          <w:szCs w:val="22"/>
        </w:rPr>
        <w:t>fertilitu</w:t>
      </w:r>
      <w:proofErr w:type="spellEnd"/>
      <w:r>
        <w:rPr>
          <w:sz w:val="22"/>
          <w:szCs w:val="22"/>
        </w:rPr>
        <w:t>.</w:t>
      </w:r>
    </w:p>
    <w:p w14:paraId="05F6AC13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</w:p>
    <w:p w14:paraId="6334181C" w14:textId="77777777" w:rsidR="00775E4E" w:rsidRDefault="00775E4E" w:rsidP="00775E4E">
      <w:pPr>
        <w:pStyle w:val="Nadpis3"/>
        <w:tabs>
          <w:tab w:val="left" w:pos="567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4.7</w:t>
      </w:r>
      <w:r>
        <w:rPr>
          <w:rFonts w:ascii="Times New Roman" w:hAnsi="Times New Roman"/>
          <w:szCs w:val="22"/>
        </w:rPr>
        <w:tab/>
        <w:t>Ovplyvnenie schopnosti viesť vozidlá a obsluhovať stroje</w:t>
      </w:r>
    </w:p>
    <w:p w14:paraId="608DE7C0" w14:textId="77777777" w:rsidR="00775E4E" w:rsidRDefault="00775E4E" w:rsidP="00775E4E">
      <w:pPr>
        <w:keepNext/>
        <w:tabs>
          <w:tab w:val="left" w:pos="567"/>
        </w:tabs>
        <w:rPr>
          <w:sz w:val="22"/>
          <w:szCs w:val="22"/>
        </w:rPr>
      </w:pPr>
    </w:p>
    <w:p w14:paraId="3F009B13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ERDOMED 225 mg nemá žiadny alebo má zanedbateľný vplyv na schopnosť viesť vozidlá a obsluhovať stroje.</w:t>
      </w:r>
    </w:p>
    <w:p w14:paraId="1549F814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</w:p>
    <w:p w14:paraId="51BED861" w14:textId="77777777" w:rsidR="00775E4E" w:rsidRDefault="00775E4E" w:rsidP="00775E4E">
      <w:pPr>
        <w:pStyle w:val="Nadpis3"/>
        <w:tabs>
          <w:tab w:val="left" w:pos="567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4.8</w:t>
      </w:r>
      <w:r>
        <w:rPr>
          <w:rFonts w:ascii="Times New Roman" w:hAnsi="Times New Roman"/>
          <w:szCs w:val="22"/>
        </w:rPr>
        <w:tab/>
        <w:t>Nežiaduce účinky</w:t>
      </w:r>
    </w:p>
    <w:p w14:paraId="217FD529" w14:textId="77777777" w:rsidR="00775E4E" w:rsidRDefault="00775E4E" w:rsidP="00775E4E">
      <w:pPr>
        <w:keepNext/>
        <w:tabs>
          <w:tab w:val="left" w:pos="567"/>
        </w:tabs>
        <w:rPr>
          <w:sz w:val="22"/>
          <w:szCs w:val="22"/>
        </w:rPr>
      </w:pPr>
    </w:p>
    <w:p w14:paraId="40214A28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Nežiaduce účinky sú uvedené nižšie a sú usporiadané podľa frekvencií a tried orgánových systémov </w:t>
      </w:r>
      <w:proofErr w:type="spellStart"/>
      <w:r>
        <w:rPr>
          <w:sz w:val="22"/>
          <w:szCs w:val="22"/>
        </w:rPr>
        <w:t>MedDRA</w:t>
      </w:r>
      <w:proofErr w:type="spellEnd"/>
      <w:r>
        <w:rPr>
          <w:sz w:val="22"/>
          <w:szCs w:val="22"/>
        </w:rPr>
        <w:t>.</w:t>
      </w:r>
    </w:p>
    <w:p w14:paraId="5826A637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Frekvencie výskytu sú definované s použitím nasledujúcej konvencie:</w:t>
      </w:r>
    </w:p>
    <w:p w14:paraId="5DC362F9" w14:textId="77777777" w:rsidR="00775E4E" w:rsidRDefault="00775E4E" w:rsidP="00775E4E">
      <w:pPr>
        <w:pStyle w:val="Zkladntext3"/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veľmi časté (≥ 1/10);</w:t>
      </w:r>
    </w:p>
    <w:p w14:paraId="2BB8BFE0" w14:textId="77777777" w:rsidR="00775E4E" w:rsidRDefault="00775E4E" w:rsidP="00775E4E">
      <w:pPr>
        <w:pStyle w:val="Zkladntext3"/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časté (≥ 1/100 až &lt; 1/10);</w:t>
      </w:r>
    </w:p>
    <w:p w14:paraId="69A5D0E9" w14:textId="77777777" w:rsidR="00775E4E" w:rsidRDefault="00775E4E" w:rsidP="00775E4E">
      <w:pPr>
        <w:pStyle w:val="Zkladntext3"/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menej časté (≥ 1/1 000 až &lt; 1/100);</w:t>
      </w:r>
    </w:p>
    <w:p w14:paraId="194C6100" w14:textId="77777777" w:rsidR="00775E4E" w:rsidRDefault="00775E4E" w:rsidP="00775E4E">
      <w:pPr>
        <w:pStyle w:val="Zkladntext3"/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zriedkavé (≥ 1/10 000 až &lt; 1/1 000);</w:t>
      </w:r>
    </w:p>
    <w:p w14:paraId="2231F520" w14:textId="77777777" w:rsidR="00775E4E" w:rsidRDefault="00775E4E" w:rsidP="00775E4E">
      <w:pPr>
        <w:pStyle w:val="Zkladntext3"/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veľmi zriedkavé (&lt; 1/10 000);</w:t>
      </w:r>
    </w:p>
    <w:p w14:paraId="719581F9" w14:textId="77777777" w:rsidR="00775E4E" w:rsidRDefault="00775E4E" w:rsidP="00775E4E">
      <w:pPr>
        <w:pStyle w:val="Zkladntext3"/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neznáme (z dostupných údajov).</w:t>
      </w:r>
    </w:p>
    <w:p w14:paraId="0FA813E3" w14:textId="77777777" w:rsidR="00775E4E" w:rsidRDefault="00775E4E" w:rsidP="00775E4E">
      <w:pPr>
        <w:pStyle w:val="Zkladntext3"/>
        <w:ind w:left="567"/>
        <w:jc w:val="lef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2386"/>
        <w:gridCol w:w="3642"/>
      </w:tblGrid>
      <w:tr w:rsidR="00775E4E" w14:paraId="0FCB7E04" w14:textId="77777777" w:rsidTr="00E3022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AAA1" w14:textId="77777777" w:rsidR="00775E4E" w:rsidRDefault="00775E4E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Trieda orgánových systémov podľa </w:t>
            </w:r>
            <w:proofErr w:type="spellStart"/>
            <w:r>
              <w:rPr>
                <w:b/>
                <w:sz w:val="22"/>
                <w:szCs w:val="22"/>
              </w:rPr>
              <w:t>MedDRA</w:t>
            </w:r>
            <w:proofErr w:type="spellEnd"/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C10B" w14:textId="77777777" w:rsidR="00775E4E" w:rsidRDefault="00775E4E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Frekvencia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CC0B" w14:textId="77777777" w:rsidR="00775E4E" w:rsidRDefault="00775E4E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Nežiaduci účinok</w:t>
            </w:r>
          </w:p>
        </w:tc>
      </w:tr>
      <w:tr w:rsidR="00775E4E" w14:paraId="18F2CD8D" w14:textId="77777777" w:rsidTr="00E3022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25E4" w14:textId="77777777" w:rsidR="00775E4E" w:rsidRDefault="00775E4E">
            <w:pPr>
              <w:keepNext/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Poruchy nervového systému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456B" w14:textId="77777777" w:rsidR="00775E4E" w:rsidRDefault="00775E4E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veľmi zriedkavé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3C615" w14:textId="77777777" w:rsidR="00775E4E" w:rsidRDefault="00775E4E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bolesť hlavy</w:t>
            </w:r>
          </w:p>
        </w:tc>
      </w:tr>
      <w:tr w:rsidR="00775E4E" w14:paraId="5F8D1279" w14:textId="77777777" w:rsidTr="00E3022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5D5C" w14:textId="77777777" w:rsidR="00775E4E" w:rsidRDefault="00775E4E">
            <w:pPr>
              <w:keepNext/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Poruchy dýchacej sústavy, hrudníka a </w:t>
            </w:r>
            <w:proofErr w:type="spellStart"/>
            <w:r>
              <w:rPr>
                <w:sz w:val="22"/>
                <w:szCs w:val="22"/>
              </w:rPr>
              <w:t>mediastína</w:t>
            </w:r>
            <w:proofErr w:type="spellEnd"/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62AB" w14:textId="77777777" w:rsidR="00775E4E" w:rsidRDefault="00775E4E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veľmi zriedkavé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2890" w14:textId="77777777" w:rsidR="00775E4E" w:rsidRDefault="00775E4E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prechladnutie, dýchavičnosť</w:t>
            </w:r>
          </w:p>
        </w:tc>
      </w:tr>
      <w:tr w:rsidR="00775E4E" w14:paraId="269D4739" w14:textId="77777777" w:rsidTr="00E3022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9708" w14:textId="77777777" w:rsidR="00775E4E" w:rsidRDefault="00775E4E">
            <w:pPr>
              <w:keepNext/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Poruchy gastrointestinálneho traktu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D70A" w14:textId="77777777" w:rsidR="00775E4E" w:rsidRDefault="00775E4E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veľmi zriedkavé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58E6" w14:textId="77777777" w:rsidR="00775E4E" w:rsidRDefault="00775E4E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zmeny chuti, nevoľnosť, vracanie, hnačka, bolesť v </w:t>
            </w:r>
            <w:proofErr w:type="spellStart"/>
            <w:r>
              <w:rPr>
                <w:sz w:val="22"/>
                <w:szCs w:val="22"/>
              </w:rPr>
              <w:t>epigastriu</w:t>
            </w:r>
            <w:proofErr w:type="spellEnd"/>
          </w:p>
        </w:tc>
      </w:tr>
      <w:tr w:rsidR="00775E4E" w14:paraId="062C7775" w14:textId="77777777" w:rsidTr="00E3022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1D1C" w14:textId="77777777" w:rsidR="00775E4E" w:rsidRDefault="00775E4E">
            <w:pPr>
              <w:keepNext/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Poruchy kože a podkožného tkaniva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BF59" w14:textId="77777777" w:rsidR="00775E4E" w:rsidRDefault="00775E4E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veľmi zriedkavé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7CB1" w14:textId="77777777" w:rsidR="00775E4E" w:rsidRDefault="00775E4E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žihľavka, začervenanie, ekzém</w:t>
            </w:r>
          </w:p>
        </w:tc>
      </w:tr>
    </w:tbl>
    <w:p w14:paraId="72EF7F38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</w:p>
    <w:p w14:paraId="68F07EA1" w14:textId="77777777" w:rsidR="00775E4E" w:rsidRDefault="00775E4E" w:rsidP="00775E4E">
      <w:pPr>
        <w:pStyle w:val="Default"/>
        <w:keepNext/>
        <w:tabs>
          <w:tab w:val="left" w:pos="567"/>
        </w:tabs>
        <w:rPr>
          <w:color w:val="auto"/>
          <w:sz w:val="22"/>
          <w:szCs w:val="22"/>
          <w:u w:val="single"/>
          <w:lang w:val="sk-SK"/>
        </w:rPr>
      </w:pPr>
      <w:r>
        <w:rPr>
          <w:color w:val="auto"/>
          <w:sz w:val="22"/>
          <w:szCs w:val="22"/>
          <w:u w:val="single"/>
          <w:lang w:val="sk-SK"/>
        </w:rPr>
        <w:t>Hlásenie podozrení na nežiaduce reakcie</w:t>
      </w:r>
    </w:p>
    <w:p w14:paraId="6D36C6EB" w14:textId="77777777" w:rsidR="00775E4E" w:rsidRDefault="00775E4E" w:rsidP="00775E4E">
      <w:pPr>
        <w:pStyle w:val="Default"/>
        <w:tabs>
          <w:tab w:val="left" w:pos="567"/>
        </w:tabs>
        <w:rPr>
          <w:color w:val="auto"/>
          <w:sz w:val="22"/>
          <w:szCs w:val="22"/>
          <w:lang w:val="sk-SK"/>
        </w:rPr>
      </w:pPr>
      <w:r>
        <w:rPr>
          <w:color w:val="auto"/>
          <w:sz w:val="22"/>
          <w:szCs w:val="22"/>
          <w:lang w:val="sk-SK"/>
        </w:rPr>
        <w:t>Hlásenie podozrení na nežiaduce reakcie po registrácii lieku je dôležité. Umožňuje priebežné monitorovanie pomeru prínosu a rizika lieku. Od zdravotníckych pracovníkov sa vyžaduje, aby hlásili akékoľvek podozrenia na nežiaduce reakcie na</w:t>
      </w:r>
      <w:r>
        <w:rPr>
          <w:noProof/>
          <w:color w:val="auto"/>
          <w:sz w:val="22"/>
          <w:szCs w:val="22"/>
          <w:lang w:val="sk-SK"/>
        </w:rPr>
        <w:t xml:space="preserve"> </w:t>
      </w:r>
      <w:r>
        <w:rPr>
          <w:noProof/>
          <w:color w:val="auto"/>
          <w:sz w:val="22"/>
          <w:szCs w:val="22"/>
          <w:highlight w:val="lightGray"/>
          <w:lang w:val="sk-SK" w:eastAsia="sk-SK"/>
        </w:rPr>
        <w:t>národné centrum hlásenia uvedené v </w:t>
      </w:r>
      <w:hyperlink r:id="rId7" w:history="1">
        <w:r>
          <w:rPr>
            <w:rStyle w:val="Hypertextovprepojenie"/>
            <w:noProof/>
            <w:color w:val="0000FF"/>
            <w:sz w:val="22"/>
            <w:szCs w:val="22"/>
            <w:highlight w:val="lightGray"/>
            <w:lang w:val="sk-SK" w:eastAsia="sk-SK"/>
          </w:rPr>
          <w:t>Prílohe V</w:t>
        </w:r>
      </w:hyperlink>
      <w:r>
        <w:rPr>
          <w:noProof/>
          <w:color w:val="auto"/>
          <w:sz w:val="22"/>
          <w:szCs w:val="22"/>
          <w:lang w:val="sk-SK"/>
        </w:rPr>
        <w:t>.</w:t>
      </w:r>
    </w:p>
    <w:p w14:paraId="697A1CCE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</w:p>
    <w:p w14:paraId="0CAFF95C" w14:textId="77777777" w:rsidR="00775E4E" w:rsidRDefault="00775E4E" w:rsidP="00775E4E">
      <w:pPr>
        <w:pStyle w:val="Nadpis3"/>
        <w:tabs>
          <w:tab w:val="left" w:pos="567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4.9</w:t>
      </w:r>
      <w:r>
        <w:rPr>
          <w:rFonts w:ascii="Times New Roman" w:hAnsi="Times New Roman"/>
          <w:szCs w:val="22"/>
        </w:rPr>
        <w:tab/>
        <w:t>Predávkovanie</w:t>
      </w:r>
    </w:p>
    <w:p w14:paraId="55FDEED3" w14:textId="77777777" w:rsidR="00775E4E" w:rsidRDefault="00775E4E" w:rsidP="00775E4E">
      <w:pPr>
        <w:keepNext/>
        <w:tabs>
          <w:tab w:val="left" w:pos="567"/>
        </w:tabs>
        <w:rPr>
          <w:sz w:val="22"/>
          <w:szCs w:val="22"/>
        </w:rPr>
      </w:pPr>
    </w:p>
    <w:p w14:paraId="09BFFB88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Doteraz nebol popísaný žiadny prípad predávkovania.</w:t>
      </w:r>
    </w:p>
    <w:p w14:paraId="252152F2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Dávky vyššie ako odporúčané (1 200 mg/deň) môžu spôsobiť potenie, závraty a návaly tepla. Po užití vysokých dávok lieku ERDOMED je možné očakávať častejší výskyt nežiaducich účinkov uvedených v časti 4.8, najmä účinky na gastrointestinálny trakt.</w:t>
      </w:r>
    </w:p>
    <w:p w14:paraId="0A77CCC8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V prípade predávkovania sa odporúča symptomatická liečba a zvyčajné podporné opatrenia.</w:t>
      </w:r>
    </w:p>
    <w:p w14:paraId="30F7D758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</w:p>
    <w:p w14:paraId="2F0D17C6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</w:p>
    <w:p w14:paraId="2455C160" w14:textId="77777777" w:rsidR="00775E4E" w:rsidRDefault="00775E4E" w:rsidP="00775E4E">
      <w:pPr>
        <w:keepNext/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ab/>
      </w:r>
      <w:r>
        <w:rPr>
          <w:b/>
          <w:caps/>
          <w:sz w:val="22"/>
          <w:szCs w:val="22"/>
        </w:rPr>
        <w:t>Farmakologické vlastnosti</w:t>
      </w:r>
    </w:p>
    <w:p w14:paraId="08E84D6E" w14:textId="77777777" w:rsidR="00775E4E" w:rsidRDefault="00775E4E" w:rsidP="00775E4E">
      <w:pPr>
        <w:pStyle w:val="Nadpis3"/>
        <w:tabs>
          <w:tab w:val="left" w:pos="567"/>
        </w:tabs>
        <w:rPr>
          <w:rFonts w:ascii="Times New Roman" w:hAnsi="Times New Roman"/>
          <w:i/>
          <w:szCs w:val="22"/>
        </w:rPr>
      </w:pPr>
    </w:p>
    <w:p w14:paraId="52EF285C" w14:textId="77777777" w:rsidR="00775E4E" w:rsidRDefault="00775E4E" w:rsidP="00775E4E">
      <w:pPr>
        <w:pStyle w:val="Nadpis3"/>
        <w:tabs>
          <w:tab w:val="left" w:pos="567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5.1</w:t>
      </w:r>
      <w:r>
        <w:rPr>
          <w:rFonts w:ascii="Times New Roman" w:hAnsi="Times New Roman"/>
          <w:szCs w:val="22"/>
        </w:rPr>
        <w:tab/>
      </w:r>
      <w:proofErr w:type="spellStart"/>
      <w:r>
        <w:rPr>
          <w:rFonts w:ascii="Times New Roman" w:hAnsi="Times New Roman"/>
          <w:szCs w:val="22"/>
        </w:rPr>
        <w:t>Farmakodynamické</w:t>
      </w:r>
      <w:proofErr w:type="spellEnd"/>
      <w:r>
        <w:rPr>
          <w:rFonts w:ascii="Times New Roman" w:hAnsi="Times New Roman"/>
          <w:szCs w:val="22"/>
        </w:rPr>
        <w:t xml:space="preserve"> vlastnosti</w:t>
      </w:r>
    </w:p>
    <w:p w14:paraId="3BEC427D" w14:textId="77777777" w:rsidR="00775E4E" w:rsidRDefault="00775E4E" w:rsidP="00775E4E">
      <w:pPr>
        <w:keepNext/>
        <w:tabs>
          <w:tab w:val="left" w:pos="567"/>
        </w:tabs>
        <w:rPr>
          <w:i/>
          <w:sz w:val="22"/>
          <w:szCs w:val="22"/>
        </w:rPr>
      </w:pPr>
    </w:p>
    <w:p w14:paraId="71BF92EB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Farmakoterapeutická</w:t>
      </w:r>
      <w:proofErr w:type="spellEnd"/>
      <w:r>
        <w:rPr>
          <w:sz w:val="22"/>
          <w:szCs w:val="22"/>
        </w:rPr>
        <w:t xml:space="preserve"> skupina: </w:t>
      </w:r>
      <w:proofErr w:type="spellStart"/>
      <w:r>
        <w:rPr>
          <w:sz w:val="22"/>
          <w:szCs w:val="22"/>
        </w:rPr>
        <w:t>antitusiká</w:t>
      </w:r>
      <w:proofErr w:type="spellEnd"/>
      <w:r>
        <w:rPr>
          <w:sz w:val="22"/>
          <w:szCs w:val="22"/>
        </w:rPr>
        <w:t xml:space="preserve"> a lieky proti nachladnutiu, </w:t>
      </w:r>
      <w:proofErr w:type="spellStart"/>
      <w:r>
        <w:rPr>
          <w:sz w:val="22"/>
          <w:szCs w:val="22"/>
        </w:rPr>
        <w:t>mukolytiká</w:t>
      </w:r>
      <w:proofErr w:type="spellEnd"/>
      <w:r>
        <w:rPr>
          <w:sz w:val="22"/>
          <w:szCs w:val="22"/>
        </w:rPr>
        <w:t>, ATC kód: R05CB15</w:t>
      </w:r>
    </w:p>
    <w:p w14:paraId="5D743595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</w:p>
    <w:p w14:paraId="4E388AD7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Erdosteín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mukomodulačná</w:t>
      </w:r>
      <w:proofErr w:type="spellEnd"/>
      <w:r>
        <w:rPr>
          <w:sz w:val="22"/>
          <w:szCs w:val="22"/>
        </w:rPr>
        <w:t xml:space="preserve"> látka, ktorá pôsobí prostredníctvom svojich aktívnych metabolitov. Metabolity obsahujú voľné </w:t>
      </w:r>
      <w:proofErr w:type="spellStart"/>
      <w:r>
        <w:rPr>
          <w:sz w:val="22"/>
          <w:szCs w:val="22"/>
        </w:rPr>
        <w:t>tiolové</w:t>
      </w:r>
      <w:proofErr w:type="spellEnd"/>
      <w:r>
        <w:rPr>
          <w:sz w:val="22"/>
          <w:szCs w:val="22"/>
        </w:rPr>
        <w:t xml:space="preserve"> skupiny, ktoré rušia </w:t>
      </w:r>
      <w:proofErr w:type="spellStart"/>
      <w:r>
        <w:rPr>
          <w:sz w:val="22"/>
          <w:szCs w:val="22"/>
        </w:rPr>
        <w:t>disulfidické</w:t>
      </w:r>
      <w:proofErr w:type="spellEnd"/>
      <w:r>
        <w:rPr>
          <w:sz w:val="22"/>
          <w:szCs w:val="22"/>
        </w:rPr>
        <w:t xml:space="preserve"> mostíky viažuce vlákna </w:t>
      </w:r>
      <w:proofErr w:type="spellStart"/>
      <w:r>
        <w:rPr>
          <w:sz w:val="22"/>
          <w:szCs w:val="22"/>
        </w:rPr>
        <w:t>glykoproteínov</w:t>
      </w:r>
      <w:proofErr w:type="spellEnd"/>
      <w:r>
        <w:rPr>
          <w:sz w:val="22"/>
          <w:szCs w:val="22"/>
        </w:rPr>
        <w:t xml:space="preserve"> a spôsobujú tak zníženie elasticity a viskozity hlienu. Výsledkom je zlepšenie </w:t>
      </w:r>
      <w:proofErr w:type="spellStart"/>
      <w:r>
        <w:rPr>
          <w:sz w:val="22"/>
          <w:szCs w:val="22"/>
        </w:rPr>
        <w:t>mukociliárneho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klírensu</w:t>
      </w:r>
      <w:proofErr w:type="spellEnd"/>
      <w:r>
        <w:rPr>
          <w:sz w:val="22"/>
          <w:szCs w:val="22"/>
        </w:rPr>
        <w:t xml:space="preserve"> v respiračnom trakte a zefektívnenie </w:t>
      </w:r>
      <w:proofErr w:type="spellStart"/>
      <w:r>
        <w:rPr>
          <w:sz w:val="22"/>
          <w:szCs w:val="22"/>
        </w:rPr>
        <w:t>mukociliárneho</w:t>
      </w:r>
      <w:proofErr w:type="spellEnd"/>
      <w:r>
        <w:rPr>
          <w:sz w:val="22"/>
          <w:szCs w:val="22"/>
        </w:rPr>
        <w:t xml:space="preserve"> mechanizmu pri odstraňovaní hlienových a </w:t>
      </w:r>
      <w:proofErr w:type="spellStart"/>
      <w:r>
        <w:rPr>
          <w:sz w:val="22"/>
          <w:szCs w:val="22"/>
        </w:rPr>
        <w:t>hlienovohnisavých</w:t>
      </w:r>
      <w:proofErr w:type="spellEnd"/>
      <w:r>
        <w:rPr>
          <w:sz w:val="22"/>
          <w:szCs w:val="22"/>
        </w:rPr>
        <w:t xml:space="preserve"> sekrétov z horných a dolných dýchacích ciest.</w:t>
      </w:r>
    </w:p>
    <w:p w14:paraId="6A3341A7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Erdosteín</w:t>
      </w:r>
      <w:proofErr w:type="spellEnd"/>
      <w:r>
        <w:rPr>
          <w:sz w:val="22"/>
          <w:szCs w:val="22"/>
        </w:rPr>
        <w:t xml:space="preserve"> tiež znižuje </w:t>
      </w:r>
      <w:proofErr w:type="spellStart"/>
      <w:r>
        <w:rPr>
          <w:sz w:val="22"/>
          <w:szCs w:val="22"/>
        </w:rPr>
        <w:t>adhezívnu</w:t>
      </w:r>
      <w:proofErr w:type="spellEnd"/>
      <w:r>
        <w:rPr>
          <w:sz w:val="22"/>
          <w:szCs w:val="22"/>
        </w:rPr>
        <w:t xml:space="preserve"> schopnosť G+ a G- baktérií na epitel dýchacích ciest. Tento antibakteriálny a </w:t>
      </w:r>
      <w:proofErr w:type="spellStart"/>
      <w:r>
        <w:rPr>
          <w:sz w:val="22"/>
          <w:szCs w:val="22"/>
        </w:rPr>
        <w:t>antiadhezívny</w:t>
      </w:r>
      <w:proofErr w:type="spellEnd"/>
      <w:r>
        <w:rPr>
          <w:sz w:val="22"/>
          <w:szCs w:val="22"/>
        </w:rPr>
        <w:t xml:space="preserve"> účinok, ktorý bol preukázaný </w:t>
      </w:r>
      <w:r>
        <w:rPr>
          <w:i/>
          <w:sz w:val="22"/>
          <w:szCs w:val="22"/>
        </w:rPr>
        <w:t>in vitro</w:t>
      </w:r>
      <w:r>
        <w:rPr>
          <w:sz w:val="22"/>
          <w:szCs w:val="22"/>
        </w:rPr>
        <w:t xml:space="preserve">, môže redukovať kolonizáciu baktérií a znížiť riziko bakteriálnej </w:t>
      </w:r>
      <w:proofErr w:type="spellStart"/>
      <w:r>
        <w:rPr>
          <w:sz w:val="22"/>
          <w:szCs w:val="22"/>
        </w:rPr>
        <w:t>superinfekcie</w:t>
      </w:r>
      <w:proofErr w:type="spellEnd"/>
      <w:r>
        <w:rPr>
          <w:sz w:val="22"/>
          <w:szCs w:val="22"/>
        </w:rPr>
        <w:t>.</w:t>
      </w:r>
    </w:p>
    <w:p w14:paraId="4B6AA4EB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Erdosteín</w:t>
      </w:r>
      <w:proofErr w:type="spellEnd"/>
      <w:r>
        <w:rPr>
          <w:sz w:val="22"/>
          <w:szCs w:val="22"/>
        </w:rPr>
        <w:t xml:space="preserve"> tiež pôsobí ako </w:t>
      </w:r>
      <w:proofErr w:type="spellStart"/>
      <w:r>
        <w:rPr>
          <w:sz w:val="22"/>
          <w:szCs w:val="22"/>
        </w:rPr>
        <w:t>scavenger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vychytávač</w:t>
      </w:r>
      <w:proofErr w:type="spellEnd"/>
      <w:r>
        <w:rPr>
          <w:sz w:val="22"/>
          <w:szCs w:val="22"/>
        </w:rPr>
        <w:t xml:space="preserve">) voľných kyslíkových radikálov, zabraňuje ich tvorbe </w:t>
      </w:r>
      <w:r>
        <w:rPr>
          <w:i/>
          <w:sz w:val="22"/>
          <w:szCs w:val="22"/>
        </w:rPr>
        <w:t>in situ</w:t>
      </w:r>
      <w:r>
        <w:rPr>
          <w:sz w:val="22"/>
          <w:szCs w:val="22"/>
        </w:rPr>
        <w:t xml:space="preserve"> a významne znižuje hladiny 8-izoprostánu (známy </w:t>
      </w:r>
      <w:proofErr w:type="spellStart"/>
      <w:r>
        <w:rPr>
          <w:sz w:val="22"/>
          <w:szCs w:val="22"/>
        </w:rPr>
        <w:t>biomarker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lipidovej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peroxidácie</w:t>
      </w:r>
      <w:proofErr w:type="spellEnd"/>
      <w:r>
        <w:rPr>
          <w:sz w:val="22"/>
          <w:szCs w:val="22"/>
        </w:rPr>
        <w:t xml:space="preserve">). </w:t>
      </w:r>
      <w:proofErr w:type="spellStart"/>
      <w:r>
        <w:rPr>
          <w:sz w:val="22"/>
          <w:szCs w:val="22"/>
        </w:rPr>
        <w:t>Erdosteín</w:t>
      </w:r>
      <w:proofErr w:type="spellEnd"/>
      <w:r>
        <w:rPr>
          <w:sz w:val="22"/>
          <w:szCs w:val="22"/>
        </w:rPr>
        <w:t xml:space="preserve"> tiež preukázal protizápalový účinok </w:t>
      </w:r>
      <w:r>
        <w:rPr>
          <w:i/>
          <w:sz w:val="22"/>
          <w:szCs w:val="22"/>
        </w:rPr>
        <w:t>in vitro</w:t>
      </w:r>
      <w:r>
        <w:rPr>
          <w:sz w:val="22"/>
          <w:szCs w:val="22"/>
        </w:rPr>
        <w:t xml:space="preserve"> a </w:t>
      </w:r>
      <w:r>
        <w:rPr>
          <w:i/>
          <w:sz w:val="22"/>
          <w:szCs w:val="22"/>
        </w:rPr>
        <w:t xml:space="preserve">in </w:t>
      </w:r>
      <w:proofErr w:type="spellStart"/>
      <w:r>
        <w:rPr>
          <w:i/>
          <w:sz w:val="22"/>
          <w:szCs w:val="22"/>
        </w:rPr>
        <w:t>vivo</w:t>
      </w:r>
      <w:proofErr w:type="spellEnd"/>
      <w:r>
        <w:rPr>
          <w:sz w:val="22"/>
          <w:szCs w:val="22"/>
        </w:rPr>
        <w:t xml:space="preserve">, kde toto liečivo môže spôsobiť zníženie hladín niektorých </w:t>
      </w:r>
      <w:proofErr w:type="spellStart"/>
      <w:r>
        <w:rPr>
          <w:sz w:val="22"/>
          <w:szCs w:val="22"/>
        </w:rPr>
        <w:t>prozápalovych</w:t>
      </w:r>
      <w:proofErr w:type="spellEnd"/>
      <w:r>
        <w:rPr>
          <w:sz w:val="22"/>
          <w:szCs w:val="22"/>
        </w:rPr>
        <w:t xml:space="preserve"> cytokínov (napr. IL-6, IL-8).</w:t>
      </w:r>
    </w:p>
    <w:p w14:paraId="5545B1DF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Pôsobí proti inhibícii alfa-1-antitrypsínu smogom a tabakovým dymom, čím zabraňuje poškodeniu dýchacích ciest týmito látkami.</w:t>
      </w:r>
    </w:p>
    <w:p w14:paraId="6DC5A46E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Okrem toho </w:t>
      </w:r>
      <w:proofErr w:type="spellStart"/>
      <w:r>
        <w:rPr>
          <w:sz w:val="22"/>
          <w:szCs w:val="22"/>
        </w:rPr>
        <w:t>erdosteín</w:t>
      </w:r>
      <w:proofErr w:type="spellEnd"/>
      <w:r>
        <w:rPr>
          <w:sz w:val="22"/>
          <w:szCs w:val="22"/>
        </w:rPr>
        <w:t xml:space="preserve"> zvyšuje koncentrácie </w:t>
      </w:r>
      <w:proofErr w:type="spellStart"/>
      <w:r>
        <w:rPr>
          <w:sz w:val="22"/>
          <w:szCs w:val="22"/>
        </w:rPr>
        <w:t>IgA</w:t>
      </w:r>
      <w:proofErr w:type="spellEnd"/>
      <w:r>
        <w:rPr>
          <w:sz w:val="22"/>
          <w:szCs w:val="22"/>
        </w:rPr>
        <w:t xml:space="preserve"> v dýchacích cestách u pacientov s CHOCHP a bráni inhibícii </w:t>
      </w:r>
      <w:proofErr w:type="spellStart"/>
      <w:r>
        <w:rPr>
          <w:sz w:val="22"/>
          <w:szCs w:val="22"/>
        </w:rPr>
        <w:t>granulocytov</w:t>
      </w:r>
      <w:proofErr w:type="spellEnd"/>
      <w:r>
        <w:rPr>
          <w:sz w:val="22"/>
          <w:szCs w:val="22"/>
        </w:rPr>
        <w:t xml:space="preserve"> spôsobenej fajčením. </w:t>
      </w:r>
      <w:proofErr w:type="spellStart"/>
      <w:r>
        <w:rPr>
          <w:sz w:val="22"/>
          <w:szCs w:val="22"/>
        </w:rPr>
        <w:t>Erdosteín</w:t>
      </w:r>
      <w:proofErr w:type="spellEnd"/>
      <w:r>
        <w:rPr>
          <w:sz w:val="22"/>
          <w:szCs w:val="22"/>
        </w:rPr>
        <w:t xml:space="preserve"> tiež zvyšuje koncentráciu </w:t>
      </w:r>
      <w:proofErr w:type="spellStart"/>
      <w:r>
        <w:rPr>
          <w:sz w:val="22"/>
          <w:szCs w:val="22"/>
        </w:rPr>
        <w:t>amoxicilínu</w:t>
      </w:r>
      <w:proofErr w:type="spellEnd"/>
      <w:r>
        <w:rPr>
          <w:sz w:val="22"/>
          <w:szCs w:val="22"/>
        </w:rPr>
        <w:t xml:space="preserve"> v bronchiálnom sekréte, a preto ich súbežné podávanie má rýchlejší nástup účinku v porovnaní s </w:t>
      </w:r>
      <w:proofErr w:type="spellStart"/>
      <w:r>
        <w:rPr>
          <w:sz w:val="22"/>
          <w:szCs w:val="22"/>
        </w:rPr>
        <w:t>monoterapiou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amoxicilínom</w:t>
      </w:r>
      <w:proofErr w:type="spellEnd"/>
      <w:r>
        <w:rPr>
          <w:sz w:val="22"/>
          <w:szCs w:val="22"/>
        </w:rPr>
        <w:t xml:space="preserve">. U pacientov s CHOCHP viedla 8-mesačná liečba </w:t>
      </w:r>
      <w:proofErr w:type="spellStart"/>
      <w:r>
        <w:rPr>
          <w:sz w:val="22"/>
          <w:szCs w:val="22"/>
        </w:rPr>
        <w:t>erdosteínom</w:t>
      </w:r>
      <w:proofErr w:type="spellEnd"/>
      <w:r>
        <w:rPr>
          <w:sz w:val="22"/>
          <w:szCs w:val="22"/>
        </w:rPr>
        <w:t xml:space="preserve"> k zníženiu počtu akútnych </w:t>
      </w:r>
      <w:proofErr w:type="spellStart"/>
      <w:r>
        <w:rPr>
          <w:sz w:val="22"/>
          <w:szCs w:val="22"/>
        </w:rPr>
        <w:t>exacerbácií</w:t>
      </w:r>
      <w:proofErr w:type="spellEnd"/>
      <w:r>
        <w:rPr>
          <w:sz w:val="22"/>
          <w:szCs w:val="22"/>
        </w:rPr>
        <w:t xml:space="preserve"> a k zlepšeniu kvality života.</w:t>
      </w:r>
    </w:p>
    <w:p w14:paraId="524209CB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</w:p>
    <w:p w14:paraId="4A7E9812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Maximálny účinok </w:t>
      </w:r>
      <w:proofErr w:type="spellStart"/>
      <w:r>
        <w:rPr>
          <w:sz w:val="22"/>
          <w:szCs w:val="22"/>
        </w:rPr>
        <w:t>erdosteínu</w:t>
      </w:r>
      <w:proofErr w:type="spellEnd"/>
      <w:r>
        <w:rPr>
          <w:sz w:val="22"/>
          <w:szCs w:val="22"/>
        </w:rPr>
        <w:t xml:space="preserve"> nastupuje po približne 3 až 4 dňoch liečby. </w:t>
      </w:r>
      <w:proofErr w:type="spellStart"/>
      <w:r>
        <w:rPr>
          <w:sz w:val="22"/>
          <w:szCs w:val="22"/>
        </w:rPr>
        <w:t>Erdosteín</w:t>
      </w:r>
      <w:proofErr w:type="spellEnd"/>
      <w:r>
        <w:rPr>
          <w:sz w:val="22"/>
          <w:szCs w:val="22"/>
        </w:rPr>
        <w:t xml:space="preserve"> samotný neobsahuje voľné SH-radikály, a preto má pri odporúčaných dávkach veľmi slabý účinok na gastrointestinálny trakt (GIT) a jeho nežiaduce účinky na GIT sa nelíšia od nežiaducich účinkov pozorovaných pri podávaní placeba.</w:t>
      </w:r>
    </w:p>
    <w:p w14:paraId="759CD6E2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</w:p>
    <w:p w14:paraId="1CEC8EF8" w14:textId="77777777" w:rsidR="00775E4E" w:rsidRDefault="00775E4E" w:rsidP="00775E4E">
      <w:pPr>
        <w:keepNext/>
        <w:tabs>
          <w:tab w:val="left" w:pos="567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Pediatrická populácia</w:t>
      </w:r>
    </w:p>
    <w:p w14:paraId="3A35851A" w14:textId="77777777" w:rsidR="00775E4E" w:rsidRDefault="00775E4E" w:rsidP="00775E4E">
      <w:pPr>
        <w:rPr>
          <w:sz w:val="22"/>
          <w:szCs w:val="22"/>
        </w:rPr>
      </w:pPr>
      <w:r>
        <w:rPr>
          <w:sz w:val="22"/>
          <w:szCs w:val="22"/>
        </w:rPr>
        <w:t xml:space="preserve">Dvojito zaslepené placebom kontrolované klinické skúšanie sa vykonalo v pediatrickej populácii (vekové rozmedzie 2 – 15 rokov, priemer 6,9 rokov) s diagnózou akútneho ochorenia dolných dýchacích ciest (akútna bronchitída, </w:t>
      </w:r>
      <w:proofErr w:type="spellStart"/>
      <w:r>
        <w:rPr>
          <w:sz w:val="22"/>
          <w:szCs w:val="22"/>
        </w:rPr>
        <w:t>tracheobronchitída</w:t>
      </w:r>
      <w:proofErr w:type="spellEnd"/>
      <w:r>
        <w:rPr>
          <w:sz w:val="22"/>
          <w:szCs w:val="22"/>
        </w:rPr>
        <w:t xml:space="preserve">, pneumónia) a súbežne liečenou sirupom s obsahom </w:t>
      </w:r>
      <w:proofErr w:type="spellStart"/>
      <w:r>
        <w:rPr>
          <w:sz w:val="22"/>
          <w:szCs w:val="22"/>
        </w:rPr>
        <w:t>amoxicilínu</w:t>
      </w:r>
      <w:proofErr w:type="spellEnd"/>
      <w:r>
        <w:rPr>
          <w:sz w:val="22"/>
          <w:szCs w:val="22"/>
        </w:rPr>
        <w:t xml:space="preserve">. Pacienti boli </w:t>
      </w:r>
      <w:proofErr w:type="spellStart"/>
      <w:r>
        <w:rPr>
          <w:sz w:val="22"/>
          <w:szCs w:val="22"/>
        </w:rPr>
        <w:t>randomizovaní</w:t>
      </w:r>
      <w:proofErr w:type="spellEnd"/>
      <w:r>
        <w:rPr>
          <w:sz w:val="22"/>
          <w:szCs w:val="22"/>
        </w:rPr>
        <w:t xml:space="preserve"> na podávanie </w:t>
      </w:r>
      <w:proofErr w:type="spellStart"/>
      <w:r>
        <w:rPr>
          <w:sz w:val="22"/>
          <w:szCs w:val="22"/>
        </w:rPr>
        <w:t>erdosteínu</w:t>
      </w:r>
      <w:proofErr w:type="spellEnd"/>
      <w:r>
        <w:rPr>
          <w:sz w:val="22"/>
          <w:szCs w:val="22"/>
        </w:rPr>
        <w:t xml:space="preserve"> vo forme granulátu v dávke 175 – 525 mg/deň (n=78) alebo dostávali placebo počas 7 ± 2 dní. Primárnym parametrom účinnosti bol kašeľ hodnotený podľa 100 mm vizuálnej analógovej škály (</w:t>
      </w:r>
      <w:proofErr w:type="spellStart"/>
      <w:r>
        <w:rPr>
          <w:sz w:val="22"/>
          <w:szCs w:val="22"/>
        </w:rPr>
        <w:t>visual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analogue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scale</w:t>
      </w:r>
      <w:proofErr w:type="spellEnd"/>
      <w:r>
        <w:rPr>
          <w:sz w:val="22"/>
          <w:szCs w:val="22"/>
        </w:rPr>
        <w:t xml:space="preserve">, VAS), kde 0 = bez kašľa a 100 = najzávažnejší kašeľ. Príznaky sa hodnotili na začiatku, 3. deň a na konci podávania. Bezpečnosť sa hodnotila pomocou sledovania nežiaducich udalostí, laboratórnych vyšetrení, meraní srdcovej frekvencie a krvného tlaku. U pacientov dostávajúcich </w:t>
      </w:r>
      <w:proofErr w:type="spellStart"/>
      <w:r>
        <w:rPr>
          <w:sz w:val="22"/>
          <w:szCs w:val="22"/>
        </w:rPr>
        <w:t>erdosteín</w:t>
      </w:r>
      <w:proofErr w:type="spellEnd"/>
      <w:r>
        <w:rPr>
          <w:sz w:val="22"/>
          <w:szCs w:val="22"/>
        </w:rPr>
        <w:t xml:space="preserve"> sa preukázalo štatisticky významne vyššie zníženie intenzity kašľa na 3. deň (46,8 % </w:t>
      </w:r>
      <w:proofErr w:type="spellStart"/>
      <w:r>
        <w:rPr>
          <w:sz w:val="22"/>
          <w:szCs w:val="22"/>
        </w:rPr>
        <w:t>vs</w:t>
      </w:r>
      <w:proofErr w:type="spellEnd"/>
      <w:r>
        <w:rPr>
          <w:sz w:val="22"/>
          <w:szCs w:val="22"/>
        </w:rPr>
        <w:t xml:space="preserve">. 33,4 %, p &lt; 0,0001) aj v deň ukončenia podávania (89,7 % </w:t>
      </w:r>
      <w:proofErr w:type="spellStart"/>
      <w:r>
        <w:rPr>
          <w:sz w:val="22"/>
          <w:szCs w:val="22"/>
        </w:rPr>
        <w:t>vs</w:t>
      </w:r>
      <w:proofErr w:type="spellEnd"/>
      <w:r>
        <w:rPr>
          <w:sz w:val="22"/>
          <w:szCs w:val="22"/>
        </w:rPr>
        <w:t xml:space="preserve">. 73,9 %, p &lt; 0,0001). </w:t>
      </w:r>
      <w:bookmarkStart w:id="4" w:name="_Hlk516579349"/>
      <w:r>
        <w:rPr>
          <w:sz w:val="22"/>
          <w:szCs w:val="22"/>
        </w:rPr>
        <w:t xml:space="preserve">Podobne bolo na 3. deň podávania </w:t>
      </w:r>
      <w:proofErr w:type="spellStart"/>
      <w:r>
        <w:rPr>
          <w:sz w:val="22"/>
          <w:szCs w:val="22"/>
        </w:rPr>
        <w:t>erdosteínu</w:t>
      </w:r>
      <w:proofErr w:type="spellEnd"/>
      <w:r>
        <w:rPr>
          <w:sz w:val="22"/>
          <w:szCs w:val="22"/>
        </w:rPr>
        <w:t xml:space="preserve"> významné aj zlepšenie posluchového nálezu – rachot a na konci podávania zlepšenie posluchového nálezu – chrapot. </w:t>
      </w:r>
      <w:bookmarkEnd w:id="4"/>
      <w:r>
        <w:rPr>
          <w:sz w:val="22"/>
          <w:szCs w:val="22"/>
        </w:rPr>
        <w:t xml:space="preserve">Znášanlivosť </w:t>
      </w:r>
      <w:proofErr w:type="spellStart"/>
      <w:r>
        <w:rPr>
          <w:sz w:val="22"/>
          <w:szCs w:val="22"/>
        </w:rPr>
        <w:t>erdosteínu</w:t>
      </w:r>
      <w:proofErr w:type="spellEnd"/>
      <w:r>
        <w:rPr>
          <w:sz w:val="22"/>
          <w:szCs w:val="22"/>
        </w:rPr>
        <w:t xml:space="preserve"> bola dobrá. Nehlásili sa žiadne nežiaduce udalosti a štatistická analýza nepotvrdila žiadne významné zmeny laboratórnych výsledkov okrem zmeny počtu leukocytov (WBC), rýchlosti sedimentácie erytrocytov (ESR), C-reaktívneho proteínu (CRP) a </w:t>
      </w:r>
      <w:proofErr w:type="spellStart"/>
      <w:r>
        <w:rPr>
          <w:sz w:val="22"/>
          <w:szCs w:val="22"/>
        </w:rPr>
        <w:t>glykoproteínov</w:t>
      </w:r>
      <w:proofErr w:type="spellEnd"/>
      <w:r>
        <w:rPr>
          <w:sz w:val="22"/>
          <w:szCs w:val="22"/>
        </w:rPr>
        <w:t>, ktoré boli všetky významne nižšie pri záverečnej kontrole v porovnaní s východiskovými hodnotami. Tieto zmeny odrážajú zotavenie pacientov z infekcie.</w:t>
      </w:r>
    </w:p>
    <w:p w14:paraId="32401B73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</w:p>
    <w:p w14:paraId="6069DEEC" w14:textId="77777777" w:rsidR="00775E4E" w:rsidRDefault="00775E4E" w:rsidP="00775E4E">
      <w:pPr>
        <w:pStyle w:val="Nadpis3"/>
        <w:tabs>
          <w:tab w:val="left" w:pos="567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5.2</w:t>
      </w:r>
      <w:r>
        <w:rPr>
          <w:rFonts w:ascii="Times New Roman" w:hAnsi="Times New Roman"/>
          <w:szCs w:val="22"/>
        </w:rPr>
        <w:tab/>
      </w:r>
      <w:proofErr w:type="spellStart"/>
      <w:r>
        <w:rPr>
          <w:rFonts w:ascii="Times New Roman" w:hAnsi="Times New Roman"/>
          <w:szCs w:val="22"/>
        </w:rPr>
        <w:t>Farmakokinetické</w:t>
      </w:r>
      <w:proofErr w:type="spellEnd"/>
      <w:r>
        <w:rPr>
          <w:rFonts w:ascii="Times New Roman" w:hAnsi="Times New Roman"/>
          <w:szCs w:val="22"/>
        </w:rPr>
        <w:t xml:space="preserve"> vlastnosti</w:t>
      </w:r>
    </w:p>
    <w:p w14:paraId="5899DCE6" w14:textId="77777777" w:rsidR="00775E4E" w:rsidRDefault="00775E4E" w:rsidP="00775E4E">
      <w:pPr>
        <w:pStyle w:val="Zkladntext2"/>
        <w:keepNext/>
        <w:tabs>
          <w:tab w:val="left" w:pos="567"/>
        </w:tabs>
        <w:rPr>
          <w:sz w:val="22"/>
          <w:szCs w:val="22"/>
          <w:u w:val="single"/>
        </w:rPr>
      </w:pPr>
    </w:p>
    <w:p w14:paraId="21BC433E" w14:textId="77777777" w:rsidR="00775E4E" w:rsidRDefault="00775E4E" w:rsidP="00775E4E">
      <w:pPr>
        <w:pStyle w:val="Zkladntext2"/>
        <w:keepNext/>
        <w:tabs>
          <w:tab w:val="left" w:pos="567"/>
        </w:tabs>
        <w:ind w:left="1134" w:hanging="1134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Absorpcia a </w:t>
      </w:r>
      <w:proofErr w:type="spellStart"/>
      <w:r>
        <w:rPr>
          <w:sz w:val="22"/>
          <w:szCs w:val="22"/>
          <w:u w:val="single"/>
        </w:rPr>
        <w:t>biotransformácia</w:t>
      </w:r>
      <w:proofErr w:type="spellEnd"/>
    </w:p>
    <w:p w14:paraId="4E6C5346" w14:textId="77777777" w:rsidR="00775E4E" w:rsidRDefault="00775E4E" w:rsidP="00775E4E">
      <w:pPr>
        <w:pStyle w:val="Zkladntext2"/>
        <w:tabs>
          <w:tab w:val="left" w:pos="56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Erdosteín</w:t>
      </w:r>
      <w:proofErr w:type="spellEnd"/>
      <w:r>
        <w:rPr>
          <w:sz w:val="22"/>
          <w:szCs w:val="22"/>
        </w:rPr>
        <w:t xml:space="preserve"> sa v pečeni rýchlo absorbuje a metabolizuje na najmenej 3 aktívne metabolity, z ktorých je najviac zastúpený (v %) a najaktívnejší N-</w:t>
      </w:r>
      <w:proofErr w:type="spellStart"/>
      <w:r>
        <w:rPr>
          <w:sz w:val="22"/>
          <w:szCs w:val="22"/>
        </w:rPr>
        <w:t>tiodiglykolyl</w:t>
      </w:r>
      <w:proofErr w:type="spellEnd"/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homocysteín</w:t>
      </w:r>
      <w:proofErr w:type="spellEnd"/>
      <w:r>
        <w:rPr>
          <w:sz w:val="22"/>
          <w:szCs w:val="22"/>
        </w:rPr>
        <w:t xml:space="preserve"> (Metabolit 1 alebo M1). Hlavné </w:t>
      </w:r>
      <w:proofErr w:type="spellStart"/>
      <w:r>
        <w:rPr>
          <w:sz w:val="22"/>
          <w:szCs w:val="22"/>
        </w:rPr>
        <w:t>farmakokinetické</w:t>
      </w:r>
      <w:proofErr w:type="spellEnd"/>
      <w:r>
        <w:rPr>
          <w:sz w:val="22"/>
          <w:szCs w:val="22"/>
        </w:rPr>
        <w:t xml:space="preserve"> parametre sú (uvedené na základe hladín M1): </w:t>
      </w:r>
      <w:proofErr w:type="spellStart"/>
      <w:r>
        <w:rPr>
          <w:sz w:val="22"/>
          <w:szCs w:val="22"/>
        </w:rPr>
        <w:t>C</w:t>
      </w:r>
      <w:r>
        <w:rPr>
          <w:sz w:val="22"/>
          <w:szCs w:val="22"/>
          <w:vertAlign w:val="subscript"/>
        </w:rPr>
        <w:t>max</w:t>
      </w:r>
      <w:proofErr w:type="spellEnd"/>
      <w:r>
        <w:rPr>
          <w:sz w:val="22"/>
          <w:szCs w:val="22"/>
        </w:rPr>
        <w:t>: 3,46 </w:t>
      </w:r>
      <w:r>
        <w:rPr>
          <w:sz w:val="22"/>
          <w:szCs w:val="22"/>
          <w:lang w:val="en-GB"/>
        </w:rPr>
        <w:t>µ</w:t>
      </w:r>
      <w:r>
        <w:rPr>
          <w:sz w:val="22"/>
          <w:szCs w:val="22"/>
        </w:rPr>
        <w:t xml:space="preserve">g/ml; </w:t>
      </w:r>
      <w:proofErr w:type="spellStart"/>
      <w:r>
        <w:rPr>
          <w:sz w:val="22"/>
          <w:szCs w:val="22"/>
        </w:rPr>
        <w:t>T</w:t>
      </w:r>
      <w:r>
        <w:rPr>
          <w:sz w:val="22"/>
          <w:szCs w:val="22"/>
          <w:vertAlign w:val="subscript"/>
        </w:rPr>
        <w:t>max</w:t>
      </w:r>
      <w:proofErr w:type="spellEnd"/>
      <w:r>
        <w:rPr>
          <w:sz w:val="22"/>
          <w:szCs w:val="22"/>
        </w:rPr>
        <w:t xml:space="preserve">: 1,48 hod; AUC (0-24 hod): 12,09 mg/l/hod. Miera väzby </w:t>
      </w:r>
      <w:proofErr w:type="spellStart"/>
      <w:r>
        <w:rPr>
          <w:sz w:val="22"/>
          <w:szCs w:val="22"/>
        </w:rPr>
        <w:t>erdosteínu</w:t>
      </w:r>
      <w:proofErr w:type="spellEnd"/>
      <w:r>
        <w:rPr>
          <w:sz w:val="22"/>
          <w:szCs w:val="22"/>
        </w:rPr>
        <w:t xml:space="preserve"> na proteín je 64,5 %.</w:t>
      </w:r>
    </w:p>
    <w:p w14:paraId="2CC395A6" w14:textId="77777777" w:rsidR="00775E4E" w:rsidRDefault="00775E4E" w:rsidP="00775E4E">
      <w:pPr>
        <w:pStyle w:val="Zkladntext2"/>
        <w:tabs>
          <w:tab w:val="left" w:pos="567"/>
        </w:tabs>
        <w:rPr>
          <w:sz w:val="22"/>
          <w:szCs w:val="22"/>
        </w:rPr>
      </w:pPr>
    </w:p>
    <w:p w14:paraId="6650C663" w14:textId="77777777" w:rsidR="00775E4E" w:rsidRDefault="00775E4E" w:rsidP="00775E4E">
      <w:pPr>
        <w:pStyle w:val="Zkladntext2"/>
        <w:keepNext/>
        <w:tabs>
          <w:tab w:val="left" w:pos="567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Eliminácia</w:t>
      </w:r>
    </w:p>
    <w:p w14:paraId="43D7AFF0" w14:textId="77777777" w:rsidR="00775E4E" w:rsidRDefault="00775E4E" w:rsidP="00775E4E">
      <w:pPr>
        <w:pStyle w:val="Zkladntext2"/>
        <w:tabs>
          <w:tab w:val="left" w:pos="56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Erdosteín</w:t>
      </w:r>
      <w:proofErr w:type="spellEnd"/>
      <w:r>
        <w:rPr>
          <w:sz w:val="22"/>
          <w:szCs w:val="22"/>
        </w:rPr>
        <w:t xml:space="preserve"> sa vylučuje močom a stolicou, kde sa zistili iba anorganické sulfáty. Polčas eliminácie (celého lieku, 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erdosteínu</w:t>
      </w:r>
      <w:proofErr w:type="spellEnd"/>
      <w:r>
        <w:rPr>
          <w:sz w:val="22"/>
          <w:szCs w:val="22"/>
        </w:rPr>
        <w:t xml:space="preserve"> a jeho metabolitov) je </w:t>
      </w:r>
      <w:r>
        <w:rPr>
          <w:sz w:val="22"/>
          <w:szCs w:val="22"/>
        </w:rPr>
        <w:sym w:font="Symbol" w:char="F03E"/>
      </w:r>
      <w:r>
        <w:rPr>
          <w:sz w:val="22"/>
          <w:szCs w:val="22"/>
        </w:rPr>
        <w:t xml:space="preserve"> 5 hodín. Opakované podávanie a príjem potravy neovplyvňujú </w:t>
      </w:r>
      <w:proofErr w:type="spellStart"/>
      <w:r>
        <w:rPr>
          <w:sz w:val="22"/>
          <w:szCs w:val="22"/>
        </w:rPr>
        <w:t>farmakokinetický</w:t>
      </w:r>
      <w:proofErr w:type="spellEnd"/>
      <w:r>
        <w:rPr>
          <w:sz w:val="22"/>
          <w:szCs w:val="22"/>
        </w:rPr>
        <w:t xml:space="preserve"> profil </w:t>
      </w:r>
      <w:proofErr w:type="spellStart"/>
      <w:r>
        <w:rPr>
          <w:sz w:val="22"/>
          <w:szCs w:val="22"/>
        </w:rPr>
        <w:t>erdosteínu</w:t>
      </w:r>
      <w:proofErr w:type="spellEnd"/>
      <w:r>
        <w:rPr>
          <w:sz w:val="22"/>
          <w:szCs w:val="22"/>
        </w:rPr>
        <w:t>. Nepozorovala sa žiadna akumulácia ani enzymatická indukcia.</w:t>
      </w:r>
    </w:p>
    <w:p w14:paraId="44855A36" w14:textId="77777777" w:rsidR="00775E4E" w:rsidRDefault="00775E4E" w:rsidP="00775E4E">
      <w:pPr>
        <w:pStyle w:val="Zkladntext2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U pacientov s poruchou funkcie pečene sa pozorovali zvýšenia hodnôt </w:t>
      </w:r>
      <w:proofErr w:type="spellStart"/>
      <w:r>
        <w:rPr>
          <w:sz w:val="22"/>
          <w:szCs w:val="22"/>
        </w:rPr>
        <w:t>C</w:t>
      </w:r>
      <w:r>
        <w:rPr>
          <w:sz w:val="22"/>
          <w:szCs w:val="22"/>
          <w:vertAlign w:val="subscript"/>
        </w:rPr>
        <w:t>max</w:t>
      </w:r>
      <w:proofErr w:type="spellEnd"/>
      <w:r>
        <w:rPr>
          <w:sz w:val="22"/>
          <w:szCs w:val="22"/>
        </w:rPr>
        <w:t xml:space="preserve"> a AUC.</w:t>
      </w:r>
    </w:p>
    <w:p w14:paraId="4AE2A328" w14:textId="77777777" w:rsidR="00775E4E" w:rsidRDefault="00775E4E" w:rsidP="00775E4E">
      <w:pPr>
        <w:pStyle w:val="Zkladntext2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Okrem toho sa u pacientov so závažnou poruchou funkcie pečene pozorovalo predĺženie polčasu eliminácie. Pri závažnej nedostatočnosti obličiek existuje tiež riziko akumulácie metabolitov.</w:t>
      </w:r>
    </w:p>
    <w:p w14:paraId="739A11B1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</w:p>
    <w:p w14:paraId="78A59D2C" w14:textId="77777777" w:rsidR="00775E4E" w:rsidRDefault="00775E4E" w:rsidP="00775E4E">
      <w:pPr>
        <w:keepNext/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5.3</w:t>
      </w:r>
      <w:r>
        <w:rPr>
          <w:b/>
          <w:sz w:val="22"/>
          <w:szCs w:val="22"/>
        </w:rPr>
        <w:tab/>
        <w:t>Predklinické údaje o bezpečnosti</w:t>
      </w:r>
    </w:p>
    <w:p w14:paraId="048B9427" w14:textId="77777777" w:rsidR="00775E4E" w:rsidRDefault="00775E4E" w:rsidP="00775E4E">
      <w:pPr>
        <w:keepNext/>
        <w:tabs>
          <w:tab w:val="left" w:pos="567"/>
        </w:tabs>
        <w:rPr>
          <w:sz w:val="22"/>
          <w:szCs w:val="22"/>
        </w:rPr>
      </w:pPr>
    </w:p>
    <w:p w14:paraId="79BF56AF" w14:textId="77777777" w:rsidR="00775E4E" w:rsidRDefault="00775E4E" w:rsidP="00775E4E">
      <w:pPr>
        <w:rPr>
          <w:sz w:val="22"/>
          <w:szCs w:val="22"/>
        </w:rPr>
      </w:pPr>
      <w:r>
        <w:rPr>
          <w:sz w:val="22"/>
          <w:szCs w:val="22"/>
        </w:rPr>
        <w:t xml:space="preserve">Predklinické údaje získané na základe obvyklých farmakologických štúdií bezpečnosti, toxicity po opakovanom podávaní, </w:t>
      </w:r>
      <w:proofErr w:type="spellStart"/>
      <w:r>
        <w:rPr>
          <w:sz w:val="22"/>
          <w:szCs w:val="22"/>
        </w:rPr>
        <w:t>genotoxicity</w:t>
      </w:r>
      <w:proofErr w:type="spellEnd"/>
      <w:r>
        <w:rPr>
          <w:sz w:val="22"/>
          <w:szCs w:val="22"/>
        </w:rPr>
        <w:t>, reprodukčnej toxicity a vývinu neodhalili žiadne osobitné riziko pre ľudí.</w:t>
      </w:r>
    </w:p>
    <w:p w14:paraId="3C6D7275" w14:textId="77777777" w:rsidR="00775E4E" w:rsidRDefault="00775E4E" w:rsidP="00775E4E">
      <w:pPr>
        <w:rPr>
          <w:sz w:val="22"/>
          <w:szCs w:val="22"/>
        </w:rPr>
      </w:pPr>
    </w:p>
    <w:p w14:paraId="4DCCC825" w14:textId="77777777" w:rsidR="00775E4E" w:rsidRDefault="00775E4E" w:rsidP="00775E4E">
      <w:pPr>
        <w:keepNext/>
        <w:tabs>
          <w:tab w:val="left" w:pos="567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Toxicita</w:t>
      </w:r>
    </w:p>
    <w:p w14:paraId="442724E2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Akútna toxicita </w:t>
      </w:r>
      <w:proofErr w:type="spellStart"/>
      <w:r>
        <w:rPr>
          <w:sz w:val="22"/>
          <w:szCs w:val="22"/>
        </w:rPr>
        <w:t>erdosteínu</w:t>
      </w:r>
      <w:proofErr w:type="spellEnd"/>
      <w:r>
        <w:rPr>
          <w:sz w:val="22"/>
          <w:szCs w:val="22"/>
        </w:rPr>
        <w:t xml:space="preserve"> je nízka pre všetky liekové formy, hodnoty LD</w:t>
      </w:r>
      <w:r>
        <w:rPr>
          <w:sz w:val="22"/>
          <w:szCs w:val="22"/>
          <w:vertAlign w:val="subscript"/>
        </w:rPr>
        <w:t>50</w:t>
      </w:r>
      <w:r>
        <w:rPr>
          <w:sz w:val="22"/>
          <w:szCs w:val="22"/>
        </w:rPr>
        <w:t xml:space="preserve"> sú v rozsahu 3 500 – 5 000 mg/kg. Pri testoch </w:t>
      </w:r>
      <w:proofErr w:type="spellStart"/>
      <w:r>
        <w:rPr>
          <w:sz w:val="22"/>
          <w:szCs w:val="22"/>
        </w:rPr>
        <w:t>subakútnej</w:t>
      </w:r>
      <w:proofErr w:type="spellEnd"/>
      <w:r>
        <w:rPr>
          <w:sz w:val="22"/>
          <w:szCs w:val="22"/>
        </w:rPr>
        <w:t xml:space="preserve"> toxicity (4 týždne) boli netoxické dávky u psov 100 mg/kg/deň a u potkanov 1 000 mg/kg/deň; vyššie dávky však spôsobili nárast hmotnosti pečene. Chronická toxicita (&gt; 26 týždňov) je tiež nízka a najvyššie netoxické dávky u psov boli 200 mg/kg/deň a u potkanov 1 000 mg/kg/deň. Vyššie dávky tiež spôsobili nárast hmotnosti pečene. Žiadne iné negatívne účinky na pľúca, pečeň, srdce, ani na obličky sa nepozorovali. Pokiaľ ide o účinok na CNS, pri extrémne vysokých dávkach (4 000 mg/kg) sa pozorovala </w:t>
      </w:r>
      <w:proofErr w:type="spellStart"/>
      <w:r>
        <w:rPr>
          <w:sz w:val="22"/>
          <w:szCs w:val="22"/>
        </w:rPr>
        <w:t>sedácia</w:t>
      </w:r>
      <w:proofErr w:type="spellEnd"/>
      <w:r>
        <w:rPr>
          <w:sz w:val="22"/>
          <w:szCs w:val="22"/>
        </w:rPr>
        <w:t>. Lokálna znášanlivosť bola dobrá pri perorálnom, inhalačnom aj rektálnom podávaní.</w:t>
      </w:r>
    </w:p>
    <w:p w14:paraId="2CBECC18" w14:textId="77777777" w:rsidR="00775E4E" w:rsidRDefault="00775E4E" w:rsidP="00775E4E">
      <w:pPr>
        <w:tabs>
          <w:tab w:val="left" w:pos="567"/>
        </w:tabs>
        <w:rPr>
          <w:strike/>
          <w:sz w:val="22"/>
          <w:szCs w:val="22"/>
        </w:rPr>
      </w:pPr>
    </w:p>
    <w:p w14:paraId="2EA86DF7" w14:textId="77777777" w:rsidR="00775E4E" w:rsidRDefault="00775E4E" w:rsidP="00775E4E">
      <w:pPr>
        <w:tabs>
          <w:tab w:val="left" w:pos="567"/>
        </w:tabs>
        <w:rPr>
          <w:i/>
          <w:iCs/>
          <w:sz w:val="22"/>
          <w:szCs w:val="22"/>
        </w:rPr>
      </w:pPr>
    </w:p>
    <w:p w14:paraId="0E8F6DE2" w14:textId="77777777" w:rsidR="00775E4E" w:rsidRDefault="00775E4E" w:rsidP="00775E4E">
      <w:pPr>
        <w:keepNext/>
        <w:numPr>
          <w:ilvl w:val="0"/>
          <w:numId w:val="4"/>
        </w:numPr>
        <w:tabs>
          <w:tab w:val="left" w:pos="567"/>
        </w:tabs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F</w:t>
      </w:r>
      <w:r>
        <w:rPr>
          <w:b/>
          <w:caps/>
          <w:sz w:val="22"/>
          <w:szCs w:val="22"/>
        </w:rPr>
        <w:t>armaceutické informácie</w:t>
      </w:r>
    </w:p>
    <w:p w14:paraId="2F771FB7" w14:textId="77777777" w:rsidR="00775E4E" w:rsidRDefault="00775E4E" w:rsidP="00775E4E">
      <w:pPr>
        <w:keepNext/>
        <w:tabs>
          <w:tab w:val="left" w:pos="567"/>
        </w:tabs>
        <w:rPr>
          <w:b/>
          <w:i/>
          <w:sz w:val="22"/>
          <w:szCs w:val="22"/>
        </w:rPr>
      </w:pPr>
    </w:p>
    <w:p w14:paraId="08087432" w14:textId="77777777" w:rsidR="00775E4E" w:rsidRDefault="00775E4E" w:rsidP="00775E4E">
      <w:pPr>
        <w:keepNext/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6.1</w:t>
      </w:r>
      <w:r>
        <w:rPr>
          <w:b/>
          <w:sz w:val="22"/>
          <w:szCs w:val="22"/>
        </w:rPr>
        <w:tab/>
        <w:t>Zoznam pomocných látok</w:t>
      </w:r>
    </w:p>
    <w:p w14:paraId="475E44EE" w14:textId="77777777" w:rsidR="00775E4E" w:rsidRDefault="00775E4E" w:rsidP="00775E4E">
      <w:pPr>
        <w:keepNext/>
        <w:tabs>
          <w:tab w:val="left" w:pos="567"/>
        </w:tabs>
        <w:rPr>
          <w:sz w:val="22"/>
          <w:szCs w:val="22"/>
        </w:rPr>
      </w:pPr>
    </w:p>
    <w:p w14:paraId="06874318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sacharóza</w:t>
      </w:r>
    </w:p>
    <w:p w14:paraId="0E25A106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sodná soľ </w:t>
      </w:r>
      <w:proofErr w:type="spellStart"/>
      <w:r>
        <w:rPr>
          <w:sz w:val="22"/>
          <w:szCs w:val="22"/>
        </w:rPr>
        <w:t>karboxymetylškrobu</w:t>
      </w:r>
      <w:proofErr w:type="spellEnd"/>
      <w:r>
        <w:rPr>
          <w:sz w:val="22"/>
          <w:szCs w:val="22"/>
        </w:rPr>
        <w:t xml:space="preserve"> A</w:t>
      </w:r>
    </w:p>
    <w:p w14:paraId="549F2A96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bookmarkStart w:id="5" w:name="_Hlk499574187"/>
      <w:r>
        <w:rPr>
          <w:sz w:val="22"/>
          <w:szCs w:val="22"/>
        </w:rPr>
        <w:t>koloidný hydratovaný oxid kremičitý (E551)</w:t>
      </w:r>
    </w:p>
    <w:p w14:paraId="79319A4D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sukralóza</w:t>
      </w:r>
      <w:proofErr w:type="spellEnd"/>
      <w:r>
        <w:rPr>
          <w:sz w:val="22"/>
          <w:szCs w:val="22"/>
        </w:rPr>
        <w:t xml:space="preserve"> (E955)</w:t>
      </w:r>
    </w:p>
    <w:p w14:paraId="7EF965B1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pomarančová príchuť v prášku</w:t>
      </w:r>
    </w:p>
    <w:p w14:paraId="40BF42E4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racemická</w:t>
      </w:r>
      <w:proofErr w:type="spellEnd"/>
      <w:r>
        <w:rPr>
          <w:sz w:val="22"/>
          <w:szCs w:val="22"/>
        </w:rPr>
        <w:t xml:space="preserve"> kyselina jablčná (E296)</w:t>
      </w:r>
    </w:p>
    <w:bookmarkEnd w:id="5"/>
    <w:p w14:paraId="04760DF5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</w:p>
    <w:p w14:paraId="40021D69" w14:textId="77777777" w:rsidR="00775E4E" w:rsidRDefault="00775E4E" w:rsidP="00775E4E">
      <w:pPr>
        <w:pStyle w:val="Nadpis3"/>
        <w:tabs>
          <w:tab w:val="left" w:pos="567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6.2</w:t>
      </w:r>
      <w:r>
        <w:rPr>
          <w:rFonts w:ascii="Times New Roman" w:hAnsi="Times New Roman"/>
          <w:szCs w:val="22"/>
        </w:rPr>
        <w:tab/>
        <w:t>Inkompatibility</w:t>
      </w:r>
    </w:p>
    <w:p w14:paraId="2C2F21D5" w14:textId="77777777" w:rsidR="00775E4E" w:rsidRDefault="00775E4E" w:rsidP="00775E4E">
      <w:pPr>
        <w:keepNext/>
        <w:tabs>
          <w:tab w:val="left" w:pos="567"/>
        </w:tabs>
        <w:rPr>
          <w:sz w:val="22"/>
          <w:szCs w:val="22"/>
        </w:rPr>
      </w:pPr>
    </w:p>
    <w:p w14:paraId="2731B64E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Neaplikovateľné.</w:t>
      </w:r>
    </w:p>
    <w:p w14:paraId="392BA494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</w:p>
    <w:p w14:paraId="5A559E3A" w14:textId="77777777" w:rsidR="00775E4E" w:rsidRDefault="00775E4E" w:rsidP="00775E4E">
      <w:pPr>
        <w:pStyle w:val="Nadpis3"/>
        <w:tabs>
          <w:tab w:val="left" w:pos="567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6.3</w:t>
      </w:r>
      <w:r>
        <w:rPr>
          <w:rFonts w:ascii="Times New Roman" w:hAnsi="Times New Roman"/>
          <w:szCs w:val="22"/>
        </w:rPr>
        <w:tab/>
        <w:t>Čas použiteľnosti</w:t>
      </w:r>
    </w:p>
    <w:p w14:paraId="21A3F675" w14:textId="77777777" w:rsidR="00775E4E" w:rsidRDefault="00775E4E" w:rsidP="00775E4E">
      <w:pPr>
        <w:keepNext/>
        <w:tabs>
          <w:tab w:val="left" w:pos="567"/>
        </w:tabs>
        <w:rPr>
          <w:sz w:val="22"/>
          <w:szCs w:val="22"/>
        </w:rPr>
      </w:pPr>
    </w:p>
    <w:p w14:paraId="2A32A2BF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 roky</w:t>
      </w:r>
    </w:p>
    <w:p w14:paraId="739A54B9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</w:p>
    <w:p w14:paraId="02B12729" w14:textId="77777777" w:rsidR="00775E4E" w:rsidRDefault="00775E4E" w:rsidP="00775E4E">
      <w:pPr>
        <w:pStyle w:val="Nadpis3"/>
        <w:tabs>
          <w:tab w:val="left" w:pos="567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6.4</w:t>
      </w:r>
      <w:r>
        <w:rPr>
          <w:rFonts w:ascii="Times New Roman" w:hAnsi="Times New Roman"/>
          <w:szCs w:val="22"/>
        </w:rPr>
        <w:tab/>
        <w:t>Špeciálne upozornenia na uchovávanie</w:t>
      </w:r>
    </w:p>
    <w:p w14:paraId="6137FD60" w14:textId="77777777" w:rsidR="00775E4E" w:rsidRDefault="00775E4E" w:rsidP="00775E4E">
      <w:pPr>
        <w:pStyle w:val="Zkladntext2"/>
        <w:keepNext/>
        <w:tabs>
          <w:tab w:val="left" w:pos="567"/>
        </w:tabs>
        <w:rPr>
          <w:sz w:val="22"/>
          <w:szCs w:val="22"/>
        </w:rPr>
      </w:pPr>
    </w:p>
    <w:p w14:paraId="3C002F88" w14:textId="77777777" w:rsidR="00775E4E" w:rsidRDefault="00775E4E" w:rsidP="00775E4E">
      <w:pPr>
        <w:pStyle w:val="Zkladntext2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Uchovávajte pri teplote do 25 °C.</w:t>
      </w:r>
    </w:p>
    <w:p w14:paraId="6E2C5536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</w:p>
    <w:p w14:paraId="35CDEC88" w14:textId="77777777" w:rsidR="00775E4E" w:rsidRDefault="00775E4E" w:rsidP="00775E4E">
      <w:pPr>
        <w:pStyle w:val="Nadpis3"/>
        <w:tabs>
          <w:tab w:val="left" w:pos="567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6.5</w:t>
      </w:r>
      <w:r>
        <w:rPr>
          <w:rFonts w:ascii="Times New Roman" w:hAnsi="Times New Roman"/>
          <w:szCs w:val="22"/>
        </w:rPr>
        <w:tab/>
        <w:t>Druh obalu a obsah balenia</w:t>
      </w:r>
    </w:p>
    <w:p w14:paraId="37F7F73F" w14:textId="77777777" w:rsidR="00775E4E" w:rsidRDefault="00775E4E" w:rsidP="00775E4E">
      <w:pPr>
        <w:keepNext/>
        <w:tabs>
          <w:tab w:val="left" w:pos="567"/>
        </w:tabs>
        <w:rPr>
          <w:sz w:val="22"/>
          <w:szCs w:val="22"/>
        </w:rPr>
      </w:pPr>
    </w:p>
    <w:p w14:paraId="3ED4FD8F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Druh obalu: papier/ALU/PE zatavené vrecko, škatuľka.</w:t>
      </w:r>
    </w:p>
    <w:p w14:paraId="0C103058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Veľkosť balenia: 10 alebo 20 vreciek.</w:t>
      </w:r>
    </w:p>
    <w:p w14:paraId="641B47D4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14:paraId="059F8223" w14:textId="77777777" w:rsidR="00775E4E" w:rsidRDefault="00775E4E" w:rsidP="00775E4E">
      <w:pPr>
        <w:pStyle w:val="Nadpis3"/>
        <w:keepNext w:val="0"/>
        <w:tabs>
          <w:tab w:val="left" w:pos="567"/>
        </w:tabs>
        <w:rPr>
          <w:rFonts w:ascii="Times New Roman" w:hAnsi="Times New Roman"/>
          <w:i/>
          <w:szCs w:val="22"/>
        </w:rPr>
      </w:pPr>
    </w:p>
    <w:p w14:paraId="53501E54" w14:textId="77777777" w:rsidR="00775E4E" w:rsidRDefault="00775E4E" w:rsidP="00775E4E">
      <w:pPr>
        <w:pStyle w:val="Nadpis3"/>
        <w:tabs>
          <w:tab w:val="left" w:pos="567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6.6</w:t>
      </w:r>
      <w:r>
        <w:rPr>
          <w:rFonts w:ascii="Times New Roman" w:hAnsi="Times New Roman"/>
          <w:szCs w:val="22"/>
        </w:rPr>
        <w:tab/>
        <w:t>Špeciálne opatrenia na likvidáciu</w:t>
      </w:r>
    </w:p>
    <w:p w14:paraId="43A85D66" w14:textId="77777777" w:rsidR="00775E4E" w:rsidRDefault="00775E4E" w:rsidP="00775E4E">
      <w:pPr>
        <w:keepNext/>
        <w:tabs>
          <w:tab w:val="left" w:pos="567"/>
        </w:tabs>
        <w:rPr>
          <w:sz w:val="22"/>
          <w:szCs w:val="22"/>
        </w:rPr>
      </w:pPr>
    </w:p>
    <w:p w14:paraId="2D13E693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Všetok nepoužitý liek alebo odpad vzniknutý z lieku sa má zlikvidovať v súlade s národnými požiadavkami.</w:t>
      </w:r>
    </w:p>
    <w:p w14:paraId="6F816B0B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</w:p>
    <w:p w14:paraId="52F47670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</w:p>
    <w:p w14:paraId="077080D4" w14:textId="77777777" w:rsidR="00775E4E" w:rsidRDefault="00775E4E" w:rsidP="00775E4E">
      <w:pPr>
        <w:keepNext/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ab/>
      </w:r>
      <w:r>
        <w:rPr>
          <w:b/>
          <w:caps/>
          <w:sz w:val="22"/>
          <w:szCs w:val="22"/>
        </w:rPr>
        <w:t>Držiteľ rozhodnutia O REGISTRÁCII</w:t>
      </w:r>
    </w:p>
    <w:p w14:paraId="020B0C34" w14:textId="77777777" w:rsidR="00775E4E" w:rsidRDefault="00775E4E" w:rsidP="00775E4E">
      <w:pPr>
        <w:keepNext/>
        <w:tabs>
          <w:tab w:val="left" w:pos="567"/>
        </w:tabs>
        <w:rPr>
          <w:sz w:val="22"/>
          <w:szCs w:val="22"/>
        </w:rPr>
      </w:pPr>
    </w:p>
    <w:p w14:paraId="7CDFC96E" w14:textId="77777777" w:rsidR="00775E4E" w:rsidRDefault="00775E4E" w:rsidP="00775E4E">
      <w:pPr>
        <w:keepNext/>
        <w:tabs>
          <w:tab w:val="left" w:pos="56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Angelini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 xml:space="preserve"> Česká republika </w:t>
      </w:r>
      <w:proofErr w:type="spellStart"/>
      <w:r>
        <w:rPr>
          <w:sz w:val="22"/>
          <w:szCs w:val="22"/>
        </w:rPr>
        <w:t>s.r.o</w:t>
      </w:r>
      <w:proofErr w:type="spellEnd"/>
      <w:r>
        <w:rPr>
          <w:sz w:val="22"/>
          <w:szCs w:val="22"/>
        </w:rPr>
        <w:t>.</w:t>
      </w:r>
    </w:p>
    <w:p w14:paraId="303F770D" w14:textId="77777777" w:rsidR="00775E4E" w:rsidRDefault="00775E4E" w:rsidP="00775E4E">
      <w:pPr>
        <w:keepNext/>
        <w:tabs>
          <w:tab w:val="left" w:pos="567"/>
        </w:tabs>
        <w:rPr>
          <w:sz w:val="22"/>
          <w:szCs w:val="22"/>
        </w:rPr>
      </w:pPr>
      <w:bookmarkStart w:id="6" w:name="_Hlk56415252"/>
      <w:bookmarkStart w:id="7" w:name="_Hlk56413467"/>
      <w:proofErr w:type="spellStart"/>
      <w:r>
        <w:rPr>
          <w:sz w:val="22"/>
          <w:szCs w:val="22"/>
        </w:rPr>
        <w:t>Palachovo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náměstí</w:t>
      </w:r>
      <w:proofErr w:type="spellEnd"/>
      <w:r>
        <w:rPr>
          <w:sz w:val="22"/>
          <w:szCs w:val="22"/>
        </w:rPr>
        <w:t xml:space="preserve"> 5</w:t>
      </w:r>
      <w:bookmarkEnd w:id="6"/>
    </w:p>
    <w:bookmarkEnd w:id="7"/>
    <w:p w14:paraId="0DC70278" w14:textId="77777777" w:rsidR="00775E4E" w:rsidRDefault="00775E4E" w:rsidP="00775E4E">
      <w:pPr>
        <w:keepNext/>
        <w:tabs>
          <w:tab w:val="left" w:pos="567"/>
        </w:tabs>
        <w:rPr>
          <w:sz w:val="22"/>
          <w:szCs w:val="22"/>
        </w:rPr>
      </w:pPr>
      <w:r>
        <w:rPr>
          <w:bCs/>
          <w:sz w:val="22"/>
          <w:szCs w:val="22"/>
        </w:rPr>
        <w:t>625 </w:t>
      </w:r>
      <w:r>
        <w:rPr>
          <w:sz w:val="22"/>
          <w:szCs w:val="22"/>
        </w:rPr>
        <w:t>00 Brno</w:t>
      </w:r>
    </w:p>
    <w:p w14:paraId="26B679C8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Česká republika</w:t>
      </w:r>
    </w:p>
    <w:p w14:paraId="416AAC5F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</w:p>
    <w:p w14:paraId="346393A0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</w:p>
    <w:p w14:paraId="6B23362B" w14:textId="77777777" w:rsidR="00775E4E" w:rsidRDefault="00775E4E" w:rsidP="00775E4E">
      <w:pPr>
        <w:keepNext/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8.</w:t>
      </w:r>
      <w:r>
        <w:rPr>
          <w:b/>
          <w:sz w:val="22"/>
          <w:szCs w:val="22"/>
        </w:rPr>
        <w:tab/>
        <w:t>REGISTRAČNÉ ČÍSLO</w:t>
      </w:r>
    </w:p>
    <w:p w14:paraId="40E1EFAE" w14:textId="77777777" w:rsidR="00775E4E" w:rsidRDefault="00775E4E" w:rsidP="00775E4E">
      <w:pPr>
        <w:keepNext/>
        <w:tabs>
          <w:tab w:val="left" w:pos="567"/>
        </w:tabs>
        <w:rPr>
          <w:sz w:val="22"/>
          <w:szCs w:val="22"/>
        </w:rPr>
      </w:pPr>
    </w:p>
    <w:p w14:paraId="36B4BAF5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52/0233/03-S</w:t>
      </w:r>
    </w:p>
    <w:p w14:paraId="4E750D30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</w:p>
    <w:p w14:paraId="7B87CF83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</w:p>
    <w:p w14:paraId="2430D611" w14:textId="77777777" w:rsidR="00775E4E" w:rsidRDefault="00775E4E" w:rsidP="00775E4E">
      <w:pPr>
        <w:keepNext/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ab/>
      </w:r>
      <w:r>
        <w:rPr>
          <w:b/>
          <w:caps/>
          <w:sz w:val="22"/>
          <w:szCs w:val="22"/>
        </w:rPr>
        <w:t>Dátum PRVEJ registrácie/PREDĹŽENIA REGISTRÁCIE</w:t>
      </w:r>
    </w:p>
    <w:p w14:paraId="00911F39" w14:textId="77777777" w:rsidR="00775E4E" w:rsidRDefault="00775E4E" w:rsidP="00775E4E">
      <w:pPr>
        <w:pStyle w:val="Hlavika"/>
        <w:keepNext/>
        <w:tabs>
          <w:tab w:val="left" w:pos="567"/>
        </w:tabs>
        <w:rPr>
          <w:sz w:val="22"/>
          <w:szCs w:val="22"/>
        </w:rPr>
      </w:pPr>
    </w:p>
    <w:p w14:paraId="5A678767" w14:textId="77777777" w:rsidR="00775E4E" w:rsidRDefault="00775E4E" w:rsidP="00775E4E">
      <w:pPr>
        <w:pStyle w:val="Hlavika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Dátum prvej registrácie: 25. júla 2003</w:t>
      </w:r>
    </w:p>
    <w:p w14:paraId="50C24F03" w14:textId="77777777" w:rsidR="00775E4E" w:rsidRDefault="00775E4E" w:rsidP="00775E4E">
      <w:pPr>
        <w:pStyle w:val="Hlavika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Dátum posledného predĺženia registrácie: 5. novembra 2010</w:t>
      </w:r>
    </w:p>
    <w:p w14:paraId="495E0E2A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</w:p>
    <w:p w14:paraId="38524690" w14:textId="77777777" w:rsidR="00775E4E" w:rsidRDefault="00775E4E" w:rsidP="00775E4E">
      <w:pPr>
        <w:tabs>
          <w:tab w:val="left" w:pos="567"/>
        </w:tabs>
        <w:rPr>
          <w:sz w:val="22"/>
          <w:szCs w:val="22"/>
        </w:rPr>
      </w:pPr>
    </w:p>
    <w:p w14:paraId="4769CBF8" w14:textId="77777777" w:rsidR="00775E4E" w:rsidRDefault="00775E4E" w:rsidP="00775E4E">
      <w:pPr>
        <w:keepNext/>
        <w:tabs>
          <w:tab w:val="left" w:pos="567"/>
        </w:tabs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>10.</w:t>
      </w:r>
      <w:r>
        <w:rPr>
          <w:b/>
          <w:sz w:val="22"/>
          <w:szCs w:val="22"/>
        </w:rPr>
        <w:tab/>
      </w:r>
      <w:r>
        <w:rPr>
          <w:b/>
          <w:caps/>
          <w:sz w:val="22"/>
          <w:szCs w:val="22"/>
        </w:rPr>
        <w:t>Dátum revízie textu</w:t>
      </w:r>
    </w:p>
    <w:p w14:paraId="40C2B1C6" w14:textId="77777777" w:rsidR="00775E4E" w:rsidRDefault="00775E4E" w:rsidP="00775E4E">
      <w:pPr>
        <w:keepNext/>
        <w:tabs>
          <w:tab w:val="left" w:pos="567"/>
        </w:tabs>
        <w:rPr>
          <w:sz w:val="22"/>
          <w:szCs w:val="22"/>
        </w:rPr>
      </w:pPr>
    </w:p>
    <w:p w14:paraId="082ADA1E" w14:textId="182CDCFD" w:rsidR="00775E4E" w:rsidRDefault="00775E4E" w:rsidP="00775E4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12.2020</w:t>
      </w:r>
    </w:p>
    <w:p w14:paraId="4D748443" w14:textId="77777777" w:rsidR="00C52A70" w:rsidRDefault="00C52A70"/>
    <w:sectPr w:rsidR="00C52A7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93D01" w14:textId="77777777" w:rsidR="00775E4E" w:rsidRDefault="00775E4E" w:rsidP="00775E4E">
      <w:r>
        <w:separator/>
      </w:r>
    </w:p>
  </w:endnote>
  <w:endnote w:type="continuationSeparator" w:id="0">
    <w:p w14:paraId="654B01F7" w14:textId="77777777" w:rsidR="00775E4E" w:rsidRDefault="00775E4E" w:rsidP="0077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2C569" w14:textId="77777777" w:rsidR="00775E4E" w:rsidRDefault="00775E4E" w:rsidP="00775E4E">
      <w:r>
        <w:separator/>
      </w:r>
    </w:p>
  </w:footnote>
  <w:footnote w:type="continuationSeparator" w:id="0">
    <w:p w14:paraId="1E48860E" w14:textId="77777777" w:rsidR="00775E4E" w:rsidRDefault="00775E4E" w:rsidP="00775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69EDF" w14:textId="77777777" w:rsidR="00775E4E" w:rsidRDefault="00775E4E" w:rsidP="00775E4E">
    <w:pPr>
      <w:pStyle w:val="Hlavika"/>
      <w:rPr>
        <w:bCs/>
        <w:sz w:val="18"/>
        <w:szCs w:val="18"/>
      </w:rPr>
    </w:pPr>
    <w:bookmarkStart w:id="8" w:name="_Hlk45286737"/>
    <w:bookmarkStart w:id="9" w:name="_Hlk56415316"/>
    <w:bookmarkStart w:id="10" w:name="_Hlk57286776"/>
    <w:r>
      <w:rPr>
        <w:sz w:val="18"/>
        <w:szCs w:val="18"/>
      </w:rPr>
      <w:t>Príloha č. 2</w:t>
    </w:r>
    <w:r>
      <w:rPr>
        <w:bCs/>
        <w:sz w:val="18"/>
        <w:szCs w:val="18"/>
      </w:rPr>
      <w:t xml:space="preserve"> k </w:t>
    </w:r>
    <w:r>
      <w:rPr>
        <w:sz w:val="18"/>
        <w:szCs w:val="18"/>
      </w:rPr>
      <w:t>notifikácii</w:t>
    </w:r>
    <w:r>
      <w:rPr>
        <w:bCs/>
        <w:sz w:val="18"/>
        <w:szCs w:val="18"/>
      </w:rPr>
      <w:t xml:space="preserve"> o zmene, ev. </w:t>
    </w:r>
    <w:r>
      <w:rPr>
        <w:sz w:val="18"/>
        <w:szCs w:val="18"/>
      </w:rPr>
      <w:t xml:space="preserve">č.: </w:t>
    </w:r>
    <w:bookmarkEnd w:id="8"/>
    <w:bookmarkEnd w:id="9"/>
    <w:r>
      <w:rPr>
        <w:sz w:val="18"/>
        <w:szCs w:val="18"/>
      </w:rPr>
      <w:t>2020/06537-Z1A</w:t>
    </w:r>
    <w:bookmarkEnd w:id="10"/>
  </w:p>
  <w:p w14:paraId="716902CD" w14:textId="77777777" w:rsidR="00775E4E" w:rsidRDefault="00775E4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E290E"/>
    <w:multiLevelType w:val="hybridMultilevel"/>
    <w:tmpl w:val="F378C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17064"/>
    <w:multiLevelType w:val="multilevel"/>
    <w:tmpl w:val="1D0221B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3DD269F6"/>
    <w:multiLevelType w:val="hybridMultilevel"/>
    <w:tmpl w:val="C00639AC"/>
    <w:lvl w:ilvl="0" w:tplc="72D6E040">
      <w:start w:val="6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0410F"/>
    <w:multiLevelType w:val="singleLevel"/>
    <w:tmpl w:val="31F4A75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4E"/>
    <w:rsid w:val="00775E4E"/>
    <w:rsid w:val="00C52A70"/>
    <w:rsid w:val="00E3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ADDE"/>
  <w15:chartTrackingRefBased/>
  <w15:docId w15:val="{F5C027B7-CFD3-4CDF-B46C-0619F321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75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75E4E"/>
    <w:pPr>
      <w:keepNext/>
      <w:outlineLvl w:val="2"/>
    </w:pPr>
    <w:rPr>
      <w:rFonts w:ascii="Arial" w:hAnsi="Arial"/>
      <w:b/>
      <w:sz w:val="2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75E4E"/>
    <w:pPr>
      <w:keepNext/>
      <w:outlineLvl w:val="3"/>
    </w:pPr>
    <w:rPr>
      <w:rFonts w:ascii="Arial" w:hAnsi="Arial"/>
      <w:b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775E4E"/>
    <w:rPr>
      <w:rFonts w:ascii="Arial" w:eastAsia="Times New Roman" w:hAnsi="Arial" w:cs="Times New Roman"/>
      <w:b/>
      <w:szCs w:val="20"/>
    </w:rPr>
  </w:style>
  <w:style w:type="character" w:customStyle="1" w:styleId="Nadpis4Char">
    <w:name w:val="Nadpis 4 Char"/>
    <w:basedOn w:val="Predvolenpsmoodseku"/>
    <w:link w:val="Nadpis4"/>
    <w:semiHidden/>
    <w:rsid w:val="00775E4E"/>
    <w:rPr>
      <w:rFonts w:ascii="Arial" w:eastAsia="Times New Roman" w:hAnsi="Arial" w:cs="Times New Roman"/>
      <w:b/>
      <w:szCs w:val="20"/>
      <w:u w:val="single"/>
    </w:rPr>
  </w:style>
  <w:style w:type="character" w:styleId="Hypertextovprepojenie">
    <w:name w:val="Hyperlink"/>
    <w:basedOn w:val="Predvolenpsmoodseku"/>
    <w:uiPriority w:val="99"/>
    <w:semiHidden/>
    <w:unhideWhenUsed/>
    <w:rsid w:val="00775E4E"/>
    <w:rPr>
      <w:color w:val="0563C1" w:themeColor="hyperlink"/>
      <w:u w:val="single"/>
    </w:rPr>
  </w:style>
  <w:style w:type="paragraph" w:styleId="Textkomentra">
    <w:name w:val="annotation text"/>
    <w:basedOn w:val="Normlny"/>
    <w:link w:val="TextkomentraChar"/>
    <w:semiHidden/>
    <w:unhideWhenUsed/>
    <w:rsid w:val="00775E4E"/>
  </w:style>
  <w:style w:type="character" w:customStyle="1" w:styleId="TextkomentraChar">
    <w:name w:val="Text komentára Char"/>
    <w:basedOn w:val="Predvolenpsmoodseku"/>
    <w:link w:val="Textkomentra"/>
    <w:semiHidden/>
    <w:rsid w:val="00775E4E"/>
    <w:rPr>
      <w:rFonts w:ascii="Times New Roman" w:eastAsia="Times New Roman" w:hAnsi="Times New Roman" w:cs="Times New Roman"/>
      <w:sz w:val="20"/>
      <w:szCs w:val="20"/>
    </w:rPr>
  </w:style>
  <w:style w:type="paragraph" w:styleId="Hlavika">
    <w:name w:val="header"/>
    <w:basedOn w:val="Normlny"/>
    <w:link w:val="HlavikaChar"/>
    <w:unhideWhenUsed/>
    <w:rsid w:val="00775E4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75E4E"/>
    <w:rPr>
      <w:rFonts w:ascii="Times New Roman" w:eastAsia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nhideWhenUsed/>
    <w:rsid w:val="00775E4E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PtaChar">
    <w:name w:val="Päta Char"/>
    <w:basedOn w:val="Predvolenpsmoodseku"/>
    <w:link w:val="Pta"/>
    <w:rsid w:val="00775E4E"/>
    <w:rPr>
      <w:rFonts w:ascii="Times New Roman" w:eastAsia="Times New Roman" w:hAnsi="Times New Roman" w:cs="Times New Roman"/>
      <w:sz w:val="24"/>
      <w:szCs w:val="20"/>
    </w:rPr>
  </w:style>
  <w:style w:type="paragraph" w:styleId="Nzov">
    <w:name w:val="Title"/>
    <w:basedOn w:val="Normlny"/>
    <w:link w:val="NzovChar"/>
    <w:qFormat/>
    <w:rsid w:val="00775E4E"/>
    <w:pPr>
      <w:jc w:val="center"/>
    </w:pPr>
    <w:rPr>
      <w:rFonts w:ascii="Arial" w:hAnsi="Arial"/>
      <w:b/>
      <w:sz w:val="22"/>
    </w:rPr>
  </w:style>
  <w:style w:type="character" w:customStyle="1" w:styleId="NzovChar">
    <w:name w:val="Názov Char"/>
    <w:basedOn w:val="Predvolenpsmoodseku"/>
    <w:link w:val="Nzov"/>
    <w:rsid w:val="00775E4E"/>
    <w:rPr>
      <w:rFonts w:ascii="Arial" w:eastAsia="Times New Roman" w:hAnsi="Arial" w:cs="Times New Roman"/>
      <w:b/>
      <w:szCs w:val="20"/>
    </w:rPr>
  </w:style>
  <w:style w:type="paragraph" w:styleId="Zkladntext2">
    <w:name w:val="Body Text 2"/>
    <w:basedOn w:val="Normlny"/>
    <w:link w:val="Zkladntext2Char"/>
    <w:semiHidden/>
    <w:unhideWhenUsed/>
    <w:rsid w:val="00775E4E"/>
    <w:rPr>
      <w:sz w:val="24"/>
    </w:rPr>
  </w:style>
  <w:style w:type="character" w:customStyle="1" w:styleId="Zkladntext2Char">
    <w:name w:val="Základný text 2 Char"/>
    <w:basedOn w:val="Predvolenpsmoodseku"/>
    <w:link w:val="Zkladntext2"/>
    <w:semiHidden/>
    <w:rsid w:val="00775E4E"/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semiHidden/>
    <w:unhideWhenUsed/>
    <w:rsid w:val="00775E4E"/>
    <w:pPr>
      <w:jc w:val="both"/>
    </w:pPr>
    <w:rPr>
      <w:sz w:val="24"/>
    </w:rPr>
  </w:style>
  <w:style w:type="character" w:customStyle="1" w:styleId="Zkladntext3Char">
    <w:name w:val="Základný text 3 Char"/>
    <w:basedOn w:val="Predvolenpsmoodseku"/>
    <w:link w:val="Zkladntext3"/>
    <w:semiHidden/>
    <w:rsid w:val="00775E4E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775E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Odkaznakomentr">
    <w:name w:val="annotation reference"/>
    <w:semiHidden/>
    <w:unhideWhenUsed/>
    <w:rsid w:val="00775E4E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5E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5E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2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2077</Words>
  <Characters>11840</Characters>
  <Application>Microsoft Office Word</Application>
  <DocSecurity>0</DocSecurity>
  <Lines>98</Lines>
  <Paragraphs>27</Paragraphs>
  <ScaleCrop>false</ScaleCrop>
  <Company/>
  <LinksUpToDate>false</LinksUpToDate>
  <CharactersWithSpaces>13890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2</cp:revision>
  <dcterms:created xsi:type="dcterms:W3CDTF">2020-12-09T12:01:00Z</dcterms:created>
  <dcterms:modified xsi:type="dcterms:W3CDTF">2020-12-09T12:17:00Z</dcterms:modified>
</cp:coreProperties>
</file>