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30822" w14:textId="77777777" w:rsidR="0036326D" w:rsidRDefault="00443AFA">
      <w:pPr>
        <w:pStyle w:val="Default"/>
        <w:jc w:val="center"/>
        <w:rPr>
          <w:b/>
          <w:bCs/>
          <w:caps/>
          <w:sz w:val="22"/>
          <w:szCs w:val="22"/>
        </w:rPr>
      </w:pPr>
      <w:r>
        <w:rPr>
          <w:b/>
          <w:bCs/>
          <w:caps/>
          <w:sz w:val="22"/>
          <w:szCs w:val="22"/>
        </w:rPr>
        <w:t>Súhrn charakteristických vlastností lieku</w:t>
      </w:r>
    </w:p>
    <w:p w14:paraId="44BBFAC9" w14:textId="77777777" w:rsidR="0036326D" w:rsidRDefault="0036326D">
      <w:pPr>
        <w:pStyle w:val="Default"/>
        <w:rPr>
          <w:b/>
          <w:bCs/>
          <w:caps/>
          <w:sz w:val="22"/>
          <w:szCs w:val="22"/>
        </w:rPr>
      </w:pPr>
    </w:p>
    <w:p w14:paraId="7A90C35D" w14:textId="77777777" w:rsidR="0036326D" w:rsidRDefault="0036326D">
      <w:pPr>
        <w:pStyle w:val="Default"/>
        <w:rPr>
          <w:b/>
          <w:bCs/>
          <w:caps/>
          <w:sz w:val="22"/>
          <w:szCs w:val="22"/>
        </w:rPr>
      </w:pPr>
    </w:p>
    <w:p w14:paraId="1EA3B887" w14:textId="77777777" w:rsidR="0036326D" w:rsidRDefault="00443AFA">
      <w:pPr>
        <w:pStyle w:val="Default"/>
        <w:tabs>
          <w:tab w:val="left" w:pos="567"/>
        </w:tabs>
        <w:rPr>
          <w:b/>
          <w:bCs/>
          <w:sz w:val="22"/>
          <w:szCs w:val="22"/>
        </w:rPr>
      </w:pPr>
      <w:r>
        <w:rPr>
          <w:b/>
          <w:bCs/>
          <w:sz w:val="22"/>
          <w:szCs w:val="22"/>
        </w:rPr>
        <w:t>1.</w:t>
      </w:r>
      <w:r>
        <w:rPr>
          <w:b/>
          <w:bCs/>
          <w:sz w:val="22"/>
          <w:szCs w:val="22"/>
        </w:rPr>
        <w:tab/>
        <w:t>NÁZOV LIEKU</w:t>
      </w:r>
    </w:p>
    <w:p w14:paraId="09EAE2B2" w14:textId="77777777" w:rsidR="0036326D" w:rsidRDefault="00443AFA">
      <w:pPr>
        <w:pStyle w:val="Default"/>
        <w:rPr>
          <w:sz w:val="22"/>
          <w:szCs w:val="22"/>
        </w:rPr>
      </w:pPr>
      <w:r>
        <w:rPr>
          <w:b/>
          <w:bCs/>
          <w:sz w:val="22"/>
          <w:szCs w:val="22"/>
        </w:rPr>
        <w:t xml:space="preserve"> </w:t>
      </w:r>
    </w:p>
    <w:p w14:paraId="13077D5D" w14:textId="77777777" w:rsidR="0036326D" w:rsidRDefault="00443AFA">
      <w:pPr>
        <w:pStyle w:val="Default"/>
        <w:rPr>
          <w:sz w:val="22"/>
          <w:szCs w:val="22"/>
        </w:rPr>
      </w:pPr>
      <w:r>
        <w:rPr>
          <w:sz w:val="22"/>
          <w:szCs w:val="22"/>
        </w:rPr>
        <w:t xml:space="preserve">Rombidux 20 mg filmom obalené tablety </w:t>
      </w:r>
    </w:p>
    <w:p w14:paraId="21612331" w14:textId="77777777" w:rsidR="0036326D" w:rsidRDefault="0036326D">
      <w:pPr>
        <w:pStyle w:val="Default"/>
        <w:rPr>
          <w:sz w:val="22"/>
          <w:szCs w:val="22"/>
        </w:rPr>
      </w:pPr>
    </w:p>
    <w:p w14:paraId="268FD071" w14:textId="77777777" w:rsidR="0036326D" w:rsidRDefault="0036326D">
      <w:pPr>
        <w:pStyle w:val="Default"/>
        <w:rPr>
          <w:sz w:val="22"/>
          <w:szCs w:val="22"/>
        </w:rPr>
      </w:pPr>
    </w:p>
    <w:p w14:paraId="763C3705" w14:textId="77777777" w:rsidR="0036326D" w:rsidRDefault="00443AFA">
      <w:pPr>
        <w:pStyle w:val="Default"/>
        <w:tabs>
          <w:tab w:val="left" w:pos="567"/>
        </w:tabs>
        <w:rPr>
          <w:b/>
          <w:bCs/>
          <w:sz w:val="22"/>
          <w:szCs w:val="22"/>
        </w:rPr>
      </w:pPr>
      <w:r>
        <w:rPr>
          <w:b/>
          <w:bCs/>
          <w:sz w:val="22"/>
          <w:szCs w:val="22"/>
        </w:rPr>
        <w:t>2.</w:t>
      </w:r>
      <w:r>
        <w:rPr>
          <w:b/>
          <w:bCs/>
          <w:sz w:val="22"/>
          <w:szCs w:val="22"/>
        </w:rPr>
        <w:tab/>
        <w:t xml:space="preserve">KVALITATÍVNE A KVANTITATÍVNE ZLOŽENIE </w:t>
      </w:r>
    </w:p>
    <w:p w14:paraId="7F17AEF4" w14:textId="77777777" w:rsidR="0036326D" w:rsidRDefault="00443AFA">
      <w:pPr>
        <w:pStyle w:val="Default"/>
        <w:rPr>
          <w:sz w:val="22"/>
          <w:szCs w:val="22"/>
        </w:rPr>
      </w:pPr>
      <w:r>
        <w:rPr>
          <w:b/>
          <w:bCs/>
          <w:sz w:val="22"/>
          <w:szCs w:val="22"/>
        </w:rPr>
        <w:t xml:space="preserve"> </w:t>
      </w:r>
    </w:p>
    <w:p w14:paraId="4A9FB576" w14:textId="77777777" w:rsidR="0036326D" w:rsidRDefault="00443AFA">
      <w:pPr>
        <w:pStyle w:val="Default"/>
        <w:rPr>
          <w:sz w:val="22"/>
          <w:szCs w:val="22"/>
        </w:rPr>
      </w:pPr>
      <w:r>
        <w:rPr>
          <w:sz w:val="22"/>
          <w:szCs w:val="22"/>
        </w:rPr>
        <w:t xml:space="preserve">Každá filmom obalená tableta obsahuje 20 mg rivaroxabánu. </w:t>
      </w:r>
    </w:p>
    <w:p w14:paraId="6C013C37" w14:textId="77777777" w:rsidR="0036326D" w:rsidRDefault="0036326D">
      <w:pPr>
        <w:pStyle w:val="Default"/>
        <w:rPr>
          <w:sz w:val="22"/>
          <w:szCs w:val="22"/>
        </w:rPr>
      </w:pPr>
    </w:p>
    <w:p w14:paraId="06700DB5" w14:textId="77777777" w:rsidR="0036326D" w:rsidRDefault="00443AFA">
      <w:pPr>
        <w:pStyle w:val="Default"/>
        <w:rPr>
          <w:sz w:val="22"/>
          <w:szCs w:val="22"/>
          <w:u w:val="single"/>
        </w:rPr>
      </w:pPr>
      <w:r>
        <w:rPr>
          <w:sz w:val="22"/>
          <w:szCs w:val="22"/>
          <w:u w:val="single"/>
        </w:rPr>
        <w:t xml:space="preserve">Pomocná látka so známym účinkom: </w:t>
      </w:r>
    </w:p>
    <w:p w14:paraId="13CA98D2" w14:textId="34C0D4A7" w:rsidR="0036326D" w:rsidRDefault="00443AFA">
      <w:pPr>
        <w:pStyle w:val="Default"/>
        <w:rPr>
          <w:sz w:val="22"/>
          <w:szCs w:val="22"/>
        </w:rPr>
      </w:pPr>
      <w:r>
        <w:rPr>
          <w:sz w:val="22"/>
          <w:szCs w:val="22"/>
        </w:rPr>
        <w:t>Každá filmom obalená tableta obsahuje 107,14 mg laktózy (vo forme monohydrátu), pozri časť 4.4.</w:t>
      </w:r>
    </w:p>
    <w:p w14:paraId="5E556F61" w14:textId="77777777" w:rsidR="0036326D" w:rsidRDefault="0036326D">
      <w:pPr>
        <w:pStyle w:val="Default"/>
        <w:rPr>
          <w:sz w:val="22"/>
          <w:szCs w:val="22"/>
        </w:rPr>
      </w:pPr>
    </w:p>
    <w:p w14:paraId="0E9EB3D5" w14:textId="77777777" w:rsidR="0036326D" w:rsidRDefault="00443AFA">
      <w:pPr>
        <w:spacing w:after="0" w:line="240" w:lineRule="auto"/>
        <w:rPr>
          <w:rFonts w:ascii="Times New Roman" w:hAnsi="Times New Roman" w:cs="Times New Roman"/>
        </w:rPr>
      </w:pPr>
      <w:r>
        <w:rPr>
          <w:rFonts w:ascii="Times New Roman" w:hAnsi="Times New Roman" w:cs="Times New Roman"/>
        </w:rPr>
        <w:t>Úplný zoznam pomocných látok, pozri časť 6.1.</w:t>
      </w:r>
    </w:p>
    <w:p w14:paraId="7965B2D0" w14:textId="77777777" w:rsidR="0036326D" w:rsidRDefault="0036326D">
      <w:pPr>
        <w:spacing w:after="0" w:line="240" w:lineRule="auto"/>
        <w:rPr>
          <w:rFonts w:ascii="Times New Roman" w:hAnsi="Times New Roman" w:cs="Times New Roman"/>
        </w:rPr>
      </w:pPr>
    </w:p>
    <w:p w14:paraId="4D89DDDB" w14:textId="77777777" w:rsidR="0036326D" w:rsidRDefault="0036326D">
      <w:pPr>
        <w:spacing w:after="0" w:line="240" w:lineRule="auto"/>
        <w:rPr>
          <w:rFonts w:ascii="Times New Roman" w:hAnsi="Times New Roman" w:cs="Times New Roman"/>
        </w:rPr>
      </w:pPr>
    </w:p>
    <w:p w14:paraId="3D1103FC" w14:textId="77777777" w:rsidR="0036326D" w:rsidRDefault="00443AFA">
      <w:pPr>
        <w:pStyle w:val="Default"/>
        <w:tabs>
          <w:tab w:val="left" w:pos="567"/>
        </w:tabs>
        <w:rPr>
          <w:b/>
          <w:bCs/>
          <w:sz w:val="22"/>
          <w:szCs w:val="22"/>
        </w:rPr>
      </w:pPr>
      <w:r>
        <w:rPr>
          <w:b/>
          <w:bCs/>
          <w:sz w:val="22"/>
          <w:szCs w:val="22"/>
        </w:rPr>
        <w:t>3.</w:t>
      </w:r>
      <w:r>
        <w:rPr>
          <w:b/>
          <w:bCs/>
          <w:sz w:val="22"/>
          <w:szCs w:val="22"/>
        </w:rPr>
        <w:tab/>
        <w:t xml:space="preserve">LIEKOVÁ FORMA </w:t>
      </w:r>
    </w:p>
    <w:p w14:paraId="50D2A3D3" w14:textId="77777777" w:rsidR="0036326D" w:rsidRDefault="0036326D">
      <w:pPr>
        <w:pStyle w:val="Default"/>
        <w:rPr>
          <w:sz w:val="22"/>
          <w:szCs w:val="22"/>
        </w:rPr>
      </w:pPr>
    </w:p>
    <w:p w14:paraId="3BE3C838" w14:textId="77777777" w:rsidR="0036326D" w:rsidRDefault="00443AFA">
      <w:pPr>
        <w:pStyle w:val="Default"/>
        <w:rPr>
          <w:sz w:val="22"/>
          <w:szCs w:val="22"/>
        </w:rPr>
      </w:pPr>
      <w:r>
        <w:rPr>
          <w:sz w:val="22"/>
          <w:szCs w:val="22"/>
        </w:rPr>
        <w:t xml:space="preserve">Filmom obalená tableta (tableta) </w:t>
      </w:r>
    </w:p>
    <w:p w14:paraId="2C84DBC5" w14:textId="77777777" w:rsidR="0036326D" w:rsidRDefault="0036326D">
      <w:pPr>
        <w:pStyle w:val="Default"/>
        <w:rPr>
          <w:sz w:val="22"/>
          <w:szCs w:val="22"/>
        </w:rPr>
      </w:pPr>
    </w:p>
    <w:p w14:paraId="7FEFDCB8" w14:textId="77777777" w:rsidR="0036326D" w:rsidRDefault="00443AFA">
      <w:pPr>
        <w:pStyle w:val="Default"/>
        <w:rPr>
          <w:bCs/>
          <w:sz w:val="22"/>
          <w:szCs w:val="22"/>
        </w:rPr>
      </w:pPr>
      <w:r>
        <w:rPr>
          <w:bCs/>
          <w:sz w:val="22"/>
          <w:szCs w:val="22"/>
        </w:rPr>
        <w:t>Biele, okrúhle, bikonvexné filmom obalené tablety s vyrazeným označením „R“ na jednej strane a „20“ na druhej strane.</w:t>
      </w:r>
    </w:p>
    <w:p w14:paraId="2FF37BFA" w14:textId="77777777" w:rsidR="0036326D" w:rsidRDefault="0036326D">
      <w:pPr>
        <w:spacing w:after="0" w:line="240" w:lineRule="auto"/>
        <w:rPr>
          <w:rFonts w:ascii="Times New Roman" w:hAnsi="Times New Roman" w:cs="Times New Roman"/>
        </w:rPr>
      </w:pPr>
    </w:p>
    <w:p w14:paraId="2AE7E67C" w14:textId="77777777" w:rsidR="0036326D" w:rsidRDefault="0036326D">
      <w:pPr>
        <w:spacing w:after="0" w:line="240" w:lineRule="auto"/>
        <w:rPr>
          <w:rFonts w:ascii="Times New Roman" w:hAnsi="Times New Roman" w:cs="Times New Roman"/>
        </w:rPr>
      </w:pPr>
    </w:p>
    <w:p w14:paraId="1D81F386" w14:textId="77777777" w:rsidR="0036326D" w:rsidRDefault="00443AFA">
      <w:pPr>
        <w:pStyle w:val="Default"/>
        <w:tabs>
          <w:tab w:val="left" w:pos="567"/>
        </w:tabs>
        <w:rPr>
          <w:b/>
          <w:bCs/>
          <w:sz w:val="22"/>
          <w:szCs w:val="22"/>
        </w:rPr>
      </w:pPr>
      <w:r>
        <w:rPr>
          <w:b/>
          <w:bCs/>
          <w:sz w:val="22"/>
          <w:szCs w:val="22"/>
        </w:rPr>
        <w:t>4.</w:t>
      </w:r>
      <w:r>
        <w:rPr>
          <w:b/>
          <w:bCs/>
          <w:sz w:val="22"/>
          <w:szCs w:val="22"/>
        </w:rPr>
        <w:tab/>
        <w:t xml:space="preserve">KLINICKÉ ÚDAJE </w:t>
      </w:r>
    </w:p>
    <w:p w14:paraId="1D68124E" w14:textId="77777777" w:rsidR="0036326D" w:rsidRDefault="0036326D">
      <w:pPr>
        <w:pStyle w:val="Default"/>
        <w:rPr>
          <w:sz w:val="22"/>
          <w:szCs w:val="22"/>
        </w:rPr>
      </w:pPr>
    </w:p>
    <w:p w14:paraId="3C92FDC6" w14:textId="77777777" w:rsidR="0036326D" w:rsidRDefault="00443AFA">
      <w:pPr>
        <w:tabs>
          <w:tab w:val="left" w:pos="567"/>
        </w:tabs>
        <w:spacing w:after="0" w:line="240" w:lineRule="auto"/>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t>Terapeutické indikácie</w:t>
      </w:r>
    </w:p>
    <w:p w14:paraId="6E1E5AAF" w14:textId="77777777" w:rsidR="0036326D" w:rsidRDefault="0036326D">
      <w:pPr>
        <w:spacing w:after="0" w:line="240" w:lineRule="auto"/>
        <w:rPr>
          <w:rFonts w:ascii="Times New Roman" w:hAnsi="Times New Roman" w:cs="Times New Roman"/>
          <w:b/>
          <w:bCs/>
        </w:rPr>
      </w:pPr>
    </w:p>
    <w:p w14:paraId="1D89EFE6" w14:textId="53EFCC97" w:rsidR="0036326D" w:rsidRDefault="00443AFA">
      <w:pPr>
        <w:spacing w:after="0" w:line="240" w:lineRule="auto"/>
        <w:rPr>
          <w:rFonts w:ascii="Times New Roman" w:hAnsi="Times New Roman" w:cs="Times New Roman"/>
        </w:rPr>
      </w:pPr>
      <w:r>
        <w:rPr>
          <w:rFonts w:ascii="Times New Roman" w:hAnsi="Times New Roman" w:cs="Times New Roman"/>
        </w:rPr>
        <w:t>Prevencia cievnej mozgovej príhody a systémovej embólie u dospelých pacientov s nevalvulárnou fibriláciou predsiení s jedným alebo viacerými rizikovými faktormi, ako je kongestívne zlyhávanie srdca, hypertenzia, vek ≥ 75 rokov, diabetes mellitus, predchádzajúca cievna mozgová príhoda alebo prechodný ischemický atak.</w:t>
      </w:r>
    </w:p>
    <w:p w14:paraId="4FC51C00" w14:textId="77777777" w:rsidR="0036326D" w:rsidRDefault="0036326D">
      <w:pPr>
        <w:spacing w:after="0" w:line="240" w:lineRule="auto"/>
        <w:rPr>
          <w:rFonts w:ascii="Times New Roman" w:hAnsi="Times New Roman" w:cs="Times New Roman"/>
        </w:rPr>
      </w:pPr>
    </w:p>
    <w:p w14:paraId="57D016D9" w14:textId="77777777" w:rsidR="0036326D" w:rsidRDefault="00443AFA">
      <w:pPr>
        <w:spacing w:after="0" w:line="240" w:lineRule="auto"/>
        <w:rPr>
          <w:rFonts w:ascii="Times New Roman" w:hAnsi="Times New Roman" w:cs="Times New Roman"/>
        </w:rPr>
      </w:pPr>
      <w:r>
        <w:rPr>
          <w:rFonts w:ascii="Times New Roman" w:hAnsi="Times New Roman" w:cs="Times New Roman"/>
        </w:rPr>
        <w:t>Liečba hlbokej žilovej trombózy (DVT) a pľúcnej embólie (PE) a prevencia rekurencie DVT a PE u dospelých. (Pozri časť 4.4. pre hemodynamicky nestabilných pacientov s PE).</w:t>
      </w:r>
    </w:p>
    <w:p w14:paraId="65095D6B" w14:textId="77777777" w:rsidR="0036326D" w:rsidRDefault="0036326D">
      <w:pPr>
        <w:spacing w:after="0" w:line="240" w:lineRule="auto"/>
        <w:rPr>
          <w:rFonts w:ascii="Times New Roman" w:hAnsi="Times New Roman" w:cs="Times New Roman"/>
        </w:rPr>
      </w:pPr>
    </w:p>
    <w:p w14:paraId="3351C2DD" w14:textId="77777777" w:rsidR="0036326D" w:rsidRDefault="00443AFA">
      <w:pPr>
        <w:pStyle w:val="Default"/>
        <w:tabs>
          <w:tab w:val="left" w:pos="567"/>
        </w:tabs>
        <w:rPr>
          <w:b/>
          <w:bCs/>
          <w:sz w:val="22"/>
          <w:szCs w:val="22"/>
        </w:rPr>
      </w:pPr>
      <w:r>
        <w:rPr>
          <w:b/>
          <w:bCs/>
          <w:sz w:val="22"/>
          <w:szCs w:val="22"/>
        </w:rPr>
        <w:t>4.2</w:t>
      </w:r>
      <w:r>
        <w:rPr>
          <w:b/>
          <w:bCs/>
          <w:sz w:val="22"/>
          <w:szCs w:val="22"/>
        </w:rPr>
        <w:tab/>
        <w:t xml:space="preserve">Dávkovanie a spôsob podávania </w:t>
      </w:r>
    </w:p>
    <w:p w14:paraId="62AD6ED3" w14:textId="77777777" w:rsidR="0036326D" w:rsidRDefault="0036326D">
      <w:pPr>
        <w:pStyle w:val="Default"/>
        <w:rPr>
          <w:sz w:val="22"/>
          <w:szCs w:val="22"/>
        </w:rPr>
      </w:pPr>
    </w:p>
    <w:p w14:paraId="32818CFD"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u w:val="single"/>
        </w:rPr>
        <w:t>Dávkovanie</w:t>
      </w:r>
    </w:p>
    <w:p w14:paraId="2F0A94D0" w14:textId="31889B44" w:rsidR="0036326D" w:rsidRDefault="00443AFA">
      <w:pPr>
        <w:spacing w:after="0" w:line="240" w:lineRule="auto"/>
        <w:rPr>
          <w:rFonts w:ascii="Times New Roman" w:hAnsi="Times New Roman" w:cs="Times New Roman"/>
          <w:i/>
        </w:rPr>
      </w:pPr>
      <w:r>
        <w:rPr>
          <w:rFonts w:ascii="Times New Roman" w:hAnsi="Times New Roman" w:cs="Times New Roman"/>
          <w:i/>
        </w:rPr>
        <w:t>Prevencia cievnej mozgovej príhody a systémovej embólie</w:t>
      </w:r>
    </w:p>
    <w:p w14:paraId="43FBAD4E" w14:textId="77777777" w:rsidR="0036326D" w:rsidRDefault="00443AFA">
      <w:pPr>
        <w:spacing w:after="0" w:line="240" w:lineRule="auto"/>
        <w:rPr>
          <w:rFonts w:ascii="Times New Roman" w:hAnsi="Times New Roman" w:cs="Times New Roman"/>
        </w:rPr>
      </w:pPr>
      <w:r>
        <w:rPr>
          <w:rFonts w:ascii="Times New Roman" w:hAnsi="Times New Roman" w:cs="Times New Roman"/>
        </w:rPr>
        <w:t>Odporúčaná dávka je 20 mg jedenkrát denne, čo je aj odporúčaná maximálna dávka.</w:t>
      </w:r>
    </w:p>
    <w:p w14:paraId="29345697" w14:textId="77777777" w:rsidR="0036326D" w:rsidRDefault="0036326D">
      <w:pPr>
        <w:spacing w:after="0" w:line="240" w:lineRule="auto"/>
        <w:rPr>
          <w:rFonts w:ascii="Times New Roman" w:hAnsi="Times New Roman" w:cs="Times New Roman"/>
        </w:rPr>
      </w:pPr>
    </w:p>
    <w:p w14:paraId="57EA9CBF" w14:textId="40E983F6" w:rsidR="0036326D" w:rsidRDefault="00443AFA">
      <w:pPr>
        <w:spacing w:after="0" w:line="240" w:lineRule="auto"/>
        <w:rPr>
          <w:rFonts w:ascii="Times New Roman" w:hAnsi="Times New Roman" w:cs="Times New Roman"/>
        </w:rPr>
      </w:pPr>
      <w:r>
        <w:rPr>
          <w:rFonts w:ascii="Times New Roman" w:hAnsi="Times New Roman" w:cs="Times New Roman"/>
        </w:rPr>
        <w:t>Liečba Rombiduxom má pokračovať dlhodobo za predpokladu, že prínos prevencie cievnej mozgovej príhody a systémovej embólie preváži riziko krvácania (pozri časť 4.4).</w:t>
      </w:r>
    </w:p>
    <w:p w14:paraId="5E8C2693" w14:textId="77777777" w:rsidR="0036326D" w:rsidRDefault="0036326D">
      <w:pPr>
        <w:spacing w:after="0" w:line="240" w:lineRule="auto"/>
        <w:rPr>
          <w:rFonts w:ascii="Times New Roman" w:hAnsi="Times New Roman" w:cs="Times New Roman"/>
        </w:rPr>
      </w:pPr>
    </w:p>
    <w:p w14:paraId="41B0B16A" w14:textId="77777777" w:rsidR="0036326D" w:rsidRDefault="00443AFA">
      <w:pPr>
        <w:spacing w:after="0" w:line="240" w:lineRule="auto"/>
        <w:rPr>
          <w:rFonts w:ascii="Times New Roman" w:hAnsi="Times New Roman" w:cs="Times New Roman"/>
        </w:rPr>
      </w:pPr>
      <w:r>
        <w:rPr>
          <w:rFonts w:ascii="Times New Roman" w:hAnsi="Times New Roman" w:cs="Times New Roman"/>
        </w:rPr>
        <w:t>Ak sa vynechá dávka, pacient má okamžite užiť Rombidux a pokračovať nasledujúci deň s užívaním jedenkrát denne podľa odporúčania. V priebehu jedného dňa sa nemá užiť dvojnásobná dávka, ako náhrada vynechanej dávky.</w:t>
      </w:r>
    </w:p>
    <w:p w14:paraId="32930B72" w14:textId="77777777" w:rsidR="0036326D" w:rsidRDefault="0036326D">
      <w:pPr>
        <w:spacing w:after="0" w:line="240" w:lineRule="auto"/>
        <w:rPr>
          <w:rFonts w:ascii="Times New Roman" w:hAnsi="Times New Roman" w:cs="Times New Roman"/>
        </w:rPr>
      </w:pPr>
    </w:p>
    <w:p w14:paraId="4E2AE962" w14:textId="77777777" w:rsidR="0036326D" w:rsidRDefault="00443AFA">
      <w:pPr>
        <w:spacing w:after="0" w:line="240" w:lineRule="auto"/>
        <w:rPr>
          <w:rFonts w:ascii="Times New Roman" w:hAnsi="Times New Roman" w:cs="Times New Roman"/>
          <w:i/>
        </w:rPr>
      </w:pPr>
      <w:r>
        <w:rPr>
          <w:rFonts w:ascii="Times New Roman" w:hAnsi="Times New Roman" w:cs="Times New Roman"/>
          <w:i/>
        </w:rPr>
        <w:t>Liečba DVT, liečba PE a prevencia rekurencie DVT a PE</w:t>
      </w:r>
    </w:p>
    <w:p w14:paraId="5F482DB1" w14:textId="77777777" w:rsidR="0036326D" w:rsidRDefault="00443AFA">
      <w:pPr>
        <w:spacing w:after="0" w:line="240" w:lineRule="auto"/>
        <w:rPr>
          <w:rFonts w:ascii="Times New Roman" w:hAnsi="Times New Roman" w:cs="Times New Roman"/>
        </w:rPr>
      </w:pPr>
      <w:r>
        <w:rPr>
          <w:rFonts w:ascii="Times New Roman" w:hAnsi="Times New Roman" w:cs="Times New Roman"/>
        </w:rPr>
        <w:t>Odporúčaná dávka na začiatočnú liečbu akútnej DVT alebo PE je 15 mg dvakrát denne počas prvých troch týždňov, potom pokračuje liečba a prevencia rekurencie DVT a PE dávkou 20 mg jedenkrát denne.</w:t>
      </w:r>
    </w:p>
    <w:p w14:paraId="6F0DB803" w14:textId="7306291F" w:rsidR="0036326D" w:rsidRDefault="00443AFA">
      <w:pPr>
        <w:spacing w:after="0" w:line="240" w:lineRule="auto"/>
        <w:rPr>
          <w:rFonts w:ascii="Times New Roman" w:hAnsi="Times New Roman" w:cs="Times New Roman"/>
        </w:rPr>
      </w:pPr>
      <w:r>
        <w:rPr>
          <w:rFonts w:ascii="Times New Roman" w:hAnsi="Times New Roman" w:cs="Times New Roman"/>
        </w:rPr>
        <w:lastRenderedPageBreak/>
        <w:t>U pacientov s DVT alebo PE provokovanou významnými prechodnými rizikovými faktormi (t. j. nedávnou závažnou operáciou alebo traumou) sa má zvážiť krátkodobá liečba (najmenej 3-mesačná). Dlhodobejšia liečba sa má zvážiť u pacientov s provokovanou DVT alebo PE nesúvisiacou s významnými prechodnými rizikovými faktormi, neprovokovanou DVT alebo PE alebo rekurentnou DVT alebo PE v anamnéze.</w:t>
      </w:r>
    </w:p>
    <w:p w14:paraId="7C594DB0" w14:textId="77777777" w:rsidR="0036326D" w:rsidRDefault="0036326D">
      <w:pPr>
        <w:spacing w:after="0" w:line="240" w:lineRule="auto"/>
        <w:rPr>
          <w:rFonts w:ascii="Times New Roman" w:hAnsi="Times New Roman" w:cs="Times New Roman"/>
        </w:rPr>
      </w:pPr>
    </w:p>
    <w:p w14:paraId="090649DC" w14:textId="77777777" w:rsidR="0036326D" w:rsidRDefault="00443AFA">
      <w:pPr>
        <w:spacing w:after="0" w:line="240" w:lineRule="auto"/>
        <w:rPr>
          <w:rFonts w:ascii="Times New Roman" w:hAnsi="Times New Roman" w:cs="Times New Roman"/>
        </w:rPr>
      </w:pPr>
      <w:r>
        <w:rPr>
          <w:rFonts w:ascii="Times New Roman" w:hAnsi="Times New Roman" w:cs="Times New Roman"/>
        </w:rPr>
        <w:t>Ak je indikovaná dlhodobá prevencia rekurencie DVT a PE (po ukončení najmenej 6 mesiacov liečby DVT alebo PE), odporúčaná dávka je 10 mg jedenkrát denne. U pacientov, u ktorých sa riziko rekurencie DVT alebo PE považuje za vysoké, ako sú pacienti s komplikovanými komorbiditami, alebo u ktorých sa vyvinula rekurencia DVT alebo PE pri dlhodobej prevencii s Rombiduxom 10 mg jedenkrát denne, sa má zvážiť podávanie Rombiduxu 20 mg jedenkrát denne.</w:t>
      </w:r>
    </w:p>
    <w:p w14:paraId="514C2635" w14:textId="77777777" w:rsidR="0036326D" w:rsidRDefault="0036326D">
      <w:pPr>
        <w:spacing w:after="0" w:line="240" w:lineRule="auto"/>
        <w:rPr>
          <w:rFonts w:ascii="Times New Roman" w:hAnsi="Times New Roman" w:cs="Times New Roman"/>
        </w:rPr>
      </w:pPr>
    </w:p>
    <w:p w14:paraId="71629C50" w14:textId="77777777" w:rsidR="0036326D" w:rsidRDefault="00443AFA">
      <w:pPr>
        <w:spacing w:after="0" w:line="240" w:lineRule="auto"/>
        <w:rPr>
          <w:rFonts w:ascii="Times New Roman" w:hAnsi="Times New Roman" w:cs="Times New Roman"/>
        </w:rPr>
      </w:pPr>
      <w:r>
        <w:rPr>
          <w:rFonts w:ascii="Times New Roman" w:hAnsi="Times New Roman" w:cs="Times New Roman"/>
        </w:rPr>
        <w:t>Dĺžka liečby a výber dávky sa majú individualizovať po dôkladnom posúdení prínosu liečby a rizika krvácania (pozri časť 4.4).</w:t>
      </w:r>
    </w:p>
    <w:p w14:paraId="6F1399D4" w14:textId="77777777" w:rsidR="0036326D" w:rsidRDefault="0036326D">
      <w:pPr>
        <w:spacing w:after="0" w:line="240" w:lineRule="auto"/>
        <w:rPr>
          <w:rFonts w:ascii="Times New Roman" w:hAnsi="Times New Roman" w:cs="Times New Roman"/>
        </w:rPr>
      </w:pPr>
    </w:p>
    <w:tbl>
      <w:tblPr>
        <w:tblW w:w="5000" w:type="pct"/>
        <w:tblLayout w:type="fixed"/>
        <w:tblLook w:val="04A0" w:firstRow="1" w:lastRow="0" w:firstColumn="1" w:lastColumn="0" w:noHBand="0" w:noVBand="1"/>
      </w:tblPr>
      <w:tblGrid>
        <w:gridCol w:w="2269"/>
        <w:gridCol w:w="2431"/>
        <w:gridCol w:w="2352"/>
        <w:gridCol w:w="2008"/>
      </w:tblGrid>
      <w:tr w:rsidR="0036326D" w14:paraId="3AB8E9CE" w14:textId="77777777">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E014217" w14:textId="77777777" w:rsidR="0036326D" w:rsidRDefault="0036326D">
            <w:pPr>
              <w:widowControl w:val="0"/>
              <w:spacing w:after="0" w:line="240" w:lineRule="auto"/>
              <w:rPr>
                <w:rFonts w:ascii="Times New Roman" w:hAnsi="Times New Roman" w:cs="Times New Roman"/>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715151BB"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Časové obdobie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7B969EB"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Režim dávkovania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7F21474A"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Celková denná dávka </w:t>
            </w:r>
          </w:p>
        </w:tc>
      </w:tr>
      <w:tr w:rsidR="0036326D" w14:paraId="6FE80578" w14:textId="77777777">
        <w:trPr>
          <w:trHeight w:val="347"/>
        </w:trPr>
        <w:tc>
          <w:tcPr>
            <w:tcW w:w="2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E4A7E"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Liečba a prevencia rekurencie DVT a PE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6AACA8A0"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1. – 21. deň</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CCDEEB1"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15 mg dvakrát denne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34B0413"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30 mg </w:t>
            </w:r>
          </w:p>
        </w:tc>
      </w:tr>
      <w:tr w:rsidR="0036326D" w14:paraId="6D53CEE5" w14:textId="77777777">
        <w:trPr>
          <w:trHeight w:val="396"/>
        </w:trPr>
        <w:tc>
          <w:tcPr>
            <w:tcW w:w="22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26D21F" w14:textId="77777777" w:rsidR="0036326D" w:rsidRDefault="0036326D">
            <w:pPr>
              <w:widowControl w:val="0"/>
              <w:spacing w:after="0" w:line="240" w:lineRule="auto"/>
              <w:rPr>
                <w:rFonts w:ascii="Times New Roman" w:hAnsi="Times New Roman" w:cs="Times New Roman"/>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7357ADAD"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od 22. dňa</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5AEAB74"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20 mg jedenkrát denne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18F4404F"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20 mg </w:t>
            </w:r>
          </w:p>
        </w:tc>
      </w:tr>
      <w:tr w:rsidR="0036326D" w14:paraId="283BE10D" w14:textId="77777777">
        <w:trPr>
          <w:trHeight w:val="785"/>
        </w:trPr>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509DF"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Prevencia rekurencie DVT a PE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64C89264"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po ukončení najmenej 6 mesiacov liečby DVT alebo PE</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DA4F31F"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10 mg jedenkrát denne alebo </w:t>
            </w:r>
          </w:p>
          <w:p w14:paraId="3C0FE293"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20 mg jedenkrát denne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4873F40C"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10 mg </w:t>
            </w:r>
          </w:p>
          <w:p w14:paraId="2366579D"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 xml:space="preserve">alebo 20 mg </w:t>
            </w:r>
          </w:p>
        </w:tc>
      </w:tr>
    </w:tbl>
    <w:p w14:paraId="1C358059" w14:textId="77777777" w:rsidR="0036326D" w:rsidRDefault="0036326D">
      <w:pPr>
        <w:spacing w:after="0" w:line="240" w:lineRule="auto"/>
        <w:rPr>
          <w:rFonts w:ascii="Times New Roman" w:hAnsi="Times New Roman" w:cs="Times New Roman"/>
        </w:rPr>
      </w:pPr>
    </w:p>
    <w:p w14:paraId="4B899AE4" w14:textId="77777777" w:rsidR="0036326D" w:rsidRDefault="00443AFA">
      <w:pPr>
        <w:spacing w:after="0" w:line="240" w:lineRule="auto"/>
        <w:rPr>
          <w:rFonts w:ascii="Times New Roman" w:hAnsi="Times New Roman" w:cs="Times New Roman"/>
        </w:rPr>
      </w:pPr>
      <w:r>
        <w:rPr>
          <w:rFonts w:ascii="Times New Roman" w:hAnsi="Times New Roman" w:cs="Times New Roman"/>
        </w:rPr>
        <w:t>Ak sa vynechá dávka počas fázy liečby 15 mg dvakrát denne (1. – 21. deň), pacient má okamžite užiť Rombidux, aby sa zabezpečilo, že užil 30 mg Rombiduxu denne. V takomto prípade možno naraz užiť dve 15 mg tablety. Pacient má pokračovať pravidelným užívaním 15 mg dvakrát denne podľa odporúčania na nasledujúci deň.</w:t>
      </w:r>
    </w:p>
    <w:p w14:paraId="7907FE62" w14:textId="77777777" w:rsidR="0036326D" w:rsidRDefault="0036326D">
      <w:pPr>
        <w:spacing w:after="0" w:line="240" w:lineRule="auto"/>
        <w:rPr>
          <w:rFonts w:ascii="Times New Roman" w:hAnsi="Times New Roman" w:cs="Times New Roman"/>
        </w:rPr>
      </w:pPr>
    </w:p>
    <w:p w14:paraId="42B6E279" w14:textId="77777777" w:rsidR="0036326D" w:rsidRDefault="00443AFA">
      <w:pPr>
        <w:spacing w:after="0" w:line="240" w:lineRule="auto"/>
        <w:rPr>
          <w:rFonts w:ascii="Times New Roman" w:hAnsi="Times New Roman" w:cs="Times New Roman"/>
        </w:rPr>
      </w:pPr>
      <w:r>
        <w:rPr>
          <w:rFonts w:ascii="Times New Roman" w:hAnsi="Times New Roman" w:cs="Times New Roman"/>
        </w:rPr>
        <w:t>Ak sa vynechá dávka počas fázy liečby jedenkrát denne, pacient má okamžite užiť Rombidux a pokračovať nasledujúci deň s užívaním jedenkrát denne podľa odporúčania. V priebehu jedného dňa sa nemá užiť dvojnásobná dávka, ako náhrada vynechanej dávky.</w:t>
      </w:r>
    </w:p>
    <w:p w14:paraId="7D1B12F2" w14:textId="77777777" w:rsidR="0036326D" w:rsidRDefault="0036326D">
      <w:pPr>
        <w:spacing w:after="0" w:line="240" w:lineRule="auto"/>
        <w:rPr>
          <w:rFonts w:ascii="Times New Roman" w:hAnsi="Times New Roman" w:cs="Times New Roman"/>
        </w:rPr>
      </w:pPr>
    </w:p>
    <w:p w14:paraId="12B2C9B3" w14:textId="77777777" w:rsidR="0036326D" w:rsidRDefault="00443AFA">
      <w:pPr>
        <w:spacing w:after="0" w:line="240" w:lineRule="auto"/>
        <w:rPr>
          <w:rFonts w:ascii="Times New Roman" w:hAnsi="Times New Roman" w:cs="Times New Roman"/>
        </w:rPr>
      </w:pPr>
      <w:r>
        <w:rPr>
          <w:rFonts w:ascii="Times New Roman" w:hAnsi="Times New Roman" w:cs="Times New Roman"/>
          <w:i/>
          <w:iCs/>
        </w:rPr>
        <w:t xml:space="preserve">Prestavenie z liečby antagonistami vitamínu K (VKA) na </w:t>
      </w:r>
      <w:r>
        <w:rPr>
          <w:rFonts w:ascii="Times New Roman" w:hAnsi="Times New Roman" w:cs="Times New Roman"/>
          <w:i/>
        </w:rPr>
        <w:t xml:space="preserve">Rombidux </w:t>
      </w:r>
    </w:p>
    <w:p w14:paraId="6FF08E33" w14:textId="4E648C30" w:rsidR="0036326D" w:rsidRDefault="00443AFA">
      <w:pPr>
        <w:rPr>
          <w:rFonts w:ascii="Times New Roman" w:hAnsi="Times New Roman" w:cs="Times New Roman"/>
        </w:rPr>
      </w:pPr>
      <w:r>
        <w:rPr>
          <w:rFonts w:ascii="Times New Roman" w:hAnsi="Times New Roman" w:cs="Times New Roman"/>
        </w:rPr>
        <w:t>U pacientov, ktorí užívajú liek na prevenciu cievnej mozgovej príhody a systémovej embólie sa má liečba VKA ukončiť a liečba Rombiduxom sa má začať, keď je Medzinárodný normalizovaný pomer (INR) ≤ 3,0.</w:t>
      </w:r>
    </w:p>
    <w:p w14:paraId="7A8C20E0" w14:textId="77777777" w:rsidR="0036326D" w:rsidRDefault="00443AFA">
      <w:pPr>
        <w:spacing w:after="0" w:line="240" w:lineRule="auto"/>
        <w:rPr>
          <w:rFonts w:ascii="Times New Roman" w:hAnsi="Times New Roman" w:cs="Times New Roman"/>
        </w:rPr>
      </w:pPr>
      <w:r>
        <w:rPr>
          <w:rFonts w:ascii="Times New Roman" w:hAnsi="Times New Roman" w:cs="Times New Roman"/>
        </w:rPr>
        <w:t>U pacientov liečených na DVT, PE a na prevenciu rekurencie sa má liečba VKA ukončiť a liečba Rombiduxom sa má začať, keď je INR ≤ 2,5.</w:t>
      </w:r>
    </w:p>
    <w:p w14:paraId="6CD6365F" w14:textId="77777777" w:rsidR="0036326D" w:rsidRDefault="0036326D">
      <w:pPr>
        <w:spacing w:after="0" w:line="240" w:lineRule="auto"/>
        <w:rPr>
          <w:rFonts w:ascii="Times New Roman" w:hAnsi="Times New Roman" w:cs="Times New Roman"/>
        </w:rPr>
      </w:pPr>
    </w:p>
    <w:p w14:paraId="70F0C43C" w14:textId="77777777" w:rsidR="0036326D" w:rsidRDefault="00443AFA">
      <w:pPr>
        <w:spacing w:after="0" w:line="240" w:lineRule="auto"/>
        <w:rPr>
          <w:rFonts w:ascii="Times New Roman" w:hAnsi="Times New Roman" w:cs="Times New Roman"/>
        </w:rPr>
      </w:pPr>
      <w:r>
        <w:rPr>
          <w:rFonts w:ascii="Times New Roman" w:hAnsi="Times New Roman" w:cs="Times New Roman"/>
        </w:rPr>
        <w:t>U pacientov, ktorí sú prestavení z liečby VKA na Rombidux sa hodnoty Medzinárodného normalizovaného pomeru (INR) po užití Rombiduxu falošne zvýšia. INR nie je vhodný na meranie antikoagulačnej aktivity Rombiduxu, a preto sa nemá na tento účel využívať (pozri časť 4.5).</w:t>
      </w:r>
    </w:p>
    <w:p w14:paraId="5FA51706" w14:textId="77777777" w:rsidR="0036326D" w:rsidRDefault="00443AFA">
      <w:pPr>
        <w:tabs>
          <w:tab w:val="left" w:pos="1725"/>
        </w:tabs>
        <w:spacing w:after="0" w:line="240" w:lineRule="auto"/>
        <w:rPr>
          <w:rFonts w:ascii="Times New Roman" w:hAnsi="Times New Roman" w:cs="Times New Roman"/>
        </w:rPr>
      </w:pPr>
      <w:r>
        <w:rPr>
          <w:rFonts w:ascii="Times New Roman" w:hAnsi="Times New Roman" w:cs="Times New Roman"/>
        </w:rPr>
        <w:tab/>
      </w:r>
    </w:p>
    <w:p w14:paraId="5B712A4D" w14:textId="77777777" w:rsidR="0036326D" w:rsidRDefault="00443AFA">
      <w:pPr>
        <w:spacing w:after="0" w:line="240" w:lineRule="auto"/>
        <w:rPr>
          <w:rFonts w:ascii="Times New Roman" w:hAnsi="Times New Roman" w:cs="Times New Roman"/>
          <w:i/>
          <w:iCs/>
        </w:rPr>
      </w:pPr>
      <w:r>
        <w:rPr>
          <w:rFonts w:ascii="Times New Roman" w:hAnsi="Times New Roman" w:cs="Times New Roman"/>
          <w:i/>
          <w:iCs/>
        </w:rPr>
        <w:t xml:space="preserve">Prestavenie z liečby </w:t>
      </w:r>
      <w:r>
        <w:rPr>
          <w:rFonts w:ascii="Times New Roman" w:hAnsi="Times New Roman" w:cs="Times New Roman"/>
          <w:i/>
        </w:rPr>
        <w:t>Rombiduxom</w:t>
      </w:r>
      <w:r>
        <w:rPr>
          <w:rFonts w:ascii="Times New Roman" w:hAnsi="Times New Roman" w:cs="Times New Roman"/>
          <w:i/>
          <w:iCs/>
        </w:rPr>
        <w:t xml:space="preserve"> na antagonisty vitamínu K (VKA)</w:t>
      </w:r>
    </w:p>
    <w:p w14:paraId="1F70C61C" w14:textId="0262E615" w:rsidR="0036326D" w:rsidRDefault="00443AFA">
      <w:pPr>
        <w:pStyle w:val="Default"/>
        <w:rPr>
          <w:sz w:val="22"/>
          <w:szCs w:val="22"/>
        </w:rPr>
      </w:pPr>
      <w:r>
        <w:rPr>
          <w:sz w:val="22"/>
          <w:szCs w:val="22"/>
        </w:rPr>
        <w:t xml:space="preserve">Počas prestavenia liečby Rombiduxom na VKA existuje možnosť nedostatočnej antikoagulácie. Počas prestavenia pacienta na iné antikoagulancium sa má zabezpečiť nepretržitá dostatočná antikoagulácia. Je potrebné upozorniť na to, že Rombidux môže prispievať ku zvýšeniu INR. </w:t>
      </w:r>
    </w:p>
    <w:p w14:paraId="446CD67F" w14:textId="77777777" w:rsidR="0036326D" w:rsidRDefault="00443AFA">
      <w:pPr>
        <w:spacing w:after="0" w:line="240" w:lineRule="auto"/>
        <w:rPr>
          <w:rFonts w:ascii="Times New Roman" w:hAnsi="Times New Roman" w:cs="Times New Roman"/>
        </w:rPr>
      </w:pPr>
      <w:r>
        <w:rPr>
          <w:rFonts w:ascii="Times New Roman" w:hAnsi="Times New Roman" w:cs="Times New Roman"/>
        </w:rPr>
        <w:t>U pacientov, ktorí prechádzajú z liečby Rombiduxom na VKA, sa má VKA podávať súbežne, až do INR ≥ 2,0.</w:t>
      </w:r>
    </w:p>
    <w:p w14:paraId="1E6D9411" w14:textId="77777777" w:rsidR="0036326D" w:rsidRDefault="00443AFA">
      <w:pPr>
        <w:spacing w:after="0" w:line="240" w:lineRule="auto"/>
        <w:rPr>
          <w:rFonts w:ascii="Times New Roman" w:hAnsi="Times New Roman" w:cs="Times New Roman"/>
        </w:rPr>
      </w:pPr>
      <w:r>
        <w:rPr>
          <w:rFonts w:ascii="Times New Roman" w:hAnsi="Times New Roman" w:cs="Times New Roman"/>
        </w:rPr>
        <w:t xml:space="preserve">Počas prvých dvoch dní prestavovania liečby sa má používať štandardné začiatočné dávkovanie VKA, po ktorom má nasledovať dávkovanie VKA, ktoré sa riadi meraním INR. Počas obdobia, keď pacienti užívajú Rombidux aj VKA, sa INR nemá merať skôr ako 24 hodín po predchádzajúcej dávke, ale pred </w:t>
      </w:r>
      <w:r>
        <w:rPr>
          <w:rFonts w:ascii="Times New Roman" w:hAnsi="Times New Roman" w:cs="Times New Roman"/>
        </w:rPr>
        <w:lastRenderedPageBreak/>
        <w:t>nasledujúcou dávkou Rombiduxu. Po vysadení Rombiduxu sa môže vykonať spoľahlivé meranie INR najskôr 24 hodín po poslednej dávke (pozri časti 4.5 a 5.2).</w:t>
      </w:r>
    </w:p>
    <w:p w14:paraId="6CD6000D" w14:textId="77777777" w:rsidR="0036326D" w:rsidRDefault="0036326D">
      <w:pPr>
        <w:spacing w:after="0" w:line="240" w:lineRule="auto"/>
        <w:rPr>
          <w:rFonts w:ascii="Times New Roman" w:hAnsi="Times New Roman" w:cs="Times New Roman"/>
        </w:rPr>
      </w:pPr>
    </w:p>
    <w:p w14:paraId="68CCF58C" w14:textId="77777777" w:rsidR="0036326D" w:rsidRDefault="00443AFA">
      <w:pPr>
        <w:pStyle w:val="Default"/>
        <w:rPr>
          <w:i/>
          <w:sz w:val="22"/>
          <w:szCs w:val="22"/>
        </w:rPr>
      </w:pPr>
      <w:r>
        <w:rPr>
          <w:i/>
          <w:iCs/>
          <w:sz w:val="22"/>
          <w:szCs w:val="22"/>
        </w:rPr>
        <w:t xml:space="preserve">Prestavenie z parenterálnych antikoagulancií na </w:t>
      </w:r>
      <w:r>
        <w:rPr>
          <w:i/>
          <w:sz w:val="22"/>
          <w:szCs w:val="22"/>
        </w:rPr>
        <w:t>Rombidux</w:t>
      </w:r>
      <w:r>
        <w:rPr>
          <w:i/>
          <w:iCs/>
          <w:sz w:val="22"/>
          <w:szCs w:val="22"/>
        </w:rPr>
        <w:t xml:space="preserve"> </w:t>
      </w:r>
    </w:p>
    <w:p w14:paraId="19F4DB65" w14:textId="77777777" w:rsidR="0036326D" w:rsidRDefault="00443AFA">
      <w:pPr>
        <w:spacing w:after="0" w:line="240" w:lineRule="auto"/>
        <w:rPr>
          <w:rFonts w:ascii="Times New Roman" w:hAnsi="Times New Roman" w:cs="Times New Roman"/>
        </w:rPr>
      </w:pPr>
      <w:r>
        <w:rPr>
          <w:rFonts w:ascii="Times New Roman" w:hAnsi="Times New Roman" w:cs="Times New Roman"/>
        </w:rPr>
        <w:t>U pacientov súbežne používajúcich parenterálne antikoagulancium sa má ukončiť podávanie parenterálneho antikoagulancia a začať liečba Rombiduxom 0 až 2 hodiny predtým, ako sa mala podať ďalšia naplánovaná dávka parenterálneho lieku (napr. nízkomolekulárnych heparínov) alebo v čase ukončenia kontinuálne podávaného parenterálneho lieku (napr. intravenózneho nefrakcionovaného heparínu).</w:t>
      </w:r>
    </w:p>
    <w:p w14:paraId="61917BDE" w14:textId="77777777" w:rsidR="0036326D" w:rsidRDefault="0036326D">
      <w:pPr>
        <w:spacing w:after="0" w:line="240" w:lineRule="auto"/>
        <w:rPr>
          <w:rFonts w:ascii="Times New Roman" w:hAnsi="Times New Roman" w:cs="Times New Roman"/>
        </w:rPr>
      </w:pPr>
    </w:p>
    <w:p w14:paraId="2549ED1C" w14:textId="77777777" w:rsidR="0036326D" w:rsidRDefault="00443AFA">
      <w:pPr>
        <w:pStyle w:val="Default"/>
        <w:rPr>
          <w:sz w:val="22"/>
          <w:szCs w:val="22"/>
        </w:rPr>
      </w:pPr>
      <w:r>
        <w:rPr>
          <w:i/>
          <w:iCs/>
          <w:sz w:val="22"/>
          <w:szCs w:val="22"/>
        </w:rPr>
        <w:t xml:space="preserve">Prestavenie z liečby </w:t>
      </w:r>
      <w:r>
        <w:rPr>
          <w:i/>
          <w:sz w:val="22"/>
          <w:szCs w:val="22"/>
        </w:rPr>
        <w:t>Rombiduxom</w:t>
      </w:r>
      <w:r>
        <w:rPr>
          <w:i/>
          <w:iCs/>
          <w:sz w:val="22"/>
          <w:szCs w:val="22"/>
        </w:rPr>
        <w:t xml:space="preserve"> na parenterálne antikoagulanciá </w:t>
      </w:r>
    </w:p>
    <w:p w14:paraId="201A0F82" w14:textId="77777777" w:rsidR="0036326D" w:rsidRDefault="00443AFA">
      <w:pPr>
        <w:spacing w:after="0" w:line="240" w:lineRule="auto"/>
        <w:rPr>
          <w:rFonts w:ascii="Times New Roman" w:hAnsi="Times New Roman" w:cs="Times New Roman"/>
        </w:rPr>
      </w:pPr>
      <w:r>
        <w:rPr>
          <w:rFonts w:ascii="Times New Roman" w:hAnsi="Times New Roman" w:cs="Times New Roman"/>
        </w:rPr>
        <w:t>Prvá dávka parenterálneho antikoagulancia sa má podať v čase, keď sa mala podať nasledujúca dávka Rombiduxu.</w:t>
      </w:r>
    </w:p>
    <w:p w14:paraId="22D1BAE1" w14:textId="77777777" w:rsidR="0036326D" w:rsidRDefault="0036326D">
      <w:pPr>
        <w:spacing w:after="0" w:line="240" w:lineRule="auto"/>
        <w:rPr>
          <w:rFonts w:ascii="Times New Roman" w:hAnsi="Times New Roman" w:cs="Times New Roman"/>
        </w:rPr>
      </w:pPr>
    </w:p>
    <w:p w14:paraId="62FB1C9B" w14:textId="77777777" w:rsidR="0036326D" w:rsidRDefault="00443AFA">
      <w:pPr>
        <w:pStyle w:val="Default"/>
        <w:rPr>
          <w:sz w:val="22"/>
          <w:szCs w:val="22"/>
          <w:u w:val="single"/>
        </w:rPr>
      </w:pPr>
      <w:r>
        <w:rPr>
          <w:sz w:val="22"/>
          <w:szCs w:val="22"/>
          <w:u w:val="single"/>
        </w:rPr>
        <w:t xml:space="preserve">Osobitné skupiny pacientov </w:t>
      </w:r>
    </w:p>
    <w:p w14:paraId="56856277" w14:textId="77777777" w:rsidR="0036326D" w:rsidRDefault="0036326D">
      <w:pPr>
        <w:pStyle w:val="Default"/>
        <w:rPr>
          <w:sz w:val="22"/>
          <w:szCs w:val="22"/>
          <w:u w:val="single"/>
        </w:rPr>
      </w:pPr>
    </w:p>
    <w:p w14:paraId="561F483F" w14:textId="77777777" w:rsidR="0036326D" w:rsidRDefault="00443AFA">
      <w:pPr>
        <w:pStyle w:val="Default"/>
        <w:rPr>
          <w:sz w:val="22"/>
          <w:szCs w:val="22"/>
        </w:rPr>
      </w:pPr>
      <w:r>
        <w:rPr>
          <w:i/>
          <w:iCs/>
          <w:sz w:val="22"/>
          <w:szCs w:val="22"/>
        </w:rPr>
        <w:t xml:space="preserve">Porucha funkcie obličiek </w:t>
      </w:r>
    </w:p>
    <w:p w14:paraId="09236AA3" w14:textId="77777777" w:rsidR="0036326D" w:rsidRDefault="00443AFA">
      <w:pPr>
        <w:spacing w:after="0" w:line="240" w:lineRule="auto"/>
        <w:rPr>
          <w:rFonts w:ascii="Times New Roman" w:hAnsi="Times New Roman" w:cs="Times New Roman"/>
        </w:rPr>
      </w:pPr>
      <w:r>
        <w:rPr>
          <w:rFonts w:ascii="Times New Roman" w:hAnsi="Times New Roman" w:cs="Times New Roman"/>
        </w:rPr>
        <w:t>Obmedzené klinické údaje o pacientoch s ťažkou poruchou funkcie obličiek (klírens kreatinínu 15-29 ml/min) naznačujú, že sú signifikantne zvýšené plazmatické koncentrácie rivaroxabánu. U týchto pacientov sa má preto Rombidux používať s opatrnosťou. Použitie sa neodporúča u pacientov s klírensom kreatinínu &lt; 15 ml/min (pozri časti 4.4 a 5.2).</w:t>
      </w:r>
    </w:p>
    <w:p w14:paraId="2EBEA936" w14:textId="77777777" w:rsidR="0036326D" w:rsidRDefault="0036326D">
      <w:pPr>
        <w:spacing w:after="0" w:line="240" w:lineRule="auto"/>
        <w:rPr>
          <w:rFonts w:ascii="Times New Roman" w:hAnsi="Times New Roman" w:cs="Times New Roman"/>
        </w:rPr>
      </w:pPr>
    </w:p>
    <w:p w14:paraId="636E46B8" w14:textId="77777777" w:rsidR="0036326D" w:rsidRDefault="00443AFA">
      <w:pPr>
        <w:pStyle w:val="Default"/>
        <w:rPr>
          <w:sz w:val="22"/>
          <w:szCs w:val="22"/>
        </w:rPr>
      </w:pPr>
      <w:r>
        <w:rPr>
          <w:sz w:val="22"/>
          <w:szCs w:val="22"/>
        </w:rPr>
        <w:t>U pacientov so stredne ťažkou (klírens kreatinínu 30 – 49 ml/min) alebo ťažkou (klírens kreatinínu 15 – 29 ml/min) poruchou funkcie obličiek sa používajú nasledujúce odporúčané dávky:</w:t>
      </w:r>
    </w:p>
    <w:p w14:paraId="189BF356" w14:textId="27216289" w:rsidR="0036326D" w:rsidRDefault="00443AFA">
      <w:pPr>
        <w:pStyle w:val="Default"/>
        <w:numPr>
          <w:ilvl w:val="0"/>
          <w:numId w:val="2"/>
        </w:numPr>
        <w:rPr>
          <w:sz w:val="22"/>
          <w:szCs w:val="22"/>
        </w:rPr>
      </w:pPr>
      <w:r>
        <w:rPr>
          <w:sz w:val="22"/>
          <w:szCs w:val="22"/>
        </w:rPr>
        <w:t>Na prevenciu cievnej mozgovej príhody a systémovej embólie u pacientov s nevalvulárnou fibriláciou predsiení je odporúčaná dávka 15 mg jedenkrát denne (pozri časť 5.2).</w:t>
      </w:r>
    </w:p>
    <w:p w14:paraId="31D2F2B3" w14:textId="2BE5B30F" w:rsidR="0036326D" w:rsidRDefault="00443AFA">
      <w:pPr>
        <w:pStyle w:val="Default"/>
        <w:numPr>
          <w:ilvl w:val="0"/>
          <w:numId w:val="2"/>
        </w:numPr>
        <w:rPr>
          <w:sz w:val="22"/>
          <w:szCs w:val="22"/>
        </w:rPr>
      </w:pPr>
      <w:r>
        <w:rPr>
          <w:sz w:val="22"/>
          <w:szCs w:val="22"/>
        </w:rPr>
        <w:t>Na liečbu DVT, liečbu PE a na prevenciu rekurencie DVT a PE: pacienti sa majú liečiť 15 mg dvakrát denne počas prvých 3 týždňov. Potom, ak je odporúčaná dávka 20 mg jedenkrát denne, sa má zvážiť zníženie dávky z 20 mg jedenkrát denne na 15 mg jedenkrát denne, ak vyhodnotené riziko krvácania u pacienta preváži riziko rekurencie DVT a PE. Odporúčanie pre použitie 15 mg je založené na FK modelovaní a neskúmalo sa v týchto  klinických podmienkach (pozri časti 4.4, 5.1 a 5.2).</w:t>
      </w:r>
    </w:p>
    <w:p w14:paraId="04B5894F" w14:textId="77777777" w:rsidR="0036326D" w:rsidRDefault="0036326D">
      <w:pPr>
        <w:pStyle w:val="Default"/>
        <w:rPr>
          <w:sz w:val="22"/>
          <w:szCs w:val="22"/>
        </w:rPr>
      </w:pPr>
    </w:p>
    <w:p w14:paraId="43614BBA" w14:textId="77777777" w:rsidR="0036326D" w:rsidRDefault="00443AFA">
      <w:pPr>
        <w:pStyle w:val="Default"/>
        <w:rPr>
          <w:sz w:val="22"/>
          <w:szCs w:val="22"/>
        </w:rPr>
      </w:pPr>
      <w:r>
        <w:rPr>
          <w:sz w:val="22"/>
          <w:szCs w:val="22"/>
        </w:rPr>
        <w:t>U pacientov s miernou poruchou funkcie obličiek nie je potrebná úprava dávky (klírens kreatinínu 50 – 80 ml/min) (pozri časť 5.2).</w:t>
      </w:r>
    </w:p>
    <w:p w14:paraId="06A308F9" w14:textId="77777777" w:rsidR="0036326D" w:rsidRDefault="00443AFA">
      <w:pPr>
        <w:spacing w:after="0" w:line="240" w:lineRule="auto"/>
        <w:ind w:left="708" w:hanging="708"/>
        <w:rPr>
          <w:rFonts w:ascii="Times New Roman" w:hAnsi="Times New Roman" w:cs="Times New Roman"/>
        </w:rPr>
      </w:pPr>
      <w:r>
        <w:rPr>
          <w:rFonts w:ascii="Times New Roman" w:hAnsi="Times New Roman" w:cs="Times New Roman"/>
        </w:rPr>
        <w:t>Pri odporúčanej dávke 10 mg jedenkrát denne nie je potrebná žiadna úprava odporúčanej dávky.</w:t>
      </w:r>
    </w:p>
    <w:p w14:paraId="379BE93C" w14:textId="77777777" w:rsidR="0036326D" w:rsidRDefault="0036326D">
      <w:pPr>
        <w:spacing w:after="0" w:line="240" w:lineRule="auto"/>
        <w:rPr>
          <w:rFonts w:ascii="Times New Roman" w:hAnsi="Times New Roman" w:cs="Times New Roman"/>
        </w:rPr>
      </w:pPr>
    </w:p>
    <w:p w14:paraId="734F8626" w14:textId="77777777" w:rsidR="0036326D" w:rsidRDefault="00443AFA">
      <w:pPr>
        <w:pStyle w:val="Default"/>
        <w:rPr>
          <w:sz w:val="22"/>
          <w:szCs w:val="22"/>
        </w:rPr>
      </w:pPr>
      <w:r>
        <w:rPr>
          <w:i/>
          <w:iCs/>
          <w:sz w:val="22"/>
          <w:szCs w:val="22"/>
        </w:rPr>
        <w:t xml:space="preserve">Porucha funkcie pečene </w:t>
      </w:r>
    </w:p>
    <w:p w14:paraId="4CDA5A76" w14:textId="261303AB" w:rsidR="0036326D" w:rsidRDefault="00443AFA">
      <w:pPr>
        <w:pStyle w:val="Default"/>
        <w:rPr>
          <w:sz w:val="22"/>
          <w:szCs w:val="22"/>
        </w:rPr>
      </w:pPr>
      <w:r>
        <w:rPr>
          <w:sz w:val="22"/>
          <w:szCs w:val="22"/>
        </w:rPr>
        <w:t xml:space="preserve">Rombidux je kontraindikovaný pacientom s ochorením pečene súvisiacim s koagulopatiou a klinicky relevantným rizikom krvácania, vrátane pacientov s cirhózou s Childovým-Pughovým skóre B a C (pozri časti 4.3 a 5.2). </w:t>
      </w:r>
    </w:p>
    <w:p w14:paraId="6FCD480A" w14:textId="77777777" w:rsidR="0036326D" w:rsidRDefault="0036326D">
      <w:pPr>
        <w:pStyle w:val="Default"/>
        <w:rPr>
          <w:sz w:val="22"/>
          <w:szCs w:val="22"/>
        </w:rPr>
      </w:pPr>
    </w:p>
    <w:p w14:paraId="3151AC68" w14:textId="77777777" w:rsidR="0036326D" w:rsidRDefault="00443AFA">
      <w:pPr>
        <w:pStyle w:val="Default"/>
        <w:rPr>
          <w:sz w:val="22"/>
          <w:szCs w:val="22"/>
        </w:rPr>
      </w:pPr>
      <w:r>
        <w:rPr>
          <w:i/>
          <w:iCs/>
          <w:sz w:val="22"/>
          <w:szCs w:val="22"/>
        </w:rPr>
        <w:t xml:space="preserve">Starší pacienti </w:t>
      </w:r>
    </w:p>
    <w:p w14:paraId="254FE687" w14:textId="77777777" w:rsidR="0036326D" w:rsidRDefault="00443AFA">
      <w:pPr>
        <w:pStyle w:val="Default"/>
        <w:rPr>
          <w:sz w:val="22"/>
          <w:szCs w:val="22"/>
        </w:rPr>
      </w:pPr>
      <w:r>
        <w:rPr>
          <w:sz w:val="22"/>
          <w:szCs w:val="22"/>
        </w:rPr>
        <w:t xml:space="preserve">Bez úpravy dávky (pozri časť 5.2). </w:t>
      </w:r>
    </w:p>
    <w:p w14:paraId="054B8D3B" w14:textId="77777777" w:rsidR="0036326D" w:rsidRDefault="0036326D">
      <w:pPr>
        <w:pStyle w:val="Default"/>
        <w:rPr>
          <w:sz w:val="22"/>
          <w:szCs w:val="22"/>
        </w:rPr>
      </w:pPr>
    </w:p>
    <w:p w14:paraId="3E75CF26" w14:textId="77777777" w:rsidR="0036326D" w:rsidRDefault="00443AFA">
      <w:pPr>
        <w:pStyle w:val="Default"/>
        <w:rPr>
          <w:sz w:val="22"/>
          <w:szCs w:val="22"/>
        </w:rPr>
      </w:pPr>
      <w:r>
        <w:rPr>
          <w:i/>
          <w:iCs/>
          <w:sz w:val="22"/>
          <w:szCs w:val="22"/>
        </w:rPr>
        <w:t xml:space="preserve">Telesná hmotnosť </w:t>
      </w:r>
    </w:p>
    <w:p w14:paraId="4898BFEB" w14:textId="77777777" w:rsidR="0036326D" w:rsidRDefault="00443AFA">
      <w:pPr>
        <w:pStyle w:val="Default"/>
        <w:rPr>
          <w:sz w:val="22"/>
          <w:szCs w:val="22"/>
        </w:rPr>
      </w:pPr>
      <w:r>
        <w:rPr>
          <w:sz w:val="22"/>
          <w:szCs w:val="22"/>
        </w:rPr>
        <w:t xml:space="preserve">Bez úpravy dávky (pozri časť 5.2). </w:t>
      </w:r>
    </w:p>
    <w:p w14:paraId="27076F6B" w14:textId="77777777" w:rsidR="0036326D" w:rsidRDefault="0036326D">
      <w:pPr>
        <w:pStyle w:val="Default"/>
        <w:rPr>
          <w:sz w:val="22"/>
          <w:szCs w:val="22"/>
        </w:rPr>
      </w:pPr>
    </w:p>
    <w:p w14:paraId="634A1590" w14:textId="77777777" w:rsidR="0036326D" w:rsidRDefault="00443AFA">
      <w:pPr>
        <w:pStyle w:val="Default"/>
        <w:rPr>
          <w:sz w:val="22"/>
          <w:szCs w:val="22"/>
        </w:rPr>
      </w:pPr>
      <w:r>
        <w:rPr>
          <w:i/>
          <w:iCs/>
          <w:sz w:val="22"/>
          <w:szCs w:val="22"/>
        </w:rPr>
        <w:t xml:space="preserve">Pohlavie </w:t>
      </w:r>
    </w:p>
    <w:p w14:paraId="2C2A3045" w14:textId="77777777" w:rsidR="0036326D" w:rsidRDefault="00443AFA">
      <w:pPr>
        <w:pStyle w:val="Default"/>
        <w:rPr>
          <w:sz w:val="22"/>
          <w:szCs w:val="22"/>
        </w:rPr>
      </w:pPr>
      <w:r>
        <w:rPr>
          <w:sz w:val="22"/>
          <w:szCs w:val="22"/>
        </w:rPr>
        <w:t xml:space="preserve">Bez úpravy dávky (pozri časť 5.2). </w:t>
      </w:r>
    </w:p>
    <w:p w14:paraId="698AA3AD" w14:textId="77777777" w:rsidR="0036326D" w:rsidRDefault="0036326D">
      <w:pPr>
        <w:pStyle w:val="Default"/>
        <w:rPr>
          <w:sz w:val="22"/>
          <w:szCs w:val="22"/>
        </w:rPr>
      </w:pPr>
    </w:p>
    <w:p w14:paraId="06B6112C" w14:textId="77777777" w:rsidR="0036326D" w:rsidRDefault="00443AFA">
      <w:pPr>
        <w:pStyle w:val="Default"/>
        <w:rPr>
          <w:sz w:val="22"/>
          <w:szCs w:val="22"/>
        </w:rPr>
      </w:pPr>
      <w:r>
        <w:rPr>
          <w:i/>
          <w:iCs/>
          <w:sz w:val="22"/>
          <w:szCs w:val="22"/>
        </w:rPr>
        <w:t xml:space="preserve">Pediatrická populácia </w:t>
      </w:r>
    </w:p>
    <w:p w14:paraId="11BD78FD" w14:textId="77777777" w:rsidR="0036326D" w:rsidRDefault="00443AFA">
      <w:pPr>
        <w:spacing w:after="0" w:line="240" w:lineRule="auto"/>
        <w:rPr>
          <w:rFonts w:ascii="Times New Roman" w:hAnsi="Times New Roman" w:cs="Times New Roman"/>
        </w:rPr>
      </w:pPr>
      <w:r>
        <w:rPr>
          <w:rFonts w:ascii="Times New Roman" w:hAnsi="Times New Roman" w:cs="Times New Roman"/>
        </w:rPr>
        <w:t xml:space="preserve">Bezpečnosť a účinnosť Rombiduxu u detí vo veku 0 až 18 rokov neboli doteraz stanovené. </w:t>
      </w:r>
    </w:p>
    <w:p w14:paraId="2CD737A3" w14:textId="77777777" w:rsidR="0036326D" w:rsidRDefault="00443AFA">
      <w:pPr>
        <w:spacing w:after="0" w:line="240" w:lineRule="auto"/>
        <w:rPr>
          <w:rFonts w:ascii="Times New Roman" w:hAnsi="Times New Roman" w:cs="Times New Roman"/>
        </w:rPr>
      </w:pPr>
      <w:r>
        <w:rPr>
          <w:rFonts w:ascii="Times New Roman" w:hAnsi="Times New Roman" w:cs="Times New Roman"/>
        </w:rPr>
        <w:t>K dispozícii nie sú žiadne údaje. Preto sa Rombidux neodporúča používať u detí do 18 rokov.</w:t>
      </w:r>
    </w:p>
    <w:p w14:paraId="577E24C1" w14:textId="77777777" w:rsidR="0036326D" w:rsidRDefault="0036326D">
      <w:pPr>
        <w:spacing w:after="0" w:line="240" w:lineRule="auto"/>
        <w:rPr>
          <w:rFonts w:ascii="Times New Roman" w:hAnsi="Times New Roman" w:cs="Times New Roman"/>
        </w:rPr>
      </w:pPr>
    </w:p>
    <w:p w14:paraId="1D54F754" w14:textId="77777777" w:rsidR="0036326D" w:rsidRDefault="00443AFA">
      <w:pPr>
        <w:spacing w:after="0" w:line="240" w:lineRule="auto"/>
        <w:rPr>
          <w:rFonts w:ascii="Times New Roman" w:hAnsi="Times New Roman" w:cs="Times New Roman"/>
          <w:i/>
          <w:iCs/>
        </w:rPr>
      </w:pPr>
      <w:r>
        <w:rPr>
          <w:rFonts w:ascii="Times New Roman" w:hAnsi="Times New Roman" w:cs="Times New Roman"/>
          <w:i/>
          <w:iCs/>
        </w:rPr>
        <w:lastRenderedPageBreak/>
        <w:t>Pacienti podstupujúci kardioverziu</w:t>
      </w:r>
    </w:p>
    <w:p w14:paraId="5FA1049D" w14:textId="77777777" w:rsidR="0036326D" w:rsidRDefault="00443AFA">
      <w:pPr>
        <w:spacing w:after="0" w:line="240" w:lineRule="auto"/>
        <w:rPr>
          <w:rFonts w:ascii="Times New Roman" w:hAnsi="Times New Roman" w:cs="Times New Roman"/>
        </w:rPr>
      </w:pPr>
      <w:r>
        <w:rPr>
          <w:rFonts w:ascii="Times New Roman" w:hAnsi="Times New Roman" w:cs="Times New Roman"/>
        </w:rPr>
        <w:t>U pacientov, u ktorých môže byť potrebná kardioverzia, sa liečba Rombiduxom môže začať alebo sa môže v liečbe pokračovať.</w:t>
      </w:r>
    </w:p>
    <w:p w14:paraId="3F3AF698" w14:textId="77777777" w:rsidR="0036326D" w:rsidRDefault="0036326D">
      <w:pPr>
        <w:spacing w:after="0" w:line="240" w:lineRule="auto"/>
        <w:rPr>
          <w:rFonts w:ascii="Times New Roman" w:hAnsi="Times New Roman" w:cs="Times New Roman"/>
        </w:rPr>
      </w:pPr>
    </w:p>
    <w:p w14:paraId="5412ECD9" w14:textId="77777777" w:rsidR="0036326D" w:rsidRDefault="00443AFA">
      <w:pPr>
        <w:spacing w:after="0" w:line="240" w:lineRule="auto"/>
        <w:rPr>
          <w:rFonts w:ascii="Times New Roman" w:hAnsi="Times New Roman" w:cs="Times New Roman"/>
        </w:rPr>
      </w:pPr>
      <w:r>
        <w:rPr>
          <w:rFonts w:ascii="Times New Roman" w:hAnsi="Times New Roman" w:cs="Times New Roman"/>
        </w:rPr>
        <w:t xml:space="preserve">Aby sa pri kardioverzii riadenej transezofágovou echokardiografiou (TEE) zabezpečila dostatočná antikoagulačná účinnosť u pacientov, ktorí neboli predtým liečení antikoagulanciami, liečba Rombiduxom sa má začať najmenej 4 hodiny pred kardioverziou (pozri časť 5.1 a 5.2). Je potrebné sa presvedčiť, že </w:t>
      </w:r>
      <w:r w:rsidR="0036326D" w:rsidRPr="00C96A86">
        <w:rPr>
          <w:rFonts w:ascii="Times New Roman" w:hAnsi="Times New Roman" w:cs="Times New Roman"/>
        </w:rPr>
        <w:t>každý pacient</w:t>
      </w:r>
      <w:r>
        <w:rPr>
          <w:rFonts w:ascii="Times New Roman" w:hAnsi="Times New Roman" w:cs="Times New Roman"/>
          <w:b/>
          <w:bCs/>
        </w:rPr>
        <w:t xml:space="preserve"> </w:t>
      </w:r>
      <w:r>
        <w:rPr>
          <w:rFonts w:ascii="Times New Roman" w:hAnsi="Times New Roman" w:cs="Times New Roman"/>
        </w:rPr>
        <w:t>podstupujúci kardioverziu užil Rombidux tak, ako mu bolo predpísané. Pri rozhodovaní o začatí a trvaní liečby u pacientov podstupujúcich kardioverziu je potrebné sa riadiť platnými odporúčaniami pre antikoagulačnú liečbu.</w:t>
      </w:r>
    </w:p>
    <w:p w14:paraId="7515338B" w14:textId="77777777" w:rsidR="0036326D" w:rsidRDefault="0036326D">
      <w:pPr>
        <w:spacing w:after="0" w:line="240" w:lineRule="auto"/>
        <w:rPr>
          <w:rFonts w:ascii="Times New Roman" w:hAnsi="Times New Roman" w:cs="Times New Roman"/>
        </w:rPr>
      </w:pPr>
    </w:p>
    <w:p w14:paraId="49675F38" w14:textId="77777777" w:rsidR="0036326D" w:rsidRDefault="00443AFA">
      <w:pPr>
        <w:spacing w:after="0" w:line="240" w:lineRule="auto"/>
        <w:rPr>
          <w:rFonts w:ascii="Times New Roman" w:hAnsi="Times New Roman" w:cs="Times New Roman"/>
          <w:i/>
          <w:iCs/>
        </w:rPr>
      </w:pPr>
      <w:r>
        <w:rPr>
          <w:rFonts w:ascii="Times New Roman" w:hAnsi="Times New Roman" w:cs="Times New Roman"/>
          <w:i/>
          <w:iCs/>
        </w:rPr>
        <w:t>Pacienti s nevalvulárnou fibriláciou predsiení, ktorí podstupujú PCI (perkutánna koronárna intervencia) so zavedením stentu</w:t>
      </w:r>
    </w:p>
    <w:p w14:paraId="1DBCCDC6" w14:textId="77777777" w:rsidR="0036326D" w:rsidRDefault="00443AFA">
      <w:pPr>
        <w:spacing w:after="0" w:line="240" w:lineRule="auto"/>
        <w:rPr>
          <w:rFonts w:ascii="Times New Roman" w:hAnsi="Times New Roman" w:cs="Times New Roman"/>
        </w:rPr>
      </w:pPr>
      <w:r>
        <w:rPr>
          <w:rFonts w:ascii="Times New Roman" w:hAnsi="Times New Roman" w:cs="Times New Roman"/>
        </w:rPr>
        <w:t>U pacientov s nevalvulárnou fibriláciou predsiení, ktorí potrebujú perorálnu antikoaguláciu a ktorí podstupujú PCI so zavedením stentu je limitovaná skúsenosť s užívaním zníženej dávky 15 mg Rombiduxu jedenkrát denne (alebo 10 mg Rombiduxu jedenkrát denne u pacientov so stredne ťažkou poruchou funkcie obličiek [klírens kreatinínu 30 – 49 ml/min]) pridanej k liečbe inhibítorom P2Y12 maximálne po dobu 12 mesiacov (pozri časti 4.4. a 5.1.).</w:t>
      </w:r>
    </w:p>
    <w:p w14:paraId="6F2EE404" w14:textId="77777777" w:rsidR="0036326D" w:rsidRDefault="0036326D">
      <w:pPr>
        <w:spacing w:after="0" w:line="240" w:lineRule="auto"/>
        <w:rPr>
          <w:rFonts w:ascii="Times New Roman" w:hAnsi="Times New Roman" w:cs="Times New Roman"/>
        </w:rPr>
      </w:pPr>
    </w:p>
    <w:p w14:paraId="74EE6B68"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u w:val="single"/>
        </w:rPr>
        <w:t>Spôsob podávania</w:t>
      </w:r>
    </w:p>
    <w:p w14:paraId="799B5BA8" w14:textId="77777777" w:rsidR="0036326D" w:rsidRDefault="00443AFA">
      <w:pPr>
        <w:spacing w:after="0" w:line="240" w:lineRule="auto"/>
        <w:rPr>
          <w:rFonts w:ascii="Times New Roman" w:hAnsi="Times New Roman" w:cs="Times New Roman"/>
        </w:rPr>
      </w:pPr>
      <w:r>
        <w:rPr>
          <w:rFonts w:ascii="Times New Roman" w:hAnsi="Times New Roman" w:cs="Times New Roman"/>
        </w:rPr>
        <w:t>Na perorálne použitie.</w:t>
      </w:r>
    </w:p>
    <w:p w14:paraId="58182501" w14:textId="77777777" w:rsidR="0036326D" w:rsidRDefault="00443AFA">
      <w:pPr>
        <w:spacing w:after="0" w:line="240" w:lineRule="auto"/>
        <w:rPr>
          <w:rFonts w:ascii="Times New Roman" w:hAnsi="Times New Roman" w:cs="Times New Roman"/>
        </w:rPr>
      </w:pPr>
      <w:r>
        <w:rPr>
          <w:rFonts w:ascii="Times New Roman" w:hAnsi="Times New Roman" w:cs="Times New Roman"/>
        </w:rPr>
        <w:t>Rombidux 15 mg a 20 mg tablety sa majú užiť s jedlom (pozri časť 5.2).</w:t>
      </w:r>
    </w:p>
    <w:p w14:paraId="315083A3" w14:textId="77777777" w:rsidR="0036326D" w:rsidRDefault="0036326D">
      <w:pPr>
        <w:spacing w:after="0" w:line="240" w:lineRule="auto"/>
        <w:rPr>
          <w:rFonts w:ascii="Times New Roman" w:hAnsi="Times New Roman" w:cs="Times New Roman"/>
          <w:u w:val="single"/>
        </w:rPr>
      </w:pPr>
    </w:p>
    <w:p w14:paraId="78D6C9BF" w14:textId="77777777" w:rsidR="0036326D" w:rsidRDefault="00443AFA">
      <w:pPr>
        <w:spacing w:after="0" w:line="240" w:lineRule="auto"/>
        <w:rPr>
          <w:rFonts w:ascii="Times New Roman" w:hAnsi="Times New Roman" w:cs="Times New Roman"/>
        </w:rPr>
      </w:pPr>
      <w:r>
        <w:rPr>
          <w:rFonts w:ascii="Times New Roman" w:hAnsi="Times New Roman" w:cs="Times New Roman"/>
        </w:rPr>
        <w:t xml:space="preserve">Pacientom, ktorí nie sú schopní prehĺtať celé tablety, sa môže tableta Rombiduxu tesne pred podaním rozdrviť a rozmiešať vo vode alebo v jablkovom pyré a podať perorálne. </w:t>
      </w:r>
    </w:p>
    <w:p w14:paraId="630693CE" w14:textId="77777777" w:rsidR="0036326D" w:rsidRDefault="00443AFA">
      <w:pPr>
        <w:spacing w:after="0" w:line="240" w:lineRule="auto"/>
        <w:rPr>
          <w:rFonts w:ascii="Times New Roman" w:hAnsi="Times New Roman" w:cs="Times New Roman"/>
        </w:rPr>
      </w:pPr>
      <w:r>
        <w:rPr>
          <w:rFonts w:ascii="Times New Roman" w:hAnsi="Times New Roman" w:cs="Times New Roman"/>
        </w:rPr>
        <w:t>Po podaní rozdrvených tabliet Rombiduxu 15 mg alebo 20 mg má byť okamžite podané jedlo.</w:t>
      </w:r>
    </w:p>
    <w:p w14:paraId="0E612393" w14:textId="77777777" w:rsidR="0036326D" w:rsidRDefault="0036326D">
      <w:pPr>
        <w:spacing w:after="0" w:line="240" w:lineRule="auto"/>
        <w:rPr>
          <w:rFonts w:ascii="Times New Roman" w:hAnsi="Times New Roman" w:cs="Times New Roman"/>
        </w:rPr>
      </w:pPr>
    </w:p>
    <w:p w14:paraId="3DD9A705" w14:textId="428079F5" w:rsidR="0036326D" w:rsidRDefault="00443AFA">
      <w:pPr>
        <w:spacing w:after="0" w:line="240" w:lineRule="auto"/>
        <w:rPr>
          <w:rFonts w:ascii="Times New Roman" w:hAnsi="Times New Roman" w:cs="Times New Roman"/>
        </w:rPr>
      </w:pPr>
      <w:r>
        <w:rPr>
          <w:rFonts w:ascii="Times New Roman" w:hAnsi="Times New Roman" w:cs="Times New Roman"/>
        </w:rPr>
        <w:t>Rozdrvená tableta Rombiduxu sa môže taktiež podať gastrickou sondou po ubezpečení sa o správnom umiestnení sondy. Rozdrvená tableta podávaná cez gastrickú sondu má byť rozmiešaná v malom objeme vody a následne má byť sonda prepláchnutá vodou (pozri časť 5.2).</w:t>
      </w:r>
    </w:p>
    <w:p w14:paraId="61E94C85" w14:textId="3DB56E3E" w:rsidR="00413AC1" w:rsidRPr="00EF75ED" w:rsidRDefault="00413AC1" w:rsidP="00413AC1">
      <w:pPr>
        <w:pStyle w:val="Zkladntext"/>
        <w:rPr>
          <w:rFonts w:ascii="Times New Roman" w:hAnsi="Times New Roman" w:cs="Times New Roman"/>
        </w:rPr>
      </w:pPr>
      <w:r w:rsidRPr="00F27639">
        <w:rPr>
          <w:rFonts w:ascii="Times New Roman" w:hAnsi="Times New Roman" w:cs="Times New Roman"/>
        </w:rPr>
        <w:t xml:space="preserve">Po podaní rozdrvených tabliet Rombiduxu </w:t>
      </w:r>
      <w:r w:rsidR="00ED33CF">
        <w:rPr>
          <w:rFonts w:ascii="Times New Roman" w:hAnsi="Times New Roman" w:cs="Times New Roman"/>
        </w:rPr>
        <w:t xml:space="preserve">15 mg alebo </w:t>
      </w:r>
      <w:r>
        <w:rPr>
          <w:rFonts w:ascii="Times New Roman" w:hAnsi="Times New Roman" w:cs="Times New Roman"/>
        </w:rPr>
        <w:t>20</w:t>
      </w:r>
      <w:r w:rsidRPr="00F27639">
        <w:rPr>
          <w:rFonts w:ascii="Times New Roman" w:hAnsi="Times New Roman" w:cs="Times New Roman"/>
        </w:rPr>
        <w:t> mg má byť okamžite enterálne podaná výživa (pozri časť 5.2).</w:t>
      </w:r>
    </w:p>
    <w:p w14:paraId="29E4EB4D" w14:textId="77777777" w:rsidR="0036326D" w:rsidRDefault="00443AFA">
      <w:pPr>
        <w:spacing w:after="0" w:line="240" w:lineRule="auto"/>
        <w:rPr>
          <w:rFonts w:ascii="Times New Roman" w:hAnsi="Times New Roman" w:cs="Times New Roman"/>
        </w:rPr>
      </w:pPr>
      <w:r>
        <w:rPr>
          <w:rFonts w:ascii="Times New Roman" w:hAnsi="Times New Roman" w:cs="Times New Roman"/>
        </w:rPr>
        <w:t xml:space="preserve"> </w:t>
      </w:r>
    </w:p>
    <w:p w14:paraId="4E23B82C" w14:textId="77777777" w:rsidR="0036326D" w:rsidRDefault="00443AFA">
      <w:pPr>
        <w:tabs>
          <w:tab w:val="left" w:pos="567"/>
        </w:tabs>
        <w:spacing w:after="0" w:line="240" w:lineRule="auto"/>
        <w:rPr>
          <w:rFonts w:ascii="Times New Roman" w:hAnsi="Times New Roman" w:cs="Times New Roman"/>
          <w:b/>
          <w:bCs/>
        </w:rPr>
      </w:pPr>
      <w:r>
        <w:rPr>
          <w:rFonts w:ascii="Times New Roman" w:hAnsi="Times New Roman" w:cs="Times New Roman"/>
          <w:b/>
          <w:bCs/>
        </w:rPr>
        <w:t>4.3</w:t>
      </w:r>
      <w:r>
        <w:rPr>
          <w:rFonts w:ascii="Times New Roman" w:hAnsi="Times New Roman" w:cs="Times New Roman"/>
          <w:b/>
          <w:bCs/>
        </w:rPr>
        <w:tab/>
        <w:t>Kontraindikácie</w:t>
      </w:r>
    </w:p>
    <w:p w14:paraId="4B5D4999" w14:textId="77777777" w:rsidR="0036326D" w:rsidRDefault="0036326D">
      <w:pPr>
        <w:spacing w:after="0" w:line="240" w:lineRule="auto"/>
        <w:rPr>
          <w:rFonts w:ascii="Times New Roman" w:hAnsi="Times New Roman" w:cs="Times New Roman"/>
          <w:b/>
          <w:bCs/>
        </w:rPr>
      </w:pPr>
    </w:p>
    <w:p w14:paraId="54DD55B6" w14:textId="77777777" w:rsidR="0036326D" w:rsidRDefault="00443AFA">
      <w:pPr>
        <w:spacing w:after="0" w:line="240" w:lineRule="auto"/>
        <w:rPr>
          <w:rFonts w:ascii="Times New Roman" w:hAnsi="Times New Roman" w:cs="Times New Roman"/>
          <w:b/>
          <w:bCs/>
        </w:rPr>
      </w:pPr>
      <w:r>
        <w:rPr>
          <w:rFonts w:ascii="Times New Roman" w:hAnsi="Times New Roman" w:cs="Times New Roman"/>
        </w:rPr>
        <w:t>Precitlivenosť na liečivo alebo na ktorúkoľvek z pomocných látok uvedených v časti 6.1.</w:t>
      </w:r>
    </w:p>
    <w:p w14:paraId="4A2E0CDF" w14:textId="77777777" w:rsidR="0036326D" w:rsidRDefault="0036326D">
      <w:pPr>
        <w:spacing w:after="0" w:line="240" w:lineRule="auto"/>
        <w:rPr>
          <w:rFonts w:ascii="Times New Roman" w:hAnsi="Times New Roman" w:cs="Times New Roman"/>
          <w:b/>
          <w:bCs/>
        </w:rPr>
      </w:pPr>
    </w:p>
    <w:p w14:paraId="63B0941C" w14:textId="77777777" w:rsidR="0036326D" w:rsidRDefault="00443AFA">
      <w:pPr>
        <w:spacing w:after="0" w:line="240" w:lineRule="auto"/>
        <w:rPr>
          <w:rFonts w:ascii="Times New Roman" w:hAnsi="Times New Roman" w:cs="Times New Roman"/>
        </w:rPr>
      </w:pPr>
      <w:r>
        <w:rPr>
          <w:rFonts w:ascii="Times New Roman" w:hAnsi="Times New Roman" w:cs="Times New Roman"/>
        </w:rPr>
        <w:t>Aktívne klinicky významné krvácanie.</w:t>
      </w:r>
    </w:p>
    <w:p w14:paraId="082EF2DB" w14:textId="77777777" w:rsidR="0036326D" w:rsidRDefault="0036326D">
      <w:pPr>
        <w:spacing w:after="0" w:line="240" w:lineRule="auto"/>
        <w:rPr>
          <w:rFonts w:ascii="Times New Roman" w:hAnsi="Times New Roman" w:cs="Times New Roman"/>
        </w:rPr>
      </w:pPr>
    </w:p>
    <w:p w14:paraId="0C2778A1" w14:textId="77777777" w:rsidR="0036326D" w:rsidRDefault="00443AFA">
      <w:pPr>
        <w:spacing w:after="0" w:line="240" w:lineRule="auto"/>
        <w:rPr>
          <w:rFonts w:ascii="Times New Roman" w:hAnsi="Times New Roman" w:cs="Times New Roman"/>
          <w:b/>
          <w:bCs/>
        </w:rPr>
      </w:pPr>
      <w:r>
        <w:rPr>
          <w:rFonts w:ascii="Times New Roman" w:hAnsi="Times New Roman" w:cs="Times New Roman"/>
        </w:rPr>
        <w:t>Zranenie alebo stav, ktorý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vaskulárne aneuryzmy alebo závažné intraspinálne alebo intracerebrálne vaskulárne abnormality.</w:t>
      </w:r>
    </w:p>
    <w:p w14:paraId="614B6D63" w14:textId="77777777" w:rsidR="0036326D" w:rsidRDefault="0036326D">
      <w:pPr>
        <w:spacing w:after="0" w:line="240" w:lineRule="auto"/>
        <w:rPr>
          <w:rFonts w:ascii="Times New Roman" w:hAnsi="Times New Roman" w:cs="Times New Roman"/>
          <w:u w:val="single"/>
        </w:rPr>
      </w:pPr>
    </w:p>
    <w:p w14:paraId="25B051F2" w14:textId="77777777" w:rsidR="0036326D" w:rsidRDefault="00443AFA">
      <w:pPr>
        <w:spacing w:after="0" w:line="240" w:lineRule="auto"/>
        <w:rPr>
          <w:rFonts w:ascii="Times New Roman" w:hAnsi="Times New Roman" w:cs="Times New Roman"/>
        </w:rPr>
      </w:pPr>
      <w:r>
        <w:rPr>
          <w:rFonts w:ascii="Times New Roman" w:hAnsi="Times New Roman" w:cs="Times New Roman"/>
        </w:rPr>
        <w:t>Súbežná liečba inými antikoagulanciami, napr. nefrakcionovaným heparínom (UFH), nízkomolekulárnymi heparínmi (enoxaparín, dalteparín, atď.), derivátmi heparínu (fondaparinux, atď.), perorálnymi antikoagulanciami (warfarín, dabigatrán-etexilát, apixabán, atď.) s výnimkou osobitných okolností pri prestavovaní antikoagulačnej liečby (pozri časť 4.2) alebo pri podávaní UHF v dávkach nevyhnutných na udržanie otvorených centrálnych žilových alebo artériových katétrov (pozri časť 4.5).</w:t>
      </w:r>
    </w:p>
    <w:p w14:paraId="784488BA" w14:textId="77777777" w:rsidR="0036326D" w:rsidRDefault="0036326D">
      <w:pPr>
        <w:spacing w:after="0" w:line="240" w:lineRule="auto"/>
        <w:rPr>
          <w:rFonts w:ascii="Times New Roman" w:hAnsi="Times New Roman" w:cs="Times New Roman"/>
        </w:rPr>
      </w:pPr>
    </w:p>
    <w:p w14:paraId="783E4346" w14:textId="77777777" w:rsidR="0036326D" w:rsidRDefault="00443AFA">
      <w:pPr>
        <w:pStyle w:val="Default"/>
        <w:rPr>
          <w:sz w:val="22"/>
          <w:szCs w:val="22"/>
        </w:rPr>
      </w:pPr>
      <w:r>
        <w:rPr>
          <w:sz w:val="22"/>
          <w:szCs w:val="22"/>
        </w:rPr>
        <w:lastRenderedPageBreak/>
        <w:t xml:space="preserve">Ochorenie pečene súvisiace s koagulopatiou a klinicky významným rizikom krvácania, vrátane pacientov s cirhózou s Childovým-Pughovým skóre B a C (pozri časť 5.2). </w:t>
      </w:r>
    </w:p>
    <w:p w14:paraId="07A7D071" w14:textId="77777777" w:rsidR="0036326D" w:rsidRDefault="0036326D">
      <w:pPr>
        <w:pStyle w:val="Default"/>
        <w:rPr>
          <w:sz w:val="22"/>
          <w:szCs w:val="22"/>
        </w:rPr>
      </w:pPr>
    </w:p>
    <w:p w14:paraId="4BF423D7" w14:textId="2EE4FF97" w:rsidR="0036326D" w:rsidRDefault="00443AFA">
      <w:pPr>
        <w:spacing w:after="0" w:line="240" w:lineRule="auto"/>
        <w:rPr>
          <w:rFonts w:ascii="Times New Roman" w:hAnsi="Times New Roman" w:cs="Times New Roman"/>
        </w:rPr>
      </w:pPr>
      <w:r>
        <w:rPr>
          <w:rFonts w:ascii="Times New Roman" w:hAnsi="Times New Roman" w:cs="Times New Roman"/>
        </w:rPr>
        <w:t>Gravidita a dojčenie (pozri časť 4.6).</w:t>
      </w:r>
    </w:p>
    <w:p w14:paraId="700FD00F" w14:textId="77777777" w:rsidR="0036326D" w:rsidRDefault="0036326D">
      <w:pPr>
        <w:spacing w:after="0" w:line="240" w:lineRule="auto"/>
        <w:rPr>
          <w:rFonts w:ascii="Times New Roman" w:hAnsi="Times New Roman" w:cs="Times New Roman"/>
        </w:rPr>
      </w:pPr>
    </w:p>
    <w:p w14:paraId="29ADD14D" w14:textId="77777777" w:rsidR="0036326D" w:rsidRDefault="00443AFA">
      <w:pPr>
        <w:pStyle w:val="Default"/>
        <w:tabs>
          <w:tab w:val="left" w:pos="567"/>
        </w:tabs>
        <w:rPr>
          <w:b/>
          <w:bCs/>
          <w:sz w:val="22"/>
          <w:szCs w:val="22"/>
        </w:rPr>
      </w:pPr>
      <w:r>
        <w:rPr>
          <w:b/>
          <w:bCs/>
          <w:sz w:val="22"/>
          <w:szCs w:val="22"/>
        </w:rPr>
        <w:t>4.4</w:t>
      </w:r>
      <w:r>
        <w:rPr>
          <w:b/>
          <w:bCs/>
          <w:sz w:val="22"/>
          <w:szCs w:val="22"/>
        </w:rPr>
        <w:tab/>
        <w:t xml:space="preserve">Osobitné upozornenia a opatrenia pri používaní </w:t>
      </w:r>
    </w:p>
    <w:p w14:paraId="0C434893" w14:textId="77777777" w:rsidR="0036326D" w:rsidRDefault="0036326D">
      <w:pPr>
        <w:pStyle w:val="Default"/>
        <w:rPr>
          <w:sz w:val="22"/>
          <w:szCs w:val="22"/>
        </w:rPr>
      </w:pPr>
    </w:p>
    <w:p w14:paraId="0C43DB77" w14:textId="77777777" w:rsidR="0036326D" w:rsidRDefault="00443AFA">
      <w:pPr>
        <w:spacing w:after="0" w:line="240" w:lineRule="auto"/>
        <w:rPr>
          <w:rFonts w:ascii="Times New Roman" w:hAnsi="Times New Roman" w:cs="Times New Roman"/>
        </w:rPr>
      </w:pPr>
      <w:r>
        <w:rPr>
          <w:rFonts w:ascii="Times New Roman" w:hAnsi="Times New Roman" w:cs="Times New Roman"/>
        </w:rPr>
        <w:t>V súlade s praxou antikoagulačnej liečby sa počas liečby odporúča klinické sledovanie.</w:t>
      </w:r>
    </w:p>
    <w:p w14:paraId="22471037" w14:textId="77777777" w:rsidR="0036326D" w:rsidRDefault="0036326D">
      <w:pPr>
        <w:spacing w:after="0" w:line="240" w:lineRule="auto"/>
        <w:rPr>
          <w:rFonts w:ascii="Times New Roman" w:hAnsi="Times New Roman" w:cs="Times New Roman"/>
        </w:rPr>
      </w:pPr>
    </w:p>
    <w:p w14:paraId="1B45D95C" w14:textId="77777777" w:rsidR="0036326D" w:rsidRDefault="00443AFA">
      <w:pPr>
        <w:pStyle w:val="Default"/>
        <w:rPr>
          <w:sz w:val="22"/>
          <w:szCs w:val="22"/>
          <w:u w:val="single"/>
        </w:rPr>
      </w:pPr>
      <w:r>
        <w:rPr>
          <w:sz w:val="22"/>
          <w:szCs w:val="22"/>
          <w:u w:val="single"/>
        </w:rPr>
        <w:t xml:space="preserve">Riziko hemorágie </w:t>
      </w:r>
    </w:p>
    <w:p w14:paraId="61B06DEB" w14:textId="77777777" w:rsidR="0036326D" w:rsidRDefault="00443AFA">
      <w:pPr>
        <w:pStyle w:val="Default"/>
        <w:rPr>
          <w:sz w:val="22"/>
          <w:szCs w:val="22"/>
        </w:rPr>
      </w:pPr>
      <w:r>
        <w:rPr>
          <w:sz w:val="22"/>
          <w:szCs w:val="22"/>
        </w:rPr>
        <w:t xml:space="preserve">Rovnako ako pri iných antikoagulanciách, u pacientov užívajúcich Rombidux je potrebné pozorne sledovať prejavy krvácania. Pri zvýšenom riziku krvácania sa pri použití odporúča opatrnosť. Liečbu Rombiduxom je potrebné pri výskyte závažného krvácania prerušiť (pozri časť 4.9). </w:t>
      </w:r>
    </w:p>
    <w:p w14:paraId="4875C5DC" w14:textId="77777777" w:rsidR="0036326D" w:rsidRDefault="0036326D">
      <w:pPr>
        <w:pStyle w:val="Default"/>
        <w:rPr>
          <w:sz w:val="22"/>
          <w:szCs w:val="22"/>
        </w:rPr>
      </w:pPr>
    </w:p>
    <w:p w14:paraId="69345B91" w14:textId="222E1228" w:rsidR="0036326D" w:rsidRDefault="00443AFA">
      <w:pPr>
        <w:spacing w:after="0" w:line="240" w:lineRule="auto"/>
        <w:rPr>
          <w:rFonts w:ascii="Times New Roman" w:hAnsi="Times New Roman" w:cs="Times New Roman"/>
        </w:rPr>
      </w:pPr>
      <w:r>
        <w:rPr>
          <w:rFonts w:ascii="Times New Roman" w:hAnsi="Times New Roman" w:cs="Times New Roman"/>
        </w:rPr>
        <w:t>Počas dlhodobej liečby rivaroxabánom, v porovnaní s liečbou VKA, sa v klinických skúšaniach častejšie pozorovalo mukózne krvácanie (t.j. z nosa, z ďasien, gastrointestinálne, urogenitálne, vrátane abnormálneho vaginálneho alebo zvýšeného menštruačného krvácania) a anémia. A preto, okrem dostatočného klinického sledovania, je vhodné zvážiť vyšetrenie laboratórnych testov hladín hemoglobínu/hematokritu, ktoré môžu byť prínosné pri detekcii skrytého krvácania a kvantifikácii klinického významu zjavného krvácania.</w:t>
      </w:r>
    </w:p>
    <w:p w14:paraId="18A9B0EE" w14:textId="77777777" w:rsidR="0036326D" w:rsidRDefault="0036326D">
      <w:pPr>
        <w:spacing w:after="0" w:line="240" w:lineRule="auto"/>
        <w:rPr>
          <w:rFonts w:ascii="Times New Roman" w:hAnsi="Times New Roman" w:cs="Times New Roman"/>
        </w:rPr>
      </w:pPr>
    </w:p>
    <w:p w14:paraId="40F5597A" w14:textId="77777777" w:rsidR="0036326D" w:rsidRDefault="00443AFA">
      <w:pPr>
        <w:pStyle w:val="Default"/>
        <w:rPr>
          <w:sz w:val="22"/>
          <w:szCs w:val="22"/>
        </w:rPr>
      </w:pPr>
      <w:r>
        <w:rPr>
          <w:sz w:val="22"/>
          <w:szCs w:val="22"/>
        </w:rPr>
        <w:t xml:space="preserve">Niektoré podskupiny pacientov, ako sa uvádza nižšie, majú zvýšené riziko krvácania. Takýchto pacientov je potrebné starostlivo sledovať pre prejavy a príznaky krvácavých komplikácií a anémie po začatí liečby (pozri časť 4.8). </w:t>
      </w:r>
    </w:p>
    <w:p w14:paraId="1F766DF2" w14:textId="77777777" w:rsidR="0036326D" w:rsidRDefault="0036326D">
      <w:pPr>
        <w:pStyle w:val="Default"/>
        <w:rPr>
          <w:sz w:val="22"/>
          <w:szCs w:val="22"/>
        </w:rPr>
      </w:pPr>
    </w:p>
    <w:p w14:paraId="1D64A17A" w14:textId="77777777" w:rsidR="0036326D" w:rsidRDefault="00443AFA">
      <w:pPr>
        <w:spacing w:after="0" w:line="240" w:lineRule="auto"/>
        <w:rPr>
          <w:rFonts w:ascii="Times New Roman" w:hAnsi="Times New Roman" w:cs="Times New Roman"/>
        </w:rPr>
      </w:pPr>
      <w:r>
        <w:rPr>
          <w:rFonts w:ascii="Times New Roman" w:hAnsi="Times New Roman" w:cs="Times New Roman"/>
        </w:rPr>
        <w:t>Akýkoľvek neobjasnený pokles hemoglobínu alebo tlaku krvi musí viesť k hľadaniu zdroja krvácania.</w:t>
      </w:r>
    </w:p>
    <w:p w14:paraId="38938084" w14:textId="77777777" w:rsidR="0036326D" w:rsidRDefault="0036326D">
      <w:pPr>
        <w:spacing w:after="0" w:line="240" w:lineRule="auto"/>
        <w:rPr>
          <w:rFonts w:ascii="Times New Roman" w:hAnsi="Times New Roman" w:cs="Times New Roman"/>
        </w:rPr>
      </w:pPr>
    </w:p>
    <w:p w14:paraId="0DB60E77" w14:textId="77777777" w:rsidR="0036326D" w:rsidRDefault="00443AFA">
      <w:pPr>
        <w:spacing w:after="0" w:line="240" w:lineRule="auto"/>
        <w:rPr>
          <w:rFonts w:ascii="Times New Roman" w:hAnsi="Times New Roman" w:cs="Times New Roman"/>
        </w:rPr>
      </w:pPr>
      <w:r>
        <w:rPr>
          <w:rFonts w:ascii="Times New Roman" w:hAnsi="Times New Roman" w:cs="Times New Roman"/>
        </w:rPr>
        <w:t>Hoci liečba rivaroxabánom nevyžaduje rutinné sledovanie expozície, hladiny rivaroxabánu možno merať kalibrovanými kvantitatívnymi testami na prítomnosť antifaktora Xa, čo môže byť užitočné vo výnimočných situáciách, keď informácia o expozícií rivaroxabánu môže byť podkladom na klinické rozhodnutie, napr. pri predávkovaní a neodkladnej operácii (pozri časti 5.1 a 5.2).</w:t>
      </w:r>
    </w:p>
    <w:p w14:paraId="1C559BC9" w14:textId="77777777" w:rsidR="0036326D" w:rsidRDefault="0036326D">
      <w:pPr>
        <w:spacing w:after="0" w:line="240" w:lineRule="auto"/>
        <w:rPr>
          <w:rFonts w:ascii="Times New Roman" w:hAnsi="Times New Roman" w:cs="Times New Roman"/>
        </w:rPr>
      </w:pPr>
    </w:p>
    <w:p w14:paraId="1B463C79" w14:textId="77777777" w:rsidR="0036326D" w:rsidRDefault="00443AFA">
      <w:pPr>
        <w:pStyle w:val="Default"/>
        <w:rPr>
          <w:sz w:val="22"/>
          <w:szCs w:val="22"/>
          <w:u w:val="single"/>
        </w:rPr>
      </w:pPr>
      <w:r>
        <w:rPr>
          <w:sz w:val="22"/>
          <w:szCs w:val="22"/>
          <w:u w:val="single"/>
        </w:rPr>
        <w:t xml:space="preserve">Pacienti s antifosfolipidovým syndrómom </w:t>
      </w:r>
    </w:p>
    <w:p w14:paraId="708AA840" w14:textId="77777777" w:rsidR="0036326D" w:rsidRDefault="00443AFA">
      <w:pPr>
        <w:spacing w:after="0" w:line="240" w:lineRule="auto"/>
        <w:rPr>
          <w:rFonts w:ascii="Times New Roman" w:hAnsi="Times New Roman" w:cs="Times New Roman"/>
        </w:rPr>
      </w:pPr>
      <w:r>
        <w:rPr>
          <w:rFonts w:ascii="Times New Roman" w:hAnsi="Times New Roman" w:cs="Times New Roman"/>
        </w:rPr>
        <w:t>Priame perorálne antikoagulanciá (direct acting oral anticoagulants, DOAC) vrátane rivaroxabánu sa neodporúčajú pacientom s trombózou v anamnéze, u ktorých je diagnostikovaný antifosfolipidový syndróm. Najmä u pacientov, ktorí sú trojito pozitívni (na lupus antikoagulans, antikardiolipínové protilátky a protilátky proti beta-2-glykoproteínu I) môže liečba DOAC súvisieť so zvýšenou mierou rekurentných trombotických udalostí v porovnaní s liečbou antagonistami vitamínu K (pozri časť 5.1.).</w:t>
      </w:r>
    </w:p>
    <w:p w14:paraId="1265853B" w14:textId="77777777" w:rsidR="0036326D" w:rsidRDefault="0036326D">
      <w:pPr>
        <w:spacing w:after="0" w:line="240" w:lineRule="auto"/>
        <w:rPr>
          <w:rFonts w:ascii="Times New Roman" w:hAnsi="Times New Roman" w:cs="Times New Roman"/>
        </w:rPr>
      </w:pPr>
    </w:p>
    <w:p w14:paraId="5BB4E426" w14:textId="77777777" w:rsidR="0036326D" w:rsidRDefault="00443AFA">
      <w:pPr>
        <w:pStyle w:val="Default"/>
        <w:rPr>
          <w:sz w:val="22"/>
          <w:szCs w:val="22"/>
          <w:u w:val="single"/>
        </w:rPr>
      </w:pPr>
      <w:r>
        <w:rPr>
          <w:sz w:val="22"/>
          <w:szCs w:val="22"/>
          <w:u w:val="single"/>
        </w:rPr>
        <w:t xml:space="preserve">Porucha funkcie obličiek </w:t>
      </w:r>
    </w:p>
    <w:p w14:paraId="45A17D17" w14:textId="77777777" w:rsidR="0036326D" w:rsidRDefault="00443AFA">
      <w:pPr>
        <w:pStyle w:val="Default"/>
        <w:rPr>
          <w:sz w:val="22"/>
          <w:szCs w:val="22"/>
        </w:rPr>
      </w:pPr>
      <w:r>
        <w:rPr>
          <w:sz w:val="22"/>
          <w:szCs w:val="22"/>
        </w:rPr>
        <w:t xml:space="preserve">U pacientov s ťažkou poruchou funkcie obličiek (klírens kreatinínu &lt; 30 ml/min) sa môžu plazmatické koncentrácie rivaroxabánu signifikantne zvýšiť (v priemere o 1,6-násobok), čo môže viesť ku zvýšenému riziku krvácania. </w:t>
      </w:r>
    </w:p>
    <w:p w14:paraId="5F48BBC9" w14:textId="77777777" w:rsidR="0036326D" w:rsidRDefault="00443AFA">
      <w:pPr>
        <w:pStyle w:val="Default"/>
        <w:rPr>
          <w:sz w:val="22"/>
          <w:szCs w:val="22"/>
        </w:rPr>
      </w:pPr>
      <w:r>
        <w:rPr>
          <w:sz w:val="22"/>
          <w:szCs w:val="22"/>
        </w:rPr>
        <w:t xml:space="preserve">U pacientov s klírensom kreatinínu 15-29 ml/min sa musí Rombidux používať s opatrnosťou. U pacientov s klírensom kreatinínu &lt; 15 ml/min sa použitie neodporúča (pozri časti 4.2 a 5.2). </w:t>
      </w:r>
    </w:p>
    <w:p w14:paraId="04590576" w14:textId="5E14A0D9" w:rsidR="0036326D" w:rsidRDefault="00443AFA">
      <w:pPr>
        <w:spacing w:after="0" w:line="240" w:lineRule="auto"/>
        <w:rPr>
          <w:rFonts w:ascii="Times New Roman" w:hAnsi="Times New Roman" w:cs="Times New Roman"/>
        </w:rPr>
      </w:pPr>
      <w:r>
        <w:rPr>
          <w:rFonts w:ascii="Times New Roman" w:hAnsi="Times New Roman" w:cs="Times New Roman"/>
        </w:rPr>
        <w:t xml:space="preserve">U pacientov s poruchou funkcie obličiek , ktorí súbežne užívajú iné lieky, ktoré zvyšujú plazmatické koncentrácie rivaroxabánu, sa má </w:t>
      </w:r>
      <w:r>
        <w:rPr>
          <w:rFonts w:ascii="Times New Roman" w:hAnsi="Times New Roman" w:cs="Times New Roman"/>
          <w:color w:val="000000"/>
        </w:rPr>
        <w:t xml:space="preserve">Rombidux </w:t>
      </w:r>
      <w:r>
        <w:rPr>
          <w:rFonts w:ascii="Times New Roman" w:hAnsi="Times New Roman" w:cs="Times New Roman"/>
        </w:rPr>
        <w:t>používať s opatrnosťou (pozri časť 4.5).</w:t>
      </w:r>
    </w:p>
    <w:p w14:paraId="66332182" w14:textId="77777777" w:rsidR="0036326D" w:rsidRDefault="0036326D">
      <w:pPr>
        <w:spacing w:after="0" w:line="240" w:lineRule="auto"/>
        <w:rPr>
          <w:rFonts w:ascii="Times New Roman" w:hAnsi="Times New Roman" w:cs="Times New Roman"/>
        </w:rPr>
      </w:pPr>
    </w:p>
    <w:p w14:paraId="5299676B" w14:textId="77777777" w:rsidR="0036326D" w:rsidRDefault="00443AFA">
      <w:pPr>
        <w:pStyle w:val="Default"/>
        <w:rPr>
          <w:sz w:val="22"/>
          <w:szCs w:val="22"/>
          <w:u w:val="single"/>
        </w:rPr>
      </w:pPr>
      <w:r>
        <w:rPr>
          <w:sz w:val="22"/>
          <w:szCs w:val="22"/>
          <w:u w:val="single"/>
        </w:rPr>
        <w:t xml:space="preserve">Interakcie s inými liekmi </w:t>
      </w:r>
    </w:p>
    <w:p w14:paraId="622162FD" w14:textId="77777777" w:rsidR="0036326D" w:rsidRDefault="00443AFA">
      <w:pPr>
        <w:spacing w:after="0" w:line="240" w:lineRule="auto"/>
        <w:rPr>
          <w:rFonts w:ascii="Times New Roman" w:hAnsi="Times New Roman" w:cs="Times New Roman"/>
        </w:rPr>
      </w:pPr>
      <w:r>
        <w:rPr>
          <w:rFonts w:ascii="Times New Roman" w:hAnsi="Times New Roman" w:cs="Times New Roman"/>
        </w:rPr>
        <w:t>Použitie Rombiduxu sa neodporúča u pacientov, ktorí súbežne užívajú systémovo azolové antimykotiká (ako sú ketokonazol, itrakonazol, vorikonazol a posakonazol) alebo inhibítory proteázy HIV (napr. ritonavir). Tieto liečivá sú silné inhibítory CYP3A4 aj P-gp, a preto môžu zvýšiť plazmatické koncentrácie rivaroxabánu na klinicky významnú úroveň (v priemere o 2,6-násobok), čo môže viesť ku zvýšenému riziku krvácania (pozri časť 4.5).</w:t>
      </w:r>
    </w:p>
    <w:p w14:paraId="35DF6C10" w14:textId="77777777" w:rsidR="0036326D" w:rsidRDefault="0036326D">
      <w:pPr>
        <w:spacing w:after="0" w:line="240" w:lineRule="auto"/>
        <w:rPr>
          <w:rFonts w:ascii="Times New Roman" w:hAnsi="Times New Roman" w:cs="Times New Roman"/>
        </w:rPr>
      </w:pPr>
    </w:p>
    <w:p w14:paraId="574167B8" w14:textId="77777777" w:rsidR="0036326D" w:rsidRDefault="00443AFA">
      <w:pPr>
        <w:spacing w:after="0" w:line="240" w:lineRule="auto"/>
        <w:rPr>
          <w:rFonts w:ascii="Times New Roman" w:hAnsi="Times New Roman" w:cs="Times New Roman"/>
        </w:rPr>
      </w:pPr>
      <w:r>
        <w:rPr>
          <w:rFonts w:ascii="Times New Roman" w:hAnsi="Times New Roman" w:cs="Times New Roman"/>
        </w:rPr>
        <w:lastRenderedPageBreak/>
        <w:t>Opatrnosť je potrebná, ak sa pacienti súbežne liečia liekmi, ktoré ovplyvňujú hemostázu, ako sú nesteroidné antiflogistiká (NSAID),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 (pozri časť 4.5).</w:t>
      </w:r>
    </w:p>
    <w:p w14:paraId="0334E9BF" w14:textId="77777777" w:rsidR="0036326D" w:rsidRDefault="0036326D">
      <w:pPr>
        <w:spacing w:after="0" w:line="240" w:lineRule="auto"/>
        <w:rPr>
          <w:rFonts w:ascii="Times New Roman" w:hAnsi="Times New Roman" w:cs="Times New Roman"/>
        </w:rPr>
      </w:pPr>
    </w:p>
    <w:p w14:paraId="1FF7E715" w14:textId="77777777" w:rsidR="0036326D" w:rsidRDefault="00443AFA">
      <w:pPr>
        <w:pStyle w:val="Default"/>
        <w:rPr>
          <w:sz w:val="22"/>
          <w:szCs w:val="22"/>
          <w:u w:val="single"/>
        </w:rPr>
      </w:pPr>
      <w:r>
        <w:rPr>
          <w:sz w:val="22"/>
          <w:szCs w:val="22"/>
          <w:u w:val="single"/>
        </w:rPr>
        <w:t xml:space="preserve">Iné rizikové faktory hemorágie </w:t>
      </w:r>
    </w:p>
    <w:p w14:paraId="0468C7EF" w14:textId="586B9C31" w:rsidR="0036326D" w:rsidRDefault="00443AFA">
      <w:pPr>
        <w:pStyle w:val="Default"/>
        <w:rPr>
          <w:sz w:val="22"/>
          <w:szCs w:val="22"/>
        </w:rPr>
      </w:pPr>
      <w:r>
        <w:rPr>
          <w:sz w:val="22"/>
          <w:szCs w:val="22"/>
        </w:rPr>
        <w:t xml:space="preserve">Tak ako pri iných antitrombotikách sa užívanie rivaroxabánu neodporúča u pacientov so zvýšeným rizikom krvácania, ako sú: </w:t>
      </w:r>
    </w:p>
    <w:p w14:paraId="42CAC1E3" w14:textId="77777777" w:rsidR="0036326D" w:rsidRDefault="00443AFA">
      <w:pPr>
        <w:pStyle w:val="Default"/>
        <w:numPr>
          <w:ilvl w:val="0"/>
          <w:numId w:val="1"/>
        </w:numPr>
        <w:rPr>
          <w:sz w:val="22"/>
          <w:szCs w:val="22"/>
        </w:rPr>
      </w:pPr>
      <w:r>
        <w:rPr>
          <w:sz w:val="22"/>
          <w:szCs w:val="22"/>
        </w:rPr>
        <w:t xml:space="preserve">vrodené alebo získané krvácavé poruchy, </w:t>
      </w:r>
    </w:p>
    <w:p w14:paraId="777D05CA" w14:textId="77777777" w:rsidR="0036326D" w:rsidRDefault="00443AFA">
      <w:pPr>
        <w:pStyle w:val="Default"/>
        <w:numPr>
          <w:ilvl w:val="0"/>
          <w:numId w:val="1"/>
        </w:numPr>
        <w:rPr>
          <w:sz w:val="22"/>
          <w:szCs w:val="22"/>
        </w:rPr>
      </w:pPr>
      <w:r>
        <w:rPr>
          <w:sz w:val="22"/>
          <w:szCs w:val="22"/>
        </w:rPr>
        <w:t xml:space="preserve">nekontrolovaná ťažká artériová hypertenzia, </w:t>
      </w:r>
    </w:p>
    <w:p w14:paraId="12541EE8" w14:textId="77777777" w:rsidR="0036326D" w:rsidRDefault="00443AFA">
      <w:pPr>
        <w:pStyle w:val="Default"/>
        <w:numPr>
          <w:ilvl w:val="0"/>
          <w:numId w:val="1"/>
        </w:numPr>
        <w:rPr>
          <w:sz w:val="22"/>
          <w:szCs w:val="22"/>
        </w:rPr>
      </w:pPr>
      <w:r>
        <w:rPr>
          <w:sz w:val="22"/>
          <w:szCs w:val="22"/>
        </w:rPr>
        <w:t xml:space="preserve">iné gastrointestinálne ochorenie bez aktívnej ulcerácie, ktoré môže potenciálne viesť ku krvácavým komplikáciám (napr. zápalové ochorenie čriev, ezofagitída, gastritída a gastroezofágová refluxová choroba), </w:t>
      </w:r>
    </w:p>
    <w:p w14:paraId="40325BF6" w14:textId="77777777" w:rsidR="0036326D" w:rsidRDefault="00443AFA">
      <w:pPr>
        <w:pStyle w:val="Default"/>
        <w:numPr>
          <w:ilvl w:val="0"/>
          <w:numId w:val="1"/>
        </w:numPr>
        <w:rPr>
          <w:sz w:val="22"/>
          <w:szCs w:val="22"/>
        </w:rPr>
      </w:pPr>
      <w:r>
        <w:rPr>
          <w:sz w:val="22"/>
          <w:szCs w:val="22"/>
        </w:rPr>
        <w:t xml:space="preserve">vaskulárna retinopatia, </w:t>
      </w:r>
    </w:p>
    <w:p w14:paraId="66FEB040" w14:textId="77777777" w:rsidR="0036326D" w:rsidRDefault="00443AFA">
      <w:pPr>
        <w:pStyle w:val="Default"/>
        <w:numPr>
          <w:ilvl w:val="0"/>
          <w:numId w:val="1"/>
        </w:numPr>
        <w:rPr>
          <w:sz w:val="22"/>
          <w:szCs w:val="22"/>
        </w:rPr>
      </w:pPr>
      <w:r>
        <w:rPr>
          <w:sz w:val="22"/>
          <w:szCs w:val="22"/>
        </w:rPr>
        <w:t xml:space="preserve">bronchiektázia alebo krvácanie do pľúc v anamnéze. </w:t>
      </w:r>
    </w:p>
    <w:p w14:paraId="53BC76D1" w14:textId="77777777" w:rsidR="0036326D" w:rsidRDefault="0036326D">
      <w:pPr>
        <w:spacing w:after="0" w:line="240" w:lineRule="auto"/>
        <w:rPr>
          <w:rFonts w:ascii="Times New Roman" w:hAnsi="Times New Roman" w:cs="Times New Roman"/>
          <w:u w:val="single"/>
        </w:rPr>
      </w:pPr>
    </w:p>
    <w:p w14:paraId="00271B87" w14:textId="77777777" w:rsidR="0036326D" w:rsidRDefault="00443AFA">
      <w:pPr>
        <w:pStyle w:val="Default"/>
        <w:rPr>
          <w:sz w:val="22"/>
          <w:szCs w:val="22"/>
          <w:u w:val="single"/>
        </w:rPr>
      </w:pPr>
      <w:r>
        <w:rPr>
          <w:sz w:val="22"/>
          <w:szCs w:val="22"/>
          <w:u w:val="single"/>
        </w:rPr>
        <w:t xml:space="preserve">Pacienti s protetickými chlopňami </w:t>
      </w:r>
    </w:p>
    <w:p w14:paraId="7757B739" w14:textId="77777777" w:rsidR="0036326D" w:rsidRDefault="00443AFA">
      <w:pPr>
        <w:spacing w:after="0" w:line="240" w:lineRule="auto"/>
        <w:rPr>
          <w:rFonts w:ascii="Times New Roman" w:hAnsi="Times New Roman" w:cs="Times New Roman"/>
        </w:rPr>
      </w:pPr>
      <w:r>
        <w:rPr>
          <w:rFonts w:ascii="Times New Roman" w:hAnsi="Times New Roman" w:cs="Times New Roman"/>
        </w:rPr>
        <w:t>Rivaroxabán sa nemá používať na tromboprofylaxiu u pacientov, ktorí nedávno podstúpili transkatétrovú výmenu aortálnej chlopne (transcatheter aortic valve replacement – TAVR). U pacientov s protetickými srdcovými chlopňami sa bezpečnosť a účinnosť rivaroxabánu neskúmala. Preto nie sú žiadne údaje, ktoré by podporovali, že v tejto skupine pacientov rivaroxabán poskytuje adekvátnu antikoaguláciu. U týchto pacientov sa liečba Rombiduxom neodporúča.</w:t>
      </w:r>
    </w:p>
    <w:p w14:paraId="7B1CF3DA" w14:textId="77777777" w:rsidR="0036326D" w:rsidRDefault="0036326D">
      <w:pPr>
        <w:spacing w:after="0" w:line="240" w:lineRule="auto"/>
        <w:rPr>
          <w:rFonts w:ascii="Times New Roman" w:hAnsi="Times New Roman" w:cs="Times New Roman"/>
        </w:rPr>
      </w:pPr>
    </w:p>
    <w:p w14:paraId="20C3DADF"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u w:val="single"/>
        </w:rPr>
        <w:t>Pacienti s nevalvulárnou fibriláciou predsiení, ktorí podstupujú PCI so zavedením stentu</w:t>
      </w:r>
    </w:p>
    <w:p w14:paraId="14B06D6A" w14:textId="3353EB34" w:rsidR="0036326D" w:rsidRDefault="00443AFA">
      <w:pPr>
        <w:spacing w:after="0" w:line="240" w:lineRule="auto"/>
        <w:rPr>
          <w:rFonts w:ascii="Times New Roman" w:hAnsi="Times New Roman" w:cs="Times New Roman"/>
        </w:rPr>
      </w:pPr>
      <w:r>
        <w:rPr>
          <w:rFonts w:ascii="Times New Roman" w:hAnsi="Times New Roman" w:cs="Times New Roman"/>
        </w:rPr>
        <w:t>K dispozícii sú klinické údaje z intervenčného skúšania, ktorého primárnym cieľom bolo posúdiť bezpečnosť u pacientov s nevalvulárnou fibriláciou predsiení, ktorí podstupujú PCI so zavedením stentu. Sú len obmedzené údaje o účinnosti v tejto populácii (pozri časti 4.2 a 5.1). U týchto pacientov s predchádzajúcou cievnou mozgovou príhodou/prechodným ischemickým atakom (TIA) nie sú dostupné žiadne údaje.</w:t>
      </w:r>
    </w:p>
    <w:p w14:paraId="4F622B29" w14:textId="77777777" w:rsidR="0036326D" w:rsidRDefault="0036326D">
      <w:pPr>
        <w:spacing w:after="0" w:line="240" w:lineRule="auto"/>
        <w:rPr>
          <w:rFonts w:ascii="Times New Roman" w:hAnsi="Times New Roman" w:cs="Times New Roman"/>
        </w:rPr>
      </w:pPr>
    </w:p>
    <w:p w14:paraId="041EB1D1" w14:textId="77777777" w:rsidR="0036326D" w:rsidRDefault="00443AFA">
      <w:pPr>
        <w:pStyle w:val="Default"/>
        <w:rPr>
          <w:sz w:val="22"/>
          <w:szCs w:val="22"/>
          <w:u w:val="single"/>
        </w:rPr>
      </w:pPr>
      <w:r>
        <w:rPr>
          <w:sz w:val="22"/>
          <w:szCs w:val="22"/>
          <w:u w:val="single"/>
        </w:rPr>
        <w:t xml:space="preserve">Hemodynamicky nestabilní pacienti s PE alebo pacienti, u ktorých sa vyžaduje trombolýza alebo pľúcna embolektómia </w:t>
      </w:r>
    </w:p>
    <w:p w14:paraId="28986450" w14:textId="77777777" w:rsidR="0036326D" w:rsidRDefault="00443AFA">
      <w:pPr>
        <w:spacing w:after="0" w:line="240" w:lineRule="auto"/>
        <w:rPr>
          <w:rFonts w:ascii="Times New Roman" w:hAnsi="Times New Roman" w:cs="Times New Roman"/>
        </w:rPr>
      </w:pPr>
      <w:r>
        <w:rPr>
          <w:rFonts w:ascii="Times New Roman" w:hAnsi="Times New Roman" w:cs="Times New Roman"/>
        </w:rPr>
        <w:t>Rombidux sa neodporúča ako alternatíva nefrakcionovaného heparínu u pacientov s pľúcnou embóliou, ktorí sú hemodynamicky nestabilní alebo môžu vyžadovať trombolýzu alebo pľúcnu embolektómiu, pretože bezpečnosť a účinnosť rivaroxabánu sa v týchto klinických situáciách nestanovili.</w:t>
      </w:r>
    </w:p>
    <w:p w14:paraId="794D0C2E" w14:textId="77777777" w:rsidR="0036326D" w:rsidRDefault="0036326D">
      <w:pPr>
        <w:spacing w:after="0" w:line="240" w:lineRule="auto"/>
        <w:rPr>
          <w:rFonts w:ascii="Times New Roman" w:hAnsi="Times New Roman" w:cs="Times New Roman"/>
        </w:rPr>
      </w:pPr>
    </w:p>
    <w:p w14:paraId="1BD9269E" w14:textId="77777777" w:rsidR="0036326D" w:rsidRDefault="00443AFA">
      <w:pPr>
        <w:pStyle w:val="Default"/>
        <w:rPr>
          <w:sz w:val="22"/>
          <w:szCs w:val="22"/>
          <w:u w:val="single"/>
        </w:rPr>
      </w:pPr>
      <w:r>
        <w:rPr>
          <w:sz w:val="22"/>
          <w:szCs w:val="22"/>
          <w:u w:val="single"/>
        </w:rPr>
        <w:t xml:space="preserve">Spinálna/epidurálna anestézia alebo punkcia </w:t>
      </w:r>
    </w:p>
    <w:p w14:paraId="74AB3012" w14:textId="77777777" w:rsidR="0036326D" w:rsidRDefault="00443AFA">
      <w:pPr>
        <w:pStyle w:val="Default"/>
        <w:rPr>
          <w:sz w:val="22"/>
          <w:szCs w:val="22"/>
        </w:rPr>
      </w:pPr>
      <w:r>
        <w:rPr>
          <w:sz w:val="22"/>
          <w:szCs w:val="22"/>
        </w:rPr>
        <w:t xml:space="preserve">Ak sa vykoná neuroaxiálna anestézia (spinálna/epidurálna anestézia) alebo spinálna/epidurálna punkcia, u pacientov, ktorí sa liečia antitrombotikami na prevenciu tromboembolických komplikácií je riziko vzniku epidurálnych alebo spinálnych hematómov, ktoré môžu viesť k dlhodobej alebo trvalej paralýze. </w:t>
      </w:r>
    </w:p>
    <w:p w14:paraId="666016FA" w14:textId="77777777" w:rsidR="00413AC1" w:rsidRDefault="00443AFA">
      <w:pPr>
        <w:pStyle w:val="Default"/>
        <w:rPr>
          <w:sz w:val="22"/>
          <w:szCs w:val="22"/>
        </w:rPr>
      </w:pPr>
      <w:r>
        <w:rPr>
          <w:sz w:val="22"/>
          <w:szCs w:val="22"/>
        </w:rPr>
        <w:t>Riziko týchto udalostí sa môže zvýšiť pooperačným použitím zavedených epidurálnych katétrov alebo súbežným použitím liekov, ktoré ovplyvňujú hemostázu. Riziko sa môže zvýšiť aj traumatickou alebo opakovanou epidurálnou alebo spinálnou punkciou. Pacienti majú byť často sledovaní kvôli výskytu prejavov a príznakov neurologického poškodenia (napr. znížená citlivosť alebo slabosť nôh, dysfunkcia čriev alebo močového mechúra). Ak sa zistí zhoršenie neurologickej funkcie, je nevyhnutná bezodkladná diagnóza a liečba. Pred neuroaxiálnym zákrokom má lekár u pacientov s antikoagulačnou liečbou alebo u pacientov, ktorí majú dostať antikoagulačnú liečbu z dôvodu tromboprofylaxie, zvážiť potenciálny prínos voči riziku.</w:t>
      </w:r>
    </w:p>
    <w:p w14:paraId="0F5E5927" w14:textId="77777777" w:rsidR="0036326D" w:rsidRDefault="00413AC1">
      <w:pPr>
        <w:pStyle w:val="Default"/>
        <w:rPr>
          <w:sz w:val="22"/>
          <w:szCs w:val="22"/>
        </w:rPr>
      </w:pPr>
      <w:r w:rsidRPr="00F27639">
        <w:rPr>
          <w:sz w:val="22"/>
          <w:szCs w:val="22"/>
        </w:rPr>
        <w:t xml:space="preserve">Pre takéto prípady nie sú klinické skúsenosti s používaním </w:t>
      </w:r>
      <w:r>
        <w:rPr>
          <w:sz w:val="22"/>
          <w:szCs w:val="22"/>
        </w:rPr>
        <w:t>20</w:t>
      </w:r>
      <w:r w:rsidRPr="00F27639">
        <w:rPr>
          <w:sz w:val="22"/>
          <w:szCs w:val="22"/>
        </w:rPr>
        <w:t> mg rivaroxabánu</w:t>
      </w:r>
      <w:r>
        <w:rPr>
          <w:sz w:val="22"/>
          <w:szCs w:val="22"/>
        </w:rPr>
        <w:t>.</w:t>
      </w:r>
      <w:r w:rsidR="00443AFA">
        <w:rPr>
          <w:sz w:val="22"/>
          <w:szCs w:val="22"/>
        </w:rPr>
        <w:t xml:space="preserve">  </w:t>
      </w:r>
    </w:p>
    <w:p w14:paraId="318EE8F6" w14:textId="77777777" w:rsidR="0036326D" w:rsidRDefault="00443AFA">
      <w:pPr>
        <w:pStyle w:val="Default"/>
        <w:rPr>
          <w:sz w:val="22"/>
          <w:szCs w:val="22"/>
        </w:rPr>
      </w:pPr>
      <w:r>
        <w:rPr>
          <w:sz w:val="22"/>
          <w:szCs w:val="22"/>
        </w:rPr>
        <w:t xml:space="preserve">Aby sa znížilo možné riziko krvácania v súvislosti s podávaním rivaroxabánu pri neuroaxiálnej anestézii (spinálna/epidurálna) alebo spinálnej punkcii, je potrebné zohľadniť farmakokinetický profil </w:t>
      </w:r>
      <w:r>
        <w:rPr>
          <w:sz w:val="22"/>
          <w:szCs w:val="22"/>
        </w:rPr>
        <w:lastRenderedPageBreak/>
        <w:t xml:space="preserve">rivaroxabánu. Zavedenie alebo odstránenie epidurálneho katétra alebo lumbálnu punkciu je najlepšie vykonať vtedy, keď je predpokladaný antikoagulačný účinok rivaroxabánu nízky (pozri časť 5.2).  </w:t>
      </w:r>
    </w:p>
    <w:p w14:paraId="528BFD42" w14:textId="77777777" w:rsidR="00413AC1" w:rsidRPr="00C96A86" w:rsidRDefault="00413AC1" w:rsidP="00413AC1">
      <w:pPr>
        <w:pStyle w:val="Default"/>
        <w:rPr>
          <w:sz w:val="22"/>
          <w:szCs w:val="22"/>
        </w:rPr>
      </w:pPr>
      <w:r w:rsidRPr="00C96A86">
        <w:rPr>
          <w:sz w:val="22"/>
          <w:szCs w:val="22"/>
        </w:rPr>
        <w:t>Avšak presné načasovanie, za účelom dosiahnutia dostatočne nízkeho antikoagulačného účinku u každého pacienta, nie je známe.</w:t>
      </w:r>
    </w:p>
    <w:p w14:paraId="51397A5D" w14:textId="5C318360" w:rsidR="00413AC1" w:rsidRDefault="00413AC1" w:rsidP="00413AC1">
      <w:pPr>
        <w:autoSpaceDE w:val="0"/>
        <w:autoSpaceDN w:val="0"/>
        <w:adjustRightInd w:val="0"/>
        <w:spacing w:after="0" w:line="240" w:lineRule="auto"/>
        <w:rPr>
          <w:rFonts w:ascii="Times New Roman" w:eastAsia="Calibri" w:hAnsi="Times New Roman" w:cs="Times New Roman"/>
          <w:color w:val="000000"/>
        </w:rPr>
      </w:pPr>
      <w:r w:rsidRPr="00F27639">
        <w:rPr>
          <w:rFonts w:ascii="Times New Roman" w:eastAsia="Calibri" w:hAnsi="Times New Roman" w:cs="Times New Roman"/>
          <w:color w:val="000000"/>
        </w:rPr>
        <w:t xml:space="preserve">Epidurálny katéter </w:t>
      </w:r>
      <w:r w:rsidR="00ED33CF">
        <w:rPr>
          <w:rFonts w:ascii="Times New Roman" w:eastAsia="Calibri" w:hAnsi="Times New Roman" w:cs="Times New Roman"/>
          <w:color w:val="000000"/>
        </w:rPr>
        <w:t>sa má</w:t>
      </w:r>
      <w:r w:rsidRPr="00F27639">
        <w:rPr>
          <w:rFonts w:ascii="Times New Roman" w:eastAsia="Calibri" w:hAnsi="Times New Roman" w:cs="Times New Roman"/>
          <w:color w:val="000000"/>
        </w:rPr>
        <w:t xml:space="preserve">, na základe všeobecných farmakokinetických vlastností rivaroxabánu, odstraňovať </w:t>
      </w:r>
      <w:r>
        <w:rPr>
          <w:rFonts w:ascii="Times New Roman" w:eastAsia="Calibri" w:hAnsi="Times New Roman" w:cs="Times New Roman"/>
          <w:color w:val="000000"/>
        </w:rPr>
        <w:t xml:space="preserve">minimálne </w:t>
      </w:r>
      <w:r w:rsidRPr="00F27639">
        <w:rPr>
          <w:rFonts w:ascii="Times New Roman" w:eastAsia="Calibri" w:hAnsi="Times New Roman" w:cs="Times New Roman"/>
          <w:color w:val="000000"/>
        </w:rPr>
        <w:t xml:space="preserve">pri dvojnásobku polčasu eliminácie, to je </w:t>
      </w:r>
      <w:r>
        <w:rPr>
          <w:rFonts w:ascii="Times New Roman" w:eastAsia="Calibri" w:hAnsi="Times New Roman" w:cs="Times New Roman"/>
          <w:color w:val="000000"/>
        </w:rPr>
        <w:t>najmenej</w:t>
      </w:r>
      <w:r w:rsidRPr="00F27639">
        <w:rPr>
          <w:rFonts w:ascii="Times New Roman" w:eastAsia="Calibri" w:hAnsi="Times New Roman" w:cs="Times New Roman"/>
          <w:color w:val="000000"/>
        </w:rPr>
        <w:t xml:space="preserve"> 18 hodín u mladých pacientov a 26 hodín u starších pacientov po poslednom podaní rivaroxabánu (pozri časť 5.2). </w:t>
      </w:r>
    </w:p>
    <w:p w14:paraId="25181C60" w14:textId="77777777" w:rsidR="00413AC1" w:rsidRDefault="00413AC1" w:rsidP="00413AC1">
      <w:pPr>
        <w:autoSpaceDE w:val="0"/>
        <w:autoSpaceDN w:val="0"/>
        <w:adjustRightInd w:val="0"/>
        <w:spacing w:after="0" w:line="240" w:lineRule="auto"/>
        <w:rPr>
          <w:rFonts w:ascii="Times New Roman" w:eastAsia="Calibri" w:hAnsi="Times New Roman" w:cs="Times New Roman"/>
          <w:color w:val="000000"/>
        </w:rPr>
      </w:pPr>
    </w:p>
    <w:p w14:paraId="29055981" w14:textId="77777777" w:rsidR="00413AC1" w:rsidRDefault="00413AC1" w:rsidP="00413AC1">
      <w:pPr>
        <w:autoSpaceDE w:val="0"/>
        <w:autoSpaceDN w:val="0"/>
        <w:adjustRightInd w:val="0"/>
        <w:spacing w:after="0" w:line="240" w:lineRule="auto"/>
        <w:rPr>
          <w:rFonts w:ascii="Times New Roman" w:eastAsia="Calibri" w:hAnsi="Times New Roman" w:cs="Times New Roman"/>
          <w:color w:val="000000"/>
        </w:rPr>
      </w:pPr>
      <w:r w:rsidRPr="00F27639">
        <w:rPr>
          <w:rFonts w:ascii="Times New Roman" w:eastAsia="Calibri" w:hAnsi="Times New Roman" w:cs="Times New Roman"/>
          <w:color w:val="000000"/>
        </w:rPr>
        <w:t>Po odstránení katétra musí pred podaním ďalšej dávky rivaroxabánu uplynúť najmenej 6 hodín.</w:t>
      </w:r>
    </w:p>
    <w:p w14:paraId="4D478068" w14:textId="77777777" w:rsidR="00413AC1" w:rsidRDefault="00413AC1" w:rsidP="00413AC1">
      <w:pPr>
        <w:autoSpaceDE w:val="0"/>
        <w:autoSpaceDN w:val="0"/>
        <w:adjustRightInd w:val="0"/>
        <w:spacing w:after="0" w:line="240" w:lineRule="auto"/>
        <w:rPr>
          <w:rFonts w:ascii="Times New Roman" w:eastAsia="Calibri" w:hAnsi="Times New Roman" w:cs="Times New Roman"/>
          <w:color w:val="000000"/>
        </w:rPr>
      </w:pPr>
    </w:p>
    <w:p w14:paraId="4B15E7C1" w14:textId="77777777" w:rsidR="00413AC1" w:rsidRDefault="00413AC1" w:rsidP="00413AC1">
      <w:pPr>
        <w:autoSpaceDE w:val="0"/>
        <w:autoSpaceDN w:val="0"/>
        <w:adjustRightInd w:val="0"/>
        <w:spacing w:after="0" w:line="240" w:lineRule="auto"/>
        <w:rPr>
          <w:rFonts w:ascii="Times New Roman" w:eastAsia="Calibri" w:hAnsi="Times New Roman" w:cs="Times New Roman"/>
          <w:color w:val="000000"/>
        </w:rPr>
      </w:pPr>
      <w:r w:rsidRPr="00F27639">
        <w:rPr>
          <w:rFonts w:ascii="Times New Roman" w:eastAsia="Calibri" w:hAnsi="Times New Roman" w:cs="Times New Roman"/>
          <w:color w:val="000000"/>
        </w:rPr>
        <w:t>Ak sa vyskytne traumatická punkcia, podanie rivaroxabánu sa má oddialiť o 24 hodín.</w:t>
      </w:r>
    </w:p>
    <w:p w14:paraId="2268A604" w14:textId="77777777" w:rsidR="0036326D" w:rsidRDefault="0036326D">
      <w:pPr>
        <w:spacing w:after="0" w:line="240" w:lineRule="auto"/>
        <w:rPr>
          <w:rFonts w:ascii="Times New Roman" w:hAnsi="Times New Roman" w:cs="Times New Roman"/>
        </w:rPr>
      </w:pPr>
    </w:p>
    <w:p w14:paraId="23B5A532"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u w:val="single"/>
        </w:rPr>
        <w:t>Odporúčané dávkovanie pred a po invazívnych a chirurgických zákrokoch</w:t>
      </w:r>
    </w:p>
    <w:p w14:paraId="0A8F3C6B" w14:textId="77777777" w:rsidR="0036326D" w:rsidRDefault="00443AFA">
      <w:pPr>
        <w:spacing w:after="0" w:line="240" w:lineRule="auto"/>
        <w:rPr>
          <w:rFonts w:ascii="Times New Roman" w:hAnsi="Times New Roman" w:cs="Times New Roman"/>
        </w:rPr>
      </w:pPr>
      <w:r>
        <w:rPr>
          <w:rFonts w:ascii="Times New Roman" w:hAnsi="Times New Roman" w:cs="Times New Roman"/>
        </w:rPr>
        <w:t>Ak je potrebný invazívny alebo chirurgický zákrok, liečba Rombiduxom 10 mg/15 mg/20 mg sa má ukončiť, ak je to možné, minimálne 24 hodín pred zákrokom a na základe klinického posúdenia lekára. Ak zákrok nemožno oddialiť, treba zhodnotiť zvýšené riziko krvácania voči naliehavosti zákroku.</w:t>
      </w:r>
    </w:p>
    <w:p w14:paraId="340D92C3" w14:textId="77777777" w:rsidR="0036326D" w:rsidRDefault="00443AFA">
      <w:pPr>
        <w:spacing w:after="0" w:line="240" w:lineRule="auto"/>
        <w:rPr>
          <w:rFonts w:ascii="Times New Roman" w:hAnsi="Times New Roman" w:cs="Times New Roman"/>
        </w:rPr>
      </w:pPr>
      <w:r>
        <w:rPr>
          <w:rFonts w:ascii="Times New Roman" w:hAnsi="Times New Roman" w:cs="Times New Roman"/>
        </w:rPr>
        <w:t>Po invazívnom alebo chirurgickom zákroku sa má čo najskôr obnoviť liečba rivaroxabánom, za predpokladu, že to klinický stav dovolí a že podľa úsudku ošetrujúceho lekára bola preukázaná adekvátna hemostáza (pozri časť 5.2).</w:t>
      </w:r>
    </w:p>
    <w:p w14:paraId="07C41E08" w14:textId="77777777" w:rsidR="0036326D" w:rsidRDefault="0036326D">
      <w:pPr>
        <w:spacing w:after="0" w:line="240" w:lineRule="auto"/>
        <w:rPr>
          <w:rFonts w:ascii="Times New Roman" w:hAnsi="Times New Roman" w:cs="Times New Roman"/>
        </w:rPr>
      </w:pPr>
    </w:p>
    <w:p w14:paraId="09C0CE8F" w14:textId="77777777" w:rsidR="0036326D" w:rsidRDefault="00443AFA">
      <w:pPr>
        <w:pStyle w:val="Default"/>
        <w:rPr>
          <w:sz w:val="22"/>
          <w:szCs w:val="22"/>
          <w:u w:val="single"/>
        </w:rPr>
      </w:pPr>
      <w:r>
        <w:rPr>
          <w:sz w:val="22"/>
          <w:szCs w:val="22"/>
          <w:u w:val="single"/>
        </w:rPr>
        <w:t xml:space="preserve">Starší pacienti </w:t>
      </w:r>
    </w:p>
    <w:p w14:paraId="44C0F986" w14:textId="77777777" w:rsidR="0036326D" w:rsidRDefault="00443AFA">
      <w:pPr>
        <w:pStyle w:val="Default"/>
        <w:rPr>
          <w:sz w:val="22"/>
          <w:szCs w:val="22"/>
        </w:rPr>
      </w:pPr>
      <w:r>
        <w:rPr>
          <w:sz w:val="22"/>
          <w:szCs w:val="22"/>
        </w:rPr>
        <w:t xml:space="preserve">S rastúcim vekom sa môže zvyšovať riziko krvácania (pozri časť 5.2). </w:t>
      </w:r>
    </w:p>
    <w:p w14:paraId="3A315EA6" w14:textId="77777777" w:rsidR="0036326D" w:rsidRDefault="0036326D">
      <w:pPr>
        <w:pStyle w:val="Default"/>
        <w:rPr>
          <w:sz w:val="22"/>
          <w:szCs w:val="22"/>
        </w:rPr>
      </w:pPr>
    </w:p>
    <w:p w14:paraId="1308DF66" w14:textId="77777777" w:rsidR="0036326D" w:rsidRDefault="00443AFA">
      <w:pPr>
        <w:pStyle w:val="Default"/>
        <w:rPr>
          <w:sz w:val="22"/>
          <w:szCs w:val="22"/>
          <w:u w:val="single"/>
        </w:rPr>
      </w:pPr>
      <w:r>
        <w:rPr>
          <w:sz w:val="22"/>
          <w:szCs w:val="22"/>
          <w:u w:val="single"/>
        </w:rPr>
        <w:t xml:space="preserve">Kožné reakcie </w:t>
      </w:r>
    </w:p>
    <w:p w14:paraId="566EFE68" w14:textId="77777777" w:rsidR="0036326D" w:rsidRDefault="00443AFA">
      <w:pPr>
        <w:pStyle w:val="Default"/>
        <w:rPr>
          <w:sz w:val="22"/>
          <w:szCs w:val="22"/>
        </w:rPr>
      </w:pPr>
      <w:r>
        <w:rPr>
          <w:sz w:val="22"/>
          <w:szCs w:val="22"/>
        </w:rPr>
        <w:t>Počas sledovania  po uvedení lieku na trh boli v súvislosti s použitím rivaroxabánu hlásené závažné kožné reakcie, vrátane Stevensovho-Johnsonovho syndrómu/toxickej epidermálnej nekrolýzy a DRESS syndrómu (pozri časť 4.8). Predpokladá sa, že pacienti majú najvyššie riziko vzniku 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liečba rivaroxabánom ukončiť.</w:t>
      </w:r>
    </w:p>
    <w:p w14:paraId="7B22B804" w14:textId="77777777" w:rsidR="0036326D" w:rsidRDefault="0036326D">
      <w:pPr>
        <w:pStyle w:val="Default"/>
        <w:rPr>
          <w:sz w:val="22"/>
          <w:szCs w:val="22"/>
        </w:rPr>
      </w:pPr>
    </w:p>
    <w:p w14:paraId="7DFA624B" w14:textId="77777777" w:rsidR="0036326D" w:rsidRDefault="00443AFA">
      <w:pPr>
        <w:pStyle w:val="Default"/>
        <w:rPr>
          <w:sz w:val="22"/>
          <w:szCs w:val="22"/>
          <w:u w:val="single"/>
        </w:rPr>
      </w:pPr>
      <w:r>
        <w:rPr>
          <w:sz w:val="22"/>
          <w:szCs w:val="22"/>
          <w:u w:val="single"/>
        </w:rPr>
        <w:t>Informácie o pomocných látkach</w:t>
      </w:r>
    </w:p>
    <w:p w14:paraId="0999C65E" w14:textId="77777777" w:rsidR="0036326D" w:rsidRDefault="00443AFA">
      <w:pPr>
        <w:pStyle w:val="Default"/>
        <w:rPr>
          <w:sz w:val="22"/>
          <w:szCs w:val="22"/>
        </w:rPr>
      </w:pPr>
      <w:r>
        <w:rPr>
          <w:sz w:val="22"/>
          <w:szCs w:val="22"/>
        </w:rPr>
        <w:t>Rombidux obsahuje laktózu. Pacienti so zriedkavými dedičnými problémami galaktózovej intolerancie, celkovým deficitom laktázy alebo glukózo-galaktózovou malabsorpciou nesmú užívať tento liek.</w:t>
      </w:r>
    </w:p>
    <w:p w14:paraId="6B5BC602" w14:textId="7289E3E5" w:rsidR="0036326D" w:rsidRDefault="00443AFA">
      <w:pPr>
        <w:pStyle w:val="Default"/>
        <w:rPr>
          <w:sz w:val="22"/>
          <w:szCs w:val="22"/>
        </w:rPr>
      </w:pPr>
      <w:r>
        <w:rPr>
          <w:sz w:val="22"/>
          <w:szCs w:val="22"/>
        </w:rPr>
        <w:t>Rombidux obsahuje menej ako 1 mmol sodíka (23 mg) v jednej tablete, t.j. v podstate zanedbateľné množstvo sodíka.</w:t>
      </w:r>
    </w:p>
    <w:p w14:paraId="3AC82DF8" w14:textId="77777777" w:rsidR="0036326D" w:rsidRDefault="0036326D">
      <w:pPr>
        <w:pStyle w:val="Default"/>
        <w:rPr>
          <w:sz w:val="22"/>
          <w:szCs w:val="22"/>
        </w:rPr>
      </w:pPr>
    </w:p>
    <w:p w14:paraId="2C9844A8" w14:textId="77777777" w:rsidR="0036326D" w:rsidRDefault="00443AFA">
      <w:pPr>
        <w:pStyle w:val="Default"/>
        <w:tabs>
          <w:tab w:val="left" w:pos="567"/>
        </w:tabs>
        <w:rPr>
          <w:b/>
          <w:bCs/>
          <w:sz w:val="22"/>
          <w:szCs w:val="22"/>
        </w:rPr>
      </w:pPr>
      <w:r>
        <w:rPr>
          <w:b/>
          <w:bCs/>
          <w:sz w:val="22"/>
          <w:szCs w:val="22"/>
        </w:rPr>
        <w:t>4.5</w:t>
      </w:r>
      <w:r>
        <w:rPr>
          <w:b/>
          <w:bCs/>
          <w:sz w:val="22"/>
          <w:szCs w:val="22"/>
        </w:rPr>
        <w:tab/>
        <w:t>Liekové a iné interakcie</w:t>
      </w:r>
    </w:p>
    <w:p w14:paraId="688EB865" w14:textId="77777777" w:rsidR="0036326D" w:rsidRDefault="0036326D">
      <w:pPr>
        <w:pStyle w:val="Default"/>
        <w:rPr>
          <w:b/>
          <w:bCs/>
          <w:sz w:val="22"/>
          <w:szCs w:val="22"/>
        </w:rPr>
      </w:pPr>
    </w:p>
    <w:p w14:paraId="4644F2F4" w14:textId="77777777" w:rsidR="0036326D" w:rsidRDefault="00443AFA">
      <w:pPr>
        <w:pStyle w:val="Default"/>
        <w:rPr>
          <w:sz w:val="22"/>
          <w:szCs w:val="22"/>
          <w:u w:val="single"/>
        </w:rPr>
      </w:pPr>
      <w:r>
        <w:rPr>
          <w:sz w:val="22"/>
          <w:szCs w:val="22"/>
          <w:u w:val="single"/>
        </w:rPr>
        <w:t xml:space="preserve">Inhibítory CYP3A4 a P-gp </w:t>
      </w:r>
    </w:p>
    <w:p w14:paraId="5E294292" w14:textId="194C3B18" w:rsidR="0036326D" w:rsidRDefault="00443AFA">
      <w:pPr>
        <w:pStyle w:val="Default"/>
        <w:rPr>
          <w:sz w:val="22"/>
          <w:szCs w:val="22"/>
        </w:rPr>
      </w:pPr>
      <w:r>
        <w:rPr>
          <w:sz w:val="22"/>
          <w:szCs w:val="22"/>
        </w:rPr>
        <w:t>Súbežné podávanie rivaroxabánu s ketokonazolom (400 mg jedenkrát denne) alebo ritonavirom (600 mg dvakrát denne) viedlo k 2,6-násobnému/2,5-násobnému zvýšeniu priemernej AUC rivaroxabánu a 1,7-násobnému/1,6-násobnému zvýšeniu priemernej C</w:t>
      </w:r>
      <w:r>
        <w:rPr>
          <w:sz w:val="14"/>
          <w:szCs w:val="14"/>
        </w:rPr>
        <w:t xml:space="preserve">max </w:t>
      </w:r>
      <w:r>
        <w:rPr>
          <w:sz w:val="22"/>
          <w:szCs w:val="22"/>
        </w:rPr>
        <w:t>rivaroxabánu so signifikantnými zvýšeniami farmakodynamických účinkov, čo môže viesť ku zvýšenému riziku krvácania. Preto sa použitie  Rombiduxu neodporúča u pacientov, ktorí súbežne užívajú systémovo azolové antimykotiká, ako sú ketokonazol, itrakonazol, vorikonazol a posakonazol alebo inhibítory proteázy HIV. Tieto liečivá sú silné inhibítory CYP3A4 aj P-gp (pozri časť 4.4).</w:t>
      </w:r>
    </w:p>
    <w:p w14:paraId="6FEBC343" w14:textId="77777777" w:rsidR="0036326D" w:rsidRDefault="0036326D">
      <w:pPr>
        <w:pStyle w:val="Default"/>
        <w:rPr>
          <w:sz w:val="22"/>
          <w:szCs w:val="22"/>
        </w:rPr>
      </w:pPr>
    </w:p>
    <w:p w14:paraId="42AED494" w14:textId="77777777" w:rsidR="0036326D" w:rsidRDefault="00443AFA">
      <w:pPr>
        <w:pStyle w:val="Default"/>
        <w:rPr>
          <w:sz w:val="22"/>
          <w:szCs w:val="22"/>
        </w:rPr>
      </w:pPr>
      <w:r>
        <w:rPr>
          <w:sz w:val="22"/>
          <w:szCs w:val="22"/>
        </w:rPr>
        <w:t xml:space="preserve">Pri liečivách, ktoré silne inhibujú iba jednu z eliminačných dráh rivaroxabánu, či už CYP3A4 alebo P-gp, sa predpokladá zvýšenie plazmatických koncentrácií rivaroxabánu v menšom rozsahu. </w:t>
      </w:r>
    </w:p>
    <w:p w14:paraId="481E19B1" w14:textId="77777777" w:rsidR="0036326D" w:rsidRDefault="00443AFA">
      <w:pPr>
        <w:pStyle w:val="Default"/>
        <w:rPr>
          <w:sz w:val="22"/>
          <w:szCs w:val="22"/>
        </w:rPr>
      </w:pPr>
      <w:r>
        <w:rPr>
          <w:sz w:val="22"/>
          <w:szCs w:val="22"/>
        </w:rPr>
        <w:t>Napríklad klaritromycín (500 mg dvakrát denne), ktorý sa považuje za silný inhibítor CYP3A4 a stredne silný inhibítor P-gp, viedol ku 1,5-násobnému zvýšeniu priemernej AUC rivaroxabánu a 1,4-</w:t>
      </w:r>
      <w:r>
        <w:rPr>
          <w:sz w:val="22"/>
          <w:szCs w:val="22"/>
        </w:rPr>
        <w:lastRenderedPageBreak/>
        <w:t>násobnému zvýšeniu C</w:t>
      </w:r>
      <w:r>
        <w:rPr>
          <w:sz w:val="14"/>
          <w:szCs w:val="14"/>
        </w:rPr>
        <w:t>max</w:t>
      </w:r>
      <w:r>
        <w:rPr>
          <w:sz w:val="22"/>
          <w:szCs w:val="22"/>
        </w:rPr>
        <w:t>. Interakcia s klaritromycínom pravdepodobne nie je u väčšiny pacientov klinicky relevantná, ale u vysokorizikových pacientov môže byť potenciálne významná. (Pre pacientov s poruchou funkcie obličiek: pozri časť 4.4).</w:t>
      </w:r>
    </w:p>
    <w:p w14:paraId="45CC72AB" w14:textId="77777777" w:rsidR="0036326D" w:rsidRDefault="0036326D">
      <w:pPr>
        <w:pStyle w:val="Default"/>
        <w:rPr>
          <w:sz w:val="22"/>
          <w:szCs w:val="22"/>
        </w:rPr>
      </w:pPr>
    </w:p>
    <w:p w14:paraId="4F57DC04" w14:textId="77777777" w:rsidR="0036326D" w:rsidRDefault="00443AFA">
      <w:pPr>
        <w:pStyle w:val="Default"/>
        <w:rPr>
          <w:sz w:val="22"/>
          <w:szCs w:val="22"/>
        </w:rPr>
      </w:pPr>
      <w:r>
        <w:rPr>
          <w:sz w:val="22"/>
          <w:szCs w:val="22"/>
        </w:rPr>
        <w:t>Erytromycín (500 mg trikrát denne), ktorý stredne silno inhibuje CYP3A4 a P-gp, viedol ku 1,3-násobnému zvýšeniu priemernej AUC a C</w:t>
      </w:r>
      <w:r>
        <w:rPr>
          <w:sz w:val="14"/>
          <w:szCs w:val="14"/>
        </w:rPr>
        <w:t xml:space="preserve">max </w:t>
      </w:r>
      <w:r>
        <w:rPr>
          <w:sz w:val="22"/>
          <w:szCs w:val="22"/>
        </w:rPr>
        <w:t xml:space="preserve">rivaroxabánu. Interakcia s erytromycínom pravdepodobne nie je u väčšiny pacientov klinicky relevantná, ale u vysokorizikových pacientov môže byť potenciálne významná. </w:t>
      </w:r>
    </w:p>
    <w:p w14:paraId="78A073BF" w14:textId="77777777" w:rsidR="0036326D" w:rsidRDefault="00443AFA">
      <w:pPr>
        <w:pStyle w:val="Default"/>
        <w:rPr>
          <w:sz w:val="22"/>
          <w:szCs w:val="22"/>
        </w:rPr>
      </w:pPr>
      <w:r>
        <w:rPr>
          <w:sz w:val="22"/>
          <w:szCs w:val="22"/>
        </w:rPr>
        <w:t>U osôb s miernou poruchou funkcie obličiek viedlo podanie erytromycínu (500 mg trikrát denne) k 1,8-násobnému zvýšeniu priemernej AUC rivaroxabánu a 1,6-násobnému zvýšeniu priemernej C</w:t>
      </w:r>
      <w:r>
        <w:rPr>
          <w:sz w:val="14"/>
          <w:szCs w:val="14"/>
        </w:rPr>
        <w:t xml:space="preserve">max </w:t>
      </w:r>
      <w:r>
        <w:rPr>
          <w:sz w:val="22"/>
          <w:szCs w:val="22"/>
        </w:rPr>
        <w:t>v porovnaní s osobami s normálnou funkciou obličiek. U osôb so stredne ťažkou poruchou funkcie obličiek viedlo podanie erytromycínu k 2,0-násobnému zvýšeniu priemernej AUC rivaroxabánu a 1,6-násobnému zvýšeniu priemernej C</w:t>
      </w:r>
      <w:r>
        <w:rPr>
          <w:sz w:val="14"/>
          <w:szCs w:val="14"/>
        </w:rPr>
        <w:t xml:space="preserve">max </w:t>
      </w:r>
      <w:r>
        <w:rPr>
          <w:sz w:val="22"/>
          <w:szCs w:val="22"/>
        </w:rPr>
        <w:t>v porovnaní s osobami s normálnou funkciou obličiek. Účinok erytromycínu je aditívny k poruche funkcie obličiek (pozri časť 4.4).</w:t>
      </w:r>
    </w:p>
    <w:p w14:paraId="3E854E9D" w14:textId="77777777" w:rsidR="0036326D" w:rsidRDefault="0036326D">
      <w:pPr>
        <w:pStyle w:val="Default"/>
        <w:rPr>
          <w:sz w:val="22"/>
          <w:szCs w:val="22"/>
        </w:rPr>
      </w:pPr>
    </w:p>
    <w:p w14:paraId="1B25A9FD" w14:textId="77777777" w:rsidR="0036326D" w:rsidRDefault="00443AFA">
      <w:pPr>
        <w:pStyle w:val="Default"/>
        <w:rPr>
          <w:sz w:val="22"/>
          <w:szCs w:val="22"/>
        </w:rPr>
      </w:pPr>
      <w:r>
        <w:rPr>
          <w:sz w:val="22"/>
          <w:szCs w:val="22"/>
        </w:rPr>
        <w:t>Flukonazol (400 mg jedenkrát denne), ktorý sa považuje za stredne silný inhibítor CYP3A4, viedol k 1,4-násobnému zvýšeniu priemernej AUC rivaroxabánu a 1,3-násobnému zvýšeniu priemernej C</w:t>
      </w:r>
      <w:r>
        <w:rPr>
          <w:sz w:val="14"/>
          <w:szCs w:val="14"/>
        </w:rPr>
        <w:t>max</w:t>
      </w:r>
      <w:r>
        <w:rPr>
          <w:sz w:val="22"/>
          <w:szCs w:val="22"/>
        </w:rPr>
        <w:t>. Interakcia s flukonazolom pravdepodobne nie je u väčšiny pacientov klinicky relevantná, ale u vysokorizikových pacientov môže byť potenciálne významná. (Pre pacientov s poruchou funkcie obličiek: pozri časť 4.4).</w:t>
      </w:r>
    </w:p>
    <w:p w14:paraId="0EF7174B" w14:textId="77777777" w:rsidR="0036326D" w:rsidRDefault="0036326D">
      <w:pPr>
        <w:pStyle w:val="Default"/>
        <w:rPr>
          <w:sz w:val="22"/>
          <w:szCs w:val="22"/>
        </w:rPr>
      </w:pPr>
    </w:p>
    <w:p w14:paraId="38455D8E" w14:textId="77777777" w:rsidR="0036326D" w:rsidRDefault="00443AFA">
      <w:pPr>
        <w:pStyle w:val="Default"/>
        <w:rPr>
          <w:sz w:val="22"/>
          <w:szCs w:val="22"/>
        </w:rPr>
      </w:pPr>
      <w:r>
        <w:rPr>
          <w:sz w:val="22"/>
          <w:szCs w:val="22"/>
        </w:rPr>
        <w:t>Vzhľadom na obmedzené klinické údaje s dronedarónom je potrebné vyhnúť sa súbežnému podaniu s rivaroxabánom.</w:t>
      </w:r>
    </w:p>
    <w:p w14:paraId="5822EB19" w14:textId="77777777" w:rsidR="0036326D" w:rsidRDefault="0036326D">
      <w:pPr>
        <w:pStyle w:val="Default"/>
        <w:rPr>
          <w:sz w:val="22"/>
          <w:szCs w:val="22"/>
        </w:rPr>
      </w:pPr>
    </w:p>
    <w:p w14:paraId="4EA2081B" w14:textId="77777777" w:rsidR="0036326D" w:rsidRDefault="00443AFA">
      <w:pPr>
        <w:pStyle w:val="Default"/>
        <w:rPr>
          <w:sz w:val="22"/>
          <w:szCs w:val="22"/>
          <w:u w:val="single"/>
        </w:rPr>
      </w:pPr>
      <w:r>
        <w:rPr>
          <w:sz w:val="22"/>
          <w:szCs w:val="22"/>
          <w:u w:val="single"/>
        </w:rPr>
        <w:t xml:space="preserve">Antikoagulanciá </w:t>
      </w:r>
    </w:p>
    <w:p w14:paraId="391DCE79" w14:textId="77777777" w:rsidR="0036326D" w:rsidRDefault="00443AFA">
      <w:pPr>
        <w:pStyle w:val="Default"/>
        <w:rPr>
          <w:sz w:val="22"/>
          <w:szCs w:val="22"/>
        </w:rPr>
      </w:pPr>
      <w:r>
        <w:rPr>
          <w:sz w:val="22"/>
          <w:szCs w:val="22"/>
        </w:rPr>
        <w:t xml:space="preserve">Po kombinovanom podaní enoxaparínu (jednorazová dávka 40 mg) s rivaroxabánom (jednorazová dávka 10 mg) sa pozoroval aditívny účinok na aktivitu antifaktora Xa bez akýchkoľvek ďalších účinkov na testy zrážavosti (PT, aPTT). Enoxaparín neovplyvnil farmakokinetiku rivaroxabánu. </w:t>
      </w:r>
    </w:p>
    <w:p w14:paraId="4786C98E" w14:textId="77777777" w:rsidR="0036326D" w:rsidRDefault="00443AFA">
      <w:pPr>
        <w:pStyle w:val="Default"/>
        <w:rPr>
          <w:sz w:val="22"/>
          <w:szCs w:val="22"/>
        </w:rPr>
      </w:pPr>
      <w:r>
        <w:rPr>
          <w:sz w:val="22"/>
          <w:szCs w:val="22"/>
        </w:rPr>
        <w:t>Ak sa pacienti súbežne liečia akýmikoľvek inými antikoagulanciami, je v dôsledku zvýšeného rizika krvácania potrebná opatrnosť (pozri časti 4.3 a 4.4).</w:t>
      </w:r>
    </w:p>
    <w:p w14:paraId="18EF1F03" w14:textId="77777777" w:rsidR="0036326D" w:rsidRDefault="0036326D">
      <w:pPr>
        <w:pStyle w:val="Default"/>
        <w:rPr>
          <w:sz w:val="22"/>
          <w:szCs w:val="22"/>
        </w:rPr>
      </w:pPr>
    </w:p>
    <w:p w14:paraId="28856213" w14:textId="77777777" w:rsidR="0036326D" w:rsidRDefault="00443AFA">
      <w:pPr>
        <w:pStyle w:val="Default"/>
        <w:rPr>
          <w:sz w:val="22"/>
          <w:szCs w:val="22"/>
          <w:u w:val="single"/>
        </w:rPr>
      </w:pPr>
      <w:r>
        <w:rPr>
          <w:sz w:val="22"/>
          <w:szCs w:val="22"/>
          <w:u w:val="single"/>
        </w:rPr>
        <w:t xml:space="preserve">NSAID/inhibítory agregácie trombocytov </w:t>
      </w:r>
    </w:p>
    <w:p w14:paraId="20103E48" w14:textId="77777777" w:rsidR="0036326D" w:rsidRDefault="00443AFA">
      <w:pPr>
        <w:pStyle w:val="Default"/>
        <w:rPr>
          <w:sz w:val="22"/>
          <w:szCs w:val="22"/>
        </w:rPr>
      </w:pPr>
      <w:r>
        <w:rPr>
          <w:sz w:val="22"/>
          <w:szCs w:val="22"/>
        </w:rPr>
        <w:t xml:space="preserve">Po súbežnom podaní rivaroxabánu (15 mg) a 500 mg naproxénu sa nepozorovalo klinicky významné predĺženie času krvácania. No i napriek tomu sa môžu vyskytnúť jednotlivci s výraznejšou farmakodynamickou odpoveďou. </w:t>
      </w:r>
    </w:p>
    <w:p w14:paraId="2A321FA8" w14:textId="77777777" w:rsidR="0036326D" w:rsidRDefault="00443AFA">
      <w:pPr>
        <w:pStyle w:val="Default"/>
        <w:rPr>
          <w:sz w:val="22"/>
          <w:szCs w:val="22"/>
        </w:rPr>
      </w:pPr>
      <w:r>
        <w:rPr>
          <w:sz w:val="22"/>
          <w:szCs w:val="22"/>
        </w:rPr>
        <w:t xml:space="preserve">Keď sa rivaroxabán súbežne podával s 500 mg kyseliny acetylsalicylovej, klinicky významné farmakokinetické alebo farmakodynamické interakcie sa nepozorovali. </w:t>
      </w:r>
    </w:p>
    <w:p w14:paraId="5FF53F27" w14:textId="1C83C1B7" w:rsidR="0036326D" w:rsidRDefault="00443AFA">
      <w:pPr>
        <w:pStyle w:val="Default"/>
        <w:rPr>
          <w:sz w:val="22"/>
          <w:szCs w:val="22"/>
        </w:rPr>
      </w:pPr>
      <w:r>
        <w:rPr>
          <w:sz w:val="22"/>
          <w:szCs w:val="22"/>
        </w:rPr>
        <w:t xml:space="preserve">Klopidogrel (300 mg začiatočná dávka, po ktorej nasledovala udržiavacia dávka 75 mg) nevykazoval farmakokinetické interakcie s rivaroxabánom (15 mg), ale v podskupine pacientov sa pozorovalo významné predĺženie času krvácania, ktoré nekorelovalo s agregáciou trombocytov, hladinami P-selektínu alebo receptora GPIIb/IIIa. </w:t>
      </w:r>
    </w:p>
    <w:p w14:paraId="5E84B42D" w14:textId="77777777" w:rsidR="0036326D" w:rsidRDefault="00443AFA">
      <w:pPr>
        <w:pStyle w:val="Default"/>
        <w:rPr>
          <w:sz w:val="22"/>
          <w:szCs w:val="22"/>
        </w:rPr>
      </w:pPr>
      <w:r>
        <w:rPr>
          <w:sz w:val="22"/>
          <w:szCs w:val="22"/>
        </w:rPr>
        <w:t>Opatrnosť je potrebná, ak sa pacienti súbežne liečia NSAID (vrátane kyseliny acetylsalicylovej) a inhibítormi agregácie trombocytov, pretože tieto lieky spravidla zvyšujú riziko krvácania (pozri časť 4.4).</w:t>
      </w:r>
    </w:p>
    <w:p w14:paraId="2401099A" w14:textId="77777777" w:rsidR="0036326D" w:rsidRDefault="0036326D">
      <w:pPr>
        <w:pStyle w:val="Default"/>
        <w:rPr>
          <w:sz w:val="22"/>
          <w:szCs w:val="22"/>
        </w:rPr>
      </w:pPr>
    </w:p>
    <w:p w14:paraId="56DA17F5" w14:textId="77777777" w:rsidR="0036326D" w:rsidRDefault="00443AFA">
      <w:pPr>
        <w:pStyle w:val="Default"/>
        <w:rPr>
          <w:sz w:val="22"/>
          <w:szCs w:val="22"/>
          <w:u w:val="single"/>
        </w:rPr>
      </w:pPr>
      <w:r>
        <w:rPr>
          <w:sz w:val="22"/>
          <w:szCs w:val="22"/>
          <w:u w:val="single"/>
        </w:rPr>
        <w:t xml:space="preserve">SSRI/SNRI </w:t>
      </w:r>
    </w:p>
    <w:p w14:paraId="07D608FE" w14:textId="77777777" w:rsidR="0036326D" w:rsidRDefault="00443AFA">
      <w:pPr>
        <w:pStyle w:val="Default"/>
        <w:rPr>
          <w:sz w:val="22"/>
          <w:szCs w:val="22"/>
        </w:rPr>
      </w:pPr>
      <w:r>
        <w:rPr>
          <w:sz w:val="22"/>
          <w:szCs w:val="22"/>
        </w:rPr>
        <w:t>Rovnako ako pri iných antikoagulanciách existuje možnosť, že v prípade súbežného používania so SSRI alebo SNRI budú pacienti v dôsledku ich hláseného účinku na trombocyty vystavení vyššiemu riziku krvácania. V klinickom programe s rivaroxabánom sa vo všetkých liečebných skupinách so súbežným užívaním pozorovali početne vyššie frekvencie výskytu závažného alebo nezávažného klinicky významného krvácania.</w:t>
      </w:r>
    </w:p>
    <w:p w14:paraId="3923BCD5" w14:textId="77777777" w:rsidR="0036326D" w:rsidRDefault="0036326D">
      <w:pPr>
        <w:pStyle w:val="Default"/>
        <w:rPr>
          <w:sz w:val="22"/>
          <w:szCs w:val="22"/>
        </w:rPr>
      </w:pPr>
    </w:p>
    <w:p w14:paraId="2B1018F0" w14:textId="77777777" w:rsidR="0036326D" w:rsidRDefault="00443AFA">
      <w:pPr>
        <w:pStyle w:val="Default"/>
        <w:rPr>
          <w:sz w:val="22"/>
          <w:szCs w:val="22"/>
          <w:u w:val="single"/>
        </w:rPr>
      </w:pPr>
      <w:r>
        <w:rPr>
          <w:sz w:val="22"/>
          <w:szCs w:val="22"/>
          <w:u w:val="single"/>
        </w:rPr>
        <w:t xml:space="preserve">Warfarín </w:t>
      </w:r>
    </w:p>
    <w:p w14:paraId="239975B2" w14:textId="77777777" w:rsidR="0036326D" w:rsidRDefault="00443AFA">
      <w:pPr>
        <w:pStyle w:val="Default"/>
        <w:rPr>
          <w:sz w:val="22"/>
          <w:szCs w:val="22"/>
        </w:rPr>
      </w:pPr>
      <w:r>
        <w:rPr>
          <w:sz w:val="22"/>
          <w:szCs w:val="22"/>
        </w:rPr>
        <w:t xml:space="preserve">Prestavenie pacientov z liečby antagonistom vitamínu K, warfarínom, (INR 2,0 až 3,0) na rivaroxabán (20 mg) alebo z rivaroxabánu (20 mg) na warfarín (INR 2,0 až 3,0) zvýšilo protrombínový čas PT/INR </w:t>
      </w:r>
      <w:r>
        <w:rPr>
          <w:sz w:val="22"/>
          <w:szCs w:val="22"/>
        </w:rPr>
        <w:lastRenderedPageBreak/>
        <w:t xml:space="preserve">(Neoplastin) viac než aditívne (bolo možné pozorovať jednotlivé hodnoty INR až do 12), zatiaľ čo účinky na aPTT, inhibíciu aktivity faktora Xa a potenciál endogénneho trombínu boli aditívne. </w:t>
      </w:r>
    </w:p>
    <w:p w14:paraId="51450495" w14:textId="77777777" w:rsidR="0036326D" w:rsidRDefault="0036326D">
      <w:pPr>
        <w:pStyle w:val="Default"/>
        <w:rPr>
          <w:sz w:val="22"/>
          <w:szCs w:val="22"/>
        </w:rPr>
      </w:pPr>
    </w:p>
    <w:p w14:paraId="5FCD9694" w14:textId="77777777" w:rsidR="0036326D" w:rsidRDefault="00443AFA">
      <w:pPr>
        <w:pStyle w:val="Default"/>
        <w:rPr>
          <w:sz w:val="22"/>
          <w:szCs w:val="22"/>
        </w:rPr>
      </w:pPr>
      <w:r>
        <w:rPr>
          <w:sz w:val="22"/>
          <w:szCs w:val="22"/>
        </w:rPr>
        <w:t xml:space="preserve">Ak sa požaduje kontrola farmakodynamických účinkov rivaroxabánu počas obdobia prestavovania liečby, môžu sa použiť vyšetrenia aktivity antifaktora Xa, PiCT a HepTest, pretože tieto vyšetrenia nie sú ovplyvnené warfarínom. Na štvrtý deň po poslednej dávke warfarínu odrážajú všetky vyšetrenia (zahŕňajúce PT, aPTT, inhibíciu aktivity faktora Xa a ETP) iba účinok rivaroxabánu. </w:t>
      </w:r>
    </w:p>
    <w:p w14:paraId="6D168C6C" w14:textId="77777777" w:rsidR="0036326D" w:rsidRDefault="00443AFA">
      <w:pPr>
        <w:pStyle w:val="Default"/>
        <w:rPr>
          <w:sz w:val="22"/>
          <w:szCs w:val="22"/>
        </w:rPr>
      </w:pPr>
      <w:r>
        <w:rPr>
          <w:sz w:val="22"/>
          <w:szCs w:val="22"/>
        </w:rPr>
        <w:t>Ak sa požaduje kontrola farmakodynamických účinkov warfarínu počas obdobia prestavovania liečby, možno použiť meranie INR pri C</w:t>
      </w:r>
      <w:r>
        <w:rPr>
          <w:sz w:val="14"/>
          <w:szCs w:val="14"/>
        </w:rPr>
        <w:t xml:space="preserve">trough </w:t>
      </w:r>
      <w:r>
        <w:rPr>
          <w:sz w:val="22"/>
          <w:szCs w:val="22"/>
        </w:rPr>
        <w:t xml:space="preserve">rivaroxabánu (24 hodín po predchádzajúcom užití rivaroxabánu), pretože v tomto časovom bode je toto vyšetrenie minimálne ovplyvnené rivaroxabánom. </w:t>
      </w:r>
    </w:p>
    <w:p w14:paraId="1515F137" w14:textId="77777777" w:rsidR="0036326D" w:rsidRDefault="00443AFA">
      <w:pPr>
        <w:pStyle w:val="Default"/>
        <w:rPr>
          <w:sz w:val="22"/>
          <w:szCs w:val="22"/>
        </w:rPr>
      </w:pPr>
      <w:r>
        <w:rPr>
          <w:sz w:val="22"/>
          <w:szCs w:val="22"/>
        </w:rPr>
        <w:t>Medzi warfarínom a rivaroxabánom sa nepozorovali žiadne farmakokinetické interakcie.</w:t>
      </w:r>
    </w:p>
    <w:p w14:paraId="05D386B4" w14:textId="77777777" w:rsidR="0036326D" w:rsidRDefault="0036326D">
      <w:pPr>
        <w:pStyle w:val="Default"/>
        <w:rPr>
          <w:sz w:val="22"/>
          <w:szCs w:val="22"/>
        </w:rPr>
      </w:pPr>
    </w:p>
    <w:p w14:paraId="1EE351F4" w14:textId="77777777" w:rsidR="0036326D" w:rsidRDefault="00443AFA">
      <w:pPr>
        <w:pStyle w:val="Default"/>
        <w:rPr>
          <w:sz w:val="22"/>
          <w:szCs w:val="22"/>
          <w:u w:val="single"/>
        </w:rPr>
      </w:pPr>
      <w:r>
        <w:rPr>
          <w:sz w:val="22"/>
          <w:szCs w:val="22"/>
          <w:u w:val="single"/>
        </w:rPr>
        <w:t xml:space="preserve">Induktory CYP3A4 </w:t>
      </w:r>
    </w:p>
    <w:p w14:paraId="11CBB7B7" w14:textId="77777777" w:rsidR="0036326D" w:rsidRDefault="00443AFA">
      <w:pPr>
        <w:pStyle w:val="Default"/>
        <w:rPr>
          <w:sz w:val="22"/>
          <w:szCs w:val="22"/>
        </w:rPr>
      </w:pPr>
      <w:r>
        <w:rPr>
          <w:sz w:val="22"/>
          <w:szCs w:val="22"/>
        </w:rPr>
        <w:t xml:space="preserve">Súbežné podávanie rivaroxabánu so silným induktorom CYP3A4, rifampicínom, viedlo k približne </w:t>
      </w:r>
    </w:p>
    <w:p w14:paraId="4F539230" w14:textId="77777777" w:rsidR="0036326D" w:rsidRDefault="00443AFA">
      <w:pPr>
        <w:pStyle w:val="Default"/>
        <w:rPr>
          <w:sz w:val="22"/>
          <w:szCs w:val="22"/>
        </w:rPr>
      </w:pPr>
      <w:r>
        <w:rPr>
          <w:sz w:val="22"/>
          <w:szCs w:val="22"/>
        </w:rPr>
        <w:t xml:space="preserve">50 % zníženiu priemernej AUC rivaroxabánu s paralelnými zníženiami jeho farmakodynamických účinkov. Súbežné použitie rivaroxabánu s inými silnými induktormi CYP3A4 (napr. fenytoín, karbamazepín, fenobarbital alebo ľubovník bodkovaný </w:t>
      </w:r>
      <w:r>
        <w:rPr>
          <w:i/>
          <w:iCs/>
          <w:sz w:val="22"/>
          <w:szCs w:val="22"/>
        </w:rPr>
        <w:t>(Hypericum perforatum)</w:t>
      </w:r>
      <w:r>
        <w:rPr>
          <w:sz w:val="22"/>
          <w:szCs w:val="22"/>
        </w:rPr>
        <w:t>) môže tiež viesť ku zníženiu plazmatických koncentrácií rivaroxabánu. Preto, pokiaľ sa u pacienta starostlivo nesledujú prejavy a príznaky trombózy, je potrebné sa vyhnúť súbežnému podávaniu silných induktorov CYP3A4.</w:t>
      </w:r>
    </w:p>
    <w:p w14:paraId="541C29CE" w14:textId="77777777" w:rsidR="0036326D" w:rsidRDefault="0036326D">
      <w:pPr>
        <w:pStyle w:val="Default"/>
        <w:rPr>
          <w:sz w:val="22"/>
          <w:szCs w:val="22"/>
        </w:rPr>
      </w:pPr>
    </w:p>
    <w:p w14:paraId="577CB307" w14:textId="77777777" w:rsidR="0036326D" w:rsidRDefault="00443AFA">
      <w:pPr>
        <w:pStyle w:val="Default"/>
        <w:rPr>
          <w:sz w:val="22"/>
          <w:szCs w:val="22"/>
          <w:u w:val="single"/>
        </w:rPr>
      </w:pPr>
      <w:r>
        <w:rPr>
          <w:sz w:val="22"/>
          <w:szCs w:val="22"/>
          <w:u w:val="single"/>
        </w:rPr>
        <w:t xml:space="preserve">Iné súbežné liečby </w:t>
      </w:r>
    </w:p>
    <w:p w14:paraId="65ED02A9" w14:textId="77777777" w:rsidR="0036326D" w:rsidRDefault="00443AFA">
      <w:pPr>
        <w:pStyle w:val="Default"/>
        <w:rPr>
          <w:sz w:val="22"/>
          <w:szCs w:val="22"/>
        </w:rPr>
      </w:pPr>
      <w:r>
        <w:rPr>
          <w:sz w:val="22"/>
          <w:szCs w:val="22"/>
        </w:rPr>
        <w:t>Ak sa rivaroxabán súbežne podával s midazolamom (substrát CYP3A4), digoxínom (substrát P-gp), atorvastatínom (substrát CYP3A4 a P-gp) alebo omeprazolom (inhibítor protónovej pumpy), klinicky významné farmakokinetické alebo farmakodynamické interakcie sa nepozorovali. Rivaroxabán neinhibuje ani neindukuje žiadne významné izoformy CYP, ako je CYP3A4.</w:t>
      </w:r>
    </w:p>
    <w:p w14:paraId="508BF58B" w14:textId="77777777" w:rsidR="0036326D" w:rsidRDefault="0036326D">
      <w:pPr>
        <w:pStyle w:val="Default"/>
        <w:rPr>
          <w:sz w:val="22"/>
          <w:szCs w:val="22"/>
        </w:rPr>
      </w:pPr>
    </w:p>
    <w:p w14:paraId="2457C1C5" w14:textId="18B26D9F" w:rsidR="0036326D" w:rsidRDefault="0036326D">
      <w:pPr>
        <w:pStyle w:val="Default"/>
        <w:rPr>
          <w:sz w:val="22"/>
          <w:szCs w:val="22"/>
        </w:rPr>
      </w:pPr>
    </w:p>
    <w:p w14:paraId="55B16819" w14:textId="77777777" w:rsidR="0036326D" w:rsidRDefault="0036326D">
      <w:pPr>
        <w:pStyle w:val="Default"/>
        <w:rPr>
          <w:sz w:val="22"/>
          <w:szCs w:val="22"/>
        </w:rPr>
      </w:pPr>
    </w:p>
    <w:p w14:paraId="11F37681" w14:textId="77777777" w:rsidR="0036326D" w:rsidRDefault="00443AFA">
      <w:pPr>
        <w:pStyle w:val="Default"/>
        <w:rPr>
          <w:sz w:val="22"/>
          <w:szCs w:val="22"/>
          <w:u w:val="single"/>
        </w:rPr>
      </w:pPr>
      <w:r>
        <w:rPr>
          <w:sz w:val="22"/>
          <w:szCs w:val="22"/>
          <w:u w:val="single"/>
        </w:rPr>
        <w:t xml:space="preserve">Laboratórne parametre </w:t>
      </w:r>
    </w:p>
    <w:p w14:paraId="4415EA29" w14:textId="77777777" w:rsidR="0036326D" w:rsidRDefault="00443AFA">
      <w:pPr>
        <w:pStyle w:val="Default"/>
        <w:rPr>
          <w:sz w:val="22"/>
          <w:szCs w:val="22"/>
        </w:rPr>
      </w:pPr>
      <w:r>
        <w:rPr>
          <w:sz w:val="22"/>
          <w:szCs w:val="22"/>
        </w:rPr>
        <w:t>Parametre zrážavosti (napr. PT, aPTT, HepTest) sú ovplyvnené, tak ako sa predpokladá, podľa mechanizmu účinku rivaroxabánu (pozri časť 5.1).</w:t>
      </w:r>
    </w:p>
    <w:p w14:paraId="17C502AF" w14:textId="77777777" w:rsidR="0036326D" w:rsidRDefault="0036326D">
      <w:pPr>
        <w:pStyle w:val="Default"/>
        <w:rPr>
          <w:sz w:val="22"/>
          <w:szCs w:val="22"/>
        </w:rPr>
      </w:pPr>
    </w:p>
    <w:p w14:paraId="7C04BA9A" w14:textId="77777777" w:rsidR="0036326D" w:rsidRDefault="00443AFA">
      <w:pPr>
        <w:pStyle w:val="Default"/>
        <w:tabs>
          <w:tab w:val="left" w:pos="567"/>
        </w:tabs>
        <w:rPr>
          <w:b/>
          <w:bCs/>
          <w:sz w:val="22"/>
          <w:szCs w:val="22"/>
        </w:rPr>
      </w:pPr>
      <w:r>
        <w:rPr>
          <w:b/>
          <w:bCs/>
          <w:sz w:val="22"/>
          <w:szCs w:val="22"/>
        </w:rPr>
        <w:t>4.6</w:t>
      </w:r>
      <w:r>
        <w:rPr>
          <w:b/>
          <w:bCs/>
          <w:sz w:val="22"/>
          <w:szCs w:val="22"/>
        </w:rPr>
        <w:tab/>
        <w:t>Fertilita, gravidita a laktácia</w:t>
      </w:r>
    </w:p>
    <w:p w14:paraId="5C77ADA4" w14:textId="77777777" w:rsidR="0036326D" w:rsidRDefault="0036326D">
      <w:pPr>
        <w:pStyle w:val="Default"/>
        <w:rPr>
          <w:b/>
          <w:bCs/>
          <w:sz w:val="22"/>
          <w:szCs w:val="22"/>
        </w:rPr>
      </w:pPr>
    </w:p>
    <w:p w14:paraId="764D449E" w14:textId="77777777" w:rsidR="0036326D" w:rsidRDefault="00443AFA">
      <w:pPr>
        <w:pStyle w:val="Default"/>
        <w:rPr>
          <w:sz w:val="22"/>
          <w:szCs w:val="22"/>
          <w:u w:val="single"/>
        </w:rPr>
      </w:pPr>
      <w:r>
        <w:rPr>
          <w:sz w:val="22"/>
          <w:szCs w:val="22"/>
          <w:u w:val="single"/>
        </w:rPr>
        <w:t xml:space="preserve">Gravidita </w:t>
      </w:r>
    </w:p>
    <w:p w14:paraId="0D4E4BA6" w14:textId="77777777" w:rsidR="0036326D" w:rsidRDefault="00443AFA">
      <w:pPr>
        <w:pStyle w:val="Default"/>
        <w:rPr>
          <w:sz w:val="22"/>
          <w:szCs w:val="22"/>
        </w:rPr>
      </w:pPr>
      <w:r>
        <w:rPr>
          <w:sz w:val="22"/>
          <w:szCs w:val="22"/>
        </w:rPr>
        <w:t xml:space="preserve">Bezpečnosť a účinnosť Rombiduxu nebola u tehotných žien stanovená. Štúdie na zvieratách preukázali reprodukčnú toxicitu (pozri časť 5.3). V dôsledku potenciálu reprodukčnej toxicity, rizika vnútorného krvácania a dôkazu, že rivaroxabán prestupuje placentou, je Rombidux kontraindikovaný počas gravidity (pozri časť 4.3). </w:t>
      </w:r>
    </w:p>
    <w:p w14:paraId="0FB8E8AA" w14:textId="77777777" w:rsidR="0036326D" w:rsidRDefault="00443AFA">
      <w:pPr>
        <w:pStyle w:val="Default"/>
        <w:rPr>
          <w:sz w:val="22"/>
          <w:szCs w:val="22"/>
        </w:rPr>
      </w:pPr>
      <w:r>
        <w:rPr>
          <w:sz w:val="22"/>
          <w:szCs w:val="22"/>
        </w:rPr>
        <w:t xml:space="preserve">Ženy vo fertilnom veku musia počas liečby rivaroxabánom zabrániť otehotneniu. </w:t>
      </w:r>
    </w:p>
    <w:p w14:paraId="43C26E91" w14:textId="77777777" w:rsidR="0036326D" w:rsidRDefault="0036326D">
      <w:pPr>
        <w:pStyle w:val="Default"/>
        <w:rPr>
          <w:sz w:val="22"/>
          <w:szCs w:val="22"/>
        </w:rPr>
      </w:pPr>
    </w:p>
    <w:p w14:paraId="15187BFB" w14:textId="77777777" w:rsidR="0036326D" w:rsidRDefault="00443AFA">
      <w:pPr>
        <w:pStyle w:val="Default"/>
        <w:rPr>
          <w:sz w:val="22"/>
          <w:szCs w:val="22"/>
          <w:u w:val="single"/>
        </w:rPr>
      </w:pPr>
      <w:r>
        <w:rPr>
          <w:sz w:val="22"/>
          <w:szCs w:val="22"/>
          <w:u w:val="single"/>
        </w:rPr>
        <w:t xml:space="preserve">Dojčenie </w:t>
      </w:r>
    </w:p>
    <w:p w14:paraId="675914B6" w14:textId="10243538" w:rsidR="0036326D" w:rsidRDefault="00443AFA">
      <w:pPr>
        <w:pStyle w:val="Default"/>
        <w:rPr>
          <w:sz w:val="22"/>
          <w:szCs w:val="22"/>
        </w:rPr>
      </w:pPr>
      <w:r>
        <w:rPr>
          <w:sz w:val="22"/>
          <w:szCs w:val="22"/>
        </w:rPr>
        <w:t xml:space="preserve">Bezpečnosť a účinnosť Rombiduxu nebola u dojčiacich žien stanovená. Údaje na zvieratách naznačujú, že rivaroxabán sa vylučuje do materského mlieka. Rombidux je preto kontraindikovaný počas dojčenia (pozri časť 4.3). Musí sa rozhodnúť, či prerušiť dojčenie alebo prerušiť/ukončiť liečbu. </w:t>
      </w:r>
    </w:p>
    <w:p w14:paraId="5F7C83B9" w14:textId="77777777" w:rsidR="0036326D" w:rsidRDefault="0036326D">
      <w:pPr>
        <w:pStyle w:val="Default"/>
        <w:rPr>
          <w:sz w:val="22"/>
          <w:szCs w:val="22"/>
        </w:rPr>
      </w:pPr>
    </w:p>
    <w:p w14:paraId="46D648D7" w14:textId="77777777" w:rsidR="0036326D" w:rsidRDefault="00443AFA">
      <w:pPr>
        <w:pStyle w:val="Default"/>
        <w:rPr>
          <w:sz w:val="22"/>
          <w:szCs w:val="22"/>
          <w:u w:val="single"/>
        </w:rPr>
      </w:pPr>
      <w:r>
        <w:rPr>
          <w:sz w:val="22"/>
          <w:szCs w:val="22"/>
          <w:u w:val="single"/>
        </w:rPr>
        <w:t xml:space="preserve">Fertilita </w:t>
      </w:r>
    </w:p>
    <w:p w14:paraId="25B54AE1" w14:textId="77777777" w:rsidR="0036326D" w:rsidRDefault="00443AFA">
      <w:pPr>
        <w:pStyle w:val="Default"/>
        <w:rPr>
          <w:sz w:val="22"/>
          <w:szCs w:val="22"/>
        </w:rPr>
      </w:pPr>
      <w:r>
        <w:rPr>
          <w:sz w:val="22"/>
          <w:szCs w:val="22"/>
        </w:rPr>
        <w:t>Nevykonali sa žiadne špecifické skúšania s rivaroxabánom u ľudí na hodnotenie účinkov na fertilitu. V štúdii fertility na samcoch a samiciach potkanov sa žiadne účinky nepozorovali (pozri časť 5.3).</w:t>
      </w:r>
    </w:p>
    <w:p w14:paraId="37066D5C" w14:textId="77777777" w:rsidR="0036326D" w:rsidRDefault="0036326D">
      <w:pPr>
        <w:pStyle w:val="Default"/>
        <w:rPr>
          <w:sz w:val="22"/>
          <w:szCs w:val="22"/>
        </w:rPr>
      </w:pPr>
    </w:p>
    <w:p w14:paraId="0C9E312D" w14:textId="77777777" w:rsidR="0036326D" w:rsidRDefault="00443AFA">
      <w:pPr>
        <w:pStyle w:val="Default"/>
        <w:tabs>
          <w:tab w:val="left" w:pos="567"/>
        </w:tabs>
        <w:rPr>
          <w:b/>
          <w:bCs/>
          <w:sz w:val="22"/>
          <w:szCs w:val="22"/>
        </w:rPr>
      </w:pPr>
      <w:r>
        <w:rPr>
          <w:b/>
          <w:bCs/>
          <w:sz w:val="22"/>
          <w:szCs w:val="22"/>
        </w:rPr>
        <w:t>4.7</w:t>
      </w:r>
      <w:r>
        <w:rPr>
          <w:b/>
          <w:bCs/>
          <w:sz w:val="22"/>
          <w:szCs w:val="22"/>
        </w:rPr>
        <w:tab/>
        <w:t>Ovplyvnenie schopnosti viesť vozidlá a obsluhovať stroje</w:t>
      </w:r>
    </w:p>
    <w:p w14:paraId="2BD13B27" w14:textId="77777777" w:rsidR="0036326D" w:rsidRDefault="0036326D">
      <w:pPr>
        <w:pStyle w:val="Default"/>
        <w:rPr>
          <w:b/>
          <w:bCs/>
          <w:sz w:val="22"/>
          <w:szCs w:val="22"/>
        </w:rPr>
      </w:pPr>
    </w:p>
    <w:p w14:paraId="14D71CAA" w14:textId="77777777" w:rsidR="0036326D" w:rsidRDefault="00443AFA">
      <w:pPr>
        <w:pStyle w:val="Default"/>
        <w:rPr>
          <w:sz w:val="22"/>
          <w:szCs w:val="22"/>
        </w:rPr>
      </w:pPr>
      <w:r>
        <w:rPr>
          <w:sz w:val="22"/>
          <w:szCs w:val="22"/>
        </w:rPr>
        <w:lastRenderedPageBreak/>
        <w:t xml:space="preserve">Rivaroxabán má malý vplyv na schopnosť viesť vozidlá a obsluhovať stroje. Hlásili sa nežiaduce reakcie ako synkopa (frekvencia: menej časté) a závrat (frekvencia: časté) (pozri časť 4.8). </w:t>
      </w:r>
    </w:p>
    <w:p w14:paraId="1B7362E7" w14:textId="77777777" w:rsidR="0036326D" w:rsidRDefault="00443AFA">
      <w:pPr>
        <w:pStyle w:val="Default"/>
        <w:rPr>
          <w:sz w:val="22"/>
          <w:szCs w:val="22"/>
        </w:rPr>
      </w:pPr>
      <w:r>
        <w:rPr>
          <w:sz w:val="22"/>
          <w:szCs w:val="22"/>
        </w:rPr>
        <w:t>Pacienti pociťujúci tieto nežiaduce reakcie nesmú viesť vozidlá ani obsluhovať stroje.</w:t>
      </w:r>
    </w:p>
    <w:p w14:paraId="34A5F3C9" w14:textId="77777777" w:rsidR="0036326D" w:rsidRDefault="0036326D">
      <w:pPr>
        <w:pStyle w:val="Default"/>
        <w:rPr>
          <w:sz w:val="22"/>
          <w:szCs w:val="22"/>
        </w:rPr>
      </w:pPr>
    </w:p>
    <w:p w14:paraId="5D8644E1" w14:textId="77777777" w:rsidR="0036326D" w:rsidRDefault="00443AFA">
      <w:pPr>
        <w:pStyle w:val="Default"/>
        <w:tabs>
          <w:tab w:val="left" w:pos="567"/>
        </w:tabs>
        <w:rPr>
          <w:b/>
          <w:bCs/>
          <w:sz w:val="22"/>
          <w:szCs w:val="22"/>
        </w:rPr>
      </w:pPr>
      <w:r>
        <w:rPr>
          <w:b/>
          <w:bCs/>
          <w:sz w:val="22"/>
          <w:szCs w:val="22"/>
        </w:rPr>
        <w:t>4.8</w:t>
      </w:r>
      <w:r>
        <w:rPr>
          <w:b/>
          <w:bCs/>
          <w:sz w:val="22"/>
          <w:szCs w:val="22"/>
        </w:rPr>
        <w:tab/>
        <w:t>Nežiaduce účinky</w:t>
      </w:r>
    </w:p>
    <w:p w14:paraId="030D43EF" w14:textId="77777777" w:rsidR="0036326D" w:rsidRDefault="0036326D">
      <w:pPr>
        <w:pStyle w:val="Default"/>
        <w:rPr>
          <w:b/>
          <w:bCs/>
          <w:sz w:val="22"/>
          <w:szCs w:val="22"/>
        </w:rPr>
      </w:pPr>
    </w:p>
    <w:p w14:paraId="2EF3D349" w14:textId="77777777" w:rsidR="0036326D" w:rsidRDefault="00443AFA">
      <w:pPr>
        <w:pStyle w:val="Default"/>
        <w:rPr>
          <w:sz w:val="22"/>
          <w:szCs w:val="22"/>
          <w:u w:val="single"/>
        </w:rPr>
      </w:pPr>
      <w:r>
        <w:rPr>
          <w:sz w:val="22"/>
          <w:szCs w:val="22"/>
          <w:u w:val="single"/>
        </w:rPr>
        <w:t xml:space="preserve">Prehľad bezpečnostného profilu </w:t>
      </w:r>
    </w:p>
    <w:p w14:paraId="5AFD587C" w14:textId="77777777" w:rsidR="0036326D" w:rsidRDefault="00443AFA">
      <w:pPr>
        <w:pStyle w:val="Default"/>
        <w:rPr>
          <w:sz w:val="22"/>
          <w:szCs w:val="22"/>
        </w:rPr>
      </w:pPr>
      <w:r>
        <w:rPr>
          <w:sz w:val="22"/>
          <w:szCs w:val="22"/>
        </w:rPr>
        <w:t>Bezpečnosť rivaroxabánu sa hodnotila v trinástich skúšaniach fázy III zahŕňajúcich 53 103 pacientov vystavených účinku rivaroxabánu (pozri tabuľku 1).</w:t>
      </w:r>
    </w:p>
    <w:p w14:paraId="44386A08" w14:textId="77777777" w:rsidR="0036326D" w:rsidRDefault="0036326D">
      <w:pPr>
        <w:pStyle w:val="Default"/>
        <w:rPr>
          <w:sz w:val="22"/>
          <w:szCs w:val="22"/>
        </w:rPr>
      </w:pPr>
    </w:p>
    <w:p w14:paraId="43489EB5" w14:textId="77777777" w:rsidR="0036326D" w:rsidRDefault="00443AFA">
      <w:pPr>
        <w:pStyle w:val="Default"/>
        <w:rPr>
          <w:b/>
          <w:bCs/>
          <w:sz w:val="22"/>
          <w:szCs w:val="22"/>
        </w:rPr>
      </w:pPr>
      <w:r>
        <w:rPr>
          <w:b/>
          <w:bCs/>
          <w:sz w:val="22"/>
          <w:szCs w:val="22"/>
        </w:rPr>
        <w:t>Tabuľka 1: Počet sledovaných pacientov, celková denná dávka a maximálna dĺžka liečby v skúšaniach fázy III</w:t>
      </w:r>
    </w:p>
    <w:tbl>
      <w:tblPr>
        <w:tblW w:w="11372" w:type="dxa"/>
        <w:tblInd w:w="-108" w:type="dxa"/>
        <w:tblLayout w:type="fixed"/>
        <w:tblLook w:val="0000" w:firstRow="0" w:lastRow="0" w:firstColumn="0" w:lastColumn="0" w:noHBand="0" w:noVBand="0"/>
      </w:tblPr>
      <w:tblGrid>
        <w:gridCol w:w="8860"/>
        <w:gridCol w:w="279"/>
        <w:gridCol w:w="1254"/>
        <w:gridCol w:w="239"/>
        <w:gridCol w:w="44"/>
        <w:gridCol w:w="208"/>
        <w:gridCol w:w="236"/>
        <w:gridCol w:w="252"/>
      </w:tblGrid>
      <w:tr w:rsidR="0036326D" w14:paraId="2F6B8230" w14:textId="77777777">
        <w:trPr>
          <w:trHeight w:val="277"/>
        </w:trPr>
        <w:tc>
          <w:tcPr>
            <w:tcW w:w="9038" w:type="dxa"/>
          </w:tcPr>
          <w:p w14:paraId="53FD4B83" w14:textId="77777777" w:rsidR="0036326D" w:rsidRDefault="0036326D">
            <w:pPr>
              <w:widowControl w:val="0"/>
              <w:spacing w:after="0" w:line="240" w:lineRule="auto"/>
              <w:rPr>
                <w:szCs w:val="24"/>
                <w:highlight w:val="yellow"/>
                <w:u w:val="single"/>
                <w:lang w:eastAsia="el-GR"/>
              </w:rPr>
            </w:pPr>
          </w:p>
          <w:tbl>
            <w:tblPr>
              <w:tblStyle w:val="Mriekatabuky"/>
              <w:tblW w:w="8642" w:type="dxa"/>
              <w:tblLayout w:type="fixed"/>
              <w:tblLook w:val="04A0" w:firstRow="1" w:lastRow="0" w:firstColumn="1" w:lastColumn="0" w:noHBand="0" w:noVBand="1"/>
            </w:tblPr>
            <w:tblGrid>
              <w:gridCol w:w="4024"/>
              <w:gridCol w:w="1353"/>
              <w:gridCol w:w="2162"/>
              <w:gridCol w:w="1103"/>
            </w:tblGrid>
            <w:tr w:rsidR="0036326D" w14:paraId="776309CB" w14:textId="77777777" w:rsidTr="00C96A86">
              <w:tc>
                <w:tcPr>
                  <w:tcW w:w="4024" w:type="dxa"/>
                </w:tcPr>
                <w:p w14:paraId="3746BE8D" w14:textId="77777777" w:rsidR="0036326D" w:rsidRDefault="00443AFA">
                  <w:pPr>
                    <w:pStyle w:val="Default"/>
                    <w:widowControl w:val="0"/>
                    <w:rPr>
                      <w:sz w:val="22"/>
                      <w:szCs w:val="22"/>
                    </w:rPr>
                  </w:pPr>
                  <w:r>
                    <w:rPr>
                      <w:rFonts w:eastAsia="Times New Roman"/>
                      <w:b/>
                      <w:bCs/>
                      <w:sz w:val="22"/>
                      <w:szCs w:val="22"/>
                    </w:rPr>
                    <w:t xml:space="preserve">Indikácia </w:t>
                  </w:r>
                </w:p>
              </w:tc>
              <w:tc>
                <w:tcPr>
                  <w:tcW w:w="1353" w:type="dxa"/>
                </w:tcPr>
                <w:p w14:paraId="3008F885" w14:textId="77777777" w:rsidR="0036326D" w:rsidRDefault="00443AFA">
                  <w:pPr>
                    <w:pStyle w:val="Default"/>
                    <w:widowControl w:val="0"/>
                    <w:rPr>
                      <w:sz w:val="22"/>
                      <w:szCs w:val="22"/>
                    </w:rPr>
                  </w:pPr>
                  <w:r>
                    <w:rPr>
                      <w:rFonts w:eastAsia="Times New Roman"/>
                      <w:b/>
                      <w:bCs/>
                      <w:sz w:val="22"/>
                      <w:szCs w:val="22"/>
                    </w:rPr>
                    <w:t xml:space="preserve">Počet pacientov* </w:t>
                  </w:r>
                </w:p>
              </w:tc>
              <w:tc>
                <w:tcPr>
                  <w:tcW w:w="2162" w:type="dxa"/>
                </w:tcPr>
                <w:p w14:paraId="6332E33A" w14:textId="77777777" w:rsidR="0036326D" w:rsidRDefault="00443AFA">
                  <w:pPr>
                    <w:pStyle w:val="Default"/>
                    <w:widowControl w:val="0"/>
                    <w:rPr>
                      <w:sz w:val="22"/>
                      <w:szCs w:val="22"/>
                    </w:rPr>
                  </w:pPr>
                  <w:r>
                    <w:rPr>
                      <w:rFonts w:eastAsia="Times New Roman"/>
                      <w:b/>
                      <w:bCs/>
                      <w:sz w:val="22"/>
                      <w:szCs w:val="22"/>
                    </w:rPr>
                    <w:t xml:space="preserve">Celková denná dávka </w:t>
                  </w:r>
                </w:p>
              </w:tc>
              <w:tc>
                <w:tcPr>
                  <w:tcW w:w="1103" w:type="dxa"/>
                </w:tcPr>
                <w:p w14:paraId="32440AE7" w14:textId="3FF8CEE3" w:rsidR="0036326D" w:rsidRDefault="00443AFA">
                  <w:pPr>
                    <w:pStyle w:val="Default"/>
                    <w:widowControl w:val="0"/>
                    <w:rPr>
                      <w:sz w:val="22"/>
                      <w:szCs w:val="22"/>
                    </w:rPr>
                  </w:pPr>
                  <w:r>
                    <w:rPr>
                      <w:rFonts w:eastAsia="Times New Roman"/>
                      <w:b/>
                      <w:bCs/>
                      <w:sz w:val="22"/>
                      <w:szCs w:val="22"/>
                    </w:rPr>
                    <w:t>Maximá</w:t>
                  </w:r>
                  <w:r w:rsidR="00ED33CF">
                    <w:rPr>
                      <w:rFonts w:eastAsia="Times New Roman"/>
                      <w:b/>
                      <w:bCs/>
                      <w:sz w:val="22"/>
                      <w:szCs w:val="22"/>
                      <w:lang w:val="sk-SK"/>
                    </w:rPr>
                    <w:t>-</w:t>
                  </w:r>
                  <w:r>
                    <w:rPr>
                      <w:rFonts w:eastAsia="Times New Roman"/>
                      <w:b/>
                      <w:bCs/>
                      <w:sz w:val="22"/>
                      <w:szCs w:val="22"/>
                    </w:rPr>
                    <w:t xml:space="preserve">lna dĺžka liečby </w:t>
                  </w:r>
                </w:p>
              </w:tc>
            </w:tr>
            <w:tr w:rsidR="0036326D" w14:paraId="3517EABD" w14:textId="77777777" w:rsidTr="00C96A86">
              <w:tc>
                <w:tcPr>
                  <w:tcW w:w="4024" w:type="dxa"/>
                </w:tcPr>
                <w:p w14:paraId="2D7BB4B2" w14:textId="77777777" w:rsidR="0036326D" w:rsidRDefault="00443AFA">
                  <w:pPr>
                    <w:pStyle w:val="Default"/>
                    <w:widowControl w:val="0"/>
                    <w:rPr>
                      <w:sz w:val="22"/>
                      <w:szCs w:val="22"/>
                    </w:rPr>
                  </w:pPr>
                  <w:r>
                    <w:rPr>
                      <w:rFonts w:eastAsia="Times New Roman"/>
                      <w:sz w:val="22"/>
                      <w:szCs w:val="22"/>
                    </w:rPr>
                    <w:t xml:space="preserve">Prevencia venóznej tromboembólie(VTE) u dospelých pacientov, ktorí podstúpili plánovaný chirurgický zákrok na nahradenie bedra alebo kolena </w:t>
                  </w:r>
                </w:p>
              </w:tc>
              <w:tc>
                <w:tcPr>
                  <w:tcW w:w="1353" w:type="dxa"/>
                </w:tcPr>
                <w:p w14:paraId="7DCFE58E" w14:textId="77777777" w:rsidR="0036326D" w:rsidRDefault="00443AFA">
                  <w:pPr>
                    <w:pStyle w:val="Default"/>
                    <w:widowControl w:val="0"/>
                    <w:rPr>
                      <w:sz w:val="22"/>
                      <w:szCs w:val="22"/>
                    </w:rPr>
                  </w:pPr>
                  <w:r>
                    <w:rPr>
                      <w:rFonts w:eastAsia="Times New Roman"/>
                      <w:sz w:val="22"/>
                      <w:szCs w:val="22"/>
                    </w:rPr>
                    <w:t xml:space="preserve">6 097 </w:t>
                  </w:r>
                </w:p>
              </w:tc>
              <w:tc>
                <w:tcPr>
                  <w:tcW w:w="2162" w:type="dxa"/>
                </w:tcPr>
                <w:p w14:paraId="2BA67112" w14:textId="77777777" w:rsidR="0036326D" w:rsidRDefault="00443AFA">
                  <w:pPr>
                    <w:pStyle w:val="Default"/>
                    <w:widowControl w:val="0"/>
                    <w:rPr>
                      <w:sz w:val="22"/>
                      <w:szCs w:val="22"/>
                    </w:rPr>
                  </w:pPr>
                  <w:r>
                    <w:rPr>
                      <w:rFonts w:eastAsia="Times New Roman"/>
                      <w:sz w:val="22"/>
                      <w:szCs w:val="22"/>
                    </w:rPr>
                    <w:t xml:space="preserve">10 mg </w:t>
                  </w:r>
                </w:p>
              </w:tc>
              <w:tc>
                <w:tcPr>
                  <w:tcW w:w="1103" w:type="dxa"/>
                </w:tcPr>
                <w:p w14:paraId="2B4C9C60" w14:textId="77777777" w:rsidR="0036326D" w:rsidRDefault="00443AFA">
                  <w:pPr>
                    <w:pStyle w:val="Default"/>
                    <w:widowControl w:val="0"/>
                    <w:rPr>
                      <w:sz w:val="22"/>
                      <w:szCs w:val="22"/>
                    </w:rPr>
                  </w:pPr>
                  <w:r>
                    <w:rPr>
                      <w:rFonts w:eastAsia="Times New Roman"/>
                      <w:sz w:val="22"/>
                      <w:szCs w:val="22"/>
                    </w:rPr>
                    <w:t xml:space="preserve">39 dní </w:t>
                  </w:r>
                </w:p>
              </w:tc>
            </w:tr>
            <w:tr w:rsidR="0036326D" w14:paraId="598FE45C" w14:textId="77777777" w:rsidTr="00C96A86">
              <w:tc>
                <w:tcPr>
                  <w:tcW w:w="4024" w:type="dxa"/>
                </w:tcPr>
                <w:p w14:paraId="719522A8" w14:textId="77777777" w:rsidR="0036326D" w:rsidRDefault="00443AFA">
                  <w:pPr>
                    <w:pStyle w:val="Default"/>
                    <w:widowControl w:val="0"/>
                    <w:rPr>
                      <w:sz w:val="22"/>
                      <w:szCs w:val="22"/>
                    </w:rPr>
                  </w:pPr>
                  <w:r>
                    <w:rPr>
                      <w:rFonts w:eastAsia="Times New Roman"/>
                      <w:sz w:val="22"/>
                      <w:szCs w:val="22"/>
                    </w:rPr>
                    <w:t xml:space="preserve">Prevencia VTE u pacientov s interným ochorením </w:t>
                  </w:r>
                </w:p>
              </w:tc>
              <w:tc>
                <w:tcPr>
                  <w:tcW w:w="1353" w:type="dxa"/>
                </w:tcPr>
                <w:p w14:paraId="015F8A9C" w14:textId="77777777" w:rsidR="0036326D" w:rsidRDefault="00443AFA">
                  <w:pPr>
                    <w:pStyle w:val="Default"/>
                    <w:widowControl w:val="0"/>
                    <w:rPr>
                      <w:sz w:val="22"/>
                      <w:szCs w:val="22"/>
                    </w:rPr>
                  </w:pPr>
                  <w:r>
                    <w:rPr>
                      <w:rFonts w:eastAsia="Times New Roman"/>
                      <w:sz w:val="22"/>
                      <w:szCs w:val="22"/>
                    </w:rPr>
                    <w:t xml:space="preserve">3 997 </w:t>
                  </w:r>
                </w:p>
              </w:tc>
              <w:tc>
                <w:tcPr>
                  <w:tcW w:w="2162" w:type="dxa"/>
                </w:tcPr>
                <w:p w14:paraId="495534A6" w14:textId="77777777" w:rsidR="0036326D" w:rsidRDefault="00443AFA">
                  <w:pPr>
                    <w:pStyle w:val="Default"/>
                    <w:widowControl w:val="0"/>
                    <w:rPr>
                      <w:sz w:val="22"/>
                      <w:szCs w:val="22"/>
                    </w:rPr>
                  </w:pPr>
                  <w:r>
                    <w:rPr>
                      <w:rFonts w:eastAsia="Times New Roman"/>
                      <w:sz w:val="22"/>
                      <w:szCs w:val="22"/>
                    </w:rPr>
                    <w:t xml:space="preserve">10 mg </w:t>
                  </w:r>
                </w:p>
              </w:tc>
              <w:tc>
                <w:tcPr>
                  <w:tcW w:w="1103" w:type="dxa"/>
                </w:tcPr>
                <w:p w14:paraId="64D1A410" w14:textId="77777777" w:rsidR="0036326D" w:rsidRDefault="00443AFA">
                  <w:pPr>
                    <w:pStyle w:val="Default"/>
                    <w:widowControl w:val="0"/>
                    <w:rPr>
                      <w:sz w:val="22"/>
                      <w:szCs w:val="22"/>
                    </w:rPr>
                  </w:pPr>
                  <w:r>
                    <w:rPr>
                      <w:rFonts w:eastAsia="Times New Roman"/>
                      <w:sz w:val="22"/>
                      <w:szCs w:val="22"/>
                    </w:rPr>
                    <w:t xml:space="preserve">39 dní </w:t>
                  </w:r>
                </w:p>
              </w:tc>
            </w:tr>
            <w:tr w:rsidR="0036326D" w14:paraId="629E7FCE" w14:textId="77777777" w:rsidTr="00C96A86">
              <w:tc>
                <w:tcPr>
                  <w:tcW w:w="4024" w:type="dxa"/>
                </w:tcPr>
                <w:p w14:paraId="00388281" w14:textId="77777777" w:rsidR="0036326D" w:rsidRDefault="00443AFA">
                  <w:pPr>
                    <w:pStyle w:val="Default"/>
                    <w:widowControl w:val="0"/>
                    <w:rPr>
                      <w:sz w:val="22"/>
                      <w:szCs w:val="22"/>
                    </w:rPr>
                  </w:pPr>
                  <w:r>
                    <w:rPr>
                      <w:rFonts w:eastAsia="Times New Roman"/>
                      <w:sz w:val="22"/>
                      <w:szCs w:val="22"/>
                    </w:rPr>
                    <w:t xml:space="preserve">Liečba a prevencia rekurencie DVT a PE </w:t>
                  </w:r>
                </w:p>
              </w:tc>
              <w:tc>
                <w:tcPr>
                  <w:tcW w:w="1353" w:type="dxa"/>
                </w:tcPr>
                <w:p w14:paraId="12F3439E" w14:textId="77777777" w:rsidR="0036326D" w:rsidRDefault="00443AFA">
                  <w:pPr>
                    <w:pStyle w:val="Default"/>
                    <w:widowControl w:val="0"/>
                    <w:rPr>
                      <w:sz w:val="22"/>
                      <w:szCs w:val="22"/>
                    </w:rPr>
                  </w:pPr>
                  <w:r>
                    <w:rPr>
                      <w:rFonts w:eastAsia="Times New Roman"/>
                      <w:sz w:val="22"/>
                      <w:szCs w:val="22"/>
                    </w:rPr>
                    <w:t xml:space="preserve">6 790 </w:t>
                  </w:r>
                </w:p>
              </w:tc>
              <w:tc>
                <w:tcPr>
                  <w:tcW w:w="2162" w:type="dxa"/>
                </w:tcPr>
                <w:p w14:paraId="1975B315" w14:textId="77777777" w:rsidR="0036326D" w:rsidRDefault="00443AFA">
                  <w:pPr>
                    <w:pStyle w:val="Default"/>
                    <w:widowControl w:val="0"/>
                    <w:rPr>
                      <w:sz w:val="22"/>
                      <w:szCs w:val="22"/>
                    </w:rPr>
                  </w:pPr>
                  <w:r>
                    <w:rPr>
                      <w:rFonts w:eastAsia="Times New Roman"/>
                      <w:sz w:val="22"/>
                      <w:szCs w:val="22"/>
                    </w:rPr>
                    <w:t xml:space="preserve">1.-21. deň: 30 mg </w:t>
                  </w:r>
                </w:p>
                <w:p w14:paraId="5363F4B1" w14:textId="77777777" w:rsidR="0036326D" w:rsidRDefault="00443AFA">
                  <w:pPr>
                    <w:pStyle w:val="Default"/>
                    <w:widowControl w:val="0"/>
                    <w:rPr>
                      <w:sz w:val="22"/>
                      <w:szCs w:val="22"/>
                    </w:rPr>
                  </w:pPr>
                  <w:r>
                    <w:rPr>
                      <w:rFonts w:eastAsia="Times New Roman"/>
                      <w:sz w:val="22"/>
                      <w:szCs w:val="22"/>
                    </w:rPr>
                    <w:t xml:space="preserve">22. deň a nasledujúce: 20 mg </w:t>
                  </w:r>
                </w:p>
                <w:p w14:paraId="3CAF01F3" w14:textId="77777777" w:rsidR="0036326D" w:rsidRDefault="00443AFA">
                  <w:pPr>
                    <w:pStyle w:val="Default"/>
                    <w:widowControl w:val="0"/>
                    <w:rPr>
                      <w:sz w:val="22"/>
                      <w:szCs w:val="22"/>
                    </w:rPr>
                  </w:pPr>
                  <w:r>
                    <w:rPr>
                      <w:rFonts w:eastAsia="Times New Roman"/>
                      <w:sz w:val="22"/>
                      <w:szCs w:val="22"/>
                    </w:rPr>
                    <w:t xml:space="preserve">po najmenej 6 mesiacoch: 10 mg alebo 20 mg </w:t>
                  </w:r>
                </w:p>
              </w:tc>
              <w:tc>
                <w:tcPr>
                  <w:tcW w:w="1103" w:type="dxa"/>
                </w:tcPr>
                <w:p w14:paraId="20EA968E" w14:textId="77777777" w:rsidR="0036326D" w:rsidRDefault="00443AFA">
                  <w:pPr>
                    <w:pStyle w:val="Default"/>
                    <w:widowControl w:val="0"/>
                    <w:rPr>
                      <w:sz w:val="22"/>
                      <w:szCs w:val="22"/>
                    </w:rPr>
                  </w:pPr>
                  <w:r>
                    <w:rPr>
                      <w:rFonts w:eastAsia="Times New Roman"/>
                      <w:sz w:val="22"/>
                      <w:szCs w:val="22"/>
                    </w:rPr>
                    <w:t xml:space="preserve">21 mesiacov </w:t>
                  </w:r>
                </w:p>
              </w:tc>
            </w:tr>
            <w:tr w:rsidR="0036326D" w14:paraId="4613B84A" w14:textId="77777777" w:rsidTr="00C96A86">
              <w:tc>
                <w:tcPr>
                  <w:tcW w:w="4024" w:type="dxa"/>
                </w:tcPr>
                <w:p w14:paraId="7599E0D8" w14:textId="77777777" w:rsidR="0036326D" w:rsidRDefault="00443AFA">
                  <w:pPr>
                    <w:pStyle w:val="Default"/>
                    <w:widowControl w:val="0"/>
                    <w:rPr>
                      <w:sz w:val="22"/>
                      <w:szCs w:val="22"/>
                    </w:rPr>
                  </w:pPr>
                  <w:r>
                    <w:rPr>
                      <w:rFonts w:eastAsia="Times New Roman"/>
                      <w:sz w:val="22"/>
                      <w:szCs w:val="22"/>
                    </w:rPr>
                    <w:t>Prevencia cievnej mozgovej príhody a systémovej embólie u pacientov s nevalvulárnou fibriláciou predsiení</w:t>
                  </w:r>
                </w:p>
              </w:tc>
              <w:tc>
                <w:tcPr>
                  <w:tcW w:w="1353" w:type="dxa"/>
                </w:tcPr>
                <w:p w14:paraId="2B53A499" w14:textId="77777777" w:rsidR="0036326D" w:rsidRDefault="00443AFA">
                  <w:pPr>
                    <w:pStyle w:val="Default"/>
                    <w:widowControl w:val="0"/>
                    <w:rPr>
                      <w:sz w:val="22"/>
                      <w:szCs w:val="22"/>
                    </w:rPr>
                  </w:pPr>
                  <w:r>
                    <w:rPr>
                      <w:rFonts w:eastAsia="Times New Roman"/>
                      <w:sz w:val="22"/>
                      <w:szCs w:val="22"/>
                    </w:rPr>
                    <w:t xml:space="preserve">7 750 </w:t>
                  </w:r>
                </w:p>
              </w:tc>
              <w:tc>
                <w:tcPr>
                  <w:tcW w:w="2162" w:type="dxa"/>
                </w:tcPr>
                <w:p w14:paraId="42DE4B3D" w14:textId="77777777" w:rsidR="0036326D" w:rsidRDefault="00443AFA">
                  <w:pPr>
                    <w:pStyle w:val="Default"/>
                    <w:widowControl w:val="0"/>
                    <w:rPr>
                      <w:sz w:val="22"/>
                      <w:szCs w:val="22"/>
                    </w:rPr>
                  </w:pPr>
                  <w:r>
                    <w:rPr>
                      <w:rFonts w:eastAsia="Times New Roman"/>
                      <w:sz w:val="22"/>
                      <w:szCs w:val="22"/>
                    </w:rPr>
                    <w:t xml:space="preserve">20 mg </w:t>
                  </w:r>
                </w:p>
              </w:tc>
              <w:tc>
                <w:tcPr>
                  <w:tcW w:w="1103" w:type="dxa"/>
                </w:tcPr>
                <w:p w14:paraId="64F92BD7" w14:textId="77777777" w:rsidR="0036326D" w:rsidRDefault="00443AFA">
                  <w:pPr>
                    <w:pStyle w:val="Default"/>
                    <w:widowControl w:val="0"/>
                    <w:rPr>
                      <w:sz w:val="22"/>
                      <w:szCs w:val="22"/>
                    </w:rPr>
                  </w:pPr>
                  <w:r>
                    <w:rPr>
                      <w:rFonts w:eastAsia="Times New Roman"/>
                      <w:sz w:val="22"/>
                      <w:szCs w:val="22"/>
                    </w:rPr>
                    <w:t xml:space="preserve">41 mesiacov </w:t>
                  </w:r>
                </w:p>
              </w:tc>
            </w:tr>
            <w:tr w:rsidR="0036326D" w14:paraId="0F7083C5" w14:textId="77777777" w:rsidTr="00C96A86">
              <w:tc>
                <w:tcPr>
                  <w:tcW w:w="4024" w:type="dxa"/>
                </w:tcPr>
                <w:p w14:paraId="7D91B8E9" w14:textId="77777777" w:rsidR="0036326D" w:rsidRDefault="00443AFA">
                  <w:pPr>
                    <w:pStyle w:val="Default"/>
                    <w:widowControl w:val="0"/>
                    <w:rPr>
                      <w:sz w:val="22"/>
                      <w:szCs w:val="22"/>
                    </w:rPr>
                  </w:pPr>
                  <w:r>
                    <w:rPr>
                      <w:rFonts w:eastAsia="Times New Roman"/>
                      <w:sz w:val="22"/>
                      <w:szCs w:val="22"/>
                    </w:rPr>
                    <w:t xml:space="preserve">Prevencia aterotrombotických príhod u pacientov po prekonaní akútneho koronárneho syndrómu (ACS) </w:t>
                  </w:r>
                </w:p>
              </w:tc>
              <w:tc>
                <w:tcPr>
                  <w:tcW w:w="1353" w:type="dxa"/>
                </w:tcPr>
                <w:p w14:paraId="5A6FAE2A" w14:textId="77777777" w:rsidR="0036326D" w:rsidRDefault="00443AFA">
                  <w:pPr>
                    <w:pStyle w:val="Default"/>
                    <w:widowControl w:val="0"/>
                    <w:rPr>
                      <w:sz w:val="22"/>
                      <w:szCs w:val="22"/>
                    </w:rPr>
                  </w:pPr>
                  <w:r>
                    <w:rPr>
                      <w:rFonts w:eastAsia="Times New Roman"/>
                      <w:sz w:val="22"/>
                      <w:szCs w:val="22"/>
                    </w:rPr>
                    <w:t xml:space="preserve">10 225 </w:t>
                  </w:r>
                </w:p>
              </w:tc>
              <w:tc>
                <w:tcPr>
                  <w:tcW w:w="2162" w:type="dxa"/>
                </w:tcPr>
                <w:p w14:paraId="09797447" w14:textId="77777777" w:rsidR="0036326D" w:rsidRDefault="00443AFA">
                  <w:pPr>
                    <w:pStyle w:val="Default"/>
                    <w:widowControl w:val="0"/>
                    <w:rPr>
                      <w:sz w:val="22"/>
                      <w:szCs w:val="22"/>
                    </w:rPr>
                  </w:pPr>
                  <w:r>
                    <w:rPr>
                      <w:rFonts w:eastAsia="Times New Roman"/>
                      <w:sz w:val="22"/>
                      <w:szCs w:val="22"/>
                    </w:rPr>
                    <w:t xml:space="preserve">5 mg alebo 10 mg, resp., súbežne užívaných s ASA alebo s ASA spolu s klopidogrelom alebo tiklopidínom </w:t>
                  </w:r>
                </w:p>
              </w:tc>
              <w:tc>
                <w:tcPr>
                  <w:tcW w:w="1103" w:type="dxa"/>
                </w:tcPr>
                <w:p w14:paraId="136E744E" w14:textId="77777777" w:rsidR="0036326D" w:rsidRDefault="00443AFA">
                  <w:pPr>
                    <w:pStyle w:val="Default"/>
                    <w:widowControl w:val="0"/>
                    <w:rPr>
                      <w:sz w:val="22"/>
                      <w:szCs w:val="22"/>
                    </w:rPr>
                  </w:pPr>
                  <w:r>
                    <w:rPr>
                      <w:rFonts w:eastAsia="Times New Roman"/>
                      <w:sz w:val="22"/>
                      <w:szCs w:val="22"/>
                    </w:rPr>
                    <w:t xml:space="preserve">31 mesiacov </w:t>
                  </w:r>
                </w:p>
              </w:tc>
            </w:tr>
            <w:tr w:rsidR="0036326D" w14:paraId="2614539F" w14:textId="77777777" w:rsidTr="00C96A86">
              <w:tc>
                <w:tcPr>
                  <w:tcW w:w="4024" w:type="dxa"/>
                </w:tcPr>
                <w:p w14:paraId="6A7BCF37" w14:textId="77777777" w:rsidR="0036326D" w:rsidRDefault="00443AFA">
                  <w:pPr>
                    <w:pStyle w:val="Default"/>
                    <w:widowControl w:val="0"/>
                    <w:rPr>
                      <w:sz w:val="22"/>
                      <w:szCs w:val="22"/>
                    </w:rPr>
                  </w:pPr>
                  <w:r>
                    <w:rPr>
                      <w:rFonts w:eastAsia="Times New Roman"/>
                      <w:sz w:val="22"/>
                      <w:szCs w:val="22"/>
                    </w:rPr>
                    <w:t xml:space="preserve">Prevencia arterotrombotických príhod u pacientov s CAD/PAD </w:t>
                  </w:r>
                </w:p>
              </w:tc>
              <w:tc>
                <w:tcPr>
                  <w:tcW w:w="1353" w:type="dxa"/>
                </w:tcPr>
                <w:p w14:paraId="2AC96918" w14:textId="77777777" w:rsidR="0036326D" w:rsidRDefault="00443AFA">
                  <w:pPr>
                    <w:pStyle w:val="Default"/>
                    <w:widowControl w:val="0"/>
                    <w:rPr>
                      <w:sz w:val="22"/>
                      <w:szCs w:val="22"/>
                    </w:rPr>
                  </w:pPr>
                  <w:r>
                    <w:rPr>
                      <w:rFonts w:eastAsia="Times New Roman"/>
                      <w:sz w:val="22"/>
                      <w:szCs w:val="22"/>
                    </w:rPr>
                    <w:t xml:space="preserve">18 244 </w:t>
                  </w:r>
                </w:p>
              </w:tc>
              <w:tc>
                <w:tcPr>
                  <w:tcW w:w="2162" w:type="dxa"/>
                </w:tcPr>
                <w:p w14:paraId="0BD177B7" w14:textId="77777777" w:rsidR="0036326D" w:rsidRDefault="00443AFA">
                  <w:pPr>
                    <w:pStyle w:val="Default"/>
                    <w:widowControl w:val="0"/>
                    <w:rPr>
                      <w:sz w:val="22"/>
                      <w:szCs w:val="22"/>
                    </w:rPr>
                  </w:pPr>
                  <w:r>
                    <w:rPr>
                      <w:rFonts w:eastAsia="Times New Roman"/>
                      <w:sz w:val="22"/>
                      <w:szCs w:val="22"/>
                    </w:rPr>
                    <w:t xml:space="preserve">5 mg spolu s ASA alebo 10 mg samostatne </w:t>
                  </w:r>
                </w:p>
              </w:tc>
              <w:tc>
                <w:tcPr>
                  <w:tcW w:w="1103" w:type="dxa"/>
                </w:tcPr>
                <w:p w14:paraId="7DEA7195" w14:textId="77777777" w:rsidR="0036326D" w:rsidRDefault="00443AFA">
                  <w:pPr>
                    <w:pStyle w:val="Default"/>
                    <w:widowControl w:val="0"/>
                    <w:rPr>
                      <w:sz w:val="22"/>
                      <w:szCs w:val="22"/>
                    </w:rPr>
                  </w:pPr>
                  <w:r>
                    <w:rPr>
                      <w:rFonts w:eastAsia="Times New Roman"/>
                      <w:sz w:val="22"/>
                      <w:szCs w:val="22"/>
                    </w:rPr>
                    <w:t xml:space="preserve">47 mesiacov </w:t>
                  </w:r>
                </w:p>
              </w:tc>
            </w:tr>
          </w:tbl>
          <w:p w14:paraId="74D8C337" w14:textId="77777777" w:rsidR="0036326D" w:rsidRDefault="00443AFA">
            <w:pPr>
              <w:widowControl w:val="0"/>
              <w:rPr>
                <w:rFonts w:ascii="Times New Roman" w:hAnsi="Times New Roman" w:cs="Times New Roman"/>
              </w:rPr>
            </w:pPr>
            <w:r>
              <w:rPr>
                <w:rFonts w:ascii="Times New Roman" w:hAnsi="Times New Roman" w:cs="Times New Roman"/>
              </w:rPr>
              <w:t>*Pacienti vystavení minimálne jednej dávke rivaroxabánu</w:t>
            </w:r>
          </w:p>
          <w:p w14:paraId="3AC6079F" w14:textId="77777777" w:rsidR="0036326D" w:rsidRDefault="00443AFA">
            <w:pPr>
              <w:widowControl w:val="0"/>
              <w:spacing w:after="0" w:line="240" w:lineRule="auto"/>
              <w:rPr>
                <w:rFonts w:ascii="Times New Roman" w:hAnsi="Times New Roman" w:cs="Times New Roman"/>
                <w:b/>
                <w:color w:val="000000" w:themeColor="text1"/>
                <w:szCs w:val="24"/>
                <w:u w:val="single"/>
                <w:lang w:eastAsia="el-GR"/>
              </w:rPr>
            </w:pPr>
            <w:r>
              <w:rPr>
                <w:rFonts w:ascii="Times New Roman" w:hAnsi="Times New Roman" w:cs="Times New Roman"/>
              </w:rPr>
              <w:t>Najčastejšie hlásenými nežiaducimi reakciami u pacientov užívajúcich rivaroxabán boli krvácania (pozri časť 4.4 a „Popis vybraných nežiaducich účinkov“ nižšie)</w:t>
            </w:r>
            <w:r>
              <w:t xml:space="preserve"> </w:t>
            </w:r>
            <w:r>
              <w:rPr>
                <w:rFonts w:ascii="Times New Roman" w:hAnsi="Times New Roman" w:cs="Times New Roman"/>
              </w:rPr>
              <w:t>(tabuľka 2). Najčastejšie hlásenými krvácaniami boli epistaxa (4,5 %) a krvácanie do gastrointestinálneho traktu (3,8 %).</w:t>
            </w:r>
          </w:p>
          <w:p w14:paraId="5A1F354D" w14:textId="77777777" w:rsidR="0036326D" w:rsidRDefault="0036326D">
            <w:pPr>
              <w:widowControl w:val="0"/>
              <w:spacing w:after="0" w:line="240" w:lineRule="auto"/>
              <w:rPr>
                <w:rFonts w:ascii="Times New Roman" w:hAnsi="Times New Roman" w:cs="Times New Roman"/>
                <w:b/>
                <w:color w:val="000000" w:themeColor="text1"/>
                <w:szCs w:val="24"/>
                <w:u w:val="single"/>
                <w:lang w:eastAsia="el-GR"/>
              </w:rPr>
            </w:pPr>
          </w:p>
          <w:p w14:paraId="7A4CC34E" w14:textId="77777777" w:rsidR="0036326D" w:rsidRDefault="00443AFA">
            <w:pPr>
              <w:widowControl w:val="0"/>
              <w:spacing w:after="0" w:line="240" w:lineRule="auto"/>
              <w:rPr>
                <w:rFonts w:ascii="Times New Roman" w:hAnsi="Times New Roman" w:cs="Times New Roman"/>
                <w:b/>
                <w:bCs/>
              </w:rPr>
            </w:pPr>
            <w:r>
              <w:rPr>
                <w:rFonts w:ascii="Times New Roman" w:hAnsi="Times New Roman" w:cs="Times New Roman"/>
                <w:b/>
                <w:bCs/>
              </w:rPr>
              <w:t>Tabuľka 2: Frekvencia výskytu krvácania* a anémie u pacientov liečených rivaroxabánom v rámci všetkých ukončených štúdií fázy III</w:t>
            </w:r>
          </w:p>
          <w:p w14:paraId="6DED7C99" w14:textId="77777777" w:rsidR="0036326D" w:rsidRDefault="0036326D">
            <w:pPr>
              <w:widowControl w:val="0"/>
              <w:spacing w:after="0" w:line="240" w:lineRule="auto"/>
              <w:rPr>
                <w:rFonts w:ascii="Times New Roman" w:hAnsi="Times New Roman" w:cs="Times New Roman"/>
                <w:b/>
                <w:bCs/>
              </w:rPr>
            </w:pPr>
          </w:p>
          <w:tbl>
            <w:tblPr>
              <w:tblStyle w:val="Mriekatabuky"/>
              <w:tblW w:w="8642" w:type="dxa"/>
              <w:tblLayout w:type="fixed"/>
              <w:tblCellMar>
                <w:left w:w="70" w:type="dxa"/>
                <w:right w:w="70" w:type="dxa"/>
              </w:tblCellMar>
              <w:tblLook w:val="0000" w:firstRow="0" w:lastRow="0" w:firstColumn="0" w:lastColumn="0" w:noHBand="0" w:noVBand="0"/>
            </w:tblPr>
            <w:tblGrid>
              <w:gridCol w:w="3080"/>
              <w:gridCol w:w="1840"/>
              <w:gridCol w:w="3722"/>
            </w:tblGrid>
            <w:tr w:rsidR="0036326D" w14:paraId="40E06295" w14:textId="77777777" w:rsidTr="00C96A86">
              <w:trPr>
                <w:trHeight w:val="450"/>
              </w:trPr>
              <w:tc>
                <w:tcPr>
                  <w:tcW w:w="3080" w:type="dxa"/>
                </w:tcPr>
                <w:p w14:paraId="4AD1DDC3" w14:textId="77777777" w:rsidR="0036326D" w:rsidRDefault="00443AFA">
                  <w:pPr>
                    <w:pStyle w:val="Default"/>
                    <w:widowControl w:val="0"/>
                    <w:rPr>
                      <w:sz w:val="22"/>
                      <w:szCs w:val="22"/>
                    </w:rPr>
                  </w:pPr>
                  <w:r>
                    <w:rPr>
                      <w:rFonts w:eastAsia="Times New Roman"/>
                      <w:b/>
                      <w:bCs/>
                      <w:sz w:val="22"/>
                      <w:szCs w:val="22"/>
                    </w:rPr>
                    <w:t xml:space="preserve">Indikácia </w:t>
                  </w:r>
                </w:p>
              </w:tc>
              <w:tc>
                <w:tcPr>
                  <w:tcW w:w="1840" w:type="dxa"/>
                  <w:tcBorders>
                    <w:bottom w:val="nil"/>
                  </w:tcBorders>
                </w:tcPr>
                <w:p w14:paraId="70355622" w14:textId="77777777" w:rsidR="0036326D" w:rsidRDefault="00443AFA">
                  <w:pPr>
                    <w:pStyle w:val="Default"/>
                    <w:widowControl w:val="0"/>
                    <w:rPr>
                      <w:sz w:val="22"/>
                      <w:szCs w:val="22"/>
                    </w:rPr>
                  </w:pPr>
                  <w:r>
                    <w:rPr>
                      <w:rFonts w:eastAsia="Times New Roman"/>
                      <w:b/>
                      <w:bCs/>
                      <w:sz w:val="22"/>
                      <w:szCs w:val="22"/>
                    </w:rPr>
                    <w:t xml:space="preserve">Akékoľvek krvácanie </w:t>
                  </w:r>
                </w:p>
              </w:tc>
              <w:tc>
                <w:tcPr>
                  <w:tcW w:w="3722" w:type="dxa"/>
                </w:tcPr>
                <w:p w14:paraId="49363D74" w14:textId="77777777" w:rsidR="0036326D" w:rsidRDefault="00443AFA">
                  <w:pPr>
                    <w:pStyle w:val="Default"/>
                    <w:widowControl w:val="0"/>
                    <w:rPr>
                      <w:sz w:val="22"/>
                      <w:szCs w:val="22"/>
                    </w:rPr>
                  </w:pPr>
                  <w:r>
                    <w:rPr>
                      <w:rFonts w:eastAsia="Times New Roman"/>
                      <w:b/>
                      <w:bCs/>
                      <w:sz w:val="22"/>
                      <w:szCs w:val="22"/>
                    </w:rPr>
                    <w:t xml:space="preserve">Anémia </w:t>
                  </w:r>
                </w:p>
              </w:tc>
            </w:tr>
            <w:tr w:rsidR="0036326D" w14:paraId="30EFB0AE" w14:textId="77777777" w:rsidTr="00C96A86">
              <w:trPr>
                <w:trHeight w:val="552"/>
              </w:trPr>
              <w:tc>
                <w:tcPr>
                  <w:tcW w:w="3080" w:type="dxa"/>
                </w:tcPr>
                <w:p w14:paraId="7B32C6FE" w14:textId="77777777" w:rsidR="0036326D" w:rsidRDefault="00443AFA">
                  <w:pPr>
                    <w:pStyle w:val="Default"/>
                    <w:widowControl w:val="0"/>
                    <w:rPr>
                      <w:sz w:val="22"/>
                      <w:szCs w:val="22"/>
                    </w:rPr>
                  </w:pPr>
                  <w:r>
                    <w:rPr>
                      <w:rFonts w:eastAsia="Times New Roman"/>
                      <w:sz w:val="22"/>
                      <w:szCs w:val="22"/>
                    </w:rPr>
                    <w:t xml:space="preserve">Prevencia VTE u dospelých pacientov podstupujúcich plánovaný chirurgický zákrok na nahradenie bedra alebo kolena </w:t>
                  </w:r>
                </w:p>
              </w:tc>
              <w:tc>
                <w:tcPr>
                  <w:tcW w:w="1840" w:type="dxa"/>
                </w:tcPr>
                <w:p w14:paraId="6608E872" w14:textId="77777777" w:rsidR="0036326D" w:rsidRDefault="00443AFA">
                  <w:pPr>
                    <w:pStyle w:val="Default"/>
                    <w:widowControl w:val="0"/>
                    <w:rPr>
                      <w:sz w:val="22"/>
                      <w:szCs w:val="22"/>
                    </w:rPr>
                  </w:pPr>
                  <w:r>
                    <w:rPr>
                      <w:rFonts w:eastAsia="Times New Roman"/>
                      <w:sz w:val="22"/>
                      <w:szCs w:val="22"/>
                    </w:rPr>
                    <w:t xml:space="preserve">6,8 % pacientov </w:t>
                  </w:r>
                </w:p>
              </w:tc>
              <w:tc>
                <w:tcPr>
                  <w:tcW w:w="3722" w:type="dxa"/>
                </w:tcPr>
                <w:p w14:paraId="7ECA4616" w14:textId="77777777" w:rsidR="0036326D" w:rsidRDefault="00443AFA">
                  <w:pPr>
                    <w:pStyle w:val="Default"/>
                    <w:widowControl w:val="0"/>
                    <w:rPr>
                      <w:sz w:val="22"/>
                      <w:szCs w:val="22"/>
                    </w:rPr>
                  </w:pPr>
                  <w:r>
                    <w:rPr>
                      <w:rFonts w:eastAsia="Times New Roman"/>
                      <w:sz w:val="22"/>
                      <w:szCs w:val="22"/>
                    </w:rPr>
                    <w:t xml:space="preserve">5,9 % pacientov </w:t>
                  </w:r>
                </w:p>
              </w:tc>
            </w:tr>
            <w:tr w:rsidR="0036326D" w14:paraId="4D705779" w14:textId="77777777" w:rsidTr="00C96A86">
              <w:trPr>
                <w:trHeight w:val="843"/>
              </w:trPr>
              <w:tc>
                <w:tcPr>
                  <w:tcW w:w="3080" w:type="dxa"/>
                </w:tcPr>
                <w:p w14:paraId="7659D242" w14:textId="77777777" w:rsidR="0036326D" w:rsidRDefault="00443AFA">
                  <w:pPr>
                    <w:pStyle w:val="Default"/>
                    <w:widowControl w:val="0"/>
                    <w:rPr>
                      <w:sz w:val="22"/>
                      <w:szCs w:val="22"/>
                    </w:rPr>
                  </w:pPr>
                  <w:r>
                    <w:rPr>
                      <w:rFonts w:eastAsia="Times New Roman"/>
                      <w:sz w:val="22"/>
                      <w:szCs w:val="22"/>
                    </w:rPr>
                    <w:lastRenderedPageBreak/>
                    <w:t xml:space="preserve">Prevencia VTE u pacientov s interným ochorením </w:t>
                  </w:r>
                </w:p>
              </w:tc>
              <w:tc>
                <w:tcPr>
                  <w:tcW w:w="1840" w:type="dxa"/>
                </w:tcPr>
                <w:p w14:paraId="6EE42004" w14:textId="77777777" w:rsidR="0036326D" w:rsidRDefault="00443AFA">
                  <w:pPr>
                    <w:pStyle w:val="Default"/>
                    <w:widowControl w:val="0"/>
                    <w:rPr>
                      <w:sz w:val="22"/>
                      <w:szCs w:val="22"/>
                    </w:rPr>
                  </w:pPr>
                  <w:r>
                    <w:rPr>
                      <w:rFonts w:eastAsia="Times New Roman"/>
                      <w:sz w:val="22"/>
                      <w:szCs w:val="22"/>
                    </w:rPr>
                    <w:t xml:space="preserve">12,6 % pacientov </w:t>
                  </w:r>
                </w:p>
              </w:tc>
              <w:tc>
                <w:tcPr>
                  <w:tcW w:w="3722" w:type="dxa"/>
                </w:tcPr>
                <w:p w14:paraId="40AD24FA" w14:textId="77777777" w:rsidR="0036326D" w:rsidRDefault="00443AFA">
                  <w:pPr>
                    <w:pStyle w:val="Default"/>
                    <w:widowControl w:val="0"/>
                    <w:rPr>
                      <w:sz w:val="22"/>
                      <w:szCs w:val="22"/>
                    </w:rPr>
                  </w:pPr>
                  <w:r>
                    <w:rPr>
                      <w:rFonts w:eastAsia="Times New Roman"/>
                      <w:sz w:val="22"/>
                      <w:szCs w:val="22"/>
                    </w:rPr>
                    <w:t xml:space="preserve">2,1 % pacientov </w:t>
                  </w:r>
                </w:p>
              </w:tc>
            </w:tr>
            <w:tr w:rsidR="0036326D" w14:paraId="44A26ABA" w14:textId="77777777" w:rsidTr="00C96A86">
              <w:trPr>
                <w:trHeight w:val="699"/>
              </w:trPr>
              <w:tc>
                <w:tcPr>
                  <w:tcW w:w="3080" w:type="dxa"/>
                </w:tcPr>
                <w:p w14:paraId="69D88FD3" w14:textId="77777777" w:rsidR="0036326D" w:rsidRDefault="00443AFA">
                  <w:pPr>
                    <w:pStyle w:val="Default"/>
                    <w:widowControl w:val="0"/>
                    <w:rPr>
                      <w:sz w:val="22"/>
                      <w:szCs w:val="22"/>
                    </w:rPr>
                  </w:pPr>
                  <w:r>
                    <w:rPr>
                      <w:rFonts w:eastAsia="Times New Roman"/>
                      <w:sz w:val="22"/>
                      <w:szCs w:val="22"/>
                    </w:rPr>
                    <w:t xml:space="preserve">Liečba a prevencia rekurencie DVT a PE </w:t>
                  </w:r>
                </w:p>
              </w:tc>
              <w:tc>
                <w:tcPr>
                  <w:tcW w:w="1840" w:type="dxa"/>
                </w:tcPr>
                <w:p w14:paraId="34128DCF" w14:textId="77777777" w:rsidR="0036326D" w:rsidRDefault="00443AFA">
                  <w:pPr>
                    <w:pStyle w:val="Default"/>
                    <w:widowControl w:val="0"/>
                    <w:rPr>
                      <w:sz w:val="22"/>
                      <w:szCs w:val="22"/>
                    </w:rPr>
                  </w:pPr>
                  <w:r>
                    <w:rPr>
                      <w:rFonts w:eastAsia="Times New Roman"/>
                      <w:sz w:val="22"/>
                      <w:szCs w:val="22"/>
                    </w:rPr>
                    <w:t xml:space="preserve">23 % pacientov </w:t>
                  </w:r>
                </w:p>
              </w:tc>
              <w:tc>
                <w:tcPr>
                  <w:tcW w:w="3722" w:type="dxa"/>
                </w:tcPr>
                <w:p w14:paraId="46D71737" w14:textId="77777777" w:rsidR="0036326D" w:rsidRDefault="00443AFA">
                  <w:pPr>
                    <w:pStyle w:val="Default"/>
                    <w:widowControl w:val="0"/>
                    <w:rPr>
                      <w:sz w:val="22"/>
                      <w:szCs w:val="22"/>
                    </w:rPr>
                  </w:pPr>
                  <w:r>
                    <w:rPr>
                      <w:rFonts w:eastAsia="Times New Roman"/>
                      <w:sz w:val="22"/>
                      <w:szCs w:val="22"/>
                    </w:rPr>
                    <w:t xml:space="preserve">1,6 % pacientov </w:t>
                  </w:r>
                </w:p>
              </w:tc>
            </w:tr>
            <w:tr w:rsidR="0036326D" w14:paraId="2C8BAE4B" w14:textId="77777777" w:rsidTr="00C96A86">
              <w:trPr>
                <w:trHeight w:val="682"/>
              </w:trPr>
              <w:tc>
                <w:tcPr>
                  <w:tcW w:w="3080" w:type="dxa"/>
                </w:tcPr>
                <w:p w14:paraId="25E541EE" w14:textId="77777777" w:rsidR="0036326D" w:rsidRDefault="00443AFA">
                  <w:pPr>
                    <w:pStyle w:val="Default"/>
                    <w:widowControl w:val="0"/>
                    <w:rPr>
                      <w:sz w:val="22"/>
                      <w:szCs w:val="22"/>
                    </w:rPr>
                  </w:pPr>
                  <w:r>
                    <w:rPr>
                      <w:rFonts w:eastAsia="Times New Roman"/>
                      <w:sz w:val="22"/>
                      <w:szCs w:val="22"/>
                    </w:rPr>
                    <w:t>Prevencia cievnej mozgovej príhody a systémovej embólie u pacientov s nevalvulárnou fibriláciou predsiení</w:t>
                  </w:r>
                </w:p>
              </w:tc>
              <w:tc>
                <w:tcPr>
                  <w:tcW w:w="1840" w:type="dxa"/>
                </w:tcPr>
                <w:p w14:paraId="671F1190" w14:textId="77777777" w:rsidR="0036326D" w:rsidRDefault="00443AFA">
                  <w:pPr>
                    <w:pStyle w:val="Default"/>
                    <w:widowControl w:val="0"/>
                    <w:rPr>
                      <w:sz w:val="22"/>
                      <w:szCs w:val="22"/>
                    </w:rPr>
                  </w:pPr>
                  <w:r>
                    <w:rPr>
                      <w:rFonts w:eastAsia="Times New Roman"/>
                      <w:sz w:val="22"/>
                      <w:szCs w:val="22"/>
                    </w:rPr>
                    <w:t xml:space="preserve">28 za 100 pacientorokov </w:t>
                  </w:r>
                </w:p>
              </w:tc>
              <w:tc>
                <w:tcPr>
                  <w:tcW w:w="3722" w:type="dxa"/>
                </w:tcPr>
                <w:p w14:paraId="2DF1B3CE" w14:textId="77777777" w:rsidR="0036326D" w:rsidRDefault="00443AFA">
                  <w:pPr>
                    <w:pStyle w:val="Default"/>
                    <w:widowControl w:val="0"/>
                    <w:rPr>
                      <w:sz w:val="22"/>
                      <w:szCs w:val="22"/>
                    </w:rPr>
                  </w:pPr>
                  <w:r>
                    <w:rPr>
                      <w:rFonts w:eastAsia="Times New Roman"/>
                      <w:sz w:val="22"/>
                      <w:szCs w:val="22"/>
                    </w:rPr>
                    <w:t xml:space="preserve">2,5 za 100 pacientorokov </w:t>
                  </w:r>
                </w:p>
              </w:tc>
            </w:tr>
            <w:tr w:rsidR="0036326D" w14:paraId="3AE73854" w14:textId="77777777" w:rsidTr="00C96A86">
              <w:trPr>
                <w:trHeight w:val="564"/>
              </w:trPr>
              <w:tc>
                <w:tcPr>
                  <w:tcW w:w="3080" w:type="dxa"/>
                </w:tcPr>
                <w:p w14:paraId="05AA3F87" w14:textId="77777777" w:rsidR="0036326D" w:rsidRDefault="00443AFA">
                  <w:pPr>
                    <w:pStyle w:val="Default"/>
                    <w:widowControl w:val="0"/>
                    <w:rPr>
                      <w:sz w:val="22"/>
                      <w:szCs w:val="22"/>
                    </w:rPr>
                  </w:pPr>
                  <w:r>
                    <w:rPr>
                      <w:rFonts w:eastAsia="Times New Roman"/>
                      <w:sz w:val="22"/>
                      <w:szCs w:val="22"/>
                    </w:rPr>
                    <w:t xml:space="preserve">Prevencia aterotrombotických príhod u pacientov po prekonaní ACS </w:t>
                  </w:r>
                </w:p>
              </w:tc>
              <w:tc>
                <w:tcPr>
                  <w:tcW w:w="1840" w:type="dxa"/>
                </w:tcPr>
                <w:p w14:paraId="6F53CE12" w14:textId="77777777" w:rsidR="0036326D" w:rsidRDefault="00443AFA">
                  <w:pPr>
                    <w:pStyle w:val="Default"/>
                    <w:widowControl w:val="0"/>
                    <w:rPr>
                      <w:sz w:val="22"/>
                      <w:szCs w:val="22"/>
                    </w:rPr>
                  </w:pPr>
                  <w:r>
                    <w:rPr>
                      <w:rFonts w:eastAsia="Times New Roman"/>
                      <w:sz w:val="22"/>
                      <w:szCs w:val="22"/>
                    </w:rPr>
                    <w:t xml:space="preserve">22 za 100 pacientorokov </w:t>
                  </w:r>
                </w:p>
              </w:tc>
              <w:tc>
                <w:tcPr>
                  <w:tcW w:w="3722" w:type="dxa"/>
                </w:tcPr>
                <w:p w14:paraId="7D1572EF" w14:textId="77777777" w:rsidR="0036326D" w:rsidRDefault="00443AFA">
                  <w:pPr>
                    <w:pStyle w:val="Default"/>
                    <w:widowControl w:val="0"/>
                    <w:rPr>
                      <w:sz w:val="22"/>
                      <w:szCs w:val="22"/>
                    </w:rPr>
                  </w:pPr>
                  <w:r>
                    <w:rPr>
                      <w:rFonts w:eastAsia="Times New Roman"/>
                      <w:sz w:val="22"/>
                      <w:szCs w:val="22"/>
                    </w:rPr>
                    <w:t xml:space="preserve">1,4 za 100 pacientorokov </w:t>
                  </w:r>
                </w:p>
              </w:tc>
            </w:tr>
            <w:tr w:rsidR="0036326D" w14:paraId="60E95768" w14:textId="77777777" w:rsidTr="00C96A86">
              <w:trPr>
                <w:trHeight w:val="558"/>
              </w:trPr>
              <w:tc>
                <w:tcPr>
                  <w:tcW w:w="3080" w:type="dxa"/>
                </w:tcPr>
                <w:p w14:paraId="5368D1F2" w14:textId="77777777" w:rsidR="0036326D" w:rsidRDefault="00443AFA">
                  <w:pPr>
                    <w:pStyle w:val="Default"/>
                    <w:widowControl w:val="0"/>
                    <w:rPr>
                      <w:sz w:val="22"/>
                      <w:szCs w:val="22"/>
                    </w:rPr>
                  </w:pPr>
                  <w:r>
                    <w:rPr>
                      <w:rFonts w:eastAsia="Times New Roman"/>
                      <w:sz w:val="22"/>
                      <w:szCs w:val="22"/>
                    </w:rPr>
                    <w:t xml:space="preserve">Prevencia arterotrombotických príhod u pacientov s CAD/PAD </w:t>
                  </w:r>
                </w:p>
              </w:tc>
              <w:tc>
                <w:tcPr>
                  <w:tcW w:w="1840" w:type="dxa"/>
                </w:tcPr>
                <w:p w14:paraId="774B0C2C" w14:textId="77777777" w:rsidR="0036326D" w:rsidRDefault="00443AFA">
                  <w:pPr>
                    <w:pStyle w:val="Default"/>
                    <w:widowControl w:val="0"/>
                    <w:rPr>
                      <w:sz w:val="22"/>
                      <w:szCs w:val="22"/>
                    </w:rPr>
                  </w:pPr>
                  <w:r>
                    <w:rPr>
                      <w:rFonts w:eastAsia="Times New Roman"/>
                      <w:sz w:val="22"/>
                      <w:szCs w:val="22"/>
                    </w:rPr>
                    <w:t xml:space="preserve">6,7 za 100 pacientorokov </w:t>
                  </w:r>
                </w:p>
              </w:tc>
              <w:tc>
                <w:tcPr>
                  <w:tcW w:w="3722" w:type="dxa"/>
                </w:tcPr>
                <w:p w14:paraId="151EFD55" w14:textId="77777777" w:rsidR="0036326D" w:rsidRDefault="00443AFA">
                  <w:pPr>
                    <w:pStyle w:val="Default"/>
                    <w:widowControl w:val="0"/>
                    <w:rPr>
                      <w:sz w:val="22"/>
                      <w:szCs w:val="22"/>
                    </w:rPr>
                  </w:pPr>
                  <w:r>
                    <w:rPr>
                      <w:rFonts w:eastAsia="Times New Roman"/>
                      <w:sz w:val="22"/>
                      <w:szCs w:val="22"/>
                    </w:rPr>
                    <w:t xml:space="preserve">0,15 za 100 pacientorokov** </w:t>
                  </w:r>
                </w:p>
              </w:tc>
            </w:tr>
          </w:tbl>
          <w:p w14:paraId="72CB0D17" w14:textId="77777777" w:rsidR="0036326D" w:rsidRDefault="00443AFA">
            <w:pPr>
              <w:pStyle w:val="Default"/>
              <w:widowControl w:val="0"/>
              <w:rPr>
                <w:sz w:val="22"/>
                <w:szCs w:val="22"/>
              </w:rPr>
            </w:pPr>
            <w:r>
              <w:rPr>
                <w:sz w:val="22"/>
                <w:szCs w:val="22"/>
              </w:rPr>
              <w:t xml:space="preserve">* Pri všetkých štúdiách s rivaroxabánom sa zhromažďujú, hlásia a posudzujú všetky krvácavé príhody. </w:t>
            </w:r>
          </w:p>
          <w:p w14:paraId="72C2232A" w14:textId="77777777" w:rsidR="0036326D" w:rsidRDefault="00443AFA">
            <w:pPr>
              <w:widowControl w:val="0"/>
              <w:ind w:right="-252"/>
              <w:rPr>
                <w:rFonts w:ascii="Times New Roman" w:hAnsi="Times New Roman" w:cs="Times New Roman"/>
                <w:color w:val="FF0000"/>
                <w:szCs w:val="24"/>
                <w:lang w:eastAsia="el-GR"/>
              </w:rPr>
            </w:pPr>
            <w:r>
              <w:rPr>
                <w:rFonts w:ascii="Times New Roman" w:hAnsi="Times New Roman" w:cs="Times New Roman"/>
              </w:rPr>
              <w:t xml:space="preserve">** V štúdii COMPASS bol nízky výskyt anémie z dôvodu použitia selektívneho prístupu k zhromažďovaniu nežiaducich udalostí. </w:t>
            </w:r>
          </w:p>
        </w:tc>
        <w:tc>
          <w:tcPr>
            <w:tcW w:w="1559" w:type="dxa"/>
            <w:gridSpan w:val="2"/>
          </w:tcPr>
          <w:p w14:paraId="1CCBED2F" w14:textId="77777777" w:rsidR="0036326D" w:rsidRDefault="0036326D">
            <w:pPr>
              <w:widowControl w:val="0"/>
              <w:rPr>
                <w:b/>
                <w:szCs w:val="24"/>
                <w:u w:val="single"/>
                <w:lang w:eastAsia="el-GR"/>
              </w:rPr>
            </w:pPr>
          </w:p>
        </w:tc>
        <w:tc>
          <w:tcPr>
            <w:tcW w:w="239" w:type="dxa"/>
          </w:tcPr>
          <w:p w14:paraId="5656DF57" w14:textId="77777777" w:rsidR="0036326D" w:rsidRDefault="0036326D">
            <w:pPr>
              <w:widowControl w:val="0"/>
              <w:rPr>
                <w:b/>
                <w:szCs w:val="24"/>
                <w:lang w:eastAsia="el-GR"/>
              </w:rPr>
            </w:pPr>
          </w:p>
        </w:tc>
        <w:tc>
          <w:tcPr>
            <w:tcW w:w="252" w:type="dxa"/>
            <w:gridSpan w:val="2"/>
            <w:shd w:val="clear" w:color="auto" w:fill="auto"/>
          </w:tcPr>
          <w:p w14:paraId="5DC30071" w14:textId="77777777" w:rsidR="0036326D" w:rsidRDefault="0036326D">
            <w:pPr>
              <w:widowControl w:val="0"/>
              <w:rPr>
                <w:b/>
                <w:szCs w:val="24"/>
                <w:u w:val="single"/>
                <w:lang w:eastAsia="el-GR"/>
              </w:rPr>
            </w:pPr>
          </w:p>
        </w:tc>
        <w:tc>
          <w:tcPr>
            <w:tcW w:w="31" w:type="dxa"/>
          </w:tcPr>
          <w:p w14:paraId="1CF4E836" w14:textId="77777777" w:rsidR="0036326D" w:rsidRDefault="0036326D">
            <w:pPr>
              <w:widowControl w:val="0"/>
            </w:pPr>
          </w:p>
        </w:tc>
        <w:tc>
          <w:tcPr>
            <w:tcW w:w="252" w:type="dxa"/>
          </w:tcPr>
          <w:p w14:paraId="7A7D2E70" w14:textId="77777777" w:rsidR="0036326D" w:rsidRDefault="0036326D">
            <w:pPr>
              <w:widowControl w:val="0"/>
            </w:pPr>
          </w:p>
        </w:tc>
      </w:tr>
      <w:tr w:rsidR="0036326D" w14:paraId="19A9AF08" w14:textId="77777777">
        <w:trPr>
          <w:trHeight w:val="664"/>
        </w:trPr>
        <w:tc>
          <w:tcPr>
            <w:tcW w:w="9321" w:type="dxa"/>
            <w:gridSpan w:val="2"/>
          </w:tcPr>
          <w:p w14:paraId="4A6E3CE2" w14:textId="77777777" w:rsidR="0036326D" w:rsidRDefault="00443AFA">
            <w:pPr>
              <w:pStyle w:val="Default"/>
              <w:widowControl w:val="0"/>
              <w:rPr>
                <w:sz w:val="22"/>
                <w:szCs w:val="22"/>
                <w:u w:val="single"/>
              </w:rPr>
            </w:pPr>
            <w:r>
              <w:rPr>
                <w:sz w:val="22"/>
                <w:szCs w:val="22"/>
                <w:u w:val="single"/>
              </w:rPr>
              <w:t xml:space="preserve">Tabuľkový zoznam nežiaducich účinkov </w:t>
            </w:r>
          </w:p>
          <w:p w14:paraId="022294F4" w14:textId="77777777" w:rsidR="0036326D" w:rsidRDefault="00443AFA">
            <w:pPr>
              <w:widowControl w:val="0"/>
              <w:spacing w:after="0" w:line="240" w:lineRule="auto"/>
              <w:ind w:right="-6807"/>
              <w:rPr>
                <w:rFonts w:ascii="Times New Roman" w:hAnsi="Times New Roman" w:cs="Times New Roman"/>
              </w:rPr>
            </w:pPr>
            <w:r>
              <w:rPr>
                <w:rFonts w:ascii="Times New Roman" w:hAnsi="Times New Roman" w:cs="Times New Roman"/>
              </w:rPr>
              <w:t>Frekvencie nežiaducich účinkov hlásených pri rivaroxabáne sú zhrnuté nižšie v tabuľke 3 na základe</w:t>
            </w:r>
          </w:p>
          <w:p w14:paraId="03B908DF" w14:textId="77777777" w:rsidR="0036326D" w:rsidRDefault="00443AFA">
            <w:pPr>
              <w:widowControl w:val="0"/>
              <w:spacing w:after="0" w:line="240" w:lineRule="auto"/>
              <w:ind w:right="-6807"/>
              <w:rPr>
                <w:rFonts w:ascii="Times New Roman" w:hAnsi="Times New Roman" w:cs="Times New Roman"/>
              </w:rPr>
            </w:pPr>
            <w:r>
              <w:rPr>
                <w:rFonts w:ascii="Times New Roman" w:hAnsi="Times New Roman" w:cs="Times New Roman"/>
              </w:rPr>
              <w:t>triedy orgánových systémov (podľa databázy MedDRA) a podľa frekvencie.</w:t>
            </w:r>
          </w:p>
          <w:p w14:paraId="6C95F747" w14:textId="77777777" w:rsidR="0036326D" w:rsidRDefault="0036326D">
            <w:pPr>
              <w:widowControl w:val="0"/>
              <w:spacing w:after="0" w:line="240" w:lineRule="auto"/>
              <w:ind w:right="-6807"/>
              <w:rPr>
                <w:rFonts w:ascii="Times New Roman" w:hAnsi="Times New Roman" w:cs="Times New Roman"/>
              </w:rPr>
            </w:pPr>
          </w:p>
          <w:p w14:paraId="503C4C54" w14:textId="77777777" w:rsidR="0036326D" w:rsidRDefault="00443AFA">
            <w:pPr>
              <w:pStyle w:val="Default"/>
              <w:widowControl w:val="0"/>
              <w:rPr>
                <w:sz w:val="22"/>
                <w:szCs w:val="22"/>
              </w:rPr>
            </w:pPr>
            <w:r>
              <w:rPr>
                <w:sz w:val="22"/>
                <w:szCs w:val="22"/>
              </w:rPr>
              <w:t xml:space="preserve">Frekvencie sú definované ako: </w:t>
            </w:r>
          </w:p>
          <w:p w14:paraId="344912A6" w14:textId="77777777" w:rsidR="0036326D" w:rsidRDefault="00443AFA">
            <w:pPr>
              <w:pStyle w:val="Default"/>
              <w:widowControl w:val="0"/>
              <w:rPr>
                <w:sz w:val="22"/>
                <w:szCs w:val="22"/>
              </w:rPr>
            </w:pPr>
            <w:r>
              <w:rPr>
                <w:sz w:val="22"/>
                <w:szCs w:val="22"/>
              </w:rPr>
              <w:t xml:space="preserve">veľmi časté (≥1/10), </w:t>
            </w:r>
          </w:p>
          <w:p w14:paraId="725D45DD" w14:textId="77777777" w:rsidR="0036326D" w:rsidRDefault="00443AFA">
            <w:pPr>
              <w:pStyle w:val="Default"/>
              <w:widowControl w:val="0"/>
              <w:rPr>
                <w:sz w:val="22"/>
                <w:szCs w:val="22"/>
              </w:rPr>
            </w:pPr>
            <w:r>
              <w:rPr>
                <w:sz w:val="22"/>
                <w:szCs w:val="22"/>
              </w:rPr>
              <w:t xml:space="preserve">časté (≥1/100 až &lt;1/10), </w:t>
            </w:r>
          </w:p>
          <w:p w14:paraId="7F4E2E23" w14:textId="77777777" w:rsidR="0036326D" w:rsidRDefault="00443AFA">
            <w:pPr>
              <w:pStyle w:val="Default"/>
              <w:widowControl w:val="0"/>
              <w:rPr>
                <w:sz w:val="22"/>
                <w:szCs w:val="22"/>
              </w:rPr>
            </w:pPr>
            <w:r>
              <w:rPr>
                <w:sz w:val="22"/>
                <w:szCs w:val="22"/>
              </w:rPr>
              <w:t xml:space="preserve">menej časté (≥1/1 000 až &lt;1/100), </w:t>
            </w:r>
          </w:p>
          <w:p w14:paraId="754CE27B" w14:textId="77777777" w:rsidR="0036326D" w:rsidRDefault="00443AFA">
            <w:pPr>
              <w:pStyle w:val="Default"/>
              <w:widowControl w:val="0"/>
              <w:rPr>
                <w:sz w:val="22"/>
                <w:szCs w:val="22"/>
              </w:rPr>
            </w:pPr>
            <w:r>
              <w:rPr>
                <w:sz w:val="22"/>
                <w:szCs w:val="22"/>
              </w:rPr>
              <w:t xml:space="preserve">zriedkavé (≥1/10 000 až &lt;1/1 000), </w:t>
            </w:r>
          </w:p>
          <w:p w14:paraId="21998CEF" w14:textId="77777777" w:rsidR="0036326D" w:rsidRDefault="00443AFA">
            <w:pPr>
              <w:pStyle w:val="Default"/>
              <w:widowControl w:val="0"/>
              <w:rPr>
                <w:sz w:val="22"/>
                <w:szCs w:val="22"/>
              </w:rPr>
            </w:pPr>
            <w:r>
              <w:rPr>
                <w:sz w:val="22"/>
                <w:szCs w:val="22"/>
              </w:rPr>
              <w:t xml:space="preserve">veľmi zriedkavé (&lt;1/10 000), </w:t>
            </w:r>
          </w:p>
          <w:p w14:paraId="1AC0773B" w14:textId="77777777" w:rsidR="0036326D" w:rsidRDefault="00443AFA">
            <w:pPr>
              <w:widowControl w:val="0"/>
              <w:spacing w:after="0" w:line="240" w:lineRule="auto"/>
              <w:ind w:right="-6807"/>
              <w:rPr>
                <w:rFonts w:ascii="Times New Roman" w:hAnsi="Times New Roman" w:cs="Times New Roman"/>
              </w:rPr>
            </w:pPr>
            <w:r>
              <w:rPr>
                <w:rFonts w:ascii="Times New Roman" w:hAnsi="Times New Roman" w:cs="Times New Roman"/>
              </w:rPr>
              <w:t>neznáme (nie je možné odhadnúť z dostupných údajov)</w:t>
            </w:r>
          </w:p>
          <w:p w14:paraId="64AAD412" w14:textId="77777777" w:rsidR="0036326D" w:rsidRDefault="0036326D">
            <w:pPr>
              <w:widowControl w:val="0"/>
              <w:spacing w:after="0" w:line="240" w:lineRule="auto"/>
              <w:ind w:right="-6807"/>
              <w:rPr>
                <w:rFonts w:ascii="Times New Roman" w:hAnsi="Times New Roman" w:cs="Times New Roman"/>
              </w:rPr>
            </w:pPr>
          </w:p>
          <w:p w14:paraId="089694E1" w14:textId="77777777" w:rsidR="0036326D" w:rsidRDefault="00443AFA">
            <w:pPr>
              <w:widowControl w:val="0"/>
              <w:spacing w:after="0" w:line="240" w:lineRule="auto"/>
              <w:ind w:right="-6807"/>
              <w:rPr>
                <w:rFonts w:ascii="Times New Roman" w:hAnsi="Times New Roman" w:cs="Times New Roman"/>
                <w:szCs w:val="24"/>
                <w:lang w:eastAsia="el-GR"/>
              </w:rPr>
            </w:pPr>
            <w:r>
              <w:rPr>
                <w:rFonts w:ascii="Times New Roman" w:hAnsi="Times New Roman" w:cs="Times New Roman"/>
                <w:b/>
                <w:bCs/>
              </w:rPr>
              <w:t xml:space="preserve">Tabuľka 3: Všetky hlásené nežiaduce reakcie súvisiace s liečbou u pacientov v skúšaniach fázy III </w:t>
            </w:r>
          </w:p>
        </w:tc>
        <w:tc>
          <w:tcPr>
            <w:tcW w:w="1559" w:type="dxa"/>
            <w:gridSpan w:val="3"/>
          </w:tcPr>
          <w:p w14:paraId="13DA2327" w14:textId="77777777" w:rsidR="0036326D" w:rsidRDefault="0036326D">
            <w:pPr>
              <w:widowControl w:val="0"/>
              <w:rPr>
                <w:szCs w:val="24"/>
                <w:lang w:eastAsia="el-GR"/>
              </w:rPr>
            </w:pPr>
          </w:p>
        </w:tc>
        <w:tc>
          <w:tcPr>
            <w:tcW w:w="239" w:type="dxa"/>
            <w:gridSpan w:val="2"/>
          </w:tcPr>
          <w:p w14:paraId="3283577A" w14:textId="77777777" w:rsidR="0036326D" w:rsidRDefault="0036326D">
            <w:pPr>
              <w:widowControl w:val="0"/>
              <w:rPr>
                <w:szCs w:val="24"/>
                <w:lang w:eastAsia="el-GR"/>
              </w:rPr>
            </w:pPr>
          </w:p>
        </w:tc>
        <w:tc>
          <w:tcPr>
            <w:tcW w:w="252" w:type="dxa"/>
          </w:tcPr>
          <w:p w14:paraId="73BFA1A8" w14:textId="77777777" w:rsidR="0036326D" w:rsidRDefault="0036326D">
            <w:pPr>
              <w:widowControl w:val="0"/>
              <w:rPr>
                <w:szCs w:val="24"/>
                <w:lang w:eastAsia="el-GR"/>
              </w:rPr>
            </w:pPr>
          </w:p>
        </w:tc>
      </w:tr>
      <w:tr w:rsidR="0036326D" w14:paraId="3A92BB0E" w14:textId="77777777">
        <w:trPr>
          <w:trHeight w:val="274"/>
        </w:trPr>
        <w:tc>
          <w:tcPr>
            <w:tcW w:w="9038" w:type="dxa"/>
          </w:tcPr>
          <w:p w14:paraId="1DAC8945" w14:textId="77777777" w:rsidR="0036326D" w:rsidRDefault="00443AFA">
            <w:pPr>
              <w:widowControl w:val="0"/>
              <w:rPr>
                <w:rFonts w:ascii="Times New Roman" w:hAnsi="Times New Roman" w:cs="Times New Roman"/>
                <w:b/>
                <w:bCs/>
              </w:rPr>
            </w:pPr>
            <w:r>
              <w:rPr>
                <w:rFonts w:ascii="Times New Roman" w:hAnsi="Times New Roman" w:cs="Times New Roman"/>
                <w:b/>
                <w:bCs/>
              </w:rPr>
              <w:t>alebo po uvedení lieku na trh*</w:t>
            </w:r>
          </w:p>
          <w:tbl>
            <w:tblPr>
              <w:tblStyle w:val="Mriekatabuky"/>
              <w:tblW w:w="8642" w:type="dxa"/>
              <w:tblLayout w:type="fixed"/>
              <w:tblLook w:val="04A0" w:firstRow="1" w:lastRow="0" w:firstColumn="1" w:lastColumn="0" w:noHBand="0" w:noVBand="1"/>
            </w:tblPr>
            <w:tblGrid>
              <w:gridCol w:w="2260"/>
              <w:gridCol w:w="1986"/>
              <w:gridCol w:w="1561"/>
              <w:gridCol w:w="1698"/>
              <w:gridCol w:w="1137"/>
            </w:tblGrid>
            <w:tr w:rsidR="0036326D" w14:paraId="4CAFF3C3" w14:textId="77777777" w:rsidTr="00C96A86">
              <w:tc>
                <w:tcPr>
                  <w:tcW w:w="2260" w:type="dxa"/>
                  <w:shd w:val="clear" w:color="auto" w:fill="BFBFBF" w:themeFill="background1" w:themeFillShade="BF"/>
                </w:tcPr>
                <w:p w14:paraId="7F1ADADA" w14:textId="77777777" w:rsidR="0036326D" w:rsidRDefault="00443AFA">
                  <w:pPr>
                    <w:pStyle w:val="Default"/>
                    <w:widowControl w:val="0"/>
                    <w:spacing w:after="120"/>
                    <w:rPr>
                      <w:sz w:val="22"/>
                      <w:szCs w:val="22"/>
                    </w:rPr>
                  </w:pPr>
                  <w:r>
                    <w:rPr>
                      <w:rFonts w:eastAsia="Times New Roman"/>
                      <w:b/>
                      <w:bCs/>
                      <w:sz w:val="22"/>
                      <w:szCs w:val="22"/>
                    </w:rPr>
                    <w:t xml:space="preserve">Časté </w:t>
                  </w:r>
                </w:p>
              </w:tc>
              <w:tc>
                <w:tcPr>
                  <w:tcW w:w="1986" w:type="dxa"/>
                  <w:shd w:val="clear" w:color="auto" w:fill="BFBFBF" w:themeFill="background1" w:themeFillShade="BF"/>
                </w:tcPr>
                <w:p w14:paraId="444AE5A4" w14:textId="77777777" w:rsidR="0036326D" w:rsidRDefault="00443AFA">
                  <w:pPr>
                    <w:pStyle w:val="Default"/>
                    <w:widowControl w:val="0"/>
                    <w:spacing w:after="120"/>
                    <w:rPr>
                      <w:sz w:val="22"/>
                      <w:szCs w:val="22"/>
                    </w:rPr>
                  </w:pPr>
                  <w:r>
                    <w:rPr>
                      <w:rFonts w:eastAsia="Times New Roman"/>
                      <w:b/>
                      <w:bCs/>
                      <w:sz w:val="22"/>
                      <w:szCs w:val="22"/>
                    </w:rPr>
                    <w:t xml:space="preserve">Menej časté </w:t>
                  </w:r>
                </w:p>
              </w:tc>
              <w:tc>
                <w:tcPr>
                  <w:tcW w:w="1561" w:type="dxa"/>
                  <w:shd w:val="clear" w:color="auto" w:fill="BFBFBF" w:themeFill="background1" w:themeFillShade="BF"/>
                </w:tcPr>
                <w:p w14:paraId="08589594" w14:textId="77777777" w:rsidR="0036326D" w:rsidRDefault="00443AFA">
                  <w:pPr>
                    <w:pStyle w:val="Default"/>
                    <w:widowControl w:val="0"/>
                    <w:spacing w:after="120"/>
                    <w:rPr>
                      <w:sz w:val="22"/>
                      <w:szCs w:val="22"/>
                    </w:rPr>
                  </w:pPr>
                  <w:r>
                    <w:rPr>
                      <w:rFonts w:eastAsia="Times New Roman"/>
                      <w:b/>
                      <w:bCs/>
                      <w:sz w:val="22"/>
                      <w:szCs w:val="22"/>
                    </w:rPr>
                    <w:t>Zriedkavé</w:t>
                  </w:r>
                </w:p>
              </w:tc>
              <w:tc>
                <w:tcPr>
                  <w:tcW w:w="1698" w:type="dxa"/>
                  <w:shd w:val="clear" w:color="auto" w:fill="BFBFBF" w:themeFill="background1" w:themeFillShade="BF"/>
                </w:tcPr>
                <w:p w14:paraId="496F0FCE" w14:textId="77777777" w:rsidR="0036326D" w:rsidRDefault="00443AFA">
                  <w:pPr>
                    <w:pStyle w:val="Default"/>
                    <w:widowControl w:val="0"/>
                    <w:spacing w:after="120"/>
                    <w:rPr>
                      <w:sz w:val="22"/>
                      <w:szCs w:val="22"/>
                    </w:rPr>
                  </w:pPr>
                  <w:r>
                    <w:rPr>
                      <w:rFonts w:eastAsia="Times New Roman"/>
                      <w:b/>
                      <w:bCs/>
                      <w:sz w:val="22"/>
                      <w:szCs w:val="22"/>
                    </w:rPr>
                    <w:t xml:space="preserve">Veľmi zriedkavé </w:t>
                  </w:r>
                </w:p>
              </w:tc>
              <w:tc>
                <w:tcPr>
                  <w:tcW w:w="1137" w:type="dxa"/>
                  <w:shd w:val="clear" w:color="auto" w:fill="BFBFBF" w:themeFill="background1" w:themeFillShade="BF"/>
                </w:tcPr>
                <w:p w14:paraId="44BE1ECA" w14:textId="77777777" w:rsidR="0036326D" w:rsidRDefault="00443AFA">
                  <w:pPr>
                    <w:pStyle w:val="Default"/>
                    <w:widowControl w:val="0"/>
                    <w:spacing w:after="120"/>
                    <w:rPr>
                      <w:sz w:val="22"/>
                      <w:szCs w:val="22"/>
                    </w:rPr>
                  </w:pPr>
                  <w:r>
                    <w:rPr>
                      <w:rFonts w:eastAsia="Times New Roman"/>
                      <w:b/>
                      <w:bCs/>
                      <w:sz w:val="22"/>
                      <w:szCs w:val="22"/>
                    </w:rPr>
                    <w:t xml:space="preserve">Neznáme </w:t>
                  </w:r>
                </w:p>
              </w:tc>
            </w:tr>
            <w:tr w:rsidR="0036326D" w14:paraId="24545B1B" w14:textId="77777777" w:rsidTr="00C96A86">
              <w:tc>
                <w:tcPr>
                  <w:tcW w:w="8642" w:type="dxa"/>
                  <w:gridSpan w:val="5"/>
                </w:tcPr>
                <w:p w14:paraId="15276B84" w14:textId="77777777" w:rsidR="0036326D" w:rsidRDefault="00443AFA">
                  <w:pPr>
                    <w:pStyle w:val="Default"/>
                    <w:widowControl w:val="0"/>
                    <w:spacing w:after="120"/>
                    <w:rPr>
                      <w:b/>
                      <w:color w:val="auto"/>
                      <w:sz w:val="22"/>
                      <w:szCs w:val="22"/>
                    </w:rPr>
                  </w:pPr>
                  <w:r>
                    <w:rPr>
                      <w:rFonts w:eastAsia="Times New Roman"/>
                      <w:b/>
                      <w:sz w:val="22"/>
                      <w:szCs w:val="22"/>
                    </w:rPr>
                    <w:t>Poruchy krvi a lymfatického systému</w:t>
                  </w:r>
                </w:p>
              </w:tc>
            </w:tr>
            <w:tr w:rsidR="0036326D" w14:paraId="55509EBC" w14:textId="77777777" w:rsidTr="00C96A86">
              <w:tc>
                <w:tcPr>
                  <w:tcW w:w="2260" w:type="dxa"/>
                </w:tcPr>
                <w:p w14:paraId="5337DE78" w14:textId="77777777" w:rsidR="0036326D" w:rsidRDefault="00443AFA">
                  <w:pPr>
                    <w:pStyle w:val="Default"/>
                    <w:widowControl w:val="0"/>
                    <w:rPr>
                      <w:sz w:val="22"/>
                      <w:szCs w:val="22"/>
                    </w:rPr>
                  </w:pPr>
                  <w:r>
                    <w:rPr>
                      <w:rFonts w:eastAsia="Times New Roman"/>
                      <w:sz w:val="22"/>
                      <w:szCs w:val="22"/>
                    </w:rPr>
                    <w:t xml:space="preserve">Anémia (vrátane príslušných laboratórnych parametrov) </w:t>
                  </w:r>
                </w:p>
                <w:p w14:paraId="215E7C42" w14:textId="77777777" w:rsidR="0036326D" w:rsidRDefault="0036326D">
                  <w:pPr>
                    <w:pStyle w:val="Default"/>
                    <w:widowControl w:val="0"/>
                    <w:spacing w:after="120"/>
                    <w:rPr>
                      <w:sz w:val="22"/>
                      <w:szCs w:val="22"/>
                    </w:rPr>
                  </w:pPr>
                </w:p>
              </w:tc>
              <w:tc>
                <w:tcPr>
                  <w:tcW w:w="1986" w:type="dxa"/>
                </w:tcPr>
                <w:p w14:paraId="40D1C193" w14:textId="77777777" w:rsidR="0036326D" w:rsidRDefault="00443AFA">
                  <w:pPr>
                    <w:pStyle w:val="Default"/>
                    <w:widowControl w:val="0"/>
                    <w:rPr>
                      <w:sz w:val="22"/>
                      <w:szCs w:val="22"/>
                    </w:rPr>
                  </w:pPr>
                  <w:r>
                    <w:rPr>
                      <w:rFonts w:eastAsia="Times New Roman"/>
                      <w:sz w:val="22"/>
                      <w:szCs w:val="22"/>
                    </w:rPr>
                    <w:t>Trombocytóza (vrátane zvýšeného počtu trombocytov)</w:t>
                  </w:r>
                  <w:r>
                    <w:rPr>
                      <w:rFonts w:eastAsia="Times New Roman"/>
                      <w:sz w:val="22"/>
                      <w:szCs w:val="22"/>
                      <w:vertAlign w:val="superscript"/>
                    </w:rPr>
                    <w:t>A</w:t>
                  </w:r>
                  <w:r>
                    <w:rPr>
                      <w:rFonts w:eastAsia="Times New Roman"/>
                      <w:sz w:val="22"/>
                      <w:szCs w:val="22"/>
                    </w:rPr>
                    <w:t xml:space="preserve">, trombocytopénia </w:t>
                  </w:r>
                </w:p>
              </w:tc>
              <w:tc>
                <w:tcPr>
                  <w:tcW w:w="1561" w:type="dxa"/>
                </w:tcPr>
                <w:p w14:paraId="49FBF6D3" w14:textId="77777777" w:rsidR="0036326D" w:rsidRDefault="0036326D">
                  <w:pPr>
                    <w:pStyle w:val="Default"/>
                    <w:widowControl w:val="0"/>
                    <w:spacing w:after="120"/>
                    <w:rPr>
                      <w:color w:val="auto"/>
                      <w:sz w:val="22"/>
                      <w:szCs w:val="22"/>
                    </w:rPr>
                  </w:pPr>
                </w:p>
              </w:tc>
              <w:tc>
                <w:tcPr>
                  <w:tcW w:w="1698" w:type="dxa"/>
                </w:tcPr>
                <w:p w14:paraId="6238CEFF" w14:textId="77777777" w:rsidR="0036326D" w:rsidRDefault="0036326D">
                  <w:pPr>
                    <w:pStyle w:val="Default"/>
                    <w:widowControl w:val="0"/>
                    <w:spacing w:after="120"/>
                    <w:rPr>
                      <w:color w:val="auto"/>
                      <w:sz w:val="22"/>
                      <w:szCs w:val="22"/>
                    </w:rPr>
                  </w:pPr>
                </w:p>
              </w:tc>
              <w:tc>
                <w:tcPr>
                  <w:tcW w:w="1137" w:type="dxa"/>
                </w:tcPr>
                <w:p w14:paraId="3869FE61" w14:textId="77777777" w:rsidR="0036326D" w:rsidRDefault="0036326D">
                  <w:pPr>
                    <w:pStyle w:val="Default"/>
                    <w:widowControl w:val="0"/>
                    <w:spacing w:after="120"/>
                    <w:rPr>
                      <w:color w:val="auto"/>
                      <w:sz w:val="22"/>
                      <w:szCs w:val="22"/>
                    </w:rPr>
                  </w:pPr>
                </w:p>
              </w:tc>
            </w:tr>
            <w:tr w:rsidR="0036326D" w14:paraId="76F3FCAA" w14:textId="77777777" w:rsidTr="00C96A86">
              <w:tc>
                <w:tcPr>
                  <w:tcW w:w="8642" w:type="dxa"/>
                  <w:gridSpan w:val="5"/>
                </w:tcPr>
                <w:p w14:paraId="10E687CA" w14:textId="77777777" w:rsidR="0036326D" w:rsidRDefault="00443AFA">
                  <w:pPr>
                    <w:pStyle w:val="Default"/>
                    <w:widowControl w:val="0"/>
                    <w:spacing w:after="120"/>
                    <w:rPr>
                      <w:b/>
                      <w:color w:val="auto"/>
                      <w:sz w:val="22"/>
                      <w:szCs w:val="22"/>
                    </w:rPr>
                  </w:pPr>
                  <w:r>
                    <w:rPr>
                      <w:rFonts w:eastAsia="Times New Roman"/>
                      <w:b/>
                      <w:color w:val="auto"/>
                      <w:sz w:val="22"/>
                      <w:szCs w:val="22"/>
                    </w:rPr>
                    <w:t>Poruchy imunitného systému</w:t>
                  </w:r>
                </w:p>
              </w:tc>
            </w:tr>
            <w:tr w:rsidR="0036326D" w14:paraId="7E110FA5" w14:textId="77777777" w:rsidTr="00C96A86">
              <w:tc>
                <w:tcPr>
                  <w:tcW w:w="2260" w:type="dxa"/>
                </w:tcPr>
                <w:p w14:paraId="0930ED03" w14:textId="77777777" w:rsidR="0036326D" w:rsidRDefault="0036326D">
                  <w:pPr>
                    <w:pStyle w:val="Default"/>
                    <w:widowControl w:val="0"/>
                    <w:spacing w:after="120"/>
                    <w:rPr>
                      <w:color w:val="auto"/>
                      <w:sz w:val="22"/>
                      <w:szCs w:val="22"/>
                    </w:rPr>
                  </w:pPr>
                </w:p>
              </w:tc>
              <w:tc>
                <w:tcPr>
                  <w:tcW w:w="1986" w:type="dxa"/>
                </w:tcPr>
                <w:p w14:paraId="35014B41" w14:textId="77777777" w:rsidR="0036326D" w:rsidRDefault="00443AFA">
                  <w:pPr>
                    <w:pStyle w:val="Default"/>
                    <w:widowControl w:val="0"/>
                    <w:rPr>
                      <w:sz w:val="22"/>
                      <w:szCs w:val="22"/>
                    </w:rPr>
                  </w:pPr>
                  <w:r>
                    <w:rPr>
                      <w:rFonts w:eastAsia="Times New Roman"/>
                      <w:sz w:val="22"/>
                      <w:szCs w:val="22"/>
                    </w:rPr>
                    <w:t>Alergická reakcia,</w:t>
                  </w:r>
                </w:p>
                <w:p w14:paraId="0DB0DB2D" w14:textId="77777777" w:rsidR="0036326D" w:rsidRDefault="00443AFA">
                  <w:pPr>
                    <w:pStyle w:val="Default"/>
                    <w:widowControl w:val="0"/>
                    <w:spacing w:after="120"/>
                    <w:rPr>
                      <w:color w:val="auto"/>
                      <w:sz w:val="22"/>
                      <w:szCs w:val="22"/>
                    </w:rPr>
                  </w:pPr>
                  <w:r>
                    <w:rPr>
                      <w:rFonts w:eastAsia="Times New Roman"/>
                      <w:sz w:val="22"/>
                      <w:szCs w:val="22"/>
                    </w:rPr>
                    <w:t>alergická dermatitída, angioedém a alergický edém</w:t>
                  </w:r>
                </w:p>
              </w:tc>
              <w:tc>
                <w:tcPr>
                  <w:tcW w:w="1561" w:type="dxa"/>
                </w:tcPr>
                <w:p w14:paraId="54D509AA" w14:textId="77777777" w:rsidR="0036326D" w:rsidRDefault="0036326D">
                  <w:pPr>
                    <w:pStyle w:val="Default"/>
                    <w:widowControl w:val="0"/>
                    <w:spacing w:after="120"/>
                    <w:rPr>
                      <w:color w:val="auto"/>
                      <w:sz w:val="22"/>
                      <w:szCs w:val="22"/>
                    </w:rPr>
                  </w:pPr>
                </w:p>
              </w:tc>
              <w:tc>
                <w:tcPr>
                  <w:tcW w:w="1698" w:type="dxa"/>
                </w:tcPr>
                <w:p w14:paraId="0BE0A111" w14:textId="77777777" w:rsidR="0036326D" w:rsidRDefault="00443AFA">
                  <w:pPr>
                    <w:pStyle w:val="Default"/>
                    <w:widowControl w:val="0"/>
                    <w:rPr>
                      <w:sz w:val="22"/>
                      <w:szCs w:val="22"/>
                    </w:rPr>
                  </w:pPr>
                  <w:r>
                    <w:rPr>
                      <w:rFonts w:eastAsia="Times New Roman"/>
                      <w:sz w:val="22"/>
                      <w:szCs w:val="22"/>
                    </w:rPr>
                    <w:t xml:space="preserve">Anafylaktické reakcie, vrátane anafylaktického šoku </w:t>
                  </w:r>
                </w:p>
              </w:tc>
              <w:tc>
                <w:tcPr>
                  <w:tcW w:w="1137" w:type="dxa"/>
                </w:tcPr>
                <w:p w14:paraId="438FC8A4" w14:textId="77777777" w:rsidR="0036326D" w:rsidRDefault="0036326D">
                  <w:pPr>
                    <w:pStyle w:val="Default"/>
                    <w:widowControl w:val="0"/>
                    <w:spacing w:after="120"/>
                    <w:rPr>
                      <w:color w:val="auto"/>
                      <w:sz w:val="22"/>
                      <w:szCs w:val="22"/>
                    </w:rPr>
                  </w:pPr>
                </w:p>
              </w:tc>
            </w:tr>
            <w:tr w:rsidR="0036326D" w14:paraId="54B58361" w14:textId="77777777" w:rsidTr="00C96A86">
              <w:tc>
                <w:tcPr>
                  <w:tcW w:w="8642" w:type="dxa"/>
                  <w:gridSpan w:val="5"/>
                </w:tcPr>
                <w:p w14:paraId="6F922580" w14:textId="77777777" w:rsidR="0036326D" w:rsidRDefault="00443AFA">
                  <w:pPr>
                    <w:pStyle w:val="Default"/>
                    <w:widowControl w:val="0"/>
                    <w:spacing w:after="120"/>
                    <w:rPr>
                      <w:b/>
                      <w:color w:val="auto"/>
                      <w:sz w:val="22"/>
                      <w:szCs w:val="22"/>
                    </w:rPr>
                  </w:pPr>
                  <w:r>
                    <w:rPr>
                      <w:rFonts w:eastAsia="Times New Roman"/>
                      <w:b/>
                      <w:sz w:val="22"/>
                      <w:szCs w:val="22"/>
                    </w:rPr>
                    <w:t>Poruchy nervového systému</w:t>
                  </w:r>
                </w:p>
              </w:tc>
            </w:tr>
            <w:tr w:rsidR="0036326D" w14:paraId="77986958" w14:textId="77777777" w:rsidTr="00C96A86">
              <w:tc>
                <w:tcPr>
                  <w:tcW w:w="2260" w:type="dxa"/>
                </w:tcPr>
                <w:p w14:paraId="527DFF06" w14:textId="77777777" w:rsidR="0036326D" w:rsidRDefault="00443AFA">
                  <w:pPr>
                    <w:pStyle w:val="Default"/>
                    <w:widowControl w:val="0"/>
                    <w:rPr>
                      <w:sz w:val="22"/>
                      <w:szCs w:val="22"/>
                    </w:rPr>
                  </w:pPr>
                  <w:r>
                    <w:rPr>
                      <w:rFonts w:eastAsia="Times New Roman"/>
                      <w:sz w:val="22"/>
                      <w:szCs w:val="22"/>
                    </w:rPr>
                    <w:t xml:space="preserve">Závrat, bolesť hlavy </w:t>
                  </w:r>
                </w:p>
              </w:tc>
              <w:tc>
                <w:tcPr>
                  <w:tcW w:w="1986" w:type="dxa"/>
                </w:tcPr>
                <w:p w14:paraId="46AD5A67" w14:textId="77777777" w:rsidR="0036326D" w:rsidRDefault="00443AFA">
                  <w:pPr>
                    <w:pStyle w:val="Default"/>
                    <w:widowControl w:val="0"/>
                    <w:rPr>
                      <w:sz w:val="22"/>
                      <w:szCs w:val="22"/>
                    </w:rPr>
                  </w:pPr>
                  <w:r>
                    <w:rPr>
                      <w:rFonts w:eastAsia="Times New Roman"/>
                      <w:sz w:val="22"/>
                      <w:szCs w:val="22"/>
                    </w:rPr>
                    <w:t xml:space="preserve">Cerebrálna a intrakraniálna </w:t>
                  </w:r>
                  <w:r>
                    <w:rPr>
                      <w:rFonts w:eastAsia="Times New Roman"/>
                      <w:sz w:val="22"/>
                      <w:szCs w:val="22"/>
                    </w:rPr>
                    <w:lastRenderedPageBreak/>
                    <w:t xml:space="preserve">hemorágia, synkopa </w:t>
                  </w:r>
                </w:p>
              </w:tc>
              <w:tc>
                <w:tcPr>
                  <w:tcW w:w="1561" w:type="dxa"/>
                </w:tcPr>
                <w:p w14:paraId="0371F75D" w14:textId="77777777" w:rsidR="0036326D" w:rsidRDefault="0036326D">
                  <w:pPr>
                    <w:pStyle w:val="Default"/>
                    <w:widowControl w:val="0"/>
                    <w:spacing w:after="120"/>
                    <w:rPr>
                      <w:color w:val="auto"/>
                      <w:sz w:val="22"/>
                      <w:szCs w:val="22"/>
                    </w:rPr>
                  </w:pPr>
                </w:p>
              </w:tc>
              <w:tc>
                <w:tcPr>
                  <w:tcW w:w="1698" w:type="dxa"/>
                </w:tcPr>
                <w:p w14:paraId="462B6B60" w14:textId="77777777" w:rsidR="0036326D" w:rsidRDefault="0036326D">
                  <w:pPr>
                    <w:pStyle w:val="Default"/>
                    <w:widowControl w:val="0"/>
                    <w:spacing w:after="120"/>
                    <w:rPr>
                      <w:color w:val="auto"/>
                      <w:sz w:val="22"/>
                      <w:szCs w:val="22"/>
                    </w:rPr>
                  </w:pPr>
                </w:p>
              </w:tc>
              <w:tc>
                <w:tcPr>
                  <w:tcW w:w="1137" w:type="dxa"/>
                </w:tcPr>
                <w:p w14:paraId="0AC30B62" w14:textId="77777777" w:rsidR="0036326D" w:rsidRDefault="0036326D">
                  <w:pPr>
                    <w:pStyle w:val="Default"/>
                    <w:widowControl w:val="0"/>
                    <w:spacing w:after="120"/>
                    <w:rPr>
                      <w:color w:val="auto"/>
                      <w:sz w:val="22"/>
                      <w:szCs w:val="22"/>
                    </w:rPr>
                  </w:pPr>
                </w:p>
              </w:tc>
            </w:tr>
            <w:tr w:rsidR="0036326D" w14:paraId="167C720D" w14:textId="77777777" w:rsidTr="00C96A86">
              <w:tc>
                <w:tcPr>
                  <w:tcW w:w="8642" w:type="dxa"/>
                  <w:gridSpan w:val="5"/>
                </w:tcPr>
                <w:p w14:paraId="2D0E3E65" w14:textId="77777777" w:rsidR="0036326D" w:rsidRDefault="00443AFA">
                  <w:pPr>
                    <w:pStyle w:val="Default"/>
                    <w:widowControl w:val="0"/>
                    <w:spacing w:after="120"/>
                    <w:rPr>
                      <w:color w:val="auto"/>
                      <w:sz w:val="22"/>
                      <w:szCs w:val="22"/>
                    </w:rPr>
                  </w:pPr>
                  <w:r>
                    <w:rPr>
                      <w:rFonts w:eastAsia="Times New Roman"/>
                      <w:b/>
                      <w:bCs/>
                      <w:sz w:val="22"/>
                      <w:szCs w:val="22"/>
                    </w:rPr>
                    <w:t xml:space="preserve">Poruchy oka </w:t>
                  </w:r>
                </w:p>
              </w:tc>
            </w:tr>
            <w:tr w:rsidR="0036326D" w14:paraId="72DD258B" w14:textId="77777777" w:rsidTr="00C96A86">
              <w:tc>
                <w:tcPr>
                  <w:tcW w:w="2260" w:type="dxa"/>
                </w:tcPr>
                <w:p w14:paraId="3F300988" w14:textId="77777777" w:rsidR="0036326D" w:rsidRDefault="00443AFA">
                  <w:pPr>
                    <w:pStyle w:val="Default"/>
                    <w:widowControl w:val="0"/>
                    <w:rPr>
                      <w:sz w:val="22"/>
                      <w:szCs w:val="22"/>
                    </w:rPr>
                  </w:pPr>
                  <w:r>
                    <w:rPr>
                      <w:rFonts w:eastAsia="Times New Roman"/>
                      <w:sz w:val="22"/>
                      <w:szCs w:val="22"/>
                    </w:rPr>
                    <w:t xml:space="preserve">Krvácanie do oka (vrátane konjunktiválnej hemorágie) </w:t>
                  </w:r>
                </w:p>
              </w:tc>
              <w:tc>
                <w:tcPr>
                  <w:tcW w:w="1986" w:type="dxa"/>
                </w:tcPr>
                <w:p w14:paraId="30EA71B6" w14:textId="77777777" w:rsidR="0036326D" w:rsidRDefault="0036326D">
                  <w:pPr>
                    <w:pStyle w:val="Default"/>
                    <w:widowControl w:val="0"/>
                    <w:spacing w:after="120"/>
                    <w:rPr>
                      <w:color w:val="auto"/>
                      <w:sz w:val="22"/>
                      <w:szCs w:val="22"/>
                    </w:rPr>
                  </w:pPr>
                </w:p>
              </w:tc>
              <w:tc>
                <w:tcPr>
                  <w:tcW w:w="1561" w:type="dxa"/>
                </w:tcPr>
                <w:p w14:paraId="2D191BA6" w14:textId="77777777" w:rsidR="0036326D" w:rsidRDefault="0036326D">
                  <w:pPr>
                    <w:pStyle w:val="Default"/>
                    <w:widowControl w:val="0"/>
                    <w:spacing w:after="120"/>
                    <w:rPr>
                      <w:color w:val="auto"/>
                      <w:sz w:val="22"/>
                      <w:szCs w:val="22"/>
                    </w:rPr>
                  </w:pPr>
                </w:p>
              </w:tc>
              <w:tc>
                <w:tcPr>
                  <w:tcW w:w="1698" w:type="dxa"/>
                </w:tcPr>
                <w:p w14:paraId="3746828D" w14:textId="77777777" w:rsidR="0036326D" w:rsidRDefault="0036326D">
                  <w:pPr>
                    <w:pStyle w:val="Default"/>
                    <w:widowControl w:val="0"/>
                    <w:spacing w:after="120"/>
                    <w:rPr>
                      <w:color w:val="auto"/>
                      <w:sz w:val="22"/>
                      <w:szCs w:val="22"/>
                    </w:rPr>
                  </w:pPr>
                </w:p>
              </w:tc>
              <w:tc>
                <w:tcPr>
                  <w:tcW w:w="1137" w:type="dxa"/>
                </w:tcPr>
                <w:p w14:paraId="270B2D7F" w14:textId="77777777" w:rsidR="0036326D" w:rsidRDefault="0036326D">
                  <w:pPr>
                    <w:pStyle w:val="Default"/>
                    <w:widowControl w:val="0"/>
                    <w:spacing w:after="120"/>
                    <w:rPr>
                      <w:color w:val="auto"/>
                      <w:sz w:val="22"/>
                      <w:szCs w:val="22"/>
                    </w:rPr>
                  </w:pPr>
                </w:p>
              </w:tc>
            </w:tr>
            <w:tr w:rsidR="0036326D" w14:paraId="09EE2070" w14:textId="77777777" w:rsidTr="00C96A86">
              <w:tc>
                <w:tcPr>
                  <w:tcW w:w="8642" w:type="dxa"/>
                  <w:gridSpan w:val="5"/>
                </w:tcPr>
                <w:p w14:paraId="28F63F7B" w14:textId="77777777" w:rsidR="0036326D" w:rsidRDefault="00443AFA">
                  <w:pPr>
                    <w:pStyle w:val="Default"/>
                    <w:widowControl w:val="0"/>
                    <w:rPr>
                      <w:sz w:val="22"/>
                      <w:szCs w:val="22"/>
                    </w:rPr>
                  </w:pPr>
                  <w:r>
                    <w:rPr>
                      <w:rFonts w:eastAsia="Times New Roman"/>
                      <w:b/>
                      <w:bCs/>
                      <w:sz w:val="22"/>
                      <w:szCs w:val="22"/>
                    </w:rPr>
                    <w:t xml:space="preserve">Poruchy srdca a srdcovej činnosti </w:t>
                  </w:r>
                </w:p>
              </w:tc>
            </w:tr>
            <w:tr w:rsidR="0036326D" w14:paraId="6411119F" w14:textId="77777777" w:rsidTr="00C96A86">
              <w:tc>
                <w:tcPr>
                  <w:tcW w:w="2260" w:type="dxa"/>
                </w:tcPr>
                <w:p w14:paraId="0F5F187F" w14:textId="77777777" w:rsidR="0036326D" w:rsidRDefault="0036326D">
                  <w:pPr>
                    <w:pStyle w:val="Default"/>
                    <w:widowControl w:val="0"/>
                    <w:spacing w:after="120"/>
                    <w:rPr>
                      <w:color w:val="auto"/>
                      <w:sz w:val="22"/>
                      <w:szCs w:val="22"/>
                    </w:rPr>
                  </w:pPr>
                </w:p>
              </w:tc>
              <w:tc>
                <w:tcPr>
                  <w:tcW w:w="1986" w:type="dxa"/>
                </w:tcPr>
                <w:p w14:paraId="4E3B6F44" w14:textId="77777777" w:rsidR="0036326D" w:rsidRDefault="00443AFA">
                  <w:pPr>
                    <w:pStyle w:val="Default"/>
                    <w:widowControl w:val="0"/>
                    <w:spacing w:after="120"/>
                    <w:rPr>
                      <w:sz w:val="22"/>
                      <w:szCs w:val="22"/>
                    </w:rPr>
                  </w:pPr>
                  <w:r>
                    <w:rPr>
                      <w:rFonts w:eastAsia="Times New Roman"/>
                      <w:sz w:val="22"/>
                      <w:szCs w:val="22"/>
                    </w:rPr>
                    <w:t xml:space="preserve">Tachykardia </w:t>
                  </w:r>
                </w:p>
              </w:tc>
              <w:tc>
                <w:tcPr>
                  <w:tcW w:w="1561" w:type="dxa"/>
                </w:tcPr>
                <w:p w14:paraId="59286735" w14:textId="77777777" w:rsidR="0036326D" w:rsidRDefault="0036326D">
                  <w:pPr>
                    <w:pStyle w:val="Default"/>
                    <w:widowControl w:val="0"/>
                    <w:spacing w:after="120"/>
                    <w:rPr>
                      <w:color w:val="auto"/>
                      <w:sz w:val="22"/>
                      <w:szCs w:val="22"/>
                    </w:rPr>
                  </w:pPr>
                </w:p>
              </w:tc>
              <w:tc>
                <w:tcPr>
                  <w:tcW w:w="1698" w:type="dxa"/>
                </w:tcPr>
                <w:p w14:paraId="7E0C3E7B" w14:textId="77777777" w:rsidR="0036326D" w:rsidRDefault="0036326D">
                  <w:pPr>
                    <w:pStyle w:val="Default"/>
                    <w:widowControl w:val="0"/>
                    <w:spacing w:after="120"/>
                    <w:rPr>
                      <w:color w:val="auto"/>
                      <w:sz w:val="22"/>
                      <w:szCs w:val="22"/>
                    </w:rPr>
                  </w:pPr>
                </w:p>
              </w:tc>
              <w:tc>
                <w:tcPr>
                  <w:tcW w:w="1137" w:type="dxa"/>
                </w:tcPr>
                <w:p w14:paraId="36C5F9E8" w14:textId="77777777" w:rsidR="0036326D" w:rsidRDefault="0036326D">
                  <w:pPr>
                    <w:pStyle w:val="Default"/>
                    <w:widowControl w:val="0"/>
                    <w:spacing w:after="120"/>
                    <w:rPr>
                      <w:color w:val="auto"/>
                      <w:sz w:val="22"/>
                      <w:szCs w:val="22"/>
                    </w:rPr>
                  </w:pPr>
                </w:p>
              </w:tc>
            </w:tr>
            <w:tr w:rsidR="0036326D" w14:paraId="43FB2D67" w14:textId="77777777" w:rsidTr="00C96A86">
              <w:tc>
                <w:tcPr>
                  <w:tcW w:w="8642" w:type="dxa"/>
                  <w:gridSpan w:val="5"/>
                </w:tcPr>
                <w:p w14:paraId="7DDDE084" w14:textId="77777777" w:rsidR="0036326D" w:rsidRDefault="00443AFA">
                  <w:pPr>
                    <w:pStyle w:val="Default"/>
                    <w:widowControl w:val="0"/>
                    <w:rPr>
                      <w:sz w:val="22"/>
                      <w:szCs w:val="22"/>
                    </w:rPr>
                  </w:pPr>
                  <w:r>
                    <w:rPr>
                      <w:rFonts w:eastAsia="Times New Roman"/>
                      <w:b/>
                      <w:bCs/>
                      <w:sz w:val="22"/>
                      <w:szCs w:val="22"/>
                    </w:rPr>
                    <w:t xml:space="preserve">Poruchy ciev </w:t>
                  </w:r>
                </w:p>
              </w:tc>
            </w:tr>
            <w:tr w:rsidR="0036326D" w14:paraId="0CD541E0" w14:textId="77777777" w:rsidTr="00C96A86">
              <w:tc>
                <w:tcPr>
                  <w:tcW w:w="2260" w:type="dxa"/>
                </w:tcPr>
                <w:p w14:paraId="16098F3A" w14:textId="77777777" w:rsidR="0036326D" w:rsidRDefault="00443AFA">
                  <w:pPr>
                    <w:pStyle w:val="Default"/>
                    <w:widowControl w:val="0"/>
                    <w:rPr>
                      <w:sz w:val="22"/>
                      <w:szCs w:val="22"/>
                    </w:rPr>
                  </w:pPr>
                  <w:r>
                    <w:rPr>
                      <w:rFonts w:eastAsia="Times New Roman"/>
                      <w:sz w:val="22"/>
                      <w:szCs w:val="22"/>
                    </w:rPr>
                    <w:t xml:space="preserve">Hypotenzia, hematóm </w:t>
                  </w:r>
                </w:p>
              </w:tc>
              <w:tc>
                <w:tcPr>
                  <w:tcW w:w="1986" w:type="dxa"/>
                </w:tcPr>
                <w:p w14:paraId="07C87080" w14:textId="77777777" w:rsidR="0036326D" w:rsidRDefault="0036326D">
                  <w:pPr>
                    <w:pStyle w:val="Default"/>
                    <w:widowControl w:val="0"/>
                    <w:spacing w:after="120"/>
                    <w:rPr>
                      <w:color w:val="auto"/>
                      <w:sz w:val="22"/>
                      <w:szCs w:val="22"/>
                    </w:rPr>
                  </w:pPr>
                </w:p>
              </w:tc>
              <w:tc>
                <w:tcPr>
                  <w:tcW w:w="1561" w:type="dxa"/>
                </w:tcPr>
                <w:p w14:paraId="2F909C78" w14:textId="77777777" w:rsidR="0036326D" w:rsidRDefault="0036326D">
                  <w:pPr>
                    <w:pStyle w:val="Default"/>
                    <w:widowControl w:val="0"/>
                    <w:spacing w:after="120"/>
                    <w:rPr>
                      <w:color w:val="auto"/>
                      <w:sz w:val="22"/>
                      <w:szCs w:val="22"/>
                    </w:rPr>
                  </w:pPr>
                </w:p>
              </w:tc>
              <w:tc>
                <w:tcPr>
                  <w:tcW w:w="1698" w:type="dxa"/>
                </w:tcPr>
                <w:p w14:paraId="59CF6363" w14:textId="77777777" w:rsidR="0036326D" w:rsidRDefault="0036326D">
                  <w:pPr>
                    <w:pStyle w:val="Default"/>
                    <w:widowControl w:val="0"/>
                    <w:spacing w:after="120"/>
                    <w:rPr>
                      <w:color w:val="auto"/>
                      <w:sz w:val="22"/>
                      <w:szCs w:val="22"/>
                    </w:rPr>
                  </w:pPr>
                </w:p>
              </w:tc>
              <w:tc>
                <w:tcPr>
                  <w:tcW w:w="1137" w:type="dxa"/>
                </w:tcPr>
                <w:p w14:paraId="0424A4DC" w14:textId="77777777" w:rsidR="0036326D" w:rsidRDefault="0036326D">
                  <w:pPr>
                    <w:pStyle w:val="Default"/>
                    <w:widowControl w:val="0"/>
                    <w:spacing w:after="120"/>
                    <w:rPr>
                      <w:color w:val="auto"/>
                      <w:sz w:val="22"/>
                      <w:szCs w:val="22"/>
                    </w:rPr>
                  </w:pPr>
                </w:p>
              </w:tc>
            </w:tr>
            <w:tr w:rsidR="0036326D" w14:paraId="5B3F485A" w14:textId="77777777" w:rsidTr="00C96A86">
              <w:tc>
                <w:tcPr>
                  <w:tcW w:w="8642" w:type="dxa"/>
                  <w:gridSpan w:val="5"/>
                </w:tcPr>
                <w:p w14:paraId="6C4CD975" w14:textId="77777777" w:rsidR="0036326D" w:rsidRDefault="00443AFA">
                  <w:pPr>
                    <w:pStyle w:val="Default"/>
                    <w:widowControl w:val="0"/>
                    <w:rPr>
                      <w:sz w:val="22"/>
                      <w:szCs w:val="22"/>
                    </w:rPr>
                  </w:pPr>
                  <w:r>
                    <w:rPr>
                      <w:rFonts w:eastAsia="Times New Roman"/>
                      <w:b/>
                      <w:bCs/>
                      <w:sz w:val="22"/>
                      <w:szCs w:val="22"/>
                    </w:rPr>
                    <w:t xml:space="preserve">Poruchy dýchacej sústavy, hrudníka a mediastína </w:t>
                  </w:r>
                </w:p>
              </w:tc>
            </w:tr>
            <w:tr w:rsidR="0036326D" w14:paraId="249005C2" w14:textId="77777777" w:rsidTr="00C96A86">
              <w:tc>
                <w:tcPr>
                  <w:tcW w:w="2260" w:type="dxa"/>
                </w:tcPr>
                <w:p w14:paraId="25C77F6F" w14:textId="77777777" w:rsidR="0036326D" w:rsidRDefault="00443AFA">
                  <w:pPr>
                    <w:pStyle w:val="Default"/>
                    <w:widowControl w:val="0"/>
                    <w:rPr>
                      <w:sz w:val="22"/>
                      <w:szCs w:val="22"/>
                    </w:rPr>
                  </w:pPr>
                  <w:r>
                    <w:rPr>
                      <w:rFonts w:eastAsia="Times New Roman"/>
                      <w:sz w:val="22"/>
                      <w:szCs w:val="22"/>
                    </w:rPr>
                    <w:t xml:space="preserve">Krvácanie z nosa, </w:t>
                  </w:r>
                </w:p>
                <w:p w14:paraId="71709DE3" w14:textId="77777777" w:rsidR="0036326D" w:rsidRDefault="00443AFA">
                  <w:pPr>
                    <w:pStyle w:val="Default"/>
                    <w:widowControl w:val="0"/>
                    <w:spacing w:after="120"/>
                    <w:rPr>
                      <w:color w:val="auto"/>
                      <w:sz w:val="22"/>
                      <w:szCs w:val="22"/>
                    </w:rPr>
                  </w:pPr>
                  <w:r>
                    <w:rPr>
                      <w:rFonts w:eastAsia="Times New Roman"/>
                      <w:sz w:val="22"/>
                      <w:szCs w:val="22"/>
                    </w:rPr>
                    <w:t xml:space="preserve">hemoptýza </w:t>
                  </w:r>
                </w:p>
              </w:tc>
              <w:tc>
                <w:tcPr>
                  <w:tcW w:w="1986" w:type="dxa"/>
                </w:tcPr>
                <w:p w14:paraId="08660222" w14:textId="77777777" w:rsidR="0036326D" w:rsidRDefault="0036326D">
                  <w:pPr>
                    <w:pStyle w:val="Default"/>
                    <w:widowControl w:val="0"/>
                    <w:spacing w:after="120"/>
                    <w:rPr>
                      <w:color w:val="auto"/>
                      <w:sz w:val="22"/>
                      <w:szCs w:val="22"/>
                    </w:rPr>
                  </w:pPr>
                </w:p>
              </w:tc>
              <w:tc>
                <w:tcPr>
                  <w:tcW w:w="1561" w:type="dxa"/>
                </w:tcPr>
                <w:p w14:paraId="4C6C7EC9" w14:textId="77777777" w:rsidR="0036326D" w:rsidRDefault="0036326D">
                  <w:pPr>
                    <w:pStyle w:val="Default"/>
                    <w:widowControl w:val="0"/>
                    <w:spacing w:after="120"/>
                    <w:rPr>
                      <w:color w:val="auto"/>
                      <w:sz w:val="22"/>
                      <w:szCs w:val="22"/>
                    </w:rPr>
                  </w:pPr>
                </w:p>
              </w:tc>
              <w:tc>
                <w:tcPr>
                  <w:tcW w:w="1698" w:type="dxa"/>
                </w:tcPr>
                <w:p w14:paraId="7948B3D7" w14:textId="77777777" w:rsidR="0036326D" w:rsidRDefault="0036326D">
                  <w:pPr>
                    <w:pStyle w:val="Default"/>
                    <w:widowControl w:val="0"/>
                    <w:spacing w:after="120"/>
                    <w:rPr>
                      <w:color w:val="auto"/>
                      <w:sz w:val="22"/>
                      <w:szCs w:val="22"/>
                    </w:rPr>
                  </w:pPr>
                </w:p>
              </w:tc>
              <w:tc>
                <w:tcPr>
                  <w:tcW w:w="1137" w:type="dxa"/>
                </w:tcPr>
                <w:p w14:paraId="7528429A" w14:textId="77777777" w:rsidR="0036326D" w:rsidRDefault="0036326D">
                  <w:pPr>
                    <w:pStyle w:val="Default"/>
                    <w:widowControl w:val="0"/>
                    <w:spacing w:after="120"/>
                    <w:rPr>
                      <w:color w:val="auto"/>
                      <w:sz w:val="22"/>
                      <w:szCs w:val="22"/>
                    </w:rPr>
                  </w:pPr>
                </w:p>
              </w:tc>
            </w:tr>
            <w:tr w:rsidR="0036326D" w14:paraId="72F042D3" w14:textId="77777777" w:rsidTr="00C96A86">
              <w:tc>
                <w:tcPr>
                  <w:tcW w:w="8642" w:type="dxa"/>
                  <w:gridSpan w:val="5"/>
                </w:tcPr>
                <w:p w14:paraId="4439A809" w14:textId="77777777" w:rsidR="0036326D" w:rsidRDefault="00443AFA">
                  <w:pPr>
                    <w:pStyle w:val="Default"/>
                    <w:widowControl w:val="0"/>
                    <w:rPr>
                      <w:sz w:val="22"/>
                      <w:szCs w:val="22"/>
                    </w:rPr>
                  </w:pPr>
                  <w:r>
                    <w:rPr>
                      <w:rFonts w:eastAsia="Times New Roman"/>
                      <w:b/>
                      <w:bCs/>
                      <w:sz w:val="22"/>
                      <w:szCs w:val="22"/>
                    </w:rPr>
                    <w:t xml:space="preserve">Poruchy gastrointestinálneho traktu </w:t>
                  </w:r>
                </w:p>
              </w:tc>
            </w:tr>
            <w:tr w:rsidR="0036326D" w14:paraId="03EFB2A0" w14:textId="77777777" w:rsidTr="00C96A86">
              <w:tc>
                <w:tcPr>
                  <w:tcW w:w="2260" w:type="dxa"/>
                </w:tcPr>
                <w:tbl>
                  <w:tblPr>
                    <w:tblW w:w="2297" w:type="dxa"/>
                    <w:tblLayout w:type="fixed"/>
                    <w:tblLook w:val="0000" w:firstRow="0" w:lastRow="0" w:firstColumn="0" w:lastColumn="0" w:noHBand="0" w:noVBand="0"/>
                  </w:tblPr>
                  <w:tblGrid>
                    <w:gridCol w:w="2061"/>
                    <w:gridCol w:w="236"/>
                  </w:tblGrid>
                  <w:tr w:rsidR="0036326D" w14:paraId="1ED767E8" w14:textId="77777777">
                    <w:trPr>
                      <w:trHeight w:val="2882"/>
                    </w:trPr>
                    <w:tc>
                      <w:tcPr>
                        <w:tcW w:w="2061" w:type="dxa"/>
                      </w:tcPr>
                      <w:p w14:paraId="06408587" w14:textId="77777777" w:rsidR="0036326D" w:rsidRDefault="00443AFA">
                        <w:pPr>
                          <w:pStyle w:val="Default"/>
                          <w:widowControl w:val="0"/>
                          <w:rPr>
                            <w:sz w:val="14"/>
                            <w:szCs w:val="14"/>
                          </w:rPr>
                        </w:pPr>
                        <w:r>
                          <w:rPr>
                            <w:sz w:val="22"/>
                            <w:szCs w:val="22"/>
                          </w:rPr>
                          <w:t>Krvácanie z ďasien,  krvácanie do gastrointestinálneho traktu (vrátane krvácania z konečníka), bolesť brucha a bolesť v gastrointestinálnom trakte, dyspepsia, nauzea, zápcha</w:t>
                        </w:r>
                        <w:r>
                          <w:rPr>
                            <w:sz w:val="22"/>
                            <w:szCs w:val="22"/>
                            <w:vertAlign w:val="superscript"/>
                          </w:rPr>
                          <w:t>A</w:t>
                        </w:r>
                        <w:r>
                          <w:rPr>
                            <w:sz w:val="22"/>
                            <w:szCs w:val="22"/>
                          </w:rPr>
                          <w:t>, hnačka, vracanie</w:t>
                        </w:r>
                        <w:r>
                          <w:rPr>
                            <w:sz w:val="22"/>
                            <w:szCs w:val="22"/>
                            <w:vertAlign w:val="superscript"/>
                          </w:rPr>
                          <w:t>A</w:t>
                        </w:r>
                        <w:r>
                          <w:rPr>
                            <w:sz w:val="14"/>
                            <w:szCs w:val="14"/>
                          </w:rPr>
                          <w:t xml:space="preserve"> </w:t>
                        </w:r>
                      </w:p>
                    </w:tc>
                    <w:tc>
                      <w:tcPr>
                        <w:tcW w:w="235" w:type="dxa"/>
                      </w:tcPr>
                      <w:p w14:paraId="744F3CAB" w14:textId="77777777" w:rsidR="0036326D" w:rsidRDefault="0036326D">
                        <w:pPr>
                          <w:pStyle w:val="Default"/>
                          <w:widowControl w:val="0"/>
                          <w:spacing w:after="120"/>
                          <w:rPr>
                            <w:sz w:val="22"/>
                            <w:szCs w:val="22"/>
                          </w:rPr>
                        </w:pPr>
                      </w:p>
                    </w:tc>
                  </w:tr>
                </w:tbl>
                <w:p w14:paraId="48B9E574" w14:textId="77777777" w:rsidR="0036326D" w:rsidRDefault="0036326D">
                  <w:pPr>
                    <w:pStyle w:val="Default"/>
                    <w:widowControl w:val="0"/>
                    <w:spacing w:after="120"/>
                    <w:rPr>
                      <w:color w:val="auto"/>
                      <w:sz w:val="22"/>
                      <w:szCs w:val="22"/>
                    </w:rPr>
                  </w:pPr>
                </w:p>
              </w:tc>
              <w:tc>
                <w:tcPr>
                  <w:tcW w:w="1986" w:type="dxa"/>
                </w:tcPr>
                <w:p w14:paraId="1EA4797F" w14:textId="77777777" w:rsidR="0036326D" w:rsidRDefault="00443AFA">
                  <w:pPr>
                    <w:pStyle w:val="Default"/>
                    <w:widowControl w:val="0"/>
                    <w:rPr>
                      <w:sz w:val="22"/>
                      <w:szCs w:val="22"/>
                    </w:rPr>
                  </w:pPr>
                  <w:r>
                    <w:rPr>
                      <w:rFonts w:eastAsia="Times New Roman"/>
                      <w:sz w:val="22"/>
                      <w:szCs w:val="22"/>
                    </w:rPr>
                    <w:t xml:space="preserve">Sucho v ústach </w:t>
                  </w:r>
                </w:p>
                <w:p w14:paraId="26D5B543" w14:textId="77777777" w:rsidR="0036326D" w:rsidRDefault="0036326D">
                  <w:pPr>
                    <w:pStyle w:val="Default"/>
                    <w:widowControl w:val="0"/>
                    <w:spacing w:after="120"/>
                    <w:rPr>
                      <w:color w:val="auto"/>
                      <w:sz w:val="22"/>
                      <w:szCs w:val="22"/>
                    </w:rPr>
                  </w:pPr>
                </w:p>
              </w:tc>
              <w:tc>
                <w:tcPr>
                  <w:tcW w:w="1561" w:type="dxa"/>
                </w:tcPr>
                <w:p w14:paraId="6F9780B0" w14:textId="77777777" w:rsidR="0036326D" w:rsidRDefault="0036326D">
                  <w:pPr>
                    <w:pStyle w:val="Default"/>
                    <w:widowControl w:val="0"/>
                    <w:spacing w:after="120"/>
                    <w:rPr>
                      <w:color w:val="auto"/>
                      <w:sz w:val="22"/>
                      <w:szCs w:val="22"/>
                    </w:rPr>
                  </w:pPr>
                </w:p>
              </w:tc>
              <w:tc>
                <w:tcPr>
                  <w:tcW w:w="1698" w:type="dxa"/>
                </w:tcPr>
                <w:p w14:paraId="2230C65E" w14:textId="77777777" w:rsidR="0036326D" w:rsidRDefault="0036326D">
                  <w:pPr>
                    <w:pStyle w:val="Default"/>
                    <w:widowControl w:val="0"/>
                    <w:spacing w:after="120"/>
                    <w:rPr>
                      <w:color w:val="auto"/>
                      <w:sz w:val="22"/>
                      <w:szCs w:val="22"/>
                    </w:rPr>
                  </w:pPr>
                </w:p>
              </w:tc>
              <w:tc>
                <w:tcPr>
                  <w:tcW w:w="1137" w:type="dxa"/>
                </w:tcPr>
                <w:p w14:paraId="4436C350" w14:textId="77777777" w:rsidR="0036326D" w:rsidRDefault="0036326D">
                  <w:pPr>
                    <w:pStyle w:val="Default"/>
                    <w:widowControl w:val="0"/>
                    <w:spacing w:after="120"/>
                    <w:rPr>
                      <w:color w:val="auto"/>
                      <w:sz w:val="22"/>
                      <w:szCs w:val="22"/>
                    </w:rPr>
                  </w:pPr>
                </w:p>
              </w:tc>
            </w:tr>
            <w:tr w:rsidR="0036326D" w14:paraId="4614B15B" w14:textId="77777777" w:rsidTr="00C96A86">
              <w:tc>
                <w:tcPr>
                  <w:tcW w:w="8642" w:type="dxa"/>
                  <w:gridSpan w:val="5"/>
                </w:tcPr>
                <w:p w14:paraId="1DA46072" w14:textId="77777777" w:rsidR="0036326D" w:rsidRDefault="00443AFA">
                  <w:pPr>
                    <w:pStyle w:val="Default"/>
                    <w:widowControl w:val="0"/>
                    <w:rPr>
                      <w:sz w:val="22"/>
                      <w:szCs w:val="22"/>
                    </w:rPr>
                  </w:pPr>
                  <w:r>
                    <w:rPr>
                      <w:rFonts w:eastAsia="Times New Roman"/>
                      <w:b/>
                      <w:bCs/>
                      <w:sz w:val="22"/>
                      <w:szCs w:val="22"/>
                    </w:rPr>
                    <w:t xml:space="preserve">Poruchy pečene a žlčových ciest </w:t>
                  </w:r>
                </w:p>
              </w:tc>
            </w:tr>
            <w:tr w:rsidR="0036326D" w14:paraId="0FAD97F8" w14:textId="77777777" w:rsidTr="00C96A86">
              <w:tc>
                <w:tcPr>
                  <w:tcW w:w="2260" w:type="dxa"/>
                </w:tcPr>
                <w:p w14:paraId="22E4D5E3" w14:textId="77777777" w:rsidR="0036326D" w:rsidRDefault="00443AFA">
                  <w:pPr>
                    <w:pStyle w:val="Default"/>
                    <w:widowControl w:val="0"/>
                    <w:rPr>
                      <w:sz w:val="22"/>
                      <w:szCs w:val="22"/>
                    </w:rPr>
                  </w:pPr>
                  <w:r>
                    <w:rPr>
                      <w:rFonts w:eastAsia="Times New Roman"/>
                      <w:sz w:val="22"/>
                      <w:szCs w:val="22"/>
                    </w:rPr>
                    <w:t xml:space="preserve">Zvýšené transaminázy </w:t>
                  </w:r>
                </w:p>
              </w:tc>
              <w:tc>
                <w:tcPr>
                  <w:tcW w:w="1986" w:type="dxa"/>
                </w:tcPr>
                <w:p w14:paraId="3FEE3989" w14:textId="77777777" w:rsidR="0036326D" w:rsidRDefault="00443AFA">
                  <w:pPr>
                    <w:pStyle w:val="Default"/>
                    <w:widowControl w:val="0"/>
                    <w:rPr>
                      <w:sz w:val="14"/>
                      <w:szCs w:val="14"/>
                    </w:rPr>
                  </w:pPr>
                  <w:r>
                    <w:rPr>
                      <w:rFonts w:eastAsia="Times New Roman"/>
                      <w:sz w:val="22"/>
                      <w:szCs w:val="22"/>
                    </w:rPr>
                    <w:t>Porucha funkcie pečene, zvýšený bilirubín, zvýšená alkalická fosfatáza v krvi</w:t>
                  </w:r>
                  <w:r>
                    <w:rPr>
                      <w:rFonts w:eastAsia="Times New Roman"/>
                      <w:sz w:val="22"/>
                      <w:szCs w:val="22"/>
                      <w:vertAlign w:val="superscript"/>
                    </w:rPr>
                    <w:t>A</w:t>
                  </w:r>
                  <w:r>
                    <w:rPr>
                      <w:rFonts w:eastAsia="Times New Roman"/>
                      <w:sz w:val="22"/>
                      <w:szCs w:val="22"/>
                    </w:rPr>
                    <w:t>, zvýšená GGT</w:t>
                  </w:r>
                  <w:r>
                    <w:rPr>
                      <w:rFonts w:eastAsia="Times New Roman"/>
                      <w:sz w:val="22"/>
                      <w:szCs w:val="22"/>
                      <w:vertAlign w:val="superscript"/>
                    </w:rPr>
                    <w:t xml:space="preserve">A </w:t>
                  </w:r>
                </w:p>
              </w:tc>
              <w:tc>
                <w:tcPr>
                  <w:tcW w:w="1561" w:type="dxa"/>
                </w:tcPr>
                <w:p w14:paraId="31220EF8" w14:textId="77777777" w:rsidR="0036326D" w:rsidRDefault="00443AFA">
                  <w:pPr>
                    <w:pStyle w:val="Default"/>
                    <w:widowControl w:val="0"/>
                    <w:rPr>
                      <w:sz w:val="22"/>
                      <w:szCs w:val="22"/>
                    </w:rPr>
                  </w:pPr>
                  <w:r>
                    <w:rPr>
                      <w:rFonts w:eastAsia="Times New Roman"/>
                      <w:sz w:val="22"/>
                      <w:szCs w:val="22"/>
                    </w:rPr>
                    <w:t xml:space="preserve">Žltačka, zvýšený konjugovaný bilirubín (so súčasným zvýšením ALT alebo bez neho), cholestáza, hepatitída (vrátane hepato-celulárneho poškodenia) </w:t>
                  </w:r>
                </w:p>
              </w:tc>
              <w:tc>
                <w:tcPr>
                  <w:tcW w:w="1698" w:type="dxa"/>
                </w:tcPr>
                <w:p w14:paraId="02A4FD8A" w14:textId="77777777" w:rsidR="0036326D" w:rsidRDefault="0036326D">
                  <w:pPr>
                    <w:pStyle w:val="Default"/>
                    <w:widowControl w:val="0"/>
                    <w:spacing w:after="120"/>
                    <w:rPr>
                      <w:color w:val="auto"/>
                      <w:sz w:val="22"/>
                      <w:szCs w:val="22"/>
                    </w:rPr>
                  </w:pPr>
                </w:p>
              </w:tc>
              <w:tc>
                <w:tcPr>
                  <w:tcW w:w="1137" w:type="dxa"/>
                </w:tcPr>
                <w:p w14:paraId="0E9F4884" w14:textId="77777777" w:rsidR="0036326D" w:rsidRDefault="0036326D">
                  <w:pPr>
                    <w:pStyle w:val="Default"/>
                    <w:widowControl w:val="0"/>
                    <w:spacing w:after="120"/>
                    <w:rPr>
                      <w:color w:val="auto"/>
                      <w:sz w:val="22"/>
                      <w:szCs w:val="22"/>
                    </w:rPr>
                  </w:pPr>
                </w:p>
              </w:tc>
            </w:tr>
            <w:tr w:rsidR="0036326D" w14:paraId="07414345" w14:textId="77777777" w:rsidTr="00C96A86">
              <w:tc>
                <w:tcPr>
                  <w:tcW w:w="8642" w:type="dxa"/>
                  <w:gridSpan w:val="5"/>
                </w:tcPr>
                <w:p w14:paraId="11ABCF6D" w14:textId="77777777" w:rsidR="0036326D" w:rsidRDefault="00443AFA">
                  <w:pPr>
                    <w:pStyle w:val="Default"/>
                    <w:widowControl w:val="0"/>
                    <w:rPr>
                      <w:sz w:val="22"/>
                      <w:szCs w:val="22"/>
                    </w:rPr>
                  </w:pPr>
                  <w:r>
                    <w:rPr>
                      <w:rFonts w:eastAsia="Times New Roman"/>
                      <w:b/>
                      <w:bCs/>
                      <w:sz w:val="22"/>
                      <w:szCs w:val="22"/>
                    </w:rPr>
                    <w:t xml:space="preserve">Poruchy kože a podkožného tkaniva </w:t>
                  </w:r>
                </w:p>
              </w:tc>
            </w:tr>
            <w:tr w:rsidR="0036326D" w14:paraId="66F4B521" w14:textId="77777777" w:rsidTr="00C96A86">
              <w:tc>
                <w:tcPr>
                  <w:tcW w:w="2260" w:type="dxa"/>
                </w:tcPr>
                <w:p w14:paraId="6DBE6A28" w14:textId="77777777" w:rsidR="0036326D" w:rsidRDefault="00443AFA">
                  <w:pPr>
                    <w:pStyle w:val="Default"/>
                    <w:widowControl w:val="0"/>
                    <w:rPr>
                      <w:sz w:val="22"/>
                      <w:szCs w:val="22"/>
                    </w:rPr>
                  </w:pPr>
                  <w:r>
                    <w:rPr>
                      <w:rFonts w:eastAsia="Times New Roman"/>
                      <w:sz w:val="22"/>
                      <w:szCs w:val="22"/>
                    </w:rPr>
                    <w:t xml:space="preserve">Pruritus (vrátane menej častých prípadov generalizovaného pruritu), vyrážka, ekchymóza, krvácanie do kože a podkožné krvácanie </w:t>
                  </w:r>
                </w:p>
              </w:tc>
              <w:tc>
                <w:tcPr>
                  <w:tcW w:w="1986" w:type="dxa"/>
                </w:tcPr>
                <w:p w14:paraId="3CFB744C" w14:textId="77777777" w:rsidR="0036326D" w:rsidRDefault="00443AFA">
                  <w:pPr>
                    <w:pStyle w:val="Default"/>
                    <w:widowControl w:val="0"/>
                    <w:rPr>
                      <w:sz w:val="22"/>
                      <w:szCs w:val="22"/>
                    </w:rPr>
                  </w:pPr>
                  <w:r>
                    <w:rPr>
                      <w:rFonts w:eastAsia="Times New Roman"/>
                      <w:sz w:val="22"/>
                      <w:szCs w:val="22"/>
                    </w:rPr>
                    <w:t xml:space="preserve">Žihľavka </w:t>
                  </w:r>
                </w:p>
              </w:tc>
              <w:tc>
                <w:tcPr>
                  <w:tcW w:w="1561" w:type="dxa"/>
                </w:tcPr>
                <w:p w14:paraId="15A95384" w14:textId="77777777" w:rsidR="0036326D" w:rsidRDefault="0036326D">
                  <w:pPr>
                    <w:pStyle w:val="Default"/>
                    <w:widowControl w:val="0"/>
                    <w:rPr>
                      <w:sz w:val="22"/>
                      <w:szCs w:val="22"/>
                    </w:rPr>
                  </w:pPr>
                </w:p>
              </w:tc>
              <w:tc>
                <w:tcPr>
                  <w:tcW w:w="1698" w:type="dxa"/>
                </w:tcPr>
                <w:p w14:paraId="1BF5A282" w14:textId="77777777" w:rsidR="0036326D" w:rsidRDefault="00443AFA">
                  <w:pPr>
                    <w:pStyle w:val="Default"/>
                    <w:widowControl w:val="0"/>
                    <w:rPr>
                      <w:sz w:val="22"/>
                      <w:szCs w:val="22"/>
                    </w:rPr>
                  </w:pPr>
                  <w:r>
                    <w:rPr>
                      <w:rFonts w:eastAsia="Times New Roman"/>
                      <w:sz w:val="22"/>
                      <w:szCs w:val="22"/>
                    </w:rPr>
                    <w:t xml:space="preserve">Stevensov-Johnsonov syndróm/toxická epidermálna nekrolýza, DRESS syndróm </w:t>
                  </w:r>
                </w:p>
              </w:tc>
              <w:tc>
                <w:tcPr>
                  <w:tcW w:w="1137" w:type="dxa"/>
                </w:tcPr>
                <w:p w14:paraId="39680781" w14:textId="77777777" w:rsidR="0036326D" w:rsidRDefault="0036326D">
                  <w:pPr>
                    <w:pStyle w:val="Default"/>
                    <w:widowControl w:val="0"/>
                    <w:spacing w:after="120"/>
                    <w:rPr>
                      <w:color w:val="auto"/>
                      <w:sz w:val="22"/>
                      <w:szCs w:val="22"/>
                    </w:rPr>
                  </w:pPr>
                </w:p>
              </w:tc>
            </w:tr>
            <w:tr w:rsidR="0036326D" w14:paraId="239903E0" w14:textId="77777777" w:rsidTr="00C96A86">
              <w:tc>
                <w:tcPr>
                  <w:tcW w:w="8642" w:type="dxa"/>
                  <w:gridSpan w:val="5"/>
                </w:tcPr>
                <w:p w14:paraId="54D5A7F3" w14:textId="77777777" w:rsidR="0036326D" w:rsidRDefault="00443AFA">
                  <w:pPr>
                    <w:pStyle w:val="Default"/>
                    <w:widowControl w:val="0"/>
                    <w:rPr>
                      <w:sz w:val="22"/>
                      <w:szCs w:val="22"/>
                    </w:rPr>
                  </w:pPr>
                  <w:r>
                    <w:rPr>
                      <w:rFonts w:eastAsia="Times New Roman"/>
                      <w:b/>
                      <w:bCs/>
                      <w:sz w:val="22"/>
                      <w:szCs w:val="22"/>
                    </w:rPr>
                    <w:t xml:space="preserve">Poruchy kostrovej a svalovej sústavy a spojivového tkaniva </w:t>
                  </w:r>
                </w:p>
              </w:tc>
            </w:tr>
            <w:tr w:rsidR="0036326D" w14:paraId="352F3374" w14:textId="77777777" w:rsidTr="00C96A86">
              <w:tc>
                <w:tcPr>
                  <w:tcW w:w="2260" w:type="dxa"/>
                </w:tcPr>
                <w:p w14:paraId="40365FBF" w14:textId="77777777" w:rsidR="0036326D" w:rsidRDefault="00443AFA">
                  <w:pPr>
                    <w:pStyle w:val="Default"/>
                    <w:widowControl w:val="0"/>
                    <w:rPr>
                      <w:sz w:val="22"/>
                      <w:szCs w:val="22"/>
                    </w:rPr>
                  </w:pPr>
                  <w:r>
                    <w:rPr>
                      <w:rFonts w:eastAsia="Times New Roman"/>
                      <w:sz w:val="22"/>
                      <w:szCs w:val="22"/>
                    </w:rPr>
                    <w:t>Bolesť v končatinách</w:t>
                  </w:r>
                  <w:r>
                    <w:rPr>
                      <w:rFonts w:eastAsia="Times New Roman"/>
                      <w:sz w:val="22"/>
                      <w:szCs w:val="22"/>
                      <w:vertAlign w:val="superscript"/>
                    </w:rPr>
                    <w:t>A</w:t>
                  </w:r>
                  <w:r>
                    <w:rPr>
                      <w:rFonts w:eastAsia="Times New Roman"/>
                      <w:sz w:val="22"/>
                      <w:szCs w:val="22"/>
                    </w:rPr>
                    <w:t xml:space="preserve"> </w:t>
                  </w:r>
                </w:p>
                <w:p w14:paraId="01040525" w14:textId="77777777" w:rsidR="0036326D" w:rsidRDefault="0036326D">
                  <w:pPr>
                    <w:pStyle w:val="Default"/>
                    <w:widowControl w:val="0"/>
                    <w:spacing w:after="120"/>
                    <w:rPr>
                      <w:sz w:val="22"/>
                      <w:szCs w:val="22"/>
                    </w:rPr>
                  </w:pPr>
                </w:p>
              </w:tc>
              <w:tc>
                <w:tcPr>
                  <w:tcW w:w="1986" w:type="dxa"/>
                </w:tcPr>
                <w:p w14:paraId="12461F5B" w14:textId="77777777" w:rsidR="0036326D" w:rsidRDefault="00443AFA">
                  <w:pPr>
                    <w:pStyle w:val="Default"/>
                    <w:widowControl w:val="0"/>
                    <w:spacing w:after="120"/>
                    <w:rPr>
                      <w:color w:val="auto"/>
                      <w:sz w:val="22"/>
                      <w:szCs w:val="22"/>
                    </w:rPr>
                  </w:pPr>
                  <w:r>
                    <w:rPr>
                      <w:rFonts w:eastAsia="Times New Roman"/>
                      <w:sz w:val="22"/>
                      <w:szCs w:val="22"/>
                    </w:rPr>
                    <w:lastRenderedPageBreak/>
                    <w:t>Hemartróza</w:t>
                  </w:r>
                </w:p>
              </w:tc>
              <w:tc>
                <w:tcPr>
                  <w:tcW w:w="1561" w:type="dxa"/>
                </w:tcPr>
                <w:p w14:paraId="272DA168" w14:textId="77777777" w:rsidR="0036326D" w:rsidRDefault="00443AFA">
                  <w:pPr>
                    <w:pStyle w:val="Default"/>
                    <w:widowControl w:val="0"/>
                    <w:rPr>
                      <w:sz w:val="22"/>
                      <w:szCs w:val="22"/>
                    </w:rPr>
                  </w:pPr>
                  <w:r>
                    <w:rPr>
                      <w:rFonts w:eastAsia="Times New Roman"/>
                      <w:sz w:val="22"/>
                      <w:szCs w:val="22"/>
                    </w:rPr>
                    <w:t xml:space="preserve">Svalová </w:t>
                  </w:r>
                  <w:r>
                    <w:rPr>
                      <w:rFonts w:eastAsia="Times New Roman"/>
                      <w:sz w:val="22"/>
                      <w:szCs w:val="22"/>
                    </w:rPr>
                    <w:lastRenderedPageBreak/>
                    <w:t xml:space="preserve">hemorágia </w:t>
                  </w:r>
                </w:p>
                <w:p w14:paraId="1C95CC5E" w14:textId="77777777" w:rsidR="0036326D" w:rsidRDefault="0036326D">
                  <w:pPr>
                    <w:pStyle w:val="Default"/>
                    <w:widowControl w:val="0"/>
                    <w:spacing w:after="120"/>
                    <w:rPr>
                      <w:color w:val="auto"/>
                      <w:sz w:val="22"/>
                      <w:szCs w:val="22"/>
                    </w:rPr>
                  </w:pPr>
                </w:p>
              </w:tc>
              <w:tc>
                <w:tcPr>
                  <w:tcW w:w="1698" w:type="dxa"/>
                </w:tcPr>
                <w:p w14:paraId="39CDE91C" w14:textId="77777777" w:rsidR="0036326D" w:rsidRDefault="0036326D">
                  <w:pPr>
                    <w:pStyle w:val="Default"/>
                    <w:widowControl w:val="0"/>
                    <w:spacing w:after="120"/>
                    <w:rPr>
                      <w:color w:val="auto"/>
                      <w:sz w:val="22"/>
                      <w:szCs w:val="22"/>
                    </w:rPr>
                  </w:pPr>
                </w:p>
              </w:tc>
              <w:tc>
                <w:tcPr>
                  <w:tcW w:w="1137" w:type="dxa"/>
                </w:tcPr>
                <w:p w14:paraId="2B74A6C9" w14:textId="6573D83F" w:rsidR="0036326D" w:rsidRDefault="00443AFA">
                  <w:pPr>
                    <w:pStyle w:val="Default"/>
                    <w:widowControl w:val="0"/>
                    <w:rPr>
                      <w:sz w:val="22"/>
                      <w:szCs w:val="22"/>
                    </w:rPr>
                  </w:pPr>
                  <w:r>
                    <w:rPr>
                      <w:rFonts w:eastAsia="Times New Roman"/>
                      <w:sz w:val="22"/>
                      <w:szCs w:val="22"/>
                    </w:rPr>
                    <w:t xml:space="preserve">Syndróm </w:t>
                  </w:r>
                  <w:r>
                    <w:rPr>
                      <w:rFonts w:eastAsia="Times New Roman"/>
                      <w:sz w:val="22"/>
                      <w:szCs w:val="22"/>
                    </w:rPr>
                    <w:lastRenderedPageBreak/>
                    <w:t>kompart-mentu sekundár</w:t>
                  </w:r>
                  <w:r w:rsidR="00ED33CF">
                    <w:rPr>
                      <w:rFonts w:eastAsia="Times New Roman"/>
                      <w:sz w:val="22"/>
                      <w:szCs w:val="22"/>
                      <w:lang w:val="sk-SK"/>
                    </w:rPr>
                    <w:t>-</w:t>
                  </w:r>
                  <w:r>
                    <w:rPr>
                      <w:rFonts w:eastAsia="Times New Roman"/>
                      <w:sz w:val="22"/>
                      <w:szCs w:val="22"/>
                    </w:rPr>
                    <w:t xml:space="preserve">ne po krvácaní </w:t>
                  </w:r>
                </w:p>
              </w:tc>
            </w:tr>
            <w:tr w:rsidR="0036326D" w14:paraId="182A79EE" w14:textId="77777777" w:rsidTr="00C96A86">
              <w:tc>
                <w:tcPr>
                  <w:tcW w:w="8642" w:type="dxa"/>
                  <w:gridSpan w:val="5"/>
                </w:tcPr>
                <w:p w14:paraId="6ED5B916" w14:textId="77777777" w:rsidR="0036326D" w:rsidRDefault="00443AFA">
                  <w:pPr>
                    <w:pStyle w:val="Default"/>
                    <w:widowControl w:val="0"/>
                    <w:rPr>
                      <w:sz w:val="22"/>
                      <w:szCs w:val="22"/>
                    </w:rPr>
                  </w:pPr>
                  <w:r>
                    <w:rPr>
                      <w:rFonts w:eastAsia="Times New Roman"/>
                      <w:b/>
                      <w:bCs/>
                      <w:sz w:val="22"/>
                      <w:szCs w:val="22"/>
                    </w:rPr>
                    <w:lastRenderedPageBreak/>
                    <w:t xml:space="preserve">Poruchy obličiek a močových ciest </w:t>
                  </w:r>
                </w:p>
              </w:tc>
            </w:tr>
            <w:tr w:rsidR="0036326D" w14:paraId="13842F47" w14:textId="77777777" w:rsidTr="00C96A86">
              <w:tc>
                <w:tcPr>
                  <w:tcW w:w="2260" w:type="dxa"/>
                </w:tcPr>
                <w:p w14:paraId="30945988" w14:textId="77777777" w:rsidR="0036326D" w:rsidRDefault="00443AFA">
                  <w:pPr>
                    <w:pStyle w:val="Default"/>
                    <w:widowControl w:val="0"/>
                    <w:rPr>
                      <w:sz w:val="14"/>
                      <w:szCs w:val="14"/>
                    </w:rPr>
                  </w:pPr>
                  <w:r>
                    <w:rPr>
                      <w:rFonts w:eastAsia="Times New Roman"/>
                      <w:sz w:val="22"/>
                      <w:szCs w:val="22"/>
                    </w:rPr>
                    <w:t>Krvácanie do urogenitálneho traktu (vrátane hematúrie a menorágie</w:t>
                  </w:r>
                  <w:r>
                    <w:rPr>
                      <w:rFonts w:eastAsia="Times New Roman"/>
                      <w:sz w:val="22"/>
                      <w:szCs w:val="22"/>
                      <w:vertAlign w:val="superscript"/>
                    </w:rPr>
                    <w:t>B</w:t>
                  </w:r>
                  <w:r>
                    <w:rPr>
                      <w:rFonts w:eastAsia="Times New Roman"/>
                      <w:sz w:val="22"/>
                      <w:szCs w:val="22"/>
                    </w:rPr>
                    <w:t>), porucha funkcie obličiek (vrátane zvýšeného kreatinínu v krvi, zvýšenej močoviny v krvi)</w:t>
                  </w:r>
                  <w:r>
                    <w:rPr>
                      <w:rFonts w:eastAsia="Times New Roman"/>
                      <w:sz w:val="14"/>
                      <w:szCs w:val="14"/>
                    </w:rPr>
                    <w:t xml:space="preserve"> </w:t>
                  </w:r>
                </w:p>
                <w:p w14:paraId="463B877B" w14:textId="77777777" w:rsidR="0036326D" w:rsidRDefault="0036326D">
                  <w:pPr>
                    <w:pStyle w:val="Default"/>
                    <w:widowControl w:val="0"/>
                    <w:spacing w:after="120"/>
                    <w:rPr>
                      <w:sz w:val="22"/>
                      <w:szCs w:val="22"/>
                    </w:rPr>
                  </w:pPr>
                </w:p>
              </w:tc>
              <w:tc>
                <w:tcPr>
                  <w:tcW w:w="1986" w:type="dxa"/>
                </w:tcPr>
                <w:p w14:paraId="74C941B0" w14:textId="77777777" w:rsidR="0036326D" w:rsidRDefault="0036326D">
                  <w:pPr>
                    <w:pStyle w:val="Default"/>
                    <w:widowControl w:val="0"/>
                    <w:spacing w:after="120"/>
                    <w:rPr>
                      <w:sz w:val="22"/>
                      <w:szCs w:val="22"/>
                    </w:rPr>
                  </w:pPr>
                </w:p>
              </w:tc>
              <w:tc>
                <w:tcPr>
                  <w:tcW w:w="1561" w:type="dxa"/>
                </w:tcPr>
                <w:p w14:paraId="67E9EC21" w14:textId="77777777" w:rsidR="0036326D" w:rsidRDefault="0036326D">
                  <w:pPr>
                    <w:pStyle w:val="Default"/>
                    <w:widowControl w:val="0"/>
                    <w:spacing w:after="120"/>
                    <w:rPr>
                      <w:sz w:val="22"/>
                      <w:szCs w:val="22"/>
                    </w:rPr>
                  </w:pPr>
                </w:p>
              </w:tc>
              <w:tc>
                <w:tcPr>
                  <w:tcW w:w="1698" w:type="dxa"/>
                </w:tcPr>
                <w:p w14:paraId="14149D1C" w14:textId="77777777" w:rsidR="0036326D" w:rsidRDefault="0036326D">
                  <w:pPr>
                    <w:pStyle w:val="Default"/>
                    <w:widowControl w:val="0"/>
                    <w:spacing w:after="120"/>
                    <w:rPr>
                      <w:color w:val="auto"/>
                      <w:sz w:val="22"/>
                      <w:szCs w:val="22"/>
                    </w:rPr>
                  </w:pPr>
                </w:p>
              </w:tc>
              <w:tc>
                <w:tcPr>
                  <w:tcW w:w="1137" w:type="dxa"/>
                </w:tcPr>
                <w:p w14:paraId="75DBFCF5" w14:textId="5E20D1F8" w:rsidR="0036326D" w:rsidRDefault="00443AFA">
                  <w:pPr>
                    <w:pStyle w:val="Default"/>
                    <w:widowControl w:val="0"/>
                    <w:rPr>
                      <w:sz w:val="22"/>
                      <w:szCs w:val="22"/>
                    </w:rPr>
                  </w:pPr>
                  <w:r>
                    <w:rPr>
                      <w:rFonts w:eastAsia="Times New Roman"/>
                      <w:sz w:val="22"/>
                      <w:szCs w:val="22"/>
                    </w:rPr>
                    <w:t>Zlyhanie obličiek/ akútne renálne zlyhanie, ktoré vznikne sekundár</w:t>
                  </w:r>
                  <w:r w:rsidR="00ED33CF">
                    <w:rPr>
                      <w:rFonts w:eastAsia="Times New Roman"/>
                      <w:sz w:val="22"/>
                      <w:szCs w:val="22"/>
                      <w:lang w:val="sk-SK"/>
                    </w:rPr>
                    <w:t>-</w:t>
                  </w:r>
                  <w:r>
                    <w:rPr>
                      <w:rFonts w:eastAsia="Times New Roman"/>
                      <w:sz w:val="22"/>
                      <w:szCs w:val="22"/>
                    </w:rPr>
                    <w:t>ne po krvácaní dostato</w:t>
                  </w:r>
                  <w:r w:rsidR="00ED33CF">
                    <w:rPr>
                      <w:rFonts w:eastAsia="Times New Roman"/>
                      <w:sz w:val="22"/>
                      <w:szCs w:val="22"/>
                      <w:lang w:val="sk-SK"/>
                    </w:rPr>
                    <w:t>-</w:t>
                  </w:r>
                  <w:r>
                    <w:rPr>
                      <w:rFonts w:eastAsia="Times New Roman"/>
                      <w:sz w:val="22"/>
                      <w:szCs w:val="22"/>
                    </w:rPr>
                    <w:t>čne silnom na vyvolanie hypoper</w:t>
                  </w:r>
                  <w:r w:rsidR="00ED33CF">
                    <w:rPr>
                      <w:rFonts w:eastAsia="Times New Roman"/>
                      <w:sz w:val="22"/>
                      <w:szCs w:val="22"/>
                      <w:lang w:val="sk-SK"/>
                    </w:rPr>
                    <w:t>-</w:t>
                  </w:r>
                  <w:r>
                    <w:rPr>
                      <w:rFonts w:eastAsia="Times New Roman"/>
                      <w:sz w:val="22"/>
                      <w:szCs w:val="22"/>
                    </w:rPr>
                    <w:t xml:space="preserve">fúzie </w:t>
                  </w:r>
                </w:p>
              </w:tc>
            </w:tr>
            <w:tr w:rsidR="0036326D" w14:paraId="66AF4B70" w14:textId="77777777" w:rsidTr="00C96A86">
              <w:tc>
                <w:tcPr>
                  <w:tcW w:w="8642" w:type="dxa"/>
                  <w:gridSpan w:val="5"/>
                </w:tcPr>
                <w:p w14:paraId="51167C67" w14:textId="77777777" w:rsidR="0036326D" w:rsidRDefault="00443AFA">
                  <w:pPr>
                    <w:pStyle w:val="Default"/>
                    <w:widowControl w:val="0"/>
                    <w:rPr>
                      <w:sz w:val="22"/>
                      <w:szCs w:val="22"/>
                    </w:rPr>
                  </w:pPr>
                  <w:r>
                    <w:rPr>
                      <w:rFonts w:eastAsia="Times New Roman"/>
                      <w:b/>
                      <w:bCs/>
                      <w:sz w:val="22"/>
                      <w:szCs w:val="22"/>
                    </w:rPr>
                    <w:t xml:space="preserve">Celkové poruchy a reakcie v mieste podania </w:t>
                  </w:r>
                </w:p>
              </w:tc>
            </w:tr>
            <w:tr w:rsidR="0036326D" w14:paraId="156A8F6A" w14:textId="77777777" w:rsidTr="00C96A86">
              <w:tc>
                <w:tcPr>
                  <w:tcW w:w="2260" w:type="dxa"/>
                </w:tcPr>
                <w:p w14:paraId="6DEE0796" w14:textId="77777777" w:rsidR="0036326D" w:rsidRDefault="00443AFA">
                  <w:pPr>
                    <w:pStyle w:val="Default"/>
                    <w:widowControl w:val="0"/>
                    <w:rPr>
                      <w:sz w:val="22"/>
                      <w:szCs w:val="22"/>
                    </w:rPr>
                  </w:pPr>
                  <w:r>
                    <w:rPr>
                      <w:rFonts w:eastAsia="Times New Roman"/>
                      <w:sz w:val="22"/>
                      <w:szCs w:val="22"/>
                    </w:rPr>
                    <w:t>Horúčka</w:t>
                  </w:r>
                  <w:r>
                    <w:rPr>
                      <w:rFonts w:eastAsia="Times New Roman"/>
                      <w:sz w:val="22"/>
                      <w:szCs w:val="22"/>
                      <w:vertAlign w:val="superscript"/>
                    </w:rPr>
                    <w:t>A</w:t>
                  </w:r>
                  <w:r>
                    <w:rPr>
                      <w:rFonts w:eastAsia="Times New Roman"/>
                      <w:sz w:val="22"/>
                      <w:szCs w:val="22"/>
                    </w:rPr>
                    <w:t xml:space="preserve">, periférny edém, znížená celková sila a energia (vrátane únavy a asténie) </w:t>
                  </w:r>
                </w:p>
              </w:tc>
              <w:tc>
                <w:tcPr>
                  <w:tcW w:w="1986" w:type="dxa"/>
                </w:tcPr>
                <w:p w14:paraId="5FA60804" w14:textId="77777777" w:rsidR="0036326D" w:rsidRDefault="00443AFA">
                  <w:pPr>
                    <w:pStyle w:val="Default"/>
                    <w:widowControl w:val="0"/>
                    <w:rPr>
                      <w:sz w:val="22"/>
                      <w:szCs w:val="22"/>
                    </w:rPr>
                  </w:pPr>
                  <w:r>
                    <w:rPr>
                      <w:rFonts w:eastAsia="Times New Roman"/>
                      <w:sz w:val="22"/>
                      <w:szCs w:val="22"/>
                    </w:rPr>
                    <w:t xml:space="preserve">Celkový pocit choroby (vrátane malátnosti) </w:t>
                  </w:r>
                </w:p>
                <w:p w14:paraId="7F8E6B79" w14:textId="77777777" w:rsidR="0036326D" w:rsidRDefault="0036326D">
                  <w:pPr>
                    <w:pStyle w:val="Default"/>
                    <w:widowControl w:val="0"/>
                    <w:spacing w:after="120"/>
                    <w:rPr>
                      <w:sz w:val="22"/>
                      <w:szCs w:val="22"/>
                    </w:rPr>
                  </w:pPr>
                </w:p>
              </w:tc>
              <w:tc>
                <w:tcPr>
                  <w:tcW w:w="1561" w:type="dxa"/>
                </w:tcPr>
                <w:p w14:paraId="15BE01FD" w14:textId="77777777" w:rsidR="0036326D" w:rsidRDefault="00443AFA">
                  <w:pPr>
                    <w:pStyle w:val="Default"/>
                    <w:widowControl w:val="0"/>
                    <w:spacing w:after="120"/>
                    <w:rPr>
                      <w:sz w:val="22"/>
                      <w:szCs w:val="22"/>
                    </w:rPr>
                  </w:pPr>
                  <w:r>
                    <w:rPr>
                      <w:rFonts w:eastAsia="Times New Roman"/>
                      <w:sz w:val="22"/>
                      <w:szCs w:val="22"/>
                    </w:rPr>
                    <w:t>Lokalizovaný edém</w:t>
                  </w:r>
                  <w:r>
                    <w:rPr>
                      <w:rFonts w:eastAsia="Times New Roman"/>
                      <w:sz w:val="22"/>
                      <w:szCs w:val="22"/>
                      <w:vertAlign w:val="superscript"/>
                    </w:rPr>
                    <w:t>A</w:t>
                  </w:r>
                </w:p>
              </w:tc>
              <w:tc>
                <w:tcPr>
                  <w:tcW w:w="1698" w:type="dxa"/>
                </w:tcPr>
                <w:p w14:paraId="355EF24B" w14:textId="77777777" w:rsidR="0036326D" w:rsidRDefault="0036326D">
                  <w:pPr>
                    <w:pStyle w:val="Default"/>
                    <w:widowControl w:val="0"/>
                    <w:spacing w:after="120"/>
                    <w:rPr>
                      <w:color w:val="auto"/>
                      <w:sz w:val="22"/>
                      <w:szCs w:val="22"/>
                    </w:rPr>
                  </w:pPr>
                </w:p>
              </w:tc>
              <w:tc>
                <w:tcPr>
                  <w:tcW w:w="1137" w:type="dxa"/>
                </w:tcPr>
                <w:p w14:paraId="1682079B" w14:textId="77777777" w:rsidR="0036326D" w:rsidRDefault="0036326D">
                  <w:pPr>
                    <w:pStyle w:val="Default"/>
                    <w:widowControl w:val="0"/>
                    <w:spacing w:after="120"/>
                    <w:rPr>
                      <w:sz w:val="22"/>
                      <w:szCs w:val="22"/>
                    </w:rPr>
                  </w:pPr>
                </w:p>
              </w:tc>
            </w:tr>
            <w:tr w:rsidR="0036326D" w14:paraId="63A1B2AB" w14:textId="77777777" w:rsidTr="00C96A86">
              <w:tc>
                <w:tcPr>
                  <w:tcW w:w="8642" w:type="dxa"/>
                  <w:gridSpan w:val="5"/>
                </w:tcPr>
                <w:p w14:paraId="340CA1A3" w14:textId="77777777" w:rsidR="0036326D" w:rsidRDefault="00443AFA">
                  <w:pPr>
                    <w:pStyle w:val="Default"/>
                    <w:widowControl w:val="0"/>
                    <w:rPr>
                      <w:sz w:val="22"/>
                      <w:szCs w:val="22"/>
                    </w:rPr>
                  </w:pPr>
                  <w:r>
                    <w:rPr>
                      <w:rFonts w:eastAsia="Times New Roman"/>
                      <w:b/>
                      <w:bCs/>
                      <w:sz w:val="22"/>
                      <w:szCs w:val="22"/>
                    </w:rPr>
                    <w:t xml:space="preserve">Laboratórne a funkčné vyšetrenia </w:t>
                  </w:r>
                </w:p>
              </w:tc>
            </w:tr>
            <w:tr w:rsidR="0036326D" w14:paraId="4E6549A6" w14:textId="77777777" w:rsidTr="00C96A86">
              <w:tc>
                <w:tcPr>
                  <w:tcW w:w="2260" w:type="dxa"/>
                </w:tcPr>
                <w:p w14:paraId="4D503CC3" w14:textId="77777777" w:rsidR="0036326D" w:rsidRDefault="0036326D">
                  <w:pPr>
                    <w:pStyle w:val="Default"/>
                    <w:widowControl w:val="0"/>
                    <w:spacing w:after="120"/>
                    <w:rPr>
                      <w:sz w:val="22"/>
                      <w:szCs w:val="22"/>
                    </w:rPr>
                  </w:pPr>
                </w:p>
              </w:tc>
              <w:tc>
                <w:tcPr>
                  <w:tcW w:w="1986" w:type="dxa"/>
                </w:tcPr>
                <w:p w14:paraId="1A37DB3C" w14:textId="77777777" w:rsidR="0036326D" w:rsidRDefault="00443AFA">
                  <w:pPr>
                    <w:pStyle w:val="Default"/>
                    <w:widowControl w:val="0"/>
                    <w:rPr>
                      <w:sz w:val="14"/>
                      <w:szCs w:val="14"/>
                    </w:rPr>
                  </w:pPr>
                  <w:r>
                    <w:rPr>
                      <w:rFonts w:eastAsia="Times New Roman"/>
                      <w:sz w:val="22"/>
                      <w:szCs w:val="22"/>
                    </w:rPr>
                    <w:t>Zvýšená LDH</w:t>
                  </w:r>
                  <w:r>
                    <w:rPr>
                      <w:rFonts w:eastAsia="Times New Roman"/>
                      <w:sz w:val="22"/>
                      <w:szCs w:val="22"/>
                      <w:vertAlign w:val="superscript"/>
                    </w:rPr>
                    <w:t>A</w:t>
                  </w:r>
                  <w:r>
                    <w:rPr>
                      <w:rFonts w:eastAsia="Times New Roman"/>
                      <w:sz w:val="22"/>
                      <w:szCs w:val="22"/>
                    </w:rPr>
                    <w:t>, zvýšená lipáza</w:t>
                  </w:r>
                  <w:r>
                    <w:rPr>
                      <w:rFonts w:eastAsia="Times New Roman"/>
                      <w:sz w:val="22"/>
                      <w:szCs w:val="22"/>
                      <w:vertAlign w:val="superscript"/>
                    </w:rPr>
                    <w:t>A</w:t>
                  </w:r>
                  <w:r>
                    <w:rPr>
                      <w:rFonts w:eastAsia="Times New Roman"/>
                      <w:sz w:val="22"/>
                      <w:szCs w:val="22"/>
                    </w:rPr>
                    <w:t>, zvýšená amyláza</w:t>
                  </w:r>
                  <w:r>
                    <w:rPr>
                      <w:rFonts w:eastAsia="Times New Roman"/>
                      <w:sz w:val="22"/>
                      <w:szCs w:val="22"/>
                      <w:vertAlign w:val="superscript"/>
                    </w:rPr>
                    <w:t>A</w:t>
                  </w:r>
                  <w:r>
                    <w:rPr>
                      <w:rFonts w:eastAsia="Times New Roman"/>
                      <w:sz w:val="22"/>
                      <w:szCs w:val="22"/>
                    </w:rPr>
                    <w:t xml:space="preserve"> </w:t>
                  </w:r>
                </w:p>
              </w:tc>
              <w:tc>
                <w:tcPr>
                  <w:tcW w:w="1561" w:type="dxa"/>
                </w:tcPr>
                <w:p w14:paraId="6BE250D4" w14:textId="77777777" w:rsidR="0036326D" w:rsidRDefault="0036326D">
                  <w:pPr>
                    <w:pStyle w:val="Default"/>
                    <w:widowControl w:val="0"/>
                    <w:spacing w:after="120"/>
                    <w:rPr>
                      <w:sz w:val="22"/>
                      <w:szCs w:val="22"/>
                    </w:rPr>
                  </w:pPr>
                </w:p>
              </w:tc>
              <w:tc>
                <w:tcPr>
                  <w:tcW w:w="1698" w:type="dxa"/>
                </w:tcPr>
                <w:p w14:paraId="6443D285" w14:textId="77777777" w:rsidR="0036326D" w:rsidRDefault="0036326D">
                  <w:pPr>
                    <w:pStyle w:val="Default"/>
                    <w:widowControl w:val="0"/>
                    <w:spacing w:after="120"/>
                    <w:rPr>
                      <w:color w:val="auto"/>
                      <w:sz w:val="22"/>
                      <w:szCs w:val="22"/>
                    </w:rPr>
                  </w:pPr>
                </w:p>
              </w:tc>
              <w:tc>
                <w:tcPr>
                  <w:tcW w:w="1137" w:type="dxa"/>
                </w:tcPr>
                <w:p w14:paraId="18F01BC0" w14:textId="77777777" w:rsidR="0036326D" w:rsidRDefault="0036326D">
                  <w:pPr>
                    <w:pStyle w:val="Default"/>
                    <w:widowControl w:val="0"/>
                    <w:spacing w:after="120"/>
                    <w:rPr>
                      <w:sz w:val="22"/>
                      <w:szCs w:val="22"/>
                    </w:rPr>
                  </w:pPr>
                </w:p>
              </w:tc>
            </w:tr>
            <w:tr w:rsidR="0036326D" w14:paraId="5E2CF055" w14:textId="77777777" w:rsidTr="00C96A86">
              <w:tc>
                <w:tcPr>
                  <w:tcW w:w="8642" w:type="dxa"/>
                  <w:gridSpan w:val="5"/>
                </w:tcPr>
                <w:p w14:paraId="1EC7484A" w14:textId="77777777" w:rsidR="0036326D" w:rsidRDefault="00443AFA">
                  <w:pPr>
                    <w:pStyle w:val="Default"/>
                    <w:widowControl w:val="0"/>
                    <w:rPr>
                      <w:sz w:val="22"/>
                      <w:szCs w:val="22"/>
                    </w:rPr>
                  </w:pPr>
                  <w:r>
                    <w:rPr>
                      <w:rFonts w:eastAsia="Times New Roman"/>
                      <w:b/>
                      <w:bCs/>
                      <w:sz w:val="22"/>
                      <w:szCs w:val="22"/>
                    </w:rPr>
                    <w:t xml:space="preserve">Úrazy, otravy a komplikácie liečebného postupu </w:t>
                  </w:r>
                </w:p>
              </w:tc>
            </w:tr>
            <w:tr w:rsidR="0036326D" w14:paraId="05C68D24" w14:textId="77777777" w:rsidTr="00C96A86">
              <w:tc>
                <w:tcPr>
                  <w:tcW w:w="2260" w:type="dxa"/>
                </w:tcPr>
                <w:p w14:paraId="7D0CE895" w14:textId="77777777" w:rsidR="0036326D" w:rsidRDefault="00443AFA">
                  <w:pPr>
                    <w:pStyle w:val="Default"/>
                    <w:widowControl w:val="0"/>
                    <w:rPr>
                      <w:sz w:val="14"/>
                      <w:szCs w:val="14"/>
                    </w:rPr>
                  </w:pPr>
                  <w:r>
                    <w:rPr>
                      <w:rFonts w:eastAsia="Times New Roman"/>
                      <w:sz w:val="22"/>
                      <w:szCs w:val="22"/>
                    </w:rPr>
                    <w:t>Hemorágia po chirurgickom zákroku (vrátane pooperačnej anémie a hemorágie z rany), kontúzia, sekrécia z rany</w:t>
                  </w:r>
                  <w:r>
                    <w:rPr>
                      <w:rFonts w:eastAsia="Times New Roman"/>
                      <w:sz w:val="22"/>
                      <w:szCs w:val="22"/>
                      <w:vertAlign w:val="superscript"/>
                    </w:rPr>
                    <w:t xml:space="preserve">A </w:t>
                  </w:r>
                </w:p>
              </w:tc>
              <w:tc>
                <w:tcPr>
                  <w:tcW w:w="1986" w:type="dxa"/>
                </w:tcPr>
                <w:p w14:paraId="7343980F" w14:textId="77777777" w:rsidR="0036326D" w:rsidRDefault="0036326D">
                  <w:pPr>
                    <w:pStyle w:val="Default"/>
                    <w:widowControl w:val="0"/>
                    <w:spacing w:after="120"/>
                    <w:rPr>
                      <w:sz w:val="22"/>
                      <w:szCs w:val="22"/>
                    </w:rPr>
                  </w:pPr>
                </w:p>
              </w:tc>
              <w:tc>
                <w:tcPr>
                  <w:tcW w:w="1561" w:type="dxa"/>
                </w:tcPr>
                <w:p w14:paraId="032D6214" w14:textId="77777777" w:rsidR="0036326D" w:rsidRDefault="00443AFA">
                  <w:pPr>
                    <w:pStyle w:val="Default"/>
                    <w:widowControl w:val="0"/>
                    <w:rPr>
                      <w:sz w:val="14"/>
                      <w:szCs w:val="14"/>
                    </w:rPr>
                  </w:pPr>
                  <w:r>
                    <w:rPr>
                      <w:rFonts w:eastAsia="Times New Roman"/>
                      <w:sz w:val="22"/>
                      <w:szCs w:val="22"/>
                    </w:rPr>
                    <w:t>Cievne pseudoaneu-ryzmy</w:t>
                  </w:r>
                  <w:r>
                    <w:rPr>
                      <w:rFonts w:eastAsia="Times New Roman"/>
                      <w:sz w:val="22"/>
                      <w:szCs w:val="22"/>
                      <w:vertAlign w:val="superscript"/>
                    </w:rPr>
                    <w:t>C</w:t>
                  </w:r>
                  <w:r>
                    <w:rPr>
                      <w:rFonts w:eastAsia="Times New Roman"/>
                      <w:sz w:val="14"/>
                      <w:szCs w:val="14"/>
                      <w:vertAlign w:val="superscript"/>
                    </w:rPr>
                    <w:t xml:space="preserve"> </w:t>
                  </w:r>
                </w:p>
                <w:p w14:paraId="7F1838A8" w14:textId="77777777" w:rsidR="0036326D" w:rsidRDefault="0036326D">
                  <w:pPr>
                    <w:pStyle w:val="Default"/>
                    <w:widowControl w:val="0"/>
                    <w:spacing w:after="120"/>
                    <w:rPr>
                      <w:sz w:val="22"/>
                      <w:szCs w:val="22"/>
                    </w:rPr>
                  </w:pPr>
                </w:p>
              </w:tc>
              <w:tc>
                <w:tcPr>
                  <w:tcW w:w="1698" w:type="dxa"/>
                </w:tcPr>
                <w:p w14:paraId="5F42895B" w14:textId="77777777" w:rsidR="0036326D" w:rsidRDefault="0036326D">
                  <w:pPr>
                    <w:pStyle w:val="Default"/>
                    <w:widowControl w:val="0"/>
                    <w:spacing w:after="120"/>
                    <w:rPr>
                      <w:color w:val="auto"/>
                      <w:sz w:val="22"/>
                      <w:szCs w:val="22"/>
                    </w:rPr>
                  </w:pPr>
                </w:p>
              </w:tc>
              <w:tc>
                <w:tcPr>
                  <w:tcW w:w="1137" w:type="dxa"/>
                </w:tcPr>
                <w:p w14:paraId="169C5070" w14:textId="77777777" w:rsidR="0036326D" w:rsidRDefault="0036326D">
                  <w:pPr>
                    <w:pStyle w:val="Default"/>
                    <w:widowControl w:val="0"/>
                    <w:spacing w:after="120"/>
                    <w:rPr>
                      <w:sz w:val="22"/>
                      <w:szCs w:val="22"/>
                    </w:rPr>
                  </w:pPr>
                </w:p>
              </w:tc>
            </w:tr>
          </w:tbl>
          <w:p w14:paraId="2D215740" w14:textId="77777777" w:rsidR="0036326D" w:rsidRDefault="0036326D">
            <w:pPr>
              <w:pStyle w:val="Default"/>
              <w:widowControl w:val="0"/>
              <w:spacing w:after="120"/>
              <w:rPr>
                <w:b/>
                <w:lang w:eastAsia="el-GR"/>
              </w:rPr>
            </w:pPr>
          </w:p>
        </w:tc>
        <w:tc>
          <w:tcPr>
            <w:tcW w:w="1559" w:type="dxa"/>
            <w:gridSpan w:val="2"/>
          </w:tcPr>
          <w:p w14:paraId="731CFC6D" w14:textId="77777777" w:rsidR="0036326D" w:rsidRDefault="0036326D">
            <w:pPr>
              <w:widowControl w:val="0"/>
              <w:rPr>
                <w:szCs w:val="24"/>
                <w:u w:val="single"/>
                <w:lang w:eastAsia="el-GR"/>
              </w:rPr>
            </w:pPr>
          </w:p>
        </w:tc>
        <w:tc>
          <w:tcPr>
            <w:tcW w:w="239" w:type="dxa"/>
          </w:tcPr>
          <w:p w14:paraId="3A0CDB0F" w14:textId="77777777" w:rsidR="0036326D" w:rsidRDefault="0036326D">
            <w:pPr>
              <w:widowControl w:val="0"/>
              <w:ind w:firstLine="1414"/>
              <w:rPr>
                <w:szCs w:val="24"/>
                <w:u w:val="single"/>
                <w:lang w:eastAsia="el-GR"/>
              </w:rPr>
            </w:pPr>
          </w:p>
        </w:tc>
        <w:tc>
          <w:tcPr>
            <w:tcW w:w="252" w:type="dxa"/>
            <w:gridSpan w:val="2"/>
          </w:tcPr>
          <w:p w14:paraId="1A3C92DD" w14:textId="77777777" w:rsidR="0036326D" w:rsidRDefault="0036326D">
            <w:pPr>
              <w:widowControl w:val="0"/>
              <w:rPr>
                <w:szCs w:val="24"/>
                <w:u w:val="single"/>
                <w:lang w:eastAsia="el-GR"/>
              </w:rPr>
            </w:pPr>
          </w:p>
        </w:tc>
        <w:tc>
          <w:tcPr>
            <w:tcW w:w="31" w:type="dxa"/>
          </w:tcPr>
          <w:p w14:paraId="20DAD58B" w14:textId="77777777" w:rsidR="0036326D" w:rsidRDefault="0036326D">
            <w:pPr>
              <w:widowControl w:val="0"/>
            </w:pPr>
          </w:p>
        </w:tc>
        <w:tc>
          <w:tcPr>
            <w:tcW w:w="252" w:type="dxa"/>
          </w:tcPr>
          <w:p w14:paraId="063F0440" w14:textId="77777777" w:rsidR="0036326D" w:rsidRDefault="0036326D">
            <w:pPr>
              <w:widowControl w:val="0"/>
            </w:pPr>
          </w:p>
        </w:tc>
      </w:tr>
      <w:tr w:rsidR="0036326D" w14:paraId="5C8EC9FA" w14:textId="77777777">
        <w:trPr>
          <w:trHeight w:val="665"/>
        </w:trPr>
        <w:tc>
          <w:tcPr>
            <w:tcW w:w="9038" w:type="dxa"/>
          </w:tcPr>
          <w:p w14:paraId="2A1EDD95" w14:textId="77777777" w:rsidR="0036326D" w:rsidRDefault="00443AFA">
            <w:pPr>
              <w:pStyle w:val="Default"/>
              <w:widowControl w:val="0"/>
              <w:ind w:left="108"/>
              <w:rPr>
                <w:sz w:val="22"/>
                <w:szCs w:val="22"/>
              </w:rPr>
            </w:pPr>
            <w:r>
              <w:rPr>
                <w:sz w:val="22"/>
                <w:szCs w:val="22"/>
              </w:rPr>
              <w:lastRenderedPageBreak/>
              <w:t xml:space="preserve">A: pozorované pri prevencii venóznej tromboembólie (VTE) u dospelých pacientov podstupujúcich plánovaný chirurgický zákrok na nahradenie bedra a kolena </w:t>
            </w:r>
          </w:p>
          <w:p w14:paraId="7D275A44" w14:textId="77777777" w:rsidR="0036326D" w:rsidRDefault="00443AFA">
            <w:pPr>
              <w:pStyle w:val="Default"/>
              <w:widowControl w:val="0"/>
              <w:ind w:left="108"/>
              <w:rPr>
                <w:sz w:val="22"/>
                <w:szCs w:val="22"/>
              </w:rPr>
            </w:pPr>
            <w:r>
              <w:rPr>
                <w:sz w:val="22"/>
                <w:szCs w:val="22"/>
              </w:rPr>
              <w:t xml:space="preserve">B: pozorované pri liečbe DVT, PE a prevencii rekurencie ako veľmi časté u žien &lt;55 rokov </w:t>
            </w:r>
          </w:p>
          <w:p w14:paraId="69BEEB4C" w14:textId="77777777" w:rsidR="0036326D" w:rsidRDefault="00443AFA">
            <w:pPr>
              <w:pStyle w:val="Default"/>
              <w:widowControl w:val="0"/>
              <w:ind w:left="108"/>
              <w:rPr>
                <w:sz w:val="22"/>
                <w:szCs w:val="22"/>
              </w:rPr>
            </w:pPr>
            <w:r>
              <w:rPr>
                <w:sz w:val="22"/>
                <w:szCs w:val="22"/>
              </w:rPr>
              <w:t xml:space="preserve">C: pozorované ako menej časté pri prevencii aterotrombotických príhod u pacientov po ACS (po perkutánnej koronárnej intervencii) </w:t>
            </w:r>
          </w:p>
          <w:p w14:paraId="5C55A18B" w14:textId="77777777" w:rsidR="0036326D" w:rsidRDefault="00443AFA">
            <w:pPr>
              <w:widowControl w:val="0"/>
              <w:spacing w:after="0" w:line="240" w:lineRule="auto"/>
              <w:ind w:left="108"/>
              <w:rPr>
                <w:rFonts w:ascii="Times New Roman" w:hAnsi="Times New Roman" w:cs="Times New Roman"/>
                <w:szCs w:val="24"/>
                <w:lang w:eastAsia="el-GR"/>
              </w:rPr>
            </w:pPr>
            <w:r>
              <w:rPr>
                <w:rFonts w:ascii="Times New Roman" w:hAnsi="Times New Roman" w:cs="Times New Roman"/>
              </w:rPr>
              <w:t>* Použil sa vopred špecifikovaný selektívny prístup k zhromažďovaniu nežiaducich udalostí. Keďže výskyt nežiaducich reakcií sa nezvýšil a nebola zistená žiadna nová nežiaduca reakcia, údaje zo štúdie COMPASS neboli zahrnuté do výpočtu frekvencie v tejto tabuľke.</w:t>
            </w:r>
          </w:p>
        </w:tc>
        <w:tc>
          <w:tcPr>
            <w:tcW w:w="1559" w:type="dxa"/>
            <w:gridSpan w:val="2"/>
          </w:tcPr>
          <w:p w14:paraId="5C2330A7" w14:textId="77777777" w:rsidR="0036326D" w:rsidRDefault="0036326D">
            <w:pPr>
              <w:widowControl w:val="0"/>
              <w:rPr>
                <w:szCs w:val="24"/>
                <w:lang w:eastAsia="el-GR"/>
              </w:rPr>
            </w:pPr>
          </w:p>
        </w:tc>
        <w:tc>
          <w:tcPr>
            <w:tcW w:w="239" w:type="dxa"/>
          </w:tcPr>
          <w:p w14:paraId="4D0E6ABB" w14:textId="77777777" w:rsidR="0036326D" w:rsidRDefault="0036326D">
            <w:pPr>
              <w:widowControl w:val="0"/>
              <w:rPr>
                <w:szCs w:val="24"/>
                <w:lang w:eastAsia="el-GR"/>
              </w:rPr>
            </w:pPr>
          </w:p>
        </w:tc>
        <w:tc>
          <w:tcPr>
            <w:tcW w:w="252" w:type="dxa"/>
            <w:gridSpan w:val="2"/>
          </w:tcPr>
          <w:p w14:paraId="3D216FA3" w14:textId="77777777" w:rsidR="0036326D" w:rsidRDefault="0036326D">
            <w:pPr>
              <w:widowControl w:val="0"/>
              <w:rPr>
                <w:szCs w:val="24"/>
                <w:lang w:eastAsia="el-GR"/>
              </w:rPr>
            </w:pPr>
          </w:p>
        </w:tc>
        <w:tc>
          <w:tcPr>
            <w:tcW w:w="31" w:type="dxa"/>
          </w:tcPr>
          <w:p w14:paraId="46C482AD" w14:textId="77777777" w:rsidR="0036326D" w:rsidRDefault="0036326D">
            <w:pPr>
              <w:widowControl w:val="0"/>
            </w:pPr>
          </w:p>
        </w:tc>
        <w:tc>
          <w:tcPr>
            <w:tcW w:w="252" w:type="dxa"/>
          </w:tcPr>
          <w:p w14:paraId="7BD6051B" w14:textId="77777777" w:rsidR="0036326D" w:rsidRDefault="0036326D">
            <w:pPr>
              <w:widowControl w:val="0"/>
            </w:pPr>
          </w:p>
        </w:tc>
      </w:tr>
      <w:tr w:rsidR="0036326D" w14:paraId="05E36958" w14:textId="77777777">
        <w:trPr>
          <w:trHeight w:val="275"/>
        </w:trPr>
        <w:tc>
          <w:tcPr>
            <w:tcW w:w="9038" w:type="dxa"/>
          </w:tcPr>
          <w:p w14:paraId="6CE76EAF" w14:textId="77777777" w:rsidR="0036326D" w:rsidRDefault="0036326D" w:rsidP="00C96A86">
            <w:pPr>
              <w:widowControl w:val="0"/>
              <w:rPr>
                <w:szCs w:val="24"/>
                <w:lang w:eastAsia="el-GR"/>
              </w:rPr>
            </w:pPr>
          </w:p>
        </w:tc>
        <w:tc>
          <w:tcPr>
            <w:tcW w:w="1559" w:type="dxa"/>
            <w:gridSpan w:val="2"/>
          </w:tcPr>
          <w:p w14:paraId="058E1AE0" w14:textId="77777777" w:rsidR="0036326D" w:rsidRDefault="0036326D">
            <w:pPr>
              <w:widowControl w:val="0"/>
              <w:rPr>
                <w:szCs w:val="24"/>
                <w:lang w:eastAsia="el-GR"/>
              </w:rPr>
            </w:pPr>
          </w:p>
        </w:tc>
        <w:tc>
          <w:tcPr>
            <w:tcW w:w="239" w:type="dxa"/>
          </w:tcPr>
          <w:p w14:paraId="37A9BB0C" w14:textId="77777777" w:rsidR="0036326D" w:rsidRDefault="0036326D">
            <w:pPr>
              <w:widowControl w:val="0"/>
              <w:rPr>
                <w:szCs w:val="24"/>
                <w:lang w:eastAsia="el-GR"/>
              </w:rPr>
            </w:pPr>
          </w:p>
        </w:tc>
        <w:tc>
          <w:tcPr>
            <w:tcW w:w="252" w:type="dxa"/>
            <w:gridSpan w:val="2"/>
          </w:tcPr>
          <w:p w14:paraId="057993A1" w14:textId="77777777" w:rsidR="0036326D" w:rsidRDefault="0036326D">
            <w:pPr>
              <w:widowControl w:val="0"/>
              <w:rPr>
                <w:szCs w:val="24"/>
                <w:lang w:eastAsia="el-GR"/>
              </w:rPr>
            </w:pPr>
          </w:p>
        </w:tc>
        <w:tc>
          <w:tcPr>
            <w:tcW w:w="31" w:type="dxa"/>
          </w:tcPr>
          <w:p w14:paraId="242139EB" w14:textId="77777777" w:rsidR="0036326D" w:rsidRDefault="0036326D">
            <w:pPr>
              <w:widowControl w:val="0"/>
            </w:pPr>
          </w:p>
        </w:tc>
        <w:tc>
          <w:tcPr>
            <w:tcW w:w="252" w:type="dxa"/>
          </w:tcPr>
          <w:p w14:paraId="29B7A937" w14:textId="77777777" w:rsidR="0036326D" w:rsidRDefault="0036326D">
            <w:pPr>
              <w:widowControl w:val="0"/>
            </w:pPr>
          </w:p>
        </w:tc>
      </w:tr>
    </w:tbl>
    <w:p w14:paraId="004CF797" w14:textId="77777777" w:rsidR="0036326D" w:rsidRDefault="00443AFA">
      <w:pPr>
        <w:pStyle w:val="Default"/>
        <w:rPr>
          <w:sz w:val="22"/>
          <w:szCs w:val="22"/>
          <w:u w:val="single"/>
        </w:rPr>
      </w:pPr>
      <w:r>
        <w:rPr>
          <w:sz w:val="22"/>
          <w:szCs w:val="22"/>
          <w:u w:val="single"/>
        </w:rPr>
        <w:t xml:space="preserve">Popis vybraných nežiaducich účinkov </w:t>
      </w:r>
    </w:p>
    <w:p w14:paraId="23C30C30" w14:textId="77777777" w:rsidR="0036326D" w:rsidRDefault="00443AFA">
      <w:pPr>
        <w:pStyle w:val="Default"/>
        <w:rPr>
          <w:sz w:val="22"/>
          <w:szCs w:val="22"/>
        </w:rPr>
      </w:pPr>
      <w:r>
        <w:rPr>
          <w:sz w:val="22"/>
          <w:szCs w:val="22"/>
        </w:rPr>
        <w:t xml:space="preserve">Vzhľadom na farmakologický mechanizmus účinku sa môže použitie rivaroxabánu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Liečba krvácania). Počas dlhodobej liečby rivaroxabánom, v porovnaní s VKA liečbou, sa v </w:t>
      </w:r>
      <w:r>
        <w:rPr>
          <w:sz w:val="22"/>
          <w:szCs w:val="22"/>
        </w:rPr>
        <w:lastRenderedPageBreak/>
        <w:t xml:space="preserve">klinických skúšaniach častejšie pozorovalo mukózne krvácanie (t.j. z nosa, z ďasien, gastrointestinálne, urogenitálne, vrátane abnormálneho vaginálneho alebo zvýšeného menštruačného krvácania) a anémia. A preto, okrem dodatočného klinického sledovania, je vhodné zvážiť vyšetrenie laboratórnych testov na hemoglobín/hematokrit, ktoré môžu byť prínosné pri detekcii skrytého krvácania a kvantifikácii klinického významu zjavného krvácania. Riziko krvácania sa môže v určitých skupinách pacientov zvýšiť, napr. u pacientov s nekontrolovanou ťažkou artériovou hypertenziou a/alebo súbežnou liečbou ovplyvňujúcou hemostázu (pozri „Riziko hemorágie“ v časti 4.4). Menštruačné krvácanie môže byť silnejšie a/alebo predĺžené. </w:t>
      </w:r>
    </w:p>
    <w:p w14:paraId="0CB746FD" w14:textId="77777777" w:rsidR="0036326D" w:rsidRDefault="00443AFA">
      <w:pPr>
        <w:pStyle w:val="Default"/>
        <w:rPr>
          <w:sz w:val="22"/>
          <w:szCs w:val="22"/>
        </w:rPr>
      </w:pPr>
      <w:r>
        <w:rPr>
          <w:sz w:val="22"/>
          <w:szCs w:val="22"/>
        </w:rPr>
        <w:t xml:space="preserve">Krvácavé komplikácie sa môžu prejavovať ako slabosť, bledosť, závrat, bolesť hlavy alebo neobjasnený opuch, dyspnoe a neobjasnený šok. V niektorých prípadoch sa ako následok anémie pozorovali príznaky srdcovej ischémie, ako je bolesť na hrudi alebo </w:t>
      </w:r>
      <w:r>
        <w:rPr>
          <w:i/>
          <w:sz w:val="22"/>
          <w:szCs w:val="22"/>
        </w:rPr>
        <w:t>angina pectoris</w:t>
      </w:r>
      <w:r>
        <w:rPr>
          <w:sz w:val="22"/>
          <w:szCs w:val="22"/>
        </w:rPr>
        <w:t xml:space="preserve">. </w:t>
      </w:r>
    </w:p>
    <w:p w14:paraId="6E2B0697" w14:textId="77777777" w:rsidR="0036326D" w:rsidRDefault="00443AFA">
      <w:pPr>
        <w:pStyle w:val="Default"/>
        <w:rPr>
          <w:sz w:val="22"/>
          <w:szCs w:val="22"/>
        </w:rPr>
      </w:pPr>
      <w:r>
        <w:rPr>
          <w:sz w:val="22"/>
          <w:szCs w:val="22"/>
        </w:rPr>
        <w:t>Z dôvodu hypoperfúzie sa pri rivaroxabáne hlásili známe sekundárne komplikácie závažného krvácania, ako je syndróm kompartmentu a zlyhanie obličiek. Možnosť hemorágie sa má preto zvážiť pri hodnotení stavu pacienta, ktorý dostáva ktorúkoľvek antikoagulačnú liečbu.</w:t>
      </w:r>
    </w:p>
    <w:p w14:paraId="03A8AEEB" w14:textId="77777777" w:rsidR="0036326D" w:rsidRDefault="0036326D">
      <w:pPr>
        <w:pStyle w:val="Default"/>
        <w:rPr>
          <w:sz w:val="22"/>
          <w:szCs w:val="22"/>
        </w:rPr>
      </w:pPr>
    </w:p>
    <w:p w14:paraId="794B1BC0" w14:textId="77777777" w:rsidR="0036326D" w:rsidRDefault="00443AFA">
      <w:pPr>
        <w:pStyle w:val="Default"/>
        <w:rPr>
          <w:sz w:val="22"/>
          <w:szCs w:val="22"/>
          <w:u w:val="single"/>
        </w:rPr>
      </w:pPr>
      <w:r>
        <w:rPr>
          <w:sz w:val="22"/>
          <w:szCs w:val="22"/>
          <w:u w:val="single"/>
        </w:rPr>
        <w:t xml:space="preserve">Hlásenie podozrení na nežiaduce reakcie </w:t>
      </w:r>
    </w:p>
    <w:p w14:paraId="51747F4C" w14:textId="77777777" w:rsidR="0036326D" w:rsidRDefault="00443AFA">
      <w:pPr>
        <w:pStyle w:val="Default"/>
        <w:rPr>
          <w:sz w:val="22"/>
          <w:szCs w:val="22"/>
        </w:rPr>
      </w:pPr>
      <w:r>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zCs w:val="22"/>
          <w:highlight w:val="lightGray"/>
        </w:rPr>
        <w:t xml:space="preserve">národné centrum hlásenia uvedené v </w:t>
      </w:r>
      <w:hyperlink r:id="rId7">
        <w:r>
          <w:rPr>
            <w:color w:val="0000FF"/>
            <w:sz w:val="22"/>
            <w:szCs w:val="22"/>
            <w:highlight w:val="lightGray"/>
            <w:u w:val="single"/>
            <w:lang w:eastAsia="sk-SK"/>
          </w:rPr>
          <w:t>Prílohe V</w:t>
        </w:r>
      </w:hyperlink>
      <w:r>
        <w:rPr>
          <w:sz w:val="22"/>
          <w:szCs w:val="22"/>
          <w:highlight w:val="lightGray"/>
        </w:rPr>
        <w:t>.</w:t>
      </w:r>
    </w:p>
    <w:p w14:paraId="7D446BD6" w14:textId="77777777" w:rsidR="0036326D" w:rsidRDefault="0036326D">
      <w:pPr>
        <w:pStyle w:val="Default"/>
        <w:rPr>
          <w:sz w:val="22"/>
          <w:szCs w:val="22"/>
        </w:rPr>
      </w:pPr>
    </w:p>
    <w:p w14:paraId="44E9D9CB" w14:textId="77777777" w:rsidR="0036326D" w:rsidRDefault="00443AFA">
      <w:pPr>
        <w:tabs>
          <w:tab w:val="left" w:pos="567"/>
        </w:tabs>
        <w:spacing w:after="0" w:line="240" w:lineRule="auto"/>
        <w:rPr>
          <w:rFonts w:ascii="Times New Roman" w:hAnsi="Times New Roman" w:cs="Times New Roman"/>
          <w:b/>
        </w:rPr>
      </w:pPr>
      <w:r>
        <w:rPr>
          <w:rFonts w:ascii="Times New Roman" w:hAnsi="Times New Roman" w:cs="Times New Roman"/>
          <w:b/>
        </w:rPr>
        <w:t>4.9</w:t>
      </w:r>
      <w:r>
        <w:rPr>
          <w:rFonts w:ascii="Times New Roman" w:hAnsi="Times New Roman" w:cs="Times New Roman"/>
          <w:b/>
        </w:rPr>
        <w:tab/>
        <w:t>Predávkovanie</w:t>
      </w:r>
    </w:p>
    <w:p w14:paraId="5A550DB2" w14:textId="77777777" w:rsidR="0036326D" w:rsidRDefault="0036326D">
      <w:pPr>
        <w:pStyle w:val="Default"/>
        <w:rPr>
          <w:sz w:val="22"/>
          <w:szCs w:val="22"/>
        </w:rPr>
      </w:pPr>
    </w:p>
    <w:p w14:paraId="0BFB5469" w14:textId="77777777" w:rsidR="0036326D" w:rsidRDefault="00443AFA">
      <w:pPr>
        <w:pStyle w:val="Default"/>
        <w:rPr>
          <w:sz w:val="22"/>
          <w:szCs w:val="22"/>
        </w:rPr>
      </w:pPr>
      <w:r>
        <w:rPr>
          <w:sz w:val="22"/>
          <w:szCs w:val="22"/>
        </w:rPr>
        <w:t xml:space="preserve">Hlásili sa zriedkavé prípady predávkovania až do 600 mg bez krvácavých komplikácií alebo iných nežiaducich účinkov. Z dôvodu obmedzenej absorpcie sa pri supraterapeutických dávkach 50 mg rivaroxabánu alebo vyšších očakáva maximálny účinok bez ďalšieho zvyšovania priemernej plazmatickej expozície. </w:t>
      </w:r>
    </w:p>
    <w:p w14:paraId="43E20574" w14:textId="77777777" w:rsidR="0036326D" w:rsidRDefault="00443AFA">
      <w:pPr>
        <w:pStyle w:val="Default"/>
        <w:rPr>
          <w:sz w:val="22"/>
          <w:szCs w:val="22"/>
        </w:rPr>
      </w:pPr>
      <w:r>
        <w:rPr>
          <w:sz w:val="22"/>
          <w:szCs w:val="22"/>
        </w:rPr>
        <w:t>Dostupná je špecifická reverzná látka (andexanet alfa) antagonizujúca farmakodynamický účinok rivaroxabánu (pozri Súhrn charakteristických vlastností lieku pre andexanet alfa).</w:t>
      </w:r>
    </w:p>
    <w:p w14:paraId="50F80DA7" w14:textId="77777777" w:rsidR="0036326D" w:rsidRDefault="00443AFA">
      <w:pPr>
        <w:tabs>
          <w:tab w:val="left" w:pos="567"/>
        </w:tabs>
        <w:spacing w:after="0" w:line="240" w:lineRule="auto"/>
        <w:rPr>
          <w:rFonts w:ascii="Times New Roman" w:hAnsi="Times New Roman" w:cs="Times New Roman"/>
          <w:b/>
        </w:rPr>
      </w:pPr>
      <w:r>
        <w:rPr>
          <w:rFonts w:ascii="Times New Roman" w:hAnsi="Times New Roman" w:cs="Times New Roman"/>
        </w:rPr>
        <w:t>V prípade predávkovania rivaroxabánom možno zvážiť použitie aktívneho uhlia na zníženie absorpcie.</w:t>
      </w:r>
    </w:p>
    <w:p w14:paraId="5730A9B1" w14:textId="77777777" w:rsidR="0036326D" w:rsidRDefault="0036326D">
      <w:pPr>
        <w:pStyle w:val="Default"/>
        <w:rPr>
          <w:sz w:val="22"/>
          <w:szCs w:val="22"/>
          <w:u w:val="single"/>
        </w:rPr>
      </w:pPr>
    </w:p>
    <w:p w14:paraId="00EAC5F8" w14:textId="77777777" w:rsidR="0036326D" w:rsidRDefault="00443AFA">
      <w:pPr>
        <w:pStyle w:val="Default"/>
        <w:rPr>
          <w:sz w:val="22"/>
          <w:szCs w:val="22"/>
          <w:u w:val="single"/>
        </w:rPr>
      </w:pPr>
      <w:r>
        <w:rPr>
          <w:sz w:val="22"/>
          <w:szCs w:val="22"/>
          <w:u w:val="single"/>
        </w:rPr>
        <w:t xml:space="preserve">Liečba krvácania </w:t>
      </w:r>
    </w:p>
    <w:p w14:paraId="49B96654" w14:textId="77777777" w:rsidR="0036326D" w:rsidRDefault="00443AFA">
      <w:pPr>
        <w:pStyle w:val="Default"/>
        <w:rPr>
          <w:sz w:val="22"/>
          <w:szCs w:val="22"/>
        </w:rPr>
      </w:pPr>
      <w:r>
        <w:rPr>
          <w:sz w:val="22"/>
          <w:szCs w:val="22"/>
        </w:rPr>
        <w:t xml:space="preserve">Ak u pacienta, ktorý užíva rivaroxabán nastane krvácavá komplikácia, nasledujúce podanie dávky rivaroxabánu sa má posunúť alebo sa má prerušiť liečba, podľa toho, čo je vhodnejšie. Rivaroxabán má polčas približne 5 až 13 hodín (pozri časť 5.2). Liečba má byť individuálna podľa závažnosti a lokalizácie krvácania. Ak je to potrebné, má sa použiť vhodná symptomatická liečba, ako je mechanická kompresia (napr. pri silnom krvácaní z nosa), chirurgická hemostáza so zaistením kontroly krvácania, náhrada tekutín a hemodynamická podpora, krvné deriváty (erytrocytárna masa alebo čerstvá zmrazená plazma, v závislosti od pridruženej anémie alebo koagulopatie) alebo trombocyty. </w:t>
      </w:r>
    </w:p>
    <w:p w14:paraId="689776F0" w14:textId="77777777" w:rsidR="0036326D" w:rsidRDefault="00443AFA">
      <w:pPr>
        <w:pStyle w:val="Default"/>
        <w:rPr>
          <w:sz w:val="22"/>
          <w:szCs w:val="22"/>
        </w:rPr>
      </w:pPr>
      <w:r>
        <w:rPr>
          <w:sz w:val="22"/>
          <w:szCs w:val="22"/>
        </w:rPr>
        <w:t xml:space="preserve">Ak krvácanie nemožno kontrolovať vyššie uvedenými opatreniami, možno zvážiť buď podanie špecifickej reverznej látky inhibítora faktora Xa (andexanet alfa), ktorá antagonizuje farmakodynamický účinok rivaroxabánu alebo špecifickej prokoagulačnej reverznej látky, ako je koncentrát protrombínového komplexu (PCC), aktivovaný koncentrát protrombínového komplexu (APCC) alebo rekombinantný faktor VIIa (r-FVIIa). V súčasnosti sú však veľmi obmedzené klinické skúsenosti s použitím týchto liekov u pacientov, ktorí užívajú rivaroxabán. Odporúčania sa zakladajú aj na obmedzených predklinických údajoch. Možno zvážiť opakované podávanie rekombinantného faktora VIIa a titrovať ho v závislosti od zlepšovania krvácania. </w:t>
      </w:r>
    </w:p>
    <w:p w14:paraId="15BAB300" w14:textId="77777777" w:rsidR="0036326D" w:rsidRDefault="00443AFA">
      <w:pPr>
        <w:pStyle w:val="Default"/>
        <w:rPr>
          <w:sz w:val="22"/>
          <w:szCs w:val="22"/>
        </w:rPr>
      </w:pPr>
      <w:r>
        <w:rPr>
          <w:sz w:val="22"/>
          <w:szCs w:val="22"/>
        </w:rPr>
        <w:t xml:space="preserve">V prípade závažného krvácania sa má podľa lokálnej dostupnosti zvážiť konzultácia s odborníkom na koaguláciu (pozri časť 5.1). </w:t>
      </w:r>
    </w:p>
    <w:p w14:paraId="3671CA5D" w14:textId="77777777" w:rsidR="0036326D" w:rsidRDefault="0036326D">
      <w:pPr>
        <w:pStyle w:val="Default"/>
        <w:rPr>
          <w:sz w:val="22"/>
          <w:szCs w:val="22"/>
        </w:rPr>
      </w:pPr>
    </w:p>
    <w:p w14:paraId="466D1093" w14:textId="77777777" w:rsidR="0036326D" w:rsidRDefault="00443AFA">
      <w:pPr>
        <w:tabs>
          <w:tab w:val="left" w:pos="567"/>
        </w:tabs>
        <w:spacing w:after="0" w:line="240" w:lineRule="auto"/>
        <w:rPr>
          <w:rFonts w:ascii="Times New Roman" w:hAnsi="Times New Roman" w:cs="Times New Roman"/>
        </w:rPr>
      </w:pPr>
      <w:r>
        <w:rPr>
          <w:rFonts w:ascii="Times New Roman" w:hAnsi="Times New Roman" w:cs="Times New Roman"/>
        </w:rPr>
        <w:t xml:space="preserve">Nepredpokladá sa, že by protamínium-sulfát a vitamín K ovplyvňovali antikoagulačnú aktivitu rivaroxabánu. U osôb užívajúcich rivaroxabán sú len obmedzené skúsenosti s používaním kyseliny tranexámovej a nie sú žiadne skúsenosti s kyselinou aminokaprónovou a aprotinínom. Neexistujú žiadne vedecké zdôvodnenia prínosu ani skúsenosti s použitím systémového hemostatika </w:t>
      </w:r>
      <w:r>
        <w:rPr>
          <w:rFonts w:ascii="Times New Roman" w:hAnsi="Times New Roman" w:cs="Times New Roman"/>
        </w:rPr>
        <w:lastRenderedPageBreak/>
        <w:t>dezmopresínu u osôb užívajúcich rivaroxabán. V dôsledku vysokej väzbovosti rivoroxabánu na plazmatické bielkoviny sa nepredpokladá, že je dialyzovateľný.</w:t>
      </w:r>
    </w:p>
    <w:p w14:paraId="6121B97B" w14:textId="77777777" w:rsidR="0036326D" w:rsidRDefault="0036326D">
      <w:pPr>
        <w:tabs>
          <w:tab w:val="left" w:pos="567"/>
        </w:tabs>
        <w:spacing w:after="0" w:line="240" w:lineRule="auto"/>
        <w:rPr>
          <w:rFonts w:ascii="Times New Roman" w:hAnsi="Times New Roman" w:cs="Times New Roman"/>
        </w:rPr>
      </w:pPr>
    </w:p>
    <w:p w14:paraId="65D59AF8" w14:textId="77777777" w:rsidR="0036326D" w:rsidRDefault="0036326D">
      <w:pPr>
        <w:tabs>
          <w:tab w:val="left" w:pos="567"/>
        </w:tabs>
        <w:spacing w:after="0" w:line="240" w:lineRule="auto"/>
        <w:rPr>
          <w:rFonts w:ascii="Times New Roman" w:hAnsi="Times New Roman" w:cs="Times New Roman"/>
        </w:rPr>
      </w:pPr>
    </w:p>
    <w:p w14:paraId="4EA6FC87" w14:textId="77777777" w:rsidR="0036326D" w:rsidRDefault="00443AFA">
      <w:pPr>
        <w:pStyle w:val="Default"/>
        <w:tabs>
          <w:tab w:val="left" w:pos="567"/>
        </w:tabs>
        <w:rPr>
          <w:b/>
          <w:bCs/>
          <w:sz w:val="22"/>
          <w:szCs w:val="22"/>
        </w:rPr>
      </w:pPr>
      <w:r>
        <w:rPr>
          <w:b/>
          <w:bCs/>
          <w:sz w:val="22"/>
          <w:szCs w:val="22"/>
        </w:rPr>
        <w:t>5.</w:t>
      </w:r>
      <w:r>
        <w:rPr>
          <w:b/>
          <w:bCs/>
          <w:sz w:val="22"/>
          <w:szCs w:val="22"/>
        </w:rPr>
        <w:tab/>
        <w:t xml:space="preserve">FARMAKOLOGICKÉ VLASTNOSTI </w:t>
      </w:r>
    </w:p>
    <w:p w14:paraId="7732981D" w14:textId="77777777" w:rsidR="0036326D" w:rsidRDefault="0036326D">
      <w:pPr>
        <w:pStyle w:val="Default"/>
        <w:rPr>
          <w:sz w:val="22"/>
          <w:szCs w:val="22"/>
        </w:rPr>
      </w:pPr>
    </w:p>
    <w:p w14:paraId="6B027EE7" w14:textId="77777777" w:rsidR="0036326D" w:rsidRDefault="00443AFA">
      <w:pPr>
        <w:pStyle w:val="Default"/>
        <w:tabs>
          <w:tab w:val="left" w:pos="567"/>
        </w:tabs>
        <w:rPr>
          <w:b/>
          <w:bCs/>
          <w:sz w:val="22"/>
          <w:szCs w:val="22"/>
        </w:rPr>
      </w:pPr>
      <w:r>
        <w:rPr>
          <w:b/>
          <w:bCs/>
          <w:sz w:val="22"/>
          <w:szCs w:val="22"/>
        </w:rPr>
        <w:t>5.1</w:t>
      </w:r>
      <w:r>
        <w:rPr>
          <w:b/>
          <w:bCs/>
          <w:sz w:val="22"/>
          <w:szCs w:val="22"/>
        </w:rPr>
        <w:tab/>
        <w:t xml:space="preserve">Farmakodynamické vlastnosti </w:t>
      </w:r>
    </w:p>
    <w:p w14:paraId="59CB532F" w14:textId="77777777" w:rsidR="0036326D" w:rsidRDefault="0036326D">
      <w:pPr>
        <w:pStyle w:val="Default"/>
        <w:rPr>
          <w:sz w:val="22"/>
          <w:szCs w:val="22"/>
        </w:rPr>
      </w:pPr>
    </w:p>
    <w:p w14:paraId="6843283C" w14:textId="77777777" w:rsidR="0036326D" w:rsidRDefault="00443AFA">
      <w:pPr>
        <w:tabs>
          <w:tab w:val="left" w:pos="567"/>
        </w:tabs>
        <w:rPr>
          <w:rFonts w:ascii="Times New Roman" w:hAnsi="Times New Roman" w:cs="Times New Roman"/>
        </w:rPr>
      </w:pPr>
      <w:r>
        <w:rPr>
          <w:rFonts w:ascii="Times New Roman" w:hAnsi="Times New Roman" w:cs="Times New Roman"/>
        </w:rPr>
        <w:t>Farmakoterapeutická skupina: Antitrombotiká, priame inhibítory faktora Xa, ATC kód: B01AF01</w:t>
      </w:r>
    </w:p>
    <w:p w14:paraId="736B70CB" w14:textId="77777777" w:rsidR="0036326D" w:rsidRDefault="00443AFA">
      <w:pPr>
        <w:pStyle w:val="Default"/>
        <w:rPr>
          <w:sz w:val="22"/>
          <w:szCs w:val="22"/>
          <w:u w:val="single"/>
        </w:rPr>
      </w:pPr>
      <w:r>
        <w:rPr>
          <w:sz w:val="22"/>
          <w:szCs w:val="22"/>
          <w:u w:val="single"/>
        </w:rPr>
        <w:t xml:space="preserve">Mechanizmus účinku </w:t>
      </w:r>
    </w:p>
    <w:p w14:paraId="7BD30445" w14:textId="77777777" w:rsidR="0036326D" w:rsidRDefault="00443AFA">
      <w:pPr>
        <w:pStyle w:val="Default"/>
        <w:rPr>
          <w:sz w:val="22"/>
          <w:szCs w:val="22"/>
        </w:rPr>
      </w:pPr>
      <w:r>
        <w:rPr>
          <w:sz w:val="22"/>
          <w:szCs w:val="22"/>
        </w:rPr>
        <w:t xml:space="preserve">Rivaroxabán je vysokoselektívny, priamy inhibítor faktora Xa s perorálnou biologickou dostupnosťou. </w:t>
      </w:r>
    </w:p>
    <w:p w14:paraId="6957B3E4" w14:textId="77777777" w:rsidR="0036326D" w:rsidRDefault="00443AFA">
      <w:pPr>
        <w:tabs>
          <w:tab w:val="left" w:pos="567"/>
        </w:tabs>
        <w:spacing w:after="0" w:line="240" w:lineRule="auto"/>
        <w:rPr>
          <w:rFonts w:ascii="Times New Roman" w:hAnsi="Times New Roman" w:cs="Times New Roman"/>
        </w:rPr>
      </w:pPr>
      <w:r>
        <w:rPr>
          <w:rFonts w:ascii="Times New Roman" w:hAnsi="Times New Roman" w:cs="Times New Roman"/>
        </w:rPr>
        <w:t>Inhibíciou faktora Xa sa preruší vnútorná a vonkajšia cesta kaskády zrážania krvi, čím sa inhibuje tvorba trombínu aj vznik trombov. Rivaroxabán neinhibuje trombín (aktivovaný faktor II) a nedokázali sa žiadne účinky na trombocyty.</w:t>
      </w:r>
    </w:p>
    <w:p w14:paraId="649D1029" w14:textId="77777777" w:rsidR="0036326D" w:rsidRDefault="0036326D">
      <w:pPr>
        <w:pStyle w:val="Default"/>
        <w:rPr>
          <w:sz w:val="22"/>
          <w:szCs w:val="22"/>
          <w:u w:val="single"/>
        </w:rPr>
      </w:pPr>
    </w:p>
    <w:p w14:paraId="7881E908" w14:textId="77777777" w:rsidR="0036326D" w:rsidRDefault="00443AFA">
      <w:pPr>
        <w:pStyle w:val="Default"/>
        <w:rPr>
          <w:sz w:val="22"/>
          <w:szCs w:val="22"/>
          <w:u w:val="single"/>
        </w:rPr>
      </w:pPr>
      <w:r>
        <w:rPr>
          <w:sz w:val="22"/>
          <w:szCs w:val="22"/>
          <w:u w:val="single"/>
        </w:rPr>
        <w:t xml:space="preserve">Farmakodynamické účinky </w:t>
      </w:r>
    </w:p>
    <w:p w14:paraId="2AD5C694" w14:textId="77777777" w:rsidR="0036326D" w:rsidRDefault="00443AFA">
      <w:pPr>
        <w:pStyle w:val="Default"/>
        <w:rPr>
          <w:sz w:val="22"/>
          <w:szCs w:val="22"/>
        </w:rPr>
      </w:pPr>
      <w:r>
        <w:rPr>
          <w:sz w:val="22"/>
          <w:szCs w:val="22"/>
        </w:rPr>
        <w:t xml:space="preserve">U ľudí sa pozorovala inhibícia aktivity faktora Xa závislá od dávky. Rivaroxabán ovplyvňuje protrombínový čas (PT) spôsobom závislým od dávky v značnej korelácii s plazmatickými koncentráciami (r hodnota sa rovná 0,98), ak sa na analýzu použije Neoplastin. Iné reagenciá by poskytli odlišné výsledky. </w:t>
      </w:r>
    </w:p>
    <w:p w14:paraId="662FDA2E" w14:textId="77777777" w:rsidR="0036326D" w:rsidRDefault="00443AFA">
      <w:pPr>
        <w:pStyle w:val="Default"/>
        <w:rPr>
          <w:sz w:val="22"/>
          <w:szCs w:val="22"/>
        </w:rPr>
      </w:pPr>
      <w:r>
        <w:rPr>
          <w:sz w:val="22"/>
          <w:szCs w:val="22"/>
        </w:rPr>
        <w:t xml:space="preserve">Hodnota PT sa má vyjadriť v sekundách, pretože INR je kalibrovaný a validovaný len pre kumaríny a nie je možné ho použiť pre žiadne iné antikoagulancium. </w:t>
      </w:r>
    </w:p>
    <w:p w14:paraId="54D1FC50" w14:textId="77777777" w:rsidR="0036326D" w:rsidRDefault="0036326D">
      <w:pPr>
        <w:pStyle w:val="Default"/>
        <w:rPr>
          <w:sz w:val="22"/>
          <w:szCs w:val="22"/>
        </w:rPr>
      </w:pPr>
    </w:p>
    <w:p w14:paraId="16C96E98" w14:textId="69D03D90" w:rsidR="0036326D" w:rsidRDefault="00443AFA">
      <w:pPr>
        <w:spacing w:after="0" w:line="240" w:lineRule="auto"/>
        <w:rPr>
          <w:rFonts w:ascii="Times New Roman" w:hAnsi="Times New Roman" w:cs="Times New Roman"/>
        </w:rPr>
      </w:pPr>
      <w:r>
        <w:rPr>
          <w:rFonts w:ascii="Times New Roman" w:hAnsi="Times New Roman" w:cs="Times New Roman"/>
        </w:rPr>
        <w:t>U pacientov, ktorí užívajú rivaroxabán na liečbu DVT a PE a na prevenciu rekurencie, 5/95 percentilov malo PT (Neoplastin) 2 – 4 hodiny po užití tablety (t.j. v čase maximálneho účinku) v rozsahu od 17 do 32 s po podaní 15 mg rivaroxabánu dvakrát denne a od 15 do 30 s po podaní 20 mg rivaroxabánu jedenkrát denne. Najnižšie hodnoty (8 – 16 h po užití tablety) 5/95 percentilov sa pri podaní 15 mg dvakrát denne pohybovali v rozsahu od 14 do 24 s, a pri podaní 20 mg jedenkrát denne (18 – 30 h po užití tablety) v rozsahu od 13 do 20 s.</w:t>
      </w:r>
    </w:p>
    <w:p w14:paraId="48A4756A" w14:textId="77777777" w:rsidR="0036326D" w:rsidRDefault="0036326D">
      <w:pPr>
        <w:spacing w:after="0" w:line="240" w:lineRule="auto"/>
        <w:rPr>
          <w:rFonts w:ascii="Times New Roman" w:hAnsi="Times New Roman" w:cs="Times New Roman"/>
        </w:rPr>
      </w:pPr>
    </w:p>
    <w:p w14:paraId="68394630" w14:textId="4F8487B2" w:rsidR="0036326D" w:rsidRDefault="00443AFA">
      <w:pPr>
        <w:spacing w:after="0" w:line="240" w:lineRule="auto"/>
        <w:rPr>
          <w:rFonts w:ascii="Times New Roman" w:hAnsi="Times New Roman" w:cs="Times New Roman"/>
        </w:rPr>
      </w:pPr>
      <w:r>
        <w:rPr>
          <w:rFonts w:ascii="Times New Roman" w:hAnsi="Times New Roman" w:cs="Times New Roman"/>
        </w:rPr>
        <w:t>U pacientov s nevalvulárnou fibriláciou predsiení, ktorí užívajú rivaroxabán na prevenciu cievnej mozgovej príhody a systémovej embólie, 5/95 percentilov malo PT (Neoplastin) 1 – 4 hodiny po užití tablety (t.j. v čase maximálneho účinku) v rozsahu od 14 do 40 s u pacientov liečených 20 mg jedenkrát denne a u pacientov so stredne ťažkou poruchou obličiek liečených 15 mg jedenkrát denne sa pohybovalo v rozsahu od 10 do 50 s. Najnižšie hodnoty (16 – 36 h po užití tablety) 5/95 percentilov sa u pacientov liečených dávkou 20 mg jedenkrát denne pohybovali v rozsahu od 12 do 26 s a u pacientov so stredne ťažkou poruchou obličiek liečených dávkou 15 mg jedenkrát denne sa pohybovali v rozsahu od 12 do 26 s.</w:t>
      </w:r>
    </w:p>
    <w:p w14:paraId="784681BE" w14:textId="77777777" w:rsidR="0036326D" w:rsidRDefault="0036326D">
      <w:pPr>
        <w:spacing w:after="0" w:line="240" w:lineRule="auto"/>
        <w:rPr>
          <w:rFonts w:ascii="Times New Roman" w:hAnsi="Times New Roman" w:cs="Times New Roman"/>
        </w:rPr>
      </w:pPr>
    </w:p>
    <w:p w14:paraId="43EC3BDA" w14:textId="77777777" w:rsidR="0036326D" w:rsidRDefault="00443AFA">
      <w:pPr>
        <w:spacing w:after="0" w:line="240" w:lineRule="auto"/>
        <w:rPr>
          <w:rFonts w:ascii="Times New Roman" w:hAnsi="Times New Roman" w:cs="Times New Roman"/>
        </w:rPr>
      </w:pPr>
      <w:r>
        <w:rPr>
          <w:rFonts w:ascii="Times New Roman" w:hAnsi="Times New Roman" w:cs="Times New Roman"/>
        </w:rPr>
        <w:t>V klinickom farmakologickom skúšaní reverzie farmakodynamiky rivaroxabánu boli u dospelých zdravých osôb (n = 22) hodnotené účinky jednorazových dávok (50 IU/kg) u dvoch rozdielnych typov koncentrátov protrombínového komplexu (PCC), trojfaktorového PCC (Faktory II, IX a X) a štvorfaktorového PCC (Faktory II, VII, IX a X). Trojfaktorový PCC znižoval stredné hodnoty PT Neoplastinu o približne 1 sekundu počas 30 minút v porovnaní so znížením o približne 3,5 sekundy pozorovaným u štvorfaktorového PCC. Naopak, celkový vplyv na reverzné zmeny tvorby endogénneho trombínu bol výraznejší a rýchlejší u trojfaktorového PCC ako u štvorfaktorového PCC (pozri časť 4.9).</w:t>
      </w:r>
    </w:p>
    <w:p w14:paraId="58C0EE57" w14:textId="2A568DD5" w:rsidR="0036326D" w:rsidRDefault="00443AFA">
      <w:pPr>
        <w:spacing w:after="0" w:line="240" w:lineRule="auto"/>
        <w:rPr>
          <w:rFonts w:ascii="Times New Roman" w:hAnsi="Times New Roman" w:cs="Times New Roman"/>
        </w:rPr>
      </w:pPr>
      <w:r>
        <w:rPr>
          <w:rFonts w:ascii="Times New Roman" w:hAnsi="Times New Roman" w:cs="Times New Roman"/>
        </w:rPr>
        <w:t>Aktivovaný parciálny tromboplastínový čas (aPTT) a HepTest sú tiež predĺžené v závislosti od dávky; neodporúčajú sa však na hodnotenie farmakodynamického účinku rivaroxabánu. Počas liečby rivaroxabánom nie je potrebné v bežnej klinickej praxi monitorovať parametre zrážavosti. Avšak, ak je to klinicky indikované, hladiny rivaroxabánu sa môžu merať pomocou kalibrovaných kvantitatívnych testov pre anti-faktor Xa (pozri časť 5.2).</w:t>
      </w:r>
    </w:p>
    <w:p w14:paraId="7C8458C4" w14:textId="77777777" w:rsidR="0036326D" w:rsidRDefault="0036326D">
      <w:pPr>
        <w:pStyle w:val="Default"/>
        <w:rPr>
          <w:sz w:val="22"/>
          <w:szCs w:val="22"/>
        </w:rPr>
      </w:pPr>
    </w:p>
    <w:p w14:paraId="7C4E5D3F" w14:textId="77777777" w:rsidR="0036326D" w:rsidRDefault="00443AFA">
      <w:pP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Pacienti s vysokým rizikom trojito pozitívneho antifosfolipidového syndrómu </w:t>
      </w:r>
    </w:p>
    <w:p w14:paraId="655C3870" w14:textId="77777777" w:rsidR="0036326D" w:rsidRDefault="00443AFA">
      <w:pPr>
        <w:spacing w:after="0" w:line="240" w:lineRule="auto"/>
        <w:rPr>
          <w:rFonts w:ascii="Times New Roman" w:hAnsi="Times New Roman" w:cs="Times New Roman"/>
        </w:rPr>
      </w:pPr>
      <w:r>
        <w:rPr>
          <w:rFonts w:ascii="Times New Roman" w:hAnsi="Times New Roman" w:cs="Times New Roman"/>
          <w:color w:val="000000"/>
        </w:rPr>
        <w:lastRenderedPageBreak/>
        <w:t xml:space="preserve">V randomizovanej, otvorenej, multicentrickej klinickej štúdii sponzorovanej skúšajúcim so zaslepeným záverečným posudzovaním bol rivaroxabán porovnávaný s warfarínom u pacientov s trombózou v anamnéze, u ktorých je diagnostikovaný antifosfolipidový syndróm a ktorí majú vysoké riziko výskytu </w:t>
      </w:r>
      <w:r>
        <w:rPr>
          <w:rFonts w:ascii="Times New Roman" w:hAnsi="Times New Roman" w:cs="Times New Roman"/>
        </w:rPr>
        <w:t>tromboembolických udalostí (pacienti pozitívni na všetky 3 antifosfolipidové testy: lupus antikoagulans, antikardiolipínové protilátky a protilátky proti beta-2-glykoproteínu I). Skúšanie bolo predčasne ukončené po zaradení 120 pacientov z dôvodu nárastu udalostí u pacientov v skupine s rivaroxabánom. Priemerná dĺžka klinického skúšania bola 569 dní. Randomizovaných bolo 59 pacientov na liečbu rivaroxabánom 20 mg (15 mg pre pacientov s klírensom kreatinínu (CrCl) &lt;50 ml/min) a 61 pacientov na liečbu warfarínom (INR 2,0-3,0). Tromboembolické udalosti sa vyskytli u 12 % pacientov randomizovaných na liečbu rivaroxabánom (4 ischemické cievne mozgové príhody a 3 infarkty myokardu). U pacientov randomizovaných na liečbu warfarínom neboli hlásené žiadne udalosti. Silné krvácanie sa vyskytlo u 4 pacientov (7 %) v skupine s rivaroxabánom a u 2 pacientov (3 %) v skupine s warfarínom.</w:t>
      </w:r>
    </w:p>
    <w:p w14:paraId="1DEE18F3" w14:textId="77777777" w:rsidR="0036326D" w:rsidRDefault="0036326D">
      <w:pPr>
        <w:pStyle w:val="Default"/>
        <w:rPr>
          <w:sz w:val="22"/>
          <w:szCs w:val="22"/>
        </w:rPr>
      </w:pPr>
    </w:p>
    <w:p w14:paraId="523FEA35" w14:textId="77777777" w:rsidR="0036326D" w:rsidRDefault="00443AFA">
      <w:pPr>
        <w:pStyle w:val="Default"/>
        <w:rPr>
          <w:sz w:val="22"/>
          <w:szCs w:val="22"/>
          <w:u w:val="single"/>
        </w:rPr>
      </w:pPr>
      <w:r>
        <w:rPr>
          <w:sz w:val="22"/>
          <w:szCs w:val="22"/>
          <w:u w:val="single"/>
        </w:rPr>
        <w:t>Klinická účinnosť a bezpečnosť</w:t>
      </w:r>
    </w:p>
    <w:p w14:paraId="7908DB7A" w14:textId="77777777" w:rsidR="0036326D" w:rsidRDefault="0036326D">
      <w:pPr>
        <w:pStyle w:val="Default"/>
        <w:rPr>
          <w:sz w:val="22"/>
          <w:szCs w:val="22"/>
          <w:u w:val="single"/>
        </w:rPr>
      </w:pPr>
    </w:p>
    <w:p w14:paraId="63D8CA8F" w14:textId="558BF9DF" w:rsidR="0036326D" w:rsidRDefault="00443AFA">
      <w:pPr>
        <w:spacing w:after="0" w:line="240" w:lineRule="auto"/>
        <w:rPr>
          <w:rFonts w:ascii="Times New Roman" w:hAnsi="Times New Roman" w:cs="Times New Roman"/>
          <w:i/>
          <w:iCs/>
        </w:rPr>
      </w:pPr>
      <w:r>
        <w:rPr>
          <w:rFonts w:ascii="Times New Roman" w:hAnsi="Times New Roman" w:cs="Times New Roman"/>
          <w:i/>
          <w:iCs/>
        </w:rPr>
        <w:t>Prevencia cievnej mozgovej príhody a systémovej embólie u pacientov s nevalvulárnou fibriláciou predsiení</w:t>
      </w:r>
    </w:p>
    <w:p w14:paraId="0EDFB7E1" w14:textId="75FDC383" w:rsidR="0036326D" w:rsidRDefault="00443AFA">
      <w:pPr>
        <w:spacing w:after="0" w:line="240" w:lineRule="auto"/>
        <w:rPr>
          <w:rFonts w:ascii="Times New Roman" w:hAnsi="Times New Roman" w:cs="Times New Roman"/>
        </w:rPr>
      </w:pPr>
      <w:r>
        <w:rPr>
          <w:rFonts w:ascii="Times New Roman" w:hAnsi="Times New Roman" w:cs="Times New Roman"/>
        </w:rPr>
        <w:t>Klinický program rivaroxabánu bol navrhnutý na preukázanie účinnosti rivaroxabánu v prevencii cievnej mozgovej príhody a systémovej embólie u pacientov s nevalvulárnou fibriláciou predsiení.</w:t>
      </w:r>
    </w:p>
    <w:p w14:paraId="379DE3BE" w14:textId="23428130" w:rsidR="0036326D" w:rsidRDefault="00443AFA">
      <w:pPr>
        <w:spacing w:after="0" w:line="240" w:lineRule="auto"/>
        <w:rPr>
          <w:rFonts w:ascii="Times New Roman" w:hAnsi="Times New Roman" w:cs="Times New Roman"/>
        </w:rPr>
      </w:pPr>
      <w:r>
        <w:rPr>
          <w:rFonts w:ascii="Times New Roman" w:hAnsi="Times New Roman" w:cs="Times New Roman"/>
        </w:rPr>
        <w:t>V pivotnom dvojito zaslepenom skúšaní ROCKET AF bolo 14 264 pacientov zaradených buď na liečbu rivaroxabánom 20 mg jedenkrát denne (15 mg jedenkrát denne u pacientov s klírensom kreatinínu 30 – 49 ml/min) alebo na liečbu warfarínom titrovaným na cieľovú hodnotu INR 2,5 (terapeutický rozsah 2,0 až 3,0). Medián času liečby bol 19 mesiacov a celkové trvanie liečby bolo až do 41 mesiacov.</w:t>
      </w:r>
    </w:p>
    <w:p w14:paraId="3F36C1EC" w14:textId="77777777" w:rsidR="0036326D" w:rsidRDefault="00443AFA">
      <w:pPr>
        <w:spacing w:after="0" w:line="240" w:lineRule="auto"/>
        <w:rPr>
          <w:rFonts w:ascii="Times New Roman" w:hAnsi="Times New Roman" w:cs="Times New Roman"/>
        </w:rPr>
      </w:pPr>
      <w:r>
        <w:rPr>
          <w:rFonts w:ascii="Times New Roman" w:hAnsi="Times New Roman" w:cs="Times New Roman"/>
        </w:rPr>
        <w:t>34,9 % pacientov sa liečilo kyselinou acetylsalicylovou a 11,4 % sa liečilo antiarytmikami triedy III vrátane amiodarónu.</w:t>
      </w:r>
    </w:p>
    <w:p w14:paraId="32BA42AB" w14:textId="4962C702" w:rsidR="0036326D" w:rsidRDefault="00443AFA">
      <w:pPr>
        <w:spacing w:after="0" w:line="240" w:lineRule="auto"/>
        <w:rPr>
          <w:rFonts w:ascii="Times New Roman" w:hAnsi="Times New Roman" w:cs="Times New Roman"/>
        </w:rPr>
      </w:pPr>
      <w:r>
        <w:rPr>
          <w:rFonts w:ascii="Times New Roman" w:hAnsi="Times New Roman" w:cs="Times New Roman"/>
        </w:rPr>
        <w:t>V porovnaní s warfarínom vykazoval rivaroxabán noninferioritu pre primárny združený koncový ukazovateľ pri cievnej mozgovej príhode a systémovej embólii nepostihujúcej CNS. V populácii pacientov podľa protokolu sa počas liečby vyskytla cievna mozgová príhoda alebo systémová embólia u 188 pacientov liečených rivaroxabánom (1,71 % za rok) a u 241 liečených warfarínom (2,16 % za rok) (HR 0,79, 95 % CI, 0,66 až 0,96, p &lt; 0,001 pre noninferioritu). Zo všetkých randomizovaných pacientov analyzovaných podľa ITT, sa primárne príhody vyskytli u 269 pacientov užívajúcich rivaroxabán (2,12 % za rok) a u 306 užívajúcich warfarín (2,42 % za rok) (HR 0,88, 95 % CI, 0,74 – 1,03, p &lt; 0,001 pre noninferioritu, p = 0,117 pre superioritu). Výsledky pre sekundárne koncové ukazovatele sa sledovali v hierarchickom poradí v ITT analýze a sú zobrazené v Tabuľke 4.</w:t>
      </w:r>
    </w:p>
    <w:p w14:paraId="2E9C5BFC" w14:textId="77777777" w:rsidR="0036326D" w:rsidRDefault="00443AFA">
      <w:pPr>
        <w:spacing w:after="0" w:line="240" w:lineRule="auto"/>
        <w:rPr>
          <w:rFonts w:ascii="Times New Roman" w:hAnsi="Times New Roman" w:cs="Times New Roman"/>
        </w:rPr>
      </w:pPr>
      <w:r>
        <w:rPr>
          <w:rFonts w:ascii="Times New Roman" w:hAnsi="Times New Roman" w:cs="Times New Roman"/>
        </w:rPr>
        <w:t>U pacientov warfarínovej skupiny sa INR hodnoty nachádzali v terapeutickom rozmedzí (2,0 – 3,0) v priemere 55 % času (medián, 58 %; medzikvartilové rozpätie, 43 – 71). Účinok rivaroxabánu sa neodlišoval v rámci úrovne TTR centra (čas v cieľovom INR rozmedzí 2,0 </w:t>
      </w:r>
      <w:r>
        <w:rPr>
          <w:rFonts w:ascii="Times New Roman" w:hAnsi="Times New Roman" w:cs="Times New Roman"/>
        </w:rPr>
        <w:noBreakHyphen/>
        <w:t> 3,0) v rovnako veľkých kvartiloch (p = 0,74 na interakciu). V rámci najvyššieho kvartilu podľa centra, bola miera pomeru rizika u rivaroxabánu v porovnaní s warfarínom 0,74 (95 % CI, 0,49 – 1,12).</w:t>
      </w:r>
    </w:p>
    <w:p w14:paraId="3F819F6C" w14:textId="6D7976E2" w:rsidR="0036326D" w:rsidRDefault="00443AFA">
      <w:pPr>
        <w:spacing w:after="0" w:line="240" w:lineRule="auto"/>
        <w:rPr>
          <w:rFonts w:ascii="Times New Roman" w:hAnsi="Times New Roman" w:cs="Times New Roman"/>
        </w:rPr>
      </w:pPr>
      <w:r>
        <w:rPr>
          <w:rFonts w:ascii="Times New Roman" w:hAnsi="Times New Roman" w:cs="Times New Roman"/>
        </w:rPr>
        <w:t>Miery výskytu základného ukazovateľa bezpečnosti (závažné a nezávažné klinicky relevantné udalosti krvácania) boli podobné pre obe liečené skupiny (pozri Tabuľku 5).</w:t>
      </w:r>
    </w:p>
    <w:p w14:paraId="6ACDDA02" w14:textId="77777777" w:rsidR="0036326D" w:rsidRDefault="0036326D">
      <w:pPr>
        <w:spacing w:after="0" w:line="240" w:lineRule="auto"/>
        <w:rPr>
          <w:rFonts w:ascii="Times New Roman" w:hAnsi="Times New Roman" w:cs="Times New Roman"/>
          <w:u w:val="single"/>
        </w:rPr>
      </w:pPr>
    </w:p>
    <w:p w14:paraId="76316E84"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b/>
          <w:bCs/>
        </w:rPr>
        <w:t>Tabuľka 4: Výsledky účinnosti z ROCKET AF fázy III</w:t>
      </w:r>
    </w:p>
    <w:tbl>
      <w:tblPr>
        <w:tblW w:w="5000" w:type="pct"/>
        <w:tblLayout w:type="fixed"/>
        <w:tblLook w:val="04A0" w:firstRow="1" w:lastRow="0" w:firstColumn="1" w:lastColumn="0" w:noHBand="0" w:noVBand="1"/>
      </w:tblPr>
      <w:tblGrid>
        <w:gridCol w:w="2265"/>
        <w:gridCol w:w="2265"/>
        <w:gridCol w:w="2265"/>
        <w:gridCol w:w="2265"/>
      </w:tblGrid>
      <w:tr w:rsidR="0036326D" w14:paraId="4432E9B7"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169BE74"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14:paraId="30BC55C3"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ITT analýzy účinnosti u pacientov s nevalvulárnou fibriláciou predsiení</w:t>
            </w:r>
          </w:p>
        </w:tc>
      </w:tr>
      <w:tr w:rsidR="0036326D" w14:paraId="63A194A9"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03CDD15" w14:textId="77777777" w:rsidR="0036326D" w:rsidRDefault="0036326D">
            <w:pPr>
              <w:widowControl w:val="0"/>
              <w:spacing w:after="0" w:line="240" w:lineRule="auto"/>
              <w:rPr>
                <w:rFonts w:ascii="Times New Roman" w:hAnsi="Times New Roman" w:cs="Times New Roman"/>
                <w:b/>
              </w:rPr>
            </w:pPr>
          </w:p>
          <w:p w14:paraId="69FA5308" w14:textId="77777777" w:rsidR="0036326D" w:rsidRDefault="0036326D">
            <w:pPr>
              <w:widowControl w:val="0"/>
              <w:spacing w:after="0" w:line="240" w:lineRule="auto"/>
              <w:rPr>
                <w:rFonts w:ascii="Times New Roman" w:hAnsi="Times New Roman" w:cs="Times New Roman"/>
                <w:b/>
              </w:rPr>
            </w:pPr>
          </w:p>
          <w:p w14:paraId="43504308" w14:textId="77777777" w:rsidR="0036326D" w:rsidRDefault="0036326D">
            <w:pPr>
              <w:widowControl w:val="0"/>
              <w:spacing w:after="0" w:line="240" w:lineRule="auto"/>
              <w:rPr>
                <w:rFonts w:ascii="Times New Roman" w:hAnsi="Times New Roman" w:cs="Times New Roman"/>
                <w:b/>
              </w:rPr>
            </w:pPr>
          </w:p>
          <w:p w14:paraId="79285DAC"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Dávka pri liečbe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9E9289"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Rivaroxabán</w:t>
            </w:r>
          </w:p>
          <w:p w14:paraId="0A685FC6"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20 mg jedenkrát denne (15 mg jedenkrát denne u pacientov so stredne ťažkou poruchou funkcie obličiek)</w:t>
            </w:r>
          </w:p>
          <w:p w14:paraId="612EE5C7" w14:textId="77777777" w:rsidR="0036326D" w:rsidRDefault="0036326D">
            <w:pPr>
              <w:widowControl w:val="0"/>
              <w:spacing w:after="0" w:line="240" w:lineRule="auto"/>
              <w:rPr>
                <w:rFonts w:ascii="Times New Roman" w:hAnsi="Times New Roman" w:cs="Times New Roman"/>
                <w:b/>
              </w:rPr>
            </w:pPr>
          </w:p>
          <w:p w14:paraId="5F31DBA2"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Výskyt príhod</w:t>
            </w:r>
          </w:p>
          <w:p w14:paraId="16C3B59D"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(100 pacientorokov)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1B00C1"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lastRenderedPageBreak/>
              <w:t>Warfarín</w:t>
            </w:r>
          </w:p>
          <w:p w14:paraId="3FF8D936"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titrovaný na cieľovú hodnotu INR 2,5 (terapeutický rozsah 2,0 až 3,0)</w:t>
            </w:r>
          </w:p>
          <w:p w14:paraId="48B1B213" w14:textId="77777777" w:rsidR="0036326D" w:rsidRDefault="0036326D">
            <w:pPr>
              <w:widowControl w:val="0"/>
              <w:spacing w:after="0" w:line="240" w:lineRule="auto"/>
              <w:rPr>
                <w:rFonts w:ascii="Times New Roman" w:hAnsi="Times New Roman" w:cs="Times New Roman"/>
                <w:b/>
              </w:rPr>
            </w:pPr>
          </w:p>
          <w:p w14:paraId="64096B5A" w14:textId="77777777" w:rsidR="0036326D" w:rsidRDefault="0036326D">
            <w:pPr>
              <w:widowControl w:val="0"/>
              <w:spacing w:after="0" w:line="240" w:lineRule="auto"/>
              <w:rPr>
                <w:rFonts w:ascii="Times New Roman" w:hAnsi="Times New Roman" w:cs="Times New Roman"/>
                <w:b/>
              </w:rPr>
            </w:pPr>
          </w:p>
          <w:p w14:paraId="58683D7A" w14:textId="77777777" w:rsidR="0036326D" w:rsidRDefault="0036326D">
            <w:pPr>
              <w:widowControl w:val="0"/>
              <w:spacing w:after="0" w:line="240" w:lineRule="auto"/>
              <w:rPr>
                <w:rFonts w:ascii="Times New Roman" w:hAnsi="Times New Roman" w:cs="Times New Roman"/>
                <w:b/>
              </w:rPr>
            </w:pPr>
          </w:p>
          <w:p w14:paraId="54F59ED5" w14:textId="77777777" w:rsidR="00C96A86" w:rsidRDefault="00C96A86">
            <w:pPr>
              <w:widowControl w:val="0"/>
              <w:spacing w:after="0" w:line="240" w:lineRule="auto"/>
              <w:rPr>
                <w:rFonts w:ascii="Times New Roman" w:hAnsi="Times New Roman" w:cs="Times New Roman"/>
                <w:b/>
              </w:rPr>
            </w:pPr>
          </w:p>
          <w:p w14:paraId="320B4CBC"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Výskyt príhod</w:t>
            </w:r>
          </w:p>
          <w:p w14:paraId="768B92D9"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(100 pacientorokov)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8D84C4"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lastRenderedPageBreak/>
              <w:t>HR (95 % CI)</w:t>
            </w:r>
          </w:p>
          <w:p w14:paraId="472B4FCF"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p-hodnota, test superiority</w:t>
            </w:r>
          </w:p>
        </w:tc>
      </w:tr>
      <w:tr w:rsidR="0036326D" w14:paraId="31B38833"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8D0F6C7" w14:textId="67D2B02A"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Cievna mozgová príhoda a systémová embólia nepostihujúca CNS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9812E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269</w:t>
            </w:r>
          </w:p>
          <w:p w14:paraId="4C19DCE4"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(2,12)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3C00C8"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306</w:t>
            </w:r>
          </w:p>
          <w:p w14:paraId="73F6A5FC"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(2,42)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4AB0A1"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0,88</w:t>
            </w:r>
          </w:p>
          <w:p w14:paraId="4466E28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(0,74 – 1,03)</w:t>
            </w:r>
          </w:p>
          <w:p w14:paraId="3A0D77A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0,117</w:t>
            </w:r>
          </w:p>
        </w:tc>
      </w:tr>
      <w:tr w:rsidR="0036326D" w14:paraId="4A1F7BDD"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F7CDA27" w14:textId="18BD2309"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Cievna mozgová príhoda, systémová embólia nepostihujúca CNS a vaskulárna smrť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C9EAE8"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572</w:t>
            </w:r>
          </w:p>
          <w:p w14:paraId="7445667F"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(4,51)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7A1A6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609</w:t>
            </w:r>
          </w:p>
          <w:p w14:paraId="5853125E"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(4,81)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F4882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0,94</w:t>
            </w:r>
          </w:p>
          <w:p w14:paraId="1117F82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(0,84 – 1,05)</w:t>
            </w:r>
          </w:p>
          <w:p w14:paraId="5F974ADA"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0,265</w:t>
            </w:r>
          </w:p>
        </w:tc>
      </w:tr>
      <w:tr w:rsidR="0036326D" w14:paraId="18BA7221"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4DFB1FD" w14:textId="2AF5D9B3"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Cievna mozgová príhoda, systémová embólia nepostihujúca CNS, vaskulárna smrť a infarkt myokardu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BC158C"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659</w:t>
            </w:r>
          </w:p>
          <w:p w14:paraId="3E935F25"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(5,24)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B5ECA1"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709</w:t>
            </w:r>
          </w:p>
          <w:p w14:paraId="7C439C5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(5,65)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D1131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0,93</w:t>
            </w:r>
          </w:p>
          <w:p w14:paraId="17D530D8"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(0,83 – 1,03)</w:t>
            </w:r>
          </w:p>
          <w:p w14:paraId="68BF94C0"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0,158</w:t>
            </w:r>
          </w:p>
        </w:tc>
      </w:tr>
      <w:tr w:rsidR="0036326D" w14:paraId="309091A3"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3B91070"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Cievna mozgová príhoda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B8783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253</w:t>
            </w:r>
          </w:p>
          <w:p w14:paraId="18E8ECE4"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(1,99)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D4939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281</w:t>
            </w:r>
          </w:p>
          <w:p w14:paraId="082DBFA7"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(2,22)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1E0FF4"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0,90</w:t>
            </w:r>
          </w:p>
          <w:p w14:paraId="4256FCE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(0,76 – 1,07)</w:t>
            </w:r>
          </w:p>
          <w:p w14:paraId="1E2FF32C"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0,221</w:t>
            </w:r>
          </w:p>
        </w:tc>
      </w:tr>
      <w:tr w:rsidR="0036326D" w14:paraId="1ACC1F11"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52FEBF6" w14:textId="34AD822B"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Systémová embólia nepostihujúca CNS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7C1CB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20</w:t>
            </w:r>
          </w:p>
          <w:p w14:paraId="5666D5AC"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2019FA"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27</w:t>
            </w:r>
          </w:p>
          <w:p w14:paraId="64915446"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5AF41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0,74</w:t>
            </w:r>
          </w:p>
          <w:p w14:paraId="5A522CE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(0,42 – 1,32)</w:t>
            </w:r>
          </w:p>
          <w:p w14:paraId="1D9290DD"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0,308</w:t>
            </w:r>
          </w:p>
        </w:tc>
      </w:tr>
      <w:tr w:rsidR="0036326D" w14:paraId="1D8ED7C7"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3D08C2B"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Infarkt myokardu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9E21E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130</w:t>
            </w:r>
          </w:p>
          <w:p w14:paraId="5787F51C"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(1,02)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D30A9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142</w:t>
            </w:r>
          </w:p>
          <w:p w14:paraId="5C4B01E6"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94BEBA"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0,91</w:t>
            </w:r>
          </w:p>
          <w:p w14:paraId="1965CE2C"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(0,72 – 1,16)</w:t>
            </w:r>
          </w:p>
          <w:p w14:paraId="71A33756"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0,464</w:t>
            </w:r>
          </w:p>
        </w:tc>
      </w:tr>
    </w:tbl>
    <w:p w14:paraId="0BF8B8C0" w14:textId="77777777" w:rsidR="0036326D" w:rsidRDefault="0036326D">
      <w:pPr>
        <w:spacing w:after="0" w:line="240" w:lineRule="auto"/>
        <w:rPr>
          <w:rFonts w:ascii="Times New Roman" w:hAnsi="Times New Roman" w:cs="Times New Roman"/>
          <w:u w:val="single"/>
        </w:rPr>
      </w:pPr>
    </w:p>
    <w:p w14:paraId="5FD44DDA" w14:textId="77777777" w:rsidR="0036326D" w:rsidRDefault="00443AFA">
      <w:pPr>
        <w:spacing w:after="0" w:line="240" w:lineRule="auto"/>
        <w:rPr>
          <w:rFonts w:ascii="Times New Roman" w:hAnsi="Times New Roman" w:cs="Times New Roman"/>
          <w:b/>
          <w:u w:val="single"/>
        </w:rPr>
      </w:pPr>
      <w:r>
        <w:rPr>
          <w:rFonts w:ascii="Times New Roman" w:hAnsi="Times New Roman" w:cs="Times New Roman"/>
          <w:b/>
          <w:bCs/>
        </w:rPr>
        <w:t>Tabuľka 5: Výsledky bezpečnosti z ROCKET AF fázy III</w:t>
      </w:r>
    </w:p>
    <w:tbl>
      <w:tblPr>
        <w:tblW w:w="5000" w:type="pct"/>
        <w:tblLayout w:type="fixed"/>
        <w:tblLook w:val="04A0" w:firstRow="1" w:lastRow="0" w:firstColumn="1" w:lastColumn="0" w:noHBand="0" w:noVBand="1"/>
      </w:tblPr>
      <w:tblGrid>
        <w:gridCol w:w="2265"/>
        <w:gridCol w:w="2265"/>
        <w:gridCol w:w="2265"/>
        <w:gridCol w:w="2265"/>
      </w:tblGrid>
      <w:tr w:rsidR="0036326D" w14:paraId="2B2C089C"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EBB958F"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14:paraId="2D658856"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Pacienti s nevalvulárnou fibriláciou predsiení</w:t>
            </w:r>
            <w:r>
              <w:rPr>
                <w:rFonts w:ascii="Times New Roman" w:hAnsi="Times New Roman" w:cs="Times New Roman"/>
                <w:b/>
                <w:vertAlign w:val="superscript"/>
              </w:rPr>
              <w:t>a)</w:t>
            </w:r>
          </w:p>
        </w:tc>
      </w:tr>
      <w:tr w:rsidR="0036326D" w14:paraId="485B4829"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3531972" w14:textId="77777777" w:rsidR="0036326D" w:rsidRDefault="0036326D">
            <w:pPr>
              <w:widowControl w:val="0"/>
              <w:spacing w:after="0" w:line="240" w:lineRule="auto"/>
              <w:rPr>
                <w:rFonts w:ascii="Times New Roman" w:hAnsi="Times New Roman" w:cs="Times New Roman"/>
                <w:b/>
              </w:rPr>
            </w:pPr>
          </w:p>
          <w:p w14:paraId="3603FCE9" w14:textId="77777777" w:rsidR="0036326D" w:rsidRDefault="0036326D">
            <w:pPr>
              <w:widowControl w:val="0"/>
              <w:spacing w:after="0" w:line="240" w:lineRule="auto"/>
              <w:rPr>
                <w:rFonts w:ascii="Times New Roman" w:hAnsi="Times New Roman" w:cs="Times New Roman"/>
                <w:b/>
              </w:rPr>
            </w:pPr>
          </w:p>
          <w:p w14:paraId="520A4FF5" w14:textId="77777777" w:rsidR="0036326D" w:rsidRDefault="0036326D">
            <w:pPr>
              <w:widowControl w:val="0"/>
              <w:spacing w:after="0" w:line="240" w:lineRule="auto"/>
              <w:rPr>
                <w:rFonts w:ascii="Times New Roman" w:hAnsi="Times New Roman" w:cs="Times New Roman"/>
                <w:b/>
              </w:rPr>
            </w:pPr>
          </w:p>
          <w:p w14:paraId="70AA579F"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Dávka pri liečbe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F064FF"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Rivaroxabán</w:t>
            </w:r>
          </w:p>
          <w:p w14:paraId="0E5F7CC2"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20 mg jedenkrát denne (15 mg jedenkrát denne u pacientov so stredne ťažkou poruchou funkcie obličiek)</w:t>
            </w:r>
          </w:p>
          <w:p w14:paraId="0041C418" w14:textId="77777777" w:rsidR="0036326D" w:rsidRDefault="0036326D">
            <w:pPr>
              <w:widowControl w:val="0"/>
              <w:spacing w:after="0" w:line="240" w:lineRule="auto"/>
              <w:rPr>
                <w:rFonts w:ascii="Times New Roman" w:hAnsi="Times New Roman" w:cs="Times New Roman"/>
                <w:b/>
              </w:rPr>
            </w:pPr>
          </w:p>
          <w:p w14:paraId="760C873C"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Výskyt príhod</w:t>
            </w:r>
          </w:p>
          <w:p w14:paraId="59AD03AE"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(100 pacientorokov)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730E3D"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Warfarín</w:t>
            </w:r>
          </w:p>
          <w:p w14:paraId="21F626CF"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titrovaný na cieľovú hodnotu INR 2,5 (terapeutický rozsah 2,0 až 3,0)</w:t>
            </w:r>
          </w:p>
          <w:p w14:paraId="7B3B9535" w14:textId="77777777" w:rsidR="0036326D" w:rsidRDefault="0036326D">
            <w:pPr>
              <w:widowControl w:val="0"/>
              <w:spacing w:after="0" w:line="240" w:lineRule="auto"/>
              <w:rPr>
                <w:rFonts w:ascii="Times New Roman" w:hAnsi="Times New Roman" w:cs="Times New Roman"/>
                <w:b/>
              </w:rPr>
            </w:pPr>
          </w:p>
          <w:p w14:paraId="37D8136E" w14:textId="77777777" w:rsidR="0036326D" w:rsidRDefault="0036326D">
            <w:pPr>
              <w:widowControl w:val="0"/>
              <w:spacing w:after="0" w:line="240" w:lineRule="auto"/>
              <w:rPr>
                <w:rFonts w:ascii="Times New Roman" w:hAnsi="Times New Roman" w:cs="Times New Roman"/>
                <w:b/>
              </w:rPr>
            </w:pPr>
          </w:p>
          <w:p w14:paraId="776E427E" w14:textId="77777777" w:rsidR="0036326D" w:rsidRDefault="0036326D">
            <w:pPr>
              <w:widowControl w:val="0"/>
              <w:spacing w:after="0" w:line="240" w:lineRule="auto"/>
              <w:rPr>
                <w:rFonts w:ascii="Times New Roman" w:hAnsi="Times New Roman" w:cs="Times New Roman"/>
                <w:b/>
              </w:rPr>
            </w:pPr>
          </w:p>
          <w:p w14:paraId="6DDB242C" w14:textId="77777777" w:rsidR="00C96A86" w:rsidRDefault="00C96A86">
            <w:pPr>
              <w:widowControl w:val="0"/>
              <w:spacing w:after="0" w:line="240" w:lineRule="auto"/>
              <w:rPr>
                <w:rFonts w:ascii="Times New Roman" w:hAnsi="Times New Roman" w:cs="Times New Roman"/>
                <w:b/>
              </w:rPr>
            </w:pPr>
          </w:p>
          <w:p w14:paraId="5BF9CC50"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Výskyt príhod</w:t>
            </w:r>
          </w:p>
          <w:p w14:paraId="192012AC"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(100 pacientorokov)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7922C1"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HR (95 % CI)</w:t>
            </w:r>
          </w:p>
          <w:p w14:paraId="083730E4"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p-hodnota</w:t>
            </w:r>
          </w:p>
        </w:tc>
      </w:tr>
      <w:tr w:rsidR="0036326D" w14:paraId="2DB921EF"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0EC229C"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Závažné a nezávažné klinicky významné krvácavé príhody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F8B31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1 475</w:t>
            </w:r>
          </w:p>
          <w:p w14:paraId="38FB029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(14,91)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9E81F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1 449</w:t>
            </w:r>
          </w:p>
          <w:p w14:paraId="2BEDB6C8"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(14,52)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89D166"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1,03</w:t>
            </w:r>
          </w:p>
          <w:p w14:paraId="17331F7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(0,96 – 1,11)</w:t>
            </w:r>
          </w:p>
          <w:p w14:paraId="1F4B7AF7"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0,442</w:t>
            </w:r>
          </w:p>
        </w:tc>
      </w:tr>
      <w:tr w:rsidR="0036326D" w14:paraId="324BE071"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2579D40"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Závažné krvácavé príhody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38686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395</w:t>
            </w:r>
          </w:p>
          <w:p w14:paraId="1D0A348D"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(3,60)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8EC5BD"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386</w:t>
            </w:r>
          </w:p>
          <w:p w14:paraId="1F44A63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(3,45)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A8B16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1,04</w:t>
            </w:r>
          </w:p>
          <w:p w14:paraId="0DAA326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(0,90 – 1,20)</w:t>
            </w:r>
          </w:p>
          <w:p w14:paraId="555B800A"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0,576</w:t>
            </w:r>
          </w:p>
        </w:tc>
      </w:tr>
      <w:tr w:rsidR="0036326D" w14:paraId="4CE6D844"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3EE1C9B"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Smrť z dôvodu</w:t>
            </w:r>
          </w:p>
          <w:p w14:paraId="00CC19B7"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krvácania*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0325D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27</w:t>
            </w:r>
          </w:p>
          <w:p w14:paraId="60CEC6CD"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AD7FD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55</w:t>
            </w:r>
          </w:p>
          <w:p w14:paraId="560D9F9D"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B11B7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0,50</w:t>
            </w:r>
          </w:p>
          <w:p w14:paraId="1C78288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(0,31 – 0,79)</w:t>
            </w:r>
          </w:p>
          <w:p w14:paraId="48B7C3FF"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0,003</w:t>
            </w:r>
          </w:p>
        </w:tc>
      </w:tr>
      <w:tr w:rsidR="0036326D" w14:paraId="1CC0A6BE"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F037F3F"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Krvácanie do kritických orgánov*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3565D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91</w:t>
            </w:r>
          </w:p>
          <w:p w14:paraId="1F9177D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(0,82)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AE976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133</w:t>
            </w:r>
          </w:p>
          <w:p w14:paraId="06F2CAF2"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6063C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0,69</w:t>
            </w:r>
          </w:p>
          <w:p w14:paraId="2BE1B106"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(0,53 – 0,91)</w:t>
            </w:r>
          </w:p>
          <w:p w14:paraId="0C510F32"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0,007</w:t>
            </w:r>
          </w:p>
        </w:tc>
      </w:tr>
      <w:tr w:rsidR="0036326D" w14:paraId="4E388A7A"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5C975A1"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Intrakraniálne krvácanie*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B27A94"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55</w:t>
            </w:r>
          </w:p>
          <w:p w14:paraId="2615587C"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(0,49)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F042EC"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84</w:t>
            </w:r>
          </w:p>
          <w:p w14:paraId="6B442236"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(0,74)</w:t>
            </w:r>
          </w:p>
          <w:p w14:paraId="2FE16096" w14:textId="77777777" w:rsidR="0036326D" w:rsidRDefault="0036326D">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4334C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lastRenderedPageBreak/>
              <w:t>0,67</w:t>
            </w:r>
          </w:p>
          <w:p w14:paraId="514CB1C6"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(0,47 – 0,93)</w:t>
            </w:r>
          </w:p>
          <w:p w14:paraId="064CDFF6"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lastRenderedPageBreak/>
              <w:t>0,019</w:t>
            </w:r>
          </w:p>
        </w:tc>
      </w:tr>
      <w:tr w:rsidR="0036326D" w14:paraId="718D4538"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A25474E"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lastRenderedPageBreak/>
              <w:t>Pokles hemoglobínu*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2D652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305</w:t>
            </w:r>
          </w:p>
          <w:p w14:paraId="6F8DB578"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(2,77)</w:t>
            </w:r>
          </w:p>
          <w:p w14:paraId="2A77C0EB" w14:textId="77777777" w:rsidR="0036326D" w:rsidRDefault="0036326D">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30C8D1"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254</w:t>
            </w:r>
          </w:p>
          <w:p w14:paraId="1D94E4C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(2,26)</w:t>
            </w:r>
          </w:p>
          <w:p w14:paraId="74195A84" w14:textId="77777777" w:rsidR="0036326D" w:rsidRDefault="0036326D">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B26AF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1,22</w:t>
            </w:r>
          </w:p>
          <w:p w14:paraId="56BD9C7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(1,03 – 1,44)</w:t>
            </w:r>
          </w:p>
          <w:p w14:paraId="4328067A"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0,019</w:t>
            </w:r>
          </w:p>
        </w:tc>
      </w:tr>
      <w:tr w:rsidR="0036326D" w14:paraId="2CFD03F5"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3A55972"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Transfúzia 2 alebo viacerých jednotiek erytrocytovej masy alebo celej krvi*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655E08"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183</w:t>
            </w:r>
          </w:p>
          <w:p w14:paraId="10D516CD"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(1,65)</w:t>
            </w:r>
          </w:p>
          <w:p w14:paraId="59D86B4C" w14:textId="77777777" w:rsidR="0036326D" w:rsidRDefault="0036326D">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991E9F"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149</w:t>
            </w:r>
          </w:p>
          <w:p w14:paraId="333895B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(1,32)</w:t>
            </w:r>
          </w:p>
          <w:p w14:paraId="1CD3C900" w14:textId="77777777" w:rsidR="0036326D" w:rsidRDefault="0036326D">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D2B7B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1,25</w:t>
            </w:r>
          </w:p>
          <w:p w14:paraId="45DF334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(1,01 – 1,55)</w:t>
            </w:r>
          </w:p>
          <w:p w14:paraId="1EBF53C2"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 xml:space="preserve"> 0,044</w:t>
            </w:r>
          </w:p>
        </w:tc>
      </w:tr>
      <w:tr w:rsidR="0036326D" w14:paraId="1A7CF18D"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18D969D"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Nezávažné klinicky významné krvácavé príhody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D7B8E3" w14:textId="7F6772CD"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1185</w:t>
            </w:r>
          </w:p>
          <w:p w14:paraId="01DCAA9F"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(11,80)</w:t>
            </w:r>
          </w:p>
          <w:p w14:paraId="098A3FB0" w14:textId="77777777" w:rsidR="0036326D" w:rsidRDefault="0036326D">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B9FB53" w14:textId="3EAC11BE"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1151</w:t>
            </w:r>
          </w:p>
          <w:p w14:paraId="54EB70B4"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(11,37)</w:t>
            </w:r>
          </w:p>
          <w:p w14:paraId="674F7C42" w14:textId="77777777" w:rsidR="0036326D" w:rsidRDefault="0036326D">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5EEC21"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1,04</w:t>
            </w:r>
          </w:p>
          <w:p w14:paraId="2795AD5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(0,96 – 1,13)</w:t>
            </w:r>
          </w:p>
          <w:p w14:paraId="3428C0E5"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0,345</w:t>
            </w:r>
          </w:p>
        </w:tc>
      </w:tr>
      <w:tr w:rsidR="0036326D" w14:paraId="69AA745B"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64B7854"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Všetky príčiny smrti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53FAA4"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208</w:t>
            </w:r>
          </w:p>
          <w:p w14:paraId="28C35466"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(1,87)</w:t>
            </w:r>
          </w:p>
          <w:p w14:paraId="68899954" w14:textId="77777777" w:rsidR="0036326D" w:rsidRDefault="0036326D">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CC2846"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250</w:t>
            </w:r>
          </w:p>
          <w:p w14:paraId="1031C978"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(2,21)</w:t>
            </w:r>
          </w:p>
          <w:p w14:paraId="610AB15F" w14:textId="77777777" w:rsidR="0036326D" w:rsidRDefault="0036326D">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383D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0,85</w:t>
            </w:r>
          </w:p>
          <w:p w14:paraId="2326CD3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(0,70 – 1,02)</w:t>
            </w:r>
          </w:p>
          <w:p w14:paraId="229C8516"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0,073</w:t>
            </w:r>
          </w:p>
        </w:tc>
      </w:tr>
    </w:tbl>
    <w:p w14:paraId="4B3EBF51" w14:textId="77777777"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ab/>
        <w:t>Populácia, u ktorej sa sledovala bezpečnosť počas liečby</w:t>
      </w:r>
    </w:p>
    <w:p w14:paraId="413E74B8"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rPr>
        <w:t>*</w:t>
      </w:r>
      <w:r>
        <w:rPr>
          <w:rFonts w:ascii="Times New Roman" w:hAnsi="Times New Roman" w:cs="Times New Roman"/>
        </w:rPr>
        <w:tab/>
        <w:t>Nominálne významné</w:t>
      </w:r>
    </w:p>
    <w:p w14:paraId="14109F12" w14:textId="77777777" w:rsidR="0036326D" w:rsidRDefault="0036326D">
      <w:pPr>
        <w:spacing w:after="0" w:line="240" w:lineRule="auto"/>
        <w:rPr>
          <w:rFonts w:ascii="Times New Roman" w:hAnsi="Times New Roman" w:cs="Times New Roman"/>
          <w:u w:val="single"/>
        </w:rPr>
      </w:pPr>
    </w:p>
    <w:p w14:paraId="5CB3426A" w14:textId="0681E44A" w:rsidR="0036326D" w:rsidRDefault="00443AFA">
      <w:pPr>
        <w:spacing w:after="0" w:line="240" w:lineRule="auto"/>
        <w:rPr>
          <w:rFonts w:ascii="Times New Roman" w:hAnsi="Times New Roman" w:cs="Times New Roman"/>
        </w:rPr>
      </w:pPr>
      <w:r>
        <w:rPr>
          <w:rFonts w:ascii="Times New Roman" w:hAnsi="Times New Roman" w:cs="Times New Roman"/>
        </w:rPr>
        <w:t>Okrem klinického skúšania fázy III ROCKET AF bolo uskutočnené prospektívne, jednoramenné, postregistračné, neintervenčné, otvorené, kohortové klinické skúšanie (XANTUS) s centrálnym vyhodnocovaním sledovaných ukazovateľov zahŕňajúcich tromboembolické príhody a závažné krvácania u 6 785 pacientov s nevalvulárnou fibrilácioiu predsiení v prevencii cievnej mozgovej príhody a systémovej embólie mimo centrálneho nervového systému (CNS) v klinickej praxi. V skúšaní XANTUS bolo priemerné CHADS2 a HAS-BLED skóre 2,0 v porovnaní s priemerným CHADS</w:t>
      </w:r>
      <w:r w:rsidR="0036326D" w:rsidRPr="00C96A86">
        <w:rPr>
          <w:rFonts w:ascii="Times New Roman" w:hAnsi="Times New Roman" w:cs="Times New Roman"/>
          <w:vertAlign w:val="subscript"/>
        </w:rPr>
        <w:t>2</w:t>
      </w:r>
      <w:r>
        <w:rPr>
          <w:rFonts w:ascii="Times New Roman" w:hAnsi="Times New Roman" w:cs="Times New Roman"/>
        </w:rPr>
        <w:t xml:space="preserve"> a HAS-BLED skóre 3,5 a 2,8 v klinickom skúšaní ROCKET AF. Závažné krvácanie sa vyskytlo u 2,1 prípadov na 100 pacientorokov. Fatálne krvácanie bolo hlásené u 0,2 prípadov na 100 pacientorokov a intrakraniálne krvácanie u 0,4 prípadov na 100 pacientorokov. Cievna mozgová príhoda alebo systémová embólia mimo CNS boli hlásené u 0,8 prípadov na 100 pacientorokov.</w:t>
      </w:r>
    </w:p>
    <w:p w14:paraId="6407C448" w14:textId="77777777" w:rsidR="0036326D" w:rsidRDefault="00443AFA">
      <w:pPr>
        <w:spacing w:after="0" w:line="240" w:lineRule="auto"/>
        <w:rPr>
          <w:rFonts w:ascii="Times New Roman" w:hAnsi="Times New Roman" w:cs="Times New Roman"/>
        </w:rPr>
      </w:pPr>
      <w:r>
        <w:rPr>
          <w:rFonts w:ascii="Times New Roman" w:hAnsi="Times New Roman" w:cs="Times New Roman"/>
        </w:rPr>
        <w:t>Tieto pozorovania z klinickej praxe sú v súlade s potvrdeným bezpečnostným profilom pri tejto indikácii.</w:t>
      </w:r>
    </w:p>
    <w:p w14:paraId="1901EDF4" w14:textId="77777777" w:rsidR="0036326D" w:rsidRDefault="0036326D">
      <w:pPr>
        <w:spacing w:after="0" w:line="240" w:lineRule="auto"/>
        <w:rPr>
          <w:rFonts w:ascii="Times New Roman" w:hAnsi="Times New Roman" w:cs="Times New Roman"/>
          <w:u w:val="single"/>
        </w:rPr>
      </w:pPr>
    </w:p>
    <w:p w14:paraId="7A125D6A" w14:textId="77777777" w:rsidR="0036326D" w:rsidRDefault="00443AFA">
      <w:pPr>
        <w:spacing w:after="0" w:line="240" w:lineRule="auto"/>
        <w:rPr>
          <w:rFonts w:ascii="Times New Roman" w:hAnsi="Times New Roman" w:cs="Times New Roman"/>
          <w:iCs/>
          <w:u w:val="single"/>
        </w:rPr>
      </w:pPr>
      <w:r>
        <w:rPr>
          <w:rFonts w:ascii="Times New Roman" w:hAnsi="Times New Roman" w:cs="Times New Roman"/>
          <w:iCs/>
          <w:u w:val="single"/>
        </w:rPr>
        <w:t>Pacienti podstupujúci kardioverziu</w:t>
      </w:r>
    </w:p>
    <w:p w14:paraId="2D96990E" w14:textId="1A3E67C0" w:rsidR="0036326D" w:rsidRDefault="00443AFA">
      <w:pPr>
        <w:spacing w:after="0" w:line="240" w:lineRule="auto"/>
        <w:rPr>
          <w:rFonts w:ascii="Times New Roman" w:hAnsi="Times New Roman" w:cs="Times New Roman"/>
        </w:rPr>
      </w:pPr>
      <w:r>
        <w:rPr>
          <w:rFonts w:ascii="Times New Roman" w:hAnsi="Times New Roman" w:cs="Times New Roman"/>
        </w:rPr>
        <w:t>U 1 504 pacientov s nevalvulárnou fibriláciou predsiení, ktorí mali naplánovanú kardioverziu (bez predchádzajúcej liečby perorálnymi antikoagulanciami alebo predliečení) sa uskutočnilo prospektívne, randomizované, otvorené, multicentrické, exploratívne skúšanie (X-VERT) so zaslepeným hodnotením koncových ukazovateľov, porovnávajúce rivaroxabán s upravenou dávkou VKA (randomizované v pomere 2:1) v prevencii kardiovaskulárnych príhod. Sledovali sa buď kardioverzia riadená transezofágovou echokardiografiou (1 – 5 dní liečby) alebo konvenčná kardioverzia (najmenej tri týždne liečby). Primárny ukazovateľ účinnosti (všetky cievne mozgové príhody, prechodný ischemický atak, systémová embólia mimo CNS, infarkt myokardu (MI) a úmrtie z kardiovaskulárnej príčiny) nastal u 5 (0,5 %) pacientov užívajúcich rivaroxabán (n = 978) a u 5 (1,0 %) pacientov užívajúcich VKA (n = 492; RR 0,50; 95 % CI 0,15 – 1,73; modifikovaná ITT populácia). Základný ukazovateľ bezpečnosti (závažné krvácanie) sa vyskytlo u 6 (0,6 %) pacientov užívajúcich rivaroxabán (n = 988) a u 4 (0,8 %) pacientov užívajúcich VKA (n = 499), (RR 0,76; 95 % CI 0,21 – 2,67; populácia pre hodnotenie bezpečnosti). Toto exploratívne skúšanie preukázalo porovnateľnú účinnosť a bezpečnosť medzi skupinami s rivaroxabánom a VKA v prípade kardioverzie.</w:t>
      </w:r>
    </w:p>
    <w:p w14:paraId="057A7725" w14:textId="77777777" w:rsidR="0036326D" w:rsidRDefault="0036326D">
      <w:pPr>
        <w:spacing w:after="0" w:line="240" w:lineRule="auto"/>
        <w:rPr>
          <w:rFonts w:ascii="Times New Roman" w:hAnsi="Times New Roman" w:cs="Times New Roman"/>
        </w:rPr>
      </w:pPr>
    </w:p>
    <w:p w14:paraId="46397DBD"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u w:val="single"/>
        </w:rPr>
        <w:t>Pacienti s nevalvulárnou fibriláciou predsiení, ktorí podstupujú PCI so zavedením stentu</w:t>
      </w:r>
    </w:p>
    <w:p w14:paraId="26999773" w14:textId="671EE1AD" w:rsidR="0036326D" w:rsidRDefault="00443AFA">
      <w:pPr>
        <w:spacing w:after="0" w:line="240" w:lineRule="auto"/>
        <w:rPr>
          <w:rFonts w:ascii="Times New Roman" w:hAnsi="Times New Roman" w:cs="Times New Roman"/>
        </w:rPr>
      </w:pPr>
      <w:r>
        <w:rPr>
          <w:rFonts w:ascii="Times New Roman" w:hAnsi="Times New Roman" w:cs="Times New Roman"/>
        </w:rPr>
        <w:t>Randomizované, otvorené multicentrické klinické skúšanie (PIONEER AF-PCI) sa uskutočnilo u 2 124 pacientov s nevalvulárnou fibriláciou predsiení, ktorí podstúpili PCI so zavedením stentu z dôvodu primárneho aterosklerotického ochorenia s cieľom porovnať bezpečnosť dvoch liečebných režimov s rivaroxabánom a jedného s VKA. Pacienti boli náhodne zaradení v pomere 1:1:1 na celkovo 12-mesačnú liečbu. Pacienti s cievnou mozgovou príhodou alebo prechodným  ischemickým atakom v anamnéze boli vylúčení.</w:t>
      </w:r>
    </w:p>
    <w:p w14:paraId="6D53DDCF" w14:textId="77777777" w:rsidR="0036326D" w:rsidRDefault="00443AFA">
      <w:pPr>
        <w:spacing w:after="0" w:line="240" w:lineRule="auto"/>
        <w:rPr>
          <w:rFonts w:ascii="Times New Roman" w:hAnsi="Times New Roman" w:cs="Times New Roman"/>
        </w:rPr>
      </w:pPr>
      <w:r>
        <w:rPr>
          <w:rFonts w:ascii="Times New Roman" w:hAnsi="Times New Roman" w:cs="Times New Roman"/>
        </w:rPr>
        <w:lastRenderedPageBreak/>
        <w:t>Skupina 1 dostávala 15 mg rivaroxabánu jedenkrát denne (10 mg jedenkrát denne u pacientov s klírensom kreatinínu 30 – 49 ml/min) súbežne s inhibítorom P2Y12. Skupina 2 dostávala 2,5 mg rivaroxabánu dvakrát denne súbežne s DAPT (duálna antiagregačná liečba, t.j. klopidogrel 75 mg [alebo alternatívny inhibítor P2Y12] spolu s nízkou dávkou kyseliny acetylsalicylovej [ASA]) po dobu 1, 6 alebo 12 mesiacov, po ktorých nasledovalo podávanie 15 mg rivaroxabánu (alebo 10 mg u pacientov s klírensom kreatinínu 30 – 49 ml/min) jedenkrát denne spolu s nízkou dávkou ASA. Skupina 3 dostávala upravenú dávku VKA spolu s DAPT po dobu 1, 6 alebo 12 mesiacov, po ktorých nasledovalo podávanie upravenej dávky VKA spolu s nízkou dávkou ASA.</w:t>
      </w:r>
    </w:p>
    <w:p w14:paraId="45712F88" w14:textId="77777777" w:rsidR="0036326D" w:rsidRDefault="00443AFA">
      <w:pPr>
        <w:spacing w:after="0" w:line="240" w:lineRule="auto"/>
        <w:rPr>
          <w:rFonts w:ascii="Times New Roman" w:hAnsi="Times New Roman" w:cs="Times New Roman"/>
        </w:rPr>
      </w:pPr>
      <w:r>
        <w:rPr>
          <w:rFonts w:ascii="Times New Roman" w:hAnsi="Times New Roman" w:cs="Times New Roman"/>
        </w:rPr>
        <w:t>Výskyt udalostí primárneho bezpečnostného koncového ukazovateľa, klinicky významných krvácavých príhod, nastal u 109 subjektov (15,7 %) v skupine 1, u 117 subjektov (16,6 %) v skupine 2 a u 167 subjektov (24,0 %) v skupine 3 (HR 0,59; 0,47 – 0,76, p &lt; 0,001 a HR 0,63, 95 % CI, 0,50 – 0,80, p &lt; 0,001). Výskyt udalostí sekundárneho koncového ukazovateľa (zložený z kardiovaskulárnej príhody, CV úmrtia, MI alebo cievnej mozgovej príhody) nastal u 41 subjektov (5,9 %) v skupine 1, 36 subjektov (5,1 %) v skupine 2 a 36 subjektov (5,2 %) v skupine 3. Každý z liečebných režimov rivaroxabánu preukázal významné zníženie rizika klinicky významných krvácavých príhod v porovnaní s režimom VKA u pacientov s nevalvulárnou fibriláciou predsiení, ktorí podstúpili PCI so zavedením stentu.</w:t>
      </w:r>
    </w:p>
    <w:p w14:paraId="22394C73" w14:textId="77777777" w:rsidR="0036326D" w:rsidRDefault="00443AFA">
      <w:pPr>
        <w:spacing w:after="0" w:line="240" w:lineRule="auto"/>
        <w:rPr>
          <w:rFonts w:ascii="Times New Roman" w:hAnsi="Times New Roman" w:cs="Times New Roman"/>
        </w:rPr>
      </w:pPr>
      <w:r>
        <w:rPr>
          <w:rFonts w:ascii="Times New Roman" w:hAnsi="Times New Roman" w:cs="Times New Roman"/>
        </w:rPr>
        <w:t>Hlavným cieľom klinického skúšania PIONEER AF-PCI bolo posúdiť bezpečnosť. Údaje o účinnosti (vrátane tromboembolických príhod) sú v tejto populácii obmedzené.</w:t>
      </w:r>
    </w:p>
    <w:p w14:paraId="0B369BAA" w14:textId="77777777" w:rsidR="0036326D" w:rsidRDefault="0036326D">
      <w:pPr>
        <w:spacing w:after="0" w:line="240" w:lineRule="auto"/>
        <w:rPr>
          <w:rFonts w:ascii="Times New Roman" w:hAnsi="Times New Roman" w:cs="Times New Roman"/>
        </w:rPr>
      </w:pPr>
    </w:p>
    <w:p w14:paraId="48FE91F6" w14:textId="77777777" w:rsidR="0036326D" w:rsidRDefault="00443AFA">
      <w:pPr>
        <w:pStyle w:val="Default"/>
        <w:rPr>
          <w:sz w:val="22"/>
          <w:szCs w:val="22"/>
        </w:rPr>
      </w:pPr>
      <w:r>
        <w:rPr>
          <w:i/>
          <w:iCs/>
          <w:sz w:val="22"/>
          <w:szCs w:val="22"/>
        </w:rPr>
        <w:t xml:space="preserve">Liečba DVT, PE a prevencia rekurencie DVT a PE </w:t>
      </w:r>
    </w:p>
    <w:p w14:paraId="693275F6" w14:textId="26C49B24" w:rsidR="0036326D" w:rsidRDefault="00443AFA">
      <w:pPr>
        <w:spacing w:after="0" w:line="240" w:lineRule="auto"/>
        <w:rPr>
          <w:rFonts w:ascii="Times New Roman" w:hAnsi="Times New Roman" w:cs="Times New Roman"/>
        </w:rPr>
      </w:pPr>
      <w:r>
        <w:rPr>
          <w:rFonts w:ascii="Times New Roman" w:hAnsi="Times New Roman" w:cs="Times New Roman"/>
        </w:rPr>
        <w:t>Klinický program rivaroxabánu bol navrhnutý na preukázanie účinnosti rivaroxabánu na začiatočnú a na pokračujúcu liečbu akútnej DVT a PE a na prevenciu rekurencie.</w:t>
      </w:r>
    </w:p>
    <w:p w14:paraId="4FE45846" w14:textId="77777777" w:rsidR="0036326D" w:rsidRDefault="0036326D">
      <w:pPr>
        <w:spacing w:after="0" w:line="240" w:lineRule="auto"/>
        <w:rPr>
          <w:rFonts w:ascii="Times New Roman" w:hAnsi="Times New Roman" w:cs="Times New Roman"/>
        </w:rPr>
      </w:pPr>
    </w:p>
    <w:p w14:paraId="061B6394" w14:textId="77777777" w:rsidR="0036326D" w:rsidRDefault="00443AFA">
      <w:pPr>
        <w:spacing w:after="0" w:line="240" w:lineRule="auto"/>
        <w:rPr>
          <w:rFonts w:ascii="Times New Roman" w:hAnsi="Times New Roman" w:cs="Times New Roman"/>
        </w:rPr>
      </w:pPr>
      <w:r>
        <w:rPr>
          <w:rFonts w:ascii="Times New Roman" w:hAnsi="Times New Roman" w:cs="Times New Roman"/>
        </w:rPr>
        <w:t>Celkovo sa skúmalo 12 800 pacientov v štyroch randomizovaných kontrolovaných klinických skúšaniach fázy III (Einstein DVT, Einstein PE a Einstein Extension a Einstein Choice) a naviac sa realizovala preddefinovaná súhrnná analýza skúšaní Einstein DVT a Einstein PE skúšaní. Celková kombinovaná dĺžka liečby vo všetkých skúšaniach bola až 21 mesiacov.</w:t>
      </w:r>
    </w:p>
    <w:p w14:paraId="63C7D8B0" w14:textId="77777777" w:rsidR="0036326D" w:rsidRDefault="0036326D">
      <w:pPr>
        <w:spacing w:after="0" w:line="240" w:lineRule="auto"/>
        <w:rPr>
          <w:rFonts w:ascii="Times New Roman" w:hAnsi="Times New Roman" w:cs="Times New Roman"/>
        </w:rPr>
      </w:pPr>
    </w:p>
    <w:p w14:paraId="04D0D36C" w14:textId="77777777" w:rsidR="0036326D" w:rsidRDefault="00443AFA">
      <w:pPr>
        <w:spacing w:after="0" w:line="240" w:lineRule="auto"/>
        <w:rPr>
          <w:rFonts w:ascii="Times New Roman" w:hAnsi="Times New Roman" w:cs="Times New Roman"/>
        </w:rPr>
      </w:pPr>
      <w:r>
        <w:rPr>
          <w:rFonts w:ascii="Times New Roman" w:hAnsi="Times New Roman" w:cs="Times New Roman"/>
        </w:rPr>
        <w:t>V skúšaní Einstein DVT sa skúmalo 3 449 pacientov s akútnou DVT na liečbu DVT a na prevenciu rekurencie DVT a PE (pacienti, ktorí mali symptomatickú PE boli zo skúšania vyradení). Dĺžka liečby bola 3, 6 alebo 12 mesiacov v závislosti od klinického posúdenia skúšajúcim.</w:t>
      </w:r>
    </w:p>
    <w:p w14:paraId="5A4B96E5" w14:textId="77777777" w:rsidR="0036326D" w:rsidRDefault="00443AFA">
      <w:pPr>
        <w:spacing w:after="0" w:line="240" w:lineRule="auto"/>
        <w:rPr>
          <w:rFonts w:ascii="Times New Roman" w:hAnsi="Times New Roman" w:cs="Times New Roman"/>
        </w:rPr>
      </w:pPr>
      <w:r>
        <w:rPr>
          <w:rFonts w:ascii="Times New Roman" w:hAnsi="Times New Roman" w:cs="Times New Roman"/>
        </w:rPr>
        <w:t>Na začiatočnú 3-týždňovú liečbu akútnej DVT sa podávalo 15 mg rivaroxabánu dvakrát denne. Potom nasledovalo 20 mg rivaroxabánu jedenkrát denne.</w:t>
      </w:r>
    </w:p>
    <w:p w14:paraId="20E8C608" w14:textId="77777777" w:rsidR="0036326D" w:rsidRDefault="0036326D">
      <w:pPr>
        <w:spacing w:after="0" w:line="240" w:lineRule="auto"/>
        <w:rPr>
          <w:rFonts w:ascii="Times New Roman" w:hAnsi="Times New Roman" w:cs="Times New Roman"/>
        </w:rPr>
      </w:pPr>
    </w:p>
    <w:p w14:paraId="1D01D788" w14:textId="77777777" w:rsidR="0036326D" w:rsidRDefault="00443AFA">
      <w:pPr>
        <w:spacing w:after="0" w:line="240" w:lineRule="auto"/>
        <w:rPr>
          <w:rFonts w:ascii="Times New Roman" w:hAnsi="Times New Roman" w:cs="Times New Roman"/>
        </w:rPr>
      </w:pPr>
      <w:r>
        <w:rPr>
          <w:rFonts w:ascii="Times New Roman" w:hAnsi="Times New Roman" w:cs="Times New Roman"/>
        </w:rPr>
        <w:t>V skúšaní Einstein PE sa skúmalo 4 832 pacientov s akútnou PE zaradených do skúšania na liečbu PE a na prevenciu rekurencie DVT a PE. Dĺžka liečby bola až do 3, 6, 12 mesiacov v závislosti od klinického posúdenia skúšajúcim.</w:t>
      </w:r>
    </w:p>
    <w:p w14:paraId="6AB63FD7" w14:textId="77777777" w:rsidR="0036326D" w:rsidRDefault="00443AFA">
      <w:pPr>
        <w:spacing w:after="0" w:line="240" w:lineRule="auto"/>
        <w:rPr>
          <w:rFonts w:ascii="Times New Roman" w:hAnsi="Times New Roman" w:cs="Times New Roman"/>
        </w:rPr>
      </w:pPr>
      <w:r>
        <w:rPr>
          <w:rFonts w:ascii="Times New Roman" w:hAnsi="Times New Roman" w:cs="Times New Roman"/>
        </w:rPr>
        <w:t>Ako začiatočná 3-týždňová liečba akútnej PE sa podávalo 15 mg rivaroxabánu dvakrát denne. Potom nasledovalo podávanie 20 mg rivaroxabánu jedenkrát denne.</w:t>
      </w:r>
    </w:p>
    <w:p w14:paraId="6CBC0739" w14:textId="77777777" w:rsidR="0036326D" w:rsidRDefault="0036326D">
      <w:pPr>
        <w:spacing w:after="0" w:line="240" w:lineRule="auto"/>
        <w:rPr>
          <w:rFonts w:ascii="Times New Roman" w:hAnsi="Times New Roman" w:cs="Times New Roman"/>
        </w:rPr>
      </w:pPr>
    </w:p>
    <w:p w14:paraId="046E1A09" w14:textId="77777777" w:rsidR="0036326D" w:rsidRDefault="00443AFA">
      <w:pPr>
        <w:spacing w:after="0" w:line="240" w:lineRule="auto"/>
        <w:rPr>
          <w:rFonts w:ascii="Times New Roman" w:hAnsi="Times New Roman" w:cs="Times New Roman"/>
        </w:rPr>
      </w:pPr>
      <w:r>
        <w:rPr>
          <w:rFonts w:ascii="Times New Roman" w:hAnsi="Times New Roman" w:cs="Times New Roman"/>
        </w:rPr>
        <w:t>V oboch skúšaniach Einstein DVT a Einstein PE porovnávajúci liečebný režim pozostával z enoxaparínu, ktorý sa podával minimálne 5 dní v kombinácii s liečbou antagonistom vitamínu K, pokiaľ sa nedosiahlo terapeutické rozmedzie PT/INR (≥ 2,0). Liečba pokračovala antagonistom vitamínu K, ktorého dávka sa upravila tak, aby sa udržali hodnoty PT/INR v terapeutickom rozmedzí 2,0 až 3,0.</w:t>
      </w:r>
    </w:p>
    <w:p w14:paraId="0EE9765B" w14:textId="77777777" w:rsidR="0036326D" w:rsidRDefault="0036326D">
      <w:pPr>
        <w:spacing w:after="0" w:line="240" w:lineRule="auto"/>
        <w:rPr>
          <w:rFonts w:ascii="Times New Roman" w:hAnsi="Times New Roman" w:cs="Times New Roman"/>
          <w:u w:val="single"/>
        </w:rPr>
      </w:pPr>
    </w:p>
    <w:p w14:paraId="2D6E458B" w14:textId="77777777" w:rsidR="0036326D" w:rsidRDefault="00443AFA">
      <w:pPr>
        <w:spacing w:after="0" w:line="240" w:lineRule="auto"/>
        <w:rPr>
          <w:rFonts w:ascii="Times New Roman" w:hAnsi="Times New Roman" w:cs="Times New Roman"/>
        </w:rPr>
      </w:pPr>
      <w:r>
        <w:rPr>
          <w:rFonts w:ascii="Times New Roman" w:hAnsi="Times New Roman" w:cs="Times New Roman"/>
        </w:rPr>
        <w:t>V skúšaní Einstein Extension sa skúmalo 1 197 pacientov s DVT alebo PE na prevenciu rekurencie DVT a PE. Dĺžka liečby bola predĺžená o dobu ďalších 6 alebo 12 mesiacov u pacientov, ktorí podstúpili 6 až 12 mesiacov liečby VTE v závislosti od klinického posúdenia skúšajúceho. Rivaroxabán 20 mg jedenkrát denne sa porovnával s placebom.</w:t>
      </w:r>
    </w:p>
    <w:p w14:paraId="7A6EC015" w14:textId="77777777" w:rsidR="0036326D" w:rsidRDefault="00443AFA">
      <w:pPr>
        <w:rPr>
          <w:rFonts w:ascii="Times New Roman" w:hAnsi="Times New Roman" w:cs="Times New Roman"/>
        </w:rPr>
      </w:pPr>
      <w:r>
        <w:rPr>
          <w:rFonts w:ascii="Times New Roman" w:hAnsi="Times New Roman" w:cs="Times New Roman"/>
        </w:rPr>
        <w:t xml:space="preserve">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w:t>
      </w:r>
      <w:r>
        <w:rPr>
          <w:rFonts w:ascii="Times New Roman" w:hAnsi="Times New Roman" w:cs="Times New Roman"/>
        </w:rPr>
        <w:lastRenderedPageBreak/>
        <w:t>ukazovateľ účinnosti bol definovaný ako kompozitná rekurencia DVT, PE nekončiaca smrťou a mortalita zo všetkých príčin.</w:t>
      </w:r>
    </w:p>
    <w:p w14:paraId="05CBD6A0" w14:textId="77777777" w:rsidR="0036326D" w:rsidRDefault="00443AFA">
      <w:pPr>
        <w:rPr>
          <w:rFonts w:ascii="Times New Roman" w:hAnsi="Times New Roman" w:cs="Times New Roman"/>
        </w:rPr>
      </w:pPr>
      <w:r>
        <w:rPr>
          <w:rFonts w:ascii="Times New Roman" w:hAnsi="Times New Roman" w:cs="Times New Roman"/>
        </w:rPr>
        <w:t>V skúšaní Einstein Choice sa u 3 396 pacientov s potvrdenou symptomatickou DVT a/alebo PE, ktorí ukončili 6 – 12-mesačnú antikoagulačnú liečbu, skúmala prevencia PE končiacej smrťou alebo symptomatickej rekurencie DVT alebo PE bez úmrtia. Pacienti s indikáciou pokračujúcej antikoagulačnej liečby s terapeutickými dávkami boli zo skúšania vyradení. Dĺžka liečby bola maximálne 12 mesiacov v závislosti od individuálneho dátumu randomizácie (medián: 351 dní). Rivaroxabán 20 mg jedenkrát denne a rivaroxabán 10 mg jedenkrát denne sa porovnávali so 100 mg acetylsalicylovej kyseliny jedenkrát denne.</w:t>
      </w:r>
    </w:p>
    <w:p w14:paraId="77F5684D" w14:textId="77777777" w:rsidR="0036326D" w:rsidRDefault="00443AFA">
      <w:pPr>
        <w:rPr>
          <w:rFonts w:ascii="Times New Roman" w:hAnsi="Times New Roman" w:cs="Times New Roman"/>
        </w:rPr>
      </w:pPr>
      <w:r>
        <w:rPr>
          <w:rFonts w:ascii="Times New Roman" w:hAnsi="Times New Roman" w:cs="Times New Roman"/>
        </w:rPr>
        <w:t>Primárnym ukazovateľom účinnosti bola symptomatická rekurencia VTE definovaná ako kompozitná rekurentná DVT alebo PE končiaca smrťou alebo bez úmrtia.</w:t>
      </w:r>
    </w:p>
    <w:p w14:paraId="1CAF4A4F" w14:textId="77777777" w:rsidR="0036326D" w:rsidRDefault="00443AFA">
      <w:pPr>
        <w:rPr>
          <w:rFonts w:ascii="Times New Roman" w:hAnsi="Times New Roman" w:cs="Times New Roman"/>
        </w:rPr>
      </w:pPr>
      <w:r>
        <w:rPr>
          <w:rFonts w:ascii="Times New Roman" w:hAnsi="Times New Roman" w:cs="Times New Roman"/>
        </w:rPr>
        <w:t>V skúšaní Einstein DVT (pozri Tabuľku 6) rivaroxabán preukázal non-inferioritu voči enoxaparínu/VKA v primárnom ukazovateli účinnosti (p &lt; 0,0001 (test non-inferiority); pomer rizík: 0,680 (0,443 až 1,042), p = 0,076 (test superiority)). Vopred definovaný čistý klinický prínos (primárny ukazovateľ účinnosti spolu so závažnými krvácavými príhodami) sa uvádzal v prospech rivaroxabánu s mierou rizika 0,67 ((95 % CI: 0,47 – 0,95), nominálna hodnota p, p = 0,027). Hodnoty INR sa nachádzali v rámci terapeutického rozpätia priemerne 60,3 % času pre priemerné trvanie liečby 189 dní a 55,4 %, 60,1 % a 62,8 % času u skupín so zámerom terapie na 3, 6 a 12 mesiacov. V enoxaparín/VKA skupine nebol identifikovaný jasný vzťah medzi úrovňou priemerného TTR centra (čas v cieľovom INR rozpätí 2,0 – 3,0) v rovnako veľkých terciloch a výskytom rekurentnej VTE (p = 0,932 na interakciu). V rámci najvyššieho tercilu podľa centra, bol pomer rizík u rivaroxabánu v porovnaní s warfarínom 0,69 (95 % CI: 0,35 – 1,35).</w:t>
      </w:r>
    </w:p>
    <w:p w14:paraId="0BC287C1" w14:textId="77777777" w:rsidR="0036326D" w:rsidRDefault="00443AFA">
      <w:pPr>
        <w:rPr>
          <w:rFonts w:ascii="Times New Roman" w:hAnsi="Times New Roman" w:cs="Times New Roman"/>
        </w:rPr>
      </w:pPr>
      <w:r>
        <w:rPr>
          <w:rFonts w:ascii="Times New Roman" w:hAnsi="Times New Roman" w:cs="Times New Roman"/>
        </w:rPr>
        <w:t>Pomer incidencie primárneho ukazovateľa bezpečnosti (klinicky závažných alebo nezávažných krvácavých príhod) ako aj sekundárneho ukazovateľa bezpečnosti (závažné krvácavé príhody) boli v oboch liečebných skupinách podobné.</w:t>
      </w:r>
    </w:p>
    <w:p w14:paraId="40DE9C6E" w14:textId="77777777" w:rsidR="0036326D" w:rsidRDefault="00443AFA">
      <w:pPr>
        <w:keepNext/>
        <w:rPr>
          <w:rFonts w:ascii="Times New Roman" w:hAnsi="Times New Roman" w:cs="Times New Roman"/>
          <w:u w:val="single"/>
        </w:rPr>
      </w:pPr>
      <w:r>
        <w:rPr>
          <w:rFonts w:ascii="Times New Roman" w:hAnsi="Times New Roman" w:cs="Times New Roman"/>
          <w:b/>
          <w:bCs/>
        </w:rPr>
        <w:t>Tabuľka 6: Výsledky účinnosti a bezpečnosti z Einstein DVT fázy III</w:t>
      </w:r>
    </w:p>
    <w:tbl>
      <w:tblPr>
        <w:tblW w:w="5000" w:type="pct"/>
        <w:tblLayout w:type="fixed"/>
        <w:tblLook w:val="04A0" w:firstRow="1" w:lastRow="0" w:firstColumn="1" w:lastColumn="0" w:noHBand="0" w:noVBand="1"/>
      </w:tblPr>
      <w:tblGrid>
        <w:gridCol w:w="3020"/>
        <w:gridCol w:w="3015"/>
        <w:gridCol w:w="3025"/>
      </w:tblGrid>
      <w:tr w:rsidR="0036326D" w14:paraId="4EEA523A"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3723ECF9" w14:textId="77777777" w:rsidR="0036326D" w:rsidRDefault="00443AFA">
            <w:pPr>
              <w:keepNext/>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048" w:type="dxa"/>
            <w:gridSpan w:val="2"/>
            <w:tcBorders>
              <w:top w:val="single" w:sz="4" w:space="0" w:color="000000"/>
              <w:left w:val="single" w:sz="4" w:space="0" w:color="000000"/>
              <w:bottom w:val="single" w:sz="4" w:space="0" w:color="000000"/>
              <w:right w:val="single" w:sz="4" w:space="0" w:color="000000"/>
            </w:tcBorders>
            <w:shd w:val="clear" w:color="auto" w:fill="auto"/>
          </w:tcPr>
          <w:p w14:paraId="7846CB18" w14:textId="77777777" w:rsidR="0036326D" w:rsidRDefault="00443AFA">
            <w:pPr>
              <w:keepNext/>
              <w:widowControl w:val="0"/>
              <w:spacing w:after="0" w:line="240" w:lineRule="auto"/>
              <w:rPr>
                <w:rFonts w:ascii="Times New Roman" w:hAnsi="Times New Roman" w:cs="Times New Roman"/>
                <w:b/>
                <w:u w:val="single"/>
              </w:rPr>
            </w:pPr>
            <w:r>
              <w:rPr>
                <w:rFonts w:ascii="Times New Roman" w:hAnsi="Times New Roman" w:cs="Times New Roman"/>
                <w:b/>
              </w:rPr>
              <w:t>3 449 pacientov so symptomatickou akútnou hlbokou žilovou trombózou</w:t>
            </w:r>
          </w:p>
        </w:tc>
      </w:tr>
      <w:tr w:rsidR="0036326D" w14:paraId="6C690E06"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5450"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Dávkovanie pri liečbe a dĺžka liečby</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C415A"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Rivaroxabán</w:t>
            </w:r>
            <w:r>
              <w:rPr>
                <w:rFonts w:ascii="Times New Roman" w:hAnsi="Times New Roman" w:cs="Times New Roman"/>
                <w:b/>
                <w:vertAlign w:val="superscript"/>
              </w:rPr>
              <w:t>a)</w:t>
            </w:r>
          </w:p>
          <w:p w14:paraId="7093EDB0"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76126A87"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n = 1 731</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DA4F8"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Enoxaparín/VKA</w:t>
            </w:r>
            <w:r>
              <w:rPr>
                <w:rFonts w:ascii="Times New Roman" w:hAnsi="Times New Roman" w:cs="Times New Roman"/>
                <w:b/>
                <w:vertAlign w:val="superscript"/>
              </w:rPr>
              <w:t>b)</w:t>
            </w:r>
          </w:p>
          <w:p w14:paraId="43FE9589"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18BB81A3"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n = 1 718</w:t>
            </w:r>
          </w:p>
        </w:tc>
      </w:tr>
      <w:tr w:rsidR="0036326D" w14:paraId="38D44034"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154BE4C8"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Symptomatický rekurentný VTE*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1B94960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36</w:t>
            </w:r>
          </w:p>
          <w:p w14:paraId="2E4BC44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(2,1 %)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2BB509A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51</w:t>
            </w:r>
          </w:p>
          <w:p w14:paraId="5B3FC778"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(3,0 %)</w:t>
            </w:r>
          </w:p>
        </w:tc>
      </w:tr>
      <w:tr w:rsidR="0036326D" w14:paraId="3AEDA493"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41AFDD2A"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Symptomatická rekurentná 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12C458AC"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20</w:t>
            </w:r>
          </w:p>
          <w:p w14:paraId="118A6BBF"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(1,2 %)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065426C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18</w:t>
            </w:r>
          </w:p>
          <w:p w14:paraId="65605018"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(1,0 %)</w:t>
            </w:r>
          </w:p>
        </w:tc>
      </w:tr>
      <w:tr w:rsidR="0036326D" w14:paraId="7630BE55"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49CF7EE8" w14:textId="77777777" w:rsidR="0036326D" w:rsidRDefault="00443AFA">
            <w:pPr>
              <w:widowControl w:val="0"/>
              <w:spacing w:after="0" w:line="240" w:lineRule="auto"/>
              <w:rPr>
                <w:rFonts w:ascii="Times New Roman" w:hAnsi="Times New Roman" w:cs="Times New Roman"/>
              </w:rPr>
            </w:pPr>
            <w:r>
              <w:rPr>
                <w:rFonts w:ascii="Times New Roman" w:hAnsi="Times New Roman" w:cs="Times New Roman"/>
              </w:rPr>
              <w:t>Symptomatická rekurentná DVT</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8446C8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14</w:t>
            </w:r>
          </w:p>
          <w:p w14:paraId="3403BC7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(0,8 %)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0E615FF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28</w:t>
            </w:r>
          </w:p>
          <w:p w14:paraId="48AB7EEA"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(1,6 %)</w:t>
            </w:r>
          </w:p>
        </w:tc>
      </w:tr>
      <w:tr w:rsidR="0036326D" w14:paraId="454CB58A"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4702AF3A"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Symptomatická PE a DVT</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D0910B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w:t>
            </w:r>
          </w:p>
          <w:p w14:paraId="6FD35C1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(0,1 %)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1A80411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w:t>
            </w:r>
          </w:p>
        </w:tc>
      </w:tr>
      <w:tr w:rsidR="0036326D" w14:paraId="220F73EE"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2ADD47D9"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Smrteľná PE/smrť, pri ktorej nemožno vylúčiť 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61A2C1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4</w:t>
            </w:r>
          </w:p>
          <w:p w14:paraId="35197905"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(0,2 %)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2D447D6C"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6</w:t>
            </w:r>
          </w:p>
          <w:p w14:paraId="378C727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(0,3 %)</w:t>
            </w:r>
          </w:p>
        </w:tc>
      </w:tr>
      <w:tr w:rsidR="0036326D" w14:paraId="4D0A075D"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45DF363F"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Závažné alebo klinicky významné nezávažné krvácavé príhody</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1F30DEFD"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139</w:t>
            </w:r>
          </w:p>
          <w:p w14:paraId="30E74A0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(8,1 %)</w:t>
            </w:r>
          </w:p>
          <w:p w14:paraId="3410D321" w14:textId="77777777" w:rsidR="0036326D" w:rsidRDefault="0036326D">
            <w:pPr>
              <w:widowControl w:val="0"/>
              <w:spacing w:after="0" w:line="240" w:lineRule="auto"/>
              <w:jc w:val="center"/>
              <w:rPr>
                <w:rFonts w:ascii="Times New Roman" w:hAnsi="Times New Roman" w:cs="Times New Roman"/>
                <w:u w:val="single"/>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04805CE1"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138</w:t>
            </w:r>
          </w:p>
          <w:p w14:paraId="4B77C694"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(8,1 %)</w:t>
            </w:r>
          </w:p>
        </w:tc>
      </w:tr>
      <w:tr w:rsidR="0036326D" w14:paraId="5916D8FD"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14C94E55"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Závažné krvácavé príhody</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9CEDAAA"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14</w:t>
            </w:r>
          </w:p>
          <w:p w14:paraId="5FA75FAE"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(0,8 %)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330E91B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20</w:t>
            </w:r>
          </w:p>
          <w:p w14:paraId="50F81A54"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(1,2 %)</w:t>
            </w:r>
          </w:p>
        </w:tc>
      </w:tr>
    </w:tbl>
    <w:p w14:paraId="5C8F3EE5" w14:textId="77777777"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ab/>
        <w:t>Rivaroxabán 15 mg dvakrát denne počas 3 týždňov, po ktorých nasledovalo 20 mg jedenkrát denne</w:t>
      </w:r>
    </w:p>
    <w:p w14:paraId="7E6CC0FD" w14:textId="77777777"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b)</w:t>
      </w:r>
      <w:r>
        <w:rPr>
          <w:rFonts w:ascii="Times New Roman" w:hAnsi="Times New Roman" w:cs="Times New Roman"/>
        </w:rPr>
        <w:tab/>
        <w:t>Enoxaparín minimálne 5 dní, so súbežnou a následnou liečbou VKA</w:t>
      </w:r>
    </w:p>
    <w:p w14:paraId="2D349608" w14:textId="77777777" w:rsidR="0036326D" w:rsidRDefault="00443AFA">
      <w:pPr>
        <w:spacing w:after="0" w:line="240" w:lineRule="auto"/>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ab/>
        <w:t>p &lt; 0,0001 (non-inferiorita s vopred určeným HR 2,0); HR: 0,680 (0,443 – 1,042), p = 0,076 (superiorita)</w:t>
      </w:r>
    </w:p>
    <w:p w14:paraId="556C8EF1" w14:textId="77777777" w:rsidR="0036326D" w:rsidRDefault="0036326D">
      <w:pPr>
        <w:spacing w:after="0" w:line="240" w:lineRule="auto"/>
        <w:rPr>
          <w:rFonts w:ascii="Times New Roman" w:hAnsi="Times New Roman" w:cs="Times New Roman"/>
          <w:u w:val="single"/>
        </w:rPr>
      </w:pPr>
    </w:p>
    <w:p w14:paraId="40B48BD1" w14:textId="77777777" w:rsidR="0036326D" w:rsidRDefault="00443AFA">
      <w:pPr>
        <w:spacing w:after="0" w:line="240" w:lineRule="auto"/>
        <w:rPr>
          <w:rFonts w:ascii="Times New Roman" w:hAnsi="Times New Roman" w:cs="Times New Roman"/>
        </w:rPr>
      </w:pPr>
      <w:r>
        <w:rPr>
          <w:rFonts w:ascii="Times New Roman" w:hAnsi="Times New Roman" w:cs="Times New Roman"/>
        </w:rPr>
        <w:t>V skúšaní Einstein PE (pozri Tabuľku 7) rivaroxabán preukázal non-inferioritu voči enoxaparínu/VKA v primárnom ukazovateli účinnosti (p = 0,0026 (test non-inferiority); HR: 1,123 (0,749 – 1,684)). Vopred definovaný čistý klinický prínos (primárny ukazovateľ účinnosti spolu so závažnými krvácavými príhodami) sa zaznamenal v HR 0,849 ((95 % CI: 0,633 – 1,139), nominálna p hodnota p = 0,275). Hodnoty INR sa nachádzali v rámci terapeutického rozmedzia v priemere 63 % času pri priemernom trvaní liečby 215 dní a 57 %, 62 %, a 65 % času u skupín so zámerom dĺžky liečby 3, 6, a 12 mesiacov. V enoxaparín/VKA skupine nebol identifikovaný jasný vzťah medzi úrovňou priemerného TTR centra (čas v cieľovom INR rozpätí 2,0 – 3,0), v rovnako veľkých terciloch a výskytom rekurentnej VTE (p = 0,082 pre interakciu). V rámci najvyššieho tercilu podľa centra, bola miera rizík pri rivaroxabáne v porovnaní s warfarínom 0,642 (95 % CI: 0,277 – 1,484).</w:t>
      </w:r>
    </w:p>
    <w:p w14:paraId="6964A9B7" w14:textId="77777777" w:rsidR="0036326D" w:rsidRDefault="0036326D">
      <w:pPr>
        <w:spacing w:after="0" w:line="240" w:lineRule="auto"/>
        <w:rPr>
          <w:rFonts w:ascii="Times New Roman" w:hAnsi="Times New Roman" w:cs="Times New Roman"/>
        </w:rPr>
      </w:pPr>
    </w:p>
    <w:p w14:paraId="55CFB4AF"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rPr>
        <w:t>Miera incidencie primárneho ukazovateľa bezpečnosti (klinicky závažných alebo nezávažných krvácavých príhod) bola mierne nižšia v skupine liečenej rivaroxabánom (10,3 % (249/2 412)), ako v skupine liečenej enoxaparínom/VKA (11,4 % (274/2 405)). Incidencia sekundárneho ukazovateľa bezpečnosti (závažné krvácavé príhody) bola nižšia v skupine liečenej rivaroxabánom (1,1 % (26/2 412)), ako v skupine liečenej enoxaparínom/VKA (2,2 % (52/2 405)) s HR 0,493 (95 % CI: 0,308</w:t>
      </w:r>
      <w:r>
        <w:rPr>
          <w:rFonts w:ascii="Times New Roman" w:hAnsi="Times New Roman" w:cs="Times New Roman"/>
        </w:rPr>
        <w:noBreakHyphen/>
        <w:t>0,789).</w:t>
      </w:r>
    </w:p>
    <w:p w14:paraId="1C538A4C" w14:textId="77777777" w:rsidR="0036326D" w:rsidRDefault="00443AFA">
      <w:pPr>
        <w:rPr>
          <w:rFonts w:ascii="Times New Roman" w:hAnsi="Times New Roman" w:cs="Times New Roman"/>
          <w:u w:val="single"/>
        </w:rPr>
      </w:pPr>
      <w:r>
        <w:rPr>
          <w:rFonts w:ascii="Times New Roman" w:hAnsi="Times New Roman" w:cs="Times New Roman"/>
          <w:b/>
          <w:bCs/>
        </w:rPr>
        <w:t>Tabuľka 7: Výsledky účinnosti a bezpečnosti z Einstein PE fázy III</w:t>
      </w:r>
    </w:p>
    <w:tbl>
      <w:tblPr>
        <w:tblW w:w="5000" w:type="pct"/>
        <w:tblLayout w:type="fixed"/>
        <w:tblLook w:val="04A0" w:firstRow="1" w:lastRow="0" w:firstColumn="1" w:lastColumn="0" w:noHBand="0" w:noVBand="1"/>
      </w:tblPr>
      <w:tblGrid>
        <w:gridCol w:w="3020"/>
        <w:gridCol w:w="3015"/>
        <w:gridCol w:w="3025"/>
      </w:tblGrid>
      <w:tr w:rsidR="0036326D" w14:paraId="3C9653C5"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4BED4E97"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048" w:type="dxa"/>
            <w:gridSpan w:val="2"/>
            <w:tcBorders>
              <w:top w:val="single" w:sz="4" w:space="0" w:color="000000"/>
              <w:left w:val="single" w:sz="4" w:space="0" w:color="000000"/>
              <w:bottom w:val="single" w:sz="4" w:space="0" w:color="000000"/>
              <w:right w:val="single" w:sz="4" w:space="0" w:color="000000"/>
            </w:tcBorders>
            <w:shd w:val="clear" w:color="auto" w:fill="auto"/>
          </w:tcPr>
          <w:p w14:paraId="69ECCD8C"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4 832 pacientov so symptomatickou akútnou pľúcnou embóliou</w:t>
            </w:r>
          </w:p>
        </w:tc>
      </w:tr>
      <w:tr w:rsidR="0036326D" w14:paraId="58DD520E"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87339"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Dávkovanie a dĺžka liečby</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3690"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Rivaroxabán</w:t>
            </w:r>
            <w:r>
              <w:rPr>
                <w:rFonts w:ascii="Times New Roman" w:hAnsi="Times New Roman" w:cs="Times New Roman"/>
                <w:b/>
                <w:vertAlign w:val="superscript"/>
              </w:rPr>
              <w:t>a)</w:t>
            </w:r>
            <w:r>
              <w:rPr>
                <w:rFonts w:ascii="Times New Roman" w:hAnsi="Times New Roman" w:cs="Times New Roman"/>
                <w:b/>
              </w:rPr>
              <w:t xml:space="preserve"> </w:t>
            </w:r>
          </w:p>
          <w:p w14:paraId="6B7EF8AB"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0116A778"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n = 2 419</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35712"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Enoxaparín/VKA</w:t>
            </w:r>
            <w:r>
              <w:rPr>
                <w:rFonts w:ascii="Times New Roman" w:hAnsi="Times New Roman" w:cs="Times New Roman"/>
                <w:b/>
                <w:vertAlign w:val="superscript"/>
              </w:rPr>
              <w:t>b)</w:t>
            </w:r>
          </w:p>
          <w:p w14:paraId="2FD03B63"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62830ED8"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n = 2 413</w:t>
            </w:r>
          </w:p>
        </w:tc>
      </w:tr>
      <w:tr w:rsidR="0036326D" w14:paraId="58338E25"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3DA1B7E8"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Symptomatický rekurentný VTE*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0190A7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50</w:t>
            </w:r>
          </w:p>
          <w:p w14:paraId="5BB22548"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(2,1 %)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5C4D16A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44</w:t>
            </w:r>
          </w:p>
          <w:p w14:paraId="146A971A"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(1,8 %)</w:t>
            </w:r>
          </w:p>
        </w:tc>
      </w:tr>
      <w:tr w:rsidR="0036326D" w14:paraId="0390A44A"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4CE10924"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Symptomatická rekurentná 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02892E6"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23</w:t>
            </w:r>
          </w:p>
          <w:p w14:paraId="5F98862D"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(1,0 %)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796059AA"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20</w:t>
            </w:r>
          </w:p>
          <w:p w14:paraId="005CCF7D"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(0,8 %)</w:t>
            </w:r>
          </w:p>
        </w:tc>
      </w:tr>
      <w:tr w:rsidR="0036326D" w14:paraId="2AD70DE9"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EFB4F00"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Symptomatická rekurentná DVT</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A1289FA"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18</w:t>
            </w:r>
          </w:p>
          <w:p w14:paraId="644420BF"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(0,7 %)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24A932E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17</w:t>
            </w:r>
          </w:p>
          <w:p w14:paraId="0A138B6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(0,7 %)</w:t>
            </w:r>
          </w:p>
        </w:tc>
      </w:tr>
      <w:tr w:rsidR="0036326D" w14:paraId="194E768F"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173D7F49"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Symptomatická PE a DVT</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2D48CC9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w:t>
            </w:r>
          </w:p>
          <w:p w14:paraId="5CDE8C9C" w14:textId="77777777" w:rsidR="0036326D" w:rsidRDefault="0036326D">
            <w:pPr>
              <w:widowControl w:val="0"/>
              <w:spacing w:after="0" w:line="240" w:lineRule="auto"/>
              <w:jc w:val="center"/>
              <w:rPr>
                <w:rFonts w:ascii="Times New Roman" w:hAnsi="Times New Roman" w:cs="Times New Roman"/>
                <w:u w:val="single"/>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60C513E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w:t>
            </w:r>
          </w:p>
          <w:p w14:paraId="0398D5CB"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(&lt; 0,1 %)</w:t>
            </w:r>
          </w:p>
        </w:tc>
      </w:tr>
      <w:tr w:rsidR="0036326D" w14:paraId="70D409E2"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72270D0F"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Smrteľná PE/Smrť, pri ktorej nemožno vylúčiť 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F2CF2B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11</w:t>
            </w:r>
          </w:p>
          <w:p w14:paraId="5A68DA8E"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(0,5 %)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039565A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7</w:t>
            </w:r>
          </w:p>
          <w:p w14:paraId="1568CED9"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(0,3 %)</w:t>
            </w:r>
          </w:p>
        </w:tc>
      </w:tr>
      <w:tr w:rsidR="0036326D" w14:paraId="080F0C17"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118C2601"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Závažné alebo klinicky významné nezávažné krvácavé príhody</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89AB46D"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249</w:t>
            </w:r>
          </w:p>
          <w:p w14:paraId="72089F0C"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(10,3 %)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4FCA8D5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274</w:t>
            </w:r>
          </w:p>
          <w:p w14:paraId="289C1CF1"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(11,4 %)</w:t>
            </w:r>
          </w:p>
        </w:tc>
      </w:tr>
      <w:tr w:rsidR="0036326D" w14:paraId="4ECD4CF9"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444F8D38"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Závažné krvácavé príhody</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AE9866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26</w:t>
            </w:r>
          </w:p>
          <w:p w14:paraId="2BD59D7F"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(1,1 %)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3D07CB9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52</w:t>
            </w:r>
          </w:p>
          <w:p w14:paraId="6F19E0AD"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(2,2 %)</w:t>
            </w:r>
          </w:p>
        </w:tc>
      </w:tr>
    </w:tbl>
    <w:p w14:paraId="350EDDAD" w14:textId="77777777"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ab/>
        <w:t>Rivaroxabán 15 mg dvakrát denne počas 3 týždňov, po ktorých nasledovalo 20 mg jedenkrát denne</w:t>
      </w:r>
    </w:p>
    <w:p w14:paraId="165AFAEF" w14:textId="77777777"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b)</w:t>
      </w:r>
      <w:r>
        <w:rPr>
          <w:rFonts w:ascii="Times New Roman" w:hAnsi="Times New Roman" w:cs="Times New Roman"/>
        </w:rPr>
        <w:tab/>
        <w:t>Enoxaparín minimálne 5 dní, so súbežnou a následnou liečbou VKA</w:t>
      </w:r>
    </w:p>
    <w:p w14:paraId="3B59686F"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rPr>
        <w:t>*</w:t>
      </w:r>
      <w:r>
        <w:rPr>
          <w:rFonts w:ascii="Times New Roman" w:hAnsi="Times New Roman" w:cs="Times New Roman"/>
        </w:rPr>
        <w:tab/>
        <w:t>p &lt; 0,0026 (non-inferiorita s vopred určeným pomerom rizík 2,0); HR: 1,123 (0,749 </w:t>
      </w:r>
      <w:r>
        <w:rPr>
          <w:rFonts w:ascii="Times New Roman" w:hAnsi="Times New Roman" w:cs="Times New Roman"/>
        </w:rPr>
        <w:noBreakHyphen/>
        <w:t> 1,684)</w:t>
      </w:r>
    </w:p>
    <w:p w14:paraId="70083A58" w14:textId="77777777" w:rsidR="0036326D" w:rsidRDefault="0036326D">
      <w:pPr>
        <w:spacing w:after="0" w:line="240" w:lineRule="auto"/>
        <w:rPr>
          <w:rFonts w:ascii="Times New Roman" w:hAnsi="Times New Roman" w:cs="Times New Roman"/>
          <w:u w:val="single"/>
        </w:rPr>
      </w:pPr>
    </w:p>
    <w:p w14:paraId="06B341E0" w14:textId="77777777" w:rsidR="0036326D" w:rsidRDefault="00443AFA">
      <w:pPr>
        <w:spacing w:after="0" w:line="240" w:lineRule="auto"/>
        <w:rPr>
          <w:rFonts w:ascii="Times New Roman" w:hAnsi="Times New Roman" w:cs="Times New Roman"/>
        </w:rPr>
      </w:pPr>
      <w:r>
        <w:rPr>
          <w:rFonts w:ascii="Times New Roman" w:hAnsi="Times New Roman" w:cs="Times New Roman"/>
        </w:rPr>
        <w:t>Bola uskutočnená vopred určená spoločná analýza výsledkov skúšaní Einstein DVT a PE (pozri Tabuľku 8).</w:t>
      </w:r>
    </w:p>
    <w:p w14:paraId="25F2E440" w14:textId="77777777" w:rsidR="0036326D" w:rsidRDefault="0036326D">
      <w:pPr>
        <w:spacing w:after="0" w:line="240" w:lineRule="auto"/>
        <w:rPr>
          <w:rFonts w:ascii="Times New Roman" w:hAnsi="Times New Roman" w:cs="Times New Roman"/>
        </w:rPr>
      </w:pPr>
    </w:p>
    <w:p w14:paraId="722B35BA"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b/>
          <w:bCs/>
        </w:rPr>
        <w:t>Tabuľka 8: Výsledky účinnosti a bezpečnosti zo spoločných analýz Einstein DVT a Einstein PE fázy III</w:t>
      </w:r>
    </w:p>
    <w:tbl>
      <w:tblPr>
        <w:tblW w:w="5000" w:type="pct"/>
        <w:tblLayout w:type="fixed"/>
        <w:tblLook w:val="04A0" w:firstRow="1" w:lastRow="0" w:firstColumn="1" w:lastColumn="0" w:noHBand="0" w:noVBand="1"/>
      </w:tblPr>
      <w:tblGrid>
        <w:gridCol w:w="3020"/>
        <w:gridCol w:w="3015"/>
        <w:gridCol w:w="3025"/>
      </w:tblGrid>
      <w:tr w:rsidR="0036326D" w14:paraId="40DB336E"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7EB90F89"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048" w:type="dxa"/>
            <w:gridSpan w:val="2"/>
            <w:tcBorders>
              <w:top w:val="single" w:sz="4" w:space="0" w:color="000000"/>
              <w:left w:val="single" w:sz="4" w:space="0" w:color="000000"/>
              <w:bottom w:val="single" w:sz="4" w:space="0" w:color="000000"/>
              <w:right w:val="single" w:sz="4" w:space="0" w:color="000000"/>
            </w:tcBorders>
            <w:shd w:val="clear" w:color="auto" w:fill="auto"/>
          </w:tcPr>
          <w:p w14:paraId="1C95FB6D"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8 281 pacientov s akútnou symptomatickou DVT alebo PE</w:t>
            </w:r>
          </w:p>
        </w:tc>
      </w:tr>
      <w:tr w:rsidR="0036326D" w14:paraId="145468E9"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CA98"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Dávkovanie a dĺžka liečby</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F593"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Rivaroxabán</w:t>
            </w:r>
            <w:r>
              <w:rPr>
                <w:rFonts w:ascii="Times New Roman" w:hAnsi="Times New Roman" w:cs="Times New Roman"/>
                <w:b/>
                <w:vertAlign w:val="superscript"/>
              </w:rPr>
              <w:t>a)</w:t>
            </w:r>
          </w:p>
          <w:p w14:paraId="2D71BF67"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7FC89254"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lastRenderedPageBreak/>
              <w:t>n = 4 150</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9E65"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lastRenderedPageBreak/>
              <w:t>Enoxaparín/VKA</w:t>
            </w:r>
            <w:r>
              <w:rPr>
                <w:rFonts w:ascii="Times New Roman" w:hAnsi="Times New Roman" w:cs="Times New Roman"/>
                <w:b/>
                <w:vertAlign w:val="superscript"/>
              </w:rPr>
              <w:t>b)</w:t>
            </w:r>
          </w:p>
          <w:p w14:paraId="15A36887"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38EDC2BC"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lastRenderedPageBreak/>
              <w:t>n = 4 131</w:t>
            </w:r>
          </w:p>
        </w:tc>
      </w:tr>
      <w:tr w:rsidR="0036326D" w14:paraId="17CB3692"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549787B"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lastRenderedPageBreak/>
              <w:t>Symptomatický rekurentný VTE*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E9FC53F"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86</w:t>
            </w:r>
          </w:p>
          <w:p w14:paraId="025EF56E"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(2,1 %)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0FFA340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95</w:t>
            </w:r>
          </w:p>
          <w:p w14:paraId="0CAB0428"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(2,3 %)</w:t>
            </w:r>
          </w:p>
        </w:tc>
      </w:tr>
      <w:tr w:rsidR="0036326D" w14:paraId="257F40A7"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69F92FD1"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Symptomatická rekurentná 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17AC484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43</w:t>
            </w:r>
          </w:p>
          <w:p w14:paraId="475DC673"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(1,0 %)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739310E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38</w:t>
            </w:r>
          </w:p>
          <w:p w14:paraId="6BFB5F2D"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(0,9 %)</w:t>
            </w:r>
          </w:p>
        </w:tc>
      </w:tr>
      <w:tr w:rsidR="0036326D" w14:paraId="28314012"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1DE01186"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Symptomatická rekurentná DVT</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80D06C4"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32</w:t>
            </w:r>
          </w:p>
          <w:p w14:paraId="66C952CF"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(0,8 %)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547AC596"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45</w:t>
            </w:r>
          </w:p>
          <w:p w14:paraId="04FAE509"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(1,1 %)</w:t>
            </w:r>
          </w:p>
        </w:tc>
      </w:tr>
      <w:tr w:rsidR="0036326D" w14:paraId="4A8B84B0"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473B60E"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Symptomatická PE a DVT</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61BDD7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w:t>
            </w:r>
          </w:p>
          <w:p w14:paraId="560B5E9E"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(&lt; 0,1 %)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0D39A51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w:t>
            </w:r>
          </w:p>
          <w:p w14:paraId="777E7CED"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(&lt; 0,1 %)</w:t>
            </w:r>
          </w:p>
        </w:tc>
      </w:tr>
      <w:tr w:rsidR="0036326D" w14:paraId="272357D3"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656E1FB0"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Smrteľná PE/Smrť, pri ktorej nemožno vylúčiť 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CC2954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15</w:t>
            </w:r>
          </w:p>
          <w:p w14:paraId="5FE5A5AC"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(0,4 %)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0811B25F"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13</w:t>
            </w:r>
          </w:p>
          <w:p w14:paraId="29F495CB"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(0,3 %)</w:t>
            </w:r>
          </w:p>
        </w:tc>
      </w:tr>
      <w:tr w:rsidR="0036326D" w14:paraId="5E980E77"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11ED13A5"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Závažné alebo klinicky významné nezávažné krvácavé príhody</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F175A3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388</w:t>
            </w:r>
          </w:p>
          <w:p w14:paraId="4DEBB496"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(9,4 %)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667BAD7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412</w:t>
            </w:r>
          </w:p>
          <w:p w14:paraId="31BA994E"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(10,0 %)</w:t>
            </w:r>
          </w:p>
        </w:tc>
      </w:tr>
      <w:tr w:rsidR="0036326D" w14:paraId="47998B08"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A6FCFDD"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Závažné krvácavé príhody</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E860296"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40</w:t>
            </w:r>
          </w:p>
          <w:p w14:paraId="761E2242"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(1,0 %)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7D15423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72</w:t>
            </w:r>
          </w:p>
          <w:p w14:paraId="339A757A"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(1,7 %)</w:t>
            </w:r>
          </w:p>
        </w:tc>
      </w:tr>
    </w:tbl>
    <w:p w14:paraId="68779735" w14:textId="77777777"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ab/>
        <w:t>Rivaroxabán 15 mg dvakrát denne počas 3 týždňov, po ktorých nasledovalo 20 mg jedenkrát denne</w:t>
      </w:r>
    </w:p>
    <w:p w14:paraId="4EF0BC45" w14:textId="77777777"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b)</w:t>
      </w:r>
      <w:r>
        <w:rPr>
          <w:rFonts w:ascii="Times New Roman" w:hAnsi="Times New Roman" w:cs="Times New Roman"/>
        </w:rPr>
        <w:tab/>
        <w:t>Enoxaparín minimálne 5 dní, so súbežnou a následnou liečbou VKA</w:t>
      </w:r>
    </w:p>
    <w:p w14:paraId="0473921D" w14:textId="77777777" w:rsidR="0036326D" w:rsidRDefault="00443AFA">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p &lt; 0,0001 (non-inferiorita s vopred určeným HR 1,75); HR: 0,886 (0,661 – 1,186)</w:t>
      </w:r>
    </w:p>
    <w:p w14:paraId="60B91D5A" w14:textId="77777777" w:rsidR="0036326D" w:rsidRDefault="0036326D">
      <w:pPr>
        <w:spacing w:after="0" w:line="240" w:lineRule="auto"/>
        <w:rPr>
          <w:rFonts w:ascii="Times New Roman" w:hAnsi="Times New Roman" w:cs="Times New Roman"/>
          <w:u w:val="single"/>
        </w:rPr>
      </w:pPr>
    </w:p>
    <w:p w14:paraId="38A7F617" w14:textId="5F808021" w:rsidR="0036326D" w:rsidRDefault="00443AFA">
      <w:pPr>
        <w:spacing w:after="0" w:line="240" w:lineRule="auto"/>
        <w:rPr>
          <w:rFonts w:ascii="Times New Roman" w:hAnsi="Times New Roman" w:cs="Times New Roman"/>
        </w:rPr>
      </w:pPr>
      <w:r>
        <w:rPr>
          <w:rFonts w:ascii="Times New Roman" w:hAnsi="Times New Roman" w:cs="Times New Roman"/>
        </w:rPr>
        <w:t>Vopred definovaný čistý klinický prínos (primárny ukazovateľ účinnosti spolu so závažnými krvácavými príhodami) sa v súhrnnej analýze hlásili s HR 0,771 ((95 % CI: 0,614 – 0,967), nominálna p hodnota p = 0,0244).</w:t>
      </w:r>
    </w:p>
    <w:p w14:paraId="1E989584" w14:textId="77777777" w:rsidR="0036326D" w:rsidRDefault="0036326D">
      <w:pPr>
        <w:spacing w:after="0" w:line="240" w:lineRule="auto"/>
        <w:rPr>
          <w:rFonts w:ascii="Times New Roman" w:hAnsi="Times New Roman" w:cs="Times New Roman"/>
        </w:rPr>
      </w:pPr>
    </w:p>
    <w:p w14:paraId="5EACB587" w14:textId="77777777" w:rsidR="0036326D" w:rsidRDefault="00443AFA">
      <w:pPr>
        <w:spacing w:after="0" w:line="240" w:lineRule="auto"/>
        <w:rPr>
          <w:rFonts w:ascii="Times New Roman" w:hAnsi="Times New Roman" w:cs="Times New Roman"/>
        </w:rPr>
      </w:pPr>
      <w:r>
        <w:rPr>
          <w:rFonts w:ascii="Times New Roman" w:hAnsi="Times New Roman" w:cs="Times New Roman"/>
        </w:rPr>
        <w:t>V skúšaní Einstein Extension (pozri Tabuľku 9) bol rivaroxabán superiórny voči placebu v primárnych a sekundárnych ukazovateľoch účinnosti. Pri primárnom ukazovateľovi bezpečnosti (závažných krvácavých príhodách) bol nevýznamný numericky vyšší pomer incidencie u pacientov liečených rivaroxabánom 20 mg jedenkrát denne v porovnaní s placebom. Sekundárny ukazovateľ bezpečnosti (závažné alebo klinicky relevantné nezávažné krvácavé príhody) ukázal vyšší výskyt u pacientov liečených rivaroxabánom 20 mg jedenkrát denne v porovnaní s placebom.</w:t>
      </w:r>
    </w:p>
    <w:p w14:paraId="22BCEE50" w14:textId="77777777" w:rsidR="0036326D" w:rsidRDefault="0036326D">
      <w:pPr>
        <w:spacing w:after="0" w:line="240" w:lineRule="auto"/>
        <w:rPr>
          <w:rFonts w:ascii="Times New Roman" w:hAnsi="Times New Roman" w:cs="Times New Roman"/>
          <w:u w:val="single"/>
        </w:rPr>
      </w:pPr>
    </w:p>
    <w:p w14:paraId="450F269D" w14:textId="77777777" w:rsidR="0036326D" w:rsidRDefault="00443AFA">
      <w:pPr>
        <w:spacing w:after="0" w:line="240" w:lineRule="auto"/>
        <w:rPr>
          <w:rFonts w:ascii="Times New Roman" w:hAnsi="Times New Roman" w:cs="Times New Roman"/>
          <w:u w:val="single"/>
        </w:rPr>
      </w:pPr>
      <w:r>
        <w:rPr>
          <w:rFonts w:ascii="Times New Roman" w:hAnsi="Times New Roman" w:cs="Times New Roman"/>
          <w:b/>
          <w:bCs/>
        </w:rPr>
        <w:t>Tabuľka 9: Výsledky účinnosti a bezpečnosti z Einstein Extension fázy III</w:t>
      </w:r>
    </w:p>
    <w:tbl>
      <w:tblPr>
        <w:tblW w:w="5000" w:type="pct"/>
        <w:tblLayout w:type="fixed"/>
        <w:tblLook w:val="04A0" w:firstRow="1" w:lastRow="0" w:firstColumn="1" w:lastColumn="0" w:noHBand="0" w:noVBand="1"/>
      </w:tblPr>
      <w:tblGrid>
        <w:gridCol w:w="3020"/>
        <w:gridCol w:w="3015"/>
        <w:gridCol w:w="3025"/>
      </w:tblGrid>
      <w:tr w:rsidR="0036326D" w14:paraId="449F1CA6"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71492DAC"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048" w:type="dxa"/>
            <w:gridSpan w:val="2"/>
            <w:tcBorders>
              <w:top w:val="single" w:sz="4" w:space="0" w:color="000000"/>
              <w:left w:val="single" w:sz="4" w:space="0" w:color="000000"/>
              <w:bottom w:val="single" w:sz="4" w:space="0" w:color="000000"/>
              <w:right w:val="single" w:sz="4" w:space="0" w:color="000000"/>
            </w:tcBorders>
            <w:shd w:val="clear" w:color="auto" w:fill="auto"/>
          </w:tcPr>
          <w:p w14:paraId="1F6A1B1E" w14:textId="71435D80"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1 197 pacientov, ktorí pokračovali v liečbe a prevencii rekurencie venóznej tromboembólie</w:t>
            </w:r>
          </w:p>
        </w:tc>
      </w:tr>
      <w:tr w:rsidR="0036326D" w14:paraId="7DAA6035"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AE279"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Dávka a dĺžka liečby</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F1173"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Rivaroxabán</w:t>
            </w:r>
            <w:r>
              <w:rPr>
                <w:rFonts w:ascii="Times New Roman" w:hAnsi="Times New Roman" w:cs="Times New Roman"/>
                <w:b/>
                <w:vertAlign w:val="superscript"/>
              </w:rPr>
              <w:t>a)</w:t>
            </w:r>
          </w:p>
          <w:p w14:paraId="38FD4C48"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6 alebo 12 mesiacov</w:t>
            </w:r>
          </w:p>
          <w:p w14:paraId="68644863"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n = 602</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9DCD2"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Placebo</w:t>
            </w:r>
          </w:p>
          <w:p w14:paraId="48D962D8"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6 alebo 12 mesiacov</w:t>
            </w:r>
          </w:p>
          <w:p w14:paraId="56B1CA4A" w14:textId="77777777" w:rsidR="0036326D" w:rsidRDefault="00443AFA">
            <w:pPr>
              <w:widowControl w:val="0"/>
              <w:spacing w:after="0" w:line="240" w:lineRule="auto"/>
              <w:rPr>
                <w:rFonts w:ascii="Times New Roman" w:hAnsi="Times New Roman" w:cs="Times New Roman"/>
                <w:b/>
                <w:u w:val="single"/>
              </w:rPr>
            </w:pPr>
            <w:r>
              <w:rPr>
                <w:rFonts w:ascii="Times New Roman" w:hAnsi="Times New Roman" w:cs="Times New Roman"/>
                <w:b/>
              </w:rPr>
              <w:t>n = 594</w:t>
            </w:r>
          </w:p>
        </w:tc>
      </w:tr>
      <w:tr w:rsidR="0036326D" w14:paraId="52A136DA"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C39BD9B"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Symptomatický rekurentný VTE*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1E2B899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8</w:t>
            </w:r>
          </w:p>
          <w:p w14:paraId="074A8575"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(1,3 %)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50EE88EF"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42</w:t>
            </w:r>
          </w:p>
          <w:p w14:paraId="6A0811D6"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(7,1 %)</w:t>
            </w:r>
          </w:p>
        </w:tc>
      </w:tr>
      <w:tr w:rsidR="0036326D" w14:paraId="5FAFBD32"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DC2298E"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Symptomatická rekurentná 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CC0F6B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w:t>
            </w:r>
          </w:p>
          <w:p w14:paraId="41C4B06E"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(0,3 %)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31B1346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13</w:t>
            </w:r>
          </w:p>
          <w:p w14:paraId="7634B925"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(2,2 %)</w:t>
            </w:r>
          </w:p>
        </w:tc>
      </w:tr>
      <w:tr w:rsidR="0036326D" w14:paraId="0CE7A42A"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73FA11A2"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Symptomatická rekurentná DVT</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B83785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w:t>
            </w:r>
          </w:p>
          <w:p w14:paraId="5DABE762"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(0,8 %)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26D895A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31</w:t>
            </w:r>
          </w:p>
          <w:p w14:paraId="5DF14B6E"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(5,2 %)</w:t>
            </w:r>
          </w:p>
        </w:tc>
      </w:tr>
      <w:tr w:rsidR="0036326D" w14:paraId="36E81E76"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2D9193A2" w14:textId="4066F3E2" w:rsidR="0036326D" w:rsidRDefault="00443AFA">
            <w:pPr>
              <w:widowControl w:val="0"/>
              <w:spacing w:after="0" w:line="240" w:lineRule="auto"/>
              <w:rPr>
                <w:rFonts w:ascii="Times New Roman" w:hAnsi="Times New Roman" w:cs="Times New Roman"/>
              </w:rPr>
            </w:pPr>
            <w:r>
              <w:rPr>
                <w:rFonts w:ascii="Times New Roman" w:hAnsi="Times New Roman" w:cs="Times New Roman"/>
              </w:rPr>
              <w:t>Smrteľná PE/Smrť, pri ktorej</w:t>
            </w:r>
          </w:p>
          <w:p w14:paraId="44D9866B"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nemožno vylúčiť 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806852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w:t>
            </w:r>
          </w:p>
          <w:p w14:paraId="5D2FBBB4"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(0,2 %)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0B40D69D"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w:t>
            </w:r>
          </w:p>
          <w:p w14:paraId="5175FFEE"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(0,2 %)</w:t>
            </w:r>
          </w:p>
        </w:tc>
      </w:tr>
      <w:tr w:rsidR="0036326D" w14:paraId="724ED8F8"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1E555E9"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Závažné krvácavé príhody</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61D723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4</w:t>
            </w:r>
          </w:p>
          <w:p w14:paraId="42B4302E"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(0,7 %)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15A9310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w:t>
            </w:r>
          </w:p>
          <w:p w14:paraId="16CA84A1"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(0,0 %)</w:t>
            </w:r>
          </w:p>
        </w:tc>
      </w:tr>
      <w:tr w:rsidR="0036326D" w14:paraId="395A59AB"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5E6A30B" w14:textId="77777777" w:rsidR="0036326D" w:rsidRDefault="00443AFA">
            <w:pPr>
              <w:widowControl w:val="0"/>
              <w:spacing w:after="0" w:line="240" w:lineRule="auto"/>
              <w:rPr>
                <w:rFonts w:ascii="Times New Roman" w:hAnsi="Times New Roman" w:cs="Times New Roman"/>
                <w:u w:val="single"/>
              </w:rPr>
            </w:pPr>
            <w:r>
              <w:rPr>
                <w:rFonts w:ascii="Times New Roman" w:hAnsi="Times New Roman" w:cs="Times New Roman"/>
              </w:rPr>
              <w:t>Klinicky významné nezávažné krvácavé príhody</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C09CE11"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32</w:t>
            </w:r>
          </w:p>
          <w:p w14:paraId="6F331952"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(5,4 %)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165F5301"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7</w:t>
            </w:r>
          </w:p>
          <w:p w14:paraId="62001CB6" w14:textId="77777777" w:rsidR="0036326D" w:rsidRDefault="00443AFA">
            <w:pPr>
              <w:widowControl w:val="0"/>
              <w:spacing w:after="0" w:line="240" w:lineRule="auto"/>
              <w:jc w:val="center"/>
              <w:rPr>
                <w:rFonts w:ascii="Times New Roman" w:hAnsi="Times New Roman" w:cs="Times New Roman"/>
                <w:u w:val="single"/>
              </w:rPr>
            </w:pPr>
            <w:r>
              <w:rPr>
                <w:rFonts w:ascii="Times New Roman" w:hAnsi="Times New Roman" w:cs="Times New Roman"/>
              </w:rPr>
              <w:t>(1,2 %)</w:t>
            </w:r>
          </w:p>
        </w:tc>
      </w:tr>
    </w:tbl>
    <w:p w14:paraId="5A2ED002" w14:textId="77777777"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ab/>
        <w:t>Rivaroxabán 20 mg jedenkrát denne</w:t>
      </w:r>
    </w:p>
    <w:p w14:paraId="50EEC33A" w14:textId="77777777" w:rsidR="0036326D" w:rsidRDefault="00443AFA">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p &lt; 0,0001 (superiorita), HR: 0,185 (0,087 – 0,393)</w:t>
      </w:r>
    </w:p>
    <w:p w14:paraId="72C4747D" w14:textId="77777777" w:rsidR="0036326D" w:rsidRDefault="0036326D">
      <w:pPr>
        <w:spacing w:after="0" w:line="240" w:lineRule="auto"/>
        <w:rPr>
          <w:rFonts w:ascii="Times New Roman" w:hAnsi="Times New Roman" w:cs="Times New Roman"/>
        </w:rPr>
      </w:pPr>
    </w:p>
    <w:p w14:paraId="75B5D93E" w14:textId="46D1D4C7" w:rsidR="0036326D" w:rsidRDefault="00443AFA">
      <w:pPr>
        <w:spacing w:after="0" w:line="240" w:lineRule="auto"/>
        <w:rPr>
          <w:rFonts w:ascii="Times New Roman" w:hAnsi="Times New Roman" w:cs="Times New Roman"/>
        </w:rPr>
      </w:pPr>
      <w:r>
        <w:rPr>
          <w:rFonts w:ascii="Times New Roman" w:hAnsi="Times New Roman" w:cs="Times New Roman"/>
        </w:rPr>
        <w:lastRenderedPageBreak/>
        <w:t>V skúšaní Einstein Choice (Tabuľka 10) boli rivaroxabán 20 mg aj 10 mg superiórne vo vzťahu k 100 mg kyseliny acetylsalicylovej v primárnom ukazovateli účinnosti. Hlavný ukazovateľ bezpečnosti (závažné krvácavé príhody) bol u pacientov liečených rivaroxabánom 20 mg a10 mg jedenkrát denne v porovnaní so 100 mg kyseliny acetylsalicylovej podobný.</w:t>
      </w:r>
    </w:p>
    <w:p w14:paraId="5C5C06D9" w14:textId="77777777" w:rsidR="0036326D" w:rsidRDefault="0036326D">
      <w:pPr>
        <w:spacing w:after="0" w:line="240" w:lineRule="auto"/>
        <w:rPr>
          <w:rFonts w:ascii="Times New Roman" w:hAnsi="Times New Roman" w:cs="Times New Roman"/>
        </w:rPr>
      </w:pPr>
    </w:p>
    <w:p w14:paraId="517F9F41" w14:textId="77777777" w:rsidR="0036326D" w:rsidRDefault="00443AFA">
      <w:pPr>
        <w:spacing w:after="0" w:line="240" w:lineRule="auto"/>
        <w:rPr>
          <w:rFonts w:ascii="Times New Roman" w:hAnsi="Times New Roman" w:cs="Times New Roman"/>
          <w:b/>
        </w:rPr>
      </w:pPr>
      <w:r>
        <w:rPr>
          <w:rFonts w:ascii="Times New Roman" w:hAnsi="Times New Roman" w:cs="Times New Roman"/>
          <w:b/>
        </w:rPr>
        <w:t>Tabuľka 10: Výsledky účinnosti a bezpečnosti z Einstein Choice fázy III</w:t>
      </w:r>
    </w:p>
    <w:tbl>
      <w:tblPr>
        <w:tblW w:w="5000" w:type="pct"/>
        <w:tblLayout w:type="fixed"/>
        <w:tblCellMar>
          <w:left w:w="102" w:type="dxa"/>
          <w:right w:w="5" w:type="dxa"/>
        </w:tblCellMar>
        <w:tblLook w:val="01E0" w:firstRow="1" w:lastRow="1" w:firstColumn="1" w:lastColumn="1" w:noHBand="0" w:noVBand="0"/>
      </w:tblPr>
      <w:tblGrid>
        <w:gridCol w:w="2785"/>
        <w:gridCol w:w="2316"/>
        <w:gridCol w:w="2474"/>
        <w:gridCol w:w="1485"/>
      </w:tblGrid>
      <w:tr w:rsidR="0036326D" w14:paraId="47430D3F" w14:textId="77777777">
        <w:trPr>
          <w:trHeight w:val="499"/>
        </w:trPr>
        <w:tc>
          <w:tcPr>
            <w:tcW w:w="2788" w:type="dxa"/>
            <w:tcBorders>
              <w:top w:val="single" w:sz="4" w:space="0" w:color="000000"/>
              <w:left w:val="single" w:sz="4" w:space="0" w:color="000000"/>
              <w:bottom w:val="single" w:sz="4" w:space="0" w:color="000000"/>
              <w:right w:val="single" w:sz="4" w:space="0" w:color="000000"/>
            </w:tcBorders>
          </w:tcPr>
          <w:p w14:paraId="280D5416" w14:textId="77777777" w:rsidR="0036326D" w:rsidRDefault="00443AFA">
            <w:pPr>
              <w:widowControl w:val="0"/>
              <w:spacing w:after="0" w:line="240" w:lineRule="auto"/>
              <w:ind w:left="10"/>
              <w:rPr>
                <w:rFonts w:ascii="Times New Roman" w:hAnsi="Times New Roman" w:cs="Times New Roman"/>
                <w:b/>
              </w:rPr>
            </w:pPr>
            <w:r>
              <w:rPr>
                <w:rFonts w:ascii="Times New Roman" w:hAnsi="Times New Roman" w:cs="Times New Roman"/>
                <w:b/>
              </w:rPr>
              <w:t>Populácia v skúšaní</w:t>
            </w:r>
          </w:p>
        </w:tc>
        <w:tc>
          <w:tcPr>
            <w:tcW w:w="6283" w:type="dxa"/>
            <w:gridSpan w:val="3"/>
            <w:tcBorders>
              <w:top w:val="single" w:sz="4" w:space="0" w:color="000000"/>
              <w:left w:val="single" w:sz="4" w:space="0" w:color="000000"/>
              <w:bottom w:val="single" w:sz="4" w:space="0" w:color="000000"/>
              <w:right w:val="single" w:sz="4" w:space="0" w:color="000000"/>
            </w:tcBorders>
          </w:tcPr>
          <w:p w14:paraId="225F90CF" w14:textId="00830CD6"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3 396 pacientov, ktorí pokračovali v prevencii rekurencie venóznej tromboembólie</w:t>
            </w:r>
          </w:p>
        </w:tc>
      </w:tr>
      <w:tr w:rsidR="0036326D" w14:paraId="50D6DB0B" w14:textId="77777777">
        <w:trPr>
          <w:trHeight w:val="701"/>
        </w:trPr>
        <w:tc>
          <w:tcPr>
            <w:tcW w:w="2788" w:type="dxa"/>
            <w:tcBorders>
              <w:top w:val="single" w:sz="4" w:space="0" w:color="000000"/>
              <w:left w:val="single" w:sz="4" w:space="0" w:color="000000"/>
              <w:bottom w:val="single" w:sz="4" w:space="0" w:color="000000"/>
              <w:right w:val="single" w:sz="4" w:space="0" w:color="000000"/>
            </w:tcBorders>
            <w:vAlign w:val="center"/>
          </w:tcPr>
          <w:p w14:paraId="725FFEA1" w14:textId="77777777" w:rsidR="0036326D" w:rsidRDefault="00443AFA">
            <w:pPr>
              <w:widowControl w:val="0"/>
              <w:spacing w:after="0" w:line="240" w:lineRule="auto"/>
              <w:ind w:left="10"/>
              <w:rPr>
                <w:rFonts w:ascii="Times New Roman" w:hAnsi="Times New Roman" w:cs="Times New Roman"/>
                <w:b/>
              </w:rPr>
            </w:pPr>
            <w:r>
              <w:rPr>
                <w:rFonts w:ascii="Times New Roman" w:hAnsi="Times New Roman" w:cs="Times New Roman"/>
                <w:b/>
              </w:rPr>
              <w:t>Dávka liečby</w:t>
            </w:r>
          </w:p>
        </w:tc>
        <w:tc>
          <w:tcPr>
            <w:tcW w:w="2319" w:type="dxa"/>
            <w:tcBorders>
              <w:top w:val="single" w:sz="4" w:space="0" w:color="000000"/>
              <w:left w:val="single" w:sz="4" w:space="0" w:color="000000"/>
              <w:bottom w:val="single" w:sz="4" w:space="0" w:color="000000"/>
              <w:right w:val="single" w:sz="4" w:space="0" w:color="000000"/>
            </w:tcBorders>
            <w:vAlign w:val="center"/>
          </w:tcPr>
          <w:p w14:paraId="67B85109" w14:textId="3E90226B"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Rivaroxabán 20 mg jedenkrát dennen = 1 107</w:t>
            </w:r>
          </w:p>
        </w:tc>
        <w:tc>
          <w:tcPr>
            <w:tcW w:w="2477" w:type="dxa"/>
            <w:tcBorders>
              <w:top w:val="single" w:sz="4" w:space="0" w:color="000000"/>
              <w:left w:val="single" w:sz="4" w:space="0" w:color="000000"/>
              <w:bottom w:val="single" w:sz="4" w:space="0" w:color="000000"/>
              <w:right w:val="single" w:sz="4" w:space="0" w:color="000000"/>
            </w:tcBorders>
            <w:vAlign w:val="center"/>
          </w:tcPr>
          <w:p w14:paraId="2509AB80" w14:textId="3A8530F3"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Rivaroxabán 10 mg  jedenkrát denne n = 1 127</w:t>
            </w:r>
          </w:p>
        </w:tc>
        <w:tc>
          <w:tcPr>
            <w:tcW w:w="1487" w:type="dxa"/>
            <w:tcBorders>
              <w:top w:val="single" w:sz="4" w:space="0" w:color="000000"/>
              <w:left w:val="single" w:sz="4" w:space="0" w:color="000000"/>
              <w:bottom w:val="single" w:sz="4" w:space="0" w:color="000000"/>
              <w:right w:val="single" w:sz="4" w:space="0" w:color="000000"/>
            </w:tcBorders>
            <w:vAlign w:val="center"/>
          </w:tcPr>
          <w:p w14:paraId="7F05102F" w14:textId="22B3A38F"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ASA 100 mg jedenkrát denne</w:t>
            </w:r>
          </w:p>
          <w:p w14:paraId="004ACE3E" w14:textId="77777777" w:rsidR="0036326D" w:rsidRDefault="00443AFA">
            <w:pPr>
              <w:widowControl w:val="0"/>
              <w:spacing w:after="0" w:line="240" w:lineRule="auto"/>
              <w:rPr>
                <w:rFonts w:ascii="Times New Roman" w:hAnsi="Times New Roman" w:cs="Times New Roman"/>
                <w:b/>
              </w:rPr>
            </w:pPr>
            <w:r>
              <w:rPr>
                <w:rFonts w:ascii="Times New Roman" w:hAnsi="Times New Roman" w:cs="Times New Roman"/>
                <w:b/>
              </w:rPr>
              <w:t>n = 1 131</w:t>
            </w:r>
          </w:p>
        </w:tc>
      </w:tr>
      <w:tr w:rsidR="0036326D" w14:paraId="1EB6F125" w14:textId="77777777">
        <w:trPr>
          <w:trHeight w:val="587"/>
        </w:trPr>
        <w:tc>
          <w:tcPr>
            <w:tcW w:w="2788" w:type="dxa"/>
            <w:tcBorders>
              <w:top w:val="single" w:sz="4" w:space="0" w:color="000000"/>
              <w:left w:val="single" w:sz="4" w:space="0" w:color="000000"/>
              <w:bottom w:val="single" w:sz="4" w:space="0" w:color="000000"/>
              <w:right w:val="single" w:sz="4" w:space="0" w:color="000000"/>
            </w:tcBorders>
          </w:tcPr>
          <w:p w14:paraId="5D9E0984" w14:textId="77777777" w:rsidR="0036326D" w:rsidRDefault="00443AFA">
            <w:pPr>
              <w:widowControl w:val="0"/>
              <w:spacing w:after="0" w:line="240" w:lineRule="auto"/>
              <w:ind w:left="10" w:hanging="10"/>
              <w:rPr>
                <w:rFonts w:ascii="Times New Roman" w:hAnsi="Times New Roman" w:cs="Times New Roman"/>
              </w:rPr>
            </w:pPr>
            <w:r>
              <w:rPr>
                <w:rFonts w:ascii="Times New Roman" w:hAnsi="Times New Roman" w:cs="Times New Roman"/>
              </w:rPr>
              <w:t>Medián trvania liečby [medzikvartilový rozsah]</w:t>
            </w:r>
          </w:p>
        </w:tc>
        <w:tc>
          <w:tcPr>
            <w:tcW w:w="2319" w:type="dxa"/>
            <w:tcBorders>
              <w:top w:val="single" w:sz="4" w:space="0" w:color="000000"/>
              <w:left w:val="single" w:sz="4" w:space="0" w:color="000000"/>
              <w:bottom w:val="single" w:sz="4" w:space="0" w:color="000000"/>
              <w:right w:val="single" w:sz="4" w:space="0" w:color="000000"/>
            </w:tcBorders>
            <w:vAlign w:val="center"/>
          </w:tcPr>
          <w:p w14:paraId="12DFF0FC"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349 [189 – 362] dní</w:t>
            </w:r>
          </w:p>
        </w:tc>
        <w:tc>
          <w:tcPr>
            <w:tcW w:w="2477" w:type="dxa"/>
            <w:tcBorders>
              <w:top w:val="single" w:sz="4" w:space="0" w:color="000000"/>
              <w:left w:val="single" w:sz="4" w:space="0" w:color="000000"/>
              <w:bottom w:val="single" w:sz="4" w:space="0" w:color="000000"/>
              <w:right w:val="single" w:sz="4" w:space="0" w:color="000000"/>
            </w:tcBorders>
            <w:vAlign w:val="center"/>
          </w:tcPr>
          <w:p w14:paraId="342CB9D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353 [190 – 362] dní</w:t>
            </w:r>
          </w:p>
        </w:tc>
        <w:tc>
          <w:tcPr>
            <w:tcW w:w="1487" w:type="dxa"/>
            <w:tcBorders>
              <w:top w:val="single" w:sz="4" w:space="0" w:color="000000"/>
              <w:left w:val="single" w:sz="4" w:space="0" w:color="000000"/>
              <w:bottom w:val="single" w:sz="4" w:space="0" w:color="000000"/>
              <w:right w:val="single" w:sz="4" w:space="0" w:color="000000"/>
            </w:tcBorders>
            <w:vAlign w:val="center"/>
          </w:tcPr>
          <w:p w14:paraId="32E1E264"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350 [186 – 362] dní</w:t>
            </w:r>
          </w:p>
        </w:tc>
      </w:tr>
      <w:tr w:rsidR="0036326D" w14:paraId="21CBE90F" w14:textId="77777777">
        <w:trPr>
          <w:trHeight w:val="587"/>
        </w:trPr>
        <w:tc>
          <w:tcPr>
            <w:tcW w:w="2788" w:type="dxa"/>
            <w:tcBorders>
              <w:top w:val="single" w:sz="4" w:space="0" w:color="000000"/>
              <w:left w:val="single" w:sz="4" w:space="0" w:color="000000"/>
              <w:bottom w:val="single" w:sz="4" w:space="0" w:color="000000"/>
              <w:right w:val="single" w:sz="4" w:space="0" w:color="000000"/>
            </w:tcBorders>
          </w:tcPr>
          <w:p w14:paraId="6B4DD19C" w14:textId="77777777" w:rsidR="0036326D" w:rsidRDefault="00443AFA">
            <w:pPr>
              <w:widowControl w:val="0"/>
              <w:spacing w:after="0" w:line="240" w:lineRule="auto"/>
              <w:ind w:left="10" w:hanging="10"/>
              <w:rPr>
                <w:rFonts w:ascii="Times New Roman" w:hAnsi="Times New Roman" w:cs="Times New Roman"/>
              </w:rPr>
            </w:pPr>
            <w:r>
              <w:rPr>
                <w:rFonts w:ascii="Times New Roman" w:hAnsi="Times New Roman" w:cs="Times New Roman"/>
              </w:rPr>
              <w:t>Symptomatický rekurentný VTE</w:t>
            </w:r>
          </w:p>
        </w:tc>
        <w:tc>
          <w:tcPr>
            <w:tcW w:w="2319" w:type="dxa"/>
            <w:tcBorders>
              <w:top w:val="single" w:sz="4" w:space="0" w:color="000000"/>
              <w:left w:val="single" w:sz="4" w:space="0" w:color="000000"/>
              <w:bottom w:val="single" w:sz="4" w:space="0" w:color="000000"/>
              <w:right w:val="single" w:sz="4" w:space="0" w:color="000000"/>
            </w:tcBorders>
            <w:vAlign w:val="center"/>
          </w:tcPr>
          <w:p w14:paraId="236F3E3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17</w:t>
            </w:r>
          </w:p>
          <w:p w14:paraId="7DB2973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(1,5 %)*</w:t>
            </w:r>
          </w:p>
        </w:tc>
        <w:tc>
          <w:tcPr>
            <w:tcW w:w="2477" w:type="dxa"/>
            <w:tcBorders>
              <w:top w:val="single" w:sz="4" w:space="0" w:color="000000"/>
              <w:left w:val="single" w:sz="4" w:space="0" w:color="000000"/>
              <w:bottom w:val="single" w:sz="4" w:space="0" w:color="000000"/>
              <w:right w:val="single" w:sz="4" w:space="0" w:color="000000"/>
            </w:tcBorders>
            <w:vAlign w:val="center"/>
          </w:tcPr>
          <w:p w14:paraId="47605E5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13</w:t>
            </w:r>
          </w:p>
          <w:p w14:paraId="57101A8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(1,2 %)**</w:t>
            </w:r>
          </w:p>
        </w:tc>
        <w:tc>
          <w:tcPr>
            <w:tcW w:w="1487" w:type="dxa"/>
            <w:tcBorders>
              <w:top w:val="single" w:sz="4" w:space="0" w:color="000000"/>
              <w:left w:val="single" w:sz="4" w:space="0" w:color="000000"/>
              <w:bottom w:val="single" w:sz="4" w:space="0" w:color="000000"/>
              <w:right w:val="single" w:sz="4" w:space="0" w:color="000000"/>
            </w:tcBorders>
            <w:vAlign w:val="center"/>
          </w:tcPr>
          <w:p w14:paraId="1FD68E9A"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50</w:t>
            </w:r>
          </w:p>
          <w:p w14:paraId="0529707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(4,4 %)</w:t>
            </w:r>
          </w:p>
        </w:tc>
      </w:tr>
      <w:tr w:rsidR="0036326D" w14:paraId="7781FEA8" w14:textId="77777777">
        <w:trPr>
          <w:trHeight w:val="587"/>
        </w:trPr>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6B8B2E7" w14:textId="77777777" w:rsidR="0036326D" w:rsidRDefault="00443AFA">
            <w:pPr>
              <w:widowControl w:val="0"/>
              <w:spacing w:after="0" w:line="240" w:lineRule="auto"/>
              <w:ind w:left="10" w:hanging="10"/>
              <w:rPr>
                <w:rFonts w:ascii="Times New Roman" w:hAnsi="Times New Roman" w:cs="Times New Roman"/>
                <w:u w:val="single"/>
              </w:rPr>
            </w:pPr>
            <w:r>
              <w:rPr>
                <w:rFonts w:ascii="Times New Roman" w:hAnsi="Times New Roman" w:cs="Times New Roman"/>
              </w:rPr>
              <w:t>Symptomatická rekurentná PE</w:t>
            </w:r>
          </w:p>
        </w:tc>
        <w:tc>
          <w:tcPr>
            <w:tcW w:w="2319" w:type="dxa"/>
            <w:tcBorders>
              <w:top w:val="single" w:sz="4" w:space="0" w:color="000000"/>
              <w:left w:val="single" w:sz="4" w:space="0" w:color="000000"/>
              <w:bottom w:val="single" w:sz="4" w:space="0" w:color="000000"/>
              <w:right w:val="single" w:sz="4" w:space="0" w:color="000000"/>
            </w:tcBorders>
            <w:vAlign w:val="center"/>
          </w:tcPr>
          <w:p w14:paraId="16B4023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6</w:t>
            </w:r>
          </w:p>
          <w:p w14:paraId="12C5B79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(0,5 %)</w:t>
            </w:r>
          </w:p>
        </w:tc>
        <w:tc>
          <w:tcPr>
            <w:tcW w:w="2477" w:type="dxa"/>
            <w:tcBorders>
              <w:top w:val="single" w:sz="4" w:space="0" w:color="000000"/>
              <w:left w:val="single" w:sz="4" w:space="0" w:color="000000"/>
              <w:bottom w:val="single" w:sz="4" w:space="0" w:color="000000"/>
              <w:right w:val="single" w:sz="4" w:space="0" w:color="000000"/>
            </w:tcBorders>
            <w:vAlign w:val="center"/>
          </w:tcPr>
          <w:p w14:paraId="4621243A"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6</w:t>
            </w:r>
          </w:p>
          <w:p w14:paraId="00778F0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(0,5 %)</w:t>
            </w:r>
          </w:p>
        </w:tc>
        <w:tc>
          <w:tcPr>
            <w:tcW w:w="1487" w:type="dxa"/>
            <w:tcBorders>
              <w:top w:val="single" w:sz="4" w:space="0" w:color="000000"/>
              <w:left w:val="single" w:sz="4" w:space="0" w:color="000000"/>
              <w:bottom w:val="single" w:sz="4" w:space="0" w:color="000000"/>
              <w:right w:val="single" w:sz="4" w:space="0" w:color="000000"/>
            </w:tcBorders>
            <w:vAlign w:val="center"/>
          </w:tcPr>
          <w:p w14:paraId="05B6BDBD"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19</w:t>
            </w:r>
          </w:p>
          <w:p w14:paraId="4E99A5FF"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(1,7 %)</w:t>
            </w:r>
          </w:p>
        </w:tc>
      </w:tr>
      <w:tr w:rsidR="0036326D" w14:paraId="58E1B082" w14:textId="77777777">
        <w:trPr>
          <w:trHeight w:val="587"/>
        </w:trPr>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1137DDF" w14:textId="77777777" w:rsidR="0036326D" w:rsidRDefault="00443AFA">
            <w:pPr>
              <w:widowControl w:val="0"/>
              <w:spacing w:after="0" w:line="240" w:lineRule="auto"/>
              <w:ind w:left="10" w:hanging="10"/>
              <w:rPr>
                <w:rFonts w:ascii="Times New Roman" w:hAnsi="Times New Roman" w:cs="Times New Roman"/>
                <w:u w:val="single"/>
              </w:rPr>
            </w:pPr>
            <w:r>
              <w:rPr>
                <w:rFonts w:ascii="Times New Roman" w:hAnsi="Times New Roman" w:cs="Times New Roman"/>
              </w:rPr>
              <w:t>Symptomatická rekurentná DVT</w:t>
            </w:r>
          </w:p>
        </w:tc>
        <w:tc>
          <w:tcPr>
            <w:tcW w:w="2319" w:type="dxa"/>
            <w:tcBorders>
              <w:top w:val="single" w:sz="4" w:space="0" w:color="000000"/>
              <w:left w:val="single" w:sz="4" w:space="0" w:color="000000"/>
              <w:bottom w:val="single" w:sz="4" w:space="0" w:color="000000"/>
              <w:right w:val="single" w:sz="4" w:space="0" w:color="000000"/>
            </w:tcBorders>
            <w:vAlign w:val="center"/>
          </w:tcPr>
          <w:p w14:paraId="73D0C42D"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9</w:t>
            </w:r>
          </w:p>
          <w:p w14:paraId="2B02EF54"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(0,8 %)</w:t>
            </w:r>
          </w:p>
        </w:tc>
        <w:tc>
          <w:tcPr>
            <w:tcW w:w="2477" w:type="dxa"/>
            <w:tcBorders>
              <w:top w:val="single" w:sz="4" w:space="0" w:color="000000"/>
              <w:left w:val="single" w:sz="4" w:space="0" w:color="000000"/>
              <w:bottom w:val="single" w:sz="4" w:space="0" w:color="000000"/>
              <w:right w:val="single" w:sz="4" w:space="0" w:color="000000"/>
            </w:tcBorders>
            <w:vAlign w:val="center"/>
          </w:tcPr>
          <w:p w14:paraId="2AA4427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8</w:t>
            </w:r>
          </w:p>
          <w:p w14:paraId="7A964D4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(0,7 %)</w:t>
            </w:r>
          </w:p>
        </w:tc>
        <w:tc>
          <w:tcPr>
            <w:tcW w:w="1487" w:type="dxa"/>
            <w:tcBorders>
              <w:top w:val="single" w:sz="4" w:space="0" w:color="000000"/>
              <w:left w:val="single" w:sz="4" w:space="0" w:color="000000"/>
              <w:bottom w:val="single" w:sz="4" w:space="0" w:color="000000"/>
              <w:right w:val="single" w:sz="4" w:space="0" w:color="000000"/>
            </w:tcBorders>
            <w:vAlign w:val="center"/>
          </w:tcPr>
          <w:p w14:paraId="731FA7A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30</w:t>
            </w:r>
          </w:p>
          <w:p w14:paraId="206EE20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(2,7 %)</w:t>
            </w:r>
          </w:p>
        </w:tc>
      </w:tr>
      <w:tr w:rsidR="0036326D" w14:paraId="2A8C67F6" w14:textId="77777777">
        <w:trPr>
          <w:trHeight w:val="587"/>
        </w:trPr>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53D4B22" w14:textId="60967126" w:rsidR="0036326D" w:rsidRDefault="00443AFA">
            <w:pPr>
              <w:widowControl w:val="0"/>
              <w:spacing w:after="0" w:line="240" w:lineRule="auto"/>
              <w:ind w:left="10" w:hanging="10"/>
              <w:rPr>
                <w:rFonts w:ascii="Times New Roman" w:hAnsi="Times New Roman" w:cs="Times New Roman"/>
              </w:rPr>
            </w:pPr>
            <w:r>
              <w:rPr>
                <w:rFonts w:ascii="Times New Roman" w:hAnsi="Times New Roman" w:cs="Times New Roman"/>
              </w:rPr>
              <w:t>Smrteľná PE/Smrť, pri ktorej</w:t>
            </w:r>
          </w:p>
          <w:p w14:paraId="7B78445E" w14:textId="77777777" w:rsidR="0036326D" w:rsidRDefault="00443AFA">
            <w:pPr>
              <w:widowControl w:val="0"/>
              <w:spacing w:after="0" w:line="240" w:lineRule="auto"/>
              <w:ind w:left="10" w:hanging="10"/>
              <w:rPr>
                <w:rFonts w:ascii="Times New Roman" w:hAnsi="Times New Roman" w:cs="Times New Roman"/>
                <w:u w:val="single"/>
              </w:rPr>
            </w:pPr>
            <w:r>
              <w:rPr>
                <w:rFonts w:ascii="Times New Roman" w:hAnsi="Times New Roman" w:cs="Times New Roman"/>
              </w:rPr>
              <w:t>nemožno vylúčiť PE</w:t>
            </w:r>
          </w:p>
        </w:tc>
        <w:tc>
          <w:tcPr>
            <w:tcW w:w="2319" w:type="dxa"/>
            <w:tcBorders>
              <w:top w:val="single" w:sz="4" w:space="0" w:color="000000"/>
              <w:left w:val="single" w:sz="4" w:space="0" w:color="000000"/>
              <w:bottom w:val="single" w:sz="4" w:space="0" w:color="000000"/>
              <w:right w:val="single" w:sz="4" w:space="0" w:color="000000"/>
            </w:tcBorders>
            <w:vAlign w:val="center"/>
          </w:tcPr>
          <w:p w14:paraId="4FE3D55D"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w:t>
            </w:r>
          </w:p>
          <w:p w14:paraId="727D3D81"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(0,2 %)</w:t>
            </w:r>
          </w:p>
        </w:tc>
        <w:tc>
          <w:tcPr>
            <w:tcW w:w="2477" w:type="dxa"/>
            <w:tcBorders>
              <w:top w:val="single" w:sz="4" w:space="0" w:color="000000"/>
              <w:left w:val="single" w:sz="4" w:space="0" w:color="000000"/>
              <w:bottom w:val="single" w:sz="4" w:space="0" w:color="000000"/>
              <w:right w:val="single" w:sz="4" w:space="0" w:color="000000"/>
            </w:tcBorders>
            <w:vAlign w:val="center"/>
          </w:tcPr>
          <w:p w14:paraId="49AD6D3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w:t>
            </w:r>
          </w:p>
          <w:p w14:paraId="1D43611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(0,0 %)</w:t>
            </w:r>
          </w:p>
        </w:tc>
        <w:tc>
          <w:tcPr>
            <w:tcW w:w="1487" w:type="dxa"/>
            <w:tcBorders>
              <w:top w:val="single" w:sz="4" w:space="0" w:color="000000"/>
              <w:left w:val="single" w:sz="4" w:space="0" w:color="000000"/>
              <w:bottom w:val="single" w:sz="4" w:space="0" w:color="000000"/>
              <w:right w:val="single" w:sz="4" w:space="0" w:color="000000"/>
            </w:tcBorders>
            <w:vAlign w:val="center"/>
          </w:tcPr>
          <w:p w14:paraId="3CF0C39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w:t>
            </w:r>
          </w:p>
          <w:p w14:paraId="7B8B5016"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(0,2 %)</w:t>
            </w:r>
          </w:p>
        </w:tc>
      </w:tr>
      <w:tr w:rsidR="0036326D" w14:paraId="2A75DE21" w14:textId="77777777">
        <w:trPr>
          <w:trHeight w:val="827"/>
        </w:trPr>
        <w:tc>
          <w:tcPr>
            <w:tcW w:w="2788" w:type="dxa"/>
            <w:tcBorders>
              <w:top w:val="single" w:sz="4" w:space="0" w:color="000000"/>
              <w:left w:val="single" w:sz="4" w:space="0" w:color="000000"/>
              <w:bottom w:val="single" w:sz="4" w:space="0" w:color="000000"/>
              <w:right w:val="single" w:sz="4" w:space="0" w:color="000000"/>
            </w:tcBorders>
          </w:tcPr>
          <w:p w14:paraId="677D0788" w14:textId="77777777" w:rsidR="0036326D" w:rsidRDefault="00443AFA">
            <w:pPr>
              <w:widowControl w:val="0"/>
              <w:spacing w:after="0" w:line="240" w:lineRule="auto"/>
              <w:ind w:left="10" w:hanging="10"/>
              <w:rPr>
                <w:rFonts w:ascii="Times New Roman" w:hAnsi="Times New Roman" w:cs="Times New Roman"/>
              </w:rPr>
            </w:pPr>
            <w:r>
              <w:rPr>
                <w:rFonts w:ascii="Times New Roman" w:hAnsi="Times New Roman" w:cs="Times New Roman"/>
              </w:rPr>
              <w:t>Symptomatický rekurentný VTE, MI, cievna mozgová príhoda alebo systémová embólia nepostihujúca CNS</w:t>
            </w:r>
          </w:p>
        </w:tc>
        <w:tc>
          <w:tcPr>
            <w:tcW w:w="2319" w:type="dxa"/>
            <w:tcBorders>
              <w:top w:val="single" w:sz="4" w:space="0" w:color="000000"/>
              <w:left w:val="single" w:sz="4" w:space="0" w:color="000000"/>
              <w:bottom w:val="single" w:sz="4" w:space="0" w:color="000000"/>
              <w:right w:val="single" w:sz="4" w:space="0" w:color="000000"/>
            </w:tcBorders>
            <w:vAlign w:val="center"/>
          </w:tcPr>
          <w:p w14:paraId="4296CAF7"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19</w:t>
            </w:r>
          </w:p>
          <w:p w14:paraId="2DF5486A"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(1,7 %)</w:t>
            </w:r>
          </w:p>
        </w:tc>
        <w:tc>
          <w:tcPr>
            <w:tcW w:w="2477" w:type="dxa"/>
            <w:tcBorders>
              <w:top w:val="single" w:sz="4" w:space="0" w:color="000000"/>
              <w:left w:val="single" w:sz="4" w:space="0" w:color="000000"/>
              <w:bottom w:val="single" w:sz="4" w:space="0" w:color="000000"/>
              <w:right w:val="single" w:sz="4" w:space="0" w:color="000000"/>
            </w:tcBorders>
            <w:vAlign w:val="center"/>
          </w:tcPr>
          <w:p w14:paraId="35E7C674"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18</w:t>
            </w:r>
          </w:p>
          <w:p w14:paraId="17B50F9C"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(1,6 %)</w:t>
            </w:r>
          </w:p>
        </w:tc>
        <w:tc>
          <w:tcPr>
            <w:tcW w:w="1487" w:type="dxa"/>
            <w:tcBorders>
              <w:top w:val="single" w:sz="4" w:space="0" w:color="000000"/>
              <w:left w:val="single" w:sz="4" w:space="0" w:color="000000"/>
              <w:bottom w:val="single" w:sz="4" w:space="0" w:color="000000"/>
              <w:right w:val="single" w:sz="4" w:space="0" w:color="000000"/>
            </w:tcBorders>
            <w:vAlign w:val="center"/>
          </w:tcPr>
          <w:p w14:paraId="1824816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56</w:t>
            </w:r>
          </w:p>
          <w:p w14:paraId="4B84386F"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(5,0 %)</w:t>
            </w:r>
          </w:p>
        </w:tc>
      </w:tr>
      <w:tr w:rsidR="0036326D" w14:paraId="0E0605F4" w14:textId="77777777">
        <w:trPr>
          <w:trHeight w:val="587"/>
        </w:trPr>
        <w:tc>
          <w:tcPr>
            <w:tcW w:w="2788" w:type="dxa"/>
            <w:tcBorders>
              <w:top w:val="single" w:sz="4" w:space="0" w:color="000000"/>
              <w:left w:val="single" w:sz="4" w:space="0" w:color="000000"/>
              <w:bottom w:val="single" w:sz="4" w:space="0" w:color="000000"/>
              <w:right w:val="single" w:sz="4" w:space="0" w:color="000000"/>
            </w:tcBorders>
          </w:tcPr>
          <w:p w14:paraId="06D76FBC" w14:textId="77777777" w:rsidR="0036326D" w:rsidRDefault="00443AFA">
            <w:pPr>
              <w:widowControl w:val="0"/>
              <w:spacing w:after="0" w:line="240" w:lineRule="auto"/>
              <w:ind w:left="10" w:hanging="10"/>
              <w:rPr>
                <w:rFonts w:ascii="Times New Roman" w:hAnsi="Times New Roman" w:cs="Times New Roman"/>
              </w:rPr>
            </w:pPr>
            <w:r>
              <w:rPr>
                <w:rFonts w:ascii="Times New Roman" w:hAnsi="Times New Roman" w:cs="Times New Roman"/>
              </w:rPr>
              <w:t>Závažné krvácavé príhody</w:t>
            </w:r>
          </w:p>
        </w:tc>
        <w:tc>
          <w:tcPr>
            <w:tcW w:w="2319" w:type="dxa"/>
            <w:tcBorders>
              <w:top w:val="single" w:sz="4" w:space="0" w:color="000000"/>
              <w:left w:val="single" w:sz="4" w:space="0" w:color="000000"/>
              <w:bottom w:val="single" w:sz="4" w:space="0" w:color="000000"/>
              <w:right w:val="single" w:sz="4" w:space="0" w:color="000000"/>
            </w:tcBorders>
            <w:vAlign w:val="center"/>
          </w:tcPr>
          <w:p w14:paraId="11E62750"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6</w:t>
            </w:r>
          </w:p>
          <w:p w14:paraId="457EDB6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(0,5 %)</w:t>
            </w:r>
          </w:p>
        </w:tc>
        <w:tc>
          <w:tcPr>
            <w:tcW w:w="2477" w:type="dxa"/>
            <w:tcBorders>
              <w:top w:val="single" w:sz="4" w:space="0" w:color="000000"/>
              <w:left w:val="single" w:sz="4" w:space="0" w:color="000000"/>
              <w:bottom w:val="single" w:sz="4" w:space="0" w:color="000000"/>
              <w:right w:val="single" w:sz="4" w:space="0" w:color="000000"/>
            </w:tcBorders>
            <w:vAlign w:val="center"/>
          </w:tcPr>
          <w:p w14:paraId="2EB34F11"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w:t>
            </w:r>
          </w:p>
          <w:p w14:paraId="2FECFA7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(0,4 %)</w:t>
            </w:r>
          </w:p>
        </w:tc>
        <w:tc>
          <w:tcPr>
            <w:tcW w:w="1487" w:type="dxa"/>
            <w:tcBorders>
              <w:top w:val="single" w:sz="4" w:space="0" w:color="000000"/>
              <w:left w:val="single" w:sz="4" w:space="0" w:color="000000"/>
              <w:bottom w:val="single" w:sz="4" w:space="0" w:color="000000"/>
              <w:right w:val="single" w:sz="4" w:space="0" w:color="000000"/>
            </w:tcBorders>
            <w:vAlign w:val="center"/>
          </w:tcPr>
          <w:p w14:paraId="3150B4E4"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w:t>
            </w:r>
          </w:p>
          <w:p w14:paraId="003861A1"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(0,3 %)</w:t>
            </w:r>
          </w:p>
        </w:tc>
      </w:tr>
      <w:tr w:rsidR="0036326D" w14:paraId="28C6DE50" w14:textId="77777777">
        <w:trPr>
          <w:trHeight w:val="587"/>
        </w:trPr>
        <w:tc>
          <w:tcPr>
            <w:tcW w:w="2788" w:type="dxa"/>
            <w:tcBorders>
              <w:top w:val="single" w:sz="4" w:space="0" w:color="000000"/>
              <w:left w:val="single" w:sz="4" w:space="0" w:color="000000"/>
              <w:bottom w:val="single" w:sz="4" w:space="0" w:color="000000"/>
              <w:right w:val="single" w:sz="4" w:space="0" w:color="000000"/>
            </w:tcBorders>
          </w:tcPr>
          <w:p w14:paraId="181F186B" w14:textId="77777777" w:rsidR="0036326D" w:rsidRDefault="00443AFA">
            <w:pPr>
              <w:widowControl w:val="0"/>
              <w:spacing w:after="0" w:line="240" w:lineRule="auto"/>
              <w:ind w:left="10" w:hanging="10"/>
              <w:rPr>
                <w:rFonts w:ascii="Times New Roman" w:hAnsi="Times New Roman" w:cs="Times New Roman"/>
              </w:rPr>
            </w:pPr>
            <w:r>
              <w:rPr>
                <w:rFonts w:ascii="Times New Roman" w:hAnsi="Times New Roman" w:cs="Times New Roman"/>
              </w:rPr>
              <w:t>Klinicky významné nezávažné krvácavé príhody</w:t>
            </w:r>
          </w:p>
        </w:tc>
        <w:tc>
          <w:tcPr>
            <w:tcW w:w="2319" w:type="dxa"/>
            <w:tcBorders>
              <w:top w:val="single" w:sz="4" w:space="0" w:color="000000"/>
              <w:left w:val="single" w:sz="4" w:space="0" w:color="000000"/>
              <w:bottom w:val="single" w:sz="4" w:space="0" w:color="000000"/>
              <w:right w:val="single" w:sz="4" w:space="0" w:color="000000"/>
            </w:tcBorders>
            <w:vAlign w:val="center"/>
          </w:tcPr>
          <w:p w14:paraId="7BF87A3E"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30</w:t>
            </w:r>
          </w:p>
          <w:p w14:paraId="0676A9D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(2,7 %)</w:t>
            </w:r>
          </w:p>
        </w:tc>
        <w:tc>
          <w:tcPr>
            <w:tcW w:w="2477" w:type="dxa"/>
            <w:tcBorders>
              <w:top w:val="single" w:sz="4" w:space="0" w:color="000000"/>
              <w:left w:val="single" w:sz="4" w:space="0" w:color="000000"/>
              <w:bottom w:val="single" w:sz="4" w:space="0" w:color="000000"/>
              <w:right w:val="single" w:sz="4" w:space="0" w:color="000000"/>
            </w:tcBorders>
            <w:vAlign w:val="center"/>
          </w:tcPr>
          <w:p w14:paraId="115DAEBD"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22</w:t>
            </w:r>
          </w:p>
          <w:p w14:paraId="52054D2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(2,0 %)</w:t>
            </w:r>
          </w:p>
        </w:tc>
        <w:tc>
          <w:tcPr>
            <w:tcW w:w="1487" w:type="dxa"/>
            <w:tcBorders>
              <w:top w:val="single" w:sz="4" w:space="0" w:color="000000"/>
              <w:left w:val="single" w:sz="4" w:space="0" w:color="000000"/>
              <w:bottom w:val="single" w:sz="4" w:space="0" w:color="000000"/>
              <w:right w:val="single" w:sz="4" w:space="0" w:color="000000"/>
            </w:tcBorders>
            <w:vAlign w:val="center"/>
          </w:tcPr>
          <w:p w14:paraId="306D5F08"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20</w:t>
            </w:r>
          </w:p>
          <w:p w14:paraId="6EE38088"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(1,8 %)</w:t>
            </w:r>
          </w:p>
        </w:tc>
      </w:tr>
      <w:tr w:rsidR="0036326D" w14:paraId="4EE1650E" w14:textId="77777777">
        <w:trPr>
          <w:trHeight w:val="825"/>
        </w:trPr>
        <w:tc>
          <w:tcPr>
            <w:tcW w:w="2788" w:type="dxa"/>
            <w:tcBorders>
              <w:top w:val="single" w:sz="4" w:space="0" w:color="000000"/>
              <w:left w:val="single" w:sz="4" w:space="0" w:color="000000"/>
              <w:bottom w:val="single" w:sz="4" w:space="0" w:color="000000"/>
              <w:right w:val="single" w:sz="4" w:space="0" w:color="000000"/>
            </w:tcBorders>
          </w:tcPr>
          <w:p w14:paraId="704B751B" w14:textId="77777777" w:rsidR="0036326D" w:rsidRDefault="00443AFA">
            <w:pPr>
              <w:widowControl w:val="0"/>
              <w:spacing w:after="0" w:line="240" w:lineRule="auto"/>
              <w:ind w:left="10" w:hanging="10"/>
              <w:rPr>
                <w:rFonts w:ascii="Times New Roman" w:hAnsi="Times New Roman" w:cs="Times New Roman"/>
              </w:rPr>
            </w:pPr>
            <w:r>
              <w:rPr>
                <w:rFonts w:ascii="Times New Roman" w:hAnsi="Times New Roman" w:cs="Times New Roman"/>
              </w:rPr>
              <w:t>Symptomatický rekurentný VTE alebo závažné krvácanie (čistý klinický prínos)</w:t>
            </w:r>
          </w:p>
        </w:tc>
        <w:tc>
          <w:tcPr>
            <w:tcW w:w="2319" w:type="dxa"/>
            <w:tcBorders>
              <w:top w:val="single" w:sz="4" w:space="0" w:color="000000"/>
              <w:left w:val="single" w:sz="4" w:space="0" w:color="000000"/>
              <w:bottom w:val="single" w:sz="4" w:space="0" w:color="000000"/>
              <w:right w:val="single" w:sz="4" w:space="0" w:color="000000"/>
            </w:tcBorders>
            <w:vAlign w:val="center"/>
          </w:tcPr>
          <w:p w14:paraId="19D8890B"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23</w:t>
            </w:r>
          </w:p>
          <w:p w14:paraId="230E24C5"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(2,1 %)</w:t>
            </w:r>
            <w:r>
              <w:rPr>
                <w:rFonts w:ascii="Times New Roman" w:hAnsi="Times New Roman" w:cs="Times New Roman"/>
                <w:vertAlign w:val="superscript"/>
              </w:rPr>
              <w:t>+</w:t>
            </w:r>
          </w:p>
        </w:tc>
        <w:tc>
          <w:tcPr>
            <w:tcW w:w="2477" w:type="dxa"/>
            <w:tcBorders>
              <w:top w:val="single" w:sz="4" w:space="0" w:color="000000"/>
              <w:left w:val="single" w:sz="4" w:space="0" w:color="000000"/>
              <w:bottom w:val="single" w:sz="4" w:space="0" w:color="000000"/>
              <w:right w:val="single" w:sz="4" w:space="0" w:color="000000"/>
            </w:tcBorders>
            <w:vAlign w:val="center"/>
          </w:tcPr>
          <w:p w14:paraId="70A54EC3"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17</w:t>
            </w:r>
          </w:p>
          <w:p w14:paraId="10CB8DB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(1,5 %)</w:t>
            </w:r>
            <w:r>
              <w:rPr>
                <w:rFonts w:ascii="Times New Roman" w:hAnsi="Times New Roman" w:cs="Times New Roman"/>
                <w:vertAlign w:val="superscript"/>
              </w:rPr>
              <w:t>++</w:t>
            </w:r>
          </w:p>
        </w:tc>
        <w:tc>
          <w:tcPr>
            <w:tcW w:w="1487" w:type="dxa"/>
            <w:tcBorders>
              <w:top w:val="single" w:sz="4" w:space="0" w:color="000000"/>
              <w:left w:val="single" w:sz="4" w:space="0" w:color="000000"/>
              <w:bottom w:val="single" w:sz="4" w:space="0" w:color="000000"/>
              <w:right w:val="single" w:sz="4" w:space="0" w:color="000000"/>
            </w:tcBorders>
            <w:vAlign w:val="center"/>
          </w:tcPr>
          <w:p w14:paraId="6C07AD12"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53</w:t>
            </w:r>
          </w:p>
          <w:p w14:paraId="7D876959" w14:textId="77777777" w:rsidR="0036326D" w:rsidRDefault="00443AFA">
            <w:pPr>
              <w:widowControl w:val="0"/>
              <w:spacing w:after="0" w:line="240" w:lineRule="auto"/>
              <w:jc w:val="center"/>
              <w:rPr>
                <w:rFonts w:ascii="Times New Roman" w:hAnsi="Times New Roman" w:cs="Times New Roman"/>
              </w:rPr>
            </w:pPr>
            <w:r>
              <w:rPr>
                <w:rFonts w:ascii="Times New Roman" w:hAnsi="Times New Roman" w:cs="Times New Roman"/>
              </w:rPr>
              <w:t>(4,7 %)</w:t>
            </w:r>
          </w:p>
        </w:tc>
      </w:tr>
    </w:tbl>
    <w:p w14:paraId="37EEAF51" w14:textId="6C3FF35F"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ab/>
        <w:t>p &lt; 0,001 (superiorita) rivaroxabán 20 mg jedenkrát denne vs. ASA 100 mg jedenkrát denne; HR = 0,34 (0,20 – 0,59)</w:t>
      </w:r>
    </w:p>
    <w:p w14:paraId="5AC8791C" w14:textId="001BFA9C"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ab/>
        <w:t>p &lt; 0,001 (superiority) rivaroxabán 10 mg jedenkrát denne vs. ASA 100 mg jedenkrát denne; HR = 0,26 (0,14 – 0,47)</w:t>
      </w:r>
    </w:p>
    <w:p w14:paraId="57DB1A56" w14:textId="144AA184"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ab/>
      </w:r>
      <w:bookmarkStart w:id="0" w:name="_Hlk30087079"/>
      <w:r>
        <w:rPr>
          <w:rFonts w:ascii="Times New Roman" w:hAnsi="Times New Roman" w:cs="Times New Roman"/>
        </w:rPr>
        <w:t xml:space="preserve">Rivaroxabán 20 mg </w:t>
      </w:r>
      <w:bookmarkEnd w:id="0"/>
      <w:r>
        <w:rPr>
          <w:rFonts w:ascii="Times New Roman" w:hAnsi="Times New Roman" w:cs="Times New Roman"/>
        </w:rPr>
        <w:t>jedenkrát denne vs. ASA 100 mg jedenkrát denne; HR = 0,44 (0,27 – 0,71), p = 0,0009 (nominálna hodnota)</w:t>
      </w:r>
    </w:p>
    <w:p w14:paraId="0B8E360E" w14:textId="728F785E" w:rsidR="0036326D" w:rsidRDefault="00443AFA">
      <w:pPr>
        <w:spacing w:after="0" w:line="240" w:lineRule="auto"/>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ab/>
      </w:r>
      <w:bookmarkStart w:id="1" w:name="_Hlk30087094"/>
      <w:r>
        <w:rPr>
          <w:rFonts w:ascii="Times New Roman" w:hAnsi="Times New Roman" w:cs="Times New Roman"/>
        </w:rPr>
        <w:t xml:space="preserve">Rivaroxabán 10 mg </w:t>
      </w:r>
      <w:bookmarkEnd w:id="1"/>
      <w:r>
        <w:rPr>
          <w:rFonts w:ascii="Times New Roman" w:hAnsi="Times New Roman" w:cs="Times New Roman"/>
        </w:rPr>
        <w:t>jedenkrát denne vs. ASA 100 mg jedenkrát denne; HR = 0,32 (0,18 – 0,55), p &lt; 0,0001 (nominálna hodnota)</w:t>
      </w:r>
    </w:p>
    <w:p w14:paraId="69BC5E45" w14:textId="77777777" w:rsidR="0036326D" w:rsidRDefault="0036326D">
      <w:pPr>
        <w:spacing w:after="0" w:line="240" w:lineRule="auto"/>
        <w:rPr>
          <w:rFonts w:ascii="Times New Roman" w:hAnsi="Times New Roman" w:cs="Times New Roman"/>
        </w:rPr>
      </w:pPr>
    </w:p>
    <w:p w14:paraId="7A797D31" w14:textId="617EB585" w:rsidR="0036326D" w:rsidRDefault="00443AFA">
      <w:pPr>
        <w:spacing w:after="0" w:line="240" w:lineRule="auto"/>
        <w:rPr>
          <w:rFonts w:ascii="Times New Roman" w:hAnsi="Times New Roman" w:cs="Times New Roman"/>
        </w:rPr>
      </w:pPr>
      <w:r>
        <w:rPr>
          <w:rFonts w:ascii="Times New Roman" w:hAnsi="Times New Roman" w:cs="Times New Roman"/>
        </w:rPr>
        <w:t>Okrem klinického skúšania fázy III, programu EINSTEIN, bolo uskutočnené prospektívne, neintervenčné, otvorené kohortové klinické skúšanie (XALIA) s centrálnym vyhodnocovaním sledovaných ukazovateľov zahŕňajúcich rekurentnú venóznu tromboembóliu, závažné krvácanie a úmrtie. Zaradených bolo 5 142 pacientov s akútnou DVT za účelom posúdenia dlhodobej bezpečnosti rivaroxabánu v porovnaní so štandardnou antikoagulačnou terapiou v klinickej praxi.</w:t>
      </w:r>
    </w:p>
    <w:p w14:paraId="21C4B1DF" w14:textId="4887C2E2" w:rsidR="0036326D" w:rsidRDefault="00443AFA">
      <w:pPr>
        <w:spacing w:after="0" w:line="240" w:lineRule="auto"/>
        <w:rPr>
          <w:rFonts w:ascii="Times New Roman" w:hAnsi="Times New Roman" w:cs="Times New Roman"/>
        </w:rPr>
      </w:pPr>
      <w:r>
        <w:rPr>
          <w:rFonts w:ascii="Times New Roman" w:hAnsi="Times New Roman" w:cs="Times New Roman"/>
        </w:rPr>
        <w:t xml:space="preserve">Pomer závažného krvácania, rekurentného VTE a mortality zo všetkých príčin bol v skupine s rivaroxabánom 0,7 %, 1,4 % a 0,5 %, v uvedenom poradí. Vo vstupných charakteristikách pacientov boli rozdiely vrátane veku, výskytu nádorových ochorení a obličkovej nedostatočnosti. Napriek tomu, že na úpravu získaných východiskových rozdielov bola použitá vopred určená analýza so stratifikáciou podľa „propensity score“, reziduálne skresľujúce faktory môžu tieto výsledky </w:t>
      </w:r>
      <w:r>
        <w:rPr>
          <w:rFonts w:ascii="Times New Roman" w:hAnsi="Times New Roman" w:cs="Times New Roman"/>
        </w:rPr>
        <w:lastRenderedPageBreak/>
        <w:t>ovplyvniť. Upravené HR porovnávajúce rivaroxabán a štandardnú liečbu boli pri závažnom krvácaní 0,77 (95 % CI 0,40 – 1,50), rekurentnej venóznej tromboembólii 0,91 (95 % CI 0,54 – 1,54) a úmrtí zo všetkých príčin 0,51 (95 % CI 0,24 – 1,07). Tieto pozorovania z klinickej praxe sú v súlade s potvrdeným bezpečnostným profilom pri tejto indikácii.</w:t>
      </w:r>
    </w:p>
    <w:p w14:paraId="11E86F3D" w14:textId="77777777" w:rsidR="0036326D" w:rsidRDefault="0036326D">
      <w:pPr>
        <w:spacing w:after="0" w:line="240" w:lineRule="auto"/>
        <w:rPr>
          <w:rFonts w:ascii="Times New Roman" w:hAnsi="Times New Roman" w:cs="Times New Roman"/>
          <w:u w:val="single"/>
        </w:rPr>
      </w:pPr>
    </w:p>
    <w:p w14:paraId="1D00259E" w14:textId="77777777" w:rsidR="0036326D" w:rsidRDefault="00443AFA">
      <w:pPr>
        <w:pStyle w:val="Default"/>
        <w:rPr>
          <w:sz w:val="22"/>
          <w:szCs w:val="22"/>
          <w:u w:val="single"/>
        </w:rPr>
      </w:pPr>
      <w:r>
        <w:rPr>
          <w:sz w:val="22"/>
          <w:szCs w:val="22"/>
          <w:u w:val="single"/>
        </w:rPr>
        <w:t xml:space="preserve">Pediatrická populácia </w:t>
      </w:r>
    </w:p>
    <w:p w14:paraId="29AFE98E" w14:textId="77777777" w:rsidR="0036326D" w:rsidRDefault="00443AFA">
      <w:pPr>
        <w:spacing w:after="0" w:line="240" w:lineRule="auto"/>
        <w:rPr>
          <w:rFonts w:ascii="Times New Roman" w:hAnsi="Times New Roman" w:cs="Times New Roman"/>
        </w:rPr>
      </w:pPr>
      <w:r>
        <w:rPr>
          <w:rFonts w:ascii="Times New Roman" w:hAnsi="Times New Roman" w:cs="Times New Roman"/>
        </w:rPr>
        <w:t xml:space="preserve">Európska agentúra pre lieky udelila odklad z povinnosti predložiť výsledky štúdií s referenčným liekom obsahujúcim rivaroxabán v jednej alebo viacerých podskupinách pediatrickej populácie na liečbu tromboembolických príhod. </w:t>
      </w:r>
    </w:p>
    <w:p w14:paraId="5C9FA72E" w14:textId="77777777" w:rsidR="0036326D" w:rsidRDefault="00443AFA">
      <w:pPr>
        <w:spacing w:after="0" w:line="240" w:lineRule="auto"/>
        <w:rPr>
          <w:rFonts w:ascii="Times New Roman" w:hAnsi="Times New Roman" w:cs="Times New Roman"/>
        </w:rPr>
      </w:pPr>
      <w:r>
        <w:rPr>
          <w:rFonts w:ascii="Times New Roman" w:hAnsi="Times New Roman" w:cs="Times New Roman"/>
        </w:rPr>
        <w:t>Európska agentúra pre lieky udelila výnimku z povinnosti predložiť výsledky štúdií s referenčným liekom obsahujúcim rivaroxabán vo všetkých podskupinách pediatrickej populácie na prevenciu tromboembolických príhod (informácie o použití v pediatrickej populácii, pozri časť 4.2).</w:t>
      </w:r>
    </w:p>
    <w:p w14:paraId="73DD6B32" w14:textId="77777777" w:rsidR="0036326D" w:rsidRDefault="0036326D">
      <w:pPr>
        <w:spacing w:after="0" w:line="240" w:lineRule="auto"/>
        <w:rPr>
          <w:rFonts w:ascii="Times New Roman" w:hAnsi="Times New Roman" w:cs="Times New Roman"/>
        </w:rPr>
      </w:pPr>
    </w:p>
    <w:p w14:paraId="1066550D" w14:textId="77777777" w:rsidR="0036326D" w:rsidRDefault="00443AFA">
      <w:pPr>
        <w:tabs>
          <w:tab w:val="left" w:pos="567"/>
        </w:tabs>
        <w:spacing w:after="0" w:line="240" w:lineRule="auto"/>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Farmakokinetické vlastnosti</w:t>
      </w:r>
    </w:p>
    <w:p w14:paraId="40D99F2D" w14:textId="77777777" w:rsidR="0036326D" w:rsidRDefault="0036326D">
      <w:pPr>
        <w:spacing w:after="0" w:line="240" w:lineRule="auto"/>
        <w:rPr>
          <w:rFonts w:ascii="Times New Roman" w:hAnsi="Times New Roman" w:cs="Times New Roman"/>
          <w:b/>
          <w:bCs/>
        </w:rPr>
      </w:pPr>
    </w:p>
    <w:p w14:paraId="77BC57D0" w14:textId="77777777" w:rsidR="0036326D" w:rsidRDefault="00443AFA">
      <w:pPr>
        <w:pStyle w:val="Default"/>
        <w:rPr>
          <w:sz w:val="22"/>
          <w:szCs w:val="22"/>
        </w:rPr>
      </w:pPr>
      <w:r>
        <w:rPr>
          <w:sz w:val="22"/>
          <w:szCs w:val="22"/>
          <w:u w:val="single"/>
        </w:rPr>
        <w:t xml:space="preserve">Absorpcia </w:t>
      </w:r>
    </w:p>
    <w:p w14:paraId="0F81B7EF" w14:textId="77777777" w:rsidR="0036326D" w:rsidRDefault="00443AFA">
      <w:pPr>
        <w:rPr>
          <w:rFonts w:ascii="Times New Roman" w:hAnsi="Times New Roman" w:cs="Times New Roman"/>
        </w:rPr>
      </w:pPr>
      <w:r>
        <w:rPr>
          <w:rFonts w:ascii="Times New Roman" w:hAnsi="Times New Roman" w:cs="Times New Roman"/>
        </w:rPr>
        <w:t>Rivaroxabán sa absorbuje rýchlo s maximálnymi koncentráciami (C</w:t>
      </w:r>
      <w:r>
        <w:rPr>
          <w:rFonts w:ascii="Times New Roman" w:hAnsi="Times New Roman" w:cs="Times New Roman"/>
          <w:vertAlign w:val="subscript"/>
        </w:rPr>
        <w:t>max</w:t>
      </w:r>
      <w:r>
        <w:rPr>
          <w:rFonts w:ascii="Times New Roman" w:hAnsi="Times New Roman" w:cs="Times New Roman"/>
        </w:rPr>
        <w:t>) objavujúcimi sa 2 – 4 hodiny po užití tablety.</w:t>
      </w:r>
    </w:p>
    <w:p w14:paraId="7E79F88E" w14:textId="1B4C41D4" w:rsidR="0036326D" w:rsidRDefault="00443AFA">
      <w:pPr>
        <w:rPr>
          <w:rFonts w:ascii="Times New Roman" w:hAnsi="Times New Roman" w:cs="Times New Roman"/>
        </w:rPr>
      </w:pPr>
      <w:r>
        <w:rPr>
          <w:rFonts w:ascii="Times New Roman" w:hAnsi="Times New Roman" w:cs="Times New Roman"/>
        </w:rPr>
        <w:t>Perorálna absorpcia rivaroxabánu je takmer úplná a perorálna biologická dostupnosť pri dávke 2,5 mg a 10 mg tablety je vysoká (80 – 100  %) bez ohľadu na stavy nalačno/po jedle. Pri 2,5 mg a 10 mg dávke užitie s jedlom neovplyvňuje AUC alebo C</w:t>
      </w:r>
      <w:r>
        <w:rPr>
          <w:rFonts w:ascii="Times New Roman" w:hAnsi="Times New Roman" w:cs="Times New Roman"/>
          <w:vertAlign w:val="subscript"/>
        </w:rPr>
        <w:t>max</w:t>
      </w:r>
      <w:r>
        <w:rPr>
          <w:rFonts w:ascii="Times New Roman" w:hAnsi="Times New Roman" w:cs="Times New Roman"/>
        </w:rPr>
        <w:t xml:space="preserve"> rivaroxabánu.</w:t>
      </w:r>
    </w:p>
    <w:p w14:paraId="28414A49" w14:textId="77777777" w:rsidR="0036326D" w:rsidRDefault="00443AFA">
      <w:pPr>
        <w:rPr>
          <w:rFonts w:ascii="Times New Roman" w:hAnsi="Times New Roman" w:cs="Times New Roman"/>
        </w:rPr>
      </w:pPr>
      <w:r>
        <w:rPr>
          <w:rFonts w:ascii="Times New Roman" w:hAnsi="Times New Roman" w:cs="Times New Roman"/>
        </w:rPr>
        <w:t>Z dôvodu zníženého rozsahu absorpcie bola stanovená pre 20 mg tabletu pri stavoch nalačno perorálna biologická dostupnosť 66 %. Ak sa 20 mg tablety rivaroxabánu užili spolu s jedlom, pozorovalo sa zvýšenie priemernej AUC o 39 % v porovnaní s tabletou užitou pri stavoch nalačno, čo poukazuje na takmer úplnú absorpciu a vysokú perorálnu biologickú dostupnosť. Rivaroxabán 15 mg a 20 mg sa má užívať s jedlom (pozri časť 4.2).</w:t>
      </w:r>
    </w:p>
    <w:p w14:paraId="6BCB9F2B" w14:textId="578620CE" w:rsidR="0036326D" w:rsidRDefault="00443AFA">
      <w:pPr>
        <w:rPr>
          <w:rFonts w:ascii="Times New Roman" w:hAnsi="Times New Roman" w:cs="Times New Roman"/>
        </w:rPr>
      </w:pPr>
      <w:r>
        <w:rPr>
          <w:rFonts w:ascii="Times New Roman" w:hAnsi="Times New Roman" w:cs="Times New Roman"/>
        </w:rPr>
        <w:t>Farmakokinetika rivaroxabánu je približne lineárna až do asi 15 mg jedenkrát denne v stave nalačno. V stave po jedle sa u 10 mg, 15 mg a 20 mg tabliet rivaroxabánu preukázala farmakokinetika závislá od dávky. Pri vyšších dávkach je absorpcia rivaroxabánu obmedzená disolúciou, so zvyšujúcou sa dávkou dochádza ku zníženej biologickej dostupnosti a zníženej miere absorpcie.</w:t>
      </w:r>
    </w:p>
    <w:p w14:paraId="7DA62DDA" w14:textId="77777777" w:rsidR="0036326D" w:rsidRDefault="00443AFA">
      <w:pPr>
        <w:rPr>
          <w:rFonts w:ascii="Times New Roman" w:hAnsi="Times New Roman" w:cs="Times New Roman"/>
        </w:rPr>
      </w:pPr>
      <w:r>
        <w:rPr>
          <w:rFonts w:ascii="Times New Roman" w:hAnsi="Times New Roman" w:cs="Times New Roman"/>
        </w:rPr>
        <w:t>Variabilita farmakokinetiky rivaroxabánu je stredne veľká s interindividuálnou variabilitou (CV %) v rozmedzí od 30 % do 40 %.</w:t>
      </w:r>
    </w:p>
    <w:p w14:paraId="6B3A0080" w14:textId="1683E84C" w:rsidR="0036326D" w:rsidRDefault="00443AFA">
      <w:pPr>
        <w:rPr>
          <w:rFonts w:ascii="Times New Roman" w:hAnsi="Times New Roman" w:cs="Times New Roman"/>
        </w:rPr>
      </w:pPr>
      <w:r>
        <w:rPr>
          <w:rFonts w:ascii="Times New Roman" w:hAnsi="Times New Roman" w:cs="Times New Roman"/>
        </w:rPr>
        <w:t>Absorpcia rivaroxabánu závisí od miesta jeho uvoľnenia v gastrointestinálnom trakte. Keď sa granulát rivaroxabánu uvoľňoval v proximálnej časti tenkého čreva, bol pozorovaný 29 % pokles AUC a 56 % pokles C</w:t>
      </w:r>
      <w:r>
        <w:rPr>
          <w:rFonts w:ascii="Times New Roman" w:hAnsi="Times New Roman" w:cs="Times New Roman"/>
          <w:vertAlign w:val="subscript"/>
        </w:rPr>
        <w:t>max</w:t>
      </w:r>
      <w:r>
        <w:rPr>
          <w:rFonts w:ascii="Times New Roman" w:hAnsi="Times New Roman" w:cs="Times New Roman"/>
        </w:rPr>
        <w:t xml:space="preserve"> v porovnaní s hodnotami u tabliet. Expozícia sa ďalej zníži, keď sa rivaroxabán uvoľní v distálnej časti tenkého čreva alebo vo vzostupnej časti hrubého čreva. Preto sa treba vyhnúť tomu, aby sa rivaroxabán uvoľňoval distálne od žalúdka, nakoľko to môže viesť k zníženiu absorpcie a s tým súvisiacemu zníženiu expozície rivaroxabánu.</w:t>
      </w:r>
    </w:p>
    <w:p w14:paraId="2B321587" w14:textId="2F109549" w:rsidR="0036326D" w:rsidRDefault="00443AFA">
      <w:pPr>
        <w:rPr>
          <w:rFonts w:ascii="Times New Roman" w:hAnsi="Times New Roman" w:cs="Times New Roman"/>
        </w:rPr>
      </w:pPr>
      <w:r>
        <w:rPr>
          <w:rFonts w:ascii="Times New Roman" w:hAnsi="Times New Roman" w:cs="Times New Roman"/>
        </w:rPr>
        <w:t>Porovnávala sa biologická dostupnosť (AUC a C</w:t>
      </w:r>
      <w:r>
        <w:rPr>
          <w:rFonts w:ascii="Times New Roman" w:hAnsi="Times New Roman" w:cs="Times New Roman"/>
          <w:vertAlign w:val="subscript"/>
        </w:rPr>
        <w:t>max</w:t>
      </w:r>
      <w:r>
        <w:rPr>
          <w:rFonts w:ascii="Times New Roman" w:hAnsi="Times New Roman" w:cs="Times New Roman"/>
        </w:rPr>
        <w:t>) 20 mg rivaroxabánu podaného perorálne, ako rozdrvené tablety rozmiešané v jablkovom pyré alebo suspenzia vo vode a podávané pomocou žalúdočnej sondy, s následne podaným tekutým jedlom v porovnaní s podaním celej tablety. Podľa predpokladu, na základe farmakokinetického profilu rivaroxabánu v závislosti od dávky, sa výsledky tejto štúdie biologickej dostupnosti dajú skôr aplikovať pri nižších dávkach rivaroxabánu.</w:t>
      </w:r>
    </w:p>
    <w:p w14:paraId="3B70AC97" w14:textId="77777777" w:rsidR="0036326D" w:rsidRDefault="00443AFA">
      <w:pPr>
        <w:pStyle w:val="Default"/>
        <w:rPr>
          <w:sz w:val="22"/>
          <w:szCs w:val="22"/>
          <w:u w:val="single"/>
        </w:rPr>
      </w:pPr>
      <w:r>
        <w:rPr>
          <w:sz w:val="22"/>
          <w:szCs w:val="22"/>
          <w:u w:val="single"/>
        </w:rPr>
        <w:t xml:space="preserve">Distribúcia </w:t>
      </w:r>
    </w:p>
    <w:p w14:paraId="6C9A00CF" w14:textId="77777777" w:rsidR="0036326D" w:rsidRDefault="00443AFA">
      <w:pPr>
        <w:spacing w:after="0" w:line="240" w:lineRule="auto"/>
        <w:rPr>
          <w:rFonts w:ascii="Times New Roman" w:hAnsi="Times New Roman" w:cs="Times New Roman"/>
          <w:color w:val="000000"/>
        </w:rPr>
      </w:pPr>
      <w:r>
        <w:rPr>
          <w:rFonts w:ascii="Times New Roman" w:hAnsi="Times New Roman" w:cs="Times New Roman"/>
        </w:rPr>
        <w:t>U ľudí je schopnosť väzby na plazmatické bielkoviny vysoká, približne 92 % až 95 %, pričom hlavnou väzbovou zložkou je sérový albumín. Distribučný objem je stredne veľký s V</w:t>
      </w:r>
      <w:r>
        <w:rPr>
          <w:rFonts w:ascii="Times New Roman" w:hAnsi="Times New Roman" w:cs="Times New Roman"/>
          <w:sz w:val="14"/>
          <w:szCs w:val="14"/>
        </w:rPr>
        <w:t xml:space="preserve">ss </w:t>
      </w:r>
      <w:r>
        <w:rPr>
          <w:rFonts w:ascii="Times New Roman" w:hAnsi="Times New Roman" w:cs="Times New Roman"/>
        </w:rPr>
        <w:t>približne 50 litrov.</w:t>
      </w:r>
    </w:p>
    <w:p w14:paraId="6B1DEAE0" w14:textId="77777777" w:rsidR="0036326D" w:rsidRDefault="0036326D">
      <w:pPr>
        <w:pStyle w:val="Default"/>
        <w:tabs>
          <w:tab w:val="left" w:pos="6096"/>
        </w:tabs>
        <w:rPr>
          <w:sz w:val="22"/>
          <w:szCs w:val="22"/>
        </w:rPr>
      </w:pPr>
    </w:p>
    <w:p w14:paraId="75C87FF1" w14:textId="77777777" w:rsidR="0036326D" w:rsidRDefault="00443AFA">
      <w:pPr>
        <w:pStyle w:val="Default"/>
        <w:rPr>
          <w:sz w:val="22"/>
          <w:szCs w:val="22"/>
          <w:u w:val="single"/>
        </w:rPr>
      </w:pPr>
      <w:r>
        <w:rPr>
          <w:sz w:val="22"/>
          <w:szCs w:val="22"/>
          <w:u w:val="single"/>
        </w:rPr>
        <w:t xml:space="preserve">Biotransformácia a eliminácia </w:t>
      </w:r>
    </w:p>
    <w:p w14:paraId="27E14866" w14:textId="77777777" w:rsidR="0036326D" w:rsidRDefault="00443AFA">
      <w:pPr>
        <w:pStyle w:val="Default"/>
        <w:rPr>
          <w:sz w:val="22"/>
          <w:szCs w:val="22"/>
        </w:rPr>
      </w:pPr>
      <w:r>
        <w:rPr>
          <w:sz w:val="22"/>
          <w:szCs w:val="22"/>
        </w:rPr>
        <w:lastRenderedPageBreak/>
        <w:t xml:space="preserve">Z podanej dávky rivaroxabánu podliehajú približne 2/3 metabolickej premene, polovica sa potom eliminuje renálne a druhá polovica sa eliminuje stolicou. Posledná 1/3 podanej dávky podlieha priamej renálnej exkrécii, ako nezmenené liečivo v moči, najmä prostredníctvom aktívnej renálnej sekrécie. </w:t>
      </w:r>
    </w:p>
    <w:p w14:paraId="08A330AC" w14:textId="77777777" w:rsidR="0036326D" w:rsidRDefault="0036326D">
      <w:pPr>
        <w:pStyle w:val="Default"/>
        <w:rPr>
          <w:sz w:val="22"/>
          <w:szCs w:val="22"/>
        </w:rPr>
      </w:pPr>
    </w:p>
    <w:p w14:paraId="778EF220" w14:textId="77777777" w:rsidR="0036326D" w:rsidRDefault="00443AFA">
      <w:pPr>
        <w:pStyle w:val="Default"/>
        <w:rPr>
          <w:sz w:val="22"/>
          <w:szCs w:val="22"/>
        </w:rPr>
      </w:pPr>
      <w:r>
        <w:rPr>
          <w:sz w:val="22"/>
          <w:szCs w:val="22"/>
        </w:rPr>
        <w:t xml:space="preserve">Rivaroxabán sa metabolizuje prostredníctvom CYP3A4, CYP2J2 a mechanizmami nezávislými od CYP. Oxidačná degradácia morfolínovej časti a hydrolýza amidových väzieb sú najvýznamnejšie miesta biotransformácie. Na základe výskumov </w:t>
      </w:r>
      <w:r>
        <w:rPr>
          <w:i/>
          <w:iCs/>
          <w:sz w:val="22"/>
          <w:szCs w:val="22"/>
        </w:rPr>
        <w:t xml:space="preserve">in vitro </w:t>
      </w:r>
      <w:r>
        <w:rPr>
          <w:sz w:val="22"/>
          <w:szCs w:val="22"/>
        </w:rPr>
        <w:t xml:space="preserve">je rivaroxabán substrátom transportných proteínov P-gp (P-glykoproteín) a Bcrp (proteín spojený s rezistenciou karcinómu prsníka, </w:t>
      </w:r>
      <w:r>
        <w:rPr>
          <w:i/>
          <w:iCs/>
          <w:sz w:val="22"/>
          <w:szCs w:val="22"/>
        </w:rPr>
        <w:t>breast cancer resistance protein</w:t>
      </w:r>
      <w:r>
        <w:rPr>
          <w:sz w:val="22"/>
          <w:szCs w:val="22"/>
        </w:rPr>
        <w:t xml:space="preserve">). </w:t>
      </w:r>
    </w:p>
    <w:p w14:paraId="41EBA5F1" w14:textId="77777777" w:rsidR="0036326D" w:rsidRDefault="0036326D">
      <w:pPr>
        <w:pStyle w:val="Default"/>
        <w:rPr>
          <w:sz w:val="22"/>
          <w:szCs w:val="22"/>
        </w:rPr>
      </w:pPr>
    </w:p>
    <w:p w14:paraId="0849F32F" w14:textId="77777777" w:rsidR="0036326D" w:rsidRDefault="00443AFA">
      <w:pPr>
        <w:pStyle w:val="Default"/>
        <w:tabs>
          <w:tab w:val="left" w:pos="6096"/>
        </w:tabs>
        <w:rPr>
          <w:sz w:val="22"/>
          <w:szCs w:val="22"/>
        </w:rPr>
      </w:pPr>
      <w:r>
        <w:rPr>
          <w:sz w:val="22"/>
          <w:szCs w:val="22"/>
        </w:rPr>
        <w:t>Nezmenený rivaroxabán je najdôležitejšia zložka v ľudskej plazme bez prítomnosti významných alebo aktívnych cirkulujúcich metabolitov. Rivaroxabán so systémovým klírensom asi 10 l/h možno klasifikovať ako liečivo s nízkym klírensom. Po intravenóznom podaní dávky 1 mg je eliminačný polčas asi 4,5 hodiny. Po perorálnom podaní je eliminácia limitovaná mierou absorpcie. Eliminácia rivaroxabánu z plazmy prebieha s terminálnymi polčasmi 5 až 9 hodín u mladých osôb a s terminálnymi polčasmi 11 až 13 hodín u starších pacientov.</w:t>
      </w:r>
    </w:p>
    <w:p w14:paraId="18030361" w14:textId="77777777" w:rsidR="0036326D" w:rsidRDefault="0036326D">
      <w:pPr>
        <w:pStyle w:val="Default"/>
        <w:tabs>
          <w:tab w:val="left" w:pos="6096"/>
        </w:tabs>
        <w:rPr>
          <w:sz w:val="22"/>
          <w:szCs w:val="22"/>
        </w:rPr>
      </w:pPr>
    </w:p>
    <w:p w14:paraId="46A567A5" w14:textId="77777777" w:rsidR="0036326D" w:rsidRDefault="00443AFA">
      <w:pPr>
        <w:pStyle w:val="Default"/>
        <w:rPr>
          <w:sz w:val="22"/>
          <w:szCs w:val="22"/>
          <w:u w:val="single"/>
        </w:rPr>
      </w:pPr>
      <w:r>
        <w:rPr>
          <w:sz w:val="22"/>
          <w:szCs w:val="22"/>
          <w:u w:val="single"/>
        </w:rPr>
        <w:t xml:space="preserve">Osobitné skupiny pacientov </w:t>
      </w:r>
    </w:p>
    <w:p w14:paraId="528602C0" w14:textId="77777777" w:rsidR="0036326D" w:rsidRDefault="00443AFA">
      <w:pPr>
        <w:pStyle w:val="Default"/>
        <w:rPr>
          <w:sz w:val="22"/>
          <w:szCs w:val="22"/>
        </w:rPr>
      </w:pPr>
      <w:r>
        <w:rPr>
          <w:i/>
          <w:iCs/>
          <w:sz w:val="22"/>
          <w:szCs w:val="22"/>
        </w:rPr>
        <w:t xml:space="preserve">Pohlavie </w:t>
      </w:r>
    </w:p>
    <w:p w14:paraId="7A246978" w14:textId="77777777" w:rsidR="0036326D" w:rsidRDefault="00443AFA">
      <w:pPr>
        <w:pStyle w:val="Default"/>
        <w:tabs>
          <w:tab w:val="left" w:pos="6096"/>
        </w:tabs>
        <w:rPr>
          <w:sz w:val="22"/>
          <w:szCs w:val="22"/>
        </w:rPr>
      </w:pPr>
      <w:r>
        <w:rPr>
          <w:sz w:val="22"/>
          <w:szCs w:val="22"/>
        </w:rPr>
        <w:t>Vo farmakokinetike a farmakodynamike neboli klinicky relevantné rozdiely medzi pacientmi mužského a ženského pohlavia.</w:t>
      </w:r>
    </w:p>
    <w:p w14:paraId="61EF2C1C" w14:textId="77777777" w:rsidR="0036326D" w:rsidRDefault="0036326D">
      <w:pPr>
        <w:pStyle w:val="Default"/>
        <w:tabs>
          <w:tab w:val="left" w:pos="6096"/>
        </w:tabs>
        <w:rPr>
          <w:sz w:val="22"/>
          <w:szCs w:val="22"/>
        </w:rPr>
      </w:pPr>
    </w:p>
    <w:p w14:paraId="2F7C1067" w14:textId="77777777" w:rsidR="0036326D" w:rsidRDefault="00443AFA">
      <w:pPr>
        <w:pStyle w:val="Default"/>
        <w:rPr>
          <w:sz w:val="22"/>
          <w:szCs w:val="22"/>
        </w:rPr>
      </w:pPr>
      <w:r>
        <w:rPr>
          <w:i/>
          <w:iCs/>
          <w:sz w:val="22"/>
          <w:szCs w:val="22"/>
        </w:rPr>
        <w:t xml:space="preserve">Starší pacienti </w:t>
      </w:r>
    </w:p>
    <w:p w14:paraId="458E1E47" w14:textId="77777777" w:rsidR="0036326D" w:rsidRDefault="00443AFA">
      <w:pPr>
        <w:pStyle w:val="Default"/>
        <w:rPr>
          <w:sz w:val="22"/>
          <w:szCs w:val="22"/>
        </w:rPr>
      </w:pPr>
      <w:r>
        <w:rPr>
          <w:sz w:val="22"/>
          <w:szCs w:val="22"/>
        </w:rPr>
        <w:t xml:space="preserve">Starší pacienti vykazovali vyššie plazmatické koncentrácie s priemernými hodnotami AUC približne 1,5-násobne vyššími než mladší pacienti, predovšetkým z dôvodu zníženého (zdanlivého) celkového a renálneho klírensu. Nie je potrebná žiadna úprava dávky. </w:t>
      </w:r>
    </w:p>
    <w:p w14:paraId="782C61FB" w14:textId="77777777" w:rsidR="0036326D" w:rsidRDefault="0036326D">
      <w:pPr>
        <w:pStyle w:val="Default"/>
        <w:rPr>
          <w:sz w:val="22"/>
          <w:szCs w:val="22"/>
        </w:rPr>
      </w:pPr>
    </w:p>
    <w:p w14:paraId="59B7D25E" w14:textId="77777777" w:rsidR="0036326D" w:rsidRDefault="00443AFA">
      <w:pPr>
        <w:pStyle w:val="Default"/>
        <w:rPr>
          <w:sz w:val="22"/>
          <w:szCs w:val="22"/>
        </w:rPr>
      </w:pPr>
      <w:r>
        <w:rPr>
          <w:i/>
          <w:iCs/>
          <w:sz w:val="22"/>
          <w:szCs w:val="22"/>
        </w:rPr>
        <w:t xml:space="preserve">Rôzne váhové kategórie </w:t>
      </w:r>
    </w:p>
    <w:p w14:paraId="7C0E4779" w14:textId="77777777" w:rsidR="0036326D" w:rsidRDefault="00443AFA">
      <w:pPr>
        <w:pStyle w:val="Default"/>
        <w:rPr>
          <w:sz w:val="22"/>
          <w:szCs w:val="22"/>
        </w:rPr>
      </w:pPr>
      <w:r>
        <w:rPr>
          <w:sz w:val="22"/>
          <w:szCs w:val="22"/>
        </w:rPr>
        <w:t xml:space="preserve">Extrémy v telesnej hmotnosti (do 50 kg alebo nad 120 kg) mali iba malý vplyv na koncentrácie rivaroxabánu v plazme (menej ako 25 %). Nie je potrebná žiadna úprava dávky. </w:t>
      </w:r>
    </w:p>
    <w:p w14:paraId="4AD8D94E" w14:textId="77777777" w:rsidR="0036326D" w:rsidRDefault="0036326D">
      <w:pPr>
        <w:pStyle w:val="Default"/>
        <w:rPr>
          <w:sz w:val="22"/>
          <w:szCs w:val="22"/>
        </w:rPr>
      </w:pPr>
    </w:p>
    <w:p w14:paraId="7C1551FC" w14:textId="77777777" w:rsidR="0036326D" w:rsidRDefault="00443AFA">
      <w:pPr>
        <w:pStyle w:val="Default"/>
        <w:rPr>
          <w:sz w:val="22"/>
          <w:szCs w:val="22"/>
        </w:rPr>
      </w:pPr>
      <w:r>
        <w:rPr>
          <w:i/>
          <w:iCs/>
          <w:sz w:val="22"/>
          <w:szCs w:val="22"/>
        </w:rPr>
        <w:t xml:space="preserve">Medzietnické rozdiely </w:t>
      </w:r>
    </w:p>
    <w:p w14:paraId="58F729C8" w14:textId="77777777" w:rsidR="0036326D" w:rsidRDefault="00443AFA">
      <w:pPr>
        <w:pStyle w:val="Default"/>
        <w:tabs>
          <w:tab w:val="left" w:pos="6096"/>
        </w:tabs>
        <w:rPr>
          <w:sz w:val="22"/>
          <w:szCs w:val="22"/>
        </w:rPr>
      </w:pPr>
      <w:r>
        <w:rPr>
          <w:sz w:val="22"/>
          <w:szCs w:val="22"/>
        </w:rPr>
        <w:t>Vo farmakokinetike a farmakodynamike rivaroxabánu sa nepozorovali žiadne klinicky relevantné medzietnické rozdiely medzi pacientmi bielej rasy, afroameričanmi, hispáncami, Japoncami alebo Číňanmi.</w:t>
      </w:r>
    </w:p>
    <w:p w14:paraId="1D0AB39A" w14:textId="77777777" w:rsidR="0036326D" w:rsidRDefault="0036326D">
      <w:pPr>
        <w:pStyle w:val="Default"/>
        <w:tabs>
          <w:tab w:val="left" w:pos="6096"/>
        </w:tabs>
        <w:rPr>
          <w:sz w:val="22"/>
          <w:szCs w:val="22"/>
        </w:rPr>
      </w:pPr>
    </w:p>
    <w:p w14:paraId="3E98DB89" w14:textId="77777777" w:rsidR="0036326D" w:rsidRDefault="00443AFA">
      <w:pPr>
        <w:pStyle w:val="Default"/>
        <w:rPr>
          <w:sz w:val="22"/>
          <w:szCs w:val="22"/>
        </w:rPr>
      </w:pPr>
      <w:r>
        <w:rPr>
          <w:i/>
          <w:iCs/>
          <w:sz w:val="22"/>
          <w:szCs w:val="22"/>
        </w:rPr>
        <w:t xml:space="preserve">Porucha funkcie pečene </w:t>
      </w:r>
    </w:p>
    <w:p w14:paraId="092AE047" w14:textId="77777777" w:rsidR="0036326D" w:rsidRDefault="00443AFA">
      <w:pPr>
        <w:pStyle w:val="Default"/>
        <w:rPr>
          <w:sz w:val="22"/>
          <w:szCs w:val="22"/>
        </w:rPr>
      </w:pPr>
      <w:r>
        <w:rPr>
          <w:sz w:val="22"/>
          <w:szCs w:val="22"/>
        </w:rPr>
        <w:t xml:space="preserve">Pacienti s cirhózou s miernou poruchou funkcie pečene (klasifikovanou podľa Childa–Pugha ako skupina A) vykazovali iba malé zmeny vo farmakokinetike rivaroxabánu (v priemere 1,2-násobný nárast AUC rivaroxabánu), takmer porovnateľné s ich zodpovedajúcou zdravou kontrolnou skupinou. U pacientov s cirhózou so stredne ťažkou poruchou funkcie pečene (klasifikovanou podľa Childa–Pugha ako skupina B) bola priemerná AUC rivaroxabánu významne zvýšená 2,3-násobne v porovnaní so zdravými dobrovoľníkmi. AUC neviazaného rivaroxabánu sa zvýšila 2,6-násobne. Títo pacienti mali tiež zníženú renálnu elimináciu rivaroxabánu, podobne ako u pacientov so stredne ťažkou poruchou funkcie obličiek. </w:t>
      </w:r>
    </w:p>
    <w:p w14:paraId="4CEABE89" w14:textId="77777777" w:rsidR="0036326D" w:rsidRDefault="00443AFA">
      <w:pPr>
        <w:pStyle w:val="Default"/>
        <w:rPr>
          <w:sz w:val="22"/>
          <w:szCs w:val="22"/>
        </w:rPr>
      </w:pPr>
      <w:r>
        <w:rPr>
          <w:sz w:val="22"/>
          <w:szCs w:val="22"/>
        </w:rPr>
        <w:t xml:space="preserve">K dispozícii nie sú údaje o pacientoch s ťažkou poruchou funkcie pečene. </w:t>
      </w:r>
    </w:p>
    <w:p w14:paraId="649C7731" w14:textId="77777777" w:rsidR="0036326D" w:rsidRDefault="0036326D">
      <w:pPr>
        <w:pStyle w:val="Default"/>
        <w:rPr>
          <w:sz w:val="22"/>
          <w:szCs w:val="22"/>
        </w:rPr>
      </w:pPr>
    </w:p>
    <w:p w14:paraId="61958271" w14:textId="77777777" w:rsidR="0036326D" w:rsidRDefault="00443AFA">
      <w:pPr>
        <w:pStyle w:val="Default"/>
        <w:rPr>
          <w:sz w:val="22"/>
          <w:szCs w:val="22"/>
        </w:rPr>
      </w:pPr>
      <w:r>
        <w:rPr>
          <w:sz w:val="22"/>
          <w:szCs w:val="22"/>
        </w:rPr>
        <w:t xml:space="preserve">Inhibícia aktivity faktora Xa bola zvýšená 2,6-násobne u pacientov so stredne ťažkou poruchou funkcie pečene v porovnaní so zdravými dobrovoľníkmi; predĺženie PT bolo podobne zvýšené 2,1-násobne. Pacienti so stredne ťažkou poruchou funkcie pečene boli na rivaroxabán citlivejší, čo viedlo k výraznejšiemu PK/PD vzťahu medzi koncentráciou a PT. </w:t>
      </w:r>
    </w:p>
    <w:p w14:paraId="3FBA1B9E" w14:textId="77777777" w:rsidR="0036326D" w:rsidRDefault="0036326D">
      <w:pPr>
        <w:pStyle w:val="Default"/>
        <w:rPr>
          <w:sz w:val="22"/>
          <w:szCs w:val="22"/>
        </w:rPr>
      </w:pPr>
    </w:p>
    <w:p w14:paraId="61C24BD2" w14:textId="2A3BD987" w:rsidR="0036326D" w:rsidRDefault="00443AFA">
      <w:pPr>
        <w:pStyle w:val="Default"/>
        <w:tabs>
          <w:tab w:val="left" w:pos="6096"/>
        </w:tabs>
        <w:rPr>
          <w:sz w:val="22"/>
          <w:szCs w:val="22"/>
        </w:rPr>
      </w:pPr>
      <w:r>
        <w:rPr>
          <w:sz w:val="22"/>
          <w:szCs w:val="22"/>
        </w:rPr>
        <w:t>Rivaroxabán je kontraindikovaný pacientom s ochorením pečene spojeným s koagulopatiou a klinicky relevantným rizikom krvácania, vrátane pacientov s cirhózou s Childovým-Pughovým skóre B a C (pozri časť 4.3).</w:t>
      </w:r>
    </w:p>
    <w:p w14:paraId="75E3A5CE" w14:textId="77777777" w:rsidR="0036326D" w:rsidRDefault="0036326D">
      <w:pPr>
        <w:pStyle w:val="Default"/>
        <w:tabs>
          <w:tab w:val="left" w:pos="6096"/>
        </w:tabs>
        <w:rPr>
          <w:sz w:val="22"/>
          <w:szCs w:val="22"/>
        </w:rPr>
      </w:pPr>
    </w:p>
    <w:p w14:paraId="395CCCF8" w14:textId="77777777" w:rsidR="0036326D" w:rsidRDefault="00443AFA">
      <w:pPr>
        <w:pStyle w:val="Default"/>
        <w:rPr>
          <w:sz w:val="22"/>
          <w:szCs w:val="22"/>
        </w:rPr>
      </w:pPr>
      <w:r>
        <w:rPr>
          <w:i/>
          <w:iCs/>
          <w:sz w:val="22"/>
          <w:szCs w:val="22"/>
        </w:rPr>
        <w:t xml:space="preserve">Porucha funkcie obličiek </w:t>
      </w:r>
    </w:p>
    <w:p w14:paraId="383006C2" w14:textId="77777777" w:rsidR="0036326D" w:rsidRDefault="00443AFA">
      <w:pPr>
        <w:pStyle w:val="Default"/>
        <w:rPr>
          <w:sz w:val="22"/>
          <w:szCs w:val="22"/>
        </w:rPr>
      </w:pPr>
      <w:r>
        <w:rPr>
          <w:sz w:val="22"/>
          <w:szCs w:val="22"/>
        </w:rPr>
        <w:t xml:space="preserve">Ako sa stanovilo meraním klírensu kreatinínu, zvýšená expozícia rivaroxabánu korelovala so znížením renálnej funkcie. U osôb s miernou (klírens kreatinínu 50-80 ml/min), stredne ťažkou (klírens kreatinínu 30-49 ml/min) a ťažkou (klírens kreatinínu 15-29 ml/min) poruchou funkcie obličiek boli plazmatické koncentrácie (AUC) rivaroxabánu zvýšené 1,4; 1,5 a 1,6-násobne. Zodpovedajúce zvýšenia farmakodynamických účinkov boli výraznejšie. U osôb s miernou, stredne ťažkou a ťažkou poruchou funkcie obličiek bola zvýšená celková inhibícia aktivity faktora Xa 1,5; 1,9 a 2,0-násobne v porovnaní so zdravými dobrovoľníkmi; predĺženie PT bolo podobne zvýšené 1,3; 2,2 a 2,4-násobne. K dispozícii nie sú údaje u pacientov s klírensom kreatinínu &lt; 15 ml/min. </w:t>
      </w:r>
    </w:p>
    <w:p w14:paraId="258010F4" w14:textId="77777777" w:rsidR="0036326D" w:rsidRDefault="0036326D">
      <w:pPr>
        <w:pStyle w:val="Default"/>
        <w:rPr>
          <w:sz w:val="22"/>
          <w:szCs w:val="22"/>
        </w:rPr>
      </w:pPr>
    </w:p>
    <w:p w14:paraId="3D171744" w14:textId="77777777" w:rsidR="0036326D" w:rsidRDefault="00443AFA">
      <w:pPr>
        <w:pStyle w:val="Default"/>
        <w:tabs>
          <w:tab w:val="left" w:pos="6096"/>
        </w:tabs>
        <w:rPr>
          <w:sz w:val="22"/>
          <w:szCs w:val="22"/>
        </w:rPr>
      </w:pPr>
      <w:r>
        <w:rPr>
          <w:sz w:val="22"/>
          <w:szCs w:val="22"/>
        </w:rPr>
        <w:t xml:space="preserve">V dôsledku vysokej väzbovosti rivaroxabánu na plazmatické bielkoviny sa nepredpokladá, že je dialyzovateľný. </w:t>
      </w:r>
    </w:p>
    <w:p w14:paraId="39E44F24" w14:textId="77777777" w:rsidR="0036326D" w:rsidRDefault="00443AFA">
      <w:pPr>
        <w:pStyle w:val="Default"/>
        <w:tabs>
          <w:tab w:val="left" w:pos="6096"/>
        </w:tabs>
        <w:rPr>
          <w:sz w:val="22"/>
          <w:szCs w:val="22"/>
        </w:rPr>
      </w:pPr>
      <w:r>
        <w:rPr>
          <w:sz w:val="22"/>
          <w:szCs w:val="22"/>
        </w:rPr>
        <w:t>U pacientov s klírensom kreatinínu &lt; 15 ml/min sa použitie neodporúča. U pacientov s klírensom kreatinínu 15-29 ml/min sa má rivaroxabán používať s opatrnosťou (pozri časť 4.4).</w:t>
      </w:r>
    </w:p>
    <w:p w14:paraId="06BCDDD7" w14:textId="77777777" w:rsidR="0036326D" w:rsidRDefault="0036326D">
      <w:pPr>
        <w:pStyle w:val="Default"/>
        <w:tabs>
          <w:tab w:val="left" w:pos="6096"/>
        </w:tabs>
        <w:rPr>
          <w:sz w:val="22"/>
          <w:szCs w:val="22"/>
        </w:rPr>
      </w:pPr>
    </w:p>
    <w:p w14:paraId="169738B5" w14:textId="77777777" w:rsidR="0036326D" w:rsidRDefault="00443AFA">
      <w:pPr>
        <w:pStyle w:val="Default"/>
        <w:rPr>
          <w:sz w:val="22"/>
          <w:szCs w:val="22"/>
          <w:u w:val="single"/>
        </w:rPr>
      </w:pPr>
      <w:r>
        <w:rPr>
          <w:sz w:val="22"/>
          <w:szCs w:val="22"/>
          <w:u w:val="single"/>
        </w:rPr>
        <w:t xml:space="preserve">Farmakokinetické údaje u pacientov </w:t>
      </w:r>
    </w:p>
    <w:p w14:paraId="426722B0" w14:textId="6FE91C54" w:rsidR="0036326D" w:rsidRDefault="00443AFA">
      <w:pPr>
        <w:pStyle w:val="Default"/>
        <w:tabs>
          <w:tab w:val="left" w:pos="6096"/>
        </w:tabs>
        <w:rPr>
          <w:sz w:val="22"/>
          <w:szCs w:val="22"/>
        </w:rPr>
      </w:pPr>
      <w:r>
        <w:rPr>
          <w:sz w:val="22"/>
          <w:szCs w:val="22"/>
        </w:rPr>
        <w:t xml:space="preserve">U pacientov, ktorí užívajú rivaroxabán na liečbu akútnej DVT v dávke 20 mg jedenkrát denne, v čase 2-4 h a približne 24 h po podaní dávky (predstavujúcej zhruba maximálnu a minimálnu koncentráciu počas intervalu medzi dávkami) bol geometrický priemer koncentrácií (90 % predikčný interval) 215 </w:t>
      </w:r>
      <w:r>
        <w:rPr>
          <w:sz w:val="22"/>
          <w:szCs w:val="22"/>
          <w:lang w:eastAsia="sk-SK"/>
        </w:rPr>
        <w:t>(22 – 535)</w:t>
      </w:r>
      <w:r>
        <w:rPr>
          <w:sz w:val="22"/>
          <w:szCs w:val="22"/>
        </w:rPr>
        <w:t xml:space="preserve">, respektíve </w:t>
      </w:r>
      <w:r>
        <w:rPr>
          <w:sz w:val="22"/>
          <w:szCs w:val="22"/>
          <w:lang w:eastAsia="sk-SK"/>
        </w:rPr>
        <w:t>32 (6 - 239)</w:t>
      </w:r>
      <w:r>
        <w:rPr>
          <w:sz w:val="22"/>
          <w:szCs w:val="22"/>
        </w:rPr>
        <w:t xml:space="preserve"> μg/l.</w:t>
      </w:r>
    </w:p>
    <w:p w14:paraId="09AA96DA" w14:textId="77777777" w:rsidR="0036326D" w:rsidRDefault="0036326D">
      <w:pPr>
        <w:pStyle w:val="Default"/>
        <w:tabs>
          <w:tab w:val="left" w:pos="6096"/>
        </w:tabs>
        <w:rPr>
          <w:sz w:val="22"/>
          <w:szCs w:val="22"/>
        </w:rPr>
      </w:pPr>
    </w:p>
    <w:p w14:paraId="7069E5A9" w14:textId="77777777" w:rsidR="0036326D" w:rsidRDefault="00443AFA">
      <w:pPr>
        <w:pStyle w:val="Default"/>
        <w:rPr>
          <w:sz w:val="22"/>
          <w:szCs w:val="22"/>
          <w:u w:val="single"/>
        </w:rPr>
      </w:pPr>
      <w:r>
        <w:rPr>
          <w:sz w:val="22"/>
          <w:szCs w:val="22"/>
          <w:u w:val="single"/>
        </w:rPr>
        <w:t xml:space="preserve">Farmakokinetický/farmakodynamický vzťah </w:t>
      </w:r>
    </w:p>
    <w:p w14:paraId="299C74A4" w14:textId="5CF0A545" w:rsidR="0036326D" w:rsidRDefault="00443AFA">
      <w:pPr>
        <w:pStyle w:val="Default"/>
        <w:tabs>
          <w:tab w:val="left" w:pos="6096"/>
        </w:tabs>
        <w:rPr>
          <w:sz w:val="22"/>
          <w:szCs w:val="22"/>
        </w:rPr>
      </w:pPr>
      <w:r>
        <w:rPr>
          <w:sz w:val="22"/>
          <w:szCs w:val="22"/>
        </w:rPr>
        <w:t>Farmakokinetický/farmakodynamický (PK/PD) vzťah medzi plazmatickou koncentráciou rivaroxabánu a niektorými cieľovými ukazovateľmi PD (inhibícia faktora Xa, PT, aPTT, HepTest) sa skúmal po podaní širokého spektra dávok (5-30 mg dvakrát denne). Vzťah medzi koncentráciou rivaroxabánu a aktivitou faktora Xa bol najlepšie opísaný modelom E</w:t>
      </w:r>
      <w:r>
        <w:rPr>
          <w:sz w:val="14"/>
          <w:szCs w:val="14"/>
        </w:rPr>
        <w:t>max</w:t>
      </w:r>
      <w:r>
        <w:rPr>
          <w:sz w:val="22"/>
          <w:szCs w:val="22"/>
        </w:rPr>
        <w:t xml:space="preserve">. Lineárny intercepčný model spravidla opisuje údaje pre PT lepšie. V závislosti od rôznych použitých reagencií na PT sa hodnoty výrazne odlišovali. Keď sa použil na PT Neoplastin, východisková hodnota PT bola asi 13 s a odchýlky boli okolo 3 až 4 s/(100 μg/l). Výsledky analýz PK/PD vo fáze II a III boli zhodné s údajmi zistenými u zdravých osôb. </w:t>
      </w:r>
    </w:p>
    <w:p w14:paraId="72336EF3" w14:textId="77777777" w:rsidR="0036326D" w:rsidRDefault="0036326D">
      <w:pPr>
        <w:pStyle w:val="Default"/>
        <w:tabs>
          <w:tab w:val="left" w:pos="6096"/>
        </w:tabs>
        <w:rPr>
          <w:sz w:val="22"/>
          <w:szCs w:val="22"/>
        </w:rPr>
      </w:pPr>
    </w:p>
    <w:p w14:paraId="3A344309" w14:textId="77777777" w:rsidR="0036326D" w:rsidRDefault="00443AFA">
      <w:pPr>
        <w:pStyle w:val="Default"/>
        <w:rPr>
          <w:sz w:val="22"/>
          <w:szCs w:val="22"/>
          <w:u w:val="single"/>
        </w:rPr>
      </w:pPr>
      <w:r>
        <w:rPr>
          <w:sz w:val="22"/>
          <w:szCs w:val="22"/>
          <w:u w:val="single"/>
        </w:rPr>
        <w:t xml:space="preserve">Pediatrická populácia </w:t>
      </w:r>
    </w:p>
    <w:p w14:paraId="01FC7356" w14:textId="77777777" w:rsidR="0036326D" w:rsidRDefault="00443AFA">
      <w:pPr>
        <w:pStyle w:val="Default"/>
        <w:tabs>
          <w:tab w:val="left" w:pos="6096"/>
        </w:tabs>
        <w:rPr>
          <w:sz w:val="22"/>
          <w:szCs w:val="22"/>
        </w:rPr>
      </w:pPr>
      <w:r>
        <w:rPr>
          <w:sz w:val="22"/>
          <w:szCs w:val="22"/>
        </w:rPr>
        <w:t>Bezpečnosť a účinnosť u detí a dospievajúcich do 18 rokov nebola stanovená.</w:t>
      </w:r>
    </w:p>
    <w:p w14:paraId="4CE14D29" w14:textId="77777777" w:rsidR="0036326D" w:rsidRDefault="0036326D">
      <w:pPr>
        <w:pStyle w:val="Default"/>
        <w:tabs>
          <w:tab w:val="left" w:pos="6096"/>
        </w:tabs>
        <w:rPr>
          <w:sz w:val="22"/>
          <w:szCs w:val="22"/>
        </w:rPr>
      </w:pPr>
    </w:p>
    <w:p w14:paraId="7A59EA19" w14:textId="77777777" w:rsidR="0036326D" w:rsidRDefault="00443AFA">
      <w:pPr>
        <w:pStyle w:val="Default"/>
        <w:tabs>
          <w:tab w:val="left" w:pos="567"/>
        </w:tabs>
        <w:rPr>
          <w:b/>
          <w:bCs/>
          <w:sz w:val="22"/>
          <w:szCs w:val="22"/>
        </w:rPr>
      </w:pPr>
      <w:r>
        <w:rPr>
          <w:b/>
          <w:bCs/>
          <w:sz w:val="22"/>
          <w:szCs w:val="22"/>
        </w:rPr>
        <w:t>5.3</w:t>
      </w:r>
      <w:r>
        <w:rPr>
          <w:b/>
          <w:bCs/>
          <w:sz w:val="22"/>
          <w:szCs w:val="22"/>
        </w:rPr>
        <w:tab/>
        <w:t xml:space="preserve">Predklinické údaje o bezpečnosti </w:t>
      </w:r>
    </w:p>
    <w:p w14:paraId="6676A782" w14:textId="77777777" w:rsidR="0036326D" w:rsidRDefault="0036326D">
      <w:pPr>
        <w:pStyle w:val="Default"/>
        <w:rPr>
          <w:sz w:val="22"/>
          <w:szCs w:val="22"/>
        </w:rPr>
      </w:pPr>
    </w:p>
    <w:p w14:paraId="71050BC0" w14:textId="77777777" w:rsidR="0036326D" w:rsidRDefault="00443AFA">
      <w:pPr>
        <w:pStyle w:val="Default"/>
        <w:rPr>
          <w:sz w:val="22"/>
          <w:szCs w:val="22"/>
        </w:rPr>
      </w:pPr>
      <w:r>
        <w:rPr>
          <w:sz w:val="22"/>
          <w:szCs w:val="22"/>
        </w:rPr>
        <w:t xml:space="preserve">Predklinické údaje získané na základe obvyklých farmakologických štúdií bezpečnosti, toxicity po jednorazovom podávaní, fototoxicity, genotoxicity, karcinogénneho potenciálu a juvenilnej toxicity neodhalili žiadne osobitné riziko pre ľudí. </w:t>
      </w:r>
    </w:p>
    <w:p w14:paraId="69A0C9AC" w14:textId="77777777" w:rsidR="0036326D" w:rsidRDefault="0036326D">
      <w:pPr>
        <w:pStyle w:val="Default"/>
        <w:rPr>
          <w:sz w:val="22"/>
          <w:szCs w:val="22"/>
        </w:rPr>
      </w:pPr>
    </w:p>
    <w:p w14:paraId="5865AE50" w14:textId="77777777" w:rsidR="0036326D" w:rsidRDefault="00443AFA">
      <w:pPr>
        <w:pStyle w:val="Default"/>
        <w:rPr>
          <w:sz w:val="22"/>
          <w:szCs w:val="22"/>
        </w:rPr>
      </w:pPr>
      <w:r>
        <w:rPr>
          <w:sz w:val="22"/>
          <w:szCs w:val="22"/>
        </w:rPr>
        <w:t xml:space="preserve">Účinky, ktoré sa pozorovali v skúšaniach toxicity po opakovanom podávaní boli zväčša v dôsledku zvýšenej farmakodynamickej aktivity rivaroxabánu. Pri klinicky relevantných hladinách expozície sa u potkanov pozorovali zvýšené plazmatické hladiny IgG a IgA. </w:t>
      </w:r>
    </w:p>
    <w:p w14:paraId="4FDD234E" w14:textId="77777777" w:rsidR="0036326D" w:rsidRDefault="0036326D">
      <w:pPr>
        <w:pStyle w:val="Default"/>
        <w:rPr>
          <w:sz w:val="22"/>
          <w:szCs w:val="22"/>
        </w:rPr>
      </w:pPr>
    </w:p>
    <w:p w14:paraId="71A044EB" w14:textId="77777777" w:rsidR="0036326D" w:rsidRDefault="00443AFA">
      <w:pPr>
        <w:pStyle w:val="Default"/>
        <w:tabs>
          <w:tab w:val="left" w:pos="6096"/>
        </w:tabs>
        <w:rPr>
          <w:sz w:val="22"/>
          <w:szCs w:val="22"/>
        </w:rPr>
      </w:pPr>
      <w:r>
        <w:rPr>
          <w:sz w:val="22"/>
          <w:szCs w:val="22"/>
        </w:rPr>
        <w:t>Na potkanoch sa nepozorovali žiadne vplyvy na fertilitu samcov a samíc. Skúšania na zvieratách preukázali reprodukčnú toxicitu súvisiacu s farmakologickým mechanizmom účinku rivaroxabánu (napr. krvácavé komplikácie). Pri klinicky relevantných plazmatických koncentráciách sa pozorovala embryo-fetálna toxicita (postimplantačná strata, oneskorená/pokročilá osifikácia, viacnásobné svetlé škvrny na pečeni) a zvýšený výskyt zvyčajných malformácií, ako aj zmeny na placente. V prenatálnom a postnatálnom skúšaní u potkanov sa pozorovala znížená životaschopnosť potomkov pri dávkach, ktoré boli toxické pre matky.</w:t>
      </w:r>
    </w:p>
    <w:p w14:paraId="2C80E68E" w14:textId="77777777" w:rsidR="0036326D" w:rsidRDefault="0036326D">
      <w:pPr>
        <w:pStyle w:val="Default"/>
        <w:tabs>
          <w:tab w:val="left" w:pos="6096"/>
        </w:tabs>
        <w:rPr>
          <w:sz w:val="22"/>
          <w:szCs w:val="22"/>
        </w:rPr>
      </w:pPr>
    </w:p>
    <w:p w14:paraId="6819A0BD" w14:textId="77777777" w:rsidR="0036326D" w:rsidRDefault="0036326D">
      <w:pPr>
        <w:pStyle w:val="Default"/>
        <w:rPr>
          <w:b/>
          <w:bCs/>
          <w:sz w:val="22"/>
          <w:szCs w:val="22"/>
        </w:rPr>
      </w:pPr>
    </w:p>
    <w:p w14:paraId="3A38539E" w14:textId="77777777" w:rsidR="0036326D" w:rsidRDefault="00443AFA">
      <w:pPr>
        <w:pStyle w:val="Default"/>
        <w:tabs>
          <w:tab w:val="left" w:pos="567"/>
        </w:tabs>
        <w:rPr>
          <w:b/>
          <w:bCs/>
          <w:sz w:val="22"/>
          <w:szCs w:val="22"/>
        </w:rPr>
      </w:pPr>
      <w:r>
        <w:rPr>
          <w:b/>
          <w:bCs/>
          <w:sz w:val="22"/>
          <w:szCs w:val="22"/>
        </w:rPr>
        <w:t>6.</w:t>
      </w:r>
      <w:r>
        <w:rPr>
          <w:b/>
          <w:bCs/>
          <w:sz w:val="22"/>
          <w:szCs w:val="22"/>
        </w:rPr>
        <w:tab/>
        <w:t xml:space="preserve">FARMACEUTICKÉ INFORMÁCIE </w:t>
      </w:r>
    </w:p>
    <w:p w14:paraId="1DECAFE3" w14:textId="77777777" w:rsidR="0036326D" w:rsidRDefault="0036326D">
      <w:pPr>
        <w:pStyle w:val="Default"/>
        <w:rPr>
          <w:sz w:val="22"/>
          <w:szCs w:val="22"/>
        </w:rPr>
      </w:pPr>
    </w:p>
    <w:p w14:paraId="1C2468FD" w14:textId="77777777" w:rsidR="0036326D" w:rsidRDefault="00443AFA">
      <w:pPr>
        <w:pStyle w:val="Default"/>
        <w:tabs>
          <w:tab w:val="left" w:pos="567"/>
        </w:tabs>
        <w:rPr>
          <w:b/>
          <w:bCs/>
          <w:sz w:val="22"/>
          <w:szCs w:val="22"/>
        </w:rPr>
      </w:pPr>
      <w:r>
        <w:rPr>
          <w:b/>
          <w:bCs/>
          <w:sz w:val="22"/>
          <w:szCs w:val="22"/>
        </w:rPr>
        <w:t>6.1</w:t>
      </w:r>
      <w:r>
        <w:rPr>
          <w:b/>
          <w:bCs/>
          <w:sz w:val="22"/>
          <w:szCs w:val="22"/>
        </w:rPr>
        <w:tab/>
        <w:t>Zoznam pomocných látok</w:t>
      </w:r>
    </w:p>
    <w:p w14:paraId="3BDC7D5D" w14:textId="77777777" w:rsidR="0036326D" w:rsidRDefault="0036326D">
      <w:pPr>
        <w:spacing w:after="0" w:line="240" w:lineRule="auto"/>
        <w:rPr>
          <w:rFonts w:eastAsia="SimSun"/>
          <w:lang w:val="en-US" w:eastAsia="de-DE"/>
        </w:rPr>
      </w:pPr>
    </w:p>
    <w:p w14:paraId="14C22F41" w14:textId="77777777" w:rsidR="0036326D" w:rsidRDefault="00443AFA">
      <w:pPr>
        <w:spacing w:after="0" w:line="240" w:lineRule="auto"/>
        <w:rPr>
          <w:rFonts w:ascii="Times New Roman" w:eastAsia="SimSun" w:hAnsi="Times New Roman"/>
          <w:i/>
          <w:iCs/>
          <w:lang w:val="en-US" w:eastAsia="de-DE"/>
        </w:rPr>
      </w:pPr>
      <w:r>
        <w:rPr>
          <w:rFonts w:ascii="Times New Roman" w:eastAsia="SimSun" w:hAnsi="Times New Roman"/>
          <w:i/>
          <w:iCs/>
          <w:lang w:val="en-US" w:eastAsia="de-DE"/>
        </w:rPr>
        <w:t>Jadro tablety:</w:t>
      </w:r>
    </w:p>
    <w:p w14:paraId="789B9B9D" w14:textId="77777777" w:rsidR="0036326D" w:rsidRDefault="00443AFA">
      <w:pPr>
        <w:pStyle w:val="Default"/>
        <w:tabs>
          <w:tab w:val="left" w:pos="6096"/>
        </w:tabs>
        <w:rPr>
          <w:sz w:val="22"/>
          <w:szCs w:val="22"/>
        </w:rPr>
      </w:pPr>
      <w:r>
        <w:rPr>
          <w:sz w:val="22"/>
          <w:szCs w:val="22"/>
        </w:rPr>
        <w:t>laurylsíran sodný</w:t>
      </w:r>
    </w:p>
    <w:p w14:paraId="04ADCF6C" w14:textId="77777777" w:rsidR="0036326D" w:rsidRDefault="00443AFA">
      <w:pPr>
        <w:pStyle w:val="Default"/>
        <w:tabs>
          <w:tab w:val="left" w:pos="6096"/>
        </w:tabs>
        <w:rPr>
          <w:sz w:val="22"/>
          <w:szCs w:val="22"/>
        </w:rPr>
      </w:pPr>
      <w:r>
        <w:rPr>
          <w:sz w:val="22"/>
          <w:szCs w:val="22"/>
        </w:rPr>
        <w:t>monohydrát laktózy</w:t>
      </w:r>
    </w:p>
    <w:p w14:paraId="1AFB1F9A" w14:textId="77777777" w:rsidR="0036326D" w:rsidRDefault="00443AFA">
      <w:pPr>
        <w:pStyle w:val="Default"/>
        <w:tabs>
          <w:tab w:val="left" w:pos="6096"/>
        </w:tabs>
        <w:rPr>
          <w:sz w:val="22"/>
          <w:szCs w:val="22"/>
        </w:rPr>
      </w:pPr>
      <w:r>
        <w:rPr>
          <w:sz w:val="22"/>
          <w:szCs w:val="22"/>
        </w:rPr>
        <w:t>hypromelóza 2910</w:t>
      </w:r>
    </w:p>
    <w:p w14:paraId="2EF827B8" w14:textId="77777777" w:rsidR="0036326D" w:rsidRDefault="00443AFA">
      <w:pPr>
        <w:pStyle w:val="Default"/>
        <w:tabs>
          <w:tab w:val="left" w:pos="6096"/>
        </w:tabs>
        <w:rPr>
          <w:sz w:val="22"/>
          <w:szCs w:val="22"/>
        </w:rPr>
      </w:pPr>
      <w:r>
        <w:rPr>
          <w:sz w:val="22"/>
          <w:szCs w:val="22"/>
        </w:rPr>
        <w:t>mikrokryštalická celulóza</w:t>
      </w:r>
    </w:p>
    <w:p w14:paraId="01189058" w14:textId="77777777" w:rsidR="0036326D" w:rsidRDefault="00443AFA">
      <w:pPr>
        <w:pStyle w:val="Default"/>
        <w:tabs>
          <w:tab w:val="left" w:pos="6096"/>
        </w:tabs>
        <w:rPr>
          <w:sz w:val="22"/>
          <w:szCs w:val="22"/>
        </w:rPr>
      </w:pPr>
      <w:r>
        <w:rPr>
          <w:sz w:val="22"/>
          <w:szCs w:val="22"/>
        </w:rPr>
        <w:t>sodná soľ kroskarmelózy</w:t>
      </w:r>
    </w:p>
    <w:p w14:paraId="266632EC" w14:textId="77777777" w:rsidR="0036326D" w:rsidRDefault="00443AFA">
      <w:pPr>
        <w:pStyle w:val="Default"/>
        <w:tabs>
          <w:tab w:val="left" w:pos="6096"/>
        </w:tabs>
        <w:rPr>
          <w:sz w:val="22"/>
          <w:szCs w:val="22"/>
        </w:rPr>
      </w:pPr>
      <w:r>
        <w:rPr>
          <w:sz w:val="22"/>
          <w:szCs w:val="22"/>
        </w:rPr>
        <w:t xml:space="preserve">stearát horečnatý </w:t>
      </w:r>
    </w:p>
    <w:p w14:paraId="39BC4EFE" w14:textId="77777777" w:rsidR="0036326D" w:rsidRDefault="0036326D">
      <w:pPr>
        <w:pStyle w:val="Default"/>
        <w:tabs>
          <w:tab w:val="left" w:pos="6096"/>
        </w:tabs>
        <w:rPr>
          <w:sz w:val="22"/>
          <w:szCs w:val="22"/>
          <w:u w:val="single"/>
        </w:rPr>
      </w:pPr>
    </w:p>
    <w:p w14:paraId="082F41A7" w14:textId="77777777" w:rsidR="0036326D" w:rsidRDefault="00443AFA">
      <w:pPr>
        <w:pStyle w:val="Default"/>
        <w:rPr>
          <w:sz w:val="22"/>
          <w:szCs w:val="22"/>
        </w:rPr>
      </w:pPr>
      <w:r>
        <w:rPr>
          <w:i/>
          <w:sz w:val="22"/>
          <w:szCs w:val="22"/>
        </w:rPr>
        <w:t>Filmový obal:</w:t>
      </w:r>
      <w:r>
        <w:rPr>
          <w:sz w:val="22"/>
          <w:szCs w:val="22"/>
        </w:rPr>
        <w:t xml:space="preserve"> </w:t>
      </w:r>
    </w:p>
    <w:p w14:paraId="17F65785" w14:textId="77777777" w:rsidR="0036326D" w:rsidRDefault="00443AFA">
      <w:pPr>
        <w:pStyle w:val="Default"/>
        <w:tabs>
          <w:tab w:val="left" w:pos="6096"/>
        </w:tabs>
        <w:rPr>
          <w:sz w:val="22"/>
          <w:szCs w:val="22"/>
        </w:rPr>
      </w:pPr>
      <w:r>
        <w:rPr>
          <w:sz w:val="22"/>
          <w:szCs w:val="22"/>
        </w:rPr>
        <w:t>hypromelóza (E464)</w:t>
      </w:r>
    </w:p>
    <w:p w14:paraId="60885777" w14:textId="77777777" w:rsidR="0036326D" w:rsidRDefault="00443AFA">
      <w:pPr>
        <w:pStyle w:val="Default"/>
        <w:rPr>
          <w:sz w:val="22"/>
          <w:szCs w:val="22"/>
        </w:rPr>
      </w:pPr>
      <w:r>
        <w:rPr>
          <w:sz w:val="22"/>
          <w:szCs w:val="22"/>
        </w:rPr>
        <w:t xml:space="preserve">oxid titaničitý (E171) </w:t>
      </w:r>
    </w:p>
    <w:p w14:paraId="69905B60" w14:textId="77777777" w:rsidR="0036326D" w:rsidRDefault="00443AFA">
      <w:pPr>
        <w:pStyle w:val="Default"/>
        <w:rPr>
          <w:sz w:val="22"/>
          <w:szCs w:val="22"/>
        </w:rPr>
      </w:pPr>
      <w:r>
        <w:rPr>
          <w:sz w:val="22"/>
          <w:szCs w:val="22"/>
        </w:rPr>
        <w:t xml:space="preserve">makrogol 4000 (E1521) </w:t>
      </w:r>
    </w:p>
    <w:p w14:paraId="620E6856" w14:textId="1701317E" w:rsidR="0036326D" w:rsidRDefault="0036326D">
      <w:pPr>
        <w:pStyle w:val="Default"/>
        <w:tabs>
          <w:tab w:val="left" w:pos="6096"/>
        </w:tabs>
        <w:rPr>
          <w:sz w:val="22"/>
          <w:szCs w:val="22"/>
        </w:rPr>
      </w:pPr>
    </w:p>
    <w:p w14:paraId="5DC58BC0" w14:textId="77777777" w:rsidR="0036326D" w:rsidRDefault="0036326D">
      <w:pPr>
        <w:pStyle w:val="Default"/>
        <w:tabs>
          <w:tab w:val="left" w:pos="6096"/>
        </w:tabs>
        <w:rPr>
          <w:sz w:val="22"/>
          <w:szCs w:val="22"/>
        </w:rPr>
      </w:pPr>
    </w:p>
    <w:p w14:paraId="7E8F1CCA" w14:textId="77777777" w:rsidR="0036326D" w:rsidRDefault="00443AFA">
      <w:pPr>
        <w:pStyle w:val="Default"/>
        <w:tabs>
          <w:tab w:val="left" w:pos="567"/>
        </w:tabs>
        <w:rPr>
          <w:b/>
          <w:bCs/>
          <w:sz w:val="22"/>
          <w:szCs w:val="22"/>
        </w:rPr>
      </w:pPr>
      <w:r>
        <w:rPr>
          <w:b/>
          <w:bCs/>
          <w:sz w:val="22"/>
          <w:szCs w:val="22"/>
        </w:rPr>
        <w:t>6.2</w:t>
      </w:r>
      <w:r>
        <w:rPr>
          <w:b/>
          <w:bCs/>
          <w:sz w:val="22"/>
          <w:szCs w:val="22"/>
        </w:rPr>
        <w:tab/>
        <w:t xml:space="preserve">Inkompatibility </w:t>
      </w:r>
    </w:p>
    <w:p w14:paraId="53505BA1" w14:textId="77777777" w:rsidR="0036326D" w:rsidRDefault="0036326D">
      <w:pPr>
        <w:pStyle w:val="Default"/>
        <w:rPr>
          <w:sz w:val="22"/>
          <w:szCs w:val="22"/>
        </w:rPr>
      </w:pPr>
    </w:p>
    <w:p w14:paraId="4CD81F35" w14:textId="77777777" w:rsidR="0036326D" w:rsidRDefault="00443AFA">
      <w:pPr>
        <w:pStyle w:val="Default"/>
        <w:rPr>
          <w:sz w:val="22"/>
          <w:szCs w:val="22"/>
        </w:rPr>
      </w:pPr>
      <w:r>
        <w:rPr>
          <w:sz w:val="22"/>
          <w:szCs w:val="22"/>
        </w:rPr>
        <w:t xml:space="preserve">Neaplikovateľné. </w:t>
      </w:r>
    </w:p>
    <w:p w14:paraId="1A32076D" w14:textId="77777777" w:rsidR="0036326D" w:rsidRDefault="0036326D">
      <w:pPr>
        <w:pStyle w:val="Default"/>
        <w:rPr>
          <w:sz w:val="22"/>
          <w:szCs w:val="22"/>
        </w:rPr>
      </w:pPr>
    </w:p>
    <w:p w14:paraId="0C53ABE7" w14:textId="77777777" w:rsidR="0036326D" w:rsidRDefault="00443AFA">
      <w:pPr>
        <w:pStyle w:val="Default"/>
        <w:tabs>
          <w:tab w:val="left" w:pos="567"/>
        </w:tabs>
        <w:rPr>
          <w:b/>
          <w:bCs/>
          <w:sz w:val="22"/>
          <w:szCs w:val="22"/>
        </w:rPr>
      </w:pPr>
      <w:r>
        <w:rPr>
          <w:b/>
          <w:bCs/>
          <w:sz w:val="22"/>
          <w:szCs w:val="22"/>
        </w:rPr>
        <w:t>6.3</w:t>
      </w:r>
      <w:r>
        <w:rPr>
          <w:b/>
          <w:bCs/>
          <w:sz w:val="22"/>
          <w:szCs w:val="22"/>
        </w:rPr>
        <w:tab/>
        <w:t xml:space="preserve">Čas použiteľnosti </w:t>
      </w:r>
    </w:p>
    <w:p w14:paraId="00F68574" w14:textId="77777777" w:rsidR="0036326D" w:rsidRDefault="0036326D">
      <w:pPr>
        <w:pStyle w:val="Default"/>
        <w:rPr>
          <w:sz w:val="22"/>
          <w:szCs w:val="22"/>
        </w:rPr>
      </w:pPr>
    </w:p>
    <w:p w14:paraId="0C6A6007" w14:textId="77777777" w:rsidR="0036326D" w:rsidRDefault="00443AFA">
      <w:pPr>
        <w:pStyle w:val="Default"/>
        <w:tabs>
          <w:tab w:val="left" w:pos="6096"/>
        </w:tabs>
        <w:rPr>
          <w:sz w:val="22"/>
          <w:szCs w:val="22"/>
        </w:rPr>
      </w:pPr>
      <w:r>
        <w:rPr>
          <w:sz w:val="22"/>
          <w:szCs w:val="22"/>
        </w:rPr>
        <w:t>2 roky</w:t>
      </w:r>
    </w:p>
    <w:p w14:paraId="67F29873" w14:textId="77777777" w:rsidR="0036326D" w:rsidRDefault="0036326D">
      <w:pPr>
        <w:pStyle w:val="Default"/>
        <w:tabs>
          <w:tab w:val="left" w:pos="6096"/>
        </w:tabs>
        <w:rPr>
          <w:sz w:val="22"/>
          <w:szCs w:val="22"/>
        </w:rPr>
      </w:pPr>
    </w:p>
    <w:p w14:paraId="60CF6A0D" w14:textId="77777777" w:rsidR="0036326D" w:rsidRDefault="00443AFA">
      <w:pPr>
        <w:pStyle w:val="Default"/>
        <w:tabs>
          <w:tab w:val="left" w:pos="567"/>
        </w:tabs>
        <w:rPr>
          <w:b/>
          <w:bCs/>
          <w:sz w:val="22"/>
          <w:szCs w:val="22"/>
        </w:rPr>
      </w:pPr>
      <w:r>
        <w:rPr>
          <w:b/>
          <w:bCs/>
          <w:sz w:val="22"/>
          <w:szCs w:val="22"/>
        </w:rPr>
        <w:t>6.4</w:t>
      </w:r>
      <w:r>
        <w:rPr>
          <w:b/>
          <w:bCs/>
          <w:sz w:val="22"/>
          <w:szCs w:val="22"/>
        </w:rPr>
        <w:tab/>
        <w:t xml:space="preserve">Špeciálne upozornenia na uchovávanie </w:t>
      </w:r>
    </w:p>
    <w:p w14:paraId="10245708" w14:textId="77777777" w:rsidR="0036326D" w:rsidRDefault="0036326D">
      <w:pPr>
        <w:pStyle w:val="Default"/>
        <w:rPr>
          <w:sz w:val="22"/>
          <w:szCs w:val="22"/>
        </w:rPr>
      </w:pPr>
    </w:p>
    <w:p w14:paraId="5D2B8D5E" w14:textId="77777777" w:rsidR="0036326D" w:rsidRDefault="00443AFA">
      <w:pPr>
        <w:pStyle w:val="Default"/>
        <w:rPr>
          <w:sz w:val="22"/>
          <w:szCs w:val="22"/>
        </w:rPr>
      </w:pPr>
      <w:r>
        <w:rPr>
          <w:sz w:val="22"/>
          <w:szCs w:val="22"/>
        </w:rPr>
        <w:t>Uchovávajte pri teplote do 25 °C.</w:t>
      </w:r>
    </w:p>
    <w:p w14:paraId="6ADB4994" w14:textId="77777777" w:rsidR="0036326D" w:rsidRDefault="0036326D">
      <w:pPr>
        <w:pStyle w:val="Default"/>
        <w:rPr>
          <w:sz w:val="22"/>
          <w:szCs w:val="22"/>
        </w:rPr>
      </w:pPr>
    </w:p>
    <w:p w14:paraId="79A2AB52" w14:textId="77777777" w:rsidR="0036326D" w:rsidRDefault="00443AFA">
      <w:pPr>
        <w:pStyle w:val="Default"/>
        <w:tabs>
          <w:tab w:val="left" w:pos="567"/>
          <w:tab w:val="left" w:pos="6096"/>
        </w:tabs>
        <w:rPr>
          <w:b/>
          <w:bCs/>
          <w:sz w:val="22"/>
          <w:szCs w:val="22"/>
        </w:rPr>
      </w:pPr>
      <w:r>
        <w:rPr>
          <w:b/>
          <w:bCs/>
          <w:sz w:val="22"/>
          <w:szCs w:val="22"/>
        </w:rPr>
        <w:t>6.5</w:t>
      </w:r>
      <w:r>
        <w:rPr>
          <w:b/>
          <w:bCs/>
          <w:sz w:val="22"/>
          <w:szCs w:val="22"/>
        </w:rPr>
        <w:tab/>
        <w:t>Druh obalu a obsah balenia</w:t>
      </w:r>
    </w:p>
    <w:p w14:paraId="70937307" w14:textId="77777777" w:rsidR="0036326D" w:rsidRDefault="0036326D">
      <w:pPr>
        <w:pStyle w:val="Default"/>
        <w:tabs>
          <w:tab w:val="left" w:pos="6096"/>
        </w:tabs>
        <w:rPr>
          <w:b/>
          <w:bCs/>
          <w:sz w:val="22"/>
          <w:szCs w:val="22"/>
        </w:rPr>
      </w:pPr>
    </w:p>
    <w:p w14:paraId="63B0D8B0" w14:textId="23D4780E" w:rsidR="0036326D" w:rsidRDefault="00443AFA">
      <w:pPr>
        <w:spacing w:after="0" w:line="240" w:lineRule="auto"/>
        <w:rPr>
          <w:rFonts w:ascii="Times New Roman" w:hAnsi="Times New Roman" w:cs="Times New Roman"/>
          <w:color w:val="000000"/>
        </w:rPr>
      </w:pPr>
      <w:r>
        <w:rPr>
          <w:rFonts w:ascii="Times New Roman" w:hAnsi="Times New Roman" w:cs="Times New Roman"/>
          <w:color w:val="000000"/>
        </w:rPr>
        <w:t>Priehľadný PVC/PVDC</w:t>
      </w:r>
      <w:bookmarkStart w:id="2" w:name="_Hlk4773032"/>
      <w:bookmarkStart w:id="3" w:name="_Hlk4771805"/>
      <w:r>
        <w:rPr>
          <w:rFonts w:ascii="Times New Roman" w:hAnsi="Times New Roman" w:cs="Times New Roman"/>
          <w:color w:val="000000"/>
        </w:rPr>
        <w:t xml:space="preserve"> - Alu </w:t>
      </w:r>
      <w:bookmarkEnd w:id="2"/>
      <w:bookmarkEnd w:id="3"/>
      <w:r>
        <w:rPr>
          <w:rFonts w:ascii="Times New Roman" w:hAnsi="Times New Roman" w:cs="Times New Roman"/>
          <w:color w:val="000000"/>
        </w:rPr>
        <w:t>blister</w:t>
      </w:r>
    </w:p>
    <w:p w14:paraId="1275CF9A" w14:textId="290E7D4A" w:rsidR="0036326D" w:rsidRDefault="00443AFA">
      <w:pPr>
        <w:pStyle w:val="Default"/>
        <w:tabs>
          <w:tab w:val="left" w:pos="6096"/>
        </w:tabs>
        <w:rPr>
          <w:sz w:val="22"/>
          <w:szCs w:val="22"/>
        </w:rPr>
      </w:pPr>
      <w:r>
        <w:rPr>
          <w:sz w:val="22"/>
          <w:szCs w:val="22"/>
        </w:rPr>
        <w:t xml:space="preserve">Veľkosť balenia: </w:t>
      </w:r>
      <w:r>
        <w:rPr>
          <w:sz w:val="22"/>
          <w:szCs w:val="22"/>
          <w:lang w:val="pl-PL"/>
        </w:rPr>
        <w:t>30</w:t>
      </w:r>
      <w:r>
        <w:rPr>
          <w:szCs w:val="22"/>
          <w:lang w:val="pl-PL"/>
        </w:rPr>
        <w:t xml:space="preserve"> </w:t>
      </w:r>
      <w:r>
        <w:rPr>
          <w:sz w:val="22"/>
          <w:szCs w:val="22"/>
        </w:rPr>
        <w:t>filmom obalených tabliet.</w:t>
      </w:r>
    </w:p>
    <w:p w14:paraId="4CA9FD7E" w14:textId="77777777" w:rsidR="0036326D" w:rsidRDefault="0036326D">
      <w:pPr>
        <w:pStyle w:val="Default"/>
        <w:tabs>
          <w:tab w:val="left" w:pos="6096"/>
        </w:tabs>
        <w:rPr>
          <w:sz w:val="22"/>
          <w:szCs w:val="22"/>
        </w:rPr>
      </w:pPr>
    </w:p>
    <w:p w14:paraId="306EAD9B" w14:textId="77777777" w:rsidR="0036326D" w:rsidRDefault="00443AFA">
      <w:pPr>
        <w:spacing w:after="0" w:line="240" w:lineRule="auto"/>
        <w:rPr>
          <w:rFonts w:ascii="Times New Roman" w:hAnsi="Times New Roman" w:cs="Times New Roman"/>
          <w:color w:val="000000"/>
        </w:rPr>
      </w:pPr>
      <w:r>
        <w:rPr>
          <w:rFonts w:ascii="Times New Roman" w:hAnsi="Times New Roman" w:cs="Times New Roman"/>
          <w:color w:val="000000"/>
        </w:rPr>
        <w:t>Na trh nemusia byť uvedené všetky veľkosti balenia.</w:t>
      </w:r>
    </w:p>
    <w:p w14:paraId="2106DD31" w14:textId="77777777" w:rsidR="0036326D" w:rsidRDefault="0036326D">
      <w:pPr>
        <w:pStyle w:val="Default"/>
        <w:tabs>
          <w:tab w:val="left" w:pos="6096"/>
        </w:tabs>
        <w:rPr>
          <w:sz w:val="22"/>
          <w:szCs w:val="22"/>
        </w:rPr>
      </w:pPr>
    </w:p>
    <w:p w14:paraId="1F605806" w14:textId="77777777" w:rsidR="0036326D" w:rsidRDefault="00443AFA">
      <w:pPr>
        <w:pStyle w:val="Default"/>
        <w:tabs>
          <w:tab w:val="left" w:pos="567"/>
        </w:tabs>
        <w:rPr>
          <w:b/>
          <w:bCs/>
          <w:sz w:val="22"/>
          <w:szCs w:val="22"/>
        </w:rPr>
      </w:pPr>
      <w:r>
        <w:rPr>
          <w:b/>
          <w:bCs/>
          <w:sz w:val="22"/>
          <w:szCs w:val="22"/>
        </w:rPr>
        <w:t>6.6</w:t>
      </w:r>
      <w:r>
        <w:rPr>
          <w:b/>
          <w:bCs/>
          <w:sz w:val="22"/>
          <w:szCs w:val="22"/>
        </w:rPr>
        <w:tab/>
        <w:t xml:space="preserve">Špeciálne opatrenia na likvidáciu a iné zaobchádzanie s liekom  </w:t>
      </w:r>
    </w:p>
    <w:p w14:paraId="4E1DB2FF" w14:textId="77777777" w:rsidR="0036326D" w:rsidRDefault="0036326D">
      <w:pPr>
        <w:pStyle w:val="Default"/>
        <w:rPr>
          <w:sz w:val="22"/>
          <w:szCs w:val="22"/>
        </w:rPr>
      </w:pPr>
    </w:p>
    <w:p w14:paraId="6468D227" w14:textId="309451DB" w:rsidR="0036326D" w:rsidRDefault="00443AFA">
      <w:pPr>
        <w:pStyle w:val="Default"/>
        <w:rPr>
          <w:sz w:val="22"/>
          <w:szCs w:val="22"/>
        </w:rPr>
      </w:pPr>
      <w:r>
        <w:rPr>
          <w:sz w:val="22"/>
          <w:szCs w:val="22"/>
        </w:rPr>
        <w:t>Všetok nepoužitý liek alebo odpad vzniknutý z lieku sa má zlikvidovať v súlade s národnými požiadavkami.</w:t>
      </w:r>
    </w:p>
    <w:p w14:paraId="24530321" w14:textId="77777777" w:rsidR="0036326D" w:rsidRDefault="0036326D">
      <w:pPr>
        <w:pStyle w:val="Default"/>
        <w:rPr>
          <w:sz w:val="22"/>
          <w:szCs w:val="22"/>
        </w:rPr>
      </w:pPr>
    </w:p>
    <w:p w14:paraId="1FABBE1D" w14:textId="77777777" w:rsidR="0036326D" w:rsidRDefault="0036326D">
      <w:pPr>
        <w:pStyle w:val="Default"/>
        <w:tabs>
          <w:tab w:val="left" w:pos="6096"/>
        </w:tabs>
        <w:rPr>
          <w:b/>
          <w:bCs/>
          <w:sz w:val="22"/>
          <w:szCs w:val="22"/>
        </w:rPr>
      </w:pPr>
    </w:p>
    <w:p w14:paraId="1AA9300F" w14:textId="77777777" w:rsidR="0036326D" w:rsidRDefault="00443AFA">
      <w:pPr>
        <w:pStyle w:val="Default"/>
        <w:tabs>
          <w:tab w:val="left" w:pos="567"/>
          <w:tab w:val="left" w:pos="6096"/>
        </w:tabs>
        <w:rPr>
          <w:b/>
          <w:bCs/>
          <w:sz w:val="22"/>
          <w:szCs w:val="22"/>
        </w:rPr>
      </w:pPr>
      <w:r>
        <w:rPr>
          <w:b/>
          <w:bCs/>
          <w:sz w:val="22"/>
          <w:szCs w:val="22"/>
        </w:rPr>
        <w:t>7.</w:t>
      </w:r>
      <w:r>
        <w:rPr>
          <w:b/>
          <w:bCs/>
          <w:sz w:val="22"/>
          <w:szCs w:val="22"/>
        </w:rPr>
        <w:tab/>
        <w:t>DRŽITEĽ ROZHODNUTIA O REGISTRÁCII</w:t>
      </w:r>
    </w:p>
    <w:p w14:paraId="67A57AE6" w14:textId="77777777" w:rsidR="0036326D" w:rsidRDefault="0036326D">
      <w:pPr>
        <w:spacing w:after="0" w:line="240" w:lineRule="auto"/>
        <w:rPr>
          <w:rFonts w:ascii="Times New Roman" w:hAnsi="Times New Roman" w:cs="Times New Roman"/>
          <w:color w:val="000000"/>
        </w:rPr>
      </w:pPr>
      <w:bookmarkStart w:id="4" w:name="_Hlk2854878"/>
      <w:bookmarkEnd w:id="4"/>
    </w:p>
    <w:p w14:paraId="5268C662" w14:textId="45151553" w:rsidR="0036326D" w:rsidRDefault="00443AFA">
      <w:pPr>
        <w:pStyle w:val="Default"/>
        <w:rPr>
          <w:sz w:val="22"/>
          <w:szCs w:val="22"/>
        </w:rPr>
      </w:pPr>
      <w:bookmarkStart w:id="5" w:name="_Hlk28548781"/>
      <w:bookmarkEnd w:id="5"/>
      <w:r>
        <w:rPr>
          <w:sz w:val="22"/>
          <w:szCs w:val="22"/>
        </w:rPr>
        <w:t>M</w:t>
      </w:r>
      <w:r w:rsidR="00C96A86">
        <w:rPr>
          <w:sz w:val="22"/>
          <w:szCs w:val="22"/>
        </w:rPr>
        <w:t>ERCK</w:t>
      </w:r>
      <w:r>
        <w:rPr>
          <w:sz w:val="22"/>
          <w:szCs w:val="22"/>
        </w:rPr>
        <w:t xml:space="preserve"> spol. s r.o.</w:t>
      </w:r>
    </w:p>
    <w:p w14:paraId="188F8EF9" w14:textId="77777777" w:rsidR="0036326D" w:rsidRDefault="00443AFA">
      <w:pPr>
        <w:pStyle w:val="Default"/>
        <w:rPr>
          <w:sz w:val="22"/>
          <w:szCs w:val="22"/>
        </w:rPr>
      </w:pPr>
      <w:r>
        <w:rPr>
          <w:sz w:val="22"/>
          <w:szCs w:val="22"/>
        </w:rPr>
        <w:t>Dvořákovo nábrežie 4</w:t>
      </w:r>
    </w:p>
    <w:p w14:paraId="566C931D" w14:textId="77777777" w:rsidR="0036326D" w:rsidRDefault="00443AFA">
      <w:pPr>
        <w:pStyle w:val="Default"/>
        <w:rPr>
          <w:sz w:val="22"/>
          <w:szCs w:val="22"/>
        </w:rPr>
      </w:pPr>
      <w:r>
        <w:rPr>
          <w:sz w:val="22"/>
          <w:szCs w:val="22"/>
        </w:rPr>
        <w:t>810 06 Bratislava</w:t>
      </w:r>
    </w:p>
    <w:p w14:paraId="1E54A344" w14:textId="77777777" w:rsidR="0036326D" w:rsidRDefault="00443AFA">
      <w:pPr>
        <w:pStyle w:val="Default"/>
        <w:rPr>
          <w:sz w:val="22"/>
          <w:szCs w:val="22"/>
        </w:rPr>
      </w:pPr>
      <w:r>
        <w:rPr>
          <w:sz w:val="22"/>
          <w:szCs w:val="22"/>
        </w:rPr>
        <w:t>Slovenská republika</w:t>
      </w:r>
      <w:bookmarkStart w:id="6" w:name="_Hlk45379637"/>
      <w:bookmarkEnd w:id="6"/>
    </w:p>
    <w:p w14:paraId="3008387A" w14:textId="77777777" w:rsidR="0036326D" w:rsidRDefault="0036326D">
      <w:pPr>
        <w:spacing w:after="0" w:line="240" w:lineRule="auto"/>
        <w:rPr>
          <w:rFonts w:ascii="Times New Roman" w:hAnsi="Times New Roman" w:cs="Times New Roman"/>
        </w:rPr>
      </w:pPr>
    </w:p>
    <w:p w14:paraId="466B72D1" w14:textId="77777777" w:rsidR="0036326D" w:rsidRDefault="0036326D">
      <w:pPr>
        <w:spacing w:after="0" w:line="240" w:lineRule="auto"/>
        <w:rPr>
          <w:rFonts w:ascii="Times New Roman" w:hAnsi="Times New Roman" w:cs="Times New Roman"/>
        </w:rPr>
      </w:pPr>
    </w:p>
    <w:p w14:paraId="2320953E" w14:textId="77777777" w:rsidR="0036326D" w:rsidRDefault="00443AFA">
      <w:pPr>
        <w:tabs>
          <w:tab w:val="left" w:pos="567"/>
        </w:tabs>
        <w:spacing w:after="0" w:line="240" w:lineRule="auto"/>
        <w:rPr>
          <w:rFonts w:ascii="Times New Roman" w:hAnsi="Times New Roman" w:cs="Times New Roman"/>
          <w:b/>
          <w:bCs/>
        </w:rPr>
      </w:pPr>
      <w:r>
        <w:rPr>
          <w:rFonts w:ascii="Times New Roman" w:hAnsi="Times New Roman" w:cs="Times New Roman"/>
          <w:b/>
          <w:bCs/>
        </w:rPr>
        <w:t>8.</w:t>
      </w:r>
      <w:r>
        <w:rPr>
          <w:rFonts w:ascii="Times New Roman" w:hAnsi="Times New Roman" w:cs="Times New Roman"/>
          <w:b/>
          <w:bCs/>
        </w:rPr>
        <w:tab/>
        <w:t>REGISTRAČNÉ ČÍSLO</w:t>
      </w:r>
    </w:p>
    <w:p w14:paraId="340A32C8" w14:textId="77777777" w:rsidR="0036326D" w:rsidRDefault="0036326D">
      <w:pPr>
        <w:spacing w:after="0" w:line="240" w:lineRule="auto"/>
        <w:rPr>
          <w:rFonts w:ascii="Times New Roman" w:hAnsi="Times New Roman" w:cs="Times New Roman"/>
          <w:b/>
          <w:bCs/>
        </w:rPr>
      </w:pPr>
    </w:p>
    <w:p w14:paraId="04471703" w14:textId="2D62C265" w:rsidR="0036326D" w:rsidRDefault="00F15921">
      <w:pPr>
        <w:spacing w:after="0" w:line="240" w:lineRule="auto"/>
        <w:rPr>
          <w:rFonts w:ascii="Times New Roman" w:hAnsi="Times New Roman" w:cs="Times New Roman"/>
          <w:color w:val="000000"/>
        </w:rPr>
      </w:pPr>
      <w:bookmarkStart w:id="7" w:name="_Hlk45379879"/>
      <w:bookmarkEnd w:id="7"/>
      <w:r w:rsidRPr="00F15921">
        <w:rPr>
          <w:rFonts w:ascii="Times New Roman" w:hAnsi="Times New Roman" w:cs="Times New Roman"/>
          <w:color w:val="000000"/>
        </w:rPr>
        <w:t>16/0286/20-S</w:t>
      </w:r>
    </w:p>
    <w:p w14:paraId="40C8673F" w14:textId="77777777" w:rsidR="00F15921" w:rsidRDefault="00F15921">
      <w:pPr>
        <w:spacing w:after="0" w:line="240" w:lineRule="auto"/>
        <w:rPr>
          <w:rFonts w:ascii="Times New Roman" w:hAnsi="Times New Roman" w:cs="Times New Roman"/>
          <w:color w:val="000000"/>
        </w:rPr>
      </w:pPr>
    </w:p>
    <w:p w14:paraId="364A8C22" w14:textId="77777777" w:rsidR="0036326D" w:rsidRDefault="0036326D">
      <w:pPr>
        <w:spacing w:after="0" w:line="240" w:lineRule="auto"/>
        <w:rPr>
          <w:rFonts w:ascii="Times New Roman" w:hAnsi="Times New Roman" w:cs="Times New Roman"/>
          <w:color w:val="000000"/>
        </w:rPr>
      </w:pPr>
    </w:p>
    <w:p w14:paraId="64EEB71C" w14:textId="77777777" w:rsidR="0036326D" w:rsidRDefault="00443AFA">
      <w:pPr>
        <w:pStyle w:val="Default"/>
        <w:tabs>
          <w:tab w:val="left" w:pos="567"/>
        </w:tabs>
        <w:rPr>
          <w:b/>
          <w:bCs/>
          <w:sz w:val="22"/>
          <w:szCs w:val="22"/>
        </w:rPr>
      </w:pPr>
      <w:bookmarkStart w:id="8" w:name="_GoBack"/>
      <w:bookmarkEnd w:id="8"/>
      <w:r>
        <w:rPr>
          <w:b/>
          <w:bCs/>
          <w:sz w:val="22"/>
          <w:szCs w:val="22"/>
        </w:rPr>
        <w:lastRenderedPageBreak/>
        <w:t>9.</w:t>
      </w:r>
      <w:r>
        <w:rPr>
          <w:b/>
          <w:bCs/>
          <w:sz w:val="22"/>
          <w:szCs w:val="22"/>
        </w:rPr>
        <w:tab/>
        <w:t xml:space="preserve">DÁTUM PRVEJ REGISTRÁCIE/ PREDĹŽENIA REGISTRÁCIE </w:t>
      </w:r>
    </w:p>
    <w:p w14:paraId="02663807" w14:textId="77777777" w:rsidR="0036326D" w:rsidRDefault="0036326D">
      <w:pPr>
        <w:pStyle w:val="Default"/>
        <w:tabs>
          <w:tab w:val="left" w:pos="6096"/>
        </w:tabs>
        <w:rPr>
          <w:sz w:val="22"/>
          <w:szCs w:val="22"/>
        </w:rPr>
      </w:pPr>
    </w:p>
    <w:p w14:paraId="26800C1B" w14:textId="77777777" w:rsidR="0036326D" w:rsidRDefault="00443AFA">
      <w:pPr>
        <w:pStyle w:val="Default"/>
        <w:tabs>
          <w:tab w:val="left" w:pos="6096"/>
        </w:tabs>
        <w:rPr>
          <w:sz w:val="22"/>
          <w:szCs w:val="22"/>
        </w:rPr>
      </w:pPr>
      <w:r>
        <w:rPr>
          <w:sz w:val="22"/>
          <w:szCs w:val="22"/>
        </w:rPr>
        <w:t>Dátum prvej registrácie:</w:t>
      </w:r>
    </w:p>
    <w:p w14:paraId="195D3E0E" w14:textId="77777777" w:rsidR="0036326D" w:rsidRDefault="0036326D">
      <w:pPr>
        <w:pStyle w:val="Default"/>
        <w:tabs>
          <w:tab w:val="left" w:pos="6096"/>
        </w:tabs>
        <w:rPr>
          <w:sz w:val="22"/>
          <w:szCs w:val="22"/>
        </w:rPr>
      </w:pPr>
    </w:p>
    <w:p w14:paraId="29226C30" w14:textId="77777777" w:rsidR="0036326D" w:rsidRDefault="0036326D">
      <w:pPr>
        <w:pStyle w:val="Default"/>
        <w:tabs>
          <w:tab w:val="left" w:pos="6096"/>
        </w:tabs>
        <w:rPr>
          <w:b/>
          <w:bCs/>
          <w:sz w:val="22"/>
          <w:szCs w:val="22"/>
        </w:rPr>
      </w:pPr>
    </w:p>
    <w:p w14:paraId="289D43C2" w14:textId="77777777" w:rsidR="0036326D" w:rsidRDefault="00443AFA">
      <w:pPr>
        <w:pStyle w:val="Default"/>
        <w:tabs>
          <w:tab w:val="left" w:pos="567"/>
          <w:tab w:val="left" w:pos="6096"/>
        </w:tabs>
        <w:rPr>
          <w:b/>
          <w:bCs/>
          <w:sz w:val="22"/>
          <w:szCs w:val="22"/>
        </w:rPr>
      </w:pPr>
      <w:r>
        <w:rPr>
          <w:b/>
          <w:bCs/>
          <w:sz w:val="22"/>
          <w:szCs w:val="22"/>
        </w:rPr>
        <w:t>10.</w:t>
      </w:r>
      <w:r>
        <w:rPr>
          <w:b/>
          <w:bCs/>
          <w:sz w:val="22"/>
          <w:szCs w:val="22"/>
        </w:rPr>
        <w:tab/>
        <w:t>DÁTUM REVÍZIE TEXTU</w:t>
      </w:r>
    </w:p>
    <w:p w14:paraId="343D268B" w14:textId="77777777" w:rsidR="0036326D" w:rsidRDefault="0036326D">
      <w:pPr>
        <w:pStyle w:val="Default"/>
        <w:tabs>
          <w:tab w:val="left" w:pos="6096"/>
        </w:tabs>
        <w:rPr>
          <w:sz w:val="22"/>
          <w:szCs w:val="22"/>
        </w:rPr>
      </w:pPr>
    </w:p>
    <w:p w14:paraId="28FC7DC3" w14:textId="77777777" w:rsidR="0036326D" w:rsidRPr="00C96A86" w:rsidRDefault="00443AFA">
      <w:pPr>
        <w:pStyle w:val="Default"/>
        <w:tabs>
          <w:tab w:val="left" w:pos="6096"/>
        </w:tabs>
        <w:rPr>
          <w:sz w:val="22"/>
          <w:szCs w:val="22"/>
        </w:rPr>
      </w:pPr>
      <w:r w:rsidRPr="00C96A86">
        <w:rPr>
          <w:sz w:val="22"/>
          <w:szCs w:val="22"/>
        </w:rPr>
        <w:t>12/2020</w:t>
      </w:r>
    </w:p>
    <w:sectPr w:rsidR="0036326D" w:rsidRPr="00C96A86" w:rsidSect="00C96A86">
      <w:headerReference w:type="default" r:id="rId8"/>
      <w:footerReference w:type="default" r:id="rId9"/>
      <w:pgSz w:w="11906" w:h="16838"/>
      <w:pgMar w:top="1134" w:right="1418" w:bottom="1134" w:left="1418" w:header="737" w:footer="737" w:gutter="0"/>
      <w:cols w:space="708"/>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2C66EB" w16cid:durableId="236D3330"/>
  <w16cid:commentId w16cid:paraId="24319FF2" w16cid:durableId="236D3331"/>
  <w16cid:commentId w16cid:paraId="1604AECD" w16cid:durableId="236D3332"/>
  <w16cid:commentId w16cid:paraId="2BEEB8B1" w16cid:durableId="236D33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ECA83" w14:textId="77777777" w:rsidR="003331E4" w:rsidRDefault="003331E4" w:rsidP="0036326D">
      <w:pPr>
        <w:spacing w:after="0" w:line="240" w:lineRule="auto"/>
      </w:pPr>
      <w:r>
        <w:separator/>
      </w:r>
    </w:p>
  </w:endnote>
  <w:endnote w:type="continuationSeparator" w:id="0">
    <w:p w14:paraId="0AE8350B" w14:textId="77777777" w:rsidR="003331E4" w:rsidRDefault="003331E4" w:rsidP="0036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007949"/>
      <w:docPartObj>
        <w:docPartGallery w:val="Page Numbers (Bottom of Page)"/>
        <w:docPartUnique/>
      </w:docPartObj>
    </w:sdtPr>
    <w:sdtEndPr/>
    <w:sdtContent>
      <w:p w14:paraId="54F4B878" w14:textId="77777777" w:rsidR="003331E4" w:rsidRDefault="003331E4">
        <w:pPr>
          <w:pStyle w:val="Pta"/>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F15921">
          <w:rPr>
            <w:rFonts w:ascii="Times New Roman" w:hAnsi="Times New Roman" w:cs="Times New Roman"/>
            <w:noProof/>
            <w:sz w:val="18"/>
            <w:szCs w:val="18"/>
          </w:rPr>
          <w:t>28</w:t>
        </w:r>
        <w:r>
          <w:rPr>
            <w:rFonts w:ascii="Times New Roman" w:hAnsi="Times New Roman" w:cs="Times New Roman"/>
            <w:sz w:val="18"/>
            <w:szCs w:val="18"/>
          </w:rPr>
          <w:fldChar w:fldCharType="end"/>
        </w:r>
      </w:p>
    </w:sdtContent>
  </w:sdt>
  <w:p w14:paraId="4B55BCA5" w14:textId="77777777" w:rsidR="003331E4" w:rsidRDefault="003331E4">
    <w:pPr>
      <w:pStyle w:val="Pta"/>
    </w:pPr>
  </w:p>
  <w:p w14:paraId="3332D2BE" w14:textId="77777777" w:rsidR="003331E4" w:rsidRDefault="003331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5C7A7" w14:textId="77777777" w:rsidR="003331E4" w:rsidRDefault="003331E4" w:rsidP="0036326D">
      <w:pPr>
        <w:spacing w:after="0" w:line="240" w:lineRule="auto"/>
      </w:pPr>
      <w:r>
        <w:separator/>
      </w:r>
    </w:p>
  </w:footnote>
  <w:footnote w:type="continuationSeparator" w:id="0">
    <w:p w14:paraId="4D7CA979" w14:textId="77777777" w:rsidR="003331E4" w:rsidRDefault="003331E4" w:rsidP="00363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DF224" w14:textId="77777777" w:rsidR="003331E4" w:rsidRDefault="003331E4">
    <w:pPr>
      <w:pStyle w:val="Hlavika"/>
      <w:rPr>
        <w:rFonts w:ascii="Times New Roman" w:hAnsi="Times New Roman" w:cs="Times New Roman"/>
        <w:sz w:val="18"/>
        <w:szCs w:val="18"/>
      </w:rPr>
    </w:pPr>
    <w:r>
      <w:rPr>
        <w:rFonts w:ascii="Times New Roman" w:hAnsi="Times New Roman" w:cs="Times New Roman"/>
        <w:sz w:val="18"/>
        <w:szCs w:val="18"/>
      </w:rPr>
      <w:t>Schválený text k rozhodnutiu o registrácii, ev. č.: 2019/02568-REG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44EB"/>
    <w:multiLevelType w:val="multilevel"/>
    <w:tmpl w:val="78082E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7648C3"/>
    <w:multiLevelType w:val="multilevel"/>
    <w:tmpl w:val="5F08214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AC72EBA"/>
    <w:multiLevelType w:val="multilevel"/>
    <w:tmpl w:val="85EACDA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6D"/>
    <w:rsid w:val="003331E4"/>
    <w:rsid w:val="00360F9D"/>
    <w:rsid w:val="0036326D"/>
    <w:rsid w:val="00413AC1"/>
    <w:rsid w:val="00443AFA"/>
    <w:rsid w:val="00C96A86"/>
    <w:rsid w:val="00ED33CF"/>
    <w:rsid w:val="00F159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97A0AFE"/>
  <w15:docId w15:val="{80F4782E-622C-4BBE-A744-069AD534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326D"/>
    <w:pPr>
      <w:spacing w:after="160" w:line="259" w:lineRule="auto"/>
    </w:pPr>
  </w:style>
  <w:style w:type="paragraph" w:styleId="Nadpis2">
    <w:name w:val="heading 2"/>
    <w:basedOn w:val="Normlny"/>
    <w:next w:val="Normlny"/>
    <w:link w:val="Nadpis2Char"/>
    <w:autoRedefine/>
    <w:uiPriority w:val="99"/>
    <w:qFormat/>
    <w:rsid w:val="0009787A"/>
    <w:pPr>
      <w:keepNext/>
      <w:spacing w:after="0" w:line="240" w:lineRule="auto"/>
      <w:outlineLvl w:val="1"/>
    </w:pPr>
    <w:rPr>
      <w:rFonts w:ascii="Times New Roman" w:eastAsia="MS Mincho" w:hAnsi="Times New Roman" w:cs="Arial"/>
      <w:b/>
      <w:bCs/>
      <w:caps/>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546A93"/>
  </w:style>
  <w:style w:type="character" w:customStyle="1" w:styleId="PtaChar">
    <w:name w:val="Päta Char"/>
    <w:basedOn w:val="Predvolenpsmoodseku"/>
    <w:link w:val="Pta"/>
    <w:uiPriority w:val="99"/>
    <w:qFormat/>
    <w:rsid w:val="00546A93"/>
  </w:style>
  <w:style w:type="character" w:customStyle="1" w:styleId="TextbublinyChar">
    <w:name w:val="Text bubliny Char"/>
    <w:basedOn w:val="Predvolenpsmoodseku"/>
    <w:link w:val="Textbubliny"/>
    <w:uiPriority w:val="99"/>
    <w:semiHidden/>
    <w:qFormat/>
    <w:rsid w:val="0031010E"/>
    <w:rPr>
      <w:rFonts w:ascii="Segoe UI" w:hAnsi="Segoe UI" w:cs="Segoe UI"/>
      <w:sz w:val="18"/>
      <w:szCs w:val="18"/>
    </w:rPr>
  </w:style>
  <w:style w:type="character" w:customStyle="1" w:styleId="Nadpis2Char">
    <w:name w:val="Nadpis 2 Char"/>
    <w:basedOn w:val="Predvolenpsmoodseku"/>
    <w:link w:val="Nadpis2"/>
    <w:uiPriority w:val="99"/>
    <w:qFormat/>
    <w:rsid w:val="0009787A"/>
    <w:rPr>
      <w:rFonts w:ascii="Times New Roman" w:eastAsia="MS Mincho" w:hAnsi="Times New Roman" w:cs="Arial"/>
      <w:b/>
      <w:bCs/>
      <w:caps/>
      <w:lang w:val="en-GB" w:eastAsia="de-DE"/>
    </w:rPr>
  </w:style>
  <w:style w:type="character" w:styleId="Odkaznakomentr">
    <w:name w:val="annotation reference"/>
    <w:basedOn w:val="Predvolenpsmoodseku"/>
    <w:uiPriority w:val="99"/>
    <w:semiHidden/>
    <w:unhideWhenUsed/>
    <w:qFormat/>
    <w:rsid w:val="007F0EB3"/>
    <w:rPr>
      <w:sz w:val="16"/>
      <w:szCs w:val="16"/>
    </w:rPr>
  </w:style>
  <w:style w:type="character" w:customStyle="1" w:styleId="TextkomentraChar">
    <w:name w:val="Text komentára Char"/>
    <w:basedOn w:val="Predvolenpsmoodseku"/>
    <w:link w:val="Textkomentra"/>
    <w:uiPriority w:val="99"/>
    <w:semiHidden/>
    <w:qFormat/>
    <w:rsid w:val="007F0EB3"/>
    <w:rPr>
      <w:sz w:val="20"/>
      <w:szCs w:val="20"/>
    </w:rPr>
  </w:style>
  <w:style w:type="character" w:customStyle="1" w:styleId="PredmetkomentraChar">
    <w:name w:val="Predmet komentára Char"/>
    <w:basedOn w:val="TextkomentraChar"/>
    <w:link w:val="Predmetkomentra"/>
    <w:uiPriority w:val="99"/>
    <w:semiHidden/>
    <w:qFormat/>
    <w:rsid w:val="007F0EB3"/>
    <w:rPr>
      <w:b/>
      <w:bCs/>
      <w:sz w:val="20"/>
      <w:szCs w:val="20"/>
    </w:rPr>
  </w:style>
  <w:style w:type="character" w:customStyle="1" w:styleId="Internetovodkaz">
    <w:name w:val="Internetový odkaz"/>
    <w:rsid w:val="0036326D"/>
    <w:rPr>
      <w:color w:val="000080"/>
      <w:u w:val="single"/>
    </w:rPr>
  </w:style>
  <w:style w:type="paragraph" w:customStyle="1" w:styleId="Nadpis">
    <w:name w:val="Nadpis"/>
    <w:basedOn w:val="Normlny"/>
    <w:next w:val="Zkladntext"/>
    <w:qFormat/>
    <w:rsid w:val="0036326D"/>
    <w:pPr>
      <w:keepNext/>
      <w:spacing w:before="240" w:after="120"/>
    </w:pPr>
    <w:rPr>
      <w:rFonts w:ascii="Liberation Sans" w:eastAsia="Microsoft YaHei" w:hAnsi="Liberation Sans" w:cs="Lucida Sans"/>
      <w:sz w:val="28"/>
      <w:szCs w:val="28"/>
    </w:rPr>
  </w:style>
  <w:style w:type="paragraph" w:styleId="Zkladntext">
    <w:name w:val="Body Text"/>
    <w:basedOn w:val="Normlny"/>
    <w:rsid w:val="0036326D"/>
    <w:pPr>
      <w:spacing w:after="140" w:line="276" w:lineRule="auto"/>
    </w:pPr>
  </w:style>
  <w:style w:type="paragraph" w:styleId="Zoznam">
    <w:name w:val="List"/>
    <w:basedOn w:val="Zkladntext"/>
    <w:rsid w:val="0036326D"/>
    <w:rPr>
      <w:rFonts w:cs="Lucida Sans"/>
    </w:rPr>
  </w:style>
  <w:style w:type="paragraph" w:styleId="Popis">
    <w:name w:val="caption"/>
    <w:basedOn w:val="Normlny"/>
    <w:qFormat/>
    <w:rsid w:val="0036326D"/>
    <w:pPr>
      <w:suppressLineNumbers/>
      <w:spacing w:before="120" w:after="120"/>
    </w:pPr>
    <w:rPr>
      <w:rFonts w:cs="Lucida Sans"/>
      <w:i/>
      <w:iCs/>
      <w:sz w:val="24"/>
      <w:szCs w:val="24"/>
    </w:rPr>
  </w:style>
  <w:style w:type="paragraph" w:customStyle="1" w:styleId="Index">
    <w:name w:val="Index"/>
    <w:basedOn w:val="Normlny"/>
    <w:qFormat/>
    <w:rsid w:val="0036326D"/>
    <w:pPr>
      <w:suppressLineNumbers/>
    </w:pPr>
    <w:rPr>
      <w:rFonts w:cs="Lucida Sans"/>
    </w:rPr>
  </w:style>
  <w:style w:type="paragraph" w:customStyle="1" w:styleId="Default">
    <w:name w:val="Default"/>
    <w:qFormat/>
    <w:rsid w:val="00546A93"/>
    <w:rPr>
      <w:rFonts w:ascii="Times New Roman" w:eastAsia="Calibri" w:hAnsi="Times New Roman" w:cs="Times New Roman"/>
      <w:color w:val="000000"/>
      <w:sz w:val="24"/>
      <w:szCs w:val="24"/>
    </w:rPr>
  </w:style>
  <w:style w:type="paragraph" w:customStyle="1" w:styleId="Hlavikaapta">
    <w:name w:val="Hlavička a päta"/>
    <w:basedOn w:val="Normlny"/>
    <w:qFormat/>
    <w:rsid w:val="0036326D"/>
  </w:style>
  <w:style w:type="paragraph" w:styleId="Hlavika">
    <w:name w:val="header"/>
    <w:basedOn w:val="Normlny"/>
    <w:link w:val="HlavikaChar"/>
    <w:uiPriority w:val="99"/>
    <w:unhideWhenUsed/>
    <w:rsid w:val="00546A93"/>
    <w:pPr>
      <w:tabs>
        <w:tab w:val="center" w:pos="4536"/>
        <w:tab w:val="right" w:pos="9072"/>
      </w:tabs>
      <w:spacing w:after="0" w:line="240" w:lineRule="auto"/>
    </w:pPr>
  </w:style>
  <w:style w:type="paragraph" w:styleId="Pta">
    <w:name w:val="footer"/>
    <w:basedOn w:val="Normlny"/>
    <w:link w:val="PtaChar"/>
    <w:uiPriority w:val="99"/>
    <w:unhideWhenUsed/>
    <w:rsid w:val="00546A93"/>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31010E"/>
    <w:pPr>
      <w:spacing w:after="0" w:line="240" w:lineRule="auto"/>
    </w:pPr>
    <w:rPr>
      <w:rFonts w:ascii="Segoe UI" w:hAnsi="Segoe UI" w:cs="Segoe UI"/>
      <w:sz w:val="18"/>
      <w:szCs w:val="18"/>
    </w:rPr>
  </w:style>
  <w:style w:type="paragraph" w:styleId="Revzia">
    <w:name w:val="Revision"/>
    <w:uiPriority w:val="99"/>
    <w:semiHidden/>
    <w:qFormat/>
    <w:rsid w:val="00B20146"/>
  </w:style>
  <w:style w:type="paragraph" w:styleId="Odsekzoznamu">
    <w:name w:val="List Paragraph"/>
    <w:basedOn w:val="Normlny"/>
    <w:uiPriority w:val="34"/>
    <w:qFormat/>
    <w:rsid w:val="004107D1"/>
    <w:pPr>
      <w:ind w:left="720"/>
      <w:contextualSpacing/>
    </w:pPr>
  </w:style>
  <w:style w:type="paragraph" w:styleId="Textkomentra">
    <w:name w:val="annotation text"/>
    <w:basedOn w:val="Normlny"/>
    <w:link w:val="TextkomentraChar"/>
    <w:uiPriority w:val="99"/>
    <w:semiHidden/>
    <w:unhideWhenUsed/>
    <w:qFormat/>
    <w:rsid w:val="007F0EB3"/>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7F0EB3"/>
    <w:rPr>
      <w:b/>
      <w:bCs/>
    </w:rPr>
  </w:style>
  <w:style w:type="paragraph" w:styleId="Normlnywebov">
    <w:name w:val="Normal (Web)"/>
    <w:basedOn w:val="Normlny"/>
    <w:uiPriority w:val="99"/>
    <w:unhideWhenUsed/>
    <w:qFormat/>
    <w:rsid w:val="00204A97"/>
    <w:pPr>
      <w:spacing w:beforeAutospacing="1" w:afterAutospacing="1" w:line="240" w:lineRule="auto"/>
    </w:pPr>
    <w:rPr>
      <w:rFonts w:ascii="Times New Roman" w:eastAsia="Times New Roman" w:hAnsi="Times New Roman" w:cs="Times New Roman"/>
      <w:sz w:val="24"/>
      <w:szCs w:val="24"/>
      <w:lang w:val="de-DE" w:eastAsia="de-DE"/>
    </w:rPr>
  </w:style>
  <w:style w:type="table" w:styleId="Mriekatabuky">
    <w:name w:val="Table Grid"/>
    <w:basedOn w:val="Normlnatabuka"/>
    <w:uiPriority w:val="59"/>
    <w:rsid w:val="00F141A8"/>
    <w:rPr>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59"/>
    <w:rsid w:val="00130E58"/>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28</Pages>
  <Words>11712</Words>
  <Characters>66762</Characters>
  <Application>Microsoft Office Word</Application>
  <DocSecurity>0</DocSecurity>
  <Lines>556</Lines>
  <Paragraphs>156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Kamila Bezeková</cp:lastModifiedBy>
  <cp:revision>4</cp:revision>
  <cp:lastPrinted>2019-06-10T11:33:00Z</cp:lastPrinted>
  <dcterms:created xsi:type="dcterms:W3CDTF">2020-11-28T19:36:00Z</dcterms:created>
  <dcterms:modified xsi:type="dcterms:W3CDTF">2020-12-10T15:21:00Z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NewReviewCycle">
    <vt:lpwstr/>
  </property>
</Properties>
</file>