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E01AC" w14:textId="77777777" w:rsidR="0065586B" w:rsidRPr="0063664A" w:rsidRDefault="0065586B" w:rsidP="002672E5">
      <w:pPr>
        <w:jc w:val="center"/>
        <w:rPr>
          <w:b/>
          <w:sz w:val="22"/>
          <w:szCs w:val="22"/>
          <w:lang w:val="sk-SK"/>
        </w:rPr>
      </w:pPr>
      <w:bookmarkStart w:id="0" w:name="_GoBack"/>
      <w:bookmarkEnd w:id="0"/>
      <w:r w:rsidRPr="0063664A">
        <w:rPr>
          <w:b/>
          <w:sz w:val="22"/>
          <w:szCs w:val="22"/>
          <w:lang w:val="sk-SK"/>
        </w:rPr>
        <w:t>SÚHRN CHARAKTERISTICKÝCH VLASTNOSTÍ LIEKU</w:t>
      </w:r>
    </w:p>
    <w:p w14:paraId="6122D323" w14:textId="77777777" w:rsidR="0065586B" w:rsidRPr="0063664A" w:rsidRDefault="0065586B" w:rsidP="002672E5">
      <w:pPr>
        <w:tabs>
          <w:tab w:val="left" w:pos="1425"/>
        </w:tabs>
        <w:rPr>
          <w:bCs/>
          <w:sz w:val="22"/>
          <w:szCs w:val="22"/>
          <w:lang w:val="sk-SK"/>
        </w:rPr>
      </w:pPr>
    </w:p>
    <w:p w14:paraId="100AD3A3" w14:textId="77777777" w:rsidR="0065586B" w:rsidRPr="0063664A" w:rsidRDefault="0065586B" w:rsidP="0063664A">
      <w:pPr>
        <w:tabs>
          <w:tab w:val="left" w:pos="1425"/>
        </w:tabs>
        <w:rPr>
          <w:sz w:val="22"/>
          <w:lang w:val="sk-SK"/>
        </w:rPr>
      </w:pPr>
    </w:p>
    <w:p w14:paraId="0A65D99A" w14:textId="77777777" w:rsidR="0065586B" w:rsidRPr="0063664A" w:rsidRDefault="0065586B" w:rsidP="0063664A">
      <w:pPr>
        <w:keepNext/>
        <w:numPr>
          <w:ilvl w:val="0"/>
          <w:numId w:val="3"/>
        </w:numPr>
        <w:tabs>
          <w:tab w:val="clear" w:pos="360"/>
          <w:tab w:val="num" w:pos="567"/>
        </w:tabs>
        <w:ind w:left="567" w:hanging="567"/>
        <w:rPr>
          <w:b/>
          <w:sz w:val="22"/>
          <w:lang w:val="sk-SK"/>
        </w:rPr>
      </w:pPr>
      <w:r w:rsidRPr="0063664A">
        <w:rPr>
          <w:b/>
          <w:caps/>
          <w:sz w:val="22"/>
          <w:lang w:val="sk-SK"/>
        </w:rPr>
        <w:t>Názov lieku</w:t>
      </w:r>
    </w:p>
    <w:p w14:paraId="0059A411" w14:textId="77777777" w:rsidR="0065586B" w:rsidRPr="0063664A" w:rsidRDefault="0065586B" w:rsidP="009B7F59">
      <w:pPr>
        <w:keepNext/>
        <w:rPr>
          <w:bCs/>
          <w:sz w:val="22"/>
          <w:szCs w:val="22"/>
          <w:lang w:val="sk-SK"/>
        </w:rPr>
      </w:pPr>
    </w:p>
    <w:p w14:paraId="09F7DFB8" w14:textId="70EB2E05" w:rsidR="002633F6" w:rsidRPr="0063664A" w:rsidRDefault="0065586B" w:rsidP="0063664A">
      <w:pPr>
        <w:rPr>
          <w:sz w:val="22"/>
          <w:lang w:val="sk-SK"/>
        </w:rPr>
      </w:pPr>
      <w:r w:rsidRPr="0063664A">
        <w:rPr>
          <w:sz w:val="22"/>
          <w:lang w:val="sk-SK"/>
        </w:rPr>
        <w:t>KL</w:t>
      </w:r>
      <w:r w:rsidR="002633F6" w:rsidRPr="0063664A">
        <w:rPr>
          <w:sz w:val="22"/>
          <w:lang w:val="sk-SK"/>
        </w:rPr>
        <w:t xml:space="preserve">ERIMED </w:t>
      </w:r>
      <w:r w:rsidR="002633F6" w:rsidRPr="0063664A">
        <w:rPr>
          <w:bCs/>
          <w:sz w:val="22"/>
          <w:szCs w:val="22"/>
          <w:lang w:val="sk-SK"/>
        </w:rPr>
        <w:t>250mg</w:t>
      </w:r>
    </w:p>
    <w:p w14:paraId="054E4A86" w14:textId="77777777" w:rsidR="002633F6" w:rsidRPr="0063664A" w:rsidRDefault="002633F6" w:rsidP="0063664A">
      <w:pPr>
        <w:rPr>
          <w:sz w:val="22"/>
          <w:lang w:val="sk-SK"/>
        </w:rPr>
      </w:pPr>
      <w:r w:rsidRPr="0063664A">
        <w:rPr>
          <w:sz w:val="22"/>
          <w:lang w:val="sk-SK"/>
        </w:rPr>
        <w:t>KLERIMED</w:t>
      </w:r>
      <w:r w:rsidR="0065586B" w:rsidRPr="0063664A">
        <w:rPr>
          <w:sz w:val="22"/>
          <w:lang w:val="sk-SK"/>
        </w:rPr>
        <w:t xml:space="preserve"> 500 mg</w:t>
      </w:r>
      <w:r w:rsidR="0065586B" w:rsidRPr="0063664A">
        <w:rPr>
          <w:bCs/>
          <w:sz w:val="22"/>
          <w:szCs w:val="22"/>
          <w:lang w:val="sk-SK"/>
        </w:rPr>
        <w:t xml:space="preserve"> </w:t>
      </w:r>
    </w:p>
    <w:p w14:paraId="278DACC5" w14:textId="77777777" w:rsidR="0065586B" w:rsidRPr="0063664A" w:rsidRDefault="0065586B" w:rsidP="002672E5">
      <w:pPr>
        <w:rPr>
          <w:sz w:val="22"/>
          <w:szCs w:val="22"/>
          <w:lang w:val="sk-SK"/>
        </w:rPr>
      </w:pPr>
      <w:r w:rsidRPr="0063664A">
        <w:rPr>
          <w:bCs/>
          <w:sz w:val="22"/>
          <w:szCs w:val="22"/>
          <w:lang w:val="sk-SK"/>
        </w:rPr>
        <w:t>filmom obalené tablety</w:t>
      </w:r>
    </w:p>
    <w:p w14:paraId="0129D1B2" w14:textId="77777777" w:rsidR="0065586B" w:rsidRPr="0063664A" w:rsidRDefault="0065586B" w:rsidP="0063664A">
      <w:pPr>
        <w:rPr>
          <w:sz w:val="22"/>
          <w:lang w:val="sk-SK"/>
        </w:rPr>
      </w:pPr>
    </w:p>
    <w:p w14:paraId="3C5E5B3A" w14:textId="77777777" w:rsidR="0065586B" w:rsidRPr="0063664A" w:rsidRDefault="0065586B" w:rsidP="0063664A">
      <w:pPr>
        <w:rPr>
          <w:sz w:val="22"/>
          <w:lang w:val="sk-SK"/>
        </w:rPr>
      </w:pPr>
    </w:p>
    <w:p w14:paraId="0ADE9771" w14:textId="095158BA" w:rsidR="0065586B" w:rsidRPr="0063664A" w:rsidRDefault="0065586B" w:rsidP="0063664A">
      <w:pPr>
        <w:keepNext/>
        <w:numPr>
          <w:ilvl w:val="0"/>
          <w:numId w:val="3"/>
        </w:numPr>
        <w:tabs>
          <w:tab w:val="clear" w:pos="360"/>
          <w:tab w:val="num" w:pos="567"/>
        </w:tabs>
        <w:ind w:left="567" w:hanging="567"/>
        <w:rPr>
          <w:b/>
          <w:caps/>
          <w:sz w:val="22"/>
          <w:lang w:val="sk-SK"/>
        </w:rPr>
      </w:pPr>
      <w:r w:rsidRPr="0063664A">
        <w:rPr>
          <w:b/>
          <w:caps/>
          <w:sz w:val="22"/>
          <w:lang w:val="sk-SK"/>
        </w:rPr>
        <w:t>Kvalitatívne a</w:t>
      </w:r>
      <w:r w:rsidRPr="0063664A">
        <w:rPr>
          <w:b/>
          <w:caps/>
          <w:sz w:val="22"/>
          <w:szCs w:val="22"/>
          <w:lang w:val="sk-SK"/>
        </w:rPr>
        <w:t xml:space="preserve"> </w:t>
      </w:r>
      <w:r w:rsidRPr="0063664A">
        <w:rPr>
          <w:b/>
          <w:caps/>
          <w:sz w:val="22"/>
          <w:lang w:val="sk-SK"/>
        </w:rPr>
        <w:t>kvantitatívne zloženie</w:t>
      </w:r>
    </w:p>
    <w:p w14:paraId="1864810D" w14:textId="10C5820F" w:rsidR="0065586B" w:rsidRPr="0063664A" w:rsidRDefault="0065586B" w:rsidP="009B7F59">
      <w:pPr>
        <w:keepNext/>
        <w:rPr>
          <w:sz w:val="22"/>
          <w:szCs w:val="22"/>
          <w:lang w:val="sk-SK"/>
        </w:rPr>
      </w:pPr>
    </w:p>
    <w:p w14:paraId="62B78FA2" w14:textId="041B2C8E" w:rsidR="002633F6" w:rsidRPr="00EA6023" w:rsidRDefault="002633F6" w:rsidP="002672E5">
      <w:pPr>
        <w:rPr>
          <w:sz w:val="22"/>
          <w:szCs w:val="22"/>
          <w:lang w:val="sk-SK"/>
        </w:rPr>
      </w:pPr>
      <w:r w:rsidRPr="008D696F">
        <w:rPr>
          <w:sz w:val="22"/>
          <w:szCs w:val="22"/>
        </w:rPr>
        <w:t xml:space="preserve">KLERIMED 250 mg: </w:t>
      </w:r>
      <w:r w:rsidRPr="00EA6023">
        <w:rPr>
          <w:sz w:val="22"/>
          <w:szCs w:val="22"/>
          <w:lang w:val="sk-SK"/>
        </w:rPr>
        <w:t xml:space="preserve">Jedna filmom obalené tableta obsahuje </w:t>
      </w:r>
      <w:r w:rsidR="007D143D" w:rsidRPr="00EA6023">
        <w:rPr>
          <w:sz w:val="22"/>
          <w:szCs w:val="22"/>
          <w:lang w:val="sk-SK"/>
        </w:rPr>
        <w:t>25</w:t>
      </w:r>
      <w:r w:rsidRPr="008E4AA4">
        <w:rPr>
          <w:sz w:val="22"/>
          <w:szCs w:val="22"/>
          <w:lang w:val="sk-SK"/>
        </w:rPr>
        <w:t>0 mg klaritromycínu.</w:t>
      </w:r>
    </w:p>
    <w:p w14:paraId="370E37BB" w14:textId="2188F26B" w:rsidR="0065586B" w:rsidRPr="00EA6023" w:rsidRDefault="002633F6" w:rsidP="002672E5">
      <w:pPr>
        <w:rPr>
          <w:sz w:val="22"/>
          <w:szCs w:val="22"/>
          <w:lang w:val="sk-SK"/>
        </w:rPr>
      </w:pPr>
      <w:r w:rsidRPr="008D696F">
        <w:rPr>
          <w:sz w:val="22"/>
          <w:szCs w:val="22"/>
        </w:rPr>
        <w:t xml:space="preserve">KLERIMED 500 mg: </w:t>
      </w:r>
      <w:r w:rsidRPr="00EA6023">
        <w:rPr>
          <w:sz w:val="22"/>
          <w:szCs w:val="22"/>
          <w:lang w:val="sk-SK"/>
        </w:rPr>
        <w:t>Jedna</w:t>
      </w:r>
      <w:r w:rsidR="0065586B" w:rsidRPr="00EA6023">
        <w:rPr>
          <w:sz w:val="22"/>
          <w:szCs w:val="22"/>
          <w:lang w:val="sk-SK"/>
        </w:rPr>
        <w:t xml:space="preserve"> filmom obalené tableta obsahuje 500 mg klaritromycínu.</w:t>
      </w:r>
    </w:p>
    <w:p w14:paraId="377CE0C5" w14:textId="77777777" w:rsidR="0065586B" w:rsidRPr="0063664A" w:rsidRDefault="0065586B" w:rsidP="002672E5">
      <w:pPr>
        <w:rPr>
          <w:sz w:val="22"/>
          <w:szCs w:val="22"/>
          <w:lang w:val="sk-SK"/>
        </w:rPr>
      </w:pPr>
    </w:p>
    <w:p w14:paraId="701F51EF" w14:textId="77777777" w:rsidR="0065586B" w:rsidRPr="0063664A" w:rsidRDefault="0065586B" w:rsidP="002672E5">
      <w:pPr>
        <w:rPr>
          <w:sz w:val="22"/>
          <w:szCs w:val="22"/>
          <w:lang w:val="sk-SK"/>
        </w:rPr>
      </w:pPr>
    </w:p>
    <w:p w14:paraId="7C97437E" w14:textId="77777777" w:rsidR="0065586B" w:rsidRPr="0063664A" w:rsidRDefault="0065586B" w:rsidP="0063664A">
      <w:pPr>
        <w:keepNext/>
        <w:numPr>
          <w:ilvl w:val="0"/>
          <w:numId w:val="3"/>
        </w:numPr>
        <w:tabs>
          <w:tab w:val="clear" w:pos="360"/>
          <w:tab w:val="num" w:pos="567"/>
        </w:tabs>
        <w:ind w:left="567" w:hanging="567"/>
        <w:rPr>
          <w:b/>
          <w:caps/>
          <w:sz w:val="22"/>
          <w:lang w:val="sk-SK"/>
        </w:rPr>
      </w:pPr>
      <w:r w:rsidRPr="0063664A">
        <w:rPr>
          <w:b/>
          <w:caps/>
          <w:sz w:val="22"/>
          <w:szCs w:val="22"/>
          <w:lang w:val="sk-SK"/>
        </w:rPr>
        <w:t>lieková</w:t>
      </w:r>
      <w:r w:rsidRPr="0063664A">
        <w:rPr>
          <w:b/>
          <w:caps/>
          <w:sz w:val="22"/>
          <w:lang w:val="sk-SK"/>
        </w:rPr>
        <w:t xml:space="preserve"> forma</w:t>
      </w:r>
    </w:p>
    <w:p w14:paraId="52053AC6" w14:textId="77777777" w:rsidR="0065586B" w:rsidRPr="0063664A" w:rsidRDefault="0065586B" w:rsidP="009B7F59">
      <w:pPr>
        <w:keepNext/>
        <w:rPr>
          <w:bCs/>
          <w:sz w:val="22"/>
          <w:szCs w:val="22"/>
          <w:lang w:val="sk-SK"/>
        </w:rPr>
      </w:pPr>
    </w:p>
    <w:p w14:paraId="2DAC9D77" w14:textId="72B43A9D" w:rsidR="0065586B" w:rsidRPr="0063664A" w:rsidRDefault="00104674" w:rsidP="002672E5">
      <w:pPr>
        <w:rPr>
          <w:sz w:val="22"/>
          <w:szCs w:val="22"/>
          <w:lang w:val="sk-SK"/>
        </w:rPr>
      </w:pPr>
      <w:r w:rsidRPr="0063664A">
        <w:rPr>
          <w:sz w:val="22"/>
          <w:lang w:val="sk-SK"/>
        </w:rPr>
        <w:t xml:space="preserve">Filmom </w:t>
      </w:r>
      <w:r w:rsidR="0065586B" w:rsidRPr="0063664A">
        <w:rPr>
          <w:sz w:val="22"/>
          <w:szCs w:val="22"/>
          <w:lang w:val="sk-SK"/>
        </w:rPr>
        <w:t>obalená tableta</w:t>
      </w:r>
    </w:p>
    <w:p w14:paraId="5221A869" w14:textId="77777777" w:rsidR="0065586B" w:rsidRPr="0063664A" w:rsidRDefault="0065586B" w:rsidP="0063664A">
      <w:pPr>
        <w:rPr>
          <w:sz w:val="22"/>
          <w:lang w:val="sk-SK"/>
        </w:rPr>
      </w:pPr>
    </w:p>
    <w:p w14:paraId="7046973D" w14:textId="77777777" w:rsidR="002633F6" w:rsidRPr="0063664A" w:rsidRDefault="002633F6" w:rsidP="0063664A">
      <w:pPr>
        <w:rPr>
          <w:sz w:val="22"/>
          <w:lang w:val="sk-SK"/>
        </w:rPr>
      </w:pPr>
      <w:r w:rsidRPr="0063664A">
        <w:rPr>
          <w:sz w:val="22"/>
          <w:lang w:val="sk-SK"/>
        </w:rPr>
        <w:t>KLERIMED 250 mg: filmom obalené tablety oválneho tvaru a žltého sfarbenia s deliacou ryhou na jednej strane.</w:t>
      </w:r>
    </w:p>
    <w:p w14:paraId="5F24E9DB" w14:textId="77777777" w:rsidR="0065586B" w:rsidRPr="0063664A" w:rsidRDefault="002633F6" w:rsidP="0063664A">
      <w:pPr>
        <w:rPr>
          <w:sz w:val="22"/>
          <w:lang w:val="sk-SK"/>
        </w:rPr>
      </w:pPr>
      <w:r w:rsidRPr="0063664A">
        <w:rPr>
          <w:sz w:val="22"/>
          <w:lang w:val="sk-SK"/>
        </w:rPr>
        <w:t>KLERIMED 500 mg: filmom obalené tablety oválneho tvaru a žltého sfarbenia.</w:t>
      </w:r>
    </w:p>
    <w:p w14:paraId="262C6993" w14:textId="77777777" w:rsidR="0065586B" w:rsidRPr="0063664A" w:rsidRDefault="0065586B" w:rsidP="0063664A">
      <w:pPr>
        <w:rPr>
          <w:sz w:val="22"/>
          <w:lang w:val="sk-SK"/>
        </w:rPr>
      </w:pPr>
    </w:p>
    <w:p w14:paraId="10DAFF47" w14:textId="77777777" w:rsidR="0065586B" w:rsidRPr="0063664A" w:rsidRDefault="0065586B" w:rsidP="0063664A">
      <w:pPr>
        <w:keepNext/>
        <w:numPr>
          <w:ilvl w:val="0"/>
          <w:numId w:val="3"/>
        </w:numPr>
        <w:tabs>
          <w:tab w:val="clear" w:pos="360"/>
          <w:tab w:val="num" w:pos="567"/>
        </w:tabs>
        <w:ind w:left="567" w:hanging="567"/>
        <w:rPr>
          <w:b/>
          <w:caps/>
          <w:sz w:val="22"/>
          <w:lang w:val="sk-SK"/>
        </w:rPr>
      </w:pPr>
      <w:r w:rsidRPr="0063664A">
        <w:rPr>
          <w:b/>
          <w:caps/>
          <w:sz w:val="22"/>
          <w:lang w:val="sk-SK"/>
        </w:rPr>
        <w:t>Klinické údaje</w:t>
      </w:r>
    </w:p>
    <w:p w14:paraId="3C7FF639" w14:textId="77777777" w:rsidR="0065586B" w:rsidRPr="0063664A" w:rsidRDefault="0065586B" w:rsidP="009B7F59">
      <w:pPr>
        <w:keepNext/>
        <w:ind w:right="-765"/>
        <w:rPr>
          <w:bCs/>
          <w:caps/>
          <w:sz w:val="22"/>
          <w:szCs w:val="22"/>
          <w:lang w:val="sk-SK"/>
        </w:rPr>
      </w:pPr>
    </w:p>
    <w:p w14:paraId="1415C1BA" w14:textId="77777777" w:rsidR="0065586B" w:rsidRPr="0063664A" w:rsidRDefault="0065586B" w:rsidP="0063664A">
      <w:pPr>
        <w:keepNext/>
        <w:numPr>
          <w:ilvl w:val="1"/>
          <w:numId w:val="4"/>
        </w:numPr>
        <w:ind w:left="573" w:right="-765" w:hanging="573"/>
        <w:rPr>
          <w:b/>
          <w:sz w:val="22"/>
          <w:lang w:val="sk-SK"/>
        </w:rPr>
      </w:pPr>
      <w:r w:rsidRPr="0063664A">
        <w:rPr>
          <w:b/>
          <w:sz w:val="22"/>
          <w:lang w:val="sk-SK"/>
        </w:rPr>
        <w:t>Terapeutické indikácie</w:t>
      </w:r>
    </w:p>
    <w:p w14:paraId="21B5A7F5" w14:textId="07399F3C" w:rsidR="0065586B" w:rsidRPr="0063664A" w:rsidRDefault="0065586B" w:rsidP="009B7F59">
      <w:pPr>
        <w:keepNext/>
        <w:ind w:right="-765"/>
        <w:rPr>
          <w:bCs/>
          <w:iCs/>
          <w:sz w:val="22"/>
          <w:szCs w:val="22"/>
          <w:lang w:val="sk-SK"/>
        </w:rPr>
      </w:pPr>
    </w:p>
    <w:p w14:paraId="50F91BFF" w14:textId="489E8090" w:rsidR="0065586B" w:rsidRPr="0063664A" w:rsidRDefault="0065586B" w:rsidP="0063664A">
      <w:pPr>
        <w:rPr>
          <w:sz w:val="22"/>
          <w:lang w:val="sk-SK"/>
        </w:rPr>
      </w:pPr>
      <w:r w:rsidRPr="0063664A">
        <w:rPr>
          <w:sz w:val="22"/>
          <w:szCs w:val="22"/>
          <w:lang w:val="sk-SK"/>
        </w:rPr>
        <w:t>KL</w:t>
      </w:r>
      <w:r w:rsidR="002633F6" w:rsidRPr="0063664A">
        <w:rPr>
          <w:sz w:val="22"/>
          <w:szCs w:val="22"/>
          <w:lang w:val="sk-SK"/>
        </w:rPr>
        <w:t>ERIMED</w:t>
      </w:r>
      <w:r w:rsidRPr="0063664A">
        <w:rPr>
          <w:sz w:val="22"/>
          <w:szCs w:val="22"/>
          <w:lang w:val="sk-SK"/>
        </w:rPr>
        <w:t xml:space="preserve"> je indikovaný na</w:t>
      </w:r>
      <w:r w:rsidRPr="0063664A">
        <w:rPr>
          <w:sz w:val="22"/>
          <w:lang w:val="sk-SK"/>
        </w:rPr>
        <w:t xml:space="preserve"> liečbu infekcií </w:t>
      </w:r>
      <w:r w:rsidRPr="0063664A">
        <w:rPr>
          <w:sz w:val="22"/>
          <w:szCs w:val="22"/>
          <w:lang w:val="sk-SK"/>
        </w:rPr>
        <w:t>vyvolaných</w:t>
      </w:r>
      <w:r w:rsidRPr="0063664A">
        <w:rPr>
          <w:sz w:val="22"/>
          <w:lang w:val="sk-SK"/>
        </w:rPr>
        <w:t xml:space="preserve"> mikroorganizmami</w:t>
      </w:r>
      <w:r w:rsidRPr="0063664A">
        <w:rPr>
          <w:sz w:val="22"/>
          <w:szCs w:val="22"/>
          <w:lang w:val="sk-SK"/>
        </w:rPr>
        <w:t xml:space="preserve"> citlivými na klaritromycín</w:t>
      </w:r>
      <w:r w:rsidRPr="0063664A">
        <w:rPr>
          <w:sz w:val="22"/>
          <w:lang w:val="sk-SK"/>
        </w:rPr>
        <w:t>.</w:t>
      </w:r>
    </w:p>
    <w:p w14:paraId="7FB3F61A" w14:textId="23DC188A" w:rsidR="0065586B" w:rsidRPr="0063664A" w:rsidRDefault="0065586B" w:rsidP="002672E5">
      <w:pPr>
        <w:rPr>
          <w:sz w:val="22"/>
          <w:szCs w:val="22"/>
          <w:lang w:val="sk-SK"/>
        </w:rPr>
      </w:pPr>
      <w:r w:rsidRPr="0063664A">
        <w:rPr>
          <w:sz w:val="22"/>
          <w:szCs w:val="22"/>
          <w:lang w:val="sk-SK"/>
        </w:rPr>
        <w:t>K týmto infekciám patria:</w:t>
      </w:r>
    </w:p>
    <w:p w14:paraId="35F535F0" w14:textId="77777777" w:rsidR="0065586B" w:rsidRPr="0063664A" w:rsidRDefault="0065586B" w:rsidP="002672E5">
      <w:pPr>
        <w:tabs>
          <w:tab w:val="left" w:pos="567"/>
        </w:tabs>
        <w:ind w:left="567" w:hanging="567"/>
        <w:rPr>
          <w:sz w:val="22"/>
          <w:szCs w:val="22"/>
          <w:lang w:val="sk-SK"/>
        </w:rPr>
      </w:pPr>
      <w:r w:rsidRPr="0063664A">
        <w:rPr>
          <w:sz w:val="22"/>
          <w:szCs w:val="22"/>
          <w:lang w:val="sk-SK"/>
        </w:rPr>
        <w:t>-</w:t>
      </w:r>
      <w:r w:rsidRPr="0063664A">
        <w:rPr>
          <w:sz w:val="22"/>
          <w:szCs w:val="22"/>
          <w:lang w:val="sk-SK"/>
        </w:rPr>
        <w:tab/>
        <w:t>infekcie dolných dýchacích ciest (napr. bronchitída, pneumónia),</w:t>
      </w:r>
    </w:p>
    <w:p w14:paraId="1B2300A5" w14:textId="77777777" w:rsidR="0065586B" w:rsidRPr="0063664A" w:rsidRDefault="0065586B" w:rsidP="002672E5">
      <w:pPr>
        <w:tabs>
          <w:tab w:val="left" w:pos="567"/>
        </w:tabs>
        <w:ind w:left="567" w:hanging="567"/>
        <w:rPr>
          <w:sz w:val="22"/>
          <w:szCs w:val="22"/>
          <w:lang w:val="sk-SK"/>
        </w:rPr>
      </w:pPr>
      <w:r w:rsidRPr="0063664A">
        <w:rPr>
          <w:sz w:val="22"/>
          <w:szCs w:val="22"/>
          <w:lang w:val="sk-SK"/>
        </w:rPr>
        <w:t>-</w:t>
      </w:r>
      <w:r w:rsidRPr="0063664A">
        <w:rPr>
          <w:sz w:val="22"/>
          <w:szCs w:val="22"/>
          <w:lang w:val="sk-SK"/>
        </w:rPr>
        <w:tab/>
        <w:t>infekcie horných dýchacích ciest (napr. faryngitída, sínusitída),</w:t>
      </w:r>
    </w:p>
    <w:p w14:paraId="28DC8638" w14:textId="4DA62B4B" w:rsidR="0065586B" w:rsidRPr="0063664A" w:rsidRDefault="0065586B" w:rsidP="0063664A">
      <w:pPr>
        <w:tabs>
          <w:tab w:val="left" w:pos="567"/>
        </w:tabs>
        <w:ind w:left="567" w:hanging="567"/>
        <w:rPr>
          <w:sz w:val="22"/>
          <w:lang w:val="sk-SK"/>
        </w:rPr>
      </w:pPr>
      <w:r w:rsidRPr="0063664A">
        <w:rPr>
          <w:sz w:val="22"/>
          <w:szCs w:val="22"/>
          <w:lang w:val="sk-SK"/>
        </w:rPr>
        <w:t>-</w:t>
      </w:r>
      <w:r w:rsidRPr="0063664A">
        <w:rPr>
          <w:sz w:val="22"/>
          <w:szCs w:val="22"/>
          <w:lang w:val="sk-SK"/>
        </w:rPr>
        <w:tab/>
      </w:r>
      <w:r w:rsidRPr="0063664A">
        <w:rPr>
          <w:sz w:val="22"/>
          <w:lang w:val="sk-SK"/>
        </w:rPr>
        <w:t xml:space="preserve">infekcie kože a mäkkých tkanív </w:t>
      </w:r>
      <w:r w:rsidRPr="0063664A">
        <w:rPr>
          <w:sz w:val="22"/>
          <w:szCs w:val="22"/>
          <w:lang w:val="sk-SK"/>
        </w:rPr>
        <w:t>(napr. folikulitída, celulitída, eryzipel),</w:t>
      </w:r>
    </w:p>
    <w:p w14:paraId="2F15E8BD" w14:textId="7AD7A8D2" w:rsidR="0065586B" w:rsidRPr="0063664A" w:rsidRDefault="0065586B" w:rsidP="002672E5">
      <w:pPr>
        <w:tabs>
          <w:tab w:val="left" w:pos="567"/>
        </w:tabs>
        <w:ind w:left="567" w:hanging="567"/>
        <w:rPr>
          <w:i/>
          <w:sz w:val="22"/>
          <w:szCs w:val="22"/>
          <w:lang w:val="sk-SK"/>
        </w:rPr>
      </w:pPr>
      <w:r w:rsidRPr="0063664A">
        <w:rPr>
          <w:sz w:val="22"/>
          <w:szCs w:val="22"/>
          <w:lang w:val="sk-SK"/>
        </w:rPr>
        <w:t>-</w:t>
      </w:r>
      <w:r w:rsidRPr="0063664A">
        <w:rPr>
          <w:sz w:val="22"/>
          <w:szCs w:val="22"/>
          <w:lang w:val="sk-SK"/>
        </w:rPr>
        <w:tab/>
        <w:t xml:space="preserve">diseminované alebo lokalizované mykobakteriálne infekcie vyvolané </w:t>
      </w:r>
      <w:r w:rsidRPr="0063664A">
        <w:rPr>
          <w:i/>
          <w:sz w:val="22"/>
          <w:szCs w:val="22"/>
          <w:lang w:val="sk-SK"/>
        </w:rPr>
        <w:t xml:space="preserve">Mycobacterium avium </w:t>
      </w:r>
      <w:r w:rsidRPr="0063664A">
        <w:rPr>
          <w:sz w:val="22"/>
          <w:szCs w:val="22"/>
          <w:lang w:val="sk-SK"/>
        </w:rPr>
        <w:t>alebo</w:t>
      </w:r>
      <w:r w:rsidRPr="0063664A">
        <w:rPr>
          <w:i/>
          <w:sz w:val="22"/>
          <w:szCs w:val="22"/>
          <w:lang w:val="sk-SK"/>
        </w:rPr>
        <w:t xml:space="preserve"> Mycobacterium intracellulare,</w:t>
      </w:r>
    </w:p>
    <w:p w14:paraId="768E5EB1" w14:textId="77777777" w:rsidR="0065586B" w:rsidRPr="0063664A" w:rsidRDefault="0065586B" w:rsidP="002672E5">
      <w:pPr>
        <w:tabs>
          <w:tab w:val="left" w:pos="567"/>
        </w:tabs>
        <w:ind w:left="567" w:hanging="567"/>
        <w:rPr>
          <w:sz w:val="22"/>
          <w:szCs w:val="22"/>
          <w:lang w:val="sk-SK"/>
        </w:rPr>
      </w:pPr>
      <w:r w:rsidRPr="0063664A">
        <w:rPr>
          <w:sz w:val="22"/>
          <w:szCs w:val="22"/>
          <w:lang w:val="sk-SK"/>
        </w:rPr>
        <w:t>-</w:t>
      </w:r>
      <w:r w:rsidRPr="0063664A">
        <w:rPr>
          <w:sz w:val="22"/>
          <w:szCs w:val="22"/>
          <w:lang w:val="sk-SK"/>
        </w:rPr>
        <w:tab/>
        <w:t xml:space="preserve">lokalizované infekcie vyvolané </w:t>
      </w:r>
      <w:r w:rsidRPr="0063664A">
        <w:rPr>
          <w:i/>
          <w:sz w:val="22"/>
          <w:szCs w:val="22"/>
          <w:lang w:val="sk-SK"/>
        </w:rPr>
        <w:t>Mycobacterium chelonae, Mycobacterium fortuitum alebo Mycobacterium kansasii,</w:t>
      </w:r>
    </w:p>
    <w:p w14:paraId="4ED3A9CE" w14:textId="77777777" w:rsidR="0065586B" w:rsidRPr="0063664A" w:rsidRDefault="0065586B" w:rsidP="002672E5">
      <w:pPr>
        <w:tabs>
          <w:tab w:val="left" w:pos="567"/>
        </w:tabs>
        <w:ind w:left="567" w:hanging="567"/>
        <w:rPr>
          <w:sz w:val="22"/>
          <w:szCs w:val="22"/>
          <w:lang w:val="sk-SK"/>
        </w:rPr>
      </w:pPr>
      <w:r w:rsidRPr="0063664A">
        <w:rPr>
          <w:sz w:val="22"/>
          <w:szCs w:val="22"/>
          <w:lang w:val="sk-SK"/>
        </w:rPr>
        <w:t>-</w:t>
      </w:r>
      <w:r w:rsidRPr="0063664A">
        <w:rPr>
          <w:sz w:val="22"/>
          <w:szCs w:val="22"/>
          <w:lang w:val="sk-SK"/>
        </w:rPr>
        <w:tab/>
        <w:t xml:space="preserve">prevencia diseminovanej infekcie vyvolanej </w:t>
      </w:r>
      <w:r w:rsidRPr="0063664A">
        <w:rPr>
          <w:i/>
          <w:sz w:val="22"/>
          <w:szCs w:val="22"/>
          <w:lang w:val="sk-SK"/>
        </w:rPr>
        <w:t>Mycobacterium</w:t>
      </w:r>
      <w:r w:rsidRPr="0063664A">
        <w:rPr>
          <w:sz w:val="22"/>
          <w:szCs w:val="22"/>
          <w:lang w:val="sk-SK"/>
        </w:rPr>
        <w:t xml:space="preserve"> </w:t>
      </w:r>
      <w:r w:rsidRPr="0063664A">
        <w:rPr>
          <w:i/>
          <w:sz w:val="22"/>
          <w:szCs w:val="22"/>
          <w:lang w:val="sk-SK"/>
        </w:rPr>
        <w:t>avium complex (MAC)</w:t>
      </w:r>
      <w:r w:rsidRPr="0063664A">
        <w:rPr>
          <w:iCs/>
          <w:sz w:val="22"/>
          <w:szCs w:val="22"/>
          <w:lang w:val="sk-SK"/>
        </w:rPr>
        <w:t xml:space="preserve"> </w:t>
      </w:r>
      <w:r w:rsidRPr="0063664A">
        <w:rPr>
          <w:sz w:val="22"/>
          <w:szCs w:val="22"/>
          <w:lang w:val="sk-SK"/>
        </w:rPr>
        <w:t>u pacientov s infekciou HIV s počtom lymfocytov CD4 ≤ 100/µl,</w:t>
      </w:r>
    </w:p>
    <w:p w14:paraId="29262744" w14:textId="3E74728E" w:rsidR="0065586B" w:rsidRPr="0063664A" w:rsidRDefault="0065586B" w:rsidP="0063664A">
      <w:pPr>
        <w:tabs>
          <w:tab w:val="left" w:pos="567"/>
        </w:tabs>
        <w:ind w:left="567" w:hanging="567"/>
        <w:rPr>
          <w:sz w:val="22"/>
          <w:lang w:val="sk-SK"/>
        </w:rPr>
      </w:pPr>
      <w:r w:rsidRPr="0063664A">
        <w:rPr>
          <w:sz w:val="22"/>
          <w:szCs w:val="22"/>
          <w:lang w:val="sk-SK"/>
        </w:rPr>
        <w:t>-</w:t>
      </w:r>
      <w:r w:rsidRPr="0063664A">
        <w:rPr>
          <w:sz w:val="22"/>
          <w:szCs w:val="22"/>
          <w:lang w:val="sk-SK"/>
        </w:rPr>
        <w:tab/>
      </w:r>
      <w:r w:rsidRPr="0063664A">
        <w:rPr>
          <w:sz w:val="22"/>
          <w:lang w:val="sk-SK"/>
        </w:rPr>
        <w:t xml:space="preserve">eradikácia </w:t>
      </w:r>
      <w:r w:rsidRPr="0063664A">
        <w:rPr>
          <w:i/>
          <w:sz w:val="22"/>
          <w:lang w:val="sk-SK"/>
        </w:rPr>
        <w:t>Helicobacter pylori</w:t>
      </w:r>
      <w:r w:rsidRPr="0063664A">
        <w:rPr>
          <w:sz w:val="22"/>
          <w:lang w:val="sk-SK"/>
        </w:rPr>
        <w:t xml:space="preserve"> </w:t>
      </w:r>
      <w:r w:rsidRPr="0063664A">
        <w:rPr>
          <w:sz w:val="22"/>
          <w:szCs w:val="22"/>
          <w:lang w:val="sk-SK"/>
        </w:rPr>
        <w:t>v kombinácii s látkami potláčajúcimi aciditu s následným znížením recidívy duodenálneho vredu (pozri časť</w:t>
      </w:r>
      <w:r w:rsidR="00561991" w:rsidRPr="0063664A">
        <w:rPr>
          <w:sz w:val="22"/>
          <w:szCs w:val="22"/>
          <w:lang w:val="sk-SK"/>
        </w:rPr>
        <w:t> </w:t>
      </w:r>
      <w:r w:rsidRPr="0063664A">
        <w:rPr>
          <w:sz w:val="22"/>
          <w:szCs w:val="22"/>
          <w:lang w:val="sk-SK"/>
        </w:rPr>
        <w:t>4.2),</w:t>
      </w:r>
    </w:p>
    <w:p w14:paraId="37BD36F7" w14:textId="77777777" w:rsidR="0065586B" w:rsidRPr="0063664A" w:rsidRDefault="0065586B" w:rsidP="002672E5">
      <w:pPr>
        <w:tabs>
          <w:tab w:val="left" w:pos="567"/>
        </w:tabs>
        <w:ind w:left="567" w:hanging="567"/>
        <w:rPr>
          <w:sz w:val="22"/>
          <w:szCs w:val="22"/>
          <w:lang w:val="sk-SK"/>
        </w:rPr>
      </w:pPr>
      <w:r w:rsidRPr="0063664A">
        <w:rPr>
          <w:sz w:val="22"/>
          <w:szCs w:val="22"/>
          <w:lang w:val="sk-SK"/>
        </w:rPr>
        <w:t>-</w:t>
      </w:r>
      <w:r w:rsidRPr="0063664A">
        <w:rPr>
          <w:sz w:val="22"/>
          <w:szCs w:val="22"/>
          <w:lang w:val="sk-SK"/>
        </w:rPr>
        <w:tab/>
        <w:t>liečba odontogénnych infekcií.</w:t>
      </w:r>
    </w:p>
    <w:p w14:paraId="70F284B5" w14:textId="77777777" w:rsidR="0065586B" w:rsidRPr="0063664A" w:rsidRDefault="0065586B" w:rsidP="002672E5">
      <w:pPr>
        <w:tabs>
          <w:tab w:val="left" w:pos="567"/>
        </w:tabs>
        <w:ind w:left="142" w:hanging="142"/>
        <w:rPr>
          <w:sz w:val="22"/>
          <w:szCs w:val="22"/>
          <w:lang w:val="sk-SK"/>
        </w:rPr>
      </w:pPr>
    </w:p>
    <w:p w14:paraId="22DA11EF" w14:textId="77777777" w:rsidR="0065586B" w:rsidRPr="0063664A" w:rsidRDefault="0065586B" w:rsidP="002672E5">
      <w:pPr>
        <w:tabs>
          <w:tab w:val="left" w:pos="567"/>
        </w:tabs>
        <w:rPr>
          <w:sz w:val="22"/>
          <w:szCs w:val="22"/>
          <w:lang w:val="sk-SK"/>
        </w:rPr>
      </w:pPr>
      <w:r w:rsidRPr="0063664A">
        <w:rPr>
          <w:sz w:val="22"/>
          <w:szCs w:val="22"/>
          <w:lang w:val="sk-SK"/>
        </w:rPr>
        <w:t>Je potrebné vziať do úvahy oficiálne odporúčania pre správne používanie antibakteriálnych liečiv.</w:t>
      </w:r>
    </w:p>
    <w:p w14:paraId="22EED32B" w14:textId="77777777" w:rsidR="0065586B" w:rsidRPr="0063664A" w:rsidRDefault="0065586B" w:rsidP="002672E5">
      <w:pPr>
        <w:tabs>
          <w:tab w:val="left" w:pos="567"/>
        </w:tabs>
        <w:rPr>
          <w:sz w:val="22"/>
          <w:szCs w:val="22"/>
          <w:lang w:val="sk-SK"/>
        </w:rPr>
      </w:pPr>
    </w:p>
    <w:p w14:paraId="3F27EE31" w14:textId="77777777" w:rsidR="0065586B" w:rsidRPr="0063664A" w:rsidRDefault="0065586B" w:rsidP="002672E5">
      <w:pPr>
        <w:tabs>
          <w:tab w:val="left" w:pos="567"/>
        </w:tabs>
        <w:rPr>
          <w:sz w:val="22"/>
          <w:szCs w:val="22"/>
          <w:lang w:val="sk-SK"/>
        </w:rPr>
      </w:pPr>
      <w:r w:rsidRPr="0063664A">
        <w:rPr>
          <w:sz w:val="22"/>
          <w:szCs w:val="22"/>
          <w:lang w:val="sk-SK"/>
        </w:rPr>
        <w:t>K</w:t>
      </w:r>
      <w:r w:rsidR="002633F6" w:rsidRPr="0063664A">
        <w:rPr>
          <w:sz w:val="22"/>
          <w:szCs w:val="22"/>
          <w:lang w:val="sk-SK"/>
        </w:rPr>
        <w:t>LERIMED</w:t>
      </w:r>
      <w:r w:rsidRPr="0063664A">
        <w:rPr>
          <w:sz w:val="22"/>
          <w:szCs w:val="22"/>
          <w:lang w:val="sk-SK"/>
        </w:rPr>
        <w:t xml:space="preserve"> je indikovaný na liečbu dospelých a detí starších ako 12</w:t>
      </w:r>
      <w:r w:rsidR="002A563A" w:rsidRPr="0063664A">
        <w:rPr>
          <w:sz w:val="22"/>
          <w:szCs w:val="22"/>
          <w:lang w:val="sk-SK"/>
        </w:rPr>
        <w:t> </w:t>
      </w:r>
      <w:r w:rsidRPr="0063664A">
        <w:rPr>
          <w:sz w:val="22"/>
          <w:szCs w:val="22"/>
          <w:lang w:val="sk-SK"/>
        </w:rPr>
        <w:t>rokov.</w:t>
      </w:r>
    </w:p>
    <w:p w14:paraId="79E991E8" w14:textId="77777777" w:rsidR="0065586B" w:rsidRPr="0063664A" w:rsidRDefault="0065586B" w:rsidP="002672E5">
      <w:pPr>
        <w:rPr>
          <w:sz w:val="22"/>
          <w:szCs w:val="22"/>
          <w:lang w:val="sk-SK"/>
        </w:rPr>
      </w:pPr>
    </w:p>
    <w:p w14:paraId="108F75C2" w14:textId="77777777" w:rsidR="0065586B" w:rsidRPr="0063664A" w:rsidRDefault="0065586B" w:rsidP="00881CF1">
      <w:pPr>
        <w:keepNext/>
        <w:numPr>
          <w:ilvl w:val="1"/>
          <w:numId w:val="4"/>
        </w:numPr>
        <w:ind w:left="573" w:hanging="573"/>
        <w:rPr>
          <w:b/>
          <w:sz w:val="22"/>
          <w:szCs w:val="22"/>
          <w:lang w:val="sk-SK"/>
        </w:rPr>
      </w:pPr>
      <w:r w:rsidRPr="0063664A">
        <w:rPr>
          <w:b/>
          <w:sz w:val="22"/>
          <w:szCs w:val="22"/>
          <w:lang w:val="sk-SK"/>
        </w:rPr>
        <w:t>Dávkovanie a</w:t>
      </w:r>
      <w:r w:rsidR="000C44DF" w:rsidRPr="0063664A">
        <w:rPr>
          <w:b/>
          <w:sz w:val="22"/>
          <w:szCs w:val="22"/>
          <w:lang w:val="sk-SK"/>
        </w:rPr>
        <w:t> </w:t>
      </w:r>
      <w:r w:rsidRPr="0063664A">
        <w:rPr>
          <w:b/>
          <w:sz w:val="22"/>
          <w:szCs w:val="22"/>
          <w:lang w:val="sk-SK"/>
        </w:rPr>
        <w:t>spôsob podávania</w:t>
      </w:r>
    </w:p>
    <w:p w14:paraId="6AA54C58" w14:textId="77777777" w:rsidR="0065586B" w:rsidRPr="0063664A" w:rsidRDefault="0065586B" w:rsidP="009B7F59">
      <w:pPr>
        <w:keepNext/>
        <w:rPr>
          <w:bCs/>
          <w:sz w:val="22"/>
          <w:szCs w:val="22"/>
          <w:lang w:val="sk-SK"/>
        </w:rPr>
      </w:pPr>
    </w:p>
    <w:p w14:paraId="626EC700" w14:textId="77777777" w:rsidR="0065586B" w:rsidRPr="0063664A" w:rsidRDefault="0065586B" w:rsidP="0063664A">
      <w:pPr>
        <w:keepNext/>
        <w:rPr>
          <w:i/>
          <w:sz w:val="22"/>
          <w:lang w:val="sk-SK"/>
        </w:rPr>
      </w:pPr>
      <w:r w:rsidRPr="0063664A">
        <w:rPr>
          <w:i/>
          <w:sz w:val="22"/>
          <w:lang w:val="sk-SK"/>
        </w:rPr>
        <w:t>Dospelí</w:t>
      </w:r>
    </w:p>
    <w:p w14:paraId="4ED52E94" w14:textId="77777777" w:rsidR="0065586B" w:rsidRPr="0063664A" w:rsidRDefault="0065586B" w:rsidP="002672E5">
      <w:pPr>
        <w:rPr>
          <w:sz w:val="22"/>
          <w:szCs w:val="22"/>
          <w:lang w:val="sk-SK"/>
        </w:rPr>
      </w:pPr>
      <w:r w:rsidRPr="0063664A">
        <w:rPr>
          <w:sz w:val="22"/>
          <w:szCs w:val="22"/>
          <w:lang w:val="sk-SK"/>
        </w:rPr>
        <w:t xml:space="preserve">Odporúčaná dávka klaritromycínu pre dospelých a deti staršie ako 12 rokov je </w:t>
      </w:r>
      <w:r w:rsidRPr="0063664A">
        <w:rPr>
          <w:bCs/>
          <w:sz w:val="22"/>
          <w:szCs w:val="22"/>
          <w:lang w:val="sk-SK"/>
        </w:rPr>
        <w:t>250</w:t>
      </w:r>
      <w:r w:rsidRPr="0063664A">
        <w:rPr>
          <w:sz w:val="22"/>
          <w:szCs w:val="22"/>
          <w:lang w:val="sk-SK"/>
        </w:rPr>
        <w:t> </w:t>
      </w:r>
      <w:r w:rsidRPr="0063664A">
        <w:rPr>
          <w:bCs/>
          <w:sz w:val="22"/>
          <w:szCs w:val="22"/>
          <w:lang w:val="sk-SK"/>
        </w:rPr>
        <w:t>mg 2-krát denne.</w:t>
      </w:r>
      <w:r w:rsidRPr="0063664A">
        <w:rPr>
          <w:sz w:val="22"/>
          <w:szCs w:val="22"/>
          <w:lang w:val="sk-SK"/>
        </w:rPr>
        <w:t xml:space="preserve"> Pri ťažších infekciách sa môže dávka zvýšiť na 500 mg 2-krát denne. Zvyčajná dĺžka liečby je 5 až 14 dní, okrem pneumónie získanej v komunite a sínusitídy, ktoré vyžadujú 6 až 14-dňovú liečbu.</w:t>
      </w:r>
    </w:p>
    <w:p w14:paraId="6368CCF7" w14:textId="77777777" w:rsidR="0065586B" w:rsidRPr="0063664A" w:rsidRDefault="0065586B" w:rsidP="002672E5">
      <w:pPr>
        <w:pStyle w:val="Zkladntext2"/>
        <w:jc w:val="left"/>
        <w:rPr>
          <w:sz w:val="22"/>
          <w:szCs w:val="22"/>
          <w:lang w:val="sk-SK"/>
        </w:rPr>
      </w:pPr>
    </w:p>
    <w:p w14:paraId="468BFA78" w14:textId="77777777" w:rsidR="0065586B" w:rsidRPr="0063664A" w:rsidRDefault="0065586B" w:rsidP="009B7F59">
      <w:pPr>
        <w:keepNext/>
        <w:rPr>
          <w:i/>
          <w:sz w:val="22"/>
          <w:szCs w:val="22"/>
          <w:lang w:val="sk-SK"/>
        </w:rPr>
      </w:pPr>
      <w:r w:rsidRPr="0063664A">
        <w:rPr>
          <w:i/>
          <w:sz w:val="22"/>
          <w:szCs w:val="22"/>
          <w:lang w:val="sk-SK"/>
        </w:rPr>
        <w:t>Dávkovanie u</w:t>
      </w:r>
      <w:r w:rsidR="00991770" w:rsidRPr="0063664A">
        <w:rPr>
          <w:i/>
          <w:sz w:val="22"/>
          <w:szCs w:val="22"/>
          <w:lang w:val="sk-SK"/>
        </w:rPr>
        <w:t> </w:t>
      </w:r>
      <w:r w:rsidRPr="0063664A">
        <w:rPr>
          <w:i/>
          <w:sz w:val="22"/>
          <w:szCs w:val="22"/>
          <w:lang w:val="sk-SK"/>
        </w:rPr>
        <w:t>pacientov s mykobakteriálnymi infekciami</w:t>
      </w:r>
    </w:p>
    <w:p w14:paraId="0314A62A" w14:textId="77777777" w:rsidR="0065586B" w:rsidRPr="0063664A" w:rsidRDefault="0065586B" w:rsidP="002672E5">
      <w:pPr>
        <w:rPr>
          <w:sz w:val="22"/>
          <w:szCs w:val="22"/>
          <w:lang w:val="sk-SK"/>
        </w:rPr>
      </w:pPr>
      <w:r w:rsidRPr="0063664A">
        <w:rPr>
          <w:sz w:val="22"/>
          <w:szCs w:val="22"/>
          <w:lang w:val="sk-SK"/>
        </w:rPr>
        <w:t>Odporúčaná dávka u dospelých s mykobakteriálnymi infekciami je 500 mg 2-krát denne.</w:t>
      </w:r>
    </w:p>
    <w:p w14:paraId="4A374132" w14:textId="77777777" w:rsidR="0065586B" w:rsidRPr="0063664A" w:rsidRDefault="0065586B" w:rsidP="002672E5">
      <w:pPr>
        <w:rPr>
          <w:sz w:val="22"/>
          <w:szCs w:val="22"/>
          <w:lang w:val="sk-SK"/>
        </w:rPr>
      </w:pPr>
      <w:r w:rsidRPr="0063664A">
        <w:rPr>
          <w:sz w:val="22"/>
          <w:szCs w:val="22"/>
          <w:lang w:val="sk-SK"/>
        </w:rPr>
        <w:lastRenderedPageBreak/>
        <w:t>Liečba diseminovaných infekcií vyvolaných</w:t>
      </w:r>
      <w:r w:rsidRPr="0063664A">
        <w:rPr>
          <w:i/>
          <w:sz w:val="22"/>
          <w:szCs w:val="22"/>
          <w:lang w:val="sk-SK"/>
        </w:rPr>
        <w:t xml:space="preserve"> Mycobacterium avium complex</w:t>
      </w:r>
      <w:r w:rsidRPr="0063664A">
        <w:rPr>
          <w:sz w:val="22"/>
          <w:szCs w:val="22"/>
          <w:lang w:val="sk-SK"/>
        </w:rPr>
        <w:t xml:space="preserve"> musí u pacientov s AIDS trvať tak dlho, kým sa neprejaví klinický a mikrobiologický prínos liečby. Klaritromycín sa má podávať v kombinácii s ďalšími antimykobakteriálnymi liečivami.</w:t>
      </w:r>
    </w:p>
    <w:p w14:paraId="44CCEDE3" w14:textId="77777777" w:rsidR="0065586B" w:rsidRPr="0063664A" w:rsidRDefault="0065586B" w:rsidP="002672E5">
      <w:pPr>
        <w:rPr>
          <w:sz w:val="22"/>
          <w:szCs w:val="22"/>
          <w:lang w:val="sk-SK"/>
        </w:rPr>
      </w:pPr>
      <w:r w:rsidRPr="0063664A">
        <w:rPr>
          <w:sz w:val="22"/>
          <w:szCs w:val="22"/>
          <w:lang w:val="sk-SK"/>
        </w:rPr>
        <w:t>Dĺžka liečby iných netuberkulóznych mykobakteriálnych infekcií závisí od rozhodnutia lekára.</w:t>
      </w:r>
    </w:p>
    <w:p w14:paraId="04CEFC54" w14:textId="77777777" w:rsidR="0065586B" w:rsidRPr="0063664A" w:rsidRDefault="0065586B" w:rsidP="002672E5">
      <w:pPr>
        <w:rPr>
          <w:sz w:val="22"/>
          <w:szCs w:val="22"/>
          <w:lang w:val="sk-SK"/>
        </w:rPr>
      </w:pPr>
    </w:p>
    <w:p w14:paraId="13B2D459" w14:textId="77777777" w:rsidR="0065586B" w:rsidRPr="0063664A" w:rsidRDefault="0065586B" w:rsidP="009B7F59">
      <w:pPr>
        <w:keepNext/>
        <w:rPr>
          <w:i/>
          <w:iCs/>
          <w:sz w:val="22"/>
          <w:szCs w:val="22"/>
          <w:lang w:val="sk-SK"/>
        </w:rPr>
      </w:pPr>
      <w:r w:rsidRPr="0063664A">
        <w:rPr>
          <w:i/>
          <w:iCs/>
          <w:sz w:val="22"/>
          <w:szCs w:val="22"/>
          <w:lang w:val="sk-SK"/>
        </w:rPr>
        <w:t>Profylaktická liečba pri infekciách vyvolaných Mycobacterium avium complex</w:t>
      </w:r>
    </w:p>
    <w:p w14:paraId="4E8905CA" w14:textId="77777777" w:rsidR="0065586B" w:rsidRPr="0063664A" w:rsidRDefault="0065586B" w:rsidP="002672E5">
      <w:pPr>
        <w:pStyle w:val="Zkladntext2"/>
        <w:jc w:val="left"/>
        <w:rPr>
          <w:sz w:val="22"/>
          <w:szCs w:val="22"/>
          <w:lang w:val="sk-SK"/>
        </w:rPr>
      </w:pPr>
      <w:r w:rsidRPr="0063664A">
        <w:rPr>
          <w:sz w:val="22"/>
          <w:szCs w:val="22"/>
          <w:lang w:val="sk-SK"/>
        </w:rPr>
        <w:t>Odporúčaná dávka klaritromycínu pre dospelých je 500 mg 2-krát denne.</w:t>
      </w:r>
    </w:p>
    <w:p w14:paraId="79AFFDB5" w14:textId="77777777" w:rsidR="0065586B" w:rsidRPr="0063664A" w:rsidRDefault="0065586B" w:rsidP="002672E5">
      <w:pPr>
        <w:pStyle w:val="Zkladntext2"/>
        <w:jc w:val="left"/>
        <w:rPr>
          <w:sz w:val="22"/>
          <w:szCs w:val="22"/>
          <w:lang w:val="sk-SK"/>
        </w:rPr>
      </w:pPr>
    </w:p>
    <w:p w14:paraId="6FA4F519" w14:textId="77777777" w:rsidR="0065586B" w:rsidRPr="0063664A" w:rsidRDefault="0065586B" w:rsidP="009B7F59">
      <w:pPr>
        <w:keepNext/>
        <w:rPr>
          <w:i/>
          <w:iCs/>
          <w:sz w:val="22"/>
          <w:szCs w:val="22"/>
          <w:lang w:val="sk-SK"/>
        </w:rPr>
      </w:pPr>
      <w:r w:rsidRPr="0063664A">
        <w:rPr>
          <w:i/>
          <w:iCs/>
          <w:sz w:val="22"/>
          <w:szCs w:val="22"/>
          <w:lang w:val="sk-SK"/>
        </w:rPr>
        <w:t>Liečba odontogénnych infekcií</w:t>
      </w:r>
    </w:p>
    <w:p w14:paraId="265BB319" w14:textId="77777777" w:rsidR="0065586B" w:rsidRPr="0063664A" w:rsidRDefault="0065586B" w:rsidP="002672E5">
      <w:pPr>
        <w:rPr>
          <w:sz w:val="22"/>
          <w:szCs w:val="22"/>
          <w:lang w:val="sk-SK"/>
        </w:rPr>
      </w:pPr>
      <w:r w:rsidRPr="0063664A">
        <w:rPr>
          <w:sz w:val="22"/>
          <w:szCs w:val="22"/>
          <w:lang w:val="sk-SK"/>
        </w:rPr>
        <w:t>Odporúčaná dávka na liečbu odontogénnych infekcií je 250 mg klaritromycínu 2-krát denne počas 5 dní.</w:t>
      </w:r>
    </w:p>
    <w:p w14:paraId="26F29908" w14:textId="77777777" w:rsidR="0065586B" w:rsidRPr="0063664A" w:rsidRDefault="0065586B" w:rsidP="002672E5">
      <w:pPr>
        <w:pStyle w:val="Zkladntext2"/>
        <w:jc w:val="left"/>
        <w:rPr>
          <w:sz w:val="22"/>
          <w:szCs w:val="22"/>
          <w:lang w:val="sk-SK"/>
        </w:rPr>
      </w:pPr>
    </w:p>
    <w:p w14:paraId="43E57E4E" w14:textId="77777777" w:rsidR="0065586B" w:rsidRPr="0063664A" w:rsidRDefault="0065586B" w:rsidP="002672E5">
      <w:pPr>
        <w:rPr>
          <w:sz w:val="22"/>
          <w:szCs w:val="22"/>
          <w:lang w:val="sk-SK"/>
        </w:rPr>
      </w:pPr>
      <w:r w:rsidRPr="0063664A">
        <w:rPr>
          <w:sz w:val="22"/>
          <w:szCs w:val="22"/>
          <w:lang w:val="sk-SK"/>
        </w:rPr>
        <w:t>U pacientov s peptickým vredom spôsobeným infekciou H. pylori sa môže klaritromycín podávať v dávke 500 mg dvakrát denne v kombinácii s ďalšou vhodnou antimikrobiálnou liečbou a inhibítorom protónovej pumpy 7 až 14 dní v súlade s odporúčaniami národných alebo medzinárodných smerníc na eradikáciu H. pylori.</w:t>
      </w:r>
    </w:p>
    <w:p w14:paraId="562B4B3B" w14:textId="77777777" w:rsidR="0065586B" w:rsidRPr="0063664A" w:rsidRDefault="0065586B" w:rsidP="002672E5">
      <w:pPr>
        <w:pStyle w:val="Zarkazkladnhotextu"/>
        <w:jc w:val="left"/>
        <w:rPr>
          <w:sz w:val="22"/>
          <w:szCs w:val="22"/>
          <w:lang w:val="sk-SK"/>
        </w:rPr>
      </w:pPr>
    </w:p>
    <w:p w14:paraId="55F1E88E" w14:textId="77777777" w:rsidR="0065586B" w:rsidRPr="0063664A" w:rsidRDefault="0065586B" w:rsidP="009B7F59">
      <w:pPr>
        <w:keepNext/>
        <w:rPr>
          <w:i/>
          <w:iCs/>
          <w:sz w:val="22"/>
          <w:szCs w:val="22"/>
          <w:lang w:val="sk-SK"/>
        </w:rPr>
      </w:pPr>
      <w:r w:rsidRPr="0063664A">
        <w:rPr>
          <w:i/>
          <w:iCs/>
          <w:sz w:val="22"/>
          <w:szCs w:val="22"/>
          <w:lang w:val="sk-SK"/>
        </w:rPr>
        <w:t>Pacienti s poruchou funkcie obličiek</w:t>
      </w:r>
    </w:p>
    <w:p w14:paraId="3C736C6C" w14:textId="77777777" w:rsidR="0065586B" w:rsidRPr="0063664A" w:rsidRDefault="0065586B" w:rsidP="002672E5">
      <w:pPr>
        <w:pStyle w:val="Zkladntext2"/>
        <w:jc w:val="left"/>
        <w:rPr>
          <w:sz w:val="22"/>
          <w:szCs w:val="22"/>
          <w:lang w:val="sk-SK"/>
        </w:rPr>
      </w:pPr>
      <w:r w:rsidRPr="0063664A">
        <w:rPr>
          <w:sz w:val="22"/>
          <w:szCs w:val="22"/>
          <w:lang w:val="sk-SK"/>
        </w:rPr>
        <w:t>U</w:t>
      </w:r>
      <w:r w:rsidR="00991770" w:rsidRPr="0063664A">
        <w:rPr>
          <w:sz w:val="22"/>
          <w:szCs w:val="22"/>
          <w:lang w:val="sk-SK"/>
        </w:rPr>
        <w:t> </w:t>
      </w:r>
      <w:r w:rsidRPr="0063664A">
        <w:rPr>
          <w:sz w:val="22"/>
          <w:szCs w:val="22"/>
          <w:lang w:val="sk-SK"/>
        </w:rPr>
        <w:t xml:space="preserve">pacientov s poruchou funkcie obličiek (klírens kreatinínu nižší ako 0,5 ml/s) je potrebné dávku klaritromycínu znížiť na polovicu, t. j. 250 mg 1-krát denne alebo pri ťažších infekciách 250 mg 2-krát denne. U týchto pacientov nemá liečba presiahnuť 14 dní. </w:t>
      </w:r>
    </w:p>
    <w:p w14:paraId="33134719" w14:textId="77777777" w:rsidR="0065586B" w:rsidRPr="0063664A" w:rsidRDefault="0065586B" w:rsidP="002672E5">
      <w:pPr>
        <w:pStyle w:val="Zkladntext2"/>
        <w:jc w:val="left"/>
        <w:rPr>
          <w:i/>
          <w:sz w:val="22"/>
          <w:szCs w:val="22"/>
          <w:lang w:val="sk-SK"/>
        </w:rPr>
      </w:pPr>
    </w:p>
    <w:p w14:paraId="059B5816" w14:textId="77777777" w:rsidR="0065586B" w:rsidRPr="0063664A" w:rsidRDefault="0065586B" w:rsidP="009B7F59">
      <w:pPr>
        <w:pStyle w:val="Zkladntext2"/>
        <w:keepNext/>
        <w:jc w:val="left"/>
        <w:rPr>
          <w:i/>
          <w:sz w:val="22"/>
          <w:szCs w:val="22"/>
          <w:lang w:val="sk-SK"/>
        </w:rPr>
      </w:pPr>
      <w:r w:rsidRPr="0063664A">
        <w:rPr>
          <w:i/>
          <w:sz w:val="22"/>
          <w:szCs w:val="22"/>
          <w:lang w:val="sk-SK"/>
        </w:rPr>
        <w:t>Pediatrická populácia</w:t>
      </w:r>
    </w:p>
    <w:p w14:paraId="338EFAD7" w14:textId="77777777" w:rsidR="0065586B" w:rsidRPr="0063664A" w:rsidRDefault="0065586B" w:rsidP="002672E5">
      <w:pPr>
        <w:pStyle w:val="Zkladntext2"/>
        <w:jc w:val="left"/>
        <w:rPr>
          <w:i/>
          <w:sz w:val="22"/>
          <w:szCs w:val="22"/>
          <w:lang w:val="sk-SK"/>
        </w:rPr>
      </w:pPr>
      <w:r w:rsidRPr="0063664A">
        <w:rPr>
          <w:i/>
          <w:sz w:val="22"/>
          <w:szCs w:val="22"/>
          <w:lang w:val="sk-SK"/>
        </w:rPr>
        <w:t>Deti staršie ako 12 rokov</w:t>
      </w:r>
    </w:p>
    <w:p w14:paraId="0F39E273" w14:textId="77777777" w:rsidR="0065586B" w:rsidRPr="0063664A" w:rsidRDefault="0065586B" w:rsidP="0063664A">
      <w:pPr>
        <w:pStyle w:val="Zkladntext2"/>
        <w:jc w:val="left"/>
        <w:rPr>
          <w:sz w:val="22"/>
          <w:lang w:val="sk-SK"/>
        </w:rPr>
      </w:pPr>
      <w:r w:rsidRPr="0063664A">
        <w:rPr>
          <w:sz w:val="22"/>
          <w:szCs w:val="22"/>
          <w:lang w:val="sk-SK"/>
        </w:rPr>
        <w:t>Dávkovanie ako u dospelých</w:t>
      </w:r>
      <w:r w:rsidRPr="0063664A">
        <w:rPr>
          <w:sz w:val="22"/>
          <w:lang w:val="sk-SK"/>
        </w:rPr>
        <w:t>.</w:t>
      </w:r>
    </w:p>
    <w:p w14:paraId="3AB10F2C" w14:textId="77777777" w:rsidR="0065586B" w:rsidRPr="0063664A" w:rsidRDefault="0065586B" w:rsidP="0063664A">
      <w:pPr>
        <w:pStyle w:val="Zkladntext2"/>
        <w:jc w:val="left"/>
        <w:rPr>
          <w:i/>
          <w:sz w:val="22"/>
          <w:lang w:val="sk-SK"/>
        </w:rPr>
      </w:pPr>
    </w:p>
    <w:p w14:paraId="359FEA12" w14:textId="77777777" w:rsidR="0065586B" w:rsidRPr="0063664A" w:rsidRDefault="0065586B" w:rsidP="009B7F59">
      <w:pPr>
        <w:pStyle w:val="Zkladntext2"/>
        <w:keepNext/>
        <w:jc w:val="left"/>
        <w:rPr>
          <w:i/>
          <w:sz w:val="22"/>
          <w:szCs w:val="22"/>
          <w:lang w:val="sk-SK"/>
        </w:rPr>
      </w:pPr>
      <w:r w:rsidRPr="0063664A">
        <w:rPr>
          <w:i/>
          <w:sz w:val="22"/>
          <w:lang w:val="sk-SK"/>
        </w:rPr>
        <w:t xml:space="preserve">Deti mladšie ako </w:t>
      </w:r>
      <w:r w:rsidRPr="0063664A">
        <w:rPr>
          <w:i/>
          <w:sz w:val="22"/>
          <w:szCs w:val="22"/>
          <w:lang w:val="sk-SK"/>
        </w:rPr>
        <w:t>12 rokov</w:t>
      </w:r>
    </w:p>
    <w:p w14:paraId="52E37B45" w14:textId="77777777" w:rsidR="0065586B" w:rsidRPr="0063664A" w:rsidRDefault="0065586B" w:rsidP="002672E5">
      <w:pPr>
        <w:pStyle w:val="Zkladntext2"/>
        <w:jc w:val="left"/>
        <w:rPr>
          <w:sz w:val="22"/>
          <w:szCs w:val="22"/>
          <w:lang w:val="sk-SK"/>
        </w:rPr>
      </w:pPr>
      <w:r w:rsidRPr="0063664A">
        <w:rPr>
          <w:sz w:val="22"/>
          <w:szCs w:val="22"/>
          <w:lang w:val="sk-SK"/>
        </w:rPr>
        <w:t xml:space="preserve">U detí vo veku 6 mesiacov až 12 rokov sa uskutočnili klinické skúšania s použitím perorálnej suspenzie klaritromycínu. Preto sa má u detí mladších ako 12 rokov použiť klaritromycín vo forme perorálnej suspenzie (granulátu na perorálnu suspenziu). </w:t>
      </w:r>
    </w:p>
    <w:p w14:paraId="7BFCF1E3" w14:textId="77777777" w:rsidR="0065586B" w:rsidRPr="0063664A" w:rsidRDefault="0065586B" w:rsidP="002672E5">
      <w:pPr>
        <w:rPr>
          <w:iCs/>
          <w:sz w:val="22"/>
          <w:szCs w:val="22"/>
          <w:lang w:val="sk-SK"/>
        </w:rPr>
      </w:pPr>
    </w:p>
    <w:p w14:paraId="31D879EB" w14:textId="77777777" w:rsidR="0065586B" w:rsidRPr="0063664A" w:rsidRDefault="0065586B" w:rsidP="00881CF1">
      <w:pPr>
        <w:keepNext/>
        <w:tabs>
          <w:tab w:val="left" w:pos="567"/>
        </w:tabs>
        <w:ind w:left="567" w:hanging="567"/>
        <w:rPr>
          <w:sz w:val="22"/>
          <w:szCs w:val="22"/>
          <w:lang w:val="sk-SK"/>
        </w:rPr>
      </w:pPr>
      <w:r w:rsidRPr="0063664A">
        <w:rPr>
          <w:b/>
          <w:sz w:val="22"/>
          <w:szCs w:val="22"/>
          <w:lang w:val="sk-SK"/>
        </w:rPr>
        <w:t>4.3</w:t>
      </w:r>
      <w:r w:rsidRPr="0063664A">
        <w:rPr>
          <w:b/>
          <w:sz w:val="22"/>
          <w:szCs w:val="22"/>
          <w:lang w:val="sk-SK"/>
        </w:rPr>
        <w:tab/>
        <w:t>Kontraindikácie</w:t>
      </w:r>
    </w:p>
    <w:p w14:paraId="58C9E7F0" w14:textId="77777777" w:rsidR="0065586B" w:rsidRPr="0063664A" w:rsidRDefault="0065586B" w:rsidP="009B7F59">
      <w:pPr>
        <w:keepNext/>
        <w:rPr>
          <w:sz w:val="22"/>
          <w:szCs w:val="22"/>
          <w:lang w:val="sk-SK"/>
        </w:rPr>
      </w:pPr>
    </w:p>
    <w:p w14:paraId="54D3CB89" w14:textId="77777777" w:rsidR="0065586B" w:rsidRPr="0063664A" w:rsidRDefault="0065586B" w:rsidP="002672E5">
      <w:pPr>
        <w:rPr>
          <w:sz w:val="22"/>
          <w:szCs w:val="22"/>
          <w:lang w:val="sk-SK"/>
        </w:rPr>
      </w:pPr>
      <w:r w:rsidRPr="0063664A">
        <w:rPr>
          <w:sz w:val="22"/>
          <w:szCs w:val="22"/>
          <w:lang w:val="sk-SK"/>
        </w:rPr>
        <w:t>Precitlivenosť na klaritromycín, iné makrolidové antibiotiká alebo na ktorúkoľvek z pomocných látok uvedených v časti 6.1.</w:t>
      </w:r>
    </w:p>
    <w:p w14:paraId="5C342F71" w14:textId="77777777" w:rsidR="0065586B" w:rsidRPr="0063664A" w:rsidRDefault="0065586B" w:rsidP="002672E5">
      <w:pPr>
        <w:rPr>
          <w:sz w:val="22"/>
          <w:szCs w:val="22"/>
          <w:lang w:val="sk-SK"/>
        </w:rPr>
      </w:pPr>
    </w:p>
    <w:p w14:paraId="590CF8BC" w14:textId="77777777" w:rsidR="0065586B" w:rsidRPr="0063664A" w:rsidRDefault="0065586B" w:rsidP="002672E5">
      <w:pPr>
        <w:rPr>
          <w:sz w:val="22"/>
          <w:szCs w:val="22"/>
          <w:lang w:val="sk-SK"/>
        </w:rPr>
      </w:pPr>
      <w:r w:rsidRPr="0063664A">
        <w:rPr>
          <w:sz w:val="22"/>
          <w:szCs w:val="22"/>
          <w:lang w:val="sk-SK"/>
        </w:rPr>
        <w:t xml:space="preserve">Súbežné podávanie klaritromycínu a ktoréhokoľvek z nasledujúcich liečiv je kontraindikované: astemizol, cisaprid, </w:t>
      </w:r>
      <w:bookmarkStart w:id="1" w:name="_Hlk2935766"/>
      <w:r w:rsidR="00B344EB" w:rsidRPr="0063664A">
        <w:rPr>
          <w:sz w:val="22"/>
          <w:szCs w:val="22"/>
          <w:lang w:val="sk-SK"/>
        </w:rPr>
        <w:t xml:space="preserve">domperidón, </w:t>
      </w:r>
      <w:bookmarkEnd w:id="1"/>
      <w:r w:rsidRPr="0063664A">
        <w:rPr>
          <w:sz w:val="22"/>
          <w:szCs w:val="22"/>
          <w:lang w:val="sk-SK"/>
        </w:rPr>
        <w:t>pimozid, terfenadín, pretože môže viesť k predĺženiu QT intervalu a srdcovým arytmiám, vrátane ventrikulárnej tachykardie, ventrikulárnej fibrilácie a </w:t>
      </w:r>
      <w:r w:rsidRPr="0063664A">
        <w:rPr>
          <w:i/>
          <w:sz w:val="22"/>
          <w:szCs w:val="22"/>
          <w:lang w:val="sk-SK"/>
        </w:rPr>
        <w:t xml:space="preserve">torsades de pointes </w:t>
      </w:r>
      <w:r w:rsidRPr="0063664A">
        <w:rPr>
          <w:sz w:val="22"/>
          <w:szCs w:val="22"/>
          <w:lang w:val="sk-SK"/>
        </w:rPr>
        <w:t>(pozri čas</w:t>
      </w:r>
      <w:r w:rsidR="007C09B7" w:rsidRPr="0063664A">
        <w:rPr>
          <w:sz w:val="22"/>
          <w:szCs w:val="22"/>
          <w:lang w:val="sk-SK"/>
        </w:rPr>
        <w:t>t</w:t>
      </w:r>
      <w:r w:rsidR="00B344EB" w:rsidRPr="0063664A">
        <w:rPr>
          <w:sz w:val="22"/>
          <w:szCs w:val="22"/>
          <w:lang w:val="sk-SK"/>
        </w:rPr>
        <w:t>i </w:t>
      </w:r>
      <w:bookmarkStart w:id="2" w:name="_Hlk2935783"/>
      <w:r w:rsidR="00B344EB" w:rsidRPr="0063664A">
        <w:rPr>
          <w:sz w:val="22"/>
          <w:szCs w:val="22"/>
          <w:lang w:val="sk-SK"/>
        </w:rPr>
        <w:t>4.4 a </w:t>
      </w:r>
      <w:r w:rsidRPr="0063664A">
        <w:rPr>
          <w:sz w:val="22"/>
          <w:szCs w:val="22"/>
          <w:lang w:val="sk-SK"/>
        </w:rPr>
        <w:t xml:space="preserve"> </w:t>
      </w:r>
      <w:bookmarkEnd w:id="2"/>
      <w:r w:rsidRPr="0063664A">
        <w:rPr>
          <w:sz w:val="22"/>
          <w:szCs w:val="22"/>
          <w:lang w:val="sk-SK"/>
        </w:rPr>
        <w:t>4.5).</w:t>
      </w:r>
    </w:p>
    <w:p w14:paraId="61AF39B5" w14:textId="77777777" w:rsidR="0065586B" w:rsidRPr="0063664A" w:rsidRDefault="0065586B" w:rsidP="002672E5">
      <w:pPr>
        <w:rPr>
          <w:sz w:val="22"/>
          <w:szCs w:val="22"/>
          <w:lang w:val="sk-SK"/>
        </w:rPr>
      </w:pPr>
    </w:p>
    <w:p w14:paraId="1A45C6CC" w14:textId="77777777" w:rsidR="0065586B" w:rsidRPr="0063664A" w:rsidRDefault="0065586B" w:rsidP="002672E5">
      <w:pPr>
        <w:rPr>
          <w:sz w:val="22"/>
          <w:szCs w:val="22"/>
          <w:lang w:val="sk-SK"/>
        </w:rPr>
      </w:pPr>
      <w:r w:rsidRPr="0063664A">
        <w:rPr>
          <w:sz w:val="22"/>
          <w:szCs w:val="22"/>
          <w:lang w:val="sk-SK"/>
        </w:rPr>
        <w:t>Súbežné podávanie s tikagrelorom alebo ranolazínom je kontraindikované.</w:t>
      </w:r>
    </w:p>
    <w:p w14:paraId="01E8451F" w14:textId="77777777" w:rsidR="0065586B" w:rsidRPr="0063664A" w:rsidRDefault="0065586B" w:rsidP="002672E5">
      <w:pPr>
        <w:rPr>
          <w:sz w:val="22"/>
          <w:szCs w:val="22"/>
          <w:lang w:val="sk-SK"/>
        </w:rPr>
      </w:pPr>
    </w:p>
    <w:p w14:paraId="46B074E7" w14:textId="77777777" w:rsidR="0065586B" w:rsidRPr="0063664A" w:rsidRDefault="0065586B" w:rsidP="002672E5">
      <w:pPr>
        <w:rPr>
          <w:sz w:val="22"/>
          <w:szCs w:val="22"/>
          <w:lang w:val="sk-SK"/>
        </w:rPr>
      </w:pPr>
      <w:r w:rsidRPr="0063664A">
        <w:rPr>
          <w:sz w:val="22"/>
          <w:szCs w:val="22"/>
          <w:lang w:val="sk-SK"/>
        </w:rPr>
        <w:t>Súbežné podávanie klaritromycínu s ergotamínom alebo dihydroergotamínom je kontraindikované, pretože môže viesť k ergotamínovej toxicite (pozri časť</w:t>
      </w:r>
      <w:r w:rsidR="00262F1B" w:rsidRPr="0063664A">
        <w:rPr>
          <w:sz w:val="22"/>
          <w:szCs w:val="22"/>
          <w:lang w:val="sk-SK"/>
        </w:rPr>
        <w:t> </w:t>
      </w:r>
      <w:r w:rsidRPr="0063664A">
        <w:rPr>
          <w:sz w:val="22"/>
          <w:szCs w:val="22"/>
          <w:lang w:val="sk-SK"/>
        </w:rPr>
        <w:t>4.5).</w:t>
      </w:r>
    </w:p>
    <w:p w14:paraId="7A819610" w14:textId="77777777" w:rsidR="001069EB" w:rsidRPr="0063664A" w:rsidRDefault="001069EB" w:rsidP="002672E5">
      <w:pPr>
        <w:rPr>
          <w:sz w:val="22"/>
          <w:szCs w:val="22"/>
          <w:lang w:val="sk-SK"/>
        </w:rPr>
      </w:pPr>
    </w:p>
    <w:p w14:paraId="5866D3FB" w14:textId="77777777" w:rsidR="001069EB" w:rsidRPr="0063664A" w:rsidRDefault="001069EB" w:rsidP="002672E5">
      <w:pPr>
        <w:rPr>
          <w:sz w:val="22"/>
          <w:szCs w:val="22"/>
          <w:lang w:val="sk-SK"/>
        </w:rPr>
      </w:pPr>
      <w:r w:rsidRPr="0063664A">
        <w:rPr>
          <w:bCs/>
          <w:iCs/>
          <w:sz w:val="22"/>
          <w:szCs w:val="22"/>
          <w:lang w:val="sk-SK"/>
        </w:rPr>
        <w:t>Súbežné podávanie klaritromycínu a perorálnej formy midazolamu je kontraindikované (pozri časť</w:t>
      </w:r>
      <w:r w:rsidR="006C40C7" w:rsidRPr="0063664A">
        <w:rPr>
          <w:bCs/>
          <w:iCs/>
          <w:sz w:val="22"/>
          <w:szCs w:val="22"/>
          <w:lang w:val="sk-SK"/>
        </w:rPr>
        <w:t> </w:t>
      </w:r>
      <w:r w:rsidRPr="0063664A">
        <w:rPr>
          <w:bCs/>
          <w:iCs/>
          <w:sz w:val="22"/>
          <w:szCs w:val="22"/>
          <w:lang w:val="sk-SK"/>
        </w:rPr>
        <w:t>4.5).</w:t>
      </w:r>
    </w:p>
    <w:p w14:paraId="7BDF1ADF" w14:textId="77777777" w:rsidR="0065586B" w:rsidRPr="0063664A" w:rsidRDefault="0065586B" w:rsidP="0063664A">
      <w:pPr>
        <w:rPr>
          <w:sz w:val="22"/>
          <w:lang w:val="sk-SK"/>
        </w:rPr>
      </w:pPr>
    </w:p>
    <w:p w14:paraId="3916E349" w14:textId="77777777" w:rsidR="0065586B" w:rsidRPr="0063664A" w:rsidRDefault="0065586B" w:rsidP="002672E5">
      <w:pPr>
        <w:rPr>
          <w:sz w:val="22"/>
          <w:szCs w:val="22"/>
          <w:lang w:val="sk-SK"/>
        </w:rPr>
      </w:pPr>
      <w:r w:rsidRPr="0063664A">
        <w:rPr>
          <w:sz w:val="22"/>
          <w:lang w:val="sk-SK"/>
        </w:rPr>
        <w:t xml:space="preserve">Klaritromycín </w:t>
      </w:r>
      <w:r w:rsidRPr="0063664A">
        <w:rPr>
          <w:sz w:val="22"/>
          <w:szCs w:val="22"/>
          <w:lang w:val="sk-SK"/>
        </w:rPr>
        <w:t xml:space="preserve">sa nesmie podávať pacientom s anamnézou predĺženého QT intervalu (vrodeného alebo získaného) alebo ventrikulárnej srdcovej arytmie, vrátane </w:t>
      </w:r>
      <w:r w:rsidRPr="0063664A">
        <w:rPr>
          <w:i/>
          <w:sz w:val="22"/>
          <w:szCs w:val="22"/>
          <w:lang w:val="sk-SK"/>
        </w:rPr>
        <w:t>torsades de pointes</w:t>
      </w:r>
      <w:r w:rsidRPr="0063664A">
        <w:rPr>
          <w:sz w:val="22"/>
          <w:szCs w:val="22"/>
          <w:lang w:val="sk-SK"/>
        </w:rPr>
        <w:t xml:space="preserve"> (pozri časti</w:t>
      </w:r>
      <w:r w:rsidR="006C40C7" w:rsidRPr="0063664A">
        <w:rPr>
          <w:sz w:val="22"/>
          <w:szCs w:val="22"/>
          <w:lang w:val="sk-SK"/>
        </w:rPr>
        <w:t> </w:t>
      </w:r>
      <w:r w:rsidRPr="0063664A">
        <w:rPr>
          <w:sz w:val="22"/>
          <w:szCs w:val="22"/>
          <w:lang w:val="sk-SK"/>
        </w:rPr>
        <w:t>4.4 a 4.5).</w:t>
      </w:r>
    </w:p>
    <w:p w14:paraId="3E1A2E2D" w14:textId="77777777" w:rsidR="0065586B" w:rsidRPr="0063664A" w:rsidRDefault="0065586B" w:rsidP="0063664A">
      <w:pPr>
        <w:rPr>
          <w:sz w:val="22"/>
          <w:lang w:val="sk-SK"/>
        </w:rPr>
      </w:pPr>
    </w:p>
    <w:p w14:paraId="0D6A5934" w14:textId="77777777" w:rsidR="0065586B" w:rsidRPr="0063664A" w:rsidRDefault="0065586B" w:rsidP="002672E5">
      <w:pPr>
        <w:rPr>
          <w:sz w:val="22"/>
          <w:szCs w:val="22"/>
          <w:lang w:val="sk-SK"/>
        </w:rPr>
      </w:pPr>
      <w:r w:rsidRPr="0063664A">
        <w:rPr>
          <w:sz w:val="22"/>
          <w:lang w:val="sk-SK"/>
        </w:rPr>
        <w:t xml:space="preserve">Klaritromycín </w:t>
      </w:r>
      <w:r w:rsidRPr="0063664A">
        <w:rPr>
          <w:sz w:val="22"/>
          <w:szCs w:val="22"/>
          <w:lang w:val="sk-SK"/>
        </w:rPr>
        <w:t>sa nesmie podávať pacientom s hypokaliémiou (riziko predĺženia QT intervalu).</w:t>
      </w:r>
    </w:p>
    <w:p w14:paraId="43ECE619" w14:textId="77777777" w:rsidR="0065586B" w:rsidRPr="0063664A" w:rsidRDefault="0065586B" w:rsidP="002672E5">
      <w:pPr>
        <w:rPr>
          <w:sz w:val="22"/>
          <w:szCs w:val="22"/>
          <w:lang w:val="sk-SK"/>
        </w:rPr>
      </w:pPr>
    </w:p>
    <w:p w14:paraId="72442E7C" w14:textId="77777777" w:rsidR="0065586B" w:rsidRPr="0063664A" w:rsidRDefault="0065586B" w:rsidP="002672E5">
      <w:pPr>
        <w:rPr>
          <w:sz w:val="22"/>
          <w:szCs w:val="22"/>
          <w:lang w:val="sk-SK"/>
        </w:rPr>
      </w:pPr>
      <w:r w:rsidRPr="0063664A">
        <w:rPr>
          <w:sz w:val="22"/>
          <w:szCs w:val="22"/>
          <w:lang w:val="sk-SK"/>
        </w:rPr>
        <w:t>Klaritromycín sa nesmie podávať súbežne s inhibítormi HMG-CoA reduktázy (statíny), ktoré sa v</w:t>
      </w:r>
      <w:r w:rsidR="006C40C7" w:rsidRPr="0063664A">
        <w:rPr>
          <w:sz w:val="22"/>
          <w:szCs w:val="22"/>
          <w:lang w:val="sk-SK"/>
        </w:rPr>
        <w:t> </w:t>
      </w:r>
      <w:r w:rsidRPr="0063664A">
        <w:rPr>
          <w:sz w:val="22"/>
          <w:szCs w:val="22"/>
          <w:lang w:val="sk-SK"/>
        </w:rPr>
        <w:t>značnej miere metabolizujú CYP3A4 (lovastatín alebo simvastatín), z dôvodu zvýšeného rizika myopatie, vrátane rabdomyolýzy (pozri časť</w:t>
      </w:r>
      <w:r w:rsidR="006C40C7" w:rsidRPr="0063664A">
        <w:rPr>
          <w:sz w:val="22"/>
          <w:szCs w:val="22"/>
          <w:lang w:val="sk-SK"/>
        </w:rPr>
        <w:t> </w:t>
      </w:r>
      <w:r w:rsidRPr="0063664A">
        <w:rPr>
          <w:sz w:val="22"/>
          <w:szCs w:val="22"/>
          <w:lang w:val="sk-SK"/>
        </w:rPr>
        <w:t>4.5).</w:t>
      </w:r>
    </w:p>
    <w:p w14:paraId="3CB85058" w14:textId="77777777" w:rsidR="0065586B" w:rsidRPr="0063664A" w:rsidRDefault="0065586B" w:rsidP="002672E5">
      <w:pPr>
        <w:rPr>
          <w:sz w:val="22"/>
          <w:szCs w:val="22"/>
          <w:lang w:val="sk-SK"/>
        </w:rPr>
      </w:pPr>
    </w:p>
    <w:p w14:paraId="05EF1F35" w14:textId="77777777" w:rsidR="0065586B" w:rsidRPr="0063664A" w:rsidRDefault="0065586B" w:rsidP="002672E5">
      <w:pPr>
        <w:rPr>
          <w:sz w:val="22"/>
          <w:szCs w:val="22"/>
          <w:lang w:val="sk-SK"/>
        </w:rPr>
      </w:pPr>
      <w:r w:rsidRPr="0063664A">
        <w:rPr>
          <w:sz w:val="22"/>
          <w:szCs w:val="22"/>
          <w:lang w:val="sk-SK"/>
        </w:rPr>
        <w:lastRenderedPageBreak/>
        <w:t>Klaritromycín sa nesmie podávať pacientom, ktorí majú závažné zlyhávanie pečene v kombinácii s poruchou funkcie obličiek.</w:t>
      </w:r>
    </w:p>
    <w:p w14:paraId="418CE28F" w14:textId="77777777" w:rsidR="0065586B" w:rsidRPr="0063664A" w:rsidRDefault="0065586B" w:rsidP="002672E5">
      <w:pPr>
        <w:rPr>
          <w:sz w:val="22"/>
          <w:szCs w:val="22"/>
          <w:lang w:val="sk-SK"/>
        </w:rPr>
      </w:pPr>
    </w:p>
    <w:p w14:paraId="54DC6B87" w14:textId="77777777" w:rsidR="0065586B" w:rsidRPr="0063664A" w:rsidRDefault="0065586B" w:rsidP="002672E5">
      <w:pPr>
        <w:rPr>
          <w:sz w:val="22"/>
          <w:szCs w:val="22"/>
          <w:lang w:val="sk-SK"/>
        </w:rPr>
      </w:pPr>
      <w:r w:rsidRPr="0063664A">
        <w:rPr>
          <w:sz w:val="22"/>
          <w:szCs w:val="22"/>
          <w:lang w:val="sk-SK"/>
        </w:rPr>
        <w:t>Rovnako, ako v prípade iných silných inhibítorov CYP3A4, sa klaritromycín nesmie používať u pacientov, ktorí súbežne užívajú kolchicín</w:t>
      </w:r>
      <w:r w:rsidR="00262F1B" w:rsidRPr="0063664A">
        <w:rPr>
          <w:sz w:val="22"/>
          <w:szCs w:val="22"/>
          <w:lang w:val="sk-SK"/>
        </w:rPr>
        <w:t xml:space="preserve"> (pozri časti 4.4 a 4.5)</w:t>
      </w:r>
      <w:r w:rsidRPr="0063664A">
        <w:rPr>
          <w:sz w:val="22"/>
          <w:szCs w:val="22"/>
          <w:lang w:val="sk-SK"/>
        </w:rPr>
        <w:t>.</w:t>
      </w:r>
    </w:p>
    <w:p w14:paraId="2716033E" w14:textId="77777777" w:rsidR="0065586B" w:rsidRPr="0063664A" w:rsidRDefault="0065586B" w:rsidP="002672E5">
      <w:pPr>
        <w:rPr>
          <w:sz w:val="22"/>
          <w:szCs w:val="22"/>
          <w:lang w:val="sk-SK"/>
        </w:rPr>
      </w:pPr>
    </w:p>
    <w:p w14:paraId="12873C44" w14:textId="77777777" w:rsidR="0065586B" w:rsidRPr="0063664A" w:rsidRDefault="0065586B" w:rsidP="00881CF1">
      <w:pPr>
        <w:keepNext/>
        <w:tabs>
          <w:tab w:val="left" w:pos="567"/>
        </w:tabs>
        <w:ind w:left="567" w:hanging="567"/>
        <w:rPr>
          <w:sz w:val="22"/>
          <w:szCs w:val="22"/>
          <w:lang w:val="sk-SK"/>
        </w:rPr>
      </w:pPr>
      <w:r w:rsidRPr="0063664A">
        <w:rPr>
          <w:b/>
          <w:sz w:val="22"/>
          <w:szCs w:val="22"/>
          <w:lang w:val="sk-SK"/>
        </w:rPr>
        <w:t>4.4</w:t>
      </w:r>
      <w:r w:rsidRPr="0063664A">
        <w:rPr>
          <w:b/>
          <w:sz w:val="22"/>
          <w:szCs w:val="22"/>
          <w:lang w:val="sk-SK"/>
        </w:rPr>
        <w:tab/>
        <w:t>Osobitné upozornenia a opatrenia pri používaní</w:t>
      </w:r>
    </w:p>
    <w:p w14:paraId="691FAEE7" w14:textId="77777777" w:rsidR="0065586B" w:rsidRPr="0063664A" w:rsidRDefault="0065586B" w:rsidP="009B7F59">
      <w:pPr>
        <w:keepNext/>
        <w:tabs>
          <w:tab w:val="left" w:pos="567"/>
        </w:tabs>
        <w:rPr>
          <w:sz w:val="22"/>
          <w:szCs w:val="22"/>
          <w:lang w:val="sk-SK"/>
        </w:rPr>
      </w:pPr>
    </w:p>
    <w:p w14:paraId="7F85C894" w14:textId="77777777" w:rsidR="0065586B" w:rsidRPr="0063664A" w:rsidRDefault="0065586B" w:rsidP="002672E5">
      <w:pPr>
        <w:rPr>
          <w:sz w:val="22"/>
          <w:szCs w:val="22"/>
          <w:lang w:val="sk-SK"/>
        </w:rPr>
      </w:pPr>
      <w:r w:rsidRPr="0063664A">
        <w:rPr>
          <w:sz w:val="22"/>
          <w:szCs w:val="22"/>
          <w:lang w:val="sk-SK"/>
        </w:rPr>
        <w:t>Lekár nemá predpisovať klaritromycín gravidným ženám bez starostlivého zváženia pomeru prínosu a rizika, najmä počas prvých troch mesiacov gravidity (pozri časť</w:t>
      </w:r>
      <w:r w:rsidR="004B1595" w:rsidRPr="0063664A">
        <w:rPr>
          <w:sz w:val="22"/>
          <w:szCs w:val="22"/>
          <w:lang w:val="sk-SK"/>
        </w:rPr>
        <w:t> </w:t>
      </w:r>
      <w:r w:rsidRPr="0063664A">
        <w:rPr>
          <w:sz w:val="22"/>
          <w:szCs w:val="22"/>
          <w:lang w:val="sk-SK"/>
        </w:rPr>
        <w:t>4.6).</w:t>
      </w:r>
    </w:p>
    <w:p w14:paraId="4A6CCED9" w14:textId="77777777" w:rsidR="0065586B" w:rsidRPr="0063664A" w:rsidRDefault="0065586B" w:rsidP="002672E5">
      <w:pPr>
        <w:rPr>
          <w:sz w:val="22"/>
          <w:szCs w:val="22"/>
          <w:lang w:val="sk-SK"/>
        </w:rPr>
      </w:pPr>
    </w:p>
    <w:p w14:paraId="4B48490D" w14:textId="77777777" w:rsidR="0065586B" w:rsidRPr="0063664A" w:rsidRDefault="0065586B" w:rsidP="002672E5">
      <w:pPr>
        <w:rPr>
          <w:sz w:val="22"/>
          <w:szCs w:val="22"/>
          <w:lang w:val="sk-SK"/>
        </w:rPr>
      </w:pPr>
      <w:r w:rsidRPr="0063664A">
        <w:rPr>
          <w:sz w:val="22"/>
          <w:szCs w:val="22"/>
          <w:lang w:val="sk-SK"/>
        </w:rPr>
        <w:t>U</w:t>
      </w:r>
      <w:r w:rsidR="00F52F40" w:rsidRPr="0063664A">
        <w:rPr>
          <w:sz w:val="22"/>
          <w:szCs w:val="22"/>
          <w:lang w:val="sk-SK"/>
        </w:rPr>
        <w:t> </w:t>
      </w:r>
      <w:r w:rsidRPr="0063664A">
        <w:rPr>
          <w:sz w:val="22"/>
          <w:szCs w:val="22"/>
          <w:lang w:val="sk-SK"/>
        </w:rPr>
        <w:t>pacientov so závažnou renálnou insuficienciou sa odporúča opatrnosť (pozri časť</w:t>
      </w:r>
      <w:r w:rsidR="004B1595" w:rsidRPr="0063664A">
        <w:rPr>
          <w:sz w:val="22"/>
          <w:szCs w:val="22"/>
          <w:lang w:val="sk-SK"/>
        </w:rPr>
        <w:t> </w:t>
      </w:r>
      <w:r w:rsidRPr="0063664A">
        <w:rPr>
          <w:sz w:val="22"/>
          <w:szCs w:val="22"/>
          <w:lang w:val="sk-SK"/>
        </w:rPr>
        <w:t>4.2).</w:t>
      </w:r>
    </w:p>
    <w:p w14:paraId="2F2758FB" w14:textId="77777777" w:rsidR="0065586B" w:rsidRPr="0063664A" w:rsidRDefault="0065586B" w:rsidP="002672E5">
      <w:pPr>
        <w:autoSpaceDE w:val="0"/>
        <w:autoSpaceDN w:val="0"/>
        <w:adjustRightInd w:val="0"/>
        <w:rPr>
          <w:sz w:val="22"/>
          <w:szCs w:val="22"/>
          <w:lang w:val="sk-SK"/>
        </w:rPr>
      </w:pPr>
    </w:p>
    <w:p w14:paraId="138D662F" w14:textId="77777777" w:rsidR="0065586B" w:rsidRPr="0063664A" w:rsidRDefault="0065586B" w:rsidP="002672E5">
      <w:pPr>
        <w:rPr>
          <w:sz w:val="22"/>
          <w:szCs w:val="22"/>
          <w:lang w:val="sk-SK"/>
        </w:rPr>
      </w:pPr>
      <w:r w:rsidRPr="0063664A">
        <w:rPr>
          <w:sz w:val="22"/>
          <w:szCs w:val="22"/>
          <w:lang w:val="sk-SK"/>
        </w:rPr>
        <w:t xml:space="preserve">Klaritromycín sa </w:t>
      </w:r>
      <w:r w:rsidR="000858C9" w:rsidRPr="0063664A">
        <w:rPr>
          <w:sz w:val="22"/>
          <w:szCs w:val="22"/>
          <w:lang w:val="sk-SK"/>
        </w:rPr>
        <w:t xml:space="preserve">metabolizuje </w:t>
      </w:r>
      <w:r w:rsidRPr="0063664A">
        <w:rPr>
          <w:sz w:val="22"/>
          <w:szCs w:val="22"/>
          <w:lang w:val="sk-SK"/>
        </w:rPr>
        <w:t xml:space="preserve">hlavne </w:t>
      </w:r>
      <w:r w:rsidR="00814AA2" w:rsidRPr="0063664A">
        <w:rPr>
          <w:sz w:val="22"/>
          <w:szCs w:val="22"/>
          <w:lang w:val="sk-SK"/>
        </w:rPr>
        <w:t>v pečeni</w:t>
      </w:r>
      <w:r w:rsidRPr="0063664A">
        <w:rPr>
          <w:sz w:val="22"/>
          <w:szCs w:val="22"/>
          <w:lang w:val="sk-SK"/>
        </w:rPr>
        <w:t>. Pacientom s poruchou funkcie pečene sa musí venovať pri podávaní tohto antibiotika zvýšená pozornosť. Opatrnosť je tiež potrebná u pacientov so stredne ťažkou až ťažkou poruchou funkcie obličiek.</w:t>
      </w:r>
    </w:p>
    <w:p w14:paraId="3295DA1D" w14:textId="77777777" w:rsidR="0065586B" w:rsidRPr="0063664A" w:rsidRDefault="0065586B" w:rsidP="002672E5">
      <w:pPr>
        <w:rPr>
          <w:sz w:val="22"/>
          <w:szCs w:val="22"/>
          <w:lang w:val="sk-SK"/>
        </w:rPr>
      </w:pPr>
    </w:p>
    <w:p w14:paraId="39DD577D" w14:textId="77777777" w:rsidR="0065586B" w:rsidRPr="0063664A" w:rsidRDefault="0065586B" w:rsidP="002672E5">
      <w:pPr>
        <w:rPr>
          <w:sz w:val="22"/>
          <w:szCs w:val="22"/>
          <w:lang w:val="sk-SK"/>
        </w:rPr>
      </w:pPr>
      <w:r w:rsidRPr="0063664A">
        <w:rPr>
          <w:sz w:val="22"/>
          <w:szCs w:val="22"/>
          <w:lang w:val="sk-SK"/>
        </w:rPr>
        <w:t xml:space="preserve">Počas užívania klaritromycínu boli hlásené prípady </w:t>
      </w:r>
      <w:r w:rsidR="00592F30" w:rsidRPr="0063664A">
        <w:rPr>
          <w:sz w:val="22"/>
          <w:szCs w:val="22"/>
          <w:lang w:val="sk-SK"/>
        </w:rPr>
        <w:t>poruchy</w:t>
      </w:r>
      <w:r w:rsidRPr="0063664A">
        <w:rPr>
          <w:sz w:val="22"/>
          <w:szCs w:val="22"/>
          <w:lang w:val="sk-SK"/>
        </w:rPr>
        <w:t xml:space="preserve"> funkcie pečene, vrátane zvýšenia hodnôt hepatálnych enzýmov a hepatocelulárnej a/alebo cholestatickej hepatitídy so žltačkou alebo bez nej. Táto hepatálna dysfunkcia môže byť závažná a je zvyčajne reverzibilná.</w:t>
      </w:r>
    </w:p>
    <w:p w14:paraId="7B721ECA" w14:textId="77777777" w:rsidR="0065586B" w:rsidRPr="0063664A" w:rsidRDefault="0065586B" w:rsidP="002672E5">
      <w:pPr>
        <w:rPr>
          <w:sz w:val="22"/>
          <w:szCs w:val="22"/>
          <w:lang w:val="sk-SK"/>
        </w:rPr>
      </w:pPr>
      <w:r w:rsidRPr="0063664A">
        <w:rPr>
          <w:sz w:val="22"/>
          <w:szCs w:val="22"/>
          <w:lang w:val="sk-SK"/>
        </w:rPr>
        <w:t xml:space="preserve">Zaznamenali sa prípady fatálneho zlyhania pečene (pozri časť 4.8). </w:t>
      </w:r>
      <w:r w:rsidRPr="0063664A">
        <w:rPr>
          <w:rStyle w:val="hps"/>
          <w:sz w:val="22"/>
          <w:szCs w:val="22"/>
          <w:lang w:val="sk-SK"/>
        </w:rPr>
        <w:t>Je možné, že</w:t>
      </w:r>
      <w:r w:rsidRPr="0063664A">
        <w:rPr>
          <w:sz w:val="22"/>
          <w:szCs w:val="22"/>
          <w:lang w:val="sk-SK"/>
        </w:rPr>
        <w:t xml:space="preserve"> </w:t>
      </w:r>
      <w:r w:rsidRPr="0063664A">
        <w:rPr>
          <w:rStyle w:val="hps"/>
          <w:sz w:val="22"/>
          <w:szCs w:val="22"/>
          <w:lang w:val="sk-SK"/>
        </w:rPr>
        <w:t>niektorí z</w:t>
      </w:r>
      <w:r w:rsidRPr="0063664A">
        <w:rPr>
          <w:sz w:val="22"/>
          <w:szCs w:val="22"/>
          <w:lang w:val="sk-SK"/>
        </w:rPr>
        <w:t xml:space="preserve"> </w:t>
      </w:r>
      <w:r w:rsidRPr="0063664A">
        <w:rPr>
          <w:rStyle w:val="hps"/>
          <w:sz w:val="22"/>
          <w:szCs w:val="22"/>
          <w:lang w:val="sk-SK"/>
        </w:rPr>
        <w:t>týchto pacientov</w:t>
      </w:r>
      <w:r w:rsidRPr="0063664A">
        <w:rPr>
          <w:sz w:val="22"/>
          <w:szCs w:val="22"/>
          <w:lang w:val="sk-SK"/>
        </w:rPr>
        <w:t xml:space="preserve"> </w:t>
      </w:r>
      <w:r w:rsidRPr="0063664A">
        <w:rPr>
          <w:rStyle w:val="hps"/>
          <w:sz w:val="22"/>
          <w:szCs w:val="22"/>
          <w:lang w:val="sk-SK"/>
        </w:rPr>
        <w:t>mali</w:t>
      </w:r>
      <w:r w:rsidRPr="0063664A">
        <w:rPr>
          <w:sz w:val="22"/>
          <w:szCs w:val="22"/>
          <w:lang w:val="sk-SK"/>
        </w:rPr>
        <w:t xml:space="preserve"> už </w:t>
      </w:r>
      <w:r w:rsidRPr="0063664A">
        <w:rPr>
          <w:rStyle w:val="hps"/>
          <w:sz w:val="22"/>
          <w:szCs w:val="22"/>
          <w:lang w:val="sk-SK"/>
        </w:rPr>
        <w:t>predtým existujúce</w:t>
      </w:r>
      <w:r w:rsidRPr="0063664A">
        <w:rPr>
          <w:sz w:val="22"/>
          <w:szCs w:val="22"/>
          <w:lang w:val="sk-SK"/>
        </w:rPr>
        <w:t xml:space="preserve"> </w:t>
      </w:r>
      <w:r w:rsidRPr="0063664A">
        <w:rPr>
          <w:rStyle w:val="hps"/>
          <w:sz w:val="22"/>
          <w:szCs w:val="22"/>
          <w:lang w:val="sk-SK"/>
        </w:rPr>
        <w:t>ochorenie</w:t>
      </w:r>
      <w:r w:rsidRPr="0063664A">
        <w:rPr>
          <w:sz w:val="22"/>
          <w:szCs w:val="22"/>
          <w:lang w:val="sk-SK"/>
        </w:rPr>
        <w:t xml:space="preserve"> </w:t>
      </w:r>
      <w:r w:rsidRPr="0063664A">
        <w:rPr>
          <w:rStyle w:val="hps"/>
          <w:sz w:val="22"/>
          <w:szCs w:val="22"/>
          <w:lang w:val="sk-SK"/>
        </w:rPr>
        <w:t>pečene alebo</w:t>
      </w:r>
      <w:r w:rsidRPr="0063664A">
        <w:rPr>
          <w:sz w:val="22"/>
          <w:szCs w:val="22"/>
          <w:lang w:val="sk-SK"/>
        </w:rPr>
        <w:t xml:space="preserve"> </w:t>
      </w:r>
      <w:r w:rsidRPr="0063664A">
        <w:rPr>
          <w:rStyle w:val="hps"/>
          <w:sz w:val="22"/>
          <w:szCs w:val="22"/>
          <w:lang w:val="sk-SK"/>
        </w:rPr>
        <w:t>užívali</w:t>
      </w:r>
      <w:r w:rsidRPr="0063664A">
        <w:rPr>
          <w:sz w:val="22"/>
          <w:szCs w:val="22"/>
          <w:lang w:val="sk-SK"/>
        </w:rPr>
        <w:t xml:space="preserve"> iné hepatotoxické lieky. Pacientov treba upozorniť, aby ukončili liečbu a vyhľadali svojho lekára, ak sa u nich objavia prejavy a príznaky ochorenia pečene ako je anorexia, žltačka, tmavý moč, pruritus alebo citlivosť brucha na dotyk.</w:t>
      </w:r>
    </w:p>
    <w:p w14:paraId="6414170E" w14:textId="77777777" w:rsidR="004A0495" w:rsidRPr="0063664A" w:rsidRDefault="004A0495" w:rsidP="0063664A">
      <w:pPr>
        <w:autoSpaceDE w:val="0"/>
        <w:autoSpaceDN w:val="0"/>
        <w:adjustRightInd w:val="0"/>
        <w:rPr>
          <w:sz w:val="22"/>
          <w:lang w:val="sk-SK"/>
        </w:rPr>
      </w:pPr>
    </w:p>
    <w:p w14:paraId="71C54EAC" w14:textId="77777777" w:rsidR="0065586B" w:rsidRPr="0063664A" w:rsidRDefault="0065586B" w:rsidP="002672E5">
      <w:pPr>
        <w:autoSpaceDE w:val="0"/>
        <w:autoSpaceDN w:val="0"/>
        <w:adjustRightInd w:val="0"/>
        <w:rPr>
          <w:sz w:val="22"/>
          <w:szCs w:val="22"/>
          <w:lang w:val="sk-SK"/>
        </w:rPr>
      </w:pPr>
      <w:r w:rsidRPr="0063664A">
        <w:rPr>
          <w:rStyle w:val="hps"/>
          <w:sz w:val="22"/>
          <w:lang w:val="sk-SK"/>
        </w:rPr>
        <w:t>Pseudomembranózna kolitída</w:t>
      </w:r>
      <w:r w:rsidRPr="0063664A">
        <w:rPr>
          <w:sz w:val="22"/>
          <w:lang w:val="sk-SK"/>
        </w:rPr>
        <w:t xml:space="preserve"> </w:t>
      </w:r>
      <w:r w:rsidRPr="0063664A">
        <w:rPr>
          <w:rStyle w:val="hps"/>
          <w:sz w:val="22"/>
          <w:lang w:val="sk-SK"/>
        </w:rPr>
        <w:t xml:space="preserve">bola </w:t>
      </w:r>
      <w:r w:rsidRPr="0063664A">
        <w:rPr>
          <w:rStyle w:val="hps"/>
          <w:sz w:val="22"/>
          <w:szCs w:val="22"/>
          <w:lang w:val="sk-SK"/>
        </w:rPr>
        <w:t>zaznamenaná</w:t>
      </w:r>
      <w:r w:rsidRPr="0063664A">
        <w:rPr>
          <w:sz w:val="22"/>
          <w:szCs w:val="22"/>
          <w:lang w:val="sk-SK"/>
        </w:rPr>
        <w:t xml:space="preserve"> </w:t>
      </w:r>
      <w:r w:rsidRPr="0063664A">
        <w:rPr>
          <w:rStyle w:val="hps"/>
          <w:sz w:val="22"/>
          <w:szCs w:val="22"/>
          <w:lang w:val="sk-SK"/>
        </w:rPr>
        <w:t>takmer u všetkých</w:t>
      </w:r>
      <w:r w:rsidRPr="0063664A">
        <w:rPr>
          <w:sz w:val="22"/>
          <w:szCs w:val="22"/>
          <w:lang w:val="sk-SK"/>
        </w:rPr>
        <w:t xml:space="preserve"> </w:t>
      </w:r>
      <w:r w:rsidRPr="0063664A">
        <w:rPr>
          <w:rStyle w:val="hps"/>
          <w:sz w:val="22"/>
          <w:szCs w:val="22"/>
          <w:lang w:val="sk-SK"/>
        </w:rPr>
        <w:t>antibakteriálnych</w:t>
      </w:r>
      <w:r w:rsidRPr="0063664A">
        <w:rPr>
          <w:sz w:val="22"/>
          <w:szCs w:val="22"/>
          <w:lang w:val="sk-SK"/>
        </w:rPr>
        <w:t xml:space="preserve"> </w:t>
      </w:r>
      <w:r w:rsidRPr="0063664A">
        <w:rPr>
          <w:rStyle w:val="hps"/>
          <w:sz w:val="22"/>
          <w:szCs w:val="22"/>
          <w:lang w:val="sk-SK"/>
        </w:rPr>
        <w:t>látok</w:t>
      </w:r>
      <w:r w:rsidRPr="0063664A">
        <w:rPr>
          <w:sz w:val="22"/>
          <w:szCs w:val="22"/>
          <w:lang w:val="sk-SK"/>
        </w:rPr>
        <w:t xml:space="preserve">, vrátane makrolidov, </w:t>
      </w:r>
      <w:r w:rsidRPr="0063664A">
        <w:rPr>
          <w:rStyle w:val="hps"/>
          <w:sz w:val="22"/>
          <w:szCs w:val="22"/>
          <w:lang w:val="sk-SK"/>
        </w:rPr>
        <w:t>jej</w:t>
      </w:r>
      <w:r w:rsidRPr="0063664A">
        <w:rPr>
          <w:sz w:val="22"/>
          <w:szCs w:val="22"/>
          <w:lang w:val="sk-SK"/>
        </w:rPr>
        <w:t xml:space="preserve"> </w:t>
      </w:r>
      <w:r w:rsidRPr="0063664A">
        <w:rPr>
          <w:rStyle w:val="hps"/>
          <w:sz w:val="22"/>
          <w:szCs w:val="22"/>
          <w:lang w:val="sk-SK"/>
        </w:rPr>
        <w:t>závažnosť</w:t>
      </w:r>
      <w:r w:rsidRPr="0063664A">
        <w:rPr>
          <w:sz w:val="22"/>
          <w:szCs w:val="22"/>
          <w:lang w:val="sk-SK"/>
        </w:rPr>
        <w:t xml:space="preserve"> </w:t>
      </w:r>
      <w:r w:rsidRPr="0063664A">
        <w:rPr>
          <w:rStyle w:val="hps"/>
          <w:sz w:val="22"/>
          <w:szCs w:val="22"/>
          <w:lang w:val="sk-SK"/>
        </w:rPr>
        <w:t>sa môže pohybovať</w:t>
      </w:r>
      <w:r w:rsidRPr="0063664A">
        <w:rPr>
          <w:sz w:val="22"/>
          <w:szCs w:val="22"/>
          <w:lang w:val="sk-SK"/>
        </w:rPr>
        <w:t xml:space="preserve"> od miernej až po život ohrozujúcu. </w:t>
      </w:r>
      <w:r w:rsidRPr="0063664A">
        <w:rPr>
          <w:iCs/>
          <w:sz w:val="22"/>
          <w:szCs w:val="22"/>
          <w:lang w:val="sk-SK"/>
        </w:rPr>
        <w:t xml:space="preserve">Hnačka, </w:t>
      </w:r>
      <w:r w:rsidRPr="0063664A">
        <w:rPr>
          <w:sz w:val="22"/>
          <w:szCs w:val="22"/>
          <w:lang w:val="sk-SK"/>
        </w:rPr>
        <w:t xml:space="preserve">ktorej </w:t>
      </w:r>
      <w:r w:rsidRPr="0063664A">
        <w:rPr>
          <w:rStyle w:val="hps"/>
          <w:sz w:val="22"/>
          <w:szCs w:val="22"/>
          <w:lang w:val="sk-SK"/>
        </w:rPr>
        <w:t>pôvodcom</w:t>
      </w:r>
      <w:r w:rsidRPr="0063664A">
        <w:rPr>
          <w:sz w:val="22"/>
          <w:szCs w:val="22"/>
          <w:lang w:val="sk-SK"/>
        </w:rPr>
        <w:t xml:space="preserve"> </w:t>
      </w:r>
      <w:r w:rsidRPr="0063664A">
        <w:rPr>
          <w:rStyle w:val="hps"/>
          <w:sz w:val="22"/>
          <w:szCs w:val="22"/>
          <w:lang w:val="sk-SK"/>
        </w:rPr>
        <w:t>je</w:t>
      </w:r>
      <w:r w:rsidRPr="0063664A">
        <w:rPr>
          <w:sz w:val="22"/>
          <w:szCs w:val="22"/>
          <w:lang w:val="sk-SK"/>
        </w:rPr>
        <w:t> </w:t>
      </w:r>
      <w:r w:rsidRPr="0063664A">
        <w:rPr>
          <w:i/>
          <w:iCs/>
          <w:sz w:val="22"/>
          <w:szCs w:val="22"/>
          <w:lang w:val="sk-SK"/>
        </w:rPr>
        <w:t>Clostridium difficile</w:t>
      </w:r>
      <w:r w:rsidRPr="0063664A">
        <w:rPr>
          <w:sz w:val="22"/>
          <w:szCs w:val="22"/>
          <w:lang w:val="sk-SK"/>
        </w:rPr>
        <w:t xml:space="preserve"> (</w:t>
      </w:r>
      <w:r w:rsidRPr="0063664A">
        <w:rPr>
          <w:rStyle w:val="hps"/>
          <w:sz w:val="22"/>
          <w:szCs w:val="22"/>
          <w:lang w:val="sk-SK"/>
        </w:rPr>
        <w:t>C.</w:t>
      </w:r>
      <w:r w:rsidRPr="0063664A">
        <w:rPr>
          <w:sz w:val="22"/>
          <w:szCs w:val="22"/>
          <w:lang w:val="sk-SK"/>
        </w:rPr>
        <w:t xml:space="preserve"> </w:t>
      </w:r>
      <w:r w:rsidRPr="0063664A">
        <w:rPr>
          <w:rStyle w:val="hps"/>
          <w:sz w:val="22"/>
          <w:szCs w:val="22"/>
          <w:lang w:val="sk-SK"/>
        </w:rPr>
        <w:t>difficile</w:t>
      </w:r>
      <w:r w:rsidRPr="0063664A">
        <w:rPr>
          <w:sz w:val="22"/>
          <w:szCs w:val="22"/>
          <w:lang w:val="sk-SK"/>
        </w:rPr>
        <w:t xml:space="preserve"> </w:t>
      </w:r>
      <w:r w:rsidRPr="0063664A">
        <w:rPr>
          <w:rStyle w:val="hps"/>
          <w:sz w:val="22"/>
          <w:szCs w:val="22"/>
          <w:lang w:val="sk-SK"/>
        </w:rPr>
        <w:t>associated</w:t>
      </w:r>
      <w:r w:rsidRPr="0063664A">
        <w:rPr>
          <w:sz w:val="22"/>
          <w:szCs w:val="22"/>
          <w:lang w:val="sk-SK"/>
        </w:rPr>
        <w:t xml:space="preserve"> </w:t>
      </w:r>
      <w:r w:rsidRPr="0063664A">
        <w:rPr>
          <w:rStyle w:val="hps"/>
          <w:sz w:val="22"/>
          <w:szCs w:val="22"/>
          <w:lang w:val="sk-SK"/>
        </w:rPr>
        <w:t>diarrhea,</w:t>
      </w:r>
      <w:r w:rsidRPr="0063664A">
        <w:rPr>
          <w:sz w:val="22"/>
          <w:szCs w:val="22"/>
          <w:lang w:val="sk-SK"/>
        </w:rPr>
        <w:t xml:space="preserve"> CDAD), bola hlásená pri užívaní takmer všetkých antibakteriálnych látok, vrátane klaritromycínu, jej </w:t>
      </w:r>
      <w:r w:rsidRPr="0063664A">
        <w:rPr>
          <w:rStyle w:val="hps"/>
          <w:sz w:val="22"/>
          <w:szCs w:val="22"/>
          <w:lang w:val="sk-SK"/>
        </w:rPr>
        <w:t>závažnosť</w:t>
      </w:r>
      <w:r w:rsidRPr="0063664A">
        <w:rPr>
          <w:sz w:val="22"/>
          <w:szCs w:val="22"/>
          <w:lang w:val="sk-SK"/>
        </w:rPr>
        <w:t xml:space="preserve"> </w:t>
      </w:r>
      <w:r w:rsidRPr="0063664A">
        <w:rPr>
          <w:rStyle w:val="hps"/>
          <w:sz w:val="22"/>
          <w:szCs w:val="22"/>
          <w:lang w:val="sk-SK"/>
        </w:rPr>
        <w:t>sa môže pohybovať</w:t>
      </w:r>
      <w:r w:rsidRPr="0063664A">
        <w:rPr>
          <w:sz w:val="22"/>
          <w:szCs w:val="22"/>
          <w:lang w:val="sk-SK"/>
        </w:rPr>
        <w:t xml:space="preserve"> </w:t>
      </w:r>
      <w:r w:rsidRPr="0063664A">
        <w:rPr>
          <w:rStyle w:val="hps"/>
          <w:sz w:val="22"/>
          <w:szCs w:val="22"/>
          <w:lang w:val="sk-SK"/>
        </w:rPr>
        <w:t>v rozmedzí</w:t>
      </w:r>
      <w:r w:rsidRPr="0063664A">
        <w:rPr>
          <w:sz w:val="22"/>
          <w:szCs w:val="22"/>
          <w:lang w:val="sk-SK"/>
        </w:rPr>
        <w:t xml:space="preserve"> </w:t>
      </w:r>
      <w:r w:rsidRPr="0063664A">
        <w:rPr>
          <w:rStyle w:val="hps"/>
          <w:sz w:val="22"/>
          <w:szCs w:val="22"/>
          <w:lang w:val="sk-SK"/>
        </w:rPr>
        <w:t>od</w:t>
      </w:r>
      <w:r w:rsidRPr="0063664A">
        <w:rPr>
          <w:sz w:val="22"/>
          <w:szCs w:val="22"/>
          <w:lang w:val="sk-SK"/>
        </w:rPr>
        <w:t xml:space="preserve"> </w:t>
      </w:r>
      <w:r w:rsidRPr="0063664A">
        <w:rPr>
          <w:rStyle w:val="hps"/>
          <w:sz w:val="22"/>
          <w:szCs w:val="22"/>
          <w:lang w:val="sk-SK"/>
        </w:rPr>
        <w:t>miernej</w:t>
      </w:r>
      <w:r w:rsidRPr="0063664A">
        <w:rPr>
          <w:sz w:val="22"/>
          <w:szCs w:val="22"/>
          <w:lang w:val="sk-SK"/>
        </w:rPr>
        <w:t xml:space="preserve"> </w:t>
      </w:r>
      <w:r w:rsidRPr="0063664A">
        <w:rPr>
          <w:rStyle w:val="hps"/>
          <w:sz w:val="22"/>
          <w:szCs w:val="22"/>
          <w:lang w:val="sk-SK"/>
        </w:rPr>
        <w:t>hnačky</w:t>
      </w:r>
      <w:r w:rsidRPr="0063664A">
        <w:rPr>
          <w:sz w:val="22"/>
          <w:szCs w:val="22"/>
          <w:lang w:val="sk-SK"/>
        </w:rPr>
        <w:t xml:space="preserve"> </w:t>
      </w:r>
      <w:r w:rsidRPr="0063664A">
        <w:rPr>
          <w:rStyle w:val="hps"/>
          <w:sz w:val="22"/>
          <w:szCs w:val="22"/>
          <w:lang w:val="sk-SK"/>
        </w:rPr>
        <w:t>až</w:t>
      </w:r>
      <w:r w:rsidRPr="0063664A">
        <w:rPr>
          <w:sz w:val="22"/>
          <w:szCs w:val="22"/>
          <w:lang w:val="sk-SK"/>
        </w:rPr>
        <w:t xml:space="preserve"> </w:t>
      </w:r>
      <w:r w:rsidRPr="0063664A">
        <w:rPr>
          <w:rStyle w:val="hps"/>
          <w:sz w:val="22"/>
          <w:szCs w:val="22"/>
          <w:lang w:val="sk-SK"/>
        </w:rPr>
        <w:t>po</w:t>
      </w:r>
      <w:r w:rsidRPr="0063664A">
        <w:rPr>
          <w:sz w:val="22"/>
          <w:szCs w:val="22"/>
          <w:lang w:val="sk-SK"/>
        </w:rPr>
        <w:t xml:space="preserve"> </w:t>
      </w:r>
      <w:r w:rsidRPr="0063664A">
        <w:rPr>
          <w:rStyle w:val="hps"/>
          <w:sz w:val="22"/>
          <w:szCs w:val="22"/>
          <w:lang w:val="sk-SK"/>
        </w:rPr>
        <w:t>fatálnu</w:t>
      </w:r>
      <w:r w:rsidRPr="0063664A">
        <w:rPr>
          <w:sz w:val="22"/>
          <w:szCs w:val="22"/>
          <w:lang w:val="sk-SK"/>
        </w:rPr>
        <w:t xml:space="preserve"> </w:t>
      </w:r>
      <w:r w:rsidRPr="0063664A">
        <w:rPr>
          <w:rStyle w:val="hps"/>
          <w:sz w:val="22"/>
          <w:szCs w:val="22"/>
          <w:lang w:val="sk-SK"/>
        </w:rPr>
        <w:t>kolitídu</w:t>
      </w:r>
      <w:r w:rsidRPr="0063664A">
        <w:rPr>
          <w:sz w:val="22"/>
          <w:szCs w:val="22"/>
          <w:lang w:val="sk-SK"/>
        </w:rPr>
        <w:t xml:space="preserve">. Liečba antibakteriálnymi látkami mení fyziologickú mikroflóru hrubého čreva, čo môže viesť k premnoženiu </w:t>
      </w:r>
      <w:r w:rsidRPr="0063664A">
        <w:rPr>
          <w:i/>
          <w:iCs/>
          <w:sz w:val="22"/>
          <w:szCs w:val="22"/>
          <w:lang w:val="sk-SK"/>
        </w:rPr>
        <w:t>C. difficile.</w:t>
      </w:r>
      <w:r w:rsidRPr="0063664A">
        <w:rPr>
          <w:iCs/>
          <w:sz w:val="22"/>
          <w:szCs w:val="22"/>
          <w:lang w:val="sk-SK"/>
        </w:rPr>
        <w:t xml:space="preserve"> </w:t>
      </w:r>
      <w:r w:rsidRPr="0063664A">
        <w:rPr>
          <w:rStyle w:val="hps"/>
          <w:sz w:val="22"/>
          <w:szCs w:val="22"/>
          <w:lang w:val="sk-SK"/>
        </w:rPr>
        <w:t>CDAD</w:t>
      </w:r>
      <w:r w:rsidRPr="0063664A">
        <w:rPr>
          <w:sz w:val="22"/>
          <w:szCs w:val="22"/>
          <w:lang w:val="sk-SK"/>
        </w:rPr>
        <w:t xml:space="preserve"> </w:t>
      </w:r>
      <w:r w:rsidRPr="0063664A">
        <w:rPr>
          <w:rStyle w:val="hps"/>
          <w:sz w:val="22"/>
          <w:szCs w:val="22"/>
          <w:lang w:val="sk-SK"/>
        </w:rPr>
        <w:t>treba zvážiť</w:t>
      </w:r>
      <w:r w:rsidRPr="0063664A">
        <w:rPr>
          <w:sz w:val="22"/>
          <w:szCs w:val="22"/>
          <w:lang w:val="sk-SK"/>
        </w:rPr>
        <w:t xml:space="preserve"> </w:t>
      </w:r>
      <w:r w:rsidRPr="0063664A">
        <w:rPr>
          <w:rStyle w:val="hps"/>
          <w:sz w:val="22"/>
          <w:szCs w:val="22"/>
          <w:lang w:val="sk-SK"/>
        </w:rPr>
        <w:t>u</w:t>
      </w:r>
      <w:r w:rsidRPr="0063664A">
        <w:rPr>
          <w:sz w:val="22"/>
          <w:szCs w:val="22"/>
          <w:lang w:val="sk-SK"/>
        </w:rPr>
        <w:t xml:space="preserve"> </w:t>
      </w:r>
      <w:r w:rsidRPr="0063664A">
        <w:rPr>
          <w:rStyle w:val="hps"/>
          <w:sz w:val="22"/>
          <w:szCs w:val="22"/>
          <w:lang w:val="sk-SK"/>
        </w:rPr>
        <w:t>všetkých pacientov</w:t>
      </w:r>
      <w:r w:rsidRPr="0063664A">
        <w:rPr>
          <w:sz w:val="22"/>
          <w:szCs w:val="22"/>
          <w:lang w:val="sk-SK"/>
        </w:rPr>
        <w:t xml:space="preserve">, </w:t>
      </w:r>
      <w:r w:rsidRPr="0063664A">
        <w:rPr>
          <w:rStyle w:val="hps"/>
          <w:sz w:val="22"/>
          <w:szCs w:val="22"/>
          <w:lang w:val="sk-SK"/>
        </w:rPr>
        <w:t>u ktorých</w:t>
      </w:r>
      <w:r w:rsidRPr="0063664A">
        <w:rPr>
          <w:sz w:val="22"/>
          <w:szCs w:val="22"/>
          <w:lang w:val="sk-SK"/>
        </w:rPr>
        <w:t xml:space="preserve"> </w:t>
      </w:r>
      <w:r w:rsidRPr="0063664A">
        <w:rPr>
          <w:rStyle w:val="hps"/>
          <w:sz w:val="22"/>
          <w:szCs w:val="22"/>
          <w:lang w:val="sk-SK"/>
        </w:rPr>
        <w:t xml:space="preserve">sa </w:t>
      </w:r>
      <w:r w:rsidRPr="0063664A">
        <w:rPr>
          <w:iCs/>
          <w:sz w:val="22"/>
          <w:szCs w:val="22"/>
          <w:lang w:val="sk-SK"/>
        </w:rPr>
        <w:t>po podávaní antibiotík vyskytne hnačka</w:t>
      </w:r>
      <w:r w:rsidRPr="0063664A">
        <w:rPr>
          <w:sz w:val="22"/>
          <w:szCs w:val="22"/>
          <w:lang w:val="sk-SK"/>
        </w:rPr>
        <w:t xml:space="preserve">. Dôkladná anamnéza je nevyhnutná, nakoľko výskyt CDAD bol hlásený aj viac ako dva mesiace po ukončení užívania antibakteriálnych látok. </w:t>
      </w:r>
      <w:r w:rsidRPr="0063664A">
        <w:rPr>
          <w:rStyle w:val="hps"/>
          <w:sz w:val="22"/>
          <w:szCs w:val="22"/>
          <w:lang w:val="sk-SK"/>
        </w:rPr>
        <w:t>Z tohto dôvodu</w:t>
      </w:r>
      <w:r w:rsidRPr="0063664A">
        <w:rPr>
          <w:sz w:val="22"/>
          <w:szCs w:val="22"/>
          <w:lang w:val="sk-SK"/>
        </w:rPr>
        <w:t xml:space="preserve"> </w:t>
      </w:r>
      <w:r w:rsidRPr="0063664A">
        <w:rPr>
          <w:rStyle w:val="hps"/>
          <w:sz w:val="22"/>
          <w:szCs w:val="22"/>
          <w:lang w:val="sk-SK"/>
        </w:rPr>
        <w:t>je potrebné zvážiť</w:t>
      </w:r>
      <w:r w:rsidRPr="0063664A">
        <w:rPr>
          <w:sz w:val="22"/>
          <w:szCs w:val="22"/>
          <w:lang w:val="sk-SK"/>
        </w:rPr>
        <w:t xml:space="preserve"> </w:t>
      </w:r>
      <w:r w:rsidRPr="0063664A">
        <w:rPr>
          <w:rStyle w:val="hps"/>
          <w:sz w:val="22"/>
          <w:szCs w:val="22"/>
          <w:lang w:val="sk-SK"/>
        </w:rPr>
        <w:t>ukončenie liečby klaritromycínom</w:t>
      </w:r>
      <w:r w:rsidRPr="0063664A">
        <w:rPr>
          <w:sz w:val="22"/>
          <w:szCs w:val="22"/>
          <w:lang w:val="sk-SK"/>
        </w:rPr>
        <w:t xml:space="preserve"> </w:t>
      </w:r>
      <w:r w:rsidRPr="0063664A">
        <w:rPr>
          <w:rStyle w:val="hps"/>
          <w:sz w:val="22"/>
          <w:szCs w:val="22"/>
          <w:lang w:val="sk-SK"/>
        </w:rPr>
        <w:t>bez</w:t>
      </w:r>
      <w:r w:rsidRPr="0063664A">
        <w:rPr>
          <w:sz w:val="22"/>
          <w:szCs w:val="22"/>
          <w:lang w:val="sk-SK"/>
        </w:rPr>
        <w:t xml:space="preserve"> </w:t>
      </w:r>
      <w:r w:rsidRPr="0063664A">
        <w:rPr>
          <w:rStyle w:val="hps"/>
          <w:sz w:val="22"/>
          <w:szCs w:val="22"/>
          <w:lang w:val="sk-SK"/>
        </w:rPr>
        <w:t>ohľadu na</w:t>
      </w:r>
      <w:r w:rsidRPr="0063664A">
        <w:rPr>
          <w:sz w:val="22"/>
          <w:szCs w:val="22"/>
          <w:lang w:val="sk-SK"/>
        </w:rPr>
        <w:t xml:space="preserve"> </w:t>
      </w:r>
      <w:r w:rsidRPr="0063664A">
        <w:rPr>
          <w:rStyle w:val="hps"/>
          <w:sz w:val="22"/>
          <w:szCs w:val="22"/>
          <w:lang w:val="sk-SK"/>
        </w:rPr>
        <w:t>jeho</w:t>
      </w:r>
      <w:r w:rsidRPr="0063664A">
        <w:rPr>
          <w:sz w:val="22"/>
          <w:szCs w:val="22"/>
          <w:lang w:val="sk-SK"/>
        </w:rPr>
        <w:t xml:space="preserve"> </w:t>
      </w:r>
      <w:r w:rsidRPr="0063664A">
        <w:rPr>
          <w:rStyle w:val="hps"/>
          <w:sz w:val="22"/>
          <w:szCs w:val="22"/>
          <w:lang w:val="sk-SK"/>
        </w:rPr>
        <w:t>indikáciu</w:t>
      </w:r>
      <w:r w:rsidRPr="0063664A">
        <w:rPr>
          <w:sz w:val="22"/>
          <w:szCs w:val="22"/>
          <w:lang w:val="sk-SK"/>
        </w:rPr>
        <w:t>. Je potrebné vykonať mikrobiologické testy a začať vhodnú liečbu. Je potrebné vyhnúť sa podávaniu liekov inhibujúcich peristaltiku.</w:t>
      </w:r>
    </w:p>
    <w:p w14:paraId="39680D7A" w14:textId="77777777" w:rsidR="0065586B" w:rsidRPr="0063664A" w:rsidRDefault="0065586B" w:rsidP="002672E5">
      <w:pPr>
        <w:pStyle w:val="BodySingle"/>
        <w:rPr>
          <w:sz w:val="22"/>
          <w:szCs w:val="22"/>
        </w:rPr>
      </w:pPr>
    </w:p>
    <w:p w14:paraId="67D9D7DC" w14:textId="77777777" w:rsidR="0065586B" w:rsidRPr="0063664A" w:rsidRDefault="0065586B" w:rsidP="002672E5">
      <w:pPr>
        <w:pStyle w:val="BodySingle"/>
        <w:rPr>
          <w:sz w:val="22"/>
          <w:szCs w:val="22"/>
        </w:rPr>
      </w:pPr>
      <w:r w:rsidRPr="0063664A">
        <w:rPr>
          <w:sz w:val="22"/>
          <w:szCs w:val="22"/>
        </w:rPr>
        <w:t>Pri súbežnom užívaní klaritromycínu a kolchicínu sa po uvedení lieku na trh zaznamenali hlásenia toxicity kolchicínu a to najmä u starších pacientov. Niektoré z týchto prípadov sa vyskytli u pacientov s renálnou insuficienciou. U viacerých z týchto pacientov boli hlásené aj prípady úmrtí (pozri časť 4.5). Súbežné podávanie klaritromycínu a kolchicínu je kontraindikované (pozri časť 4.3).</w:t>
      </w:r>
    </w:p>
    <w:p w14:paraId="2B3B0B42" w14:textId="77777777" w:rsidR="0065586B" w:rsidRPr="0063664A" w:rsidRDefault="0065586B" w:rsidP="002672E5">
      <w:pPr>
        <w:pStyle w:val="BodySingle"/>
        <w:rPr>
          <w:sz w:val="22"/>
          <w:szCs w:val="22"/>
        </w:rPr>
      </w:pPr>
    </w:p>
    <w:p w14:paraId="132BB1E1" w14:textId="77777777" w:rsidR="004B136C" w:rsidRPr="0063664A" w:rsidRDefault="0065586B" w:rsidP="002672E5">
      <w:pPr>
        <w:rPr>
          <w:sz w:val="22"/>
          <w:szCs w:val="22"/>
          <w:lang w:val="sk-SK"/>
        </w:rPr>
      </w:pPr>
      <w:r w:rsidRPr="0063664A">
        <w:rPr>
          <w:sz w:val="22"/>
          <w:szCs w:val="22"/>
          <w:lang w:val="sk-SK"/>
        </w:rPr>
        <w:t>Pri súbežnom podávaní klaritromycínu a triazolobenzodiazepínov, ako je triazolam a intravenózne podávaný midazolam, sa odporúča opatrnosť (pozri časť</w:t>
      </w:r>
      <w:r w:rsidR="003F31B7" w:rsidRPr="0063664A">
        <w:rPr>
          <w:sz w:val="22"/>
          <w:szCs w:val="22"/>
          <w:lang w:val="sk-SK"/>
        </w:rPr>
        <w:t> </w:t>
      </w:r>
      <w:r w:rsidRPr="0063664A">
        <w:rPr>
          <w:sz w:val="22"/>
          <w:szCs w:val="22"/>
          <w:lang w:val="sk-SK"/>
        </w:rPr>
        <w:t>4.5).</w:t>
      </w:r>
      <w:r w:rsidR="004B136C" w:rsidRPr="0063664A">
        <w:rPr>
          <w:bCs/>
          <w:iCs/>
          <w:sz w:val="22"/>
          <w:szCs w:val="22"/>
          <w:lang w:val="sk-SK"/>
        </w:rPr>
        <w:t xml:space="preserve"> Súbežné podávanie klaritromycínu a perorálnej formy midazolamu je kontraindikované (pozri čas</w:t>
      </w:r>
      <w:r w:rsidR="003F31B7" w:rsidRPr="0063664A">
        <w:rPr>
          <w:bCs/>
          <w:iCs/>
          <w:sz w:val="22"/>
          <w:szCs w:val="22"/>
          <w:lang w:val="sk-SK"/>
        </w:rPr>
        <w:t>ti </w:t>
      </w:r>
      <w:r w:rsidR="004B136C" w:rsidRPr="0063664A">
        <w:rPr>
          <w:bCs/>
          <w:iCs/>
          <w:sz w:val="22"/>
          <w:szCs w:val="22"/>
          <w:lang w:val="sk-SK"/>
        </w:rPr>
        <w:t>4.3 a</w:t>
      </w:r>
      <w:r w:rsidR="003F31B7" w:rsidRPr="0063664A">
        <w:rPr>
          <w:bCs/>
          <w:iCs/>
          <w:sz w:val="22"/>
          <w:szCs w:val="22"/>
          <w:lang w:val="sk-SK"/>
        </w:rPr>
        <w:t> </w:t>
      </w:r>
      <w:r w:rsidR="004B136C" w:rsidRPr="0063664A">
        <w:rPr>
          <w:bCs/>
          <w:iCs/>
          <w:sz w:val="22"/>
          <w:szCs w:val="22"/>
          <w:lang w:val="sk-SK"/>
        </w:rPr>
        <w:t>4.5).</w:t>
      </w:r>
    </w:p>
    <w:p w14:paraId="0E53C27C" w14:textId="77777777" w:rsidR="0065586B" w:rsidRPr="0063664A" w:rsidRDefault="0065586B" w:rsidP="002672E5">
      <w:pPr>
        <w:rPr>
          <w:sz w:val="22"/>
          <w:szCs w:val="22"/>
          <w:lang w:val="sk-SK"/>
        </w:rPr>
      </w:pPr>
    </w:p>
    <w:p w14:paraId="3E58B5EF" w14:textId="77777777" w:rsidR="0065586B" w:rsidRPr="0063664A" w:rsidRDefault="0065586B" w:rsidP="002672E5">
      <w:pPr>
        <w:pStyle w:val="BodySingle"/>
        <w:rPr>
          <w:sz w:val="22"/>
          <w:szCs w:val="22"/>
        </w:rPr>
      </w:pPr>
      <w:r w:rsidRPr="0063664A">
        <w:rPr>
          <w:sz w:val="22"/>
          <w:szCs w:val="22"/>
        </w:rPr>
        <w:t>Pri súbežnom podávaní klaritromycínu a iných ototoxických liečiv, predovšetkým aminoglykozidov, je potrebná opatrnosť. Počas liečby a po jej ukončení sa má sledovať funkcia sluchu a vestibulárneho aparátu.</w:t>
      </w:r>
    </w:p>
    <w:p w14:paraId="6C487613" w14:textId="77777777" w:rsidR="0065586B" w:rsidRPr="0063664A" w:rsidRDefault="0065586B" w:rsidP="002672E5">
      <w:pPr>
        <w:pStyle w:val="BodySingle"/>
        <w:rPr>
          <w:sz w:val="22"/>
          <w:szCs w:val="22"/>
        </w:rPr>
      </w:pPr>
    </w:p>
    <w:p w14:paraId="32E6B874" w14:textId="77777777" w:rsidR="00806FAB" w:rsidRPr="0063664A" w:rsidRDefault="00806FAB" w:rsidP="009B7F59">
      <w:pPr>
        <w:pStyle w:val="Normlny0"/>
        <w:keepNext/>
        <w:rPr>
          <w:rFonts w:ascii="Times New Roman" w:hAnsi="Times New Roman"/>
          <w:sz w:val="22"/>
          <w:szCs w:val="22"/>
          <w:u w:val="single"/>
          <w:lang w:val="sk-SK"/>
        </w:rPr>
      </w:pPr>
      <w:r w:rsidRPr="0063664A">
        <w:rPr>
          <w:rFonts w:ascii="Times New Roman" w:hAnsi="Times New Roman"/>
          <w:sz w:val="22"/>
          <w:szCs w:val="22"/>
          <w:u w:val="single"/>
          <w:lang w:val="sk-SK"/>
        </w:rPr>
        <w:t>Kardiovaskulárne udalosti</w:t>
      </w:r>
    </w:p>
    <w:p w14:paraId="583F163A" w14:textId="77777777" w:rsidR="0065586B" w:rsidRPr="0063664A" w:rsidRDefault="0065586B" w:rsidP="002672E5">
      <w:pPr>
        <w:pStyle w:val="Normlny0"/>
        <w:rPr>
          <w:rFonts w:ascii="Times New Roman" w:hAnsi="Times New Roman"/>
          <w:sz w:val="22"/>
          <w:szCs w:val="22"/>
          <w:lang w:val="sk-SK"/>
        </w:rPr>
      </w:pPr>
      <w:r w:rsidRPr="0063664A">
        <w:rPr>
          <w:rFonts w:ascii="Times New Roman" w:hAnsi="Times New Roman"/>
          <w:sz w:val="22"/>
          <w:szCs w:val="22"/>
          <w:lang w:val="sk-SK"/>
        </w:rPr>
        <w:t>Pri liečbe inými makrolidmi vrátane klaritromycínu sa pozorovalo predĺženie QT intervalu,</w:t>
      </w:r>
      <w:r w:rsidR="00B344EB" w:rsidRPr="0063664A">
        <w:rPr>
          <w:rFonts w:ascii="Times New Roman" w:hAnsi="Times New Roman"/>
          <w:sz w:val="22"/>
          <w:szCs w:val="22"/>
          <w:lang w:val="sk-SK"/>
        </w:rPr>
        <w:t xml:space="preserve"> </w:t>
      </w:r>
      <w:bookmarkStart w:id="3" w:name="_Hlk2936851"/>
      <w:bookmarkStart w:id="4" w:name="_Hlk2935824"/>
      <w:r w:rsidR="00262F1B" w:rsidRPr="0063664A">
        <w:rPr>
          <w:rFonts w:ascii="Times New Roman" w:hAnsi="Times New Roman"/>
          <w:sz w:val="22"/>
          <w:szCs w:val="22"/>
          <w:lang w:val="sk-SK"/>
        </w:rPr>
        <w:t xml:space="preserve">čo je </w:t>
      </w:r>
      <w:r w:rsidR="006953B4" w:rsidRPr="0063664A">
        <w:rPr>
          <w:rFonts w:ascii="Times New Roman" w:hAnsi="Times New Roman"/>
          <w:sz w:val="22"/>
          <w:szCs w:val="22"/>
          <w:lang w:val="sk-SK"/>
        </w:rPr>
        <w:t>prejav</w:t>
      </w:r>
      <w:r w:rsidR="00262F1B" w:rsidRPr="0063664A">
        <w:rPr>
          <w:rFonts w:ascii="Times New Roman" w:hAnsi="Times New Roman"/>
          <w:sz w:val="22"/>
          <w:szCs w:val="22"/>
          <w:lang w:val="sk-SK"/>
        </w:rPr>
        <w:t>om</w:t>
      </w:r>
      <w:r w:rsidR="006953B4" w:rsidRPr="0063664A">
        <w:rPr>
          <w:rFonts w:ascii="Times New Roman" w:hAnsi="Times New Roman"/>
          <w:sz w:val="22"/>
          <w:szCs w:val="22"/>
          <w:lang w:val="sk-SK"/>
        </w:rPr>
        <w:t xml:space="preserve"> účink</w:t>
      </w:r>
      <w:r w:rsidR="00262F1B" w:rsidRPr="0063664A">
        <w:rPr>
          <w:rFonts w:ascii="Times New Roman" w:hAnsi="Times New Roman"/>
          <w:sz w:val="22"/>
          <w:szCs w:val="22"/>
          <w:lang w:val="sk-SK"/>
        </w:rPr>
        <w:t>ov</w:t>
      </w:r>
      <w:r w:rsidR="00B344EB" w:rsidRPr="0063664A">
        <w:rPr>
          <w:rFonts w:ascii="Times New Roman" w:hAnsi="Times New Roman"/>
          <w:sz w:val="22"/>
          <w:szCs w:val="22"/>
          <w:lang w:val="sk-SK"/>
        </w:rPr>
        <w:t xml:space="preserve"> na repolarizáciu srdca</w:t>
      </w:r>
      <w:bookmarkEnd w:id="3"/>
      <w:r w:rsidR="00262F1B" w:rsidRPr="0063664A">
        <w:rPr>
          <w:rFonts w:ascii="Times New Roman" w:hAnsi="Times New Roman"/>
          <w:sz w:val="22"/>
          <w:szCs w:val="22"/>
          <w:lang w:val="sk-SK"/>
        </w:rPr>
        <w:t xml:space="preserve">, </w:t>
      </w:r>
      <w:bookmarkEnd w:id="4"/>
      <w:r w:rsidRPr="0063664A">
        <w:rPr>
          <w:rFonts w:ascii="Times New Roman" w:hAnsi="Times New Roman"/>
          <w:sz w:val="22"/>
          <w:szCs w:val="22"/>
          <w:lang w:val="sk-SK"/>
        </w:rPr>
        <w:t>predstavuj</w:t>
      </w:r>
      <w:r w:rsidR="00262F1B" w:rsidRPr="0063664A">
        <w:rPr>
          <w:rFonts w:ascii="Times New Roman" w:hAnsi="Times New Roman"/>
          <w:sz w:val="22"/>
          <w:szCs w:val="22"/>
          <w:lang w:val="sk-SK"/>
        </w:rPr>
        <w:t>úcich</w:t>
      </w:r>
      <w:r w:rsidRPr="0063664A">
        <w:rPr>
          <w:rFonts w:ascii="Times New Roman" w:hAnsi="Times New Roman"/>
          <w:sz w:val="22"/>
          <w:szCs w:val="22"/>
          <w:lang w:val="sk-SK"/>
        </w:rPr>
        <w:t xml:space="preserve"> riziko vzniku srdcovej arytmie a</w:t>
      </w:r>
      <w:r w:rsidR="00262F1B" w:rsidRPr="0063664A">
        <w:rPr>
          <w:rFonts w:ascii="Times New Roman" w:hAnsi="Times New Roman"/>
          <w:sz w:val="22"/>
          <w:szCs w:val="22"/>
          <w:lang w:val="sk-SK"/>
        </w:rPr>
        <w:t> </w:t>
      </w:r>
      <w:r w:rsidRPr="0063664A">
        <w:rPr>
          <w:rFonts w:ascii="Times New Roman" w:hAnsi="Times New Roman"/>
          <w:i/>
          <w:sz w:val="22"/>
          <w:szCs w:val="22"/>
          <w:lang w:val="sk-SK"/>
        </w:rPr>
        <w:t>torsades de pointes</w:t>
      </w:r>
      <w:r w:rsidRPr="0063664A">
        <w:rPr>
          <w:rFonts w:ascii="Times New Roman" w:hAnsi="Times New Roman"/>
          <w:sz w:val="22"/>
          <w:szCs w:val="22"/>
          <w:lang w:val="sk-SK"/>
        </w:rPr>
        <w:t xml:space="preserve"> (pozri časť</w:t>
      </w:r>
      <w:r w:rsidR="00B344EB" w:rsidRPr="0063664A">
        <w:rPr>
          <w:rFonts w:ascii="Times New Roman" w:hAnsi="Times New Roman"/>
          <w:sz w:val="22"/>
          <w:szCs w:val="22"/>
          <w:lang w:val="sk-SK"/>
        </w:rPr>
        <w:t> </w:t>
      </w:r>
      <w:r w:rsidRPr="0063664A">
        <w:rPr>
          <w:rFonts w:ascii="Times New Roman" w:hAnsi="Times New Roman"/>
          <w:sz w:val="22"/>
          <w:szCs w:val="22"/>
          <w:lang w:val="sk-SK"/>
        </w:rPr>
        <w:t>4.8).</w:t>
      </w:r>
    </w:p>
    <w:p w14:paraId="074491FB" w14:textId="77777777" w:rsidR="0065586B" w:rsidRPr="0063664A" w:rsidRDefault="00426937" w:rsidP="002672E5">
      <w:pPr>
        <w:autoSpaceDE w:val="0"/>
        <w:autoSpaceDN w:val="0"/>
        <w:adjustRightInd w:val="0"/>
        <w:rPr>
          <w:sz w:val="22"/>
          <w:szCs w:val="22"/>
          <w:lang w:val="sk-SK"/>
        </w:rPr>
      </w:pPr>
      <w:bookmarkStart w:id="5" w:name="_Hlk2935869"/>
      <w:bookmarkStart w:id="6" w:name="_Hlk2936874"/>
      <w:r w:rsidRPr="0063664A">
        <w:rPr>
          <w:sz w:val="22"/>
          <w:szCs w:val="22"/>
          <w:lang w:val="sk-SK"/>
        </w:rPr>
        <w:t>Vzhľadom na zvýšené riziko predĺženia QT intervalu a </w:t>
      </w:r>
      <w:bookmarkEnd w:id="5"/>
      <w:r w:rsidR="0065586B" w:rsidRPr="0063664A">
        <w:rPr>
          <w:sz w:val="22"/>
          <w:szCs w:val="22"/>
          <w:lang w:val="sk-SK"/>
        </w:rPr>
        <w:t xml:space="preserve"> </w:t>
      </w:r>
      <w:bookmarkEnd w:id="6"/>
      <w:r w:rsidR="0065586B" w:rsidRPr="0063664A">
        <w:rPr>
          <w:sz w:val="22"/>
          <w:szCs w:val="22"/>
          <w:lang w:val="sk-SK"/>
        </w:rPr>
        <w:t xml:space="preserve">vzniku ventrikulárnych arytmií (vrátane </w:t>
      </w:r>
      <w:r w:rsidR="0065586B" w:rsidRPr="0063664A">
        <w:rPr>
          <w:i/>
          <w:sz w:val="22"/>
          <w:szCs w:val="22"/>
          <w:lang w:val="sk-SK"/>
        </w:rPr>
        <w:t>torsades de pointes</w:t>
      </w:r>
      <w:r w:rsidR="0065586B" w:rsidRPr="0063664A">
        <w:rPr>
          <w:sz w:val="22"/>
          <w:szCs w:val="22"/>
          <w:lang w:val="sk-SK"/>
        </w:rPr>
        <w:t>)</w:t>
      </w:r>
      <w:r w:rsidRPr="0063664A">
        <w:rPr>
          <w:sz w:val="22"/>
          <w:szCs w:val="22"/>
          <w:lang w:val="sk-SK"/>
        </w:rPr>
        <w:t xml:space="preserve"> </w:t>
      </w:r>
      <w:bookmarkStart w:id="7" w:name="_Hlk2935890"/>
      <w:r w:rsidRPr="0063664A">
        <w:rPr>
          <w:sz w:val="22"/>
          <w:szCs w:val="22"/>
          <w:lang w:val="sk-SK"/>
        </w:rPr>
        <w:t xml:space="preserve">je použitie klaritromycínu kontraindikované u pacientov užívajúcich </w:t>
      </w:r>
      <w:r w:rsidR="00CB36D7" w:rsidRPr="0063664A">
        <w:rPr>
          <w:sz w:val="22"/>
          <w:szCs w:val="22"/>
          <w:lang w:val="sk-SK"/>
        </w:rPr>
        <w:t xml:space="preserve">ktorýkoľvek z nasledujúcich liekov: </w:t>
      </w:r>
      <w:r w:rsidRPr="0063664A">
        <w:rPr>
          <w:sz w:val="22"/>
          <w:szCs w:val="22"/>
          <w:lang w:val="sk-SK"/>
        </w:rPr>
        <w:t xml:space="preserve">astemizol, cisaprid, domperidón, pimozid a terfenadín; u pacientov </w:t>
      </w:r>
      <w:r w:rsidRPr="0063664A">
        <w:rPr>
          <w:sz w:val="22"/>
          <w:szCs w:val="22"/>
          <w:lang w:val="sk-SK"/>
        </w:rPr>
        <w:lastRenderedPageBreak/>
        <w:t>s hypokaliémiou; a u pacientov s anamnézou predĺženého QT intervalu alebo ventrikulárnou srdcovou arytmiou (pozri časť 4.3).</w:t>
      </w:r>
      <w:bookmarkEnd w:id="7"/>
    </w:p>
    <w:p w14:paraId="6CA0F4AA" w14:textId="77777777" w:rsidR="0065586B" w:rsidRPr="0063664A" w:rsidRDefault="0065586B" w:rsidP="002672E5">
      <w:pPr>
        <w:autoSpaceDE w:val="0"/>
        <w:autoSpaceDN w:val="0"/>
        <w:adjustRightInd w:val="0"/>
        <w:rPr>
          <w:sz w:val="22"/>
          <w:szCs w:val="22"/>
          <w:lang w:val="sk-SK"/>
        </w:rPr>
      </w:pPr>
    </w:p>
    <w:p w14:paraId="75D71D95" w14:textId="77777777" w:rsidR="00426937" w:rsidRPr="0063664A" w:rsidRDefault="00426937" w:rsidP="009B7F59">
      <w:pPr>
        <w:keepNext/>
        <w:autoSpaceDE w:val="0"/>
        <w:autoSpaceDN w:val="0"/>
        <w:adjustRightInd w:val="0"/>
        <w:rPr>
          <w:sz w:val="22"/>
          <w:szCs w:val="22"/>
          <w:lang w:val="sk-SK"/>
        </w:rPr>
      </w:pPr>
      <w:bookmarkStart w:id="8" w:name="_Hlk2935919"/>
      <w:bookmarkStart w:id="9" w:name="_Hlk2936910"/>
      <w:r w:rsidRPr="0063664A">
        <w:rPr>
          <w:sz w:val="22"/>
          <w:szCs w:val="22"/>
          <w:lang w:val="sk-SK"/>
        </w:rPr>
        <w:t>Ďalej sa má klaritromycín používať s opatrnosťou v nasledovných prípadoch:</w:t>
      </w:r>
      <w:bookmarkEnd w:id="8"/>
    </w:p>
    <w:bookmarkEnd w:id="9"/>
    <w:p w14:paraId="5896D8D6" w14:textId="77777777" w:rsidR="0065586B" w:rsidRPr="0063664A" w:rsidRDefault="0065586B" w:rsidP="002672E5">
      <w:pPr>
        <w:autoSpaceDE w:val="0"/>
        <w:autoSpaceDN w:val="0"/>
        <w:adjustRightInd w:val="0"/>
        <w:ind w:left="567" w:hanging="567"/>
        <w:rPr>
          <w:sz w:val="22"/>
          <w:szCs w:val="22"/>
          <w:lang w:val="sk-SK"/>
        </w:rPr>
      </w:pPr>
      <w:r w:rsidRPr="0063664A">
        <w:rPr>
          <w:sz w:val="22"/>
          <w:szCs w:val="22"/>
          <w:lang w:val="sk-SK"/>
        </w:rPr>
        <w:t>•</w:t>
      </w:r>
      <w:r w:rsidRPr="0063664A">
        <w:rPr>
          <w:sz w:val="22"/>
          <w:szCs w:val="22"/>
          <w:lang w:val="sk-SK"/>
        </w:rPr>
        <w:tab/>
        <w:t>u</w:t>
      </w:r>
      <w:r w:rsidR="004A1B2D" w:rsidRPr="0063664A">
        <w:rPr>
          <w:sz w:val="22"/>
          <w:szCs w:val="22"/>
          <w:lang w:val="sk-SK"/>
        </w:rPr>
        <w:t> </w:t>
      </w:r>
      <w:r w:rsidRPr="0063664A">
        <w:rPr>
          <w:sz w:val="22"/>
          <w:szCs w:val="22"/>
          <w:lang w:val="sk-SK"/>
        </w:rPr>
        <w:t>pacientov s ischemickou chorobou srdca, závažnou srdcovou nedostatočnosťou,</w:t>
      </w:r>
      <w:r w:rsidR="0012018A" w:rsidRPr="0063664A">
        <w:rPr>
          <w:sz w:val="22"/>
          <w:szCs w:val="22"/>
          <w:lang w:val="sk-SK"/>
        </w:rPr>
        <w:t xml:space="preserve"> </w:t>
      </w:r>
      <w:r w:rsidRPr="0063664A">
        <w:rPr>
          <w:sz w:val="22"/>
          <w:szCs w:val="22"/>
          <w:lang w:val="sk-SK"/>
        </w:rPr>
        <w:t>poruchami vodivého systému srdca a</w:t>
      </w:r>
      <w:r w:rsidR="00A54485" w:rsidRPr="0063664A">
        <w:rPr>
          <w:sz w:val="22"/>
          <w:szCs w:val="22"/>
          <w:lang w:val="sk-SK"/>
        </w:rPr>
        <w:t xml:space="preserve">lebo </w:t>
      </w:r>
      <w:r w:rsidRPr="0063664A">
        <w:rPr>
          <w:sz w:val="22"/>
          <w:szCs w:val="22"/>
          <w:lang w:val="sk-SK"/>
        </w:rPr>
        <w:t>klinicky významnou bradykardiou</w:t>
      </w:r>
    </w:p>
    <w:p w14:paraId="2E095F63" w14:textId="77777777" w:rsidR="0065586B" w:rsidRPr="0063664A" w:rsidRDefault="0065586B" w:rsidP="009B7F59">
      <w:pPr>
        <w:autoSpaceDE w:val="0"/>
        <w:autoSpaceDN w:val="0"/>
        <w:adjustRightInd w:val="0"/>
        <w:ind w:left="567" w:hanging="567"/>
        <w:rPr>
          <w:sz w:val="22"/>
          <w:szCs w:val="22"/>
          <w:lang w:val="sk-SK"/>
        </w:rPr>
      </w:pPr>
      <w:r w:rsidRPr="0063664A">
        <w:rPr>
          <w:sz w:val="22"/>
          <w:szCs w:val="22"/>
          <w:lang w:val="sk-SK"/>
        </w:rPr>
        <w:t>•</w:t>
      </w:r>
      <w:r w:rsidRPr="0063664A">
        <w:rPr>
          <w:sz w:val="22"/>
          <w:szCs w:val="22"/>
          <w:lang w:val="sk-SK"/>
        </w:rPr>
        <w:tab/>
        <w:t>u pacientov s hypomagneziémi</w:t>
      </w:r>
      <w:r w:rsidR="00426937" w:rsidRPr="0063664A">
        <w:rPr>
          <w:sz w:val="22"/>
          <w:szCs w:val="22"/>
          <w:lang w:val="sk-SK"/>
        </w:rPr>
        <w:t>ou</w:t>
      </w:r>
    </w:p>
    <w:p w14:paraId="389D240B" w14:textId="77777777" w:rsidR="00806FAB" w:rsidRPr="0063664A" w:rsidRDefault="0065586B" w:rsidP="002672E5">
      <w:pPr>
        <w:autoSpaceDE w:val="0"/>
        <w:autoSpaceDN w:val="0"/>
        <w:adjustRightInd w:val="0"/>
        <w:ind w:left="567" w:hanging="567"/>
        <w:rPr>
          <w:sz w:val="22"/>
          <w:szCs w:val="22"/>
          <w:lang w:val="sk-SK"/>
        </w:rPr>
      </w:pPr>
      <w:r w:rsidRPr="0063664A">
        <w:rPr>
          <w:sz w:val="22"/>
          <w:szCs w:val="22"/>
          <w:lang w:val="sk-SK"/>
        </w:rPr>
        <w:t>•</w:t>
      </w:r>
      <w:r w:rsidRPr="0063664A">
        <w:rPr>
          <w:sz w:val="22"/>
          <w:szCs w:val="22"/>
          <w:lang w:val="sk-SK"/>
        </w:rPr>
        <w:tab/>
      </w:r>
      <w:bookmarkStart w:id="10" w:name="_Hlk2936031"/>
      <w:bookmarkStart w:id="11" w:name="_Hlk2937003"/>
      <w:r w:rsidR="00156EF8" w:rsidRPr="0063664A">
        <w:rPr>
          <w:sz w:val="22"/>
          <w:szCs w:val="22"/>
        </w:rPr>
        <w:t>u pacientov, ktorí súbežne užívajú iné lieky spojené</w:t>
      </w:r>
      <w:r w:rsidR="00156EF8" w:rsidRPr="0063664A" w:rsidDel="00156EF8">
        <w:rPr>
          <w:sz w:val="22"/>
          <w:szCs w:val="22"/>
          <w:lang w:val="sk-SK"/>
        </w:rPr>
        <w:t xml:space="preserve"> </w:t>
      </w:r>
      <w:bookmarkEnd w:id="10"/>
      <w:r w:rsidR="0012018A" w:rsidRPr="0063664A">
        <w:rPr>
          <w:sz w:val="22"/>
          <w:szCs w:val="22"/>
          <w:lang w:val="sk-SK"/>
        </w:rPr>
        <w:t>s</w:t>
      </w:r>
      <w:bookmarkEnd w:id="11"/>
      <w:r w:rsidR="0012018A" w:rsidRPr="0063664A">
        <w:rPr>
          <w:sz w:val="22"/>
          <w:szCs w:val="22"/>
          <w:lang w:val="sk-SK"/>
        </w:rPr>
        <w:t> </w:t>
      </w:r>
      <w:r w:rsidRPr="0063664A">
        <w:rPr>
          <w:sz w:val="22"/>
          <w:szCs w:val="22"/>
          <w:lang w:val="sk-SK"/>
        </w:rPr>
        <w:t xml:space="preserve">predĺžením QT intervalu </w:t>
      </w:r>
      <w:bookmarkStart w:id="12" w:name="_Hlk2936083"/>
      <w:r w:rsidR="00426937" w:rsidRPr="0063664A">
        <w:rPr>
          <w:sz w:val="22"/>
          <w:szCs w:val="22"/>
          <w:lang w:val="sk-SK"/>
        </w:rPr>
        <w:t>okrem tých, ktoré sú kontarindikované</w:t>
      </w:r>
      <w:bookmarkEnd w:id="12"/>
    </w:p>
    <w:p w14:paraId="7F7C93FB" w14:textId="77777777" w:rsidR="00806FAB" w:rsidRPr="0063664A" w:rsidRDefault="00806FAB" w:rsidP="002672E5">
      <w:pPr>
        <w:autoSpaceDE w:val="0"/>
        <w:autoSpaceDN w:val="0"/>
        <w:adjustRightInd w:val="0"/>
        <w:ind w:left="567" w:hanging="567"/>
        <w:rPr>
          <w:sz w:val="22"/>
          <w:szCs w:val="22"/>
          <w:lang w:val="sk-SK"/>
        </w:rPr>
      </w:pPr>
    </w:p>
    <w:p w14:paraId="69460A27" w14:textId="77777777" w:rsidR="00806FAB" w:rsidRPr="0063664A" w:rsidRDefault="00806FAB" w:rsidP="002672E5">
      <w:pPr>
        <w:rPr>
          <w:sz w:val="22"/>
          <w:szCs w:val="22"/>
        </w:rPr>
      </w:pPr>
      <w:r w:rsidRPr="0063664A">
        <w:rPr>
          <w:sz w:val="22"/>
          <w:szCs w:val="22"/>
        </w:rPr>
        <w:t>Epidemiologické štúdie skúmajúce riziko nežiaducich kardiovaskulárnych účinkov v spojitosti s užívaním makrolidov priniesli rôzne výsledky. Niektoré pozorovacie štúdie však zistili zriedkavé krátkodobé riziko arytmie, infarktu myokardu a kardiovaskulárnej mortality spojené s užívaním makrolidov, vrátane klaritromycínu. Pri predpisovaní klaritromycínu je potrebné zohľadnenie týchto zistení vyvážiť prínosmi liečby.</w:t>
      </w:r>
    </w:p>
    <w:p w14:paraId="3F0071AE" w14:textId="77777777" w:rsidR="0065586B" w:rsidRPr="0063664A" w:rsidRDefault="0065586B" w:rsidP="00881CF1">
      <w:pPr>
        <w:autoSpaceDE w:val="0"/>
        <w:autoSpaceDN w:val="0"/>
        <w:adjustRightInd w:val="0"/>
        <w:ind w:left="567" w:hanging="567"/>
      </w:pPr>
    </w:p>
    <w:p w14:paraId="0F15EF30" w14:textId="77777777" w:rsidR="0065586B" w:rsidRPr="0063664A" w:rsidRDefault="0065586B" w:rsidP="009B7F59">
      <w:pPr>
        <w:pStyle w:val="TableText"/>
        <w:keepNext/>
        <w:rPr>
          <w:rFonts w:ascii="Times New Roman" w:hAnsi="Times New Roman"/>
          <w:iCs/>
          <w:color w:val="000000"/>
          <w:sz w:val="22"/>
          <w:szCs w:val="22"/>
          <w:lang w:val="sk-SK"/>
        </w:rPr>
      </w:pPr>
      <w:r w:rsidRPr="0063664A">
        <w:rPr>
          <w:rFonts w:ascii="Times New Roman" w:hAnsi="Times New Roman"/>
          <w:iCs/>
          <w:color w:val="000000"/>
          <w:sz w:val="22"/>
          <w:szCs w:val="22"/>
          <w:u w:val="single"/>
          <w:lang w:val="sk-SK"/>
        </w:rPr>
        <w:t>Pneumónia</w:t>
      </w:r>
    </w:p>
    <w:p w14:paraId="5785C925" w14:textId="77777777" w:rsidR="0065586B" w:rsidRPr="0063664A" w:rsidRDefault="0065586B" w:rsidP="002672E5">
      <w:pPr>
        <w:pStyle w:val="TableText"/>
        <w:rPr>
          <w:rFonts w:ascii="Times New Roman" w:hAnsi="Times New Roman"/>
          <w:iCs/>
          <w:color w:val="000000"/>
          <w:sz w:val="22"/>
          <w:szCs w:val="22"/>
          <w:lang w:val="sk-SK"/>
        </w:rPr>
      </w:pPr>
      <w:r w:rsidRPr="0063664A">
        <w:rPr>
          <w:rFonts w:ascii="Times New Roman" w:hAnsi="Times New Roman"/>
          <w:iCs/>
          <w:color w:val="000000"/>
          <w:sz w:val="22"/>
          <w:szCs w:val="22"/>
          <w:lang w:val="sk-SK"/>
        </w:rPr>
        <w:t xml:space="preserve">Vzhľadom na vznikajúcu rezistenciu </w:t>
      </w:r>
      <w:r w:rsidRPr="0063664A">
        <w:rPr>
          <w:rFonts w:ascii="Times New Roman" w:hAnsi="Times New Roman"/>
          <w:i/>
          <w:iCs/>
          <w:color w:val="000000"/>
          <w:sz w:val="22"/>
          <w:szCs w:val="22"/>
          <w:lang w:val="sk-SK"/>
        </w:rPr>
        <w:t xml:space="preserve">Streptococcus pneumoniae </w:t>
      </w:r>
      <w:r w:rsidRPr="0063664A">
        <w:rPr>
          <w:rFonts w:ascii="Times New Roman" w:hAnsi="Times New Roman"/>
          <w:iCs/>
          <w:color w:val="000000"/>
          <w:sz w:val="22"/>
          <w:szCs w:val="22"/>
          <w:lang w:val="sk-SK"/>
        </w:rPr>
        <w:t>na makrolidy je dôležité, aby sa pri predpisovaní klaritromycínu na liečbu pneumónie získanej v komunite najprv vykonali testy citlivosti. Na liečbu nozokomiálnej pneumónie sa má klaritromycín používať v kombinácii s ďalšími vhodnými antibiotikami.</w:t>
      </w:r>
    </w:p>
    <w:p w14:paraId="42827FEF" w14:textId="77777777" w:rsidR="0065586B" w:rsidRPr="0063664A" w:rsidRDefault="0065586B" w:rsidP="002672E5">
      <w:pPr>
        <w:pStyle w:val="TableText"/>
        <w:rPr>
          <w:rFonts w:ascii="Times New Roman" w:hAnsi="Times New Roman"/>
          <w:iCs/>
          <w:color w:val="000000"/>
          <w:sz w:val="22"/>
          <w:szCs w:val="22"/>
          <w:u w:val="single"/>
          <w:lang w:val="sk-SK"/>
        </w:rPr>
      </w:pPr>
    </w:p>
    <w:p w14:paraId="2372D874" w14:textId="77777777" w:rsidR="0065586B" w:rsidRPr="0063664A" w:rsidRDefault="0065586B" w:rsidP="009B7F59">
      <w:pPr>
        <w:pStyle w:val="TableText"/>
        <w:keepNext/>
        <w:rPr>
          <w:rFonts w:ascii="Times New Roman" w:hAnsi="Times New Roman"/>
          <w:sz w:val="22"/>
          <w:szCs w:val="22"/>
          <w:u w:val="single"/>
          <w:lang w:val="sk-SK"/>
        </w:rPr>
      </w:pPr>
      <w:r w:rsidRPr="0063664A">
        <w:rPr>
          <w:rFonts w:ascii="Times New Roman" w:hAnsi="Times New Roman"/>
          <w:sz w:val="22"/>
          <w:szCs w:val="22"/>
          <w:u w:val="single"/>
          <w:lang w:val="sk-SK"/>
        </w:rPr>
        <w:t>Mierne až stredne závažné infekcie kože a mäkkých tkanív</w:t>
      </w:r>
    </w:p>
    <w:p w14:paraId="07E6B1CF" w14:textId="77777777" w:rsidR="0065586B" w:rsidRPr="0063664A" w:rsidRDefault="0065586B" w:rsidP="002672E5">
      <w:pPr>
        <w:pStyle w:val="TableText"/>
        <w:rPr>
          <w:rFonts w:ascii="Times New Roman" w:hAnsi="Times New Roman"/>
          <w:iCs/>
          <w:color w:val="000000"/>
          <w:sz w:val="22"/>
          <w:szCs w:val="22"/>
          <w:lang w:val="sk-SK"/>
        </w:rPr>
      </w:pPr>
      <w:r w:rsidRPr="0063664A">
        <w:rPr>
          <w:rFonts w:ascii="Times New Roman" w:hAnsi="Times New Roman"/>
          <w:iCs/>
          <w:color w:val="000000"/>
          <w:sz w:val="22"/>
          <w:szCs w:val="22"/>
          <w:lang w:val="sk-SK"/>
        </w:rPr>
        <w:t xml:space="preserve">Tieto infekcie najčastejšie spôsobujú </w:t>
      </w:r>
      <w:r w:rsidRPr="0063664A">
        <w:rPr>
          <w:rFonts w:ascii="Times New Roman" w:hAnsi="Times New Roman"/>
          <w:i/>
          <w:iCs/>
          <w:color w:val="000000"/>
          <w:sz w:val="22"/>
          <w:szCs w:val="22"/>
          <w:lang w:val="sk-SK"/>
        </w:rPr>
        <w:t>Staphylococcus aureus</w:t>
      </w:r>
      <w:r w:rsidRPr="0063664A">
        <w:rPr>
          <w:rFonts w:ascii="Times New Roman" w:hAnsi="Times New Roman"/>
          <w:iCs/>
          <w:color w:val="000000"/>
          <w:sz w:val="22"/>
          <w:szCs w:val="22"/>
          <w:lang w:val="sk-SK"/>
        </w:rPr>
        <w:t xml:space="preserve"> a </w:t>
      </w:r>
      <w:r w:rsidRPr="0063664A">
        <w:rPr>
          <w:rFonts w:ascii="Times New Roman" w:hAnsi="Times New Roman"/>
          <w:i/>
          <w:iCs/>
          <w:color w:val="000000"/>
          <w:sz w:val="22"/>
          <w:szCs w:val="22"/>
          <w:lang w:val="sk-SK"/>
        </w:rPr>
        <w:t>Streptococcus pyogenes,</w:t>
      </w:r>
      <w:r w:rsidRPr="0063664A">
        <w:rPr>
          <w:rFonts w:ascii="Times New Roman" w:hAnsi="Times New Roman"/>
          <w:iCs/>
          <w:color w:val="000000"/>
          <w:sz w:val="22"/>
          <w:szCs w:val="22"/>
          <w:lang w:val="sk-SK"/>
        </w:rPr>
        <w:t xml:space="preserve"> ktoré môžu byť rezistentné na makrolidy. Preto je potrebné vykonať testovanie citlivosti. V prípade, že sa nemôžu použiť betalaktámové antibiotiká (napr. pri alergii), môžu byť liekmi prvej voľby iné antibiotiká, ako napr. klindamycín. V súčasnosti sa predpokladá, že makrolidy zohrávajú rolu iba pri liečbe niektorých infekcií kože a mäkkých tkanív, ako sú infekcie spôsobené </w:t>
      </w:r>
      <w:r w:rsidRPr="0063664A">
        <w:rPr>
          <w:rFonts w:ascii="Times New Roman" w:hAnsi="Times New Roman"/>
          <w:i/>
          <w:iCs/>
          <w:color w:val="000000"/>
          <w:sz w:val="22"/>
          <w:szCs w:val="22"/>
          <w:lang w:val="sk-SK"/>
        </w:rPr>
        <w:t>Corynebacterium minutissimum</w:t>
      </w:r>
      <w:r w:rsidRPr="0063664A">
        <w:rPr>
          <w:rFonts w:ascii="Times New Roman" w:hAnsi="Times New Roman"/>
          <w:iCs/>
          <w:color w:val="000000"/>
          <w:sz w:val="22"/>
          <w:szCs w:val="22"/>
          <w:lang w:val="sk-SK"/>
        </w:rPr>
        <w:t>, akné vulgaris a eryzipel a v prípadoch, ke</w:t>
      </w:r>
      <w:r w:rsidR="00027B37" w:rsidRPr="0063664A">
        <w:rPr>
          <w:rFonts w:ascii="Times New Roman" w:hAnsi="Times New Roman"/>
          <w:iCs/>
          <w:color w:val="000000"/>
          <w:sz w:val="22"/>
          <w:szCs w:val="22"/>
          <w:lang w:val="sk-SK"/>
        </w:rPr>
        <w:t>ď</w:t>
      </w:r>
      <w:r w:rsidRPr="0063664A">
        <w:rPr>
          <w:rFonts w:ascii="Times New Roman" w:hAnsi="Times New Roman"/>
          <w:iCs/>
          <w:color w:val="000000"/>
          <w:sz w:val="22"/>
          <w:szCs w:val="22"/>
          <w:lang w:val="sk-SK"/>
        </w:rPr>
        <w:t xml:space="preserve"> nie je možné použiť penicilín.</w:t>
      </w:r>
    </w:p>
    <w:p w14:paraId="3840199B" w14:textId="77777777" w:rsidR="0065586B" w:rsidRPr="0063664A" w:rsidRDefault="0065586B" w:rsidP="002672E5">
      <w:pPr>
        <w:pStyle w:val="TableText"/>
        <w:rPr>
          <w:rStyle w:val="longtext1"/>
          <w:rFonts w:ascii="Times New Roman" w:hAnsi="Times New Roman"/>
          <w:sz w:val="22"/>
          <w:szCs w:val="22"/>
          <w:shd w:val="clear" w:color="auto" w:fill="FFFFFF"/>
          <w:lang w:val="sk-SK"/>
        </w:rPr>
      </w:pPr>
    </w:p>
    <w:p w14:paraId="0E232D1F" w14:textId="77777777" w:rsidR="0065586B" w:rsidRPr="0063664A" w:rsidRDefault="00492B23" w:rsidP="002672E5">
      <w:pPr>
        <w:pStyle w:val="TableText"/>
        <w:rPr>
          <w:rStyle w:val="longtext1"/>
          <w:rFonts w:ascii="Times New Roman" w:hAnsi="Times New Roman"/>
          <w:sz w:val="22"/>
          <w:szCs w:val="22"/>
          <w:shd w:val="clear" w:color="auto" w:fill="FFFFFF"/>
          <w:lang w:val="sk-SK"/>
        </w:rPr>
      </w:pPr>
      <w:r w:rsidRPr="0063664A">
        <w:rPr>
          <w:rStyle w:val="longtext1"/>
          <w:rFonts w:ascii="Times New Roman" w:hAnsi="Times New Roman"/>
          <w:sz w:val="22"/>
          <w:szCs w:val="22"/>
          <w:shd w:val="clear" w:color="auto" w:fill="FFFFFF"/>
          <w:lang w:val="sk-SK"/>
        </w:rPr>
        <w:t>V </w:t>
      </w:r>
      <w:r w:rsidR="0065586B" w:rsidRPr="0063664A">
        <w:rPr>
          <w:rStyle w:val="longtext1"/>
          <w:rFonts w:ascii="Times New Roman" w:hAnsi="Times New Roman"/>
          <w:sz w:val="22"/>
          <w:szCs w:val="22"/>
          <w:shd w:val="clear" w:color="auto" w:fill="FFFFFF"/>
          <w:lang w:val="sk-SK"/>
        </w:rPr>
        <w:t xml:space="preserve">prípade závažných akútnych </w:t>
      </w:r>
      <w:r w:rsidRPr="0063664A">
        <w:rPr>
          <w:rStyle w:val="longtext1"/>
          <w:rFonts w:ascii="Times New Roman" w:hAnsi="Times New Roman"/>
          <w:sz w:val="22"/>
          <w:szCs w:val="22"/>
          <w:shd w:val="clear" w:color="auto" w:fill="FFFFFF"/>
          <w:lang w:val="sk-SK"/>
        </w:rPr>
        <w:t>reakcií z precitlivenosti</w:t>
      </w:r>
      <w:r w:rsidR="0065586B" w:rsidRPr="0063664A">
        <w:rPr>
          <w:rStyle w:val="longtext1"/>
          <w:rFonts w:ascii="Times New Roman" w:hAnsi="Times New Roman"/>
          <w:sz w:val="22"/>
          <w:szCs w:val="22"/>
          <w:shd w:val="clear" w:color="auto" w:fill="FFFFFF"/>
          <w:lang w:val="sk-SK"/>
        </w:rPr>
        <w:t xml:space="preserve">, ako </w:t>
      </w:r>
      <w:r w:rsidRPr="0063664A">
        <w:rPr>
          <w:rStyle w:val="longtext1"/>
          <w:rFonts w:ascii="Times New Roman" w:hAnsi="Times New Roman"/>
          <w:sz w:val="22"/>
          <w:szCs w:val="22"/>
          <w:shd w:val="clear" w:color="auto" w:fill="FFFFFF"/>
          <w:lang w:val="sk-SK"/>
        </w:rPr>
        <w:t xml:space="preserve">sú </w:t>
      </w:r>
      <w:r w:rsidR="0065586B" w:rsidRPr="0063664A">
        <w:rPr>
          <w:rStyle w:val="longtext1"/>
          <w:rFonts w:ascii="Times New Roman" w:hAnsi="Times New Roman"/>
          <w:sz w:val="22"/>
          <w:szCs w:val="22"/>
          <w:shd w:val="clear" w:color="auto" w:fill="FFFFFF"/>
          <w:lang w:val="sk-SK"/>
        </w:rPr>
        <w:t xml:space="preserve">anafylaxia, </w:t>
      </w:r>
      <w:r w:rsidRPr="0063664A">
        <w:rPr>
          <w:rStyle w:val="longtext1"/>
          <w:rFonts w:ascii="Times New Roman" w:hAnsi="Times New Roman"/>
          <w:sz w:val="22"/>
          <w:szCs w:val="22"/>
          <w:shd w:val="clear" w:color="auto" w:fill="FFFFFF"/>
          <w:lang w:val="sk-SK"/>
        </w:rPr>
        <w:t xml:space="preserve">závažné kožné nežiaduce reakcie (SCAR, severe cutaneous adverse reactions) </w:t>
      </w:r>
      <w:r w:rsidR="003B4AAF" w:rsidRPr="0063664A">
        <w:rPr>
          <w:sz w:val="18"/>
          <w:szCs w:val="18"/>
          <w:u w:val="single"/>
        </w:rPr>
        <w:t>[</w:t>
      </w:r>
      <w:r w:rsidR="003B4AAF" w:rsidRPr="0063664A" w:rsidDel="003B4AAF">
        <w:rPr>
          <w:rStyle w:val="longtext1"/>
          <w:rFonts w:ascii="Times New Roman" w:hAnsi="Times New Roman"/>
          <w:sz w:val="22"/>
          <w:szCs w:val="22"/>
          <w:shd w:val="clear" w:color="auto" w:fill="FFFFFF"/>
          <w:lang w:val="sk-SK"/>
        </w:rPr>
        <w:t xml:space="preserve"> </w:t>
      </w:r>
      <w:r w:rsidRPr="0063664A">
        <w:rPr>
          <w:rStyle w:val="longtext1"/>
          <w:rFonts w:ascii="Times New Roman" w:hAnsi="Times New Roman"/>
          <w:sz w:val="22"/>
          <w:szCs w:val="22"/>
          <w:shd w:val="clear" w:color="auto" w:fill="FFFFFF"/>
          <w:lang w:val="sk-SK"/>
        </w:rPr>
        <w:t xml:space="preserve">napr. akútna generalizovaná exantémová pustulóza (AGEP), </w:t>
      </w:r>
      <w:r w:rsidR="0065586B" w:rsidRPr="0063664A">
        <w:rPr>
          <w:rStyle w:val="longtext1"/>
          <w:rFonts w:ascii="Times New Roman" w:hAnsi="Times New Roman"/>
          <w:sz w:val="22"/>
          <w:szCs w:val="22"/>
          <w:shd w:val="clear" w:color="auto" w:fill="FFFFFF"/>
          <w:lang w:val="sk-SK"/>
        </w:rPr>
        <w:t>Stevensov-Johnsonov syndróm</w:t>
      </w:r>
      <w:r w:rsidRPr="0063664A">
        <w:rPr>
          <w:rStyle w:val="longtext1"/>
          <w:rFonts w:ascii="Times New Roman" w:hAnsi="Times New Roman"/>
          <w:sz w:val="22"/>
          <w:szCs w:val="22"/>
          <w:shd w:val="clear" w:color="auto" w:fill="FFFFFF"/>
          <w:lang w:val="sk-SK"/>
        </w:rPr>
        <w:t xml:space="preserve">, </w:t>
      </w:r>
      <w:r w:rsidR="0065586B" w:rsidRPr="0063664A">
        <w:rPr>
          <w:rStyle w:val="longtext1"/>
          <w:rFonts w:ascii="Times New Roman" w:hAnsi="Times New Roman"/>
          <w:sz w:val="22"/>
          <w:szCs w:val="22"/>
          <w:shd w:val="clear" w:color="auto" w:fill="FFFFFF"/>
          <w:lang w:val="sk-SK"/>
        </w:rPr>
        <w:t>toxická epidermálna nekrolýza</w:t>
      </w:r>
      <w:r w:rsidRPr="0063664A">
        <w:rPr>
          <w:rStyle w:val="longtext1"/>
          <w:rFonts w:ascii="Times New Roman" w:hAnsi="Times New Roman"/>
          <w:sz w:val="22"/>
          <w:szCs w:val="22"/>
          <w:shd w:val="clear" w:color="auto" w:fill="FFFFFF"/>
          <w:lang w:val="sk-SK"/>
        </w:rPr>
        <w:t xml:space="preserve"> a lieková vyrážka s eozinofíliou a so systémovými symptómami (DRESS, drug reaction with eosinophilia and systemic symptoms)]</w:t>
      </w:r>
      <w:r w:rsidR="0065586B" w:rsidRPr="0063664A">
        <w:rPr>
          <w:rStyle w:val="longtext1"/>
          <w:rFonts w:ascii="Times New Roman" w:hAnsi="Times New Roman"/>
          <w:sz w:val="22"/>
          <w:szCs w:val="22"/>
          <w:shd w:val="clear" w:color="auto" w:fill="FFFFFF"/>
          <w:lang w:val="sk-SK"/>
        </w:rPr>
        <w:t>, sa má liečba klaritromycínom okamžite ukončiť a bezodkladne začať s vhodnou liečbou.</w:t>
      </w:r>
    </w:p>
    <w:p w14:paraId="7686C19F" w14:textId="77777777" w:rsidR="0065586B" w:rsidRPr="0063664A" w:rsidRDefault="0065586B" w:rsidP="002672E5">
      <w:pPr>
        <w:pStyle w:val="TableText"/>
        <w:rPr>
          <w:rStyle w:val="longtext1"/>
          <w:rFonts w:ascii="Times New Roman" w:hAnsi="Times New Roman"/>
          <w:sz w:val="22"/>
          <w:szCs w:val="22"/>
          <w:shd w:val="clear" w:color="auto" w:fill="FFFFFF"/>
          <w:lang w:val="sk-SK"/>
        </w:rPr>
      </w:pPr>
    </w:p>
    <w:p w14:paraId="2ABED5EB" w14:textId="77777777" w:rsidR="0065586B" w:rsidRPr="0063664A" w:rsidRDefault="0065586B" w:rsidP="002672E5">
      <w:pPr>
        <w:pStyle w:val="TableText"/>
        <w:rPr>
          <w:rStyle w:val="longtext1"/>
          <w:rFonts w:ascii="Times New Roman" w:hAnsi="Times New Roman"/>
          <w:sz w:val="22"/>
          <w:szCs w:val="22"/>
          <w:shd w:val="clear" w:color="auto" w:fill="FFFFFF"/>
          <w:lang w:val="sk-SK"/>
        </w:rPr>
      </w:pPr>
      <w:r w:rsidRPr="0063664A">
        <w:rPr>
          <w:rFonts w:ascii="Times New Roman" w:hAnsi="Times New Roman"/>
          <w:sz w:val="22"/>
          <w:szCs w:val="22"/>
          <w:lang w:val="sk-SK"/>
        </w:rPr>
        <w:t>Pacienti, ktorým sa súbežne podávajú lieky</w:t>
      </w:r>
      <w:r w:rsidRPr="0063664A">
        <w:rPr>
          <w:rStyle w:val="longtext1"/>
          <w:rFonts w:ascii="Times New Roman" w:hAnsi="Times New Roman"/>
          <w:sz w:val="22"/>
          <w:szCs w:val="22"/>
          <w:shd w:val="clear" w:color="auto" w:fill="FFFFFF"/>
          <w:lang w:val="sk-SK"/>
        </w:rPr>
        <w:t xml:space="preserve">, ktoré indukujú enzým </w:t>
      </w:r>
      <w:r w:rsidRPr="0063664A">
        <w:rPr>
          <w:rFonts w:ascii="Times New Roman" w:hAnsi="Times New Roman"/>
          <w:iCs/>
          <w:sz w:val="22"/>
          <w:szCs w:val="22"/>
          <w:lang w:val="sk-SK"/>
        </w:rPr>
        <w:t xml:space="preserve">CYP3A4, </w:t>
      </w:r>
      <w:r w:rsidRPr="0063664A">
        <w:rPr>
          <w:rFonts w:ascii="Times New Roman" w:hAnsi="Times New Roman"/>
          <w:sz w:val="22"/>
          <w:szCs w:val="22"/>
          <w:lang w:val="sk-SK"/>
        </w:rPr>
        <w:t>majú klaritromycín užívať s opatrnosťou</w:t>
      </w:r>
      <w:r w:rsidRPr="0063664A">
        <w:rPr>
          <w:rFonts w:ascii="Times New Roman" w:hAnsi="Times New Roman"/>
          <w:iCs/>
          <w:sz w:val="22"/>
          <w:szCs w:val="22"/>
          <w:lang w:val="sk-SK"/>
        </w:rPr>
        <w:t xml:space="preserve"> (pozri časť 4.5).</w:t>
      </w:r>
    </w:p>
    <w:p w14:paraId="7621543C" w14:textId="77777777" w:rsidR="0065586B" w:rsidRPr="0063664A" w:rsidRDefault="0065586B" w:rsidP="002672E5">
      <w:pPr>
        <w:pStyle w:val="BodySingle"/>
        <w:rPr>
          <w:sz w:val="22"/>
          <w:szCs w:val="22"/>
        </w:rPr>
      </w:pPr>
    </w:p>
    <w:p w14:paraId="77A98704" w14:textId="77777777" w:rsidR="0065586B" w:rsidRPr="0063664A" w:rsidRDefault="0065586B" w:rsidP="009B7F59">
      <w:pPr>
        <w:keepNext/>
        <w:autoSpaceDE w:val="0"/>
        <w:autoSpaceDN w:val="0"/>
        <w:adjustRightInd w:val="0"/>
        <w:rPr>
          <w:sz w:val="22"/>
          <w:szCs w:val="22"/>
          <w:u w:val="single"/>
          <w:lang w:val="sk-SK"/>
        </w:rPr>
      </w:pPr>
      <w:r w:rsidRPr="0063664A">
        <w:rPr>
          <w:sz w:val="22"/>
          <w:szCs w:val="22"/>
          <w:u w:val="single"/>
          <w:lang w:val="sk-SK"/>
        </w:rPr>
        <w:t>Inhibítory HMG-CoA reduktázy (statíny)</w:t>
      </w:r>
    </w:p>
    <w:p w14:paraId="3DADA328" w14:textId="77777777" w:rsidR="0065586B" w:rsidRPr="0063664A" w:rsidRDefault="0065586B" w:rsidP="002672E5">
      <w:pPr>
        <w:autoSpaceDE w:val="0"/>
        <w:autoSpaceDN w:val="0"/>
        <w:adjustRightInd w:val="0"/>
        <w:rPr>
          <w:sz w:val="22"/>
          <w:szCs w:val="22"/>
          <w:lang w:val="sk-SK"/>
        </w:rPr>
      </w:pPr>
      <w:r w:rsidRPr="0063664A">
        <w:rPr>
          <w:sz w:val="22"/>
          <w:szCs w:val="22"/>
          <w:lang w:val="sk-SK"/>
        </w:rPr>
        <w:t xml:space="preserve">Súbežné užívanie klaritromycínu s lovastatínom alebo simvastatínom je kontraindikované (pozri časť 4.3). Pri predpisovaní klaritromycínu s inými statínmi je potrebná opatrnosť. U pacientov súbežne užívajúcich klaritromycín a statíny bola hlásená rabdomyolýza. Pacienti majú byť sledovaní vzhľadom na prejavy a príznaky myopatie. V prípadoch, kedy je súbežné užívanie klaritromycínu so statínmi nevyhnutné, sa odporúča predpísať najnižšiu registrovanú silu statínu. Má sa zvážiť použitie statínu, ktorý nie je závislý od metabolizmu sprostredkovaného CYP3A (napr. fluvastatín) </w:t>
      </w:r>
      <w:r w:rsidRPr="0063664A">
        <w:rPr>
          <w:sz w:val="22"/>
          <w:szCs w:val="22"/>
          <w:lang w:val="sk-SK" w:eastAsia="sk-SK"/>
        </w:rPr>
        <w:t>(pozri časť 4.5)</w:t>
      </w:r>
      <w:r w:rsidRPr="0063664A">
        <w:rPr>
          <w:sz w:val="22"/>
          <w:szCs w:val="22"/>
          <w:lang w:val="sk-SK"/>
        </w:rPr>
        <w:t>.</w:t>
      </w:r>
    </w:p>
    <w:p w14:paraId="4959155D" w14:textId="77777777" w:rsidR="0065586B" w:rsidRPr="0063664A" w:rsidRDefault="0065586B" w:rsidP="002672E5">
      <w:pPr>
        <w:autoSpaceDE w:val="0"/>
        <w:autoSpaceDN w:val="0"/>
        <w:adjustRightInd w:val="0"/>
        <w:rPr>
          <w:sz w:val="22"/>
          <w:szCs w:val="22"/>
          <w:lang w:val="sk-SK"/>
        </w:rPr>
      </w:pPr>
    </w:p>
    <w:p w14:paraId="799576D6" w14:textId="77777777" w:rsidR="0065586B" w:rsidRPr="0063664A" w:rsidRDefault="0065586B" w:rsidP="00881CF1">
      <w:pPr>
        <w:keepNext/>
        <w:autoSpaceDE w:val="0"/>
        <w:autoSpaceDN w:val="0"/>
        <w:adjustRightInd w:val="0"/>
        <w:rPr>
          <w:sz w:val="22"/>
          <w:szCs w:val="22"/>
          <w:lang w:val="sk-SK"/>
        </w:rPr>
      </w:pPr>
      <w:r w:rsidRPr="0063664A">
        <w:rPr>
          <w:sz w:val="22"/>
          <w:szCs w:val="22"/>
          <w:u w:val="single"/>
          <w:lang w:val="sk-SK"/>
        </w:rPr>
        <w:t>Perorálne antidiabetiká/inzulín</w:t>
      </w:r>
    </w:p>
    <w:p w14:paraId="75FCD8B7" w14:textId="77777777" w:rsidR="0065586B" w:rsidRPr="0063664A" w:rsidRDefault="0065586B" w:rsidP="002672E5">
      <w:pPr>
        <w:autoSpaceDE w:val="0"/>
        <w:autoSpaceDN w:val="0"/>
        <w:adjustRightInd w:val="0"/>
        <w:rPr>
          <w:sz w:val="22"/>
          <w:szCs w:val="22"/>
          <w:lang w:val="sk-SK"/>
        </w:rPr>
      </w:pPr>
      <w:r w:rsidRPr="0063664A">
        <w:rPr>
          <w:sz w:val="22"/>
          <w:szCs w:val="22"/>
          <w:lang w:val="sk-SK"/>
        </w:rPr>
        <w:t xml:space="preserve">Súbežné užívanie klaritromycínu a perorálnych antidiabetík (ako napr. </w:t>
      </w:r>
      <w:r w:rsidRPr="0063664A">
        <w:rPr>
          <w:sz w:val="22"/>
          <w:szCs w:val="22"/>
          <w:lang w:val="sk-SK" w:eastAsia="sk-SK"/>
        </w:rPr>
        <w:t>deriváty sulfonylmočoviny</w:t>
      </w:r>
      <w:r w:rsidRPr="0063664A">
        <w:rPr>
          <w:sz w:val="22"/>
          <w:szCs w:val="22"/>
          <w:lang w:val="sk-SK"/>
        </w:rPr>
        <w:t>) a/alebo inzulínu môže spôsobiť významnú hypoglykémiu. Odporúča sa dôkladné sledovanie hladiny glukózy (pozri časť</w:t>
      </w:r>
      <w:r w:rsidR="00890825" w:rsidRPr="0063664A">
        <w:rPr>
          <w:sz w:val="22"/>
          <w:szCs w:val="22"/>
          <w:lang w:val="sk-SK"/>
        </w:rPr>
        <w:t> </w:t>
      </w:r>
      <w:r w:rsidRPr="0063664A">
        <w:rPr>
          <w:sz w:val="22"/>
          <w:szCs w:val="22"/>
          <w:lang w:val="sk-SK"/>
        </w:rPr>
        <w:t>4.5).</w:t>
      </w:r>
    </w:p>
    <w:p w14:paraId="0012D0C2" w14:textId="77777777" w:rsidR="0065586B" w:rsidRPr="0063664A" w:rsidRDefault="0065586B" w:rsidP="002672E5">
      <w:pPr>
        <w:autoSpaceDE w:val="0"/>
        <w:autoSpaceDN w:val="0"/>
        <w:adjustRightInd w:val="0"/>
        <w:rPr>
          <w:bCs/>
          <w:sz w:val="22"/>
          <w:szCs w:val="22"/>
          <w:u w:val="single"/>
          <w:lang w:val="sk-SK"/>
        </w:rPr>
      </w:pPr>
    </w:p>
    <w:p w14:paraId="6CDF41B8" w14:textId="77777777" w:rsidR="0065586B" w:rsidRPr="0063664A" w:rsidRDefault="0065586B" w:rsidP="002672E5">
      <w:pPr>
        <w:autoSpaceDE w:val="0"/>
        <w:autoSpaceDN w:val="0"/>
        <w:adjustRightInd w:val="0"/>
        <w:rPr>
          <w:bCs/>
          <w:sz w:val="22"/>
          <w:szCs w:val="22"/>
          <w:u w:val="single"/>
          <w:lang w:val="sk-SK"/>
        </w:rPr>
      </w:pPr>
      <w:r w:rsidRPr="0063664A">
        <w:rPr>
          <w:bCs/>
          <w:sz w:val="22"/>
          <w:szCs w:val="22"/>
          <w:u w:val="single"/>
          <w:lang w:val="sk-SK"/>
        </w:rPr>
        <w:t>Perorálne antikoagulanciá</w:t>
      </w:r>
    </w:p>
    <w:p w14:paraId="4BE9263B" w14:textId="77777777" w:rsidR="0065586B" w:rsidRPr="0063664A" w:rsidRDefault="0065586B" w:rsidP="002672E5">
      <w:pPr>
        <w:autoSpaceDE w:val="0"/>
        <w:autoSpaceDN w:val="0"/>
        <w:adjustRightInd w:val="0"/>
        <w:rPr>
          <w:bCs/>
          <w:sz w:val="22"/>
          <w:szCs w:val="22"/>
          <w:lang w:val="sk-SK"/>
        </w:rPr>
      </w:pPr>
      <w:r w:rsidRPr="0063664A">
        <w:rPr>
          <w:bCs/>
          <w:sz w:val="22"/>
          <w:szCs w:val="22"/>
          <w:lang w:val="sk-SK"/>
        </w:rPr>
        <w:t xml:space="preserve">Pri súbežnom podávaní klaritromycínu s warfarínom existuje riziko závažného krvácania a významného zvýšenia </w:t>
      </w:r>
      <w:r w:rsidRPr="0063664A">
        <w:rPr>
          <w:sz w:val="22"/>
          <w:szCs w:val="22"/>
          <w:lang w:val="sk-SK"/>
        </w:rPr>
        <w:t>hodnôt medzinárodného normalizovaného pomeru (</w:t>
      </w:r>
      <w:r w:rsidRPr="0063664A">
        <w:rPr>
          <w:i/>
          <w:sz w:val="22"/>
          <w:szCs w:val="22"/>
          <w:lang w:val="sk-SK"/>
        </w:rPr>
        <w:t>International Normalized Ratio</w:t>
      </w:r>
      <w:r w:rsidRPr="0063664A">
        <w:rPr>
          <w:sz w:val="22"/>
          <w:szCs w:val="22"/>
          <w:lang w:val="sk-SK"/>
        </w:rPr>
        <w:t xml:space="preserve">, INR) </w:t>
      </w:r>
      <w:r w:rsidRPr="0063664A">
        <w:rPr>
          <w:bCs/>
          <w:sz w:val="22"/>
          <w:szCs w:val="22"/>
          <w:lang w:val="sk-SK"/>
        </w:rPr>
        <w:t>a protrombínového času (</w:t>
      </w:r>
      <w:r w:rsidRPr="0063664A">
        <w:rPr>
          <w:sz w:val="22"/>
          <w:szCs w:val="22"/>
          <w:lang w:val="sk-SK"/>
        </w:rPr>
        <w:t>pozri časť</w:t>
      </w:r>
      <w:r w:rsidR="0011130A" w:rsidRPr="0063664A">
        <w:rPr>
          <w:sz w:val="22"/>
          <w:szCs w:val="22"/>
          <w:lang w:val="sk-SK"/>
        </w:rPr>
        <w:t> </w:t>
      </w:r>
      <w:r w:rsidRPr="0063664A">
        <w:rPr>
          <w:sz w:val="22"/>
          <w:szCs w:val="22"/>
          <w:lang w:val="sk-SK"/>
        </w:rPr>
        <w:t xml:space="preserve">4.5). </w:t>
      </w:r>
      <w:r w:rsidRPr="0063664A">
        <w:rPr>
          <w:bCs/>
          <w:sz w:val="22"/>
          <w:szCs w:val="22"/>
          <w:lang w:val="sk-SK"/>
        </w:rPr>
        <w:t>Pri súbežnom užívaní klaritromycínu a perorálnych antikoagulancií sa majú pravidelne sledovať hodnoty INR a protrombínového času.</w:t>
      </w:r>
    </w:p>
    <w:p w14:paraId="4A6C8CC2" w14:textId="77777777" w:rsidR="0065586B" w:rsidRPr="0063664A" w:rsidRDefault="0065586B" w:rsidP="002672E5">
      <w:pPr>
        <w:autoSpaceDE w:val="0"/>
        <w:autoSpaceDN w:val="0"/>
        <w:adjustRightInd w:val="0"/>
        <w:rPr>
          <w:bCs/>
          <w:sz w:val="22"/>
          <w:szCs w:val="22"/>
          <w:lang w:val="sk-SK"/>
        </w:rPr>
      </w:pPr>
    </w:p>
    <w:p w14:paraId="4160DAD3" w14:textId="77777777" w:rsidR="0065586B" w:rsidRPr="0063664A" w:rsidRDefault="0065586B" w:rsidP="002672E5">
      <w:pPr>
        <w:pStyle w:val="TableText"/>
        <w:rPr>
          <w:rFonts w:ascii="Times New Roman" w:hAnsi="Times New Roman"/>
          <w:sz w:val="22"/>
          <w:szCs w:val="22"/>
          <w:lang w:val="sk-SK"/>
        </w:rPr>
      </w:pPr>
      <w:r w:rsidRPr="0063664A">
        <w:rPr>
          <w:rStyle w:val="hps"/>
          <w:rFonts w:ascii="Times New Roman" w:hAnsi="Times New Roman"/>
          <w:sz w:val="22"/>
          <w:szCs w:val="22"/>
          <w:lang w:val="sk-SK"/>
        </w:rPr>
        <w:t>Liečba</w:t>
      </w:r>
      <w:r w:rsidRPr="0063664A">
        <w:rPr>
          <w:rFonts w:ascii="Times New Roman" w:hAnsi="Times New Roman"/>
          <w:sz w:val="22"/>
          <w:szCs w:val="22"/>
          <w:lang w:val="sk-SK"/>
        </w:rPr>
        <w:t xml:space="preserve"> </w:t>
      </w:r>
      <w:r w:rsidRPr="0063664A">
        <w:rPr>
          <w:rStyle w:val="hps"/>
          <w:rFonts w:ascii="Times New Roman" w:hAnsi="Times New Roman"/>
          <w:sz w:val="22"/>
          <w:szCs w:val="22"/>
          <w:lang w:val="sk-SK"/>
        </w:rPr>
        <w:t>infekcie</w:t>
      </w:r>
      <w:r w:rsidRPr="0063664A">
        <w:rPr>
          <w:rFonts w:ascii="Times New Roman" w:hAnsi="Times New Roman"/>
          <w:sz w:val="22"/>
          <w:szCs w:val="22"/>
          <w:lang w:val="sk-SK"/>
        </w:rPr>
        <w:t xml:space="preserve"> </w:t>
      </w:r>
      <w:r w:rsidRPr="0063664A">
        <w:rPr>
          <w:rStyle w:val="hps"/>
          <w:rFonts w:ascii="Times New Roman" w:hAnsi="Times New Roman"/>
          <w:sz w:val="22"/>
          <w:szCs w:val="22"/>
          <w:lang w:val="sk-SK"/>
        </w:rPr>
        <w:t>spôsobenej</w:t>
      </w:r>
      <w:r w:rsidRPr="0063664A">
        <w:rPr>
          <w:rFonts w:ascii="Times New Roman" w:hAnsi="Times New Roman"/>
          <w:sz w:val="22"/>
          <w:szCs w:val="22"/>
          <w:lang w:val="sk-SK"/>
        </w:rPr>
        <w:t xml:space="preserve"> </w:t>
      </w:r>
      <w:r w:rsidRPr="0063664A">
        <w:rPr>
          <w:rStyle w:val="hps"/>
          <w:rFonts w:ascii="Times New Roman" w:hAnsi="Times New Roman"/>
          <w:i/>
          <w:sz w:val="22"/>
          <w:szCs w:val="22"/>
          <w:lang w:val="sk-SK"/>
        </w:rPr>
        <w:t>H. pylori</w:t>
      </w:r>
      <w:r w:rsidRPr="0063664A">
        <w:rPr>
          <w:rStyle w:val="hps"/>
          <w:rFonts w:ascii="Times New Roman" w:hAnsi="Times New Roman"/>
          <w:sz w:val="22"/>
          <w:szCs w:val="22"/>
          <w:lang w:val="sk-SK"/>
        </w:rPr>
        <w:t xml:space="preserve"> akýmikoľvek</w:t>
      </w:r>
      <w:r w:rsidRPr="0063664A">
        <w:rPr>
          <w:rFonts w:ascii="Times New Roman" w:hAnsi="Times New Roman"/>
          <w:sz w:val="22"/>
          <w:szCs w:val="22"/>
          <w:lang w:val="sk-SK"/>
        </w:rPr>
        <w:t xml:space="preserve"> </w:t>
      </w:r>
      <w:r w:rsidRPr="0063664A">
        <w:rPr>
          <w:rStyle w:val="hps"/>
          <w:rFonts w:ascii="Times New Roman" w:hAnsi="Times New Roman"/>
          <w:sz w:val="22"/>
          <w:szCs w:val="22"/>
          <w:lang w:val="sk-SK"/>
        </w:rPr>
        <w:t>antimikrobiálnymi</w:t>
      </w:r>
      <w:r w:rsidRPr="0063664A">
        <w:rPr>
          <w:rFonts w:ascii="Times New Roman" w:hAnsi="Times New Roman"/>
          <w:sz w:val="22"/>
          <w:szCs w:val="22"/>
          <w:lang w:val="sk-SK"/>
        </w:rPr>
        <w:t xml:space="preserve"> </w:t>
      </w:r>
      <w:r w:rsidRPr="0063664A">
        <w:rPr>
          <w:rStyle w:val="hps"/>
          <w:rFonts w:ascii="Times New Roman" w:hAnsi="Times New Roman"/>
          <w:sz w:val="22"/>
          <w:szCs w:val="22"/>
          <w:lang w:val="sk-SK"/>
        </w:rPr>
        <w:t>liečivami,</w:t>
      </w:r>
      <w:r w:rsidRPr="0063664A">
        <w:rPr>
          <w:rFonts w:ascii="Times New Roman" w:hAnsi="Times New Roman"/>
          <w:sz w:val="22"/>
          <w:szCs w:val="22"/>
          <w:lang w:val="sk-SK"/>
        </w:rPr>
        <w:t xml:space="preserve"> </w:t>
      </w:r>
      <w:r w:rsidRPr="0063664A">
        <w:rPr>
          <w:rStyle w:val="hps"/>
          <w:rFonts w:ascii="Times New Roman" w:hAnsi="Times New Roman"/>
          <w:sz w:val="22"/>
          <w:szCs w:val="22"/>
          <w:lang w:val="sk-SK"/>
        </w:rPr>
        <w:t>ako</w:t>
      </w:r>
      <w:r w:rsidRPr="0063664A">
        <w:rPr>
          <w:rFonts w:ascii="Times New Roman" w:hAnsi="Times New Roman"/>
          <w:sz w:val="22"/>
          <w:szCs w:val="22"/>
          <w:lang w:val="sk-SK"/>
        </w:rPr>
        <w:t xml:space="preserve"> je </w:t>
      </w:r>
      <w:r w:rsidRPr="0063664A">
        <w:rPr>
          <w:rStyle w:val="hps"/>
          <w:rFonts w:ascii="Times New Roman" w:hAnsi="Times New Roman"/>
          <w:sz w:val="22"/>
          <w:szCs w:val="22"/>
          <w:lang w:val="sk-SK"/>
        </w:rPr>
        <w:t>napr.</w:t>
      </w:r>
      <w:r w:rsidRPr="0063664A">
        <w:rPr>
          <w:rFonts w:ascii="Times New Roman" w:hAnsi="Times New Roman"/>
          <w:sz w:val="22"/>
          <w:szCs w:val="22"/>
          <w:lang w:val="sk-SK"/>
        </w:rPr>
        <w:t xml:space="preserve"> </w:t>
      </w:r>
      <w:r w:rsidRPr="0063664A">
        <w:rPr>
          <w:rStyle w:val="hps"/>
          <w:rFonts w:ascii="Times New Roman" w:hAnsi="Times New Roman"/>
          <w:sz w:val="22"/>
          <w:szCs w:val="22"/>
          <w:lang w:val="sk-SK"/>
        </w:rPr>
        <w:t>klaritromycín</w:t>
      </w:r>
      <w:r w:rsidRPr="0063664A">
        <w:rPr>
          <w:rFonts w:ascii="Times New Roman" w:hAnsi="Times New Roman"/>
          <w:sz w:val="22"/>
          <w:szCs w:val="22"/>
          <w:lang w:val="sk-SK"/>
        </w:rPr>
        <w:t>, môže spôsobiť vývin mikroorganizmov rezistentných na liečivo.</w:t>
      </w:r>
    </w:p>
    <w:p w14:paraId="3BB79D28" w14:textId="77777777" w:rsidR="0065586B" w:rsidRPr="0063664A" w:rsidRDefault="0065586B" w:rsidP="002672E5">
      <w:pPr>
        <w:autoSpaceDE w:val="0"/>
        <w:autoSpaceDN w:val="0"/>
        <w:adjustRightInd w:val="0"/>
        <w:rPr>
          <w:bCs/>
          <w:sz w:val="22"/>
          <w:szCs w:val="22"/>
          <w:lang w:val="sk-SK"/>
        </w:rPr>
      </w:pPr>
    </w:p>
    <w:p w14:paraId="0E14CC78" w14:textId="77777777" w:rsidR="0065586B" w:rsidRPr="0063664A" w:rsidRDefault="0065586B" w:rsidP="002672E5">
      <w:pPr>
        <w:autoSpaceDE w:val="0"/>
        <w:autoSpaceDN w:val="0"/>
        <w:adjustRightInd w:val="0"/>
        <w:rPr>
          <w:sz w:val="22"/>
          <w:szCs w:val="22"/>
          <w:lang w:val="sk-SK"/>
        </w:rPr>
      </w:pPr>
      <w:r w:rsidRPr="0063664A">
        <w:rPr>
          <w:sz w:val="22"/>
          <w:szCs w:val="22"/>
          <w:lang w:val="sk-SK"/>
        </w:rPr>
        <w:t xml:space="preserve">Dlhodobé užívanie klaritromycínu môže, rovnako ako u iných antibiotík, viesť ku kolonizácii zvýšeným </w:t>
      </w:r>
      <w:r w:rsidRPr="0063664A">
        <w:rPr>
          <w:rStyle w:val="hps"/>
          <w:sz w:val="22"/>
          <w:szCs w:val="22"/>
          <w:lang w:val="sk-SK"/>
        </w:rPr>
        <w:t>množstvom</w:t>
      </w:r>
      <w:r w:rsidRPr="0063664A">
        <w:rPr>
          <w:sz w:val="22"/>
          <w:szCs w:val="22"/>
          <w:lang w:val="sk-SK"/>
        </w:rPr>
        <w:t xml:space="preserve"> </w:t>
      </w:r>
      <w:r w:rsidRPr="0063664A">
        <w:rPr>
          <w:rStyle w:val="hps"/>
          <w:sz w:val="22"/>
          <w:szCs w:val="22"/>
          <w:lang w:val="sk-SK"/>
        </w:rPr>
        <w:t>rezistentných</w:t>
      </w:r>
      <w:r w:rsidRPr="0063664A">
        <w:rPr>
          <w:sz w:val="22"/>
          <w:szCs w:val="22"/>
          <w:lang w:val="sk-SK"/>
        </w:rPr>
        <w:t xml:space="preserve"> baktérií a húb. Pri výskyte superinfekcie je potrebné začať s</w:t>
      </w:r>
      <w:r w:rsidR="0011130A" w:rsidRPr="0063664A">
        <w:rPr>
          <w:sz w:val="22"/>
          <w:szCs w:val="22"/>
          <w:lang w:val="sk-SK"/>
        </w:rPr>
        <w:t> </w:t>
      </w:r>
      <w:r w:rsidRPr="0063664A">
        <w:rPr>
          <w:sz w:val="22"/>
          <w:szCs w:val="22"/>
          <w:lang w:val="sk-SK"/>
        </w:rPr>
        <w:t>vhodnou liečbou.</w:t>
      </w:r>
    </w:p>
    <w:p w14:paraId="4EF4CF44" w14:textId="77777777" w:rsidR="0065586B" w:rsidRPr="0063664A" w:rsidRDefault="0065586B" w:rsidP="002672E5">
      <w:pPr>
        <w:rPr>
          <w:sz w:val="22"/>
          <w:szCs w:val="22"/>
          <w:lang w:val="sk-SK"/>
        </w:rPr>
      </w:pPr>
    </w:p>
    <w:p w14:paraId="20C03BF9" w14:textId="77777777" w:rsidR="0065586B" w:rsidRPr="0063664A" w:rsidRDefault="0065586B" w:rsidP="002672E5">
      <w:pPr>
        <w:rPr>
          <w:sz w:val="22"/>
          <w:szCs w:val="22"/>
          <w:lang w:val="sk-SK"/>
        </w:rPr>
      </w:pPr>
      <w:r w:rsidRPr="0063664A">
        <w:rPr>
          <w:sz w:val="22"/>
          <w:szCs w:val="22"/>
          <w:lang w:val="sk-SK"/>
        </w:rPr>
        <w:t>Je potrebné venovať pozornosť možnosti skríženej rezistencie medzi klaritromycínom a</w:t>
      </w:r>
      <w:r w:rsidR="0011130A" w:rsidRPr="0063664A">
        <w:rPr>
          <w:sz w:val="22"/>
          <w:szCs w:val="22"/>
          <w:lang w:val="sk-SK"/>
        </w:rPr>
        <w:t> </w:t>
      </w:r>
      <w:r w:rsidRPr="0063664A">
        <w:rPr>
          <w:sz w:val="22"/>
          <w:szCs w:val="22"/>
          <w:lang w:val="sk-SK"/>
        </w:rPr>
        <w:t>inými makrolidmi a</w:t>
      </w:r>
      <w:r w:rsidR="0011130A" w:rsidRPr="0063664A">
        <w:rPr>
          <w:sz w:val="22"/>
          <w:szCs w:val="22"/>
          <w:lang w:val="sk-SK"/>
        </w:rPr>
        <w:t> </w:t>
      </w:r>
      <w:r w:rsidRPr="0063664A">
        <w:rPr>
          <w:sz w:val="22"/>
          <w:szCs w:val="22"/>
          <w:lang w:val="sk-SK"/>
        </w:rPr>
        <w:t>tiež linkomycínom a klindamycínom.</w:t>
      </w:r>
    </w:p>
    <w:p w14:paraId="09C971E3" w14:textId="77777777" w:rsidR="00037BEC" w:rsidRPr="0063664A" w:rsidRDefault="00037BEC" w:rsidP="002672E5">
      <w:pPr>
        <w:rPr>
          <w:sz w:val="22"/>
          <w:szCs w:val="22"/>
          <w:lang w:val="sk-SK"/>
        </w:rPr>
      </w:pPr>
    </w:p>
    <w:p w14:paraId="59BBE689" w14:textId="77777777" w:rsidR="00155DB6" w:rsidRPr="00906422" w:rsidRDefault="00155DB6" w:rsidP="00155DB6">
      <w:pPr>
        <w:rPr>
          <w:sz w:val="22"/>
          <w:szCs w:val="22"/>
          <w:lang w:val="sk-SK"/>
        </w:rPr>
      </w:pPr>
      <w:r w:rsidRPr="00906422">
        <w:rPr>
          <w:sz w:val="22"/>
          <w:szCs w:val="22"/>
        </w:rPr>
        <w:t>Tento liek obsahuje menej ako 1 mmol sodíka (23 mg) v jednej tablete, t.j. v podstate zanedbateľné množstvo sodíka.</w:t>
      </w:r>
    </w:p>
    <w:p w14:paraId="4E457590" w14:textId="77777777" w:rsidR="00155DB6" w:rsidRPr="00155DB6" w:rsidRDefault="00155DB6" w:rsidP="00A63C3E">
      <w:pPr>
        <w:rPr>
          <w:sz w:val="22"/>
          <w:szCs w:val="22"/>
          <w:highlight w:val="yellow"/>
        </w:rPr>
      </w:pPr>
    </w:p>
    <w:p w14:paraId="2251730F" w14:textId="77777777" w:rsidR="00A63C3E" w:rsidRPr="0063664A" w:rsidRDefault="00A63C3E" w:rsidP="00A63C3E">
      <w:pPr>
        <w:rPr>
          <w:sz w:val="22"/>
          <w:szCs w:val="22"/>
        </w:rPr>
      </w:pPr>
    </w:p>
    <w:p w14:paraId="29B7CF6E" w14:textId="77777777" w:rsidR="0065586B" w:rsidRPr="0063664A" w:rsidRDefault="0065586B" w:rsidP="00881CF1">
      <w:pPr>
        <w:keepNext/>
        <w:tabs>
          <w:tab w:val="left" w:pos="567"/>
        </w:tabs>
        <w:ind w:left="567" w:hanging="567"/>
        <w:rPr>
          <w:b/>
          <w:sz w:val="22"/>
          <w:szCs w:val="22"/>
          <w:lang w:val="sk-SK"/>
        </w:rPr>
      </w:pPr>
      <w:r w:rsidRPr="0063664A">
        <w:rPr>
          <w:b/>
          <w:sz w:val="22"/>
          <w:szCs w:val="22"/>
          <w:lang w:val="sk-SK"/>
        </w:rPr>
        <w:t>4.5</w:t>
      </w:r>
      <w:r w:rsidRPr="0063664A">
        <w:rPr>
          <w:b/>
          <w:sz w:val="22"/>
          <w:szCs w:val="22"/>
          <w:lang w:val="sk-SK"/>
        </w:rPr>
        <w:tab/>
        <w:t>Liekové a iné interakcie</w:t>
      </w:r>
    </w:p>
    <w:p w14:paraId="0B9D85A8" w14:textId="77777777" w:rsidR="0065586B" w:rsidRPr="0063664A" w:rsidRDefault="0065586B" w:rsidP="009B7F59">
      <w:pPr>
        <w:keepNext/>
        <w:rPr>
          <w:sz w:val="22"/>
          <w:szCs w:val="22"/>
          <w:lang w:val="sk-SK"/>
        </w:rPr>
      </w:pPr>
    </w:p>
    <w:p w14:paraId="351D3794" w14:textId="77777777" w:rsidR="0065586B" w:rsidRPr="0063664A" w:rsidRDefault="0065586B" w:rsidP="002672E5">
      <w:pPr>
        <w:autoSpaceDE w:val="0"/>
        <w:autoSpaceDN w:val="0"/>
        <w:adjustRightInd w:val="0"/>
        <w:rPr>
          <w:sz w:val="22"/>
          <w:szCs w:val="22"/>
          <w:lang w:val="sk-SK"/>
        </w:rPr>
      </w:pPr>
      <w:r w:rsidRPr="0063664A">
        <w:rPr>
          <w:b/>
          <w:bCs/>
          <w:sz w:val="22"/>
          <w:szCs w:val="22"/>
          <w:lang w:val="sk-SK"/>
        </w:rPr>
        <w:t xml:space="preserve">Súbežné užívanie nasledovných liečiv je prísne kontraindikované </w:t>
      </w:r>
      <w:r w:rsidRPr="0063664A">
        <w:rPr>
          <w:b/>
          <w:sz w:val="22"/>
          <w:szCs w:val="22"/>
          <w:lang w:val="sk-SK"/>
        </w:rPr>
        <w:t>z dôvodu možnosti výskytu závažných</w:t>
      </w:r>
      <w:r w:rsidRPr="0063664A">
        <w:rPr>
          <w:b/>
          <w:bCs/>
          <w:sz w:val="22"/>
          <w:szCs w:val="22"/>
          <w:lang w:val="sk-SK"/>
        </w:rPr>
        <w:t> liekových interakcií:</w:t>
      </w:r>
      <w:r w:rsidRPr="0063664A">
        <w:rPr>
          <w:sz w:val="22"/>
          <w:szCs w:val="22"/>
          <w:lang w:val="sk-SK"/>
        </w:rPr>
        <w:t xml:space="preserve"> </w:t>
      </w:r>
    </w:p>
    <w:p w14:paraId="3CE9EF6C" w14:textId="77777777" w:rsidR="0065586B" w:rsidRPr="0063664A" w:rsidRDefault="0065586B" w:rsidP="002672E5">
      <w:pPr>
        <w:rPr>
          <w:sz w:val="22"/>
          <w:szCs w:val="22"/>
          <w:lang w:val="sk-SK"/>
        </w:rPr>
      </w:pPr>
    </w:p>
    <w:p w14:paraId="7592E716" w14:textId="77777777" w:rsidR="0065586B" w:rsidRPr="0063664A" w:rsidRDefault="00426937" w:rsidP="009B7F59">
      <w:pPr>
        <w:keepNext/>
        <w:rPr>
          <w:sz w:val="22"/>
          <w:szCs w:val="22"/>
          <w:u w:val="single"/>
          <w:lang w:val="sk-SK"/>
        </w:rPr>
      </w:pPr>
      <w:bookmarkStart w:id="13" w:name="_Hlk2936169"/>
      <w:bookmarkStart w:id="14" w:name="_Hlk2937060"/>
      <w:r w:rsidRPr="0063664A">
        <w:rPr>
          <w:sz w:val="22"/>
          <w:szCs w:val="22"/>
          <w:u w:val="single"/>
          <w:lang w:val="sk-SK"/>
        </w:rPr>
        <w:t>Astemizol</w:t>
      </w:r>
      <w:bookmarkEnd w:id="13"/>
      <w:r w:rsidRPr="0063664A">
        <w:rPr>
          <w:sz w:val="22"/>
          <w:szCs w:val="22"/>
          <w:u w:val="single"/>
          <w:lang w:val="sk-SK"/>
        </w:rPr>
        <w:t xml:space="preserve">, </w:t>
      </w:r>
      <w:bookmarkEnd w:id="14"/>
      <w:r w:rsidRPr="0063664A">
        <w:rPr>
          <w:sz w:val="22"/>
          <w:szCs w:val="22"/>
          <w:u w:val="single"/>
          <w:lang w:val="sk-SK"/>
        </w:rPr>
        <w:t>c</w:t>
      </w:r>
      <w:r w:rsidR="0065586B" w:rsidRPr="0063664A">
        <w:rPr>
          <w:sz w:val="22"/>
          <w:szCs w:val="22"/>
          <w:u w:val="single"/>
          <w:lang w:val="sk-SK"/>
        </w:rPr>
        <w:t>isaprid,</w:t>
      </w:r>
      <w:r w:rsidRPr="0063664A">
        <w:rPr>
          <w:sz w:val="22"/>
          <w:szCs w:val="22"/>
          <w:u w:val="single"/>
          <w:lang w:val="sk-SK"/>
        </w:rPr>
        <w:t xml:space="preserve"> </w:t>
      </w:r>
      <w:bookmarkStart w:id="15" w:name="_Hlk2936184"/>
      <w:r w:rsidRPr="0063664A">
        <w:rPr>
          <w:sz w:val="22"/>
          <w:szCs w:val="22"/>
          <w:u w:val="single"/>
          <w:lang w:val="sk-SK"/>
        </w:rPr>
        <w:t>domperidón,</w:t>
      </w:r>
      <w:r w:rsidR="0065586B" w:rsidRPr="0063664A">
        <w:rPr>
          <w:sz w:val="22"/>
          <w:szCs w:val="22"/>
          <w:u w:val="single"/>
          <w:lang w:val="sk-SK"/>
        </w:rPr>
        <w:t xml:space="preserve"> </w:t>
      </w:r>
      <w:bookmarkEnd w:id="15"/>
      <w:r w:rsidR="0065586B" w:rsidRPr="0063664A">
        <w:rPr>
          <w:sz w:val="22"/>
          <w:szCs w:val="22"/>
          <w:u w:val="single"/>
          <w:lang w:val="sk-SK"/>
        </w:rPr>
        <w:t>pimozid</w:t>
      </w:r>
      <w:r w:rsidRPr="0063664A">
        <w:rPr>
          <w:sz w:val="22"/>
          <w:szCs w:val="22"/>
          <w:u w:val="single"/>
          <w:lang w:val="sk-SK"/>
        </w:rPr>
        <w:t xml:space="preserve"> </w:t>
      </w:r>
      <w:r w:rsidR="0065586B" w:rsidRPr="0063664A">
        <w:rPr>
          <w:sz w:val="22"/>
          <w:szCs w:val="22"/>
          <w:u w:val="single"/>
          <w:lang w:val="sk-SK"/>
        </w:rPr>
        <w:t>a</w:t>
      </w:r>
      <w:r w:rsidR="00CE2C37" w:rsidRPr="0063664A">
        <w:rPr>
          <w:sz w:val="22"/>
          <w:szCs w:val="22"/>
          <w:u w:val="single"/>
          <w:lang w:val="sk-SK"/>
        </w:rPr>
        <w:t> </w:t>
      </w:r>
      <w:r w:rsidR="0065586B" w:rsidRPr="0063664A">
        <w:rPr>
          <w:sz w:val="22"/>
          <w:szCs w:val="22"/>
          <w:u w:val="single"/>
          <w:lang w:val="sk-SK"/>
        </w:rPr>
        <w:t>terfenadín</w:t>
      </w:r>
    </w:p>
    <w:p w14:paraId="1FB82391" w14:textId="77777777" w:rsidR="0065586B" w:rsidRPr="0063664A" w:rsidRDefault="0065586B" w:rsidP="002672E5">
      <w:pPr>
        <w:rPr>
          <w:sz w:val="22"/>
          <w:szCs w:val="22"/>
          <w:lang w:val="sk-SK"/>
        </w:rPr>
      </w:pPr>
      <w:r w:rsidRPr="0063664A">
        <w:rPr>
          <w:sz w:val="22"/>
          <w:szCs w:val="22"/>
          <w:lang w:val="sk-SK"/>
        </w:rPr>
        <w:t>U pacientov súbežne užívajúcich klaritromycín s cisapridom sa zaznamenali zvýšené hladiny cisapridu. To môže viesť k predĺženiu QT intervalu a srdcovým arytmiám vrátane ventrikulárnej tachykardie, ventrikulárnej fibrilácie a </w:t>
      </w:r>
      <w:r w:rsidRPr="0063664A">
        <w:rPr>
          <w:i/>
          <w:sz w:val="22"/>
          <w:szCs w:val="22"/>
          <w:lang w:val="sk-SK"/>
        </w:rPr>
        <w:t>torsades de pointes</w:t>
      </w:r>
      <w:r w:rsidRPr="0063664A">
        <w:rPr>
          <w:sz w:val="22"/>
          <w:szCs w:val="22"/>
          <w:lang w:val="sk-SK"/>
        </w:rPr>
        <w:t>. Podobné účinky sa pozorovali u pacientov súbežne užívajúcich klaritromycín s pimozidom (pozri časť</w:t>
      </w:r>
      <w:r w:rsidR="007A3363" w:rsidRPr="0063664A">
        <w:rPr>
          <w:sz w:val="22"/>
          <w:szCs w:val="22"/>
          <w:lang w:val="sk-SK"/>
        </w:rPr>
        <w:t> </w:t>
      </w:r>
      <w:r w:rsidRPr="0063664A">
        <w:rPr>
          <w:sz w:val="22"/>
          <w:szCs w:val="22"/>
          <w:lang w:val="sk-SK"/>
        </w:rPr>
        <w:t>4.3).</w:t>
      </w:r>
    </w:p>
    <w:p w14:paraId="76392CCB" w14:textId="77777777" w:rsidR="0065586B" w:rsidRPr="0063664A" w:rsidRDefault="0065586B" w:rsidP="002672E5">
      <w:pPr>
        <w:pStyle w:val="BodySingle"/>
        <w:rPr>
          <w:sz w:val="22"/>
          <w:szCs w:val="22"/>
        </w:rPr>
      </w:pPr>
    </w:p>
    <w:p w14:paraId="0A784DA7" w14:textId="77777777" w:rsidR="0065586B" w:rsidRPr="0063664A" w:rsidRDefault="0065586B" w:rsidP="002672E5">
      <w:pPr>
        <w:rPr>
          <w:sz w:val="22"/>
          <w:szCs w:val="22"/>
          <w:lang w:val="sk-SK"/>
        </w:rPr>
      </w:pPr>
      <w:r w:rsidRPr="0063664A">
        <w:rPr>
          <w:sz w:val="22"/>
          <w:szCs w:val="22"/>
          <w:lang w:val="sk-SK"/>
        </w:rPr>
        <w:t>Zaznamenalo sa, že makrolidy ovplyvňujú metabolizmus terfenadínu, dôsledkom čoho sú zvýšené hladiny terfenadínu, ktoré boli v ojedinelých prípadoch spájané so vznikom srdcových arytmií ako je predĺženie QT intervalu, ventrikulárna tachykardia, ventrikulárna fibrilácia a </w:t>
      </w:r>
      <w:r w:rsidRPr="0063664A">
        <w:rPr>
          <w:i/>
          <w:sz w:val="22"/>
          <w:szCs w:val="22"/>
          <w:lang w:val="sk-SK"/>
        </w:rPr>
        <w:t>torsades de pointes</w:t>
      </w:r>
      <w:r w:rsidRPr="0063664A">
        <w:rPr>
          <w:sz w:val="22"/>
          <w:szCs w:val="22"/>
          <w:lang w:val="sk-SK"/>
        </w:rPr>
        <w:t xml:space="preserve"> (pozri časť 4.3). V jednej štúdii so 14 zdravými dobrovoľníkmi viedlo súbežné podávanie klaritromycínu s terfenadínom k dvoj- až trojnásobnému nárastu sérovej hladiny kyslého metabolitu terfenadínu a k predĺženiu QT intervalu, čo neviedlo k žiadnemu klinicky zistiteľnému účinku. Podobné účinky sa pozorovali pri súbežnom podávaní astemizolu s inými makrolidmi.</w:t>
      </w:r>
    </w:p>
    <w:p w14:paraId="4447B458" w14:textId="77777777" w:rsidR="0065586B" w:rsidRPr="0063664A" w:rsidRDefault="0065586B" w:rsidP="002672E5">
      <w:pPr>
        <w:pStyle w:val="BodySingle"/>
        <w:rPr>
          <w:sz w:val="22"/>
          <w:szCs w:val="22"/>
        </w:rPr>
      </w:pPr>
    </w:p>
    <w:p w14:paraId="0DDE620C" w14:textId="77777777" w:rsidR="0065586B" w:rsidRPr="0063664A" w:rsidRDefault="0065586B" w:rsidP="009B7F59">
      <w:pPr>
        <w:keepNext/>
        <w:rPr>
          <w:sz w:val="22"/>
          <w:szCs w:val="22"/>
          <w:u w:val="single"/>
          <w:lang w:val="sk-SK"/>
        </w:rPr>
      </w:pPr>
      <w:r w:rsidRPr="0063664A">
        <w:rPr>
          <w:sz w:val="22"/>
          <w:szCs w:val="22"/>
          <w:u w:val="single"/>
          <w:lang w:val="sk-SK"/>
        </w:rPr>
        <w:t>Ergotamín/dihydroergotamín</w:t>
      </w:r>
    </w:p>
    <w:p w14:paraId="2764242D" w14:textId="77777777" w:rsidR="0065586B" w:rsidRPr="0063664A" w:rsidRDefault="0065586B" w:rsidP="002672E5">
      <w:pPr>
        <w:autoSpaceDE w:val="0"/>
        <w:autoSpaceDN w:val="0"/>
        <w:adjustRightInd w:val="0"/>
        <w:rPr>
          <w:bCs/>
          <w:sz w:val="22"/>
          <w:szCs w:val="22"/>
          <w:lang w:val="sk-SK"/>
        </w:rPr>
      </w:pPr>
      <w:r w:rsidRPr="0063664A">
        <w:rPr>
          <w:sz w:val="22"/>
          <w:szCs w:val="22"/>
          <w:lang w:val="sk-SK"/>
        </w:rPr>
        <w:t xml:space="preserve">Hlásenia po uvedení lieku na trh naznačujú, že súbežné podávanie klaritromycínu s ergotamínom alebo dihydroergotamínom súvisí s akútnou ergotovou toxicitou charakterizovanou vazospazmom a ischémiou končatín a iných tkanív vrátane centrálneho nervového systému. </w:t>
      </w:r>
      <w:r w:rsidRPr="0063664A">
        <w:rPr>
          <w:bCs/>
          <w:sz w:val="22"/>
          <w:szCs w:val="22"/>
          <w:lang w:val="sk-SK"/>
        </w:rPr>
        <w:t>Súbežné podávanie klaritromycínu a týchto liečiv je kontraindikované (pozri časť 4.3).</w:t>
      </w:r>
    </w:p>
    <w:p w14:paraId="47CCA691" w14:textId="77777777" w:rsidR="0065586B" w:rsidRPr="0063664A" w:rsidRDefault="0065586B" w:rsidP="002672E5">
      <w:pPr>
        <w:autoSpaceDE w:val="0"/>
        <w:autoSpaceDN w:val="0"/>
        <w:adjustRightInd w:val="0"/>
        <w:rPr>
          <w:bCs/>
          <w:sz w:val="22"/>
          <w:szCs w:val="22"/>
          <w:lang w:val="sk-SK"/>
        </w:rPr>
      </w:pPr>
    </w:p>
    <w:p w14:paraId="111EE8D0" w14:textId="77777777" w:rsidR="0065586B" w:rsidRPr="0063664A" w:rsidRDefault="0065586B" w:rsidP="009B7F59">
      <w:pPr>
        <w:keepNext/>
        <w:autoSpaceDE w:val="0"/>
        <w:autoSpaceDN w:val="0"/>
        <w:adjustRightInd w:val="0"/>
        <w:rPr>
          <w:sz w:val="22"/>
          <w:szCs w:val="22"/>
          <w:u w:val="single"/>
          <w:lang w:val="sk-SK"/>
        </w:rPr>
      </w:pPr>
      <w:r w:rsidRPr="0063664A">
        <w:rPr>
          <w:sz w:val="22"/>
          <w:szCs w:val="22"/>
          <w:u w:val="single"/>
          <w:lang w:val="sk-SK"/>
        </w:rPr>
        <w:t>Midazolam perorálne</w:t>
      </w:r>
    </w:p>
    <w:p w14:paraId="69D628C2" w14:textId="77777777" w:rsidR="004D6941" w:rsidRPr="0063664A" w:rsidRDefault="0065586B" w:rsidP="002672E5">
      <w:pPr>
        <w:pStyle w:val="Textkomentra"/>
        <w:rPr>
          <w:sz w:val="22"/>
          <w:szCs w:val="22"/>
          <w:lang w:val="sk-SK"/>
        </w:rPr>
      </w:pPr>
      <w:r w:rsidRPr="0063664A">
        <w:rPr>
          <w:bCs/>
          <w:sz w:val="22"/>
          <w:szCs w:val="22"/>
          <w:lang w:val="sk-SK"/>
        </w:rPr>
        <w:t>Pri súbežnom podávaní klaritromycínu (500</w:t>
      </w:r>
      <w:r w:rsidRPr="0063664A">
        <w:rPr>
          <w:sz w:val="22"/>
          <w:szCs w:val="22"/>
          <w:lang w:val="sk-SK"/>
        </w:rPr>
        <w:t> </w:t>
      </w:r>
      <w:r w:rsidRPr="0063664A">
        <w:rPr>
          <w:bCs/>
          <w:sz w:val="22"/>
          <w:szCs w:val="22"/>
          <w:lang w:val="sk-SK"/>
        </w:rPr>
        <w:t xml:space="preserve">mg dvakrát denne) sa po perorálnom podaní midazolu AUC </w:t>
      </w:r>
    </w:p>
    <w:p w14:paraId="57E69954" w14:textId="77777777" w:rsidR="0065586B" w:rsidRPr="0063664A" w:rsidRDefault="0065586B" w:rsidP="002672E5">
      <w:pPr>
        <w:autoSpaceDE w:val="0"/>
        <w:autoSpaceDN w:val="0"/>
        <w:adjustRightInd w:val="0"/>
        <w:rPr>
          <w:sz w:val="22"/>
          <w:szCs w:val="22"/>
          <w:lang w:val="sk-SK"/>
        </w:rPr>
      </w:pPr>
      <w:r w:rsidRPr="0063664A">
        <w:rPr>
          <w:bCs/>
          <w:sz w:val="22"/>
          <w:szCs w:val="22"/>
          <w:lang w:val="sk-SK"/>
        </w:rPr>
        <w:t xml:space="preserve">midazolamu zvýšila 7-násobne. </w:t>
      </w:r>
      <w:r w:rsidRPr="0063664A">
        <w:rPr>
          <w:bCs/>
          <w:iCs/>
          <w:sz w:val="22"/>
          <w:szCs w:val="22"/>
          <w:lang w:val="sk-SK"/>
        </w:rPr>
        <w:t>Súbežné podávanie midazolamu perorálne a klaritromycínu je kontraindikované (pozri časť</w:t>
      </w:r>
      <w:r w:rsidR="00453E0D" w:rsidRPr="0063664A">
        <w:rPr>
          <w:bCs/>
          <w:iCs/>
          <w:sz w:val="22"/>
          <w:szCs w:val="22"/>
          <w:lang w:val="sk-SK"/>
        </w:rPr>
        <w:t> </w:t>
      </w:r>
      <w:r w:rsidRPr="0063664A">
        <w:rPr>
          <w:bCs/>
          <w:iCs/>
          <w:sz w:val="22"/>
          <w:szCs w:val="22"/>
          <w:lang w:val="sk-SK"/>
        </w:rPr>
        <w:t>4.3</w:t>
      </w:r>
      <w:r w:rsidRPr="0063664A">
        <w:rPr>
          <w:sz w:val="22"/>
          <w:szCs w:val="22"/>
          <w:lang w:val="sk-SK"/>
        </w:rPr>
        <w:t>).</w:t>
      </w:r>
    </w:p>
    <w:p w14:paraId="44951936" w14:textId="77777777" w:rsidR="0065586B" w:rsidRPr="0063664A" w:rsidRDefault="0065586B" w:rsidP="002672E5">
      <w:pPr>
        <w:rPr>
          <w:sz w:val="22"/>
          <w:szCs w:val="22"/>
          <w:lang w:val="sk-SK"/>
        </w:rPr>
      </w:pPr>
    </w:p>
    <w:p w14:paraId="26F50376" w14:textId="77777777" w:rsidR="0065586B" w:rsidRPr="0063664A" w:rsidRDefault="0065586B" w:rsidP="009B7F59">
      <w:pPr>
        <w:pStyle w:val="Zkladntext"/>
        <w:keepNext/>
        <w:suppressAutoHyphens/>
        <w:jc w:val="left"/>
        <w:rPr>
          <w:sz w:val="22"/>
          <w:szCs w:val="22"/>
          <w:lang w:val="sk-SK"/>
        </w:rPr>
      </w:pPr>
      <w:r w:rsidRPr="0063664A">
        <w:rPr>
          <w:sz w:val="22"/>
          <w:szCs w:val="22"/>
          <w:u w:val="single"/>
          <w:lang w:val="sk-SK"/>
        </w:rPr>
        <w:t>Inhibítory HMG-CoA reduktázy (statíny)</w:t>
      </w:r>
    </w:p>
    <w:p w14:paraId="20928D5A" w14:textId="77777777" w:rsidR="0065586B" w:rsidRPr="0063664A" w:rsidRDefault="0065586B" w:rsidP="002672E5">
      <w:pPr>
        <w:pStyle w:val="Zkladntext"/>
        <w:suppressAutoHyphens/>
        <w:jc w:val="left"/>
        <w:rPr>
          <w:sz w:val="22"/>
          <w:szCs w:val="22"/>
          <w:lang w:val="sk-SK"/>
        </w:rPr>
      </w:pPr>
      <w:r w:rsidRPr="0063664A">
        <w:rPr>
          <w:sz w:val="22"/>
          <w:szCs w:val="22"/>
          <w:lang w:val="sk-SK"/>
        </w:rPr>
        <w:t xml:space="preserve">Súbežné užívanie klaritromycínu s lovastatínom alebo simvastatínom je kontraindikované (pozri časť 4.3), pretože tieto statíny sa v značnej miere metabolizujú prostredníctvom CYP3A4 a súbežná liečba s klaritromycínom zvyšuje ich plazmatickú koncentráciu, čo zvyšuje riziko myopatie, vrátane rabdomyolýzy. </w:t>
      </w:r>
      <w:r w:rsidRPr="0063664A">
        <w:rPr>
          <w:bCs/>
          <w:iCs/>
          <w:sz w:val="22"/>
          <w:szCs w:val="22"/>
          <w:lang w:val="sk-SK"/>
        </w:rPr>
        <w:t>U pacientov súbežne užívajúcich klaritromycín s týmito statínmi boli hlásené prípady rabdomyolýzy</w:t>
      </w:r>
      <w:r w:rsidRPr="0063664A">
        <w:rPr>
          <w:sz w:val="22"/>
          <w:szCs w:val="22"/>
          <w:lang w:val="sk-SK"/>
        </w:rPr>
        <w:t>. Ak je liečba klaritromycínom nevyhnutná, musí sa počas nej prerušiť liečba lovastatínom alebo simvastatínom.</w:t>
      </w:r>
    </w:p>
    <w:p w14:paraId="3145741D" w14:textId="77777777" w:rsidR="0065586B" w:rsidRPr="0063664A" w:rsidRDefault="0065586B" w:rsidP="002672E5">
      <w:pPr>
        <w:pStyle w:val="Zkladntext"/>
        <w:suppressAutoHyphens/>
        <w:jc w:val="left"/>
        <w:rPr>
          <w:sz w:val="22"/>
          <w:szCs w:val="22"/>
          <w:lang w:val="sk-SK"/>
        </w:rPr>
      </w:pPr>
    </w:p>
    <w:p w14:paraId="50843BC6" w14:textId="77777777" w:rsidR="0065586B" w:rsidRPr="0063664A" w:rsidRDefault="0065586B" w:rsidP="002672E5">
      <w:pPr>
        <w:rPr>
          <w:sz w:val="22"/>
          <w:szCs w:val="22"/>
          <w:lang w:val="sk-SK"/>
        </w:rPr>
      </w:pPr>
      <w:r w:rsidRPr="0063664A">
        <w:rPr>
          <w:sz w:val="22"/>
          <w:szCs w:val="22"/>
          <w:lang w:val="sk-SK"/>
        </w:rPr>
        <w:t xml:space="preserve">Pri predpisovaní klaritromycínu so statínmi je potrebná opatrnosť. V prípadoch, kedy je súbežné užívanie klaritromycínu so statínmi nevyhnutné, sa odporúča predpísať najnižšiu registrovanú silu statínu. Má sa zvážiť použitie statínu, ktorý nie je závislý od metabolizmu sprostredkovaného CYP3A (napr. fluvastatín). </w:t>
      </w:r>
      <w:r w:rsidRPr="0063664A">
        <w:rPr>
          <w:sz w:val="22"/>
          <w:szCs w:val="22"/>
          <w:lang w:val="sk-SK" w:eastAsia="sk-SK"/>
        </w:rPr>
        <w:t>U pacientov sa majú sledovať prejavy a príznaky myopatie</w:t>
      </w:r>
      <w:r w:rsidRPr="0063664A">
        <w:rPr>
          <w:sz w:val="22"/>
          <w:szCs w:val="22"/>
          <w:lang w:val="sk-SK"/>
        </w:rPr>
        <w:t>.</w:t>
      </w:r>
    </w:p>
    <w:p w14:paraId="7BF60074" w14:textId="77777777" w:rsidR="0065586B" w:rsidRPr="0063664A" w:rsidRDefault="0065586B" w:rsidP="002672E5">
      <w:pPr>
        <w:rPr>
          <w:sz w:val="22"/>
          <w:szCs w:val="22"/>
          <w:lang w:val="sk-SK"/>
        </w:rPr>
      </w:pPr>
    </w:p>
    <w:p w14:paraId="277C6711" w14:textId="77777777" w:rsidR="0065586B" w:rsidRPr="0063664A" w:rsidRDefault="0065586B" w:rsidP="009B7F59">
      <w:pPr>
        <w:keepNext/>
        <w:autoSpaceDE w:val="0"/>
        <w:autoSpaceDN w:val="0"/>
        <w:adjustRightInd w:val="0"/>
        <w:rPr>
          <w:b/>
          <w:bCs/>
          <w:iCs/>
          <w:sz w:val="22"/>
          <w:szCs w:val="22"/>
          <w:lang w:val="sk-SK"/>
        </w:rPr>
      </w:pPr>
      <w:r w:rsidRPr="0063664A">
        <w:rPr>
          <w:b/>
          <w:bCs/>
          <w:iCs/>
          <w:sz w:val="22"/>
          <w:szCs w:val="22"/>
          <w:lang w:val="sk-SK"/>
        </w:rPr>
        <w:lastRenderedPageBreak/>
        <w:t>Vplyv iných liekov na klaritromycín</w:t>
      </w:r>
    </w:p>
    <w:p w14:paraId="6A8AB3A4" w14:textId="77777777" w:rsidR="0065586B" w:rsidRPr="0063664A" w:rsidRDefault="0065586B" w:rsidP="009B7F59">
      <w:pPr>
        <w:pStyle w:val="BodySingle"/>
        <w:keepNext/>
        <w:rPr>
          <w:sz w:val="22"/>
          <w:szCs w:val="22"/>
        </w:rPr>
      </w:pPr>
    </w:p>
    <w:p w14:paraId="661A8AD2" w14:textId="77777777" w:rsidR="0065586B" w:rsidRPr="0063664A" w:rsidRDefault="0065586B" w:rsidP="002672E5">
      <w:pPr>
        <w:autoSpaceDE w:val="0"/>
        <w:autoSpaceDN w:val="0"/>
        <w:adjustRightInd w:val="0"/>
        <w:rPr>
          <w:bCs/>
          <w:sz w:val="22"/>
          <w:szCs w:val="22"/>
          <w:lang w:val="sk-SK"/>
        </w:rPr>
      </w:pPr>
      <w:bookmarkStart w:id="16" w:name="OLE_LINK1"/>
      <w:r w:rsidRPr="0063664A">
        <w:rPr>
          <w:bCs/>
          <w:sz w:val="22"/>
          <w:szCs w:val="22"/>
          <w:lang w:val="sk-SK"/>
        </w:rPr>
        <w:t xml:space="preserve">Liečivá, ktoré </w:t>
      </w:r>
      <w:r w:rsidRPr="0063664A">
        <w:rPr>
          <w:bCs/>
          <w:iCs/>
          <w:sz w:val="22"/>
          <w:szCs w:val="22"/>
          <w:lang w:val="sk-SK"/>
        </w:rPr>
        <w:t>sú induktory</w:t>
      </w:r>
      <w:r w:rsidRPr="0063664A">
        <w:rPr>
          <w:bCs/>
          <w:sz w:val="22"/>
          <w:szCs w:val="22"/>
          <w:lang w:val="sk-SK"/>
        </w:rPr>
        <w:t xml:space="preserve"> CYP3A (napr. rifampicín, fenytoín, karbamazepín, fenobarbital, ľubovník bodkovaný) môžu indukovať metabolizmus klaritromycínu. To môže </w:t>
      </w:r>
      <w:r w:rsidRPr="0063664A">
        <w:rPr>
          <w:sz w:val="22"/>
          <w:szCs w:val="22"/>
          <w:lang w:val="sk-SK"/>
        </w:rPr>
        <w:t xml:space="preserve">viesť k subterapeutickým hladinám klaritromycínu, a tým </w:t>
      </w:r>
      <w:r w:rsidRPr="0063664A">
        <w:rPr>
          <w:bCs/>
          <w:iCs/>
          <w:sz w:val="22"/>
          <w:szCs w:val="22"/>
          <w:lang w:val="sk-SK"/>
        </w:rPr>
        <w:t>k zníženej</w:t>
      </w:r>
      <w:r w:rsidRPr="0063664A">
        <w:rPr>
          <w:sz w:val="22"/>
          <w:szCs w:val="22"/>
          <w:lang w:val="sk-SK"/>
        </w:rPr>
        <w:t xml:space="preserve"> účinnosti</w:t>
      </w:r>
      <w:r w:rsidRPr="0063664A">
        <w:rPr>
          <w:bCs/>
          <w:sz w:val="22"/>
          <w:szCs w:val="22"/>
          <w:lang w:val="sk-SK"/>
        </w:rPr>
        <w:t>. Navyše môže byť potrebné sledovať plazmatické hladiny induktora CYP3A, ktoré môžu byť zvýšené následkom inhibície CYP3A klaritromycínom (pozri tiež S</w:t>
      </w:r>
      <w:r w:rsidRPr="0063664A">
        <w:rPr>
          <w:sz w:val="22"/>
          <w:szCs w:val="22"/>
          <w:lang w:val="sk-SK"/>
        </w:rPr>
        <w:t>úhrn charakteristických vlastností podávaného inhibítora</w:t>
      </w:r>
      <w:r w:rsidRPr="0063664A">
        <w:rPr>
          <w:bCs/>
          <w:sz w:val="22"/>
          <w:szCs w:val="22"/>
          <w:lang w:val="sk-SK"/>
        </w:rPr>
        <w:t xml:space="preserve"> CYP3A4). Súbežné podávanie rifabutínu a klaritromycínu spôsobilo zvýšenie sérovej hladiny rifabutínu a zníženie sérovej hladiny klaritromycínu </w:t>
      </w:r>
      <w:r w:rsidRPr="0063664A">
        <w:rPr>
          <w:bCs/>
          <w:iCs/>
          <w:sz w:val="22"/>
          <w:szCs w:val="22"/>
          <w:lang w:val="sk-SK"/>
        </w:rPr>
        <w:t>a následne zvýšené riziko</w:t>
      </w:r>
      <w:r w:rsidRPr="0063664A">
        <w:rPr>
          <w:bCs/>
          <w:sz w:val="22"/>
          <w:szCs w:val="22"/>
          <w:lang w:val="sk-SK"/>
        </w:rPr>
        <w:t xml:space="preserve"> vzniku uveitídy.</w:t>
      </w:r>
    </w:p>
    <w:bookmarkEnd w:id="16"/>
    <w:p w14:paraId="234C77E0" w14:textId="77777777" w:rsidR="0065586B" w:rsidRPr="0063664A" w:rsidRDefault="0065586B" w:rsidP="002672E5">
      <w:pPr>
        <w:autoSpaceDE w:val="0"/>
        <w:autoSpaceDN w:val="0"/>
        <w:adjustRightInd w:val="0"/>
        <w:rPr>
          <w:bCs/>
          <w:sz w:val="22"/>
          <w:szCs w:val="22"/>
          <w:lang w:val="sk-SK"/>
        </w:rPr>
      </w:pPr>
    </w:p>
    <w:p w14:paraId="479FA132" w14:textId="77777777" w:rsidR="0065586B" w:rsidRPr="0063664A" w:rsidRDefault="0065586B" w:rsidP="002672E5">
      <w:pPr>
        <w:autoSpaceDE w:val="0"/>
        <w:autoSpaceDN w:val="0"/>
        <w:adjustRightInd w:val="0"/>
        <w:rPr>
          <w:sz w:val="22"/>
          <w:szCs w:val="22"/>
          <w:lang w:val="sk-SK"/>
        </w:rPr>
      </w:pPr>
      <w:r w:rsidRPr="0063664A">
        <w:rPr>
          <w:sz w:val="22"/>
          <w:szCs w:val="22"/>
          <w:lang w:val="sk-SK"/>
        </w:rPr>
        <w:t>O nasledujúcich liečivách je známe alebo sa predpokladá, že ovplyvňujú koncentrácie cirkulujúceho klaritromycínu. Môže byť potrebná úprava dávkovania klaritromycínu alebo zváženie alternatívnej liečby.</w:t>
      </w:r>
    </w:p>
    <w:p w14:paraId="51F7C651" w14:textId="77777777" w:rsidR="0065586B" w:rsidRPr="0063664A" w:rsidRDefault="0065586B" w:rsidP="002672E5">
      <w:pPr>
        <w:autoSpaceDE w:val="0"/>
        <w:autoSpaceDN w:val="0"/>
        <w:adjustRightInd w:val="0"/>
        <w:rPr>
          <w:bCs/>
          <w:sz w:val="22"/>
          <w:szCs w:val="22"/>
          <w:lang w:val="sk-SK"/>
        </w:rPr>
      </w:pPr>
    </w:p>
    <w:p w14:paraId="297FF262" w14:textId="77777777" w:rsidR="0065586B" w:rsidRPr="0063664A" w:rsidRDefault="0065586B" w:rsidP="009B7F59">
      <w:pPr>
        <w:keepNext/>
        <w:autoSpaceDE w:val="0"/>
        <w:autoSpaceDN w:val="0"/>
        <w:adjustRightInd w:val="0"/>
        <w:rPr>
          <w:bCs/>
          <w:sz w:val="22"/>
          <w:szCs w:val="22"/>
          <w:u w:val="single"/>
          <w:lang w:val="sk-SK"/>
        </w:rPr>
      </w:pPr>
      <w:r w:rsidRPr="0063664A">
        <w:rPr>
          <w:bCs/>
          <w:sz w:val="22"/>
          <w:szCs w:val="22"/>
          <w:u w:val="single"/>
          <w:lang w:val="sk-SK"/>
        </w:rPr>
        <w:t>Efavirenz, nevirapín, rifampicín, rifabutín a rifapentín</w:t>
      </w:r>
    </w:p>
    <w:p w14:paraId="2C827517" w14:textId="77777777" w:rsidR="0065586B" w:rsidRPr="0063664A" w:rsidRDefault="0065586B" w:rsidP="002672E5">
      <w:pPr>
        <w:autoSpaceDE w:val="0"/>
        <w:autoSpaceDN w:val="0"/>
        <w:adjustRightInd w:val="0"/>
        <w:rPr>
          <w:bCs/>
          <w:sz w:val="22"/>
          <w:szCs w:val="22"/>
          <w:lang w:val="sk-SK"/>
        </w:rPr>
      </w:pPr>
      <w:r w:rsidRPr="0063664A">
        <w:rPr>
          <w:bCs/>
          <w:sz w:val="22"/>
          <w:szCs w:val="22"/>
          <w:lang w:val="sk-SK"/>
        </w:rPr>
        <w:t xml:space="preserve">Silné induktory metabolického systému cytochrómu P450 ako efavirenz, nevirapín, rifampicín, rifabutín a rifapentín môžu urýchľovať metabolizmus klaritromycínu, a tak znižovať plazmatické koncentrácie klaritromycínu, </w:t>
      </w:r>
      <w:r w:rsidRPr="0063664A">
        <w:rPr>
          <w:bCs/>
          <w:iCs/>
          <w:sz w:val="22"/>
          <w:szCs w:val="22"/>
          <w:lang w:val="sk-SK"/>
        </w:rPr>
        <w:t>pri sú</w:t>
      </w:r>
      <w:r w:rsidR="001D0E2E" w:rsidRPr="0063664A">
        <w:rPr>
          <w:bCs/>
          <w:iCs/>
          <w:sz w:val="22"/>
          <w:szCs w:val="22"/>
          <w:lang w:val="sk-SK"/>
        </w:rPr>
        <w:t>bež</w:t>
      </w:r>
      <w:r w:rsidRPr="0063664A">
        <w:rPr>
          <w:bCs/>
          <w:iCs/>
          <w:sz w:val="22"/>
          <w:szCs w:val="22"/>
          <w:lang w:val="sk-SK"/>
        </w:rPr>
        <w:t xml:space="preserve">nom zvyšovaní koncentrácií </w:t>
      </w:r>
      <w:r w:rsidRPr="0063664A">
        <w:rPr>
          <w:bCs/>
          <w:sz w:val="22"/>
          <w:szCs w:val="22"/>
          <w:lang w:val="sk-SK"/>
        </w:rPr>
        <w:t xml:space="preserve">14-hydroxyklaritromycínu, metabolitu, ktorý je tiež mikrobiologicky účinný. Keďže mikrobiologické účinky klaritromycínu a 14-hydroxyklaritromycínu </w:t>
      </w:r>
      <w:r w:rsidRPr="0063664A">
        <w:rPr>
          <w:bCs/>
          <w:iCs/>
          <w:sz w:val="22"/>
          <w:szCs w:val="22"/>
          <w:lang w:val="sk-SK"/>
        </w:rPr>
        <w:t xml:space="preserve">na rôzne baktérie sú </w:t>
      </w:r>
      <w:r w:rsidRPr="0063664A">
        <w:rPr>
          <w:bCs/>
          <w:sz w:val="22"/>
          <w:szCs w:val="22"/>
          <w:lang w:val="sk-SK"/>
        </w:rPr>
        <w:t xml:space="preserve">odlišné, </w:t>
      </w:r>
      <w:r w:rsidRPr="0063664A">
        <w:rPr>
          <w:bCs/>
          <w:iCs/>
          <w:sz w:val="22"/>
          <w:szCs w:val="22"/>
          <w:lang w:val="sk-SK"/>
        </w:rPr>
        <w:t>zamýšľaný terapeutický účinok môže byť počas súbežného podávania klaritromycínu a induktorov enzýmov oslabený</w:t>
      </w:r>
      <w:r w:rsidRPr="0063664A">
        <w:rPr>
          <w:bCs/>
          <w:sz w:val="22"/>
          <w:szCs w:val="22"/>
          <w:lang w:val="sk-SK"/>
        </w:rPr>
        <w:t>.</w:t>
      </w:r>
    </w:p>
    <w:p w14:paraId="23D2C4E1" w14:textId="77777777" w:rsidR="0065586B" w:rsidRPr="0063664A" w:rsidRDefault="0065586B" w:rsidP="002672E5">
      <w:pPr>
        <w:autoSpaceDE w:val="0"/>
        <w:autoSpaceDN w:val="0"/>
        <w:adjustRightInd w:val="0"/>
        <w:rPr>
          <w:bCs/>
          <w:sz w:val="22"/>
          <w:szCs w:val="22"/>
          <w:u w:val="single"/>
          <w:lang w:val="sk-SK"/>
        </w:rPr>
      </w:pPr>
    </w:p>
    <w:p w14:paraId="67D7B730" w14:textId="77777777" w:rsidR="0065586B" w:rsidRPr="0063664A" w:rsidRDefault="0065586B" w:rsidP="009B7F59">
      <w:pPr>
        <w:keepNext/>
        <w:autoSpaceDE w:val="0"/>
        <w:autoSpaceDN w:val="0"/>
        <w:adjustRightInd w:val="0"/>
        <w:rPr>
          <w:bCs/>
          <w:sz w:val="22"/>
          <w:szCs w:val="22"/>
          <w:u w:val="single"/>
          <w:lang w:val="sk-SK"/>
        </w:rPr>
      </w:pPr>
      <w:r w:rsidRPr="0063664A">
        <w:rPr>
          <w:bCs/>
          <w:sz w:val="22"/>
          <w:szCs w:val="22"/>
          <w:u w:val="single"/>
          <w:lang w:val="sk-SK"/>
        </w:rPr>
        <w:t>Etravirín</w:t>
      </w:r>
    </w:p>
    <w:p w14:paraId="599BA944" w14:textId="77777777" w:rsidR="0065586B" w:rsidRPr="0063664A" w:rsidRDefault="0065586B" w:rsidP="002672E5">
      <w:pPr>
        <w:autoSpaceDE w:val="0"/>
        <w:autoSpaceDN w:val="0"/>
        <w:adjustRightInd w:val="0"/>
        <w:rPr>
          <w:bCs/>
          <w:sz w:val="22"/>
          <w:szCs w:val="22"/>
          <w:lang w:val="sk-SK"/>
        </w:rPr>
      </w:pPr>
      <w:r w:rsidRPr="0063664A">
        <w:rPr>
          <w:sz w:val="22"/>
          <w:szCs w:val="22"/>
          <w:lang w:val="sk-SK"/>
        </w:rPr>
        <w:t xml:space="preserve">Etravirín znižuje expozíciu klaritromycínom, avšak koncentrácia účinného metabolitu, 14-hydroxyklaritromycínu, sa zvyšuje. Keďže 14-hydroxyklaritromycín znižuje účinok proti </w:t>
      </w:r>
      <w:r w:rsidRPr="0063664A">
        <w:rPr>
          <w:i/>
          <w:sz w:val="22"/>
          <w:szCs w:val="22"/>
          <w:lang w:val="sk-SK"/>
        </w:rPr>
        <w:t>Mycobacterium avium complex</w:t>
      </w:r>
      <w:r w:rsidRPr="0063664A">
        <w:rPr>
          <w:sz w:val="22"/>
          <w:szCs w:val="22"/>
          <w:lang w:val="sk-SK"/>
        </w:rPr>
        <w:t xml:space="preserve"> (MAC), </w:t>
      </w:r>
      <w:r w:rsidRPr="0063664A">
        <w:rPr>
          <w:bCs/>
          <w:sz w:val="22"/>
          <w:szCs w:val="22"/>
          <w:lang w:val="sk-SK"/>
        </w:rPr>
        <w:t>celkový účinok proti tomuto patogénu sa môže zmeniť. Pri liečbe MAC je preto potrebné zvážiť alternatívnu liečbu.</w:t>
      </w:r>
    </w:p>
    <w:p w14:paraId="43B98712" w14:textId="77777777" w:rsidR="0065586B" w:rsidRPr="0063664A" w:rsidRDefault="0065586B" w:rsidP="002672E5">
      <w:pPr>
        <w:autoSpaceDE w:val="0"/>
        <w:autoSpaceDN w:val="0"/>
        <w:adjustRightInd w:val="0"/>
        <w:rPr>
          <w:bCs/>
          <w:sz w:val="22"/>
          <w:szCs w:val="22"/>
          <w:u w:val="single"/>
          <w:lang w:val="sk-SK"/>
        </w:rPr>
      </w:pPr>
    </w:p>
    <w:p w14:paraId="3F7F908F" w14:textId="77777777" w:rsidR="0065586B" w:rsidRPr="0063664A" w:rsidRDefault="0065586B" w:rsidP="009B7F59">
      <w:pPr>
        <w:keepNext/>
        <w:autoSpaceDE w:val="0"/>
        <w:autoSpaceDN w:val="0"/>
        <w:adjustRightInd w:val="0"/>
        <w:rPr>
          <w:bCs/>
          <w:sz w:val="22"/>
          <w:szCs w:val="22"/>
          <w:u w:val="single"/>
          <w:lang w:val="sk-SK"/>
        </w:rPr>
      </w:pPr>
      <w:r w:rsidRPr="0063664A">
        <w:rPr>
          <w:bCs/>
          <w:sz w:val="22"/>
          <w:szCs w:val="22"/>
          <w:u w:val="single"/>
          <w:lang w:val="sk-SK"/>
        </w:rPr>
        <w:t>Flukonazol</w:t>
      </w:r>
    </w:p>
    <w:p w14:paraId="1BD9A1AE" w14:textId="77777777" w:rsidR="0065586B" w:rsidRPr="0063664A" w:rsidRDefault="0065586B" w:rsidP="002672E5">
      <w:pPr>
        <w:pStyle w:val="Zkladntext"/>
        <w:suppressAutoHyphens/>
        <w:jc w:val="left"/>
        <w:rPr>
          <w:sz w:val="22"/>
          <w:szCs w:val="22"/>
          <w:lang w:val="sk-SK"/>
        </w:rPr>
      </w:pPr>
      <w:r w:rsidRPr="0063664A">
        <w:rPr>
          <w:sz w:val="22"/>
          <w:szCs w:val="22"/>
          <w:lang w:val="sk-SK"/>
        </w:rPr>
        <w:t>Súbežné podávanie flukonazolu v dávke 200 mg denne a klaritromycínu v dávke 500 mg dvakrát denne 21 zdravým dobrovoľníkom viedlo k zvýšeniu priemerných minimálnych koncentrácií klaritromycínu v rovnovážnom stave (C</w:t>
      </w:r>
      <w:r w:rsidRPr="0063664A">
        <w:rPr>
          <w:sz w:val="22"/>
          <w:szCs w:val="22"/>
          <w:vertAlign w:val="subscript"/>
          <w:lang w:val="sk-SK"/>
        </w:rPr>
        <w:t>min</w:t>
      </w:r>
      <w:r w:rsidRPr="0063664A">
        <w:rPr>
          <w:sz w:val="22"/>
          <w:szCs w:val="22"/>
          <w:lang w:val="sk-SK"/>
        </w:rPr>
        <w:t>) o 33 % a plochy pod krivkou (AUC) o 18 %. Súbežné podávanie flukonazolu výrazne neovplyvnilo rovnovážne koncentrácie účinného metabolitu, 14-hydroxyklaritromycínu. Nie je potrebná úprava dávky klaritromycínu.</w:t>
      </w:r>
    </w:p>
    <w:p w14:paraId="071C60FD" w14:textId="77777777" w:rsidR="0065586B" w:rsidRPr="0063664A" w:rsidRDefault="0065586B" w:rsidP="002672E5">
      <w:pPr>
        <w:pStyle w:val="BodySingle"/>
        <w:rPr>
          <w:sz w:val="22"/>
          <w:szCs w:val="22"/>
        </w:rPr>
      </w:pPr>
    </w:p>
    <w:p w14:paraId="66C1760A" w14:textId="77777777" w:rsidR="0065586B" w:rsidRPr="0063664A" w:rsidRDefault="0065586B" w:rsidP="009B7F59">
      <w:pPr>
        <w:pStyle w:val="BodySingle"/>
        <w:keepNext/>
        <w:rPr>
          <w:sz w:val="22"/>
          <w:szCs w:val="22"/>
          <w:u w:val="single"/>
        </w:rPr>
      </w:pPr>
      <w:r w:rsidRPr="0063664A">
        <w:rPr>
          <w:sz w:val="22"/>
          <w:szCs w:val="22"/>
          <w:u w:val="single"/>
        </w:rPr>
        <w:t>Ritonavir</w:t>
      </w:r>
    </w:p>
    <w:p w14:paraId="26DA5D50" w14:textId="77777777" w:rsidR="0065586B" w:rsidRPr="0063664A" w:rsidRDefault="0065586B" w:rsidP="002672E5">
      <w:pPr>
        <w:rPr>
          <w:sz w:val="22"/>
          <w:szCs w:val="22"/>
          <w:lang w:val="sk-SK"/>
        </w:rPr>
      </w:pPr>
      <w:r w:rsidRPr="0063664A">
        <w:rPr>
          <w:sz w:val="22"/>
          <w:szCs w:val="22"/>
          <w:lang w:val="sk-SK"/>
        </w:rPr>
        <w:t>Farmakokinetická štúdia preukázala, že súbežné podávanie 200 mg ritonaviru každých 8 hodín a 500 mg klaritromycínu každých 12 hodín viedlo k výraznej inhibícii metabolizmu klaritromycínu. Pri súbežnom podávaní ritonaviru sa C</w:t>
      </w:r>
      <w:r w:rsidRPr="0063664A">
        <w:rPr>
          <w:sz w:val="22"/>
          <w:szCs w:val="22"/>
          <w:vertAlign w:val="subscript"/>
          <w:lang w:val="sk-SK"/>
        </w:rPr>
        <w:t>max</w:t>
      </w:r>
      <w:r w:rsidRPr="0063664A">
        <w:rPr>
          <w:sz w:val="22"/>
          <w:szCs w:val="22"/>
          <w:lang w:val="sk-SK"/>
        </w:rPr>
        <w:t xml:space="preserve"> klaritromycínu zvýšila o 31 %, C</w:t>
      </w:r>
      <w:r w:rsidRPr="0063664A">
        <w:rPr>
          <w:sz w:val="22"/>
          <w:szCs w:val="22"/>
          <w:vertAlign w:val="subscript"/>
          <w:lang w:val="sk-SK"/>
        </w:rPr>
        <w:t>min</w:t>
      </w:r>
      <w:r w:rsidRPr="0063664A">
        <w:rPr>
          <w:sz w:val="22"/>
          <w:szCs w:val="22"/>
          <w:lang w:val="sk-SK"/>
        </w:rPr>
        <w:t xml:space="preserve"> o 182 % a AUC o 77 %. Zaznamenala sa takmer úplná inhibícia tvorby 14-hydroxyklaritromycínu. Vzhľadom na široký rozsah terapeutických dávok klaritromycínu zníženie dávky u pacientov s normálnou funkciou obličiek nie je potrebné. Avšak u pacientov s poruchou funkcie obličiek sa má zvážiť nasledujúca úprava dávkovania: u pacientov s klírensom kreatinínu </w:t>
      </w:r>
      <w:r w:rsidR="00243975" w:rsidRPr="0063664A">
        <w:rPr>
          <w:sz w:val="22"/>
          <w:szCs w:val="22"/>
          <w:lang w:val="sk-SK"/>
        </w:rPr>
        <w:t>0,5</w:t>
      </w:r>
      <w:r w:rsidRPr="0063664A">
        <w:rPr>
          <w:sz w:val="22"/>
          <w:szCs w:val="22"/>
          <w:lang w:val="sk-SK"/>
        </w:rPr>
        <w:t xml:space="preserve"> až </w:t>
      </w:r>
      <w:r w:rsidR="00243975" w:rsidRPr="0063664A">
        <w:rPr>
          <w:sz w:val="22"/>
          <w:szCs w:val="22"/>
          <w:lang w:val="sk-SK"/>
        </w:rPr>
        <w:t>1</w:t>
      </w:r>
      <w:r w:rsidRPr="0063664A">
        <w:rPr>
          <w:sz w:val="22"/>
          <w:szCs w:val="22"/>
          <w:lang w:val="sk-SK"/>
        </w:rPr>
        <w:t> ml/</w:t>
      </w:r>
      <w:r w:rsidR="00243975" w:rsidRPr="0063664A">
        <w:rPr>
          <w:sz w:val="22"/>
          <w:szCs w:val="22"/>
          <w:lang w:val="sk-SK"/>
        </w:rPr>
        <w:t>s</w:t>
      </w:r>
      <w:r w:rsidRPr="0063664A">
        <w:rPr>
          <w:sz w:val="22"/>
          <w:szCs w:val="22"/>
          <w:lang w:val="sk-SK"/>
        </w:rPr>
        <w:t xml:space="preserve"> sa má dávka klaritromycínu znížiť o 50 % a u pacientov s klírensom kreatinínu &lt; </w:t>
      </w:r>
      <w:r w:rsidR="00243975" w:rsidRPr="0063664A">
        <w:rPr>
          <w:sz w:val="22"/>
          <w:szCs w:val="22"/>
          <w:lang w:val="sk-SK"/>
        </w:rPr>
        <w:t>0,5</w:t>
      </w:r>
      <w:r w:rsidRPr="0063664A">
        <w:rPr>
          <w:sz w:val="22"/>
          <w:szCs w:val="22"/>
          <w:lang w:val="sk-SK"/>
        </w:rPr>
        <w:t xml:space="preserve"> ml/</w:t>
      </w:r>
      <w:r w:rsidR="00243975" w:rsidRPr="0063664A">
        <w:rPr>
          <w:sz w:val="22"/>
          <w:szCs w:val="22"/>
          <w:lang w:val="sk-SK"/>
        </w:rPr>
        <w:t>s</w:t>
      </w:r>
      <w:r w:rsidRPr="0063664A">
        <w:rPr>
          <w:sz w:val="22"/>
          <w:szCs w:val="22"/>
          <w:lang w:val="sk-SK"/>
        </w:rPr>
        <w:t xml:space="preserve"> sa má dávka klaritromycínu znížiť o 75 %. Dávky klaritromycínu vyššie ako 1 g/deň sa nemajú podávať súbežne s ritonavirom.</w:t>
      </w:r>
    </w:p>
    <w:p w14:paraId="223A8D52" w14:textId="77777777" w:rsidR="0065586B" w:rsidRPr="0063664A" w:rsidRDefault="0065586B" w:rsidP="002672E5">
      <w:pPr>
        <w:rPr>
          <w:sz w:val="22"/>
          <w:szCs w:val="22"/>
          <w:lang w:val="sk-SK"/>
        </w:rPr>
      </w:pPr>
    </w:p>
    <w:p w14:paraId="3B4C52AA" w14:textId="77777777" w:rsidR="0065586B" w:rsidRPr="0063664A" w:rsidRDefault="0065586B" w:rsidP="002672E5">
      <w:pPr>
        <w:rPr>
          <w:sz w:val="22"/>
          <w:szCs w:val="22"/>
          <w:lang w:val="sk-SK"/>
        </w:rPr>
      </w:pPr>
      <w:r w:rsidRPr="0063664A">
        <w:rPr>
          <w:sz w:val="22"/>
          <w:szCs w:val="22"/>
          <w:lang w:val="sk-SK"/>
        </w:rPr>
        <w:t>Podobná úprava dávkovania sa má zvážiť u pacientov so zníženou funkciou obličiek v prípade, keď sa ritonavir používa na zlepšenie farmakokinetiky s inými inhibítormi HIV proteázy vrátane atazanaviru a sachinaviru (pozri časť „Obojsmerné liekové interakcie“ uvedenú nižšie).</w:t>
      </w:r>
    </w:p>
    <w:p w14:paraId="7A0C0F5B" w14:textId="77777777" w:rsidR="0065586B" w:rsidRPr="0063664A" w:rsidRDefault="0065586B" w:rsidP="002672E5">
      <w:pPr>
        <w:autoSpaceDE w:val="0"/>
        <w:autoSpaceDN w:val="0"/>
        <w:adjustRightInd w:val="0"/>
        <w:rPr>
          <w:bCs/>
          <w:sz w:val="22"/>
          <w:szCs w:val="22"/>
          <w:u w:val="single"/>
          <w:lang w:val="sk-SK"/>
        </w:rPr>
      </w:pPr>
    </w:p>
    <w:p w14:paraId="3BB620D4" w14:textId="77777777" w:rsidR="0065586B" w:rsidRPr="0063664A" w:rsidRDefault="0065586B" w:rsidP="009B7F59">
      <w:pPr>
        <w:keepNext/>
        <w:autoSpaceDE w:val="0"/>
        <w:autoSpaceDN w:val="0"/>
        <w:adjustRightInd w:val="0"/>
        <w:rPr>
          <w:b/>
          <w:bCs/>
          <w:iCs/>
          <w:sz w:val="22"/>
          <w:szCs w:val="22"/>
          <w:lang w:val="sk-SK"/>
        </w:rPr>
      </w:pPr>
      <w:r w:rsidRPr="0063664A">
        <w:rPr>
          <w:b/>
          <w:bCs/>
          <w:sz w:val="22"/>
          <w:szCs w:val="22"/>
          <w:lang w:val="sk-SK"/>
        </w:rPr>
        <w:t>Vplyv</w:t>
      </w:r>
      <w:r w:rsidRPr="0063664A">
        <w:rPr>
          <w:b/>
          <w:bCs/>
          <w:iCs/>
          <w:sz w:val="22"/>
          <w:szCs w:val="22"/>
          <w:lang w:val="sk-SK"/>
        </w:rPr>
        <w:t xml:space="preserve"> klaritromycínu na iné lieky</w:t>
      </w:r>
    </w:p>
    <w:p w14:paraId="551627C7" w14:textId="77777777" w:rsidR="0065586B" w:rsidRPr="0063664A" w:rsidRDefault="0065586B" w:rsidP="009B7F59">
      <w:pPr>
        <w:pStyle w:val="BodySingle"/>
        <w:keepNext/>
        <w:rPr>
          <w:sz w:val="22"/>
          <w:szCs w:val="22"/>
        </w:rPr>
      </w:pPr>
    </w:p>
    <w:p w14:paraId="4E00D110" w14:textId="77777777" w:rsidR="0065586B" w:rsidRPr="0063664A" w:rsidRDefault="0065586B" w:rsidP="009B7F59">
      <w:pPr>
        <w:keepNext/>
        <w:autoSpaceDE w:val="0"/>
        <w:autoSpaceDN w:val="0"/>
        <w:adjustRightInd w:val="0"/>
        <w:rPr>
          <w:bCs/>
          <w:iCs/>
          <w:sz w:val="22"/>
          <w:szCs w:val="22"/>
          <w:u w:val="single"/>
          <w:lang w:val="sk-SK"/>
        </w:rPr>
      </w:pPr>
      <w:r w:rsidRPr="0063664A">
        <w:rPr>
          <w:bCs/>
          <w:iCs/>
          <w:sz w:val="22"/>
          <w:szCs w:val="22"/>
          <w:u w:val="single"/>
          <w:lang w:val="sk-SK"/>
        </w:rPr>
        <w:t>Interakcie založené na CYP3A</w:t>
      </w:r>
    </w:p>
    <w:p w14:paraId="10612F81" w14:textId="77777777" w:rsidR="00426937" w:rsidRPr="0063664A" w:rsidRDefault="0065586B" w:rsidP="002672E5">
      <w:pPr>
        <w:autoSpaceDE w:val="0"/>
        <w:autoSpaceDN w:val="0"/>
        <w:adjustRightInd w:val="0"/>
        <w:rPr>
          <w:bCs/>
          <w:sz w:val="22"/>
          <w:szCs w:val="22"/>
          <w:lang w:val="sk-SK"/>
        </w:rPr>
      </w:pPr>
      <w:r w:rsidRPr="0063664A">
        <w:rPr>
          <w:bCs/>
          <w:sz w:val="22"/>
          <w:szCs w:val="22"/>
          <w:lang w:val="sk-SK"/>
        </w:rPr>
        <w:t>Súbežné podávanie klaritromycínu, o ktorom je známe, že inhibuje CYP3A, s liečivom metabolizovaným prevažne prostredníctvom CYP3A, sa môže spájať so</w:t>
      </w:r>
      <w:r w:rsidRPr="0063664A">
        <w:rPr>
          <w:sz w:val="22"/>
          <w:szCs w:val="22"/>
          <w:lang w:val="sk-SK"/>
        </w:rPr>
        <w:t> </w:t>
      </w:r>
      <w:r w:rsidRPr="0063664A">
        <w:rPr>
          <w:bCs/>
          <w:sz w:val="22"/>
          <w:szCs w:val="22"/>
          <w:lang w:val="sk-SK"/>
        </w:rPr>
        <w:t>zvýšením koncentrácie liečiva, čo môže zvýšiť alebo predĺžiť liečebné ako aj nežiaduce účinky súbežne podávaného liečiva.</w:t>
      </w:r>
    </w:p>
    <w:p w14:paraId="7B680F6C" w14:textId="77777777" w:rsidR="00426937" w:rsidRPr="0063664A" w:rsidRDefault="00426937" w:rsidP="002672E5">
      <w:pPr>
        <w:autoSpaceDE w:val="0"/>
        <w:autoSpaceDN w:val="0"/>
        <w:adjustRightInd w:val="0"/>
        <w:rPr>
          <w:bCs/>
          <w:sz w:val="22"/>
          <w:szCs w:val="22"/>
          <w:lang w:val="sk-SK"/>
        </w:rPr>
      </w:pPr>
    </w:p>
    <w:p w14:paraId="62249ED7" w14:textId="77777777" w:rsidR="00426937" w:rsidRPr="0063664A" w:rsidRDefault="00426937" w:rsidP="00426937">
      <w:pPr>
        <w:autoSpaceDE w:val="0"/>
        <w:autoSpaceDN w:val="0"/>
        <w:adjustRightInd w:val="0"/>
        <w:rPr>
          <w:bCs/>
          <w:sz w:val="22"/>
          <w:szCs w:val="22"/>
          <w:lang w:val="sk-SK"/>
        </w:rPr>
      </w:pPr>
      <w:bookmarkStart w:id="17" w:name="_Hlk2936256"/>
      <w:bookmarkStart w:id="18" w:name="_Hlk2937146"/>
      <w:r w:rsidRPr="0063664A">
        <w:rPr>
          <w:bCs/>
          <w:sz w:val="22"/>
          <w:szCs w:val="22"/>
          <w:lang w:val="sk-SK"/>
        </w:rPr>
        <w:lastRenderedPageBreak/>
        <w:t>Použitie klaritromycínu je kontraindikované u pacientov užívajúcich substráty enzýmu CYP3A astemizol, cisaprid, domperidón, pimozid a terfenadín kvôli riziku vzniku predĺženia QT intervalu a srdcových arytmií vrátane ventrikulárnej tachykardie, ventrikulárnej fibrilácie a torsades de pointes (pozri časti</w:t>
      </w:r>
      <w:r w:rsidR="008230A8" w:rsidRPr="0063664A">
        <w:rPr>
          <w:bCs/>
          <w:sz w:val="22"/>
          <w:szCs w:val="22"/>
          <w:lang w:val="sk-SK"/>
        </w:rPr>
        <w:t> </w:t>
      </w:r>
      <w:r w:rsidRPr="0063664A">
        <w:rPr>
          <w:bCs/>
          <w:sz w:val="22"/>
          <w:szCs w:val="22"/>
          <w:lang w:val="sk-SK"/>
        </w:rPr>
        <w:t>4.3 a 4.4).</w:t>
      </w:r>
    </w:p>
    <w:p w14:paraId="31EE7AA5" w14:textId="77777777" w:rsidR="00426937" w:rsidRPr="0063664A" w:rsidRDefault="00426937" w:rsidP="00426937">
      <w:pPr>
        <w:autoSpaceDE w:val="0"/>
        <w:autoSpaceDN w:val="0"/>
        <w:adjustRightInd w:val="0"/>
        <w:rPr>
          <w:bCs/>
          <w:sz w:val="22"/>
          <w:szCs w:val="22"/>
          <w:lang w:val="sk-SK"/>
        </w:rPr>
      </w:pPr>
    </w:p>
    <w:p w14:paraId="24E3CBEF" w14:textId="77777777" w:rsidR="00426937" w:rsidRPr="0063664A" w:rsidRDefault="00426937" w:rsidP="00426937">
      <w:pPr>
        <w:autoSpaceDE w:val="0"/>
        <w:autoSpaceDN w:val="0"/>
        <w:adjustRightInd w:val="0"/>
        <w:rPr>
          <w:bCs/>
          <w:sz w:val="22"/>
          <w:szCs w:val="22"/>
          <w:lang w:val="sk-SK"/>
        </w:rPr>
      </w:pPr>
      <w:r w:rsidRPr="0063664A">
        <w:rPr>
          <w:bCs/>
          <w:sz w:val="22"/>
          <w:szCs w:val="22"/>
          <w:lang w:val="sk-SK"/>
        </w:rPr>
        <w:t>Použitie klaritromycínu je tiež kontraindikované s námeľovými alkaloidmi, perorálnym midazolamom, inhibítormi HMG CoA reduktázy metabolizovanými hlavne enzýmom CYP3A4 ( napr. lovastatínom a simvastatínom), kolchicínom, tikagrelom a ranolazínom (pozri časť 4.3).</w:t>
      </w:r>
    </w:p>
    <w:p w14:paraId="521347F2" w14:textId="77777777" w:rsidR="00426937" w:rsidRPr="0063664A" w:rsidRDefault="00426937" w:rsidP="00426937">
      <w:pPr>
        <w:autoSpaceDE w:val="0"/>
        <w:autoSpaceDN w:val="0"/>
        <w:adjustRightInd w:val="0"/>
        <w:rPr>
          <w:bCs/>
          <w:sz w:val="22"/>
          <w:szCs w:val="22"/>
          <w:lang w:val="sk-SK"/>
        </w:rPr>
      </w:pPr>
    </w:p>
    <w:p w14:paraId="48BBEAA0" w14:textId="77777777" w:rsidR="00944FDF" w:rsidRPr="0063664A" w:rsidRDefault="00426937" w:rsidP="00426937">
      <w:pPr>
        <w:autoSpaceDE w:val="0"/>
        <w:autoSpaceDN w:val="0"/>
        <w:adjustRightInd w:val="0"/>
        <w:rPr>
          <w:bCs/>
          <w:sz w:val="22"/>
          <w:szCs w:val="22"/>
          <w:lang w:val="sk-SK"/>
        </w:rPr>
      </w:pPr>
      <w:r w:rsidRPr="0063664A">
        <w:rPr>
          <w:bCs/>
          <w:sz w:val="22"/>
          <w:szCs w:val="22"/>
          <w:lang w:val="sk-SK"/>
        </w:rPr>
        <w:t>Klaritromycín sa má používať s opatrnosťou ak sa súbežne podáva s inými liekmi, o ktorých je známe, že sú substrátmi enzýmu CYP3A, najmä ak má substrát CYP3A úzky bezpečnostný profil (napr. karbamazepín) a/alebo ak je substrát týmto enzýmom značne metabolizovaný. U pacientov súbežne užívajúcich klaritromycín sa môže zvážiť úprava dávkovania a </w:t>
      </w:r>
      <w:r w:rsidRPr="0063664A">
        <w:rPr>
          <w:bCs/>
          <w:iCs/>
          <w:sz w:val="22"/>
          <w:szCs w:val="22"/>
          <w:lang w:val="sk-SK"/>
        </w:rPr>
        <w:t xml:space="preserve">ak je to možné, </w:t>
      </w:r>
      <w:r w:rsidRPr="0063664A">
        <w:rPr>
          <w:bCs/>
          <w:sz w:val="22"/>
          <w:szCs w:val="22"/>
          <w:lang w:val="sk-SK"/>
        </w:rPr>
        <w:t xml:space="preserve">treba u týchto pacientov </w:t>
      </w:r>
      <w:r w:rsidRPr="0063664A">
        <w:rPr>
          <w:bCs/>
          <w:iCs/>
          <w:sz w:val="22"/>
          <w:szCs w:val="22"/>
          <w:lang w:val="sk-SK"/>
        </w:rPr>
        <w:t>sledovať sérové koncentrácie liečiv metabolizovaných prevažne prostredníctvom enzýmu CYP3A</w:t>
      </w:r>
      <w:r w:rsidRPr="0063664A">
        <w:rPr>
          <w:bCs/>
          <w:sz w:val="22"/>
          <w:szCs w:val="22"/>
          <w:lang w:val="sk-SK"/>
        </w:rPr>
        <w:t>.</w:t>
      </w:r>
    </w:p>
    <w:p w14:paraId="6C24E28D" w14:textId="77777777" w:rsidR="00944FDF" w:rsidRPr="0063664A" w:rsidRDefault="00944FDF" w:rsidP="00426937">
      <w:pPr>
        <w:autoSpaceDE w:val="0"/>
        <w:autoSpaceDN w:val="0"/>
        <w:adjustRightInd w:val="0"/>
        <w:rPr>
          <w:bCs/>
          <w:sz w:val="22"/>
          <w:szCs w:val="22"/>
          <w:lang w:val="sk-SK"/>
        </w:rPr>
      </w:pPr>
    </w:p>
    <w:p w14:paraId="5E1420AD" w14:textId="77777777" w:rsidR="00426937" w:rsidRPr="0063664A" w:rsidRDefault="00426937" w:rsidP="00426937">
      <w:pPr>
        <w:autoSpaceDE w:val="0"/>
        <w:autoSpaceDN w:val="0"/>
        <w:adjustRightInd w:val="0"/>
        <w:rPr>
          <w:bCs/>
          <w:sz w:val="22"/>
          <w:szCs w:val="22"/>
          <w:lang w:val="sk-SK"/>
        </w:rPr>
      </w:pPr>
      <w:r w:rsidRPr="0063664A">
        <w:rPr>
          <w:bCs/>
          <w:sz w:val="22"/>
          <w:szCs w:val="22"/>
          <w:lang w:val="sk-SK"/>
        </w:rPr>
        <w:t>Liečivá alebo skupiny liečiv, o ktorých je známe alebo sa predpokladá, že sú metabolizované rovnakým izoenzýmom CYP3A zahŕňajú (ale tento zoznam nie je úplný) alprazolam, karbamazepín, cilostazol, cyklosporín, disopyramid, ibrutinib, metylprednisolón, midazolam (intravenózny), omeprazol, perorálne antikoagulan</w:t>
      </w:r>
      <w:r w:rsidR="00CB36D7" w:rsidRPr="0063664A">
        <w:rPr>
          <w:bCs/>
          <w:sz w:val="22"/>
          <w:szCs w:val="22"/>
          <w:lang w:val="sk-SK"/>
        </w:rPr>
        <w:t>ciá</w:t>
      </w:r>
      <w:r w:rsidRPr="0063664A">
        <w:rPr>
          <w:bCs/>
          <w:sz w:val="22"/>
          <w:szCs w:val="22"/>
          <w:lang w:val="sk-SK"/>
        </w:rPr>
        <w:t xml:space="preserve"> (napríklad warfarín), atypické antipsychotiká (napríklad kvetiapín), chinidín, rifabutín, sildenafil, sirolimus, takrolimus, triazolam a vinblastín.</w:t>
      </w:r>
      <w:bookmarkEnd w:id="17"/>
    </w:p>
    <w:bookmarkEnd w:id="18"/>
    <w:p w14:paraId="45366497" w14:textId="77777777" w:rsidR="0065586B" w:rsidRPr="0063664A" w:rsidRDefault="0065586B" w:rsidP="002672E5">
      <w:pPr>
        <w:autoSpaceDE w:val="0"/>
        <w:autoSpaceDN w:val="0"/>
        <w:adjustRightInd w:val="0"/>
        <w:rPr>
          <w:bCs/>
          <w:sz w:val="22"/>
          <w:szCs w:val="22"/>
          <w:lang w:val="sk-SK"/>
        </w:rPr>
      </w:pPr>
    </w:p>
    <w:p w14:paraId="52BDC33B" w14:textId="77777777" w:rsidR="0065586B" w:rsidRPr="0063664A" w:rsidRDefault="0065586B" w:rsidP="002672E5">
      <w:pPr>
        <w:autoSpaceDE w:val="0"/>
        <w:autoSpaceDN w:val="0"/>
        <w:adjustRightInd w:val="0"/>
        <w:rPr>
          <w:sz w:val="22"/>
          <w:szCs w:val="22"/>
          <w:lang w:val="sk-SK"/>
        </w:rPr>
      </w:pPr>
      <w:r w:rsidRPr="0063664A">
        <w:rPr>
          <w:sz w:val="22"/>
          <w:szCs w:val="22"/>
          <w:lang w:val="sk-SK"/>
        </w:rPr>
        <w:t>Podobný mechanizmus interakcií, na ktorom sa zúčastňujú iné izoenzýmy systému cytochrómu P450, sa uplatňuje u</w:t>
      </w:r>
      <w:r w:rsidR="00CB36D7" w:rsidRPr="0063664A">
        <w:rPr>
          <w:sz w:val="22"/>
          <w:szCs w:val="22"/>
          <w:lang w:val="sk-SK"/>
        </w:rPr>
        <w:t> </w:t>
      </w:r>
      <w:r w:rsidRPr="0063664A">
        <w:rPr>
          <w:sz w:val="22"/>
          <w:szCs w:val="22"/>
          <w:lang w:val="sk-SK"/>
        </w:rPr>
        <w:t>fenytoínu, teofylínu a</w:t>
      </w:r>
      <w:r w:rsidR="00CB36D7" w:rsidRPr="0063664A">
        <w:rPr>
          <w:sz w:val="22"/>
          <w:szCs w:val="22"/>
          <w:lang w:val="sk-SK"/>
        </w:rPr>
        <w:t> </w:t>
      </w:r>
      <w:r w:rsidRPr="0063664A">
        <w:rPr>
          <w:sz w:val="22"/>
          <w:szCs w:val="22"/>
          <w:lang w:val="sk-SK"/>
        </w:rPr>
        <w:t>valproátu.</w:t>
      </w:r>
    </w:p>
    <w:p w14:paraId="54F7881F" w14:textId="77777777" w:rsidR="0065586B" w:rsidRPr="0063664A" w:rsidRDefault="0065586B" w:rsidP="002672E5">
      <w:pPr>
        <w:autoSpaceDE w:val="0"/>
        <w:autoSpaceDN w:val="0"/>
        <w:adjustRightInd w:val="0"/>
        <w:rPr>
          <w:sz w:val="22"/>
          <w:szCs w:val="22"/>
          <w:u w:val="single"/>
          <w:lang w:val="sk-SK"/>
        </w:rPr>
      </w:pPr>
    </w:p>
    <w:p w14:paraId="372DF75C" w14:textId="77777777" w:rsidR="0065586B" w:rsidRPr="0063664A" w:rsidRDefault="0065586B" w:rsidP="009B7F59">
      <w:pPr>
        <w:keepNext/>
        <w:autoSpaceDE w:val="0"/>
        <w:autoSpaceDN w:val="0"/>
        <w:adjustRightInd w:val="0"/>
        <w:rPr>
          <w:sz w:val="22"/>
          <w:szCs w:val="22"/>
          <w:u w:val="single"/>
          <w:lang w:val="sk-SK"/>
        </w:rPr>
      </w:pPr>
      <w:r w:rsidRPr="0063664A">
        <w:rPr>
          <w:sz w:val="22"/>
          <w:szCs w:val="22"/>
          <w:u w:val="single"/>
          <w:lang w:val="sk-SK"/>
        </w:rPr>
        <w:t>Antiarytmiká</w:t>
      </w:r>
    </w:p>
    <w:p w14:paraId="7977660D" w14:textId="77777777" w:rsidR="0065586B" w:rsidRPr="0063664A" w:rsidRDefault="0065586B" w:rsidP="002672E5">
      <w:pPr>
        <w:rPr>
          <w:sz w:val="22"/>
          <w:szCs w:val="22"/>
          <w:lang w:val="sk-SK"/>
        </w:rPr>
      </w:pPr>
      <w:r w:rsidRPr="0063664A">
        <w:rPr>
          <w:sz w:val="22"/>
          <w:szCs w:val="22"/>
          <w:lang w:val="sk-SK"/>
        </w:rPr>
        <w:t xml:space="preserve">Pri súbežnom užívaní klaritromycínu a chinidínu alebo dizopyramidu boli po uvedení lieku na trh hlásené prípady </w:t>
      </w:r>
      <w:r w:rsidRPr="0063664A">
        <w:rPr>
          <w:i/>
          <w:sz w:val="22"/>
          <w:szCs w:val="22"/>
          <w:lang w:val="sk-SK"/>
        </w:rPr>
        <w:t>torsades de pointes</w:t>
      </w:r>
      <w:r w:rsidRPr="0063664A">
        <w:rPr>
          <w:sz w:val="22"/>
          <w:szCs w:val="22"/>
          <w:lang w:val="sk-SK"/>
        </w:rPr>
        <w:t xml:space="preserve">. </w:t>
      </w:r>
      <w:r w:rsidRPr="0063664A">
        <w:rPr>
          <w:bCs/>
          <w:sz w:val="22"/>
          <w:szCs w:val="22"/>
          <w:lang w:val="sk-SK"/>
        </w:rPr>
        <w:t xml:space="preserve">Počas súbežného podávania klaritromycínu s týmito liečivami sa má sledovať EKG kvôli predĺženiu QT intervalu. </w:t>
      </w:r>
      <w:r w:rsidRPr="0063664A">
        <w:rPr>
          <w:sz w:val="22"/>
          <w:szCs w:val="22"/>
          <w:lang w:val="sk-SK"/>
        </w:rPr>
        <w:t>Počas liečby klaritromycínom sa majú sledovať sérové koncentrácie chinidínu a dizopyramidu.</w:t>
      </w:r>
    </w:p>
    <w:p w14:paraId="7492F48F" w14:textId="77777777" w:rsidR="0065586B" w:rsidRPr="0063664A" w:rsidRDefault="0065586B" w:rsidP="002672E5">
      <w:pPr>
        <w:rPr>
          <w:sz w:val="22"/>
          <w:szCs w:val="22"/>
          <w:lang w:val="sk-SK"/>
        </w:rPr>
      </w:pPr>
    </w:p>
    <w:p w14:paraId="44BD0B42" w14:textId="77777777" w:rsidR="0065586B" w:rsidRPr="0063664A" w:rsidRDefault="0065586B" w:rsidP="002672E5">
      <w:pPr>
        <w:rPr>
          <w:sz w:val="22"/>
          <w:szCs w:val="22"/>
          <w:lang w:val="sk-SK"/>
        </w:rPr>
      </w:pPr>
      <w:r w:rsidRPr="0063664A">
        <w:rPr>
          <w:sz w:val="22"/>
          <w:szCs w:val="22"/>
          <w:lang w:val="sk-SK"/>
        </w:rPr>
        <w:t>Pri súbežnom užívaní klaritromycínu a dizopyramidu sa po uvedení lieku na trh hlásili prípady hypoglykémie. Preto sa počas súbežného užívania klaritromycínu a dizopyramidu má sledovať hladina glukózy v krvi.</w:t>
      </w:r>
    </w:p>
    <w:p w14:paraId="2365BFD1" w14:textId="77777777" w:rsidR="0065586B" w:rsidRPr="0063664A" w:rsidRDefault="0065586B" w:rsidP="002672E5">
      <w:pPr>
        <w:rPr>
          <w:sz w:val="22"/>
          <w:szCs w:val="22"/>
          <w:lang w:val="sk-SK"/>
        </w:rPr>
      </w:pPr>
    </w:p>
    <w:p w14:paraId="117C6A6E" w14:textId="77777777" w:rsidR="0065586B" w:rsidRPr="0063664A" w:rsidRDefault="0065586B" w:rsidP="009B7F59">
      <w:pPr>
        <w:keepNext/>
        <w:rPr>
          <w:sz w:val="22"/>
          <w:szCs w:val="22"/>
          <w:lang w:val="sk-SK"/>
        </w:rPr>
      </w:pPr>
      <w:r w:rsidRPr="0063664A">
        <w:rPr>
          <w:sz w:val="22"/>
          <w:szCs w:val="22"/>
          <w:u w:val="single"/>
          <w:lang w:val="sk-SK"/>
        </w:rPr>
        <w:t>Perorálne antidiabetiká/inzulín</w:t>
      </w:r>
    </w:p>
    <w:p w14:paraId="6D0BA598" w14:textId="77777777" w:rsidR="0065586B" w:rsidRPr="0063664A" w:rsidRDefault="0065586B" w:rsidP="002672E5">
      <w:pPr>
        <w:rPr>
          <w:sz w:val="22"/>
          <w:szCs w:val="22"/>
          <w:lang w:val="sk-SK"/>
        </w:rPr>
      </w:pPr>
      <w:r w:rsidRPr="0063664A">
        <w:rPr>
          <w:sz w:val="22"/>
          <w:szCs w:val="22"/>
          <w:lang w:val="sk-SK"/>
        </w:rPr>
        <w:t>Pri užívaní niektorých antidiabetík ako nateglinid a repaglinid môže dôjsť k inhibícii enzýmu CYP3A klaritromycínom, čo môže pri ich súbežnom užívaní spôsobiť hypoglykémiu. Odporúča sa dôkladné sledovanie glukózy.</w:t>
      </w:r>
    </w:p>
    <w:p w14:paraId="72DCBBCA" w14:textId="77777777" w:rsidR="0065586B" w:rsidRPr="0063664A" w:rsidRDefault="0065586B" w:rsidP="002672E5">
      <w:pPr>
        <w:autoSpaceDE w:val="0"/>
        <w:autoSpaceDN w:val="0"/>
        <w:adjustRightInd w:val="0"/>
        <w:rPr>
          <w:bCs/>
          <w:i/>
          <w:iCs/>
          <w:sz w:val="22"/>
          <w:szCs w:val="22"/>
          <w:u w:val="single"/>
          <w:lang w:val="sk-SK"/>
        </w:rPr>
      </w:pPr>
    </w:p>
    <w:p w14:paraId="191D3317" w14:textId="77777777" w:rsidR="0065586B" w:rsidRPr="0063664A" w:rsidRDefault="0065586B" w:rsidP="002672E5">
      <w:pPr>
        <w:autoSpaceDE w:val="0"/>
        <w:autoSpaceDN w:val="0"/>
        <w:adjustRightInd w:val="0"/>
        <w:rPr>
          <w:bCs/>
          <w:sz w:val="22"/>
          <w:szCs w:val="22"/>
          <w:u w:val="single"/>
          <w:lang w:val="sk-SK"/>
        </w:rPr>
      </w:pPr>
      <w:r w:rsidRPr="0063664A">
        <w:rPr>
          <w:bCs/>
          <w:sz w:val="22"/>
          <w:szCs w:val="22"/>
          <w:u w:val="single"/>
          <w:lang w:val="sk-SK"/>
        </w:rPr>
        <w:t>Omeprazol</w:t>
      </w:r>
    </w:p>
    <w:p w14:paraId="103DB2D4" w14:textId="77777777" w:rsidR="0065586B" w:rsidRPr="0063664A" w:rsidRDefault="0065586B" w:rsidP="002672E5">
      <w:pPr>
        <w:autoSpaceDE w:val="0"/>
        <w:autoSpaceDN w:val="0"/>
        <w:adjustRightInd w:val="0"/>
        <w:rPr>
          <w:bCs/>
          <w:sz w:val="22"/>
          <w:szCs w:val="22"/>
          <w:lang w:val="sk-SK"/>
        </w:rPr>
      </w:pPr>
      <w:r w:rsidRPr="0063664A">
        <w:rPr>
          <w:bCs/>
          <w:sz w:val="22"/>
          <w:szCs w:val="22"/>
          <w:lang w:val="sk-SK"/>
        </w:rPr>
        <w:t>Zdravým dospelým jedincom bol podávaný klaritromycín (500</w:t>
      </w:r>
      <w:r w:rsidRPr="0063664A">
        <w:rPr>
          <w:sz w:val="22"/>
          <w:szCs w:val="22"/>
          <w:lang w:val="sk-SK"/>
        </w:rPr>
        <w:t> </w:t>
      </w:r>
      <w:r w:rsidRPr="0063664A">
        <w:rPr>
          <w:bCs/>
          <w:sz w:val="22"/>
          <w:szCs w:val="22"/>
          <w:lang w:val="sk-SK"/>
        </w:rPr>
        <w:t>mg každých 8</w:t>
      </w:r>
      <w:r w:rsidRPr="0063664A">
        <w:rPr>
          <w:sz w:val="22"/>
          <w:szCs w:val="22"/>
          <w:lang w:val="sk-SK"/>
        </w:rPr>
        <w:t> </w:t>
      </w:r>
      <w:r w:rsidRPr="0063664A">
        <w:rPr>
          <w:bCs/>
          <w:sz w:val="22"/>
          <w:szCs w:val="22"/>
          <w:lang w:val="sk-SK"/>
        </w:rPr>
        <w:t>hodín) v kombinácii s omeprazolom (40 mg denne). Pri súbežnom podávaní klaritromycínu boli plazmatické koncentrácie omeprazolu v rovnovážnom stave zvýšené (C</w:t>
      </w:r>
      <w:r w:rsidRPr="0063664A">
        <w:rPr>
          <w:bCs/>
          <w:sz w:val="22"/>
          <w:szCs w:val="22"/>
          <w:vertAlign w:val="subscript"/>
          <w:lang w:val="sk-SK"/>
        </w:rPr>
        <w:t>max</w:t>
      </w:r>
      <w:r w:rsidRPr="0063664A">
        <w:rPr>
          <w:bCs/>
          <w:sz w:val="22"/>
          <w:szCs w:val="22"/>
          <w:lang w:val="sk-SK"/>
        </w:rPr>
        <w:t xml:space="preserve"> sa zvýšila o 30 %, AUC</w:t>
      </w:r>
      <w:r w:rsidRPr="0063664A">
        <w:rPr>
          <w:bCs/>
          <w:sz w:val="22"/>
          <w:szCs w:val="22"/>
          <w:vertAlign w:val="subscript"/>
          <w:lang w:val="sk-SK"/>
        </w:rPr>
        <w:t>0-24</w:t>
      </w:r>
      <w:r w:rsidRPr="0063664A">
        <w:rPr>
          <w:bCs/>
          <w:sz w:val="22"/>
          <w:szCs w:val="22"/>
          <w:lang w:val="sk-SK"/>
        </w:rPr>
        <w:t xml:space="preserve"> o 89 % a t</w:t>
      </w:r>
      <w:r w:rsidRPr="0063664A">
        <w:rPr>
          <w:bCs/>
          <w:sz w:val="22"/>
          <w:szCs w:val="22"/>
          <w:vertAlign w:val="subscript"/>
          <w:lang w:val="sk-SK"/>
        </w:rPr>
        <w:t>1/2</w:t>
      </w:r>
      <w:r w:rsidRPr="0063664A">
        <w:rPr>
          <w:bCs/>
          <w:sz w:val="22"/>
          <w:szCs w:val="22"/>
          <w:lang w:val="sk-SK"/>
        </w:rPr>
        <w:t xml:space="preserve"> o 34 %). </w:t>
      </w:r>
      <w:r w:rsidRPr="0063664A">
        <w:rPr>
          <w:bCs/>
          <w:iCs/>
          <w:sz w:val="22"/>
          <w:szCs w:val="22"/>
          <w:lang w:val="sk-SK"/>
        </w:rPr>
        <w:t>Priemerná hodnota pH v žalúdku počas 24 hodín bola 5,2 pri podávaní samotného omeprazolu a 5,7 pri súbežnom podávaní omeprazolu s</w:t>
      </w:r>
      <w:r w:rsidR="002161AD" w:rsidRPr="0063664A">
        <w:rPr>
          <w:bCs/>
          <w:iCs/>
          <w:sz w:val="22"/>
          <w:szCs w:val="22"/>
          <w:lang w:val="sk-SK"/>
        </w:rPr>
        <w:t> </w:t>
      </w:r>
      <w:r w:rsidRPr="0063664A">
        <w:rPr>
          <w:bCs/>
          <w:iCs/>
          <w:sz w:val="22"/>
          <w:szCs w:val="22"/>
          <w:lang w:val="sk-SK"/>
        </w:rPr>
        <w:t>klaritromycínom</w:t>
      </w:r>
      <w:r w:rsidRPr="0063664A">
        <w:rPr>
          <w:bCs/>
          <w:sz w:val="22"/>
          <w:szCs w:val="22"/>
          <w:lang w:val="sk-SK"/>
        </w:rPr>
        <w:t>.</w:t>
      </w:r>
    </w:p>
    <w:p w14:paraId="2A022EB5" w14:textId="77777777" w:rsidR="0065586B" w:rsidRPr="0063664A" w:rsidRDefault="0065586B" w:rsidP="002672E5">
      <w:pPr>
        <w:pStyle w:val="Zkladntext3"/>
        <w:rPr>
          <w:sz w:val="22"/>
          <w:szCs w:val="22"/>
          <w:lang w:val="sk-SK"/>
        </w:rPr>
      </w:pPr>
    </w:p>
    <w:p w14:paraId="30C6985E" w14:textId="77777777" w:rsidR="0065586B" w:rsidRPr="0063664A" w:rsidRDefault="0065586B" w:rsidP="006821EE">
      <w:pPr>
        <w:keepNext/>
        <w:autoSpaceDE w:val="0"/>
        <w:autoSpaceDN w:val="0"/>
        <w:adjustRightInd w:val="0"/>
        <w:rPr>
          <w:bCs/>
          <w:sz w:val="22"/>
          <w:szCs w:val="22"/>
          <w:u w:val="single"/>
          <w:lang w:val="sk-SK"/>
        </w:rPr>
      </w:pPr>
      <w:r w:rsidRPr="0063664A">
        <w:rPr>
          <w:bCs/>
          <w:sz w:val="22"/>
          <w:szCs w:val="22"/>
          <w:u w:val="single"/>
          <w:lang w:val="sk-SK"/>
        </w:rPr>
        <w:t>Sildenafil, tadalafil a</w:t>
      </w:r>
      <w:r w:rsidR="00944FDF" w:rsidRPr="0063664A">
        <w:rPr>
          <w:bCs/>
          <w:sz w:val="22"/>
          <w:szCs w:val="22"/>
          <w:u w:val="single"/>
          <w:lang w:val="sk-SK"/>
        </w:rPr>
        <w:t> </w:t>
      </w:r>
      <w:r w:rsidRPr="0063664A">
        <w:rPr>
          <w:bCs/>
          <w:sz w:val="22"/>
          <w:szCs w:val="22"/>
          <w:u w:val="single"/>
          <w:lang w:val="sk-SK"/>
        </w:rPr>
        <w:t>vardenafil</w:t>
      </w:r>
    </w:p>
    <w:p w14:paraId="4DD013FB" w14:textId="77777777" w:rsidR="0065586B" w:rsidRPr="0063664A" w:rsidRDefault="0065586B" w:rsidP="002672E5">
      <w:pPr>
        <w:autoSpaceDE w:val="0"/>
        <w:autoSpaceDN w:val="0"/>
        <w:adjustRightInd w:val="0"/>
        <w:rPr>
          <w:bCs/>
          <w:sz w:val="22"/>
          <w:szCs w:val="22"/>
          <w:lang w:val="sk-SK"/>
        </w:rPr>
      </w:pPr>
      <w:r w:rsidRPr="0063664A">
        <w:rPr>
          <w:bCs/>
          <w:sz w:val="22"/>
          <w:szCs w:val="22"/>
          <w:lang w:val="sk-SK"/>
        </w:rPr>
        <w:t>Každý z týchto inhibítorov fosfodiesterázy sa prinajmenšom čiastočne metabolizuje prostredníctvom CYP3A. CYP3A môže byť súbežným podávaním klaritromycínu inhibovaný. Súbežné podávanie klaritromycínu so</w:t>
      </w:r>
      <w:r w:rsidRPr="0063664A">
        <w:rPr>
          <w:sz w:val="22"/>
          <w:szCs w:val="22"/>
          <w:lang w:val="sk-SK"/>
        </w:rPr>
        <w:t> </w:t>
      </w:r>
      <w:r w:rsidRPr="0063664A">
        <w:rPr>
          <w:bCs/>
          <w:sz w:val="22"/>
          <w:szCs w:val="22"/>
          <w:lang w:val="sk-SK"/>
        </w:rPr>
        <w:t>sildenafilom, tadalafilom alebo vardenafilom pravdepodobne vedie k zvýšenej expozícii inhibítorom fosfodiesterázy. Pri súbežnom podávaní s klaritromycínom treba zvážiť zníženie dávok sildenafilu, tadalafilu a vardenafilu.</w:t>
      </w:r>
    </w:p>
    <w:p w14:paraId="429B691D" w14:textId="77777777" w:rsidR="0065586B" w:rsidRPr="0063664A" w:rsidRDefault="0065586B" w:rsidP="002672E5">
      <w:pPr>
        <w:rPr>
          <w:sz w:val="22"/>
          <w:szCs w:val="22"/>
          <w:lang w:val="sk-SK"/>
        </w:rPr>
      </w:pPr>
    </w:p>
    <w:p w14:paraId="5F1C4AB6" w14:textId="77777777" w:rsidR="0065586B" w:rsidRPr="0063664A" w:rsidRDefault="0065586B" w:rsidP="00881CF1">
      <w:pPr>
        <w:keepNext/>
        <w:autoSpaceDE w:val="0"/>
        <w:autoSpaceDN w:val="0"/>
        <w:adjustRightInd w:val="0"/>
        <w:rPr>
          <w:bCs/>
          <w:sz w:val="22"/>
          <w:szCs w:val="22"/>
          <w:u w:val="single"/>
          <w:lang w:val="sk-SK"/>
        </w:rPr>
      </w:pPr>
      <w:r w:rsidRPr="0063664A">
        <w:rPr>
          <w:bCs/>
          <w:sz w:val="22"/>
          <w:szCs w:val="22"/>
          <w:u w:val="single"/>
          <w:lang w:val="sk-SK"/>
        </w:rPr>
        <w:t>Teofylín, karbamazepín</w:t>
      </w:r>
    </w:p>
    <w:p w14:paraId="5B6B0567" w14:textId="77777777" w:rsidR="0065586B" w:rsidRPr="0063664A" w:rsidRDefault="0065586B" w:rsidP="002672E5">
      <w:pPr>
        <w:rPr>
          <w:sz w:val="22"/>
          <w:szCs w:val="22"/>
          <w:lang w:val="sk-SK"/>
        </w:rPr>
      </w:pPr>
      <w:r w:rsidRPr="0063664A">
        <w:rPr>
          <w:sz w:val="22"/>
          <w:szCs w:val="22"/>
          <w:lang w:val="sk-SK"/>
        </w:rPr>
        <w:t>Výsledky klinických štúdií preukázali mierne, ale štatisticky významné (p ≤ 0,05) zvýšenie cirkulujúcich hladín teofylínu alebo karbamazepínu, ak sa každé z týchto liečiv podávalo súbežne s</w:t>
      </w:r>
      <w:r w:rsidR="002161AD" w:rsidRPr="0063664A">
        <w:rPr>
          <w:sz w:val="22"/>
          <w:szCs w:val="22"/>
          <w:lang w:val="sk-SK"/>
        </w:rPr>
        <w:t> </w:t>
      </w:r>
      <w:r w:rsidRPr="0063664A">
        <w:rPr>
          <w:sz w:val="22"/>
          <w:szCs w:val="22"/>
          <w:lang w:val="sk-SK"/>
        </w:rPr>
        <w:t>klaritromycínom. Môže byť potrebné zvážiť zníženie dávky.</w:t>
      </w:r>
    </w:p>
    <w:p w14:paraId="33BB1FBA" w14:textId="77777777" w:rsidR="0065586B" w:rsidRPr="0063664A" w:rsidRDefault="0065586B" w:rsidP="002672E5">
      <w:pPr>
        <w:autoSpaceDE w:val="0"/>
        <w:autoSpaceDN w:val="0"/>
        <w:adjustRightInd w:val="0"/>
        <w:rPr>
          <w:sz w:val="22"/>
          <w:szCs w:val="22"/>
          <w:lang w:val="sk-SK"/>
        </w:rPr>
      </w:pPr>
    </w:p>
    <w:p w14:paraId="2CBCFE36" w14:textId="77777777" w:rsidR="0065586B" w:rsidRPr="0063664A" w:rsidRDefault="0065586B" w:rsidP="009B7F59">
      <w:pPr>
        <w:keepNext/>
        <w:autoSpaceDE w:val="0"/>
        <w:autoSpaceDN w:val="0"/>
        <w:adjustRightInd w:val="0"/>
        <w:rPr>
          <w:bCs/>
          <w:sz w:val="22"/>
          <w:szCs w:val="22"/>
          <w:u w:val="single"/>
          <w:lang w:val="sk-SK"/>
        </w:rPr>
      </w:pPr>
      <w:r w:rsidRPr="0063664A">
        <w:rPr>
          <w:bCs/>
          <w:sz w:val="22"/>
          <w:szCs w:val="22"/>
          <w:u w:val="single"/>
          <w:lang w:val="sk-SK"/>
        </w:rPr>
        <w:t>Tolterodín</w:t>
      </w:r>
    </w:p>
    <w:p w14:paraId="697116B6" w14:textId="77777777" w:rsidR="0065586B" w:rsidRPr="0063664A" w:rsidRDefault="0065586B" w:rsidP="002672E5">
      <w:pPr>
        <w:autoSpaceDE w:val="0"/>
        <w:autoSpaceDN w:val="0"/>
        <w:adjustRightInd w:val="0"/>
        <w:rPr>
          <w:sz w:val="22"/>
          <w:szCs w:val="22"/>
          <w:lang w:val="sk-SK"/>
        </w:rPr>
      </w:pPr>
      <w:r w:rsidRPr="0063664A">
        <w:rPr>
          <w:sz w:val="22"/>
          <w:szCs w:val="22"/>
          <w:lang w:val="sk-SK"/>
        </w:rPr>
        <w:t xml:space="preserve">Tolterodín sa prednostne metabolizuje prostredníctvom izoformy 2D6 cytochrómu P450 (CYP2D6). </w:t>
      </w:r>
      <w:r w:rsidRPr="0063664A">
        <w:rPr>
          <w:bCs/>
          <w:iCs/>
          <w:sz w:val="22"/>
          <w:szCs w:val="22"/>
          <w:lang w:val="sk-SK"/>
        </w:rPr>
        <w:t>V podskupine populácie</w:t>
      </w:r>
      <w:r w:rsidRPr="0063664A">
        <w:rPr>
          <w:sz w:val="22"/>
          <w:szCs w:val="22"/>
          <w:lang w:val="sk-SK"/>
        </w:rPr>
        <w:t xml:space="preserve">, ktorej chýba CYP2D6, </w:t>
      </w:r>
      <w:r w:rsidRPr="0063664A">
        <w:rPr>
          <w:bCs/>
          <w:iCs/>
          <w:sz w:val="22"/>
          <w:szCs w:val="22"/>
          <w:lang w:val="sk-SK"/>
        </w:rPr>
        <w:t>sa však zistila metabolická cesta sprostredkovaná</w:t>
      </w:r>
      <w:r w:rsidRPr="0063664A">
        <w:rPr>
          <w:sz w:val="22"/>
          <w:szCs w:val="22"/>
          <w:lang w:val="sk-SK"/>
        </w:rPr>
        <w:t xml:space="preserve"> CYP3A. </w:t>
      </w:r>
      <w:r w:rsidRPr="0063664A">
        <w:rPr>
          <w:bCs/>
          <w:iCs/>
          <w:sz w:val="22"/>
          <w:szCs w:val="22"/>
          <w:lang w:val="sk-SK"/>
        </w:rPr>
        <w:t>V tejto podskupine</w:t>
      </w:r>
      <w:r w:rsidRPr="0063664A">
        <w:rPr>
          <w:sz w:val="22"/>
          <w:szCs w:val="22"/>
          <w:lang w:val="sk-SK"/>
        </w:rPr>
        <w:t xml:space="preserve"> populácie vedie inhibícia CYP3A k významne vyšším koncentráciám tolterodínu v sére. </w:t>
      </w:r>
      <w:r w:rsidRPr="0063664A">
        <w:rPr>
          <w:bCs/>
          <w:iCs/>
          <w:sz w:val="22"/>
          <w:szCs w:val="22"/>
          <w:lang w:val="sk-SK"/>
        </w:rPr>
        <w:t>U pacientov, ktorí sú pomalí metabolizéri CYP2D6, môže byť v prítomnosti inhibítorov CYP3A, akým je klaritromycín, potrebné zníženie dávky</w:t>
      </w:r>
      <w:r w:rsidRPr="0063664A">
        <w:rPr>
          <w:sz w:val="22"/>
          <w:szCs w:val="22"/>
          <w:lang w:val="sk-SK"/>
        </w:rPr>
        <w:t xml:space="preserve"> tolterodínu.</w:t>
      </w:r>
    </w:p>
    <w:p w14:paraId="32812DB1" w14:textId="77777777" w:rsidR="0065586B" w:rsidRPr="0063664A" w:rsidRDefault="0065586B" w:rsidP="002672E5">
      <w:pPr>
        <w:autoSpaceDE w:val="0"/>
        <w:autoSpaceDN w:val="0"/>
        <w:adjustRightInd w:val="0"/>
        <w:rPr>
          <w:sz w:val="22"/>
          <w:szCs w:val="22"/>
          <w:lang w:val="sk-SK"/>
        </w:rPr>
      </w:pPr>
    </w:p>
    <w:p w14:paraId="20C2B685" w14:textId="77777777" w:rsidR="0065586B" w:rsidRPr="0063664A" w:rsidRDefault="0065586B" w:rsidP="009B7F59">
      <w:pPr>
        <w:keepNext/>
        <w:autoSpaceDE w:val="0"/>
        <w:autoSpaceDN w:val="0"/>
        <w:adjustRightInd w:val="0"/>
        <w:rPr>
          <w:bCs/>
          <w:sz w:val="22"/>
          <w:szCs w:val="22"/>
          <w:u w:val="single"/>
          <w:lang w:val="sk-SK"/>
        </w:rPr>
      </w:pPr>
      <w:r w:rsidRPr="0063664A">
        <w:rPr>
          <w:bCs/>
          <w:sz w:val="22"/>
          <w:szCs w:val="22"/>
          <w:u w:val="single"/>
          <w:lang w:val="sk-SK"/>
        </w:rPr>
        <w:t>Triazolobenzodiazepíny (napr. alprazolam, midazolam, triazolam)</w:t>
      </w:r>
    </w:p>
    <w:p w14:paraId="68E0D046" w14:textId="77777777" w:rsidR="0065586B" w:rsidRPr="0063664A" w:rsidRDefault="0065586B" w:rsidP="002672E5">
      <w:pPr>
        <w:autoSpaceDE w:val="0"/>
        <w:autoSpaceDN w:val="0"/>
        <w:adjustRightInd w:val="0"/>
        <w:rPr>
          <w:bCs/>
          <w:sz w:val="22"/>
          <w:szCs w:val="22"/>
          <w:lang w:val="sk-SK"/>
        </w:rPr>
      </w:pPr>
      <w:r w:rsidRPr="0063664A">
        <w:rPr>
          <w:bCs/>
          <w:sz w:val="22"/>
          <w:szCs w:val="22"/>
          <w:lang w:val="sk-SK"/>
        </w:rPr>
        <w:t>Pri súbežnom podávaní midazolamu s tabletami klaritromycínu (500</w:t>
      </w:r>
      <w:r w:rsidRPr="0063664A">
        <w:rPr>
          <w:sz w:val="22"/>
          <w:szCs w:val="22"/>
          <w:lang w:val="sk-SK"/>
        </w:rPr>
        <w:t> </w:t>
      </w:r>
      <w:r w:rsidRPr="0063664A">
        <w:rPr>
          <w:bCs/>
          <w:sz w:val="22"/>
          <w:szCs w:val="22"/>
          <w:lang w:val="sk-SK"/>
        </w:rPr>
        <w:t>mg dvakrát denne) sa zvýšila hodnota AUC midazolamu 2,7-násobne po intravenóznom podaní midazolamu Pri súbežnom intravenóznom podávaní midazolamu s klaritromycínom je potrebné pacienta starostlivo sledovať</w:t>
      </w:r>
      <w:r w:rsidRPr="0063664A">
        <w:rPr>
          <w:bCs/>
          <w:iCs/>
          <w:sz w:val="22"/>
          <w:szCs w:val="22"/>
          <w:lang w:val="sk-SK"/>
        </w:rPr>
        <w:t xml:space="preserve">, </w:t>
      </w:r>
      <w:r w:rsidRPr="0063664A">
        <w:rPr>
          <w:sz w:val="22"/>
          <w:szCs w:val="22"/>
          <w:lang w:val="sk-SK"/>
        </w:rPr>
        <w:t>aby bolo možné upraviť dávkovanie</w:t>
      </w:r>
      <w:r w:rsidRPr="0063664A">
        <w:rPr>
          <w:bCs/>
          <w:sz w:val="22"/>
          <w:szCs w:val="22"/>
          <w:lang w:val="sk-SK"/>
        </w:rPr>
        <w:t xml:space="preserve">. </w:t>
      </w:r>
      <w:r w:rsidRPr="0063664A">
        <w:rPr>
          <w:sz w:val="22"/>
          <w:szCs w:val="22"/>
          <w:lang w:val="sk-SK"/>
        </w:rPr>
        <w:t>Po absorpcii perorálne podaného midazolamu v sliznici ústnej dutiny sa vyhne pre-systémovej eliminácii liečiva, a preto dôjde s väčšou pravdepodobnosťou k podobným interakciám ako po intravenóznom podaní midazolamu v porovnaní s jeho perorálnym podaním. R</w:t>
      </w:r>
      <w:r w:rsidRPr="0063664A">
        <w:rPr>
          <w:bCs/>
          <w:sz w:val="22"/>
          <w:szCs w:val="22"/>
          <w:lang w:val="sk-SK"/>
        </w:rPr>
        <w:t>ovnaké opatrenia platia aj pre iné benzodiazepíny, ktoré sú metabolizované prostredníctvom CYP3A, vrátane triazolamu a</w:t>
      </w:r>
      <w:r w:rsidRPr="0063664A">
        <w:rPr>
          <w:sz w:val="22"/>
          <w:szCs w:val="22"/>
          <w:lang w:val="sk-SK"/>
        </w:rPr>
        <w:t> </w:t>
      </w:r>
      <w:r w:rsidRPr="0063664A">
        <w:rPr>
          <w:bCs/>
          <w:sz w:val="22"/>
          <w:szCs w:val="22"/>
          <w:lang w:val="sk-SK"/>
        </w:rPr>
        <w:t>alprazolamu. Pri benzodiazepínoch, ktorých eliminácia nezávisí od CYP3A (temazepam, nitrazepam, lorazepam), je klinicky významná interakcia s klaritromycínom nepravdepodobná.</w:t>
      </w:r>
    </w:p>
    <w:p w14:paraId="13A303F8" w14:textId="77777777" w:rsidR="0065586B" w:rsidRPr="0063664A" w:rsidRDefault="0065586B" w:rsidP="002672E5">
      <w:pPr>
        <w:autoSpaceDE w:val="0"/>
        <w:autoSpaceDN w:val="0"/>
        <w:adjustRightInd w:val="0"/>
        <w:rPr>
          <w:bCs/>
          <w:sz w:val="22"/>
          <w:szCs w:val="22"/>
          <w:lang w:val="sk-SK"/>
        </w:rPr>
      </w:pPr>
    </w:p>
    <w:p w14:paraId="6FDC0234" w14:textId="77777777" w:rsidR="0065586B" w:rsidRPr="0063664A" w:rsidRDefault="0065586B" w:rsidP="0063664A">
      <w:pPr>
        <w:autoSpaceDE w:val="0"/>
        <w:autoSpaceDN w:val="0"/>
        <w:adjustRightInd w:val="0"/>
        <w:rPr>
          <w:sz w:val="22"/>
          <w:lang w:val="sk-SK"/>
        </w:rPr>
      </w:pPr>
      <w:r w:rsidRPr="0063664A">
        <w:rPr>
          <w:bCs/>
          <w:sz w:val="22"/>
          <w:szCs w:val="22"/>
          <w:lang w:val="sk-SK"/>
        </w:rPr>
        <w:t>Pri súbežnom podávaní klaritromycínu a</w:t>
      </w:r>
      <w:r w:rsidRPr="0063664A">
        <w:rPr>
          <w:sz w:val="22"/>
          <w:szCs w:val="22"/>
          <w:lang w:val="sk-SK"/>
        </w:rPr>
        <w:t> </w:t>
      </w:r>
      <w:r w:rsidRPr="0063664A">
        <w:rPr>
          <w:bCs/>
          <w:sz w:val="22"/>
          <w:szCs w:val="22"/>
          <w:lang w:val="sk-SK"/>
        </w:rPr>
        <w:t>triazolamu po uvedení lieku na trh sa hlásili prípady liekových interakcií a účinkov na centrálny nervový systém (CNS) (napr. somnolencia a zmätenosť). Odporúča sa sledovanie pacienta kvôli zosilneným farmakologickým účinkom na CNS</w:t>
      </w:r>
      <w:r w:rsidRPr="0063664A">
        <w:rPr>
          <w:sz w:val="22"/>
          <w:lang w:val="sk-SK"/>
        </w:rPr>
        <w:t>.</w:t>
      </w:r>
    </w:p>
    <w:p w14:paraId="664D7F2C" w14:textId="77777777" w:rsidR="0065586B" w:rsidRPr="0063664A" w:rsidRDefault="0065586B" w:rsidP="0063664A">
      <w:pPr>
        <w:autoSpaceDE w:val="0"/>
        <w:autoSpaceDN w:val="0"/>
        <w:adjustRightInd w:val="0"/>
        <w:rPr>
          <w:sz w:val="22"/>
          <w:u w:val="single"/>
          <w:lang w:val="sk-SK"/>
        </w:rPr>
      </w:pPr>
    </w:p>
    <w:p w14:paraId="4614A59B" w14:textId="77777777" w:rsidR="0065586B" w:rsidRPr="0063664A" w:rsidRDefault="0065586B" w:rsidP="00881CF1">
      <w:pPr>
        <w:keepNext/>
        <w:rPr>
          <w:b/>
          <w:iCs/>
          <w:sz w:val="22"/>
          <w:szCs w:val="22"/>
          <w:lang w:val="sk-SK"/>
        </w:rPr>
      </w:pPr>
      <w:r w:rsidRPr="0063664A">
        <w:rPr>
          <w:b/>
          <w:sz w:val="22"/>
          <w:lang w:val="sk-SK"/>
        </w:rPr>
        <w:t>Iné</w:t>
      </w:r>
      <w:r w:rsidRPr="0063664A">
        <w:rPr>
          <w:b/>
          <w:iCs/>
          <w:sz w:val="22"/>
          <w:szCs w:val="22"/>
          <w:lang w:val="sk-SK"/>
        </w:rPr>
        <w:t xml:space="preserve"> liekové interakcie</w:t>
      </w:r>
    </w:p>
    <w:p w14:paraId="2122175B" w14:textId="77777777" w:rsidR="0065586B" w:rsidRPr="0063664A" w:rsidRDefault="0065586B" w:rsidP="00881CF1">
      <w:pPr>
        <w:keepNext/>
        <w:rPr>
          <w:sz w:val="22"/>
          <w:szCs w:val="22"/>
          <w:u w:val="single"/>
          <w:lang w:val="sk-SK"/>
        </w:rPr>
      </w:pPr>
    </w:p>
    <w:p w14:paraId="33E6D50D" w14:textId="77777777" w:rsidR="0065586B" w:rsidRPr="0063664A" w:rsidRDefault="0065586B" w:rsidP="00881CF1">
      <w:pPr>
        <w:keepNext/>
        <w:rPr>
          <w:sz w:val="22"/>
          <w:szCs w:val="22"/>
          <w:u w:val="single"/>
          <w:lang w:val="sk-SK"/>
        </w:rPr>
      </w:pPr>
      <w:r w:rsidRPr="0063664A">
        <w:rPr>
          <w:sz w:val="22"/>
          <w:szCs w:val="22"/>
          <w:u w:val="single"/>
          <w:lang w:val="sk-SK"/>
        </w:rPr>
        <w:t>Aminoglykozidy</w:t>
      </w:r>
    </w:p>
    <w:p w14:paraId="39882924" w14:textId="77777777" w:rsidR="0065586B" w:rsidRPr="0063664A" w:rsidRDefault="0065586B" w:rsidP="002672E5">
      <w:pPr>
        <w:rPr>
          <w:sz w:val="22"/>
          <w:szCs w:val="22"/>
          <w:lang w:val="sk-SK"/>
        </w:rPr>
      </w:pPr>
      <w:r w:rsidRPr="0063664A">
        <w:rPr>
          <w:sz w:val="22"/>
          <w:szCs w:val="22"/>
          <w:lang w:val="sk-SK"/>
        </w:rPr>
        <w:t>Pri súbežnom podávaní klaritromycínu s inými ototoxickými liekmi, najmä aminoglykozidmi, sa odporúča opatrnosť (pozri časť</w:t>
      </w:r>
      <w:r w:rsidR="00592A35" w:rsidRPr="0063664A">
        <w:rPr>
          <w:sz w:val="22"/>
          <w:szCs w:val="22"/>
          <w:lang w:val="sk-SK"/>
        </w:rPr>
        <w:t> </w:t>
      </w:r>
      <w:r w:rsidRPr="0063664A">
        <w:rPr>
          <w:sz w:val="22"/>
          <w:szCs w:val="22"/>
          <w:lang w:val="sk-SK"/>
        </w:rPr>
        <w:t>4.4).</w:t>
      </w:r>
    </w:p>
    <w:p w14:paraId="379F269E" w14:textId="77777777" w:rsidR="0065586B" w:rsidRPr="0063664A" w:rsidRDefault="0065586B" w:rsidP="00881CF1">
      <w:pPr>
        <w:rPr>
          <w:sz w:val="22"/>
          <w:szCs w:val="22"/>
          <w:u w:val="single"/>
          <w:lang w:val="sk-SK"/>
        </w:rPr>
      </w:pPr>
    </w:p>
    <w:p w14:paraId="6F993B62" w14:textId="77777777" w:rsidR="0065586B" w:rsidRPr="0063664A" w:rsidRDefault="0065586B" w:rsidP="009B7F59">
      <w:pPr>
        <w:keepNext/>
        <w:rPr>
          <w:sz w:val="22"/>
          <w:szCs w:val="22"/>
          <w:u w:val="single"/>
          <w:lang w:val="sk-SK"/>
        </w:rPr>
      </w:pPr>
      <w:r w:rsidRPr="0063664A">
        <w:rPr>
          <w:sz w:val="22"/>
          <w:szCs w:val="22"/>
          <w:u w:val="single"/>
          <w:lang w:val="sk-SK"/>
        </w:rPr>
        <w:t>Kolchicín</w:t>
      </w:r>
    </w:p>
    <w:p w14:paraId="64882373" w14:textId="77777777" w:rsidR="0065586B" w:rsidRPr="0063664A" w:rsidRDefault="0065586B" w:rsidP="002672E5">
      <w:pPr>
        <w:autoSpaceDE w:val="0"/>
        <w:autoSpaceDN w:val="0"/>
        <w:adjustRightInd w:val="0"/>
        <w:rPr>
          <w:sz w:val="22"/>
          <w:szCs w:val="22"/>
          <w:lang w:val="sk-SK"/>
        </w:rPr>
      </w:pPr>
      <w:r w:rsidRPr="0063664A">
        <w:rPr>
          <w:sz w:val="22"/>
          <w:szCs w:val="22"/>
          <w:lang w:val="sk-SK"/>
        </w:rPr>
        <w:t xml:space="preserve">Kolchicín je substrátom pre CYP3A aj pre efluxný transportér glykoproteín-P (Pgp). Klaritromycín a iné makrolidy sú známe inhibítory CYP3A a Pgp. Ak sa klaritromycín a kolchicín podávajú súbežne, inhibícia Pgp a/alebo CYP3A klaritromycínom môže viesť k zvýšenej expozícii kolchicínu. </w:t>
      </w:r>
      <w:r w:rsidRPr="0063664A">
        <w:rPr>
          <w:bCs/>
          <w:iCs/>
          <w:sz w:val="22"/>
          <w:szCs w:val="22"/>
          <w:lang w:val="sk-SK"/>
        </w:rPr>
        <w:t>Súbežné podávanie klaritromycínu a kolchicínu je kontraindikované (pozri čas</w:t>
      </w:r>
      <w:r w:rsidR="00152E1A" w:rsidRPr="0063664A">
        <w:rPr>
          <w:bCs/>
          <w:iCs/>
          <w:sz w:val="22"/>
          <w:szCs w:val="22"/>
          <w:lang w:val="sk-SK"/>
        </w:rPr>
        <w:t>t</w:t>
      </w:r>
      <w:r w:rsidR="0012018A" w:rsidRPr="0063664A">
        <w:rPr>
          <w:bCs/>
          <w:iCs/>
          <w:sz w:val="22"/>
          <w:szCs w:val="22"/>
          <w:lang w:val="sk-SK"/>
        </w:rPr>
        <w:t>i </w:t>
      </w:r>
      <w:r w:rsidRPr="0063664A">
        <w:rPr>
          <w:bCs/>
          <w:iCs/>
          <w:sz w:val="22"/>
          <w:szCs w:val="22"/>
          <w:lang w:val="sk-SK"/>
        </w:rPr>
        <w:t>4.3 a</w:t>
      </w:r>
      <w:r w:rsidR="0012018A" w:rsidRPr="0063664A">
        <w:rPr>
          <w:bCs/>
          <w:iCs/>
          <w:sz w:val="22"/>
          <w:szCs w:val="22"/>
          <w:lang w:val="sk-SK"/>
        </w:rPr>
        <w:t> </w:t>
      </w:r>
      <w:r w:rsidRPr="0063664A">
        <w:rPr>
          <w:bCs/>
          <w:iCs/>
          <w:sz w:val="22"/>
          <w:szCs w:val="22"/>
          <w:lang w:val="sk-SK"/>
        </w:rPr>
        <w:t>4.4</w:t>
      </w:r>
      <w:r w:rsidRPr="0063664A">
        <w:rPr>
          <w:sz w:val="22"/>
          <w:szCs w:val="22"/>
          <w:lang w:val="sk-SK"/>
        </w:rPr>
        <w:t>).</w:t>
      </w:r>
    </w:p>
    <w:p w14:paraId="55C4CE90" w14:textId="77777777" w:rsidR="0065586B" w:rsidRPr="0063664A" w:rsidRDefault="0065586B" w:rsidP="002672E5">
      <w:pPr>
        <w:rPr>
          <w:bCs/>
          <w:sz w:val="22"/>
          <w:szCs w:val="22"/>
          <w:lang w:val="sk-SK"/>
        </w:rPr>
      </w:pPr>
    </w:p>
    <w:p w14:paraId="7A3557B4" w14:textId="77777777" w:rsidR="0065586B" w:rsidRPr="0063664A" w:rsidRDefault="0065586B" w:rsidP="00881CF1">
      <w:pPr>
        <w:keepNext/>
        <w:rPr>
          <w:bCs/>
          <w:sz w:val="22"/>
          <w:szCs w:val="22"/>
          <w:u w:val="single"/>
          <w:lang w:val="sk-SK"/>
        </w:rPr>
      </w:pPr>
      <w:r w:rsidRPr="0063664A">
        <w:rPr>
          <w:bCs/>
          <w:sz w:val="22"/>
          <w:szCs w:val="22"/>
          <w:u w:val="single"/>
          <w:lang w:val="sk-SK"/>
        </w:rPr>
        <w:t>Digoxín</w:t>
      </w:r>
    </w:p>
    <w:p w14:paraId="6B729C15" w14:textId="77777777" w:rsidR="0065586B" w:rsidRPr="0063664A" w:rsidRDefault="0065586B" w:rsidP="002672E5">
      <w:pPr>
        <w:autoSpaceDE w:val="0"/>
        <w:autoSpaceDN w:val="0"/>
        <w:adjustRightInd w:val="0"/>
        <w:rPr>
          <w:bCs/>
          <w:sz w:val="22"/>
          <w:szCs w:val="22"/>
          <w:lang w:val="sk-SK"/>
        </w:rPr>
      </w:pPr>
      <w:r w:rsidRPr="0063664A">
        <w:rPr>
          <w:bCs/>
          <w:sz w:val="22"/>
          <w:szCs w:val="22"/>
          <w:lang w:val="sk-SK"/>
        </w:rPr>
        <w:t>Predpokladá sa, že digoxín je substrát efluxného transportéra, P-glykoproteín (Pgp). Je známe, že klaritromycín inhibuje Pgp. Pri súbežnom podávaní klaritromycínu a</w:t>
      </w:r>
      <w:r w:rsidRPr="0063664A">
        <w:rPr>
          <w:sz w:val="22"/>
          <w:szCs w:val="22"/>
          <w:lang w:val="sk-SK"/>
        </w:rPr>
        <w:t> </w:t>
      </w:r>
      <w:r w:rsidRPr="0063664A">
        <w:rPr>
          <w:bCs/>
          <w:sz w:val="22"/>
          <w:szCs w:val="22"/>
          <w:lang w:val="sk-SK"/>
        </w:rPr>
        <w:t xml:space="preserve">digoxínu môže inhibícia Pgp klaritromycínom viesť k zvýšenej expozícii digoxínom. </w:t>
      </w:r>
      <w:r w:rsidRPr="0063664A">
        <w:rPr>
          <w:bCs/>
          <w:iCs/>
          <w:sz w:val="22"/>
          <w:szCs w:val="22"/>
          <w:lang w:val="sk-SK"/>
        </w:rPr>
        <w:t>U pacientov súbežne liečených klaritromycínom a digoxínom boli zvýšené koncentrácie digoxínu v sére hlásené aj v rámci sledovania po uvedení lieku na trh</w:t>
      </w:r>
      <w:r w:rsidRPr="0063664A">
        <w:rPr>
          <w:bCs/>
          <w:sz w:val="22"/>
          <w:szCs w:val="22"/>
          <w:lang w:val="sk-SK"/>
        </w:rPr>
        <w:t xml:space="preserve">. U niektorých pacientov sa objavili klinické príznaky zodpovedajúce toxicite digoxínu, vrátane potenciálne fatálnych arytmií. </w:t>
      </w:r>
      <w:r w:rsidRPr="0063664A">
        <w:rPr>
          <w:bCs/>
          <w:iCs/>
          <w:sz w:val="22"/>
          <w:szCs w:val="22"/>
          <w:lang w:val="sk-SK"/>
        </w:rPr>
        <w:t>U pacientov súbežne liečených digoxínom a klaritromycínom je potrebné starostlivo sledovať koncentrácie digoxínu v</w:t>
      </w:r>
      <w:r w:rsidR="00592A35" w:rsidRPr="0063664A">
        <w:rPr>
          <w:bCs/>
          <w:iCs/>
          <w:sz w:val="22"/>
          <w:szCs w:val="22"/>
          <w:lang w:val="sk-SK"/>
        </w:rPr>
        <w:t> </w:t>
      </w:r>
      <w:r w:rsidRPr="0063664A">
        <w:rPr>
          <w:bCs/>
          <w:iCs/>
          <w:sz w:val="22"/>
          <w:szCs w:val="22"/>
          <w:lang w:val="sk-SK"/>
        </w:rPr>
        <w:t>sére</w:t>
      </w:r>
      <w:r w:rsidRPr="0063664A">
        <w:rPr>
          <w:bCs/>
          <w:sz w:val="22"/>
          <w:szCs w:val="22"/>
          <w:lang w:val="sk-SK"/>
        </w:rPr>
        <w:t>.</w:t>
      </w:r>
    </w:p>
    <w:p w14:paraId="26DAD009" w14:textId="77777777" w:rsidR="0065586B" w:rsidRPr="0063664A" w:rsidRDefault="0065586B" w:rsidP="002672E5">
      <w:pPr>
        <w:pStyle w:val="Zkladntext2"/>
        <w:jc w:val="left"/>
        <w:rPr>
          <w:sz w:val="22"/>
          <w:szCs w:val="22"/>
          <w:lang w:val="sk-SK"/>
        </w:rPr>
      </w:pPr>
    </w:p>
    <w:p w14:paraId="336BAD3B" w14:textId="77777777" w:rsidR="0065586B" w:rsidRPr="0063664A" w:rsidRDefault="0065586B" w:rsidP="00881CF1">
      <w:pPr>
        <w:pStyle w:val="Zkladntext2"/>
        <w:keepNext/>
        <w:jc w:val="left"/>
        <w:rPr>
          <w:sz w:val="22"/>
          <w:szCs w:val="22"/>
          <w:u w:val="single"/>
          <w:lang w:val="sk-SK"/>
        </w:rPr>
      </w:pPr>
      <w:r w:rsidRPr="0063664A">
        <w:rPr>
          <w:sz w:val="22"/>
          <w:szCs w:val="22"/>
          <w:u w:val="single"/>
          <w:lang w:val="sk-SK"/>
        </w:rPr>
        <w:t>Zidovudín</w:t>
      </w:r>
    </w:p>
    <w:p w14:paraId="44E1809B" w14:textId="77777777" w:rsidR="0065586B" w:rsidRPr="0063664A" w:rsidRDefault="0065586B" w:rsidP="002672E5">
      <w:pPr>
        <w:rPr>
          <w:sz w:val="22"/>
          <w:szCs w:val="22"/>
          <w:lang w:val="sk-SK"/>
        </w:rPr>
      </w:pPr>
      <w:r w:rsidRPr="0063664A">
        <w:rPr>
          <w:sz w:val="22"/>
          <w:szCs w:val="22"/>
          <w:lang w:val="sk-SK"/>
        </w:rPr>
        <w:t xml:space="preserve">Súbežné perorálne podávanie tabliet klaritromycínu a zidovudínu dospelým pacientom s HIV infekciou môže spôsobiť zníženie koncentrácie zidovudínu v rovnovážnom stave. </w:t>
      </w:r>
      <w:r w:rsidRPr="0063664A">
        <w:rPr>
          <w:bCs/>
          <w:iCs/>
          <w:sz w:val="22"/>
          <w:szCs w:val="22"/>
          <w:lang w:val="sk-SK"/>
        </w:rPr>
        <w:t>Keďže klaritromycín zrejme ovplyvňuje absorpciu súčasne podávaného perorálneho zidovudínu</w:t>
      </w:r>
      <w:r w:rsidRPr="0063664A">
        <w:rPr>
          <w:sz w:val="22"/>
          <w:szCs w:val="22"/>
          <w:lang w:val="sk-SK"/>
        </w:rPr>
        <w:t xml:space="preserve">, tejto interakcii sa dá do značnej miery vyhnúť striedavým rozvrhnutím dávok klaritromycínu a zidovudínu tak, aby sa medzi jednotlivými dávkami dodržal 4-hodinový </w:t>
      </w:r>
      <w:r w:rsidRPr="0063664A">
        <w:rPr>
          <w:bCs/>
          <w:iCs/>
          <w:sz w:val="22"/>
          <w:szCs w:val="22"/>
          <w:lang w:val="sk-SK"/>
        </w:rPr>
        <w:t>časový odstup</w:t>
      </w:r>
      <w:r w:rsidRPr="0063664A">
        <w:rPr>
          <w:sz w:val="22"/>
          <w:szCs w:val="22"/>
          <w:lang w:val="sk-SK"/>
        </w:rPr>
        <w:t xml:space="preserve">. Táto interakcia sa zrejme nevyskytuje u pediatrických pacientov infikovaných HIV, ktorí užívajú suspenziu klaritromycínu súčasne so zidovudínom alebo dideoxyinozínom. </w:t>
      </w:r>
      <w:r w:rsidRPr="0063664A">
        <w:rPr>
          <w:bCs/>
          <w:iCs/>
          <w:sz w:val="22"/>
          <w:szCs w:val="22"/>
          <w:lang w:val="sk-SK"/>
        </w:rPr>
        <w:t>Táto interakcia je nepravdepodobná v prípade, keď sa klaritromycín podáva formou intravenóznej infúzie.</w:t>
      </w:r>
    </w:p>
    <w:p w14:paraId="1A0FA1CA" w14:textId="77777777" w:rsidR="0065586B" w:rsidRPr="0063664A" w:rsidRDefault="0065586B" w:rsidP="002672E5">
      <w:pPr>
        <w:rPr>
          <w:sz w:val="22"/>
          <w:szCs w:val="22"/>
          <w:lang w:val="sk-SK"/>
        </w:rPr>
      </w:pPr>
    </w:p>
    <w:p w14:paraId="64BE6FF0" w14:textId="77777777" w:rsidR="0065586B" w:rsidRPr="0063664A" w:rsidRDefault="0065586B" w:rsidP="00881CF1">
      <w:pPr>
        <w:keepNext/>
        <w:rPr>
          <w:sz w:val="22"/>
          <w:szCs w:val="22"/>
          <w:u w:val="single"/>
          <w:lang w:val="sk-SK"/>
        </w:rPr>
      </w:pPr>
      <w:r w:rsidRPr="0063664A">
        <w:rPr>
          <w:sz w:val="22"/>
          <w:szCs w:val="22"/>
          <w:u w:val="single"/>
          <w:lang w:val="sk-SK"/>
        </w:rPr>
        <w:t>Fenytoín a valproát</w:t>
      </w:r>
    </w:p>
    <w:p w14:paraId="78D934CF" w14:textId="77777777" w:rsidR="0065586B" w:rsidRPr="0063664A" w:rsidRDefault="0065586B" w:rsidP="002672E5">
      <w:pPr>
        <w:rPr>
          <w:sz w:val="22"/>
          <w:szCs w:val="22"/>
          <w:lang w:val="sk-SK"/>
        </w:rPr>
      </w:pPr>
      <w:r w:rsidRPr="0063664A">
        <w:rPr>
          <w:sz w:val="22"/>
          <w:szCs w:val="22"/>
          <w:lang w:val="sk-SK"/>
        </w:rPr>
        <w:t xml:space="preserve">Vyskytli sa spontánne alebo publikované hlásenia interakcií inhibítorov CYP3A, vrátane klaritromycínu, s liečivami, u ktorých sa nepredpokladá metabolizmus prostredníctvom CYP3A (napr. fenytoín </w:t>
      </w:r>
      <w:r w:rsidRPr="0063664A">
        <w:rPr>
          <w:sz w:val="22"/>
          <w:szCs w:val="22"/>
          <w:lang w:val="sk-SK"/>
        </w:rPr>
        <w:lastRenderedPageBreak/>
        <w:t>a valproát). Ak sa tieto liečivá podávajú súbežne s klaritromycínom, odporúča sa stanovenie ich sérových hladín. Zaznamenali sa zvýšené sérové koncentrácie.</w:t>
      </w:r>
    </w:p>
    <w:p w14:paraId="3FCBD53F" w14:textId="77777777" w:rsidR="0065586B" w:rsidRPr="0063664A" w:rsidRDefault="0065586B" w:rsidP="002672E5">
      <w:pPr>
        <w:pStyle w:val="Zkladntext2"/>
        <w:jc w:val="left"/>
        <w:rPr>
          <w:sz w:val="22"/>
          <w:szCs w:val="22"/>
          <w:u w:val="single"/>
          <w:lang w:val="sk-SK"/>
        </w:rPr>
      </w:pPr>
    </w:p>
    <w:p w14:paraId="09C0A908" w14:textId="77777777" w:rsidR="0065586B" w:rsidRPr="0063664A" w:rsidRDefault="0065586B" w:rsidP="00881CF1">
      <w:pPr>
        <w:keepNext/>
        <w:rPr>
          <w:b/>
          <w:iCs/>
          <w:sz w:val="22"/>
          <w:szCs w:val="22"/>
          <w:lang w:val="sk-SK"/>
        </w:rPr>
      </w:pPr>
      <w:r w:rsidRPr="0063664A">
        <w:rPr>
          <w:b/>
          <w:iCs/>
          <w:sz w:val="22"/>
          <w:szCs w:val="22"/>
          <w:lang w:val="sk-SK"/>
        </w:rPr>
        <w:t>Obojsmerné liekové interakcie</w:t>
      </w:r>
    </w:p>
    <w:p w14:paraId="3F2154E6" w14:textId="77777777" w:rsidR="0065586B" w:rsidRPr="0063664A" w:rsidRDefault="0065586B" w:rsidP="00881CF1">
      <w:pPr>
        <w:pStyle w:val="Hlavika"/>
        <w:keepNext/>
        <w:tabs>
          <w:tab w:val="clear" w:pos="4536"/>
          <w:tab w:val="clear" w:pos="9072"/>
        </w:tabs>
        <w:rPr>
          <w:sz w:val="22"/>
          <w:szCs w:val="22"/>
          <w:lang w:val="sk-SK"/>
        </w:rPr>
      </w:pPr>
    </w:p>
    <w:p w14:paraId="7CC2CFD8" w14:textId="77777777" w:rsidR="0065586B" w:rsidRPr="0063664A" w:rsidRDefault="0065586B" w:rsidP="00881CF1">
      <w:pPr>
        <w:keepNext/>
        <w:rPr>
          <w:bCs/>
          <w:sz w:val="22"/>
          <w:szCs w:val="22"/>
          <w:u w:val="single"/>
          <w:lang w:val="sk-SK"/>
        </w:rPr>
      </w:pPr>
      <w:r w:rsidRPr="0063664A">
        <w:rPr>
          <w:bCs/>
          <w:sz w:val="22"/>
          <w:szCs w:val="22"/>
          <w:u w:val="single"/>
          <w:lang w:val="sk-SK"/>
        </w:rPr>
        <w:t>Atazanavir</w:t>
      </w:r>
    </w:p>
    <w:p w14:paraId="58AC9EEF" w14:textId="77777777" w:rsidR="0065586B" w:rsidRPr="0063664A" w:rsidRDefault="0065586B" w:rsidP="002672E5">
      <w:pPr>
        <w:autoSpaceDE w:val="0"/>
        <w:autoSpaceDN w:val="0"/>
        <w:adjustRightInd w:val="0"/>
        <w:rPr>
          <w:bCs/>
          <w:sz w:val="22"/>
          <w:szCs w:val="22"/>
          <w:lang w:val="sk-SK"/>
        </w:rPr>
      </w:pPr>
      <w:r w:rsidRPr="0063664A">
        <w:rPr>
          <w:bCs/>
          <w:sz w:val="22"/>
          <w:szCs w:val="22"/>
          <w:lang w:val="sk-SK"/>
        </w:rPr>
        <w:t>Klaritromycín a</w:t>
      </w:r>
      <w:r w:rsidRPr="0063664A">
        <w:rPr>
          <w:sz w:val="22"/>
          <w:szCs w:val="22"/>
          <w:lang w:val="sk-SK"/>
        </w:rPr>
        <w:t> </w:t>
      </w:r>
      <w:r w:rsidRPr="0063664A">
        <w:rPr>
          <w:bCs/>
          <w:sz w:val="22"/>
          <w:szCs w:val="22"/>
          <w:lang w:val="sk-SK"/>
        </w:rPr>
        <w:t>atazanavir sú substráty a</w:t>
      </w:r>
      <w:r w:rsidRPr="0063664A">
        <w:rPr>
          <w:sz w:val="22"/>
          <w:szCs w:val="22"/>
          <w:lang w:val="sk-SK"/>
        </w:rPr>
        <w:t> </w:t>
      </w:r>
      <w:r w:rsidRPr="0063664A">
        <w:rPr>
          <w:bCs/>
          <w:sz w:val="22"/>
          <w:szCs w:val="22"/>
          <w:lang w:val="sk-SK"/>
        </w:rPr>
        <w:t>inhibítory CYP3A a bola dokázaná obojsmerná lieková interakcia. Súbežné podávanie klaritromycínu (500 mg dvakrát denne) s</w:t>
      </w:r>
      <w:r w:rsidRPr="0063664A">
        <w:rPr>
          <w:sz w:val="22"/>
          <w:szCs w:val="22"/>
          <w:lang w:val="sk-SK"/>
        </w:rPr>
        <w:t> </w:t>
      </w:r>
      <w:r w:rsidRPr="0063664A">
        <w:rPr>
          <w:bCs/>
          <w:sz w:val="22"/>
          <w:szCs w:val="22"/>
          <w:lang w:val="sk-SK"/>
        </w:rPr>
        <w:t>atazanavirom (400 mg jedenkrát denne) viedlo k 2-násobnému zvýšeniu expozície klaritromycínom a</w:t>
      </w:r>
      <w:r w:rsidRPr="0063664A">
        <w:rPr>
          <w:sz w:val="22"/>
          <w:szCs w:val="22"/>
          <w:lang w:val="sk-SK"/>
        </w:rPr>
        <w:t> </w:t>
      </w:r>
      <w:r w:rsidRPr="0063664A">
        <w:rPr>
          <w:bCs/>
          <w:sz w:val="22"/>
          <w:szCs w:val="22"/>
          <w:lang w:val="sk-SK"/>
        </w:rPr>
        <w:t>70% zníženiu expozície 14-hydroxyklaritromycínom s</w:t>
      </w:r>
      <w:r w:rsidRPr="0063664A">
        <w:rPr>
          <w:sz w:val="22"/>
          <w:szCs w:val="22"/>
          <w:lang w:val="sk-SK"/>
        </w:rPr>
        <w:t> </w:t>
      </w:r>
      <w:r w:rsidRPr="0063664A">
        <w:rPr>
          <w:bCs/>
          <w:sz w:val="22"/>
          <w:szCs w:val="22"/>
          <w:lang w:val="sk-SK"/>
        </w:rPr>
        <w:t xml:space="preserve">28% zvýšením AUC atazanaviru. </w:t>
      </w:r>
      <w:r w:rsidRPr="0063664A">
        <w:rPr>
          <w:bCs/>
          <w:iCs/>
          <w:sz w:val="22"/>
          <w:szCs w:val="22"/>
          <w:lang w:val="sk-SK"/>
        </w:rPr>
        <w:t xml:space="preserve">Vzhľadom na široké terapeutické okno </w:t>
      </w:r>
      <w:r w:rsidRPr="0063664A">
        <w:rPr>
          <w:bCs/>
          <w:sz w:val="22"/>
          <w:szCs w:val="22"/>
          <w:lang w:val="sk-SK"/>
        </w:rPr>
        <w:t xml:space="preserve">klaritromycínu nie je u pacientov s normálnou funkciou obličiek potrebné zníženie dávok. U pacientov so stredne závažnou poruchou funkcie obličiek (klírens kreatinínu </w:t>
      </w:r>
      <w:r w:rsidR="00243975" w:rsidRPr="0063664A">
        <w:rPr>
          <w:bCs/>
          <w:sz w:val="22"/>
          <w:szCs w:val="22"/>
          <w:lang w:val="sk-SK"/>
        </w:rPr>
        <w:t>0,5</w:t>
      </w:r>
      <w:r w:rsidRPr="0063664A">
        <w:rPr>
          <w:bCs/>
          <w:sz w:val="22"/>
          <w:szCs w:val="22"/>
          <w:lang w:val="sk-SK"/>
        </w:rPr>
        <w:t xml:space="preserve"> až </w:t>
      </w:r>
      <w:r w:rsidR="00243975" w:rsidRPr="0063664A">
        <w:rPr>
          <w:bCs/>
          <w:sz w:val="22"/>
          <w:szCs w:val="22"/>
          <w:lang w:val="sk-SK"/>
        </w:rPr>
        <w:t>1</w:t>
      </w:r>
      <w:r w:rsidRPr="0063664A">
        <w:rPr>
          <w:bCs/>
          <w:sz w:val="22"/>
          <w:szCs w:val="22"/>
          <w:lang w:val="sk-SK"/>
        </w:rPr>
        <w:t> ml/</w:t>
      </w:r>
      <w:r w:rsidR="00243975" w:rsidRPr="0063664A">
        <w:rPr>
          <w:bCs/>
          <w:sz w:val="22"/>
          <w:szCs w:val="22"/>
          <w:lang w:val="sk-SK"/>
        </w:rPr>
        <w:t>s</w:t>
      </w:r>
      <w:r w:rsidRPr="0063664A">
        <w:rPr>
          <w:bCs/>
          <w:sz w:val="22"/>
          <w:szCs w:val="22"/>
          <w:lang w:val="sk-SK"/>
        </w:rPr>
        <w:t>) sa má dávka klaritromycínu znížiť o 50 %. U pacientov s klírensom kreatinínu &lt; </w:t>
      </w:r>
      <w:r w:rsidR="00243975" w:rsidRPr="0063664A">
        <w:rPr>
          <w:bCs/>
          <w:sz w:val="22"/>
          <w:szCs w:val="22"/>
          <w:lang w:val="sk-SK"/>
        </w:rPr>
        <w:t>0,5</w:t>
      </w:r>
      <w:r w:rsidRPr="0063664A">
        <w:rPr>
          <w:sz w:val="22"/>
          <w:szCs w:val="22"/>
          <w:lang w:val="sk-SK"/>
        </w:rPr>
        <w:t> </w:t>
      </w:r>
      <w:r w:rsidRPr="0063664A">
        <w:rPr>
          <w:bCs/>
          <w:sz w:val="22"/>
          <w:szCs w:val="22"/>
          <w:lang w:val="sk-SK"/>
        </w:rPr>
        <w:t>ml/</w:t>
      </w:r>
      <w:r w:rsidR="00243975" w:rsidRPr="0063664A">
        <w:rPr>
          <w:bCs/>
          <w:sz w:val="22"/>
          <w:szCs w:val="22"/>
          <w:lang w:val="sk-SK"/>
        </w:rPr>
        <w:t>s</w:t>
      </w:r>
      <w:r w:rsidRPr="0063664A">
        <w:rPr>
          <w:bCs/>
          <w:sz w:val="22"/>
          <w:szCs w:val="22"/>
          <w:lang w:val="sk-SK"/>
        </w:rPr>
        <w:t xml:space="preserve"> sa má dávka klaritromycínu znížiť o 75 % a použiť vhodná lieková forma klaritromycínu. Dávky klaritromycínu vyššie ako 1 000 mg denne sa nemajú podávať s inhibítormi proteázy.</w:t>
      </w:r>
    </w:p>
    <w:p w14:paraId="715A0E43" w14:textId="77777777" w:rsidR="0065586B" w:rsidRPr="0063664A" w:rsidRDefault="0065586B" w:rsidP="002672E5">
      <w:pPr>
        <w:pStyle w:val="Hlavika"/>
        <w:tabs>
          <w:tab w:val="clear" w:pos="4536"/>
          <w:tab w:val="clear" w:pos="9072"/>
        </w:tabs>
        <w:rPr>
          <w:sz w:val="22"/>
          <w:szCs w:val="22"/>
          <w:lang w:val="sk-SK"/>
        </w:rPr>
      </w:pPr>
    </w:p>
    <w:p w14:paraId="26E21F92" w14:textId="77777777" w:rsidR="0065586B" w:rsidRPr="0063664A" w:rsidRDefault="0065586B" w:rsidP="00881CF1">
      <w:pPr>
        <w:keepNext/>
        <w:rPr>
          <w:sz w:val="22"/>
          <w:szCs w:val="22"/>
          <w:u w:val="single"/>
          <w:lang w:val="sk-SK"/>
        </w:rPr>
      </w:pPr>
      <w:r w:rsidRPr="0063664A">
        <w:rPr>
          <w:sz w:val="22"/>
          <w:szCs w:val="22"/>
          <w:u w:val="single"/>
          <w:lang w:val="sk-SK"/>
        </w:rPr>
        <w:t>Blokátory kalciového kanála</w:t>
      </w:r>
    </w:p>
    <w:p w14:paraId="4BE1E800" w14:textId="77777777" w:rsidR="0065586B" w:rsidRPr="0063664A" w:rsidRDefault="0065586B" w:rsidP="002672E5">
      <w:pPr>
        <w:autoSpaceDE w:val="0"/>
        <w:autoSpaceDN w:val="0"/>
        <w:adjustRightInd w:val="0"/>
        <w:rPr>
          <w:sz w:val="22"/>
          <w:szCs w:val="22"/>
          <w:lang w:val="sk-SK"/>
        </w:rPr>
      </w:pPr>
      <w:r w:rsidRPr="0063664A">
        <w:rPr>
          <w:sz w:val="22"/>
          <w:szCs w:val="22"/>
          <w:lang w:val="sk-SK"/>
        </w:rPr>
        <w:t>Pri súbežnom podávaní klaritromycínu a blokátorov kalciového kanála metabolizovaných CYP3A4 (napr. verapamilu, amlodipínu, diltiazemu) sa z dôvodu rizika hypotenzie odporúča opatrnosť. Plazmatické koncentrácie klaritromycínu, ako aj blokátorov kalciového kanála, sa môžu v dôsledku interakcie zvýšiť. U pacientov súbežne užívajúcich klaritromycín a verapamil sa pozorovala hypotenzia, bradyarytmie a laktátová acidóza.</w:t>
      </w:r>
    </w:p>
    <w:p w14:paraId="348E182D" w14:textId="77777777" w:rsidR="0065586B" w:rsidRPr="0063664A" w:rsidRDefault="0065586B" w:rsidP="002672E5">
      <w:pPr>
        <w:autoSpaceDE w:val="0"/>
        <w:autoSpaceDN w:val="0"/>
        <w:adjustRightInd w:val="0"/>
        <w:rPr>
          <w:bCs/>
          <w:sz w:val="22"/>
          <w:szCs w:val="22"/>
          <w:u w:val="single"/>
          <w:lang w:val="sk-SK"/>
        </w:rPr>
      </w:pPr>
    </w:p>
    <w:p w14:paraId="4A423776" w14:textId="77777777" w:rsidR="0065586B" w:rsidRPr="0063664A" w:rsidRDefault="0065586B" w:rsidP="00881CF1">
      <w:pPr>
        <w:keepNext/>
        <w:rPr>
          <w:bCs/>
          <w:sz w:val="22"/>
          <w:szCs w:val="22"/>
          <w:u w:val="single"/>
          <w:lang w:val="sk-SK"/>
        </w:rPr>
      </w:pPr>
      <w:r w:rsidRPr="0063664A">
        <w:rPr>
          <w:bCs/>
          <w:sz w:val="22"/>
          <w:szCs w:val="22"/>
          <w:u w:val="single"/>
          <w:lang w:val="sk-SK"/>
        </w:rPr>
        <w:t>Itrakonazol</w:t>
      </w:r>
    </w:p>
    <w:p w14:paraId="69567DC9" w14:textId="77777777" w:rsidR="0065586B" w:rsidRPr="0063664A" w:rsidRDefault="0065586B" w:rsidP="002672E5">
      <w:pPr>
        <w:autoSpaceDE w:val="0"/>
        <w:autoSpaceDN w:val="0"/>
        <w:adjustRightInd w:val="0"/>
        <w:rPr>
          <w:bCs/>
          <w:sz w:val="22"/>
          <w:szCs w:val="22"/>
          <w:lang w:val="sk-SK"/>
        </w:rPr>
      </w:pPr>
      <w:r w:rsidRPr="0063664A">
        <w:rPr>
          <w:bCs/>
          <w:sz w:val="22"/>
          <w:szCs w:val="22"/>
          <w:lang w:val="sk-SK"/>
        </w:rPr>
        <w:t>Klaritromycín a itrakonazol sú substráty a inhibítory CYP3A, čo vedie k obojsmernej liekovej interakcii. Klaritromycín môže zvyšovať plazmatické koncentrácie itrakonazolu, kým itrakonazol môže zvyšovať plazmatické koncentrácie klaritromycínu. Pacientov, ktorí súbežne užívajú itrakonazol a</w:t>
      </w:r>
      <w:r w:rsidRPr="0063664A">
        <w:rPr>
          <w:sz w:val="22"/>
          <w:szCs w:val="22"/>
          <w:lang w:val="sk-SK"/>
        </w:rPr>
        <w:t> </w:t>
      </w:r>
      <w:r w:rsidRPr="0063664A">
        <w:rPr>
          <w:bCs/>
          <w:sz w:val="22"/>
          <w:szCs w:val="22"/>
          <w:lang w:val="sk-SK"/>
        </w:rPr>
        <w:t>klaritromycín, treba pozorne sledovať kvôli prejavom alebo príznakom zvýšeného alebo predĺženého farmakologického účinku.</w:t>
      </w:r>
    </w:p>
    <w:p w14:paraId="362472A5" w14:textId="77777777" w:rsidR="0065586B" w:rsidRPr="0063664A" w:rsidRDefault="0065586B" w:rsidP="002672E5">
      <w:pPr>
        <w:autoSpaceDE w:val="0"/>
        <w:autoSpaceDN w:val="0"/>
        <w:adjustRightInd w:val="0"/>
        <w:rPr>
          <w:bCs/>
          <w:sz w:val="22"/>
          <w:szCs w:val="22"/>
          <w:lang w:val="sk-SK"/>
        </w:rPr>
      </w:pPr>
    </w:p>
    <w:p w14:paraId="2F4EE9A0" w14:textId="77777777" w:rsidR="0065586B" w:rsidRPr="0063664A" w:rsidRDefault="0065586B" w:rsidP="00881CF1">
      <w:pPr>
        <w:keepNext/>
        <w:rPr>
          <w:bCs/>
          <w:sz w:val="22"/>
          <w:szCs w:val="22"/>
          <w:u w:val="single"/>
          <w:lang w:val="sk-SK"/>
        </w:rPr>
      </w:pPr>
      <w:r w:rsidRPr="0063664A">
        <w:rPr>
          <w:bCs/>
          <w:sz w:val="22"/>
          <w:szCs w:val="22"/>
          <w:u w:val="single"/>
          <w:lang w:val="sk-SK"/>
        </w:rPr>
        <w:t>Sachinavir</w:t>
      </w:r>
    </w:p>
    <w:p w14:paraId="0165761F" w14:textId="77777777" w:rsidR="0065586B" w:rsidRPr="0063664A" w:rsidRDefault="0065586B" w:rsidP="002672E5">
      <w:pPr>
        <w:autoSpaceDE w:val="0"/>
        <w:autoSpaceDN w:val="0"/>
        <w:adjustRightInd w:val="0"/>
        <w:rPr>
          <w:bCs/>
          <w:iCs/>
          <w:sz w:val="22"/>
          <w:szCs w:val="22"/>
          <w:lang w:val="sk-SK"/>
        </w:rPr>
      </w:pPr>
      <w:r w:rsidRPr="0063664A">
        <w:rPr>
          <w:bCs/>
          <w:sz w:val="22"/>
          <w:szCs w:val="22"/>
          <w:lang w:val="sk-SK"/>
        </w:rPr>
        <w:t>Klaritromycín a</w:t>
      </w:r>
      <w:r w:rsidRPr="0063664A">
        <w:rPr>
          <w:sz w:val="22"/>
          <w:szCs w:val="22"/>
          <w:lang w:val="sk-SK"/>
        </w:rPr>
        <w:t> </w:t>
      </w:r>
      <w:r w:rsidRPr="0063664A">
        <w:rPr>
          <w:bCs/>
          <w:sz w:val="22"/>
          <w:szCs w:val="22"/>
          <w:lang w:val="sk-SK"/>
        </w:rPr>
        <w:t>sachinavir sú substráty a</w:t>
      </w:r>
      <w:r w:rsidRPr="0063664A">
        <w:rPr>
          <w:sz w:val="22"/>
          <w:szCs w:val="22"/>
          <w:lang w:val="sk-SK"/>
        </w:rPr>
        <w:t> </w:t>
      </w:r>
      <w:r w:rsidRPr="0063664A">
        <w:rPr>
          <w:bCs/>
          <w:sz w:val="22"/>
          <w:szCs w:val="22"/>
          <w:lang w:val="sk-SK"/>
        </w:rPr>
        <w:t>inhibítory CYP3A a </w:t>
      </w:r>
      <w:r w:rsidRPr="0063664A">
        <w:rPr>
          <w:bCs/>
          <w:iCs/>
          <w:sz w:val="22"/>
          <w:szCs w:val="22"/>
          <w:lang w:val="sk-SK"/>
        </w:rPr>
        <w:t>preukázala sa medzi nimi obojsmerná lieková interakcia</w:t>
      </w:r>
      <w:r w:rsidRPr="0063664A">
        <w:rPr>
          <w:bCs/>
          <w:sz w:val="22"/>
          <w:szCs w:val="22"/>
          <w:lang w:val="sk-SK"/>
        </w:rPr>
        <w:t>. Pri súbežnom podávaní klaritromycínu (500 mg 2</w:t>
      </w:r>
      <w:r w:rsidRPr="0063664A">
        <w:rPr>
          <w:sz w:val="22"/>
          <w:szCs w:val="22"/>
          <w:lang w:val="sk-SK"/>
        </w:rPr>
        <w:t>-krát</w:t>
      </w:r>
      <w:r w:rsidRPr="0063664A">
        <w:rPr>
          <w:bCs/>
          <w:sz w:val="22"/>
          <w:szCs w:val="22"/>
          <w:lang w:val="sk-SK"/>
        </w:rPr>
        <w:t xml:space="preserve"> denne) a sachinaviru (mäkké želatínové kapsuly, 1 200 mg 3</w:t>
      </w:r>
      <w:r w:rsidRPr="0063664A">
        <w:rPr>
          <w:sz w:val="22"/>
          <w:szCs w:val="22"/>
          <w:lang w:val="sk-SK"/>
        </w:rPr>
        <w:t>-krát</w:t>
      </w:r>
      <w:r w:rsidRPr="0063664A">
        <w:rPr>
          <w:bCs/>
          <w:sz w:val="22"/>
          <w:szCs w:val="22"/>
          <w:lang w:val="sk-SK"/>
        </w:rPr>
        <w:t xml:space="preserve"> denne) 12 zdravým dobrovoľníkom boli hodnoty AUC sachinaviru v rovnovážnom stave o 177 % vyššie a hodnoty C</w:t>
      </w:r>
      <w:r w:rsidRPr="0063664A">
        <w:rPr>
          <w:bCs/>
          <w:sz w:val="22"/>
          <w:szCs w:val="22"/>
          <w:vertAlign w:val="subscript"/>
          <w:lang w:val="sk-SK"/>
        </w:rPr>
        <w:t>max</w:t>
      </w:r>
      <w:r w:rsidRPr="0063664A">
        <w:rPr>
          <w:bCs/>
          <w:sz w:val="22"/>
          <w:szCs w:val="22"/>
          <w:lang w:val="sk-SK"/>
        </w:rPr>
        <w:t xml:space="preserve"> sachinaviru v rovnovážnom stave o 187 % vyššie ako hodnoty sachinaviru podávaného samostatne. Hodnoty AUC a</w:t>
      </w:r>
      <w:r w:rsidRPr="0063664A">
        <w:rPr>
          <w:sz w:val="22"/>
          <w:szCs w:val="22"/>
          <w:lang w:val="sk-SK"/>
        </w:rPr>
        <w:t> </w:t>
      </w:r>
      <w:r w:rsidRPr="0063664A">
        <w:rPr>
          <w:bCs/>
          <w:sz w:val="22"/>
          <w:szCs w:val="22"/>
          <w:lang w:val="sk-SK"/>
        </w:rPr>
        <w:t>C</w:t>
      </w:r>
      <w:r w:rsidRPr="0063664A">
        <w:rPr>
          <w:bCs/>
          <w:sz w:val="22"/>
          <w:szCs w:val="22"/>
          <w:vertAlign w:val="subscript"/>
          <w:lang w:val="sk-SK"/>
        </w:rPr>
        <w:t>max</w:t>
      </w:r>
      <w:r w:rsidRPr="0063664A">
        <w:rPr>
          <w:bCs/>
          <w:sz w:val="22"/>
          <w:szCs w:val="22"/>
          <w:lang w:val="sk-SK"/>
        </w:rPr>
        <w:t xml:space="preserve"> klaritromycínu boli približne o 40 % vyššie ako hodnoty</w:t>
      </w:r>
      <w:r w:rsidRPr="0063664A">
        <w:rPr>
          <w:sz w:val="22"/>
          <w:szCs w:val="22"/>
          <w:lang w:val="sk-SK"/>
        </w:rPr>
        <w:t> </w:t>
      </w:r>
      <w:r w:rsidRPr="0063664A">
        <w:rPr>
          <w:bCs/>
          <w:sz w:val="22"/>
          <w:szCs w:val="22"/>
          <w:lang w:val="sk-SK"/>
        </w:rPr>
        <w:t>klaritromycínu podávaného samostatne. Ak sa tieto liečivá podávajú súbežne obmedzenú dobu a v dávkach/liekových formách sledovaných v štúdiách, nie je potrebná žiadna úprava dávkovania. Pozorovania zo štúdií liekových interakcií s mäkkými želatínovými kapsulami sachinaviru nemusia zodpovedať účinkom</w:t>
      </w:r>
      <w:r w:rsidRPr="0063664A">
        <w:rPr>
          <w:bCs/>
          <w:iCs/>
          <w:sz w:val="22"/>
          <w:szCs w:val="22"/>
          <w:lang w:val="sk-SK"/>
        </w:rPr>
        <w:t xml:space="preserve"> pozorovaným pri použití tvrdých želatínových kapsúl sachinaviru</w:t>
      </w:r>
      <w:r w:rsidRPr="0063664A">
        <w:rPr>
          <w:bCs/>
          <w:sz w:val="22"/>
          <w:szCs w:val="22"/>
          <w:lang w:val="sk-SK"/>
        </w:rPr>
        <w:t>. Pozorovania zo štúdií liekových interakcií so</w:t>
      </w:r>
      <w:r w:rsidRPr="0063664A">
        <w:rPr>
          <w:sz w:val="22"/>
          <w:szCs w:val="22"/>
          <w:lang w:val="sk-SK"/>
        </w:rPr>
        <w:t> </w:t>
      </w:r>
      <w:r w:rsidRPr="0063664A">
        <w:rPr>
          <w:bCs/>
          <w:sz w:val="22"/>
          <w:szCs w:val="22"/>
          <w:lang w:val="sk-SK"/>
        </w:rPr>
        <w:t>samotným sachinavirom nemusia zodpovedať účinkom pozorovaným pri kombinovanej liečbe sachinavir/ritonavir. Pri súbežnom podávaní sachinaviru a</w:t>
      </w:r>
      <w:r w:rsidRPr="0063664A">
        <w:rPr>
          <w:sz w:val="22"/>
          <w:szCs w:val="22"/>
          <w:lang w:val="sk-SK"/>
        </w:rPr>
        <w:t> </w:t>
      </w:r>
      <w:r w:rsidRPr="0063664A">
        <w:rPr>
          <w:bCs/>
          <w:sz w:val="22"/>
          <w:szCs w:val="22"/>
          <w:lang w:val="sk-SK"/>
        </w:rPr>
        <w:t>ritonaviru treba zvážiť možné účinky ritonaviru na klaritromycín</w:t>
      </w:r>
      <w:r w:rsidRPr="0063664A">
        <w:rPr>
          <w:bCs/>
          <w:iCs/>
          <w:sz w:val="22"/>
          <w:szCs w:val="22"/>
          <w:lang w:val="sk-SK"/>
        </w:rPr>
        <w:t>.</w:t>
      </w:r>
    </w:p>
    <w:p w14:paraId="2C713251" w14:textId="77777777" w:rsidR="0065586B" w:rsidRPr="0063664A" w:rsidRDefault="0065586B" w:rsidP="002672E5">
      <w:pPr>
        <w:tabs>
          <w:tab w:val="left" w:pos="567"/>
        </w:tabs>
        <w:rPr>
          <w:b/>
          <w:sz w:val="22"/>
          <w:szCs w:val="22"/>
          <w:lang w:val="sk-SK"/>
        </w:rPr>
      </w:pPr>
    </w:p>
    <w:p w14:paraId="0DA429F7" w14:textId="77777777" w:rsidR="0065586B" w:rsidRPr="0063664A" w:rsidRDefault="0065586B" w:rsidP="00881CF1">
      <w:pPr>
        <w:keepNext/>
        <w:tabs>
          <w:tab w:val="left" w:pos="567"/>
        </w:tabs>
        <w:ind w:left="567" w:hanging="567"/>
        <w:rPr>
          <w:b/>
          <w:sz w:val="22"/>
          <w:szCs w:val="22"/>
          <w:lang w:val="sk-SK"/>
        </w:rPr>
      </w:pPr>
      <w:r w:rsidRPr="0063664A">
        <w:rPr>
          <w:b/>
          <w:sz w:val="22"/>
          <w:szCs w:val="22"/>
          <w:lang w:val="sk-SK"/>
        </w:rPr>
        <w:t>4.6</w:t>
      </w:r>
      <w:r w:rsidRPr="0063664A">
        <w:rPr>
          <w:b/>
          <w:sz w:val="22"/>
          <w:szCs w:val="22"/>
          <w:lang w:val="sk-SK"/>
        </w:rPr>
        <w:tab/>
        <w:t>Fertilita, gravidita a</w:t>
      </w:r>
      <w:r w:rsidR="00592A35" w:rsidRPr="0063664A">
        <w:rPr>
          <w:b/>
          <w:sz w:val="22"/>
          <w:szCs w:val="22"/>
          <w:lang w:val="sk-SK"/>
        </w:rPr>
        <w:t> </w:t>
      </w:r>
      <w:r w:rsidRPr="0063664A">
        <w:rPr>
          <w:b/>
          <w:sz w:val="22"/>
          <w:szCs w:val="22"/>
          <w:lang w:val="sk-SK"/>
        </w:rPr>
        <w:t>laktácia</w:t>
      </w:r>
    </w:p>
    <w:p w14:paraId="6DEAB438" w14:textId="77777777" w:rsidR="0065586B" w:rsidRPr="0063664A" w:rsidRDefault="0065586B" w:rsidP="0063664A">
      <w:pPr>
        <w:keepNext/>
        <w:rPr>
          <w:sz w:val="22"/>
          <w:u w:val="single"/>
          <w:lang w:val="sk-SK"/>
        </w:rPr>
      </w:pPr>
    </w:p>
    <w:p w14:paraId="6010B57A" w14:textId="77777777" w:rsidR="0065586B" w:rsidRPr="0063664A" w:rsidRDefault="0065586B" w:rsidP="00881CF1">
      <w:pPr>
        <w:keepNext/>
        <w:rPr>
          <w:iCs/>
          <w:sz w:val="22"/>
          <w:szCs w:val="22"/>
          <w:u w:val="single"/>
          <w:lang w:val="sk-SK"/>
        </w:rPr>
      </w:pPr>
      <w:r w:rsidRPr="0063664A">
        <w:rPr>
          <w:sz w:val="22"/>
          <w:u w:val="single"/>
          <w:lang w:val="sk-SK"/>
        </w:rPr>
        <w:t>Gravidita</w:t>
      </w:r>
    </w:p>
    <w:p w14:paraId="7C0EE58E" w14:textId="77777777" w:rsidR="0065586B" w:rsidRPr="0063664A" w:rsidRDefault="0065586B" w:rsidP="002672E5">
      <w:pPr>
        <w:rPr>
          <w:sz w:val="22"/>
          <w:szCs w:val="22"/>
          <w:lang w:val="sk-SK"/>
        </w:rPr>
      </w:pPr>
      <w:r w:rsidRPr="0063664A">
        <w:rPr>
          <w:iCs/>
          <w:sz w:val="22"/>
          <w:szCs w:val="22"/>
          <w:lang w:val="sk-SK"/>
        </w:rPr>
        <w:t>Bezpečnosť užívania klaritromycínu počas gravidity nebola stanovená</w:t>
      </w:r>
      <w:r w:rsidRPr="0063664A">
        <w:rPr>
          <w:i/>
          <w:sz w:val="22"/>
          <w:szCs w:val="22"/>
          <w:lang w:val="sk-SK"/>
        </w:rPr>
        <w:t xml:space="preserve">. </w:t>
      </w:r>
      <w:r w:rsidRPr="0063664A">
        <w:rPr>
          <w:sz w:val="22"/>
          <w:szCs w:val="22"/>
          <w:lang w:val="sk-SK"/>
        </w:rPr>
        <w:t>Na základe rôznych výsledkov zo skúšaní na myšiach, potkanoch, králikoch a opiciach nemožno vylúčiť možné nežiaduce účinky na embryofetálny vývoj. Preto sa užívanie klaritromycínu počas gravidity bez starostlivého zváženia pomeru prínosu a rizika neodporúča.</w:t>
      </w:r>
    </w:p>
    <w:p w14:paraId="6289696D" w14:textId="77777777" w:rsidR="0065586B" w:rsidRPr="0063664A" w:rsidRDefault="0065586B" w:rsidP="002672E5">
      <w:pPr>
        <w:rPr>
          <w:b/>
          <w:i/>
          <w:sz w:val="22"/>
          <w:szCs w:val="22"/>
          <w:lang w:val="sk-SK"/>
        </w:rPr>
      </w:pPr>
    </w:p>
    <w:p w14:paraId="4C9E69B7" w14:textId="77777777" w:rsidR="0065586B" w:rsidRPr="0063664A" w:rsidRDefault="0065586B" w:rsidP="00881CF1">
      <w:pPr>
        <w:keepNext/>
        <w:rPr>
          <w:sz w:val="22"/>
          <w:szCs w:val="22"/>
          <w:u w:val="single"/>
          <w:lang w:val="sk-SK"/>
        </w:rPr>
      </w:pPr>
      <w:r w:rsidRPr="0063664A">
        <w:rPr>
          <w:sz w:val="22"/>
          <w:szCs w:val="22"/>
          <w:u w:val="single"/>
          <w:lang w:val="sk-SK"/>
        </w:rPr>
        <w:t>Dojčenie</w:t>
      </w:r>
    </w:p>
    <w:p w14:paraId="744A79A1" w14:textId="77777777" w:rsidR="0065586B" w:rsidRPr="0063664A" w:rsidRDefault="0065586B" w:rsidP="002672E5">
      <w:pPr>
        <w:rPr>
          <w:sz w:val="22"/>
          <w:szCs w:val="22"/>
          <w:lang w:val="sk-SK"/>
        </w:rPr>
      </w:pPr>
      <w:r w:rsidRPr="0063664A">
        <w:rPr>
          <w:sz w:val="22"/>
          <w:szCs w:val="22"/>
          <w:lang w:val="sk-SK"/>
        </w:rPr>
        <w:t xml:space="preserve">Bezpečnosť klaritromycínu počas </w:t>
      </w:r>
      <w:r w:rsidRPr="0063664A">
        <w:rPr>
          <w:rStyle w:val="hps"/>
          <w:sz w:val="22"/>
          <w:szCs w:val="22"/>
          <w:lang w:val="sk-SK"/>
        </w:rPr>
        <w:t>laktácie nebola stanovená</w:t>
      </w:r>
      <w:r w:rsidRPr="0063664A">
        <w:rPr>
          <w:sz w:val="22"/>
          <w:szCs w:val="22"/>
          <w:lang w:val="sk-SK"/>
        </w:rPr>
        <w:t>. Klaritromycín sa vylučuje do materského mlieka u</w:t>
      </w:r>
      <w:r w:rsidR="002161AD" w:rsidRPr="0063664A">
        <w:rPr>
          <w:sz w:val="22"/>
          <w:szCs w:val="22"/>
          <w:lang w:val="sk-SK"/>
        </w:rPr>
        <w:t> </w:t>
      </w:r>
      <w:r w:rsidRPr="0063664A">
        <w:rPr>
          <w:sz w:val="22"/>
          <w:szCs w:val="22"/>
          <w:lang w:val="sk-SK"/>
        </w:rPr>
        <w:t>ľudí.</w:t>
      </w:r>
    </w:p>
    <w:p w14:paraId="682901C2" w14:textId="77777777" w:rsidR="00806FAB" w:rsidRPr="0063664A" w:rsidRDefault="00806FAB" w:rsidP="002672E5">
      <w:pPr>
        <w:rPr>
          <w:sz w:val="22"/>
          <w:szCs w:val="22"/>
          <w:lang w:val="sk-SK"/>
        </w:rPr>
      </w:pPr>
    </w:p>
    <w:p w14:paraId="08355B74" w14:textId="77777777" w:rsidR="00806FAB" w:rsidRPr="0063664A" w:rsidRDefault="00806FAB" w:rsidP="002672E5">
      <w:pPr>
        <w:rPr>
          <w:sz w:val="22"/>
          <w:szCs w:val="22"/>
          <w:u w:val="single"/>
          <w:lang w:val="sk-SK"/>
        </w:rPr>
      </w:pPr>
      <w:r w:rsidRPr="0063664A">
        <w:rPr>
          <w:sz w:val="22"/>
          <w:szCs w:val="22"/>
          <w:u w:val="single"/>
          <w:lang w:val="sk-SK"/>
        </w:rPr>
        <w:t>Fertilita</w:t>
      </w:r>
    </w:p>
    <w:p w14:paraId="02021ACE" w14:textId="77777777" w:rsidR="00806FAB" w:rsidRPr="0063664A" w:rsidRDefault="00806FAB" w:rsidP="002672E5">
      <w:pPr>
        <w:rPr>
          <w:sz w:val="22"/>
          <w:szCs w:val="22"/>
          <w:lang w:val="sk-SK"/>
        </w:rPr>
      </w:pPr>
      <w:r w:rsidRPr="0063664A">
        <w:rPr>
          <w:sz w:val="22"/>
          <w:szCs w:val="22"/>
          <w:lang w:val="sk-SK"/>
        </w:rPr>
        <w:lastRenderedPageBreak/>
        <w:t>Štúdie fertlity na potkanoch nepreukázali škodlivé účinky (pozri časť</w:t>
      </w:r>
      <w:r w:rsidR="008F3266" w:rsidRPr="0063664A">
        <w:rPr>
          <w:sz w:val="22"/>
          <w:szCs w:val="22"/>
          <w:lang w:val="sk-SK"/>
        </w:rPr>
        <w:t> </w:t>
      </w:r>
      <w:r w:rsidRPr="0063664A">
        <w:rPr>
          <w:sz w:val="22"/>
          <w:szCs w:val="22"/>
          <w:lang w:val="sk-SK"/>
        </w:rPr>
        <w:t>5.3).</w:t>
      </w:r>
    </w:p>
    <w:p w14:paraId="25CB0404" w14:textId="77777777" w:rsidR="0065586B" w:rsidRPr="0063664A" w:rsidRDefault="0065586B" w:rsidP="002672E5">
      <w:pPr>
        <w:rPr>
          <w:sz w:val="22"/>
          <w:szCs w:val="22"/>
          <w:lang w:val="sk-SK"/>
        </w:rPr>
      </w:pPr>
    </w:p>
    <w:p w14:paraId="7865C340" w14:textId="77777777" w:rsidR="0065586B" w:rsidRPr="0063664A" w:rsidRDefault="0065586B" w:rsidP="00881CF1">
      <w:pPr>
        <w:keepNext/>
        <w:tabs>
          <w:tab w:val="left" w:pos="567"/>
        </w:tabs>
        <w:rPr>
          <w:b/>
          <w:sz w:val="22"/>
          <w:szCs w:val="22"/>
          <w:lang w:val="sk-SK"/>
        </w:rPr>
      </w:pPr>
      <w:r w:rsidRPr="0063664A">
        <w:rPr>
          <w:b/>
          <w:sz w:val="22"/>
          <w:szCs w:val="22"/>
          <w:lang w:val="sk-SK"/>
        </w:rPr>
        <w:t>4.7</w:t>
      </w:r>
      <w:r w:rsidRPr="0063664A">
        <w:rPr>
          <w:b/>
          <w:sz w:val="22"/>
          <w:szCs w:val="22"/>
          <w:lang w:val="sk-SK"/>
        </w:rPr>
        <w:tab/>
        <w:t>Ovplyvnenie schopnosti viesť vozidlá a</w:t>
      </w:r>
      <w:r w:rsidR="00592A35" w:rsidRPr="0063664A">
        <w:rPr>
          <w:b/>
          <w:sz w:val="22"/>
          <w:szCs w:val="22"/>
          <w:lang w:val="sk-SK"/>
        </w:rPr>
        <w:t> </w:t>
      </w:r>
      <w:r w:rsidRPr="0063664A">
        <w:rPr>
          <w:b/>
          <w:sz w:val="22"/>
          <w:szCs w:val="22"/>
          <w:lang w:val="sk-SK"/>
        </w:rPr>
        <w:t>obsluhovať stroje</w:t>
      </w:r>
    </w:p>
    <w:p w14:paraId="73006F20" w14:textId="77777777" w:rsidR="0065586B" w:rsidRPr="0063664A" w:rsidRDefault="0065586B" w:rsidP="00881CF1">
      <w:pPr>
        <w:keepNext/>
        <w:rPr>
          <w:sz w:val="22"/>
          <w:szCs w:val="22"/>
          <w:lang w:val="sk-SK"/>
        </w:rPr>
      </w:pPr>
    </w:p>
    <w:p w14:paraId="72B408A5" w14:textId="77777777" w:rsidR="0065586B" w:rsidRPr="0063664A" w:rsidRDefault="0065586B" w:rsidP="002672E5">
      <w:pPr>
        <w:rPr>
          <w:sz w:val="22"/>
          <w:szCs w:val="22"/>
          <w:lang w:val="sk-SK"/>
        </w:rPr>
      </w:pPr>
      <w:r w:rsidRPr="0063664A">
        <w:rPr>
          <w:sz w:val="22"/>
          <w:szCs w:val="22"/>
          <w:lang w:val="sk-SK"/>
        </w:rPr>
        <w:t>Údaje o</w:t>
      </w:r>
      <w:r w:rsidR="002161AD" w:rsidRPr="0063664A">
        <w:rPr>
          <w:sz w:val="22"/>
          <w:szCs w:val="22"/>
          <w:lang w:val="sk-SK"/>
        </w:rPr>
        <w:t> </w:t>
      </w:r>
      <w:r w:rsidRPr="0063664A">
        <w:rPr>
          <w:sz w:val="22"/>
          <w:szCs w:val="22"/>
          <w:lang w:val="sk-SK"/>
        </w:rPr>
        <w:t xml:space="preserve">účinkoch </w:t>
      </w:r>
      <w:r w:rsidRPr="0063664A">
        <w:rPr>
          <w:iCs/>
          <w:sz w:val="22"/>
          <w:szCs w:val="22"/>
          <w:lang w:val="sk-SK"/>
        </w:rPr>
        <w:t xml:space="preserve">klaritromycínu na </w:t>
      </w:r>
      <w:r w:rsidRPr="0063664A">
        <w:rPr>
          <w:sz w:val="22"/>
          <w:szCs w:val="22"/>
          <w:lang w:val="sk-SK"/>
        </w:rPr>
        <w:t>schopnosť viesť vozidlá a obsluhovať stroje nie sú k dispozícii. Pred vedením vozidiel alebo obsluhou strojov je potrebné vziať do úvahy možnosť výskytu závratov, vertiga, zmätenosti a dezorientácie, ktoré sa môžu vyskytnúť počas liečby.</w:t>
      </w:r>
    </w:p>
    <w:p w14:paraId="7FBCA30A" w14:textId="77777777" w:rsidR="0065586B" w:rsidRPr="0063664A" w:rsidRDefault="0065586B" w:rsidP="0063664A">
      <w:pPr>
        <w:rPr>
          <w:sz w:val="22"/>
          <w:lang w:val="sk-SK"/>
        </w:rPr>
      </w:pPr>
    </w:p>
    <w:p w14:paraId="02C7B5A4" w14:textId="77777777" w:rsidR="0065586B" w:rsidRPr="0063664A" w:rsidRDefault="0065586B" w:rsidP="0063664A">
      <w:pPr>
        <w:keepNext/>
        <w:numPr>
          <w:ilvl w:val="1"/>
          <w:numId w:val="5"/>
        </w:numPr>
        <w:ind w:left="573" w:hanging="573"/>
        <w:rPr>
          <w:b/>
          <w:sz w:val="22"/>
          <w:lang w:val="sk-SK"/>
        </w:rPr>
      </w:pPr>
      <w:r w:rsidRPr="0063664A">
        <w:rPr>
          <w:b/>
          <w:sz w:val="22"/>
          <w:lang w:val="sk-SK"/>
        </w:rPr>
        <w:t>Nežiaduce účinky</w:t>
      </w:r>
    </w:p>
    <w:p w14:paraId="4290038F" w14:textId="77777777" w:rsidR="0065586B" w:rsidRPr="0063664A" w:rsidRDefault="0065586B" w:rsidP="0063664A">
      <w:pPr>
        <w:keepNext/>
        <w:rPr>
          <w:sz w:val="22"/>
          <w:lang w:val="sk-SK"/>
        </w:rPr>
      </w:pPr>
    </w:p>
    <w:p w14:paraId="29E55A85" w14:textId="77777777" w:rsidR="0065586B" w:rsidRPr="0063664A" w:rsidRDefault="0065586B" w:rsidP="00881CF1">
      <w:pPr>
        <w:keepNext/>
        <w:rPr>
          <w:b/>
          <w:bCs/>
          <w:i/>
          <w:iCs/>
          <w:sz w:val="22"/>
          <w:szCs w:val="22"/>
          <w:lang w:val="sk-SK" w:eastAsia="en-GB"/>
        </w:rPr>
      </w:pPr>
      <w:r w:rsidRPr="0063664A">
        <w:rPr>
          <w:b/>
          <w:bCs/>
          <w:i/>
          <w:iCs/>
          <w:sz w:val="22"/>
          <w:szCs w:val="22"/>
          <w:lang w:val="sk-SK" w:eastAsia="en-GB"/>
        </w:rPr>
        <w:t>a.</w:t>
      </w:r>
      <w:r w:rsidRPr="0063664A">
        <w:rPr>
          <w:b/>
          <w:bCs/>
          <w:i/>
          <w:iCs/>
          <w:sz w:val="22"/>
          <w:szCs w:val="22"/>
          <w:lang w:val="sk-SK" w:eastAsia="en-GB"/>
        </w:rPr>
        <w:tab/>
        <w:t>Súhrn bezpečnostného profilu</w:t>
      </w:r>
    </w:p>
    <w:p w14:paraId="5ECE7B6D" w14:textId="77777777" w:rsidR="0065586B" w:rsidRPr="0063664A" w:rsidRDefault="0065586B" w:rsidP="002672E5">
      <w:pPr>
        <w:rPr>
          <w:sz w:val="22"/>
          <w:szCs w:val="22"/>
          <w:lang w:val="sk-SK"/>
        </w:rPr>
      </w:pPr>
      <w:r w:rsidRPr="0063664A">
        <w:rPr>
          <w:sz w:val="22"/>
          <w:szCs w:val="22"/>
          <w:lang w:val="sk-SK"/>
        </w:rPr>
        <w:t>Najčastejšie a najbežnejšie nežiaduce reakcie súvisiace s liečbou klaritromycínom u dospelých a pediatrických pacientov sú bolesť brucha, hnačka, nevoľnosť, vracanie a porucha vnímania chuti. Tieto nežiaduce reakcie sú zvyčajne mierne a zodpovedajú známemu bezpečnostnému profilu makrolidových antibiotík (pozri časť</w:t>
      </w:r>
      <w:r w:rsidR="00636FF2" w:rsidRPr="0063664A">
        <w:rPr>
          <w:sz w:val="22"/>
          <w:szCs w:val="22"/>
          <w:lang w:val="sk-SK"/>
        </w:rPr>
        <w:t> </w:t>
      </w:r>
      <w:r w:rsidRPr="0063664A">
        <w:rPr>
          <w:sz w:val="22"/>
          <w:szCs w:val="22"/>
          <w:lang w:val="sk-SK"/>
        </w:rPr>
        <w:t>4.8, odsek b).</w:t>
      </w:r>
    </w:p>
    <w:p w14:paraId="32620001" w14:textId="77777777" w:rsidR="0065586B" w:rsidRPr="0063664A" w:rsidRDefault="0065586B" w:rsidP="00881CF1">
      <w:pPr>
        <w:rPr>
          <w:iCs/>
          <w:color w:val="000000"/>
          <w:sz w:val="22"/>
          <w:szCs w:val="22"/>
          <w:lang w:val="sk-SK"/>
        </w:rPr>
      </w:pPr>
    </w:p>
    <w:p w14:paraId="74A7066B" w14:textId="77777777" w:rsidR="0065586B" w:rsidRPr="0063664A" w:rsidRDefault="0065586B" w:rsidP="002672E5">
      <w:pPr>
        <w:rPr>
          <w:iCs/>
          <w:color w:val="000000"/>
          <w:sz w:val="22"/>
          <w:szCs w:val="22"/>
          <w:lang w:val="sk-SK" w:eastAsia="en-GB"/>
        </w:rPr>
      </w:pPr>
      <w:r w:rsidRPr="0063664A">
        <w:rPr>
          <w:sz w:val="22"/>
          <w:szCs w:val="22"/>
          <w:lang w:val="sk-SK"/>
        </w:rPr>
        <w:t>Počas klinických skúšaní sa medzi pacientmi s existujúcou mykobakteriálnou infekciou a pacientmi bez nej nezistil žiadny významný rozdiel vo výskyte uvedených gastrointestinálnych nežiaducich reakcií</w:t>
      </w:r>
      <w:r w:rsidRPr="0063664A">
        <w:rPr>
          <w:iCs/>
          <w:color w:val="000000"/>
          <w:sz w:val="22"/>
          <w:szCs w:val="22"/>
          <w:lang w:val="sk-SK" w:eastAsia="en-GB"/>
        </w:rPr>
        <w:t>.</w:t>
      </w:r>
    </w:p>
    <w:p w14:paraId="46AE31D4" w14:textId="77777777" w:rsidR="0065586B" w:rsidRPr="0063664A" w:rsidRDefault="0065586B" w:rsidP="002672E5">
      <w:pPr>
        <w:rPr>
          <w:iCs/>
          <w:color w:val="000000"/>
          <w:sz w:val="22"/>
          <w:szCs w:val="22"/>
          <w:lang w:val="sk-SK" w:eastAsia="en-GB"/>
        </w:rPr>
      </w:pPr>
    </w:p>
    <w:p w14:paraId="23BA6EB4" w14:textId="77777777" w:rsidR="0065586B" w:rsidRPr="0063664A" w:rsidRDefault="0065586B" w:rsidP="00881CF1">
      <w:pPr>
        <w:keepNext/>
        <w:rPr>
          <w:b/>
          <w:bCs/>
          <w:sz w:val="22"/>
          <w:szCs w:val="22"/>
          <w:u w:val="single"/>
          <w:lang w:val="sk-SK"/>
        </w:rPr>
      </w:pPr>
      <w:r w:rsidRPr="0063664A">
        <w:rPr>
          <w:b/>
          <w:bCs/>
          <w:i/>
          <w:iCs/>
          <w:sz w:val="22"/>
          <w:szCs w:val="22"/>
          <w:lang w:val="sk-SK" w:eastAsia="en-GB"/>
        </w:rPr>
        <w:t>b.</w:t>
      </w:r>
      <w:r w:rsidRPr="0063664A">
        <w:rPr>
          <w:b/>
          <w:bCs/>
          <w:i/>
          <w:iCs/>
          <w:sz w:val="22"/>
          <w:szCs w:val="22"/>
          <w:lang w:val="sk-SK" w:eastAsia="en-GB"/>
        </w:rPr>
        <w:tab/>
      </w:r>
      <w:r w:rsidRPr="0063664A">
        <w:rPr>
          <w:b/>
          <w:bCs/>
          <w:i/>
          <w:iCs/>
          <w:sz w:val="22"/>
          <w:szCs w:val="22"/>
          <w:lang w:val="sk-SK"/>
        </w:rPr>
        <w:t>Prehľadný súhrn</w:t>
      </w:r>
      <w:r w:rsidRPr="0063664A" w:rsidDel="005D3DD8">
        <w:rPr>
          <w:b/>
          <w:bCs/>
          <w:i/>
          <w:iCs/>
          <w:sz w:val="22"/>
          <w:szCs w:val="22"/>
          <w:lang w:val="sk-SK" w:eastAsia="en-GB"/>
        </w:rPr>
        <w:t xml:space="preserve"> </w:t>
      </w:r>
      <w:r w:rsidRPr="0063664A">
        <w:rPr>
          <w:b/>
          <w:bCs/>
          <w:i/>
          <w:iCs/>
          <w:sz w:val="22"/>
          <w:szCs w:val="22"/>
          <w:lang w:val="sk-SK" w:eastAsia="en-GB"/>
        </w:rPr>
        <w:t>nežiaducich reakcií</w:t>
      </w:r>
    </w:p>
    <w:p w14:paraId="4235BD51" w14:textId="77777777" w:rsidR="0065586B" w:rsidRPr="0063664A" w:rsidRDefault="0065586B" w:rsidP="002672E5">
      <w:pPr>
        <w:rPr>
          <w:sz w:val="22"/>
          <w:szCs w:val="22"/>
          <w:lang w:val="sk-SK"/>
        </w:rPr>
      </w:pPr>
      <w:r w:rsidRPr="0063664A">
        <w:rPr>
          <w:sz w:val="22"/>
          <w:szCs w:val="22"/>
          <w:lang w:val="sk-SK"/>
        </w:rPr>
        <w:t>V nasledujúcej tabuľke sú uvedené nežiaduce reakcie klaritromycínu vo forme tabliet s okamžitým uvoľňovaním, granulátu na perorálnu suspenziu, prášku na injekčný roztok a tabliet s riadeným uvoľňovaním, ktoré boli hlásené v klinických skúšaniach a po uvedení na trh.</w:t>
      </w:r>
    </w:p>
    <w:p w14:paraId="22ACA2AC" w14:textId="77777777" w:rsidR="0065586B" w:rsidRPr="0063664A" w:rsidRDefault="0065586B" w:rsidP="00881CF1">
      <w:pPr>
        <w:rPr>
          <w:bCs/>
          <w:sz w:val="22"/>
          <w:szCs w:val="22"/>
          <w:lang w:val="sk-SK"/>
        </w:rPr>
      </w:pPr>
    </w:p>
    <w:p w14:paraId="53E95695" w14:textId="77777777" w:rsidR="0065586B" w:rsidRPr="0063664A" w:rsidRDefault="0065586B" w:rsidP="002672E5">
      <w:pPr>
        <w:rPr>
          <w:sz w:val="22"/>
          <w:szCs w:val="22"/>
          <w:lang w:val="sk-SK"/>
        </w:rPr>
      </w:pPr>
      <w:r w:rsidRPr="0063664A">
        <w:rPr>
          <w:sz w:val="22"/>
          <w:szCs w:val="22"/>
          <w:lang w:val="sk-SK"/>
        </w:rPr>
        <w:t>Reakcie, ktorých výskyt je v súvislosti s klaritromycínom prinajmenšom možný, sú uvedené podľa tried orgánových systémov a frekvencie ich výskytu s použitím nasledujúcej konvencie: veľmi časté (≥ 1/10), časté (≥ 1/100 až &lt; 1/10), menej časté (≥ 1/1 000 až &lt; 1/100) a neznáme (</w:t>
      </w:r>
      <w:r w:rsidRPr="0063664A">
        <w:rPr>
          <w:color w:val="000000"/>
          <w:sz w:val="22"/>
          <w:szCs w:val="22"/>
          <w:lang w:val="sk-SK"/>
        </w:rPr>
        <w:t xml:space="preserve">z dostupných údajov). </w:t>
      </w:r>
      <w:r w:rsidRPr="0063664A">
        <w:rPr>
          <w:sz w:val="22"/>
          <w:szCs w:val="22"/>
          <w:lang w:val="sk-SK"/>
        </w:rPr>
        <w:t>V rámci každej skupiny frekvencie sú nežiaduce reakcie zoradené v poradí klesajúcej závažnosti, ak závažnosť bolo možné zhodnotiť.</w:t>
      </w:r>
    </w:p>
    <w:p w14:paraId="39AB7183" w14:textId="77777777" w:rsidR="0065586B" w:rsidRPr="0063664A" w:rsidRDefault="0065586B" w:rsidP="00881CF1">
      <w:pPr>
        <w:pStyle w:val="TableText"/>
        <w:rPr>
          <w:rFonts w:ascii="Times New Roman" w:hAnsi="Times New Roman"/>
          <w:sz w:val="22"/>
          <w:szCs w:val="22"/>
          <w:lang w:val="sk-SK"/>
        </w:rPr>
      </w:pPr>
    </w:p>
    <w:tbl>
      <w:tblPr>
        <w:tblW w:w="9498" w:type="dxa"/>
        <w:tblInd w:w="-318"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Layout w:type="fixed"/>
        <w:tblLook w:val="0000" w:firstRow="0" w:lastRow="0" w:firstColumn="0" w:lastColumn="0" w:noHBand="0" w:noVBand="0"/>
      </w:tblPr>
      <w:tblGrid>
        <w:gridCol w:w="1617"/>
        <w:gridCol w:w="1590"/>
        <w:gridCol w:w="1886"/>
        <w:gridCol w:w="2555"/>
        <w:gridCol w:w="1850"/>
      </w:tblGrid>
      <w:tr w:rsidR="0065586B" w:rsidRPr="0063664A" w14:paraId="4D01312F" w14:textId="77777777" w:rsidTr="00827FF8">
        <w:trPr>
          <w:trHeight w:val="40"/>
          <w:tblHeader/>
        </w:trPr>
        <w:tc>
          <w:tcPr>
            <w:tcW w:w="1617" w:type="dxa"/>
            <w:tcBorders>
              <w:top w:val="single" w:sz="12" w:space="0" w:color="auto"/>
              <w:bottom w:val="single" w:sz="18" w:space="0" w:color="auto"/>
              <w:right w:val="single" w:sz="18" w:space="0" w:color="auto"/>
            </w:tcBorders>
          </w:tcPr>
          <w:p w14:paraId="012E9133" w14:textId="77777777" w:rsidR="0065586B" w:rsidRPr="0063664A" w:rsidRDefault="0065586B" w:rsidP="002672E5">
            <w:pPr>
              <w:rPr>
                <w:b/>
                <w:bCs/>
                <w:sz w:val="22"/>
                <w:szCs w:val="22"/>
                <w:lang w:val="sk-SK"/>
              </w:rPr>
            </w:pPr>
            <w:r w:rsidRPr="0063664A">
              <w:rPr>
                <w:b/>
                <w:bCs/>
                <w:sz w:val="22"/>
                <w:szCs w:val="22"/>
                <w:lang w:val="sk-SK"/>
              </w:rPr>
              <w:t>Trieda orgánových systémov</w:t>
            </w:r>
          </w:p>
          <w:p w14:paraId="72850680" w14:textId="77777777" w:rsidR="0065586B" w:rsidRPr="0063664A" w:rsidRDefault="0065586B" w:rsidP="002672E5">
            <w:pPr>
              <w:rPr>
                <w:b/>
                <w:sz w:val="22"/>
                <w:szCs w:val="22"/>
                <w:lang w:val="sk-SK"/>
              </w:rPr>
            </w:pPr>
          </w:p>
        </w:tc>
        <w:tc>
          <w:tcPr>
            <w:tcW w:w="1590" w:type="dxa"/>
            <w:tcBorders>
              <w:top w:val="single" w:sz="12" w:space="0" w:color="auto"/>
              <w:left w:val="single" w:sz="18" w:space="0" w:color="auto"/>
              <w:bottom w:val="single" w:sz="18" w:space="0" w:color="auto"/>
            </w:tcBorders>
          </w:tcPr>
          <w:p w14:paraId="74574672" w14:textId="77777777" w:rsidR="0065586B" w:rsidRPr="0063664A" w:rsidRDefault="0065586B" w:rsidP="002672E5">
            <w:pPr>
              <w:rPr>
                <w:b/>
                <w:sz w:val="22"/>
                <w:szCs w:val="22"/>
                <w:lang w:val="sk-SK"/>
              </w:rPr>
            </w:pPr>
            <w:r w:rsidRPr="0063664A">
              <w:rPr>
                <w:b/>
                <w:sz w:val="22"/>
                <w:szCs w:val="22"/>
                <w:lang w:val="sk-SK"/>
              </w:rPr>
              <w:t>Veľmi časté (≥ 1/10 )</w:t>
            </w:r>
          </w:p>
        </w:tc>
        <w:tc>
          <w:tcPr>
            <w:tcW w:w="1886" w:type="dxa"/>
            <w:tcBorders>
              <w:top w:val="single" w:sz="12" w:space="0" w:color="auto"/>
              <w:bottom w:val="single" w:sz="18" w:space="0" w:color="auto"/>
            </w:tcBorders>
          </w:tcPr>
          <w:p w14:paraId="53368903" w14:textId="77777777" w:rsidR="0065586B" w:rsidRPr="0063664A" w:rsidRDefault="0065586B" w:rsidP="002672E5">
            <w:pPr>
              <w:rPr>
                <w:b/>
                <w:sz w:val="22"/>
                <w:szCs w:val="22"/>
                <w:lang w:val="sk-SK"/>
              </w:rPr>
            </w:pPr>
            <w:r w:rsidRPr="0063664A">
              <w:rPr>
                <w:b/>
                <w:sz w:val="22"/>
                <w:szCs w:val="22"/>
                <w:lang w:val="sk-SK"/>
              </w:rPr>
              <w:t xml:space="preserve">Časté </w:t>
            </w:r>
          </w:p>
          <w:p w14:paraId="6E330CD5" w14:textId="77777777" w:rsidR="0065586B" w:rsidRPr="0063664A" w:rsidRDefault="0065586B" w:rsidP="002672E5">
            <w:pPr>
              <w:rPr>
                <w:b/>
                <w:sz w:val="22"/>
                <w:szCs w:val="22"/>
                <w:lang w:val="sk-SK"/>
              </w:rPr>
            </w:pPr>
            <w:r w:rsidRPr="0063664A">
              <w:rPr>
                <w:b/>
                <w:sz w:val="22"/>
                <w:szCs w:val="22"/>
                <w:lang w:val="sk-SK"/>
              </w:rPr>
              <w:t>(≥ 1/100 až &lt; 1/10)</w:t>
            </w:r>
          </w:p>
        </w:tc>
        <w:tc>
          <w:tcPr>
            <w:tcW w:w="2555" w:type="dxa"/>
            <w:tcBorders>
              <w:top w:val="single" w:sz="12" w:space="0" w:color="auto"/>
              <w:bottom w:val="single" w:sz="18" w:space="0" w:color="auto"/>
            </w:tcBorders>
          </w:tcPr>
          <w:p w14:paraId="378031EE" w14:textId="77777777" w:rsidR="0065586B" w:rsidRPr="0063664A" w:rsidRDefault="0065586B" w:rsidP="002672E5">
            <w:pPr>
              <w:rPr>
                <w:b/>
                <w:sz w:val="22"/>
                <w:szCs w:val="22"/>
                <w:lang w:val="sk-SK"/>
              </w:rPr>
            </w:pPr>
            <w:r w:rsidRPr="0063664A">
              <w:rPr>
                <w:b/>
                <w:sz w:val="22"/>
                <w:szCs w:val="22"/>
                <w:lang w:val="sk-SK"/>
              </w:rPr>
              <w:t xml:space="preserve">Menej časté </w:t>
            </w:r>
          </w:p>
          <w:p w14:paraId="4C083653" w14:textId="77777777" w:rsidR="0065586B" w:rsidRPr="0063664A" w:rsidRDefault="0065586B" w:rsidP="002672E5">
            <w:pPr>
              <w:rPr>
                <w:b/>
                <w:sz w:val="22"/>
                <w:szCs w:val="22"/>
                <w:lang w:val="sk-SK"/>
              </w:rPr>
            </w:pPr>
            <w:r w:rsidRPr="0063664A">
              <w:rPr>
                <w:b/>
                <w:sz w:val="22"/>
                <w:szCs w:val="22"/>
                <w:lang w:val="sk-SK"/>
              </w:rPr>
              <w:t>(≥ 1/1 000 až &lt; 1/100)</w:t>
            </w:r>
          </w:p>
        </w:tc>
        <w:tc>
          <w:tcPr>
            <w:tcW w:w="1850" w:type="dxa"/>
            <w:tcBorders>
              <w:top w:val="single" w:sz="12" w:space="0" w:color="auto"/>
              <w:bottom w:val="single" w:sz="18" w:space="0" w:color="auto"/>
              <w:right w:val="single" w:sz="12" w:space="0" w:color="auto"/>
            </w:tcBorders>
          </w:tcPr>
          <w:p w14:paraId="7218F733" w14:textId="77777777" w:rsidR="0065586B" w:rsidRPr="0063664A" w:rsidRDefault="0065586B" w:rsidP="002672E5">
            <w:pPr>
              <w:rPr>
                <w:b/>
                <w:sz w:val="22"/>
                <w:szCs w:val="22"/>
                <w:lang w:val="sk-SK"/>
              </w:rPr>
            </w:pPr>
            <w:r w:rsidRPr="0063664A">
              <w:rPr>
                <w:b/>
                <w:sz w:val="22"/>
                <w:szCs w:val="22"/>
                <w:lang w:val="sk-SK"/>
              </w:rPr>
              <w:t xml:space="preserve">Neznáme </w:t>
            </w:r>
          </w:p>
          <w:p w14:paraId="42D052B1" w14:textId="77777777" w:rsidR="0065586B" w:rsidRPr="0063664A" w:rsidRDefault="0065586B" w:rsidP="002672E5">
            <w:pPr>
              <w:rPr>
                <w:b/>
                <w:sz w:val="22"/>
                <w:szCs w:val="22"/>
                <w:lang w:val="sk-SK"/>
              </w:rPr>
            </w:pPr>
            <w:r w:rsidRPr="0063664A">
              <w:rPr>
                <w:b/>
                <w:sz w:val="22"/>
                <w:szCs w:val="22"/>
                <w:lang w:val="sk-SK"/>
              </w:rPr>
              <w:t>(</w:t>
            </w:r>
            <w:r w:rsidRPr="0063664A">
              <w:rPr>
                <w:b/>
                <w:color w:val="000000"/>
                <w:sz w:val="22"/>
                <w:szCs w:val="22"/>
                <w:lang w:val="sk-SK"/>
              </w:rPr>
              <w:t xml:space="preserve">z dostupných údajov) </w:t>
            </w:r>
          </w:p>
        </w:tc>
      </w:tr>
      <w:tr w:rsidR="0065586B" w:rsidRPr="0063664A" w14:paraId="697FF447" w14:textId="77777777" w:rsidTr="0004307F">
        <w:trPr>
          <w:trHeight w:val="40"/>
        </w:trPr>
        <w:tc>
          <w:tcPr>
            <w:tcW w:w="1617" w:type="dxa"/>
            <w:tcBorders>
              <w:top w:val="single" w:sz="18" w:space="0" w:color="auto"/>
              <w:right w:val="single" w:sz="18" w:space="0" w:color="auto"/>
            </w:tcBorders>
          </w:tcPr>
          <w:p w14:paraId="41C8AC98" w14:textId="77777777" w:rsidR="0065586B" w:rsidRPr="0063664A" w:rsidRDefault="0065586B" w:rsidP="002672E5">
            <w:pPr>
              <w:rPr>
                <w:b/>
                <w:sz w:val="22"/>
                <w:szCs w:val="22"/>
                <w:lang w:val="sk-SK"/>
              </w:rPr>
            </w:pPr>
            <w:r w:rsidRPr="0063664A">
              <w:rPr>
                <w:b/>
                <w:bCs/>
                <w:sz w:val="22"/>
                <w:szCs w:val="22"/>
                <w:lang w:val="sk-SK"/>
              </w:rPr>
              <w:t>Infekcie a nákazy</w:t>
            </w:r>
            <w:r w:rsidRPr="0063664A">
              <w:rPr>
                <w:b/>
                <w:sz w:val="22"/>
                <w:szCs w:val="22"/>
                <w:lang w:val="sk-SK"/>
              </w:rPr>
              <w:t xml:space="preserve"> </w:t>
            </w:r>
          </w:p>
        </w:tc>
        <w:tc>
          <w:tcPr>
            <w:tcW w:w="1590" w:type="dxa"/>
            <w:tcBorders>
              <w:top w:val="single" w:sz="18" w:space="0" w:color="auto"/>
              <w:left w:val="single" w:sz="18" w:space="0" w:color="auto"/>
            </w:tcBorders>
          </w:tcPr>
          <w:p w14:paraId="4A9218DD" w14:textId="77777777" w:rsidR="0065586B" w:rsidRPr="0063664A" w:rsidRDefault="0065586B" w:rsidP="002672E5">
            <w:pPr>
              <w:rPr>
                <w:sz w:val="22"/>
                <w:szCs w:val="22"/>
                <w:lang w:val="sk-SK"/>
              </w:rPr>
            </w:pPr>
          </w:p>
        </w:tc>
        <w:tc>
          <w:tcPr>
            <w:tcW w:w="1886" w:type="dxa"/>
            <w:tcBorders>
              <w:top w:val="single" w:sz="18" w:space="0" w:color="auto"/>
            </w:tcBorders>
          </w:tcPr>
          <w:p w14:paraId="61D0A15D" w14:textId="77777777" w:rsidR="0065586B" w:rsidRPr="0063664A" w:rsidRDefault="0065586B" w:rsidP="002672E5">
            <w:pPr>
              <w:rPr>
                <w:sz w:val="22"/>
                <w:szCs w:val="22"/>
                <w:lang w:val="sk-SK"/>
              </w:rPr>
            </w:pPr>
          </w:p>
        </w:tc>
        <w:tc>
          <w:tcPr>
            <w:tcW w:w="2555" w:type="dxa"/>
            <w:tcBorders>
              <w:top w:val="single" w:sz="18" w:space="0" w:color="auto"/>
            </w:tcBorders>
          </w:tcPr>
          <w:p w14:paraId="1BCB46C7" w14:textId="77777777" w:rsidR="0065586B" w:rsidRPr="0063664A" w:rsidRDefault="0065586B" w:rsidP="002672E5">
            <w:pPr>
              <w:rPr>
                <w:color w:val="000000"/>
                <w:sz w:val="22"/>
                <w:szCs w:val="22"/>
                <w:lang w:val="sk-SK"/>
              </w:rPr>
            </w:pPr>
            <w:r w:rsidRPr="0063664A">
              <w:rPr>
                <w:color w:val="000000"/>
                <w:sz w:val="22"/>
                <w:szCs w:val="22"/>
                <w:lang w:val="sk-SK"/>
              </w:rPr>
              <w:t>Celulitída</w:t>
            </w:r>
            <w:r w:rsidRPr="0063664A">
              <w:rPr>
                <w:bCs/>
                <w:color w:val="000000"/>
                <w:sz w:val="22"/>
                <w:szCs w:val="22"/>
                <w:vertAlign w:val="superscript"/>
                <w:lang w:val="sk-SK"/>
              </w:rPr>
              <w:t>1</w:t>
            </w:r>
            <w:r w:rsidRPr="0063664A">
              <w:rPr>
                <w:color w:val="000000"/>
                <w:sz w:val="22"/>
                <w:szCs w:val="22"/>
                <w:lang w:val="sk-SK"/>
              </w:rPr>
              <w:t>, kandidóza, gastroenteritída</w:t>
            </w:r>
            <w:r w:rsidRPr="0063664A">
              <w:rPr>
                <w:color w:val="000000"/>
                <w:sz w:val="22"/>
                <w:szCs w:val="22"/>
                <w:vertAlign w:val="superscript"/>
                <w:lang w:val="sk-SK"/>
              </w:rPr>
              <w:t>2</w:t>
            </w:r>
            <w:r w:rsidRPr="0063664A">
              <w:rPr>
                <w:color w:val="000000"/>
                <w:sz w:val="22"/>
                <w:szCs w:val="22"/>
                <w:lang w:val="sk-SK"/>
              </w:rPr>
              <w:t>, infekcia</w:t>
            </w:r>
            <w:r w:rsidRPr="0063664A">
              <w:rPr>
                <w:color w:val="000000"/>
                <w:sz w:val="22"/>
                <w:szCs w:val="22"/>
                <w:vertAlign w:val="superscript"/>
                <w:lang w:val="sk-SK"/>
              </w:rPr>
              <w:t>3</w:t>
            </w:r>
            <w:r w:rsidRPr="0063664A">
              <w:rPr>
                <w:color w:val="000000"/>
                <w:sz w:val="22"/>
                <w:szCs w:val="22"/>
                <w:lang w:val="sk-SK"/>
              </w:rPr>
              <w:t>, vaginálna infekcia</w:t>
            </w:r>
          </w:p>
        </w:tc>
        <w:tc>
          <w:tcPr>
            <w:tcW w:w="1850" w:type="dxa"/>
            <w:tcBorders>
              <w:top w:val="single" w:sz="18" w:space="0" w:color="auto"/>
              <w:right w:val="single" w:sz="12" w:space="0" w:color="auto"/>
            </w:tcBorders>
          </w:tcPr>
          <w:p w14:paraId="6066F989" w14:textId="77777777" w:rsidR="0065586B" w:rsidRPr="0063664A" w:rsidRDefault="0065586B" w:rsidP="002672E5">
            <w:pPr>
              <w:rPr>
                <w:sz w:val="22"/>
                <w:szCs w:val="22"/>
                <w:lang w:val="sk-SK"/>
              </w:rPr>
            </w:pPr>
            <w:r w:rsidRPr="0063664A">
              <w:rPr>
                <w:color w:val="000000"/>
                <w:sz w:val="22"/>
                <w:szCs w:val="22"/>
                <w:lang w:val="sk-SK"/>
              </w:rPr>
              <w:t>Pseudomembranózna kolitída,</w:t>
            </w:r>
            <w:r w:rsidRPr="0063664A">
              <w:rPr>
                <w:iCs/>
                <w:color w:val="000000"/>
                <w:sz w:val="22"/>
                <w:szCs w:val="22"/>
                <w:lang w:val="sk-SK"/>
              </w:rPr>
              <w:t xml:space="preserve"> eryzipel</w:t>
            </w:r>
          </w:p>
        </w:tc>
      </w:tr>
      <w:tr w:rsidR="0065586B" w:rsidRPr="0063664A" w14:paraId="0E1F4ADA" w14:textId="77777777" w:rsidTr="0004307F">
        <w:trPr>
          <w:trHeight w:val="40"/>
        </w:trPr>
        <w:tc>
          <w:tcPr>
            <w:tcW w:w="1617" w:type="dxa"/>
            <w:tcBorders>
              <w:right w:val="single" w:sz="18" w:space="0" w:color="auto"/>
            </w:tcBorders>
          </w:tcPr>
          <w:p w14:paraId="6CCB3D21" w14:textId="77777777" w:rsidR="0065586B" w:rsidRPr="0063664A" w:rsidRDefault="0065586B" w:rsidP="00881CF1">
            <w:pPr>
              <w:pStyle w:val="Nadpis9"/>
              <w:keepNext w:val="0"/>
              <w:rPr>
                <w:rFonts w:ascii="Times New Roman" w:hAnsi="Times New Roman"/>
                <w:b/>
                <w:bCs/>
                <w:iCs/>
                <w:lang w:val="sk-SK"/>
              </w:rPr>
            </w:pPr>
            <w:r w:rsidRPr="0063664A">
              <w:rPr>
                <w:rFonts w:ascii="Times New Roman" w:hAnsi="Times New Roman"/>
                <w:b/>
                <w:bCs/>
                <w:iCs/>
                <w:lang w:val="sk-SK"/>
              </w:rPr>
              <w:t>Poruchy krvi a lymfatického systému</w:t>
            </w:r>
          </w:p>
        </w:tc>
        <w:tc>
          <w:tcPr>
            <w:tcW w:w="1590" w:type="dxa"/>
            <w:tcBorders>
              <w:left w:val="single" w:sz="18" w:space="0" w:color="auto"/>
            </w:tcBorders>
          </w:tcPr>
          <w:p w14:paraId="4BF5060F" w14:textId="77777777" w:rsidR="0065586B" w:rsidRPr="0063664A" w:rsidRDefault="0065586B" w:rsidP="002672E5">
            <w:pPr>
              <w:rPr>
                <w:sz w:val="22"/>
                <w:szCs w:val="22"/>
                <w:lang w:val="sk-SK"/>
              </w:rPr>
            </w:pPr>
          </w:p>
        </w:tc>
        <w:tc>
          <w:tcPr>
            <w:tcW w:w="1886" w:type="dxa"/>
          </w:tcPr>
          <w:p w14:paraId="11F65D05" w14:textId="77777777" w:rsidR="0065586B" w:rsidRPr="0063664A" w:rsidRDefault="0065586B" w:rsidP="002672E5">
            <w:pPr>
              <w:rPr>
                <w:sz w:val="22"/>
                <w:szCs w:val="22"/>
                <w:lang w:val="sk-SK"/>
              </w:rPr>
            </w:pPr>
          </w:p>
        </w:tc>
        <w:tc>
          <w:tcPr>
            <w:tcW w:w="2555" w:type="dxa"/>
          </w:tcPr>
          <w:p w14:paraId="335B4E0D" w14:textId="77777777" w:rsidR="0065586B" w:rsidRPr="0063664A" w:rsidRDefault="0065586B" w:rsidP="002672E5">
            <w:pPr>
              <w:rPr>
                <w:color w:val="000000"/>
                <w:sz w:val="22"/>
                <w:szCs w:val="22"/>
                <w:lang w:val="sk-SK"/>
              </w:rPr>
            </w:pPr>
            <w:r w:rsidRPr="0063664A">
              <w:rPr>
                <w:color w:val="000000"/>
                <w:sz w:val="22"/>
                <w:szCs w:val="22"/>
                <w:lang w:val="sk-SK"/>
              </w:rPr>
              <w:t>Leukopénia, neutropénia</w:t>
            </w:r>
            <w:r w:rsidRPr="0063664A">
              <w:rPr>
                <w:color w:val="000000"/>
                <w:sz w:val="22"/>
                <w:szCs w:val="22"/>
                <w:vertAlign w:val="superscript"/>
                <w:lang w:val="sk-SK"/>
              </w:rPr>
              <w:t>4</w:t>
            </w:r>
            <w:r w:rsidRPr="0063664A">
              <w:rPr>
                <w:color w:val="000000"/>
                <w:sz w:val="22"/>
                <w:szCs w:val="22"/>
                <w:lang w:val="sk-SK"/>
              </w:rPr>
              <w:t>, trombocytémia</w:t>
            </w:r>
            <w:r w:rsidRPr="0063664A">
              <w:rPr>
                <w:bCs/>
                <w:color w:val="000000"/>
                <w:sz w:val="22"/>
                <w:szCs w:val="22"/>
                <w:vertAlign w:val="superscript"/>
                <w:lang w:val="sk-SK"/>
              </w:rPr>
              <w:t>3</w:t>
            </w:r>
            <w:r w:rsidRPr="0063664A">
              <w:rPr>
                <w:color w:val="000000"/>
                <w:sz w:val="22"/>
                <w:szCs w:val="22"/>
                <w:lang w:val="sk-SK"/>
              </w:rPr>
              <w:t>, eozinofília</w:t>
            </w:r>
            <w:r w:rsidRPr="0063664A">
              <w:rPr>
                <w:color w:val="000000"/>
                <w:sz w:val="22"/>
                <w:szCs w:val="22"/>
                <w:vertAlign w:val="superscript"/>
                <w:lang w:val="sk-SK"/>
              </w:rPr>
              <w:t>4</w:t>
            </w:r>
          </w:p>
        </w:tc>
        <w:tc>
          <w:tcPr>
            <w:tcW w:w="1850" w:type="dxa"/>
            <w:tcBorders>
              <w:right w:val="single" w:sz="12" w:space="0" w:color="auto"/>
            </w:tcBorders>
          </w:tcPr>
          <w:p w14:paraId="50CE1C44" w14:textId="77777777" w:rsidR="0065586B" w:rsidRPr="0063664A" w:rsidRDefault="0065586B" w:rsidP="002672E5">
            <w:pPr>
              <w:rPr>
                <w:sz w:val="22"/>
                <w:szCs w:val="22"/>
                <w:lang w:val="sk-SK"/>
              </w:rPr>
            </w:pPr>
            <w:r w:rsidRPr="0063664A">
              <w:rPr>
                <w:color w:val="000000"/>
                <w:sz w:val="22"/>
                <w:szCs w:val="22"/>
                <w:lang w:val="sk-SK"/>
              </w:rPr>
              <w:t>Agranulocytóza, trombocytopénia</w:t>
            </w:r>
          </w:p>
        </w:tc>
      </w:tr>
      <w:tr w:rsidR="0065586B" w:rsidRPr="0063664A" w14:paraId="4E64756B" w14:textId="77777777" w:rsidTr="0004307F">
        <w:trPr>
          <w:trHeight w:val="40"/>
        </w:trPr>
        <w:tc>
          <w:tcPr>
            <w:tcW w:w="1617" w:type="dxa"/>
            <w:tcBorders>
              <w:right w:val="single" w:sz="18" w:space="0" w:color="auto"/>
            </w:tcBorders>
          </w:tcPr>
          <w:p w14:paraId="6187411E" w14:textId="77777777" w:rsidR="0065586B" w:rsidRPr="0063664A" w:rsidRDefault="0065586B" w:rsidP="00881CF1">
            <w:pPr>
              <w:pStyle w:val="Nadpis9"/>
              <w:keepNext w:val="0"/>
              <w:rPr>
                <w:rFonts w:ascii="Times New Roman" w:hAnsi="Times New Roman"/>
                <w:b/>
                <w:bCs/>
                <w:iCs/>
                <w:lang w:val="sk-SK"/>
              </w:rPr>
            </w:pPr>
            <w:r w:rsidRPr="0063664A">
              <w:rPr>
                <w:rFonts w:ascii="Times New Roman" w:hAnsi="Times New Roman"/>
                <w:b/>
                <w:bCs/>
                <w:iCs/>
                <w:lang w:val="sk-SK"/>
              </w:rPr>
              <w:t>Poruchy imunitného systému</w:t>
            </w:r>
          </w:p>
        </w:tc>
        <w:tc>
          <w:tcPr>
            <w:tcW w:w="1590" w:type="dxa"/>
            <w:tcBorders>
              <w:left w:val="single" w:sz="18" w:space="0" w:color="auto"/>
            </w:tcBorders>
          </w:tcPr>
          <w:p w14:paraId="1CDA1762" w14:textId="77777777" w:rsidR="0065586B" w:rsidRPr="0063664A" w:rsidRDefault="0065586B" w:rsidP="002672E5">
            <w:pPr>
              <w:rPr>
                <w:sz w:val="22"/>
                <w:szCs w:val="22"/>
                <w:lang w:val="sk-SK"/>
              </w:rPr>
            </w:pPr>
          </w:p>
        </w:tc>
        <w:tc>
          <w:tcPr>
            <w:tcW w:w="1886" w:type="dxa"/>
          </w:tcPr>
          <w:p w14:paraId="75BFCB43" w14:textId="77777777" w:rsidR="0065586B" w:rsidRPr="0063664A" w:rsidRDefault="0065586B" w:rsidP="002672E5">
            <w:pPr>
              <w:rPr>
                <w:sz w:val="22"/>
                <w:szCs w:val="22"/>
                <w:lang w:val="sk-SK"/>
              </w:rPr>
            </w:pPr>
          </w:p>
        </w:tc>
        <w:tc>
          <w:tcPr>
            <w:tcW w:w="2555" w:type="dxa"/>
          </w:tcPr>
          <w:p w14:paraId="59E5C02D" w14:textId="77777777" w:rsidR="0065586B" w:rsidRPr="0063664A" w:rsidRDefault="0065586B" w:rsidP="002672E5">
            <w:pPr>
              <w:rPr>
                <w:color w:val="000000"/>
                <w:sz w:val="22"/>
                <w:szCs w:val="22"/>
                <w:lang w:val="sk-SK"/>
              </w:rPr>
            </w:pPr>
            <w:r w:rsidRPr="0063664A">
              <w:rPr>
                <w:color w:val="000000"/>
                <w:sz w:val="22"/>
                <w:szCs w:val="22"/>
                <w:lang w:val="sk-SK"/>
              </w:rPr>
              <w:t>Anafylaktická reakcia</w:t>
            </w:r>
            <w:r w:rsidRPr="0063664A">
              <w:rPr>
                <w:bCs/>
                <w:color w:val="000000"/>
                <w:sz w:val="22"/>
                <w:szCs w:val="22"/>
                <w:vertAlign w:val="superscript"/>
                <w:lang w:val="sk-SK"/>
              </w:rPr>
              <w:t>1</w:t>
            </w:r>
            <w:r w:rsidRPr="0063664A">
              <w:rPr>
                <w:color w:val="000000"/>
                <w:sz w:val="22"/>
                <w:szCs w:val="22"/>
                <w:lang w:val="sk-SK"/>
              </w:rPr>
              <w:t>, hypersenzitivita</w:t>
            </w:r>
          </w:p>
        </w:tc>
        <w:tc>
          <w:tcPr>
            <w:tcW w:w="1850" w:type="dxa"/>
            <w:tcBorders>
              <w:right w:val="single" w:sz="12" w:space="0" w:color="auto"/>
            </w:tcBorders>
          </w:tcPr>
          <w:p w14:paraId="5E0A5B7B" w14:textId="77777777" w:rsidR="0065586B" w:rsidRPr="0063664A" w:rsidRDefault="0065586B" w:rsidP="002672E5">
            <w:pPr>
              <w:rPr>
                <w:sz w:val="22"/>
                <w:szCs w:val="22"/>
                <w:lang w:val="sk-SK"/>
              </w:rPr>
            </w:pPr>
            <w:r w:rsidRPr="0063664A">
              <w:rPr>
                <w:color w:val="000000"/>
                <w:sz w:val="22"/>
                <w:szCs w:val="22"/>
                <w:lang w:val="sk-SK"/>
              </w:rPr>
              <w:t>Anafylaktická reakcia, angioedém</w:t>
            </w:r>
          </w:p>
        </w:tc>
      </w:tr>
      <w:tr w:rsidR="0065586B" w:rsidRPr="0063664A" w14:paraId="70B1F1F5" w14:textId="77777777" w:rsidTr="0004307F">
        <w:trPr>
          <w:trHeight w:val="40"/>
        </w:trPr>
        <w:tc>
          <w:tcPr>
            <w:tcW w:w="1617" w:type="dxa"/>
            <w:tcBorders>
              <w:right w:val="single" w:sz="18" w:space="0" w:color="auto"/>
            </w:tcBorders>
          </w:tcPr>
          <w:p w14:paraId="7EF96DBF" w14:textId="77777777" w:rsidR="0065586B" w:rsidRPr="0063664A" w:rsidRDefault="0065586B" w:rsidP="002672E5">
            <w:pPr>
              <w:rPr>
                <w:b/>
                <w:sz w:val="22"/>
                <w:szCs w:val="22"/>
                <w:lang w:val="sk-SK"/>
              </w:rPr>
            </w:pPr>
            <w:r w:rsidRPr="0063664A">
              <w:rPr>
                <w:b/>
                <w:color w:val="000000"/>
                <w:sz w:val="22"/>
                <w:szCs w:val="22"/>
                <w:lang w:val="sk-SK"/>
              </w:rPr>
              <w:t xml:space="preserve">Poruchy metabolizmu a výživy </w:t>
            </w:r>
          </w:p>
        </w:tc>
        <w:tc>
          <w:tcPr>
            <w:tcW w:w="1590" w:type="dxa"/>
            <w:tcBorders>
              <w:left w:val="single" w:sz="18" w:space="0" w:color="auto"/>
            </w:tcBorders>
          </w:tcPr>
          <w:p w14:paraId="41F43D76" w14:textId="77777777" w:rsidR="0065586B" w:rsidRPr="0063664A" w:rsidRDefault="0065586B" w:rsidP="002672E5">
            <w:pPr>
              <w:rPr>
                <w:sz w:val="22"/>
                <w:szCs w:val="22"/>
                <w:lang w:val="sk-SK"/>
              </w:rPr>
            </w:pPr>
          </w:p>
        </w:tc>
        <w:tc>
          <w:tcPr>
            <w:tcW w:w="1886" w:type="dxa"/>
          </w:tcPr>
          <w:p w14:paraId="51E6A21F" w14:textId="77777777" w:rsidR="0065586B" w:rsidRPr="0063664A" w:rsidRDefault="0065586B" w:rsidP="002672E5">
            <w:pPr>
              <w:rPr>
                <w:sz w:val="22"/>
                <w:szCs w:val="22"/>
                <w:lang w:val="sk-SK"/>
              </w:rPr>
            </w:pPr>
          </w:p>
        </w:tc>
        <w:tc>
          <w:tcPr>
            <w:tcW w:w="2555" w:type="dxa"/>
          </w:tcPr>
          <w:p w14:paraId="17E65954" w14:textId="77777777" w:rsidR="0065586B" w:rsidRPr="0063664A" w:rsidRDefault="0065586B" w:rsidP="002672E5">
            <w:pPr>
              <w:rPr>
                <w:color w:val="000000"/>
                <w:sz w:val="22"/>
                <w:szCs w:val="22"/>
                <w:lang w:val="sk-SK"/>
              </w:rPr>
            </w:pPr>
            <w:r w:rsidRPr="0063664A">
              <w:rPr>
                <w:color w:val="000000"/>
                <w:sz w:val="22"/>
                <w:szCs w:val="22"/>
                <w:lang w:val="sk-SK"/>
              </w:rPr>
              <w:t xml:space="preserve">Anorexia, znížená chuť do jedla </w:t>
            </w:r>
          </w:p>
        </w:tc>
        <w:tc>
          <w:tcPr>
            <w:tcW w:w="1850" w:type="dxa"/>
            <w:tcBorders>
              <w:right w:val="single" w:sz="12" w:space="0" w:color="auto"/>
            </w:tcBorders>
          </w:tcPr>
          <w:p w14:paraId="7AFDABBA" w14:textId="77777777" w:rsidR="0065586B" w:rsidRPr="0063664A" w:rsidRDefault="0065586B" w:rsidP="002672E5">
            <w:pPr>
              <w:rPr>
                <w:sz w:val="22"/>
                <w:szCs w:val="22"/>
                <w:lang w:val="sk-SK"/>
              </w:rPr>
            </w:pPr>
          </w:p>
        </w:tc>
      </w:tr>
      <w:tr w:rsidR="0065586B" w:rsidRPr="0063664A" w14:paraId="442496BE" w14:textId="77777777" w:rsidTr="0004307F">
        <w:trPr>
          <w:trHeight w:val="40"/>
        </w:trPr>
        <w:tc>
          <w:tcPr>
            <w:tcW w:w="1617" w:type="dxa"/>
            <w:tcBorders>
              <w:right w:val="single" w:sz="18" w:space="0" w:color="auto"/>
            </w:tcBorders>
          </w:tcPr>
          <w:p w14:paraId="759C39B7" w14:textId="77777777" w:rsidR="0065586B" w:rsidRPr="0063664A" w:rsidRDefault="0065586B" w:rsidP="002672E5">
            <w:pPr>
              <w:rPr>
                <w:b/>
                <w:color w:val="000000"/>
                <w:sz w:val="22"/>
                <w:szCs w:val="22"/>
                <w:lang w:val="sk-SK"/>
              </w:rPr>
            </w:pPr>
            <w:r w:rsidRPr="0063664A">
              <w:rPr>
                <w:b/>
                <w:color w:val="000000"/>
                <w:sz w:val="22"/>
                <w:szCs w:val="22"/>
                <w:lang w:val="sk-SK"/>
              </w:rPr>
              <w:t xml:space="preserve">Psychické poruchy </w:t>
            </w:r>
          </w:p>
        </w:tc>
        <w:tc>
          <w:tcPr>
            <w:tcW w:w="1590" w:type="dxa"/>
            <w:tcBorders>
              <w:left w:val="single" w:sz="18" w:space="0" w:color="auto"/>
            </w:tcBorders>
          </w:tcPr>
          <w:p w14:paraId="055F091C" w14:textId="77777777" w:rsidR="0065586B" w:rsidRPr="0063664A" w:rsidRDefault="0065586B" w:rsidP="002672E5">
            <w:pPr>
              <w:rPr>
                <w:sz w:val="22"/>
                <w:szCs w:val="22"/>
                <w:lang w:val="sk-SK"/>
              </w:rPr>
            </w:pPr>
          </w:p>
        </w:tc>
        <w:tc>
          <w:tcPr>
            <w:tcW w:w="1886" w:type="dxa"/>
          </w:tcPr>
          <w:p w14:paraId="29ED32BE" w14:textId="77777777" w:rsidR="0065586B" w:rsidRPr="0063664A" w:rsidRDefault="0065586B" w:rsidP="002672E5">
            <w:pPr>
              <w:rPr>
                <w:sz w:val="22"/>
                <w:szCs w:val="22"/>
                <w:lang w:val="sk-SK"/>
              </w:rPr>
            </w:pPr>
            <w:r w:rsidRPr="0063664A">
              <w:rPr>
                <w:sz w:val="22"/>
                <w:szCs w:val="22"/>
                <w:lang w:val="sk-SK"/>
              </w:rPr>
              <w:t>Nespavosť</w:t>
            </w:r>
          </w:p>
        </w:tc>
        <w:tc>
          <w:tcPr>
            <w:tcW w:w="2555" w:type="dxa"/>
          </w:tcPr>
          <w:p w14:paraId="0BC06603" w14:textId="77777777" w:rsidR="0065586B" w:rsidRPr="0063664A" w:rsidRDefault="0065586B" w:rsidP="002672E5">
            <w:pPr>
              <w:rPr>
                <w:color w:val="000000"/>
                <w:sz w:val="22"/>
                <w:szCs w:val="22"/>
                <w:lang w:val="sk-SK"/>
              </w:rPr>
            </w:pPr>
            <w:r w:rsidRPr="0063664A">
              <w:rPr>
                <w:color w:val="000000"/>
                <w:sz w:val="22"/>
                <w:szCs w:val="22"/>
                <w:lang w:val="sk-SK"/>
              </w:rPr>
              <w:t>Úzkosť, nervozita</w:t>
            </w:r>
            <w:r w:rsidRPr="0063664A">
              <w:rPr>
                <w:color w:val="000000"/>
                <w:sz w:val="22"/>
                <w:szCs w:val="22"/>
                <w:vertAlign w:val="superscript"/>
                <w:lang w:val="sk-SK"/>
              </w:rPr>
              <w:t>3</w:t>
            </w:r>
            <w:r w:rsidRPr="0063664A">
              <w:rPr>
                <w:color w:val="000000"/>
                <w:sz w:val="22"/>
                <w:szCs w:val="22"/>
                <w:lang w:val="sk-SK"/>
              </w:rPr>
              <w:t xml:space="preserve"> </w:t>
            </w:r>
          </w:p>
        </w:tc>
        <w:tc>
          <w:tcPr>
            <w:tcW w:w="1850" w:type="dxa"/>
            <w:tcBorders>
              <w:right w:val="single" w:sz="12" w:space="0" w:color="auto"/>
            </w:tcBorders>
          </w:tcPr>
          <w:p w14:paraId="6F164366" w14:textId="77777777" w:rsidR="0065586B" w:rsidRPr="0063664A" w:rsidRDefault="0065586B" w:rsidP="002672E5">
            <w:pPr>
              <w:rPr>
                <w:sz w:val="22"/>
                <w:szCs w:val="22"/>
                <w:lang w:val="sk-SK"/>
              </w:rPr>
            </w:pPr>
            <w:r w:rsidRPr="0063664A">
              <w:rPr>
                <w:bCs/>
                <w:sz w:val="22"/>
                <w:szCs w:val="22"/>
                <w:lang w:val="sk-SK"/>
              </w:rPr>
              <w:t>Psychotická porucha, stav zmätenosti, depersonalizácia, depresia, dezorientácia, halucinácie, abnormálne sny, mánia</w:t>
            </w:r>
          </w:p>
        </w:tc>
      </w:tr>
      <w:tr w:rsidR="0065586B" w:rsidRPr="0063664A" w14:paraId="349EE796" w14:textId="77777777" w:rsidTr="0004307F">
        <w:trPr>
          <w:trHeight w:val="40"/>
        </w:trPr>
        <w:tc>
          <w:tcPr>
            <w:tcW w:w="1617" w:type="dxa"/>
            <w:tcBorders>
              <w:right w:val="single" w:sz="18" w:space="0" w:color="auto"/>
            </w:tcBorders>
          </w:tcPr>
          <w:p w14:paraId="4AB7C613" w14:textId="77777777" w:rsidR="0065586B" w:rsidRPr="0063664A" w:rsidRDefault="0065586B" w:rsidP="00881CF1">
            <w:pPr>
              <w:pStyle w:val="Nadpis9"/>
              <w:keepNext w:val="0"/>
              <w:rPr>
                <w:rFonts w:ascii="Times New Roman" w:hAnsi="Times New Roman"/>
                <w:b/>
                <w:bCs/>
                <w:iCs/>
                <w:lang w:val="sk-SK"/>
              </w:rPr>
            </w:pPr>
            <w:r w:rsidRPr="0063664A">
              <w:rPr>
                <w:rFonts w:ascii="Times New Roman" w:hAnsi="Times New Roman"/>
                <w:b/>
                <w:bCs/>
                <w:iCs/>
                <w:lang w:val="sk-SK"/>
              </w:rPr>
              <w:lastRenderedPageBreak/>
              <w:t>Poruchy nervového systému</w:t>
            </w:r>
          </w:p>
          <w:p w14:paraId="07369295" w14:textId="77777777" w:rsidR="0065586B" w:rsidRPr="0063664A" w:rsidRDefault="0065586B" w:rsidP="002672E5">
            <w:pPr>
              <w:rPr>
                <w:b/>
                <w:color w:val="000000"/>
                <w:sz w:val="22"/>
                <w:szCs w:val="22"/>
                <w:lang w:val="sk-SK"/>
              </w:rPr>
            </w:pPr>
          </w:p>
        </w:tc>
        <w:tc>
          <w:tcPr>
            <w:tcW w:w="1590" w:type="dxa"/>
            <w:tcBorders>
              <w:left w:val="single" w:sz="18" w:space="0" w:color="auto"/>
            </w:tcBorders>
          </w:tcPr>
          <w:p w14:paraId="53A22323" w14:textId="77777777" w:rsidR="0065586B" w:rsidRPr="0063664A" w:rsidRDefault="0065586B" w:rsidP="002672E5">
            <w:pPr>
              <w:rPr>
                <w:sz w:val="22"/>
                <w:szCs w:val="22"/>
                <w:lang w:val="sk-SK"/>
              </w:rPr>
            </w:pPr>
          </w:p>
        </w:tc>
        <w:tc>
          <w:tcPr>
            <w:tcW w:w="1886" w:type="dxa"/>
          </w:tcPr>
          <w:p w14:paraId="0E2ADAB9" w14:textId="77777777" w:rsidR="0065586B" w:rsidRPr="0063664A" w:rsidRDefault="0065586B" w:rsidP="002672E5">
            <w:pPr>
              <w:rPr>
                <w:color w:val="000000"/>
                <w:sz w:val="22"/>
                <w:szCs w:val="22"/>
                <w:lang w:val="sk-SK"/>
              </w:rPr>
            </w:pPr>
            <w:r w:rsidRPr="0063664A">
              <w:rPr>
                <w:color w:val="000000"/>
                <w:sz w:val="22"/>
                <w:szCs w:val="22"/>
                <w:lang w:val="sk-SK"/>
              </w:rPr>
              <w:t>Porucha vnímania chuti, bolesť hlavy</w:t>
            </w:r>
          </w:p>
        </w:tc>
        <w:tc>
          <w:tcPr>
            <w:tcW w:w="2555" w:type="dxa"/>
          </w:tcPr>
          <w:p w14:paraId="1D1598FE" w14:textId="77777777" w:rsidR="0065586B" w:rsidRPr="0063664A" w:rsidRDefault="0065586B" w:rsidP="002672E5">
            <w:pPr>
              <w:rPr>
                <w:color w:val="000000"/>
                <w:sz w:val="22"/>
                <w:szCs w:val="22"/>
                <w:lang w:val="sk-SK"/>
              </w:rPr>
            </w:pPr>
            <w:r w:rsidRPr="0063664A">
              <w:rPr>
                <w:color w:val="000000"/>
                <w:sz w:val="22"/>
                <w:szCs w:val="22"/>
                <w:lang w:val="sk-SK"/>
              </w:rPr>
              <w:t>Strata vedomia</w:t>
            </w:r>
            <w:r w:rsidRPr="0063664A">
              <w:rPr>
                <w:color w:val="000000"/>
                <w:sz w:val="22"/>
                <w:szCs w:val="22"/>
                <w:vertAlign w:val="superscript"/>
                <w:lang w:val="sk-SK"/>
              </w:rPr>
              <w:t>1</w:t>
            </w:r>
            <w:r w:rsidRPr="0063664A">
              <w:rPr>
                <w:color w:val="000000"/>
                <w:sz w:val="22"/>
                <w:szCs w:val="22"/>
                <w:lang w:val="sk-SK"/>
              </w:rPr>
              <w:t>, dyskinéza</w:t>
            </w:r>
            <w:r w:rsidRPr="0063664A">
              <w:rPr>
                <w:color w:val="000000"/>
                <w:sz w:val="22"/>
                <w:szCs w:val="22"/>
                <w:vertAlign w:val="superscript"/>
                <w:lang w:val="sk-SK"/>
              </w:rPr>
              <w:t>1</w:t>
            </w:r>
            <w:r w:rsidRPr="0063664A">
              <w:rPr>
                <w:color w:val="000000"/>
                <w:sz w:val="22"/>
                <w:szCs w:val="22"/>
                <w:lang w:val="sk-SK"/>
              </w:rPr>
              <w:t>, závrat, ospalosť</w:t>
            </w:r>
            <w:r w:rsidRPr="0063664A">
              <w:rPr>
                <w:color w:val="000000"/>
                <w:sz w:val="22"/>
                <w:szCs w:val="22"/>
                <w:vertAlign w:val="superscript"/>
                <w:lang w:val="sk-SK"/>
              </w:rPr>
              <w:t>6</w:t>
            </w:r>
            <w:r w:rsidRPr="0063664A">
              <w:rPr>
                <w:color w:val="000000"/>
                <w:sz w:val="22"/>
                <w:szCs w:val="22"/>
                <w:lang w:val="sk-SK"/>
              </w:rPr>
              <w:t>, tras</w:t>
            </w:r>
          </w:p>
        </w:tc>
        <w:tc>
          <w:tcPr>
            <w:tcW w:w="1850" w:type="dxa"/>
            <w:tcBorders>
              <w:right w:val="single" w:sz="12" w:space="0" w:color="auto"/>
            </w:tcBorders>
          </w:tcPr>
          <w:p w14:paraId="609AFB13" w14:textId="77777777" w:rsidR="0065586B" w:rsidRPr="0063664A" w:rsidRDefault="0065586B" w:rsidP="002672E5">
            <w:pPr>
              <w:rPr>
                <w:sz w:val="22"/>
                <w:szCs w:val="22"/>
                <w:lang w:val="sk-SK"/>
              </w:rPr>
            </w:pPr>
            <w:r w:rsidRPr="0063664A">
              <w:rPr>
                <w:color w:val="000000"/>
                <w:sz w:val="22"/>
                <w:szCs w:val="22"/>
                <w:lang w:val="sk-SK"/>
              </w:rPr>
              <w:t>Kŕče, strata schopnosti vnímať chuť, porucha čuchu, strata čuchu, parestézia</w:t>
            </w:r>
          </w:p>
        </w:tc>
      </w:tr>
      <w:tr w:rsidR="0065586B" w:rsidRPr="0063664A" w14:paraId="16CCDFCC" w14:textId="77777777" w:rsidTr="0004307F">
        <w:trPr>
          <w:trHeight w:val="40"/>
        </w:trPr>
        <w:tc>
          <w:tcPr>
            <w:tcW w:w="1617" w:type="dxa"/>
            <w:tcBorders>
              <w:right w:val="single" w:sz="18" w:space="0" w:color="auto"/>
            </w:tcBorders>
          </w:tcPr>
          <w:p w14:paraId="4F273D9B" w14:textId="77777777" w:rsidR="0065586B" w:rsidRPr="0063664A" w:rsidRDefault="0065586B" w:rsidP="00881CF1">
            <w:pPr>
              <w:pStyle w:val="Nadpis9"/>
              <w:keepNext w:val="0"/>
              <w:rPr>
                <w:rFonts w:ascii="Times New Roman" w:hAnsi="Times New Roman"/>
                <w:b/>
                <w:bCs/>
                <w:i/>
                <w:iCs/>
                <w:color w:val="000000"/>
                <w:lang w:val="sk-SK"/>
              </w:rPr>
            </w:pPr>
            <w:r w:rsidRPr="0063664A">
              <w:rPr>
                <w:rFonts w:ascii="Times New Roman" w:hAnsi="Times New Roman"/>
                <w:b/>
                <w:bCs/>
                <w:iCs/>
                <w:lang w:val="sk-SK"/>
              </w:rPr>
              <w:t>Poruchy ucha a labyrintu</w:t>
            </w:r>
          </w:p>
        </w:tc>
        <w:tc>
          <w:tcPr>
            <w:tcW w:w="1590" w:type="dxa"/>
            <w:tcBorders>
              <w:left w:val="single" w:sz="18" w:space="0" w:color="auto"/>
              <w:bottom w:val="single" w:sz="4" w:space="0" w:color="auto"/>
            </w:tcBorders>
          </w:tcPr>
          <w:p w14:paraId="2F735487" w14:textId="77777777" w:rsidR="0065586B" w:rsidRPr="0063664A" w:rsidRDefault="0065586B" w:rsidP="002672E5">
            <w:pPr>
              <w:rPr>
                <w:sz w:val="22"/>
                <w:szCs w:val="22"/>
                <w:lang w:val="sk-SK"/>
              </w:rPr>
            </w:pPr>
          </w:p>
        </w:tc>
        <w:tc>
          <w:tcPr>
            <w:tcW w:w="1886" w:type="dxa"/>
          </w:tcPr>
          <w:p w14:paraId="767E8420" w14:textId="77777777" w:rsidR="0065586B" w:rsidRPr="0063664A" w:rsidRDefault="0065586B" w:rsidP="002672E5">
            <w:pPr>
              <w:rPr>
                <w:sz w:val="22"/>
                <w:szCs w:val="22"/>
                <w:lang w:val="sk-SK"/>
              </w:rPr>
            </w:pPr>
          </w:p>
        </w:tc>
        <w:tc>
          <w:tcPr>
            <w:tcW w:w="2555" w:type="dxa"/>
          </w:tcPr>
          <w:p w14:paraId="6E9FAB98" w14:textId="77777777" w:rsidR="0065586B" w:rsidRPr="0063664A" w:rsidRDefault="0065586B" w:rsidP="002672E5">
            <w:pPr>
              <w:rPr>
                <w:color w:val="000000"/>
                <w:sz w:val="22"/>
                <w:szCs w:val="22"/>
                <w:lang w:val="sk-SK"/>
              </w:rPr>
            </w:pPr>
            <w:r w:rsidRPr="0063664A">
              <w:rPr>
                <w:color w:val="000000"/>
                <w:sz w:val="22"/>
                <w:szCs w:val="22"/>
                <w:lang w:val="sk-SK"/>
              </w:rPr>
              <w:t>Vertigo, porucha sluchu, tinnitus</w:t>
            </w:r>
          </w:p>
        </w:tc>
        <w:tc>
          <w:tcPr>
            <w:tcW w:w="1850" w:type="dxa"/>
            <w:tcBorders>
              <w:right w:val="single" w:sz="12" w:space="0" w:color="auto"/>
            </w:tcBorders>
          </w:tcPr>
          <w:p w14:paraId="7E86DCAD" w14:textId="77777777" w:rsidR="0065586B" w:rsidRPr="0063664A" w:rsidRDefault="0065586B" w:rsidP="002672E5">
            <w:pPr>
              <w:rPr>
                <w:sz w:val="22"/>
                <w:szCs w:val="22"/>
                <w:lang w:val="sk-SK"/>
              </w:rPr>
            </w:pPr>
            <w:r w:rsidRPr="0063664A">
              <w:rPr>
                <w:color w:val="000000"/>
                <w:sz w:val="22"/>
                <w:szCs w:val="22"/>
                <w:lang w:val="sk-SK"/>
              </w:rPr>
              <w:t>Hluchota</w:t>
            </w:r>
          </w:p>
        </w:tc>
      </w:tr>
      <w:tr w:rsidR="0065586B" w:rsidRPr="0063664A" w14:paraId="71E80536" w14:textId="77777777" w:rsidTr="0004307F">
        <w:trPr>
          <w:trHeight w:val="40"/>
        </w:trPr>
        <w:tc>
          <w:tcPr>
            <w:tcW w:w="1617" w:type="dxa"/>
            <w:tcBorders>
              <w:right w:val="single" w:sz="18" w:space="0" w:color="auto"/>
            </w:tcBorders>
          </w:tcPr>
          <w:p w14:paraId="4CB24DD4" w14:textId="77777777" w:rsidR="0065586B" w:rsidRPr="0063664A" w:rsidRDefault="0065586B" w:rsidP="00881CF1">
            <w:pPr>
              <w:pStyle w:val="Nadpis9"/>
              <w:keepNext w:val="0"/>
              <w:rPr>
                <w:rFonts w:ascii="Times New Roman" w:hAnsi="Times New Roman"/>
                <w:b/>
                <w:bCs/>
                <w:i/>
                <w:iCs/>
                <w:color w:val="000000"/>
                <w:lang w:val="sk-SK"/>
              </w:rPr>
            </w:pPr>
            <w:r w:rsidRPr="0063664A">
              <w:rPr>
                <w:rFonts w:ascii="Times New Roman" w:hAnsi="Times New Roman"/>
                <w:b/>
                <w:i/>
                <w:lang w:val="sk-SK"/>
              </w:rPr>
              <w:t xml:space="preserve">Poruchy srdca </w:t>
            </w:r>
            <w:r w:rsidRPr="0063664A">
              <w:rPr>
                <w:rFonts w:ascii="Times New Roman" w:hAnsi="Times New Roman"/>
                <w:b/>
                <w:bCs/>
                <w:iCs/>
                <w:color w:val="000000"/>
                <w:lang w:val="sk-SK"/>
              </w:rPr>
              <w:t>a srdcovej činnosti</w:t>
            </w:r>
          </w:p>
        </w:tc>
        <w:tc>
          <w:tcPr>
            <w:tcW w:w="1590" w:type="dxa"/>
            <w:tcBorders>
              <w:top w:val="single" w:sz="4" w:space="0" w:color="auto"/>
              <w:left w:val="single" w:sz="18" w:space="0" w:color="auto"/>
            </w:tcBorders>
          </w:tcPr>
          <w:p w14:paraId="6F60AB1C" w14:textId="77777777" w:rsidR="0065586B" w:rsidRPr="0063664A" w:rsidRDefault="0065586B" w:rsidP="002672E5">
            <w:pPr>
              <w:rPr>
                <w:sz w:val="22"/>
                <w:szCs w:val="22"/>
                <w:lang w:val="sk-SK"/>
              </w:rPr>
            </w:pPr>
          </w:p>
        </w:tc>
        <w:tc>
          <w:tcPr>
            <w:tcW w:w="1886" w:type="dxa"/>
          </w:tcPr>
          <w:p w14:paraId="6A913CFE" w14:textId="77777777" w:rsidR="0065586B" w:rsidRPr="0063664A" w:rsidRDefault="0065586B" w:rsidP="002672E5">
            <w:pPr>
              <w:rPr>
                <w:sz w:val="22"/>
                <w:szCs w:val="22"/>
                <w:lang w:val="sk-SK"/>
              </w:rPr>
            </w:pPr>
          </w:p>
        </w:tc>
        <w:tc>
          <w:tcPr>
            <w:tcW w:w="2555" w:type="dxa"/>
          </w:tcPr>
          <w:p w14:paraId="60DDC4CC" w14:textId="77777777" w:rsidR="0065586B" w:rsidRPr="0063664A" w:rsidRDefault="0065586B" w:rsidP="002672E5">
            <w:pPr>
              <w:rPr>
                <w:color w:val="000000"/>
                <w:sz w:val="22"/>
                <w:szCs w:val="22"/>
                <w:lang w:val="sk-SK"/>
              </w:rPr>
            </w:pPr>
            <w:r w:rsidRPr="0063664A">
              <w:rPr>
                <w:color w:val="000000"/>
                <w:sz w:val="22"/>
                <w:szCs w:val="22"/>
                <w:lang w:val="sk-SK"/>
              </w:rPr>
              <w:t>Zastavenie srdca</w:t>
            </w:r>
            <w:r w:rsidRPr="0063664A">
              <w:rPr>
                <w:color w:val="000000"/>
                <w:sz w:val="22"/>
                <w:szCs w:val="22"/>
                <w:vertAlign w:val="superscript"/>
                <w:lang w:val="sk-SK"/>
              </w:rPr>
              <w:t>1</w:t>
            </w:r>
            <w:r w:rsidRPr="0063664A">
              <w:rPr>
                <w:color w:val="000000"/>
                <w:sz w:val="22"/>
                <w:szCs w:val="22"/>
                <w:lang w:val="sk-SK"/>
              </w:rPr>
              <w:t>, atriálna fibrilácia</w:t>
            </w:r>
            <w:r w:rsidRPr="0063664A">
              <w:rPr>
                <w:color w:val="000000"/>
                <w:sz w:val="22"/>
                <w:szCs w:val="22"/>
                <w:vertAlign w:val="superscript"/>
                <w:lang w:val="sk-SK"/>
              </w:rPr>
              <w:t>1</w:t>
            </w:r>
            <w:r w:rsidRPr="0063664A">
              <w:rPr>
                <w:color w:val="000000"/>
                <w:sz w:val="22"/>
                <w:szCs w:val="22"/>
                <w:lang w:val="sk-SK"/>
              </w:rPr>
              <w:t>, predĺženie QT intervalu na EKG</w:t>
            </w:r>
            <w:r w:rsidRPr="0063664A">
              <w:rPr>
                <w:color w:val="000000"/>
                <w:sz w:val="22"/>
                <w:szCs w:val="22"/>
                <w:vertAlign w:val="superscript"/>
                <w:lang w:val="sk-SK"/>
              </w:rPr>
              <w:t>7</w:t>
            </w:r>
            <w:r w:rsidRPr="0063664A">
              <w:rPr>
                <w:color w:val="000000"/>
                <w:sz w:val="22"/>
                <w:szCs w:val="22"/>
                <w:lang w:val="sk-SK"/>
              </w:rPr>
              <w:t>, extrasystoly</w:t>
            </w:r>
            <w:r w:rsidRPr="0063664A">
              <w:rPr>
                <w:color w:val="000000"/>
                <w:sz w:val="22"/>
                <w:szCs w:val="22"/>
                <w:vertAlign w:val="superscript"/>
                <w:lang w:val="sk-SK"/>
              </w:rPr>
              <w:t>1</w:t>
            </w:r>
            <w:r w:rsidRPr="0063664A">
              <w:rPr>
                <w:color w:val="000000"/>
                <w:sz w:val="22"/>
                <w:szCs w:val="22"/>
                <w:lang w:val="sk-SK"/>
              </w:rPr>
              <w:t>, palpitácie</w:t>
            </w:r>
          </w:p>
        </w:tc>
        <w:tc>
          <w:tcPr>
            <w:tcW w:w="1850" w:type="dxa"/>
            <w:tcBorders>
              <w:right w:val="single" w:sz="12" w:space="0" w:color="auto"/>
            </w:tcBorders>
          </w:tcPr>
          <w:p w14:paraId="36D3AEDC" w14:textId="77777777" w:rsidR="0065586B" w:rsidRPr="0063664A" w:rsidRDefault="0065586B" w:rsidP="002672E5">
            <w:pPr>
              <w:rPr>
                <w:sz w:val="22"/>
                <w:szCs w:val="22"/>
                <w:lang w:val="sk-SK"/>
              </w:rPr>
            </w:pPr>
            <w:r w:rsidRPr="0063664A">
              <w:rPr>
                <w:i/>
                <w:color w:val="000000"/>
                <w:sz w:val="22"/>
                <w:szCs w:val="22"/>
                <w:lang w:val="sk-SK"/>
              </w:rPr>
              <w:t>Torsades de pointes</w:t>
            </w:r>
            <w:r w:rsidRPr="0063664A">
              <w:rPr>
                <w:color w:val="000000"/>
                <w:sz w:val="22"/>
                <w:szCs w:val="22"/>
                <w:vertAlign w:val="superscript"/>
                <w:lang w:val="sk-SK"/>
              </w:rPr>
              <w:t>7</w:t>
            </w:r>
            <w:r w:rsidRPr="0063664A">
              <w:rPr>
                <w:color w:val="000000"/>
                <w:sz w:val="22"/>
                <w:szCs w:val="22"/>
                <w:lang w:val="sk-SK"/>
              </w:rPr>
              <w:t>, ventrikulárna tachykardia</w:t>
            </w:r>
            <w:r w:rsidRPr="0063664A">
              <w:rPr>
                <w:color w:val="000000"/>
                <w:sz w:val="22"/>
                <w:szCs w:val="22"/>
                <w:vertAlign w:val="superscript"/>
                <w:lang w:val="sk-SK"/>
              </w:rPr>
              <w:t>7</w:t>
            </w:r>
            <w:r w:rsidRPr="0063664A">
              <w:rPr>
                <w:color w:val="000000"/>
                <w:sz w:val="22"/>
                <w:szCs w:val="22"/>
                <w:lang w:val="sk-SK"/>
              </w:rPr>
              <w:t xml:space="preserve">, </w:t>
            </w:r>
            <w:r w:rsidRPr="0063664A">
              <w:rPr>
                <w:sz w:val="22"/>
                <w:szCs w:val="22"/>
                <w:lang w:val="sk-SK"/>
              </w:rPr>
              <w:t>fibrilácia predsiení</w:t>
            </w:r>
          </w:p>
        </w:tc>
      </w:tr>
      <w:tr w:rsidR="0065586B" w:rsidRPr="0063664A" w14:paraId="68A9C4FB" w14:textId="77777777" w:rsidTr="0004307F">
        <w:trPr>
          <w:trHeight w:val="40"/>
        </w:trPr>
        <w:tc>
          <w:tcPr>
            <w:tcW w:w="1617" w:type="dxa"/>
            <w:tcBorders>
              <w:right w:val="single" w:sz="18" w:space="0" w:color="auto"/>
            </w:tcBorders>
          </w:tcPr>
          <w:p w14:paraId="6D1CD9E8" w14:textId="77777777" w:rsidR="0065586B" w:rsidRPr="0063664A" w:rsidRDefault="0065586B" w:rsidP="002672E5">
            <w:pPr>
              <w:rPr>
                <w:b/>
                <w:color w:val="000000"/>
                <w:sz w:val="22"/>
                <w:szCs w:val="22"/>
                <w:lang w:val="sk-SK"/>
              </w:rPr>
            </w:pPr>
            <w:r w:rsidRPr="0063664A">
              <w:rPr>
                <w:b/>
                <w:color w:val="000000"/>
                <w:sz w:val="22"/>
                <w:szCs w:val="22"/>
                <w:lang w:val="sk-SK"/>
              </w:rPr>
              <w:t>Poruchy ciev</w:t>
            </w:r>
          </w:p>
        </w:tc>
        <w:tc>
          <w:tcPr>
            <w:tcW w:w="1590" w:type="dxa"/>
            <w:tcBorders>
              <w:left w:val="single" w:sz="18" w:space="0" w:color="auto"/>
            </w:tcBorders>
          </w:tcPr>
          <w:p w14:paraId="06E08BB3" w14:textId="77777777" w:rsidR="0065586B" w:rsidRPr="0063664A" w:rsidRDefault="0065586B" w:rsidP="002672E5">
            <w:pPr>
              <w:rPr>
                <w:sz w:val="22"/>
                <w:szCs w:val="22"/>
                <w:lang w:val="sk-SK"/>
              </w:rPr>
            </w:pPr>
          </w:p>
        </w:tc>
        <w:tc>
          <w:tcPr>
            <w:tcW w:w="1886" w:type="dxa"/>
          </w:tcPr>
          <w:p w14:paraId="6F5C1396" w14:textId="77777777" w:rsidR="0065586B" w:rsidRPr="0063664A" w:rsidRDefault="0065586B" w:rsidP="002672E5">
            <w:pPr>
              <w:rPr>
                <w:color w:val="000000"/>
                <w:sz w:val="22"/>
                <w:szCs w:val="22"/>
                <w:lang w:val="sk-SK"/>
              </w:rPr>
            </w:pPr>
            <w:r w:rsidRPr="0063664A">
              <w:rPr>
                <w:color w:val="000000"/>
                <w:sz w:val="22"/>
                <w:szCs w:val="22"/>
                <w:lang w:val="sk-SK"/>
              </w:rPr>
              <w:t>Vazodilatácia</w:t>
            </w:r>
            <w:r w:rsidRPr="0063664A">
              <w:rPr>
                <w:color w:val="000000"/>
                <w:sz w:val="22"/>
                <w:szCs w:val="22"/>
                <w:vertAlign w:val="superscript"/>
                <w:lang w:val="sk-SK"/>
              </w:rPr>
              <w:t>1</w:t>
            </w:r>
          </w:p>
        </w:tc>
        <w:tc>
          <w:tcPr>
            <w:tcW w:w="2555" w:type="dxa"/>
          </w:tcPr>
          <w:p w14:paraId="3A685F39" w14:textId="77777777" w:rsidR="0065586B" w:rsidRPr="0063664A" w:rsidRDefault="0065586B" w:rsidP="002672E5">
            <w:pPr>
              <w:rPr>
                <w:sz w:val="22"/>
                <w:szCs w:val="22"/>
                <w:lang w:val="sk-SK"/>
              </w:rPr>
            </w:pPr>
          </w:p>
        </w:tc>
        <w:tc>
          <w:tcPr>
            <w:tcW w:w="1850" w:type="dxa"/>
            <w:tcBorders>
              <w:right w:val="single" w:sz="12" w:space="0" w:color="auto"/>
            </w:tcBorders>
          </w:tcPr>
          <w:p w14:paraId="5119DFC1" w14:textId="77777777" w:rsidR="0065586B" w:rsidRPr="0063664A" w:rsidRDefault="0065586B" w:rsidP="002672E5">
            <w:pPr>
              <w:rPr>
                <w:sz w:val="22"/>
                <w:szCs w:val="22"/>
                <w:lang w:val="sk-SK"/>
              </w:rPr>
            </w:pPr>
            <w:r w:rsidRPr="0063664A">
              <w:rPr>
                <w:color w:val="000000"/>
                <w:sz w:val="22"/>
                <w:szCs w:val="22"/>
                <w:lang w:val="sk-SK"/>
              </w:rPr>
              <w:t>Krvácanie</w:t>
            </w:r>
            <w:r w:rsidRPr="0063664A">
              <w:rPr>
                <w:color w:val="000000"/>
                <w:sz w:val="22"/>
                <w:szCs w:val="22"/>
                <w:vertAlign w:val="superscript"/>
                <w:lang w:val="sk-SK"/>
              </w:rPr>
              <w:t>8</w:t>
            </w:r>
          </w:p>
        </w:tc>
      </w:tr>
      <w:tr w:rsidR="0065586B" w:rsidRPr="0063664A" w14:paraId="33261FF7" w14:textId="77777777" w:rsidTr="0004307F">
        <w:trPr>
          <w:trHeight w:val="40"/>
        </w:trPr>
        <w:tc>
          <w:tcPr>
            <w:tcW w:w="1617" w:type="dxa"/>
            <w:tcBorders>
              <w:right w:val="single" w:sz="18" w:space="0" w:color="auto"/>
            </w:tcBorders>
          </w:tcPr>
          <w:p w14:paraId="53F6B12A" w14:textId="77777777" w:rsidR="0065586B" w:rsidRPr="0063664A" w:rsidRDefault="0065586B" w:rsidP="002672E5">
            <w:pPr>
              <w:rPr>
                <w:b/>
                <w:color w:val="000000"/>
                <w:sz w:val="22"/>
                <w:szCs w:val="22"/>
                <w:lang w:val="sk-SK"/>
              </w:rPr>
            </w:pPr>
            <w:r w:rsidRPr="0063664A">
              <w:rPr>
                <w:b/>
                <w:color w:val="000000"/>
                <w:sz w:val="22"/>
                <w:szCs w:val="22"/>
                <w:lang w:val="sk-SK"/>
              </w:rPr>
              <w:t xml:space="preserve">Poruchy dýchacej sústavy, hrudníka a mediastína </w:t>
            </w:r>
          </w:p>
        </w:tc>
        <w:tc>
          <w:tcPr>
            <w:tcW w:w="1590" w:type="dxa"/>
            <w:tcBorders>
              <w:left w:val="single" w:sz="18" w:space="0" w:color="auto"/>
            </w:tcBorders>
          </w:tcPr>
          <w:p w14:paraId="39F78C3F" w14:textId="77777777" w:rsidR="0065586B" w:rsidRPr="0063664A" w:rsidRDefault="0065586B" w:rsidP="002672E5">
            <w:pPr>
              <w:rPr>
                <w:sz w:val="22"/>
                <w:szCs w:val="22"/>
                <w:lang w:val="sk-SK"/>
              </w:rPr>
            </w:pPr>
          </w:p>
        </w:tc>
        <w:tc>
          <w:tcPr>
            <w:tcW w:w="1886" w:type="dxa"/>
          </w:tcPr>
          <w:p w14:paraId="68CC2D9E" w14:textId="77777777" w:rsidR="0065586B" w:rsidRPr="0063664A" w:rsidRDefault="0065586B" w:rsidP="002672E5">
            <w:pPr>
              <w:rPr>
                <w:sz w:val="22"/>
                <w:szCs w:val="22"/>
                <w:lang w:val="sk-SK"/>
              </w:rPr>
            </w:pPr>
          </w:p>
        </w:tc>
        <w:tc>
          <w:tcPr>
            <w:tcW w:w="2555" w:type="dxa"/>
          </w:tcPr>
          <w:p w14:paraId="7BFEF357" w14:textId="77777777" w:rsidR="0065586B" w:rsidRPr="0063664A" w:rsidRDefault="0065586B" w:rsidP="002672E5">
            <w:pPr>
              <w:rPr>
                <w:sz w:val="22"/>
                <w:szCs w:val="22"/>
                <w:lang w:val="sk-SK"/>
              </w:rPr>
            </w:pPr>
            <w:r w:rsidRPr="0063664A">
              <w:rPr>
                <w:color w:val="000000"/>
                <w:sz w:val="22"/>
                <w:szCs w:val="22"/>
                <w:lang w:val="sk-SK"/>
              </w:rPr>
              <w:t>Astma</w:t>
            </w:r>
            <w:r w:rsidRPr="0063664A">
              <w:rPr>
                <w:color w:val="000000"/>
                <w:sz w:val="22"/>
                <w:szCs w:val="22"/>
                <w:vertAlign w:val="superscript"/>
                <w:lang w:val="sk-SK"/>
              </w:rPr>
              <w:t>1</w:t>
            </w:r>
            <w:r w:rsidRPr="0063664A">
              <w:rPr>
                <w:color w:val="000000"/>
                <w:sz w:val="22"/>
                <w:szCs w:val="22"/>
                <w:lang w:val="sk-SK"/>
              </w:rPr>
              <w:t>, epistaxa</w:t>
            </w:r>
            <w:r w:rsidRPr="0063664A">
              <w:rPr>
                <w:color w:val="000000"/>
                <w:sz w:val="22"/>
                <w:szCs w:val="22"/>
                <w:vertAlign w:val="superscript"/>
                <w:lang w:val="sk-SK"/>
              </w:rPr>
              <w:t>2</w:t>
            </w:r>
            <w:r w:rsidRPr="0063664A">
              <w:rPr>
                <w:color w:val="000000"/>
                <w:sz w:val="22"/>
                <w:szCs w:val="22"/>
                <w:lang w:val="sk-SK"/>
              </w:rPr>
              <w:t>, pľúcna embólia</w:t>
            </w:r>
            <w:r w:rsidRPr="0063664A">
              <w:rPr>
                <w:color w:val="000000"/>
                <w:sz w:val="22"/>
                <w:szCs w:val="22"/>
                <w:vertAlign w:val="superscript"/>
                <w:lang w:val="sk-SK"/>
              </w:rPr>
              <w:t>1</w:t>
            </w:r>
          </w:p>
        </w:tc>
        <w:tc>
          <w:tcPr>
            <w:tcW w:w="1850" w:type="dxa"/>
            <w:tcBorders>
              <w:right w:val="single" w:sz="12" w:space="0" w:color="auto"/>
            </w:tcBorders>
          </w:tcPr>
          <w:p w14:paraId="7ECA54DA" w14:textId="77777777" w:rsidR="0065586B" w:rsidRPr="0063664A" w:rsidRDefault="0065586B" w:rsidP="002672E5">
            <w:pPr>
              <w:rPr>
                <w:sz w:val="22"/>
                <w:szCs w:val="22"/>
                <w:lang w:val="sk-SK"/>
              </w:rPr>
            </w:pPr>
          </w:p>
        </w:tc>
      </w:tr>
      <w:tr w:rsidR="0065586B" w:rsidRPr="0063664A" w14:paraId="56C22C4B" w14:textId="77777777" w:rsidTr="0004307F">
        <w:trPr>
          <w:trHeight w:val="40"/>
        </w:trPr>
        <w:tc>
          <w:tcPr>
            <w:tcW w:w="1617" w:type="dxa"/>
            <w:tcBorders>
              <w:right w:val="single" w:sz="18" w:space="0" w:color="auto"/>
            </w:tcBorders>
          </w:tcPr>
          <w:p w14:paraId="58A50871" w14:textId="77777777" w:rsidR="0065586B" w:rsidRPr="0063664A" w:rsidRDefault="0065586B" w:rsidP="002672E5">
            <w:pPr>
              <w:rPr>
                <w:b/>
                <w:color w:val="000000"/>
                <w:sz w:val="22"/>
                <w:szCs w:val="22"/>
                <w:lang w:val="sk-SK"/>
              </w:rPr>
            </w:pPr>
            <w:r w:rsidRPr="0063664A">
              <w:rPr>
                <w:b/>
                <w:color w:val="000000"/>
                <w:sz w:val="22"/>
                <w:szCs w:val="22"/>
                <w:lang w:val="sk-SK"/>
              </w:rPr>
              <w:t>Poruchy gastrointestinálneho traktu</w:t>
            </w:r>
          </w:p>
        </w:tc>
        <w:tc>
          <w:tcPr>
            <w:tcW w:w="1590" w:type="dxa"/>
            <w:tcBorders>
              <w:left w:val="single" w:sz="18" w:space="0" w:color="auto"/>
            </w:tcBorders>
          </w:tcPr>
          <w:p w14:paraId="4E41BC5A" w14:textId="77777777" w:rsidR="0065586B" w:rsidRPr="0063664A" w:rsidRDefault="0065586B" w:rsidP="002672E5">
            <w:pPr>
              <w:rPr>
                <w:sz w:val="22"/>
                <w:szCs w:val="22"/>
                <w:lang w:val="sk-SK"/>
              </w:rPr>
            </w:pPr>
          </w:p>
        </w:tc>
        <w:tc>
          <w:tcPr>
            <w:tcW w:w="1886" w:type="dxa"/>
          </w:tcPr>
          <w:p w14:paraId="4AE3B8B6" w14:textId="77777777" w:rsidR="0065586B" w:rsidRPr="0063664A" w:rsidRDefault="0065586B" w:rsidP="002672E5">
            <w:pPr>
              <w:rPr>
                <w:color w:val="000000"/>
                <w:sz w:val="22"/>
                <w:szCs w:val="22"/>
                <w:lang w:val="sk-SK"/>
              </w:rPr>
            </w:pPr>
            <w:r w:rsidRPr="0063664A">
              <w:rPr>
                <w:color w:val="000000"/>
                <w:sz w:val="22"/>
                <w:szCs w:val="22"/>
                <w:lang w:val="sk-SK"/>
              </w:rPr>
              <w:t>Hnačka</w:t>
            </w:r>
            <w:r w:rsidRPr="0063664A">
              <w:rPr>
                <w:color w:val="000000"/>
                <w:sz w:val="22"/>
                <w:szCs w:val="22"/>
                <w:vertAlign w:val="superscript"/>
                <w:lang w:val="sk-SK"/>
              </w:rPr>
              <w:t>9</w:t>
            </w:r>
            <w:r w:rsidRPr="0063664A">
              <w:rPr>
                <w:color w:val="000000"/>
                <w:sz w:val="22"/>
                <w:szCs w:val="22"/>
                <w:lang w:val="sk-SK"/>
              </w:rPr>
              <w:t xml:space="preserve">, vracanie, dyspepsia, nauzea, bolesť brucha </w:t>
            </w:r>
          </w:p>
        </w:tc>
        <w:tc>
          <w:tcPr>
            <w:tcW w:w="2555" w:type="dxa"/>
          </w:tcPr>
          <w:p w14:paraId="1D320D2A" w14:textId="77777777" w:rsidR="0065586B" w:rsidRPr="0063664A" w:rsidRDefault="0065586B" w:rsidP="002672E5">
            <w:pPr>
              <w:rPr>
                <w:color w:val="000000"/>
                <w:sz w:val="22"/>
                <w:szCs w:val="22"/>
                <w:lang w:val="sk-SK"/>
              </w:rPr>
            </w:pPr>
            <w:r w:rsidRPr="0063664A">
              <w:rPr>
                <w:color w:val="000000"/>
                <w:sz w:val="22"/>
                <w:szCs w:val="22"/>
                <w:lang w:val="sk-SK"/>
              </w:rPr>
              <w:t>Ezofagitída</w:t>
            </w:r>
            <w:r w:rsidRPr="0063664A">
              <w:rPr>
                <w:color w:val="000000"/>
                <w:sz w:val="22"/>
                <w:szCs w:val="22"/>
                <w:vertAlign w:val="superscript"/>
                <w:lang w:val="sk-SK"/>
              </w:rPr>
              <w:t>1</w:t>
            </w:r>
            <w:r w:rsidRPr="0063664A">
              <w:rPr>
                <w:color w:val="000000"/>
                <w:sz w:val="22"/>
                <w:szCs w:val="22"/>
                <w:lang w:val="sk-SK"/>
              </w:rPr>
              <w:t>, refluxná choroba pažeráka</w:t>
            </w:r>
            <w:r w:rsidRPr="0063664A">
              <w:rPr>
                <w:color w:val="000000"/>
                <w:sz w:val="22"/>
                <w:szCs w:val="22"/>
                <w:vertAlign w:val="superscript"/>
                <w:lang w:val="sk-SK"/>
              </w:rPr>
              <w:t>2</w:t>
            </w:r>
            <w:r w:rsidRPr="0063664A">
              <w:rPr>
                <w:color w:val="000000"/>
                <w:sz w:val="22"/>
                <w:szCs w:val="22"/>
                <w:lang w:val="sk-SK"/>
              </w:rPr>
              <w:t>, gastritída, proktalgia</w:t>
            </w:r>
            <w:r w:rsidRPr="0063664A">
              <w:rPr>
                <w:color w:val="000000"/>
                <w:sz w:val="22"/>
                <w:szCs w:val="22"/>
                <w:vertAlign w:val="superscript"/>
                <w:lang w:val="sk-SK"/>
              </w:rPr>
              <w:t>2</w:t>
            </w:r>
            <w:r w:rsidRPr="0063664A">
              <w:rPr>
                <w:color w:val="000000"/>
                <w:sz w:val="22"/>
                <w:szCs w:val="22"/>
                <w:lang w:val="sk-SK"/>
              </w:rPr>
              <w:t>, stomatitída, glositída, abdominálna distenzia</w:t>
            </w:r>
            <w:r w:rsidRPr="0063664A">
              <w:rPr>
                <w:color w:val="000000"/>
                <w:sz w:val="22"/>
                <w:szCs w:val="22"/>
                <w:vertAlign w:val="superscript"/>
                <w:lang w:val="sk-SK"/>
              </w:rPr>
              <w:t>4</w:t>
            </w:r>
            <w:r w:rsidRPr="0063664A">
              <w:rPr>
                <w:color w:val="000000"/>
                <w:sz w:val="22"/>
                <w:szCs w:val="22"/>
                <w:lang w:val="sk-SK"/>
              </w:rPr>
              <w:t xml:space="preserve">, zápcha, sucho v ústach, grganie, </w:t>
            </w:r>
            <w:r w:rsidRPr="0063664A">
              <w:rPr>
                <w:sz w:val="22"/>
                <w:szCs w:val="22"/>
                <w:lang w:val="sk-SK"/>
              </w:rPr>
              <w:t>flatulencia</w:t>
            </w:r>
            <w:r w:rsidRPr="0063664A">
              <w:rPr>
                <w:color w:val="000000"/>
                <w:sz w:val="22"/>
                <w:szCs w:val="22"/>
                <w:lang w:val="sk-SK"/>
              </w:rPr>
              <w:t xml:space="preserve"> </w:t>
            </w:r>
          </w:p>
        </w:tc>
        <w:tc>
          <w:tcPr>
            <w:tcW w:w="1850" w:type="dxa"/>
            <w:tcBorders>
              <w:right w:val="single" w:sz="12" w:space="0" w:color="auto"/>
            </w:tcBorders>
          </w:tcPr>
          <w:p w14:paraId="242FBF14" w14:textId="77777777" w:rsidR="0065586B" w:rsidRPr="0063664A" w:rsidRDefault="0065586B" w:rsidP="002672E5">
            <w:pPr>
              <w:rPr>
                <w:sz w:val="22"/>
                <w:szCs w:val="22"/>
                <w:lang w:val="sk-SK"/>
              </w:rPr>
            </w:pPr>
            <w:r w:rsidRPr="0063664A">
              <w:rPr>
                <w:color w:val="000000"/>
                <w:sz w:val="22"/>
                <w:szCs w:val="22"/>
                <w:lang w:val="sk-SK"/>
              </w:rPr>
              <w:t xml:space="preserve">Akútna pankreatitída, zmena sfarbenia jazyka, zmena sfarbenia zubov </w:t>
            </w:r>
          </w:p>
        </w:tc>
      </w:tr>
      <w:tr w:rsidR="0065586B" w:rsidRPr="0063664A" w14:paraId="482616B2" w14:textId="77777777" w:rsidTr="0004307F">
        <w:trPr>
          <w:trHeight w:val="40"/>
        </w:trPr>
        <w:tc>
          <w:tcPr>
            <w:tcW w:w="1617" w:type="dxa"/>
            <w:tcBorders>
              <w:right w:val="single" w:sz="18" w:space="0" w:color="auto"/>
            </w:tcBorders>
          </w:tcPr>
          <w:p w14:paraId="722A24C4" w14:textId="77777777" w:rsidR="0065586B" w:rsidRPr="0063664A" w:rsidRDefault="0065586B" w:rsidP="00881CF1">
            <w:pPr>
              <w:pStyle w:val="Nadpis9"/>
              <w:keepNext w:val="0"/>
              <w:rPr>
                <w:rFonts w:ascii="Times New Roman" w:hAnsi="Times New Roman"/>
                <w:b/>
                <w:bCs/>
                <w:i/>
                <w:iCs/>
                <w:color w:val="000000"/>
                <w:lang w:val="sk-SK"/>
              </w:rPr>
            </w:pPr>
            <w:r w:rsidRPr="0063664A">
              <w:rPr>
                <w:rFonts w:ascii="Times New Roman" w:hAnsi="Times New Roman"/>
                <w:b/>
                <w:i/>
                <w:lang w:val="sk-SK"/>
              </w:rPr>
              <w:t>Poruchy pečene a žlčových ciest</w:t>
            </w:r>
          </w:p>
        </w:tc>
        <w:tc>
          <w:tcPr>
            <w:tcW w:w="1590" w:type="dxa"/>
            <w:tcBorders>
              <w:left w:val="single" w:sz="18" w:space="0" w:color="auto"/>
            </w:tcBorders>
          </w:tcPr>
          <w:p w14:paraId="55D16624" w14:textId="77777777" w:rsidR="0065586B" w:rsidRPr="0063664A" w:rsidRDefault="0065586B" w:rsidP="002672E5">
            <w:pPr>
              <w:rPr>
                <w:sz w:val="22"/>
                <w:szCs w:val="22"/>
                <w:lang w:val="sk-SK"/>
              </w:rPr>
            </w:pPr>
          </w:p>
        </w:tc>
        <w:tc>
          <w:tcPr>
            <w:tcW w:w="1886" w:type="dxa"/>
          </w:tcPr>
          <w:p w14:paraId="5D48657E" w14:textId="77777777" w:rsidR="0065586B" w:rsidRPr="0063664A" w:rsidRDefault="0065586B" w:rsidP="002672E5">
            <w:pPr>
              <w:rPr>
                <w:color w:val="000000"/>
                <w:sz w:val="22"/>
                <w:szCs w:val="22"/>
                <w:lang w:val="sk-SK"/>
              </w:rPr>
            </w:pPr>
            <w:r w:rsidRPr="0063664A">
              <w:rPr>
                <w:color w:val="000000"/>
                <w:sz w:val="22"/>
                <w:szCs w:val="22"/>
                <w:lang w:val="sk-SK"/>
              </w:rPr>
              <w:t xml:space="preserve">Abnormálne </w:t>
            </w:r>
            <w:r w:rsidRPr="0063664A">
              <w:rPr>
                <w:sz w:val="22"/>
                <w:szCs w:val="22"/>
                <w:lang w:val="sk-SK"/>
              </w:rPr>
              <w:t>výsledky funkčných vyšetrení pečene</w:t>
            </w:r>
          </w:p>
        </w:tc>
        <w:tc>
          <w:tcPr>
            <w:tcW w:w="2555" w:type="dxa"/>
          </w:tcPr>
          <w:p w14:paraId="3D6A7AA0" w14:textId="77777777" w:rsidR="0065586B" w:rsidRPr="0063664A" w:rsidRDefault="0065586B" w:rsidP="002672E5">
            <w:pPr>
              <w:rPr>
                <w:color w:val="000000"/>
                <w:sz w:val="22"/>
                <w:szCs w:val="22"/>
                <w:lang w:val="sk-SK"/>
              </w:rPr>
            </w:pPr>
            <w:r w:rsidRPr="0063664A">
              <w:rPr>
                <w:color w:val="000000"/>
                <w:sz w:val="22"/>
                <w:szCs w:val="22"/>
                <w:lang w:val="sk-SK"/>
              </w:rPr>
              <w:t>Cholestáza</w:t>
            </w:r>
            <w:r w:rsidRPr="0063664A">
              <w:rPr>
                <w:color w:val="000000"/>
                <w:sz w:val="22"/>
                <w:szCs w:val="22"/>
                <w:vertAlign w:val="superscript"/>
                <w:lang w:val="sk-SK"/>
              </w:rPr>
              <w:t>4</w:t>
            </w:r>
            <w:r w:rsidRPr="0063664A">
              <w:rPr>
                <w:color w:val="000000"/>
                <w:sz w:val="22"/>
                <w:szCs w:val="22"/>
                <w:lang w:val="sk-SK"/>
              </w:rPr>
              <w:t>, hepatitída</w:t>
            </w:r>
            <w:r w:rsidRPr="0063664A">
              <w:rPr>
                <w:color w:val="000000"/>
                <w:sz w:val="22"/>
                <w:szCs w:val="22"/>
                <w:vertAlign w:val="superscript"/>
                <w:lang w:val="sk-SK"/>
              </w:rPr>
              <w:t>4</w:t>
            </w:r>
            <w:r w:rsidRPr="0063664A">
              <w:rPr>
                <w:color w:val="000000"/>
                <w:sz w:val="22"/>
                <w:szCs w:val="22"/>
                <w:lang w:val="sk-SK"/>
              </w:rPr>
              <w:t>, zvýšenie hladiny alanínaminotransferázy, zvýšenie hladiny aspartátaminotransferázy, zvýšenie hladiny gamaglutamyltransferázy</w:t>
            </w:r>
            <w:r w:rsidRPr="0063664A">
              <w:rPr>
                <w:color w:val="000000"/>
                <w:sz w:val="22"/>
                <w:szCs w:val="22"/>
                <w:vertAlign w:val="superscript"/>
                <w:lang w:val="sk-SK"/>
              </w:rPr>
              <w:t>4</w:t>
            </w:r>
            <w:r w:rsidRPr="0063664A">
              <w:rPr>
                <w:color w:val="000000"/>
                <w:sz w:val="22"/>
                <w:szCs w:val="22"/>
                <w:lang w:val="sk-SK"/>
              </w:rPr>
              <w:t xml:space="preserve"> </w:t>
            </w:r>
          </w:p>
        </w:tc>
        <w:tc>
          <w:tcPr>
            <w:tcW w:w="1850" w:type="dxa"/>
            <w:tcBorders>
              <w:right w:val="single" w:sz="12" w:space="0" w:color="auto"/>
            </w:tcBorders>
          </w:tcPr>
          <w:p w14:paraId="38EF1C86" w14:textId="77777777" w:rsidR="0065586B" w:rsidRPr="0063664A" w:rsidRDefault="0065586B" w:rsidP="002672E5">
            <w:pPr>
              <w:rPr>
                <w:sz w:val="22"/>
                <w:szCs w:val="22"/>
                <w:lang w:val="sk-SK"/>
              </w:rPr>
            </w:pPr>
            <w:r w:rsidRPr="0063664A">
              <w:rPr>
                <w:color w:val="000000"/>
                <w:sz w:val="22"/>
                <w:szCs w:val="22"/>
                <w:lang w:val="sk-SK"/>
              </w:rPr>
              <w:t>Zlyhanie pečene</w:t>
            </w:r>
            <w:r w:rsidRPr="0063664A">
              <w:rPr>
                <w:color w:val="000000"/>
                <w:sz w:val="22"/>
                <w:szCs w:val="22"/>
                <w:vertAlign w:val="superscript"/>
                <w:lang w:val="sk-SK"/>
              </w:rPr>
              <w:t>10</w:t>
            </w:r>
            <w:r w:rsidRPr="0063664A">
              <w:rPr>
                <w:color w:val="000000"/>
                <w:sz w:val="22"/>
                <w:szCs w:val="22"/>
                <w:lang w:val="sk-SK"/>
              </w:rPr>
              <w:t xml:space="preserve">, hepatocelulárna žltačka </w:t>
            </w:r>
          </w:p>
        </w:tc>
      </w:tr>
      <w:tr w:rsidR="0065586B" w:rsidRPr="0063664A" w14:paraId="0C6E74C3" w14:textId="77777777" w:rsidTr="0004307F">
        <w:trPr>
          <w:trHeight w:val="40"/>
        </w:trPr>
        <w:tc>
          <w:tcPr>
            <w:tcW w:w="1617" w:type="dxa"/>
            <w:tcBorders>
              <w:right w:val="single" w:sz="18" w:space="0" w:color="auto"/>
            </w:tcBorders>
          </w:tcPr>
          <w:p w14:paraId="78419895" w14:textId="77777777" w:rsidR="0065586B" w:rsidRPr="0063664A" w:rsidRDefault="0065586B" w:rsidP="00881CF1">
            <w:pPr>
              <w:pStyle w:val="Nadpis9"/>
              <w:keepNext w:val="0"/>
              <w:rPr>
                <w:rFonts w:ascii="Times New Roman" w:hAnsi="Times New Roman"/>
                <w:b/>
                <w:bCs/>
                <w:i/>
                <w:iCs/>
                <w:color w:val="000000"/>
                <w:lang w:val="sk-SK"/>
              </w:rPr>
            </w:pPr>
            <w:r w:rsidRPr="0063664A">
              <w:rPr>
                <w:rFonts w:ascii="Times New Roman" w:hAnsi="Times New Roman"/>
                <w:b/>
                <w:i/>
                <w:lang w:val="sk-SK"/>
              </w:rPr>
              <w:t xml:space="preserve">Poruchy kože a podkožného tkaniva </w:t>
            </w:r>
          </w:p>
        </w:tc>
        <w:tc>
          <w:tcPr>
            <w:tcW w:w="1590" w:type="dxa"/>
            <w:tcBorders>
              <w:left w:val="single" w:sz="18" w:space="0" w:color="auto"/>
            </w:tcBorders>
          </w:tcPr>
          <w:p w14:paraId="078777E1" w14:textId="77777777" w:rsidR="0065586B" w:rsidRPr="0063664A" w:rsidRDefault="0065586B" w:rsidP="002672E5">
            <w:pPr>
              <w:rPr>
                <w:sz w:val="22"/>
                <w:szCs w:val="22"/>
                <w:lang w:val="sk-SK"/>
              </w:rPr>
            </w:pPr>
          </w:p>
        </w:tc>
        <w:tc>
          <w:tcPr>
            <w:tcW w:w="1886" w:type="dxa"/>
          </w:tcPr>
          <w:p w14:paraId="730EAE01" w14:textId="77777777" w:rsidR="0065586B" w:rsidRPr="0063664A" w:rsidRDefault="0065586B" w:rsidP="002672E5">
            <w:pPr>
              <w:rPr>
                <w:sz w:val="22"/>
                <w:szCs w:val="22"/>
                <w:lang w:val="sk-SK"/>
              </w:rPr>
            </w:pPr>
            <w:r w:rsidRPr="0063664A">
              <w:rPr>
                <w:color w:val="000000"/>
                <w:sz w:val="22"/>
                <w:szCs w:val="22"/>
                <w:lang w:val="sk-SK"/>
              </w:rPr>
              <w:t>Vyrážka, nadmerné potenie</w:t>
            </w:r>
          </w:p>
        </w:tc>
        <w:tc>
          <w:tcPr>
            <w:tcW w:w="2555" w:type="dxa"/>
          </w:tcPr>
          <w:p w14:paraId="15365035" w14:textId="77777777" w:rsidR="0065586B" w:rsidRPr="0063664A" w:rsidRDefault="0065586B" w:rsidP="002672E5">
            <w:pPr>
              <w:rPr>
                <w:color w:val="000000"/>
                <w:sz w:val="22"/>
                <w:szCs w:val="22"/>
                <w:lang w:val="sk-SK"/>
              </w:rPr>
            </w:pPr>
            <w:r w:rsidRPr="0063664A">
              <w:rPr>
                <w:color w:val="000000"/>
                <w:sz w:val="22"/>
                <w:szCs w:val="22"/>
                <w:lang w:val="sk-SK"/>
              </w:rPr>
              <w:t>Bulózna dermatitída</w:t>
            </w:r>
            <w:r w:rsidRPr="0063664A">
              <w:rPr>
                <w:color w:val="000000"/>
                <w:sz w:val="22"/>
                <w:szCs w:val="22"/>
                <w:vertAlign w:val="superscript"/>
                <w:lang w:val="sk-SK"/>
              </w:rPr>
              <w:t>1</w:t>
            </w:r>
            <w:r w:rsidRPr="0063664A">
              <w:rPr>
                <w:color w:val="000000"/>
                <w:sz w:val="22"/>
                <w:szCs w:val="22"/>
                <w:lang w:val="sk-SK"/>
              </w:rPr>
              <w:t>, pruritus, žihľavka, makulopapulárna vyrážka</w:t>
            </w:r>
            <w:r w:rsidRPr="0063664A">
              <w:rPr>
                <w:color w:val="000000"/>
                <w:sz w:val="22"/>
                <w:szCs w:val="22"/>
                <w:vertAlign w:val="superscript"/>
                <w:lang w:val="sk-SK"/>
              </w:rPr>
              <w:t>3</w:t>
            </w:r>
            <w:r w:rsidRPr="0063664A">
              <w:rPr>
                <w:color w:val="000000"/>
                <w:sz w:val="22"/>
                <w:szCs w:val="22"/>
                <w:lang w:val="sk-SK"/>
              </w:rPr>
              <w:t xml:space="preserve"> </w:t>
            </w:r>
          </w:p>
        </w:tc>
        <w:tc>
          <w:tcPr>
            <w:tcW w:w="1850" w:type="dxa"/>
            <w:tcBorders>
              <w:right w:val="single" w:sz="12" w:space="0" w:color="auto"/>
            </w:tcBorders>
          </w:tcPr>
          <w:p w14:paraId="5FAFADD6" w14:textId="77777777" w:rsidR="008A3F60" w:rsidRPr="0063664A" w:rsidRDefault="00492B23" w:rsidP="002672E5">
            <w:pPr>
              <w:rPr>
                <w:color w:val="000000"/>
                <w:sz w:val="22"/>
                <w:szCs w:val="22"/>
                <w:lang w:val="sk-SK"/>
              </w:rPr>
            </w:pPr>
            <w:r w:rsidRPr="0063664A">
              <w:rPr>
                <w:color w:val="000000"/>
                <w:sz w:val="22"/>
                <w:szCs w:val="22"/>
                <w:lang w:val="sk-SK"/>
              </w:rPr>
              <w:t xml:space="preserve">Závažné kožné nežiaduce reakcie (SCAR) (napr. </w:t>
            </w:r>
            <w:r w:rsidR="008A3F60" w:rsidRPr="0063664A">
              <w:rPr>
                <w:color w:val="000000"/>
                <w:sz w:val="22"/>
                <w:szCs w:val="22"/>
                <w:lang w:val="sk-SK"/>
              </w:rPr>
              <w:t>akútna generalizovaná exantémová pustulóza (AGEP),</w:t>
            </w:r>
          </w:p>
          <w:p w14:paraId="71ACC780" w14:textId="77777777" w:rsidR="0065586B" w:rsidRPr="0063664A" w:rsidRDefault="0065586B" w:rsidP="002672E5">
            <w:pPr>
              <w:rPr>
                <w:color w:val="000000"/>
                <w:sz w:val="22"/>
                <w:szCs w:val="22"/>
                <w:lang w:val="sk-SK"/>
              </w:rPr>
            </w:pPr>
            <w:r w:rsidRPr="0063664A">
              <w:rPr>
                <w:color w:val="000000"/>
                <w:sz w:val="22"/>
                <w:szCs w:val="22"/>
                <w:lang w:val="sk-SK"/>
              </w:rPr>
              <w:t>Stevensov-Johnsonov syndróm</w:t>
            </w:r>
            <w:r w:rsidRPr="0063664A">
              <w:rPr>
                <w:color w:val="000000"/>
                <w:sz w:val="22"/>
                <w:szCs w:val="22"/>
                <w:vertAlign w:val="superscript"/>
                <w:lang w:val="sk-SK"/>
              </w:rPr>
              <w:t>5</w:t>
            </w:r>
            <w:r w:rsidRPr="0063664A">
              <w:rPr>
                <w:color w:val="000000"/>
                <w:sz w:val="22"/>
                <w:szCs w:val="22"/>
                <w:lang w:val="sk-SK"/>
              </w:rPr>
              <w:t>, toxická epidermálna nekrolýza</w:t>
            </w:r>
            <w:r w:rsidRPr="0063664A">
              <w:rPr>
                <w:color w:val="000000"/>
                <w:sz w:val="22"/>
                <w:szCs w:val="22"/>
                <w:vertAlign w:val="superscript"/>
                <w:lang w:val="sk-SK"/>
              </w:rPr>
              <w:t>5</w:t>
            </w:r>
            <w:r w:rsidRPr="0063664A">
              <w:rPr>
                <w:color w:val="000000"/>
                <w:sz w:val="22"/>
                <w:szCs w:val="22"/>
                <w:lang w:val="sk-SK"/>
              </w:rPr>
              <w:t xml:space="preserve">, lieková vyrážka s eozinofíliou a systémovými príznakmi </w:t>
            </w:r>
            <w:r w:rsidRPr="0063664A">
              <w:rPr>
                <w:color w:val="000000"/>
                <w:sz w:val="22"/>
                <w:szCs w:val="22"/>
                <w:lang w:val="sk-SK"/>
              </w:rPr>
              <w:lastRenderedPageBreak/>
              <w:t>(DRESS syndróm), akné</w:t>
            </w:r>
          </w:p>
        </w:tc>
      </w:tr>
      <w:tr w:rsidR="0065586B" w:rsidRPr="0063664A" w14:paraId="5D0FE39C" w14:textId="77777777" w:rsidTr="0004307F">
        <w:trPr>
          <w:trHeight w:val="40"/>
        </w:trPr>
        <w:tc>
          <w:tcPr>
            <w:tcW w:w="1617" w:type="dxa"/>
            <w:tcBorders>
              <w:right w:val="single" w:sz="18" w:space="0" w:color="auto"/>
            </w:tcBorders>
          </w:tcPr>
          <w:p w14:paraId="048208AD" w14:textId="77777777" w:rsidR="0065586B" w:rsidRPr="0063664A" w:rsidRDefault="0065586B" w:rsidP="00881CF1">
            <w:pPr>
              <w:pStyle w:val="Nadpis9"/>
              <w:keepNext w:val="0"/>
              <w:rPr>
                <w:rFonts w:ascii="Times New Roman" w:hAnsi="Times New Roman"/>
                <w:b/>
                <w:bCs/>
                <w:iCs/>
                <w:color w:val="000000"/>
                <w:lang w:val="sk-SK"/>
              </w:rPr>
            </w:pPr>
            <w:r w:rsidRPr="0063664A">
              <w:rPr>
                <w:rFonts w:ascii="Times New Roman" w:hAnsi="Times New Roman"/>
                <w:b/>
                <w:bCs/>
                <w:iCs/>
                <w:lang w:val="sk-SK"/>
              </w:rPr>
              <w:lastRenderedPageBreak/>
              <w:t>Poruchy kostrovej a svalovej sústavy a spojivového tkaniva</w:t>
            </w:r>
          </w:p>
        </w:tc>
        <w:tc>
          <w:tcPr>
            <w:tcW w:w="1590" w:type="dxa"/>
            <w:tcBorders>
              <w:left w:val="single" w:sz="18" w:space="0" w:color="auto"/>
            </w:tcBorders>
          </w:tcPr>
          <w:p w14:paraId="0B93924B" w14:textId="77777777" w:rsidR="0065586B" w:rsidRPr="0063664A" w:rsidRDefault="0065586B" w:rsidP="002672E5">
            <w:pPr>
              <w:rPr>
                <w:sz w:val="22"/>
                <w:szCs w:val="22"/>
                <w:lang w:val="sk-SK"/>
              </w:rPr>
            </w:pPr>
          </w:p>
        </w:tc>
        <w:tc>
          <w:tcPr>
            <w:tcW w:w="1886" w:type="dxa"/>
          </w:tcPr>
          <w:p w14:paraId="375FF8A0" w14:textId="77777777" w:rsidR="0065586B" w:rsidRPr="0063664A" w:rsidRDefault="0065586B" w:rsidP="002672E5">
            <w:pPr>
              <w:rPr>
                <w:sz w:val="22"/>
                <w:szCs w:val="22"/>
                <w:lang w:val="sk-SK"/>
              </w:rPr>
            </w:pPr>
          </w:p>
        </w:tc>
        <w:tc>
          <w:tcPr>
            <w:tcW w:w="2555" w:type="dxa"/>
          </w:tcPr>
          <w:p w14:paraId="77D1E07F" w14:textId="77777777" w:rsidR="0065586B" w:rsidRPr="0063664A" w:rsidRDefault="0065586B" w:rsidP="002672E5">
            <w:pPr>
              <w:rPr>
                <w:color w:val="000000"/>
                <w:sz w:val="22"/>
                <w:szCs w:val="22"/>
                <w:lang w:val="sk-SK"/>
              </w:rPr>
            </w:pPr>
            <w:r w:rsidRPr="0063664A">
              <w:rPr>
                <w:color w:val="000000"/>
                <w:sz w:val="22"/>
                <w:szCs w:val="22"/>
                <w:lang w:val="sk-SK"/>
              </w:rPr>
              <w:t>Svalové spazmy</w:t>
            </w:r>
            <w:r w:rsidRPr="0063664A">
              <w:rPr>
                <w:color w:val="000000"/>
                <w:sz w:val="22"/>
                <w:szCs w:val="22"/>
                <w:vertAlign w:val="superscript"/>
                <w:lang w:val="sk-SK"/>
              </w:rPr>
              <w:t>3</w:t>
            </w:r>
            <w:r w:rsidRPr="0063664A">
              <w:rPr>
                <w:color w:val="000000"/>
                <w:sz w:val="22"/>
                <w:szCs w:val="22"/>
                <w:lang w:val="sk-SK"/>
              </w:rPr>
              <w:t>, muskuloskeletálna stuhnutosť</w:t>
            </w:r>
            <w:r w:rsidRPr="0063664A">
              <w:rPr>
                <w:color w:val="000000"/>
                <w:sz w:val="22"/>
                <w:szCs w:val="22"/>
                <w:vertAlign w:val="superscript"/>
                <w:lang w:val="sk-SK"/>
              </w:rPr>
              <w:t>1</w:t>
            </w:r>
            <w:r w:rsidRPr="0063664A">
              <w:rPr>
                <w:color w:val="000000"/>
                <w:sz w:val="22"/>
                <w:szCs w:val="22"/>
                <w:lang w:val="sk-SK"/>
              </w:rPr>
              <w:t>, myalgia</w:t>
            </w:r>
            <w:r w:rsidRPr="0063664A">
              <w:rPr>
                <w:color w:val="000000"/>
                <w:sz w:val="22"/>
                <w:szCs w:val="22"/>
                <w:vertAlign w:val="superscript"/>
                <w:lang w:val="sk-SK"/>
              </w:rPr>
              <w:t>2</w:t>
            </w:r>
          </w:p>
        </w:tc>
        <w:tc>
          <w:tcPr>
            <w:tcW w:w="1850" w:type="dxa"/>
            <w:tcBorders>
              <w:right w:val="single" w:sz="12" w:space="0" w:color="auto"/>
            </w:tcBorders>
          </w:tcPr>
          <w:p w14:paraId="499E6830" w14:textId="77777777" w:rsidR="0065586B" w:rsidRPr="0063664A" w:rsidRDefault="0065586B" w:rsidP="002672E5">
            <w:pPr>
              <w:rPr>
                <w:sz w:val="22"/>
                <w:szCs w:val="22"/>
                <w:lang w:val="sk-SK"/>
              </w:rPr>
            </w:pPr>
            <w:r w:rsidRPr="0063664A">
              <w:rPr>
                <w:color w:val="000000"/>
                <w:sz w:val="22"/>
                <w:szCs w:val="22"/>
                <w:lang w:val="sk-SK"/>
              </w:rPr>
              <w:t>Rabdomyolýza</w:t>
            </w:r>
            <w:r w:rsidRPr="0063664A">
              <w:rPr>
                <w:color w:val="000000"/>
                <w:sz w:val="22"/>
                <w:szCs w:val="22"/>
                <w:vertAlign w:val="superscript"/>
                <w:lang w:val="sk-SK"/>
              </w:rPr>
              <w:t>2, 11</w:t>
            </w:r>
            <w:r w:rsidRPr="0063664A">
              <w:rPr>
                <w:color w:val="000000"/>
                <w:sz w:val="22"/>
                <w:szCs w:val="22"/>
                <w:lang w:val="sk-SK"/>
              </w:rPr>
              <w:t>, myopatia</w:t>
            </w:r>
          </w:p>
        </w:tc>
      </w:tr>
      <w:tr w:rsidR="0065586B" w:rsidRPr="0063664A" w14:paraId="49097426" w14:textId="77777777" w:rsidTr="0004307F">
        <w:trPr>
          <w:trHeight w:val="40"/>
        </w:trPr>
        <w:tc>
          <w:tcPr>
            <w:tcW w:w="1617" w:type="dxa"/>
            <w:tcBorders>
              <w:right w:val="single" w:sz="18" w:space="0" w:color="auto"/>
            </w:tcBorders>
          </w:tcPr>
          <w:p w14:paraId="459BC046" w14:textId="77777777" w:rsidR="0065586B" w:rsidRPr="0063664A" w:rsidRDefault="0065586B" w:rsidP="00881CF1">
            <w:pPr>
              <w:pStyle w:val="Nadpis9"/>
              <w:keepNext w:val="0"/>
              <w:rPr>
                <w:rFonts w:ascii="Times New Roman" w:hAnsi="Times New Roman"/>
                <w:b/>
                <w:bCs/>
                <w:i/>
                <w:iCs/>
                <w:color w:val="000000"/>
                <w:lang w:val="sk-SK"/>
              </w:rPr>
            </w:pPr>
            <w:r w:rsidRPr="0063664A">
              <w:rPr>
                <w:rFonts w:ascii="Times New Roman" w:hAnsi="Times New Roman"/>
                <w:b/>
                <w:i/>
                <w:lang w:val="sk-SK"/>
              </w:rPr>
              <w:t>Poruchy obličiek a močových ciest</w:t>
            </w:r>
          </w:p>
        </w:tc>
        <w:tc>
          <w:tcPr>
            <w:tcW w:w="1590" w:type="dxa"/>
            <w:tcBorders>
              <w:left w:val="single" w:sz="18" w:space="0" w:color="auto"/>
            </w:tcBorders>
          </w:tcPr>
          <w:p w14:paraId="032C06CA" w14:textId="77777777" w:rsidR="0065586B" w:rsidRPr="0063664A" w:rsidRDefault="0065586B" w:rsidP="002672E5">
            <w:pPr>
              <w:rPr>
                <w:sz w:val="22"/>
                <w:szCs w:val="22"/>
                <w:lang w:val="sk-SK"/>
              </w:rPr>
            </w:pPr>
          </w:p>
        </w:tc>
        <w:tc>
          <w:tcPr>
            <w:tcW w:w="1886" w:type="dxa"/>
          </w:tcPr>
          <w:p w14:paraId="4B0D2031" w14:textId="77777777" w:rsidR="0065586B" w:rsidRPr="0063664A" w:rsidRDefault="0065586B" w:rsidP="002672E5">
            <w:pPr>
              <w:rPr>
                <w:sz w:val="22"/>
                <w:szCs w:val="22"/>
                <w:lang w:val="sk-SK"/>
              </w:rPr>
            </w:pPr>
          </w:p>
        </w:tc>
        <w:tc>
          <w:tcPr>
            <w:tcW w:w="2555" w:type="dxa"/>
          </w:tcPr>
          <w:p w14:paraId="5198C31B" w14:textId="77777777" w:rsidR="0065586B" w:rsidRPr="0063664A" w:rsidRDefault="0065586B" w:rsidP="002672E5">
            <w:pPr>
              <w:rPr>
                <w:color w:val="000000"/>
                <w:sz w:val="22"/>
                <w:szCs w:val="22"/>
                <w:lang w:val="sk-SK"/>
              </w:rPr>
            </w:pPr>
            <w:r w:rsidRPr="0063664A">
              <w:rPr>
                <w:color w:val="000000"/>
                <w:sz w:val="22"/>
                <w:szCs w:val="22"/>
                <w:lang w:val="sk-SK"/>
              </w:rPr>
              <w:t>Zvýšenie hladiny kreatinínu v krvi</w:t>
            </w:r>
            <w:r w:rsidRPr="0063664A">
              <w:rPr>
                <w:color w:val="000000"/>
                <w:sz w:val="22"/>
                <w:szCs w:val="22"/>
                <w:vertAlign w:val="superscript"/>
                <w:lang w:val="sk-SK"/>
              </w:rPr>
              <w:t>1</w:t>
            </w:r>
            <w:r w:rsidRPr="0063664A">
              <w:rPr>
                <w:color w:val="000000"/>
                <w:sz w:val="22"/>
                <w:szCs w:val="22"/>
                <w:lang w:val="sk-SK"/>
              </w:rPr>
              <w:t>, zvýšenie hladiny močoviny v krvi</w:t>
            </w:r>
            <w:r w:rsidRPr="0063664A">
              <w:rPr>
                <w:color w:val="000000"/>
                <w:sz w:val="22"/>
                <w:szCs w:val="22"/>
                <w:vertAlign w:val="superscript"/>
                <w:lang w:val="sk-SK"/>
              </w:rPr>
              <w:t>1</w:t>
            </w:r>
          </w:p>
        </w:tc>
        <w:tc>
          <w:tcPr>
            <w:tcW w:w="1850" w:type="dxa"/>
            <w:tcBorders>
              <w:right w:val="single" w:sz="12" w:space="0" w:color="auto"/>
            </w:tcBorders>
          </w:tcPr>
          <w:p w14:paraId="6C81C257" w14:textId="77777777" w:rsidR="0065586B" w:rsidRPr="0063664A" w:rsidRDefault="0065586B" w:rsidP="002672E5">
            <w:pPr>
              <w:rPr>
                <w:sz w:val="22"/>
                <w:szCs w:val="22"/>
                <w:lang w:val="sk-SK"/>
              </w:rPr>
            </w:pPr>
            <w:r w:rsidRPr="0063664A">
              <w:rPr>
                <w:color w:val="000000"/>
                <w:sz w:val="22"/>
                <w:szCs w:val="22"/>
                <w:lang w:val="sk-SK"/>
              </w:rPr>
              <w:t xml:space="preserve">Zlyhanie obličiek, intersticiálna nefritída </w:t>
            </w:r>
          </w:p>
        </w:tc>
      </w:tr>
      <w:tr w:rsidR="0065586B" w:rsidRPr="0063664A" w14:paraId="0C3FBD12" w14:textId="77777777" w:rsidTr="0004307F">
        <w:trPr>
          <w:trHeight w:val="40"/>
        </w:trPr>
        <w:tc>
          <w:tcPr>
            <w:tcW w:w="1617" w:type="dxa"/>
            <w:tcBorders>
              <w:right w:val="single" w:sz="18" w:space="0" w:color="auto"/>
            </w:tcBorders>
          </w:tcPr>
          <w:p w14:paraId="0AB9A90E" w14:textId="77777777" w:rsidR="0065586B" w:rsidRPr="0063664A" w:rsidRDefault="0065586B" w:rsidP="002672E5">
            <w:pPr>
              <w:rPr>
                <w:b/>
                <w:color w:val="000000"/>
                <w:sz w:val="22"/>
                <w:szCs w:val="22"/>
                <w:lang w:val="sk-SK"/>
              </w:rPr>
            </w:pPr>
            <w:r w:rsidRPr="0063664A">
              <w:rPr>
                <w:b/>
                <w:bCs/>
                <w:iCs/>
                <w:sz w:val="22"/>
                <w:szCs w:val="22"/>
                <w:lang w:val="sk-SK"/>
              </w:rPr>
              <w:t>Celkové poruchy a reakcie v mieste podania</w:t>
            </w:r>
            <w:r w:rsidRPr="0063664A">
              <w:rPr>
                <w:b/>
                <w:color w:val="000000"/>
                <w:sz w:val="22"/>
                <w:szCs w:val="22"/>
                <w:lang w:val="sk-SK"/>
              </w:rPr>
              <w:t xml:space="preserve"> </w:t>
            </w:r>
          </w:p>
        </w:tc>
        <w:tc>
          <w:tcPr>
            <w:tcW w:w="1590" w:type="dxa"/>
            <w:tcBorders>
              <w:left w:val="single" w:sz="18" w:space="0" w:color="auto"/>
            </w:tcBorders>
          </w:tcPr>
          <w:p w14:paraId="0F9729FF" w14:textId="77777777" w:rsidR="0065586B" w:rsidRPr="0063664A" w:rsidRDefault="0065586B" w:rsidP="002672E5">
            <w:pPr>
              <w:rPr>
                <w:sz w:val="22"/>
                <w:szCs w:val="22"/>
                <w:lang w:val="sk-SK"/>
              </w:rPr>
            </w:pPr>
            <w:r w:rsidRPr="0063664A">
              <w:rPr>
                <w:color w:val="000000"/>
                <w:sz w:val="22"/>
                <w:szCs w:val="22"/>
                <w:lang w:val="sk-SK"/>
              </w:rPr>
              <w:t>Flebitída v mieste podania injekcie</w:t>
            </w:r>
            <w:r w:rsidRPr="0063664A">
              <w:rPr>
                <w:color w:val="000000"/>
                <w:sz w:val="22"/>
                <w:szCs w:val="22"/>
                <w:vertAlign w:val="superscript"/>
                <w:lang w:val="sk-SK"/>
              </w:rPr>
              <w:t>1</w:t>
            </w:r>
            <w:r w:rsidRPr="0063664A">
              <w:rPr>
                <w:color w:val="000000"/>
                <w:sz w:val="22"/>
                <w:szCs w:val="22"/>
                <w:lang w:val="sk-SK"/>
              </w:rPr>
              <w:t xml:space="preserve"> </w:t>
            </w:r>
          </w:p>
        </w:tc>
        <w:tc>
          <w:tcPr>
            <w:tcW w:w="1886" w:type="dxa"/>
          </w:tcPr>
          <w:p w14:paraId="3532E00C" w14:textId="77777777" w:rsidR="0065586B" w:rsidRPr="0063664A" w:rsidRDefault="0065586B" w:rsidP="002672E5">
            <w:pPr>
              <w:rPr>
                <w:color w:val="000000"/>
                <w:sz w:val="22"/>
                <w:szCs w:val="22"/>
                <w:lang w:val="sk-SK"/>
              </w:rPr>
            </w:pPr>
            <w:r w:rsidRPr="0063664A">
              <w:rPr>
                <w:color w:val="000000"/>
                <w:sz w:val="22"/>
                <w:szCs w:val="22"/>
                <w:lang w:val="sk-SK"/>
              </w:rPr>
              <w:t>Bolesť v mieste podania injekcie</w:t>
            </w:r>
            <w:r w:rsidRPr="0063664A">
              <w:rPr>
                <w:color w:val="000000"/>
                <w:sz w:val="22"/>
                <w:szCs w:val="22"/>
                <w:vertAlign w:val="superscript"/>
                <w:lang w:val="sk-SK"/>
              </w:rPr>
              <w:t>1</w:t>
            </w:r>
            <w:r w:rsidRPr="0063664A">
              <w:rPr>
                <w:color w:val="000000"/>
                <w:sz w:val="22"/>
                <w:szCs w:val="22"/>
                <w:lang w:val="sk-SK"/>
              </w:rPr>
              <w:t>, zápal v mieste podania injekcie</w:t>
            </w:r>
            <w:r w:rsidRPr="0063664A">
              <w:rPr>
                <w:color w:val="000000"/>
                <w:sz w:val="22"/>
                <w:szCs w:val="22"/>
                <w:vertAlign w:val="superscript"/>
                <w:lang w:val="sk-SK"/>
              </w:rPr>
              <w:t>1</w:t>
            </w:r>
          </w:p>
        </w:tc>
        <w:tc>
          <w:tcPr>
            <w:tcW w:w="2555" w:type="dxa"/>
          </w:tcPr>
          <w:p w14:paraId="7BC9FFFA" w14:textId="77777777" w:rsidR="0065586B" w:rsidRPr="0063664A" w:rsidRDefault="0065586B" w:rsidP="002672E5">
            <w:pPr>
              <w:rPr>
                <w:sz w:val="22"/>
                <w:szCs w:val="22"/>
                <w:lang w:val="sk-SK"/>
              </w:rPr>
            </w:pPr>
            <w:r w:rsidRPr="0063664A">
              <w:rPr>
                <w:color w:val="000000"/>
                <w:sz w:val="22"/>
                <w:szCs w:val="22"/>
                <w:lang w:val="sk-SK"/>
              </w:rPr>
              <w:t>Nevoľnosť</w:t>
            </w:r>
            <w:r w:rsidRPr="0063664A">
              <w:rPr>
                <w:color w:val="000000"/>
                <w:sz w:val="22"/>
                <w:szCs w:val="22"/>
                <w:vertAlign w:val="superscript"/>
                <w:lang w:val="sk-SK"/>
              </w:rPr>
              <w:t>4</w:t>
            </w:r>
            <w:r w:rsidRPr="0063664A">
              <w:rPr>
                <w:color w:val="000000"/>
                <w:sz w:val="22"/>
                <w:szCs w:val="22"/>
                <w:lang w:val="sk-SK"/>
              </w:rPr>
              <w:t>, horúčka</w:t>
            </w:r>
            <w:r w:rsidRPr="0063664A">
              <w:rPr>
                <w:color w:val="000000"/>
                <w:sz w:val="22"/>
                <w:szCs w:val="22"/>
                <w:vertAlign w:val="superscript"/>
                <w:lang w:val="sk-SK"/>
              </w:rPr>
              <w:t>3</w:t>
            </w:r>
            <w:r w:rsidRPr="0063664A">
              <w:rPr>
                <w:color w:val="000000"/>
                <w:sz w:val="22"/>
                <w:szCs w:val="22"/>
                <w:lang w:val="sk-SK"/>
              </w:rPr>
              <w:t>, asténia, bolesť na hrudníku</w:t>
            </w:r>
            <w:r w:rsidRPr="0063664A">
              <w:rPr>
                <w:color w:val="000000"/>
                <w:sz w:val="22"/>
                <w:szCs w:val="22"/>
                <w:vertAlign w:val="superscript"/>
                <w:lang w:val="sk-SK"/>
              </w:rPr>
              <w:t>4</w:t>
            </w:r>
            <w:r w:rsidRPr="0063664A">
              <w:rPr>
                <w:color w:val="000000"/>
                <w:sz w:val="22"/>
                <w:szCs w:val="22"/>
                <w:lang w:val="sk-SK"/>
              </w:rPr>
              <w:t>, triaška</w:t>
            </w:r>
            <w:r w:rsidRPr="0063664A">
              <w:rPr>
                <w:color w:val="000000"/>
                <w:sz w:val="22"/>
                <w:szCs w:val="22"/>
                <w:vertAlign w:val="superscript"/>
                <w:lang w:val="sk-SK"/>
              </w:rPr>
              <w:t>4</w:t>
            </w:r>
            <w:r w:rsidRPr="0063664A">
              <w:rPr>
                <w:color w:val="000000"/>
                <w:sz w:val="22"/>
                <w:szCs w:val="22"/>
                <w:lang w:val="sk-SK"/>
              </w:rPr>
              <w:t>, únava</w:t>
            </w:r>
            <w:r w:rsidRPr="0063664A">
              <w:rPr>
                <w:color w:val="000000"/>
                <w:sz w:val="22"/>
                <w:szCs w:val="22"/>
                <w:vertAlign w:val="superscript"/>
                <w:lang w:val="sk-SK"/>
              </w:rPr>
              <w:t>4</w:t>
            </w:r>
          </w:p>
        </w:tc>
        <w:tc>
          <w:tcPr>
            <w:tcW w:w="1850" w:type="dxa"/>
            <w:tcBorders>
              <w:right w:val="single" w:sz="12" w:space="0" w:color="auto"/>
            </w:tcBorders>
          </w:tcPr>
          <w:p w14:paraId="0F6E0EF0" w14:textId="77777777" w:rsidR="0065586B" w:rsidRPr="0063664A" w:rsidRDefault="0065586B" w:rsidP="002672E5">
            <w:pPr>
              <w:rPr>
                <w:sz w:val="22"/>
                <w:szCs w:val="22"/>
                <w:lang w:val="sk-SK"/>
              </w:rPr>
            </w:pPr>
          </w:p>
        </w:tc>
      </w:tr>
      <w:tr w:rsidR="0065586B" w:rsidRPr="0063664A" w14:paraId="2704F16F" w14:textId="77777777" w:rsidTr="0004307F">
        <w:trPr>
          <w:trHeight w:val="40"/>
        </w:trPr>
        <w:tc>
          <w:tcPr>
            <w:tcW w:w="1617" w:type="dxa"/>
            <w:tcBorders>
              <w:bottom w:val="single" w:sz="12" w:space="0" w:color="auto"/>
              <w:right w:val="single" w:sz="18" w:space="0" w:color="auto"/>
            </w:tcBorders>
          </w:tcPr>
          <w:p w14:paraId="044511A4" w14:textId="77777777" w:rsidR="0065586B" w:rsidRPr="0063664A" w:rsidRDefault="0065586B" w:rsidP="002672E5">
            <w:pPr>
              <w:rPr>
                <w:b/>
                <w:sz w:val="22"/>
                <w:szCs w:val="22"/>
                <w:lang w:val="sk-SK"/>
              </w:rPr>
            </w:pPr>
            <w:r w:rsidRPr="0063664A">
              <w:rPr>
                <w:b/>
                <w:bCs/>
                <w:iCs/>
                <w:sz w:val="22"/>
                <w:szCs w:val="22"/>
                <w:lang w:val="sk-SK"/>
              </w:rPr>
              <w:t>Laboratórne a funkčné vyšetrenia</w:t>
            </w:r>
            <w:r w:rsidRPr="0063664A">
              <w:rPr>
                <w:b/>
                <w:color w:val="000000"/>
                <w:sz w:val="22"/>
                <w:szCs w:val="22"/>
                <w:lang w:val="sk-SK"/>
              </w:rPr>
              <w:t xml:space="preserve"> </w:t>
            </w:r>
          </w:p>
        </w:tc>
        <w:tc>
          <w:tcPr>
            <w:tcW w:w="1590" w:type="dxa"/>
            <w:tcBorders>
              <w:left w:val="single" w:sz="18" w:space="0" w:color="auto"/>
              <w:bottom w:val="single" w:sz="12" w:space="0" w:color="auto"/>
            </w:tcBorders>
          </w:tcPr>
          <w:p w14:paraId="68C27999" w14:textId="77777777" w:rsidR="0065586B" w:rsidRPr="0063664A" w:rsidRDefault="0065586B" w:rsidP="002672E5">
            <w:pPr>
              <w:rPr>
                <w:sz w:val="22"/>
                <w:szCs w:val="22"/>
                <w:lang w:val="sk-SK"/>
              </w:rPr>
            </w:pPr>
          </w:p>
        </w:tc>
        <w:tc>
          <w:tcPr>
            <w:tcW w:w="1886" w:type="dxa"/>
            <w:tcBorders>
              <w:bottom w:val="single" w:sz="12" w:space="0" w:color="auto"/>
            </w:tcBorders>
          </w:tcPr>
          <w:p w14:paraId="07BFC531" w14:textId="77777777" w:rsidR="0065586B" w:rsidRPr="0063664A" w:rsidRDefault="0065586B" w:rsidP="002672E5">
            <w:pPr>
              <w:rPr>
                <w:sz w:val="22"/>
                <w:szCs w:val="22"/>
                <w:lang w:val="sk-SK"/>
              </w:rPr>
            </w:pPr>
          </w:p>
        </w:tc>
        <w:tc>
          <w:tcPr>
            <w:tcW w:w="2555" w:type="dxa"/>
            <w:tcBorders>
              <w:bottom w:val="single" w:sz="12" w:space="0" w:color="auto"/>
            </w:tcBorders>
          </w:tcPr>
          <w:p w14:paraId="62FC9DC6" w14:textId="77777777" w:rsidR="0065586B" w:rsidRPr="0063664A" w:rsidRDefault="0065586B" w:rsidP="002672E5">
            <w:pPr>
              <w:rPr>
                <w:color w:val="000000"/>
                <w:sz w:val="22"/>
                <w:szCs w:val="22"/>
                <w:lang w:val="sk-SK"/>
              </w:rPr>
            </w:pPr>
            <w:r w:rsidRPr="0063664A">
              <w:rPr>
                <w:color w:val="000000"/>
                <w:sz w:val="22"/>
                <w:szCs w:val="22"/>
                <w:lang w:val="sk-SK"/>
              </w:rPr>
              <w:t>Abnormálny pomer albumínu a globulínu</w:t>
            </w:r>
            <w:r w:rsidRPr="0063664A">
              <w:rPr>
                <w:bCs/>
                <w:color w:val="000000"/>
                <w:sz w:val="22"/>
                <w:szCs w:val="22"/>
                <w:vertAlign w:val="superscript"/>
                <w:lang w:val="sk-SK"/>
              </w:rPr>
              <w:t>1</w:t>
            </w:r>
            <w:r w:rsidRPr="0063664A">
              <w:rPr>
                <w:color w:val="000000"/>
                <w:sz w:val="22"/>
                <w:szCs w:val="22"/>
                <w:lang w:val="sk-SK"/>
              </w:rPr>
              <w:t>, zvýšenie hladiny alkalickej fosfatázy</w:t>
            </w:r>
            <w:r w:rsidRPr="0063664A">
              <w:rPr>
                <w:color w:val="000000"/>
                <w:sz w:val="22"/>
                <w:szCs w:val="22"/>
                <w:vertAlign w:val="superscript"/>
                <w:lang w:val="sk-SK"/>
              </w:rPr>
              <w:t>4</w:t>
            </w:r>
            <w:r w:rsidRPr="0063664A">
              <w:rPr>
                <w:color w:val="000000"/>
                <w:sz w:val="22"/>
                <w:szCs w:val="22"/>
                <w:lang w:val="sk-SK"/>
              </w:rPr>
              <w:t>, zvýšenie hladiny laktátdehydrogenázy v krvi</w:t>
            </w:r>
            <w:r w:rsidRPr="0063664A">
              <w:rPr>
                <w:color w:val="000000"/>
                <w:sz w:val="22"/>
                <w:szCs w:val="22"/>
                <w:vertAlign w:val="superscript"/>
                <w:lang w:val="sk-SK"/>
              </w:rPr>
              <w:t>4</w:t>
            </w:r>
          </w:p>
        </w:tc>
        <w:tc>
          <w:tcPr>
            <w:tcW w:w="1850" w:type="dxa"/>
            <w:tcBorders>
              <w:bottom w:val="single" w:sz="12" w:space="0" w:color="auto"/>
              <w:right w:val="single" w:sz="12" w:space="0" w:color="auto"/>
            </w:tcBorders>
          </w:tcPr>
          <w:p w14:paraId="103D9EE2" w14:textId="77777777" w:rsidR="0065586B" w:rsidRPr="0063664A" w:rsidRDefault="0065586B" w:rsidP="002672E5">
            <w:pPr>
              <w:rPr>
                <w:sz w:val="22"/>
                <w:szCs w:val="22"/>
                <w:lang w:val="sk-SK"/>
              </w:rPr>
            </w:pPr>
            <w:r w:rsidRPr="0063664A">
              <w:rPr>
                <w:color w:val="000000"/>
                <w:sz w:val="22"/>
                <w:szCs w:val="22"/>
                <w:lang w:val="sk-SK"/>
              </w:rPr>
              <w:t>Zvýšenie INR</w:t>
            </w:r>
            <w:r w:rsidRPr="0063664A">
              <w:rPr>
                <w:color w:val="000000"/>
                <w:sz w:val="22"/>
                <w:szCs w:val="22"/>
                <w:vertAlign w:val="superscript"/>
                <w:lang w:val="sk-SK"/>
              </w:rPr>
              <w:t>8</w:t>
            </w:r>
            <w:r w:rsidRPr="0063664A">
              <w:rPr>
                <w:color w:val="000000"/>
                <w:sz w:val="22"/>
                <w:szCs w:val="22"/>
                <w:lang w:val="sk-SK"/>
              </w:rPr>
              <w:t>, predĺženie protrombínového času</w:t>
            </w:r>
            <w:r w:rsidRPr="0063664A">
              <w:rPr>
                <w:color w:val="000000"/>
                <w:sz w:val="22"/>
                <w:szCs w:val="22"/>
                <w:vertAlign w:val="superscript"/>
                <w:lang w:val="sk-SK"/>
              </w:rPr>
              <w:t>8</w:t>
            </w:r>
            <w:r w:rsidRPr="0063664A">
              <w:rPr>
                <w:color w:val="000000"/>
                <w:sz w:val="22"/>
                <w:szCs w:val="22"/>
                <w:lang w:val="sk-SK"/>
              </w:rPr>
              <w:t>,</w:t>
            </w:r>
            <w:r w:rsidRPr="0063664A">
              <w:rPr>
                <w:sz w:val="22"/>
                <w:szCs w:val="22"/>
                <w:lang w:val="sk-SK"/>
              </w:rPr>
              <w:t xml:space="preserve"> abnormálne sfarbenie moču</w:t>
            </w:r>
          </w:p>
        </w:tc>
      </w:tr>
    </w:tbl>
    <w:p w14:paraId="03AF050C" w14:textId="77777777" w:rsidR="0065586B" w:rsidRPr="0063664A" w:rsidRDefault="0065586B" w:rsidP="002672E5">
      <w:pPr>
        <w:pStyle w:val="Pta"/>
        <w:rPr>
          <w:bCs/>
          <w:color w:val="000000"/>
          <w:sz w:val="22"/>
          <w:szCs w:val="22"/>
          <w:vertAlign w:val="superscript"/>
          <w:lang w:val="sk-SK"/>
        </w:rPr>
      </w:pPr>
      <w:r w:rsidRPr="0063664A">
        <w:rPr>
          <w:bCs/>
          <w:color w:val="000000"/>
          <w:sz w:val="22"/>
          <w:szCs w:val="22"/>
          <w:vertAlign w:val="superscript"/>
          <w:lang w:val="sk-SK"/>
        </w:rPr>
        <w:t xml:space="preserve">1 </w:t>
      </w:r>
      <w:r w:rsidRPr="0063664A">
        <w:rPr>
          <w:rStyle w:val="slostrany"/>
          <w:color w:val="000000"/>
          <w:sz w:val="22"/>
          <w:szCs w:val="22"/>
          <w:lang w:val="sk-SK"/>
        </w:rPr>
        <w:t xml:space="preserve">Nežiaduce reakcie (NR) hlásené iba pre liekovú formu prášok na injekčný </w:t>
      </w:r>
      <w:r w:rsidR="00D449A3" w:rsidRPr="0063664A">
        <w:rPr>
          <w:rStyle w:val="slostrany"/>
          <w:color w:val="000000"/>
          <w:sz w:val="22"/>
          <w:szCs w:val="22"/>
          <w:lang w:val="sk-SK"/>
        </w:rPr>
        <w:t>ko</w:t>
      </w:r>
      <w:r w:rsidR="008F3266" w:rsidRPr="0063664A">
        <w:rPr>
          <w:rStyle w:val="slostrany"/>
          <w:color w:val="000000"/>
          <w:sz w:val="22"/>
          <w:szCs w:val="22"/>
          <w:lang w:val="sk-SK"/>
        </w:rPr>
        <w:t>n</w:t>
      </w:r>
      <w:r w:rsidR="00D449A3" w:rsidRPr="0063664A">
        <w:rPr>
          <w:rStyle w:val="slostrany"/>
          <w:color w:val="000000"/>
          <w:sz w:val="22"/>
          <w:szCs w:val="22"/>
          <w:lang w:val="sk-SK"/>
        </w:rPr>
        <w:t>centrát</w:t>
      </w:r>
    </w:p>
    <w:p w14:paraId="6C61490A" w14:textId="77777777" w:rsidR="0065586B" w:rsidRPr="0063664A" w:rsidRDefault="0065586B" w:rsidP="002672E5">
      <w:pPr>
        <w:pStyle w:val="Pta"/>
        <w:rPr>
          <w:bCs/>
          <w:color w:val="000000"/>
          <w:sz w:val="22"/>
          <w:szCs w:val="22"/>
          <w:vertAlign w:val="superscript"/>
          <w:lang w:val="sk-SK"/>
        </w:rPr>
      </w:pPr>
      <w:r w:rsidRPr="0063664A">
        <w:rPr>
          <w:bCs/>
          <w:color w:val="000000"/>
          <w:sz w:val="22"/>
          <w:szCs w:val="22"/>
          <w:vertAlign w:val="superscript"/>
          <w:lang w:val="sk-SK"/>
        </w:rPr>
        <w:t>2</w:t>
      </w:r>
      <w:r w:rsidRPr="0063664A">
        <w:rPr>
          <w:color w:val="000000"/>
          <w:sz w:val="22"/>
          <w:szCs w:val="22"/>
          <w:lang w:val="sk-SK"/>
        </w:rPr>
        <w:t xml:space="preserve"> </w:t>
      </w:r>
      <w:r w:rsidRPr="0063664A">
        <w:rPr>
          <w:rStyle w:val="slostrany"/>
          <w:color w:val="000000"/>
          <w:sz w:val="22"/>
          <w:szCs w:val="22"/>
          <w:lang w:val="sk-SK"/>
        </w:rPr>
        <w:t>NR hlásené iba pre liekovú formu tablety s riadeným uvoľňovaním</w:t>
      </w:r>
    </w:p>
    <w:p w14:paraId="6B3C00DD" w14:textId="77777777" w:rsidR="0065586B" w:rsidRPr="0063664A" w:rsidRDefault="0065586B" w:rsidP="002672E5">
      <w:pPr>
        <w:pStyle w:val="Pta"/>
        <w:rPr>
          <w:bCs/>
          <w:color w:val="000000"/>
          <w:sz w:val="22"/>
          <w:szCs w:val="22"/>
          <w:vertAlign w:val="superscript"/>
          <w:lang w:val="sk-SK"/>
        </w:rPr>
      </w:pPr>
      <w:r w:rsidRPr="0063664A">
        <w:rPr>
          <w:rStyle w:val="slostrany"/>
          <w:color w:val="000000"/>
          <w:sz w:val="22"/>
          <w:szCs w:val="22"/>
          <w:vertAlign w:val="superscript"/>
          <w:lang w:val="sk-SK"/>
        </w:rPr>
        <w:t xml:space="preserve">3 </w:t>
      </w:r>
      <w:r w:rsidRPr="0063664A">
        <w:rPr>
          <w:rStyle w:val="slostrany"/>
          <w:color w:val="000000"/>
          <w:sz w:val="22"/>
          <w:szCs w:val="22"/>
          <w:lang w:val="sk-SK"/>
        </w:rPr>
        <w:t>NR hlásené iba pre liekovú formu granulát na perorálnu suspenziu</w:t>
      </w:r>
    </w:p>
    <w:p w14:paraId="77F9FE6A" w14:textId="77777777" w:rsidR="0065586B" w:rsidRPr="0063664A" w:rsidRDefault="0065586B" w:rsidP="002672E5">
      <w:pPr>
        <w:pStyle w:val="Pta"/>
        <w:rPr>
          <w:rStyle w:val="slostrany"/>
          <w:color w:val="000000"/>
          <w:sz w:val="22"/>
          <w:szCs w:val="22"/>
          <w:lang w:val="sk-SK"/>
        </w:rPr>
      </w:pPr>
      <w:r w:rsidRPr="0063664A">
        <w:rPr>
          <w:bCs/>
          <w:color w:val="000000"/>
          <w:sz w:val="22"/>
          <w:szCs w:val="22"/>
          <w:vertAlign w:val="superscript"/>
          <w:lang w:val="sk-SK"/>
        </w:rPr>
        <w:t xml:space="preserve">4 </w:t>
      </w:r>
      <w:r w:rsidRPr="0063664A">
        <w:rPr>
          <w:rStyle w:val="slostrany"/>
          <w:color w:val="000000"/>
          <w:sz w:val="22"/>
          <w:szCs w:val="22"/>
          <w:lang w:val="sk-SK"/>
        </w:rPr>
        <w:t>NR hlásené iba pre liekovú formu tablety s okamžitým uvoľňovaním</w:t>
      </w:r>
    </w:p>
    <w:p w14:paraId="4CA22A82" w14:textId="77777777" w:rsidR="0065586B" w:rsidRPr="0063664A" w:rsidRDefault="0065586B" w:rsidP="002672E5">
      <w:pPr>
        <w:pStyle w:val="Pta"/>
        <w:rPr>
          <w:rStyle w:val="slostrany"/>
          <w:color w:val="000000"/>
          <w:sz w:val="22"/>
          <w:szCs w:val="22"/>
          <w:lang w:val="sk-SK"/>
        </w:rPr>
      </w:pPr>
      <w:r w:rsidRPr="0063664A">
        <w:rPr>
          <w:bCs/>
          <w:color w:val="000000"/>
          <w:sz w:val="22"/>
          <w:szCs w:val="22"/>
          <w:vertAlign w:val="superscript"/>
          <w:lang w:val="sk-SK"/>
        </w:rPr>
        <w:t xml:space="preserve">5, 7, 9, 10 </w:t>
      </w:r>
      <w:r w:rsidRPr="0063664A">
        <w:rPr>
          <w:rStyle w:val="slostrany"/>
          <w:color w:val="000000"/>
          <w:sz w:val="22"/>
          <w:szCs w:val="22"/>
          <w:lang w:val="sk-SK"/>
        </w:rPr>
        <w:t>pozri odsek a)</w:t>
      </w:r>
    </w:p>
    <w:p w14:paraId="04459CC4" w14:textId="77777777" w:rsidR="0065586B" w:rsidRPr="0063664A" w:rsidRDefault="0065586B" w:rsidP="002672E5">
      <w:pPr>
        <w:pStyle w:val="Pta"/>
        <w:rPr>
          <w:rStyle w:val="slostrany"/>
          <w:color w:val="000000"/>
          <w:sz w:val="22"/>
          <w:szCs w:val="22"/>
          <w:lang w:val="sk-SK"/>
        </w:rPr>
      </w:pPr>
      <w:r w:rsidRPr="0063664A">
        <w:rPr>
          <w:bCs/>
          <w:color w:val="000000"/>
          <w:sz w:val="22"/>
          <w:szCs w:val="22"/>
          <w:vertAlign w:val="superscript"/>
          <w:lang w:val="sk-SK"/>
        </w:rPr>
        <w:t xml:space="preserve">6, 8, 11 </w:t>
      </w:r>
      <w:r w:rsidRPr="0063664A">
        <w:rPr>
          <w:rStyle w:val="slostrany"/>
          <w:color w:val="000000"/>
          <w:sz w:val="22"/>
          <w:szCs w:val="22"/>
          <w:lang w:val="sk-SK"/>
        </w:rPr>
        <w:t>pozri odsek c)</w:t>
      </w:r>
    </w:p>
    <w:p w14:paraId="7D9BAF04" w14:textId="77777777" w:rsidR="0065586B" w:rsidRPr="0063664A" w:rsidRDefault="0065586B" w:rsidP="00881CF1">
      <w:pPr>
        <w:pStyle w:val="Pta"/>
        <w:rPr>
          <w:sz w:val="22"/>
          <w:szCs w:val="22"/>
          <w:lang w:val="sk-SK"/>
        </w:rPr>
      </w:pPr>
    </w:p>
    <w:p w14:paraId="589625E9" w14:textId="77777777" w:rsidR="0065586B" w:rsidRPr="0063664A" w:rsidRDefault="0065586B" w:rsidP="009B7F59">
      <w:pPr>
        <w:keepNext/>
        <w:ind w:left="567" w:hanging="567"/>
        <w:rPr>
          <w:b/>
          <w:bCs/>
          <w:i/>
          <w:iCs/>
          <w:sz w:val="22"/>
          <w:szCs w:val="22"/>
          <w:lang w:val="sk-SK" w:eastAsia="en-GB"/>
        </w:rPr>
      </w:pPr>
      <w:r w:rsidRPr="0063664A">
        <w:rPr>
          <w:b/>
          <w:bCs/>
          <w:i/>
          <w:iCs/>
          <w:sz w:val="22"/>
          <w:szCs w:val="22"/>
          <w:lang w:val="sk-SK" w:eastAsia="en-GB"/>
        </w:rPr>
        <w:t>c.</w:t>
      </w:r>
      <w:r w:rsidRPr="0063664A">
        <w:rPr>
          <w:b/>
          <w:bCs/>
          <w:i/>
          <w:iCs/>
          <w:sz w:val="22"/>
          <w:szCs w:val="22"/>
          <w:lang w:val="sk-SK" w:eastAsia="en-GB"/>
        </w:rPr>
        <w:tab/>
        <w:t>Opis vybraných nežiaducich reakcií</w:t>
      </w:r>
    </w:p>
    <w:p w14:paraId="1339466C" w14:textId="77777777" w:rsidR="0065586B" w:rsidRPr="0063664A" w:rsidRDefault="0065586B" w:rsidP="009B7F59">
      <w:pPr>
        <w:keepNext/>
        <w:rPr>
          <w:sz w:val="22"/>
          <w:szCs w:val="22"/>
          <w:lang w:val="sk-SK"/>
        </w:rPr>
      </w:pPr>
    </w:p>
    <w:p w14:paraId="174F4A7E" w14:textId="77777777" w:rsidR="0065586B" w:rsidRPr="0063664A" w:rsidRDefault="0065586B" w:rsidP="002672E5">
      <w:pPr>
        <w:rPr>
          <w:iCs/>
          <w:color w:val="000000"/>
          <w:sz w:val="22"/>
          <w:szCs w:val="22"/>
          <w:lang w:val="sk-SK"/>
        </w:rPr>
      </w:pPr>
      <w:r w:rsidRPr="0063664A">
        <w:rPr>
          <w:iCs/>
          <w:color w:val="000000"/>
          <w:sz w:val="22"/>
          <w:szCs w:val="22"/>
          <w:lang w:val="sk-SK"/>
        </w:rPr>
        <w:t>Flebitída v mieste vpichu injekcie, bolesť v mieste podania injekcie, bolesť v mieste prepichnutia cievy a zápal v mieste podania injekcie sú charakteristické pre intravenóznu liekovú formu klaritromycínu.</w:t>
      </w:r>
    </w:p>
    <w:p w14:paraId="57E99286" w14:textId="77777777" w:rsidR="0065586B" w:rsidRPr="0063664A" w:rsidRDefault="0065586B" w:rsidP="00881CF1">
      <w:pPr>
        <w:rPr>
          <w:iCs/>
          <w:sz w:val="22"/>
          <w:szCs w:val="22"/>
          <w:lang w:val="sk-SK"/>
        </w:rPr>
      </w:pPr>
    </w:p>
    <w:p w14:paraId="36A6F4D9" w14:textId="77777777" w:rsidR="0065586B" w:rsidRPr="0063664A" w:rsidRDefault="0065586B" w:rsidP="002672E5">
      <w:pPr>
        <w:rPr>
          <w:sz w:val="22"/>
          <w:szCs w:val="22"/>
          <w:lang w:val="sk-SK"/>
        </w:rPr>
      </w:pPr>
      <w:r w:rsidRPr="0063664A">
        <w:rPr>
          <w:sz w:val="22"/>
          <w:szCs w:val="22"/>
          <w:lang w:val="sk-SK"/>
        </w:rPr>
        <w:t>V niektorých prípadoch hlásení rabdomyolýzy sa klaritromycín podával súbežne so statínmi, fibrátmi, kolchicínom alebo alopurinolom (pozri časti</w:t>
      </w:r>
      <w:r w:rsidR="00592A35" w:rsidRPr="0063664A">
        <w:rPr>
          <w:sz w:val="22"/>
          <w:szCs w:val="22"/>
          <w:lang w:val="sk-SK"/>
        </w:rPr>
        <w:t> </w:t>
      </w:r>
      <w:r w:rsidRPr="0063664A">
        <w:rPr>
          <w:sz w:val="22"/>
          <w:szCs w:val="22"/>
          <w:lang w:val="sk-SK"/>
        </w:rPr>
        <w:t>4.3 a 4.4).</w:t>
      </w:r>
    </w:p>
    <w:p w14:paraId="3E0BFE53" w14:textId="77777777" w:rsidR="0065586B" w:rsidRPr="0063664A" w:rsidRDefault="0065586B" w:rsidP="002672E5">
      <w:pPr>
        <w:rPr>
          <w:sz w:val="22"/>
          <w:szCs w:val="22"/>
          <w:lang w:val="sk-SK"/>
        </w:rPr>
      </w:pPr>
    </w:p>
    <w:p w14:paraId="6D2899A8" w14:textId="77777777" w:rsidR="0065586B" w:rsidRPr="0063664A" w:rsidRDefault="0065586B" w:rsidP="002672E5">
      <w:pPr>
        <w:rPr>
          <w:sz w:val="22"/>
          <w:szCs w:val="22"/>
          <w:lang w:val="sk-SK"/>
        </w:rPr>
      </w:pPr>
      <w:r w:rsidRPr="0063664A">
        <w:rPr>
          <w:sz w:val="22"/>
          <w:szCs w:val="22"/>
          <w:lang w:val="sk-SK"/>
        </w:rPr>
        <w:t>Pri súbežnom podávaní klaritromycínu a triazolamu sa po uvedení lieku na trh hlásili liekové interakcie a účinky na centrálny nervový systém (CNS) (napr. ospalosť a zmätenosť). Odporúča sa sledovanie pacienta kvôli zvýšeným farmakologickým účinkom na CNS (pozri časť</w:t>
      </w:r>
      <w:r w:rsidR="00592A35" w:rsidRPr="0063664A">
        <w:rPr>
          <w:sz w:val="22"/>
          <w:szCs w:val="22"/>
          <w:lang w:val="sk-SK"/>
        </w:rPr>
        <w:t> </w:t>
      </w:r>
      <w:r w:rsidRPr="0063664A">
        <w:rPr>
          <w:sz w:val="22"/>
          <w:szCs w:val="22"/>
          <w:lang w:val="sk-SK"/>
        </w:rPr>
        <w:t>4.5).</w:t>
      </w:r>
    </w:p>
    <w:p w14:paraId="499BA443" w14:textId="77777777" w:rsidR="0065586B" w:rsidRPr="0063664A" w:rsidRDefault="0065586B" w:rsidP="002672E5">
      <w:pPr>
        <w:rPr>
          <w:sz w:val="22"/>
          <w:szCs w:val="22"/>
          <w:lang w:val="sk-SK"/>
        </w:rPr>
      </w:pPr>
    </w:p>
    <w:p w14:paraId="72F97D45" w14:textId="77777777" w:rsidR="0065586B" w:rsidRPr="0063664A" w:rsidRDefault="0065586B" w:rsidP="002672E5">
      <w:pPr>
        <w:rPr>
          <w:sz w:val="22"/>
          <w:szCs w:val="22"/>
          <w:lang w:val="sk-SK"/>
        </w:rPr>
      </w:pPr>
      <w:r w:rsidRPr="0063664A">
        <w:rPr>
          <w:sz w:val="22"/>
          <w:szCs w:val="22"/>
          <w:lang w:val="sk-SK"/>
        </w:rPr>
        <w:t>Zriedkavo sa hlásili prípady výskytu zvyškov tabliet klaritromycínu s riadeným uvoľňovaním v stolici, z ktorých mnohé sa vyskytli u pacientov s anatomickými (vrátane ileostómie alebo kolostómie) alebo funkčnými poruchami gastrointestinálneho traktu so skráteným časom prechodu traktom. V niekoľkých prípadoch sa zvyšky tabliet objavili v stolici v súvislosti s hnačkou. Odporúča sa, aby pacienti, u ktorých sa v stolici objavili zvyšky tabliet a nedošlo k zlepšeniu ich stavu, prešli na liečbu inou liekovou formou klaritromycínu (napr. suspenziu) alebo iným antibiotikom.</w:t>
      </w:r>
    </w:p>
    <w:p w14:paraId="6847C596" w14:textId="77777777" w:rsidR="0065586B" w:rsidRPr="0063664A" w:rsidRDefault="0065586B" w:rsidP="002672E5">
      <w:pPr>
        <w:rPr>
          <w:sz w:val="22"/>
          <w:szCs w:val="22"/>
          <w:lang w:val="sk-SK"/>
        </w:rPr>
      </w:pPr>
    </w:p>
    <w:p w14:paraId="2473FFB5" w14:textId="77777777" w:rsidR="0065586B" w:rsidRPr="0063664A" w:rsidRDefault="0065586B" w:rsidP="002672E5">
      <w:pPr>
        <w:rPr>
          <w:sz w:val="22"/>
          <w:szCs w:val="22"/>
          <w:lang w:val="sk-SK"/>
        </w:rPr>
      </w:pPr>
      <w:r w:rsidRPr="0063664A">
        <w:rPr>
          <w:sz w:val="22"/>
          <w:szCs w:val="22"/>
          <w:lang w:val="sk-SK"/>
        </w:rPr>
        <w:t>Osobitná skupina pacientov: nežiaduce reakcie u pacientov s oslabeným imunitným systémom (pozri odsek e).</w:t>
      </w:r>
    </w:p>
    <w:p w14:paraId="11259208" w14:textId="77777777" w:rsidR="0065586B" w:rsidRPr="0063664A" w:rsidRDefault="0065586B" w:rsidP="00881CF1">
      <w:pPr>
        <w:rPr>
          <w:sz w:val="22"/>
          <w:szCs w:val="22"/>
          <w:lang w:val="sk-SK"/>
        </w:rPr>
      </w:pPr>
    </w:p>
    <w:p w14:paraId="695FF720" w14:textId="77777777" w:rsidR="0065586B" w:rsidRPr="0063664A" w:rsidRDefault="0065586B" w:rsidP="009B7F59">
      <w:pPr>
        <w:keepNext/>
        <w:ind w:left="567" w:hanging="567"/>
        <w:rPr>
          <w:b/>
          <w:i/>
          <w:iCs/>
          <w:sz w:val="22"/>
          <w:szCs w:val="22"/>
          <w:lang w:val="sk-SK"/>
        </w:rPr>
      </w:pPr>
      <w:r w:rsidRPr="0063664A">
        <w:rPr>
          <w:b/>
          <w:i/>
          <w:iCs/>
          <w:sz w:val="22"/>
          <w:szCs w:val="22"/>
          <w:lang w:val="sk-SK"/>
        </w:rPr>
        <w:t>d.</w:t>
      </w:r>
      <w:r w:rsidRPr="0063664A">
        <w:rPr>
          <w:b/>
          <w:i/>
          <w:iCs/>
          <w:sz w:val="22"/>
          <w:szCs w:val="22"/>
          <w:lang w:val="sk-SK"/>
        </w:rPr>
        <w:tab/>
        <w:t>Pediatrická populácia</w:t>
      </w:r>
    </w:p>
    <w:p w14:paraId="219865A3" w14:textId="77777777" w:rsidR="0065586B" w:rsidRPr="0063664A" w:rsidRDefault="0065586B" w:rsidP="009B7F59">
      <w:pPr>
        <w:keepNext/>
        <w:rPr>
          <w:sz w:val="22"/>
          <w:szCs w:val="22"/>
          <w:lang w:val="sk-SK"/>
        </w:rPr>
      </w:pPr>
    </w:p>
    <w:p w14:paraId="6E7FDDFA" w14:textId="77777777" w:rsidR="0065586B" w:rsidRPr="0063664A" w:rsidRDefault="0065586B" w:rsidP="002672E5">
      <w:pPr>
        <w:rPr>
          <w:sz w:val="22"/>
          <w:szCs w:val="22"/>
          <w:lang w:val="sk-SK"/>
        </w:rPr>
      </w:pPr>
      <w:r w:rsidRPr="0063664A">
        <w:rPr>
          <w:sz w:val="22"/>
          <w:szCs w:val="22"/>
          <w:lang w:val="sk-SK"/>
        </w:rPr>
        <w:t>Klinické skúšania sa uskutočnili u detí vo veku 6</w:t>
      </w:r>
      <w:r w:rsidR="001B750E" w:rsidRPr="0063664A">
        <w:rPr>
          <w:sz w:val="22"/>
          <w:szCs w:val="22"/>
          <w:lang w:val="sk-SK"/>
        </w:rPr>
        <w:t> </w:t>
      </w:r>
      <w:r w:rsidRPr="0063664A">
        <w:rPr>
          <w:sz w:val="22"/>
          <w:szCs w:val="22"/>
          <w:lang w:val="sk-SK"/>
        </w:rPr>
        <w:t>mesiacov až 12</w:t>
      </w:r>
      <w:r w:rsidR="001B750E" w:rsidRPr="0063664A">
        <w:rPr>
          <w:sz w:val="22"/>
          <w:szCs w:val="22"/>
          <w:lang w:val="sk-SK"/>
        </w:rPr>
        <w:t> </w:t>
      </w:r>
      <w:r w:rsidRPr="0063664A">
        <w:rPr>
          <w:sz w:val="22"/>
          <w:szCs w:val="22"/>
          <w:lang w:val="sk-SK"/>
        </w:rPr>
        <w:t>rokov, ktorým sa podával klaritromycín vo forme suspenzie. Preto deti mladšie ako 12</w:t>
      </w:r>
      <w:r w:rsidR="001B750E" w:rsidRPr="0063664A">
        <w:rPr>
          <w:sz w:val="22"/>
          <w:szCs w:val="22"/>
          <w:lang w:val="sk-SK"/>
        </w:rPr>
        <w:t> </w:t>
      </w:r>
      <w:r w:rsidRPr="0063664A">
        <w:rPr>
          <w:sz w:val="22"/>
          <w:szCs w:val="22"/>
          <w:lang w:val="sk-SK"/>
        </w:rPr>
        <w:t>rokov majú užívať klaritromycín vo forme suspenzie. Dostatočné údaje na stanovenie dávkovacej schémy intravenóznej formy klaritromycínu u pacientov mladších ako 18</w:t>
      </w:r>
      <w:r w:rsidR="001B750E" w:rsidRPr="0063664A">
        <w:rPr>
          <w:sz w:val="22"/>
          <w:szCs w:val="22"/>
          <w:lang w:val="sk-SK"/>
        </w:rPr>
        <w:t> </w:t>
      </w:r>
      <w:r w:rsidRPr="0063664A">
        <w:rPr>
          <w:sz w:val="22"/>
          <w:szCs w:val="22"/>
          <w:lang w:val="sk-SK"/>
        </w:rPr>
        <w:t>rokov nie sú k dispozícii.</w:t>
      </w:r>
    </w:p>
    <w:p w14:paraId="3A73AFC4" w14:textId="77777777" w:rsidR="0065586B" w:rsidRPr="0063664A" w:rsidRDefault="0065586B" w:rsidP="00881CF1">
      <w:pPr>
        <w:rPr>
          <w:sz w:val="22"/>
          <w:szCs w:val="22"/>
          <w:lang w:val="sk-SK"/>
        </w:rPr>
      </w:pPr>
    </w:p>
    <w:p w14:paraId="032AB412" w14:textId="77777777" w:rsidR="0065586B" w:rsidRPr="0063664A" w:rsidRDefault="0065586B" w:rsidP="002672E5">
      <w:pPr>
        <w:rPr>
          <w:sz w:val="22"/>
          <w:szCs w:val="22"/>
          <w:lang w:val="sk-SK"/>
        </w:rPr>
      </w:pPr>
      <w:r w:rsidRPr="0063664A">
        <w:rPr>
          <w:sz w:val="22"/>
          <w:szCs w:val="22"/>
          <w:lang w:val="sk-SK"/>
        </w:rPr>
        <w:t>U detí sa predpokladá rovnaká frekvencia výskytu, druh a závažnosť nežiaducich reakcií ako u dospelých.</w:t>
      </w:r>
    </w:p>
    <w:p w14:paraId="184ABD0E" w14:textId="77777777" w:rsidR="0065586B" w:rsidRPr="0063664A" w:rsidRDefault="0065586B" w:rsidP="00881CF1">
      <w:pPr>
        <w:rPr>
          <w:sz w:val="22"/>
          <w:szCs w:val="22"/>
          <w:lang w:val="sk-SK"/>
        </w:rPr>
      </w:pPr>
    </w:p>
    <w:p w14:paraId="06438381" w14:textId="77777777" w:rsidR="0065586B" w:rsidRPr="0063664A" w:rsidRDefault="0065586B" w:rsidP="009B7F59">
      <w:pPr>
        <w:keepNext/>
        <w:ind w:left="567" w:hanging="567"/>
        <w:rPr>
          <w:b/>
          <w:bCs/>
          <w:i/>
          <w:iCs/>
          <w:sz w:val="22"/>
          <w:szCs w:val="22"/>
          <w:lang w:val="sk-SK"/>
        </w:rPr>
      </w:pPr>
      <w:r w:rsidRPr="0063664A">
        <w:rPr>
          <w:b/>
          <w:bCs/>
          <w:i/>
          <w:sz w:val="22"/>
          <w:szCs w:val="22"/>
          <w:lang w:val="sk-SK"/>
        </w:rPr>
        <w:t>e.</w:t>
      </w:r>
      <w:r w:rsidRPr="0063664A">
        <w:rPr>
          <w:b/>
          <w:bCs/>
          <w:sz w:val="22"/>
          <w:szCs w:val="22"/>
          <w:lang w:val="sk-SK"/>
        </w:rPr>
        <w:tab/>
      </w:r>
      <w:r w:rsidRPr="0063664A">
        <w:rPr>
          <w:b/>
          <w:bCs/>
          <w:i/>
          <w:sz w:val="22"/>
          <w:szCs w:val="22"/>
          <w:lang w:val="sk-SK"/>
        </w:rPr>
        <w:t>Ďalšie osobitné skupiny pacientov</w:t>
      </w:r>
    </w:p>
    <w:p w14:paraId="6718A5EE" w14:textId="77777777" w:rsidR="0065586B" w:rsidRPr="0063664A" w:rsidRDefault="0065586B" w:rsidP="009B7F59">
      <w:pPr>
        <w:keepNext/>
        <w:rPr>
          <w:bCs/>
          <w:sz w:val="22"/>
          <w:szCs w:val="22"/>
          <w:lang w:val="sk-SK"/>
        </w:rPr>
      </w:pPr>
    </w:p>
    <w:p w14:paraId="37A292E6" w14:textId="77777777" w:rsidR="0065586B" w:rsidRPr="0063664A" w:rsidRDefault="0065586B" w:rsidP="002672E5">
      <w:pPr>
        <w:rPr>
          <w:i/>
          <w:iCs/>
          <w:sz w:val="22"/>
          <w:szCs w:val="22"/>
          <w:lang w:val="sk-SK"/>
        </w:rPr>
      </w:pPr>
      <w:r w:rsidRPr="0063664A">
        <w:rPr>
          <w:i/>
          <w:iCs/>
          <w:sz w:val="22"/>
          <w:szCs w:val="22"/>
          <w:lang w:val="sk-SK"/>
        </w:rPr>
        <w:t>Pacienti s oslabeným imunitným systémom</w:t>
      </w:r>
    </w:p>
    <w:p w14:paraId="72EA498F" w14:textId="77777777" w:rsidR="0065586B" w:rsidRPr="0063664A" w:rsidRDefault="0065586B" w:rsidP="002672E5">
      <w:pPr>
        <w:rPr>
          <w:sz w:val="22"/>
          <w:szCs w:val="22"/>
          <w:lang w:val="sk-SK"/>
        </w:rPr>
      </w:pPr>
      <w:r w:rsidRPr="0063664A">
        <w:rPr>
          <w:sz w:val="22"/>
          <w:szCs w:val="22"/>
          <w:lang w:val="sk-SK"/>
        </w:rPr>
        <w:t xml:space="preserve">U pacientov s AIDS a iných pacientov s oslabeným imunitným systémom dlhodobo liečených vyššími dávkami klaritromycínu kvôli mykobakteriálnym infekciám bolo často náročné rozlíšiť nežiaduce reakcie pravdepodobne súvisiace s podávaním klaritromycínu od nežiaducich udalostí predstavujúcich príznaky základného ochorenia </w:t>
      </w:r>
      <w:r w:rsidRPr="0063664A">
        <w:rPr>
          <w:bCs/>
          <w:sz w:val="22"/>
          <w:szCs w:val="22"/>
          <w:lang w:val="sk-SK"/>
        </w:rPr>
        <w:t xml:space="preserve">vyvolaného </w:t>
      </w:r>
      <w:r w:rsidRPr="0063664A">
        <w:rPr>
          <w:sz w:val="22"/>
          <w:szCs w:val="22"/>
          <w:lang w:val="sk-SK"/>
        </w:rPr>
        <w:t>vírusom ľudskej imunitnej nedostatočnosti (HIV) alebo pridruženého ochorenia.</w:t>
      </w:r>
    </w:p>
    <w:p w14:paraId="2114E225" w14:textId="77777777" w:rsidR="0065586B" w:rsidRPr="0063664A" w:rsidRDefault="0065586B" w:rsidP="00881CF1">
      <w:pPr>
        <w:rPr>
          <w:sz w:val="22"/>
          <w:szCs w:val="22"/>
          <w:lang w:val="sk-SK"/>
        </w:rPr>
      </w:pPr>
    </w:p>
    <w:p w14:paraId="39346E33" w14:textId="77777777" w:rsidR="0065586B" w:rsidRPr="0063664A" w:rsidRDefault="0065586B" w:rsidP="002672E5">
      <w:pPr>
        <w:pStyle w:val="Zkladntext"/>
        <w:jc w:val="left"/>
        <w:rPr>
          <w:sz w:val="22"/>
          <w:szCs w:val="22"/>
          <w:lang w:val="sk-SK"/>
        </w:rPr>
      </w:pPr>
      <w:r w:rsidRPr="0063664A">
        <w:rPr>
          <w:sz w:val="22"/>
          <w:szCs w:val="22"/>
          <w:lang w:val="sk-SK"/>
        </w:rPr>
        <w:t>Najčastejšie hlásené nežiaduce reakcie u dospelých pacientov liečených celkovými dennými dávkami 1 000 mg a 2 000 mg klaritromycínu boli: nevoľnosť, vracanie, zmeny vnímania chuti, bolesť brucha, hnačka, vyrážka, plynatosť, bolesť hlavy, zápcha, poruchy sluchu, zvýšenie hladín aspartátaminotransferázy (AST) a alanínaminotransferázy (ALT) v sére. Ďalšie reakcie objavujúce sa s nízkou frekvenciou zahŕňali dyspnoe, nespavosť a sucho v ústach. Výskyt u pacientov liečených 1 000 mg a 2 000 mg dávkami bol porovnateľný, avšak bol zvyčajne približne 3- až 4-násobne častejší u pacientov, ktorí dostávali celkové denné dávky klaritromycínu 4 000 mg.</w:t>
      </w:r>
    </w:p>
    <w:p w14:paraId="2B745C51" w14:textId="77777777" w:rsidR="0065586B" w:rsidRPr="0063664A" w:rsidRDefault="0065586B" w:rsidP="002672E5">
      <w:pPr>
        <w:pStyle w:val="Zkladntext"/>
        <w:jc w:val="left"/>
        <w:rPr>
          <w:sz w:val="22"/>
          <w:szCs w:val="22"/>
          <w:lang w:val="sk-SK"/>
        </w:rPr>
      </w:pPr>
    </w:p>
    <w:p w14:paraId="2A065556" w14:textId="77777777" w:rsidR="0065586B" w:rsidRPr="0063664A" w:rsidRDefault="0065586B" w:rsidP="002672E5">
      <w:pPr>
        <w:rPr>
          <w:sz w:val="22"/>
          <w:szCs w:val="22"/>
          <w:lang w:val="sk-SK"/>
        </w:rPr>
      </w:pPr>
      <w:r w:rsidRPr="0063664A">
        <w:rPr>
          <w:sz w:val="22"/>
          <w:szCs w:val="22"/>
          <w:lang w:val="sk-SK"/>
        </w:rPr>
        <w:t>U týchto pacientov s oslabeným imunitným systémom sa hodnotili laboratórne výsledky analyzovaním týchto hodnôt mimo hraničného rozpätia abnormálnych hladín (t. j. najvyššia a najnižšia hraničná hodnota) konkrétneho testu. Na základe týchto kritérií asi 2 % až 3 % pacientov, ktorí dostávali 1 000 mg alebo 2 000 mg klaritromycínu denne, mali závažne abnormálne zvýšené hladiny AST a ALT a abnormálne nízky počet bielych krviniek a krvných doštičiek. Nižšie percento pacientov v týchto dvoch skupinách dávkovania malo tiež zvýšenú koncentráciu močoviny v krvi (BUN). Mierne zvýšený výskyt abnormálnych hladín všetkých ukazovateľov, s výnimkou počtu bielych krviniek, sa zaznamenal u pacientov, ktorí užívali 4000 mg denne.</w:t>
      </w:r>
    </w:p>
    <w:p w14:paraId="500489C6" w14:textId="77777777" w:rsidR="0065586B" w:rsidRPr="0063664A" w:rsidRDefault="0065586B" w:rsidP="002672E5">
      <w:pPr>
        <w:rPr>
          <w:sz w:val="22"/>
          <w:szCs w:val="22"/>
          <w:lang w:val="sk-SK"/>
        </w:rPr>
      </w:pPr>
    </w:p>
    <w:p w14:paraId="59266059" w14:textId="77777777" w:rsidR="0065586B" w:rsidRPr="0063664A" w:rsidRDefault="0065586B" w:rsidP="002672E5">
      <w:pPr>
        <w:suppressLineNumbers/>
        <w:autoSpaceDE w:val="0"/>
        <w:autoSpaceDN w:val="0"/>
        <w:adjustRightInd w:val="0"/>
        <w:rPr>
          <w:sz w:val="22"/>
          <w:szCs w:val="22"/>
          <w:u w:val="single"/>
          <w:lang w:val="sk-SK"/>
        </w:rPr>
      </w:pPr>
      <w:r w:rsidRPr="0063664A">
        <w:rPr>
          <w:sz w:val="22"/>
          <w:szCs w:val="22"/>
          <w:u w:val="single"/>
          <w:lang w:val="sk-SK"/>
        </w:rPr>
        <w:t>Hlásenie podozrení na nežiaduce reakcie</w:t>
      </w:r>
    </w:p>
    <w:p w14:paraId="304B13FE" w14:textId="77777777" w:rsidR="0065586B" w:rsidRPr="0063664A" w:rsidRDefault="0065586B" w:rsidP="002672E5">
      <w:pPr>
        <w:suppressLineNumbers/>
        <w:autoSpaceDE w:val="0"/>
        <w:autoSpaceDN w:val="0"/>
        <w:adjustRightInd w:val="0"/>
        <w:rPr>
          <w:sz w:val="22"/>
          <w:szCs w:val="22"/>
          <w:lang w:val="sk-SK"/>
        </w:rPr>
      </w:pPr>
      <w:r w:rsidRPr="0063664A">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sidRPr="00827FF8">
        <w:rPr>
          <w:sz w:val="22"/>
          <w:szCs w:val="22"/>
          <w:highlight w:val="lightGray"/>
          <w:lang w:val="sk-SK"/>
        </w:rPr>
        <w:t>národné centrum hlásenia uvedené v </w:t>
      </w:r>
      <w:hyperlink r:id="rId11" w:history="1">
        <w:r w:rsidRPr="00827FF8">
          <w:rPr>
            <w:rStyle w:val="Hypertextovprepojenie"/>
            <w:sz w:val="22"/>
            <w:szCs w:val="22"/>
            <w:highlight w:val="lightGray"/>
            <w:lang w:val="sk-SK"/>
          </w:rPr>
          <w:t>Prílohe V</w:t>
        </w:r>
      </w:hyperlink>
      <w:r w:rsidRPr="00827FF8">
        <w:rPr>
          <w:sz w:val="22"/>
          <w:szCs w:val="22"/>
          <w:highlight w:val="lightGray"/>
          <w:lang w:val="sk-SK"/>
        </w:rPr>
        <w:t>.</w:t>
      </w:r>
    </w:p>
    <w:p w14:paraId="4B4AD30F" w14:textId="77777777" w:rsidR="0065586B" w:rsidRPr="0063664A" w:rsidRDefault="0065586B" w:rsidP="002672E5">
      <w:pPr>
        <w:rPr>
          <w:bCs/>
          <w:sz w:val="22"/>
          <w:szCs w:val="22"/>
          <w:lang w:val="sk-SK"/>
        </w:rPr>
      </w:pPr>
    </w:p>
    <w:p w14:paraId="108FD3D9" w14:textId="77777777" w:rsidR="0065586B" w:rsidRPr="0063664A" w:rsidRDefault="0065586B" w:rsidP="00881CF1">
      <w:pPr>
        <w:keepNext/>
        <w:tabs>
          <w:tab w:val="left" w:pos="567"/>
        </w:tabs>
        <w:ind w:left="567" w:hanging="567"/>
        <w:rPr>
          <w:b/>
          <w:sz w:val="22"/>
          <w:szCs w:val="22"/>
          <w:lang w:val="sk-SK"/>
        </w:rPr>
      </w:pPr>
      <w:r w:rsidRPr="0063664A">
        <w:rPr>
          <w:b/>
          <w:sz w:val="22"/>
          <w:szCs w:val="22"/>
          <w:lang w:val="sk-SK"/>
        </w:rPr>
        <w:t>4.9</w:t>
      </w:r>
      <w:r w:rsidRPr="0063664A">
        <w:rPr>
          <w:b/>
          <w:sz w:val="22"/>
          <w:szCs w:val="22"/>
          <w:lang w:val="sk-SK"/>
        </w:rPr>
        <w:tab/>
        <w:t>Predávkovanie</w:t>
      </w:r>
    </w:p>
    <w:p w14:paraId="78BEE6CC" w14:textId="77777777" w:rsidR="0065586B" w:rsidRPr="0063664A" w:rsidRDefault="0065586B" w:rsidP="009B7F59">
      <w:pPr>
        <w:keepNext/>
        <w:rPr>
          <w:sz w:val="22"/>
          <w:szCs w:val="22"/>
          <w:lang w:val="sk-SK"/>
        </w:rPr>
      </w:pPr>
    </w:p>
    <w:p w14:paraId="4EA91E70" w14:textId="77777777" w:rsidR="001A73C5" w:rsidRPr="0063664A" w:rsidRDefault="001A73C5" w:rsidP="002672E5">
      <w:pPr>
        <w:rPr>
          <w:sz w:val="22"/>
          <w:szCs w:val="22"/>
          <w:u w:val="single"/>
          <w:lang w:val="sk-SK"/>
        </w:rPr>
      </w:pPr>
      <w:r w:rsidRPr="0063664A">
        <w:rPr>
          <w:sz w:val="22"/>
          <w:szCs w:val="22"/>
          <w:u w:val="single"/>
          <w:lang w:val="sk-SK"/>
        </w:rPr>
        <w:t>Príznaky a prejavy</w:t>
      </w:r>
    </w:p>
    <w:p w14:paraId="4901921E" w14:textId="77777777" w:rsidR="0065586B" w:rsidRPr="0063664A" w:rsidRDefault="0065586B" w:rsidP="002672E5">
      <w:pPr>
        <w:rPr>
          <w:sz w:val="22"/>
          <w:szCs w:val="22"/>
          <w:lang w:val="sk-SK"/>
        </w:rPr>
      </w:pPr>
      <w:r w:rsidRPr="0063664A">
        <w:rPr>
          <w:sz w:val="22"/>
          <w:szCs w:val="22"/>
          <w:lang w:val="sk-SK"/>
        </w:rPr>
        <w:t>Na základe hlásení je možné očakávať, že užitie veľkých množstiev klaritromycínu môže spôsobiť gastrointestinálne príznaky. U jedného pacienta s bipolárnou poruchou v anamnéze, ktorý užil 8 g klaritromycínu sa objavila zmena duševného stavu, paranoidné správanie, hypokaliémia a hypoxémia.</w:t>
      </w:r>
    </w:p>
    <w:p w14:paraId="5C4F6429" w14:textId="77777777" w:rsidR="0065586B" w:rsidRPr="0063664A" w:rsidRDefault="0065586B" w:rsidP="002672E5">
      <w:pPr>
        <w:rPr>
          <w:sz w:val="22"/>
          <w:szCs w:val="22"/>
          <w:lang w:val="sk-SK"/>
        </w:rPr>
      </w:pPr>
    </w:p>
    <w:p w14:paraId="6CC25BDF" w14:textId="77777777" w:rsidR="006A2CE5" w:rsidRPr="0063664A" w:rsidRDefault="006A2CE5" w:rsidP="002672E5">
      <w:pPr>
        <w:rPr>
          <w:sz w:val="22"/>
          <w:szCs w:val="22"/>
          <w:u w:val="single"/>
          <w:lang w:val="sk-SK"/>
        </w:rPr>
      </w:pPr>
      <w:r w:rsidRPr="0063664A">
        <w:rPr>
          <w:sz w:val="22"/>
          <w:szCs w:val="22"/>
          <w:u w:val="single"/>
          <w:lang w:val="sk-SK"/>
        </w:rPr>
        <w:t>Liečba</w:t>
      </w:r>
    </w:p>
    <w:p w14:paraId="774B7830" w14:textId="77777777" w:rsidR="0065586B" w:rsidRPr="0063664A" w:rsidRDefault="0065586B" w:rsidP="002672E5">
      <w:pPr>
        <w:rPr>
          <w:sz w:val="22"/>
          <w:szCs w:val="22"/>
          <w:lang w:val="sk-SK"/>
        </w:rPr>
      </w:pPr>
      <w:r w:rsidRPr="0063664A">
        <w:rPr>
          <w:sz w:val="22"/>
          <w:szCs w:val="22"/>
          <w:lang w:val="sk-SK"/>
        </w:rPr>
        <w:t>Nežiaduce reakcie sprevádzajúce predávkovanie sa majú liečiť včasným odstránením nevstrebaného liečiva a podpornými opatreniami. Podobne ako v prípade iných makrolidov nemožno očakávať, že by hemodialýza alebo peritoneálna dialýza výrazne ovplyvnili sérové koncentrácie klaritromycínu.</w:t>
      </w:r>
    </w:p>
    <w:p w14:paraId="254EC525" w14:textId="77777777" w:rsidR="0065586B" w:rsidRPr="0063664A" w:rsidRDefault="0065586B" w:rsidP="002672E5">
      <w:pPr>
        <w:rPr>
          <w:sz w:val="22"/>
          <w:szCs w:val="22"/>
          <w:lang w:val="sk-SK"/>
        </w:rPr>
      </w:pPr>
    </w:p>
    <w:p w14:paraId="59EDF215" w14:textId="77777777" w:rsidR="0065586B" w:rsidRPr="0063664A" w:rsidRDefault="0065586B" w:rsidP="002672E5">
      <w:pPr>
        <w:rPr>
          <w:sz w:val="22"/>
          <w:szCs w:val="22"/>
          <w:lang w:val="sk-SK"/>
        </w:rPr>
      </w:pPr>
    </w:p>
    <w:p w14:paraId="186D0113" w14:textId="77777777" w:rsidR="0065586B" w:rsidRPr="0063664A" w:rsidRDefault="0065586B" w:rsidP="00881CF1">
      <w:pPr>
        <w:keepNext/>
        <w:numPr>
          <w:ilvl w:val="0"/>
          <w:numId w:val="3"/>
        </w:numPr>
        <w:tabs>
          <w:tab w:val="clear" w:pos="360"/>
          <w:tab w:val="num" w:pos="567"/>
        </w:tabs>
        <w:ind w:left="567" w:hanging="567"/>
        <w:rPr>
          <w:b/>
          <w:sz w:val="22"/>
          <w:szCs w:val="22"/>
          <w:lang w:val="sk-SK"/>
        </w:rPr>
      </w:pPr>
      <w:r w:rsidRPr="0063664A">
        <w:rPr>
          <w:b/>
          <w:caps/>
          <w:sz w:val="22"/>
          <w:szCs w:val="22"/>
          <w:lang w:val="sk-SK"/>
        </w:rPr>
        <w:lastRenderedPageBreak/>
        <w:t>farmakologické vlastnosti</w:t>
      </w:r>
    </w:p>
    <w:p w14:paraId="28CEE988" w14:textId="77777777" w:rsidR="0065586B" w:rsidRPr="0063664A" w:rsidRDefault="0065586B" w:rsidP="009B7F59">
      <w:pPr>
        <w:keepNext/>
        <w:rPr>
          <w:bCs/>
          <w:sz w:val="22"/>
          <w:szCs w:val="22"/>
          <w:lang w:val="sk-SK"/>
        </w:rPr>
      </w:pPr>
    </w:p>
    <w:p w14:paraId="24E1BFA7" w14:textId="77777777" w:rsidR="0065586B" w:rsidRPr="0063664A" w:rsidRDefault="0065586B" w:rsidP="0063664A">
      <w:pPr>
        <w:keepNext/>
        <w:numPr>
          <w:ilvl w:val="1"/>
          <w:numId w:val="7"/>
        </w:numPr>
        <w:tabs>
          <w:tab w:val="clear" w:pos="360"/>
          <w:tab w:val="num" w:pos="567"/>
        </w:tabs>
        <w:ind w:left="567" w:hanging="567"/>
        <w:rPr>
          <w:b/>
          <w:sz w:val="22"/>
          <w:lang w:val="sk-SK"/>
        </w:rPr>
      </w:pPr>
      <w:r w:rsidRPr="0063664A">
        <w:rPr>
          <w:b/>
          <w:sz w:val="22"/>
          <w:lang w:val="sk-SK"/>
        </w:rPr>
        <w:t>Farmakodynamické vlastnosti</w:t>
      </w:r>
    </w:p>
    <w:p w14:paraId="03823AD2" w14:textId="77777777" w:rsidR="0065586B" w:rsidRPr="0063664A" w:rsidRDefault="0065586B" w:rsidP="009B7F59">
      <w:pPr>
        <w:keepNext/>
        <w:rPr>
          <w:sz w:val="22"/>
          <w:szCs w:val="22"/>
          <w:lang w:val="sk-SK"/>
        </w:rPr>
      </w:pPr>
    </w:p>
    <w:p w14:paraId="361732E7" w14:textId="77777777" w:rsidR="0065586B" w:rsidRPr="0063664A" w:rsidRDefault="0065586B" w:rsidP="002672E5">
      <w:pPr>
        <w:rPr>
          <w:sz w:val="22"/>
          <w:szCs w:val="22"/>
          <w:lang w:val="sk-SK"/>
        </w:rPr>
      </w:pPr>
      <w:r w:rsidRPr="0063664A">
        <w:rPr>
          <w:sz w:val="22"/>
          <w:szCs w:val="22"/>
          <w:lang w:val="sk-SK"/>
        </w:rPr>
        <w:t>Farmakoterapeutická skupina:</w:t>
      </w:r>
      <w:r w:rsidRPr="0063664A">
        <w:rPr>
          <w:i/>
          <w:sz w:val="22"/>
          <w:szCs w:val="22"/>
          <w:lang w:val="sk-SK"/>
        </w:rPr>
        <w:t xml:space="preserve"> </w:t>
      </w:r>
      <w:r w:rsidRPr="0063664A">
        <w:rPr>
          <w:iCs/>
          <w:sz w:val="22"/>
          <w:szCs w:val="22"/>
          <w:lang w:val="sk-SK"/>
        </w:rPr>
        <w:t>a</w:t>
      </w:r>
      <w:r w:rsidRPr="0063664A">
        <w:rPr>
          <w:sz w:val="22"/>
          <w:szCs w:val="22"/>
          <w:lang w:val="sk-SK"/>
        </w:rPr>
        <w:t>ntibiotiká na systémové použitie, makrolidy</w:t>
      </w:r>
      <w:r w:rsidR="00104674" w:rsidRPr="0063664A">
        <w:rPr>
          <w:sz w:val="22"/>
          <w:szCs w:val="22"/>
          <w:lang w:val="sk-SK"/>
        </w:rPr>
        <w:t xml:space="preserve">; </w:t>
      </w:r>
      <w:r w:rsidRPr="0063664A">
        <w:rPr>
          <w:sz w:val="22"/>
          <w:szCs w:val="22"/>
          <w:lang w:val="sk-SK"/>
        </w:rPr>
        <w:t>ATC kód: J01FA09</w:t>
      </w:r>
    </w:p>
    <w:p w14:paraId="33088CA1" w14:textId="77777777" w:rsidR="0065586B" w:rsidRPr="0063664A" w:rsidRDefault="0065586B" w:rsidP="002672E5">
      <w:pPr>
        <w:rPr>
          <w:sz w:val="22"/>
          <w:szCs w:val="22"/>
          <w:lang w:val="sk-SK"/>
        </w:rPr>
      </w:pPr>
    </w:p>
    <w:p w14:paraId="6A07C59E" w14:textId="77777777" w:rsidR="0065586B" w:rsidRPr="0063664A" w:rsidRDefault="0065586B" w:rsidP="009B7F59">
      <w:pPr>
        <w:keepNext/>
        <w:rPr>
          <w:b/>
          <w:sz w:val="22"/>
          <w:szCs w:val="22"/>
          <w:u w:val="single"/>
          <w:lang w:val="sk-SK"/>
        </w:rPr>
      </w:pPr>
      <w:r w:rsidRPr="0063664A">
        <w:rPr>
          <w:b/>
          <w:sz w:val="22"/>
          <w:szCs w:val="22"/>
          <w:u w:val="single"/>
          <w:lang w:val="sk-SK"/>
        </w:rPr>
        <w:t>Mechanizmus účinku</w:t>
      </w:r>
    </w:p>
    <w:p w14:paraId="47352307" w14:textId="77777777" w:rsidR="0065586B" w:rsidRPr="0063664A" w:rsidRDefault="0065586B" w:rsidP="002672E5">
      <w:pPr>
        <w:rPr>
          <w:sz w:val="22"/>
          <w:szCs w:val="22"/>
          <w:lang w:val="sk-SK"/>
        </w:rPr>
      </w:pPr>
      <w:r w:rsidRPr="0063664A">
        <w:rPr>
          <w:sz w:val="22"/>
          <w:lang w:val="sk-SK"/>
        </w:rPr>
        <w:t xml:space="preserve">Klaritromycín je </w:t>
      </w:r>
      <w:r w:rsidRPr="0063664A">
        <w:rPr>
          <w:sz w:val="22"/>
          <w:szCs w:val="22"/>
          <w:lang w:val="sk-SK"/>
        </w:rPr>
        <w:t>polosyntetické makrolidové antibiotikum získané substitúciou hydroxylovej skupiny metoxylovou skupinou na pozícii 6 laktónového kruhu erytromycínu. Klaritromycín je vlastne 6-O-metylerytromycín A.</w:t>
      </w:r>
    </w:p>
    <w:p w14:paraId="5C8D9B35" w14:textId="77777777" w:rsidR="0065586B" w:rsidRPr="0063664A" w:rsidRDefault="0065586B" w:rsidP="002672E5">
      <w:pPr>
        <w:rPr>
          <w:sz w:val="22"/>
          <w:szCs w:val="22"/>
          <w:lang w:val="sk-SK"/>
        </w:rPr>
      </w:pPr>
    </w:p>
    <w:p w14:paraId="3F882E06" w14:textId="77777777" w:rsidR="0065586B" w:rsidRPr="0063664A" w:rsidRDefault="0065586B" w:rsidP="002672E5">
      <w:pPr>
        <w:rPr>
          <w:sz w:val="22"/>
          <w:szCs w:val="22"/>
          <w:lang w:val="sk-SK"/>
        </w:rPr>
      </w:pPr>
      <w:r w:rsidRPr="0063664A">
        <w:rPr>
          <w:sz w:val="22"/>
          <w:szCs w:val="22"/>
          <w:lang w:val="sk-SK"/>
        </w:rPr>
        <w:t>Antibakteriálny účinok klaritromycínu spočíva vo väzbe na ribozomálne 50S podjednotky citlivých baktérií a potlačení ich proteosyntézy.</w:t>
      </w:r>
    </w:p>
    <w:p w14:paraId="665A79FD" w14:textId="77777777" w:rsidR="0065586B" w:rsidRPr="0063664A" w:rsidRDefault="0065586B" w:rsidP="002672E5">
      <w:pPr>
        <w:rPr>
          <w:sz w:val="22"/>
          <w:szCs w:val="22"/>
          <w:lang w:val="sk-SK"/>
        </w:rPr>
      </w:pPr>
    </w:p>
    <w:p w14:paraId="3806C8A3" w14:textId="77777777" w:rsidR="0065586B" w:rsidRPr="0063664A" w:rsidRDefault="0065586B" w:rsidP="00881CF1">
      <w:pPr>
        <w:keepNext/>
        <w:rPr>
          <w:sz w:val="22"/>
          <w:szCs w:val="22"/>
          <w:u w:val="single"/>
          <w:lang w:val="sk-SK"/>
        </w:rPr>
      </w:pPr>
      <w:r w:rsidRPr="0063664A">
        <w:rPr>
          <w:sz w:val="22"/>
          <w:szCs w:val="22"/>
          <w:u w:val="single"/>
          <w:lang w:val="sk-SK"/>
        </w:rPr>
        <w:t>Spektrum účinku</w:t>
      </w:r>
    </w:p>
    <w:p w14:paraId="774BD400" w14:textId="77777777" w:rsidR="0065586B" w:rsidRPr="0063664A" w:rsidRDefault="0065586B" w:rsidP="002672E5">
      <w:pPr>
        <w:rPr>
          <w:sz w:val="22"/>
          <w:szCs w:val="22"/>
          <w:lang w:val="sk-SK"/>
        </w:rPr>
      </w:pPr>
      <w:r w:rsidRPr="0063664A">
        <w:rPr>
          <w:i/>
          <w:iCs/>
          <w:sz w:val="22"/>
          <w:szCs w:val="22"/>
          <w:lang w:val="sk-SK"/>
        </w:rPr>
        <w:t>In vitro</w:t>
      </w:r>
      <w:r w:rsidRPr="0063664A">
        <w:rPr>
          <w:sz w:val="22"/>
          <w:szCs w:val="22"/>
          <w:lang w:val="sk-SK"/>
        </w:rPr>
        <w:t xml:space="preserve"> vykazuje klaritromycín vysokú účinnosť na štandardné kmene baktérií aj na klinické izoláty. Je vysoko </w:t>
      </w:r>
      <w:r w:rsidRPr="0063664A">
        <w:rPr>
          <w:sz w:val="22"/>
          <w:lang w:val="sk-SK"/>
        </w:rPr>
        <w:t xml:space="preserve">účinný </w:t>
      </w:r>
      <w:r w:rsidRPr="0063664A">
        <w:rPr>
          <w:sz w:val="22"/>
          <w:szCs w:val="22"/>
          <w:lang w:val="sk-SK"/>
        </w:rPr>
        <w:t>na široké spektrum aeróbnych a anaeróbnych grampozitívnych a gramnegatívnych mikroorganizmov. Minimálne inhibičné koncentrácie (MIC) klaritromycínu sú zvyčajne dvojnásobne nižšie ako MIC erytromycínu.</w:t>
      </w:r>
    </w:p>
    <w:p w14:paraId="33110C72" w14:textId="77777777" w:rsidR="0065586B" w:rsidRPr="0063664A" w:rsidRDefault="0065586B" w:rsidP="002672E5">
      <w:pPr>
        <w:rPr>
          <w:sz w:val="22"/>
          <w:szCs w:val="22"/>
          <w:lang w:val="sk-SK"/>
        </w:rPr>
      </w:pPr>
    </w:p>
    <w:p w14:paraId="3017426A" w14:textId="7F176B0E" w:rsidR="0065586B" w:rsidRPr="0063664A" w:rsidRDefault="0065586B" w:rsidP="002672E5">
      <w:pPr>
        <w:rPr>
          <w:sz w:val="22"/>
          <w:szCs w:val="22"/>
          <w:lang w:val="sk-SK"/>
        </w:rPr>
      </w:pPr>
      <w:r w:rsidRPr="0063664A">
        <w:rPr>
          <w:sz w:val="22"/>
          <w:szCs w:val="22"/>
          <w:lang w:val="sk-SK"/>
        </w:rPr>
        <w:t xml:space="preserve">Klaritromycín je </w:t>
      </w:r>
      <w:r w:rsidRPr="0063664A">
        <w:rPr>
          <w:i/>
          <w:sz w:val="22"/>
          <w:lang w:val="sk-SK"/>
        </w:rPr>
        <w:t>in vitro</w:t>
      </w:r>
      <w:r w:rsidRPr="0063664A">
        <w:rPr>
          <w:sz w:val="22"/>
          <w:szCs w:val="22"/>
          <w:lang w:val="sk-SK"/>
        </w:rPr>
        <w:t xml:space="preserve"> mimoriadne účinný na</w:t>
      </w:r>
      <w:r w:rsidRPr="0063664A">
        <w:rPr>
          <w:i/>
          <w:sz w:val="22"/>
          <w:szCs w:val="22"/>
          <w:lang w:val="sk-SK"/>
        </w:rPr>
        <w:t xml:space="preserve"> Legionella pneumophila</w:t>
      </w:r>
      <w:r w:rsidRPr="0063664A">
        <w:rPr>
          <w:iCs/>
          <w:sz w:val="22"/>
          <w:szCs w:val="22"/>
          <w:lang w:val="sk-SK"/>
        </w:rPr>
        <w:t xml:space="preserve"> a</w:t>
      </w:r>
      <w:r w:rsidRPr="0063664A">
        <w:rPr>
          <w:i/>
          <w:sz w:val="22"/>
          <w:szCs w:val="22"/>
          <w:lang w:val="sk-SK"/>
        </w:rPr>
        <w:t xml:space="preserve"> Mycoplasma pneumoniae</w:t>
      </w:r>
      <w:r w:rsidRPr="0063664A">
        <w:rPr>
          <w:iCs/>
          <w:sz w:val="22"/>
          <w:szCs w:val="22"/>
          <w:lang w:val="sk-SK"/>
        </w:rPr>
        <w:t>.</w:t>
      </w:r>
      <w:r w:rsidRPr="0063664A">
        <w:rPr>
          <w:sz w:val="22"/>
          <w:szCs w:val="22"/>
          <w:lang w:val="sk-SK"/>
        </w:rPr>
        <w:t xml:space="preserve"> Baktericídne účinkuje na </w:t>
      </w:r>
      <w:r w:rsidRPr="0063664A">
        <w:rPr>
          <w:i/>
          <w:sz w:val="22"/>
          <w:szCs w:val="22"/>
          <w:lang w:val="sk-SK"/>
        </w:rPr>
        <w:t>Helicobacter pylori</w:t>
      </w:r>
      <w:r w:rsidRPr="0063664A">
        <w:rPr>
          <w:iCs/>
          <w:sz w:val="22"/>
          <w:szCs w:val="22"/>
          <w:lang w:val="sk-SK"/>
        </w:rPr>
        <w:t>;</w:t>
      </w:r>
      <w:r w:rsidRPr="0063664A">
        <w:rPr>
          <w:sz w:val="22"/>
          <w:szCs w:val="22"/>
          <w:lang w:val="sk-SK"/>
        </w:rPr>
        <w:t xml:space="preserve"> táto účinnosť klaritromycínu je vyššia pri neutrálnom pH ako pri kyslom pH. Údaje získané </w:t>
      </w:r>
      <w:r w:rsidRPr="0063664A">
        <w:rPr>
          <w:i/>
          <w:iCs/>
          <w:sz w:val="22"/>
          <w:szCs w:val="22"/>
          <w:lang w:val="sk-SK"/>
        </w:rPr>
        <w:t>in vitro</w:t>
      </w:r>
      <w:r w:rsidRPr="0063664A">
        <w:rPr>
          <w:sz w:val="22"/>
          <w:szCs w:val="22"/>
          <w:lang w:val="sk-SK"/>
        </w:rPr>
        <w:t xml:space="preserve"> a </w:t>
      </w:r>
      <w:r w:rsidRPr="0063664A">
        <w:rPr>
          <w:i/>
          <w:iCs/>
          <w:sz w:val="22"/>
          <w:szCs w:val="22"/>
          <w:lang w:val="sk-SK"/>
        </w:rPr>
        <w:t>in vivo</w:t>
      </w:r>
      <w:r w:rsidRPr="0063664A">
        <w:rPr>
          <w:sz w:val="22"/>
          <w:szCs w:val="22"/>
          <w:lang w:val="sk-SK"/>
        </w:rPr>
        <w:t xml:space="preserve"> dokazujú účinok klaritromycínu na klinicky významné kmene mykobaktérií. </w:t>
      </w:r>
      <w:r w:rsidRPr="0063664A">
        <w:rPr>
          <w:i/>
          <w:iCs/>
          <w:sz w:val="22"/>
          <w:szCs w:val="22"/>
          <w:lang w:val="sk-SK"/>
        </w:rPr>
        <w:t>In vitro</w:t>
      </w:r>
      <w:r w:rsidRPr="0063664A">
        <w:rPr>
          <w:sz w:val="22"/>
          <w:szCs w:val="22"/>
          <w:lang w:val="sk-SK"/>
        </w:rPr>
        <w:t xml:space="preserve"> nie sú na klaritromycín citlivé enterobaktérie, </w:t>
      </w:r>
      <w:r w:rsidRPr="0063664A">
        <w:rPr>
          <w:i/>
          <w:sz w:val="22"/>
          <w:szCs w:val="22"/>
          <w:lang w:val="sk-SK"/>
        </w:rPr>
        <w:t>Pseudomonas sp</w:t>
      </w:r>
      <w:r w:rsidRPr="0063664A">
        <w:rPr>
          <w:sz w:val="22"/>
          <w:szCs w:val="22"/>
          <w:lang w:val="sk-SK"/>
        </w:rPr>
        <w:t>. a iné gramnegatívne paličky nefermentujúce laktózu.</w:t>
      </w:r>
    </w:p>
    <w:p w14:paraId="075B9D8D" w14:textId="77777777" w:rsidR="0065586B" w:rsidRPr="0063664A" w:rsidRDefault="0065586B" w:rsidP="002672E5">
      <w:pPr>
        <w:rPr>
          <w:sz w:val="22"/>
          <w:szCs w:val="22"/>
          <w:lang w:val="sk-SK"/>
        </w:rPr>
      </w:pPr>
    </w:p>
    <w:p w14:paraId="60B7D0CF" w14:textId="4072E63B" w:rsidR="0065586B" w:rsidRPr="0063664A" w:rsidRDefault="0065586B" w:rsidP="0063664A">
      <w:pPr>
        <w:rPr>
          <w:sz w:val="22"/>
          <w:lang w:val="sk-SK"/>
        </w:rPr>
      </w:pPr>
      <w:r w:rsidRPr="0063664A">
        <w:rPr>
          <w:sz w:val="22"/>
          <w:szCs w:val="22"/>
          <w:lang w:val="sk-SK"/>
        </w:rPr>
        <w:t>Klaritromycín je účinný</w:t>
      </w:r>
      <w:r w:rsidRPr="0063664A">
        <w:rPr>
          <w:sz w:val="22"/>
          <w:lang w:val="sk-SK"/>
        </w:rPr>
        <w:t xml:space="preserve"> tak </w:t>
      </w:r>
      <w:r w:rsidRPr="0063664A">
        <w:rPr>
          <w:i/>
          <w:iCs/>
          <w:sz w:val="22"/>
          <w:szCs w:val="22"/>
          <w:lang w:val="sk-SK"/>
        </w:rPr>
        <w:t>in vitro</w:t>
      </w:r>
      <w:r w:rsidRPr="0063664A">
        <w:rPr>
          <w:sz w:val="22"/>
          <w:szCs w:val="22"/>
          <w:lang w:val="sk-SK"/>
        </w:rPr>
        <w:t>,</w:t>
      </w:r>
      <w:r w:rsidRPr="0063664A">
        <w:rPr>
          <w:i/>
          <w:iCs/>
          <w:sz w:val="22"/>
          <w:szCs w:val="22"/>
          <w:lang w:val="sk-SK"/>
        </w:rPr>
        <w:t xml:space="preserve"> </w:t>
      </w:r>
      <w:r w:rsidRPr="0063664A">
        <w:rPr>
          <w:sz w:val="22"/>
          <w:szCs w:val="22"/>
          <w:lang w:val="sk-SK"/>
        </w:rPr>
        <w:t xml:space="preserve">ako </w:t>
      </w:r>
      <w:r w:rsidRPr="0063664A">
        <w:rPr>
          <w:sz w:val="22"/>
          <w:lang w:val="sk-SK"/>
        </w:rPr>
        <w:t xml:space="preserve">aj na liečbu </w:t>
      </w:r>
      <w:r w:rsidRPr="0063664A">
        <w:rPr>
          <w:sz w:val="22"/>
          <w:szCs w:val="22"/>
          <w:lang w:val="sk-SK"/>
        </w:rPr>
        <w:t xml:space="preserve">klinických </w:t>
      </w:r>
      <w:r w:rsidRPr="0063664A">
        <w:rPr>
          <w:sz w:val="22"/>
          <w:lang w:val="sk-SK"/>
        </w:rPr>
        <w:t xml:space="preserve">infekcií </w:t>
      </w:r>
      <w:r w:rsidRPr="0063664A">
        <w:rPr>
          <w:sz w:val="22"/>
          <w:szCs w:val="22"/>
          <w:lang w:val="sk-SK"/>
        </w:rPr>
        <w:t>vyvolaných väčšinou kmeňov nasledujúcich mikroorganizmov (pozri časti</w:t>
      </w:r>
      <w:r w:rsidR="00592A35" w:rsidRPr="0063664A">
        <w:rPr>
          <w:sz w:val="22"/>
          <w:szCs w:val="22"/>
          <w:lang w:val="sk-SK"/>
        </w:rPr>
        <w:t> </w:t>
      </w:r>
      <w:r w:rsidRPr="0063664A">
        <w:rPr>
          <w:sz w:val="22"/>
          <w:szCs w:val="22"/>
          <w:lang w:val="sk-SK"/>
        </w:rPr>
        <w:t>4.1 a 4.2):</w:t>
      </w:r>
    </w:p>
    <w:p w14:paraId="06D283F2" w14:textId="77777777" w:rsidR="0065586B" w:rsidRPr="0063664A" w:rsidRDefault="0065586B" w:rsidP="002672E5">
      <w:pPr>
        <w:rPr>
          <w:sz w:val="22"/>
          <w:szCs w:val="22"/>
          <w:lang w:val="sk-SK"/>
        </w:rPr>
      </w:pPr>
    </w:p>
    <w:p w14:paraId="551CA039" w14:textId="77777777" w:rsidR="0065586B" w:rsidRPr="0063664A" w:rsidRDefault="0065586B" w:rsidP="0063664A">
      <w:pPr>
        <w:keepNext/>
        <w:rPr>
          <w:b/>
          <w:sz w:val="22"/>
          <w:lang w:val="sk-SK"/>
        </w:rPr>
      </w:pPr>
      <w:r w:rsidRPr="0063664A">
        <w:rPr>
          <w:b/>
          <w:sz w:val="22"/>
          <w:lang w:val="sk-SK"/>
        </w:rPr>
        <w:t>Aeróbne grampozitívne mikroorganizmy</w:t>
      </w:r>
    </w:p>
    <w:p w14:paraId="463B8538" w14:textId="77777777" w:rsidR="0065586B" w:rsidRPr="0063664A" w:rsidRDefault="0065586B" w:rsidP="0063664A">
      <w:pPr>
        <w:rPr>
          <w:i/>
          <w:sz w:val="22"/>
          <w:lang w:val="sk-SK"/>
        </w:rPr>
      </w:pPr>
      <w:r w:rsidRPr="0063664A">
        <w:rPr>
          <w:i/>
          <w:sz w:val="22"/>
          <w:lang w:val="sk-SK"/>
        </w:rPr>
        <w:t>Staphylococcus aureus</w:t>
      </w:r>
    </w:p>
    <w:p w14:paraId="74729F5D" w14:textId="77777777" w:rsidR="0065586B" w:rsidRPr="0063664A" w:rsidRDefault="0065586B" w:rsidP="0063664A">
      <w:pPr>
        <w:rPr>
          <w:i/>
          <w:sz w:val="22"/>
          <w:lang w:val="sk-SK"/>
        </w:rPr>
      </w:pPr>
      <w:r w:rsidRPr="0063664A">
        <w:rPr>
          <w:i/>
          <w:sz w:val="22"/>
          <w:lang w:val="sk-SK"/>
        </w:rPr>
        <w:t>Streptococcus pneumoniae</w:t>
      </w:r>
    </w:p>
    <w:p w14:paraId="6C58B3CF" w14:textId="77777777" w:rsidR="0065586B" w:rsidRPr="0063664A" w:rsidRDefault="0065586B" w:rsidP="0063664A">
      <w:pPr>
        <w:rPr>
          <w:i/>
          <w:sz w:val="22"/>
          <w:lang w:val="sk-SK"/>
        </w:rPr>
      </w:pPr>
      <w:r w:rsidRPr="0063664A">
        <w:rPr>
          <w:i/>
          <w:sz w:val="22"/>
          <w:lang w:val="sk-SK"/>
        </w:rPr>
        <w:t>Streptococcus pyogenes</w:t>
      </w:r>
    </w:p>
    <w:p w14:paraId="21F70450" w14:textId="77777777" w:rsidR="0065586B" w:rsidRPr="0063664A" w:rsidRDefault="0065586B" w:rsidP="0063664A">
      <w:pPr>
        <w:rPr>
          <w:i/>
          <w:sz w:val="22"/>
          <w:lang w:val="sk-SK"/>
        </w:rPr>
      </w:pPr>
      <w:r w:rsidRPr="0063664A">
        <w:rPr>
          <w:i/>
          <w:sz w:val="22"/>
          <w:lang w:val="sk-SK"/>
        </w:rPr>
        <w:t>Listeria monocytogenes</w:t>
      </w:r>
    </w:p>
    <w:p w14:paraId="1C6D2B22" w14:textId="491937F6" w:rsidR="0065586B" w:rsidRPr="0063664A" w:rsidRDefault="0065586B" w:rsidP="002672E5">
      <w:pPr>
        <w:rPr>
          <w:i/>
          <w:sz w:val="22"/>
          <w:szCs w:val="22"/>
          <w:lang w:val="sk-SK"/>
        </w:rPr>
      </w:pPr>
    </w:p>
    <w:p w14:paraId="231C886D" w14:textId="77777777" w:rsidR="0065586B" w:rsidRPr="0063664A" w:rsidRDefault="0065586B" w:rsidP="0063664A">
      <w:pPr>
        <w:keepNext/>
        <w:rPr>
          <w:b/>
          <w:sz w:val="22"/>
          <w:lang w:val="sk-SK"/>
        </w:rPr>
      </w:pPr>
      <w:r w:rsidRPr="0063664A">
        <w:rPr>
          <w:b/>
          <w:sz w:val="22"/>
          <w:szCs w:val="22"/>
          <w:lang w:val="sk-SK"/>
        </w:rPr>
        <w:t>Aeróbne</w:t>
      </w:r>
      <w:r w:rsidRPr="0063664A">
        <w:rPr>
          <w:b/>
          <w:sz w:val="22"/>
          <w:lang w:val="sk-SK"/>
        </w:rPr>
        <w:t xml:space="preserve"> gramnegatívne mikroorganizmy</w:t>
      </w:r>
    </w:p>
    <w:p w14:paraId="18AA859B" w14:textId="77777777" w:rsidR="0065586B" w:rsidRPr="0063664A" w:rsidRDefault="0065586B" w:rsidP="0063664A">
      <w:pPr>
        <w:rPr>
          <w:i/>
          <w:sz w:val="22"/>
          <w:lang w:val="sk-SK"/>
        </w:rPr>
      </w:pPr>
      <w:r w:rsidRPr="0063664A">
        <w:rPr>
          <w:i/>
          <w:sz w:val="22"/>
          <w:lang w:val="sk-SK"/>
        </w:rPr>
        <w:t>Haemophilus influenzae</w:t>
      </w:r>
    </w:p>
    <w:p w14:paraId="60D45423" w14:textId="77777777" w:rsidR="0065586B" w:rsidRPr="0063664A" w:rsidRDefault="0065586B" w:rsidP="0063664A">
      <w:pPr>
        <w:rPr>
          <w:i/>
          <w:sz w:val="22"/>
          <w:lang w:val="sk-SK"/>
        </w:rPr>
      </w:pPr>
      <w:r w:rsidRPr="0063664A">
        <w:rPr>
          <w:i/>
          <w:sz w:val="22"/>
          <w:lang w:val="sk-SK"/>
        </w:rPr>
        <w:t>Haemophilus parainfluenzae</w:t>
      </w:r>
    </w:p>
    <w:p w14:paraId="4CACB1D5" w14:textId="77777777" w:rsidR="0065586B" w:rsidRPr="0063664A" w:rsidRDefault="0065586B" w:rsidP="0063664A">
      <w:pPr>
        <w:rPr>
          <w:i/>
          <w:sz w:val="22"/>
          <w:lang w:val="sk-SK"/>
        </w:rPr>
      </w:pPr>
      <w:r w:rsidRPr="0063664A">
        <w:rPr>
          <w:i/>
          <w:sz w:val="22"/>
          <w:lang w:val="sk-SK"/>
        </w:rPr>
        <w:t>Moraxella catarrhalis</w:t>
      </w:r>
    </w:p>
    <w:p w14:paraId="182F2088" w14:textId="77777777" w:rsidR="0065586B" w:rsidRPr="0063664A" w:rsidRDefault="0065586B" w:rsidP="0063664A">
      <w:pPr>
        <w:rPr>
          <w:i/>
          <w:sz w:val="22"/>
          <w:lang w:val="sk-SK"/>
        </w:rPr>
      </w:pPr>
      <w:r w:rsidRPr="0063664A">
        <w:rPr>
          <w:i/>
          <w:sz w:val="22"/>
          <w:lang w:val="sk-SK"/>
        </w:rPr>
        <w:t>Neisseria gonorrhoeae</w:t>
      </w:r>
    </w:p>
    <w:p w14:paraId="62FFC750" w14:textId="77777777" w:rsidR="0065586B" w:rsidRPr="0063664A" w:rsidRDefault="0065586B" w:rsidP="0063664A">
      <w:pPr>
        <w:rPr>
          <w:i/>
          <w:sz w:val="22"/>
          <w:lang w:val="sk-SK"/>
        </w:rPr>
      </w:pPr>
      <w:r w:rsidRPr="0063664A">
        <w:rPr>
          <w:i/>
          <w:sz w:val="22"/>
          <w:lang w:val="sk-SK"/>
        </w:rPr>
        <w:t>Legionella pneumophila</w:t>
      </w:r>
    </w:p>
    <w:p w14:paraId="098E33F6" w14:textId="77777777" w:rsidR="0065586B" w:rsidRPr="0063664A" w:rsidRDefault="0065586B" w:rsidP="002672E5">
      <w:pPr>
        <w:rPr>
          <w:sz w:val="22"/>
          <w:szCs w:val="22"/>
          <w:lang w:val="sk-SK"/>
        </w:rPr>
      </w:pPr>
    </w:p>
    <w:p w14:paraId="2F6C2D6C" w14:textId="77777777" w:rsidR="0065586B" w:rsidRPr="0063664A" w:rsidRDefault="0065586B" w:rsidP="0063664A">
      <w:pPr>
        <w:keepNext/>
        <w:rPr>
          <w:b/>
          <w:sz w:val="22"/>
          <w:lang w:val="sk-SK"/>
        </w:rPr>
      </w:pPr>
      <w:r w:rsidRPr="0063664A">
        <w:rPr>
          <w:b/>
          <w:sz w:val="22"/>
          <w:lang w:val="sk-SK"/>
        </w:rPr>
        <w:t>Iné mikroorganizmy</w:t>
      </w:r>
    </w:p>
    <w:p w14:paraId="641765E5" w14:textId="77777777" w:rsidR="0065586B" w:rsidRPr="0063664A" w:rsidRDefault="0065586B" w:rsidP="0063664A">
      <w:pPr>
        <w:rPr>
          <w:i/>
          <w:sz w:val="22"/>
          <w:lang w:val="sk-SK"/>
        </w:rPr>
      </w:pPr>
      <w:r w:rsidRPr="0063664A">
        <w:rPr>
          <w:i/>
          <w:sz w:val="22"/>
          <w:lang w:val="sk-SK"/>
        </w:rPr>
        <w:t>Mycoplasma pneumoniae</w:t>
      </w:r>
    </w:p>
    <w:p w14:paraId="70ACDDFA" w14:textId="77777777" w:rsidR="0065586B" w:rsidRPr="0063664A" w:rsidRDefault="0065586B" w:rsidP="0063664A">
      <w:pPr>
        <w:rPr>
          <w:sz w:val="22"/>
          <w:lang w:val="sk-SK"/>
        </w:rPr>
      </w:pPr>
      <w:r w:rsidRPr="0063664A">
        <w:rPr>
          <w:i/>
          <w:sz w:val="22"/>
          <w:lang w:val="sk-SK"/>
        </w:rPr>
        <w:t>Chlamydia pneumoniae</w:t>
      </w:r>
      <w:r w:rsidRPr="0063664A">
        <w:rPr>
          <w:sz w:val="22"/>
          <w:lang w:val="sk-SK"/>
        </w:rPr>
        <w:t xml:space="preserve"> (TWAR)</w:t>
      </w:r>
    </w:p>
    <w:p w14:paraId="32CCAD37" w14:textId="77777777" w:rsidR="0065586B" w:rsidRPr="0063664A" w:rsidRDefault="0065586B" w:rsidP="002672E5">
      <w:pPr>
        <w:rPr>
          <w:iCs/>
          <w:sz w:val="22"/>
          <w:szCs w:val="22"/>
          <w:lang w:val="sk-SK"/>
        </w:rPr>
      </w:pPr>
    </w:p>
    <w:p w14:paraId="711DF84F" w14:textId="77777777" w:rsidR="0065586B" w:rsidRPr="0063664A" w:rsidRDefault="0065586B" w:rsidP="0063664A">
      <w:pPr>
        <w:keepNext/>
        <w:rPr>
          <w:b/>
          <w:sz w:val="22"/>
          <w:lang w:val="sk-SK"/>
        </w:rPr>
      </w:pPr>
      <w:r w:rsidRPr="0063664A">
        <w:rPr>
          <w:b/>
          <w:sz w:val="22"/>
          <w:lang w:val="sk-SK"/>
        </w:rPr>
        <w:t>Mykobaktérie</w:t>
      </w:r>
    </w:p>
    <w:p w14:paraId="25CBED08" w14:textId="77777777" w:rsidR="0065586B" w:rsidRPr="0063664A" w:rsidRDefault="0065586B" w:rsidP="0063664A">
      <w:pPr>
        <w:rPr>
          <w:i/>
          <w:sz w:val="22"/>
          <w:lang w:val="sk-SK"/>
        </w:rPr>
      </w:pPr>
      <w:r w:rsidRPr="0063664A">
        <w:rPr>
          <w:i/>
          <w:sz w:val="22"/>
          <w:lang w:val="sk-SK"/>
        </w:rPr>
        <w:t>Mycobacterium leprae</w:t>
      </w:r>
    </w:p>
    <w:p w14:paraId="1B5108FA" w14:textId="77777777" w:rsidR="0065586B" w:rsidRPr="0063664A" w:rsidRDefault="0065586B" w:rsidP="0063664A">
      <w:pPr>
        <w:rPr>
          <w:i/>
          <w:sz w:val="22"/>
          <w:lang w:val="sk-SK"/>
        </w:rPr>
      </w:pPr>
      <w:r w:rsidRPr="0063664A">
        <w:rPr>
          <w:i/>
          <w:sz w:val="22"/>
          <w:lang w:val="sk-SK"/>
        </w:rPr>
        <w:t>Mycobacterium kansasii</w:t>
      </w:r>
    </w:p>
    <w:p w14:paraId="0ED213B9" w14:textId="77777777" w:rsidR="0065586B" w:rsidRPr="0063664A" w:rsidRDefault="0065586B" w:rsidP="0063664A">
      <w:pPr>
        <w:rPr>
          <w:i/>
          <w:sz w:val="22"/>
          <w:lang w:val="sk-SK"/>
        </w:rPr>
      </w:pPr>
      <w:r w:rsidRPr="0063664A">
        <w:rPr>
          <w:i/>
          <w:sz w:val="22"/>
          <w:lang w:val="sk-SK"/>
        </w:rPr>
        <w:t>Mycobacterium chelonae</w:t>
      </w:r>
    </w:p>
    <w:p w14:paraId="2C4B5CD3" w14:textId="77777777" w:rsidR="0065586B" w:rsidRPr="0063664A" w:rsidRDefault="0065586B" w:rsidP="0063664A">
      <w:pPr>
        <w:rPr>
          <w:i/>
          <w:sz w:val="22"/>
          <w:lang w:val="sk-SK"/>
        </w:rPr>
      </w:pPr>
      <w:r w:rsidRPr="0063664A">
        <w:rPr>
          <w:i/>
          <w:sz w:val="22"/>
          <w:lang w:val="sk-SK"/>
        </w:rPr>
        <w:t>Mycobacterium fortuitum</w:t>
      </w:r>
    </w:p>
    <w:p w14:paraId="6234E277" w14:textId="663C5F88" w:rsidR="0065586B" w:rsidRPr="0063664A" w:rsidRDefault="0065586B" w:rsidP="0063664A">
      <w:pPr>
        <w:rPr>
          <w:i/>
          <w:sz w:val="22"/>
          <w:lang w:val="sk-SK"/>
        </w:rPr>
      </w:pPr>
      <w:r w:rsidRPr="0063664A">
        <w:rPr>
          <w:i/>
        </w:rPr>
        <w:t>Mycobacterium avium</w:t>
      </w:r>
      <w:r w:rsidRPr="00827FF8">
        <w:rPr>
          <w:rFonts w:cs="Arial"/>
          <w:sz w:val="22"/>
          <w:lang w:val="sk-SK"/>
        </w:rPr>
        <w:t xml:space="preserve"> </w:t>
      </w:r>
      <w:r w:rsidRPr="0063664A">
        <w:rPr>
          <w:i/>
          <w:iCs/>
          <w:szCs w:val="22"/>
        </w:rPr>
        <w:t xml:space="preserve">complex </w:t>
      </w:r>
      <w:r w:rsidRPr="0063664A">
        <w:rPr>
          <w:szCs w:val="22"/>
        </w:rPr>
        <w:t>(MAC),</w:t>
      </w:r>
      <w:r w:rsidRPr="0063664A">
        <w:rPr>
          <w:i/>
          <w:szCs w:val="22"/>
        </w:rPr>
        <w:t xml:space="preserve"> </w:t>
      </w:r>
      <w:r w:rsidRPr="0063664A">
        <w:rPr>
          <w:szCs w:val="22"/>
        </w:rPr>
        <w:t>zložený z</w:t>
      </w:r>
      <w:r w:rsidRPr="0063664A">
        <w:rPr>
          <w:i/>
          <w:szCs w:val="22"/>
        </w:rPr>
        <w:t xml:space="preserve">: </w:t>
      </w:r>
      <w:r w:rsidRPr="0063664A">
        <w:rPr>
          <w:i/>
        </w:rPr>
        <w:t>Mycobacterium avium</w:t>
      </w:r>
      <w:r w:rsidRPr="0063664A">
        <w:rPr>
          <w:i/>
          <w:sz w:val="22"/>
          <w:szCs w:val="22"/>
          <w:lang w:val="sk-SK"/>
        </w:rPr>
        <w:t xml:space="preserve"> </w:t>
      </w:r>
      <w:r w:rsidRPr="0063664A">
        <w:rPr>
          <w:sz w:val="22"/>
          <w:szCs w:val="22"/>
          <w:lang w:val="sk-SK"/>
        </w:rPr>
        <w:t>a</w:t>
      </w:r>
      <w:r w:rsidRPr="0063664A">
        <w:rPr>
          <w:i/>
          <w:sz w:val="22"/>
          <w:szCs w:val="22"/>
          <w:lang w:val="sk-SK"/>
        </w:rPr>
        <w:t xml:space="preserve"> </w:t>
      </w:r>
      <w:r w:rsidRPr="0063664A">
        <w:rPr>
          <w:i/>
          <w:sz w:val="22"/>
          <w:lang w:val="sk-SK"/>
        </w:rPr>
        <w:t xml:space="preserve">Mycobacterium </w:t>
      </w:r>
      <w:r w:rsidRPr="0063664A">
        <w:rPr>
          <w:i/>
          <w:sz w:val="22"/>
          <w:szCs w:val="22"/>
          <w:lang w:val="sk-SK"/>
        </w:rPr>
        <w:t>intracellulare</w:t>
      </w:r>
    </w:p>
    <w:p w14:paraId="21E0EAF0" w14:textId="2A467899" w:rsidR="0065586B" w:rsidRPr="0063664A" w:rsidRDefault="0065586B" w:rsidP="002672E5">
      <w:pPr>
        <w:rPr>
          <w:sz w:val="22"/>
          <w:szCs w:val="22"/>
          <w:lang w:val="sk-SK"/>
        </w:rPr>
      </w:pPr>
    </w:p>
    <w:p w14:paraId="4CA1CEC1" w14:textId="6C8D5501" w:rsidR="0065586B" w:rsidRPr="0063664A" w:rsidRDefault="0065586B" w:rsidP="0063664A">
      <w:pPr>
        <w:rPr>
          <w:sz w:val="22"/>
          <w:lang w:val="sk-SK"/>
        </w:rPr>
      </w:pPr>
      <w:r w:rsidRPr="0063664A">
        <w:rPr>
          <w:sz w:val="22"/>
          <w:szCs w:val="22"/>
          <w:lang w:val="sk-SK"/>
        </w:rPr>
        <w:t>Tvorba betalaktamázy nemá</w:t>
      </w:r>
      <w:r w:rsidRPr="0063664A">
        <w:rPr>
          <w:sz w:val="22"/>
          <w:lang w:val="sk-SK"/>
        </w:rPr>
        <w:t xml:space="preserve"> vplyv na</w:t>
      </w:r>
      <w:r w:rsidRPr="0063664A">
        <w:rPr>
          <w:sz w:val="22"/>
          <w:szCs w:val="22"/>
          <w:lang w:val="sk-SK"/>
        </w:rPr>
        <w:t> </w:t>
      </w:r>
      <w:r w:rsidRPr="0063664A">
        <w:rPr>
          <w:sz w:val="22"/>
          <w:lang w:val="sk-SK"/>
        </w:rPr>
        <w:t>aktivitu klaritromycínu.</w:t>
      </w:r>
    </w:p>
    <w:p w14:paraId="7685AC95" w14:textId="77777777" w:rsidR="0065586B" w:rsidRPr="0063664A" w:rsidRDefault="0065586B" w:rsidP="002672E5">
      <w:pPr>
        <w:rPr>
          <w:sz w:val="22"/>
          <w:szCs w:val="22"/>
          <w:lang w:val="sk-SK"/>
        </w:rPr>
      </w:pPr>
    </w:p>
    <w:p w14:paraId="013AD49B" w14:textId="5313CC65" w:rsidR="0065586B" w:rsidRPr="0063664A" w:rsidRDefault="0065586B" w:rsidP="0063664A">
      <w:pPr>
        <w:rPr>
          <w:sz w:val="22"/>
          <w:lang w:val="sk-SK"/>
        </w:rPr>
      </w:pPr>
      <w:r w:rsidRPr="0063664A">
        <w:rPr>
          <w:sz w:val="22"/>
          <w:lang w:val="sk-SK"/>
        </w:rPr>
        <w:t xml:space="preserve">Poznámka: </w:t>
      </w:r>
      <w:r w:rsidRPr="0063664A">
        <w:rPr>
          <w:sz w:val="22"/>
          <w:szCs w:val="22"/>
          <w:lang w:val="sk-SK"/>
        </w:rPr>
        <w:t>väčšina</w:t>
      </w:r>
      <w:r w:rsidRPr="0063664A">
        <w:rPr>
          <w:sz w:val="22"/>
          <w:lang w:val="sk-SK"/>
        </w:rPr>
        <w:t xml:space="preserve"> kmeňov </w:t>
      </w:r>
      <w:r w:rsidRPr="0063664A">
        <w:rPr>
          <w:sz w:val="22"/>
          <w:szCs w:val="22"/>
          <w:lang w:val="sk-SK"/>
        </w:rPr>
        <w:t xml:space="preserve">stafylokokov, </w:t>
      </w:r>
      <w:r w:rsidRPr="0063664A">
        <w:rPr>
          <w:sz w:val="22"/>
          <w:lang w:val="sk-SK"/>
        </w:rPr>
        <w:t>rezistentných na meticilín a</w:t>
      </w:r>
      <w:r w:rsidRPr="0063664A">
        <w:rPr>
          <w:sz w:val="22"/>
          <w:szCs w:val="22"/>
          <w:lang w:val="sk-SK"/>
        </w:rPr>
        <w:t> </w:t>
      </w:r>
      <w:r w:rsidRPr="0063664A">
        <w:rPr>
          <w:sz w:val="22"/>
          <w:lang w:val="sk-SK"/>
        </w:rPr>
        <w:t>oxacilín</w:t>
      </w:r>
      <w:r w:rsidRPr="0063664A">
        <w:rPr>
          <w:sz w:val="22"/>
          <w:szCs w:val="22"/>
          <w:lang w:val="sk-SK"/>
        </w:rPr>
        <w:t>,</w:t>
      </w:r>
      <w:r w:rsidRPr="0063664A">
        <w:rPr>
          <w:sz w:val="22"/>
          <w:lang w:val="sk-SK"/>
        </w:rPr>
        <w:t xml:space="preserve"> je </w:t>
      </w:r>
      <w:r w:rsidRPr="0063664A">
        <w:rPr>
          <w:sz w:val="22"/>
          <w:szCs w:val="22"/>
          <w:lang w:val="sk-SK"/>
        </w:rPr>
        <w:t>rezistentná aj</w:t>
      </w:r>
      <w:r w:rsidRPr="0063664A">
        <w:rPr>
          <w:sz w:val="22"/>
          <w:lang w:val="sk-SK"/>
        </w:rPr>
        <w:t xml:space="preserve"> na klaritromycín.</w:t>
      </w:r>
    </w:p>
    <w:p w14:paraId="48FAF72E" w14:textId="77777777" w:rsidR="0065586B" w:rsidRPr="0063664A" w:rsidRDefault="0065586B" w:rsidP="002672E5">
      <w:pPr>
        <w:rPr>
          <w:sz w:val="22"/>
          <w:szCs w:val="22"/>
          <w:lang w:val="sk-SK"/>
        </w:rPr>
      </w:pPr>
    </w:p>
    <w:p w14:paraId="5EE97461" w14:textId="77777777" w:rsidR="0065586B" w:rsidRPr="0063664A" w:rsidRDefault="0065586B" w:rsidP="009B7F59">
      <w:pPr>
        <w:keepNext/>
        <w:rPr>
          <w:b/>
          <w:sz w:val="22"/>
          <w:szCs w:val="22"/>
          <w:lang w:val="sk-SK"/>
        </w:rPr>
      </w:pPr>
      <w:r w:rsidRPr="0063664A">
        <w:rPr>
          <w:b/>
          <w:sz w:val="22"/>
          <w:szCs w:val="22"/>
          <w:lang w:val="sk-SK"/>
        </w:rPr>
        <w:t>Heli</w:t>
      </w:r>
      <w:r w:rsidR="00F22D2D" w:rsidRPr="0063664A">
        <w:rPr>
          <w:b/>
          <w:sz w:val="22"/>
          <w:szCs w:val="22"/>
          <w:lang w:val="sk-SK"/>
        </w:rPr>
        <w:t>k</w:t>
      </w:r>
      <w:r w:rsidRPr="0063664A">
        <w:rPr>
          <w:b/>
          <w:sz w:val="22"/>
          <w:szCs w:val="22"/>
          <w:lang w:val="sk-SK"/>
        </w:rPr>
        <w:t>obakter</w:t>
      </w:r>
    </w:p>
    <w:p w14:paraId="3D229C48" w14:textId="77777777" w:rsidR="0065586B" w:rsidRPr="0063664A" w:rsidRDefault="0065586B" w:rsidP="0063664A">
      <w:pPr>
        <w:keepNext/>
        <w:rPr>
          <w:i/>
          <w:sz w:val="22"/>
          <w:lang w:val="sk-SK"/>
        </w:rPr>
      </w:pPr>
      <w:r w:rsidRPr="0063664A">
        <w:rPr>
          <w:i/>
          <w:sz w:val="22"/>
          <w:lang w:val="sk-SK"/>
        </w:rPr>
        <w:t>Helicobacter pylori</w:t>
      </w:r>
    </w:p>
    <w:p w14:paraId="73D25756" w14:textId="4458C3E1" w:rsidR="0065586B" w:rsidRPr="0063664A" w:rsidRDefault="0065586B" w:rsidP="0063664A">
      <w:pPr>
        <w:rPr>
          <w:sz w:val="22"/>
          <w:lang w:val="sk-SK"/>
        </w:rPr>
      </w:pPr>
      <w:r w:rsidRPr="0063664A">
        <w:rPr>
          <w:sz w:val="22"/>
          <w:szCs w:val="22"/>
          <w:lang w:val="sk-SK"/>
        </w:rPr>
        <w:t xml:space="preserve">Na kultúrach pripravených pred liečbou </w:t>
      </w:r>
      <w:r w:rsidRPr="0063664A">
        <w:rPr>
          <w:sz w:val="22"/>
          <w:lang w:val="sk-SK"/>
        </w:rPr>
        <w:t>sa zo</w:t>
      </w:r>
      <w:r w:rsidRPr="0063664A">
        <w:rPr>
          <w:sz w:val="22"/>
          <w:szCs w:val="22"/>
          <w:lang w:val="sk-SK"/>
        </w:rPr>
        <w:t> </w:t>
      </w:r>
      <w:r w:rsidRPr="0063664A">
        <w:rPr>
          <w:sz w:val="22"/>
          <w:lang w:val="sk-SK"/>
        </w:rPr>
        <w:t xml:space="preserve">vzoriek </w:t>
      </w:r>
      <w:r w:rsidRPr="0063664A">
        <w:rPr>
          <w:sz w:val="22"/>
          <w:szCs w:val="22"/>
          <w:lang w:val="sk-SK"/>
        </w:rPr>
        <w:t>odobratých</w:t>
      </w:r>
      <w:r w:rsidRPr="0063664A">
        <w:rPr>
          <w:sz w:val="22"/>
          <w:lang w:val="sk-SK"/>
        </w:rPr>
        <w:t xml:space="preserve"> 104</w:t>
      </w:r>
      <w:r w:rsidRPr="0063664A">
        <w:rPr>
          <w:sz w:val="22"/>
          <w:szCs w:val="22"/>
          <w:lang w:val="sk-SK"/>
        </w:rPr>
        <w:t> </w:t>
      </w:r>
      <w:r w:rsidRPr="0063664A">
        <w:rPr>
          <w:sz w:val="22"/>
          <w:lang w:val="sk-SK"/>
        </w:rPr>
        <w:t>pacientom</w:t>
      </w:r>
      <w:r w:rsidRPr="0063664A">
        <w:rPr>
          <w:i/>
          <w:sz w:val="22"/>
          <w:lang w:val="sk-SK"/>
        </w:rPr>
        <w:t xml:space="preserve"> </w:t>
      </w:r>
      <w:r w:rsidRPr="0063664A">
        <w:rPr>
          <w:sz w:val="22"/>
          <w:szCs w:val="22"/>
          <w:lang w:val="sk-SK"/>
        </w:rPr>
        <w:t>izoloval</w:t>
      </w:r>
      <w:r w:rsidRPr="0063664A">
        <w:rPr>
          <w:i/>
          <w:iCs/>
          <w:sz w:val="22"/>
          <w:szCs w:val="22"/>
          <w:lang w:val="sk-SK"/>
        </w:rPr>
        <w:t xml:space="preserve"> H.</w:t>
      </w:r>
      <w:r w:rsidRPr="0063664A">
        <w:rPr>
          <w:bCs/>
          <w:sz w:val="22"/>
          <w:szCs w:val="22"/>
          <w:lang w:val="sk-SK"/>
        </w:rPr>
        <w:t> </w:t>
      </w:r>
      <w:r w:rsidRPr="0063664A">
        <w:rPr>
          <w:i/>
          <w:iCs/>
          <w:sz w:val="22"/>
          <w:szCs w:val="22"/>
          <w:lang w:val="sk-SK"/>
        </w:rPr>
        <w:t>pylori</w:t>
      </w:r>
      <w:r w:rsidRPr="0063664A">
        <w:rPr>
          <w:sz w:val="22"/>
          <w:szCs w:val="22"/>
          <w:lang w:val="sk-SK"/>
        </w:rPr>
        <w:t xml:space="preserve"> a stanovili sa hodnoty</w:t>
      </w:r>
      <w:r w:rsidRPr="0063664A">
        <w:rPr>
          <w:sz w:val="22"/>
          <w:lang w:val="sk-SK"/>
        </w:rPr>
        <w:t xml:space="preserve"> MIC klaritromycínu. </w:t>
      </w:r>
      <w:r w:rsidRPr="0063664A">
        <w:rPr>
          <w:sz w:val="22"/>
          <w:szCs w:val="22"/>
          <w:lang w:val="sk-SK"/>
        </w:rPr>
        <w:t>Štyria pacienti mali</w:t>
      </w:r>
      <w:r w:rsidRPr="0063664A">
        <w:rPr>
          <w:sz w:val="22"/>
          <w:lang w:val="sk-SK"/>
        </w:rPr>
        <w:t xml:space="preserve"> rezistentné kmene, </w:t>
      </w:r>
      <w:r w:rsidRPr="0063664A">
        <w:rPr>
          <w:sz w:val="22"/>
          <w:szCs w:val="22"/>
          <w:lang w:val="sk-SK"/>
        </w:rPr>
        <w:t>dvaja</w:t>
      </w:r>
      <w:r w:rsidRPr="0063664A">
        <w:rPr>
          <w:sz w:val="22"/>
          <w:lang w:val="sk-SK"/>
        </w:rPr>
        <w:t xml:space="preserve"> stredne citlivé kmene a 98</w:t>
      </w:r>
      <w:r w:rsidRPr="0063664A">
        <w:rPr>
          <w:sz w:val="22"/>
          <w:szCs w:val="22"/>
          <w:lang w:val="sk-SK"/>
        </w:rPr>
        <w:t> </w:t>
      </w:r>
      <w:r w:rsidRPr="0063664A">
        <w:rPr>
          <w:sz w:val="22"/>
          <w:lang w:val="sk-SK"/>
        </w:rPr>
        <w:t>pacientov malo kmene citlivé na</w:t>
      </w:r>
      <w:r w:rsidRPr="0063664A">
        <w:rPr>
          <w:sz w:val="22"/>
          <w:szCs w:val="22"/>
          <w:lang w:val="sk-SK"/>
        </w:rPr>
        <w:t> </w:t>
      </w:r>
      <w:r w:rsidRPr="0063664A">
        <w:rPr>
          <w:sz w:val="22"/>
          <w:lang w:val="sk-SK"/>
        </w:rPr>
        <w:t>klaritromycín.</w:t>
      </w:r>
    </w:p>
    <w:p w14:paraId="676D6EA2" w14:textId="77777777" w:rsidR="0065586B" w:rsidRPr="0063664A" w:rsidRDefault="0065586B" w:rsidP="0063664A">
      <w:pPr>
        <w:rPr>
          <w:sz w:val="22"/>
          <w:lang w:val="sk-SK"/>
        </w:rPr>
      </w:pPr>
    </w:p>
    <w:p w14:paraId="6C3A285F" w14:textId="38C00BB3" w:rsidR="0065586B" w:rsidRPr="0063664A" w:rsidRDefault="0065586B" w:rsidP="0063664A">
      <w:pPr>
        <w:keepNext/>
        <w:rPr>
          <w:sz w:val="22"/>
          <w:lang w:val="sk-SK"/>
        </w:rPr>
      </w:pPr>
      <w:r w:rsidRPr="0063664A">
        <w:rPr>
          <w:b/>
          <w:sz w:val="22"/>
          <w:lang w:val="sk-SK"/>
        </w:rPr>
        <w:t xml:space="preserve">Klinický význam nasledujúcich údajov získaných </w:t>
      </w:r>
      <w:r w:rsidRPr="0063664A">
        <w:rPr>
          <w:b/>
          <w:i/>
          <w:sz w:val="22"/>
          <w:lang w:val="sk-SK"/>
        </w:rPr>
        <w:t>in vitro</w:t>
      </w:r>
      <w:r w:rsidRPr="0063664A">
        <w:rPr>
          <w:b/>
          <w:sz w:val="22"/>
          <w:lang w:val="sk-SK"/>
        </w:rPr>
        <w:t xml:space="preserve"> nie je známy</w:t>
      </w:r>
      <w:r w:rsidRPr="0063664A">
        <w:rPr>
          <w:sz w:val="22"/>
          <w:lang w:val="sk-SK"/>
        </w:rPr>
        <w:t xml:space="preserve">. Účinnosť klaritromycínu </w:t>
      </w:r>
      <w:r w:rsidRPr="0063664A">
        <w:rPr>
          <w:i/>
          <w:sz w:val="22"/>
          <w:lang w:val="sk-SK"/>
        </w:rPr>
        <w:t xml:space="preserve">in </w:t>
      </w:r>
      <w:r w:rsidRPr="0063664A">
        <w:rPr>
          <w:i/>
          <w:sz w:val="22"/>
          <w:szCs w:val="22"/>
          <w:lang w:val="sk-SK"/>
        </w:rPr>
        <w:t>vitro</w:t>
      </w:r>
      <w:r w:rsidRPr="0063664A">
        <w:rPr>
          <w:sz w:val="22"/>
          <w:szCs w:val="22"/>
          <w:lang w:val="sk-SK"/>
        </w:rPr>
        <w:t xml:space="preserve"> sa preukázala u väčšiny</w:t>
      </w:r>
      <w:r w:rsidRPr="0063664A">
        <w:rPr>
          <w:sz w:val="22"/>
          <w:lang w:val="sk-SK"/>
        </w:rPr>
        <w:t xml:space="preserve"> kmeňov nižšie uvedených mikroorganizmov; bezpečnosť a</w:t>
      </w:r>
      <w:r w:rsidRPr="0063664A">
        <w:rPr>
          <w:sz w:val="22"/>
          <w:szCs w:val="22"/>
          <w:lang w:val="sk-SK"/>
        </w:rPr>
        <w:t> </w:t>
      </w:r>
      <w:r w:rsidRPr="0063664A">
        <w:rPr>
          <w:sz w:val="22"/>
          <w:lang w:val="sk-SK"/>
        </w:rPr>
        <w:t xml:space="preserve">účinnosť klaritromycínu </w:t>
      </w:r>
      <w:r w:rsidRPr="0063664A">
        <w:rPr>
          <w:sz w:val="22"/>
          <w:szCs w:val="22"/>
          <w:lang w:val="sk-SK"/>
        </w:rPr>
        <w:t>na liečbu</w:t>
      </w:r>
      <w:r w:rsidRPr="0063664A">
        <w:rPr>
          <w:sz w:val="22"/>
          <w:lang w:val="sk-SK"/>
        </w:rPr>
        <w:t xml:space="preserve"> infekcií spôsobených týmito mikroorganizmami </w:t>
      </w:r>
      <w:r w:rsidRPr="0063664A">
        <w:rPr>
          <w:sz w:val="22"/>
          <w:szCs w:val="22"/>
          <w:lang w:val="sk-SK"/>
        </w:rPr>
        <w:t xml:space="preserve">sa </w:t>
      </w:r>
      <w:r w:rsidRPr="0063664A">
        <w:rPr>
          <w:sz w:val="22"/>
          <w:lang w:val="sk-SK"/>
        </w:rPr>
        <w:t xml:space="preserve">však doposiaľ </w:t>
      </w:r>
      <w:r w:rsidRPr="0063664A">
        <w:rPr>
          <w:sz w:val="22"/>
          <w:szCs w:val="22"/>
          <w:lang w:val="sk-SK"/>
        </w:rPr>
        <w:t>nepotvrdila</w:t>
      </w:r>
      <w:r w:rsidRPr="0063664A">
        <w:rPr>
          <w:sz w:val="22"/>
          <w:lang w:val="sk-SK"/>
        </w:rPr>
        <w:t xml:space="preserve"> v adekvátnych a</w:t>
      </w:r>
      <w:r w:rsidRPr="0063664A">
        <w:rPr>
          <w:sz w:val="22"/>
          <w:szCs w:val="22"/>
          <w:lang w:val="sk-SK"/>
        </w:rPr>
        <w:t> </w:t>
      </w:r>
      <w:r w:rsidRPr="0063664A">
        <w:rPr>
          <w:sz w:val="22"/>
          <w:lang w:val="sk-SK"/>
        </w:rPr>
        <w:t xml:space="preserve">dobre kontrolovaných klinických </w:t>
      </w:r>
      <w:r w:rsidRPr="0063664A">
        <w:rPr>
          <w:sz w:val="22"/>
          <w:szCs w:val="22"/>
          <w:lang w:val="sk-SK"/>
        </w:rPr>
        <w:t>skúškach</w:t>
      </w:r>
      <w:r w:rsidRPr="0063664A">
        <w:rPr>
          <w:sz w:val="22"/>
          <w:lang w:val="sk-SK"/>
        </w:rPr>
        <w:t>.</w:t>
      </w:r>
    </w:p>
    <w:p w14:paraId="0E2BB775" w14:textId="77777777" w:rsidR="0065586B" w:rsidRPr="0063664A" w:rsidRDefault="0065586B" w:rsidP="002672E5">
      <w:pPr>
        <w:rPr>
          <w:sz w:val="22"/>
          <w:szCs w:val="22"/>
          <w:lang w:val="sk-SK"/>
        </w:rPr>
      </w:pPr>
    </w:p>
    <w:p w14:paraId="3E29A931" w14:textId="77777777" w:rsidR="0065586B" w:rsidRPr="0063664A" w:rsidRDefault="0065586B" w:rsidP="009B7F59">
      <w:pPr>
        <w:keepNext/>
        <w:rPr>
          <w:b/>
          <w:sz w:val="22"/>
          <w:szCs w:val="22"/>
          <w:lang w:val="sk-SK"/>
        </w:rPr>
      </w:pPr>
      <w:r w:rsidRPr="0063664A">
        <w:rPr>
          <w:b/>
          <w:sz w:val="22"/>
          <w:szCs w:val="22"/>
          <w:lang w:val="sk-SK"/>
        </w:rPr>
        <w:t>Aeróbne grampozitívne mikroorganizmy</w:t>
      </w:r>
    </w:p>
    <w:p w14:paraId="5F4CA4A6" w14:textId="3A8D9790" w:rsidR="0065586B" w:rsidRPr="0063664A" w:rsidRDefault="0065586B" w:rsidP="0063664A">
      <w:pPr>
        <w:rPr>
          <w:i/>
          <w:sz w:val="22"/>
          <w:lang w:val="sk-SK"/>
        </w:rPr>
      </w:pPr>
      <w:r w:rsidRPr="0063664A">
        <w:rPr>
          <w:i/>
          <w:sz w:val="22"/>
          <w:lang w:val="sk-SK"/>
        </w:rPr>
        <w:t xml:space="preserve">Streptococcus </w:t>
      </w:r>
      <w:r w:rsidRPr="0063664A">
        <w:rPr>
          <w:i/>
          <w:sz w:val="22"/>
          <w:szCs w:val="22"/>
          <w:lang w:val="sk-SK"/>
        </w:rPr>
        <w:t>agalactiae</w:t>
      </w:r>
    </w:p>
    <w:p w14:paraId="1A556B12" w14:textId="77777777" w:rsidR="0065586B" w:rsidRPr="0063664A" w:rsidRDefault="0065586B" w:rsidP="0063664A">
      <w:pPr>
        <w:rPr>
          <w:sz w:val="22"/>
          <w:lang w:val="sk-SK"/>
        </w:rPr>
      </w:pPr>
      <w:r w:rsidRPr="0063664A">
        <w:rPr>
          <w:sz w:val="22"/>
          <w:lang w:val="sk-SK"/>
        </w:rPr>
        <w:t>Streptokoky skupiny C, F, G</w:t>
      </w:r>
    </w:p>
    <w:p w14:paraId="59F94131" w14:textId="64FC385E" w:rsidR="0065586B" w:rsidRPr="0063664A" w:rsidRDefault="0065586B" w:rsidP="0063664A">
      <w:pPr>
        <w:rPr>
          <w:sz w:val="22"/>
          <w:lang w:val="sk-SK"/>
        </w:rPr>
      </w:pPr>
      <w:r w:rsidRPr="0063664A">
        <w:rPr>
          <w:sz w:val="22"/>
          <w:szCs w:val="22"/>
          <w:lang w:val="sk-SK"/>
        </w:rPr>
        <w:t>Viridujúce</w:t>
      </w:r>
      <w:r w:rsidRPr="0063664A">
        <w:rPr>
          <w:sz w:val="22"/>
          <w:lang w:val="sk-SK"/>
        </w:rPr>
        <w:t xml:space="preserve"> streptokoky</w:t>
      </w:r>
    </w:p>
    <w:p w14:paraId="4A46E2B8" w14:textId="77777777" w:rsidR="0065586B" w:rsidRPr="0063664A" w:rsidRDefault="0065586B" w:rsidP="002672E5">
      <w:pPr>
        <w:rPr>
          <w:sz w:val="22"/>
          <w:szCs w:val="22"/>
          <w:lang w:val="sk-SK"/>
        </w:rPr>
      </w:pPr>
    </w:p>
    <w:p w14:paraId="1C749898" w14:textId="77777777" w:rsidR="0065586B" w:rsidRPr="0063664A" w:rsidRDefault="0065586B" w:rsidP="0063664A">
      <w:pPr>
        <w:keepNext/>
        <w:rPr>
          <w:b/>
          <w:sz w:val="22"/>
          <w:lang w:val="sk-SK"/>
        </w:rPr>
      </w:pPr>
      <w:r w:rsidRPr="0063664A">
        <w:rPr>
          <w:b/>
          <w:sz w:val="22"/>
          <w:lang w:val="sk-SK"/>
        </w:rPr>
        <w:t>Aeróbne gramnegatívne mikroorganizmy</w:t>
      </w:r>
    </w:p>
    <w:p w14:paraId="400EBA56" w14:textId="3B0B4BCF" w:rsidR="0065586B" w:rsidRPr="0063664A" w:rsidRDefault="0065586B" w:rsidP="0063664A">
      <w:pPr>
        <w:rPr>
          <w:i/>
          <w:sz w:val="22"/>
          <w:lang w:val="sk-SK"/>
        </w:rPr>
      </w:pPr>
      <w:r w:rsidRPr="0063664A">
        <w:rPr>
          <w:i/>
          <w:sz w:val="22"/>
          <w:lang w:val="sk-SK"/>
        </w:rPr>
        <w:t xml:space="preserve">Bordetella </w:t>
      </w:r>
      <w:r w:rsidRPr="0063664A">
        <w:rPr>
          <w:i/>
          <w:sz w:val="22"/>
          <w:szCs w:val="22"/>
          <w:lang w:val="sk-SK"/>
        </w:rPr>
        <w:t>pertussis</w:t>
      </w:r>
    </w:p>
    <w:p w14:paraId="100F5B26" w14:textId="77777777" w:rsidR="0065586B" w:rsidRPr="0063664A" w:rsidRDefault="0065586B" w:rsidP="0063664A">
      <w:pPr>
        <w:rPr>
          <w:i/>
          <w:sz w:val="22"/>
          <w:lang w:val="sk-SK"/>
        </w:rPr>
      </w:pPr>
      <w:r w:rsidRPr="0063664A">
        <w:rPr>
          <w:i/>
          <w:sz w:val="22"/>
          <w:lang w:val="sk-SK"/>
        </w:rPr>
        <w:t>Pasteurella multocida</w:t>
      </w:r>
    </w:p>
    <w:p w14:paraId="3828757B" w14:textId="77777777" w:rsidR="0065586B" w:rsidRPr="0063664A" w:rsidRDefault="0065586B" w:rsidP="002672E5">
      <w:pPr>
        <w:rPr>
          <w:sz w:val="22"/>
          <w:szCs w:val="22"/>
          <w:lang w:val="sk-SK"/>
        </w:rPr>
      </w:pPr>
    </w:p>
    <w:p w14:paraId="032FBDC3" w14:textId="77777777" w:rsidR="0065586B" w:rsidRPr="0063664A" w:rsidRDefault="0065586B" w:rsidP="0063664A">
      <w:pPr>
        <w:keepNext/>
        <w:rPr>
          <w:b/>
          <w:sz w:val="22"/>
          <w:lang w:val="sk-SK"/>
        </w:rPr>
      </w:pPr>
      <w:r w:rsidRPr="0063664A">
        <w:rPr>
          <w:b/>
          <w:sz w:val="22"/>
          <w:lang w:val="sk-SK"/>
        </w:rPr>
        <w:t>Anaeróbne grampozitívne mikroorganizmy</w:t>
      </w:r>
    </w:p>
    <w:p w14:paraId="598F9FA8" w14:textId="77777777" w:rsidR="0065586B" w:rsidRPr="0063664A" w:rsidRDefault="0065586B" w:rsidP="0063664A">
      <w:pPr>
        <w:rPr>
          <w:i/>
          <w:sz w:val="22"/>
          <w:lang w:val="sk-SK"/>
        </w:rPr>
      </w:pPr>
      <w:r w:rsidRPr="0063664A">
        <w:rPr>
          <w:i/>
          <w:sz w:val="22"/>
          <w:lang w:val="sk-SK"/>
        </w:rPr>
        <w:t>Clostridium perfringens</w:t>
      </w:r>
    </w:p>
    <w:p w14:paraId="75ECC440" w14:textId="77777777" w:rsidR="0065586B" w:rsidRPr="0063664A" w:rsidRDefault="0065586B" w:rsidP="0063664A">
      <w:pPr>
        <w:rPr>
          <w:i/>
          <w:sz w:val="22"/>
          <w:lang w:val="sk-SK"/>
        </w:rPr>
      </w:pPr>
      <w:r w:rsidRPr="0063664A">
        <w:rPr>
          <w:i/>
          <w:sz w:val="22"/>
          <w:lang w:val="sk-SK"/>
        </w:rPr>
        <w:t>Peptococcus niger</w:t>
      </w:r>
    </w:p>
    <w:p w14:paraId="1731C264" w14:textId="77777777" w:rsidR="0065586B" w:rsidRPr="0063664A" w:rsidRDefault="0065586B" w:rsidP="0063664A">
      <w:pPr>
        <w:rPr>
          <w:i/>
          <w:sz w:val="22"/>
          <w:lang w:val="sk-SK"/>
        </w:rPr>
      </w:pPr>
      <w:r w:rsidRPr="0063664A">
        <w:rPr>
          <w:i/>
          <w:sz w:val="22"/>
          <w:lang w:val="sk-SK"/>
        </w:rPr>
        <w:t>Propionibacterium acnes</w:t>
      </w:r>
    </w:p>
    <w:p w14:paraId="6AFB229C" w14:textId="77777777" w:rsidR="0065586B" w:rsidRPr="0063664A" w:rsidRDefault="0065586B" w:rsidP="002672E5">
      <w:pPr>
        <w:rPr>
          <w:sz w:val="22"/>
          <w:szCs w:val="22"/>
          <w:lang w:val="sk-SK"/>
        </w:rPr>
      </w:pPr>
    </w:p>
    <w:p w14:paraId="3F6BA1EC" w14:textId="77777777" w:rsidR="0065586B" w:rsidRPr="0063664A" w:rsidRDefault="0065586B" w:rsidP="0063664A">
      <w:pPr>
        <w:keepNext/>
        <w:rPr>
          <w:b/>
          <w:sz w:val="22"/>
          <w:lang w:val="sk-SK"/>
        </w:rPr>
      </w:pPr>
      <w:r w:rsidRPr="0063664A">
        <w:rPr>
          <w:b/>
          <w:sz w:val="22"/>
          <w:lang w:val="sk-SK"/>
        </w:rPr>
        <w:t>Anaeróbne gramnegatívne mikroorganizmy</w:t>
      </w:r>
    </w:p>
    <w:p w14:paraId="1F2FC044" w14:textId="77777777" w:rsidR="0065586B" w:rsidRPr="0063664A" w:rsidRDefault="0065586B" w:rsidP="0063664A">
      <w:pPr>
        <w:rPr>
          <w:i/>
          <w:sz w:val="22"/>
          <w:lang w:val="sk-SK"/>
        </w:rPr>
      </w:pPr>
      <w:r w:rsidRPr="0063664A">
        <w:rPr>
          <w:i/>
          <w:sz w:val="22"/>
          <w:lang w:val="sk-SK"/>
        </w:rPr>
        <w:t>Bacteroides melaninogenicus</w:t>
      </w:r>
    </w:p>
    <w:p w14:paraId="05EFA8E7" w14:textId="77777777" w:rsidR="0065586B" w:rsidRPr="0063664A" w:rsidRDefault="0065586B" w:rsidP="002672E5">
      <w:pPr>
        <w:rPr>
          <w:sz w:val="22"/>
          <w:szCs w:val="22"/>
          <w:lang w:val="sk-SK"/>
        </w:rPr>
      </w:pPr>
    </w:p>
    <w:p w14:paraId="562F623C" w14:textId="77777777" w:rsidR="0065586B" w:rsidRPr="0063664A" w:rsidRDefault="0065586B" w:rsidP="0063664A">
      <w:pPr>
        <w:keepNext/>
        <w:rPr>
          <w:b/>
          <w:sz w:val="22"/>
          <w:lang w:val="sk-SK"/>
        </w:rPr>
      </w:pPr>
      <w:r w:rsidRPr="0063664A">
        <w:rPr>
          <w:b/>
          <w:sz w:val="22"/>
          <w:lang w:val="sk-SK"/>
        </w:rPr>
        <w:t>Spirochéty</w:t>
      </w:r>
    </w:p>
    <w:p w14:paraId="72D87A1A" w14:textId="77777777" w:rsidR="0065586B" w:rsidRPr="0063664A" w:rsidRDefault="0065586B" w:rsidP="0063664A">
      <w:pPr>
        <w:rPr>
          <w:i/>
          <w:sz w:val="22"/>
          <w:lang w:val="sk-SK"/>
        </w:rPr>
      </w:pPr>
      <w:r w:rsidRPr="0063664A">
        <w:rPr>
          <w:i/>
          <w:sz w:val="22"/>
          <w:lang w:val="sk-SK"/>
        </w:rPr>
        <w:t>Borrelia burgdorferi</w:t>
      </w:r>
    </w:p>
    <w:p w14:paraId="75D11D45" w14:textId="77777777" w:rsidR="0065586B" w:rsidRPr="0063664A" w:rsidRDefault="0065586B" w:rsidP="0063664A">
      <w:pPr>
        <w:rPr>
          <w:b/>
          <w:i/>
          <w:sz w:val="22"/>
          <w:lang w:val="sk-SK"/>
        </w:rPr>
      </w:pPr>
      <w:r w:rsidRPr="0063664A">
        <w:rPr>
          <w:b/>
          <w:i/>
          <w:sz w:val="22"/>
          <w:lang w:val="sk-SK"/>
        </w:rPr>
        <w:t>Treponema pallidum</w:t>
      </w:r>
    </w:p>
    <w:p w14:paraId="725CDA92" w14:textId="77777777" w:rsidR="0065586B" w:rsidRPr="0063664A" w:rsidRDefault="0065586B" w:rsidP="002672E5">
      <w:pPr>
        <w:rPr>
          <w:sz w:val="22"/>
          <w:szCs w:val="22"/>
          <w:lang w:val="sk-SK"/>
        </w:rPr>
      </w:pPr>
    </w:p>
    <w:p w14:paraId="6F3A12A4" w14:textId="77777777" w:rsidR="0065586B" w:rsidRPr="0063664A" w:rsidRDefault="0065586B" w:rsidP="0063664A">
      <w:pPr>
        <w:keepNext/>
        <w:rPr>
          <w:b/>
          <w:sz w:val="22"/>
          <w:lang w:val="sk-SK"/>
        </w:rPr>
      </w:pPr>
      <w:r w:rsidRPr="0063664A">
        <w:rPr>
          <w:b/>
          <w:sz w:val="22"/>
          <w:lang w:val="sk-SK"/>
        </w:rPr>
        <w:t>Kampylobakter</w:t>
      </w:r>
    </w:p>
    <w:p w14:paraId="21EA044F" w14:textId="77777777" w:rsidR="0065586B" w:rsidRPr="0063664A" w:rsidRDefault="0065586B" w:rsidP="0063664A">
      <w:pPr>
        <w:rPr>
          <w:i/>
          <w:sz w:val="22"/>
          <w:lang w:val="sk-SK"/>
        </w:rPr>
      </w:pPr>
      <w:r w:rsidRPr="0063664A">
        <w:rPr>
          <w:i/>
          <w:sz w:val="22"/>
          <w:lang w:val="sk-SK"/>
        </w:rPr>
        <w:t>Campylobacter jejuni</w:t>
      </w:r>
    </w:p>
    <w:p w14:paraId="29B3FF60" w14:textId="77777777" w:rsidR="0065586B" w:rsidRPr="0063664A" w:rsidRDefault="0065586B" w:rsidP="002672E5">
      <w:pPr>
        <w:rPr>
          <w:iCs/>
          <w:sz w:val="22"/>
          <w:szCs w:val="22"/>
          <w:lang w:val="sk-SK"/>
        </w:rPr>
      </w:pPr>
    </w:p>
    <w:p w14:paraId="7958D3F2" w14:textId="77777777" w:rsidR="0065586B" w:rsidRPr="0063664A" w:rsidRDefault="0065586B" w:rsidP="0063664A">
      <w:pPr>
        <w:keepNext/>
        <w:rPr>
          <w:b/>
          <w:sz w:val="22"/>
          <w:lang w:val="sk-SK"/>
        </w:rPr>
      </w:pPr>
      <w:r w:rsidRPr="0063664A">
        <w:rPr>
          <w:b/>
          <w:sz w:val="22"/>
          <w:lang w:val="sk-SK"/>
        </w:rPr>
        <w:t>Iné mikroorganizmy</w:t>
      </w:r>
    </w:p>
    <w:p w14:paraId="5FC7F574" w14:textId="77777777" w:rsidR="0065586B" w:rsidRPr="0063664A" w:rsidRDefault="0065586B" w:rsidP="0063664A">
      <w:pPr>
        <w:keepNext/>
        <w:rPr>
          <w:i/>
          <w:sz w:val="22"/>
          <w:lang w:val="sk-SK"/>
        </w:rPr>
      </w:pPr>
      <w:r w:rsidRPr="0063664A">
        <w:rPr>
          <w:i/>
          <w:sz w:val="22"/>
          <w:lang w:val="sk-SK"/>
        </w:rPr>
        <w:t>Chlamydia trachomatis</w:t>
      </w:r>
    </w:p>
    <w:p w14:paraId="15205DCD" w14:textId="77777777" w:rsidR="0065586B" w:rsidRPr="0063664A" w:rsidRDefault="0065586B" w:rsidP="0063664A">
      <w:pPr>
        <w:rPr>
          <w:sz w:val="22"/>
          <w:lang w:val="sk-SK"/>
        </w:rPr>
      </w:pPr>
    </w:p>
    <w:p w14:paraId="15BB4237" w14:textId="3DF9F3E6" w:rsidR="0065586B" w:rsidRPr="0063664A" w:rsidRDefault="0065586B" w:rsidP="0063664A">
      <w:pPr>
        <w:rPr>
          <w:sz w:val="22"/>
          <w:lang w:val="sk-SK"/>
        </w:rPr>
      </w:pPr>
      <w:r w:rsidRPr="0053283E">
        <w:rPr>
          <w:sz w:val="22"/>
          <w:szCs w:val="22"/>
          <w:lang w:val="sk-SK"/>
        </w:rPr>
        <w:t xml:space="preserve">Hlavný metabolit klaritromycínu </w:t>
      </w:r>
      <w:r w:rsidRPr="0063664A">
        <w:rPr>
          <w:sz w:val="22"/>
          <w:szCs w:val="22"/>
          <w:lang w:val="sk-SK"/>
        </w:rPr>
        <w:t>u </w:t>
      </w:r>
      <w:r w:rsidRPr="0053283E">
        <w:rPr>
          <w:sz w:val="22"/>
          <w:szCs w:val="22"/>
          <w:lang w:val="sk-SK"/>
        </w:rPr>
        <w:t>ľudí</w:t>
      </w:r>
      <w:r w:rsidRPr="0063664A">
        <w:rPr>
          <w:sz w:val="22"/>
          <w:szCs w:val="22"/>
          <w:lang w:val="sk-SK"/>
        </w:rPr>
        <w:t xml:space="preserve"> a </w:t>
      </w:r>
      <w:r w:rsidRPr="0053283E">
        <w:rPr>
          <w:sz w:val="22"/>
          <w:szCs w:val="22"/>
          <w:lang w:val="sk-SK"/>
        </w:rPr>
        <w:t xml:space="preserve">primátov je mikrobiologicky </w:t>
      </w:r>
      <w:r w:rsidRPr="0063664A">
        <w:rPr>
          <w:sz w:val="22"/>
          <w:szCs w:val="22"/>
          <w:lang w:val="sk-SK"/>
        </w:rPr>
        <w:t>účinný</w:t>
      </w:r>
      <w:r w:rsidRPr="0053283E">
        <w:rPr>
          <w:sz w:val="22"/>
          <w:szCs w:val="22"/>
          <w:lang w:val="sk-SK"/>
        </w:rPr>
        <w:t xml:space="preserve"> 14-</w:t>
      </w:r>
      <w:r w:rsidRPr="0063664A">
        <w:rPr>
          <w:sz w:val="22"/>
          <w:szCs w:val="22"/>
          <w:lang w:val="sk-SK"/>
        </w:rPr>
        <w:t>hydroxyklaritromycín</w:t>
      </w:r>
      <w:r w:rsidRPr="0053283E">
        <w:rPr>
          <w:sz w:val="22"/>
          <w:szCs w:val="22"/>
          <w:lang w:val="sk-SK"/>
        </w:rPr>
        <w:t>. Tento metabolit je rovnako účinný alebo</w:t>
      </w:r>
      <w:r w:rsidRPr="0063664A">
        <w:rPr>
          <w:sz w:val="22"/>
          <w:lang w:val="sk-SK"/>
        </w:rPr>
        <w:t xml:space="preserve"> </w:t>
      </w:r>
      <w:r w:rsidRPr="0063664A">
        <w:rPr>
          <w:sz w:val="22"/>
          <w:szCs w:val="22"/>
          <w:lang w:val="sk-SK"/>
        </w:rPr>
        <w:t>jeden- až dvakrát</w:t>
      </w:r>
      <w:r w:rsidRPr="0063664A">
        <w:rPr>
          <w:sz w:val="22"/>
          <w:lang w:val="sk-SK"/>
        </w:rPr>
        <w:t xml:space="preserve"> menej účinný ako materská </w:t>
      </w:r>
      <w:r w:rsidRPr="0063664A">
        <w:rPr>
          <w:sz w:val="22"/>
          <w:szCs w:val="22"/>
          <w:lang w:val="sk-SK"/>
        </w:rPr>
        <w:t>molekula na väčšinu</w:t>
      </w:r>
      <w:r w:rsidRPr="0063664A">
        <w:rPr>
          <w:sz w:val="22"/>
          <w:lang w:val="sk-SK"/>
        </w:rPr>
        <w:t xml:space="preserve"> mikroorganizmov</w:t>
      </w:r>
      <w:r w:rsidRPr="0063664A">
        <w:rPr>
          <w:sz w:val="22"/>
          <w:szCs w:val="22"/>
          <w:lang w:val="sk-SK"/>
        </w:rPr>
        <w:t>, s výnimkou</w:t>
      </w:r>
      <w:r w:rsidRPr="0063664A">
        <w:rPr>
          <w:sz w:val="22"/>
          <w:lang w:val="sk-SK"/>
        </w:rPr>
        <w:t xml:space="preserve"> </w:t>
      </w:r>
      <w:r w:rsidRPr="0063664A">
        <w:rPr>
          <w:i/>
          <w:sz w:val="22"/>
          <w:lang w:val="sk-SK"/>
        </w:rPr>
        <w:t>H</w:t>
      </w:r>
      <w:r w:rsidRPr="0063664A">
        <w:rPr>
          <w:sz w:val="22"/>
          <w:lang w:val="sk-SK"/>
        </w:rPr>
        <w:t>.</w:t>
      </w:r>
      <w:r w:rsidRPr="0063664A">
        <w:rPr>
          <w:i/>
          <w:iCs/>
          <w:sz w:val="22"/>
          <w:szCs w:val="22"/>
          <w:lang w:val="sk-SK"/>
        </w:rPr>
        <w:t> </w:t>
      </w:r>
      <w:r w:rsidRPr="0063664A">
        <w:rPr>
          <w:i/>
          <w:sz w:val="22"/>
          <w:lang w:val="sk-SK"/>
        </w:rPr>
        <w:t>influenzae</w:t>
      </w:r>
      <w:r w:rsidRPr="0063664A">
        <w:rPr>
          <w:sz w:val="22"/>
          <w:lang w:val="sk-SK"/>
        </w:rPr>
        <w:t xml:space="preserve">, </w:t>
      </w:r>
      <w:r w:rsidRPr="0063664A">
        <w:rPr>
          <w:sz w:val="22"/>
          <w:szCs w:val="22"/>
          <w:lang w:val="sk-SK"/>
        </w:rPr>
        <w:t>na ktorý</w:t>
      </w:r>
      <w:r w:rsidRPr="0063664A">
        <w:rPr>
          <w:sz w:val="22"/>
          <w:lang w:val="sk-SK"/>
        </w:rPr>
        <w:t xml:space="preserve"> je </w:t>
      </w:r>
      <w:r w:rsidRPr="0063664A">
        <w:rPr>
          <w:sz w:val="22"/>
          <w:szCs w:val="22"/>
          <w:lang w:val="sk-SK"/>
        </w:rPr>
        <w:t>dvojnásobne</w:t>
      </w:r>
      <w:r w:rsidRPr="0063664A">
        <w:rPr>
          <w:sz w:val="22"/>
          <w:lang w:val="sk-SK"/>
        </w:rPr>
        <w:t xml:space="preserve"> účinnejší. </w:t>
      </w:r>
      <w:r w:rsidRPr="0063664A">
        <w:rPr>
          <w:sz w:val="22"/>
          <w:szCs w:val="22"/>
          <w:lang w:val="sk-SK"/>
        </w:rPr>
        <w:t xml:space="preserve">Klaritromycín a jeho 14-hydroxymetabolit vykazujú </w:t>
      </w:r>
      <w:r w:rsidRPr="0063664A">
        <w:rPr>
          <w:i/>
          <w:sz w:val="22"/>
          <w:szCs w:val="22"/>
          <w:lang w:val="sk-SK"/>
        </w:rPr>
        <w:t>in </w:t>
      </w:r>
      <w:r w:rsidRPr="0063664A">
        <w:rPr>
          <w:i/>
          <w:sz w:val="22"/>
          <w:lang w:val="sk-SK"/>
        </w:rPr>
        <w:t xml:space="preserve">vitro </w:t>
      </w:r>
      <w:r w:rsidRPr="0063664A">
        <w:rPr>
          <w:iCs/>
          <w:sz w:val="22"/>
          <w:szCs w:val="22"/>
          <w:lang w:val="sk-SK"/>
        </w:rPr>
        <w:t>aj</w:t>
      </w:r>
      <w:r w:rsidRPr="0063664A">
        <w:rPr>
          <w:i/>
          <w:sz w:val="22"/>
          <w:lang w:val="sk-SK"/>
        </w:rPr>
        <w:t xml:space="preserve"> in vivo</w:t>
      </w:r>
      <w:r w:rsidRPr="0063664A">
        <w:rPr>
          <w:sz w:val="22"/>
          <w:lang w:val="sk-SK"/>
        </w:rPr>
        <w:t xml:space="preserve"> buď </w:t>
      </w:r>
      <w:r w:rsidRPr="0063664A">
        <w:rPr>
          <w:sz w:val="22"/>
          <w:szCs w:val="22"/>
          <w:lang w:val="sk-SK"/>
        </w:rPr>
        <w:t>aditívny</w:t>
      </w:r>
      <w:r w:rsidRPr="0063664A">
        <w:rPr>
          <w:sz w:val="22"/>
          <w:lang w:val="sk-SK"/>
        </w:rPr>
        <w:t xml:space="preserve"> alebo synergický</w:t>
      </w:r>
      <w:r w:rsidRPr="0063664A">
        <w:rPr>
          <w:sz w:val="22"/>
          <w:szCs w:val="22"/>
          <w:lang w:val="sk-SK"/>
        </w:rPr>
        <w:t xml:space="preserve"> účinok na</w:t>
      </w:r>
      <w:r w:rsidRPr="0063664A">
        <w:rPr>
          <w:i/>
          <w:sz w:val="22"/>
          <w:szCs w:val="22"/>
          <w:lang w:val="sk-SK"/>
        </w:rPr>
        <w:t xml:space="preserve"> H. influenzae </w:t>
      </w:r>
      <w:r w:rsidRPr="0063664A">
        <w:rPr>
          <w:sz w:val="22"/>
          <w:szCs w:val="22"/>
          <w:lang w:val="sk-SK"/>
        </w:rPr>
        <w:t>a </w:t>
      </w:r>
      <w:r w:rsidRPr="0063664A">
        <w:rPr>
          <w:sz w:val="22"/>
          <w:lang w:val="sk-SK"/>
        </w:rPr>
        <w:t>to</w:t>
      </w:r>
      <w:r w:rsidRPr="0063664A">
        <w:rPr>
          <w:i/>
          <w:sz w:val="22"/>
          <w:lang w:val="sk-SK"/>
        </w:rPr>
        <w:t xml:space="preserve"> </w:t>
      </w:r>
      <w:r w:rsidRPr="0063664A">
        <w:rPr>
          <w:sz w:val="22"/>
          <w:szCs w:val="22"/>
          <w:lang w:val="sk-SK"/>
        </w:rPr>
        <w:t>v závislosti od bakteriálnych kmeňov</w:t>
      </w:r>
      <w:r w:rsidRPr="0063664A">
        <w:rPr>
          <w:sz w:val="22"/>
          <w:lang w:val="sk-SK"/>
        </w:rPr>
        <w:t>.</w:t>
      </w:r>
    </w:p>
    <w:p w14:paraId="4BE7E90F" w14:textId="77777777" w:rsidR="0065586B" w:rsidRPr="0063664A" w:rsidRDefault="0065586B" w:rsidP="0063664A">
      <w:pPr>
        <w:rPr>
          <w:sz w:val="22"/>
          <w:lang w:val="sk-SK"/>
        </w:rPr>
      </w:pPr>
    </w:p>
    <w:p w14:paraId="1AE4BD51" w14:textId="0FB612B6" w:rsidR="0065586B" w:rsidRPr="0063664A" w:rsidRDefault="0065586B" w:rsidP="0063664A">
      <w:pPr>
        <w:rPr>
          <w:sz w:val="22"/>
          <w:lang w:val="sk-SK"/>
        </w:rPr>
      </w:pPr>
      <w:r w:rsidRPr="0063664A">
        <w:rPr>
          <w:sz w:val="22"/>
          <w:szCs w:val="22"/>
          <w:lang w:val="sk-SK"/>
        </w:rPr>
        <w:t>Klaritromycín bol v mnohých</w:t>
      </w:r>
      <w:r w:rsidRPr="0063664A">
        <w:rPr>
          <w:sz w:val="22"/>
          <w:lang w:val="sk-SK"/>
        </w:rPr>
        <w:t xml:space="preserve"> modelových experimentálnych infekciách u zvierat </w:t>
      </w:r>
      <w:r w:rsidRPr="0063664A">
        <w:rPr>
          <w:sz w:val="22"/>
          <w:szCs w:val="22"/>
          <w:lang w:val="sk-SK"/>
        </w:rPr>
        <w:t xml:space="preserve">dva- až desaťkrát </w:t>
      </w:r>
      <w:r w:rsidRPr="0063664A">
        <w:rPr>
          <w:sz w:val="22"/>
          <w:lang w:val="sk-SK"/>
        </w:rPr>
        <w:t xml:space="preserve">účinnejší ako erytromycín. </w:t>
      </w:r>
      <w:r w:rsidRPr="0063664A">
        <w:rPr>
          <w:sz w:val="22"/>
          <w:szCs w:val="22"/>
          <w:lang w:val="sk-SK"/>
        </w:rPr>
        <w:t>Bol napríklad</w:t>
      </w:r>
      <w:r w:rsidRPr="0063664A">
        <w:rPr>
          <w:sz w:val="22"/>
          <w:lang w:val="sk-SK"/>
        </w:rPr>
        <w:t xml:space="preserve"> účinnejší ako erytromycín </w:t>
      </w:r>
      <w:r w:rsidRPr="0063664A">
        <w:rPr>
          <w:sz w:val="22"/>
          <w:szCs w:val="22"/>
          <w:lang w:val="sk-SK"/>
        </w:rPr>
        <w:t>na systémovú infekciu</w:t>
      </w:r>
      <w:r w:rsidRPr="0063664A">
        <w:rPr>
          <w:sz w:val="22"/>
          <w:lang w:val="sk-SK"/>
        </w:rPr>
        <w:t xml:space="preserve"> u myší, </w:t>
      </w:r>
      <w:r w:rsidRPr="0063664A">
        <w:rPr>
          <w:sz w:val="22"/>
          <w:szCs w:val="22"/>
          <w:lang w:val="sk-SK"/>
        </w:rPr>
        <w:t>subkutánny absces u </w:t>
      </w:r>
      <w:r w:rsidRPr="0063664A">
        <w:rPr>
          <w:sz w:val="22"/>
          <w:lang w:val="sk-SK"/>
        </w:rPr>
        <w:t xml:space="preserve">myší a </w:t>
      </w:r>
      <w:r w:rsidRPr="0063664A">
        <w:rPr>
          <w:sz w:val="22"/>
          <w:szCs w:val="22"/>
          <w:lang w:val="sk-SK"/>
        </w:rPr>
        <w:t>na infekcie respiračného traktu</w:t>
      </w:r>
      <w:r w:rsidRPr="0063664A">
        <w:rPr>
          <w:sz w:val="22"/>
          <w:lang w:val="sk-SK"/>
        </w:rPr>
        <w:t xml:space="preserve"> myší </w:t>
      </w:r>
      <w:r w:rsidRPr="0063664A">
        <w:rPr>
          <w:sz w:val="22"/>
          <w:szCs w:val="22"/>
          <w:lang w:val="sk-SK"/>
        </w:rPr>
        <w:t>spôsobené</w:t>
      </w:r>
      <w:r w:rsidRPr="0063664A">
        <w:rPr>
          <w:sz w:val="22"/>
          <w:lang w:val="sk-SK"/>
        </w:rPr>
        <w:t xml:space="preserve"> </w:t>
      </w:r>
      <w:r w:rsidRPr="0063664A">
        <w:rPr>
          <w:i/>
          <w:sz w:val="22"/>
          <w:lang w:val="sk-SK"/>
        </w:rPr>
        <w:t>S.</w:t>
      </w:r>
      <w:r w:rsidRPr="0063664A">
        <w:rPr>
          <w:i/>
          <w:iCs/>
          <w:sz w:val="22"/>
          <w:szCs w:val="22"/>
          <w:lang w:val="sk-SK"/>
        </w:rPr>
        <w:t> </w:t>
      </w:r>
      <w:r w:rsidRPr="0063664A">
        <w:rPr>
          <w:i/>
          <w:sz w:val="22"/>
          <w:lang w:val="sk-SK"/>
        </w:rPr>
        <w:t>pneumoniae, S.</w:t>
      </w:r>
      <w:r w:rsidRPr="0063664A">
        <w:rPr>
          <w:i/>
          <w:iCs/>
          <w:sz w:val="22"/>
          <w:szCs w:val="22"/>
          <w:lang w:val="sk-SK"/>
        </w:rPr>
        <w:t> </w:t>
      </w:r>
      <w:r w:rsidRPr="0063664A">
        <w:rPr>
          <w:i/>
          <w:sz w:val="22"/>
          <w:lang w:val="sk-SK"/>
        </w:rPr>
        <w:t>pyogenes</w:t>
      </w:r>
      <w:r w:rsidRPr="0063664A">
        <w:rPr>
          <w:i/>
          <w:iCs/>
          <w:sz w:val="22"/>
          <w:szCs w:val="22"/>
          <w:lang w:val="sk-SK"/>
        </w:rPr>
        <w:t>, S. aureus</w:t>
      </w:r>
      <w:r w:rsidRPr="0063664A">
        <w:rPr>
          <w:i/>
          <w:sz w:val="22"/>
          <w:lang w:val="sk-SK"/>
        </w:rPr>
        <w:t xml:space="preserve"> a H</w:t>
      </w:r>
      <w:r w:rsidRPr="0063664A">
        <w:rPr>
          <w:sz w:val="22"/>
          <w:lang w:val="sk-SK"/>
        </w:rPr>
        <w:t>.</w:t>
      </w:r>
      <w:r w:rsidRPr="0063664A">
        <w:rPr>
          <w:sz w:val="22"/>
          <w:szCs w:val="22"/>
          <w:lang w:val="sk-SK"/>
        </w:rPr>
        <w:t> </w:t>
      </w:r>
      <w:r w:rsidRPr="0063664A">
        <w:rPr>
          <w:i/>
          <w:sz w:val="22"/>
          <w:lang w:val="sk-SK"/>
        </w:rPr>
        <w:t>influenzae</w:t>
      </w:r>
      <w:r w:rsidRPr="0063664A">
        <w:rPr>
          <w:sz w:val="22"/>
          <w:lang w:val="sk-SK"/>
        </w:rPr>
        <w:t xml:space="preserve">. </w:t>
      </w:r>
      <w:r w:rsidRPr="0063664A">
        <w:rPr>
          <w:sz w:val="22"/>
          <w:szCs w:val="22"/>
          <w:lang w:val="sk-SK"/>
        </w:rPr>
        <w:t>Tento účinok</w:t>
      </w:r>
      <w:r w:rsidRPr="0063664A">
        <w:rPr>
          <w:color w:val="FF0000"/>
          <w:sz w:val="22"/>
          <w:szCs w:val="22"/>
          <w:lang w:val="sk-SK"/>
        </w:rPr>
        <w:t xml:space="preserve"> </w:t>
      </w:r>
      <w:r w:rsidRPr="0063664A">
        <w:rPr>
          <w:sz w:val="22"/>
          <w:szCs w:val="22"/>
          <w:lang w:val="sk-SK"/>
        </w:rPr>
        <w:t>bol ešte výraznejší u</w:t>
      </w:r>
      <w:r w:rsidRPr="0063664A">
        <w:rPr>
          <w:sz w:val="22"/>
          <w:lang w:val="sk-SK"/>
        </w:rPr>
        <w:t xml:space="preserve"> morčiat s</w:t>
      </w:r>
      <w:r w:rsidRPr="0063664A">
        <w:rPr>
          <w:sz w:val="22"/>
          <w:szCs w:val="22"/>
          <w:lang w:val="sk-SK"/>
        </w:rPr>
        <w:t> </w:t>
      </w:r>
      <w:r w:rsidRPr="0063664A">
        <w:rPr>
          <w:sz w:val="22"/>
          <w:lang w:val="sk-SK"/>
        </w:rPr>
        <w:t xml:space="preserve">infekciou </w:t>
      </w:r>
      <w:r w:rsidRPr="0063664A">
        <w:rPr>
          <w:i/>
          <w:iCs/>
          <w:sz w:val="22"/>
          <w:szCs w:val="22"/>
          <w:lang w:val="sk-SK"/>
        </w:rPr>
        <w:t>Legionella pneumophila</w:t>
      </w:r>
      <w:r w:rsidRPr="0063664A">
        <w:rPr>
          <w:sz w:val="22"/>
          <w:szCs w:val="22"/>
          <w:lang w:val="sk-SK"/>
        </w:rPr>
        <w:t>; intraperitoneálna</w:t>
      </w:r>
      <w:r w:rsidRPr="0063664A">
        <w:rPr>
          <w:sz w:val="22"/>
          <w:lang w:val="sk-SK"/>
        </w:rPr>
        <w:t xml:space="preserve"> dávka 1,6</w:t>
      </w:r>
      <w:r w:rsidRPr="0063664A">
        <w:rPr>
          <w:sz w:val="22"/>
          <w:szCs w:val="22"/>
          <w:lang w:val="sk-SK"/>
        </w:rPr>
        <w:t> </w:t>
      </w:r>
      <w:r w:rsidRPr="0063664A">
        <w:rPr>
          <w:sz w:val="22"/>
          <w:lang w:val="sk-SK"/>
        </w:rPr>
        <w:t xml:space="preserve">mg/kg/deň klaritromycínu </w:t>
      </w:r>
      <w:r w:rsidRPr="0063664A">
        <w:rPr>
          <w:sz w:val="22"/>
          <w:szCs w:val="22"/>
          <w:lang w:val="sk-SK"/>
        </w:rPr>
        <w:t>bola účinnejšia</w:t>
      </w:r>
      <w:r w:rsidRPr="0063664A">
        <w:rPr>
          <w:sz w:val="22"/>
          <w:lang w:val="sk-SK"/>
        </w:rPr>
        <w:t xml:space="preserve"> ako 50 mg/kg/deň</w:t>
      </w:r>
      <w:r w:rsidRPr="0063664A">
        <w:rPr>
          <w:sz w:val="22"/>
          <w:szCs w:val="22"/>
          <w:lang w:val="sk-SK"/>
        </w:rPr>
        <w:t xml:space="preserve"> erytromycínu</w:t>
      </w:r>
      <w:r w:rsidRPr="0063664A">
        <w:rPr>
          <w:sz w:val="22"/>
          <w:lang w:val="sk-SK"/>
        </w:rPr>
        <w:t>.</w:t>
      </w:r>
    </w:p>
    <w:p w14:paraId="543F903C" w14:textId="77777777" w:rsidR="0065586B" w:rsidRPr="0063664A" w:rsidRDefault="0065586B" w:rsidP="0063664A">
      <w:pPr>
        <w:rPr>
          <w:sz w:val="22"/>
          <w:lang w:val="sk-SK"/>
        </w:rPr>
      </w:pPr>
    </w:p>
    <w:p w14:paraId="258D3666" w14:textId="77777777" w:rsidR="0065586B" w:rsidRPr="0063664A" w:rsidRDefault="0065586B" w:rsidP="00881CF1">
      <w:pPr>
        <w:keepNext/>
        <w:rPr>
          <w:i/>
          <w:iCs/>
          <w:sz w:val="22"/>
          <w:szCs w:val="22"/>
          <w:lang w:val="sk-SK"/>
        </w:rPr>
      </w:pPr>
      <w:r w:rsidRPr="0063664A">
        <w:rPr>
          <w:i/>
          <w:iCs/>
          <w:sz w:val="22"/>
          <w:szCs w:val="22"/>
          <w:lang w:val="sk-SK"/>
        </w:rPr>
        <w:t>Testy citlivosti</w:t>
      </w:r>
    </w:p>
    <w:p w14:paraId="356CB069" w14:textId="77777777" w:rsidR="0065586B" w:rsidRPr="0063664A" w:rsidRDefault="0065586B" w:rsidP="002672E5">
      <w:pPr>
        <w:rPr>
          <w:sz w:val="22"/>
          <w:szCs w:val="22"/>
          <w:lang w:val="sk-SK"/>
        </w:rPr>
      </w:pPr>
      <w:r w:rsidRPr="0063664A">
        <w:rPr>
          <w:sz w:val="22"/>
          <w:szCs w:val="22"/>
          <w:lang w:val="sk-SK"/>
        </w:rPr>
        <w:t>Kvantitatívne metódy vyžadujúce meranie priemeru inhibičnej zóny dávajú najpresnejší odhad citlivosti baktérie na antimikrobiálne látky. Jedna z odporúčaných metód (Kirbyho-Bauerov difúzny test) využíva disky napustené 15 µg klaritromycínu; pri interpretácii koreluje priemer zóny inhibície s hodnotami MIC pre klaritromycín. MIC sú určené bujónovou alebo agarovou dilučnou metódou.</w:t>
      </w:r>
    </w:p>
    <w:p w14:paraId="25B87F51" w14:textId="77777777" w:rsidR="0065586B" w:rsidRPr="0063664A" w:rsidRDefault="0065586B" w:rsidP="002672E5">
      <w:pPr>
        <w:rPr>
          <w:sz w:val="22"/>
          <w:szCs w:val="22"/>
          <w:lang w:val="sk-SK"/>
        </w:rPr>
      </w:pPr>
      <w:r w:rsidRPr="0063664A">
        <w:rPr>
          <w:sz w:val="22"/>
          <w:szCs w:val="22"/>
          <w:lang w:val="sk-SK"/>
        </w:rPr>
        <w:lastRenderedPageBreak/>
        <w:t>Ak sa použili vyššie uvedené testy, potom výsledok ”citlivý” znamená pravdepodobnosť odpovede mikroorganizmu na liečbu. Pri označení ”rezistentný” je nepravdepodobné, že mikroorganizmus na liečbu zareaguje. Označenie ”stredne citlivý” znamená, že terapeutický účinok lieku je neistý, alebo že mikroorganizmus môže byť citlivý, ak sa použijú vyššie dávky.</w:t>
      </w:r>
    </w:p>
    <w:p w14:paraId="31F911BB" w14:textId="77777777" w:rsidR="0065586B" w:rsidRPr="0063664A" w:rsidRDefault="0065586B" w:rsidP="002672E5">
      <w:pPr>
        <w:rPr>
          <w:sz w:val="22"/>
          <w:szCs w:val="22"/>
          <w:lang w:val="sk-SK"/>
        </w:rPr>
      </w:pPr>
    </w:p>
    <w:p w14:paraId="3B29FB77" w14:textId="77777777" w:rsidR="0065586B" w:rsidRPr="0063664A" w:rsidRDefault="0065586B" w:rsidP="00881CF1">
      <w:pPr>
        <w:keepNext/>
        <w:rPr>
          <w:i/>
          <w:sz w:val="22"/>
          <w:szCs w:val="22"/>
          <w:lang w:val="sk-SK"/>
        </w:rPr>
      </w:pPr>
      <w:r w:rsidRPr="0063664A">
        <w:rPr>
          <w:i/>
          <w:sz w:val="22"/>
          <w:szCs w:val="22"/>
          <w:lang w:val="sk-SK"/>
        </w:rPr>
        <w:t>Hraničné hodnoty</w:t>
      </w:r>
    </w:p>
    <w:p w14:paraId="54A0D77A" w14:textId="77777777" w:rsidR="0065586B" w:rsidRPr="0063664A" w:rsidRDefault="0065586B" w:rsidP="002672E5">
      <w:pPr>
        <w:rPr>
          <w:sz w:val="22"/>
          <w:szCs w:val="22"/>
          <w:lang w:val="sk-SK"/>
        </w:rPr>
      </w:pPr>
      <w:r w:rsidRPr="0063664A">
        <w:rPr>
          <w:sz w:val="22"/>
          <w:szCs w:val="22"/>
          <w:lang w:val="sk-SK"/>
        </w:rPr>
        <w:t xml:space="preserve">Hraničné hodnoty pre klaritromycín, oddeľujúce citlivé od rezistených mikroorganizmov, sú podľa Európskeho výboru pre testovanie antimikrobiálnej citlivosti (EUCAST) nasledovné: </w:t>
      </w:r>
    </w:p>
    <w:p w14:paraId="39773598" w14:textId="77777777" w:rsidR="0065586B" w:rsidRPr="0063664A" w:rsidRDefault="0065586B" w:rsidP="002672E5">
      <w:pPr>
        <w:pStyle w:val="Pta"/>
        <w:tabs>
          <w:tab w:val="clear" w:pos="4536"/>
          <w:tab w:val="clear" w:pos="9072"/>
        </w:tabs>
        <w:rPr>
          <w:sz w:val="22"/>
          <w:szCs w:val="22"/>
          <w:lang w:val="sk-SK"/>
        </w:rPr>
      </w:pPr>
    </w:p>
    <w:tbl>
      <w:tblPr>
        <w:tblW w:w="4198"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487"/>
        <w:gridCol w:w="2492"/>
      </w:tblGrid>
      <w:tr w:rsidR="0065586B" w:rsidRPr="0063664A" w14:paraId="696A101B" w14:textId="77777777">
        <w:trPr>
          <w:cantSplit/>
          <w:trHeight w:val="288"/>
        </w:trPr>
        <w:tc>
          <w:tcPr>
            <w:tcW w:w="5000" w:type="pct"/>
            <w:gridSpan w:val="3"/>
            <w:shd w:val="clear" w:color="auto" w:fill="E6E6E6"/>
            <w:vAlign w:val="center"/>
          </w:tcPr>
          <w:p w14:paraId="2D4FCCA1" w14:textId="77777777" w:rsidR="0065586B" w:rsidRPr="0063664A" w:rsidRDefault="0065586B" w:rsidP="002672E5">
            <w:pPr>
              <w:rPr>
                <w:bCs/>
                <w:sz w:val="22"/>
                <w:szCs w:val="22"/>
                <w:lang w:val="sk-SK"/>
              </w:rPr>
            </w:pPr>
            <w:r w:rsidRPr="0063664A">
              <w:rPr>
                <w:bCs/>
                <w:sz w:val="22"/>
                <w:szCs w:val="22"/>
                <w:lang w:val="sk-SK"/>
              </w:rPr>
              <w:t>Hraničné hodnoty (MIC, µg/ml)</w:t>
            </w:r>
          </w:p>
        </w:tc>
      </w:tr>
      <w:tr w:rsidR="0065586B" w:rsidRPr="0063664A" w14:paraId="0D4681BA" w14:textId="77777777">
        <w:trPr>
          <w:trHeight w:val="288"/>
        </w:trPr>
        <w:tc>
          <w:tcPr>
            <w:tcW w:w="1727" w:type="pct"/>
            <w:shd w:val="clear" w:color="auto" w:fill="E6E6E6"/>
            <w:vAlign w:val="center"/>
          </w:tcPr>
          <w:p w14:paraId="24F8D0EC" w14:textId="77777777" w:rsidR="0065586B" w:rsidRPr="0063664A" w:rsidRDefault="0065586B" w:rsidP="002672E5">
            <w:pPr>
              <w:pStyle w:val="Zkladntext2"/>
              <w:tabs>
                <w:tab w:val="left" w:pos="567"/>
              </w:tabs>
              <w:jc w:val="left"/>
              <w:rPr>
                <w:bCs/>
                <w:sz w:val="22"/>
                <w:szCs w:val="22"/>
                <w:lang w:val="sk-SK"/>
              </w:rPr>
            </w:pPr>
            <w:r w:rsidRPr="0063664A">
              <w:rPr>
                <w:bCs/>
                <w:sz w:val="22"/>
                <w:szCs w:val="22"/>
                <w:lang w:val="sk-SK"/>
              </w:rPr>
              <w:t>Mikroorganizmus</w:t>
            </w:r>
          </w:p>
        </w:tc>
        <w:tc>
          <w:tcPr>
            <w:tcW w:w="1635" w:type="pct"/>
            <w:shd w:val="clear" w:color="auto" w:fill="E6E6E6"/>
            <w:vAlign w:val="center"/>
          </w:tcPr>
          <w:p w14:paraId="7873C3E6" w14:textId="77777777" w:rsidR="0065586B" w:rsidRPr="0063664A" w:rsidRDefault="0065586B" w:rsidP="002672E5">
            <w:pPr>
              <w:rPr>
                <w:bCs/>
                <w:sz w:val="22"/>
                <w:szCs w:val="22"/>
                <w:lang w:val="sk-SK"/>
              </w:rPr>
            </w:pPr>
            <w:r w:rsidRPr="0063664A">
              <w:rPr>
                <w:bCs/>
                <w:sz w:val="22"/>
                <w:szCs w:val="22"/>
                <w:lang w:val="sk-SK"/>
              </w:rPr>
              <w:t>Citlivý (</w:t>
            </w:r>
            <w:r w:rsidRPr="0063664A">
              <w:rPr>
                <w:bCs/>
                <w:sz w:val="22"/>
                <w:szCs w:val="22"/>
                <w:lang w:val="sk-SK"/>
              </w:rPr>
              <w:sym w:font="Symbol" w:char="F0A3"/>
            </w:r>
            <w:r w:rsidRPr="0063664A">
              <w:rPr>
                <w:bCs/>
                <w:sz w:val="22"/>
                <w:szCs w:val="22"/>
                <w:lang w:val="sk-SK"/>
              </w:rPr>
              <w:t>)</w:t>
            </w:r>
          </w:p>
        </w:tc>
        <w:tc>
          <w:tcPr>
            <w:tcW w:w="1637" w:type="pct"/>
            <w:shd w:val="clear" w:color="auto" w:fill="E6E6E6"/>
            <w:vAlign w:val="center"/>
          </w:tcPr>
          <w:p w14:paraId="0C2F4A6A" w14:textId="77777777" w:rsidR="0065586B" w:rsidRPr="0063664A" w:rsidRDefault="0065586B" w:rsidP="002672E5">
            <w:pPr>
              <w:rPr>
                <w:bCs/>
                <w:sz w:val="22"/>
                <w:szCs w:val="22"/>
                <w:lang w:val="sk-SK"/>
              </w:rPr>
            </w:pPr>
            <w:r w:rsidRPr="0063664A">
              <w:rPr>
                <w:bCs/>
                <w:sz w:val="22"/>
                <w:szCs w:val="22"/>
                <w:lang w:val="sk-SK"/>
              </w:rPr>
              <w:t>Rezistentný (&gt;)</w:t>
            </w:r>
          </w:p>
        </w:tc>
      </w:tr>
      <w:tr w:rsidR="0065586B" w:rsidRPr="0063664A" w14:paraId="4C500567" w14:textId="77777777">
        <w:trPr>
          <w:trHeight w:val="288"/>
        </w:trPr>
        <w:tc>
          <w:tcPr>
            <w:tcW w:w="1727" w:type="pct"/>
            <w:vAlign w:val="center"/>
          </w:tcPr>
          <w:p w14:paraId="64EB7F68" w14:textId="77777777" w:rsidR="0065586B" w:rsidRPr="0063664A" w:rsidRDefault="0065586B" w:rsidP="002672E5">
            <w:pPr>
              <w:rPr>
                <w:i/>
                <w:iCs/>
                <w:sz w:val="22"/>
                <w:szCs w:val="22"/>
                <w:lang w:val="sk-SK"/>
              </w:rPr>
            </w:pPr>
            <w:r w:rsidRPr="0063664A">
              <w:rPr>
                <w:i/>
                <w:iCs/>
                <w:sz w:val="22"/>
                <w:szCs w:val="22"/>
                <w:lang w:val="sk-SK"/>
              </w:rPr>
              <w:t>Streptococcus spp.</w:t>
            </w:r>
          </w:p>
        </w:tc>
        <w:tc>
          <w:tcPr>
            <w:tcW w:w="1635" w:type="pct"/>
            <w:vAlign w:val="center"/>
          </w:tcPr>
          <w:p w14:paraId="39839385" w14:textId="77777777" w:rsidR="0065586B" w:rsidRPr="0063664A" w:rsidRDefault="0065586B" w:rsidP="002672E5">
            <w:pPr>
              <w:rPr>
                <w:sz w:val="22"/>
                <w:szCs w:val="22"/>
                <w:lang w:val="sk-SK"/>
              </w:rPr>
            </w:pPr>
            <w:r w:rsidRPr="0063664A">
              <w:rPr>
                <w:sz w:val="22"/>
                <w:szCs w:val="22"/>
                <w:lang w:val="sk-SK"/>
              </w:rPr>
              <w:t>0,25 µg/ml</w:t>
            </w:r>
          </w:p>
        </w:tc>
        <w:tc>
          <w:tcPr>
            <w:tcW w:w="1637" w:type="pct"/>
            <w:vAlign w:val="center"/>
          </w:tcPr>
          <w:p w14:paraId="07BF2DE3" w14:textId="77777777" w:rsidR="0065586B" w:rsidRPr="0063664A" w:rsidRDefault="0065586B" w:rsidP="002672E5">
            <w:pPr>
              <w:rPr>
                <w:sz w:val="22"/>
                <w:szCs w:val="22"/>
                <w:lang w:val="sk-SK"/>
              </w:rPr>
            </w:pPr>
            <w:r w:rsidRPr="0063664A">
              <w:rPr>
                <w:sz w:val="22"/>
                <w:szCs w:val="22"/>
                <w:lang w:val="sk-SK"/>
              </w:rPr>
              <w:t>0,5 µg/ml</w:t>
            </w:r>
          </w:p>
        </w:tc>
      </w:tr>
      <w:tr w:rsidR="0065586B" w:rsidRPr="0063664A" w14:paraId="56618BA0" w14:textId="77777777">
        <w:trPr>
          <w:trHeight w:val="288"/>
        </w:trPr>
        <w:tc>
          <w:tcPr>
            <w:tcW w:w="1727" w:type="pct"/>
            <w:vAlign w:val="center"/>
          </w:tcPr>
          <w:p w14:paraId="34EC1324" w14:textId="77777777" w:rsidR="0065586B" w:rsidRPr="0063664A" w:rsidRDefault="0065586B" w:rsidP="002672E5">
            <w:pPr>
              <w:rPr>
                <w:i/>
                <w:iCs/>
                <w:sz w:val="22"/>
                <w:szCs w:val="22"/>
                <w:lang w:val="sk-SK"/>
              </w:rPr>
            </w:pPr>
            <w:r w:rsidRPr="0063664A">
              <w:rPr>
                <w:i/>
                <w:iCs/>
                <w:sz w:val="22"/>
                <w:szCs w:val="22"/>
                <w:lang w:val="sk-SK"/>
              </w:rPr>
              <w:t>Staphylococcus spp.</w:t>
            </w:r>
          </w:p>
        </w:tc>
        <w:tc>
          <w:tcPr>
            <w:tcW w:w="1635" w:type="pct"/>
            <w:vAlign w:val="center"/>
          </w:tcPr>
          <w:p w14:paraId="5FA713EF" w14:textId="77777777" w:rsidR="0065586B" w:rsidRPr="0063664A" w:rsidRDefault="0065586B" w:rsidP="002672E5">
            <w:pPr>
              <w:rPr>
                <w:sz w:val="22"/>
                <w:szCs w:val="22"/>
                <w:lang w:val="sk-SK"/>
              </w:rPr>
            </w:pPr>
            <w:r w:rsidRPr="0063664A">
              <w:rPr>
                <w:sz w:val="22"/>
                <w:szCs w:val="22"/>
                <w:lang w:val="sk-SK"/>
              </w:rPr>
              <w:t>1 µg/ml</w:t>
            </w:r>
          </w:p>
        </w:tc>
        <w:tc>
          <w:tcPr>
            <w:tcW w:w="1637" w:type="pct"/>
            <w:vAlign w:val="center"/>
          </w:tcPr>
          <w:p w14:paraId="27B49915" w14:textId="77777777" w:rsidR="0065586B" w:rsidRPr="0063664A" w:rsidRDefault="0065586B" w:rsidP="002672E5">
            <w:pPr>
              <w:rPr>
                <w:sz w:val="22"/>
                <w:szCs w:val="22"/>
                <w:lang w:val="sk-SK"/>
              </w:rPr>
            </w:pPr>
            <w:r w:rsidRPr="0063664A">
              <w:rPr>
                <w:sz w:val="22"/>
                <w:szCs w:val="22"/>
                <w:lang w:val="sk-SK"/>
              </w:rPr>
              <w:t>2 µg/ml</w:t>
            </w:r>
          </w:p>
        </w:tc>
      </w:tr>
      <w:tr w:rsidR="0065586B" w:rsidRPr="0063664A" w14:paraId="659A6712" w14:textId="77777777">
        <w:trPr>
          <w:trHeight w:val="288"/>
        </w:trPr>
        <w:tc>
          <w:tcPr>
            <w:tcW w:w="1727" w:type="pct"/>
            <w:vAlign w:val="center"/>
          </w:tcPr>
          <w:p w14:paraId="77366086" w14:textId="77777777" w:rsidR="0065586B" w:rsidRPr="0063664A" w:rsidRDefault="0065586B" w:rsidP="002672E5">
            <w:pPr>
              <w:rPr>
                <w:i/>
                <w:iCs/>
                <w:sz w:val="22"/>
                <w:szCs w:val="22"/>
                <w:lang w:val="sk-SK"/>
              </w:rPr>
            </w:pPr>
            <w:r w:rsidRPr="0063664A">
              <w:rPr>
                <w:i/>
                <w:iCs/>
                <w:sz w:val="22"/>
                <w:szCs w:val="22"/>
                <w:lang w:val="sk-SK"/>
              </w:rPr>
              <w:t>Haemophilus spp.</w:t>
            </w:r>
          </w:p>
        </w:tc>
        <w:tc>
          <w:tcPr>
            <w:tcW w:w="1635" w:type="pct"/>
            <w:vAlign w:val="center"/>
          </w:tcPr>
          <w:p w14:paraId="7C21E7FE" w14:textId="77777777" w:rsidR="0065586B" w:rsidRPr="0063664A" w:rsidRDefault="0065586B" w:rsidP="002672E5">
            <w:pPr>
              <w:rPr>
                <w:sz w:val="22"/>
                <w:szCs w:val="22"/>
                <w:lang w:val="sk-SK"/>
              </w:rPr>
            </w:pPr>
            <w:r w:rsidRPr="0063664A">
              <w:rPr>
                <w:sz w:val="22"/>
                <w:szCs w:val="22"/>
                <w:lang w:val="sk-SK"/>
              </w:rPr>
              <w:t>1 µg/ml</w:t>
            </w:r>
          </w:p>
        </w:tc>
        <w:tc>
          <w:tcPr>
            <w:tcW w:w="1637" w:type="pct"/>
            <w:vAlign w:val="center"/>
          </w:tcPr>
          <w:p w14:paraId="3BCDEA18" w14:textId="77777777" w:rsidR="0065586B" w:rsidRPr="0063664A" w:rsidRDefault="0065586B" w:rsidP="002672E5">
            <w:pPr>
              <w:rPr>
                <w:sz w:val="22"/>
                <w:szCs w:val="22"/>
                <w:lang w:val="sk-SK"/>
              </w:rPr>
            </w:pPr>
            <w:r w:rsidRPr="0063664A">
              <w:rPr>
                <w:sz w:val="22"/>
                <w:szCs w:val="22"/>
                <w:lang w:val="sk-SK"/>
              </w:rPr>
              <w:t>32 µg/ml</w:t>
            </w:r>
          </w:p>
        </w:tc>
      </w:tr>
      <w:tr w:rsidR="0065586B" w:rsidRPr="0063664A" w14:paraId="509E71E5" w14:textId="77777777">
        <w:trPr>
          <w:trHeight w:val="288"/>
        </w:trPr>
        <w:tc>
          <w:tcPr>
            <w:tcW w:w="1727" w:type="pct"/>
            <w:tcBorders>
              <w:top w:val="nil"/>
            </w:tcBorders>
            <w:vAlign w:val="center"/>
          </w:tcPr>
          <w:p w14:paraId="6F70FAE6" w14:textId="77777777" w:rsidR="0065586B" w:rsidRPr="0063664A" w:rsidRDefault="0065586B" w:rsidP="002672E5">
            <w:pPr>
              <w:ind w:left="29"/>
              <w:rPr>
                <w:i/>
                <w:iCs/>
                <w:sz w:val="22"/>
                <w:szCs w:val="22"/>
                <w:lang w:val="sk-SK"/>
              </w:rPr>
            </w:pPr>
            <w:r w:rsidRPr="0063664A">
              <w:rPr>
                <w:i/>
                <w:iCs/>
                <w:sz w:val="22"/>
                <w:szCs w:val="22"/>
                <w:lang w:val="sk-SK"/>
              </w:rPr>
              <w:t>Moraxella catarrhalis</w:t>
            </w:r>
          </w:p>
        </w:tc>
        <w:tc>
          <w:tcPr>
            <w:tcW w:w="1635" w:type="pct"/>
            <w:tcBorders>
              <w:top w:val="nil"/>
            </w:tcBorders>
            <w:vAlign w:val="center"/>
          </w:tcPr>
          <w:p w14:paraId="5C562FD5" w14:textId="77777777" w:rsidR="0065586B" w:rsidRPr="0063664A" w:rsidRDefault="0065586B" w:rsidP="002672E5">
            <w:pPr>
              <w:ind w:left="29"/>
              <w:rPr>
                <w:sz w:val="22"/>
                <w:szCs w:val="22"/>
                <w:lang w:val="sk-SK"/>
              </w:rPr>
            </w:pPr>
            <w:r w:rsidRPr="0063664A">
              <w:rPr>
                <w:sz w:val="22"/>
                <w:szCs w:val="22"/>
                <w:lang w:val="sk-SK"/>
              </w:rPr>
              <w:t>0,25 µg/ml</w:t>
            </w:r>
          </w:p>
        </w:tc>
        <w:tc>
          <w:tcPr>
            <w:tcW w:w="1637" w:type="pct"/>
            <w:tcBorders>
              <w:top w:val="nil"/>
            </w:tcBorders>
            <w:vAlign w:val="center"/>
          </w:tcPr>
          <w:p w14:paraId="7175D5F8" w14:textId="77777777" w:rsidR="0065586B" w:rsidRPr="0063664A" w:rsidRDefault="0065586B" w:rsidP="002672E5">
            <w:pPr>
              <w:rPr>
                <w:sz w:val="22"/>
                <w:szCs w:val="22"/>
                <w:lang w:val="sk-SK"/>
              </w:rPr>
            </w:pPr>
            <w:r w:rsidRPr="0063664A">
              <w:rPr>
                <w:sz w:val="22"/>
                <w:szCs w:val="22"/>
                <w:lang w:val="sk-SK"/>
              </w:rPr>
              <w:t>0,5 µg/ml</w:t>
            </w:r>
          </w:p>
        </w:tc>
      </w:tr>
      <w:tr w:rsidR="0065586B" w:rsidRPr="0063664A" w14:paraId="119CCE9D" w14:textId="77777777">
        <w:trPr>
          <w:cantSplit/>
          <w:trHeight w:val="288"/>
        </w:trPr>
        <w:tc>
          <w:tcPr>
            <w:tcW w:w="5000" w:type="pct"/>
            <w:gridSpan w:val="3"/>
            <w:tcBorders>
              <w:left w:val="nil"/>
              <w:bottom w:val="nil"/>
              <w:right w:val="nil"/>
            </w:tcBorders>
            <w:vAlign w:val="center"/>
          </w:tcPr>
          <w:p w14:paraId="6984401F" w14:textId="77777777" w:rsidR="0065586B" w:rsidRPr="0063664A" w:rsidRDefault="0065586B" w:rsidP="002672E5">
            <w:pPr>
              <w:rPr>
                <w:sz w:val="22"/>
                <w:szCs w:val="22"/>
                <w:lang w:val="sk-SK"/>
              </w:rPr>
            </w:pPr>
            <w:r w:rsidRPr="0063664A">
              <w:rPr>
                <w:sz w:val="22"/>
                <w:szCs w:val="22"/>
                <w:lang w:val="sk-SK"/>
              </w:rPr>
              <w:t xml:space="preserve">Klaritromycín sa používa na eradikáciu </w:t>
            </w:r>
            <w:r w:rsidRPr="0063664A">
              <w:rPr>
                <w:i/>
                <w:iCs/>
                <w:sz w:val="22"/>
                <w:szCs w:val="22"/>
                <w:lang w:val="sk-SK"/>
              </w:rPr>
              <w:t>H. pylori</w:t>
            </w:r>
            <w:r w:rsidRPr="0063664A">
              <w:rPr>
                <w:sz w:val="22"/>
                <w:szCs w:val="22"/>
                <w:lang w:val="sk-SK"/>
              </w:rPr>
              <w:t xml:space="preserve">; MIC ≤ 0,25 </w:t>
            </w:r>
            <w:r w:rsidRPr="0063664A">
              <w:rPr>
                <w:sz w:val="22"/>
                <w:szCs w:val="22"/>
                <w:lang w:val="sk-SK"/>
              </w:rPr>
              <w:sym w:font="Symbol" w:char="F06D"/>
            </w:r>
            <w:r w:rsidRPr="0063664A">
              <w:rPr>
                <w:sz w:val="22"/>
                <w:szCs w:val="22"/>
                <w:lang w:val="sk-SK"/>
              </w:rPr>
              <w:t>g/ml bola stanovená ako hraničná hodnota citlivosti Ústavom pre klinické a laboratórne štandardy (CLSI).</w:t>
            </w:r>
          </w:p>
        </w:tc>
      </w:tr>
    </w:tbl>
    <w:p w14:paraId="47AF1F59" w14:textId="77777777" w:rsidR="0065586B" w:rsidRPr="0063664A" w:rsidRDefault="0065586B" w:rsidP="002672E5">
      <w:pPr>
        <w:rPr>
          <w:sz w:val="22"/>
          <w:szCs w:val="22"/>
          <w:lang w:val="sk-SK"/>
        </w:rPr>
      </w:pPr>
    </w:p>
    <w:p w14:paraId="245269A8" w14:textId="77777777" w:rsidR="0065586B" w:rsidRPr="0063664A" w:rsidRDefault="0065586B" w:rsidP="00881CF1">
      <w:pPr>
        <w:keepNext/>
        <w:rPr>
          <w:bCs/>
          <w:i/>
          <w:iCs/>
          <w:sz w:val="22"/>
          <w:szCs w:val="22"/>
          <w:lang w:val="sk-SK"/>
        </w:rPr>
      </w:pPr>
      <w:r w:rsidRPr="0063664A">
        <w:rPr>
          <w:bCs/>
          <w:i/>
          <w:iCs/>
          <w:sz w:val="22"/>
          <w:szCs w:val="22"/>
          <w:lang w:val="sk-SK"/>
        </w:rPr>
        <w:t>Ďalšie informácie</w:t>
      </w:r>
    </w:p>
    <w:p w14:paraId="08AC2116" w14:textId="77777777" w:rsidR="0065586B" w:rsidRPr="0063664A" w:rsidRDefault="0065586B" w:rsidP="002672E5">
      <w:pPr>
        <w:rPr>
          <w:sz w:val="22"/>
          <w:szCs w:val="22"/>
          <w:lang w:val="sk-SK"/>
        </w:rPr>
      </w:pPr>
      <w:r w:rsidRPr="0063664A">
        <w:rPr>
          <w:i/>
          <w:sz w:val="22"/>
          <w:szCs w:val="22"/>
          <w:lang w:val="sk-SK"/>
        </w:rPr>
        <w:t>Helicobacter pylori</w:t>
      </w:r>
      <w:r w:rsidRPr="0063664A">
        <w:rPr>
          <w:sz w:val="22"/>
          <w:szCs w:val="22"/>
          <w:lang w:val="sk-SK"/>
        </w:rPr>
        <w:t xml:space="preserve"> sa vyskytuje zväčša v súvislosti s peptickou vredovou chorobou. Týmto patogénom je infikovaných 90 až 100 % pacientov s</w:t>
      </w:r>
      <w:r w:rsidRPr="0063664A">
        <w:rPr>
          <w:b/>
          <w:bCs/>
          <w:sz w:val="22"/>
          <w:szCs w:val="22"/>
          <w:lang w:val="sk-SK"/>
        </w:rPr>
        <w:t> </w:t>
      </w:r>
      <w:r w:rsidRPr="0063664A">
        <w:rPr>
          <w:sz w:val="22"/>
          <w:szCs w:val="22"/>
          <w:lang w:val="sk-SK"/>
        </w:rPr>
        <w:t xml:space="preserve">duodenálnymi vredmi. </w:t>
      </w:r>
      <w:r w:rsidRPr="0063664A">
        <w:rPr>
          <w:sz w:val="22"/>
          <w:lang w:val="sk-SK"/>
        </w:rPr>
        <w:t xml:space="preserve">Eradikácia </w:t>
      </w:r>
      <w:r w:rsidRPr="0063664A">
        <w:rPr>
          <w:i/>
          <w:sz w:val="22"/>
          <w:lang w:val="sk-SK"/>
        </w:rPr>
        <w:t>H.</w:t>
      </w:r>
      <w:r w:rsidRPr="0063664A">
        <w:rPr>
          <w:sz w:val="22"/>
          <w:szCs w:val="22"/>
          <w:lang w:val="sk-SK"/>
        </w:rPr>
        <w:t> </w:t>
      </w:r>
      <w:r w:rsidRPr="0063664A">
        <w:rPr>
          <w:i/>
          <w:sz w:val="22"/>
          <w:szCs w:val="22"/>
          <w:lang w:val="sk-SK"/>
        </w:rPr>
        <w:t>pylori</w:t>
      </w:r>
      <w:r w:rsidRPr="0063664A">
        <w:rPr>
          <w:sz w:val="22"/>
          <w:szCs w:val="22"/>
          <w:lang w:val="sk-SK"/>
        </w:rPr>
        <w:t xml:space="preserve"> znižuje percento recidívy duodenálneho vredu a tak znižuje potrebu udržiavacej antisekrečnej liečby.</w:t>
      </w:r>
    </w:p>
    <w:p w14:paraId="4E7DEE4E" w14:textId="77777777" w:rsidR="0065586B" w:rsidRPr="0063664A" w:rsidRDefault="0065586B" w:rsidP="002672E5">
      <w:pPr>
        <w:rPr>
          <w:sz w:val="22"/>
          <w:szCs w:val="22"/>
          <w:lang w:val="sk-SK"/>
        </w:rPr>
      </w:pPr>
    </w:p>
    <w:p w14:paraId="502C11B5" w14:textId="77777777" w:rsidR="0065586B" w:rsidRPr="0063664A" w:rsidRDefault="0065586B" w:rsidP="00881CF1">
      <w:pPr>
        <w:keepNext/>
        <w:rPr>
          <w:sz w:val="22"/>
          <w:szCs w:val="22"/>
          <w:u w:val="single"/>
          <w:lang w:val="sk-SK"/>
        </w:rPr>
      </w:pPr>
      <w:r w:rsidRPr="0063664A">
        <w:rPr>
          <w:sz w:val="22"/>
          <w:szCs w:val="22"/>
          <w:u w:val="single"/>
          <w:lang w:val="sk-SK"/>
        </w:rPr>
        <w:t>Liečba trojkombináciou liečiv pri duodenálnej vredovej chorobe</w:t>
      </w:r>
    </w:p>
    <w:p w14:paraId="45B031C2" w14:textId="77777777" w:rsidR="0065586B" w:rsidRPr="0063664A" w:rsidRDefault="0065586B" w:rsidP="002672E5">
      <w:pPr>
        <w:rPr>
          <w:sz w:val="22"/>
          <w:szCs w:val="22"/>
          <w:lang w:val="sk-SK"/>
        </w:rPr>
      </w:pPr>
      <w:r w:rsidRPr="0063664A">
        <w:rPr>
          <w:sz w:val="22"/>
          <w:szCs w:val="22"/>
          <w:lang w:val="sk-SK"/>
        </w:rPr>
        <w:t xml:space="preserve">V kontrolovanej dvojito zaslepenej štúdii pacienti s duodenálnym vredom a infekciou vyvolanou </w:t>
      </w:r>
      <w:r w:rsidRPr="0063664A">
        <w:rPr>
          <w:i/>
          <w:sz w:val="22"/>
          <w:szCs w:val="22"/>
          <w:lang w:val="sk-SK"/>
        </w:rPr>
        <w:t>H.</w:t>
      </w:r>
      <w:r w:rsidRPr="0063664A">
        <w:rPr>
          <w:sz w:val="22"/>
          <w:szCs w:val="22"/>
          <w:lang w:val="sk-SK"/>
        </w:rPr>
        <w:t> </w:t>
      </w:r>
      <w:r w:rsidRPr="0063664A">
        <w:rPr>
          <w:i/>
          <w:sz w:val="22"/>
          <w:szCs w:val="22"/>
          <w:lang w:val="sk-SK"/>
        </w:rPr>
        <w:t>pylori</w:t>
      </w:r>
      <w:r w:rsidRPr="0063664A">
        <w:rPr>
          <w:sz w:val="22"/>
          <w:szCs w:val="22"/>
          <w:lang w:val="sk-SK"/>
        </w:rPr>
        <w:t xml:space="preserve"> dostávali trojkombináciu klaritromycínu 500 mg 2-krát denne, amoxicilínu 1 000 mg 2-krát denne a omeprazolu 20 mg 1-krát denne po dobu 10 dní alebo dvojkombináciu klaritromycínu 500 mg 3-krát denne a omeprazolu 40 mg 2-krát denne po dobu 14 dní. Eradikácia </w:t>
      </w:r>
      <w:r w:rsidRPr="0063664A">
        <w:rPr>
          <w:i/>
          <w:sz w:val="22"/>
          <w:szCs w:val="22"/>
          <w:lang w:val="sk-SK"/>
        </w:rPr>
        <w:t>H. pylori</w:t>
      </w:r>
      <w:r w:rsidRPr="0063664A">
        <w:rPr>
          <w:sz w:val="22"/>
          <w:szCs w:val="22"/>
          <w:lang w:val="sk-SK"/>
        </w:rPr>
        <w:t xml:space="preserve"> sa pozorovala u 90 % pacientov, ktorým sa podávala trojkombinácii liečiv a u 60 % pacientov, ktorým sa podávala dvojkombinácia.</w:t>
      </w:r>
    </w:p>
    <w:p w14:paraId="1371B3A0" w14:textId="77777777" w:rsidR="0065586B" w:rsidRPr="0063664A" w:rsidRDefault="0065586B" w:rsidP="002672E5">
      <w:pPr>
        <w:rPr>
          <w:sz w:val="22"/>
          <w:szCs w:val="22"/>
          <w:lang w:val="sk-SK"/>
        </w:rPr>
      </w:pPr>
    </w:p>
    <w:p w14:paraId="0C04B3EE" w14:textId="77777777" w:rsidR="0065586B" w:rsidRPr="0063664A" w:rsidRDefault="0065586B" w:rsidP="002672E5">
      <w:pPr>
        <w:rPr>
          <w:sz w:val="22"/>
          <w:szCs w:val="22"/>
          <w:lang w:val="sk-SK"/>
        </w:rPr>
      </w:pPr>
      <w:r w:rsidRPr="0063664A">
        <w:rPr>
          <w:sz w:val="22"/>
          <w:szCs w:val="22"/>
          <w:lang w:val="sk-SK"/>
        </w:rPr>
        <w:t xml:space="preserve">V ďalšej nezávislej štúdii sa pacientom, infikovaným </w:t>
      </w:r>
      <w:r w:rsidRPr="0063664A">
        <w:rPr>
          <w:i/>
          <w:sz w:val="22"/>
          <w:szCs w:val="22"/>
          <w:lang w:val="sk-SK"/>
        </w:rPr>
        <w:t>H.</w:t>
      </w:r>
      <w:r w:rsidRPr="0063664A">
        <w:rPr>
          <w:sz w:val="22"/>
          <w:szCs w:val="22"/>
          <w:lang w:val="sk-SK"/>
        </w:rPr>
        <w:t> </w:t>
      </w:r>
      <w:r w:rsidRPr="0063664A">
        <w:rPr>
          <w:i/>
          <w:sz w:val="22"/>
          <w:szCs w:val="22"/>
          <w:lang w:val="sk-SK"/>
        </w:rPr>
        <w:t>pylori</w:t>
      </w:r>
      <w:r w:rsidRPr="0063664A">
        <w:rPr>
          <w:sz w:val="22"/>
          <w:szCs w:val="22"/>
          <w:lang w:val="sk-SK"/>
        </w:rPr>
        <w:t>, podával klaritromycín 500 mg 2-krát denne súbežne s amoxicilínom 1 000 mg 2-krát denne a omeprazolom 20 mg 1-krát denne (skupina A) alebo s omeprazolom 20 mg 2-krát denne (skupina B) počas 7 dní. U pacientov, ktorí predtým nepodstúpili liečbu zameranú na eradikáciu</w:t>
      </w:r>
      <w:r w:rsidRPr="0063664A">
        <w:rPr>
          <w:i/>
          <w:sz w:val="22"/>
          <w:szCs w:val="22"/>
          <w:lang w:val="sk-SK"/>
        </w:rPr>
        <w:t xml:space="preserve"> H.</w:t>
      </w:r>
      <w:r w:rsidRPr="0063664A">
        <w:rPr>
          <w:sz w:val="22"/>
          <w:szCs w:val="22"/>
          <w:lang w:val="sk-SK"/>
        </w:rPr>
        <w:t> </w:t>
      </w:r>
      <w:r w:rsidRPr="0063664A">
        <w:rPr>
          <w:i/>
          <w:sz w:val="22"/>
          <w:szCs w:val="22"/>
          <w:lang w:val="sk-SK"/>
        </w:rPr>
        <w:t>pylori</w:t>
      </w:r>
      <w:r w:rsidRPr="0063664A">
        <w:rPr>
          <w:sz w:val="22"/>
          <w:szCs w:val="22"/>
          <w:lang w:val="sk-SK"/>
        </w:rPr>
        <w:t xml:space="preserve">, sa zistila eradikácia tohto mikroorganizmu v skupine A u 86% (95% CI=69-95) pacientov a v skupine B u 75% (95% CI=62-85) pacientov, rozdiel nebol štatisticky významný. </w:t>
      </w:r>
    </w:p>
    <w:p w14:paraId="2B776AC8" w14:textId="77777777" w:rsidR="0065586B" w:rsidRPr="0063664A" w:rsidRDefault="0065586B" w:rsidP="002672E5">
      <w:pPr>
        <w:rPr>
          <w:sz w:val="22"/>
          <w:szCs w:val="22"/>
          <w:lang w:val="sk-SK"/>
        </w:rPr>
      </w:pPr>
    </w:p>
    <w:p w14:paraId="1F4852C6" w14:textId="77777777" w:rsidR="0065586B" w:rsidRPr="0063664A" w:rsidRDefault="0065586B" w:rsidP="002672E5">
      <w:pPr>
        <w:rPr>
          <w:sz w:val="22"/>
          <w:szCs w:val="22"/>
          <w:lang w:val="sk-SK"/>
        </w:rPr>
      </w:pPr>
      <w:r w:rsidRPr="0063664A">
        <w:rPr>
          <w:sz w:val="22"/>
          <w:szCs w:val="22"/>
          <w:lang w:val="sk-SK"/>
        </w:rPr>
        <w:t xml:space="preserve">V otvorenej štúdii sa pacientom s duodenálnym vredom a s infekciou </w:t>
      </w:r>
      <w:r w:rsidRPr="0063664A">
        <w:rPr>
          <w:i/>
          <w:iCs/>
          <w:sz w:val="22"/>
          <w:szCs w:val="22"/>
          <w:lang w:val="sk-SK"/>
        </w:rPr>
        <w:t>H.</w:t>
      </w:r>
      <w:r w:rsidRPr="0063664A">
        <w:rPr>
          <w:sz w:val="22"/>
          <w:szCs w:val="22"/>
          <w:lang w:val="sk-SK"/>
        </w:rPr>
        <w:t> </w:t>
      </w:r>
      <w:r w:rsidRPr="0063664A">
        <w:rPr>
          <w:i/>
          <w:iCs/>
          <w:sz w:val="22"/>
          <w:szCs w:val="22"/>
          <w:lang w:val="sk-SK"/>
        </w:rPr>
        <w:t>pylori</w:t>
      </w:r>
      <w:r w:rsidRPr="0063664A">
        <w:rPr>
          <w:sz w:val="22"/>
          <w:szCs w:val="22"/>
          <w:lang w:val="sk-SK"/>
        </w:rPr>
        <w:t xml:space="preserve"> alebo pacientom s neulceróznou dyspepsiou a infekciou </w:t>
      </w:r>
      <w:r w:rsidRPr="0063664A">
        <w:rPr>
          <w:i/>
          <w:iCs/>
          <w:sz w:val="22"/>
          <w:szCs w:val="22"/>
          <w:lang w:val="sk-SK"/>
        </w:rPr>
        <w:t>H.</w:t>
      </w:r>
      <w:r w:rsidRPr="0063664A">
        <w:rPr>
          <w:sz w:val="22"/>
          <w:szCs w:val="22"/>
          <w:lang w:val="sk-SK"/>
        </w:rPr>
        <w:t> </w:t>
      </w:r>
      <w:r w:rsidRPr="0063664A">
        <w:rPr>
          <w:i/>
          <w:iCs/>
          <w:sz w:val="22"/>
          <w:szCs w:val="22"/>
          <w:lang w:val="sk-SK"/>
        </w:rPr>
        <w:t>pylori</w:t>
      </w:r>
      <w:r w:rsidRPr="0063664A">
        <w:rPr>
          <w:sz w:val="22"/>
          <w:szCs w:val="22"/>
          <w:lang w:val="sk-SK"/>
        </w:rPr>
        <w:t xml:space="preserve"> podával počas 10 dní klaritromycín 500 mg 2-krát denne, lanzoprazol 30 mg 2-krát denne a amoxicilín 1 000</w:t>
      </w:r>
      <w:r w:rsidRPr="0063664A">
        <w:rPr>
          <w:bCs/>
          <w:sz w:val="22"/>
          <w:szCs w:val="22"/>
          <w:lang w:val="sk-SK"/>
        </w:rPr>
        <w:t> </w:t>
      </w:r>
      <w:r w:rsidRPr="0063664A">
        <w:rPr>
          <w:sz w:val="22"/>
          <w:szCs w:val="22"/>
          <w:lang w:val="sk-SK"/>
        </w:rPr>
        <w:t xml:space="preserve">mg 2-krát denne. Eradikácia </w:t>
      </w:r>
      <w:r w:rsidRPr="0063664A">
        <w:rPr>
          <w:i/>
          <w:iCs/>
          <w:sz w:val="22"/>
          <w:szCs w:val="22"/>
          <w:lang w:val="sk-SK"/>
        </w:rPr>
        <w:t>H.</w:t>
      </w:r>
      <w:r w:rsidRPr="0063664A">
        <w:rPr>
          <w:sz w:val="22"/>
          <w:szCs w:val="22"/>
          <w:lang w:val="sk-SK"/>
        </w:rPr>
        <w:t> </w:t>
      </w:r>
      <w:r w:rsidRPr="0063664A">
        <w:rPr>
          <w:i/>
          <w:iCs/>
          <w:sz w:val="22"/>
          <w:szCs w:val="22"/>
          <w:lang w:val="sk-SK"/>
        </w:rPr>
        <w:t>pylori</w:t>
      </w:r>
      <w:r w:rsidRPr="0063664A">
        <w:rPr>
          <w:sz w:val="22"/>
          <w:szCs w:val="22"/>
          <w:lang w:val="sk-SK"/>
        </w:rPr>
        <w:t xml:space="preserve"> sa pozorovala u 91</w:t>
      </w:r>
      <w:r w:rsidRPr="0063664A">
        <w:rPr>
          <w:bCs/>
          <w:sz w:val="22"/>
          <w:szCs w:val="22"/>
          <w:lang w:val="sk-SK"/>
        </w:rPr>
        <w:t> </w:t>
      </w:r>
      <w:r w:rsidRPr="0063664A">
        <w:rPr>
          <w:sz w:val="22"/>
          <w:szCs w:val="22"/>
          <w:lang w:val="sk-SK"/>
        </w:rPr>
        <w:t>% pacientov.</w:t>
      </w:r>
    </w:p>
    <w:p w14:paraId="349C40C9" w14:textId="77777777" w:rsidR="0065586B" w:rsidRPr="0063664A" w:rsidRDefault="0065586B" w:rsidP="002672E5">
      <w:pPr>
        <w:rPr>
          <w:sz w:val="22"/>
          <w:szCs w:val="22"/>
          <w:lang w:val="sk-SK"/>
        </w:rPr>
      </w:pPr>
    </w:p>
    <w:p w14:paraId="696E241A" w14:textId="77777777" w:rsidR="0065586B" w:rsidRPr="0063664A" w:rsidRDefault="0065586B" w:rsidP="00881CF1">
      <w:pPr>
        <w:keepNext/>
        <w:rPr>
          <w:sz w:val="22"/>
          <w:szCs w:val="22"/>
          <w:u w:val="single"/>
          <w:lang w:val="sk-SK"/>
        </w:rPr>
      </w:pPr>
      <w:r w:rsidRPr="0063664A">
        <w:rPr>
          <w:sz w:val="22"/>
          <w:szCs w:val="22"/>
          <w:u w:val="single"/>
          <w:lang w:val="sk-SK"/>
        </w:rPr>
        <w:t>Dvojkombinácia pri duodenálnej vredovej chorobe</w:t>
      </w:r>
    </w:p>
    <w:p w14:paraId="416BE56B" w14:textId="77777777" w:rsidR="0065586B" w:rsidRPr="0063664A" w:rsidRDefault="0065586B" w:rsidP="002672E5">
      <w:pPr>
        <w:rPr>
          <w:sz w:val="22"/>
          <w:szCs w:val="22"/>
          <w:lang w:val="sk-SK"/>
        </w:rPr>
      </w:pPr>
      <w:r w:rsidRPr="0063664A">
        <w:rPr>
          <w:sz w:val="22"/>
          <w:szCs w:val="22"/>
          <w:lang w:val="sk-SK"/>
        </w:rPr>
        <w:t xml:space="preserve">V dobre kontrolovaných dvojito zaslepených štúdiách podstúpili pacienti s duodenálnym vredom a s infekciou vyvolanou </w:t>
      </w:r>
      <w:r w:rsidRPr="0063664A">
        <w:rPr>
          <w:i/>
          <w:iCs/>
          <w:sz w:val="22"/>
          <w:szCs w:val="22"/>
          <w:lang w:val="sk-SK"/>
        </w:rPr>
        <w:t>H.</w:t>
      </w:r>
      <w:r w:rsidRPr="0063664A">
        <w:rPr>
          <w:sz w:val="22"/>
          <w:szCs w:val="22"/>
          <w:lang w:val="sk-SK"/>
        </w:rPr>
        <w:t> </w:t>
      </w:r>
      <w:r w:rsidRPr="0063664A">
        <w:rPr>
          <w:i/>
          <w:iCs/>
          <w:sz w:val="22"/>
          <w:szCs w:val="22"/>
          <w:lang w:val="sk-SK"/>
        </w:rPr>
        <w:t>pylori</w:t>
      </w:r>
      <w:r w:rsidRPr="0063664A">
        <w:rPr>
          <w:sz w:val="22"/>
          <w:szCs w:val="22"/>
          <w:lang w:val="sk-SK"/>
        </w:rPr>
        <w:t xml:space="preserve"> eradikačnú liečbu klaritromycínom 500 mg 3-krát denne a omeprazolom 40 mg 1-krát denne počas 14 dní a následným podávaním omeprazolu 40 mg (štúdia A) alebo omeprazolu 20 mg 1-krát denne (štúdie B, C a D) ďalších 14 dní</w:t>
      </w:r>
      <w:r w:rsidRPr="0063664A">
        <w:rPr>
          <w:sz w:val="22"/>
          <w:szCs w:val="22"/>
          <w:lang w:val="sk-SK"/>
        </w:rPr>
        <w:sym w:font="Symbol" w:char="F03B"/>
      </w:r>
      <w:r w:rsidRPr="0063664A">
        <w:rPr>
          <w:sz w:val="22"/>
          <w:szCs w:val="22"/>
          <w:lang w:val="sk-SK"/>
        </w:rPr>
        <w:t xml:space="preserve"> pacienti v každej kontrolnej skupine dostávali samotný omeprazol 28 dní. </w:t>
      </w:r>
      <w:r w:rsidRPr="0063664A">
        <w:rPr>
          <w:bCs/>
          <w:sz w:val="22"/>
          <w:szCs w:val="22"/>
          <w:lang w:val="sk-SK"/>
        </w:rPr>
        <w:t xml:space="preserve">Eradikácia </w:t>
      </w:r>
      <w:r w:rsidRPr="0063664A">
        <w:rPr>
          <w:bCs/>
          <w:i/>
          <w:iCs/>
          <w:sz w:val="22"/>
          <w:szCs w:val="22"/>
          <w:lang w:val="sk-SK"/>
        </w:rPr>
        <w:t>H.</w:t>
      </w:r>
      <w:r w:rsidRPr="0063664A">
        <w:rPr>
          <w:sz w:val="22"/>
          <w:szCs w:val="22"/>
          <w:lang w:val="sk-SK"/>
        </w:rPr>
        <w:t> </w:t>
      </w:r>
      <w:r w:rsidRPr="0063664A">
        <w:rPr>
          <w:bCs/>
          <w:i/>
          <w:iCs/>
          <w:sz w:val="22"/>
          <w:szCs w:val="22"/>
          <w:lang w:val="sk-SK"/>
        </w:rPr>
        <w:t>pylori</w:t>
      </w:r>
      <w:r w:rsidRPr="0063664A">
        <w:rPr>
          <w:bCs/>
          <w:sz w:val="22"/>
          <w:szCs w:val="22"/>
          <w:lang w:val="sk-SK"/>
        </w:rPr>
        <w:t xml:space="preserve"> sa pozorovala v</w:t>
      </w:r>
      <w:r w:rsidRPr="0063664A">
        <w:rPr>
          <w:sz w:val="22"/>
          <w:szCs w:val="22"/>
          <w:lang w:val="sk-SK"/>
        </w:rPr>
        <w:t> </w:t>
      </w:r>
      <w:r w:rsidRPr="0063664A">
        <w:rPr>
          <w:bCs/>
          <w:sz w:val="22"/>
          <w:szCs w:val="22"/>
          <w:lang w:val="sk-SK"/>
        </w:rPr>
        <w:t xml:space="preserve">štúdii A </w:t>
      </w:r>
      <w:r w:rsidRPr="0063664A">
        <w:rPr>
          <w:sz w:val="22"/>
          <w:szCs w:val="22"/>
          <w:lang w:val="sk-SK"/>
        </w:rPr>
        <w:t>u viac ako u 80 % pacientov, ktorým sa podával klaritromycín a omeprazol a len u 1 % pacientov, ktorí dostávali samotný omeprazol. K e</w:t>
      </w:r>
      <w:r w:rsidRPr="0063664A">
        <w:rPr>
          <w:bCs/>
          <w:sz w:val="22"/>
          <w:szCs w:val="22"/>
          <w:lang w:val="sk-SK"/>
        </w:rPr>
        <w:t xml:space="preserve">radikácii </w:t>
      </w:r>
      <w:r w:rsidRPr="0063664A">
        <w:rPr>
          <w:bCs/>
          <w:i/>
          <w:iCs/>
          <w:sz w:val="22"/>
          <w:szCs w:val="22"/>
          <w:lang w:val="sk-SK"/>
        </w:rPr>
        <w:t>H.</w:t>
      </w:r>
      <w:r w:rsidRPr="0063664A">
        <w:rPr>
          <w:sz w:val="22"/>
          <w:szCs w:val="22"/>
          <w:lang w:val="sk-SK"/>
        </w:rPr>
        <w:t> </w:t>
      </w:r>
      <w:r w:rsidRPr="0063664A">
        <w:rPr>
          <w:bCs/>
          <w:i/>
          <w:iCs/>
          <w:sz w:val="22"/>
          <w:szCs w:val="22"/>
          <w:lang w:val="sk-SK"/>
        </w:rPr>
        <w:t>pylori</w:t>
      </w:r>
      <w:r w:rsidRPr="0063664A">
        <w:rPr>
          <w:bCs/>
          <w:sz w:val="22"/>
          <w:szCs w:val="22"/>
          <w:lang w:val="sk-SK"/>
        </w:rPr>
        <w:t xml:space="preserve"> došlo v </w:t>
      </w:r>
      <w:r w:rsidRPr="0063664A">
        <w:rPr>
          <w:sz w:val="22"/>
          <w:szCs w:val="22"/>
          <w:lang w:val="sk-SK"/>
        </w:rPr>
        <w:t>štúdiách B, C a D u viac ako u 70 % pacientov (klinicky hodnotiteľná analýza), ktorým sa podával klaritromycín a omeprazol a menej ako u 1 % pacientov, ktorí užívali samotný omeprazol. Po 6 mesiacoch bolo vo všetkých štúdiách percento recidívy vredu u pacientov liečených klaritromycínom a omeprazolom štatisticky významne nižšie ako u pacientov liečených samotným omeprazolom.</w:t>
      </w:r>
    </w:p>
    <w:p w14:paraId="634D09E5" w14:textId="77777777" w:rsidR="0065586B" w:rsidRPr="0063664A" w:rsidRDefault="0065586B" w:rsidP="002672E5">
      <w:pPr>
        <w:rPr>
          <w:sz w:val="22"/>
          <w:szCs w:val="22"/>
          <w:lang w:val="sk-SK"/>
        </w:rPr>
      </w:pPr>
    </w:p>
    <w:p w14:paraId="1D816FBC" w14:textId="77777777" w:rsidR="0065586B" w:rsidRPr="0063664A" w:rsidRDefault="0065586B" w:rsidP="002672E5">
      <w:pPr>
        <w:rPr>
          <w:sz w:val="22"/>
          <w:szCs w:val="22"/>
          <w:lang w:val="sk-SK"/>
        </w:rPr>
      </w:pPr>
      <w:r w:rsidRPr="0063664A">
        <w:rPr>
          <w:sz w:val="22"/>
          <w:szCs w:val="22"/>
          <w:lang w:val="sk-SK"/>
        </w:rPr>
        <w:t xml:space="preserve">V ďalšej zaslepenej štúdii užívali pacienti s infekciou </w:t>
      </w:r>
      <w:r w:rsidRPr="0063664A">
        <w:rPr>
          <w:i/>
          <w:sz w:val="22"/>
          <w:szCs w:val="22"/>
          <w:lang w:val="sk-SK"/>
        </w:rPr>
        <w:t>H. pylori</w:t>
      </w:r>
      <w:r w:rsidRPr="0063664A">
        <w:rPr>
          <w:sz w:val="22"/>
          <w:szCs w:val="22"/>
          <w:lang w:val="sk-SK"/>
        </w:rPr>
        <w:t xml:space="preserve"> na eradikačnú liečbu 500 mg klaritromycínu 3-krát denne v spojení s lanzoprazolom 60 mg 1-krát denne v jednej dávke, alebo v rozdelených dávkach počas 14 dní. Eradikácia </w:t>
      </w:r>
      <w:r w:rsidRPr="0063664A">
        <w:rPr>
          <w:i/>
          <w:sz w:val="22"/>
          <w:szCs w:val="22"/>
          <w:lang w:val="sk-SK"/>
        </w:rPr>
        <w:t>H. pylori</w:t>
      </w:r>
      <w:r w:rsidRPr="0063664A">
        <w:rPr>
          <w:sz w:val="22"/>
          <w:szCs w:val="22"/>
          <w:lang w:val="sk-SK"/>
        </w:rPr>
        <w:t xml:space="preserve"> sa pozorovala u viac ako 60 % pacientov užívajúcich kombinovanú liečbu.</w:t>
      </w:r>
    </w:p>
    <w:p w14:paraId="09A83519" w14:textId="77777777" w:rsidR="0065586B" w:rsidRPr="0063664A" w:rsidRDefault="0065586B" w:rsidP="002672E5">
      <w:pPr>
        <w:tabs>
          <w:tab w:val="left" w:pos="567"/>
        </w:tabs>
        <w:rPr>
          <w:sz w:val="22"/>
          <w:szCs w:val="22"/>
          <w:lang w:val="sk-SK"/>
        </w:rPr>
      </w:pPr>
    </w:p>
    <w:p w14:paraId="1509C398" w14:textId="77777777" w:rsidR="0065586B" w:rsidRPr="0063664A" w:rsidRDefault="0065586B" w:rsidP="0063664A">
      <w:pPr>
        <w:keepNext/>
        <w:tabs>
          <w:tab w:val="left" w:pos="567"/>
        </w:tabs>
        <w:ind w:left="567" w:hanging="567"/>
        <w:rPr>
          <w:sz w:val="22"/>
          <w:lang w:val="sk-SK"/>
        </w:rPr>
      </w:pPr>
      <w:r w:rsidRPr="0063664A">
        <w:rPr>
          <w:b/>
          <w:sz w:val="22"/>
          <w:szCs w:val="22"/>
          <w:lang w:val="sk-SK"/>
        </w:rPr>
        <w:t>5.2</w:t>
      </w:r>
      <w:r w:rsidRPr="0063664A">
        <w:rPr>
          <w:b/>
          <w:sz w:val="22"/>
          <w:szCs w:val="22"/>
          <w:lang w:val="sk-SK"/>
        </w:rPr>
        <w:tab/>
      </w:r>
      <w:r w:rsidRPr="0063664A">
        <w:rPr>
          <w:b/>
          <w:sz w:val="22"/>
          <w:lang w:val="sk-SK"/>
        </w:rPr>
        <w:t>Farmakokinetické vlastnosti</w:t>
      </w:r>
    </w:p>
    <w:p w14:paraId="32A16AF2" w14:textId="77777777" w:rsidR="0065586B" w:rsidRPr="0063664A" w:rsidRDefault="0065586B" w:rsidP="009B7F59">
      <w:pPr>
        <w:keepNext/>
        <w:rPr>
          <w:sz w:val="22"/>
          <w:szCs w:val="22"/>
          <w:lang w:val="sk-SK"/>
        </w:rPr>
      </w:pPr>
    </w:p>
    <w:p w14:paraId="75909FC0" w14:textId="77777777" w:rsidR="0065586B" w:rsidRPr="0063664A" w:rsidRDefault="0065586B" w:rsidP="00881CF1">
      <w:pPr>
        <w:keepNext/>
        <w:rPr>
          <w:sz w:val="22"/>
          <w:szCs w:val="22"/>
          <w:u w:val="single"/>
          <w:lang w:val="sk-SK"/>
        </w:rPr>
      </w:pPr>
      <w:r w:rsidRPr="0063664A">
        <w:rPr>
          <w:sz w:val="22"/>
          <w:szCs w:val="22"/>
          <w:u w:val="single"/>
          <w:lang w:val="sk-SK"/>
        </w:rPr>
        <w:t>Absorpcia</w:t>
      </w:r>
    </w:p>
    <w:p w14:paraId="484D80C9" w14:textId="77777777" w:rsidR="0065586B" w:rsidRPr="0063664A" w:rsidRDefault="0065586B" w:rsidP="002672E5">
      <w:pPr>
        <w:rPr>
          <w:sz w:val="22"/>
          <w:szCs w:val="22"/>
          <w:lang w:val="sk-SK"/>
        </w:rPr>
      </w:pPr>
      <w:r w:rsidRPr="0063664A">
        <w:rPr>
          <w:sz w:val="22"/>
          <w:szCs w:val="22"/>
          <w:lang w:val="sk-SK"/>
        </w:rPr>
        <w:t>Farmakokinetika perorálne podávaného klaritromycínu sa skúmala u množstva živočíšnych druhov a u dospelých osôb. Tieto štúdie ukázali, že klaritromycín sa ľahko a rýchlo absorbuje, pričom absolútna biologická dostupnosť je približne 50 %. Nezistila sa žiadna alebo len minimálna kumulácia liečiva v organizme a ani po viacnásobných dávkach sa u žiadneho živočíšneho druhu nespozorovali zmeny metabolizmu lieku. Príjem potravy bezprostredne pred podaním klaritromycínu zvyšuje jeho biologickú dostupnosť priemerne o 25 %. Celkovo je toto zvýšenie minimálne a pri odporúčanom dávkovaní má malý klinický význam. Klaritromycín sa teda môže podávať nezávisle od jedla.</w:t>
      </w:r>
    </w:p>
    <w:p w14:paraId="6052788F" w14:textId="77777777" w:rsidR="0065586B" w:rsidRPr="0063664A" w:rsidRDefault="0065586B" w:rsidP="002672E5">
      <w:pPr>
        <w:rPr>
          <w:sz w:val="22"/>
          <w:szCs w:val="22"/>
          <w:lang w:val="sk-SK"/>
        </w:rPr>
      </w:pPr>
    </w:p>
    <w:p w14:paraId="56E7E21C" w14:textId="77777777" w:rsidR="0065586B" w:rsidRPr="0063664A" w:rsidRDefault="0065586B" w:rsidP="00881CF1">
      <w:pPr>
        <w:keepNext/>
        <w:rPr>
          <w:sz w:val="22"/>
          <w:szCs w:val="22"/>
          <w:u w:val="single"/>
          <w:lang w:val="sk-SK"/>
        </w:rPr>
      </w:pPr>
      <w:r w:rsidRPr="0063664A">
        <w:rPr>
          <w:sz w:val="22"/>
          <w:szCs w:val="22"/>
          <w:u w:val="single"/>
          <w:lang w:val="sk-SK"/>
        </w:rPr>
        <w:t>Distribúcia, biotransformácia a</w:t>
      </w:r>
      <w:r w:rsidR="004C4B22" w:rsidRPr="0063664A">
        <w:rPr>
          <w:sz w:val="22"/>
          <w:szCs w:val="22"/>
          <w:u w:val="single"/>
          <w:lang w:val="sk-SK"/>
        </w:rPr>
        <w:t> </w:t>
      </w:r>
      <w:r w:rsidRPr="0063664A">
        <w:rPr>
          <w:sz w:val="22"/>
          <w:szCs w:val="22"/>
          <w:u w:val="single"/>
          <w:lang w:val="sk-SK"/>
        </w:rPr>
        <w:t>eliminácia</w:t>
      </w:r>
    </w:p>
    <w:p w14:paraId="18DA360C" w14:textId="77777777" w:rsidR="0065586B" w:rsidRPr="0063664A" w:rsidRDefault="0065586B" w:rsidP="00881CF1">
      <w:pPr>
        <w:keepNext/>
        <w:rPr>
          <w:i/>
          <w:sz w:val="22"/>
          <w:szCs w:val="22"/>
          <w:lang w:val="sk-SK"/>
        </w:rPr>
      </w:pPr>
      <w:r w:rsidRPr="0063664A">
        <w:rPr>
          <w:i/>
          <w:sz w:val="22"/>
          <w:szCs w:val="22"/>
          <w:lang w:val="sk-SK"/>
        </w:rPr>
        <w:t>In vitro</w:t>
      </w:r>
    </w:p>
    <w:p w14:paraId="06583717" w14:textId="77777777" w:rsidR="0065586B" w:rsidRPr="0063664A" w:rsidRDefault="0065586B" w:rsidP="002672E5">
      <w:pPr>
        <w:rPr>
          <w:sz w:val="22"/>
          <w:szCs w:val="22"/>
          <w:lang w:val="sk-SK"/>
        </w:rPr>
      </w:pPr>
      <w:r w:rsidRPr="0063664A">
        <w:rPr>
          <w:sz w:val="22"/>
          <w:szCs w:val="22"/>
          <w:lang w:val="sk-SK"/>
        </w:rPr>
        <w:t xml:space="preserve">Štúdie </w:t>
      </w:r>
      <w:r w:rsidRPr="0063664A">
        <w:rPr>
          <w:i/>
          <w:iCs/>
          <w:sz w:val="22"/>
          <w:szCs w:val="22"/>
          <w:lang w:val="sk-SK"/>
        </w:rPr>
        <w:t>in vitro</w:t>
      </w:r>
      <w:r w:rsidRPr="0063664A">
        <w:rPr>
          <w:sz w:val="22"/>
          <w:szCs w:val="22"/>
          <w:lang w:val="sk-SK"/>
        </w:rPr>
        <w:t xml:space="preserve"> ukázali, že pri koncentrácii klaritromycínu 0,45 až 4,5 μg/ml v ľudskej plazme je jeho väzba na proteíny priemerne asi 70 %. Pokles väzby na 41 % pri koncentrácii 45,0 μg/ml naznačuje saturáciu väzby. Dochádza však k nej až pri koncentráciách vysoko presahujúcich terapeutické koncentrácie liečiva.</w:t>
      </w:r>
    </w:p>
    <w:p w14:paraId="014620D6" w14:textId="77777777" w:rsidR="0065586B" w:rsidRPr="0063664A" w:rsidRDefault="0065586B" w:rsidP="002672E5">
      <w:pPr>
        <w:rPr>
          <w:sz w:val="22"/>
          <w:szCs w:val="22"/>
          <w:lang w:val="sk-SK"/>
        </w:rPr>
      </w:pPr>
    </w:p>
    <w:p w14:paraId="7A665D0C" w14:textId="77777777" w:rsidR="0065586B" w:rsidRPr="0063664A" w:rsidRDefault="0065586B" w:rsidP="00881CF1">
      <w:pPr>
        <w:keepNext/>
        <w:rPr>
          <w:i/>
          <w:sz w:val="22"/>
          <w:szCs w:val="22"/>
          <w:lang w:val="sk-SK"/>
        </w:rPr>
      </w:pPr>
      <w:r w:rsidRPr="0063664A">
        <w:rPr>
          <w:i/>
          <w:sz w:val="22"/>
          <w:szCs w:val="22"/>
          <w:lang w:val="sk-SK"/>
        </w:rPr>
        <w:t>In vivo</w:t>
      </w:r>
    </w:p>
    <w:p w14:paraId="440C951D" w14:textId="77777777" w:rsidR="0065586B" w:rsidRPr="0063664A" w:rsidRDefault="0065586B" w:rsidP="002672E5">
      <w:pPr>
        <w:rPr>
          <w:sz w:val="22"/>
          <w:szCs w:val="22"/>
          <w:lang w:val="sk-SK"/>
        </w:rPr>
      </w:pPr>
      <w:r w:rsidRPr="0063664A">
        <w:rPr>
          <w:iCs/>
          <w:sz w:val="22"/>
          <w:szCs w:val="22"/>
          <w:lang w:val="sk-SK"/>
        </w:rPr>
        <w:t>Výsledky štúdií na zvieratách ukázali, že koncentrácie klaritromycínu v</w:t>
      </w:r>
      <w:r w:rsidRPr="0063664A">
        <w:rPr>
          <w:sz w:val="22"/>
          <w:szCs w:val="22"/>
          <w:lang w:val="sk-SK"/>
        </w:rPr>
        <w:t> </w:t>
      </w:r>
      <w:r w:rsidRPr="0063664A">
        <w:rPr>
          <w:iCs/>
          <w:sz w:val="22"/>
          <w:szCs w:val="22"/>
          <w:lang w:val="sk-SK"/>
        </w:rPr>
        <w:t>tkanivách, s</w:t>
      </w:r>
      <w:r w:rsidRPr="0063664A">
        <w:rPr>
          <w:sz w:val="22"/>
          <w:szCs w:val="22"/>
          <w:lang w:val="sk-SK"/>
        </w:rPr>
        <w:t> </w:t>
      </w:r>
      <w:r w:rsidRPr="0063664A">
        <w:rPr>
          <w:iCs/>
          <w:sz w:val="22"/>
          <w:szCs w:val="22"/>
          <w:lang w:val="sk-SK"/>
        </w:rPr>
        <w:t>výnimkou centrálneho nervového systému,</w:t>
      </w:r>
      <w:r w:rsidRPr="0063664A">
        <w:rPr>
          <w:sz w:val="22"/>
          <w:szCs w:val="22"/>
          <w:lang w:val="sk-SK"/>
        </w:rPr>
        <w:t xml:space="preserve"> boli niekoľkokrát vyššie ako v krvi. Najvyššie koncentrácie boli zvyčajne detegované</w:t>
      </w:r>
      <w:r w:rsidRPr="0063664A">
        <w:rPr>
          <w:color w:val="FF0000"/>
          <w:sz w:val="22"/>
          <w:szCs w:val="22"/>
          <w:lang w:val="sk-SK"/>
        </w:rPr>
        <w:t xml:space="preserve"> </w:t>
      </w:r>
      <w:r w:rsidRPr="0063664A">
        <w:rPr>
          <w:sz w:val="22"/>
          <w:szCs w:val="22"/>
          <w:lang w:val="sk-SK"/>
        </w:rPr>
        <w:t>v pečeni a v pľúcach, kde pomer tkanivo/plazma (T/P) bol 10 až 20.</w:t>
      </w:r>
    </w:p>
    <w:p w14:paraId="31C15360" w14:textId="77777777" w:rsidR="0065586B" w:rsidRPr="0063664A" w:rsidRDefault="0065586B" w:rsidP="002672E5">
      <w:pPr>
        <w:rPr>
          <w:sz w:val="22"/>
          <w:szCs w:val="22"/>
          <w:lang w:val="sk-SK"/>
        </w:rPr>
      </w:pPr>
    </w:p>
    <w:p w14:paraId="60A85B8C" w14:textId="77777777" w:rsidR="0065586B" w:rsidRPr="0063664A" w:rsidRDefault="0065586B" w:rsidP="00881CF1">
      <w:pPr>
        <w:keepNext/>
        <w:rPr>
          <w:bCs/>
          <w:i/>
          <w:iCs/>
          <w:sz w:val="22"/>
          <w:szCs w:val="22"/>
          <w:lang w:val="sk-SK"/>
        </w:rPr>
      </w:pPr>
      <w:r w:rsidRPr="0063664A">
        <w:rPr>
          <w:bCs/>
          <w:i/>
          <w:iCs/>
          <w:sz w:val="22"/>
          <w:szCs w:val="22"/>
          <w:lang w:val="sk-SK"/>
        </w:rPr>
        <w:t>Zdraví jedinci</w:t>
      </w:r>
    </w:p>
    <w:p w14:paraId="35CCE340" w14:textId="77777777" w:rsidR="0065586B" w:rsidRPr="0063664A" w:rsidRDefault="0065586B" w:rsidP="002672E5">
      <w:pPr>
        <w:rPr>
          <w:sz w:val="22"/>
          <w:szCs w:val="22"/>
          <w:lang w:val="sk-SK"/>
        </w:rPr>
      </w:pPr>
      <w:r w:rsidRPr="0063664A">
        <w:rPr>
          <w:sz w:val="22"/>
          <w:szCs w:val="22"/>
          <w:lang w:val="sk-SK"/>
        </w:rPr>
        <w:t>Pri podávaní dávky 250 mg klaritromycínu 2-krát denne sa dosiahla maximálna plazmatická koncentrácia v rovnovážnom stave za 2 až 3 dni a bola v priemere asi 1,0 μg/ml pre klaritromycín a 0,60 μg/ml pre 14-hydroxyklaritromycín; polčasy vylučovania boli 3 až 4 hodiny pre klaritromycín a 5 až 6 hodín pre hydroxymetabolit. Pri podávaní dávky 500 mg klaritromycínu 2-krát denne sa dosiahla C</w:t>
      </w:r>
      <w:r w:rsidRPr="0063664A">
        <w:rPr>
          <w:sz w:val="22"/>
          <w:szCs w:val="22"/>
          <w:vertAlign w:val="subscript"/>
          <w:lang w:val="sk-SK"/>
        </w:rPr>
        <w:t>max</w:t>
      </w:r>
      <w:r w:rsidRPr="0063664A">
        <w:rPr>
          <w:sz w:val="22"/>
          <w:szCs w:val="22"/>
          <w:lang w:val="sk-SK"/>
        </w:rPr>
        <w:t xml:space="preserve"> v rovnovážnom stave pre klaritromycín a jeho hydroxymetabolit do piatej dávky. Po piatej a siedmej dávke bola C</w:t>
      </w:r>
      <w:r w:rsidRPr="0063664A">
        <w:rPr>
          <w:sz w:val="22"/>
          <w:szCs w:val="22"/>
          <w:vertAlign w:val="subscript"/>
          <w:lang w:val="sk-SK"/>
        </w:rPr>
        <w:t>max</w:t>
      </w:r>
      <w:r w:rsidRPr="0063664A">
        <w:rPr>
          <w:sz w:val="22"/>
          <w:szCs w:val="22"/>
          <w:lang w:val="sk-SK"/>
        </w:rPr>
        <w:t xml:space="preserve"> klaritromycínu v rovnovážnom stave priemerne 2,7 a 2,9 μg/ml a C</w:t>
      </w:r>
      <w:r w:rsidRPr="0063664A">
        <w:rPr>
          <w:sz w:val="22"/>
          <w:szCs w:val="22"/>
          <w:vertAlign w:val="subscript"/>
          <w:lang w:val="sk-SK"/>
        </w:rPr>
        <w:t>max</w:t>
      </w:r>
      <w:r w:rsidRPr="0063664A">
        <w:rPr>
          <w:sz w:val="22"/>
          <w:szCs w:val="22"/>
          <w:lang w:val="sk-SK"/>
        </w:rPr>
        <w:t xml:space="preserve"> hydroxymetabolitu v rovnovážnom stave 0,88 a 0,83 μg/ml. Polčas materskej molekuly pri dávke 500 mg bol 4,5 až 4,8 hodiny, polčas 14-hydroxyklaritromycínu 6,9 až 8,7 hodiny. V rovnovážnom stave sa koncentrácie 14-hydroxyklaritromycínu nezvyšovali úmerne s dávkou klaritromycínu, a polčasy klaritromycínu aj jeho hydroxymetabolitu sa pri vyšších dávkach predlžovali. Táto nelineárna farmakokinetika klaritromycínu, spolu s celkovým znížením tvorby 14-hydroxylovaných a N-demetylovaných metabolitov pri vyšších dávkach naznačuje, že nelineárny metabolizmus klaritromycínu je výraznejší pri vysokých dávkach. </w:t>
      </w:r>
    </w:p>
    <w:p w14:paraId="1036DC7A" w14:textId="77777777" w:rsidR="0065586B" w:rsidRPr="0063664A" w:rsidRDefault="0065586B" w:rsidP="002672E5">
      <w:pPr>
        <w:rPr>
          <w:sz w:val="22"/>
          <w:szCs w:val="22"/>
          <w:lang w:val="sk-SK"/>
        </w:rPr>
      </w:pPr>
    </w:p>
    <w:p w14:paraId="23B50013" w14:textId="77777777" w:rsidR="0065586B" w:rsidRPr="0063664A" w:rsidRDefault="0065586B" w:rsidP="002672E5">
      <w:pPr>
        <w:rPr>
          <w:sz w:val="22"/>
          <w:szCs w:val="22"/>
          <w:lang w:val="sk-SK"/>
        </w:rPr>
      </w:pPr>
      <w:r w:rsidRPr="0063664A">
        <w:rPr>
          <w:sz w:val="22"/>
          <w:szCs w:val="22"/>
          <w:lang w:val="sk-SK"/>
        </w:rPr>
        <w:t>U dospelých jedincov, ktorým sa podali jednorazové perorálne dávky 250 mg alebo 1 200 mg klaritromycínu, dosiahlo vylučovanie močom 37,9 % pri nižšej dávke a 46,0 % pri vyššej dávke. Vylučovanie stolicou bolo 40,2 % pri nižšej dávke a 29,1 % pri vyššej dávke (toto zahŕňalo jedinca s jedinou vzorkou stolice obsahujúcou 14,1 %).</w:t>
      </w:r>
    </w:p>
    <w:p w14:paraId="71D0A4E0" w14:textId="77777777" w:rsidR="0065586B" w:rsidRPr="0063664A" w:rsidRDefault="0065586B" w:rsidP="002672E5">
      <w:pPr>
        <w:rPr>
          <w:sz w:val="22"/>
          <w:szCs w:val="22"/>
          <w:lang w:val="sk-SK"/>
        </w:rPr>
      </w:pPr>
    </w:p>
    <w:p w14:paraId="6C522C9E" w14:textId="77777777" w:rsidR="0065586B" w:rsidRPr="0063664A" w:rsidRDefault="0065586B" w:rsidP="00881CF1">
      <w:pPr>
        <w:keepNext/>
        <w:rPr>
          <w:i/>
          <w:iCs/>
          <w:sz w:val="22"/>
          <w:szCs w:val="22"/>
          <w:lang w:val="sk-SK"/>
        </w:rPr>
      </w:pPr>
      <w:r w:rsidRPr="0063664A">
        <w:rPr>
          <w:i/>
          <w:iCs/>
          <w:sz w:val="22"/>
          <w:szCs w:val="22"/>
          <w:lang w:val="sk-SK"/>
        </w:rPr>
        <w:t>Pacienti</w:t>
      </w:r>
    </w:p>
    <w:p w14:paraId="2786A45C" w14:textId="77777777" w:rsidR="0065586B" w:rsidRPr="0063664A" w:rsidRDefault="0065586B" w:rsidP="002672E5">
      <w:pPr>
        <w:rPr>
          <w:sz w:val="22"/>
          <w:szCs w:val="22"/>
          <w:lang w:val="sk-SK"/>
        </w:rPr>
      </w:pPr>
      <w:r w:rsidRPr="0063664A">
        <w:rPr>
          <w:sz w:val="22"/>
          <w:szCs w:val="22"/>
          <w:lang w:val="sk-SK"/>
        </w:rPr>
        <w:t>Klaritromycín a jeho 14-hydroxymetabolit sa rýchlo distribuujú do telesných tkanív a tekutín. Obmedzené údaje získané u malého počtu pacientov naznačujú, že klaritromycín nedosahuje po perorálnych dávkach významné koncentrácie v cerebrospinálnej tekutine (tzn. u pacientov s neporušenou hematoencefalickou bariérou dosahuje hladina klaritromycínu v cerebrospinálnej tekutine iba 1 až 2 % plazmatickej koncentrácie).</w:t>
      </w:r>
    </w:p>
    <w:p w14:paraId="735C13BE" w14:textId="77777777" w:rsidR="0065586B" w:rsidRPr="0063664A" w:rsidRDefault="0065586B" w:rsidP="002672E5">
      <w:pPr>
        <w:rPr>
          <w:sz w:val="22"/>
          <w:szCs w:val="22"/>
          <w:lang w:val="sk-SK"/>
        </w:rPr>
      </w:pPr>
      <w:r w:rsidRPr="0063664A">
        <w:rPr>
          <w:sz w:val="22"/>
          <w:szCs w:val="22"/>
          <w:lang w:val="sk-SK"/>
        </w:rPr>
        <w:t>Koncentrácie v tkanivách sú zvyčajne niekoľkokrát vyššie než v sére. Príklady tkanivových a</w:t>
      </w:r>
      <w:r w:rsidR="004C4B22" w:rsidRPr="0063664A">
        <w:rPr>
          <w:sz w:val="22"/>
          <w:szCs w:val="22"/>
          <w:lang w:val="sk-SK"/>
        </w:rPr>
        <w:t> </w:t>
      </w:r>
      <w:r w:rsidRPr="0063664A">
        <w:rPr>
          <w:sz w:val="22"/>
          <w:szCs w:val="22"/>
          <w:lang w:val="sk-SK"/>
        </w:rPr>
        <w:t>sérových koncentrácií sú uvedené v tabuľke.</w:t>
      </w:r>
    </w:p>
    <w:p w14:paraId="2E6E5450" w14:textId="77777777" w:rsidR="0065586B" w:rsidRPr="0063664A" w:rsidRDefault="0065586B" w:rsidP="002672E5">
      <w:pPr>
        <w:rPr>
          <w:sz w:val="22"/>
          <w:szCs w:val="22"/>
          <w:lang w:val="sk-SK"/>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0"/>
        <w:gridCol w:w="1701"/>
        <w:gridCol w:w="1861"/>
      </w:tblGrid>
      <w:tr w:rsidR="0065586B" w:rsidRPr="0063664A" w14:paraId="74EA9C7D" w14:textId="77777777">
        <w:trPr>
          <w:cantSplit/>
        </w:trPr>
        <w:tc>
          <w:tcPr>
            <w:tcW w:w="5122" w:type="dxa"/>
            <w:gridSpan w:val="3"/>
          </w:tcPr>
          <w:p w14:paraId="59A5574E" w14:textId="77777777" w:rsidR="0065586B" w:rsidRPr="0063664A" w:rsidRDefault="0065586B" w:rsidP="002672E5">
            <w:pPr>
              <w:jc w:val="center"/>
              <w:rPr>
                <w:sz w:val="22"/>
                <w:szCs w:val="22"/>
                <w:lang w:val="sk-SK"/>
              </w:rPr>
            </w:pPr>
            <w:r w:rsidRPr="0063664A">
              <w:rPr>
                <w:sz w:val="22"/>
                <w:szCs w:val="22"/>
                <w:lang w:val="sk-SK"/>
              </w:rPr>
              <w:t>Koncentrácia</w:t>
            </w:r>
          </w:p>
          <w:p w14:paraId="371327CC" w14:textId="77777777" w:rsidR="0065586B" w:rsidRPr="0063664A" w:rsidRDefault="0065586B" w:rsidP="002672E5">
            <w:pPr>
              <w:jc w:val="center"/>
              <w:rPr>
                <w:sz w:val="22"/>
                <w:szCs w:val="22"/>
                <w:lang w:val="sk-SK"/>
              </w:rPr>
            </w:pPr>
            <w:r w:rsidRPr="0063664A">
              <w:rPr>
                <w:sz w:val="22"/>
                <w:szCs w:val="22"/>
                <w:lang w:val="sk-SK"/>
              </w:rPr>
              <w:t>(po podaní 250 mg každých 12 hodín)</w:t>
            </w:r>
          </w:p>
        </w:tc>
      </w:tr>
      <w:tr w:rsidR="0065586B" w:rsidRPr="0063664A" w14:paraId="00F39165" w14:textId="77777777">
        <w:tc>
          <w:tcPr>
            <w:tcW w:w="1560" w:type="dxa"/>
          </w:tcPr>
          <w:p w14:paraId="67827061" w14:textId="77777777" w:rsidR="0065586B" w:rsidRPr="0063664A" w:rsidRDefault="0065586B" w:rsidP="002672E5">
            <w:pPr>
              <w:rPr>
                <w:sz w:val="22"/>
                <w:szCs w:val="22"/>
                <w:lang w:val="sk-SK"/>
              </w:rPr>
            </w:pPr>
            <w:r w:rsidRPr="0063664A">
              <w:rPr>
                <w:b/>
                <w:sz w:val="22"/>
                <w:szCs w:val="22"/>
                <w:lang w:val="sk-SK"/>
              </w:rPr>
              <w:t>Typ tkaniva</w:t>
            </w:r>
          </w:p>
        </w:tc>
        <w:tc>
          <w:tcPr>
            <w:tcW w:w="1701" w:type="dxa"/>
          </w:tcPr>
          <w:p w14:paraId="121E1494" w14:textId="77777777" w:rsidR="0065586B" w:rsidRPr="0063664A" w:rsidRDefault="0065586B" w:rsidP="002672E5">
            <w:pPr>
              <w:jc w:val="center"/>
              <w:rPr>
                <w:b/>
                <w:sz w:val="22"/>
                <w:szCs w:val="22"/>
                <w:lang w:val="sk-SK"/>
              </w:rPr>
            </w:pPr>
            <w:r w:rsidRPr="0063664A">
              <w:rPr>
                <w:b/>
                <w:sz w:val="22"/>
                <w:szCs w:val="22"/>
                <w:lang w:val="sk-SK"/>
              </w:rPr>
              <w:t>Tkanivo (μg/g)</w:t>
            </w:r>
          </w:p>
        </w:tc>
        <w:tc>
          <w:tcPr>
            <w:tcW w:w="1861" w:type="dxa"/>
          </w:tcPr>
          <w:p w14:paraId="2708355A" w14:textId="77777777" w:rsidR="0065586B" w:rsidRPr="0063664A" w:rsidRDefault="0065586B" w:rsidP="002672E5">
            <w:pPr>
              <w:jc w:val="center"/>
              <w:rPr>
                <w:b/>
                <w:sz w:val="22"/>
                <w:szCs w:val="22"/>
                <w:lang w:val="sk-SK"/>
              </w:rPr>
            </w:pPr>
            <w:r w:rsidRPr="0063664A">
              <w:rPr>
                <w:b/>
                <w:sz w:val="22"/>
                <w:szCs w:val="22"/>
                <w:lang w:val="sk-SK"/>
              </w:rPr>
              <w:t>Sérum (μg/ml)</w:t>
            </w:r>
          </w:p>
        </w:tc>
      </w:tr>
      <w:tr w:rsidR="0065586B" w:rsidRPr="0063664A" w14:paraId="58FF6466" w14:textId="77777777">
        <w:tc>
          <w:tcPr>
            <w:tcW w:w="1560" w:type="dxa"/>
          </w:tcPr>
          <w:p w14:paraId="1B1D7F0C" w14:textId="77777777" w:rsidR="0065586B" w:rsidRPr="0063664A" w:rsidRDefault="0065586B" w:rsidP="002672E5">
            <w:pPr>
              <w:rPr>
                <w:sz w:val="22"/>
                <w:szCs w:val="22"/>
                <w:lang w:val="sk-SK"/>
              </w:rPr>
            </w:pPr>
            <w:r w:rsidRPr="0063664A">
              <w:rPr>
                <w:sz w:val="22"/>
                <w:szCs w:val="22"/>
                <w:lang w:val="sk-SK"/>
              </w:rPr>
              <w:t>Tonzila</w:t>
            </w:r>
          </w:p>
        </w:tc>
        <w:tc>
          <w:tcPr>
            <w:tcW w:w="1701" w:type="dxa"/>
          </w:tcPr>
          <w:p w14:paraId="559FC168" w14:textId="77777777" w:rsidR="0065586B" w:rsidRPr="0063664A" w:rsidRDefault="0065586B" w:rsidP="002672E5">
            <w:pPr>
              <w:jc w:val="center"/>
              <w:rPr>
                <w:b/>
                <w:sz w:val="22"/>
                <w:szCs w:val="22"/>
                <w:lang w:val="sk-SK"/>
              </w:rPr>
            </w:pPr>
            <w:r w:rsidRPr="0063664A">
              <w:rPr>
                <w:sz w:val="22"/>
                <w:szCs w:val="22"/>
                <w:lang w:val="sk-SK"/>
              </w:rPr>
              <w:t>1,6</w:t>
            </w:r>
          </w:p>
        </w:tc>
        <w:tc>
          <w:tcPr>
            <w:tcW w:w="1861" w:type="dxa"/>
          </w:tcPr>
          <w:p w14:paraId="6CCB9426" w14:textId="77777777" w:rsidR="0065586B" w:rsidRPr="0063664A" w:rsidRDefault="0065586B" w:rsidP="002672E5">
            <w:pPr>
              <w:jc w:val="center"/>
              <w:rPr>
                <w:sz w:val="22"/>
                <w:szCs w:val="22"/>
                <w:lang w:val="sk-SK"/>
              </w:rPr>
            </w:pPr>
            <w:r w:rsidRPr="0063664A">
              <w:rPr>
                <w:sz w:val="22"/>
                <w:szCs w:val="22"/>
                <w:lang w:val="sk-SK"/>
              </w:rPr>
              <w:t>0,8</w:t>
            </w:r>
          </w:p>
        </w:tc>
      </w:tr>
      <w:tr w:rsidR="0065586B" w:rsidRPr="0063664A" w14:paraId="6CF8C09D" w14:textId="77777777">
        <w:tc>
          <w:tcPr>
            <w:tcW w:w="1560" w:type="dxa"/>
          </w:tcPr>
          <w:p w14:paraId="58BB7ACA" w14:textId="77777777" w:rsidR="0065586B" w:rsidRPr="0063664A" w:rsidRDefault="0065586B" w:rsidP="002672E5">
            <w:pPr>
              <w:rPr>
                <w:sz w:val="22"/>
                <w:szCs w:val="22"/>
                <w:lang w:val="sk-SK"/>
              </w:rPr>
            </w:pPr>
            <w:r w:rsidRPr="0063664A">
              <w:rPr>
                <w:sz w:val="22"/>
                <w:szCs w:val="22"/>
                <w:lang w:val="sk-SK"/>
              </w:rPr>
              <w:t>Pľúca</w:t>
            </w:r>
          </w:p>
        </w:tc>
        <w:tc>
          <w:tcPr>
            <w:tcW w:w="1701" w:type="dxa"/>
          </w:tcPr>
          <w:p w14:paraId="2B627A24" w14:textId="77777777" w:rsidR="0065586B" w:rsidRPr="0063664A" w:rsidRDefault="0065586B" w:rsidP="002672E5">
            <w:pPr>
              <w:jc w:val="center"/>
              <w:rPr>
                <w:sz w:val="22"/>
                <w:szCs w:val="22"/>
                <w:lang w:val="sk-SK"/>
              </w:rPr>
            </w:pPr>
            <w:r w:rsidRPr="0063664A">
              <w:rPr>
                <w:sz w:val="22"/>
                <w:szCs w:val="22"/>
                <w:lang w:val="sk-SK"/>
              </w:rPr>
              <w:t>8,8</w:t>
            </w:r>
          </w:p>
        </w:tc>
        <w:tc>
          <w:tcPr>
            <w:tcW w:w="1861" w:type="dxa"/>
          </w:tcPr>
          <w:p w14:paraId="7BF479FC" w14:textId="77777777" w:rsidR="0065586B" w:rsidRPr="0063664A" w:rsidRDefault="0065586B" w:rsidP="002672E5">
            <w:pPr>
              <w:jc w:val="center"/>
              <w:rPr>
                <w:sz w:val="22"/>
                <w:szCs w:val="22"/>
                <w:lang w:val="sk-SK"/>
              </w:rPr>
            </w:pPr>
            <w:r w:rsidRPr="0063664A">
              <w:rPr>
                <w:sz w:val="22"/>
                <w:szCs w:val="22"/>
                <w:lang w:val="sk-SK"/>
              </w:rPr>
              <w:t>1,7</w:t>
            </w:r>
          </w:p>
        </w:tc>
      </w:tr>
    </w:tbl>
    <w:p w14:paraId="1E0241D8" w14:textId="77777777" w:rsidR="0065586B" w:rsidRPr="0063664A" w:rsidRDefault="0065586B" w:rsidP="002672E5">
      <w:pPr>
        <w:rPr>
          <w:sz w:val="22"/>
          <w:szCs w:val="22"/>
          <w:lang w:val="sk-SK"/>
        </w:rPr>
      </w:pPr>
    </w:p>
    <w:p w14:paraId="57A4CA38" w14:textId="77777777" w:rsidR="0065586B" w:rsidRPr="0063664A" w:rsidRDefault="0065586B" w:rsidP="00881CF1">
      <w:pPr>
        <w:keepNext/>
        <w:rPr>
          <w:i/>
          <w:iCs/>
          <w:sz w:val="22"/>
          <w:szCs w:val="22"/>
          <w:lang w:val="sk-SK"/>
        </w:rPr>
      </w:pPr>
      <w:r w:rsidRPr="0063664A">
        <w:rPr>
          <w:i/>
          <w:iCs/>
          <w:sz w:val="22"/>
          <w:szCs w:val="22"/>
          <w:lang w:val="sk-SK"/>
        </w:rPr>
        <w:t>Pacienti s poruchou funkcie pečene</w:t>
      </w:r>
    </w:p>
    <w:p w14:paraId="67EE9C82" w14:textId="77777777" w:rsidR="0065586B" w:rsidRPr="0063664A" w:rsidRDefault="0065586B" w:rsidP="002672E5">
      <w:pPr>
        <w:rPr>
          <w:sz w:val="22"/>
          <w:szCs w:val="22"/>
          <w:u w:val="single"/>
          <w:lang w:val="sk-SK"/>
        </w:rPr>
      </w:pPr>
      <w:r w:rsidRPr="0063664A">
        <w:rPr>
          <w:sz w:val="22"/>
          <w:szCs w:val="22"/>
          <w:lang w:val="sk-SK"/>
        </w:rPr>
        <w:t>V štúdii porovnávajúcej skupinu zdravých jedincov a skupinu jedincov s poruchou funkcie pečene, ktorí perorálne užívali 250 mg klaritromycínu 2-krát denne počas dvoch dní a jednorazovú 250 mg dávku tretí deň, sa nepozorovali významné rozdiely v plazmatickej koncentrácii v rovnovážnom stave a vo vylučovaní medzi týmito dvoma skupinami. Avšak rovnovážne koncentrácie 14-hydroxymetabolitu boli výrazne nižšie v skupine jedincov s poruchou funkcie pečene. Znížené vylučovanie materskej molekuly 14-hydroxyláciou, bolo čiastočne vyvážené zvýšením renálneho klírensu materskej molekuly, výsledkom čoho boli porovnateľné plazmatické koncentrácie materskej molekuly v rovnovážnom stave u jedincov s poruchou funkcie pečene aj u zdravých jedincov. Vzhľadom na tieto výsledky nie je potrebná úprava dávkovania u pacientov so stredne ťažkou alebo ťažkou poruchou funkcie pečene, ale s normálnou funkciou obličiek.</w:t>
      </w:r>
    </w:p>
    <w:p w14:paraId="47F72315" w14:textId="77777777" w:rsidR="0065586B" w:rsidRPr="0063664A" w:rsidRDefault="0065586B" w:rsidP="002672E5">
      <w:pPr>
        <w:rPr>
          <w:sz w:val="22"/>
          <w:szCs w:val="22"/>
          <w:lang w:val="sk-SK"/>
        </w:rPr>
      </w:pPr>
    </w:p>
    <w:p w14:paraId="6F09C022" w14:textId="77777777" w:rsidR="0065586B" w:rsidRPr="0063664A" w:rsidRDefault="0065586B" w:rsidP="009B7F59">
      <w:pPr>
        <w:keepNext/>
        <w:jc w:val="both"/>
        <w:rPr>
          <w:sz w:val="22"/>
          <w:szCs w:val="22"/>
          <w:lang w:val="sk-SK"/>
        </w:rPr>
      </w:pPr>
      <w:r w:rsidRPr="0063664A">
        <w:rPr>
          <w:i/>
          <w:iCs/>
          <w:sz w:val="22"/>
          <w:szCs w:val="22"/>
          <w:lang w:val="sk-SK"/>
        </w:rPr>
        <w:t>Pacienti s poruchou funkcie obličiek</w:t>
      </w:r>
    </w:p>
    <w:p w14:paraId="641CBA95" w14:textId="77777777" w:rsidR="0065586B" w:rsidRPr="0063664A" w:rsidRDefault="0065586B" w:rsidP="002672E5">
      <w:pPr>
        <w:rPr>
          <w:sz w:val="22"/>
          <w:szCs w:val="22"/>
          <w:lang w:val="sk-SK"/>
        </w:rPr>
      </w:pPr>
      <w:r w:rsidRPr="0063664A">
        <w:rPr>
          <w:sz w:val="22"/>
          <w:szCs w:val="22"/>
          <w:lang w:val="sk-SK"/>
        </w:rPr>
        <w:t>Vykonala sa štúdia s cieľom zhodnotiť a porovnať farmakokinetický profil opakovaných perorálnych dávok 500 mg klaritromycínu u jedincov s normálnou a zníženou funkciou obličiek. Plazmatické koncentrácie, polčas a C</w:t>
      </w:r>
      <w:r w:rsidRPr="0063664A">
        <w:rPr>
          <w:sz w:val="22"/>
          <w:szCs w:val="22"/>
          <w:vertAlign w:val="subscript"/>
          <w:lang w:val="sk-SK"/>
        </w:rPr>
        <w:t>max</w:t>
      </w:r>
      <w:r w:rsidRPr="0063664A">
        <w:rPr>
          <w:sz w:val="22"/>
          <w:szCs w:val="22"/>
          <w:lang w:val="sk-SK"/>
        </w:rPr>
        <w:t>, C</w:t>
      </w:r>
      <w:r w:rsidRPr="0063664A">
        <w:rPr>
          <w:sz w:val="22"/>
          <w:szCs w:val="22"/>
          <w:vertAlign w:val="subscript"/>
          <w:lang w:val="sk-SK"/>
        </w:rPr>
        <w:t xml:space="preserve">min </w:t>
      </w:r>
      <w:r w:rsidRPr="0063664A">
        <w:rPr>
          <w:sz w:val="22"/>
          <w:szCs w:val="22"/>
          <w:lang w:val="sk-SK"/>
        </w:rPr>
        <w:t>klaritromycínu a jeho 14-hydroxymetabolitu boli vyššie a AUC väčšie u jedincov s poruchou funkcie obličiek. K</w:t>
      </w:r>
      <w:r w:rsidRPr="0063664A">
        <w:rPr>
          <w:sz w:val="22"/>
          <w:szCs w:val="22"/>
          <w:vertAlign w:val="subscript"/>
          <w:lang w:val="sk-SK"/>
        </w:rPr>
        <w:t xml:space="preserve">elim </w:t>
      </w:r>
      <w:r w:rsidRPr="0063664A">
        <w:rPr>
          <w:sz w:val="22"/>
          <w:szCs w:val="22"/>
          <w:lang w:val="sk-SK"/>
        </w:rPr>
        <w:t>a vylučovanie močom boli nižšie. Rozsah rozdielov v týchto parametroch závisel od stupňa poruchy funkcie obličiek. Čím závažnejšia bola porucha funkcie obličiek, tým boli rozdiely výraznejšie (pozri časť</w:t>
      </w:r>
      <w:r w:rsidR="001313AD" w:rsidRPr="0063664A">
        <w:rPr>
          <w:sz w:val="22"/>
          <w:szCs w:val="22"/>
          <w:lang w:val="sk-SK"/>
        </w:rPr>
        <w:t> </w:t>
      </w:r>
      <w:r w:rsidRPr="0063664A">
        <w:rPr>
          <w:sz w:val="22"/>
          <w:szCs w:val="22"/>
          <w:lang w:val="sk-SK"/>
        </w:rPr>
        <w:t>4.2).</w:t>
      </w:r>
    </w:p>
    <w:p w14:paraId="3D2EC510" w14:textId="77777777" w:rsidR="0065586B" w:rsidRPr="0063664A" w:rsidRDefault="0065586B" w:rsidP="002672E5">
      <w:pPr>
        <w:rPr>
          <w:sz w:val="22"/>
          <w:szCs w:val="22"/>
          <w:lang w:val="sk-SK"/>
        </w:rPr>
      </w:pPr>
    </w:p>
    <w:p w14:paraId="464AD5F9" w14:textId="55943AFD" w:rsidR="0065586B" w:rsidRPr="0063664A" w:rsidRDefault="0065586B" w:rsidP="00881CF1">
      <w:pPr>
        <w:keepNext/>
        <w:rPr>
          <w:i/>
          <w:iCs/>
          <w:sz w:val="22"/>
          <w:szCs w:val="22"/>
          <w:lang w:val="sk-SK"/>
        </w:rPr>
      </w:pPr>
      <w:r w:rsidRPr="00827FF8">
        <w:rPr>
          <w:rFonts w:cs="Arial"/>
          <w:i/>
          <w:sz w:val="22"/>
          <w:lang w:val="sk-SK"/>
        </w:rPr>
        <w:t>Starší pacienti</w:t>
      </w:r>
    </w:p>
    <w:p w14:paraId="3FFF7F28" w14:textId="77777777" w:rsidR="0065586B" w:rsidRPr="0063664A" w:rsidRDefault="0065586B" w:rsidP="002672E5">
      <w:pPr>
        <w:rPr>
          <w:bCs/>
          <w:sz w:val="22"/>
          <w:szCs w:val="22"/>
          <w:lang w:val="sk-SK"/>
        </w:rPr>
      </w:pPr>
      <w:r w:rsidRPr="0063664A">
        <w:rPr>
          <w:bCs/>
          <w:sz w:val="22"/>
          <w:szCs w:val="22"/>
          <w:lang w:val="sk-SK"/>
        </w:rPr>
        <w:t>Vykonala sa štúdia s cieľom vyhodnotiť a porovnať bezpečnosť a farmakokinetický profil opakovaných perorálnych dávok 500</w:t>
      </w:r>
      <w:r w:rsidRPr="0063664A">
        <w:rPr>
          <w:sz w:val="22"/>
          <w:szCs w:val="22"/>
          <w:lang w:val="sk-SK"/>
        </w:rPr>
        <w:t> </w:t>
      </w:r>
      <w:r w:rsidRPr="0063664A">
        <w:rPr>
          <w:bCs/>
          <w:sz w:val="22"/>
          <w:szCs w:val="22"/>
          <w:lang w:val="sk-SK"/>
        </w:rPr>
        <w:t xml:space="preserve">mg </w:t>
      </w:r>
      <w:r w:rsidRPr="0063664A">
        <w:rPr>
          <w:sz w:val="22"/>
          <w:szCs w:val="22"/>
          <w:lang w:val="sk-SK"/>
        </w:rPr>
        <w:t>klaritromycínu u zdravých starších mužov a žien v porovnaní so zdravými mladými dospelými mužmi. V skupine starších jedincov boli plazmatické koncentrácie cirkulujúceho klaritromycínu a 14-hydroxymetabolitu vyššie a ich vylučovanie pomalšie ako v skupine mladších jedincov. Avšak medzi oboma skupinami nebol rozdiel, ak sa sledovala korelácia renálneho klírensu s klírensom kreatinínu. Z týchto výsledkov vyplýva, že úprava dávkovania klaritromycínu má byť podmienená funkciou obličiek a</w:t>
      </w:r>
      <w:r w:rsidR="001313AD" w:rsidRPr="0063664A">
        <w:rPr>
          <w:sz w:val="22"/>
          <w:szCs w:val="22"/>
          <w:lang w:val="sk-SK"/>
        </w:rPr>
        <w:t> </w:t>
      </w:r>
      <w:r w:rsidRPr="0063664A">
        <w:rPr>
          <w:sz w:val="22"/>
          <w:szCs w:val="22"/>
          <w:lang w:val="sk-SK"/>
        </w:rPr>
        <w:t>nie vekom.</w:t>
      </w:r>
    </w:p>
    <w:p w14:paraId="47BE093B" w14:textId="77777777" w:rsidR="0065586B" w:rsidRPr="0063664A" w:rsidRDefault="0065586B" w:rsidP="002672E5">
      <w:pPr>
        <w:rPr>
          <w:sz w:val="22"/>
          <w:szCs w:val="22"/>
          <w:lang w:val="sk-SK"/>
        </w:rPr>
      </w:pPr>
    </w:p>
    <w:p w14:paraId="60750542" w14:textId="77777777" w:rsidR="0065586B" w:rsidRPr="0063664A" w:rsidRDefault="0065586B" w:rsidP="00881CF1">
      <w:pPr>
        <w:keepNext/>
        <w:rPr>
          <w:i/>
          <w:sz w:val="22"/>
          <w:szCs w:val="22"/>
          <w:lang w:val="sk-SK"/>
        </w:rPr>
      </w:pPr>
      <w:r w:rsidRPr="0063664A">
        <w:rPr>
          <w:i/>
          <w:sz w:val="22"/>
          <w:szCs w:val="22"/>
          <w:lang w:val="sk-SK"/>
        </w:rPr>
        <w:t>Infekcie vyvolané Mycobacterium avium</w:t>
      </w:r>
    </w:p>
    <w:p w14:paraId="0457933E" w14:textId="77777777" w:rsidR="0065586B" w:rsidRPr="0063664A" w:rsidRDefault="0065586B" w:rsidP="002672E5">
      <w:pPr>
        <w:rPr>
          <w:sz w:val="22"/>
          <w:szCs w:val="22"/>
          <w:lang w:val="sk-SK"/>
        </w:rPr>
      </w:pPr>
      <w:r w:rsidRPr="0063664A">
        <w:rPr>
          <w:sz w:val="22"/>
          <w:szCs w:val="22"/>
          <w:lang w:val="sk-SK"/>
        </w:rPr>
        <w:t>Rovnovážne koncentrácie klaritromycínu a 14-hydroxyklaritromycínu po podávaní 500mg dávok klaritromycínu každých 12 hodín dospelým pacientom s HIV infekciou boli podobné koncentráciám pozorovaným u zdravých jedincov. Avšak pri vyšších dávkach, ktoré môžu byť potrebné na liečbu mykobakteriálnych infekcií, boli koncentrácie klaritromycínu omnoho vyššie ako pri zvyčajnom dávkovaní. U dospelých pacientov s infekciou HIV, ktorí dostávali 1 000 mg alebo 2 000 mg klaritromycínu denne v dvoch rozdelených dávkach, bola C</w:t>
      </w:r>
      <w:r w:rsidRPr="0063664A">
        <w:rPr>
          <w:sz w:val="22"/>
          <w:szCs w:val="22"/>
          <w:vertAlign w:val="subscript"/>
          <w:lang w:val="sk-SK"/>
        </w:rPr>
        <w:t xml:space="preserve">max </w:t>
      </w:r>
      <w:r w:rsidRPr="0063664A">
        <w:rPr>
          <w:sz w:val="22"/>
          <w:szCs w:val="22"/>
          <w:lang w:val="sk-SK"/>
        </w:rPr>
        <w:t>klaritromycínu v rovnovážnom stave v rozmedzí 2 až 4 μg/ml alebo 5 až 10 μg/ml. Polčasy eliminácie sa pri týchto vyšších dávkach zdali predĺžené v porovnaní so zvyčajným dávkovaním u zdravých jedincov. Vyššie plazmatické koncentrácie a dlhšie polčasy eliminácie klaritromycínu, pozorované pri týchto dávkach, sú dané jeho známou nelineárnou farmakokinetikou.</w:t>
      </w:r>
    </w:p>
    <w:p w14:paraId="2EB851F8" w14:textId="77777777" w:rsidR="0065586B" w:rsidRPr="0063664A" w:rsidRDefault="0065586B" w:rsidP="002672E5">
      <w:pPr>
        <w:rPr>
          <w:sz w:val="22"/>
          <w:szCs w:val="22"/>
          <w:lang w:val="sk-SK"/>
        </w:rPr>
      </w:pPr>
    </w:p>
    <w:p w14:paraId="702D6385" w14:textId="77777777" w:rsidR="0065586B" w:rsidRPr="0063664A" w:rsidRDefault="0065586B" w:rsidP="009B7F59">
      <w:pPr>
        <w:keepNext/>
        <w:rPr>
          <w:b/>
          <w:i/>
          <w:sz w:val="22"/>
          <w:szCs w:val="22"/>
          <w:lang w:val="sk-SK"/>
        </w:rPr>
      </w:pPr>
      <w:r w:rsidRPr="0063664A">
        <w:rPr>
          <w:b/>
          <w:i/>
          <w:sz w:val="22"/>
          <w:szCs w:val="22"/>
          <w:lang w:val="sk-SK"/>
        </w:rPr>
        <w:t>Farmakokinetika klaritromycínu podávaného súbežne s omeprazolom</w:t>
      </w:r>
    </w:p>
    <w:p w14:paraId="184FC9A6" w14:textId="77777777" w:rsidR="0065586B" w:rsidRPr="0063664A" w:rsidRDefault="0065586B" w:rsidP="002672E5">
      <w:pPr>
        <w:rPr>
          <w:sz w:val="22"/>
          <w:szCs w:val="22"/>
          <w:lang w:val="sk-SK"/>
        </w:rPr>
      </w:pPr>
      <w:r w:rsidRPr="0063664A">
        <w:rPr>
          <w:sz w:val="22"/>
          <w:szCs w:val="22"/>
          <w:lang w:val="sk-SK"/>
        </w:rPr>
        <w:t>Vykonala sa farmakokinetická štúdia klaritromycínu, podávaného v dávke 500 mg 3-krát denne súbežne s omeprazolom v dávke 40 mg 1-krát denne. Pri podávaní samotného klaritromycínu v dávke 500 mg každých 8 hodín bola priemerná C</w:t>
      </w:r>
      <w:r w:rsidRPr="0063664A">
        <w:rPr>
          <w:sz w:val="22"/>
          <w:szCs w:val="22"/>
          <w:vertAlign w:val="subscript"/>
          <w:lang w:val="sk-SK"/>
        </w:rPr>
        <w:t>max</w:t>
      </w:r>
      <w:r w:rsidRPr="0063664A">
        <w:rPr>
          <w:sz w:val="22"/>
          <w:szCs w:val="22"/>
          <w:lang w:val="sk-SK"/>
        </w:rPr>
        <w:t xml:space="preserve"> v rovnovážnom stave približne 3,8 μg/ml a priemerná C</w:t>
      </w:r>
      <w:r w:rsidRPr="0063664A">
        <w:rPr>
          <w:sz w:val="22"/>
          <w:szCs w:val="22"/>
          <w:vertAlign w:val="subscript"/>
          <w:lang w:val="sk-SK"/>
        </w:rPr>
        <w:t>min</w:t>
      </w:r>
      <w:r w:rsidRPr="0063664A">
        <w:rPr>
          <w:sz w:val="22"/>
          <w:szCs w:val="22"/>
          <w:lang w:val="sk-SK"/>
        </w:rPr>
        <w:t xml:space="preserve"> približne 1,8 μg/ml. Priemerná AUC</w:t>
      </w:r>
      <w:r w:rsidRPr="0063664A">
        <w:rPr>
          <w:sz w:val="22"/>
          <w:szCs w:val="22"/>
          <w:vertAlign w:val="subscript"/>
          <w:lang w:val="sk-SK"/>
        </w:rPr>
        <w:t>0-8</w:t>
      </w:r>
      <w:r w:rsidRPr="0063664A">
        <w:rPr>
          <w:sz w:val="22"/>
          <w:szCs w:val="22"/>
          <w:lang w:val="sk-SK"/>
        </w:rPr>
        <w:t xml:space="preserve"> pre klaritromycín bola 22,9 μg/hod/ml. Pri dávke klaritromycínu 500 mg 3-krát denne bol t</w:t>
      </w:r>
      <w:r w:rsidRPr="0063664A">
        <w:rPr>
          <w:sz w:val="22"/>
          <w:szCs w:val="22"/>
          <w:vertAlign w:val="subscript"/>
          <w:lang w:val="sk-SK"/>
        </w:rPr>
        <w:t>max</w:t>
      </w:r>
      <w:r w:rsidRPr="0063664A">
        <w:rPr>
          <w:sz w:val="22"/>
          <w:szCs w:val="22"/>
          <w:lang w:val="sk-SK"/>
        </w:rPr>
        <w:t xml:space="preserve"> 2,1 hodiny a</w:t>
      </w:r>
      <w:r w:rsidR="001313AD" w:rsidRPr="0063664A">
        <w:rPr>
          <w:sz w:val="22"/>
          <w:szCs w:val="22"/>
          <w:lang w:val="sk-SK"/>
        </w:rPr>
        <w:t> </w:t>
      </w:r>
      <w:r w:rsidRPr="0063664A">
        <w:rPr>
          <w:sz w:val="22"/>
          <w:szCs w:val="22"/>
          <w:lang w:val="sk-SK"/>
        </w:rPr>
        <w:t>polčas 5,3 hodiny.</w:t>
      </w:r>
    </w:p>
    <w:p w14:paraId="47F7A12C" w14:textId="77777777" w:rsidR="0065586B" w:rsidRPr="0063664A" w:rsidRDefault="0065586B" w:rsidP="002672E5">
      <w:pPr>
        <w:rPr>
          <w:sz w:val="22"/>
          <w:szCs w:val="22"/>
          <w:lang w:val="sk-SK"/>
        </w:rPr>
      </w:pPr>
    </w:p>
    <w:p w14:paraId="01EEF3D9" w14:textId="77777777" w:rsidR="0065586B" w:rsidRPr="0063664A" w:rsidRDefault="0065586B" w:rsidP="002672E5">
      <w:pPr>
        <w:rPr>
          <w:sz w:val="22"/>
          <w:szCs w:val="22"/>
          <w:lang w:val="sk-SK"/>
        </w:rPr>
      </w:pPr>
      <w:r w:rsidRPr="0063664A">
        <w:rPr>
          <w:sz w:val="22"/>
          <w:szCs w:val="22"/>
          <w:lang w:val="sk-SK"/>
        </w:rPr>
        <w:t>V tej istej štúdii sa pri súbežnom podávaní klaritromycínu 500 mg 3-krát denne a omeprazolu 40 mg 1-krát denne zistilo predĺženie polčasu a zvýšenie AUC</w:t>
      </w:r>
      <w:r w:rsidRPr="0063664A">
        <w:rPr>
          <w:sz w:val="22"/>
          <w:szCs w:val="22"/>
          <w:vertAlign w:val="subscript"/>
          <w:lang w:val="sk-SK"/>
        </w:rPr>
        <w:t>0-24</w:t>
      </w:r>
      <w:r w:rsidRPr="0063664A">
        <w:rPr>
          <w:sz w:val="22"/>
          <w:szCs w:val="22"/>
          <w:lang w:val="sk-SK"/>
        </w:rPr>
        <w:t xml:space="preserve"> omeprazolu. U všetkých jedincov bola </w:t>
      </w:r>
      <w:r w:rsidRPr="0063664A">
        <w:rPr>
          <w:sz w:val="22"/>
          <w:szCs w:val="22"/>
          <w:lang w:val="sk-SK"/>
        </w:rPr>
        <w:lastRenderedPageBreak/>
        <w:t>priemerná AUC</w:t>
      </w:r>
      <w:r w:rsidRPr="0063664A">
        <w:rPr>
          <w:sz w:val="22"/>
          <w:szCs w:val="22"/>
          <w:vertAlign w:val="subscript"/>
          <w:lang w:val="sk-SK"/>
        </w:rPr>
        <w:t>0-24</w:t>
      </w:r>
      <w:r w:rsidRPr="0063664A">
        <w:rPr>
          <w:sz w:val="22"/>
          <w:szCs w:val="22"/>
          <w:lang w:val="sk-SK"/>
        </w:rPr>
        <w:t xml:space="preserve"> omeprazolu o 89 % vyššia a harmonický priemer t</w:t>
      </w:r>
      <w:r w:rsidRPr="0063664A">
        <w:rPr>
          <w:sz w:val="22"/>
          <w:szCs w:val="22"/>
          <w:vertAlign w:val="subscript"/>
          <w:lang w:val="sk-SK"/>
        </w:rPr>
        <w:t>1/2</w:t>
      </w:r>
      <w:r w:rsidRPr="0063664A">
        <w:rPr>
          <w:sz w:val="22"/>
          <w:szCs w:val="22"/>
          <w:lang w:val="sk-SK"/>
        </w:rPr>
        <w:t xml:space="preserve"> omeprazolu bol o 34 % vyšší pri podávaní súbežne s klaritromycínom ako pri podávaní samotného omeprazolu. Pri podávaní klaritromycínu s omeprazolom sa C</w:t>
      </w:r>
      <w:r w:rsidRPr="0063664A">
        <w:rPr>
          <w:sz w:val="22"/>
          <w:szCs w:val="22"/>
          <w:vertAlign w:val="subscript"/>
          <w:lang w:val="sk-SK"/>
        </w:rPr>
        <w:t>max</w:t>
      </w:r>
      <w:r w:rsidRPr="0063664A">
        <w:rPr>
          <w:sz w:val="22"/>
          <w:szCs w:val="22"/>
          <w:lang w:val="sk-SK"/>
        </w:rPr>
        <w:t>, C</w:t>
      </w:r>
      <w:r w:rsidRPr="0063664A">
        <w:rPr>
          <w:sz w:val="22"/>
          <w:szCs w:val="22"/>
          <w:vertAlign w:val="subscript"/>
          <w:lang w:val="sk-SK"/>
        </w:rPr>
        <w:t>min</w:t>
      </w:r>
      <w:r w:rsidRPr="0063664A">
        <w:rPr>
          <w:sz w:val="22"/>
          <w:szCs w:val="22"/>
          <w:lang w:val="sk-SK"/>
        </w:rPr>
        <w:t xml:space="preserve"> a AUC</w:t>
      </w:r>
      <w:r w:rsidRPr="0063664A">
        <w:rPr>
          <w:sz w:val="22"/>
          <w:szCs w:val="22"/>
          <w:vertAlign w:val="subscript"/>
          <w:lang w:val="sk-SK"/>
        </w:rPr>
        <w:t>0-8</w:t>
      </w:r>
      <w:r w:rsidRPr="0063664A">
        <w:rPr>
          <w:sz w:val="22"/>
          <w:szCs w:val="22"/>
          <w:lang w:val="sk-SK"/>
        </w:rPr>
        <w:t xml:space="preserve"> klaritromycínu v rovnovážnom stave zvýšili o 10 %, 27 % a 15 % v porovnaní s hodnotami dosiahnutými pri podávaní klaritromycínu s placebom.</w:t>
      </w:r>
    </w:p>
    <w:p w14:paraId="470D7DA9" w14:textId="77777777" w:rsidR="0065586B" w:rsidRPr="0063664A" w:rsidRDefault="0065586B" w:rsidP="002672E5">
      <w:pPr>
        <w:rPr>
          <w:sz w:val="22"/>
          <w:szCs w:val="22"/>
          <w:lang w:val="sk-SK"/>
        </w:rPr>
      </w:pPr>
    </w:p>
    <w:p w14:paraId="6B9A8E37" w14:textId="77777777" w:rsidR="0065586B" w:rsidRPr="0063664A" w:rsidRDefault="0065586B" w:rsidP="002672E5">
      <w:pPr>
        <w:rPr>
          <w:sz w:val="22"/>
          <w:szCs w:val="22"/>
          <w:lang w:val="sk-SK"/>
        </w:rPr>
      </w:pPr>
      <w:r w:rsidRPr="0063664A">
        <w:rPr>
          <w:sz w:val="22"/>
          <w:szCs w:val="22"/>
          <w:lang w:val="sk-SK"/>
        </w:rPr>
        <w:t>Koncentrácie klaritromycínu v rovnovážnom stave v žalúdočnej sliznici boli 6 hodín po podaní dávky približne 25-násobne vyššie v skupine užívajúcej klaritromycín a omeprazol v porovnaní so skupinou, ktorá užívala samotný omeprazol. Priemerné koncentrácie klaritromycínu v žalúdočnom tkanive 6 hodín po podaní dávky klaritromycínu s omeprazolom boli približne dvojnásobne vyššie ako pri podaní klaritromycínu s placebom.</w:t>
      </w:r>
    </w:p>
    <w:p w14:paraId="234ED250" w14:textId="77777777" w:rsidR="0065586B" w:rsidRPr="0063664A" w:rsidRDefault="0065586B" w:rsidP="002672E5">
      <w:pPr>
        <w:rPr>
          <w:sz w:val="22"/>
          <w:szCs w:val="22"/>
          <w:lang w:val="sk-SK"/>
        </w:rPr>
      </w:pPr>
    </w:p>
    <w:p w14:paraId="21E70422" w14:textId="77777777" w:rsidR="0065586B" w:rsidRPr="0063664A" w:rsidRDefault="0065586B" w:rsidP="0063664A">
      <w:pPr>
        <w:keepNext/>
        <w:tabs>
          <w:tab w:val="left" w:pos="567"/>
        </w:tabs>
        <w:ind w:left="567" w:hanging="567"/>
        <w:rPr>
          <w:b/>
          <w:sz w:val="22"/>
          <w:lang w:val="sk-SK"/>
        </w:rPr>
      </w:pPr>
      <w:r w:rsidRPr="0063664A">
        <w:rPr>
          <w:b/>
          <w:sz w:val="22"/>
          <w:szCs w:val="22"/>
          <w:lang w:val="sk-SK"/>
        </w:rPr>
        <w:t>5.3</w:t>
      </w:r>
      <w:r w:rsidRPr="0063664A">
        <w:rPr>
          <w:b/>
          <w:sz w:val="22"/>
          <w:szCs w:val="22"/>
          <w:lang w:val="sk-SK"/>
        </w:rPr>
        <w:tab/>
      </w:r>
      <w:r w:rsidRPr="0063664A">
        <w:rPr>
          <w:b/>
          <w:sz w:val="22"/>
          <w:lang w:val="sk-SK"/>
        </w:rPr>
        <w:t>Predklinické údaje o</w:t>
      </w:r>
      <w:r w:rsidR="001313AD" w:rsidRPr="0063664A">
        <w:rPr>
          <w:b/>
          <w:sz w:val="22"/>
          <w:lang w:val="sk-SK"/>
        </w:rPr>
        <w:t> </w:t>
      </w:r>
      <w:r w:rsidRPr="0063664A">
        <w:rPr>
          <w:b/>
          <w:sz w:val="22"/>
          <w:lang w:val="sk-SK"/>
        </w:rPr>
        <w:t>bezpečnosti</w:t>
      </w:r>
    </w:p>
    <w:p w14:paraId="36964140" w14:textId="0FD9E073" w:rsidR="0065586B" w:rsidRPr="0063664A" w:rsidRDefault="0065586B" w:rsidP="00881CF1">
      <w:pPr>
        <w:keepNext/>
        <w:rPr>
          <w:bCs/>
          <w:sz w:val="22"/>
          <w:szCs w:val="22"/>
          <w:lang w:val="sk-SK"/>
        </w:rPr>
      </w:pPr>
    </w:p>
    <w:p w14:paraId="3D52173B" w14:textId="77777777" w:rsidR="0065586B" w:rsidRPr="0063664A" w:rsidRDefault="0065586B" w:rsidP="00881CF1">
      <w:pPr>
        <w:keepNext/>
        <w:rPr>
          <w:bCs/>
          <w:i/>
          <w:iCs/>
          <w:sz w:val="22"/>
          <w:szCs w:val="22"/>
          <w:lang w:val="sk-SK"/>
        </w:rPr>
      </w:pPr>
      <w:r w:rsidRPr="0063664A">
        <w:rPr>
          <w:bCs/>
          <w:i/>
          <w:iCs/>
          <w:sz w:val="22"/>
          <w:szCs w:val="22"/>
          <w:lang w:val="sk-SK"/>
        </w:rPr>
        <w:t>Akútna, subchronická a chronická toxicita</w:t>
      </w:r>
    </w:p>
    <w:p w14:paraId="11520A41" w14:textId="77777777" w:rsidR="0065586B" w:rsidRPr="0063664A" w:rsidRDefault="0065586B" w:rsidP="002672E5">
      <w:pPr>
        <w:rPr>
          <w:sz w:val="22"/>
          <w:szCs w:val="22"/>
          <w:lang w:val="sk-SK"/>
        </w:rPr>
      </w:pPr>
      <w:r w:rsidRPr="0063664A">
        <w:rPr>
          <w:sz w:val="22"/>
          <w:szCs w:val="22"/>
          <w:lang w:val="sk-SK"/>
        </w:rPr>
        <w:t>S perorálne podávaným klaritromycínom sa vykonali štúdie na myšiach, potkanoch, psoch a/alebo opiciach. Dĺžka podávania sa pohybovala od jednorazovej perorálnej dávky až po opakované denné perorálne podávanie počas 6 po sebe nasledujúcich mesiacov.</w:t>
      </w:r>
    </w:p>
    <w:p w14:paraId="13600E99" w14:textId="77777777" w:rsidR="0065586B" w:rsidRPr="0063664A" w:rsidRDefault="0065586B" w:rsidP="002672E5">
      <w:pPr>
        <w:rPr>
          <w:sz w:val="22"/>
          <w:szCs w:val="22"/>
          <w:lang w:val="sk-SK"/>
        </w:rPr>
      </w:pPr>
    </w:p>
    <w:p w14:paraId="671CB2C9" w14:textId="77777777" w:rsidR="0065586B" w:rsidRPr="0063664A" w:rsidRDefault="0065586B" w:rsidP="002672E5">
      <w:pPr>
        <w:rPr>
          <w:sz w:val="22"/>
          <w:szCs w:val="22"/>
          <w:lang w:val="sk-SK"/>
        </w:rPr>
      </w:pPr>
      <w:r w:rsidRPr="0063664A">
        <w:rPr>
          <w:sz w:val="22"/>
          <w:szCs w:val="22"/>
          <w:lang w:val="sk-SK"/>
        </w:rPr>
        <w:t>V štúdiách akútnej toxicity na myšiach a potkanoch po jednorazovom podaní dávky 5 g/kg telesnej hmotnosti nazogastrickou sondou zahynul jeden potkan ale žiadna myš. Stredná letálna dávka bola teda vyššia ako 5 g/kg, čo je maximálna možná dávka na jednorazové podanie.</w:t>
      </w:r>
    </w:p>
    <w:p w14:paraId="5303B37E" w14:textId="77777777" w:rsidR="0065586B" w:rsidRPr="0063664A" w:rsidRDefault="0065586B" w:rsidP="002672E5">
      <w:pPr>
        <w:rPr>
          <w:sz w:val="22"/>
          <w:szCs w:val="22"/>
          <w:lang w:val="sk-SK"/>
        </w:rPr>
      </w:pPr>
    </w:p>
    <w:p w14:paraId="5009C6E2" w14:textId="77777777" w:rsidR="0065586B" w:rsidRPr="0063664A" w:rsidRDefault="0065586B" w:rsidP="002672E5">
      <w:pPr>
        <w:rPr>
          <w:sz w:val="22"/>
          <w:szCs w:val="22"/>
          <w:lang w:val="sk-SK"/>
        </w:rPr>
      </w:pPr>
      <w:r w:rsidRPr="0063664A">
        <w:rPr>
          <w:sz w:val="22"/>
          <w:szCs w:val="22"/>
          <w:lang w:val="sk-SK"/>
        </w:rPr>
        <w:t>Pri podávaní klaritromycínu primátom v dávke 100 mg/kg/deň počas 14 dní alebo 35 mg/kg/deň počas 1 mesiaca sa nezaznamenali žiadne nežiaduce účinky. Nežiaduce účinky sa nepozorovali ani u potkanov pri podávaní dávky 75 mg/kg/deň počas 1 mesiaca, 35 mg/kg/deň počas 3 mesiacov alebo 8 mg/kg/deň počas 6 mesiacov. Psy boli na klaritromycín citlivejšie, bez výskytu nežiaducich účinkov tolerovali dávku 50 mg/kg/deň počas 14 dní, 10 mg/kg/deň počas 1 a 3 mesiacov a dávku 4 mg/kg/deň počas 6 mesiacov.</w:t>
      </w:r>
    </w:p>
    <w:p w14:paraId="221FAB56" w14:textId="77777777" w:rsidR="0065586B" w:rsidRPr="0063664A" w:rsidRDefault="0065586B" w:rsidP="002672E5">
      <w:pPr>
        <w:rPr>
          <w:sz w:val="22"/>
          <w:szCs w:val="22"/>
          <w:lang w:val="sk-SK"/>
        </w:rPr>
      </w:pPr>
    </w:p>
    <w:p w14:paraId="33FCD6EA" w14:textId="77777777" w:rsidR="0065586B" w:rsidRPr="0063664A" w:rsidRDefault="0065586B" w:rsidP="002672E5">
      <w:pPr>
        <w:rPr>
          <w:sz w:val="22"/>
          <w:szCs w:val="22"/>
          <w:lang w:val="sk-SK"/>
        </w:rPr>
      </w:pPr>
      <w:r w:rsidRPr="0063664A">
        <w:rPr>
          <w:sz w:val="22"/>
          <w:szCs w:val="22"/>
          <w:lang w:val="sk-SK"/>
        </w:rPr>
        <w:t>Medzi hlavné klinické prejavy toxických dávok vo vyššie uvedených štúdiách patrilo vracanie, slabosť, znížený príjem potravy, zníženie prírastku na hmotnosti, salivácia, dehydratácia a hyperaktivita. Dve z 10 opíc, ktorým sa podávala dávka 400 mg/kg/deň uhynuli na 8. deň štúdie</w:t>
      </w:r>
      <w:r w:rsidRPr="0063664A">
        <w:rPr>
          <w:sz w:val="22"/>
          <w:szCs w:val="22"/>
          <w:lang w:val="sk-SK"/>
        </w:rPr>
        <w:sym w:font="Symbol" w:char="F03B"/>
      </w:r>
      <w:r w:rsidRPr="0063664A">
        <w:rPr>
          <w:sz w:val="22"/>
          <w:szCs w:val="22"/>
          <w:lang w:val="sk-SK"/>
        </w:rPr>
        <w:t xml:space="preserve"> stolice niektorých prežívajúcich opíc, ktoré dostávali dávku 400 mg/kg/deň počas 28 dní, boli sfarbené do žlta.</w:t>
      </w:r>
    </w:p>
    <w:p w14:paraId="05CD8C3A" w14:textId="77777777" w:rsidR="0065586B" w:rsidRPr="0063664A" w:rsidRDefault="0065586B" w:rsidP="002672E5">
      <w:pPr>
        <w:rPr>
          <w:sz w:val="22"/>
          <w:szCs w:val="22"/>
          <w:lang w:val="sk-SK"/>
        </w:rPr>
      </w:pPr>
    </w:p>
    <w:p w14:paraId="39894FE8" w14:textId="77777777" w:rsidR="0065586B" w:rsidRPr="0063664A" w:rsidRDefault="0065586B" w:rsidP="002672E5">
      <w:pPr>
        <w:rPr>
          <w:sz w:val="22"/>
          <w:szCs w:val="22"/>
          <w:lang w:val="sk-SK"/>
        </w:rPr>
      </w:pPr>
      <w:r w:rsidRPr="0063664A">
        <w:rPr>
          <w:sz w:val="22"/>
          <w:szCs w:val="22"/>
          <w:lang w:val="sk-SK"/>
        </w:rPr>
        <w:t>Primárne postihnutým orgánom pri toxických dávkach bola u všetkých živočíšnych druhov pečeň. Rozvoj hepatotoxicity sa u všetkých živočíšnych druhov prejavil prvotným zvýšením plazmatických koncentrácií alkalickej fosfatázy, alanínaminotransferázy a aspartátaminotransferázy, gamaglutamyltransferázy a/alebo laktátdehydrogenázy. Po prerušení podávania lieku sa tieto parametre zvyčajne upravili na normálne hodnoty, alebo sa im priblížili.</w:t>
      </w:r>
    </w:p>
    <w:p w14:paraId="63CB5204" w14:textId="77777777" w:rsidR="0065586B" w:rsidRPr="0063664A" w:rsidRDefault="0065586B" w:rsidP="002672E5">
      <w:pPr>
        <w:rPr>
          <w:sz w:val="22"/>
          <w:szCs w:val="22"/>
          <w:lang w:val="sk-SK"/>
        </w:rPr>
      </w:pPr>
    </w:p>
    <w:p w14:paraId="0A166263" w14:textId="77777777" w:rsidR="0065586B" w:rsidRPr="0063664A" w:rsidRDefault="0065586B" w:rsidP="002672E5">
      <w:pPr>
        <w:rPr>
          <w:sz w:val="22"/>
          <w:szCs w:val="22"/>
          <w:lang w:val="sk-SK"/>
        </w:rPr>
      </w:pPr>
      <w:r w:rsidRPr="0063664A">
        <w:rPr>
          <w:sz w:val="22"/>
          <w:szCs w:val="22"/>
          <w:lang w:val="sk-SK"/>
        </w:rPr>
        <w:t>K ďalším tkanivám, menej často postihnutým v rôznych štúdiách, patril žalúdok, týmus a iné lymfatické tkanivá a obličky. Prekrvenie spojoviek a slzenie, po dávkach približujúcich sa liečebným, sa vyskytlo len u psov. Pri vysokej dávke 400 mg/kg/deň sa u niektorých psov a opíc vyvinul zákal rohovky a/alebo edém.</w:t>
      </w:r>
    </w:p>
    <w:p w14:paraId="17C917E8" w14:textId="77777777" w:rsidR="0065586B" w:rsidRPr="0063664A" w:rsidRDefault="0065586B" w:rsidP="002672E5">
      <w:pPr>
        <w:rPr>
          <w:sz w:val="22"/>
          <w:szCs w:val="22"/>
          <w:lang w:val="sk-SK"/>
        </w:rPr>
      </w:pPr>
    </w:p>
    <w:p w14:paraId="18A6CBA4" w14:textId="77777777" w:rsidR="0065586B" w:rsidRPr="0063664A" w:rsidRDefault="0065586B" w:rsidP="00881CF1">
      <w:pPr>
        <w:keepNext/>
        <w:rPr>
          <w:i/>
          <w:sz w:val="22"/>
          <w:szCs w:val="22"/>
          <w:lang w:val="sk-SK"/>
        </w:rPr>
      </w:pPr>
      <w:r w:rsidRPr="0063664A">
        <w:rPr>
          <w:i/>
          <w:sz w:val="22"/>
          <w:szCs w:val="22"/>
          <w:lang w:val="sk-SK"/>
        </w:rPr>
        <w:t>Fertilita, reprodukcia a</w:t>
      </w:r>
      <w:r w:rsidR="001313AD" w:rsidRPr="0063664A">
        <w:rPr>
          <w:i/>
          <w:sz w:val="22"/>
          <w:szCs w:val="22"/>
          <w:lang w:val="sk-SK"/>
        </w:rPr>
        <w:t> </w:t>
      </w:r>
      <w:r w:rsidRPr="0063664A">
        <w:rPr>
          <w:i/>
          <w:sz w:val="22"/>
          <w:szCs w:val="22"/>
          <w:lang w:val="sk-SK"/>
        </w:rPr>
        <w:t>teratogenita</w:t>
      </w:r>
    </w:p>
    <w:p w14:paraId="51DF1A6F" w14:textId="77777777" w:rsidR="0065586B" w:rsidRPr="0063664A" w:rsidRDefault="0065586B" w:rsidP="002672E5">
      <w:pPr>
        <w:rPr>
          <w:sz w:val="22"/>
          <w:szCs w:val="22"/>
          <w:lang w:val="sk-SK"/>
        </w:rPr>
      </w:pPr>
      <w:r w:rsidRPr="0063664A">
        <w:rPr>
          <w:sz w:val="22"/>
          <w:szCs w:val="22"/>
          <w:lang w:val="sk-SK"/>
        </w:rPr>
        <w:t xml:space="preserve">Štúdie fertility a reprodukčné štúdie preukázali, že denná dávka 150 až 160 mg/kg/deň, podávaná samcom a samiciam potkanov, nemala nežiaduce účinky na pohlavný cyklus, plodnosť, pôrod, počet a životaschopnosť potomstva. Teratogenita klaritromycínu sa nepreukázala v dvoch štúdiách teratogenity na potkanoch typu Wistar (perorálne podanie) a Sprague-Dawley (perorálne a intravenózne podanie), v jednej štúdii na novozélandských bielych králikoch a jednej štúdii na opiciach cynomolgus. Len v jednej ďalšej štúdii na potkanoch Sprague-Dawley s podobnými dávkami a za približne rovnakých podmienok sa zaznamenala veľmi nízka, štatisticky nevýznamná incidencia (približne 6 %) anomálií kardiovaskulárneho systému. Tieto anomálie boli pravdepodobne spôsobené spontánnou kombináciou genetických zmien vo vnútri kolónie. V dvoch štúdiách na myšiach sa tiež objavil rázštep podnebia s rôznou incidenciou (3 až 30 %) po dávkach 70-krát vyšších ako je horná hranica obvyklej dennej klinickej dávky u ľudí (500 mg 2-krát denne), avšak nie po 35-násobku maximálnej dennej klinickej dávky u ľudí, čo poukazuje na toxicitu </w:t>
      </w:r>
      <w:r w:rsidR="008F3266" w:rsidRPr="0063664A">
        <w:rPr>
          <w:sz w:val="22"/>
          <w:szCs w:val="22"/>
          <w:lang w:val="sk-SK"/>
        </w:rPr>
        <w:t>pre</w:t>
      </w:r>
      <w:r w:rsidRPr="0063664A">
        <w:rPr>
          <w:sz w:val="22"/>
          <w:szCs w:val="22"/>
          <w:lang w:val="sk-SK"/>
        </w:rPr>
        <w:t xml:space="preserve"> matku a plod, ale nie na teratogenitu.</w:t>
      </w:r>
    </w:p>
    <w:p w14:paraId="7705F594" w14:textId="77777777" w:rsidR="0065586B" w:rsidRPr="0063664A" w:rsidRDefault="0065586B" w:rsidP="002672E5">
      <w:pPr>
        <w:rPr>
          <w:sz w:val="22"/>
          <w:szCs w:val="22"/>
          <w:lang w:val="sk-SK"/>
        </w:rPr>
      </w:pPr>
    </w:p>
    <w:p w14:paraId="3AAB2621" w14:textId="77777777" w:rsidR="0065586B" w:rsidRPr="0063664A" w:rsidRDefault="0065586B" w:rsidP="002672E5">
      <w:pPr>
        <w:rPr>
          <w:sz w:val="22"/>
          <w:szCs w:val="22"/>
          <w:lang w:val="sk-SK"/>
        </w:rPr>
      </w:pPr>
      <w:r w:rsidRPr="0063664A">
        <w:rPr>
          <w:sz w:val="22"/>
          <w:szCs w:val="22"/>
          <w:lang w:val="sk-SK"/>
        </w:rPr>
        <w:t>Klaritromycín vyvoláva stratu embryí u opíc, ak sa podáva približne desaťnásobok hornej hranice zvyčajnej dennej dávky u ľudí (500 mg 2-krát denne), počínajúc dvadsiatym dňom gestácie. Tento účinok sa pripisuje toxickému vplyvu liečiva na matku pri veľmi vysokých dávkach. V ďalšej štúdii na gravidných opiciach sa pri dávkovaní 2,5- až 5-krát vyššom, ako je maximálna predpokladaná denná dávka, neobjavilo žiadne zvláštne riziko pre embryo.</w:t>
      </w:r>
    </w:p>
    <w:p w14:paraId="52E2811A" w14:textId="77777777" w:rsidR="0065586B" w:rsidRPr="0063664A" w:rsidRDefault="0065586B" w:rsidP="002672E5">
      <w:pPr>
        <w:rPr>
          <w:sz w:val="22"/>
          <w:szCs w:val="22"/>
          <w:lang w:val="sk-SK"/>
        </w:rPr>
      </w:pPr>
    </w:p>
    <w:p w14:paraId="567F965D" w14:textId="77777777" w:rsidR="0065586B" w:rsidRPr="0063664A" w:rsidRDefault="0065586B" w:rsidP="002672E5">
      <w:pPr>
        <w:rPr>
          <w:sz w:val="22"/>
          <w:szCs w:val="22"/>
          <w:lang w:val="sk-SK"/>
        </w:rPr>
      </w:pPr>
      <w:r w:rsidRPr="0063664A">
        <w:rPr>
          <w:sz w:val="22"/>
          <w:szCs w:val="22"/>
          <w:lang w:val="sk-SK"/>
        </w:rPr>
        <w:t>Hlavný test letality na myšiach, v ktorom sa podávala dávka 1 000 mg/kg/deň (približne 70-násobok maximálnej dennej klinickej dávky u ľudí), bol jednoznačne negatívny pokiaľ ide o akýkoľvek mutagénny účinok. V štúdii Segment I na potkanoch, ktoré dostávali 80 dní dávku do 500 mg/kg/deň (približne 35-násobok maximálnej dennej klinickej dávky u ľudí), sa nepreukázala funkčná porucha fertility samcov pri dlhodobej expozícii takýmto veľmi vysokým dávkam klaritromycínu.</w:t>
      </w:r>
    </w:p>
    <w:p w14:paraId="77B85868" w14:textId="77777777" w:rsidR="0065586B" w:rsidRPr="0063664A" w:rsidRDefault="0065586B" w:rsidP="002672E5">
      <w:pPr>
        <w:rPr>
          <w:iCs/>
          <w:sz w:val="22"/>
          <w:szCs w:val="22"/>
          <w:lang w:val="sk-SK"/>
        </w:rPr>
      </w:pPr>
    </w:p>
    <w:p w14:paraId="762479D3" w14:textId="77777777" w:rsidR="0065586B" w:rsidRPr="0063664A" w:rsidRDefault="0065586B" w:rsidP="00881CF1">
      <w:pPr>
        <w:keepNext/>
        <w:rPr>
          <w:i/>
          <w:sz w:val="22"/>
          <w:szCs w:val="22"/>
          <w:lang w:val="sk-SK"/>
        </w:rPr>
      </w:pPr>
      <w:r w:rsidRPr="0063664A">
        <w:rPr>
          <w:i/>
          <w:sz w:val="22"/>
          <w:szCs w:val="22"/>
          <w:lang w:val="sk-SK"/>
        </w:rPr>
        <w:t>Mutagenita</w:t>
      </w:r>
    </w:p>
    <w:p w14:paraId="70629128" w14:textId="77777777" w:rsidR="0065586B" w:rsidRPr="0063664A" w:rsidRDefault="0065586B" w:rsidP="002672E5">
      <w:pPr>
        <w:rPr>
          <w:sz w:val="22"/>
          <w:szCs w:val="22"/>
          <w:lang w:val="sk-SK"/>
        </w:rPr>
      </w:pPr>
      <w:r w:rsidRPr="0063664A">
        <w:rPr>
          <w:sz w:val="22"/>
          <w:szCs w:val="22"/>
          <w:lang w:val="sk-SK"/>
        </w:rPr>
        <w:t>Štúdie na posúdenie mutagénneho potenciálu klaritromycínu sa vykonali na neaktivovaných a aktivovaných pečeňových potkaních mikrozómoch (Amesov test). Výsledky týchto štúdií nepreukázali žiadny mutagénny potenciál klaritromycínu pri koncentráciách 25 μg a menej na Petriho misku. Pri koncentrácii 50 μg na Petriho misku bol klaritromycín toxický pre všetky testované kmene.</w:t>
      </w:r>
    </w:p>
    <w:p w14:paraId="10678EF7" w14:textId="77777777" w:rsidR="0065586B" w:rsidRPr="0063664A" w:rsidRDefault="0065586B" w:rsidP="002672E5">
      <w:pPr>
        <w:rPr>
          <w:bCs/>
          <w:sz w:val="22"/>
          <w:szCs w:val="22"/>
          <w:lang w:val="sk-SK"/>
        </w:rPr>
      </w:pPr>
    </w:p>
    <w:p w14:paraId="6FE44EB4" w14:textId="77777777" w:rsidR="0065586B" w:rsidRPr="0063664A" w:rsidRDefault="0065586B" w:rsidP="002672E5">
      <w:pPr>
        <w:rPr>
          <w:bCs/>
          <w:sz w:val="22"/>
          <w:szCs w:val="22"/>
          <w:lang w:val="sk-SK"/>
        </w:rPr>
      </w:pPr>
    </w:p>
    <w:p w14:paraId="24AC3957" w14:textId="77777777" w:rsidR="0065586B" w:rsidRPr="0063664A" w:rsidRDefault="0065586B" w:rsidP="0063664A">
      <w:pPr>
        <w:keepNext/>
        <w:numPr>
          <w:ilvl w:val="0"/>
          <w:numId w:val="3"/>
        </w:numPr>
        <w:tabs>
          <w:tab w:val="clear" w:pos="360"/>
          <w:tab w:val="num" w:pos="567"/>
        </w:tabs>
        <w:ind w:left="567" w:hanging="567"/>
        <w:rPr>
          <w:b/>
          <w:caps/>
          <w:sz w:val="22"/>
          <w:lang w:val="sk-SK"/>
        </w:rPr>
      </w:pPr>
      <w:r w:rsidRPr="0063664A">
        <w:rPr>
          <w:b/>
          <w:caps/>
          <w:sz w:val="22"/>
          <w:szCs w:val="22"/>
          <w:lang w:val="sk-SK"/>
        </w:rPr>
        <w:t>farmaceutické</w:t>
      </w:r>
      <w:r w:rsidRPr="0063664A">
        <w:rPr>
          <w:b/>
          <w:caps/>
          <w:sz w:val="22"/>
          <w:lang w:val="sk-SK"/>
        </w:rPr>
        <w:t xml:space="preserve"> informácie</w:t>
      </w:r>
    </w:p>
    <w:p w14:paraId="7E209272" w14:textId="77777777" w:rsidR="0065586B" w:rsidRPr="0063664A" w:rsidRDefault="0065586B" w:rsidP="002672E5">
      <w:pPr>
        <w:ind w:right="-2"/>
        <w:rPr>
          <w:bCs/>
          <w:sz w:val="22"/>
          <w:szCs w:val="22"/>
          <w:lang w:val="sk-SK"/>
        </w:rPr>
      </w:pPr>
    </w:p>
    <w:p w14:paraId="429F296F" w14:textId="77777777" w:rsidR="0065586B" w:rsidRPr="0063664A" w:rsidRDefault="0065586B" w:rsidP="0063664A">
      <w:pPr>
        <w:keepNext/>
        <w:tabs>
          <w:tab w:val="left" w:pos="567"/>
        </w:tabs>
        <w:ind w:left="567" w:hanging="567"/>
        <w:rPr>
          <w:b/>
          <w:sz w:val="22"/>
          <w:lang w:val="sk-SK"/>
        </w:rPr>
      </w:pPr>
      <w:r w:rsidRPr="0063664A">
        <w:rPr>
          <w:b/>
          <w:sz w:val="22"/>
          <w:szCs w:val="22"/>
          <w:lang w:val="sk-SK"/>
        </w:rPr>
        <w:t>6.1</w:t>
      </w:r>
      <w:r w:rsidRPr="0063664A">
        <w:rPr>
          <w:b/>
          <w:sz w:val="22"/>
          <w:szCs w:val="22"/>
          <w:lang w:val="sk-SK"/>
        </w:rPr>
        <w:tab/>
      </w:r>
      <w:r w:rsidRPr="0063664A">
        <w:rPr>
          <w:b/>
          <w:sz w:val="22"/>
          <w:lang w:val="sk-SK"/>
        </w:rPr>
        <w:t>Zoznam pomocných látok</w:t>
      </w:r>
    </w:p>
    <w:p w14:paraId="6F055147" w14:textId="77777777" w:rsidR="0065586B" w:rsidRPr="0063664A" w:rsidRDefault="0065586B" w:rsidP="00881CF1">
      <w:pPr>
        <w:keepNext/>
        <w:rPr>
          <w:sz w:val="22"/>
          <w:szCs w:val="22"/>
          <w:lang w:val="sk-SK"/>
        </w:rPr>
      </w:pPr>
    </w:p>
    <w:p w14:paraId="3A0BF559" w14:textId="77777777" w:rsidR="0065586B" w:rsidRPr="0063664A" w:rsidRDefault="0065586B" w:rsidP="00881CF1">
      <w:pPr>
        <w:keepNext/>
        <w:rPr>
          <w:sz w:val="22"/>
          <w:szCs w:val="22"/>
          <w:u w:val="single"/>
          <w:lang w:val="sk-SK"/>
        </w:rPr>
      </w:pPr>
      <w:r w:rsidRPr="0063664A">
        <w:rPr>
          <w:sz w:val="22"/>
          <w:szCs w:val="22"/>
          <w:u w:val="single"/>
          <w:lang w:val="sk-SK"/>
        </w:rPr>
        <w:t>Jadro tablety</w:t>
      </w:r>
    </w:p>
    <w:p w14:paraId="77D0282D" w14:textId="77777777" w:rsidR="008A3F60" w:rsidRPr="0063664A" w:rsidRDefault="0065586B" w:rsidP="002672E5">
      <w:pPr>
        <w:rPr>
          <w:sz w:val="22"/>
          <w:szCs w:val="22"/>
          <w:lang w:val="sk-SK"/>
        </w:rPr>
      </w:pPr>
      <w:r w:rsidRPr="0063664A">
        <w:rPr>
          <w:sz w:val="22"/>
          <w:szCs w:val="22"/>
          <w:lang w:val="sk-SK"/>
        </w:rPr>
        <w:t>sodná soľ kroskarmelózy</w:t>
      </w:r>
    </w:p>
    <w:p w14:paraId="07A2462E" w14:textId="77777777" w:rsidR="0065586B" w:rsidRPr="0063664A" w:rsidRDefault="0065586B" w:rsidP="002672E5">
      <w:pPr>
        <w:rPr>
          <w:sz w:val="22"/>
          <w:szCs w:val="22"/>
          <w:lang w:val="sk-SK"/>
        </w:rPr>
      </w:pPr>
      <w:r w:rsidRPr="0063664A">
        <w:rPr>
          <w:sz w:val="22"/>
          <w:szCs w:val="22"/>
          <w:lang w:val="sk-SK"/>
        </w:rPr>
        <w:t>mikrokryštalická celulóza</w:t>
      </w:r>
    </w:p>
    <w:p w14:paraId="776B01B0" w14:textId="77777777" w:rsidR="0065586B" w:rsidRPr="0063664A" w:rsidRDefault="0065586B" w:rsidP="002672E5">
      <w:pPr>
        <w:rPr>
          <w:sz w:val="22"/>
          <w:szCs w:val="22"/>
          <w:lang w:val="sk-SK"/>
        </w:rPr>
      </w:pPr>
      <w:r w:rsidRPr="0063664A">
        <w:rPr>
          <w:sz w:val="22"/>
          <w:szCs w:val="22"/>
          <w:lang w:val="sk-SK"/>
        </w:rPr>
        <w:t>koloidný oxid kremičitý bezvodý</w:t>
      </w:r>
    </w:p>
    <w:p w14:paraId="5F2CB8DE" w14:textId="77777777" w:rsidR="0065586B" w:rsidRPr="0063664A" w:rsidRDefault="0073385A" w:rsidP="002672E5">
      <w:pPr>
        <w:rPr>
          <w:sz w:val="22"/>
          <w:szCs w:val="22"/>
          <w:lang w:val="sk-SK"/>
        </w:rPr>
      </w:pPr>
      <w:r w:rsidRPr="0063664A">
        <w:rPr>
          <w:sz w:val="22"/>
          <w:szCs w:val="22"/>
          <w:lang w:val="sk-SK"/>
        </w:rPr>
        <w:t>stear</w:t>
      </w:r>
      <w:r w:rsidR="00137F26" w:rsidRPr="0063664A">
        <w:rPr>
          <w:sz w:val="22"/>
          <w:szCs w:val="22"/>
          <w:lang w:val="sk-SK"/>
        </w:rPr>
        <w:t>át</w:t>
      </w:r>
      <w:r w:rsidRPr="0063664A">
        <w:rPr>
          <w:sz w:val="22"/>
          <w:szCs w:val="22"/>
          <w:lang w:val="sk-SK"/>
        </w:rPr>
        <w:t xml:space="preserve"> horečnatý</w:t>
      </w:r>
    </w:p>
    <w:p w14:paraId="51BD0745" w14:textId="77777777" w:rsidR="0065586B" w:rsidRPr="0063664A" w:rsidRDefault="0065586B" w:rsidP="002672E5">
      <w:pPr>
        <w:autoSpaceDE w:val="0"/>
        <w:autoSpaceDN w:val="0"/>
        <w:adjustRightInd w:val="0"/>
        <w:rPr>
          <w:bCs/>
          <w:sz w:val="22"/>
          <w:szCs w:val="22"/>
          <w:lang w:val="sk-SK"/>
        </w:rPr>
      </w:pPr>
      <w:r w:rsidRPr="0063664A">
        <w:rPr>
          <w:sz w:val="22"/>
          <w:szCs w:val="22"/>
          <w:lang w:val="sk-SK"/>
        </w:rPr>
        <w:t>mastenec</w:t>
      </w:r>
    </w:p>
    <w:p w14:paraId="5BCCCE1D" w14:textId="77777777" w:rsidR="0065586B" w:rsidRPr="0063664A" w:rsidRDefault="0065586B" w:rsidP="002672E5">
      <w:pPr>
        <w:rPr>
          <w:sz w:val="22"/>
          <w:szCs w:val="22"/>
          <w:u w:val="single"/>
          <w:lang w:val="sk-SK"/>
        </w:rPr>
      </w:pPr>
    </w:p>
    <w:p w14:paraId="5B0C0587" w14:textId="77777777" w:rsidR="00BE1EED" w:rsidRPr="0063664A" w:rsidRDefault="00BE1EED" w:rsidP="00BE1EED">
      <w:pPr>
        <w:pStyle w:val="Styl3"/>
        <w:spacing w:before="0" w:after="0"/>
        <w:rPr>
          <w:rFonts w:eastAsia="Times New Roman"/>
          <w:szCs w:val="22"/>
        </w:rPr>
      </w:pPr>
      <w:r w:rsidRPr="0063664A">
        <w:rPr>
          <w:rFonts w:eastAsia="Times New Roman"/>
          <w:szCs w:val="22"/>
        </w:rPr>
        <w:t xml:space="preserve">Obal tablety </w:t>
      </w:r>
    </w:p>
    <w:p w14:paraId="773CE175" w14:textId="77777777" w:rsidR="00BE1EED" w:rsidRPr="0063664A" w:rsidRDefault="00BE1EED" w:rsidP="00BE1EED">
      <w:pPr>
        <w:pStyle w:val="Styl3"/>
        <w:spacing w:before="0" w:after="0"/>
        <w:rPr>
          <w:rFonts w:eastAsia="Times New Roman"/>
          <w:szCs w:val="22"/>
        </w:rPr>
      </w:pPr>
      <w:r w:rsidRPr="0063664A">
        <w:rPr>
          <w:rFonts w:eastAsia="Times New Roman"/>
          <w:szCs w:val="22"/>
        </w:rPr>
        <w:t>hypromelóza</w:t>
      </w:r>
    </w:p>
    <w:p w14:paraId="75A24867" w14:textId="77777777" w:rsidR="00BE1EED" w:rsidRPr="0063664A" w:rsidRDefault="00BE1EED" w:rsidP="00BE1EED">
      <w:pPr>
        <w:pStyle w:val="Normlndobloku"/>
      </w:pPr>
      <w:r w:rsidRPr="0063664A">
        <w:t>propylénglykol</w:t>
      </w:r>
    </w:p>
    <w:p w14:paraId="6DC07DD8" w14:textId="77777777" w:rsidR="00BE1EED" w:rsidRPr="0063664A" w:rsidRDefault="00BE1EED" w:rsidP="00BE1EED">
      <w:pPr>
        <w:pStyle w:val="Normlndobloku"/>
      </w:pPr>
      <w:r w:rsidRPr="0063664A">
        <w:t>sorbitanoleát</w:t>
      </w:r>
    </w:p>
    <w:p w14:paraId="0CA8AD00" w14:textId="77777777" w:rsidR="00BE1EED" w:rsidRPr="0063664A" w:rsidRDefault="00BE1EED" w:rsidP="00BE1EED">
      <w:pPr>
        <w:pStyle w:val="Normlndobloku"/>
      </w:pPr>
      <w:r w:rsidRPr="0063664A">
        <w:t>vanilková aróma v prášku</w:t>
      </w:r>
    </w:p>
    <w:p w14:paraId="3E019146" w14:textId="77777777" w:rsidR="00BE1EED" w:rsidRPr="0063664A" w:rsidRDefault="00BE1EED" w:rsidP="00BE1EED">
      <w:pPr>
        <w:pStyle w:val="Normlndobloku"/>
      </w:pPr>
      <w:r w:rsidRPr="0063664A">
        <w:t>oxid titaničitý (E171)</w:t>
      </w:r>
    </w:p>
    <w:p w14:paraId="5D2EEDB7" w14:textId="77777777" w:rsidR="00BE1EED" w:rsidRPr="0063664A" w:rsidRDefault="00BE1EED" w:rsidP="00BE1EED">
      <w:pPr>
        <w:pStyle w:val="Normlndobloku"/>
      </w:pPr>
      <w:r w:rsidRPr="0063664A">
        <w:t>hlinitý lak chinolínovej žltej (E104)</w:t>
      </w:r>
    </w:p>
    <w:p w14:paraId="6C6263AA" w14:textId="77777777" w:rsidR="00BE1EED" w:rsidRPr="0063664A" w:rsidRDefault="00BE1EED" w:rsidP="00BE1EED">
      <w:pPr>
        <w:pStyle w:val="Normlndobloku"/>
      </w:pPr>
      <w:r w:rsidRPr="0063664A">
        <w:t>hyprolóza</w:t>
      </w:r>
    </w:p>
    <w:p w14:paraId="159656F7" w14:textId="77777777" w:rsidR="00BE1EED" w:rsidRPr="0063664A" w:rsidRDefault="00BE1EED" w:rsidP="00BE1EED">
      <w:pPr>
        <w:pStyle w:val="Normlndobloku"/>
      </w:pPr>
      <w:r w:rsidRPr="0063664A">
        <w:t>kyselina sorbová</w:t>
      </w:r>
    </w:p>
    <w:p w14:paraId="4392EBEA" w14:textId="77777777" w:rsidR="0065586B" w:rsidRPr="0063664A" w:rsidRDefault="0065586B" w:rsidP="002672E5">
      <w:pPr>
        <w:rPr>
          <w:sz w:val="22"/>
          <w:szCs w:val="22"/>
          <w:lang w:val="sk-SK"/>
        </w:rPr>
      </w:pPr>
    </w:p>
    <w:p w14:paraId="767153F6" w14:textId="77777777" w:rsidR="0065586B" w:rsidRPr="0063664A" w:rsidRDefault="0065586B" w:rsidP="0063664A">
      <w:pPr>
        <w:keepNext/>
        <w:tabs>
          <w:tab w:val="left" w:pos="567"/>
        </w:tabs>
        <w:ind w:left="567" w:hanging="567"/>
        <w:rPr>
          <w:sz w:val="22"/>
          <w:lang w:val="sk-SK"/>
        </w:rPr>
      </w:pPr>
      <w:r w:rsidRPr="0063664A">
        <w:rPr>
          <w:b/>
          <w:sz w:val="22"/>
          <w:szCs w:val="22"/>
          <w:lang w:val="sk-SK"/>
        </w:rPr>
        <w:t>6.2</w:t>
      </w:r>
      <w:r w:rsidRPr="0063664A">
        <w:rPr>
          <w:b/>
          <w:sz w:val="22"/>
          <w:szCs w:val="22"/>
          <w:lang w:val="sk-SK"/>
        </w:rPr>
        <w:tab/>
      </w:r>
      <w:r w:rsidRPr="0063664A">
        <w:rPr>
          <w:b/>
          <w:sz w:val="22"/>
          <w:lang w:val="sk-SK"/>
        </w:rPr>
        <w:t>Inkompatibility</w:t>
      </w:r>
    </w:p>
    <w:p w14:paraId="74AEEA0B" w14:textId="77777777" w:rsidR="0065586B" w:rsidRPr="0063664A" w:rsidRDefault="0065586B" w:rsidP="00881CF1">
      <w:pPr>
        <w:keepNext/>
        <w:rPr>
          <w:sz w:val="22"/>
          <w:szCs w:val="22"/>
          <w:lang w:val="sk-SK"/>
        </w:rPr>
      </w:pPr>
    </w:p>
    <w:p w14:paraId="75559490" w14:textId="77777777" w:rsidR="0065586B" w:rsidRPr="0063664A" w:rsidRDefault="0065586B" w:rsidP="002672E5">
      <w:pPr>
        <w:rPr>
          <w:sz w:val="22"/>
          <w:szCs w:val="22"/>
          <w:lang w:val="sk-SK"/>
        </w:rPr>
      </w:pPr>
      <w:r w:rsidRPr="0063664A">
        <w:rPr>
          <w:sz w:val="22"/>
          <w:szCs w:val="22"/>
          <w:lang w:val="sk-SK"/>
        </w:rPr>
        <w:t>Neaplikovateľné.</w:t>
      </w:r>
    </w:p>
    <w:p w14:paraId="6F316028" w14:textId="77777777" w:rsidR="0065586B" w:rsidRPr="0063664A" w:rsidRDefault="0065586B" w:rsidP="002672E5">
      <w:pPr>
        <w:rPr>
          <w:sz w:val="22"/>
          <w:szCs w:val="22"/>
          <w:lang w:val="sk-SK"/>
        </w:rPr>
      </w:pPr>
    </w:p>
    <w:p w14:paraId="5442C482" w14:textId="77777777" w:rsidR="0065586B" w:rsidRPr="0063664A" w:rsidRDefault="0065586B" w:rsidP="0063664A">
      <w:pPr>
        <w:keepNext/>
        <w:tabs>
          <w:tab w:val="left" w:pos="567"/>
        </w:tabs>
        <w:ind w:left="567" w:hanging="567"/>
        <w:rPr>
          <w:b/>
          <w:sz w:val="22"/>
          <w:lang w:val="sk-SK"/>
        </w:rPr>
      </w:pPr>
      <w:r w:rsidRPr="0063664A">
        <w:rPr>
          <w:b/>
          <w:sz w:val="22"/>
          <w:szCs w:val="22"/>
          <w:lang w:val="sk-SK"/>
        </w:rPr>
        <w:t>6.3</w:t>
      </w:r>
      <w:r w:rsidRPr="0063664A">
        <w:rPr>
          <w:b/>
          <w:sz w:val="22"/>
          <w:szCs w:val="22"/>
          <w:lang w:val="sk-SK"/>
        </w:rPr>
        <w:tab/>
      </w:r>
      <w:r w:rsidRPr="0063664A">
        <w:rPr>
          <w:b/>
          <w:sz w:val="22"/>
          <w:lang w:val="sk-SK"/>
        </w:rPr>
        <w:t>Čas použiteľnosti</w:t>
      </w:r>
    </w:p>
    <w:p w14:paraId="2079914F" w14:textId="77777777" w:rsidR="0065586B" w:rsidRPr="0063664A" w:rsidRDefault="0065586B" w:rsidP="00881CF1">
      <w:pPr>
        <w:keepNext/>
        <w:rPr>
          <w:sz w:val="22"/>
          <w:szCs w:val="22"/>
          <w:lang w:val="sk-SK"/>
        </w:rPr>
      </w:pPr>
    </w:p>
    <w:p w14:paraId="72C8549E" w14:textId="77777777" w:rsidR="0065586B" w:rsidRPr="0063664A" w:rsidRDefault="00137F26" w:rsidP="002672E5">
      <w:pPr>
        <w:rPr>
          <w:sz w:val="22"/>
          <w:szCs w:val="22"/>
          <w:lang w:val="sk-SK"/>
        </w:rPr>
      </w:pPr>
      <w:r w:rsidRPr="0063664A">
        <w:rPr>
          <w:sz w:val="22"/>
          <w:szCs w:val="22"/>
          <w:lang w:val="sk-SK"/>
        </w:rPr>
        <w:t>3</w:t>
      </w:r>
      <w:r w:rsidR="001313AD" w:rsidRPr="0063664A">
        <w:rPr>
          <w:sz w:val="22"/>
          <w:szCs w:val="22"/>
          <w:lang w:val="sk-SK"/>
        </w:rPr>
        <w:t> </w:t>
      </w:r>
      <w:r w:rsidR="0065586B" w:rsidRPr="0063664A">
        <w:rPr>
          <w:sz w:val="22"/>
          <w:szCs w:val="22"/>
          <w:lang w:val="sk-SK"/>
        </w:rPr>
        <w:t>roky</w:t>
      </w:r>
    </w:p>
    <w:p w14:paraId="0A633833" w14:textId="77777777" w:rsidR="0065586B" w:rsidRPr="0063664A" w:rsidRDefault="0065586B" w:rsidP="002672E5">
      <w:pPr>
        <w:rPr>
          <w:sz w:val="22"/>
          <w:szCs w:val="22"/>
          <w:lang w:val="sk-SK"/>
        </w:rPr>
      </w:pPr>
    </w:p>
    <w:p w14:paraId="1B6FA750" w14:textId="77777777" w:rsidR="0065586B" w:rsidRPr="0063664A" w:rsidRDefault="0065586B" w:rsidP="0063664A">
      <w:pPr>
        <w:keepNext/>
        <w:tabs>
          <w:tab w:val="left" w:pos="567"/>
        </w:tabs>
        <w:ind w:left="567" w:hanging="567"/>
        <w:rPr>
          <w:sz w:val="22"/>
          <w:lang w:val="sk-SK"/>
        </w:rPr>
      </w:pPr>
      <w:r w:rsidRPr="0063664A">
        <w:rPr>
          <w:b/>
          <w:sz w:val="22"/>
          <w:szCs w:val="22"/>
          <w:lang w:val="sk-SK"/>
        </w:rPr>
        <w:t>6.4</w:t>
      </w:r>
      <w:r w:rsidRPr="0063664A">
        <w:rPr>
          <w:b/>
          <w:sz w:val="22"/>
          <w:szCs w:val="22"/>
          <w:lang w:val="sk-SK"/>
        </w:rPr>
        <w:tab/>
      </w:r>
      <w:r w:rsidRPr="0063664A">
        <w:rPr>
          <w:b/>
          <w:sz w:val="22"/>
          <w:lang w:val="sk-SK"/>
        </w:rPr>
        <w:t>Špeciálne upozornenia na uchovávanie</w:t>
      </w:r>
    </w:p>
    <w:p w14:paraId="2572770A" w14:textId="77777777" w:rsidR="0065586B" w:rsidRPr="0063664A" w:rsidRDefault="0065586B" w:rsidP="00881CF1">
      <w:pPr>
        <w:keepNext/>
        <w:rPr>
          <w:sz w:val="22"/>
          <w:szCs w:val="22"/>
          <w:lang w:val="sk-SK"/>
        </w:rPr>
      </w:pPr>
    </w:p>
    <w:p w14:paraId="334D7F58" w14:textId="7B62A03E" w:rsidR="0065586B" w:rsidRPr="0063664A" w:rsidRDefault="0065586B" w:rsidP="0063664A">
      <w:pPr>
        <w:rPr>
          <w:sz w:val="22"/>
          <w:lang w:val="sk-SK"/>
        </w:rPr>
      </w:pPr>
      <w:r w:rsidRPr="0063664A">
        <w:rPr>
          <w:sz w:val="22"/>
          <w:lang w:val="sk-SK"/>
        </w:rPr>
        <w:t xml:space="preserve">Uchovávajte pri teplote </w:t>
      </w:r>
      <w:r w:rsidR="00137F26" w:rsidRPr="0063664A">
        <w:rPr>
          <w:sz w:val="22"/>
          <w:lang w:val="sk-SK"/>
        </w:rPr>
        <w:t xml:space="preserve">do </w:t>
      </w:r>
      <w:r w:rsidRPr="0063664A">
        <w:rPr>
          <w:sz w:val="22"/>
          <w:lang w:val="sk-SK"/>
        </w:rPr>
        <w:t>30</w:t>
      </w:r>
      <w:r w:rsidRPr="0063664A">
        <w:rPr>
          <w:sz w:val="22"/>
          <w:szCs w:val="22"/>
          <w:lang w:val="sk-SK"/>
        </w:rPr>
        <w:t> </w:t>
      </w:r>
      <w:r w:rsidRPr="0063664A">
        <w:rPr>
          <w:sz w:val="22"/>
          <w:lang w:val="sk-SK"/>
        </w:rPr>
        <w:t>°C v</w:t>
      </w:r>
      <w:r w:rsidRPr="0063664A">
        <w:rPr>
          <w:sz w:val="22"/>
          <w:szCs w:val="22"/>
          <w:lang w:val="sk-SK"/>
        </w:rPr>
        <w:t> </w:t>
      </w:r>
      <w:r w:rsidRPr="0063664A">
        <w:rPr>
          <w:sz w:val="22"/>
          <w:lang w:val="sk-SK"/>
        </w:rPr>
        <w:t>pôvodnom obale na ochranu pred svetlom a</w:t>
      </w:r>
      <w:r w:rsidR="001313AD" w:rsidRPr="0063664A">
        <w:rPr>
          <w:sz w:val="22"/>
          <w:szCs w:val="22"/>
          <w:lang w:val="sk-SK"/>
        </w:rPr>
        <w:t> </w:t>
      </w:r>
      <w:r w:rsidRPr="0063664A">
        <w:rPr>
          <w:sz w:val="22"/>
          <w:lang w:val="sk-SK"/>
        </w:rPr>
        <w:t>vlhkosťou.</w:t>
      </w:r>
    </w:p>
    <w:p w14:paraId="3F1B1C19" w14:textId="77777777" w:rsidR="0065586B" w:rsidRPr="0063664A" w:rsidRDefault="0065586B" w:rsidP="002672E5">
      <w:pPr>
        <w:rPr>
          <w:sz w:val="22"/>
          <w:szCs w:val="22"/>
          <w:lang w:val="sk-SK"/>
        </w:rPr>
      </w:pPr>
    </w:p>
    <w:p w14:paraId="0E11CFB7" w14:textId="77777777" w:rsidR="0065586B" w:rsidRPr="0063664A" w:rsidRDefault="0065586B" w:rsidP="00881CF1">
      <w:pPr>
        <w:keepNext/>
        <w:tabs>
          <w:tab w:val="left" w:pos="567"/>
        </w:tabs>
        <w:ind w:left="567" w:hanging="567"/>
        <w:rPr>
          <w:b/>
          <w:sz w:val="22"/>
          <w:szCs w:val="22"/>
          <w:lang w:val="sk-SK"/>
        </w:rPr>
      </w:pPr>
      <w:r w:rsidRPr="0063664A">
        <w:rPr>
          <w:b/>
          <w:sz w:val="22"/>
          <w:szCs w:val="22"/>
          <w:lang w:val="sk-SK"/>
        </w:rPr>
        <w:t>6.5</w:t>
      </w:r>
      <w:r w:rsidRPr="0063664A">
        <w:rPr>
          <w:b/>
          <w:sz w:val="22"/>
          <w:szCs w:val="22"/>
          <w:lang w:val="sk-SK"/>
        </w:rPr>
        <w:tab/>
      </w:r>
      <w:r w:rsidRPr="0063664A">
        <w:rPr>
          <w:b/>
          <w:sz w:val="22"/>
          <w:lang w:val="sk-SK"/>
        </w:rPr>
        <w:t>Druh obalu a</w:t>
      </w:r>
      <w:r w:rsidR="001313AD" w:rsidRPr="0063664A">
        <w:rPr>
          <w:b/>
          <w:sz w:val="22"/>
          <w:lang w:val="sk-SK"/>
        </w:rPr>
        <w:t> </w:t>
      </w:r>
      <w:r w:rsidRPr="0063664A">
        <w:rPr>
          <w:b/>
          <w:sz w:val="22"/>
          <w:lang w:val="sk-SK"/>
        </w:rPr>
        <w:t>obsah balenia</w:t>
      </w:r>
    </w:p>
    <w:p w14:paraId="5C5A50C8" w14:textId="77777777" w:rsidR="0065586B" w:rsidRPr="0063664A" w:rsidRDefault="0065586B" w:rsidP="0063664A">
      <w:pPr>
        <w:keepNext/>
        <w:rPr>
          <w:sz w:val="22"/>
          <w:lang w:val="sk-SK"/>
        </w:rPr>
      </w:pPr>
    </w:p>
    <w:p w14:paraId="0FD9F66E" w14:textId="77777777" w:rsidR="00137F26" w:rsidRPr="0063664A" w:rsidRDefault="00137F26" w:rsidP="00137F26">
      <w:pPr>
        <w:pStyle w:val="Normlndobloku"/>
      </w:pPr>
      <w:r w:rsidRPr="0063664A">
        <w:t>PVC / PVDC / Al blister, písomná informácia pre používateľov, papierová škatuľa.</w:t>
      </w:r>
    </w:p>
    <w:p w14:paraId="37CF9169" w14:textId="77777777" w:rsidR="00137F26" w:rsidRPr="0063664A" w:rsidRDefault="00137F26" w:rsidP="00137F26">
      <w:pPr>
        <w:pStyle w:val="Normlndobloku"/>
      </w:pPr>
      <w:r w:rsidRPr="0063664A">
        <w:t>Veľkosť balenia: 12, 14 a 20 tabliet.</w:t>
      </w:r>
    </w:p>
    <w:p w14:paraId="310A2C82" w14:textId="52099087" w:rsidR="00137F26" w:rsidRPr="0063664A" w:rsidRDefault="00137F26" w:rsidP="00137F26">
      <w:pPr>
        <w:pStyle w:val="Normlndobloku"/>
      </w:pPr>
      <w:r w:rsidRPr="0063664A">
        <w:lastRenderedPageBreak/>
        <w:t>Na trh nemusia byť uvedené všetky veľkosti balenia.</w:t>
      </w:r>
    </w:p>
    <w:p w14:paraId="6E5A3604" w14:textId="77777777" w:rsidR="0065586B" w:rsidRPr="0063664A" w:rsidRDefault="0065586B" w:rsidP="0063664A">
      <w:pPr>
        <w:rPr>
          <w:sz w:val="22"/>
          <w:lang w:val="sk-SK"/>
        </w:rPr>
      </w:pPr>
    </w:p>
    <w:p w14:paraId="15D7198A" w14:textId="4673357E" w:rsidR="0065586B" w:rsidRPr="0063664A" w:rsidRDefault="0065586B" w:rsidP="0063664A">
      <w:pPr>
        <w:keepNext/>
        <w:tabs>
          <w:tab w:val="left" w:pos="567"/>
        </w:tabs>
        <w:rPr>
          <w:b/>
          <w:sz w:val="22"/>
          <w:lang w:val="sk-SK"/>
        </w:rPr>
      </w:pPr>
      <w:r w:rsidRPr="0063664A">
        <w:rPr>
          <w:b/>
          <w:sz w:val="22"/>
          <w:szCs w:val="22"/>
          <w:lang w:val="sk-SK"/>
        </w:rPr>
        <w:t>6.6</w:t>
      </w:r>
      <w:r w:rsidRPr="0063664A">
        <w:rPr>
          <w:b/>
          <w:sz w:val="22"/>
          <w:szCs w:val="22"/>
          <w:lang w:val="sk-SK"/>
        </w:rPr>
        <w:tab/>
      </w:r>
      <w:r w:rsidRPr="0063664A">
        <w:rPr>
          <w:b/>
          <w:sz w:val="22"/>
          <w:lang w:val="sk-SK"/>
        </w:rPr>
        <w:t>Špeciálne opatrenia na likvidáciu a</w:t>
      </w:r>
      <w:r w:rsidRPr="0063664A">
        <w:rPr>
          <w:b/>
          <w:sz w:val="22"/>
          <w:szCs w:val="22"/>
          <w:lang w:val="sk-SK"/>
        </w:rPr>
        <w:t> </w:t>
      </w:r>
      <w:r w:rsidRPr="0063664A">
        <w:rPr>
          <w:b/>
          <w:sz w:val="22"/>
          <w:lang w:val="sk-SK"/>
        </w:rPr>
        <w:t>iné zaobchádzanie s</w:t>
      </w:r>
      <w:r w:rsidRPr="0063664A">
        <w:rPr>
          <w:b/>
          <w:sz w:val="22"/>
          <w:szCs w:val="22"/>
          <w:lang w:val="sk-SK"/>
        </w:rPr>
        <w:t> </w:t>
      </w:r>
      <w:r w:rsidRPr="0063664A">
        <w:rPr>
          <w:b/>
          <w:sz w:val="22"/>
          <w:lang w:val="sk-SK"/>
        </w:rPr>
        <w:t>liekom</w:t>
      </w:r>
    </w:p>
    <w:p w14:paraId="77FB6DC4" w14:textId="77777777" w:rsidR="0065586B" w:rsidRPr="0063664A" w:rsidRDefault="0065586B" w:rsidP="00881CF1">
      <w:pPr>
        <w:keepNext/>
        <w:rPr>
          <w:sz w:val="22"/>
          <w:szCs w:val="22"/>
          <w:lang w:val="sk-SK"/>
        </w:rPr>
      </w:pPr>
    </w:p>
    <w:p w14:paraId="03AEDF9C" w14:textId="77777777" w:rsidR="0065586B" w:rsidRPr="0063664A" w:rsidRDefault="0065586B" w:rsidP="0063664A">
      <w:pPr>
        <w:rPr>
          <w:sz w:val="22"/>
          <w:lang w:val="sk-SK"/>
        </w:rPr>
      </w:pPr>
      <w:r w:rsidRPr="0063664A">
        <w:rPr>
          <w:sz w:val="22"/>
          <w:lang w:val="sk-SK"/>
        </w:rPr>
        <w:t>Žiadne zvláštne požiadavky.</w:t>
      </w:r>
    </w:p>
    <w:p w14:paraId="66C50A42" w14:textId="77777777" w:rsidR="0065140C" w:rsidRPr="0063664A" w:rsidRDefault="0065140C" w:rsidP="0063664A">
      <w:pPr>
        <w:rPr>
          <w:sz w:val="22"/>
          <w:lang w:val="sk-SK"/>
        </w:rPr>
      </w:pPr>
    </w:p>
    <w:p w14:paraId="302774B9" w14:textId="4CD7F14C" w:rsidR="0065586B" w:rsidRPr="0063664A" w:rsidRDefault="0065586B" w:rsidP="002672E5">
      <w:pPr>
        <w:rPr>
          <w:sz w:val="22"/>
          <w:szCs w:val="22"/>
          <w:lang w:val="sk-SK"/>
        </w:rPr>
      </w:pPr>
      <w:r w:rsidRPr="0063664A">
        <w:rPr>
          <w:sz w:val="22"/>
          <w:szCs w:val="22"/>
          <w:lang w:val="sk-SK"/>
        </w:rPr>
        <w:t>Všetok nepoužitý liek alebo odpad vzniknutý z lieku sa má zlikvidovať v súlade s národnými požiadavkami.</w:t>
      </w:r>
    </w:p>
    <w:p w14:paraId="74B5A283" w14:textId="77777777" w:rsidR="0065586B" w:rsidRPr="0063664A" w:rsidRDefault="0065586B" w:rsidP="002672E5">
      <w:pPr>
        <w:rPr>
          <w:sz w:val="22"/>
          <w:szCs w:val="22"/>
          <w:lang w:val="sk-SK"/>
        </w:rPr>
      </w:pPr>
    </w:p>
    <w:p w14:paraId="77287C77" w14:textId="1350D83D" w:rsidR="0065586B" w:rsidRPr="0063664A" w:rsidRDefault="0065586B" w:rsidP="0063664A">
      <w:pPr>
        <w:keepNext/>
        <w:numPr>
          <w:ilvl w:val="0"/>
          <w:numId w:val="3"/>
        </w:numPr>
        <w:tabs>
          <w:tab w:val="clear" w:pos="360"/>
          <w:tab w:val="num" w:pos="567"/>
        </w:tabs>
        <w:ind w:left="567" w:hanging="567"/>
        <w:rPr>
          <w:b/>
          <w:sz w:val="22"/>
          <w:lang w:val="sk-SK"/>
        </w:rPr>
      </w:pPr>
      <w:r w:rsidRPr="0063664A">
        <w:rPr>
          <w:b/>
          <w:caps/>
          <w:sz w:val="22"/>
          <w:szCs w:val="22"/>
          <w:lang w:val="sk-SK"/>
        </w:rPr>
        <w:t>držiteľ</w:t>
      </w:r>
      <w:r w:rsidRPr="0063664A">
        <w:rPr>
          <w:b/>
          <w:caps/>
          <w:sz w:val="22"/>
          <w:lang w:val="sk-SK"/>
        </w:rPr>
        <w:t xml:space="preserve"> rozhodnutia o</w:t>
      </w:r>
      <w:r w:rsidR="001313AD" w:rsidRPr="0063664A">
        <w:rPr>
          <w:b/>
          <w:caps/>
          <w:sz w:val="22"/>
          <w:szCs w:val="22"/>
          <w:lang w:val="sk-SK"/>
        </w:rPr>
        <w:t> </w:t>
      </w:r>
      <w:r w:rsidRPr="0063664A">
        <w:rPr>
          <w:b/>
          <w:caps/>
          <w:sz w:val="22"/>
          <w:lang w:val="sk-SK"/>
        </w:rPr>
        <w:t>registrácii</w:t>
      </w:r>
    </w:p>
    <w:p w14:paraId="673BCB40" w14:textId="77777777" w:rsidR="0065586B" w:rsidRPr="0063664A" w:rsidRDefault="0065586B" w:rsidP="00881CF1">
      <w:pPr>
        <w:keepNext/>
        <w:rPr>
          <w:sz w:val="22"/>
          <w:szCs w:val="22"/>
          <w:lang w:val="sk-SK"/>
        </w:rPr>
      </w:pPr>
    </w:p>
    <w:p w14:paraId="7BF15759" w14:textId="1F8457A8" w:rsidR="0065140C" w:rsidRPr="0063664A" w:rsidRDefault="0065140C" w:rsidP="0065140C">
      <w:pPr>
        <w:pStyle w:val="Normlndobloku"/>
      </w:pPr>
      <w:r w:rsidRPr="0063664A">
        <w:t>MEDOCHEMIE Ltd., 1-10 Constantinoupoleos Street, 3011 Limassol, Cyprus</w:t>
      </w:r>
    </w:p>
    <w:p w14:paraId="74B0F042" w14:textId="77777777" w:rsidR="0065586B" w:rsidRPr="0063664A" w:rsidRDefault="0065586B" w:rsidP="0063664A">
      <w:pPr>
        <w:rPr>
          <w:sz w:val="22"/>
          <w:lang w:val="sk-SK"/>
        </w:rPr>
      </w:pPr>
    </w:p>
    <w:p w14:paraId="42FE08CA" w14:textId="748DAD27" w:rsidR="0065586B" w:rsidRPr="0063664A" w:rsidRDefault="0065586B" w:rsidP="002672E5">
      <w:pPr>
        <w:rPr>
          <w:sz w:val="22"/>
          <w:szCs w:val="22"/>
          <w:lang w:val="sk-SK"/>
        </w:rPr>
      </w:pPr>
    </w:p>
    <w:p w14:paraId="26A40E1E" w14:textId="77777777" w:rsidR="0065586B" w:rsidRPr="0063664A" w:rsidRDefault="0065586B" w:rsidP="00881CF1">
      <w:pPr>
        <w:keepNext/>
        <w:numPr>
          <w:ilvl w:val="0"/>
          <w:numId w:val="3"/>
        </w:numPr>
        <w:tabs>
          <w:tab w:val="clear" w:pos="360"/>
          <w:tab w:val="num" w:pos="567"/>
        </w:tabs>
        <w:ind w:left="567" w:hanging="567"/>
        <w:rPr>
          <w:b/>
          <w:sz w:val="22"/>
          <w:szCs w:val="22"/>
          <w:lang w:val="sk-SK"/>
        </w:rPr>
      </w:pPr>
      <w:r w:rsidRPr="0063664A">
        <w:rPr>
          <w:b/>
          <w:caps/>
          <w:sz w:val="22"/>
          <w:szCs w:val="22"/>
          <w:lang w:val="sk-SK"/>
        </w:rPr>
        <w:t>registračné číslo</w:t>
      </w:r>
    </w:p>
    <w:p w14:paraId="7EBE5B7A" w14:textId="77777777" w:rsidR="0065586B" w:rsidRPr="0063664A" w:rsidRDefault="0065586B" w:rsidP="00881CF1">
      <w:pPr>
        <w:keepNext/>
        <w:rPr>
          <w:sz w:val="22"/>
          <w:szCs w:val="22"/>
          <w:lang w:val="sk-SK"/>
        </w:rPr>
      </w:pPr>
    </w:p>
    <w:p w14:paraId="67C85B91" w14:textId="77777777" w:rsidR="00BE1EED" w:rsidRPr="0063664A" w:rsidRDefault="00BE1EED" w:rsidP="00BE1EED">
      <w:pPr>
        <w:pStyle w:val="Normlndobloku"/>
      </w:pPr>
      <w:r w:rsidRPr="0063664A">
        <w:t>KLERIMED 250 mg: 15/0054/04-S</w:t>
      </w:r>
    </w:p>
    <w:p w14:paraId="0C6DBA72" w14:textId="7A38A77A" w:rsidR="00BE1EED" w:rsidRPr="0063664A" w:rsidRDefault="00BE1EED" w:rsidP="00BE1EED">
      <w:pPr>
        <w:pStyle w:val="Normlndobloku"/>
      </w:pPr>
      <w:r w:rsidRPr="0063664A">
        <w:t>KLERIMED 500 mg: 15/0055/04-S</w:t>
      </w:r>
    </w:p>
    <w:p w14:paraId="6896690D" w14:textId="77777777" w:rsidR="0065586B" w:rsidRPr="0063664A" w:rsidRDefault="0065586B" w:rsidP="0063664A">
      <w:pPr>
        <w:rPr>
          <w:sz w:val="22"/>
          <w:lang w:val="sk-SK"/>
        </w:rPr>
      </w:pPr>
    </w:p>
    <w:p w14:paraId="6D48F60E" w14:textId="6A7DEC54" w:rsidR="0065586B" w:rsidRPr="0063664A" w:rsidRDefault="0065586B" w:rsidP="002672E5">
      <w:pPr>
        <w:rPr>
          <w:sz w:val="22"/>
          <w:szCs w:val="22"/>
          <w:lang w:val="sk-SK"/>
        </w:rPr>
      </w:pPr>
    </w:p>
    <w:p w14:paraId="23146B3A" w14:textId="7BE039D7" w:rsidR="0065586B" w:rsidRPr="0063664A" w:rsidRDefault="0065586B" w:rsidP="0063664A">
      <w:pPr>
        <w:keepNext/>
        <w:numPr>
          <w:ilvl w:val="0"/>
          <w:numId w:val="3"/>
        </w:numPr>
        <w:tabs>
          <w:tab w:val="clear" w:pos="360"/>
          <w:tab w:val="num" w:pos="567"/>
        </w:tabs>
        <w:ind w:left="567" w:hanging="567"/>
        <w:rPr>
          <w:b/>
          <w:caps/>
          <w:sz w:val="22"/>
          <w:lang w:val="sk-SK"/>
        </w:rPr>
      </w:pPr>
      <w:r w:rsidRPr="0063664A">
        <w:rPr>
          <w:b/>
          <w:caps/>
          <w:sz w:val="22"/>
          <w:szCs w:val="22"/>
          <w:lang w:val="sk-SK"/>
        </w:rPr>
        <w:t>dátum</w:t>
      </w:r>
      <w:r w:rsidRPr="0063664A">
        <w:rPr>
          <w:b/>
          <w:caps/>
          <w:sz w:val="22"/>
          <w:lang w:val="sk-SK"/>
        </w:rPr>
        <w:t xml:space="preserve"> PRVEJ </w:t>
      </w:r>
      <w:r w:rsidRPr="0063664A">
        <w:rPr>
          <w:b/>
          <w:caps/>
          <w:sz w:val="22"/>
          <w:szCs w:val="22"/>
          <w:lang w:val="sk-SK"/>
        </w:rPr>
        <w:t>registrácie/predĺženia registrácie</w:t>
      </w:r>
    </w:p>
    <w:p w14:paraId="61625886" w14:textId="77777777" w:rsidR="0065586B" w:rsidRPr="0063664A" w:rsidRDefault="0065586B" w:rsidP="0063664A">
      <w:pPr>
        <w:keepNext/>
        <w:rPr>
          <w:sz w:val="22"/>
          <w:lang w:val="sk-SK"/>
        </w:rPr>
      </w:pPr>
    </w:p>
    <w:p w14:paraId="14EAFF53" w14:textId="01FE03CC" w:rsidR="00BE1EED" w:rsidRPr="0063664A" w:rsidRDefault="00BE1EED" w:rsidP="00BE1EED">
      <w:pPr>
        <w:pStyle w:val="Normlndobloku"/>
      </w:pPr>
      <w:r w:rsidRPr="0063664A">
        <w:t>Dátum prvej registrácie: 17.3.2004</w:t>
      </w:r>
    </w:p>
    <w:p w14:paraId="1651C32F" w14:textId="77777777" w:rsidR="00BE1EED" w:rsidRPr="0063664A" w:rsidRDefault="00BE1EED" w:rsidP="00BE1EED">
      <w:pPr>
        <w:pStyle w:val="Normlndobloku"/>
      </w:pPr>
      <w:r w:rsidRPr="0063664A">
        <w:t>Dátum posledného predĺženia registrácie: 11.3.2009</w:t>
      </w:r>
    </w:p>
    <w:p w14:paraId="59B9A61C" w14:textId="77777777" w:rsidR="0065586B" w:rsidRPr="0063664A" w:rsidRDefault="0065586B" w:rsidP="002672E5">
      <w:pPr>
        <w:rPr>
          <w:bCs/>
          <w:sz w:val="22"/>
          <w:szCs w:val="22"/>
          <w:lang w:val="sk-SK"/>
        </w:rPr>
      </w:pPr>
    </w:p>
    <w:p w14:paraId="42265750" w14:textId="77777777" w:rsidR="0065586B" w:rsidRPr="0063664A" w:rsidRDefault="0065586B" w:rsidP="002672E5">
      <w:pPr>
        <w:rPr>
          <w:bCs/>
          <w:sz w:val="22"/>
          <w:szCs w:val="22"/>
          <w:lang w:val="sk-SK"/>
        </w:rPr>
      </w:pPr>
    </w:p>
    <w:p w14:paraId="53F07B6B" w14:textId="6417D973" w:rsidR="0065586B" w:rsidRPr="0063664A" w:rsidRDefault="0065586B" w:rsidP="0063664A">
      <w:pPr>
        <w:keepNext/>
        <w:numPr>
          <w:ilvl w:val="0"/>
          <w:numId w:val="3"/>
        </w:numPr>
        <w:tabs>
          <w:tab w:val="clear" w:pos="360"/>
          <w:tab w:val="num" w:pos="567"/>
        </w:tabs>
        <w:ind w:left="567" w:hanging="567"/>
        <w:rPr>
          <w:b/>
          <w:sz w:val="22"/>
          <w:lang w:val="sk-SK"/>
        </w:rPr>
      </w:pPr>
      <w:r w:rsidRPr="0063664A">
        <w:rPr>
          <w:b/>
          <w:caps/>
          <w:sz w:val="22"/>
          <w:szCs w:val="22"/>
          <w:lang w:val="sk-SK"/>
        </w:rPr>
        <w:t xml:space="preserve">dátum </w:t>
      </w:r>
      <w:r w:rsidRPr="0063664A">
        <w:rPr>
          <w:b/>
          <w:caps/>
          <w:sz w:val="22"/>
          <w:lang w:val="sk-SK"/>
        </w:rPr>
        <w:t>revízie textu</w:t>
      </w:r>
    </w:p>
    <w:p w14:paraId="4BBB8C2A" w14:textId="7E51C216" w:rsidR="00104674" w:rsidRPr="0063664A" w:rsidRDefault="00104674" w:rsidP="0063664A">
      <w:pPr>
        <w:keepNext/>
        <w:rPr>
          <w:sz w:val="22"/>
          <w:lang w:val="sk-SK"/>
        </w:rPr>
      </w:pPr>
    </w:p>
    <w:p w14:paraId="74FD0E5B" w14:textId="46250A57" w:rsidR="0065586B" w:rsidRPr="00827FF8" w:rsidRDefault="00405B84" w:rsidP="00827FF8">
      <w:pPr>
        <w:rPr>
          <w:szCs w:val="22"/>
        </w:rPr>
      </w:pPr>
      <w:r w:rsidRPr="00405B84">
        <w:rPr>
          <w:sz w:val="22"/>
          <w:szCs w:val="22"/>
        </w:rPr>
        <w:t>12/2020</w:t>
      </w:r>
    </w:p>
    <w:sectPr w:rsidR="0065586B" w:rsidRPr="00827FF8" w:rsidSect="0063664A">
      <w:headerReference w:type="default" r:id="rId12"/>
      <w:footerReference w:type="default" r:id="rId13"/>
      <w:headerReference w:type="first" r:id="rId14"/>
      <w:footerReference w:type="first" r:id="rId15"/>
      <w:pgSz w:w="11906" w:h="16838"/>
      <w:pgMar w:top="1134" w:right="1418" w:bottom="1134" w:left="1418" w:header="708" w:footer="708" w:gutter="0"/>
      <w:cols w:space="708" w:equalWidth="0">
        <w:col w:w="9354"/>
      </w:cols>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AFF4BD" w14:textId="77777777" w:rsidR="002F7FB0" w:rsidRDefault="002F7FB0">
      <w:r>
        <w:separator/>
      </w:r>
    </w:p>
  </w:endnote>
  <w:endnote w:type="continuationSeparator" w:id="0">
    <w:p w14:paraId="50191C03" w14:textId="77777777" w:rsidR="002F7FB0" w:rsidRDefault="002F7FB0">
      <w:r>
        <w:continuationSeparator/>
      </w:r>
    </w:p>
  </w:endnote>
  <w:endnote w:type="continuationNotice" w:id="1">
    <w:p w14:paraId="3C03195D" w14:textId="77777777" w:rsidR="002F7FB0" w:rsidRDefault="002F7F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7" w:usb1="08070000" w:usb2="00000010" w:usb3="00000000" w:csb0="0002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9CA507" w14:textId="713A5D50" w:rsidR="003469FF" w:rsidRPr="00827FF8" w:rsidRDefault="003469FF" w:rsidP="0065586B">
    <w:pPr>
      <w:pStyle w:val="Pta"/>
      <w:jc w:val="center"/>
      <w:rPr>
        <w:sz w:val="18"/>
      </w:rPr>
    </w:pPr>
    <w:r w:rsidRPr="0065586B">
      <w:rPr>
        <w:sz w:val="18"/>
        <w:szCs w:val="18"/>
      </w:rPr>
      <w:fldChar w:fldCharType="begin"/>
    </w:r>
    <w:r w:rsidRPr="0065586B">
      <w:rPr>
        <w:sz w:val="18"/>
        <w:szCs w:val="18"/>
      </w:rPr>
      <w:instrText xml:space="preserve"> PAGE   </w:instrText>
    </w:r>
    <w:r>
      <w:rPr>
        <w:sz w:val="18"/>
        <w:szCs w:val="18"/>
      </w:rPr>
      <w:instrText>\</w:instrText>
    </w:r>
    <w:r w:rsidRPr="0065586B">
      <w:rPr>
        <w:sz w:val="18"/>
        <w:szCs w:val="18"/>
      </w:rPr>
      <w:instrText xml:space="preserve">* MERGEFORMAT </w:instrText>
    </w:r>
    <w:r w:rsidRPr="0065586B">
      <w:rPr>
        <w:sz w:val="18"/>
        <w:szCs w:val="18"/>
      </w:rPr>
      <w:fldChar w:fldCharType="separate"/>
    </w:r>
    <w:r w:rsidR="00B16A06">
      <w:rPr>
        <w:noProof/>
        <w:sz w:val="18"/>
        <w:szCs w:val="18"/>
      </w:rPr>
      <w:t>2</w:t>
    </w:r>
    <w:r w:rsidRPr="0065586B">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B8CDCD" w14:textId="77777777" w:rsidR="003469FF" w:rsidRDefault="003469FF" w:rsidP="0063664A">
    <w:pPr>
      <w:pStyle w:val="Pta"/>
      <w:jc w:val="center"/>
    </w:pPr>
    <w:r w:rsidRPr="001532AE">
      <w:rPr>
        <w:sz w:val="18"/>
      </w:rPr>
      <w:fldChar w:fldCharType="begin"/>
    </w:r>
    <w:r w:rsidRPr="001532AE">
      <w:rPr>
        <w:sz w:val="18"/>
      </w:rPr>
      <w:instrText>PAGE   \* MERGEFORMAT</w:instrText>
    </w:r>
    <w:r w:rsidRPr="001532AE">
      <w:rPr>
        <w:sz w:val="18"/>
      </w:rPr>
      <w:fldChar w:fldCharType="separate"/>
    </w:r>
    <w:r w:rsidR="00B16A06" w:rsidRPr="00B16A06">
      <w:rPr>
        <w:noProof/>
        <w:sz w:val="18"/>
        <w:lang w:val="sk-SK"/>
      </w:rPr>
      <w:t>1</w:t>
    </w:r>
    <w:r w:rsidRPr="001532AE">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1205ED" w14:textId="77777777" w:rsidR="002F7FB0" w:rsidRDefault="002F7FB0">
      <w:r>
        <w:separator/>
      </w:r>
    </w:p>
  </w:footnote>
  <w:footnote w:type="continuationSeparator" w:id="0">
    <w:p w14:paraId="6DBA018E" w14:textId="77777777" w:rsidR="002F7FB0" w:rsidRDefault="002F7FB0">
      <w:r>
        <w:continuationSeparator/>
      </w:r>
    </w:p>
  </w:footnote>
  <w:footnote w:type="continuationNotice" w:id="1">
    <w:p w14:paraId="46582679" w14:textId="77777777" w:rsidR="002F7FB0" w:rsidRDefault="002F7FB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AE70A" w14:textId="77777777" w:rsidR="003469FF" w:rsidRPr="00A63C3E" w:rsidRDefault="003469FF" w:rsidP="00A63C3E">
    <w:pPr>
      <w:rPr>
        <w:sz w:val="18"/>
        <w:szCs w:val="18"/>
      </w:rPr>
    </w:pPr>
    <w:r w:rsidRPr="00A63C3E">
      <w:rPr>
        <w:sz w:val="18"/>
        <w:szCs w:val="18"/>
      </w:rPr>
      <w:t>Príloha č. 1 k rozhodnutiu o zmene registrácie, ev.č. 2016/00408</w:t>
    </w:r>
    <w:r>
      <w:rPr>
        <w:sz w:val="18"/>
        <w:szCs w:val="18"/>
      </w:rPr>
      <w:t>,</w:t>
    </w:r>
    <w:r w:rsidRPr="00A63C3E">
      <w:rPr>
        <w:sz w:val="18"/>
        <w:szCs w:val="18"/>
      </w:rPr>
      <w:t xml:space="preserve"> 2018/00880</w:t>
    </w:r>
    <w:r>
      <w:rPr>
        <w:sz w:val="18"/>
        <w:szCs w:val="18"/>
      </w:rPr>
      <w:t>, 2018/01999</w:t>
    </w:r>
  </w:p>
  <w:p w14:paraId="7BCE4478" w14:textId="77777777" w:rsidR="003469FF" w:rsidRDefault="003469FF">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73B844" w14:textId="535FE231" w:rsidR="003469FF" w:rsidRPr="00827FF8" w:rsidRDefault="003469FF" w:rsidP="00104674">
    <w:pPr>
      <w:pStyle w:val="Hlavika"/>
      <w:rPr>
        <w:lang w:val="sk-SK"/>
      </w:rPr>
    </w:pPr>
    <w:r w:rsidRPr="00104674">
      <w:rPr>
        <w:sz w:val="18"/>
        <w:szCs w:val="18"/>
        <w:lang w:val="sk-SK"/>
      </w:rPr>
      <w:t xml:space="preserve">Príloha č.1 k notifikácii o zmene, ev. č.: </w:t>
    </w:r>
    <w:r>
      <w:rPr>
        <w:sz w:val="18"/>
        <w:szCs w:val="18"/>
        <w:lang w:val="sk-SK"/>
      </w:rPr>
      <w:t>2016/00408-Z1B, 2018/00880-Z1A, 2018/01999-Z1B, 2020/06229-Z1B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FE4E2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9D4D2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3C6D36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947D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E45E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4AC3C6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5D050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449D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E8E3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0830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E72E41"/>
    <w:multiLevelType w:val="hybridMultilevel"/>
    <w:tmpl w:val="67A45F1E"/>
    <w:lvl w:ilvl="0" w:tplc="FFFFFFFF">
      <w:start w:val="1"/>
      <w:numFmt w:val="decimal"/>
      <w:lvlText w:val="%1."/>
      <w:lvlJc w:val="left"/>
      <w:pPr>
        <w:tabs>
          <w:tab w:val="num" w:pos="720"/>
        </w:tabs>
        <w:ind w:left="72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07002F7C"/>
    <w:multiLevelType w:val="hybridMultilevel"/>
    <w:tmpl w:val="9432C0B0"/>
    <w:lvl w:ilvl="0" w:tplc="D9DA1576">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27E235D"/>
    <w:multiLevelType w:val="hybridMultilevel"/>
    <w:tmpl w:val="D9C4E656"/>
    <w:lvl w:ilvl="0" w:tplc="A66C0498">
      <w:start w:val="5"/>
      <w:numFmt w:val="bullet"/>
      <w:lvlText w:val="-"/>
      <w:lvlJc w:val="left"/>
      <w:pPr>
        <w:ind w:left="720" w:hanging="360"/>
      </w:pPr>
      <w:rPr>
        <w:rFonts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173D28B1"/>
    <w:multiLevelType w:val="hybridMultilevel"/>
    <w:tmpl w:val="4D2CF230"/>
    <w:lvl w:ilvl="0" w:tplc="C720B83C">
      <w:start w:val="1"/>
      <w:numFmt w:val="bullet"/>
      <w:pStyle w:val="Normlndoblokusodrkami"/>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B04185B"/>
    <w:multiLevelType w:val="multilevel"/>
    <w:tmpl w:val="04F6BCA6"/>
    <w:lvl w:ilvl="0">
      <w:start w:val="4"/>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5" w15:restartNumberingAfterBreak="0">
    <w:nsid w:val="207D0DE4"/>
    <w:multiLevelType w:val="multilevel"/>
    <w:tmpl w:val="333848FA"/>
    <w:lvl w:ilvl="0">
      <w:start w:val="5"/>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6" w15:restartNumberingAfterBreak="0">
    <w:nsid w:val="259B6A29"/>
    <w:multiLevelType w:val="hybridMultilevel"/>
    <w:tmpl w:val="C7CEA03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416CDE"/>
    <w:multiLevelType w:val="hybridMultilevel"/>
    <w:tmpl w:val="05F4AED2"/>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8" w15:restartNumberingAfterBreak="0">
    <w:nsid w:val="38F83958"/>
    <w:multiLevelType w:val="multilevel"/>
    <w:tmpl w:val="4B542ED4"/>
    <w:lvl w:ilvl="0">
      <w:start w:val="6"/>
      <w:numFmt w:val="decimal"/>
      <w:lvlText w:val="%1"/>
      <w:lvlJc w:val="left"/>
      <w:pPr>
        <w:tabs>
          <w:tab w:val="num" w:pos="390"/>
        </w:tabs>
        <w:ind w:left="390" w:hanging="390"/>
      </w:pPr>
      <w:rPr>
        <w:rFonts w:hint="default"/>
      </w:rPr>
    </w:lvl>
    <w:lvl w:ilvl="1">
      <w:start w:val="2"/>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3AFC23D6"/>
    <w:multiLevelType w:val="hybridMultilevel"/>
    <w:tmpl w:val="0E5E82BE"/>
    <w:lvl w:ilvl="0" w:tplc="A66C0498">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451A4598"/>
    <w:multiLevelType w:val="hybridMultilevel"/>
    <w:tmpl w:val="5D026C60"/>
    <w:lvl w:ilvl="0" w:tplc="40DEF936">
      <w:start w:val="1"/>
      <w:numFmt w:val="decimal"/>
      <w:lvlText w:val="%1."/>
      <w:lvlJc w:val="left"/>
      <w:pPr>
        <w:tabs>
          <w:tab w:val="num" w:pos="360"/>
        </w:tabs>
        <w:ind w:left="340" w:hanging="340"/>
      </w:pPr>
      <w:rPr>
        <w:rFonts w:cs="Times New Roman" w:hint="default"/>
      </w:rPr>
    </w:lvl>
    <w:lvl w:ilvl="1" w:tplc="32E854D4">
      <w:numFmt w:val="none"/>
      <w:lvlText w:val=""/>
      <w:lvlJc w:val="left"/>
      <w:pPr>
        <w:tabs>
          <w:tab w:val="num" w:pos="360"/>
        </w:tabs>
      </w:pPr>
      <w:rPr>
        <w:rFonts w:cs="Times New Roman"/>
      </w:rPr>
    </w:lvl>
    <w:lvl w:ilvl="2" w:tplc="DD849ADA">
      <w:numFmt w:val="none"/>
      <w:lvlText w:val=""/>
      <w:lvlJc w:val="left"/>
      <w:pPr>
        <w:tabs>
          <w:tab w:val="num" w:pos="360"/>
        </w:tabs>
      </w:pPr>
      <w:rPr>
        <w:rFonts w:cs="Times New Roman"/>
      </w:rPr>
    </w:lvl>
    <w:lvl w:ilvl="3" w:tplc="05446E86">
      <w:numFmt w:val="none"/>
      <w:lvlText w:val=""/>
      <w:lvlJc w:val="left"/>
      <w:pPr>
        <w:tabs>
          <w:tab w:val="num" w:pos="360"/>
        </w:tabs>
      </w:pPr>
      <w:rPr>
        <w:rFonts w:cs="Times New Roman"/>
      </w:rPr>
    </w:lvl>
    <w:lvl w:ilvl="4" w:tplc="73DC3F40">
      <w:numFmt w:val="none"/>
      <w:lvlText w:val=""/>
      <w:lvlJc w:val="left"/>
      <w:pPr>
        <w:tabs>
          <w:tab w:val="num" w:pos="360"/>
        </w:tabs>
      </w:pPr>
      <w:rPr>
        <w:rFonts w:cs="Times New Roman"/>
      </w:rPr>
    </w:lvl>
    <w:lvl w:ilvl="5" w:tplc="FB30E316">
      <w:numFmt w:val="none"/>
      <w:lvlText w:val=""/>
      <w:lvlJc w:val="left"/>
      <w:pPr>
        <w:tabs>
          <w:tab w:val="num" w:pos="360"/>
        </w:tabs>
      </w:pPr>
      <w:rPr>
        <w:rFonts w:cs="Times New Roman"/>
      </w:rPr>
    </w:lvl>
    <w:lvl w:ilvl="6" w:tplc="427C1E24">
      <w:numFmt w:val="none"/>
      <w:lvlText w:val=""/>
      <w:lvlJc w:val="left"/>
      <w:pPr>
        <w:tabs>
          <w:tab w:val="num" w:pos="360"/>
        </w:tabs>
      </w:pPr>
      <w:rPr>
        <w:rFonts w:cs="Times New Roman"/>
      </w:rPr>
    </w:lvl>
    <w:lvl w:ilvl="7" w:tplc="B010EB74">
      <w:numFmt w:val="none"/>
      <w:lvlText w:val=""/>
      <w:lvlJc w:val="left"/>
      <w:pPr>
        <w:tabs>
          <w:tab w:val="num" w:pos="360"/>
        </w:tabs>
      </w:pPr>
      <w:rPr>
        <w:rFonts w:cs="Times New Roman"/>
      </w:rPr>
    </w:lvl>
    <w:lvl w:ilvl="8" w:tplc="8848D3EA">
      <w:numFmt w:val="none"/>
      <w:lvlText w:val=""/>
      <w:lvlJc w:val="left"/>
      <w:pPr>
        <w:tabs>
          <w:tab w:val="num" w:pos="360"/>
        </w:tabs>
      </w:pPr>
      <w:rPr>
        <w:rFonts w:cs="Times New Roman"/>
      </w:rPr>
    </w:lvl>
  </w:abstractNum>
  <w:abstractNum w:abstractNumId="21" w15:restartNumberingAfterBreak="0">
    <w:nsid w:val="4A5609C5"/>
    <w:multiLevelType w:val="singleLevel"/>
    <w:tmpl w:val="2AB49BF6"/>
    <w:lvl w:ilvl="0">
      <w:numFmt w:val="bullet"/>
      <w:lvlText w:val="-"/>
      <w:lvlJc w:val="left"/>
      <w:pPr>
        <w:tabs>
          <w:tab w:val="num" w:pos="360"/>
        </w:tabs>
        <w:ind w:left="360" w:hanging="360"/>
      </w:pPr>
      <w:rPr>
        <w:rFonts w:hint="default"/>
      </w:rPr>
    </w:lvl>
  </w:abstractNum>
  <w:abstractNum w:abstractNumId="22" w15:restartNumberingAfterBreak="0">
    <w:nsid w:val="50285F7A"/>
    <w:multiLevelType w:val="hybridMultilevel"/>
    <w:tmpl w:val="87DED9A4"/>
    <w:lvl w:ilvl="0" w:tplc="1B6EBA16">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50701E37"/>
    <w:multiLevelType w:val="multilevel"/>
    <w:tmpl w:val="D310AAAE"/>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5993299E"/>
    <w:multiLevelType w:val="singleLevel"/>
    <w:tmpl w:val="2AB49BF6"/>
    <w:lvl w:ilvl="0">
      <w:numFmt w:val="bullet"/>
      <w:lvlText w:val="-"/>
      <w:lvlJc w:val="left"/>
      <w:pPr>
        <w:tabs>
          <w:tab w:val="num" w:pos="360"/>
        </w:tabs>
        <w:ind w:left="360" w:hanging="360"/>
      </w:pPr>
      <w:rPr>
        <w:rFonts w:hint="default"/>
      </w:rPr>
    </w:lvl>
  </w:abstractNum>
  <w:abstractNum w:abstractNumId="25" w15:restartNumberingAfterBreak="0">
    <w:nsid w:val="5A4545B1"/>
    <w:multiLevelType w:val="multilevel"/>
    <w:tmpl w:val="A92EE10E"/>
    <w:lvl w:ilvl="0">
      <w:start w:val="5"/>
      <w:numFmt w:val="decimal"/>
      <w:lvlText w:val="%1"/>
      <w:lvlJc w:val="left"/>
      <w:pPr>
        <w:tabs>
          <w:tab w:val="num" w:pos="405"/>
        </w:tabs>
        <w:ind w:left="405" w:hanging="405"/>
      </w:pPr>
      <w:rPr>
        <w:rFonts w:hint="default"/>
      </w:rPr>
    </w:lvl>
    <w:lvl w:ilvl="1">
      <w:start w:val="3"/>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FAF0FA5"/>
    <w:multiLevelType w:val="hybridMultilevel"/>
    <w:tmpl w:val="26CE0D2E"/>
    <w:lvl w:ilvl="0" w:tplc="BCFEDC82">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627D2102"/>
    <w:multiLevelType w:val="hybridMultilevel"/>
    <w:tmpl w:val="19201E9C"/>
    <w:lvl w:ilvl="0" w:tplc="AB6E21FC">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814086D"/>
    <w:multiLevelType w:val="multilevel"/>
    <w:tmpl w:val="D9C4F1D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6AAD4AA7"/>
    <w:multiLevelType w:val="multilevel"/>
    <w:tmpl w:val="13E0FCB2"/>
    <w:lvl w:ilvl="0">
      <w:start w:val="1"/>
      <w:numFmt w:val="decimal"/>
      <w:pStyle w:val="Styl1"/>
      <w:lvlText w:val="%1."/>
      <w:lvlJc w:val="left"/>
      <w:pPr>
        <w:tabs>
          <w:tab w:val="num" w:pos="360"/>
        </w:tabs>
        <w:ind w:left="360" w:hanging="360"/>
      </w:pPr>
      <w:rPr>
        <w:rFonts w:hint="default"/>
      </w:rPr>
    </w:lvl>
    <w:lvl w:ilvl="1">
      <w:start w:val="1"/>
      <w:numFmt w:val="decimal"/>
      <w:pStyle w:val="Styl2"/>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CD857A1"/>
    <w:multiLevelType w:val="singleLevel"/>
    <w:tmpl w:val="0405000F"/>
    <w:lvl w:ilvl="0">
      <w:start w:val="7"/>
      <w:numFmt w:val="decimal"/>
      <w:lvlText w:val="%1."/>
      <w:lvlJc w:val="left"/>
      <w:pPr>
        <w:tabs>
          <w:tab w:val="num" w:pos="360"/>
        </w:tabs>
        <w:ind w:left="360" w:hanging="360"/>
      </w:pPr>
      <w:rPr>
        <w:rFonts w:hint="default"/>
      </w:rPr>
    </w:lvl>
  </w:abstractNum>
  <w:abstractNum w:abstractNumId="31" w15:restartNumberingAfterBreak="0">
    <w:nsid w:val="6D3E30D0"/>
    <w:multiLevelType w:val="hybridMultilevel"/>
    <w:tmpl w:val="F93E484A"/>
    <w:lvl w:ilvl="0" w:tplc="FEF6D15A">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5B7051"/>
    <w:multiLevelType w:val="hybridMultilevel"/>
    <w:tmpl w:val="2A821C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D324C91"/>
    <w:multiLevelType w:val="singleLevel"/>
    <w:tmpl w:val="04050009"/>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E060663"/>
    <w:multiLevelType w:val="singleLevel"/>
    <w:tmpl w:val="2AB49BF6"/>
    <w:lvl w:ilvl="0">
      <w:numFmt w:val="bullet"/>
      <w:lvlText w:val="-"/>
      <w:lvlJc w:val="left"/>
      <w:pPr>
        <w:tabs>
          <w:tab w:val="num" w:pos="360"/>
        </w:tabs>
        <w:ind w:left="360" w:hanging="360"/>
      </w:pPr>
      <w:rPr>
        <w:rFonts w:hint="default"/>
      </w:rPr>
    </w:lvl>
  </w:abstractNum>
  <w:abstractNum w:abstractNumId="35" w15:restartNumberingAfterBreak="0">
    <w:nsid w:val="7F08192B"/>
    <w:multiLevelType w:val="hybridMultilevel"/>
    <w:tmpl w:val="8668D69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num w:numId="1">
    <w:abstractNumId w:val="10"/>
  </w:num>
  <w:num w:numId="2">
    <w:abstractNumId w:val="31"/>
  </w:num>
  <w:num w:numId="3">
    <w:abstractNumId w:val="20"/>
  </w:num>
  <w:num w:numId="4">
    <w:abstractNumId w:val="14"/>
  </w:num>
  <w:num w:numId="5">
    <w:abstractNumId w:val="23"/>
  </w:num>
  <w:num w:numId="6">
    <w:abstractNumId w:val="15"/>
  </w:num>
  <w:num w:numId="7">
    <w:abstractNumId w:val="28"/>
  </w:num>
  <w:num w:numId="8">
    <w:abstractNumId w:val="12"/>
  </w:num>
  <w:num w:numId="9">
    <w:abstractNumId w:val="19"/>
  </w:num>
  <w:num w:numId="10">
    <w:abstractNumId w:val="22"/>
  </w:num>
  <w:num w:numId="11">
    <w:abstractNumId w:val="11"/>
  </w:num>
  <w:num w:numId="12">
    <w:abstractNumId w:val="27"/>
  </w:num>
  <w:num w:numId="13">
    <w:abstractNumId w:val="26"/>
  </w:num>
  <w:num w:numId="14">
    <w:abstractNumId w:val="17"/>
  </w:num>
  <w:num w:numId="15">
    <w:abstractNumId w:val="13"/>
  </w:num>
  <w:num w:numId="16">
    <w:abstractNumId w:val="24"/>
  </w:num>
  <w:num w:numId="17">
    <w:abstractNumId w:val="21"/>
  </w:num>
  <w:num w:numId="18">
    <w:abstractNumId w:val="34"/>
  </w:num>
  <w:num w:numId="19">
    <w:abstractNumId w:val="33"/>
  </w:num>
  <w:num w:numId="20">
    <w:abstractNumId w:val="25"/>
  </w:num>
  <w:num w:numId="21">
    <w:abstractNumId w:val="18"/>
  </w:num>
  <w:num w:numId="22">
    <w:abstractNumId w:val="30"/>
  </w:num>
  <w:num w:numId="23">
    <w:abstractNumId w:val="2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35"/>
  </w:num>
  <w:num w:numId="35">
    <w:abstractNumId w:val="16"/>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767"/>
    <w:rsid w:val="00000568"/>
    <w:rsid w:val="0000268F"/>
    <w:rsid w:val="000029FC"/>
    <w:rsid w:val="00002ACD"/>
    <w:rsid w:val="00003490"/>
    <w:rsid w:val="0000511C"/>
    <w:rsid w:val="00005BA8"/>
    <w:rsid w:val="00006FE3"/>
    <w:rsid w:val="00010203"/>
    <w:rsid w:val="0001452D"/>
    <w:rsid w:val="0001567B"/>
    <w:rsid w:val="00015E1C"/>
    <w:rsid w:val="000172B4"/>
    <w:rsid w:val="000209C6"/>
    <w:rsid w:val="0002405E"/>
    <w:rsid w:val="00024EC7"/>
    <w:rsid w:val="0002764C"/>
    <w:rsid w:val="00027B37"/>
    <w:rsid w:val="00031416"/>
    <w:rsid w:val="0003701F"/>
    <w:rsid w:val="00037BEC"/>
    <w:rsid w:val="000412BD"/>
    <w:rsid w:val="0004230B"/>
    <w:rsid w:val="00042560"/>
    <w:rsid w:val="00042FE3"/>
    <w:rsid w:val="0004307F"/>
    <w:rsid w:val="000442C5"/>
    <w:rsid w:val="00044D24"/>
    <w:rsid w:val="00045641"/>
    <w:rsid w:val="00051C8F"/>
    <w:rsid w:val="000522DD"/>
    <w:rsid w:val="00062310"/>
    <w:rsid w:val="00064830"/>
    <w:rsid w:val="00067CA4"/>
    <w:rsid w:val="000708D8"/>
    <w:rsid w:val="00077113"/>
    <w:rsid w:val="00084219"/>
    <w:rsid w:val="00084A75"/>
    <w:rsid w:val="000858C9"/>
    <w:rsid w:val="000860A2"/>
    <w:rsid w:val="0008667A"/>
    <w:rsid w:val="00091E2C"/>
    <w:rsid w:val="00092A4B"/>
    <w:rsid w:val="0009301F"/>
    <w:rsid w:val="000946D8"/>
    <w:rsid w:val="00094E9E"/>
    <w:rsid w:val="00095E4C"/>
    <w:rsid w:val="0009629F"/>
    <w:rsid w:val="000964F8"/>
    <w:rsid w:val="000A5B69"/>
    <w:rsid w:val="000A6265"/>
    <w:rsid w:val="000A626A"/>
    <w:rsid w:val="000B3001"/>
    <w:rsid w:val="000B3259"/>
    <w:rsid w:val="000B4256"/>
    <w:rsid w:val="000B44A0"/>
    <w:rsid w:val="000B68FC"/>
    <w:rsid w:val="000C213E"/>
    <w:rsid w:val="000C2A46"/>
    <w:rsid w:val="000C3549"/>
    <w:rsid w:val="000C3F35"/>
    <w:rsid w:val="000C44DF"/>
    <w:rsid w:val="000C4C9A"/>
    <w:rsid w:val="000C581A"/>
    <w:rsid w:val="000C6708"/>
    <w:rsid w:val="000D0B80"/>
    <w:rsid w:val="000E0D92"/>
    <w:rsid w:val="000E5320"/>
    <w:rsid w:val="000E67FB"/>
    <w:rsid w:val="000E7E76"/>
    <w:rsid w:val="000F2E2B"/>
    <w:rsid w:val="000F4020"/>
    <w:rsid w:val="000F4D0A"/>
    <w:rsid w:val="000F68D5"/>
    <w:rsid w:val="000F6C25"/>
    <w:rsid w:val="000F6CF1"/>
    <w:rsid w:val="000F714A"/>
    <w:rsid w:val="000F7706"/>
    <w:rsid w:val="000F7E1B"/>
    <w:rsid w:val="00100D4E"/>
    <w:rsid w:val="00100F89"/>
    <w:rsid w:val="001017BF"/>
    <w:rsid w:val="00101CB5"/>
    <w:rsid w:val="00102F76"/>
    <w:rsid w:val="00104674"/>
    <w:rsid w:val="001069EB"/>
    <w:rsid w:val="001110EA"/>
    <w:rsid w:val="0011130A"/>
    <w:rsid w:val="00114D0D"/>
    <w:rsid w:val="00116D2F"/>
    <w:rsid w:val="0012018A"/>
    <w:rsid w:val="00123749"/>
    <w:rsid w:val="00125D56"/>
    <w:rsid w:val="00130740"/>
    <w:rsid w:val="00130A32"/>
    <w:rsid w:val="001313AD"/>
    <w:rsid w:val="00137F26"/>
    <w:rsid w:val="00140045"/>
    <w:rsid w:val="00142BA0"/>
    <w:rsid w:val="00142FC8"/>
    <w:rsid w:val="00144705"/>
    <w:rsid w:val="0014771D"/>
    <w:rsid w:val="00152B53"/>
    <w:rsid w:val="00152E1A"/>
    <w:rsid w:val="001532AE"/>
    <w:rsid w:val="001544C5"/>
    <w:rsid w:val="001550F8"/>
    <w:rsid w:val="00155531"/>
    <w:rsid w:val="00155D40"/>
    <w:rsid w:val="00155DB6"/>
    <w:rsid w:val="00156EF8"/>
    <w:rsid w:val="001577B1"/>
    <w:rsid w:val="00164A86"/>
    <w:rsid w:val="0016686B"/>
    <w:rsid w:val="001717B4"/>
    <w:rsid w:val="0017192C"/>
    <w:rsid w:val="00173CDF"/>
    <w:rsid w:val="00174795"/>
    <w:rsid w:val="001754CD"/>
    <w:rsid w:val="00181B1D"/>
    <w:rsid w:val="00182B96"/>
    <w:rsid w:val="00185232"/>
    <w:rsid w:val="00185A2D"/>
    <w:rsid w:val="00187FD6"/>
    <w:rsid w:val="001916E0"/>
    <w:rsid w:val="0019600B"/>
    <w:rsid w:val="00196CCB"/>
    <w:rsid w:val="001A16B2"/>
    <w:rsid w:val="001A18DA"/>
    <w:rsid w:val="001A1A22"/>
    <w:rsid w:val="001A5390"/>
    <w:rsid w:val="001A5A90"/>
    <w:rsid w:val="001A706F"/>
    <w:rsid w:val="001A73C5"/>
    <w:rsid w:val="001B3C55"/>
    <w:rsid w:val="001B6974"/>
    <w:rsid w:val="001B6B87"/>
    <w:rsid w:val="001B7456"/>
    <w:rsid w:val="001B750E"/>
    <w:rsid w:val="001C0718"/>
    <w:rsid w:val="001C0779"/>
    <w:rsid w:val="001C29AB"/>
    <w:rsid w:val="001C3AD9"/>
    <w:rsid w:val="001C5315"/>
    <w:rsid w:val="001D0E2E"/>
    <w:rsid w:val="001D426B"/>
    <w:rsid w:val="001D6CD2"/>
    <w:rsid w:val="001D77CB"/>
    <w:rsid w:val="001E191A"/>
    <w:rsid w:val="001E4F73"/>
    <w:rsid w:val="001F1345"/>
    <w:rsid w:val="001F1AB4"/>
    <w:rsid w:val="001F2388"/>
    <w:rsid w:val="001F31AA"/>
    <w:rsid w:val="001F5058"/>
    <w:rsid w:val="001F511D"/>
    <w:rsid w:val="00200062"/>
    <w:rsid w:val="00201648"/>
    <w:rsid w:val="00202C7A"/>
    <w:rsid w:val="00203BCE"/>
    <w:rsid w:val="00203D16"/>
    <w:rsid w:val="00206AAE"/>
    <w:rsid w:val="0021005B"/>
    <w:rsid w:val="00210653"/>
    <w:rsid w:val="002117B1"/>
    <w:rsid w:val="00213D68"/>
    <w:rsid w:val="002161AD"/>
    <w:rsid w:val="00216F80"/>
    <w:rsid w:val="002237C7"/>
    <w:rsid w:val="00224114"/>
    <w:rsid w:val="00224208"/>
    <w:rsid w:val="002243A0"/>
    <w:rsid w:val="00225F3E"/>
    <w:rsid w:val="002308BB"/>
    <w:rsid w:val="002311AF"/>
    <w:rsid w:val="00234AFB"/>
    <w:rsid w:val="00235BF6"/>
    <w:rsid w:val="00237FAB"/>
    <w:rsid w:val="002419C1"/>
    <w:rsid w:val="00243975"/>
    <w:rsid w:val="0025045F"/>
    <w:rsid w:val="00250610"/>
    <w:rsid w:val="00252B60"/>
    <w:rsid w:val="002534A6"/>
    <w:rsid w:val="002549C4"/>
    <w:rsid w:val="0025594C"/>
    <w:rsid w:val="00256445"/>
    <w:rsid w:val="00257279"/>
    <w:rsid w:val="002575F0"/>
    <w:rsid w:val="00261D6C"/>
    <w:rsid w:val="00262F1B"/>
    <w:rsid w:val="002633F6"/>
    <w:rsid w:val="002637DC"/>
    <w:rsid w:val="00265B53"/>
    <w:rsid w:val="0026723E"/>
    <w:rsid w:val="002672E5"/>
    <w:rsid w:val="002679F9"/>
    <w:rsid w:val="00270900"/>
    <w:rsid w:val="00271554"/>
    <w:rsid w:val="00271F43"/>
    <w:rsid w:val="002721DC"/>
    <w:rsid w:val="00275F12"/>
    <w:rsid w:val="00276FB0"/>
    <w:rsid w:val="00277E7C"/>
    <w:rsid w:val="002820CA"/>
    <w:rsid w:val="00283C74"/>
    <w:rsid w:val="002840C3"/>
    <w:rsid w:val="002879DB"/>
    <w:rsid w:val="002928B2"/>
    <w:rsid w:val="00292D15"/>
    <w:rsid w:val="00293AD8"/>
    <w:rsid w:val="002956CC"/>
    <w:rsid w:val="002A0C4F"/>
    <w:rsid w:val="002A2D52"/>
    <w:rsid w:val="002A4B87"/>
    <w:rsid w:val="002A563A"/>
    <w:rsid w:val="002A651F"/>
    <w:rsid w:val="002B03F8"/>
    <w:rsid w:val="002C135B"/>
    <w:rsid w:val="002C57BA"/>
    <w:rsid w:val="002C6389"/>
    <w:rsid w:val="002D0043"/>
    <w:rsid w:val="002D050D"/>
    <w:rsid w:val="002D1F65"/>
    <w:rsid w:val="002D38E1"/>
    <w:rsid w:val="002D39C5"/>
    <w:rsid w:val="002D63DC"/>
    <w:rsid w:val="002D696A"/>
    <w:rsid w:val="002D6F07"/>
    <w:rsid w:val="002E49DC"/>
    <w:rsid w:val="002E4BFE"/>
    <w:rsid w:val="002E4E5F"/>
    <w:rsid w:val="002E60C6"/>
    <w:rsid w:val="002F7C32"/>
    <w:rsid w:val="002F7FB0"/>
    <w:rsid w:val="003017D9"/>
    <w:rsid w:val="00301A4D"/>
    <w:rsid w:val="003038F8"/>
    <w:rsid w:val="00305C8F"/>
    <w:rsid w:val="00306AA6"/>
    <w:rsid w:val="00306E33"/>
    <w:rsid w:val="00314B77"/>
    <w:rsid w:val="00316AB0"/>
    <w:rsid w:val="0032011F"/>
    <w:rsid w:val="003218A9"/>
    <w:rsid w:val="003246B4"/>
    <w:rsid w:val="00326E6B"/>
    <w:rsid w:val="00330647"/>
    <w:rsid w:val="00330CF8"/>
    <w:rsid w:val="00330E68"/>
    <w:rsid w:val="003323CC"/>
    <w:rsid w:val="00332FAF"/>
    <w:rsid w:val="00337B9B"/>
    <w:rsid w:val="00340EEB"/>
    <w:rsid w:val="00344BC9"/>
    <w:rsid w:val="003469FF"/>
    <w:rsid w:val="00346B91"/>
    <w:rsid w:val="00350097"/>
    <w:rsid w:val="00351D79"/>
    <w:rsid w:val="00352816"/>
    <w:rsid w:val="00361332"/>
    <w:rsid w:val="003637CB"/>
    <w:rsid w:val="003653A2"/>
    <w:rsid w:val="00365CB0"/>
    <w:rsid w:val="00366F27"/>
    <w:rsid w:val="00372635"/>
    <w:rsid w:val="00376DCB"/>
    <w:rsid w:val="00377FD7"/>
    <w:rsid w:val="00384FE7"/>
    <w:rsid w:val="00386BB1"/>
    <w:rsid w:val="0039147D"/>
    <w:rsid w:val="00391D69"/>
    <w:rsid w:val="0039200D"/>
    <w:rsid w:val="003A00F3"/>
    <w:rsid w:val="003A11CA"/>
    <w:rsid w:val="003A21AA"/>
    <w:rsid w:val="003A71EB"/>
    <w:rsid w:val="003B4AAF"/>
    <w:rsid w:val="003C595F"/>
    <w:rsid w:val="003C7C6C"/>
    <w:rsid w:val="003D0375"/>
    <w:rsid w:val="003E100B"/>
    <w:rsid w:val="003E19E2"/>
    <w:rsid w:val="003E4321"/>
    <w:rsid w:val="003E531A"/>
    <w:rsid w:val="003E7459"/>
    <w:rsid w:val="003F31AA"/>
    <w:rsid w:val="003F31B7"/>
    <w:rsid w:val="003F59AE"/>
    <w:rsid w:val="00400D57"/>
    <w:rsid w:val="00403609"/>
    <w:rsid w:val="004039F8"/>
    <w:rsid w:val="00403CA8"/>
    <w:rsid w:val="00404159"/>
    <w:rsid w:val="00405B84"/>
    <w:rsid w:val="0040711A"/>
    <w:rsid w:val="00407B81"/>
    <w:rsid w:val="00412641"/>
    <w:rsid w:val="004156FC"/>
    <w:rsid w:val="00417672"/>
    <w:rsid w:val="004213BE"/>
    <w:rsid w:val="00421D49"/>
    <w:rsid w:val="004222DD"/>
    <w:rsid w:val="00423154"/>
    <w:rsid w:val="00424C31"/>
    <w:rsid w:val="00426937"/>
    <w:rsid w:val="004279CB"/>
    <w:rsid w:val="00430E65"/>
    <w:rsid w:val="00432A11"/>
    <w:rsid w:val="00435A1E"/>
    <w:rsid w:val="00440E2D"/>
    <w:rsid w:val="00441068"/>
    <w:rsid w:val="0044152F"/>
    <w:rsid w:val="00445FC4"/>
    <w:rsid w:val="004473B9"/>
    <w:rsid w:val="00447E45"/>
    <w:rsid w:val="00450CC5"/>
    <w:rsid w:val="00451109"/>
    <w:rsid w:val="0045334F"/>
    <w:rsid w:val="00453E0D"/>
    <w:rsid w:val="004542F2"/>
    <w:rsid w:val="00455855"/>
    <w:rsid w:val="00456287"/>
    <w:rsid w:val="00460B05"/>
    <w:rsid w:val="004618BC"/>
    <w:rsid w:val="004667EE"/>
    <w:rsid w:val="0047070A"/>
    <w:rsid w:val="00471FD1"/>
    <w:rsid w:val="004722E9"/>
    <w:rsid w:val="00473CC4"/>
    <w:rsid w:val="00477B6A"/>
    <w:rsid w:val="0048221A"/>
    <w:rsid w:val="0049088C"/>
    <w:rsid w:val="00492B23"/>
    <w:rsid w:val="00492FE8"/>
    <w:rsid w:val="004A0495"/>
    <w:rsid w:val="004A1B2D"/>
    <w:rsid w:val="004A576A"/>
    <w:rsid w:val="004B136C"/>
    <w:rsid w:val="004B1595"/>
    <w:rsid w:val="004B36A1"/>
    <w:rsid w:val="004B3AD5"/>
    <w:rsid w:val="004B4C8A"/>
    <w:rsid w:val="004C2E67"/>
    <w:rsid w:val="004C4B22"/>
    <w:rsid w:val="004C7585"/>
    <w:rsid w:val="004D01E4"/>
    <w:rsid w:val="004D0872"/>
    <w:rsid w:val="004D6930"/>
    <w:rsid w:val="004D6941"/>
    <w:rsid w:val="004D73F1"/>
    <w:rsid w:val="004E0C99"/>
    <w:rsid w:val="004E2679"/>
    <w:rsid w:val="004E28AB"/>
    <w:rsid w:val="004E2C0D"/>
    <w:rsid w:val="004E4272"/>
    <w:rsid w:val="004E44E7"/>
    <w:rsid w:val="004E6AB5"/>
    <w:rsid w:val="004F3436"/>
    <w:rsid w:val="004F3A21"/>
    <w:rsid w:val="004F40AA"/>
    <w:rsid w:val="004F7DF4"/>
    <w:rsid w:val="0050447D"/>
    <w:rsid w:val="00504E3A"/>
    <w:rsid w:val="00506CF0"/>
    <w:rsid w:val="0051116F"/>
    <w:rsid w:val="00512C9C"/>
    <w:rsid w:val="0051660B"/>
    <w:rsid w:val="005166CE"/>
    <w:rsid w:val="00525EAB"/>
    <w:rsid w:val="00527B21"/>
    <w:rsid w:val="00530FE1"/>
    <w:rsid w:val="0053283E"/>
    <w:rsid w:val="00535604"/>
    <w:rsid w:val="0053720B"/>
    <w:rsid w:val="00543EB6"/>
    <w:rsid w:val="0054418C"/>
    <w:rsid w:val="00545D24"/>
    <w:rsid w:val="0055027F"/>
    <w:rsid w:val="005509E7"/>
    <w:rsid w:val="00554081"/>
    <w:rsid w:val="005549BD"/>
    <w:rsid w:val="00555E4C"/>
    <w:rsid w:val="005564EE"/>
    <w:rsid w:val="00560EFE"/>
    <w:rsid w:val="00561991"/>
    <w:rsid w:val="00561C87"/>
    <w:rsid w:val="00561F1F"/>
    <w:rsid w:val="00567178"/>
    <w:rsid w:val="005705C4"/>
    <w:rsid w:val="00570D1F"/>
    <w:rsid w:val="005751F3"/>
    <w:rsid w:val="0058131C"/>
    <w:rsid w:val="005816A0"/>
    <w:rsid w:val="00581C16"/>
    <w:rsid w:val="005825DD"/>
    <w:rsid w:val="0058337E"/>
    <w:rsid w:val="00584211"/>
    <w:rsid w:val="00585463"/>
    <w:rsid w:val="0059051F"/>
    <w:rsid w:val="005909D7"/>
    <w:rsid w:val="00592A35"/>
    <w:rsid w:val="00592F30"/>
    <w:rsid w:val="00594322"/>
    <w:rsid w:val="00597E4D"/>
    <w:rsid w:val="005A6A3B"/>
    <w:rsid w:val="005A74D4"/>
    <w:rsid w:val="005B4615"/>
    <w:rsid w:val="005B4A48"/>
    <w:rsid w:val="005B4BA5"/>
    <w:rsid w:val="005C1B0C"/>
    <w:rsid w:val="005C4D41"/>
    <w:rsid w:val="005C7235"/>
    <w:rsid w:val="005C79C6"/>
    <w:rsid w:val="005D0FB9"/>
    <w:rsid w:val="005D1A4C"/>
    <w:rsid w:val="005D3DD8"/>
    <w:rsid w:val="005D5159"/>
    <w:rsid w:val="005D785C"/>
    <w:rsid w:val="005D7C29"/>
    <w:rsid w:val="005E0483"/>
    <w:rsid w:val="005E3A29"/>
    <w:rsid w:val="005E4653"/>
    <w:rsid w:val="005E4F2B"/>
    <w:rsid w:val="005F0E38"/>
    <w:rsid w:val="005F20E3"/>
    <w:rsid w:val="005F254F"/>
    <w:rsid w:val="005F30CB"/>
    <w:rsid w:val="005F3D65"/>
    <w:rsid w:val="005F5156"/>
    <w:rsid w:val="005F66BD"/>
    <w:rsid w:val="00600D1B"/>
    <w:rsid w:val="00603E2B"/>
    <w:rsid w:val="00604794"/>
    <w:rsid w:val="00611240"/>
    <w:rsid w:val="006117E5"/>
    <w:rsid w:val="00612704"/>
    <w:rsid w:val="00612F99"/>
    <w:rsid w:val="00614018"/>
    <w:rsid w:val="00614452"/>
    <w:rsid w:val="006149EC"/>
    <w:rsid w:val="00614F6F"/>
    <w:rsid w:val="00616148"/>
    <w:rsid w:val="00616819"/>
    <w:rsid w:val="00617C41"/>
    <w:rsid w:val="00626440"/>
    <w:rsid w:val="00632BB4"/>
    <w:rsid w:val="00635E54"/>
    <w:rsid w:val="0063664A"/>
    <w:rsid w:val="00636FF2"/>
    <w:rsid w:val="00640AD9"/>
    <w:rsid w:val="00641B91"/>
    <w:rsid w:val="00641EB4"/>
    <w:rsid w:val="0064221B"/>
    <w:rsid w:val="00643357"/>
    <w:rsid w:val="006447CB"/>
    <w:rsid w:val="0065140C"/>
    <w:rsid w:val="0065486B"/>
    <w:rsid w:val="006550EA"/>
    <w:rsid w:val="0065544E"/>
    <w:rsid w:val="0065586B"/>
    <w:rsid w:val="006571E1"/>
    <w:rsid w:val="006575CC"/>
    <w:rsid w:val="0066247A"/>
    <w:rsid w:val="00664555"/>
    <w:rsid w:val="00664E5F"/>
    <w:rsid w:val="00670B13"/>
    <w:rsid w:val="00674302"/>
    <w:rsid w:val="0067477D"/>
    <w:rsid w:val="00675C7A"/>
    <w:rsid w:val="006768B8"/>
    <w:rsid w:val="00676992"/>
    <w:rsid w:val="00680550"/>
    <w:rsid w:val="006821EE"/>
    <w:rsid w:val="00684871"/>
    <w:rsid w:val="00691B8B"/>
    <w:rsid w:val="00692E9A"/>
    <w:rsid w:val="00693B1E"/>
    <w:rsid w:val="00693DF5"/>
    <w:rsid w:val="006951A8"/>
    <w:rsid w:val="006953B4"/>
    <w:rsid w:val="006978A4"/>
    <w:rsid w:val="00697BFE"/>
    <w:rsid w:val="006A1B7E"/>
    <w:rsid w:val="006A2CE5"/>
    <w:rsid w:val="006A39EB"/>
    <w:rsid w:val="006A54A8"/>
    <w:rsid w:val="006B27E5"/>
    <w:rsid w:val="006B3070"/>
    <w:rsid w:val="006B5750"/>
    <w:rsid w:val="006C40C7"/>
    <w:rsid w:val="006C4427"/>
    <w:rsid w:val="006C58D6"/>
    <w:rsid w:val="006D141B"/>
    <w:rsid w:val="006D2B02"/>
    <w:rsid w:val="006D4A4E"/>
    <w:rsid w:val="006D4FE3"/>
    <w:rsid w:val="006D6F8F"/>
    <w:rsid w:val="006E2E52"/>
    <w:rsid w:val="006E339C"/>
    <w:rsid w:val="006E5D1E"/>
    <w:rsid w:val="006E6C94"/>
    <w:rsid w:val="006F076C"/>
    <w:rsid w:val="006F0D3E"/>
    <w:rsid w:val="006F6492"/>
    <w:rsid w:val="006F7A19"/>
    <w:rsid w:val="00701FFD"/>
    <w:rsid w:val="007029A7"/>
    <w:rsid w:val="007030E5"/>
    <w:rsid w:val="00704371"/>
    <w:rsid w:val="00704E5B"/>
    <w:rsid w:val="007061A0"/>
    <w:rsid w:val="007069F5"/>
    <w:rsid w:val="00706D02"/>
    <w:rsid w:val="00707C16"/>
    <w:rsid w:val="007121EC"/>
    <w:rsid w:val="007142FD"/>
    <w:rsid w:val="00714EB5"/>
    <w:rsid w:val="007162FB"/>
    <w:rsid w:val="00722B99"/>
    <w:rsid w:val="00723A6D"/>
    <w:rsid w:val="007254D8"/>
    <w:rsid w:val="0073385A"/>
    <w:rsid w:val="0073530B"/>
    <w:rsid w:val="0073655C"/>
    <w:rsid w:val="00741AA8"/>
    <w:rsid w:val="00745EEA"/>
    <w:rsid w:val="00750591"/>
    <w:rsid w:val="00750902"/>
    <w:rsid w:val="0075144F"/>
    <w:rsid w:val="00752FAD"/>
    <w:rsid w:val="0075386E"/>
    <w:rsid w:val="00753BCE"/>
    <w:rsid w:val="00756C47"/>
    <w:rsid w:val="00764B70"/>
    <w:rsid w:val="007654A6"/>
    <w:rsid w:val="00765D24"/>
    <w:rsid w:val="00770007"/>
    <w:rsid w:val="00771027"/>
    <w:rsid w:val="00772FBF"/>
    <w:rsid w:val="00773E49"/>
    <w:rsid w:val="00774055"/>
    <w:rsid w:val="007757E2"/>
    <w:rsid w:val="007764D1"/>
    <w:rsid w:val="00776597"/>
    <w:rsid w:val="007835B1"/>
    <w:rsid w:val="00783B98"/>
    <w:rsid w:val="0078448D"/>
    <w:rsid w:val="007844D0"/>
    <w:rsid w:val="007858FA"/>
    <w:rsid w:val="007906F8"/>
    <w:rsid w:val="00790D96"/>
    <w:rsid w:val="007915BC"/>
    <w:rsid w:val="00792964"/>
    <w:rsid w:val="0079313A"/>
    <w:rsid w:val="0079784C"/>
    <w:rsid w:val="007A3363"/>
    <w:rsid w:val="007B2FAB"/>
    <w:rsid w:val="007B304A"/>
    <w:rsid w:val="007B61BF"/>
    <w:rsid w:val="007C09B7"/>
    <w:rsid w:val="007C0DD0"/>
    <w:rsid w:val="007C13F1"/>
    <w:rsid w:val="007C270F"/>
    <w:rsid w:val="007C3D88"/>
    <w:rsid w:val="007C4F5B"/>
    <w:rsid w:val="007C7493"/>
    <w:rsid w:val="007C77E1"/>
    <w:rsid w:val="007C7A80"/>
    <w:rsid w:val="007D074F"/>
    <w:rsid w:val="007D1268"/>
    <w:rsid w:val="007D143D"/>
    <w:rsid w:val="007D3F0C"/>
    <w:rsid w:val="007D4EC7"/>
    <w:rsid w:val="007E1D4F"/>
    <w:rsid w:val="007E42EB"/>
    <w:rsid w:val="007E5115"/>
    <w:rsid w:val="007E5CA5"/>
    <w:rsid w:val="007E6A51"/>
    <w:rsid w:val="007E7543"/>
    <w:rsid w:val="007F056B"/>
    <w:rsid w:val="007F1546"/>
    <w:rsid w:val="007F272A"/>
    <w:rsid w:val="007F28CD"/>
    <w:rsid w:val="007F2CB7"/>
    <w:rsid w:val="007F5738"/>
    <w:rsid w:val="007F60EB"/>
    <w:rsid w:val="00800AB3"/>
    <w:rsid w:val="00800ABD"/>
    <w:rsid w:val="00802882"/>
    <w:rsid w:val="0080681B"/>
    <w:rsid w:val="00806FAB"/>
    <w:rsid w:val="008076CC"/>
    <w:rsid w:val="00807B0E"/>
    <w:rsid w:val="00807B34"/>
    <w:rsid w:val="00807CCC"/>
    <w:rsid w:val="008103BF"/>
    <w:rsid w:val="00810F94"/>
    <w:rsid w:val="00814AA2"/>
    <w:rsid w:val="008156B7"/>
    <w:rsid w:val="008162BE"/>
    <w:rsid w:val="008172DC"/>
    <w:rsid w:val="00820081"/>
    <w:rsid w:val="008230A8"/>
    <w:rsid w:val="0082345A"/>
    <w:rsid w:val="00825326"/>
    <w:rsid w:val="00826078"/>
    <w:rsid w:val="008264A3"/>
    <w:rsid w:val="0082653D"/>
    <w:rsid w:val="00827FF8"/>
    <w:rsid w:val="00831767"/>
    <w:rsid w:val="00831823"/>
    <w:rsid w:val="00834ECE"/>
    <w:rsid w:val="00835CE3"/>
    <w:rsid w:val="00841104"/>
    <w:rsid w:val="00842C9A"/>
    <w:rsid w:val="0084380C"/>
    <w:rsid w:val="008438EC"/>
    <w:rsid w:val="008458D3"/>
    <w:rsid w:val="00854929"/>
    <w:rsid w:val="0085636C"/>
    <w:rsid w:val="008655F9"/>
    <w:rsid w:val="00875FF6"/>
    <w:rsid w:val="00876444"/>
    <w:rsid w:val="00877FB5"/>
    <w:rsid w:val="008815F8"/>
    <w:rsid w:val="00881CF1"/>
    <w:rsid w:val="0088287B"/>
    <w:rsid w:val="008829B3"/>
    <w:rsid w:val="008838A0"/>
    <w:rsid w:val="0089003B"/>
    <w:rsid w:val="00890825"/>
    <w:rsid w:val="0089531E"/>
    <w:rsid w:val="008957B6"/>
    <w:rsid w:val="00897B72"/>
    <w:rsid w:val="008A0B90"/>
    <w:rsid w:val="008A23FA"/>
    <w:rsid w:val="008A3B04"/>
    <w:rsid w:val="008A3D4A"/>
    <w:rsid w:val="008A3F60"/>
    <w:rsid w:val="008A6107"/>
    <w:rsid w:val="008A7F5D"/>
    <w:rsid w:val="008B38CD"/>
    <w:rsid w:val="008B4BC4"/>
    <w:rsid w:val="008B5F2C"/>
    <w:rsid w:val="008B603C"/>
    <w:rsid w:val="008B6112"/>
    <w:rsid w:val="008B73E8"/>
    <w:rsid w:val="008C01C1"/>
    <w:rsid w:val="008C1369"/>
    <w:rsid w:val="008C4713"/>
    <w:rsid w:val="008C6914"/>
    <w:rsid w:val="008D0E52"/>
    <w:rsid w:val="008D3E6D"/>
    <w:rsid w:val="008D5E13"/>
    <w:rsid w:val="008D696F"/>
    <w:rsid w:val="008D7FA9"/>
    <w:rsid w:val="008E3D48"/>
    <w:rsid w:val="008E4AA4"/>
    <w:rsid w:val="008E63C1"/>
    <w:rsid w:val="008E6D56"/>
    <w:rsid w:val="008F0385"/>
    <w:rsid w:val="008F3266"/>
    <w:rsid w:val="008F4170"/>
    <w:rsid w:val="009017AE"/>
    <w:rsid w:val="009025B4"/>
    <w:rsid w:val="00903ED3"/>
    <w:rsid w:val="00905A6C"/>
    <w:rsid w:val="00906422"/>
    <w:rsid w:val="00911273"/>
    <w:rsid w:val="0091142E"/>
    <w:rsid w:val="00911B7D"/>
    <w:rsid w:val="009226DD"/>
    <w:rsid w:val="00923668"/>
    <w:rsid w:val="009245AF"/>
    <w:rsid w:val="00934F9E"/>
    <w:rsid w:val="00935806"/>
    <w:rsid w:val="00935B97"/>
    <w:rsid w:val="00936C9B"/>
    <w:rsid w:val="00937EFB"/>
    <w:rsid w:val="009431C1"/>
    <w:rsid w:val="0094388B"/>
    <w:rsid w:val="00944FDF"/>
    <w:rsid w:val="009470A4"/>
    <w:rsid w:val="00953272"/>
    <w:rsid w:val="0095672B"/>
    <w:rsid w:val="00956FF3"/>
    <w:rsid w:val="00960EA3"/>
    <w:rsid w:val="00962654"/>
    <w:rsid w:val="0096651C"/>
    <w:rsid w:val="009671A1"/>
    <w:rsid w:val="00971FB6"/>
    <w:rsid w:val="009741C4"/>
    <w:rsid w:val="009837E2"/>
    <w:rsid w:val="00983E8C"/>
    <w:rsid w:val="00991770"/>
    <w:rsid w:val="009937D5"/>
    <w:rsid w:val="00993860"/>
    <w:rsid w:val="00997B29"/>
    <w:rsid w:val="009A05B6"/>
    <w:rsid w:val="009A09DB"/>
    <w:rsid w:val="009A4535"/>
    <w:rsid w:val="009B155D"/>
    <w:rsid w:val="009B2766"/>
    <w:rsid w:val="009B2F91"/>
    <w:rsid w:val="009B7F59"/>
    <w:rsid w:val="009C3F89"/>
    <w:rsid w:val="009C710F"/>
    <w:rsid w:val="009C73D5"/>
    <w:rsid w:val="009C74DD"/>
    <w:rsid w:val="009D0D19"/>
    <w:rsid w:val="009D62A5"/>
    <w:rsid w:val="009D7B90"/>
    <w:rsid w:val="009E1948"/>
    <w:rsid w:val="009E1D5A"/>
    <w:rsid w:val="009E2835"/>
    <w:rsid w:val="009E59BB"/>
    <w:rsid w:val="009E774A"/>
    <w:rsid w:val="009F1926"/>
    <w:rsid w:val="009F3CD9"/>
    <w:rsid w:val="009F3F4F"/>
    <w:rsid w:val="009F761E"/>
    <w:rsid w:val="00A0312C"/>
    <w:rsid w:val="00A147A5"/>
    <w:rsid w:val="00A17DF6"/>
    <w:rsid w:val="00A228C7"/>
    <w:rsid w:val="00A22A38"/>
    <w:rsid w:val="00A22AA4"/>
    <w:rsid w:val="00A255B3"/>
    <w:rsid w:val="00A26636"/>
    <w:rsid w:val="00A26D06"/>
    <w:rsid w:val="00A36073"/>
    <w:rsid w:val="00A37B5B"/>
    <w:rsid w:val="00A42F46"/>
    <w:rsid w:val="00A4625B"/>
    <w:rsid w:val="00A469F1"/>
    <w:rsid w:val="00A51264"/>
    <w:rsid w:val="00A54485"/>
    <w:rsid w:val="00A546FB"/>
    <w:rsid w:val="00A6127C"/>
    <w:rsid w:val="00A61B35"/>
    <w:rsid w:val="00A61FC3"/>
    <w:rsid w:val="00A62C17"/>
    <w:rsid w:val="00A63C3E"/>
    <w:rsid w:val="00A64027"/>
    <w:rsid w:val="00A65A4B"/>
    <w:rsid w:val="00A65D4F"/>
    <w:rsid w:val="00A6604F"/>
    <w:rsid w:val="00A710C8"/>
    <w:rsid w:val="00A71263"/>
    <w:rsid w:val="00A72038"/>
    <w:rsid w:val="00A73F4D"/>
    <w:rsid w:val="00A75062"/>
    <w:rsid w:val="00A77838"/>
    <w:rsid w:val="00A806F8"/>
    <w:rsid w:val="00A8417A"/>
    <w:rsid w:val="00A84A3A"/>
    <w:rsid w:val="00A860B3"/>
    <w:rsid w:val="00A90684"/>
    <w:rsid w:val="00A923B8"/>
    <w:rsid w:val="00A9759E"/>
    <w:rsid w:val="00AA14EB"/>
    <w:rsid w:val="00AA763C"/>
    <w:rsid w:val="00AA7F72"/>
    <w:rsid w:val="00AB1496"/>
    <w:rsid w:val="00AB251E"/>
    <w:rsid w:val="00AB5A01"/>
    <w:rsid w:val="00AC057E"/>
    <w:rsid w:val="00AC5BE1"/>
    <w:rsid w:val="00AC7747"/>
    <w:rsid w:val="00AD31AB"/>
    <w:rsid w:val="00AD3F00"/>
    <w:rsid w:val="00AD418A"/>
    <w:rsid w:val="00AD4503"/>
    <w:rsid w:val="00AD4E66"/>
    <w:rsid w:val="00AD6807"/>
    <w:rsid w:val="00AE133A"/>
    <w:rsid w:val="00AE154C"/>
    <w:rsid w:val="00AE5204"/>
    <w:rsid w:val="00AE53C2"/>
    <w:rsid w:val="00AE73AE"/>
    <w:rsid w:val="00AF576F"/>
    <w:rsid w:val="00AF5B07"/>
    <w:rsid w:val="00B0290D"/>
    <w:rsid w:val="00B07818"/>
    <w:rsid w:val="00B13439"/>
    <w:rsid w:val="00B1498C"/>
    <w:rsid w:val="00B152E4"/>
    <w:rsid w:val="00B16A06"/>
    <w:rsid w:val="00B17AD0"/>
    <w:rsid w:val="00B2152F"/>
    <w:rsid w:val="00B21B9E"/>
    <w:rsid w:val="00B223E3"/>
    <w:rsid w:val="00B25555"/>
    <w:rsid w:val="00B312EC"/>
    <w:rsid w:val="00B33DFE"/>
    <w:rsid w:val="00B344EB"/>
    <w:rsid w:val="00B36D52"/>
    <w:rsid w:val="00B413D9"/>
    <w:rsid w:val="00B454FB"/>
    <w:rsid w:val="00B506D1"/>
    <w:rsid w:val="00B533F1"/>
    <w:rsid w:val="00B54BAB"/>
    <w:rsid w:val="00B551DB"/>
    <w:rsid w:val="00B5668D"/>
    <w:rsid w:val="00B56F09"/>
    <w:rsid w:val="00B576E8"/>
    <w:rsid w:val="00B62880"/>
    <w:rsid w:val="00B62F47"/>
    <w:rsid w:val="00B644A6"/>
    <w:rsid w:val="00B646C3"/>
    <w:rsid w:val="00B65B1A"/>
    <w:rsid w:val="00B66E81"/>
    <w:rsid w:val="00B710C6"/>
    <w:rsid w:val="00B72541"/>
    <w:rsid w:val="00B72A51"/>
    <w:rsid w:val="00B824D9"/>
    <w:rsid w:val="00B85B47"/>
    <w:rsid w:val="00B95FD2"/>
    <w:rsid w:val="00B974DC"/>
    <w:rsid w:val="00BA22C2"/>
    <w:rsid w:val="00BA3B06"/>
    <w:rsid w:val="00BA4579"/>
    <w:rsid w:val="00BA47A2"/>
    <w:rsid w:val="00BA6EFF"/>
    <w:rsid w:val="00BA7096"/>
    <w:rsid w:val="00BA71A8"/>
    <w:rsid w:val="00BB29B2"/>
    <w:rsid w:val="00BB513C"/>
    <w:rsid w:val="00BB6841"/>
    <w:rsid w:val="00BB7BFD"/>
    <w:rsid w:val="00BE095C"/>
    <w:rsid w:val="00BE1EED"/>
    <w:rsid w:val="00BE2D56"/>
    <w:rsid w:val="00BE33CE"/>
    <w:rsid w:val="00BE5913"/>
    <w:rsid w:val="00BE74C9"/>
    <w:rsid w:val="00BF3F12"/>
    <w:rsid w:val="00BF4616"/>
    <w:rsid w:val="00BF5AB0"/>
    <w:rsid w:val="00BF65F3"/>
    <w:rsid w:val="00BF76F3"/>
    <w:rsid w:val="00BF7BA1"/>
    <w:rsid w:val="00C03309"/>
    <w:rsid w:val="00C0418E"/>
    <w:rsid w:val="00C06DDA"/>
    <w:rsid w:val="00C07A49"/>
    <w:rsid w:val="00C132C4"/>
    <w:rsid w:val="00C138E9"/>
    <w:rsid w:val="00C139FF"/>
    <w:rsid w:val="00C16E7A"/>
    <w:rsid w:val="00C2007C"/>
    <w:rsid w:val="00C20DE2"/>
    <w:rsid w:val="00C23088"/>
    <w:rsid w:val="00C23A14"/>
    <w:rsid w:val="00C25DDC"/>
    <w:rsid w:val="00C325B5"/>
    <w:rsid w:val="00C33DBA"/>
    <w:rsid w:val="00C33FE2"/>
    <w:rsid w:val="00C36629"/>
    <w:rsid w:val="00C36B11"/>
    <w:rsid w:val="00C40E59"/>
    <w:rsid w:val="00C4461B"/>
    <w:rsid w:val="00C471D5"/>
    <w:rsid w:val="00C50E1C"/>
    <w:rsid w:val="00C51900"/>
    <w:rsid w:val="00C54151"/>
    <w:rsid w:val="00C54802"/>
    <w:rsid w:val="00C55D20"/>
    <w:rsid w:val="00C56DB2"/>
    <w:rsid w:val="00C57636"/>
    <w:rsid w:val="00C60239"/>
    <w:rsid w:val="00C605F9"/>
    <w:rsid w:val="00C65F43"/>
    <w:rsid w:val="00C72CEB"/>
    <w:rsid w:val="00C73239"/>
    <w:rsid w:val="00C74BDA"/>
    <w:rsid w:val="00C752BB"/>
    <w:rsid w:val="00C76E70"/>
    <w:rsid w:val="00C77ACD"/>
    <w:rsid w:val="00C8212B"/>
    <w:rsid w:val="00C91EA0"/>
    <w:rsid w:val="00C929EE"/>
    <w:rsid w:val="00C93687"/>
    <w:rsid w:val="00C94B30"/>
    <w:rsid w:val="00C9618B"/>
    <w:rsid w:val="00CA1380"/>
    <w:rsid w:val="00CA4412"/>
    <w:rsid w:val="00CA4AB4"/>
    <w:rsid w:val="00CA52E7"/>
    <w:rsid w:val="00CA626E"/>
    <w:rsid w:val="00CA6B84"/>
    <w:rsid w:val="00CB36D7"/>
    <w:rsid w:val="00CB450E"/>
    <w:rsid w:val="00CC07C9"/>
    <w:rsid w:val="00CC0CAD"/>
    <w:rsid w:val="00CC2026"/>
    <w:rsid w:val="00CC5114"/>
    <w:rsid w:val="00CC7D47"/>
    <w:rsid w:val="00CD0C15"/>
    <w:rsid w:val="00CD31DF"/>
    <w:rsid w:val="00CD3329"/>
    <w:rsid w:val="00CD36EB"/>
    <w:rsid w:val="00CD5502"/>
    <w:rsid w:val="00CE022D"/>
    <w:rsid w:val="00CE0522"/>
    <w:rsid w:val="00CE2C37"/>
    <w:rsid w:val="00CE5EF9"/>
    <w:rsid w:val="00CF2938"/>
    <w:rsid w:val="00CF4412"/>
    <w:rsid w:val="00CF5316"/>
    <w:rsid w:val="00CF55E2"/>
    <w:rsid w:val="00CF6A05"/>
    <w:rsid w:val="00CF6EC1"/>
    <w:rsid w:val="00D01BCF"/>
    <w:rsid w:val="00D0358B"/>
    <w:rsid w:val="00D03D79"/>
    <w:rsid w:val="00D0710B"/>
    <w:rsid w:val="00D10C78"/>
    <w:rsid w:val="00D11868"/>
    <w:rsid w:val="00D11F3D"/>
    <w:rsid w:val="00D127E3"/>
    <w:rsid w:val="00D12CF0"/>
    <w:rsid w:val="00D13A60"/>
    <w:rsid w:val="00D2168A"/>
    <w:rsid w:val="00D267A4"/>
    <w:rsid w:val="00D27EF5"/>
    <w:rsid w:val="00D30B09"/>
    <w:rsid w:val="00D318AB"/>
    <w:rsid w:val="00D3222E"/>
    <w:rsid w:val="00D374F5"/>
    <w:rsid w:val="00D4248B"/>
    <w:rsid w:val="00D42B40"/>
    <w:rsid w:val="00D43DA7"/>
    <w:rsid w:val="00D449A3"/>
    <w:rsid w:val="00D4533E"/>
    <w:rsid w:val="00D54C3B"/>
    <w:rsid w:val="00D550B4"/>
    <w:rsid w:val="00D550FC"/>
    <w:rsid w:val="00D55256"/>
    <w:rsid w:val="00D55571"/>
    <w:rsid w:val="00D6191F"/>
    <w:rsid w:val="00D61AF0"/>
    <w:rsid w:val="00D61BDC"/>
    <w:rsid w:val="00D64B65"/>
    <w:rsid w:val="00D64E69"/>
    <w:rsid w:val="00D71078"/>
    <w:rsid w:val="00D72458"/>
    <w:rsid w:val="00D73430"/>
    <w:rsid w:val="00D76706"/>
    <w:rsid w:val="00D772FC"/>
    <w:rsid w:val="00D80285"/>
    <w:rsid w:val="00D875FB"/>
    <w:rsid w:val="00D90549"/>
    <w:rsid w:val="00D91C6D"/>
    <w:rsid w:val="00D95E24"/>
    <w:rsid w:val="00DA40D1"/>
    <w:rsid w:val="00DA50AC"/>
    <w:rsid w:val="00DB0113"/>
    <w:rsid w:val="00DB1D5C"/>
    <w:rsid w:val="00DC3020"/>
    <w:rsid w:val="00DC5041"/>
    <w:rsid w:val="00DD0BCF"/>
    <w:rsid w:val="00DD0E1A"/>
    <w:rsid w:val="00DD1DA5"/>
    <w:rsid w:val="00DD4EB9"/>
    <w:rsid w:val="00DD54B4"/>
    <w:rsid w:val="00DD6515"/>
    <w:rsid w:val="00DD7464"/>
    <w:rsid w:val="00DE05D4"/>
    <w:rsid w:val="00DE1A77"/>
    <w:rsid w:val="00DE21D7"/>
    <w:rsid w:val="00DE51A3"/>
    <w:rsid w:val="00DE592D"/>
    <w:rsid w:val="00DF0A5C"/>
    <w:rsid w:val="00DF1D19"/>
    <w:rsid w:val="00DF30F2"/>
    <w:rsid w:val="00DF5F0B"/>
    <w:rsid w:val="00DF63F2"/>
    <w:rsid w:val="00DF7D2A"/>
    <w:rsid w:val="00E02873"/>
    <w:rsid w:val="00E044D3"/>
    <w:rsid w:val="00E05EE3"/>
    <w:rsid w:val="00E13156"/>
    <w:rsid w:val="00E13F37"/>
    <w:rsid w:val="00E15866"/>
    <w:rsid w:val="00E17041"/>
    <w:rsid w:val="00E235B3"/>
    <w:rsid w:val="00E3384D"/>
    <w:rsid w:val="00E34533"/>
    <w:rsid w:val="00E34804"/>
    <w:rsid w:val="00E3735A"/>
    <w:rsid w:val="00E37B39"/>
    <w:rsid w:val="00E40D04"/>
    <w:rsid w:val="00E4158B"/>
    <w:rsid w:val="00E44160"/>
    <w:rsid w:val="00E44AB5"/>
    <w:rsid w:val="00E44C3D"/>
    <w:rsid w:val="00E5340A"/>
    <w:rsid w:val="00E54050"/>
    <w:rsid w:val="00E54AAA"/>
    <w:rsid w:val="00E61B59"/>
    <w:rsid w:val="00E647CD"/>
    <w:rsid w:val="00E64898"/>
    <w:rsid w:val="00E6792B"/>
    <w:rsid w:val="00E67A04"/>
    <w:rsid w:val="00E701A3"/>
    <w:rsid w:val="00E7183B"/>
    <w:rsid w:val="00E71B0A"/>
    <w:rsid w:val="00E807E9"/>
    <w:rsid w:val="00E84397"/>
    <w:rsid w:val="00E84EEB"/>
    <w:rsid w:val="00E85098"/>
    <w:rsid w:val="00E8551A"/>
    <w:rsid w:val="00E872D8"/>
    <w:rsid w:val="00E91A54"/>
    <w:rsid w:val="00E91D5C"/>
    <w:rsid w:val="00E92D43"/>
    <w:rsid w:val="00E97E8B"/>
    <w:rsid w:val="00EA6023"/>
    <w:rsid w:val="00EA7401"/>
    <w:rsid w:val="00EB02BC"/>
    <w:rsid w:val="00EB0D09"/>
    <w:rsid w:val="00EB17E8"/>
    <w:rsid w:val="00EB1ADB"/>
    <w:rsid w:val="00EB2558"/>
    <w:rsid w:val="00EB2B0E"/>
    <w:rsid w:val="00EB433A"/>
    <w:rsid w:val="00EC246B"/>
    <w:rsid w:val="00EC5ADC"/>
    <w:rsid w:val="00EC68A0"/>
    <w:rsid w:val="00ED49D4"/>
    <w:rsid w:val="00ED6EED"/>
    <w:rsid w:val="00EE076C"/>
    <w:rsid w:val="00EF1622"/>
    <w:rsid w:val="00EF276B"/>
    <w:rsid w:val="00EF3804"/>
    <w:rsid w:val="00EF3C75"/>
    <w:rsid w:val="00EF6245"/>
    <w:rsid w:val="00EF7FD0"/>
    <w:rsid w:val="00F03162"/>
    <w:rsid w:val="00F046A5"/>
    <w:rsid w:val="00F05166"/>
    <w:rsid w:val="00F07E19"/>
    <w:rsid w:val="00F11F0F"/>
    <w:rsid w:val="00F12A25"/>
    <w:rsid w:val="00F137C4"/>
    <w:rsid w:val="00F14CA5"/>
    <w:rsid w:val="00F1647F"/>
    <w:rsid w:val="00F16AC0"/>
    <w:rsid w:val="00F16FDB"/>
    <w:rsid w:val="00F17D91"/>
    <w:rsid w:val="00F22D2D"/>
    <w:rsid w:val="00F2408A"/>
    <w:rsid w:val="00F25ED4"/>
    <w:rsid w:val="00F27066"/>
    <w:rsid w:val="00F27A7B"/>
    <w:rsid w:val="00F33F5D"/>
    <w:rsid w:val="00F35614"/>
    <w:rsid w:val="00F4180B"/>
    <w:rsid w:val="00F4195F"/>
    <w:rsid w:val="00F44D53"/>
    <w:rsid w:val="00F46484"/>
    <w:rsid w:val="00F50F4E"/>
    <w:rsid w:val="00F5267C"/>
    <w:rsid w:val="00F52F40"/>
    <w:rsid w:val="00F552D8"/>
    <w:rsid w:val="00F56DFB"/>
    <w:rsid w:val="00F5784E"/>
    <w:rsid w:val="00F57E63"/>
    <w:rsid w:val="00F63055"/>
    <w:rsid w:val="00F6359D"/>
    <w:rsid w:val="00F642A8"/>
    <w:rsid w:val="00F66144"/>
    <w:rsid w:val="00F665D6"/>
    <w:rsid w:val="00F70884"/>
    <w:rsid w:val="00F71347"/>
    <w:rsid w:val="00F73498"/>
    <w:rsid w:val="00F741E3"/>
    <w:rsid w:val="00F74DFC"/>
    <w:rsid w:val="00F76EEC"/>
    <w:rsid w:val="00F84570"/>
    <w:rsid w:val="00F845A4"/>
    <w:rsid w:val="00F8483C"/>
    <w:rsid w:val="00F912C4"/>
    <w:rsid w:val="00F91570"/>
    <w:rsid w:val="00F9265D"/>
    <w:rsid w:val="00F932F1"/>
    <w:rsid w:val="00F96620"/>
    <w:rsid w:val="00FA04CB"/>
    <w:rsid w:val="00FA0F5A"/>
    <w:rsid w:val="00FA613C"/>
    <w:rsid w:val="00FA6228"/>
    <w:rsid w:val="00FA660F"/>
    <w:rsid w:val="00FA7B15"/>
    <w:rsid w:val="00FB00D5"/>
    <w:rsid w:val="00FB1177"/>
    <w:rsid w:val="00FB24C4"/>
    <w:rsid w:val="00FB29A6"/>
    <w:rsid w:val="00FB2EEF"/>
    <w:rsid w:val="00FB4C85"/>
    <w:rsid w:val="00FB7FD9"/>
    <w:rsid w:val="00FC379A"/>
    <w:rsid w:val="00FC5228"/>
    <w:rsid w:val="00FC568F"/>
    <w:rsid w:val="00FC61B1"/>
    <w:rsid w:val="00FD1031"/>
    <w:rsid w:val="00FD59B9"/>
    <w:rsid w:val="00FD6223"/>
    <w:rsid w:val="00FD6E42"/>
    <w:rsid w:val="00FD7CA0"/>
    <w:rsid w:val="00FE352C"/>
    <w:rsid w:val="00FE7395"/>
    <w:rsid w:val="00FF3FB8"/>
    <w:rsid w:val="00FF612C"/>
    <w:rsid w:val="00FF72C8"/>
    <w:rsid w:val="00FF7410"/>
    <w:rsid w:val="00FF76D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B04D6B"/>
  <w15:chartTrackingRefBased/>
  <w15:docId w15:val="{C2BF6437-2DC2-4292-AC5D-C64579380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2A4B"/>
    <w:rPr>
      <w:lang w:val="cs-CZ" w:eastAsia="en-US"/>
    </w:rPr>
  </w:style>
  <w:style w:type="paragraph" w:styleId="Nadpis1">
    <w:name w:val="heading 1"/>
    <w:basedOn w:val="Normlny"/>
    <w:next w:val="Normlny"/>
    <w:link w:val="Nadpis1Char"/>
    <w:qFormat/>
    <w:rsid w:val="0063664A"/>
    <w:pPr>
      <w:keepNext/>
      <w:jc w:val="both"/>
      <w:outlineLvl w:val="0"/>
    </w:pPr>
    <w:rPr>
      <w:rFonts w:ascii="Cambria" w:hAnsi="Cambria"/>
      <w:b/>
      <w:bCs/>
      <w:kern w:val="32"/>
      <w:sz w:val="32"/>
      <w:szCs w:val="32"/>
    </w:rPr>
  </w:style>
  <w:style w:type="paragraph" w:styleId="Nadpis2">
    <w:name w:val="heading 2"/>
    <w:basedOn w:val="Normlny"/>
    <w:next w:val="Normlny"/>
    <w:link w:val="Nadpis2Char"/>
    <w:qFormat/>
    <w:rsid w:val="0063664A"/>
    <w:pPr>
      <w:keepNext/>
      <w:jc w:val="both"/>
      <w:outlineLvl w:val="1"/>
    </w:pPr>
    <w:rPr>
      <w:rFonts w:ascii="Cambria" w:hAnsi="Cambria"/>
      <w:b/>
      <w:bCs/>
      <w:i/>
      <w:iCs/>
      <w:sz w:val="28"/>
      <w:szCs w:val="28"/>
    </w:rPr>
  </w:style>
  <w:style w:type="paragraph" w:styleId="Nadpis3">
    <w:name w:val="heading 3"/>
    <w:basedOn w:val="Normlny"/>
    <w:next w:val="Normlny"/>
    <w:link w:val="Nadpis3Char"/>
    <w:qFormat/>
    <w:rsid w:val="0063664A"/>
    <w:pPr>
      <w:keepNext/>
      <w:jc w:val="both"/>
      <w:outlineLvl w:val="2"/>
    </w:pPr>
    <w:rPr>
      <w:rFonts w:ascii="Cambria" w:hAnsi="Cambria"/>
      <w:b/>
      <w:bCs/>
      <w:sz w:val="26"/>
      <w:szCs w:val="26"/>
    </w:rPr>
  </w:style>
  <w:style w:type="paragraph" w:styleId="Nadpis4">
    <w:name w:val="heading 4"/>
    <w:basedOn w:val="Normlny"/>
    <w:next w:val="Normlny"/>
    <w:link w:val="Nadpis4Char"/>
    <w:qFormat/>
    <w:rsid w:val="0063664A"/>
    <w:pPr>
      <w:keepNext/>
      <w:autoSpaceDE w:val="0"/>
      <w:autoSpaceDN w:val="0"/>
      <w:outlineLvl w:val="3"/>
    </w:pPr>
    <w:rPr>
      <w:rFonts w:ascii="Calibri" w:hAnsi="Calibri"/>
      <w:b/>
      <w:bCs/>
      <w:sz w:val="28"/>
      <w:szCs w:val="28"/>
    </w:rPr>
  </w:style>
  <w:style w:type="paragraph" w:styleId="Nadpis5">
    <w:name w:val="heading 5"/>
    <w:basedOn w:val="Normlny"/>
    <w:next w:val="Normlny"/>
    <w:link w:val="Nadpis5Char"/>
    <w:qFormat/>
    <w:rsid w:val="0063664A"/>
    <w:pPr>
      <w:keepNext/>
      <w:outlineLvl w:val="4"/>
    </w:pPr>
    <w:rPr>
      <w:rFonts w:ascii="Calibri" w:hAnsi="Calibri"/>
      <w:b/>
      <w:bCs/>
      <w:i/>
      <w:iCs/>
      <w:sz w:val="26"/>
      <w:szCs w:val="26"/>
    </w:rPr>
  </w:style>
  <w:style w:type="paragraph" w:styleId="Nadpis6">
    <w:name w:val="heading 6"/>
    <w:basedOn w:val="Normlny"/>
    <w:next w:val="Normlny"/>
    <w:link w:val="Nadpis6Char"/>
    <w:qFormat/>
    <w:rsid w:val="0063664A"/>
    <w:pPr>
      <w:keepNext/>
      <w:jc w:val="both"/>
      <w:outlineLvl w:val="5"/>
    </w:pPr>
    <w:rPr>
      <w:rFonts w:ascii="Calibri" w:hAnsi="Calibri"/>
      <w:b/>
      <w:bCs/>
      <w:sz w:val="22"/>
      <w:szCs w:val="22"/>
    </w:rPr>
  </w:style>
  <w:style w:type="paragraph" w:styleId="Nadpis7">
    <w:name w:val="heading 7"/>
    <w:basedOn w:val="Normlny"/>
    <w:next w:val="Normlny"/>
    <w:link w:val="Nadpis7Char"/>
    <w:qFormat/>
    <w:rsid w:val="0063664A"/>
    <w:pPr>
      <w:keepNext/>
      <w:jc w:val="both"/>
      <w:outlineLvl w:val="6"/>
    </w:pPr>
    <w:rPr>
      <w:rFonts w:ascii="Calibri" w:hAnsi="Calibri"/>
      <w:sz w:val="24"/>
      <w:szCs w:val="24"/>
    </w:rPr>
  </w:style>
  <w:style w:type="paragraph" w:styleId="Nadpis8">
    <w:name w:val="heading 8"/>
    <w:basedOn w:val="Normlny"/>
    <w:next w:val="Normlny"/>
    <w:link w:val="Nadpis8Char"/>
    <w:qFormat/>
    <w:rsid w:val="0063664A"/>
    <w:pPr>
      <w:keepNext/>
      <w:spacing w:before="120"/>
      <w:outlineLvl w:val="7"/>
    </w:pPr>
    <w:rPr>
      <w:rFonts w:ascii="Calibri" w:hAnsi="Calibri"/>
      <w:i/>
      <w:iCs/>
      <w:sz w:val="24"/>
      <w:szCs w:val="24"/>
    </w:rPr>
  </w:style>
  <w:style w:type="paragraph" w:styleId="Nadpis9">
    <w:name w:val="heading 9"/>
    <w:basedOn w:val="Normlny"/>
    <w:next w:val="Normlny"/>
    <w:link w:val="Nadpis9Char"/>
    <w:qFormat/>
    <w:rsid w:val="0063664A"/>
    <w:pPr>
      <w:keepNext/>
      <w:outlineLvl w:val="8"/>
    </w:pPr>
    <w:rPr>
      <w:rFonts w:ascii="Cambria"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Pr>
      <w:rFonts w:ascii="Cambria" w:hAnsi="Cambria"/>
      <w:b/>
      <w:bCs/>
      <w:kern w:val="32"/>
      <w:sz w:val="32"/>
      <w:szCs w:val="32"/>
      <w:lang w:val="cs-CZ" w:eastAsia="en-US"/>
    </w:rPr>
  </w:style>
  <w:style w:type="character" w:customStyle="1" w:styleId="Nadpis2Char">
    <w:name w:val="Nadpis 2 Char"/>
    <w:link w:val="Nadpis2"/>
    <w:locked/>
    <w:rPr>
      <w:rFonts w:ascii="Cambria" w:hAnsi="Cambria"/>
      <w:b/>
      <w:bCs/>
      <w:i/>
      <w:iCs/>
      <w:sz w:val="28"/>
      <w:szCs w:val="28"/>
      <w:lang w:val="cs-CZ" w:eastAsia="en-US"/>
    </w:rPr>
  </w:style>
  <w:style w:type="character" w:customStyle="1" w:styleId="Nadpis3Char">
    <w:name w:val="Nadpis 3 Char"/>
    <w:link w:val="Nadpis3"/>
    <w:locked/>
    <w:rPr>
      <w:rFonts w:ascii="Cambria" w:hAnsi="Cambria"/>
      <w:b/>
      <w:bCs/>
      <w:sz w:val="26"/>
      <w:szCs w:val="26"/>
      <w:lang w:val="cs-CZ" w:eastAsia="en-US"/>
    </w:rPr>
  </w:style>
  <w:style w:type="character" w:customStyle="1" w:styleId="Nadpis4Char">
    <w:name w:val="Nadpis 4 Char"/>
    <w:link w:val="Nadpis4"/>
    <w:locked/>
    <w:rPr>
      <w:rFonts w:ascii="Calibri" w:hAnsi="Calibri"/>
      <w:b/>
      <w:bCs/>
      <w:sz w:val="28"/>
      <w:szCs w:val="28"/>
      <w:lang w:val="cs-CZ" w:eastAsia="en-US"/>
    </w:rPr>
  </w:style>
  <w:style w:type="character" w:customStyle="1" w:styleId="Nadpis5Char">
    <w:name w:val="Nadpis 5 Char"/>
    <w:link w:val="Nadpis5"/>
    <w:locked/>
    <w:rPr>
      <w:rFonts w:ascii="Calibri" w:hAnsi="Calibri"/>
      <w:b/>
      <w:bCs/>
      <w:i/>
      <w:iCs/>
      <w:sz w:val="26"/>
      <w:szCs w:val="26"/>
      <w:lang w:val="cs-CZ" w:eastAsia="en-US"/>
    </w:rPr>
  </w:style>
  <w:style w:type="character" w:customStyle="1" w:styleId="Nadpis6Char">
    <w:name w:val="Nadpis 6 Char"/>
    <w:link w:val="Nadpis6"/>
    <w:locked/>
    <w:rPr>
      <w:rFonts w:ascii="Calibri" w:hAnsi="Calibri"/>
      <w:b/>
      <w:bCs/>
      <w:sz w:val="22"/>
      <w:szCs w:val="22"/>
      <w:lang w:val="cs-CZ" w:eastAsia="en-US"/>
    </w:rPr>
  </w:style>
  <w:style w:type="character" w:customStyle="1" w:styleId="Nadpis7Char">
    <w:name w:val="Nadpis 7 Char"/>
    <w:link w:val="Nadpis7"/>
    <w:locked/>
    <w:rPr>
      <w:rFonts w:ascii="Calibri" w:hAnsi="Calibri"/>
      <w:sz w:val="24"/>
      <w:szCs w:val="24"/>
      <w:lang w:val="cs-CZ" w:eastAsia="en-US"/>
    </w:rPr>
  </w:style>
  <w:style w:type="character" w:customStyle="1" w:styleId="Nadpis8Char">
    <w:name w:val="Nadpis 8 Char"/>
    <w:link w:val="Nadpis8"/>
    <w:locked/>
    <w:rPr>
      <w:rFonts w:ascii="Calibri" w:hAnsi="Calibri"/>
      <w:i/>
      <w:iCs/>
      <w:sz w:val="24"/>
      <w:szCs w:val="24"/>
      <w:lang w:val="cs-CZ" w:eastAsia="en-US"/>
    </w:rPr>
  </w:style>
  <w:style w:type="character" w:customStyle="1" w:styleId="Nadpis9Char">
    <w:name w:val="Nadpis 9 Char"/>
    <w:link w:val="Nadpis9"/>
    <w:locked/>
    <w:rPr>
      <w:rFonts w:ascii="Cambria" w:hAnsi="Cambria"/>
      <w:sz w:val="22"/>
      <w:szCs w:val="22"/>
      <w:lang w:val="cs-CZ" w:eastAsia="en-US"/>
    </w:rPr>
  </w:style>
  <w:style w:type="paragraph" w:styleId="Hlavika">
    <w:name w:val="header"/>
    <w:basedOn w:val="Normlny"/>
    <w:link w:val="HlavikaChar"/>
    <w:rsid w:val="00092A4B"/>
    <w:pPr>
      <w:tabs>
        <w:tab w:val="center" w:pos="4536"/>
        <w:tab w:val="right" w:pos="9072"/>
      </w:tabs>
    </w:pPr>
  </w:style>
  <w:style w:type="character" w:customStyle="1" w:styleId="HlavikaChar">
    <w:name w:val="Hlavička Char"/>
    <w:link w:val="Hlavika"/>
    <w:uiPriority w:val="99"/>
    <w:locked/>
    <w:rsid w:val="007162FB"/>
    <w:rPr>
      <w:rFonts w:cs="Times New Roman"/>
      <w:lang w:val="cs-CZ" w:eastAsia="en-US"/>
    </w:rPr>
  </w:style>
  <w:style w:type="paragraph" w:styleId="Pta">
    <w:name w:val="footer"/>
    <w:basedOn w:val="Normlny"/>
    <w:link w:val="PtaChar"/>
    <w:rsid w:val="00092A4B"/>
    <w:pPr>
      <w:tabs>
        <w:tab w:val="center" w:pos="4536"/>
        <w:tab w:val="right" w:pos="9072"/>
      </w:tabs>
    </w:pPr>
  </w:style>
  <w:style w:type="character" w:customStyle="1" w:styleId="PtaChar">
    <w:name w:val="Päta Char"/>
    <w:link w:val="Pta"/>
    <w:uiPriority w:val="99"/>
    <w:locked/>
    <w:rsid w:val="007162FB"/>
    <w:rPr>
      <w:rFonts w:cs="Times New Roman"/>
      <w:lang w:val="cs-CZ" w:eastAsia="en-US"/>
    </w:rPr>
  </w:style>
  <w:style w:type="character" w:styleId="slostrany">
    <w:name w:val="page number"/>
    <w:rsid w:val="00092A4B"/>
    <w:rPr>
      <w:rFonts w:cs="Times New Roman"/>
    </w:rPr>
  </w:style>
  <w:style w:type="paragraph" w:styleId="Zkladntext">
    <w:name w:val="Body Text"/>
    <w:basedOn w:val="Normlny"/>
    <w:link w:val="ZkladntextChar"/>
    <w:rsid w:val="0063664A"/>
    <w:pPr>
      <w:jc w:val="both"/>
    </w:pPr>
  </w:style>
  <w:style w:type="character" w:customStyle="1" w:styleId="ZkladntextChar">
    <w:name w:val="Základný text Char"/>
    <w:link w:val="Zkladntext"/>
    <w:locked/>
    <w:rPr>
      <w:lang w:val="cs-CZ" w:eastAsia="en-US"/>
    </w:rPr>
  </w:style>
  <w:style w:type="paragraph" w:styleId="Zkladntext2">
    <w:name w:val="Body Text 2"/>
    <w:basedOn w:val="Normlny"/>
    <w:link w:val="Zkladntext2Char"/>
    <w:rsid w:val="0063664A"/>
    <w:pPr>
      <w:jc w:val="both"/>
    </w:pPr>
  </w:style>
  <w:style w:type="character" w:customStyle="1" w:styleId="Zkladntext2Char">
    <w:name w:val="Základný text 2 Char"/>
    <w:link w:val="Zkladntext2"/>
    <w:locked/>
    <w:rPr>
      <w:lang w:val="cs-CZ" w:eastAsia="en-US"/>
    </w:rPr>
  </w:style>
  <w:style w:type="paragraph" w:styleId="Zkladntext3">
    <w:name w:val="Body Text 3"/>
    <w:basedOn w:val="Normlny"/>
    <w:link w:val="Zkladntext3Char"/>
    <w:rsid w:val="0063664A"/>
    <w:pPr>
      <w:autoSpaceDE w:val="0"/>
      <w:autoSpaceDN w:val="0"/>
    </w:pPr>
    <w:rPr>
      <w:sz w:val="16"/>
      <w:szCs w:val="16"/>
    </w:rPr>
  </w:style>
  <w:style w:type="character" w:customStyle="1" w:styleId="Zkladntext3Char">
    <w:name w:val="Základný text 3 Char"/>
    <w:link w:val="Zkladntext3"/>
    <w:locked/>
    <w:rPr>
      <w:sz w:val="16"/>
      <w:szCs w:val="16"/>
      <w:lang w:val="cs-CZ" w:eastAsia="en-US"/>
    </w:rPr>
  </w:style>
  <w:style w:type="paragraph" w:customStyle="1" w:styleId="BodySingle">
    <w:name w:val="Body Single"/>
    <w:basedOn w:val="Normlny"/>
    <w:rsid w:val="00092A4B"/>
    <w:rPr>
      <w:sz w:val="24"/>
      <w:lang w:val="sk-SK"/>
    </w:rPr>
  </w:style>
  <w:style w:type="paragraph" w:styleId="Zarkazkladnhotextu">
    <w:name w:val="Body Text Indent"/>
    <w:basedOn w:val="Normlny"/>
    <w:link w:val="ZarkazkladnhotextuChar"/>
    <w:uiPriority w:val="99"/>
    <w:rsid w:val="00092A4B"/>
    <w:pPr>
      <w:ind w:left="142" w:hanging="142"/>
      <w:jc w:val="both"/>
    </w:pPr>
  </w:style>
  <w:style w:type="character" w:customStyle="1" w:styleId="ZarkazkladnhotextuChar">
    <w:name w:val="Zarážka základného textu Char"/>
    <w:link w:val="Zarkazkladnhotextu"/>
    <w:uiPriority w:val="99"/>
    <w:semiHidden/>
    <w:locked/>
    <w:rPr>
      <w:rFonts w:cs="Times New Roman"/>
      <w:lang w:val="cs-CZ" w:eastAsia="en-US"/>
    </w:rPr>
  </w:style>
  <w:style w:type="paragraph" w:styleId="truktradokumentu">
    <w:name w:val="Document Map"/>
    <w:basedOn w:val="Normlny"/>
    <w:link w:val="truktradokumentuChar"/>
    <w:uiPriority w:val="99"/>
    <w:semiHidden/>
    <w:rsid w:val="00092A4B"/>
    <w:pPr>
      <w:shd w:val="clear" w:color="auto" w:fill="000080"/>
    </w:pPr>
    <w:rPr>
      <w:sz w:val="2"/>
    </w:rPr>
  </w:style>
  <w:style w:type="character" w:customStyle="1" w:styleId="truktradokumentuChar">
    <w:name w:val="Štruktúra dokumentu Char"/>
    <w:link w:val="truktradokumentu"/>
    <w:uiPriority w:val="99"/>
    <w:semiHidden/>
    <w:locked/>
    <w:rPr>
      <w:rFonts w:cs="Times New Roman"/>
      <w:sz w:val="2"/>
      <w:lang w:val="cs-CZ" w:eastAsia="en-US"/>
    </w:rPr>
  </w:style>
  <w:style w:type="paragraph" w:customStyle="1" w:styleId="Textbubliny1">
    <w:name w:val="Text bubliny1"/>
    <w:basedOn w:val="Normlny"/>
    <w:semiHidden/>
    <w:rsid w:val="00092A4B"/>
    <w:rPr>
      <w:rFonts w:ascii="Tahoma" w:hAnsi="Tahoma" w:cs="Tahoma"/>
      <w:sz w:val="16"/>
      <w:szCs w:val="16"/>
    </w:rPr>
  </w:style>
  <w:style w:type="paragraph" w:customStyle="1" w:styleId="TableText">
    <w:name w:val="Table Text"/>
    <w:basedOn w:val="Normlny"/>
    <w:rsid w:val="00F12A25"/>
    <w:rPr>
      <w:rFonts w:ascii="CG Times (W1)" w:hAnsi="CG Times (W1)"/>
      <w:lang w:val="en-GB"/>
    </w:rPr>
  </w:style>
  <w:style w:type="character" w:customStyle="1" w:styleId="longtext1">
    <w:name w:val="long_text1"/>
    <w:rsid w:val="00F12A25"/>
    <w:rPr>
      <w:sz w:val="14"/>
    </w:rPr>
  </w:style>
  <w:style w:type="paragraph" w:customStyle="1" w:styleId="DefaultText">
    <w:name w:val="Default Text"/>
    <w:basedOn w:val="Normlny"/>
    <w:rsid w:val="00FB1177"/>
    <w:pPr>
      <w:suppressAutoHyphens/>
      <w:overflowPunct w:val="0"/>
      <w:autoSpaceDE w:val="0"/>
      <w:autoSpaceDN w:val="0"/>
      <w:adjustRightInd w:val="0"/>
      <w:textAlignment w:val="baseline"/>
    </w:pPr>
    <w:rPr>
      <w:rFonts w:ascii="Arial" w:hAnsi="Arial"/>
      <w:color w:val="000000"/>
      <w:sz w:val="22"/>
      <w:lang w:val="en-US"/>
    </w:rPr>
  </w:style>
  <w:style w:type="character" w:styleId="Hypertextovprepojenie">
    <w:name w:val="Hyperlink"/>
    <w:uiPriority w:val="99"/>
    <w:rsid w:val="000B3001"/>
    <w:rPr>
      <w:rFonts w:cs="Times New Roman"/>
      <w:color w:val="0000FF"/>
      <w:u w:val="single"/>
    </w:rPr>
  </w:style>
  <w:style w:type="paragraph" w:styleId="Textbubliny">
    <w:name w:val="Balloon Text"/>
    <w:basedOn w:val="Normlny"/>
    <w:link w:val="TextbublinyChar"/>
    <w:rsid w:val="0063664A"/>
    <w:rPr>
      <w:rFonts w:ascii="Tahoma" w:hAnsi="Tahoma"/>
      <w:sz w:val="16"/>
    </w:rPr>
  </w:style>
  <w:style w:type="character" w:customStyle="1" w:styleId="TextbublinyChar">
    <w:name w:val="Text bubliny Char"/>
    <w:link w:val="Textbubliny"/>
    <w:locked/>
    <w:rsid w:val="007162FB"/>
    <w:rPr>
      <w:rFonts w:ascii="Tahoma" w:hAnsi="Tahoma"/>
      <w:sz w:val="16"/>
      <w:lang w:val="cs-CZ" w:eastAsia="en-US"/>
    </w:rPr>
  </w:style>
  <w:style w:type="character" w:styleId="Odkaznakomentr">
    <w:name w:val="annotation reference"/>
    <w:uiPriority w:val="99"/>
    <w:rsid w:val="007162FB"/>
    <w:rPr>
      <w:rFonts w:cs="Times New Roman"/>
      <w:sz w:val="16"/>
    </w:rPr>
  </w:style>
  <w:style w:type="paragraph" w:styleId="Textkomentra">
    <w:name w:val="annotation text"/>
    <w:basedOn w:val="Normlny"/>
    <w:link w:val="TextkomentraChar"/>
    <w:uiPriority w:val="99"/>
    <w:rsid w:val="007162FB"/>
  </w:style>
  <w:style w:type="character" w:customStyle="1" w:styleId="TextkomentraChar">
    <w:name w:val="Text komentára Char"/>
    <w:link w:val="Textkomentra"/>
    <w:uiPriority w:val="99"/>
    <w:locked/>
    <w:rsid w:val="007162FB"/>
    <w:rPr>
      <w:rFonts w:cs="Times New Roman"/>
      <w:lang w:val="cs-CZ" w:eastAsia="en-US"/>
    </w:rPr>
  </w:style>
  <w:style w:type="paragraph" w:styleId="Predmetkomentra">
    <w:name w:val="annotation subject"/>
    <w:basedOn w:val="Textkomentra"/>
    <w:next w:val="Textkomentra"/>
    <w:link w:val="PredmetkomentraChar"/>
    <w:uiPriority w:val="99"/>
    <w:rsid w:val="007162FB"/>
    <w:rPr>
      <w:b/>
    </w:rPr>
  </w:style>
  <w:style w:type="character" w:customStyle="1" w:styleId="PredmetkomentraChar">
    <w:name w:val="Predmet komentára Char"/>
    <w:link w:val="Predmetkomentra"/>
    <w:uiPriority w:val="99"/>
    <w:locked/>
    <w:rsid w:val="007162FB"/>
    <w:rPr>
      <w:rFonts w:cs="Times New Roman"/>
      <w:b/>
      <w:lang w:val="cs-CZ" w:eastAsia="en-US"/>
    </w:rPr>
  </w:style>
  <w:style w:type="paragraph" w:styleId="Revzia">
    <w:name w:val="Revision"/>
    <w:hidden/>
    <w:uiPriority w:val="99"/>
    <w:semiHidden/>
    <w:rsid w:val="005C79C6"/>
    <w:rPr>
      <w:lang w:val="cs-CZ" w:eastAsia="en-US"/>
    </w:rPr>
  </w:style>
  <w:style w:type="character" w:customStyle="1" w:styleId="hps">
    <w:name w:val="hps"/>
    <w:rsid w:val="00A710C8"/>
  </w:style>
  <w:style w:type="paragraph" w:customStyle="1" w:styleId="Normlny0">
    <w:name w:val="Normlny"/>
    <w:rsid w:val="008838A0"/>
    <w:pPr>
      <w:suppressAutoHyphens/>
      <w:autoSpaceDE w:val="0"/>
    </w:pPr>
    <w:rPr>
      <w:rFonts w:ascii="Arial" w:hAnsi="Arial"/>
      <w:sz w:val="24"/>
      <w:lang w:val="en-US" w:eastAsia="en-US"/>
    </w:rPr>
  </w:style>
  <w:style w:type="paragraph" w:customStyle="1" w:styleId="Default">
    <w:name w:val="Default"/>
    <w:rsid w:val="00FD6E42"/>
    <w:pPr>
      <w:autoSpaceDE w:val="0"/>
      <w:autoSpaceDN w:val="0"/>
      <w:adjustRightInd w:val="0"/>
    </w:pPr>
    <w:rPr>
      <w:rFonts w:ascii="Calibri" w:hAnsi="Calibri" w:cs="Calibri"/>
      <w:color w:val="000000"/>
      <w:sz w:val="24"/>
      <w:szCs w:val="24"/>
    </w:rPr>
  </w:style>
  <w:style w:type="paragraph" w:customStyle="1" w:styleId="Normlndobloku">
    <w:name w:val="Normální do bloku"/>
    <w:basedOn w:val="Normlny"/>
    <w:link w:val="NormlndoblokuChar"/>
    <w:autoRedefine/>
    <w:rsid w:val="0063664A"/>
    <w:pPr>
      <w:jc w:val="both"/>
    </w:pPr>
    <w:rPr>
      <w:rFonts w:cs="Arial"/>
      <w:sz w:val="22"/>
      <w:lang w:val="sk-SK"/>
    </w:rPr>
  </w:style>
  <w:style w:type="character" w:customStyle="1" w:styleId="NormlndoblokuChar">
    <w:name w:val="Normální do bloku Char"/>
    <w:link w:val="Normlndobloku"/>
    <w:rsid w:val="00137F26"/>
    <w:rPr>
      <w:rFonts w:cs="Arial"/>
      <w:sz w:val="22"/>
      <w:lang w:eastAsia="en-US"/>
    </w:rPr>
  </w:style>
  <w:style w:type="paragraph" w:customStyle="1" w:styleId="Styl3">
    <w:name w:val="Styl3"/>
    <w:basedOn w:val="Normlndobloku"/>
    <w:link w:val="Styl3Char"/>
    <w:autoRedefine/>
    <w:rsid w:val="0063664A"/>
    <w:pPr>
      <w:keepNext/>
      <w:tabs>
        <w:tab w:val="left" w:pos="6946"/>
      </w:tabs>
      <w:spacing w:before="120" w:after="120"/>
    </w:pPr>
    <w:rPr>
      <w:rFonts w:eastAsia="Calibri" w:cs="Times New Roman"/>
      <w:szCs w:val="24"/>
      <w:u w:val="single"/>
    </w:rPr>
  </w:style>
  <w:style w:type="character" w:customStyle="1" w:styleId="Styl3Char">
    <w:name w:val="Styl3 Char"/>
    <w:link w:val="Styl3"/>
    <w:locked/>
    <w:rsid w:val="00BE1EED"/>
    <w:rPr>
      <w:rFonts w:eastAsia="Calibri"/>
      <w:sz w:val="22"/>
      <w:szCs w:val="24"/>
      <w:u w:val="single"/>
      <w:lang w:eastAsia="en-US"/>
    </w:rPr>
  </w:style>
  <w:style w:type="paragraph" w:customStyle="1" w:styleId="Normlndoblokusodrkami">
    <w:name w:val="Normální do bloku s odrážkami"/>
    <w:basedOn w:val="Normlndobloku"/>
    <w:next w:val="Normlndobloku"/>
    <w:autoRedefine/>
    <w:qFormat/>
    <w:rsid w:val="001D0E2E"/>
    <w:pPr>
      <w:numPr>
        <w:numId w:val="15"/>
      </w:numPr>
      <w:suppressAutoHyphens/>
      <w:ind w:left="714" w:hanging="357"/>
    </w:pPr>
    <w:rPr>
      <w:rFonts w:ascii="TimesNewRoman" w:hAnsi="TimesNewRoman" w:cs="Times New Roman"/>
      <w:szCs w:val="24"/>
      <w:lang w:eastAsia="x-none"/>
    </w:rPr>
  </w:style>
  <w:style w:type="paragraph" w:customStyle="1" w:styleId="tlNormlndoblokusodrkamiTimesNewRoman">
    <w:name w:val="Štýl Normální do bloku s odrážkami + Times New Roman"/>
    <w:basedOn w:val="Normlndoblokusodrkami"/>
    <w:rsid w:val="001D0E2E"/>
    <w:rPr>
      <w:rFonts w:ascii="Times New Roman" w:hAnsi="Times New Roman"/>
    </w:rPr>
  </w:style>
  <w:style w:type="paragraph" w:customStyle="1" w:styleId="Styl1">
    <w:name w:val="Styl1"/>
    <w:basedOn w:val="Normlny"/>
    <w:autoRedefine/>
    <w:rsid w:val="0063664A"/>
    <w:pPr>
      <w:keepNext/>
      <w:numPr>
        <w:numId w:val="23"/>
      </w:numPr>
      <w:spacing w:after="120"/>
    </w:pPr>
    <w:rPr>
      <w:b/>
      <w:bCs/>
      <w:caps/>
      <w:sz w:val="24"/>
      <w:szCs w:val="24"/>
    </w:rPr>
  </w:style>
  <w:style w:type="paragraph" w:customStyle="1" w:styleId="Styl2">
    <w:name w:val="Styl2"/>
    <w:basedOn w:val="Normlny"/>
    <w:autoRedefine/>
    <w:rsid w:val="0063664A"/>
    <w:pPr>
      <w:keepNext/>
      <w:numPr>
        <w:ilvl w:val="1"/>
        <w:numId w:val="23"/>
      </w:numPr>
      <w:spacing w:before="60" w:after="120"/>
    </w:pPr>
    <w:rPr>
      <w:b/>
      <w:bCs/>
      <w:sz w:val="24"/>
      <w:szCs w:val="22"/>
      <w:lang w:val="sk-SK"/>
    </w:rPr>
  </w:style>
  <w:style w:type="paragraph" w:customStyle="1" w:styleId="Nasteddotabulky">
    <w:name w:val="Na střed do tabulky"/>
    <w:basedOn w:val="Normlndobloku"/>
    <w:autoRedefine/>
    <w:rsid w:val="0063664A"/>
    <w:pPr>
      <w:jc w:val="center"/>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6039579">
      <w:bodyDiv w:val="1"/>
      <w:marLeft w:val="0"/>
      <w:marRight w:val="0"/>
      <w:marTop w:val="0"/>
      <w:marBottom w:val="0"/>
      <w:divBdr>
        <w:top w:val="none" w:sz="0" w:space="0" w:color="auto"/>
        <w:left w:val="none" w:sz="0" w:space="0" w:color="auto"/>
        <w:bottom w:val="none" w:sz="0" w:space="0" w:color="auto"/>
        <w:right w:val="none" w:sz="0" w:space="0" w:color="auto"/>
      </w:divBdr>
    </w:div>
    <w:div w:id="1016226083">
      <w:bodyDiv w:val="1"/>
      <w:marLeft w:val="0"/>
      <w:marRight w:val="0"/>
      <w:marTop w:val="0"/>
      <w:marBottom w:val="0"/>
      <w:divBdr>
        <w:top w:val="none" w:sz="0" w:space="0" w:color="auto"/>
        <w:left w:val="none" w:sz="0" w:space="0" w:color="auto"/>
        <w:bottom w:val="none" w:sz="0" w:space="0" w:color="auto"/>
        <w:right w:val="none" w:sz="0" w:space="0" w:color="auto"/>
      </w:divBdr>
    </w:div>
    <w:div w:id="1103039276">
      <w:marLeft w:val="0"/>
      <w:marRight w:val="0"/>
      <w:marTop w:val="0"/>
      <w:marBottom w:val="0"/>
      <w:divBdr>
        <w:top w:val="none" w:sz="0" w:space="0" w:color="auto"/>
        <w:left w:val="none" w:sz="0" w:space="0" w:color="auto"/>
        <w:bottom w:val="none" w:sz="0" w:space="0" w:color="auto"/>
        <w:right w:val="none" w:sz="0" w:space="0" w:color="auto"/>
      </w:divBdr>
    </w:div>
    <w:div w:id="1103039277">
      <w:marLeft w:val="0"/>
      <w:marRight w:val="0"/>
      <w:marTop w:val="0"/>
      <w:marBottom w:val="0"/>
      <w:divBdr>
        <w:top w:val="none" w:sz="0" w:space="0" w:color="auto"/>
        <w:left w:val="none" w:sz="0" w:space="0" w:color="auto"/>
        <w:bottom w:val="none" w:sz="0" w:space="0" w:color="auto"/>
        <w:right w:val="none" w:sz="0" w:space="0" w:color="auto"/>
      </w:divBdr>
    </w:div>
    <w:div w:id="1103039278">
      <w:marLeft w:val="0"/>
      <w:marRight w:val="0"/>
      <w:marTop w:val="0"/>
      <w:marBottom w:val="0"/>
      <w:divBdr>
        <w:top w:val="none" w:sz="0" w:space="0" w:color="auto"/>
        <w:left w:val="none" w:sz="0" w:space="0" w:color="auto"/>
        <w:bottom w:val="none" w:sz="0" w:space="0" w:color="auto"/>
        <w:right w:val="none" w:sz="0" w:space="0" w:color="auto"/>
      </w:divBdr>
    </w:div>
    <w:div w:id="159331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docs/en_GB/document_library/Template_or_form/2013/03/WC500139752.doc"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FBC900-20E6-417E-9ADD-622AFF4AC32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557C1B-F48D-4293-BDDB-7D9B5F44895B}">
  <ds:schemaRefs>
    <ds:schemaRef ds:uri="http://schemas.microsoft.com/office/2006/metadata/longProperties"/>
  </ds:schemaRefs>
</ds:datastoreItem>
</file>

<file path=customXml/itemProps3.xml><?xml version="1.0" encoding="utf-8"?>
<ds:datastoreItem xmlns:ds="http://schemas.openxmlformats.org/officeDocument/2006/customXml" ds:itemID="{646229C9-3A0A-4419-89F3-FD83612632AB}">
  <ds:schemaRefs>
    <ds:schemaRef ds:uri="http://schemas.microsoft.com/sharepoint/v3/contenttype/forms"/>
  </ds:schemaRefs>
</ds:datastoreItem>
</file>

<file path=customXml/itemProps4.xml><?xml version="1.0" encoding="utf-8"?>
<ds:datastoreItem xmlns:ds="http://schemas.openxmlformats.org/officeDocument/2006/customXml" ds:itemID="{0EC864CD-5202-4DA7-8019-83A3D8B9E0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21</Pages>
  <Words>8339</Words>
  <Characters>55289</Characters>
  <Application>Microsoft Office Word</Application>
  <DocSecurity>0</DocSecurity>
  <Lines>460</Lines>
  <Paragraphs>127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SÚHRN ÚDAJOV O PRÍPRAVKU</vt:lpstr>
      <vt:lpstr>SÚHRN ÚDAJOV O PRÍPRAVKU</vt:lpstr>
    </vt:vector>
  </TitlesOfParts>
  <Company>ABBOTT Laboratories s.r.o.</Company>
  <LinksUpToDate>false</LinksUpToDate>
  <CharactersWithSpaces>63501</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SÚHRN ÚDAJOV O PRÍPRAVKU</dc:title>
  <dc:subject/>
  <dc:creator>.</dc:creator>
  <cp:keywords/>
  <dc:description/>
  <cp:lastModifiedBy>Repiščáková, Janka</cp:lastModifiedBy>
  <cp:revision>25</cp:revision>
  <cp:lastPrinted>2017-03-20T08:10:00Z</cp:lastPrinted>
  <dcterms:created xsi:type="dcterms:W3CDTF">2020-12-01T11:49:00Z</dcterms:created>
  <dcterms:modified xsi:type="dcterms:W3CDTF">2020-12-11T13:40:00Z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hases">
    <vt:lpwstr>1</vt:lpwstr>
  </property>
  <property fmtid="{D5CDD505-2E9C-101B-9397-08002B2CF9AE}" pid="3" name="LSPhases">
    <vt:lpwstr>1</vt:lpwstr>
  </property>
</Properties>
</file>