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13" w:rsidRPr="000E1573" w:rsidRDefault="00826813" w:rsidP="000E1573">
      <w:pPr>
        <w:pStyle w:val="Nzov"/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SÚHRN CHARAKTERISTICKÝCH VLASTNOSTÍ LIEKU</w:t>
      </w:r>
    </w:p>
    <w:p w:rsidR="00826813" w:rsidRPr="000E157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NÁZOV LIEKU</w:t>
      </w:r>
    </w:p>
    <w:p w:rsidR="00826813" w:rsidRPr="000E1573" w:rsidRDefault="00826813" w:rsidP="000E1573">
      <w:pPr>
        <w:pStyle w:val="Nadpis1"/>
        <w:numPr>
          <w:ilvl w:val="0"/>
          <w:numId w:val="0"/>
        </w:numPr>
        <w:rPr>
          <w:b/>
          <w:bCs/>
          <w:sz w:val="22"/>
          <w:szCs w:val="22"/>
        </w:rPr>
      </w:pPr>
    </w:p>
    <w:p w:rsidR="00E83A6E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 w:rsidRPr="000E1573">
        <w:rPr>
          <w:sz w:val="22"/>
          <w:szCs w:val="22"/>
        </w:rPr>
        <w:t xml:space="preserve"> 1000 mg</w:t>
      </w:r>
      <w:r>
        <w:rPr>
          <w:sz w:val="22"/>
          <w:szCs w:val="22"/>
        </w:rPr>
        <w:t xml:space="preserve"> </w:t>
      </w:r>
    </w:p>
    <w:p w:rsidR="00826813" w:rsidRPr="004A5EE0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tablety s predĺženým uvoľňovaním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 xml:space="preserve">KVALITATÍVNE A KVANTITATÍVNE ZLOŽENIE 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437B35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Každá tableta s predĺženým uvoľňovaním obsahuje 1000 mg </w:t>
      </w:r>
      <w:proofErr w:type="spellStart"/>
      <w:r w:rsidRPr="000E1573">
        <w:rPr>
          <w:sz w:val="22"/>
          <w:szCs w:val="22"/>
        </w:rPr>
        <w:t>metformínium</w:t>
      </w:r>
      <w:proofErr w:type="spellEnd"/>
      <w:r w:rsidR="00A00A74">
        <w:rPr>
          <w:sz w:val="22"/>
          <w:szCs w:val="22"/>
        </w:rPr>
        <w:t>-</w:t>
      </w:r>
      <w:r w:rsidRPr="000E1573">
        <w:rPr>
          <w:sz w:val="22"/>
          <w:szCs w:val="22"/>
        </w:rPr>
        <w:t xml:space="preserve">chloridu, čo zodpovedá 780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.  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Úplný zoznam pomocných látok, pozri časť 6.1.</w:t>
      </w:r>
    </w:p>
    <w:p w:rsidR="00826813" w:rsidRPr="000E1573" w:rsidRDefault="00826813" w:rsidP="000E1573">
      <w:pPr>
        <w:pStyle w:val="Zarkazkladnhotextu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Default="0082681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LIEKOVÁ FORMA</w:t>
      </w:r>
    </w:p>
    <w:p w:rsidR="00826813" w:rsidRPr="000B7EA2" w:rsidRDefault="00826813" w:rsidP="000B7EA2">
      <w:pPr>
        <w:numPr>
          <w:ilvl w:val="0"/>
          <w:numId w:val="0"/>
        </w:numPr>
        <w:ind w:left="360"/>
        <w:rPr>
          <w:b/>
          <w:bCs/>
          <w:sz w:val="22"/>
          <w:szCs w:val="22"/>
        </w:rPr>
      </w:pPr>
    </w:p>
    <w:p w:rsidR="00826813" w:rsidRPr="00437B35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>Tableta s predĺženým uvoľňovaním.</w:t>
      </w:r>
    </w:p>
    <w:p w:rsidR="00826813" w:rsidRPr="000E1573" w:rsidRDefault="00826813" w:rsidP="000E1573">
      <w:pPr>
        <w:numPr>
          <w:ilvl w:val="0"/>
          <w:numId w:val="0"/>
        </w:numPr>
        <w:ind w:left="1710"/>
        <w:rPr>
          <w:sz w:val="22"/>
          <w:szCs w:val="22"/>
        </w:rPr>
      </w:pPr>
    </w:p>
    <w:p w:rsidR="00826813" w:rsidRPr="008C52EA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8C52EA">
        <w:rPr>
          <w:sz w:val="22"/>
          <w:szCs w:val="22"/>
        </w:rPr>
        <w:t>Sivobiele oválne</w:t>
      </w:r>
      <w:r w:rsidRPr="00735B8B">
        <w:rPr>
          <w:sz w:val="22"/>
          <w:szCs w:val="22"/>
        </w:rPr>
        <w:t xml:space="preserve">, bikonvexné filmom obalené tablety s ryhou na jednej strane a hladké na druhej strane s rozmermi približne </w:t>
      </w:r>
      <w:r w:rsidRPr="00DD5EE6">
        <w:rPr>
          <w:spacing w:val="1"/>
          <w:sz w:val="22"/>
          <w:szCs w:val="22"/>
        </w:rPr>
        <w:t xml:space="preserve">20,4 </w:t>
      </w:r>
      <w:r w:rsidRPr="00DD5EE6">
        <w:rPr>
          <w:sz w:val="22"/>
          <w:szCs w:val="22"/>
        </w:rPr>
        <w:t>×</w:t>
      </w:r>
      <w:r w:rsidRPr="00DD5EE6">
        <w:rPr>
          <w:spacing w:val="1"/>
          <w:sz w:val="22"/>
          <w:szCs w:val="22"/>
        </w:rPr>
        <w:t xml:space="preserve"> 9,7 mm.</w:t>
      </w:r>
    </w:p>
    <w:p w:rsidR="0082681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B7EA2">
        <w:rPr>
          <w:sz w:val="22"/>
          <w:szCs w:val="22"/>
        </w:rPr>
        <w:t>Deliaca ryha nie je určená na rozlomenie tablety</w:t>
      </w:r>
      <w:r>
        <w:rPr>
          <w:sz w:val="22"/>
          <w:szCs w:val="22"/>
        </w:rPr>
        <w:t>.</w:t>
      </w:r>
    </w:p>
    <w:p w:rsidR="0082681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KLINICKÉ ÚDAJE</w:t>
      </w:r>
    </w:p>
    <w:p w:rsidR="00826813" w:rsidRPr="00437B35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B7EA2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B7EA2">
        <w:rPr>
          <w:b/>
          <w:bCs/>
          <w:sz w:val="22"/>
          <w:szCs w:val="22"/>
        </w:rPr>
        <w:t>4.1</w:t>
      </w:r>
      <w:r w:rsidRPr="000B7EA2">
        <w:rPr>
          <w:b/>
          <w:bCs/>
          <w:sz w:val="22"/>
          <w:szCs w:val="22"/>
        </w:rPr>
        <w:tab/>
        <w:t>Terapeutické indikácie</w:t>
      </w:r>
    </w:p>
    <w:p w:rsidR="0082681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B7EA2" w:rsidRDefault="00826813" w:rsidP="000B7EA2">
      <w:pPr>
        <w:numPr>
          <w:ilvl w:val="0"/>
          <w:numId w:val="0"/>
        </w:numPr>
        <w:rPr>
          <w:sz w:val="22"/>
          <w:szCs w:val="22"/>
        </w:rPr>
      </w:pPr>
      <w:r w:rsidRPr="000B7EA2">
        <w:rPr>
          <w:sz w:val="22"/>
          <w:szCs w:val="22"/>
        </w:rPr>
        <w:t xml:space="preserve">Liečba diabetes mellitus 2. typu u dospelých, hlavne u obéznych pacientov, ak sa diétou a cvičením nedosiahne adekvátna kontrola glykémie. </w:t>
      </w:r>
    </w:p>
    <w:p w:rsidR="00826813" w:rsidRDefault="00826813" w:rsidP="000B7EA2">
      <w:pPr>
        <w:numPr>
          <w:ilvl w:val="0"/>
          <w:numId w:val="0"/>
        </w:numPr>
        <w:rPr>
          <w:sz w:val="22"/>
          <w:szCs w:val="22"/>
        </w:rPr>
      </w:pPr>
    </w:p>
    <w:p w:rsidR="00826813" w:rsidRPr="000B7EA2" w:rsidRDefault="00826813" w:rsidP="000B7EA2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B7EA2">
        <w:rPr>
          <w:sz w:val="22"/>
          <w:szCs w:val="22"/>
        </w:rPr>
        <w:t>Metformin</w:t>
      </w:r>
      <w:proofErr w:type="spellEnd"/>
      <w:r w:rsidRPr="000B7EA2">
        <w:rPr>
          <w:sz w:val="22"/>
          <w:szCs w:val="22"/>
        </w:rPr>
        <w:t xml:space="preserve"> Juta 1000 mg môže byť indikovaný ako </w:t>
      </w:r>
      <w:proofErr w:type="spellStart"/>
      <w:r w:rsidRPr="000B7EA2">
        <w:rPr>
          <w:sz w:val="22"/>
          <w:szCs w:val="22"/>
        </w:rPr>
        <w:t>monoterapia</w:t>
      </w:r>
      <w:proofErr w:type="spellEnd"/>
      <w:r w:rsidRPr="000B7EA2">
        <w:rPr>
          <w:sz w:val="22"/>
          <w:szCs w:val="22"/>
        </w:rPr>
        <w:t xml:space="preserve"> alebo v kombinácii s inými perorálnymi </w:t>
      </w:r>
      <w:proofErr w:type="spellStart"/>
      <w:r w:rsidRPr="000B7EA2">
        <w:rPr>
          <w:sz w:val="22"/>
          <w:szCs w:val="22"/>
        </w:rPr>
        <w:t>antidiabetikami</w:t>
      </w:r>
      <w:proofErr w:type="spellEnd"/>
      <w:r w:rsidRPr="000B7EA2">
        <w:rPr>
          <w:sz w:val="22"/>
          <w:szCs w:val="22"/>
        </w:rPr>
        <w:t xml:space="preserve"> alebo s inzulínom.</w:t>
      </w:r>
    </w:p>
    <w:p w:rsidR="00826813" w:rsidRPr="000E157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4.2</w:t>
      </w:r>
      <w:r w:rsidRPr="000E1573">
        <w:rPr>
          <w:b/>
          <w:bCs/>
          <w:sz w:val="22"/>
          <w:szCs w:val="22"/>
        </w:rPr>
        <w:tab/>
        <w:t>Dávkovanie a spôsob podávania</w:t>
      </w:r>
    </w:p>
    <w:p w:rsidR="00826813" w:rsidRPr="000E157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Dávkovanie</w:t>
      </w:r>
    </w:p>
    <w:p w:rsidR="00826813" w:rsidRPr="000E1573" w:rsidRDefault="0082681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Dospelí s normálnou funkciou obličiek (GFR ≥ 90 ml/min)</w:t>
      </w:r>
    </w:p>
    <w:p w:rsidR="00826813" w:rsidRPr="000E1573" w:rsidRDefault="0082681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826813" w:rsidRPr="00437B35" w:rsidRDefault="00826813" w:rsidP="00437B35">
      <w:pPr>
        <w:numPr>
          <w:ilvl w:val="0"/>
          <w:numId w:val="0"/>
        </w:numPr>
        <w:rPr>
          <w:i/>
          <w:iCs/>
          <w:sz w:val="22"/>
          <w:szCs w:val="22"/>
        </w:rPr>
      </w:pPr>
      <w:proofErr w:type="spellStart"/>
      <w:r w:rsidRPr="00437B35">
        <w:rPr>
          <w:i/>
          <w:iCs/>
          <w:sz w:val="22"/>
          <w:szCs w:val="22"/>
        </w:rPr>
        <w:t>Monoterapia</w:t>
      </w:r>
      <w:proofErr w:type="spellEnd"/>
      <w:r w:rsidRPr="00437B35">
        <w:rPr>
          <w:i/>
          <w:iCs/>
          <w:sz w:val="22"/>
          <w:szCs w:val="22"/>
        </w:rPr>
        <w:t xml:space="preserve"> pri liečbe diabetes mellitus 2. typu a kombinácia s inými perorálnymi </w:t>
      </w:r>
      <w:proofErr w:type="spellStart"/>
      <w:r w:rsidRPr="00437B35">
        <w:rPr>
          <w:i/>
          <w:iCs/>
          <w:sz w:val="22"/>
          <w:szCs w:val="22"/>
        </w:rPr>
        <w:t>antidiabetikami</w:t>
      </w:r>
      <w:proofErr w:type="spellEnd"/>
      <w:r w:rsidRPr="00437B35">
        <w:rPr>
          <w:i/>
          <w:iCs/>
          <w:sz w:val="22"/>
          <w:szCs w:val="22"/>
        </w:rPr>
        <w:t>:</w:t>
      </w:r>
    </w:p>
    <w:p w:rsidR="00826813" w:rsidRPr="007C54DD" w:rsidRDefault="0082681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Zvyčajná </w:t>
      </w:r>
      <w:r w:rsidR="00233788">
        <w:rPr>
          <w:sz w:val="22"/>
          <w:szCs w:val="22"/>
        </w:rPr>
        <w:t>za</w:t>
      </w:r>
      <w:r w:rsidRPr="000E1573">
        <w:rPr>
          <w:sz w:val="22"/>
          <w:szCs w:val="22"/>
        </w:rPr>
        <w:t>čiatočná dávka je jedna</w:t>
      </w:r>
      <w:r w:rsidR="00A00A74">
        <w:rPr>
          <w:sz w:val="22"/>
          <w:szCs w:val="22"/>
        </w:rPr>
        <w:t xml:space="preserve"> tableta</w:t>
      </w:r>
      <w:r w:rsidRPr="000E1573">
        <w:rPr>
          <w:sz w:val="22"/>
          <w:szCs w:val="22"/>
        </w:rPr>
        <w:t xml:space="preserve"> </w:t>
      </w:r>
      <w:proofErr w:type="spellStart"/>
      <w:r w:rsidRPr="007C54DD">
        <w:rPr>
          <w:sz w:val="22"/>
          <w:szCs w:val="22"/>
        </w:rPr>
        <w:t>Metformin</w:t>
      </w:r>
      <w:proofErr w:type="spellEnd"/>
      <w:r w:rsidRPr="007C54DD">
        <w:rPr>
          <w:sz w:val="22"/>
          <w:szCs w:val="22"/>
        </w:rPr>
        <w:t xml:space="preserve"> Juta 500 mg </w:t>
      </w:r>
      <w:r w:rsidR="00A00A74" w:rsidRPr="007C54DD">
        <w:rPr>
          <w:sz w:val="22"/>
          <w:szCs w:val="22"/>
        </w:rPr>
        <w:t>tablet</w:t>
      </w:r>
      <w:r w:rsidR="00A00A74">
        <w:rPr>
          <w:sz w:val="22"/>
          <w:szCs w:val="22"/>
        </w:rPr>
        <w:t>y</w:t>
      </w:r>
      <w:r w:rsidR="00A00A74" w:rsidRPr="007C54DD">
        <w:rPr>
          <w:sz w:val="22"/>
          <w:szCs w:val="22"/>
        </w:rPr>
        <w:t xml:space="preserve"> </w:t>
      </w:r>
      <w:r w:rsidRPr="007C54DD">
        <w:rPr>
          <w:sz w:val="22"/>
          <w:szCs w:val="22"/>
        </w:rPr>
        <w:t>s predĺženým uvoľňovaním jedenkrát denne večer s jedlom.</w:t>
      </w:r>
    </w:p>
    <w:p w:rsidR="00826813" w:rsidRDefault="00826813" w:rsidP="004E1C85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7C54DD">
        <w:rPr>
          <w:sz w:val="22"/>
          <w:szCs w:val="22"/>
        </w:rPr>
        <w:t>Po 10 až 15 dňoch môže byť dávka upravená na základe hodnôt glykémie</w:t>
      </w:r>
      <w:r w:rsidRPr="00425186">
        <w:rPr>
          <w:sz w:val="22"/>
          <w:szCs w:val="22"/>
        </w:rPr>
        <w:t xml:space="preserve">. Postupné zvyšovanie dávky môže zlepšiť </w:t>
      </w:r>
      <w:proofErr w:type="spellStart"/>
      <w:r w:rsidRPr="00425186">
        <w:rPr>
          <w:sz w:val="22"/>
          <w:szCs w:val="22"/>
        </w:rPr>
        <w:t>gastrointestinálnu</w:t>
      </w:r>
      <w:proofErr w:type="spellEnd"/>
      <w:r w:rsidRPr="00425186">
        <w:rPr>
          <w:sz w:val="22"/>
          <w:szCs w:val="22"/>
        </w:rPr>
        <w:t xml:space="preserve"> toleranciu. </w:t>
      </w:r>
    </w:p>
    <w:p w:rsidR="00826813" w:rsidRPr="00425186" w:rsidRDefault="00826813" w:rsidP="004E1C85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425186">
        <w:rPr>
          <w:sz w:val="22"/>
          <w:szCs w:val="22"/>
        </w:rPr>
        <w:t xml:space="preserve">Dávka sa má zvyšovať po častiach o 500 mg každých 10 až 15 dní, </w:t>
      </w:r>
      <w:r w:rsidR="00A00A74">
        <w:rPr>
          <w:sz w:val="22"/>
          <w:szCs w:val="22"/>
        </w:rPr>
        <w:t xml:space="preserve">na </w:t>
      </w:r>
      <w:r w:rsidRPr="00425186">
        <w:rPr>
          <w:sz w:val="22"/>
          <w:szCs w:val="22"/>
        </w:rPr>
        <w:t>maximálne 2000 mg jedenkrát denne večer s jedlom. Ak sa nedosiahne kontrola glykémie pri dávke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Metformin</w:t>
      </w:r>
      <w:r w:rsidR="00A00A74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Juta</w:t>
      </w:r>
      <w:r w:rsidRPr="00425186">
        <w:rPr>
          <w:sz w:val="22"/>
          <w:szCs w:val="22"/>
        </w:rPr>
        <w:t xml:space="preserve"> </w:t>
      </w:r>
      <w:r w:rsidR="00A00A74" w:rsidRPr="00425186">
        <w:rPr>
          <w:sz w:val="22"/>
          <w:szCs w:val="22"/>
        </w:rPr>
        <w:t>2000</w:t>
      </w:r>
      <w:r w:rsidR="00A00A74">
        <w:rPr>
          <w:sz w:val="22"/>
          <w:szCs w:val="22"/>
        </w:rPr>
        <w:t> </w:t>
      </w:r>
      <w:r w:rsidRPr="00425186">
        <w:rPr>
          <w:sz w:val="22"/>
          <w:szCs w:val="22"/>
        </w:rPr>
        <w:t>mg jedenkrát denne, má sa zvážiť dávkovanie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Metformin</w:t>
      </w:r>
      <w:r w:rsidR="00A00A74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Juta</w:t>
      </w:r>
      <w:r w:rsidRPr="00425186">
        <w:rPr>
          <w:sz w:val="22"/>
          <w:szCs w:val="22"/>
        </w:rPr>
        <w:t xml:space="preserve"> 1000 mg dvakrát denne, obe dávky sa majú užiť s jedlom. Ak sa aj tak nedosiahne kontrola glykémie, môže sa liečba nahradiť </w:t>
      </w:r>
      <w:proofErr w:type="spellStart"/>
      <w:r w:rsidRPr="00425186">
        <w:rPr>
          <w:sz w:val="22"/>
          <w:szCs w:val="22"/>
        </w:rPr>
        <w:t>met</w:t>
      </w:r>
      <w:r>
        <w:rPr>
          <w:sz w:val="22"/>
          <w:szCs w:val="22"/>
        </w:rPr>
        <w:t>formínom</w:t>
      </w:r>
      <w:proofErr w:type="spellEnd"/>
      <w:r w:rsidRPr="00425186">
        <w:rPr>
          <w:sz w:val="22"/>
          <w:szCs w:val="22"/>
        </w:rPr>
        <w:t xml:space="preserve"> v</w:t>
      </w:r>
      <w:r w:rsidR="00A00A74" w:rsidRPr="00A00A74">
        <w:rPr>
          <w:sz w:val="22"/>
          <w:szCs w:val="22"/>
        </w:rPr>
        <w:t xml:space="preserve"> </w:t>
      </w:r>
      <w:r w:rsidR="00A00A74">
        <w:rPr>
          <w:sz w:val="22"/>
          <w:szCs w:val="22"/>
        </w:rPr>
        <w:t xml:space="preserve"> tabletách s okamžitým </w:t>
      </w:r>
      <w:proofErr w:type="spellStart"/>
      <w:r w:rsidR="00A00A74">
        <w:rPr>
          <w:sz w:val="22"/>
          <w:szCs w:val="22"/>
        </w:rPr>
        <w:t>uvoľnovaním</w:t>
      </w:r>
      <w:proofErr w:type="spellEnd"/>
      <w:r w:rsidR="00A00A74">
        <w:rPr>
          <w:sz w:val="22"/>
          <w:szCs w:val="22"/>
        </w:rPr>
        <w:t xml:space="preserve"> v</w:t>
      </w:r>
      <w:r w:rsidRPr="00425186">
        <w:rPr>
          <w:sz w:val="22"/>
          <w:szCs w:val="22"/>
        </w:rPr>
        <w:t> maximálnej dennej dávke 3000 mg.</w:t>
      </w:r>
    </w:p>
    <w:p w:rsidR="00826813" w:rsidRDefault="0082681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 1000 mg sa má užívať jedenkrát denne večer s jedlom a maximálna odporúčaná denná dávka sú 2 tablety. </w:t>
      </w:r>
    </w:p>
    <w:p w:rsidR="00826813" w:rsidRPr="000E1573" w:rsidRDefault="0082681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 xml:space="preserve">U pacientov už liečených tabletami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musí byť </w:t>
      </w:r>
      <w:r w:rsidR="00233788">
        <w:rPr>
          <w:sz w:val="22"/>
          <w:szCs w:val="22"/>
        </w:rPr>
        <w:t>za</w:t>
      </w:r>
      <w:r w:rsidRPr="000E1573">
        <w:rPr>
          <w:sz w:val="22"/>
          <w:szCs w:val="22"/>
        </w:rPr>
        <w:t xml:space="preserve">čiatočná dávka </w:t>
      </w: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 tabliet s predĺženým uvoľňovaním</w:t>
      </w:r>
      <w:r w:rsidRPr="000E1573">
        <w:rPr>
          <w:sz w:val="22"/>
          <w:szCs w:val="22"/>
        </w:rPr>
        <w:t xml:space="preserve"> ekvivalentná dennej dávke tabliet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 okamžitým uvoľňovaním. Pacientom, ktorí sú liečení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v dávke </w:t>
      </w:r>
      <w:proofErr w:type="spellStart"/>
      <w:r w:rsidR="00233788">
        <w:rPr>
          <w:sz w:val="22"/>
          <w:szCs w:val="22"/>
        </w:rPr>
        <w:t>via</w:t>
      </w:r>
      <w:proofErr w:type="spellEnd"/>
      <w:r w:rsidR="00233788">
        <w:rPr>
          <w:sz w:val="22"/>
          <w:szCs w:val="22"/>
        </w:rPr>
        <w:t xml:space="preserve"> ako </w:t>
      </w:r>
      <w:r w:rsidRPr="000E1573">
        <w:rPr>
          <w:sz w:val="22"/>
          <w:szCs w:val="22"/>
        </w:rPr>
        <w:t>2000 m</w:t>
      </w:r>
      <w:r>
        <w:rPr>
          <w:sz w:val="22"/>
          <w:szCs w:val="22"/>
        </w:rPr>
        <w:t xml:space="preserve">g denne sa neodporúča prejsť na </w:t>
      </w:r>
      <w:proofErr w:type="spellStart"/>
      <w:r>
        <w:rPr>
          <w:sz w:val="22"/>
          <w:szCs w:val="22"/>
        </w:rPr>
        <w:t>Metformi</w:t>
      </w:r>
      <w:r w:rsidRPr="000E1573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Juta tablety s predĺženým uvoľňovaním</w:t>
      </w:r>
      <w:r w:rsidRPr="000E1573">
        <w:rPr>
          <w:sz w:val="22"/>
          <w:szCs w:val="22"/>
        </w:rPr>
        <w:t xml:space="preserve">. </w:t>
      </w:r>
    </w:p>
    <w:p w:rsidR="00826813" w:rsidRPr="00C24C4D" w:rsidRDefault="0082681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2C6ED5">
        <w:rPr>
          <w:sz w:val="22"/>
          <w:szCs w:val="22"/>
        </w:rPr>
        <w:t xml:space="preserve">V prípade náhrady iného perorálneho </w:t>
      </w:r>
      <w:proofErr w:type="spellStart"/>
      <w:r w:rsidRPr="002C6ED5">
        <w:rPr>
          <w:sz w:val="22"/>
          <w:szCs w:val="22"/>
        </w:rPr>
        <w:t>antidiabetika</w:t>
      </w:r>
      <w:proofErr w:type="spellEnd"/>
      <w:r w:rsidRPr="002C6ED5">
        <w:rPr>
          <w:sz w:val="22"/>
          <w:szCs w:val="22"/>
        </w:rPr>
        <w:t xml:space="preserve"> </w:t>
      </w:r>
      <w:proofErr w:type="spellStart"/>
      <w:r w:rsidRPr="002C6ED5">
        <w:rPr>
          <w:sz w:val="22"/>
          <w:szCs w:val="22"/>
        </w:rPr>
        <w:t>metformínom</w:t>
      </w:r>
      <w:proofErr w:type="spellEnd"/>
      <w:r w:rsidRPr="002C6ED5">
        <w:rPr>
          <w:sz w:val="22"/>
          <w:szCs w:val="22"/>
        </w:rPr>
        <w:t xml:space="preserve"> sa predchádzajúca terapia ukončí a nahradí sa </w:t>
      </w:r>
      <w:proofErr w:type="spellStart"/>
      <w:r w:rsidRPr="002C6ED5">
        <w:rPr>
          <w:sz w:val="22"/>
          <w:szCs w:val="22"/>
        </w:rPr>
        <w:t>Metformin</w:t>
      </w:r>
      <w:r>
        <w:rPr>
          <w:sz w:val="22"/>
          <w:szCs w:val="22"/>
        </w:rPr>
        <w:t>om</w:t>
      </w:r>
      <w:proofErr w:type="spellEnd"/>
      <w:r w:rsidRPr="002C6ED5">
        <w:rPr>
          <w:sz w:val="22"/>
          <w:szCs w:val="22"/>
        </w:rPr>
        <w:t xml:space="preserve"> Juta</w:t>
      </w:r>
      <w:r>
        <w:rPr>
          <w:sz w:val="22"/>
          <w:szCs w:val="22"/>
        </w:rPr>
        <w:t xml:space="preserve"> s </w:t>
      </w:r>
      <w:r w:rsidRPr="00C24C4D">
        <w:rPr>
          <w:sz w:val="22"/>
          <w:szCs w:val="22"/>
        </w:rPr>
        <w:t>predĺženým uvoľňovaním v dávkach uvedených vyššie.</w:t>
      </w:r>
    </w:p>
    <w:p w:rsidR="00826813" w:rsidRPr="00C24C4D" w:rsidRDefault="00826813" w:rsidP="002C6ED5">
      <w:pPr>
        <w:numPr>
          <w:ilvl w:val="0"/>
          <w:numId w:val="36"/>
        </w:numPr>
        <w:ind w:left="567" w:hanging="567"/>
        <w:rPr>
          <w:sz w:val="22"/>
          <w:szCs w:val="22"/>
        </w:rPr>
      </w:pPr>
      <w:proofErr w:type="spellStart"/>
      <w:r w:rsidRPr="00C24C4D">
        <w:rPr>
          <w:sz w:val="22"/>
          <w:szCs w:val="22"/>
        </w:rPr>
        <w:t>Metformin</w:t>
      </w:r>
      <w:proofErr w:type="spellEnd"/>
      <w:r w:rsidRPr="00C24C4D">
        <w:rPr>
          <w:sz w:val="22"/>
          <w:szCs w:val="22"/>
        </w:rPr>
        <w:t xml:space="preserve"> Juta 1000 mg tablety s predĺženým uvoľňovaním je vhodný pre pacientov, ktorí už boli liečení tabletami </w:t>
      </w:r>
      <w:r w:rsidR="00735B8B">
        <w:rPr>
          <w:sz w:val="22"/>
          <w:szCs w:val="22"/>
        </w:rPr>
        <w:t xml:space="preserve">s obsahom </w:t>
      </w:r>
      <w:r w:rsidR="00735B8B" w:rsidRPr="00C24C4D">
        <w:rPr>
          <w:sz w:val="22"/>
          <w:szCs w:val="22"/>
        </w:rPr>
        <w:t xml:space="preserve">1000 mg alebo 2000 mg </w:t>
      </w:r>
      <w:proofErr w:type="spellStart"/>
      <w:r w:rsidRPr="00C24C4D">
        <w:rPr>
          <w:sz w:val="22"/>
          <w:szCs w:val="22"/>
        </w:rPr>
        <w:t>metformínium</w:t>
      </w:r>
      <w:proofErr w:type="spellEnd"/>
      <w:r w:rsidR="001F0B72">
        <w:rPr>
          <w:sz w:val="22"/>
          <w:szCs w:val="22"/>
        </w:rPr>
        <w:t>-</w:t>
      </w:r>
      <w:r w:rsidRPr="00C24C4D">
        <w:rPr>
          <w:sz w:val="22"/>
          <w:szCs w:val="22"/>
        </w:rPr>
        <w:t xml:space="preserve">chloridu. Dávka  </w:t>
      </w:r>
      <w:proofErr w:type="spellStart"/>
      <w:r w:rsidRPr="00C24C4D">
        <w:rPr>
          <w:sz w:val="22"/>
          <w:szCs w:val="22"/>
        </w:rPr>
        <w:t>Metformin</w:t>
      </w:r>
      <w:proofErr w:type="spellEnd"/>
      <w:r w:rsidRPr="00C24C4D">
        <w:rPr>
          <w:sz w:val="22"/>
          <w:szCs w:val="22"/>
        </w:rPr>
        <w:t xml:space="preserve"> Juta tabliet s predĺženým uvoľňovaním</w:t>
      </w:r>
      <w:r w:rsidRPr="00C24C4D" w:rsidDel="009916C3">
        <w:rPr>
          <w:sz w:val="22"/>
          <w:szCs w:val="22"/>
        </w:rPr>
        <w:t xml:space="preserve"> </w:t>
      </w:r>
      <w:r w:rsidRPr="00C24C4D">
        <w:rPr>
          <w:sz w:val="22"/>
          <w:szCs w:val="22"/>
        </w:rPr>
        <w:t xml:space="preserve">má byť ekvivalentná dennej dávke tabliet </w:t>
      </w:r>
      <w:proofErr w:type="spellStart"/>
      <w:r w:rsidRPr="00C24C4D">
        <w:rPr>
          <w:sz w:val="22"/>
          <w:szCs w:val="22"/>
        </w:rPr>
        <w:t>metformínu</w:t>
      </w:r>
      <w:proofErr w:type="spellEnd"/>
      <w:r w:rsidRPr="00C24C4D">
        <w:rPr>
          <w:sz w:val="22"/>
          <w:szCs w:val="22"/>
        </w:rPr>
        <w:t xml:space="preserve"> (s predĺženým alebo okamžitým uvoľňovaním), až do maximálnej dávky 2000 mg.</w:t>
      </w:r>
    </w:p>
    <w:p w:rsidR="00826813" w:rsidRPr="000E1573" w:rsidRDefault="00826813" w:rsidP="000E1573">
      <w:pPr>
        <w:numPr>
          <w:ilvl w:val="0"/>
          <w:numId w:val="0"/>
        </w:numPr>
        <w:ind w:left="765"/>
        <w:rPr>
          <w:sz w:val="22"/>
          <w:szCs w:val="22"/>
        </w:rPr>
      </w:pPr>
    </w:p>
    <w:p w:rsidR="00826813" w:rsidRPr="00A1608A" w:rsidRDefault="00826813" w:rsidP="00A1608A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Kombinácia s inzulínom</w:t>
      </w:r>
    </w:p>
    <w:p w:rsidR="00826813" w:rsidRPr="000E1573" w:rsidRDefault="00826813" w:rsidP="00A1608A">
      <w:pPr>
        <w:numPr>
          <w:ilvl w:val="0"/>
          <w:numId w:val="0"/>
        </w:numPr>
      </w:pPr>
      <w:proofErr w:type="spellStart"/>
      <w:r w:rsidRPr="00A1608A">
        <w:rPr>
          <w:sz w:val="22"/>
          <w:szCs w:val="22"/>
        </w:rPr>
        <w:t>Metformínium</w:t>
      </w:r>
      <w:proofErr w:type="spellEnd"/>
      <w:r w:rsidR="00E90DCD">
        <w:rPr>
          <w:sz w:val="22"/>
          <w:szCs w:val="22"/>
        </w:rPr>
        <w:t>-</w:t>
      </w:r>
      <w:r w:rsidRPr="00A1608A">
        <w:rPr>
          <w:sz w:val="22"/>
          <w:szCs w:val="22"/>
        </w:rPr>
        <w:t>chlorid a inzulín sa môžu používať v kombinácii, aby sa dosiahla lepšia kontrola glykémie.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Zvyčajná </w:t>
      </w:r>
      <w:r w:rsidR="00E90DCD">
        <w:rPr>
          <w:sz w:val="22"/>
          <w:szCs w:val="22"/>
        </w:rPr>
        <w:t>po</w:t>
      </w:r>
      <w:r w:rsidR="00E90DCD" w:rsidRPr="000E1573">
        <w:rPr>
          <w:sz w:val="22"/>
          <w:szCs w:val="22"/>
        </w:rPr>
        <w:t xml:space="preserve">čiatočná </w:t>
      </w:r>
      <w:r w:rsidRPr="000E1573">
        <w:rPr>
          <w:sz w:val="22"/>
          <w:szCs w:val="22"/>
        </w:rPr>
        <w:t xml:space="preserve">dávka je jedna </w:t>
      </w:r>
      <w:r w:rsidR="00E90DCD">
        <w:rPr>
          <w:sz w:val="22"/>
          <w:szCs w:val="22"/>
        </w:rPr>
        <w:t>tableta</w:t>
      </w:r>
      <w:r w:rsidR="001F0B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 500 mg tablet</w:t>
      </w:r>
      <w:r w:rsidR="001F0B72">
        <w:rPr>
          <w:sz w:val="22"/>
          <w:szCs w:val="22"/>
        </w:rPr>
        <w:t>y</w:t>
      </w:r>
      <w:r w:rsidRPr="000E1573">
        <w:rPr>
          <w:sz w:val="22"/>
          <w:szCs w:val="22"/>
        </w:rPr>
        <w:t xml:space="preserve"> s predĺženým uvoľňovaním jedenkrát denne</w:t>
      </w:r>
      <w:r>
        <w:rPr>
          <w:sz w:val="22"/>
          <w:szCs w:val="22"/>
        </w:rPr>
        <w:t xml:space="preserve"> večer s jedlom</w:t>
      </w:r>
      <w:r w:rsidRPr="000E1573">
        <w:rPr>
          <w:sz w:val="22"/>
          <w:szCs w:val="22"/>
        </w:rPr>
        <w:t>, pričom dávkovanie inzulínu sa upraví na základe výsledkov kontroly glykémie.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Pacientom, ktorí sú už liečení kombináciou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 i</w:t>
      </w:r>
      <w:r>
        <w:rPr>
          <w:sz w:val="22"/>
          <w:szCs w:val="22"/>
        </w:rPr>
        <w:t xml:space="preserve">nzulínu, má byť dávka </w:t>
      </w: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</w:t>
      </w:r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1000 mg</w:t>
      </w:r>
      <w:r w:rsidRPr="000E1573">
        <w:rPr>
          <w:sz w:val="22"/>
          <w:szCs w:val="22"/>
        </w:rPr>
        <w:t xml:space="preserve"> tabliet s predĺženým uvoľňovaním ekvivalentná dennej dávke tabliet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až do maximálnej dávky 2000 mg, ktorá sa má užiť večer s jedlom. Dávkovanie inzulínu sa upraví na základe výsledkov kontroly glykémie.</w:t>
      </w:r>
    </w:p>
    <w:p w:rsidR="00826813" w:rsidRPr="000E1573" w:rsidRDefault="00826813" w:rsidP="000E1573">
      <w:pPr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</w:p>
    <w:p w:rsidR="00826813" w:rsidRPr="00A1608A" w:rsidRDefault="00826813" w:rsidP="000E1573">
      <w:pPr>
        <w:numPr>
          <w:ilvl w:val="0"/>
          <w:numId w:val="0"/>
        </w:numPr>
        <w:tabs>
          <w:tab w:val="left" w:pos="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Starší ľudia</w:t>
      </w:r>
    </w:p>
    <w:p w:rsidR="00826813" w:rsidRPr="00A1608A" w:rsidRDefault="00826813" w:rsidP="00A1608A">
      <w:pPr>
        <w:numPr>
          <w:ilvl w:val="0"/>
          <w:numId w:val="0"/>
        </w:numPr>
        <w:rPr>
          <w:sz w:val="22"/>
          <w:szCs w:val="22"/>
        </w:rPr>
      </w:pPr>
      <w:r w:rsidRPr="00A1608A">
        <w:rPr>
          <w:sz w:val="22"/>
          <w:szCs w:val="22"/>
        </w:rPr>
        <w:t xml:space="preserve">Vzhľadom na možnosť </w:t>
      </w:r>
      <w:r w:rsidR="001F0B72" w:rsidRPr="00A1608A">
        <w:rPr>
          <w:sz w:val="22"/>
          <w:szCs w:val="22"/>
        </w:rPr>
        <w:t>znížen</w:t>
      </w:r>
      <w:r w:rsidR="001F0B72">
        <w:rPr>
          <w:sz w:val="22"/>
          <w:szCs w:val="22"/>
        </w:rPr>
        <w:t>ej</w:t>
      </w:r>
      <w:r w:rsidR="001F0B72" w:rsidRPr="00A1608A">
        <w:rPr>
          <w:sz w:val="22"/>
          <w:szCs w:val="22"/>
        </w:rPr>
        <w:t xml:space="preserve"> </w:t>
      </w:r>
      <w:proofErr w:type="spellStart"/>
      <w:r w:rsidRPr="00A1608A">
        <w:rPr>
          <w:sz w:val="22"/>
          <w:szCs w:val="22"/>
        </w:rPr>
        <w:t>renálnej</w:t>
      </w:r>
      <w:proofErr w:type="spellEnd"/>
      <w:r w:rsidRPr="00A1608A">
        <w:rPr>
          <w:sz w:val="22"/>
          <w:szCs w:val="22"/>
        </w:rPr>
        <w:t xml:space="preserve"> funkcie u starších osôb sa má dávkovanie </w:t>
      </w:r>
      <w:proofErr w:type="spellStart"/>
      <w:r w:rsidRPr="00A1608A">
        <w:rPr>
          <w:sz w:val="22"/>
          <w:szCs w:val="22"/>
        </w:rPr>
        <w:t>metformínu</w:t>
      </w:r>
      <w:proofErr w:type="spellEnd"/>
    </w:p>
    <w:p w:rsidR="00826813" w:rsidRPr="007C54DD" w:rsidRDefault="0082681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  <w:r w:rsidRPr="00A1608A">
        <w:rPr>
          <w:sz w:val="22"/>
          <w:szCs w:val="22"/>
        </w:rPr>
        <w:t>upraviť na</w:t>
      </w:r>
      <w:r w:rsidRPr="007C54DD">
        <w:rPr>
          <w:sz w:val="22"/>
          <w:szCs w:val="22"/>
        </w:rPr>
        <w:t xml:space="preserve"> základe výsledkov </w:t>
      </w:r>
      <w:proofErr w:type="spellStart"/>
      <w:r w:rsidRPr="007C54DD">
        <w:rPr>
          <w:sz w:val="22"/>
          <w:szCs w:val="22"/>
        </w:rPr>
        <w:t>renálnych</w:t>
      </w:r>
      <w:proofErr w:type="spellEnd"/>
      <w:r w:rsidRPr="007C54DD">
        <w:rPr>
          <w:sz w:val="22"/>
          <w:szCs w:val="22"/>
        </w:rPr>
        <w:t xml:space="preserve"> funkcií. Pravidelné sledovanie </w:t>
      </w:r>
      <w:proofErr w:type="spellStart"/>
      <w:r w:rsidRPr="007C54DD">
        <w:rPr>
          <w:sz w:val="22"/>
          <w:szCs w:val="22"/>
        </w:rPr>
        <w:t>renálnych</w:t>
      </w:r>
      <w:proofErr w:type="spellEnd"/>
      <w:r w:rsidRPr="007C54DD">
        <w:rPr>
          <w:sz w:val="22"/>
          <w:szCs w:val="22"/>
        </w:rPr>
        <w:t xml:space="preserve"> funkcií je</w:t>
      </w:r>
    </w:p>
    <w:p w:rsidR="00826813" w:rsidRPr="007C54DD" w:rsidRDefault="0082681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  <w:r w:rsidRPr="007C54DD">
        <w:rPr>
          <w:sz w:val="22"/>
          <w:szCs w:val="22"/>
        </w:rPr>
        <w:t>nevyhnutné (pozri časť 4.4).</w:t>
      </w:r>
    </w:p>
    <w:p w:rsidR="00826813" w:rsidRPr="007C54DD" w:rsidRDefault="00826813" w:rsidP="00426CDC">
      <w:pPr>
        <w:numPr>
          <w:ilvl w:val="0"/>
          <w:numId w:val="0"/>
        </w:numPr>
        <w:rPr>
          <w:sz w:val="22"/>
          <w:szCs w:val="22"/>
        </w:rPr>
      </w:pPr>
    </w:p>
    <w:p w:rsidR="00826813" w:rsidRPr="007C54DD" w:rsidRDefault="00826813" w:rsidP="00426CDC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t xml:space="preserve">Prínos pri znižovaní rizika alebo oneskorenia nástupu diabetes mellitus 2.typu nebol stanovený u pacientov vo veku 75 rokov a starších (pozri časť 5.1), a preto sa u týchto pacientov neodporúča začať liečbu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(pozri časť 4.4).</w:t>
      </w:r>
    </w:p>
    <w:p w:rsidR="00826813" w:rsidRPr="007C54DD" w:rsidRDefault="00826813" w:rsidP="0068050C">
      <w:pPr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 w:rsidRPr="007C54DD">
        <w:rPr>
          <w:sz w:val="22"/>
          <w:szCs w:val="22"/>
        </w:rPr>
        <w:t xml:space="preserve"> </w:t>
      </w:r>
    </w:p>
    <w:p w:rsidR="00826813" w:rsidRPr="00A1608A" w:rsidRDefault="00826813" w:rsidP="00A1608A">
      <w:pPr>
        <w:numPr>
          <w:ilvl w:val="0"/>
          <w:numId w:val="0"/>
        </w:numPr>
        <w:tabs>
          <w:tab w:val="left" w:pos="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Porucha funkcie obličiek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t xml:space="preserve">Pred začatím liečby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a minimálne raz ročne po jej začatí je potrebné vyhodnotiť GFR. U pacientov so zvýšeným rizikom ďalšej progresie poruchy funkcie obličiek a u starších pacientov je potrebná</w:t>
      </w:r>
      <w:r w:rsidRPr="000E1573">
        <w:rPr>
          <w:sz w:val="22"/>
          <w:szCs w:val="22"/>
        </w:rPr>
        <w:t xml:space="preserve"> častejšia kontrola funkcie obličiek, napr. každé 3-6 mesiacov. </w:t>
      </w:r>
    </w:p>
    <w:p w:rsidR="00826813" w:rsidRPr="000E1573" w:rsidRDefault="0082681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3124"/>
        <w:gridCol w:w="4540"/>
      </w:tblGrid>
      <w:tr w:rsidR="00826813" w:rsidRPr="000E1573">
        <w:trPr>
          <w:trHeight w:val="481"/>
        </w:trPr>
        <w:tc>
          <w:tcPr>
            <w:tcW w:w="1382" w:type="dxa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>GFR ml/min</w:t>
            </w:r>
          </w:p>
        </w:tc>
        <w:tc>
          <w:tcPr>
            <w:tcW w:w="3124" w:type="dxa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>Celková maximálna denná dávka</w:t>
            </w:r>
          </w:p>
        </w:tc>
        <w:tc>
          <w:tcPr>
            <w:tcW w:w="4540" w:type="dxa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 xml:space="preserve">Ďalšie uváženie </w:t>
            </w:r>
          </w:p>
        </w:tc>
      </w:tr>
      <w:tr w:rsidR="00826813" w:rsidRPr="000E1573">
        <w:tc>
          <w:tcPr>
            <w:tcW w:w="1382" w:type="dxa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60-89</w:t>
            </w:r>
          </w:p>
        </w:tc>
        <w:tc>
          <w:tcPr>
            <w:tcW w:w="3124" w:type="dxa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2 000 mg</w:t>
            </w:r>
          </w:p>
        </w:tc>
        <w:tc>
          <w:tcPr>
            <w:tcW w:w="4540" w:type="dxa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>Je možné zvážiť zníženie dávky vzhľadom na pokles funkcie obličiek.</w:t>
            </w:r>
          </w:p>
        </w:tc>
      </w:tr>
      <w:tr w:rsidR="00826813" w:rsidRPr="000E1573">
        <w:trPr>
          <w:trHeight w:val="1069"/>
        </w:trPr>
        <w:tc>
          <w:tcPr>
            <w:tcW w:w="1382" w:type="dxa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45-59</w:t>
            </w:r>
          </w:p>
        </w:tc>
        <w:tc>
          <w:tcPr>
            <w:tcW w:w="3124" w:type="dxa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2 000 mg</w:t>
            </w:r>
          </w:p>
        </w:tc>
        <w:tc>
          <w:tcPr>
            <w:tcW w:w="4540" w:type="dxa"/>
            <w:vMerge w:val="restart"/>
          </w:tcPr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ind w:left="30" w:hanging="30"/>
              <w:rPr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 xml:space="preserve">Pred zvážením </w:t>
            </w:r>
            <w:r>
              <w:rPr>
                <w:sz w:val="22"/>
                <w:szCs w:val="22"/>
              </w:rPr>
              <w:t>začatia</w:t>
            </w:r>
            <w:r w:rsidRPr="000E1573">
              <w:rPr>
                <w:sz w:val="22"/>
                <w:szCs w:val="22"/>
              </w:rPr>
              <w:t xml:space="preserve"> liečby </w:t>
            </w:r>
            <w:proofErr w:type="spellStart"/>
            <w:r w:rsidRPr="000E1573">
              <w:rPr>
                <w:sz w:val="22"/>
                <w:szCs w:val="22"/>
              </w:rPr>
              <w:t>metformínom</w:t>
            </w:r>
            <w:proofErr w:type="spellEnd"/>
            <w:r w:rsidRPr="000E1573">
              <w:rPr>
                <w:sz w:val="22"/>
                <w:szCs w:val="22"/>
              </w:rPr>
              <w:t xml:space="preserve"> je potrebné posúdiť faktory, ktoré </w:t>
            </w:r>
            <w:r w:rsidR="00CA298C">
              <w:rPr>
                <w:sz w:val="22"/>
                <w:szCs w:val="22"/>
              </w:rPr>
              <w:t>môžu</w:t>
            </w:r>
            <w:r w:rsidRPr="000E1573">
              <w:rPr>
                <w:sz w:val="22"/>
                <w:szCs w:val="22"/>
              </w:rPr>
              <w:t xml:space="preserve"> zvyšovať riziko </w:t>
            </w:r>
            <w:proofErr w:type="spellStart"/>
            <w:r w:rsidRPr="000E1573">
              <w:rPr>
                <w:sz w:val="22"/>
                <w:szCs w:val="22"/>
              </w:rPr>
              <w:t>laktátovej</w:t>
            </w:r>
            <w:proofErr w:type="spellEnd"/>
            <w:r w:rsidRPr="000E1573">
              <w:rPr>
                <w:sz w:val="22"/>
                <w:szCs w:val="22"/>
              </w:rPr>
              <w:t xml:space="preserve"> </w:t>
            </w:r>
            <w:proofErr w:type="spellStart"/>
            <w:r w:rsidRPr="000E1573">
              <w:rPr>
                <w:sz w:val="22"/>
                <w:szCs w:val="22"/>
              </w:rPr>
              <w:t>acidózy</w:t>
            </w:r>
            <w:proofErr w:type="spellEnd"/>
            <w:r w:rsidRPr="000E1573">
              <w:rPr>
                <w:sz w:val="22"/>
                <w:szCs w:val="22"/>
              </w:rPr>
              <w:t xml:space="preserve"> (pozri časť 4.4).</w:t>
            </w:r>
          </w:p>
          <w:p w:rsidR="00826813" w:rsidRPr="000E1573" w:rsidRDefault="0082681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>Úvodná dávka je nanajvýš polovica z maximálnej dávky.</w:t>
            </w:r>
          </w:p>
        </w:tc>
      </w:tr>
      <w:tr w:rsidR="00826813" w:rsidRPr="000E1573">
        <w:tc>
          <w:tcPr>
            <w:tcW w:w="1382" w:type="dxa"/>
          </w:tcPr>
          <w:p w:rsidR="00826813" w:rsidRPr="000E1573" w:rsidRDefault="0082681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30-44</w:t>
            </w:r>
          </w:p>
        </w:tc>
        <w:tc>
          <w:tcPr>
            <w:tcW w:w="3124" w:type="dxa"/>
          </w:tcPr>
          <w:p w:rsidR="00826813" w:rsidRPr="000E1573" w:rsidRDefault="0082681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1 000 mg</w:t>
            </w:r>
          </w:p>
        </w:tc>
        <w:tc>
          <w:tcPr>
            <w:tcW w:w="4540" w:type="dxa"/>
            <w:vMerge/>
          </w:tcPr>
          <w:p w:rsidR="00826813" w:rsidRPr="000E1573" w:rsidRDefault="0082681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</w:p>
        </w:tc>
      </w:tr>
      <w:tr w:rsidR="00826813" w:rsidRPr="000E1573">
        <w:tc>
          <w:tcPr>
            <w:tcW w:w="1382" w:type="dxa"/>
          </w:tcPr>
          <w:p w:rsidR="00826813" w:rsidRPr="000E1573" w:rsidRDefault="0082681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&lt; 30</w:t>
            </w:r>
          </w:p>
        </w:tc>
        <w:tc>
          <w:tcPr>
            <w:tcW w:w="3124" w:type="dxa"/>
          </w:tcPr>
          <w:p w:rsidR="00826813" w:rsidRPr="000E1573" w:rsidRDefault="0082681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-----</w:t>
            </w:r>
          </w:p>
        </w:tc>
        <w:tc>
          <w:tcPr>
            <w:tcW w:w="4540" w:type="dxa"/>
          </w:tcPr>
          <w:p w:rsidR="00826813" w:rsidRPr="000E1573" w:rsidRDefault="0082681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proofErr w:type="spellStart"/>
            <w:r w:rsidRPr="000E1573">
              <w:rPr>
                <w:rFonts w:eastAsia="Batang"/>
                <w:sz w:val="22"/>
                <w:szCs w:val="22"/>
              </w:rPr>
              <w:t>Metformín</w:t>
            </w:r>
            <w:proofErr w:type="spellEnd"/>
            <w:r w:rsidRPr="000E1573">
              <w:rPr>
                <w:rFonts w:eastAsia="Batang"/>
                <w:sz w:val="22"/>
                <w:szCs w:val="22"/>
              </w:rPr>
              <w:t xml:space="preserve"> je kontraindikovaný.</w:t>
            </w:r>
          </w:p>
        </w:tc>
      </w:tr>
    </w:tbl>
    <w:p w:rsidR="00826813" w:rsidRPr="000E1573" w:rsidRDefault="0082681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</w:p>
    <w:p w:rsidR="00826813" w:rsidRPr="00A1608A" w:rsidRDefault="00826813" w:rsidP="000E1573">
      <w:pPr>
        <w:numPr>
          <w:ilvl w:val="0"/>
          <w:numId w:val="0"/>
        </w:numPr>
        <w:tabs>
          <w:tab w:val="left" w:pos="0"/>
          <w:tab w:val="left" w:pos="108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Pediatrická populácia</w:t>
      </w:r>
    </w:p>
    <w:p w:rsidR="00826813" w:rsidRPr="000E1573" w:rsidRDefault="00826813" w:rsidP="000E1573">
      <w:pPr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 w:rsidRPr="000E1573">
        <w:rPr>
          <w:sz w:val="22"/>
          <w:szCs w:val="22"/>
        </w:rPr>
        <w:t xml:space="preserve">Pre nedostatok údajov sa </w:t>
      </w: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 w:rsidRPr="000E1573" w:rsidDel="009916C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nemá podávať deťom. </w:t>
      </w:r>
    </w:p>
    <w:p w:rsidR="00826813" w:rsidRPr="000E1573" w:rsidRDefault="00826813" w:rsidP="00A1608A">
      <w:pPr>
        <w:numPr>
          <w:ilvl w:val="0"/>
          <w:numId w:val="0"/>
        </w:num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4.3</w:t>
      </w:r>
      <w:r w:rsidRPr="000E1573">
        <w:rPr>
          <w:b/>
          <w:bCs/>
          <w:sz w:val="22"/>
          <w:szCs w:val="22"/>
        </w:rPr>
        <w:tab/>
        <w:t>Kontraindikácie</w:t>
      </w:r>
    </w:p>
    <w:p w:rsidR="00826813" w:rsidRPr="000E157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Precitlivenosť na liečivo alebo na ktorúkoľvek z pomocných látok uvedených v časti 6.1.</w:t>
      </w:r>
    </w:p>
    <w:p w:rsidR="00826813" w:rsidRPr="00A1608A" w:rsidRDefault="00826813" w:rsidP="00A1608A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 xml:space="preserve">Akýkoľvek typ akútnej metabolickej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(ako napríkla</w:t>
      </w:r>
      <w:r>
        <w:rPr>
          <w:sz w:val="22"/>
          <w:szCs w:val="22"/>
        </w:rPr>
        <w:t xml:space="preserve">d </w:t>
      </w:r>
      <w:proofErr w:type="spellStart"/>
      <w:r>
        <w:rPr>
          <w:sz w:val="22"/>
          <w:szCs w:val="22"/>
        </w:rPr>
        <w:t>laktátová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acidóza</w:t>
      </w:r>
      <w:proofErr w:type="spellEnd"/>
      <w:r>
        <w:rPr>
          <w:sz w:val="22"/>
          <w:szCs w:val="22"/>
        </w:rPr>
        <w:t xml:space="preserve">, diabetická </w:t>
      </w:r>
      <w:proofErr w:type="spellStart"/>
      <w:r w:rsidRPr="00A1608A">
        <w:rPr>
          <w:sz w:val="22"/>
          <w:szCs w:val="22"/>
        </w:rPr>
        <w:t>ketoacidóza</w:t>
      </w:r>
      <w:proofErr w:type="spellEnd"/>
      <w:r w:rsidRPr="00A1608A">
        <w:rPr>
          <w:sz w:val="22"/>
          <w:szCs w:val="22"/>
        </w:rPr>
        <w:t>).</w:t>
      </w:r>
    </w:p>
    <w:p w:rsidR="00826813" w:rsidRPr="000E1573" w:rsidRDefault="0082681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Diabetická pre-kóma. </w:t>
      </w:r>
    </w:p>
    <w:p w:rsidR="00826813" w:rsidRPr="000E1573" w:rsidRDefault="0082681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Závažné zlyh</w:t>
      </w:r>
      <w:r w:rsidR="001F0B72">
        <w:rPr>
          <w:sz w:val="22"/>
          <w:szCs w:val="22"/>
        </w:rPr>
        <w:t>áv</w:t>
      </w:r>
      <w:r w:rsidRPr="000E1573">
        <w:rPr>
          <w:sz w:val="22"/>
          <w:szCs w:val="22"/>
        </w:rPr>
        <w:t>anie obličiek (GFR &lt; 30 ml/min).</w:t>
      </w:r>
    </w:p>
    <w:p w:rsidR="00826813" w:rsidRPr="000E1573" w:rsidRDefault="0082681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Akútne ochorenia, ktoré môžu potenciálne ovplyvniť </w:t>
      </w:r>
      <w:proofErr w:type="spellStart"/>
      <w:r w:rsidRPr="000E1573">
        <w:rPr>
          <w:sz w:val="22"/>
          <w:szCs w:val="22"/>
        </w:rPr>
        <w:t>renálne</w:t>
      </w:r>
      <w:proofErr w:type="spellEnd"/>
      <w:r w:rsidRPr="000E1573">
        <w:rPr>
          <w:sz w:val="22"/>
          <w:szCs w:val="22"/>
        </w:rPr>
        <w:t xml:space="preserve"> funkcie ako: </w:t>
      </w:r>
    </w:p>
    <w:p w:rsidR="00826813" w:rsidRPr="000E1573" w:rsidRDefault="0082681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t xml:space="preserve"> dehydratácia, </w:t>
      </w:r>
    </w:p>
    <w:p w:rsidR="00826813" w:rsidRPr="000E1573" w:rsidRDefault="0082681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t xml:space="preserve"> závažná infekcia, </w:t>
      </w:r>
    </w:p>
    <w:p w:rsidR="00826813" w:rsidRPr="000E1573" w:rsidRDefault="0082681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t xml:space="preserve"> šok. </w:t>
      </w:r>
    </w:p>
    <w:p w:rsidR="00826813" w:rsidRPr="000E1573" w:rsidRDefault="00826813" w:rsidP="000E1573">
      <w:pPr>
        <w:numPr>
          <w:ilvl w:val="0"/>
          <w:numId w:val="38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Ochorenie, ktoré môže spôsobiť tkanivovú </w:t>
      </w:r>
      <w:proofErr w:type="spellStart"/>
      <w:r w:rsidRPr="000E1573">
        <w:rPr>
          <w:sz w:val="22"/>
          <w:szCs w:val="22"/>
        </w:rPr>
        <w:t>hypoxiu</w:t>
      </w:r>
      <w:proofErr w:type="spellEnd"/>
      <w:r w:rsidRPr="000E1573">
        <w:rPr>
          <w:sz w:val="22"/>
          <w:szCs w:val="22"/>
        </w:rPr>
        <w:t xml:space="preserve"> (predovšetkým akútne alebo zhoršujúce sa chronické ochorenie), napr.:</w:t>
      </w:r>
    </w:p>
    <w:p w:rsidR="00826813" w:rsidRPr="000E1573" w:rsidRDefault="0082681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>dekompenzované srdcové zlyh</w:t>
      </w:r>
      <w:r w:rsidR="001F0B72">
        <w:rPr>
          <w:sz w:val="22"/>
          <w:szCs w:val="22"/>
        </w:rPr>
        <w:t>áv</w:t>
      </w:r>
      <w:r w:rsidRPr="000E1573">
        <w:rPr>
          <w:sz w:val="22"/>
          <w:szCs w:val="22"/>
        </w:rPr>
        <w:t xml:space="preserve">anie, </w:t>
      </w:r>
    </w:p>
    <w:p w:rsidR="00826813" w:rsidRPr="000E1573" w:rsidRDefault="0082681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>respiračné zlyh</w:t>
      </w:r>
      <w:r w:rsidR="001F0B72">
        <w:rPr>
          <w:sz w:val="22"/>
          <w:szCs w:val="22"/>
        </w:rPr>
        <w:t>áv</w:t>
      </w:r>
      <w:r w:rsidRPr="000E1573">
        <w:rPr>
          <w:sz w:val="22"/>
          <w:szCs w:val="22"/>
        </w:rPr>
        <w:t xml:space="preserve">anie, </w:t>
      </w:r>
    </w:p>
    <w:p w:rsidR="00826813" w:rsidRPr="000E1573" w:rsidRDefault="0082681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nedávny infarkt myokardu, </w:t>
      </w:r>
    </w:p>
    <w:p w:rsidR="00826813" w:rsidRPr="000E1573" w:rsidRDefault="00826813" w:rsidP="000E1573">
      <w:pPr>
        <w:numPr>
          <w:ilvl w:val="1"/>
          <w:numId w:val="44"/>
        </w:numPr>
        <w:tabs>
          <w:tab w:val="left" w:pos="993"/>
        </w:tabs>
        <w:ind w:left="993" w:hanging="426"/>
        <w:rPr>
          <w:sz w:val="22"/>
          <w:szCs w:val="22"/>
        </w:rPr>
      </w:pPr>
      <w:r w:rsidRPr="000E1573">
        <w:rPr>
          <w:sz w:val="22"/>
          <w:szCs w:val="22"/>
        </w:rPr>
        <w:t>šok.</w:t>
      </w:r>
    </w:p>
    <w:p w:rsidR="00826813" w:rsidRPr="000E1573" w:rsidRDefault="00826813" w:rsidP="000E1573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Hepatálna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insuficiencia</w:t>
      </w:r>
      <w:proofErr w:type="spellEnd"/>
      <w:r w:rsidRPr="000E1573">
        <w:rPr>
          <w:sz w:val="22"/>
          <w:szCs w:val="22"/>
        </w:rPr>
        <w:t>, akútna intoxikácia alkoholom, alkoholizmus.</w:t>
      </w:r>
    </w:p>
    <w:p w:rsidR="00826813" w:rsidRPr="000E1573" w:rsidRDefault="00826813" w:rsidP="000E1573">
      <w:pPr>
        <w:numPr>
          <w:ilvl w:val="0"/>
          <w:numId w:val="0"/>
        </w:numPr>
        <w:ind w:left="567"/>
        <w:rPr>
          <w:sz w:val="22"/>
          <w:szCs w:val="22"/>
        </w:rPr>
      </w:pPr>
    </w:p>
    <w:p w:rsidR="0082681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A1608A">
        <w:rPr>
          <w:b/>
          <w:bCs/>
          <w:sz w:val="22"/>
          <w:szCs w:val="22"/>
        </w:rPr>
        <w:t>4.4</w:t>
      </w:r>
      <w:r w:rsidRPr="00A1608A">
        <w:rPr>
          <w:b/>
          <w:bCs/>
          <w:sz w:val="22"/>
          <w:szCs w:val="22"/>
        </w:rPr>
        <w:tab/>
        <w:t>Osobitné upozornenia a opatrenia pri používaní</w:t>
      </w:r>
    </w:p>
    <w:p w:rsidR="00826813" w:rsidRPr="00A1608A" w:rsidRDefault="00826813" w:rsidP="00A1608A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Laktátová</w:t>
      </w:r>
      <w:proofErr w:type="spellEnd"/>
      <w:r w:rsidRPr="000E1573">
        <w:rPr>
          <w:sz w:val="22"/>
          <w:szCs w:val="22"/>
          <w:u w:val="single"/>
        </w:rPr>
        <w:t xml:space="preserve"> </w:t>
      </w:r>
      <w:proofErr w:type="spellStart"/>
      <w:r w:rsidRPr="000E1573">
        <w:rPr>
          <w:sz w:val="22"/>
          <w:szCs w:val="22"/>
          <w:u w:val="single"/>
        </w:rPr>
        <w:t>acidóza</w:t>
      </w:r>
      <w:proofErr w:type="spellEnd"/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, veľmi zriedkavá, ale závažná metabolická komplikácia, ktorá sa najčastejšie vyskytuje pri akútnom zhoršení funkcie obličiek alebo pri </w:t>
      </w:r>
      <w:proofErr w:type="spellStart"/>
      <w:r w:rsidRPr="000E1573">
        <w:rPr>
          <w:sz w:val="22"/>
          <w:szCs w:val="22"/>
        </w:rPr>
        <w:t>kardiorespiračnom</w:t>
      </w:r>
      <w:proofErr w:type="spellEnd"/>
      <w:r w:rsidRPr="000E1573">
        <w:rPr>
          <w:sz w:val="22"/>
          <w:szCs w:val="22"/>
        </w:rPr>
        <w:t xml:space="preserve"> ochorení či sepse. Akumulácia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sa objavuje pri akútnom zhoršení funkcie obličiek a zvyšuje riziko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 prípade dehydratácie (závažná hnačka alebo vracanie, horúčka alebo znížený príjem tekutín) je potrebné dočasne prerušiť 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odporúča sa kontaktovať zdravotníckeho pracovníka. 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Lieky, ktoré môžu akútne narušiť funkciu obličiek (ako napríklad </w:t>
      </w:r>
      <w:proofErr w:type="spellStart"/>
      <w:r w:rsidRPr="000E1573">
        <w:rPr>
          <w:sz w:val="22"/>
          <w:szCs w:val="22"/>
        </w:rPr>
        <w:t>antihypertenzíva</w:t>
      </w:r>
      <w:proofErr w:type="spellEnd"/>
      <w:r w:rsidRPr="000E1573">
        <w:rPr>
          <w:sz w:val="22"/>
          <w:szCs w:val="22"/>
        </w:rPr>
        <w:t xml:space="preserve">, diuretiká a NSA) sa majú u pacientov liečených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začať podávať s opatrnosťou. Ďalšie rizikové faktory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sú nadmerné požívanie alkoholu, </w:t>
      </w:r>
      <w:proofErr w:type="spellStart"/>
      <w:r w:rsidRPr="000E1573">
        <w:rPr>
          <w:sz w:val="22"/>
          <w:szCs w:val="22"/>
        </w:rPr>
        <w:t>hepatálna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insuficiencia</w:t>
      </w:r>
      <w:proofErr w:type="spellEnd"/>
      <w:r w:rsidRPr="000E1573">
        <w:rPr>
          <w:sz w:val="22"/>
          <w:szCs w:val="22"/>
        </w:rPr>
        <w:t xml:space="preserve">, nedostatočne kontrolovaný diabetes mellitus, </w:t>
      </w:r>
      <w:proofErr w:type="spellStart"/>
      <w:r w:rsidRPr="000E1573">
        <w:rPr>
          <w:sz w:val="22"/>
          <w:szCs w:val="22"/>
        </w:rPr>
        <w:t>ketóza</w:t>
      </w:r>
      <w:proofErr w:type="spellEnd"/>
      <w:r w:rsidRPr="000E1573">
        <w:rPr>
          <w:sz w:val="22"/>
          <w:szCs w:val="22"/>
        </w:rPr>
        <w:t xml:space="preserve">, dlhotrvajúce hladovanie a akékoľvek stavy spojené s </w:t>
      </w:r>
      <w:proofErr w:type="spellStart"/>
      <w:r w:rsidRPr="000E1573">
        <w:rPr>
          <w:sz w:val="22"/>
          <w:szCs w:val="22"/>
        </w:rPr>
        <w:t>hypoxiou</w:t>
      </w:r>
      <w:proofErr w:type="spellEnd"/>
      <w:r w:rsidRPr="000E1573">
        <w:rPr>
          <w:sz w:val="22"/>
          <w:szCs w:val="22"/>
        </w:rPr>
        <w:t xml:space="preserve">, ako aj súbežné používanie liekov, ktoré môžu spôsobiť </w:t>
      </w:r>
      <w:proofErr w:type="spellStart"/>
      <w:r w:rsidRPr="000E1573">
        <w:rPr>
          <w:sz w:val="22"/>
          <w:szCs w:val="22"/>
        </w:rPr>
        <w:t>laktátovú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acidózu</w:t>
      </w:r>
      <w:proofErr w:type="spellEnd"/>
      <w:r w:rsidRPr="000E1573">
        <w:rPr>
          <w:sz w:val="22"/>
          <w:szCs w:val="22"/>
        </w:rPr>
        <w:t xml:space="preserve"> (pozri časti 4.3 a 4.5). </w:t>
      </w:r>
    </w:p>
    <w:p w:rsidR="00826813" w:rsidRPr="000E1573" w:rsidRDefault="00826813" w:rsidP="000E1573">
      <w:pPr>
        <w:pStyle w:val="CM5"/>
        <w:spacing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Pacienti a/alebo ošetrovatelia musia byť informovaní o riziku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je charakterizovaná </w:t>
      </w:r>
      <w:proofErr w:type="spellStart"/>
      <w:r w:rsidRPr="000E1573">
        <w:rPr>
          <w:sz w:val="22"/>
          <w:szCs w:val="22"/>
        </w:rPr>
        <w:t>acidotickým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dyspnoe</w:t>
      </w:r>
      <w:proofErr w:type="spellEnd"/>
      <w:r w:rsidRPr="000E1573">
        <w:rPr>
          <w:sz w:val="22"/>
          <w:szCs w:val="22"/>
        </w:rPr>
        <w:t xml:space="preserve">, bolesťou brucha, svalovými kŕčmi, asténiou a hypotermiou, po ktorých nasleduje kóma. V prípade podozrenia na výskyt príznakov musí pacient prestať užívať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a vyhľadať okamžité lekárske ošetrenie. Diagnostickými laboratórnymi nálezmi sú znížená hodnota pH krvi (&lt; 7,35), zvýšené plazmatické hladiny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 xml:space="preserve"> (&gt;5 mmol/l) a zvýšená aniónová medzera a pomer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>/</w:t>
      </w:r>
      <w:proofErr w:type="spellStart"/>
      <w:r w:rsidRPr="000E1573">
        <w:rPr>
          <w:sz w:val="22"/>
          <w:szCs w:val="22"/>
        </w:rPr>
        <w:t>pyruvátu</w:t>
      </w:r>
      <w:proofErr w:type="spellEnd"/>
      <w:r w:rsidRPr="000E1573">
        <w:rPr>
          <w:sz w:val="22"/>
          <w:szCs w:val="22"/>
        </w:rPr>
        <w:t xml:space="preserve">.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Funkcia obličiek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GFR je potrebné vyhodnotiť pred začiatkom liečby a pravidelne po ňom, pozri časť 4.2.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je kontraindikovaný u pacientov s GFR &lt; 30 ml/min a v prípade výskytu stavov, pri ktorých dochádza k zmene funkcie obličiek, je potrebné ho dočasne prestať podávať, pozri časť 4.3. </w:t>
      </w:r>
    </w:p>
    <w:p w:rsidR="00826813" w:rsidRPr="000E1573" w:rsidRDefault="00826813" w:rsidP="000E1573">
      <w:pPr>
        <w:numPr>
          <w:ilvl w:val="0"/>
          <w:numId w:val="0"/>
        </w:numPr>
        <w:tabs>
          <w:tab w:val="num" w:pos="0"/>
        </w:tabs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Funkci</w:t>
      </w:r>
      <w:r w:rsidR="001F0B72">
        <w:rPr>
          <w:sz w:val="22"/>
          <w:szCs w:val="22"/>
          <w:u w:val="single"/>
        </w:rPr>
        <w:t>a</w:t>
      </w:r>
      <w:r w:rsidRPr="000E1573">
        <w:rPr>
          <w:sz w:val="22"/>
          <w:szCs w:val="22"/>
          <w:u w:val="single"/>
        </w:rPr>
        <w:t xml:space="preserve"> srdca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U pacientov so srdcovým zlyh</w:t>
      </w:r>
      <w:r w:rsidR="001F0B72">
        <w:rPr>
          <w:sz w:val="22"/>
          <w:szCs w:val="22"/>
        </w:rPr>
        <w:t>áv</w:t>
      </w:r>
      <w:r w:rsidRPr="000E1573">
        <w:rPr>
          <w:sz w:val="22"/>
          <w:szCs w:val="22"/>
        </w:rPr>
        <w:t xml:space="preserve">aním je väčšie riziko </w:t>
      </w:r>
      <w:proofErr w:type="spellStart"/>
      <w:r w:rsidRPr="000E1573">
        <w:rPr>
          <w:sz w:val="22"/>
          <w:szCs w:val="22"/>
        </w:rPr>
        <w:t>hypoxie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renálnej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insuficiencie</w:t>
      </w:r>
      <w:proofErr w:type="spellEnd"/>
      <w:r w:rsidRPr="000E1573">
        <w:rPr>
          <w:sz w:val="22"/>
          <w:szCs w:val="22"/>
        </w:rPr>
        <w:t>. Pacienti so stabilným chronickým srdcovým zlyh</w:t>
      </w:r>
      <w:r w:rsidR="001F0B72">
        <w:rPr>
          <w:sz w:val="22"/>
          <w:szCs w:val="22"/>
        </w:rPr>
        <w:t>áv</w:t>
      </w:r>
      <w:r w:rsidRPr="000E1573">
        <w:rPr>
          <w:sz w:val="22"/>
          <w:szCs w:val="22"/>
        </w:rPr>
        <w:t xml:space="preserve">aním môžu užívať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iba vtedy, ak sa pravidelne monitorujú ich srdcové a </w:t>
      </w:r>
      <w:proofErr w:type="spellStart"/>
      <w:r w:rsidRPr="000E1573">
        <w:rPr>
          <w:sz w:val="22"/>
          <w:szCs w:val="22"/>
        </w:rPr>
        <w:t>renálne</w:t>
      </w:r>
      <w:proofErr w:type="spellEnd"/>
      <w:r w:rsidRPr="000E1573">
        <w:rPr>
          <w:sz w:val="22"/>
          <w:szCs w:val="22"/>
        </w:rPr>
        <w:t xml:space="preserve"> funkcie.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U pacientov s akútnym a nestabilným srdcovým zlyh</w:t>
      </w:r>
      <w:r w:rsidR="001F0B72">
        <w:rPr>
          <w:sz w:val="22"/>
          <w:szCs w:val="22"/>
        </w:rPr>
        <w:t>áv</w:t>
      </w:r>
      <w:r w:rsidRPr="000E1573">
        <w:rPr>
          <w:sz w:val="22"/>
          <w:szCs w:val="22"/>
        </w:rPr>
        <w:t xml:space="preserve">aním je </w:t>
      </w:r>
      <w:proofErr w:type="spellStart"/>
      <w:r w:rsidRPr="000E1573">
        <w:rPr>
          <w:sz w:val="22"/>
          <w:szCs w:val="22"/>
        </w:rPr>
        <w:t>metformím</w:t>
      </w:r>
      <w:proofErr w:type="spellEnd"/>
      <w:r w:rsidRPr="000E1573">
        <w:rPr>
          <w:sz w:val="22"/>
          <w:szCs w:val="22"/>
        </w:rPr>
        <w:t xml:space="preserve"> kontraindikovaný (pozri časť 4.3).</w:t>
      </w:r>
    </w:p>
    <w:p w:rsidR="0082681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7C54DD" w:rsidRDefault="00826813" w:rsidP="00C54786">
      <w:pPr>
        <w:numPr>
          <w:ilvl w:val="0"/>
          <w:numId w:val="0"/>
        </w:numPr>
        <w:rPr>
          <w:sz w:val="22"/>
          <w:szCs w:val="22"/>
          <w:u w:val="single"/>
        </w:rPr>
      </w:pPr>
      <w:r w:rsidRPr="007C54DD">
        <w:rPr>
          <w:sz w:val="22"/>
          <w:szCs w:val="22"/>
          <w:u w:val="single"/>
        </w:rPr>
        <w:t>Starší ľudia:</w:t>
      </w:r>
    </w:p>
    <w:p w:rsidR="00826813" w:rsidRPr="007C54DD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lastRenderedPageBreak/>
        <w:t xml:space="preserve">Vzhľadom na obmedzené údaje o terapeutickej účinnosti pri znižovaní rizika alebo oddialení ochorenia diabetes mellitus 2 u pacientov vo veku 75 rokov a starších, sa neodporúča začať liečbu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u týchto pacientov.</w:t>
      </w:r>
    </w:p>
    <w:p w:rsidR="00826813" w:rsidRPr="007C54DD" w:rsidRDefault="00826813" w:rsidP="000E1573">
      <w:pPr>
        <w:numPr>
          <w:ilvl w:val="0"/>
          <w:numId w:val="0"/>
        </w:numPr>
        <w:ind w:left="156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7C54DD">
        <w:rPr>
          <w:sz w:val="22"/>
          <w:szCs w:val="22"/>
          <w:u w:val="single"/>
        </w:rPr>
        <w:t>Podanie</w:t>
      </w:r>
      <w:r w:rsidRPr="000E1573">
        <w:rPr>
          <w:sz w:val="22"/>
          <w:szCs w:val="22"/>
          <w:u w:val="single"/>
        </w:rPr>
        <w:t xml:space="preserve"> jódovej kontrastnej látky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Intravaskulárne</w:t>
      </w:r>
      <w:proofErr w:type="spellEnd"/>
      <w:r w:rsidRPr="000E1573">
        <w:rPr>
          <w:sz w:val="22"/>
          <w:szCs w:val="22"/>
        </w:rPr>
        <w:t xml:space="preserve"> podávanie jódových kontrastných látok môže viesť k </w:t>
      </w:r>
      <w:proofErr w:type="spellStart"/>
      <w:r w:rsidRPr="000E1573">
        <w:rPr>
          <w:sz w:val="22"/>
          <w:szCs w:val="22"/>
        </w:rPr>
        <w:t>nefropatii</w:t>
      </w:r>
      <w:proofErr w:type="spellEnd"/>
      <w:r w:rsidRPr="000E1573">
        <w:rPr>
          <w:sz w:val="22"/>
          <w:szCs w:val="22"/>
        </w:rPr>
        <w:t xml:space="preserve"> vyvolanej kontrastnou látkou, čo spôsobuje akumuláciu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zvýšené riziko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Pred alebo v čase postupu zobrazovania je potrebné prerušiť 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v podávaní pokračujte nie skôr ako po uplynutí minimálne 48 hodín, za predpokladu, že funkcia obličiek bola opätovne posúdená a považovaná za stabilnú, pozrite časti 4.2 a 4.5. </w:t>
      </w:r>
    </w:p>
    <w:p w:rsidR="00826813" w:rsidRPr="000E1573" w:rsidRDefault="00826813" w:rsidP="000E1573">
      <w:pPr>
        <w:numPr>
          <w:ilvl w:val="0"/>
          <w:numId w:val="0"/>
        </w:numPr>
        <w:ind w:left="336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Chirurgický zákrok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musí vysadiť v čase chirurgického zákroku s celkovou, </w:t>
      </w:r>
      <w:proofErr w:type="spellStart"/>
      <w:r w:rsidRPr="000E1573">
        <w:rPr>
          <w:sz w:val="22"/>
          <w:szCs w:val="22"/>
        </w:rPr>
        <w:t>spinálnou</w:t>
      </w:r>
      <w:proofErr w:type="spellEnd"/>
      <w:r w:rsidRPr="000E1573">
        <w:rPr>
          <w:sz w:val="22"/>
          <w:szCs w:val="22"/>
        </w:rPr>
        <w:t xml:space="preserve"> alebo </w:t>
      </w:r>
      <w:proofErr w:type="spellStart"/>
      <w:r w:rsidRPr="000E1573">
        <w:rPr>
          <w:sz w:val="22"/>
          <w:szCs w:val="22"/>
        </w:rPr>
        <w:t>epidurálnou</w:t>
      </w:r>
      <w:proofErr w:type="spellEnd"/>
      <w:r w:rsidRPr="000E1573">
        <w:rPr>
          <w:sz w:val="22"/>
          <w:szCs w:val="22"/>
        </w:rPr>
        <w:t xml:space="preserve"> anestéziou. Liečba sa nesmie opätovne nasadiť skôr ako 48 hodín po chirurgickom zákroku alebo po obnovení perorálnej výživy a za predpokladu, že došlo k opätovnému vyhodnoteniu funkcie obličiek a pri zistení, že je stabilná. </w:t>
      </w:r>
    </w:p>
    <w:p w:rsidR="00826813" w:rsidRPr="000E157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Ďalšie upozornenia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Všetci pacienti majú dodržiavať diétu s pravidelne rozdeleným denným príjmom cukrov počas dňa.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Pacienti s nadváhou majú pokračovať v redukčnej diéte.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Zvyčajné laboratórne vyšetrenia na sledovanie diabetu je potrebné vykonávať pravidelne.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samotný nevyvoláva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 xml:space="preserve">, je však potrebné zvýšiť opatrnosť, ak je podávaný spolu s inzulínom alebo s inými perorálnymi </w:t>
      </w:r>
      <w:proofErr w:type="spellStart"/>
      <w:r w:rsidRPr="000E1573">
        <w:rPr>
          <w:sz w:val="22"/>
          <w:szCs w:val="22"/>
        </w:rPr>
        <w:t>antidiabetikami</w:t>
      </w:r>
      <w:proofErr w:type="spellEnd"/>
      <w:r w:rsidRPr="000E1573">
        <w:rPr>
          <w:sz w:val="22"/>
          <w:szCs w:val="22"/>
        </w:rPr>
        <w:t xml:space="preserve"> (napr. deriváty </w:t>
      </w:r>
      <w:proofErr w:type="spellStart"/>
      <w:r w:rsidR="001F0B72" w:rsidRPr="000E1573">
        <w:rPr>
          <w:sz w:val="22"/>
          <w:szCs w:val="22"/>
        </w:rPr>
        <w:t>sulfonyl</w:t>
      </w:r>
      <w:r w:rsidR="001F0B72">
        <w:rPr>
          <w:sz w:val="22"/>
          <w:szCs w:val="22"/>
        </w:rPr>
        <w:t>močoviny</w:t>
      </w:r>
      <w:proofErr w:type="spellEnd"/>
      <w:r w:rsidR="001F0B72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alebo </w:t>
      </w:r>
      <w:proofErr w:type="spellStart"/>
      <w:r w:rsidRPr="000E1573">
        <w:rPr>
          <w:sz w:val="22"/>
          <w:szCs w:val="22"/>
        </w:rPr>
        <w:t>meglitinidy</w:t>
      </w:r>
      <w:proofErr w:type="spellEnd"/>
      <w:r w:rsidRPr="000E1573">
        <w:rPr>
          <w:sz w:val="22"/>
          <w:szCs w:val="22"/>
        </w:rPr>
        <w:t>).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V stolici môžu byť prítomné zvyšky tabliet. Pacienti majú byť upozornení, že je to normálne.</w:t>
      </w:r>
    </w:p>
    <w:p w:rsidR="00826813" w:rsidRPr="000E157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4.5</w:t>
      </w:r>
      <w:r w:rsidRPr="000E1573">
        <w:rPr>
          <w:b/>
          <w:bCs/>
          <w:sz w:val="22"/>
          <w:szCs w:val="22"/>
        </w:rPr>
        <w:tab/>
        <w:t>Liekové a iné interakcie</w:t>
      </w:r>
    </w:p>
    <w:p w:rsidR="00826813" w:rsidRPr="000E1573" w:rsidRDefault="0082681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Súbežné používanie, ktoré sa neodporúča </w:t>
      </w:r>
    </w:p>
    <w:p w:rsidR="00826813" w:rsidRPr="000E1573" w:rsidRDefault="0082681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Alkohol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Intoxikácia alkoholom je spojená so zvýšeným rizikom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najmä v</w:t>
      </w:r>
      <w:r>
        <w:rPr>
          <w:sz w:val="22"/>
          <w:szCs w:val="22"/>
        </w:rPr>
        <w:t> </w:t>
      </w:r>
      <w:r w:rsidRPr="000E1573">
        <w:rPr>
          <w:sz w:val="22"/>
          <w:szCs w:val="22"/>
        </w:rPr>
        <w:t>prípadoch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hladovania, nedostatočnej výživy alebo poškodenia funkcie pečene.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Jódové kontrastné látky</w:t>
      </w:r>
    </w:p>
    <w:p w:rsidR="00826813" w:rsidRPr="00437B35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Pred zobrazovacím vyšetrením alebo v čase zobrazovacieho vyšetrenia sa </w:t>
      </w:r>
      <w:proofErr w:type="spellStart"/>
      <w:r w:rsidRPr="00437B35">
        <w:rPr>
          <w:sz w:val="22"/>
          <w:szCs w:val="22"/>
        </w:rPr>
        <w:t>metformín</w:t>
      </w:r>
      <w:proofErr w:type="spellEnd"/>
      <w:r w:rsidRPr="00437B35">
        <w:rPr>
          <w:sz w:val="22"/>
          <w:szCs w:val="22"/>
        </w:rPr>
        <w:t xml:space="preserve"> musí vysadiť a nesmie sa opätovne nasadiť, kým neuplynie minimálne 48 hodín, </w:t>
      </w:r>
      <w:r w:rsidR="008C52EA">
        <w:rPr>
          <w:sz w:val="22"/>
          <w:szCs w:val="22"/>
        </w:rPr>
        <w:t xml:space="preserve">v podávaní je možné pokračovať </w:t>
      </w:r>
      <w:r w:rsidRPr="00437B35">
        <w:rPr>
          <w:sz w:val="22"/>
          <w:szCs w:val="22"/>
        </w:rPr>
        <w:t xml:space="preserve">za predpokladu, že došlo k opätovnému vyhodnoteniu funkcie obličiek a zistilo sa, že je stabilná, pozri časti 4.2 a 4.4. </w:t>
      </w:r>
    </w:p>
    <w:p w:rsidR="00826813" w:rsidRPr="000E1573" w:rsidRDefault="00826813" w:rsidP="000E1573">
      <w:pPr>
        <w:numPr>
          <w:ilvl w:val="0"/>
          <w:numId w:val="0"/>
        </w:numPr>
        <w:ind w:left="408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Kombinácia, pri ktorej sa vyžaduje opatrnosť pri používaní </w:t>
      </w:r>
    </w:p>
    <w:p w:rsidR="00826813" w:rsidRPr="00437B35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Niektoré lieky môžu nežiaduco ovplyvňovať funkciu obličiek, čo môže zvýšiť riziko </w:t>
      </w:r>
      <w:proofErr w:type="spellStart"/>
      <w:r w:rsidRPr="00437B35">
        <w:rPr>
          <w:sz w:val="22"/>
          <w:szCs w:val="22"/>
        </w:rPr>
        <w:t>laktátovej</w:t>
      </w:r>
      <w:proofErr w:type="spellEnd"/>
      <w:r w:rsidRPr="00437B35">
        <w:rPr>
          <w:sz w:val="22"/>
          <w:szCs w:val="22"/>
        </w:rPr>
        <w:t xml:space="preserve"> </w:t>
      </w:r>
      <w:proofErr w:type="spellStart"/>
      <w:r w:rsidRPr="00437B35">
        <w:rPr>
          <w:sz w:val="22"/>
          <w:szCs w:val="22"/>
        </w:rPr>
        <w:t>acidózy</w:t>
      </w:r>
      <w:proofErr w:type="spellEnd"/>
      <w:r w:rsidRPr="00437B35">
        <w:rPr>
          <w:sz w:val="22"/>
          <w:szCs w:val="22"/>
        </w:rPr>
        <w:t xml:space="preserve">, napr. NSA vrátane selektívnych inhibítorov </w:t>
      </w:r>
      <w:proofErr w:type="spellStart"/>
      <w:r w:rsidRPr="00437B35">
        <w:rPr>
          <w:sz w:val="22"/>
          <w:szCs w:val="22"/>
        </w:rPr>
        <w:t>cyklooxygenázy</w:t>
      </w:r>
      <w:proofErr w:type="spellEnd"/>
      <w:r w:rsidRPr="00437B35">
        <w:rPr>
          <w:sz w:val="22"/>
          <w:szCs w:val="22"/>
        </w:rPr>
        <w:t xml:space="preserve"> II (COX), inhibítorov ACE, antagonistov receptora </w:t>
      </w:r>
      <w:proofErr w:type="spellStart"/>
      <w:r w:rsidRPr="00437B35">
        <w:rPr>
          <w:sz w:val="22"/>
          <w:szCs w:val="22"/>
        </w:rPr>
        <w:t>angiotenzínu</w:t>
      </w:r>
      <w:proofErr w:type="spellEnd"/>
      <w:r w:rsidRPr="00437B35">
        <w:rPr>
          <w:sz w:val="22"/>
          <w:szCs w:val="22"/>
        </w:rPr>
        <w:t xml:space="preserve"> II a diuretík, obzvlášť </w:t>
      </w:r>
      <w:proofErr w:type="spellStart"/>
      <w:r w:rsidRPr="00437B35">
        <w:rPr>
          <w:sz w:val="22"/>
          <w:szCs w:val="22"/>
        </w:rPr>
        <w:t>kľučkových</w:t>
      </w:r>
      <w:proofErr w:type="spellEnd"/>
      <w:r w:rsidRPr="00437B35">
        <w:rPr>
          <w:sz w:val="22"/>
          <w:szCs w:val="22"/>
        </w:rPr>
        <w:t xml:space="preserve"> diuretík. Ak sa začína používať alebo používa takýto liek v kombinácii s </w:t>
      </w:r>
      <w:proofErr w:type="spellStart"/>
      <w:r w:rsidRPr="00437B35">
        <w:rPr>
          <w:sz w:val="22"/>
          <w:szCs w:val="22"/>
        </w:rPr>
        <w:t>metformínom</w:t>
      </w:r>
      <w:proofErr w:type="spellEnd"/>
      <w:r w:rsidRPr="00437B35">
        <w:rPr>
          <w:sz w:val="22"/>
          <w:szCs w:val="22"/>
        </w:rPr>
        <w:t xml:space="preserve">, je potrebné dôkladné monitorovanie funkcie obličiek. </w:t>
      </w:r>
    </w:p>
    <w:p w:rsidR="00826813" w:rsidRPr="000E1573" w:rsidRDefault="00826813" w:rsidP="000E1573">
      <w:pPr>
        <w:pStyle w:val="SPCnormal"/>
        <w:rPr>
          <w:lang w:val="sk-SK"/>
        </w:rPr>
      </w:pPr>
    </w:p>
    <w:p w:rsidR="00826813" w:rsidRPr="00437B35" w:rsidRDefault="0082681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 xml:space="preserve">Lieky s vnútornou hyperglykemickou aktivitou (napr. </w:t>
      </w:r>
      <w:proofErr w:type="spellStart"/>
      <w:r w:rsidRPr="000E1573">
        <w:rPr>
          <w:i/>
          <w:iCs/>
          <w:sz w:val="22"/>
          <w:szCs w:val="22"/>
        </w:rPr>
        <w:t>glukokortikoidy</w:t>
      </w:r>
      <w:proofErr w:type="spellEnd"/>
      <w:r w:rsidRPr="000E157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podávané systémovo </w:t>
      </w:r>
      <w:r w:rsidRPr="000E1573">
        <w:rPr>
          <w:i/>
          <w:iCs/>
          <w:sz w:val="22"/>
          <w:szCs w:val="22"/>
        </w:rPr>
        <w:t>a lokálne a </w:t>
      </w:r>
      <w:proofErr w:type="spellStart"/>
      <w:r w:rsidRPr="000E1573">
        <w:rPr>
          <w:i/>
          <w:iCs/>
          <w:sz w:val="22"/>
          <w:szCs w:val="22"/>
        </w:rPr>
        <w:t>sympatomimetiká</w:t>
      </w:r>
      <w:proofErr w:type="spellEnd"/>
      <w:r w:rsidRPr="000E1573">
        <w:rPr>
          <w:i/>
          <w:iCs/>
          <w:sz w:val="22"/>
          <w:szCs w:val="22"/>
        </w:rPr>
        <w:t>)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Môže byť potrebné vykonávať častejšie glykemické kontroly, najmä na začiatku liečby. Ak je to potrebné, upravte dávkovanie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počas liečby a po jej skončení.  </w:t>
      </w:r>
    </w:p>
    <w:p w:rsidR="00826813" w:rsidRPr="000E1573" w:rsidRDefault="00826813" w:rsidP="000E1573">
      <w:pPr>
        <w:pStyle w:val="SPCnormal"/>
        <w:rPr>
          <w:lang w:val="sk-SK" w:eastAsia="en-US"/>
        </w:rPr>
      </w:pPr>
    </w:p>
    <w:p w:rsidR="00826813" w:rsidRPr="000E1573" w:rsidRDefault="00826813" w:rsidP="000E1573">
      <w:pPr>
        <w:pStyle w:val="SPCnormal"/>
        <w:rPr>
          <w:i/>
          <w:iCs/>
          <w:lang w:val="sk-SK" w:eastAsia="en-US"/>
        </w:rPr>
      </w:pPr>
      <w:r w:rsidRPr="000E1573">
        <w:rPr>
          <w:i/>
          <w:iCs/>
          <w:lang w:val="sk-SK" w:eastAsia="en-US"/>
        </w:rPr>
        <w:t xml:space="preserve">Transportéry pre organické katióny (OCT, </w:t>
      </w:r>
      <w:proofErr w:type="spellStart"/>
      <w:r w:rsidRPr="000E1573">
        <w:rPr>
          <w:i/>
          <w:iCs/>
          <w:lang w:val="sk-SK" w:eastAsia="en-US"/>
        </w:rPr>
        <w:t>organic</w:t>
      </w:r>
      <w:proofErr w:type="spellEnd"/>
      <w:r w:rsidRPr="000E1573">
        <w:rPr>
          <w:i/>
          <w:iCs/>
          <w:lang w:val="sk-SK" w:eastAsia="en-US"/>
        </w:rPr>
        <w:t xml:space="preserve"> </w:t>
      </w:r>
      <w:proofErr w:type="spellStart"/>
      <w:r w:rsidRPr="000E1573">
        <w:rPr>
          <w:i/>
          <w:iCs/>
          <w:lang w:val="sk-SK" w:eastAsia="en-US"/>
        </w:rPr>
        <w:t>cation</w:t>
      </w:r>
      <w:proofErr w:type="spellEnd"/>
      <w:r w:rsidRPr="000E1573">
        <w:rPr>
          <w:i/>
          <w:iCs/>
          <w:lang w:val="sk-SK" w:eastAsia="en-US"/>
        </w:rPr>
        <w:t xml:space="preserve"> </w:t>
      </w:r>
      <w:proofErr w:type="spellStart"/>
      <w:r w:rsidRPr="000E1573">
        <w:rPr>
          <w:i/>
          <w:iCs/>
          <w:lang w:val="sk-SK" w:eastAsia="en-US"/>
        </w:rPr>
        <w:t>transporters</w:t>
      </w:r>
      <w:proofErr w:type="spellEnd"/>
      <w:r w:rsidRPr="000E1573">
        <w:rPr>
          <w:i/>
          <w:iCs/>
          <w:lang w:val="sk-SK" w:eastAsia="en-US"/>
        </w:rPr>
        <w:t>)</w:t>
      </w:r>
    </w:p>
    <w:p w:rsidR="00826813" w:rsidRPr="00437B35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437B35">
        <w:rPr>
          <w:sz w:val="22"/>
          <w:szCs w:val="22"/>
        </w:rPr>
        <w:t>Metformín</w:t>
      </w:r>
      <w:proofErr w:type="spellEnd"/>
      <w:r w:rsidRPr="00437B35">
        <w:rPr>
          <w:sz w:val="22"/>
          <w:szCs w:val="22"/>
        </w:rPr>
        <w:t xml:space="preserve"> je substrátom pre oba transportéry OCT1 a OCT2.</w:t>
      </w:r>
    </w:p>
    <w:p w:rsidR="00826813" w:rsidRPr="000E1573" w:rsidRDefault="00826813" w:rsidP="000E1573">
      <w:pPr>
        <w:pStyle w:val="SPCnormal"/>
        <w:rPr>
          <w:lang w:val="sk-SK" w:eastAsia="en-US"/>
        </w:rPr>
      </w:pPr>
    </w:p>
    <w:p w:rsidR="00826813" w:rsidRPr="00437B35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lastRenderedPageBreak/>
        <w:t xml:space="preserve">Súbežné podávanie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s</w:t>
      </w:r>
    </w:p>
    <w:p w:rsidR="00826813" w:rsidRPr="00437B35" w:rsidRDefault="0082681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OCT1 (ako je </w:t>
      </w:r>
      <w:proofErr w:type="spellStart"/>
      <w:r w:rsidRPr="00437B35">
        <w:rPr>
          <w:sz w:val="22"/>
          <w:szCs w:val="22"/>
        </w:rPr>
        <w:t>verapamil</w:t>
      </w:r>
      <w:proofErr w:type="spellEnd"/>
      <w:r w:rsidRPr="00437B35">
        <w:rPr>
          <w:sz w:val="22"/>
          <w:szCs w:val="22"/>
        </w:rPr>
        <w:t xml:space="preserve">) môže znížiť účinnosť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826813" w:rsidRPr="00437B35" w:rsidRDefault="0082681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induktormi OCT1 (ako je </w:t>
      </w:r>
      <w:proofErr w:type="spellStart"/>
      <w:r w:rsidRPr="00437B35">
        <w:rPr>
          <w:sz w:val="22"/>
          <w:szCs w:val="22"/>
        </w:rPr>
        <w:t>rifampicín</w:t>
      </w:r>
      <w:proofErr w:type="spellEnd"/>
      <w:r w:rsidRPr="00437B35">
        <w:rPr>
          <w:sz w:val="22"/>
          <w:szCs w:val="22"/>
        </w:rPr>
        <w:t xml:space="preserve">) môže zvýšiť </w:t>
      </w:r>
      <w:proofErr w:type="spellStart"/>
      <w:r w:rsidRPr="00437B35">
        <w:rPr>
          <w:sz w:val="22"/>
          <w:szCs w:val="22"/>
        </w:rPr>
        <w:t>gastrointestinálnu</w:t>
      </w:r>
      <w:proofErr w:type="spellEnd"/>
      <w:r w:rsidRPr="00437B35">
        <w:rPr>
          <w:sz w:val="22"/>
          <w:szCs w:val="22"/>
        </w:rPr>
        <w:t xml:space="preserve"> absorpciu a účinnosť  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826813" w:rsidRPr="00437B35" w:rsidRDefault="0082681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OCT2 (ako je </w:t>
      </w:r>
      <w:proofErr w:type="spellStart"/>
      <w:r w:rsidRPr="00437B35">
        <w:rPr>
          <w:sz w:val="22"/>
          <w:szCs w:val="22"/>
        </w:rPr>
        <w:t>cimetidín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dolutegravir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ranolazín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trimetoprim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vandetanib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isavukonazol</w:t>
      </w:r>
      <w:proofErr w:type="spellEnd"/>
      <w:r w:rsidRPr="00437B35">
        <w:rPr>
          <w:sz w:val="22"/>
          <w:szCs w:val="22"/>
        </w:rPr>
        <w:t xml:space="preserve">), môže znížiť </w:t>
      </w:r>
      <w:proofErr w:type="spellStart"/>
      <w:r w:rsidRPr="00437B35">
        <w:rPr>
          <w:sz w:val="22"/>
          <w:szCs w:val="22"/>
        </w:rPr>
        <w:t>renálne</w:t>
      </w:r>
      <w:proofErr w:type="spellEnd"/>
      <w:r w:rsidRPr="00437B35">
        <w:rPr>
          <w:sz w:val="22"/>
          <w:szCs w:val="22"/>
        </w:rPr>
        <w:t xml:space="preserve"> vylučovanie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, čo vedie k zvýšenej koncentrácii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v plazme.</w:t>
      </w:r>
    </w:p>
    <w:p w:rsidR="00826813" w:rsidRPr="00437B35" w:rsidRDefault="0082681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oboch OCT1 a OCT2 (ako </w:t>
      </w:r>
      <w:proofErr w:type="spellStart"/>
      <w:r w:rsidRPr="00437B35">
        <w:rPr>
          <w:sz w:val="22"/>
          <w:szCs w:val="22"/>
        </w:rPr>
        <w:t>krizotinib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olaparib</w:t>
      </w:r>
      <w:proofErr w:type="spellEnd"/>
      <w:r w:rsidRPr="00437B35">
        <w:rPr>
          <w:sz w:val="22"/>
          <w:szCs w:val="22"/>
        </w:rPr>
        <w:t xml:space="preserve">) môže ovplyvniť účinnosť a </w:t>
      </w:r>
      <w:proofErr w:type="spellStart"/>
      <w:r w:rsidRPr="00437B35">
        <w:rPr>
          <w:sz w:val="22"/>
          <w:szCs w:val="22"/>
        </w:rPr>
        <w:t>renálnu</w:t>
      </w:r>
      <w:proofErr w:type="spellEnd"/>
      <w:r w:rsidRPr="00437B35">
        <w:rPr>
          <w:sz w:val="22"/>
          <w:szCs w:val="22"/>
        </w:rPr>
        <w:t xml:space="preserve"> elimináciu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826813" w:rsidRPr="000E1573" w:rsidRDefault="00826813" w:rsidP="000E1573">
      <w:pPr>
        <w:pStyle w:val="SPCnormal"/>
        <w:rPr>
          <w:lang w:val="sk-SK" w:eastAsia="en-US"/>
        </w:rPr>
      </w:pPr>
    </w:p>
    <w:p w:rsidR="00826813" w:rsidRPr="00437B35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Opatrnosť sa preto odporúča, a to najmä u pacientov s poruchou funkcie obličiek, keď sa tieto lieky podávajú súbežne s </w:t>
      </w:r>
      <w:proofErr w:type="spellStart"/>
      <w:r w:rsidRPr="00437B35">
        <w:rPr>
          <w:sz w:val="22"/>
          <w:szCs w:val="22"/>
        </w:rPr>
        <w:t>metformínom</w:t>
      </w:r>
      <w:proofErr w:type="spellEnd"/>
      <w:r w:rsidRPr="00437B35">
        <w:rPr>
          <w:sz w:val="22"/>
          <w:szCs w:val="22"/>
        </w:rPr>
        <w:t xml:space="preserve">, pretože koncentrácia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v plazme sa môže zvýšiť. Ak je to potrebné, môže sa zvážiť úprava dávky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, nakoľko inhibítory/induktory OCT môžu mať vplyv na účinnosť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4.6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Fertilita</w:t>
      </w:r>
      <w:proofErr w:type="spellEnd"/>
      <w:r w:rsidRPr="000E1573">
        <w:rPr>
          <w:b/>
          <w:bCs/>
          <w:sz w:val="22"/>
          <w:szCs w:val="22"/>
        </w:rPr>
        <w:t>, gravidita a laktácia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noProof/>
          <w:sz w:val="22"/>
          <w:szCs w:val="22"/>
          <w:u w:val="single"/>
        </w:rPr>
      </w:pPr>
      <w:r w:rsidRPr="000E1573">
        <w:rPr>
          <w:noProof/>
          <w:sz w:val="22"/>
          <w:szCs w:val="22"/>
          <w:u w:val="single"/>
        </w:rPr>
        <w:t>Gravidita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Nekontrolovaný diabetes počas gravidity (</w:t>
      </w:r>
      <w:proofErr w:type="spellStart"/>
      <w:r w:rsidRPr="000E1573">
        <w:rPr>
          <w:sz w:val="22"/>
          <w:szCs w:val="22"/>
        </w:rPr>
        <w:t>gestačný</w:t>
      </w:r>
      <w:proofErr w:type="spellEnd"/>
      <w:r w:rsidRPr="000E1573">
        <w:rPr>
          <w:sz w:val="22"/>
          <w:szCs w:val="22"/>
        </w:rPr>
        <w:t xml:space="preserve"> alebo trvalý) je spojený so zvýšeným rizikom </w:t>
      </w:r>
      <w:proofErr w:type="spellStart"/>
      <w:r w:rsidRPr="000E1573">
        <w:rPr>
          <w:sz w:val="22"/>
          <w:szCs w:val="22"/>
        </w:rPr>
        <w:t>kongenitálnych</w:t>
      </w:r>
      <w:proofErr w:type="spellEnd"/>
      <w:r w:rsidRPr="000E1573">
        <w:rPr>
          <w:sz w:val="22"/>
          <w:szCs w:val="22"/>
        </w:rPr>
        <w:t xml:space="preserve"> abnormalít a </w:t>
      </w:r>
      <w:proofErr w:type="spellStart"/>
      <w:r w:rsidRPr="000E1573">
        <w:rPr>
          <w:sz w:val="22"/>
          <w:szCs w:val="22"/>
        </w:rPr>
        <w:t>perinatálnej</w:t>
      </w:r>
      <w:proofErr w:type="spellEnd"/>
      <w:r w:rsidRPr="000E1573">
        <w:rPr>
          <w:sz w:val="22"/>
          <w:szCs w:val="22"/>
        </w:rPr>
        <w:t xml:space="preserve"> mortality.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Obmedzené množstvo údajov o používaní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u gravidných žien nepoukazuje na zvýšené riziko </w:t>
      </w:r>
      <w:proofErr w:type="spellStart"/>
      <w:r w:rsidRPr="000E1573">
        <w:rPr>
          <w:sz w:val="22"/>
          <w:szCs w:val="22"/>
        </w:rPr>
        <w:t>kongenitálnych</w:t>
      </w:r>
      <w:proofErr w:type="spellEnd"/>
      <w:r w:rsidRPr="000E1573">
        <w:rPr>
          <w:sz w:val="22"/>
          <w:szCs w:val="22"/>
        </w:rPr>
        <w:t xml:space="preserve">  abnormalít.  Štúdie na zvieratách nepreukázali škodlivý vplyv na graviditu, embryonálny alebo </w:t>
      </w:r>
      <w:proofErr w:type="spellStart"/>
      <w:r w:rsidRPr="000E1573">
        <w:rPr>
          <w:sz w:val="22"/>
          <w:szCs w:val="22"/>
        </w:rPr>
        <w:t>fetálny</w:t>
      </w:r>
      <w:proofErr w:type="spellEnd"/>
      <w:r w:rsidRPr="000E1573">
        <w:rPr>
          <w:sz w:val="22"/>
          <w:szCs w:val="22"/>
        </w:rPr>
        <w:t xml:space="preserve"> vývin, na pôrod alebo </w:t>
      </w:r>
      <w:proofErr w:type="spellStart"/>
      <w:r w:rsidRPr="000E1573">
        <w:rPr>
          <w:sz w:val="22"/>
          <w:szCs w:val="22"/>
        </w:rPr>
        <w:t>postnatálny</w:t>
      </w:r>
      <w:proofErr w:type="spellEnd"/>
      <w:r w:rsidRPr="000E1573">
        <w:rPr>
          <w:sz w:val="22"/>
          <w:szCs w:val="22"/>
        </w:rPr>
        <w:t xml:space="preserve"> vývin (pozri časť 5.3).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Ak pacientka plánuje otehotnieť a počas gravidity, sa neodporúča diabetes liečiť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, ale na udržanie hladiny glukózy v krvi čo najbližšej k fyziologickým hodnotám sa má použiť inzulín, aby sa znížilo riziko </w:t>
      </w:r>
      <w:proofErr w:type="spellStart"/>
      <w:r w:rsidRPr="000E1573">
        <w:rPr>
          <w:sz w:val="22"/>
          <w:szCs w:val="22"/>
        </w:rPr>
        <w:t>malformácií</w:t>
      </w:r>
      <w:proofErr w:type="spellEnd"/>
      <w:r w:rsidRPr="000E1573">
        <w:rPr>
          <w:sz w:val="22"/>
          <w:szCs w:val="22"/>
        </w:rPr>
        <w:t xml:space="preserve"> plodu.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0E1573">
      <w:pPr>
        <w:pStyle w:val="Zkladntext"/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Dojčenie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do materského mlieka. Neboli pozorované žiadne nežiaduce účinky u dojčených novorodencov/detí. Keďže je dostupné limitované množstvo údajov, dojčenie sa počas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neodporúča. Pri rozhodovaní, či prerušiť dojčenie, je potrebné zohľadniť prínos dojčenia a možné riziko nežiaduceho účinku na dieťa.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Fertilita</w:t>
      </w:r>
      <w:proofErr w:type="spellEnd"/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potkanom v dávkach vyšších ako 600 mg/kg/deň, ktoré sú približne trikrát vyššie ako je maximálna odporúčaná denná dávka pre ľudí na základe plochy povrchu tela, nemalo žiaden negatívny vplyv na </w:t>
      </w:r>
      <w:proofErr w:type="spellStart"/>
      <w:r w:rsidRPr="000E1573">
        <w:rPr>
          <w:sz w:val="22"/>
          <w:szCs w:val="22"/>
        </w:rPr>
        <w:t>fertilitu</w:t>
      </w:r>
      <w:proofErr w:type="spellEnd"/>
      <w:r w:rsidRPr="000E1573">
        <w:rPr>
          <w:sz w:val="22"/>
          <w:szCs w:val="22"/>
        </w:rPr>
        <w:t xml:space="preserve">.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4.7</w:t>
      </w:r>
      <w:r w:rsidRPr="000E1573">
        <w:rPr>
          <w:b/>
          <w:bCs/>
          <w:sz w:val="22"/>
          <w:szCs w:val="22"/>
        </w:rPr>
        <w:tab/>
        <w:t>Ovplyvnenie schopnosti viesť vozidlá a obsluhovať stroje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Monoterapia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nespôsobuje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 xml:space="preserve"> a teda nemá vplyv na schopnosť viesť vozidlá a obsluhovať stroje.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Pacientov je však potrebné upozorniť na riziko </w:t>
      </w:r>
      <w:proofErr w:type="spellStart"/>
      <w:r w:rsidRPr="000E1573">
        <w:rPr>
          <w:sz w:val="22"/>
          <w:szCs w:val="22"/>
        </w:rPr>
        <w:t>hypoglykémie</w:t>
      </w:r>
      <w:proofErr w:type="spellEnd"/>
      <w:r w:rsidRPr="000E1573">
        <w:rPr>
          <w:sz w:val="22"/>
          <w:szCs w:val="22"/>
        </w:rPr>
        <w:t xml:space="preserve"> pri užívaní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 kombinácii s inými </w:t>
      </w:r>
      <w:proofErr w:type="spellStart"/>
      <w:r w:rsidRPr="000E1573">
        <w:rPr>
          <w:sz w:val="22"/>
          <w:szCs w:val="22"/>
        </w:rPr>
        <w:t>antidiabetickými</w:t>
      </w:r>
      <w:proofErr w:type="spellEnd"/>
      <w:r w:rsidRPr="000E1573">
        <w:rPr>
          <w:sz w:val="22"/>
          <w:szCs w:val="22"/>
        </w:rPr>
        <w:t xml:space="preserve"> liekmi (napr. </w:t>
      </w:r>
      <w:proofErr w:type="spellStart"/>
      <w:r w:rsidR="00655A2A" w:rsidRPr="000E1573">
        <w:rPr>
          <w:sz w:val="22"/>
          <w:szCs w:val="22"/>
        </w:rPr>
        <w:t>sulfonyl</w:t>
      </w:r>
      <w:r w:rsidR="00655A2A">
        <w:rPr>
          <w:sz w:val="22"/>
          <w:szCs w:val="22"/>
        </w:rPr>
        <w:t>močoviny</w:t>
      </w:r>
      <w:proofErr w:type="spellEnd"/>
      <w:r w:rsidRPr="000E1573">
        <w:rPr>
          <w:sz w:val="22"/>
          <w:szCs w:val="22"/>
        </w:rPr>
        <w:t xml:space="preserve">, inzulín alebo </w:t>
      </w:r>
      <w:proofErr w:type="spellStart"/>
      <w:r w:rsidRPr="000E1573">
        <w:rPr>
          <w:sz w:val="22"/>
          <w:szCs w:val="22"/>
        </w:rPr>
        <w:t>meglitinidy</w:t>
      </w:r>
      <w:proofErr w:type="spellEnd"/>
      <w:r w:rsidRPr="000E1573">
        <w:rPr>
          <w:sz w:val="22"/>
          <w:szCs w:val="22"/>
        </w:rPr>
        <w:t>).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 xml:space="preserve">4.8 </w:t>
      </w:r>
      <w:r w:rsidRPr="000E1573">
        <w:rPr>
          <w:b/>
          <w:bCs/>
          <w:sz w:val="22"/>
          <w:szCs w:val="22"/>
        </w:rPr>
        <w:tab/>
        <w:t>Nežiaduce účinky</w:t>
      </w:r>
    </w:p>
    <w:p w:rsidR="00826813" w:rsidRPr="000E1573" w:rsidRDefault="00826813" w:rsidP="000E1573">
      <w:pPr>
        <w:numPr>
          <w:ilvl w:val="0"/>
          <w:numId w:val="0"/>
        </w:numPr>
        <w:ind w:left="1800" w:hanging="180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základe skúseností po uvedení lieku na trh a údajov z kontrolovaných klinických štúdií bolo hlásenie nežiaducich účinkov u pacientov liečených </w:t>
      </w:r>
      <w:proofErr w:type="spellStart"/>
      <w:r w:rsidR="00655A2A">
        <w:rPr>
          <w:sz w:val="22"/>
          <w:szCs w:val="22"/>
        </w:rPr>
        <w:t>m</w:t>
      </w:r>
      <w:r>
        <w:rPr>
          <w:sz w:val="22"/>
          <w:szCs w:val="22"/>
        </w:rPr>
        <w:t>etform</w:t>
      </w:r>
      <w:r w:rsidR="00655A2A">
        <w:rPr>
          <w:sz w:val="22"/>
          <w:szCs w:val="22"/>
        </w:rPr>
        <w:t>í</w:t>
      </w:r>
      <w:r>
        <w:rPr>
          <w:sz w:val="22"/>
          <w:szCs w:val="22"/>
        </w:rPr>
        <w:t>nom</w:t>
      </w:r>
      <w:proofErr w:type="spellEnd"/>
      <w:r w:rsidR="00655A2A">
        <w:rPr>
          <w:sz w:val="22"/>
          <w:szCs w:val="22"/>
        </w:rPr>
        <w:t xml:space="preserve"> v</w:t>
      </w:r>
      <w:r w:rsidRPr="000E1573">
        <w:rPr>
          <w:sz w:val="22"/>
          <w:szCs w:val="22"/>
        </w:rPr>
        <w:t xml:space="preserve"> tabl</w:t>
      </w:r>
      <w:r w:rsidR="00655A2A">
        <w:rPr>
          <w:sz w:val="22"/>
          <w:szCs w:val="22"/>
        </w:rPr>
        <w:t>etách</w:t>
      </w:r>
      <w:r w:rsidRPr="000E1573">
        <w:rPr>
          <w:sz w:val="22"/>
          <w:szCs w:val="22"/>
        </w:rPr>
        <w:t xml:space="preserve"> s predĺženým uvoľňovaním podobné, čo sa týka druhu a závažnosti ako u tabliet </w:t>
      </w:r>
      <w:r w:rsidR="00655A2A">
        <w:rPr>
          <w:sz w:val="22"/>
          <w:szCs w:val="22"/>
        </w:rPr>
        <w:t xml:space="preserve">s </w:t>
      </w:r>
      <w:proofErr w:type="spellStart"/>
      <w:r w:rsidR="00655A2A">
        <w:rPr>
          <w:sz w:val="22"/>
          <w:szCs w:val="22"/>
        </w:rPr>
        <w:t>m</w:t>
      </w:r>
      <w:r>
        <w:rPr>
          <w:sz w:val="22"/>
          <w:szCs w:val="22"/>
        </w:rPr>
        <w:t>etform</w:t>
      </w:r>
      <w:r w:rsidR="00655A2A">
        <w:rPr>
          <w:sz w:val="22"/>
          <w:szCs w:val="22"/>
        </w:rPr>
        <w:t>í</w:t>
      </w:r>
      <w:r>
        <w:rPr>
          <w:sz w:val="22"/>
          <w:szCs w:val="22"/>
        </w:rPr>
        <w:t>n</w:t>
      </w:r>
      <w:proofErr w:type="spellEnd"/>
      <w:r w:rsidRPr="000E1573">
        <w:rPr>
          <w:sz w:val="22"/>
          <w:szCs w:val="22"/>
        </w:rPr>
        <w:t xml:space="preserve"> s okamžitým uvoľňovaním.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začiatku liečby sú najčastejšími nežiaducimi účinkami nauzea, vracanie, hnačka, bolesť brucha a strata chuti do jedla, ktoré vo väčšine prípadov spontánne ustúpia.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 xml:space="preserve">Pri liečbe tabletami </w:t>
      </w: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</w:t>
      </w:r>
      <w:r w:rsidRPr="000E1573">
        <w:rPr>
          <w:sz w:val="22"/>
          <w:szCs w:val="22"/>
        </w:rPr>
        <w:t xml:space="preserve"> s predĺženým uvoľňovaním sa môžu vyskytnúť nasledujúce nežiaduce účinky.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Frekvencia výskytu je definovaná nasledovne: veľmi časté (≥ 1/10), časté (≥ 1/100 až &lt; 1/10), menej časté (≥ 1/1000 až &lt; 1/100), zriedkavé (≥1/10 000 až &lt; 1/1000), veľmi zriedkavé (&lt; 1/10 000).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 rámci jednotlivých skupín frekvencií sú nežiaduce účinky usporiadané v poradí klesajúcej </w:t>
      </w:r>
    </w:p>
    <w:p w:rsidR="00826813" w:rsidRPr="000E1573" w:rsidRDefault="0082681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  <w:r w:rsidRPr="000E1573">
        <w:rPr>
          <w:sz w:val="22"/>
          <w:szCs w:val="22"/>
        </w:rPr>
        <w:t>závažnosti.</w:t>
      </w:r>
    </w:p>
    <w:p w:rsidR="00826813" w:rsidRPr="000E1573" w:rsidRDefault="0082681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metabolizmu a výživy</w:t>
      </w:r>
      <w:r w:rsidRPr="000E1573">
        <w:rPr>
          <w:sz w:val="22"/>
          <w:szCs w:val="22"/>
          <w:u w:val="single"/>
        </w:rPr>
        <w:tab/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zriedkavé:</w:t>
      </w:r>
      <w:r w:rsidRPr="000E1573">
        <w:rPr>
          <w:sz w:val="22"/>
          <w:szCs w:val="22"/>
        </w:rPr>
        <w:t xml:space="preserve"> </w:t>
      </w:r>
    </w:p>
    <w:p w:rsidR="00826813" w:rsidRPr="000E1573" w:rsidRDefault="0082681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(pozri časť 4.4).</w:t>
      </w:r>
    </w:p>
    <w:p w:rsidR="00826813" w:rsidRPr="000E1573" w:rsidRDefault="00826813" w:rsidP="000E1573">
      <w:pPr>
        <w:numPr>
          <w:ilvl w:val="0"/>
          <w:numId w:val="30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Zníženie absorpcie vitamínu B</w:t>
      </w:r>
      <w:r w:rsidRPr="000E1573">
        <w:rPr>
          <w:sz w:val="22"/>
          <w:szCs w:val="22"/>
          <w:vertAlign w:val="subscript"/>
        </w:rPr>
        <w:t>12</w:t>
      </w:r>
      <w:r w:rsidRPr="000E1573">
        <w:rPr>
          <w:sz w:val="22"/>
          <w:szCs w:val="22"/>
        </w:rPr>
        <w:t xml:space="preserve"> s poklesom sérových hladín počas dlhodobej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. Odporúča sa zvážiť túto etiológiu v prípade, že pacient má </w:t>
      </w:r>
      <w:proofErr w:type="spellStart"/>
      <w:r w:rsidRPr="000E1573">
        <w:rPr>
          <w:sz w:val="22"/>
          <w:szCs w:val="22"/>
        </w:rPr>
        <w:t>megaloblastickú</w:t>
      </w:r>
      <w:proofErr w:type="spellEnd"/>
      <w:r w:rsidRPr="000E1573">
        <w:rPr>
          <w:sz w:val="22"/>
          <w:szCs w:val="22"/>
        </w:rPr>
        <w:t xml:space="preserve"> anémiu.</w:t>
      </w:r>
    </w:p>
    <w:p w:rsidR="00826813" w:rsidRPr="000E1573" w:rsidRDefault="0082681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nervového systému</w:t>
      </w:r>
    </w:p>
    <w:p w:rsidR="00826813" w:rsidRPr="000E1573" w:rsidRDefault="0082681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 xml:space="preserve">Časté: </w:t>
      </w:r>
    </w:p>
    <w:p w:rsidR="00826813" w:rsidRPr="000E1573" w:rsidRDefault="0082681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Porucha chuti.</w:t>
      </w:r>
    </w:p>
    <w:p w:rsidR="00826813" w:rsidRPr="000E1573" w:rsidRDefault="0082681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Poruchy </w:t>
      </w:r>
      <w:proofErr w:type="spellStart"/>
      <w:r w:rsidRPr="000E1573">
        <w:rPr>
          <w:sz w:val="22"/>
          <w:szCs w:val="22"/>
          <w:u w:val="single"/>
        </w:rPr>
        <w:t>gastrointestinálneho</w:t>
      </w:r>
      <w:proofErr w:type="spellEnd"/>
      <w:r w:rsidRPr="000E1573">
        <w:rPr>
          <w:sz w:val="22"/>
          <w:szCs w:val="22"/>
          <w:u w:val="single"/>
        </w:rPr>
        <w:t xml:space="preserve"> traktu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časté:</w:t>
      </w:r>
      <w:r w:rsidRPr="000E1573">
        <w:rPr>
          <w:sz w:val="22"/>
          <w:szCs w:val="22"/>
        </w:rPr>
        <w:t xml:space="preserve"> </w:t>
      </w:r>
    </w:p>
    <w:p w:rsidR="00826813" w:rsidRPr="000E1573" w:rsidRDefault="0082681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Gastrointestinálne</w:t>
      </w:r>
      <w:proofErr w:type="spellEnd"/>
      <w:r w:rsidRPr="000E1573">
        <w:rPr>
          <w:sz w:val="22"/>
          <w:szCs w:val="22"/>
        </w:rPr>
        <w:t xml:space="preserve"> ťažkosti ako nauzea, vracanie, hnačka, bolesť brucha a strata chuti do jedla. Tieto nežiaduce účinky sa vyskytujú najčastejšie na začiatku liečby a vo väčšine prípadov spontánne ustúpia. Pomalé zvyšovanie dávky môže zlepšiť </w:t>
      </w:r>
      <w:proofErr w:type="spellStart"/>
      <w:r w:rsidRPr="000E1573">
        <w:rPr>
          <w:sz w:val="22"/>
          <w:szCs w:val="22"/>
        </w:rPr>
        <w:t>gastrointestinálnu</w:t>
      </w:r>
      <w:proofErr w:type="spellEnd"/>
      <w:r w:rsidRPr="000E1573">
        <w:rPr>
          <w:sz w:val="22"/>
          <w:szCs w:val="22"/>
        </w:rPr>
        <w:t xml:space="preserve"> znášanlivosť lieku.</w:t>
      </w:r>
    </w:p>
    <w:p w:rsidR="00826813" w:rsidRPr="000E1573" w:rsidRDefault="0082681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pečene a žlčových ciest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zriedkavé:</w:t>
      </w:r>
      <w:r w:rsidRPr="000E1573">
        <w:rPr>
          <w:sz w:val="22"/>
          <w:szCs w:val="22"/>
        </w:rPr>
        <w:t xml:space="preserve"> </w:t>
      </w:r>
    </w:p>
    <w:p w:rsidR="00826813" w:rsidRPr="000E1573" w:rsidRDefault="0082681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Izolované hlásenia abnormálnych výsledkov pečeňových testov alebo hepatitídy, ktoré ustúpili po prerušení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>.</w:t>
      </w:r>
    </w:p>
    <w:p w:rsidR="00826813" w:rsidRPr="000E1573" w:rsidRDefault="0082681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kože a podkožného tkaniva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</w:t>
      </w:r>
      <w:r w:rsidRPr="000E1573">
        <w:rPr>
          <w:sz w:val="22"/>
          <w:szCs w:val="22"/>
        </w:rPr>
        <w:t xml:space="preserve">: </w:t>
      </w:r>
    </w:p>
    <w:p w:rsidR="00826813" w:rsidRPr="000E1573" w:rsidRDefault="0082681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Kožné reakcie ako </w:t>
      </w:r>
      <w:proofErr w:type="spellStart"/>
      <w:r w:rsidRPr="000E1573">
        <w:rPr>
          <w:sz w:val="22"/>
          <w:szCs w:val="22"/>
        </w:rPr>
        <w:t>erytém</w:t>
      </w:r>
      <w:proofErr w:type="spellEnd"/>
      <w:r w:rsidRPr="000E1573">
        <w:rPr>
          <w:sz w:val="22"/>
          <w:szCs w:val="22"/>
        </w:rPr>
        <w:t xml:space="preserve">, </w:t>
      </w:r>
      <w:proofErr w:type="spellStart"/>
      <w:r w:rsidRPr="000E1573">
        <w:rPr>
          <w:sz w:val="22"/>
          <w:szCs w:val="22"/>
        </w:rPr>
        <w:t>pruritus</w:t>
      </w:r>
      <w:proofErr w:type="spellEnd"/>
      <w:r w:rsidRPr="000E1573">
        <w:rPr>
          <w:sz w:val="22"/>
          <w:szCs w:val="22"/>
        </w:rPr>
        <w:t xml:space="preserve">, </w:t>
      </w:r>
      <w:proofErr w:type="spellStart"/>
      <w:r w:rsidRPr="000E1573">
        <w:rPr>
          <w:sz w:val="22"/>
          <w:szCs w:val="22"/>
        </w:rPr>
        <w:t>urtikária</w:t>
      </w:r>
      <w:proofErr w:type="spellEnd"/>
      <w:r w:rsidRPr="000E1573">
        <w:rPr>
          <w:sz w:val="22"/>
          <w:szCs w:val="22"/>
        </w:rPr>
        <w:t>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0E1573">
        <w:rPr>
          <w:sz w:val="22"/>
          <w:szCs w:val="22"/>
          <w:u w:val="single"/>
          <w:lang w:eastAsia="sk-SK"/>
        </w:rPr>
        <w:t>Hlásenie podozrení na nežiaduce reakcie</w:t>
      </w:r>
    </w:p>
    <w:p w:rsidR="00826813" w:rsidRPr="000E1573" w:rsidRDefault="00826813" w:rsidP="000E1573">
      <w:pPr>
        <w:numPr>
          <w:ilvl w:val="0"/>
          <w:numId w:val="0"/>
        </w:numPr>
        <w:suppressLineNumbers/>
        <w:autoSpaceDE w:val="0"/>
        <w:rPr>
          <w:sz w:val="22"/>
          <w:szCs w:val="22"/>
        </w:rPr>
      </w:pPr>
      <w:r w:rsidRPr="000E1573">
        <w:rPr>
          <w:sz w:val="22"/>
          <w:szCs w:val="22"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0E1573">
        <w:rPr>
          <w:sz w:val="22"/>
          <w:szCs w:val="22"/>
        </w:rPr>
        <w:t xml:space="preserve">na </w:t>
      </w:r>
      <w:r w:rsidRPr="000E1573">
        <w:rPr>
          <w:sz w:val="22"/>
          <w:szCs w:val="22"/>
          <w:highlight w:val="lightGray"/>
        </w:rPr>
        <w:t xml:space="preserve">národné centrum hlásenia uvedené </w:t>
      </w:r>
      <w:r w:rsidRPr="000E1573">
        <w:rPr>
          <w:sz w:val="22"/>
          <w:szCs w:val="22"/>
          <w:highlight w:val="lightGray"/>
          <w:shd w:val="clear" w:color="auto" w:fill="C0C0C0"/>
        </w:rPr>
        <w:t>v </w:t>
      </w:r>
      <w:hyperlink r:id="rId7" w:history="1">
        <w:r w:rsidRPr="000E1573">
          <w:rPr>
            <w:rStyle w:val="Hypertextovprepojenie"/>
            <w:sz w:val="22"/>
            <w:szCs w:val="22"/>
            <w:highlight w:val="lightGray"/>
            <w:shd w:val="clear" w:color="auto" w:fill="C0C0C0"/>
          </w:rPr>
          <w:t>Prílohe V</w:t>
        </w:r>
      </w:hyperlink>
      <w:r w:rsidRPr="000E1573">
        <w:rPr>
          <w:sz w:val="22"/>
          <w:szCs w:val="22"/>
          <w:shd w:val="clear" w:color="auto" w:fill="C0C0C0"/>
        </w:rPr>
        <w:t>.</w:t>
      </w:r>
    </w:p>
    <w:p w:rsidR="00826813" w:rsidRPr="000E1573" w:rsidRDefault="00826813" w:rsidP="000E1573">
      <w:pPr>
        <w:numPr>
          <w:ilvl w:val="0"/>
          <w:numId w:val="0"/>
        </w:num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826813" w:rsidRPr="000E1573" w:rsidRDefault="0082681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4.9</w:t>
      </w:r>
      <w:r w:rsidRPr="000E1573">
        <w:rPr>
          <w:b/>
          <w:bCs/>
          <w:sz w:val="22"/>
          <w:szCs w:val="22"/>
        </w:rPr>
        <w:tab/>
        <w:t>Predávkovanie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Hypoglykémia</w:t>
      </w:r>
      <w:proofErr w:type="spellEnd"/>
      <w:r w:rsidRPr="000E1573">
        <w:rPr>
          <w:sz w:val="22"/>
          <w:szCs w:val="22"/>
        </w:rPr>
        <w:t xml:space="preserve"> sa nepozorovala ani pri dávkach </w:t>
      </w:r>
      <w:r w:rsidRPr="009C3D02">
        <w:rPr>
          <w:sz w:val="22"/>
          <w:szCs w:val="22"/>
        </w:rPr>
        <w:t xml:space="preserve">do 85 g </w:t>
      </w:r>
      <w:proofErr w:type="spellStart"/>
      <w:r w:rsidRPr="009C3D02">
        <w:rPr>
          <w:sz w:val="22"/>
          <w:szCs w:val="22"/>
        </w:rPr>
        <w:t>metformínium</w:t>
      </w:r>
      <w:proofErr w:type="spellEnd"/>
      <w:r w:rsidR="00655A2A">
        <w:rPr>
          <w:sz w:val="22"/>
          <w:szCs w:val="22"/>
        </w:rPr>
        <w:t>-</w:t>
      </w:r>
      <w:r w:rsidRPr="009C3D02">
        <w:rPr>
          <w:sz w:val="22"/>
          <w:szCs w:val="22"/>
        </w:rPr>
        <w:t>chloridu,</w:t>
      </w:r>
      <w:r w:rsidRPr="000E1573">
        <w:rPr>
          <w:sz w:val="22"/>
          <w:szCs w:val="22"/>
        </w:rPr>
        <w:t xml:space="preserve"> hoci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sa za takýchto okolností vyskytla. Závažné predávkovanie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alebo súbežné riziká môžu viesť k 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acidóze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je urgentný stav a pacient musí byť hospitalizovaný. Najúčinnejšou metódou odstránenia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je hemodialýza.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FARMAKOLOGICKÉ VLASTNOSTI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5.1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Farmakodynamické</w:t>
      </w:r>
      <w:proofErr w:type="spellEnd"/>
      <w:r w:rsidRPr="000E1573">
        <w:rPr>
          <w:b/>
          <w:bCs/>
          <w:sz w:val="22"/>
          <w:szCs w:val="22"/>
        </w:rPr>
        <w:t xml:space="preserve"> vlastnosti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Farmakoterapeutická</w:t>
      </w:r>
      <w:proofErr w:type="spellEnd"/>
      <w:r w:rsidRPr="000E1573">
        <w:rPr>
          <w:sz w:val="22"/>
          <w:szCs w:val="22"/>
        </w:rPr>
        <w:t xml:space="preserve"> skupina: </w:t>
      </w:r>
      <w:proofErr w:type="spellStart"/>
      <w:r w:rsidRPr="000E1573">
        <w:rPr>
          <w:sz w:val="22"/>
          <w:szCs w:val="22"/>
        </w:rPr>
        <w:t>antidiabetiká</w:t>
      </w:r>
      <w:proofErr w:type="spellEnd"/>
      <w:r w:rsidRPr="000E1573">
        <w:rPr>
          <w:sz w:val="22"/>
          <w:szCs w:val="22"/>
        </w:rPr>
        <w:t xml:space="preserve"> s výnimkou inzulínov, </w:t>
      </w:r>
      <w:proofErr w:type="spellStart"/>
      <w:r w:rsidRPr="000E1573">
        <w:rPr>
          <w:sz w:val="22"/>
          <w:szCs w:val="22"/>
        </w:rPr>
        <w:t>biguanidy</w:t>
      </w:r>
      <w:proofErr w:type="spellEnd"/>
      <w:r w:rsidRPr="000E1573">
        <w:rPr>
          <w:sz w:val="22"/>
          <w:szCs w:val="22"/>
        </w:rPr>
        <w:t>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ATC kód: A10BA02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lastRenderedPageBreak/>
        <w:t>Metformín</w:t>
      </w:r>
      <w:proofErr w:type="spellEnd"/>
      <w:r w:rsidRPr="000E1573">
        <w:rPr>
          <w:sz w:val="22"/>
          <w:szCs w:val="22"/>
        </w:rPr>
        <w:t xml:space="preserve"> je </w:t>
      </w:r>
      <w:proofErr w:type="spellStart"/>
      <w:r w:rsidRPr="000E1573">
        <w:rPr>
          <w:sz w:val="22"/>
          <w:szCs w:val="22"/>
        </w:rPr>
        <w:t>biguanid</w:t>
      </w:r>
      <w:proofErr w:type="spellEnd"/>
      <w:r w:rsidRPr="000E1573">
        <w:rPr>
          <w:sz w:val="22"/>
          <w:szCs w:val="22"/>
        </w:rPr>
        <w:t xml:space="preserve"> s </w:t>
      </w:r>
      <w:proofErr w:type="spellStart"/>
      <w:r w:rsidRPr="000E1573">
        <w:rPr>
          <w:sz w:val="22"/>
          <w:szCs w:val="22"/>
        </w:rPr>
        <w:t>antihyperglykemickými</w:t>
      </w:r>
      <w:proofErr w:type="spellEnd"/>
      <w:r w:rsidRPr="000E1573">
        <w:rPr>
          <w:sz w:val="22"/>
          <w:szCs w:val="22"/>
        </w:rPr>
        <w:t xml:space="preserve"> účinkami, znižujúci bazálnu aj </w:t>
      </w:r>
      <w:proofErr w:type="spellStart"/>
      <w:r w:rsidRPr="000E1573">
        <w:rPr>
          <w:sz w:val="22"/>
          <w:szCs w:val="22"/>
        </w:rPr>
        <w:t>postprandiálnu</w:t>
      </w:r>
      <w:proofErr w:type="spellEnd"/>
      <w:r w:rsidRPr="000E1573">
        <w:rPr>
          <w:sz w:val="22"/>
          <w:szCs w:val="22"/>
        </w:rPr>
        <w:t xml:space="preserve"> glykémiu. Nestimuluje sekréciu inzulínu, preto nevyvoláva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>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Mechanizmus účinku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môže pôsobiť pomocou 3 mechanizmov:</w:t>
      </w:r>
    </w:p>
    <w:p w:rsidR="00826813" w:rsidRPr="000E1573" w:rsidRDefault="0082681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znížením produkcie glukózy v pečeni inhibíciou </w:t>
      </w:r>
      <w:proofErr w:type="spellStart"/>
      <w:r w:rsidRPr="000E1573">
        <w:rPr>
          <w:sz w:val="22"/>
          <w:szCs w:val="22"/>
        </w:rPr>
        <w:t>glukoneogenézy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glykogenolýzy</w:t>
      </w:r>
      <w:proofErr w:type="spellEnd"/>
      <w:r w:rsidRPr="000E1573">
        <w:rPr>
          <w:sz w:val="22"/>
          <w:szCs w:val="22"/>
        </w:rPr>
        <w:t>,</w:t>
      </w:r>
    </w:p>
    <w:p w:rsidR="00826813" w:rsidRPr="000E1573" w:rsidRDefault="0082681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zvýšením citlivosti na inzulín vo svaloch, zlepšením periférneho vychytávania a </w:t>
      </w:r>
      <w:proofErr w:type="spellStart"/>
      <w:r w:rsidRPr="000E1573">
        <w:rPr>
          <w:sz w:val="22"/>
          <w:szCs w:val="22"/>
        </w:rPr>
        <w:t>utilizácie</w:t>
      </w:r>
      <w:proofErr w:type="spellEnd"/>
      <w:r w:rsidRPr="000E1573">
        <w:rPr>
          <w:sz w:val="22"/>
          <w:szCs w:val="22"/>
        </w:rPr>
        <w:t xml:space="preserve"> glukózy,</w:t>
      </w:r>
    </w:p>
    <w:p w:rsidR="00826813" w:rsidRPr="000E1573" w:rsidRDefault="0082681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spomalením vstrebávania glukózy v  črevách.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stimuluje syntézu intracelulárneho glykogénu pôsobením na </w:t>
      </w:r>
      <w:proofErr w:type="spellStart"/>
      <w:r w:rsidRPr="000E1573">
        <w:rPr>
          <w:sz w:val="22"/>
          <w:szCs w:val="22"/>
        </w:rPr>
        <w:t>glykogénsyntetázu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zvyšuje transportnú kapacitu všetkých doteraz známych typov membránových prenášačov glukózy (GLUT</w:t>
      </w:r>
      <w:r w:rsidR="00655A2A">
        <w:rPr>
          <w:sz w:val="22"/>
          <w:szCs w:val="22"/>
        </w:rPr>
        <w:t xml:space="preserve">, </w:t>
      </w:r>
      <w:proofErr w:type="spellStart"/>
      <w:r w:rsidR="00655A2A">
        <w:rPr>
          <w:sz w:val="22"/>
          <w:szCs w:val="22"/>
        </w:rPr>
        <w:t>glucose</w:t>
      </w:r>
      <w:proofErr w:type="spellEnd"/>
      <w:r w:rsidR="00655A2A">
        <w:rPr>
          <w:sz w:val="22"/>
          <w:szCs w:val="22"/>
        </w:rPr>
        <w:t xml:space="preserve"> </w:t>
      </w:r>
      <w:proofErr w:type="spellStart"/>
      <w:r w:rsidR="00655A2A">
        <w:rPr>
          <w:sz w:val="22"/>
          <w:szCs w:val="22"/>
        </w:rPr>
        <w:t>transporters</w:t>
      </w:r>
      <w:proofErr w:type="spellEnd"/>
      <w:r w:rsidRPr="000E1573">
        <w:rPr>
          <w:sz w:val="22"/>
          <w:szCs w:val="22"/>
        </w:rPr>
        <w:t>).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  <w:u w:val="single"/>
        </w:rPr>
        <w:t>Farmakodynamické</w:t>
      </w:r>
      <w:proofErr w:type="spellEnd"/>
      <w:r w:rsidRPr="000E1573">
        <w:rPr>
          <w:sz w:val="22"/>
          <w:szCs w:val="22"/>
          <w:u w:val="single"/>
        </w:rPr>
        <w:t xml:space="preserve"> účinky</w:t>
      </w:r>
    </w:p>
    <w:p w:rsidR="0082681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 klinických skúšaniach je užívanie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spojené buď s udržiavaním stabilnej váhy alebo ju mierne znižuje.</w:t>
      </w:r>
    </w:p>
    <w:p w:rsidR="0082681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Nezávisle od účinku na glykémiu má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 liekovej forme s okamžitým uvoľňovaním u ľudí priaznivý vplyv na </w:t>
      </w:r>
      <w:proofErr w:type="spellStart"/>
      <w:r w:rsidRPr="000E1573">
        <w:rPr>
          <w:sz w:val="22"/>
          <w:szCs w:val="22"/>
        </w:rPr>
        <w:t>lipidový</w:t>
      </w:r>
      <w:proofErr w:type="spellEnd"/>
      <w:r w:rsidRPr="000E1573">
        <w:rPr>
          <w:sz w:val="22"/>
          <w:szCs w:val="22"/>
        </w:rPr>
        <w:t xml:space="preserve"> metabolizmus. Tento vplyv bol preukázaný pri terapeutických dávkach v kontrolovaných strednodobých alebo dlhodobých klinických skúšaniach: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 liekovej forme s okamžitým uvoľňovaním znižuje hladiny celkového cholesterolu, LDL cholesterolu a </w:t>
      </w:r>
      <w:proofErr w:type="spellStart"/>
      <w:r w:rsidRPr="000E1573">
        <w:rPr>
          <w:sz w:val="22"/>
          <w:szCs w:val="22"/>
        </w:rPr>
        <w:t>triacylglycerolov</w:t>
      </w:r>
      <w:proofErr w:type="spellEnd"/>
      <w:r w:rsidRPr="000E1573">
        <w:rPr>
          <w:sz w:val="22"/>
          <w:szCs w:val="22"/>
        </w:rPr>
        <w:t xml:space="preserve">. Podobné účinky neboli preukázané s liekovou formou s predĺženým uvoľňovaním pravdepodobne v dôsledku večerného podávania a možného výskytu zvýšených hladín </w:t>
      </w:r>
      <w:proofErr w:type="spellStart"/>
      <w:r w:rsidRPr="000E1573">
        <w:rPr>
          <w:sz w:val="22"/>
          <w:szCs w:val="22"/>
        </w:rPr>
        <w:t>triacylglycerolov</w:t>
      </w:r>
      <w:proofErr w:type="spellEnd"/>
      <w:r w:rsidRPr="000E1573">
        <w:rPr>
          <w:sz w:val="22"/>
          <w:szCs w:val="22"/>
        </w:rPr>
        <w:t xml:space="preserve">.  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6A08FF" w:rsidRDefault="00826813" w:rsidP="006A08FF">
      <w:pPr>
        <w:numPr>
          <w:ilvl w:val="0"/>
          <w:numId w:val="0"/>
        </w:numPr>
        <w:ind w:left="1942" w:hanging="1942"/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Klinická účinnosť a bezpečnosť</w:t>
      </w:r>
    </w:p>
    <w:p w:rsidR="00826813" w:rsidRPr="000E1573" w:rsidRDefault="0082681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Prospektívna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randomizovaná</w:t>
      </w:r>
      <w:proofErr w:type="spellEnd"/>
      <w:r w:rsidRPr="000E1573">
        <w:rPr>
          <w:sz w:val="22"/>
          <w:szCs w:val="22"/>
        </w:rPr>
        <w:t xml:space="preserve"> štúdia (UKPDS) potvrdila dlhodobý priaznivý vplyv intenzívnej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kontroly glykémie u dospelých pacientov s diabetom 2. typu, ktorí užívali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 liekovej forme s okamžitým uvoľňovaním ako liečbu prvej línie po zlyhaní diéty. Analýza výsledkov pacientov s nadváhou liečených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po zlyhaní diéty dokázala:</w:t>
      </w:r>
    </w:p>
    <w:p w:rsidR="00826813" w:rsidRPr="000E1573" w:rsidRDefault="0082681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diabetických komplikácií v skupine liečenej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(29,8 prípadov/1000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) oproti skupine liečenej diétou (43,3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), p = 0,0023, a oproti skupinám liečených kombináciou </w:t>
      </w:r>
      <w:proofErr w:type="spellStart"/>
      <w:r w:rsidRPr="000E1573">
        <w:rPr>
          <w:sz w:val="22"/>
          <w:szCs w:val="22"/>
        </w:rPr>
        <w:t>sulfonyl</w:t>
      </w:r>
      <w:r w:rsidR="00655A2A">
        <w:rPr>
          <w:sz w:val="22"/>
          <w:szCs w:val="22"/>
        </w:rPr>
        <w:t>močoviny</w:t>
      </w:r>
      <w:proofErr w:type="spellEnd"/>
      <w:r w:rsidRPr="000E1573">
        <w:rPr>
          <w:sz w:val="22"/>
          <w:szCs w:val="22"/>
        </w:rPr>
        <w:t xml:space="preserve"> a inzulínom v </w:t>
      </w:r>
      <w:proofErr w:type="spellStart"/>
      <w:r w:rsidRPr="000E1573">
        <w:rPr>
          <w:sz w:val="22"/>
          <w:szCs w:val="22"/>
        </w:rPr>
        <w:t>monoterapii</w:t>
      </w:r>
      <w:proofErr w:type="spellEnd"/>
      <w:r w:rsidRPr="000E1573">
        <w:rPr>
          <w:sz w:val="22"/>
          <w:szCs w:val="22"/>
        </w:rPr>
        <w:t xml:space="preserve"> (40,1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>), p = 0,0034;</w:t>
      </w:r>
    </w:p>
    <w:p w:rsidR="00826813" w:rsidRPr="000E1573" w:rsidRDefault="0082681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s diabetom súvisiacej mortality: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7,5 prípadov na 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diéta samotná 12,7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>, p = 0,017;</w:t>
      </w:r>
    </w:p>
    <w:p w:rsidR="00826813" w:rsidRPr="000E1573" w:rsidRDefault="0082681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celkovej mortality: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13,5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oproti diéte samotnej 20,6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(p=0,011) a oproti skupinám </w:t>
      </w:r>
      <w:r w:rsidR="00655A2A" w:rsidRPr="000E1573">
        <w:rPr>
          <w:sz w:val="22"/>
          <w:szCs w:val="22"/>
        </w:rPr>
        <w:t xml:space="preserve">liečených kombináciou </w:t>
      </w:r>
      <w:proofErr w:type="spellStart"/>
      <w:r w:rsidR="00655A2A" w:rsidRPr="000E1573">
        <w:rPr>
          <w:sz w:val="22"/>
          <w:szCs w:val="22"/>
        </w:rPr>
        <w:t>sulfonyl</w:t>
      </w:r>
      <w:r w:rsidR="00655A2A">
        <w:rPr>
          <w:sz w:val="22"/>
          <w:szCs w:val="22"/>
        </w:rPr>
        <w:t>močoviny</w:t>
      </w:r>
      <w:proofErr w:type="spellEnd"/>
      <w:r w:rsidR="00655A2A" w:rsidRPr="000E1573">
        <w:rPr>
          <w:sz w:val="22"/>
          <w:szCs w:val="22"/>
        </w:rPr>
        <w:t xml:space="preserve"> a inzulínom </w:t>
      </w:r>
      <w:r w:rsidRPr="000E1573">
        <w:rPr>
          <w:sz w:val="22"/>
          <w:szCs w:val="22"/>
        </w:rPr>
        <w:t>v </w:t>
      </w:r>
      <w:proofErr w:type="spellStart"/>
      <w:r w:rsidRPr="000E1573">
        <w:rPr>
          <w:sz w:val="22"/>
          <w:szCs w:val="22"/>
        </w:rPr>
        <w:t>monoterapii</w:t>
      </w:r>
      <w:proofErr w:type="spellEnd"/>
      <w:r w:rsidRPr="000E1573">
        <w:rPr>
          <w:sz w:val="22"/>
          <w:szCs w:val="22"/>
        </w:rPr>
        <w:t xml:space="preserve"> 18,9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(p=0,021);</w:t>
      </w:r>
    </w:p>
    <w:p w:rsidR="00826813" w:rsidRPr="000E1573" w:rsidRDefault="0082681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infarktu myokardu: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11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diéta samotná 18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(p=0,01).</w:t>
      </w:r>
    </w:p>
    <w:p w:rsidR="00826813" w:rsidRPr="000E1573" w:rsidRDefault="00826813" w:rsidP="000E1573">
      <w:pPr>
        <w:numPr>
          <w:ilvl w:val="0"/>
          <w:numId w:val="0"/>
        </w:numPr>
        <w:ind w:left="1942" w:hanging="1800"/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Prínos klinickej účinnosti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používaného ako liek druhej voľby v kombinácii so </w:t>
      </w:r>
      <w:proofErr w:type="spellStart"/>
      <w:r w:rsidRPr="000E1573">
        <w:rPr>
          <w:sz w:val="22"/>
          <w:szCs w:val="22"/>
        </w:rPr>
        <w:t>sulfonylureou</w:t>
      </w:r>
      <w:proofErr w:type="spellEnd"/>
      <w:r w:rsidRPr="000E1573">
        <w:rPr>
          <w:sz w:val="22"/>
          <w:szCs w:val="22"/>
        </w:rPr>
        <w:t xml:space="preserve"> nie je dokázaný.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437B35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Kombinácia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 inzulínom sa použila u vybraných pacientov s diabetom 1. typu, no klinický prínos tejto kombinácie sa formálne nepotvrdil. </w:t>
      </w:r>
    </w:p>
    <w:p w:rsidR="00826813" w:rsidRPr="00437B35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sz w:val="22"/>
          <w:szCs w:val="22"/>
        </w:rPr>
      </w:pPr>
      <w:r w:rsidRPr="000E1573">
        <w:rPr>
          <w:b/>
          <w:bCs/>
          <w:sz w:val="22"/>
          <w:szCs w:val="22"/>
        </w:rPr>
        <w:t>5.2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Farmakokinetické</w:t>
      </w:r>
      <w:proofErr w:type="spellEnd"/>
      <w:r w:rsidRPr="000E1573">
        <w:rPr>
          <w:b/>
          <w:bCs/>
          <w:sz w:val="22"/>
          <w:szCs w:val="22"/>
        </w:rPr>
        <w:t xml:space="preserve"> vlastnosti</w:t>
      </w:r>
    </w:p>
    <w:p w:rsidR="00826813" w:rsidRPr="00A1608A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Absorpcia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 perorálnej dávke tablety s predĺženým uvoľňovaním je absorpcia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významne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spomalená v porovnaní s tab</w:t>
      </w:r>
      <w:r>
        <w:rPr>
          <w:sz w:val="22"/>
          <w:szCs w:val="22"/>
        </w:rPr>
        <w:t xml:space="preserve">letou s okamžitým uvoľňovaním, </w:t>
      </w:r>
      <w:proofErr w:type="spellStart"/>
      <w:r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sa dosiahne v priebehu 7 hodín (</w:t>
      </w:r>
      <w:proofErr w:type="spellStart"/>
      <w:r w:rsidRPr="000E1573"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pre tabletu s okamžitým uvoľňovaním je 2,5 hod.).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 xml:space="preserve">V rovnovážnom stave, rovnako ako u tabliet s okamžitým uvoľňovaním, 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a AUC nestúpajú  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proporcionálne s podanou dávkou. AUC po jednorazovom podaní 2000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predĺženým uvoľňovaním je podobné AUC pozorovanému po podaní 1000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okamžitým uvoľňovaním.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Intraindividuálna</w:t>
      </w:r>
      <w:proofErr w:type="spellEnd"/>
      <w:r w:rsidRPr="000E1573">
        <w:rPr>
          <w:sz w:val="22"/>
          <w:szCs w:val="22"/>
        </w:rPr>
        <w:t xml:space="preserve"> variabilita 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a AUC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predĺženým uvoľňovaním je porovnateľná s 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a AUC pozorovanými pri tabletách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okamžitým uvoľňovaním.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Ak sa tablety s predĺženým uvoľňovaním podávajú nalačno, AUC sa zníži o 30 % (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a </w:t>
      </w:r>
      <w:proofErr w:type="spellStart"/>
      <w:r w:rsidRPr="000E1573"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zostanú nezmenené).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Priemerná absorpcia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predĺženým uvoľňovaním nie je takmer ovplyvnená zložením potravy.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 opakovanom podávaní až do 2000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predĺženým uvoľňovaním sa nepozorovala jeho akumulácia.</w:t>
      </w:r>
    </w:p>
    <w:p w:rsidR="0082681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CA298C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CA298C">
        <w:rPr>
          <w:sz w:val="22"/>
          <w:szCs w:val="22"/>
        </w:rPr>
        <w:t xml:space="preserve">Pri podaní 1000 mg tablety </w:t>
      </w:r>
      <w:proofErr w:type="spellStart"/>
      <w:r w:rsidRPr="00CA298C">
        <w:rPr>
          <w:sz w:val="22"/>
          <w:szCs w:val="22"/>
        </w:rPr>
        <w:t>metformínu</w:t>
      </w:r>
      <w:proofErr w:type="spellEnd"/>
      <w:r w:rsidRPr="00CA298C">
        <w:rPr>
          <w:sz w:val="22"/>
          <w:szCs w:val="22"/>
        </w:rPr>
        <w:t xml:space="preserve"> s predĺženým uvoľňovaním po jedle sa AUC zvýšila o 77 % 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CA298C">
        <w:rPr>
          <w:sz w:val="22"/>
          <w:szCs w:val="22"/>
        </w:rPr>
        <w:t>(</w:t>
      </w:r>
      <w:proofErr w:type="spellStart"/>
      <w:r w:rsidRPr="00CA298C">
        <w:rPr>
          <w:sz w:val="22"/>
          <w:szCs w:val="22"/>
        </w:rPr>
        <w:t>C</w:t>
      </w:r>
      <w:r w:rsidRPr="00CA298C">
        <w:rPr>
          <w:sz w:val="22"/>
          <w:szCs w:val="22"/>
          <w:vertAlign w:val="subscript"/>
        </w:rPr>
        <w:t>max</w:t>
      </w:r>
      <w:proofErr w:type="spellEnd"/>
      <w:r w:rsidRPr="00CA298C">
        <w:rPr>
          <w:sz w:val="22"/>
          <w:szCs w:val="22"/>
        </w:rPr>
        <w:t xml:space="preserve"> sa zvýšila o 26 % a </w:t>
      </w:r>
      <w:proofErr w:type="spellStart"/>
      <w:r w:rsidRPr="00CA298C">
        <w:rPr>
          <w:sz w:val="22"/>
          <w:szCs w:val="22"/>
        </w:rPr>
        <w:t>t</w:t>
      </w:r>
      <w:r w:rsidRPr="00CA298C">
        <w:rPr>
          <w:sz w:val="22"/>
          <w:szCs w:val="22"/>
          <w:vertAlign w:val="subscript"/>
        </w:rPr>
        <w:t>max</w:t>
      </w:r>
      <w:proofErr w:type="spellEnd"/>
      <w:r w:rsidRPr="00CA298C">
        <w:rPr>
          <w:sz w:val="22"/>
          <w:szCs w:val="22"/>
        </w:rPr>
        <w:t xml:space="preserve"> sa mierne predĺžila asi o 1 hodinu).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CA298C">
        <w:rPr>
          <w:sz w:val="22"/>
          <w:szCs w:val="22"/>
        </w:rPr>
        <w:t xml:space="preserve">Po jednorazovom perorálnom podaní jednej 1000 mg tablety </w:t>
      </w:r>
      <w:proofErr w:type="spellStart"/>
      <w:r w:rsidRPr="00CA298C">
        <w:rPr>
          <w:sz w:val="22"/>
          <w:szCs w:val="22"/>
        </w:rPr>
        <w:t>metformínu</w:t>
      </w:r>
      <w:proofErr w:type="spellEnd"/>
      <w:r w:rsidRPr="00CA298C">
        <w:rPr>
          <w:sz w:val="22"/>
          <w:szCs w:val="22"/>
        </w:rPr>
        <w:t xml:space="preserve"> s predĺženým uvoľňovaním po jedle sa dosiahla maximálna plazmatická koncentrácia 1214 </w:t>
      </w:r>
      <w:proofErr w:type="spellStart"/>
      <w:r w:rsidRPr="00CA298C">
        <w:rPr>
          <w:sz w:val="22"/>
          <w:szCs w:val="22"/>
        </w:rPr>
        <w:t>ng</w:t>
      </w:r>
      <w:proofErr w:type="spellEnd"/>
      <w:r w:rsidRPr="00CA298C">
        <w:rPr>
          <w:sz w:val="22"/>
          <w:szCs w:val="22"/>
        </w:rPr>
        <w:t>/ml s priemerným časom 5 hodín (s intervalom 4 až 10 hodín).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1000 mg tablety s predĺženým uvoľňovaním sú </w:t>
      </w:r>
      <w:proofErr w:type="spellStart"/>
      <w:r w:rsidRPr="000E1573">
        <w:rPr>
          <w:sz w:val="22"/>
          <w:szCs w:val="22"/>
        </w:rPr>
        <w:t>bioekvivalentné</w:t>
      </w:r>
      <w:proofErr w:type="spellEnd"/>
      <w:r w:rsidRPr="000E1573">
        <w:rPr>
          <w:sz w:val="22"/>
          <w:szCs w:val="22"/>
        </w:rPr>
        <w:t xml:space="preserve"> tabletám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500 mg s predĺženým uvoľňovaním v dávke 1000 mg vzhľadom</w:t>
      </w:r>
      <w:r w:rsidRPr="000E1573" w:rsidDel="0078059D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na 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a AUC pri podávaní zdravým dobrovoľníkom po jedle a nalačno.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Distribúcia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A1608A">
        <w:rPr>
          <w:sz w:val="22"/>
          <w:szCs w:val="22"/>
        </w:rPr>
        <w:t xml:space="preserve">Väzba na plazmatické bielkoviny je zanedbateľná. </w:t>
      </w:r>
      <w:proofErr w:type="spellStart"/>
      <w:r w:rsidRPr="00A1608A">
        <w:rPr>
          <w:sz w:val="22"/>
          <w:szCs w:val="22"/>
        </w:rPr>
        <w:t>Metformín</w:t>
      </w:r>
      <w:proofErr w:type="spellEnd"/>
      <w:r w:rsidRPr="00A1608A">
        <w:rPr>
          <w:sz w:val="22"/>
          <w:szCs w:val="22"/>
        </w:rPr>
        <w:t xml:space="preserve"> prechádza do erytrocytov. Maximálna koncentrácia v krvi je nižšia ako maximálna koncentrácia v plazme a dosahujú sa v približne rovnakom</w:t>
      </w:r>
      <w:r w:rsidRPr="000E1573">
        <w:rPr>
          <w:sz w:val="22"/>
          <w:szCs w:val="22"/>
        </w:rPr>
        <w:t xml:space="preserve"> čase. Erytrocyty predstavujú s najväčšou pravdepodobnosťou sekundárny </w:t>
      </w:r>
      <w:proofErr w:type="spellStart"/>
      <w:r w:rsidRPr="000E1573">
        <w:rPr>
          <w:sz w:val="22"/>
          <w:szCs w:val="22"/>
        </w:rPr>
        <w:t>kompartment</w:t>
      </w:r>
      <w:proofErr w:type="spellEnd"/>
      <w:r w:rsidRPr="000E1573">
        <w:rPr>
          <w:sz w:val="22"/>
          <w:szCs w:val="22"/>
        </w:rPr>
        <w:t xml:space="preserve"> distribúcie. Priemerný distribučný objem </w:t>
      </w:r>
      <w:proofErr w:type="spellStart"/>
      <w:r w:rsidRPr="000E1573">
        <w:rPr>
          <w:sz w:val="22"/>
          <w:szCs w:val="22"/>
        </w:rPr>
        <w:t>V</w:t>
      </w:r>
      <w:r w:rsidRPr="00437B35">
        <w:rPr>
          <w:sz w:val="22"/>
          <w:szCs w:val="22"/>
        </w:rPr>
        <w:t>d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sa pohyboval od 63 do 276 l.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Biotransformácia</w:t>
      </w:r>
      <w:proofErr w:type="spellEnd"/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v nezmenenej forme močom. U člove</w:t>
      </w:r>
      <w:r>
        <w:rPr>
          <w:sz w:val="22"/>
          <w:szCs w:val="22"/>
        </w:rPr>
        <w:t xml:space="preserve">ka neboli identifikované žiadne </w:t>
      </w:r>
      <w:proofErr w:type="spellStart"/>
      <w:r w:rsidRPr="000E1573">
        <w:rPr>
          <w:sz w:val="22"/>
          <w:szCs w:val="22"/>
        </w:rPr>
        <w:t>metabolity</w:t>
      </w:r>
      <w:proofErr w:type="spellEnd"/>
      <w:r w:rsidRPr="000E1573">
        <w:rPr>
          <w:sz w:val="22"/>
          <w:szCs w:val="22"/>
        </w:rPr>
        <w:t>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A1608A" w:rsidRDefault="0082681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r w:rsidRPr="00A1608A">
        <w:rPr>
          <w:sz w:val="22"/>
          <w:szCs w:val="22"/>
          <w:u w:val="single"/>
        </w:rPr>
        <w:t>Eliminácia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Renálny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klírens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je </w:t>
      </w:r>
      <w:r w:rsidRPr="000E1573">
        <w:rPr>
          <w:sz w:val="22"/>
          <w:szCs w:val="22"/>
        </w:rPr>
        <w:sym w:font="Symbol" w:char="F03E"/>
      </w:r>
      <w:r w:rsidRPr="000E1573">
        <w:rPr>
          <w:sz w:val="22"/>
          <w:szCs w:val="22"/>
        </w:rPr>
        <w:t xml:space="preserve"> 400 ml/min, čo naznačuje, že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</w:t>
      </w:r>
      <w:proofErr w:type="spellStart"/>
      <w:r w:rsidRPr="000E1573">
        <w:rPr>
          <w:sz w:val="22"/>
          <w:szCs w:val="22"/>
        </w:rPr>
        <w:t>glomerulárnou</w:t>
      </w:r>
      <w:proofErr w:type="spellEnd"/>
      <w:r w:rsidRPr="000E1573">
        <w:rPr>
          <w:sz w:val="22"/>
          <w:szCs w:val="22"/>
        </w:rPr>
        <w:t xml:space="preserve"> filtráciou a </w:t>
      </w:r>
      <w:proofErr w:type="spellStart"/>
      <w:r w:rsidRPr="000E1573">
        <w:rPr>
          <w:sz w:val="22"/>
          <w:szCs w:val="22"/>
        </w:rPr>
        <w:t>tubulárnou</w:t>
      </w:r>
      <w:proofErr w:type="spellEnd"/>
      <w:r w:rsidRPr="000E1573">
        <w:rPr>
          <w:sz w:val="22"/>
          <w:szCs w:val="22"/>
        </w:rPr>
        <w:t xml:space="preserve"> sekréciou. Ukazuje sa, že po perorálnom podaní je zdanlivý eliminačný polčas približne 6,5 hodiny. 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Pri poruche funkcie obličiek je </w:t>
      </w:r>
      <w:proofErr w:type="spellStart"/>
      <w:r w:rsidRPr="000E1573">
        <w:rPr>
          <w:sz w:val="22"/>
          <w:szCs w:val="22"/>
        </w:rPr>
        <w:t>renálny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klírens</w:t>
      </w:r>
      <w:proofErr w:type="spellEnd"/>
      <w:r w:rsidRPr="000E1573">
        <w:rPr>
          <w:sz w:val="22"/>
          <w:szCs w:val="22"/>
        </w:rPr>
        <w:t xml:space="preserve"> znížený v porov</w:t>
      </w:r>
      <w:r>
        <w:rPr>
          <w:sz w:val="22"/>
          <w:szCs w:val="22"/>
        </w:rPr>
        <w:t xml:space="preserve">naní s </w:t>
      </w:r>
      <w:proofErr w:type="spellStart"/>
      <w:r>
        <w:rPr>
          <w:sz w:val="22"/>
          <w:szCs w:val="22"/>
        </w:rPr>
        <w:t>kreatinínom</w:t>
      </w:r>
      <w:proofErr w:type="spellEnd"/>
      <w:r>
        <w:rPr>
          <w:sz w:val="22"/>
          <w:szCs w:val="22"/>
        </w:rPr>
        <w:t xml:space="preserve">, a preto je </w:t>
      </w:r>
      <w:r w:rsidRPr="000E1573">
        <w:rPr>
          <w:sz w:val="22"/>
          <w:szCs w:val="22"/>
        </w:rPr>
        <w:t xml:space="preserve">eliminačný polčas predĺžený, čo vedie k zvýšeným hladinám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 plazme.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Charakteristiky v špecifických skupinách pacientov</w:t>
      </w:r>
    </w:p>
    <w:p w:rsidR="00826813" w:rsidRPr="000E1573" w:rsidRDefault="00735B8B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Porucha funkcie</w:t>
      </w:r>
      <w:r w:rsidRPr="000E1573">
        <w:rPr>
          <w:i/>
          <w:iCs/>
          <w:sz w:val="22"/>
          <w:szCs w:val="22"/>
        </w:rPr>
        <w:t xml:space="preserve"> </w:t>
      </w:r>
      <w:r w:rsidR="00826813" w:rsidRPr="000E1573">
        <w:rPr>
          <w:i/>
          <w:iCs/>
          <w:sz w:val="22"/>
          <w:szCs w:val="22"/>
        </w:rPr>
        <w:t>obličiek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Dostupné údaje týkajúce sa pacientov s miernou </w:t>
      </w:r>
      <w:proofErr w:type="spellStart"/>
      <w:r w:rsidRPr="000E1573">
        <w:rPr>
          <w:sz w:val="22"/>
          <w:szCs w:val="22"/>
        </w:rPr>
        <w:t>renálnou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insuficienciou</w:t>
      </w:r>
      <w:proofErr w:type="spellEnd"/>
      <w:r w:rsidRPr="000E1573">
        <w:rPr>
          <w:sz w:val="22"/>
          <w:szCs w:val="22"/>
        </w:rPr>
        <w:t xml:space="preserve"> sú nedostatočné a v tejto podskupine sa nedá spoľahlivo určiť systémov</w:t>
      </w:r>
      <w:r w:rsidR="00735B8B">
        <w:rPr>
          <w:sz w:val="22"/>
          <w:szCs w:val="22"/>
        </w:rPr>
        <w:t>á</w:t>
      </w:r>
      <w:r w:rsidRPr="000E1573">
        <w:rPr>
          <w:sz w:val="22"/>
          <w:szCs w:val="22"/>
        </w:rPr>
        <w:t xml:space="preserve"> expozíci</w:t>
      </w:r>
      <w:r w:rsidR="00735B8B">
        <w:rPr>
          <w:sz w:val="22"/>
          <w:szCs w:val="22"/>
        </w:rPr>
        <w:t>a</w:t>
      </w:r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na rozdiel od subjektov s normálnymi </w:t>
      </w:r>
      <w:proofErr w:type="spellStart"/>
      <w:r w:rsidRPr="000E1573">
        <w:rPr>
          <w:sz w:val="22"/>
          <w:szCs w:val="22"/>
        </w:rPr>
        <w:t>renálnymi</w:t>
      </w:r>
      <w:proofErr w:type="spellEnd"/>
      <w:r w:rsidRPr="000E1573">
        <w:rPr>
          <w:sz w:val="22"/>
          <w:szCs w:val="22"/>
        </w:rPr>
        <w:t xml:space="preserve"> funkciami. Preto je treba prispôsobiť dávkovanie s prihliadnutím na klinickú účinnosť/znášanlivosť (pozri časť 4.2).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5.3</w:t>
      </w:r>
      <w:r w:rsidRPr="000E1573">
        <w:rPr>
          <w:b/>
          <w:bCs/>
          <w:sz w:val="22"/>
          <w:szCs w:val="22"/>
        </w:rPr>
        <w:tab/>
        <w:t>Predklinické údaje o</w:t>
      </w:r>
      <w:r>
        <w:rPr>
          <w:b/>
          <w:bCs/>
          <w:sz w:val="22"/>
          <w:szCs w:val="22"/>
        </w:rPr>
        <w:t> </w:t>
      </w:r>
      <w:r w:rsidRPr="000E1573">
        <w:rPr>
          <w:b/>
          <w:bCs/>
          <w:sz w:val="22"/>
          <w:szCs w:val="22"/>
        </w:rPr>
        <w:t>bezpečnosti</w:t>
      </w:r>
    </w:p>
    <w:p w:rsidR="00826813" w:rsidRPr="00A1608A" w:rsidRDefault="00826813" w:rsidP="00A1608A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Predklinické údaje na základe obvyklých farmakologických štúdií  bezpečnosti, toxicity po opakovanom podávaní, </w:t>
      </w:r>
      <w:proofErr w:type="spellStart"/>
      <w:r w:rsidRPr="000E1573">
        <w:rPr>
          <w:sz w:val="22"/>
          <w:szCs w:val="22"/>
        </w:rPr>
        <w:t>genotoxicity</w:t>
      </w:r>
      <w:proofErr w:type="spellEnd"/>
      <w:r w:rsidRPr="000E1573">
        <w:rPr>
          <w:sz w:val="22"/>
          <w:szCs w:val="22"/>
        </w:rPr>
        <w:t>, karcinogénneho potenciálu a reprodukčnej toxicity neodhalili žiadne osobitné riziko pre ľudí.</w:t>
      </w:r>
    </w:p>
    <w:p w:rsidR="00826813" w:rsidRPr="00437B35" w:rsidRDefault="0082681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437B35">
        <w:rPr>
          <w:b/>
          <w:bCs/>
          <w:sz w:val="22"/>
          <w:szCs w:val="22"/>
        </w:rPr>
        <w:lastRenderedPageBreak/>
        <w:t>6.</w:t>
      </w:r>
      <w:r w:rsidRPr="00437B35">
        <w:rPr>
          <w:b/>
          <w:bCs/>
          <w:sz w:val="22"/>
          <w:szCs w:val="22"/>
        </w:rPr>
        <w:tab/>
        <w:t xml:space="preserve">FARMACEUTICKÉ INFORMÁCIE 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6.1</w:t>
      </w:r>
      <w:r w:rsidRPr="000E1573">
        <w:rPr>
          <w:b/>
          <w:bCs/>
          <w:sz w:val="22"/>
          <w:szCs w:val="22"/>
        </w:rPr>
        <w:tab/>
        <w:t>Zoznam pomocných látok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Obsah tablety: kyselina </w:t>
      </w:r>
      <w:proofErr w:type="spellStart"/>
      <w:r>
        <w:rPr>
          <w:sz w:val="22"/>
          <w:szCs w:val="22"/>
        </w:rPr>
        <w:t>steárová</w:t>
      </w:r>
      <w:proofErr w:type="spellEnd"/>
      <w:r>
        <w:rPr>
          <w:sz w:val="22"/>
          <w:szCs w:val="22"/>
        </w:rPr>
        <w:t xml:space="preserve"> (70), šelak (bielený), </w:t>
      </w:r>
      <w:proofErr w:type="spellStart"/>
      <w:r>
        <w:rPr>
          <w:sz w:val="22"/>
          <w:szCs w:val="22"/>
        </w:rPr>
        <w:t>povidón</w:t>
      </w:r>
      <w:proofErr w:type="spellEnd"/>
      <w:r>
        <w:rPr>
          <w:sz w:val="22"/>
          <w:szCs w:val="22"/>
        </w:rPr>
        <w:t xml:space="preserve"> (K30), </w:t>
      </w:r>
      <w:r w:rsidRPr="000E1573">
        <w:rPr>
          <w:sz w:val="22"/>
          <w:szCs w:val="22"/>
        </w:rPr>
        <w:t>oxid kremičitý, koloidný bezvodý</w:t>
      </w:r>
      <w:r>
        <w:rPr>
          <w:sz w:val="22"/>
          <w:szCs w:val="22"/>
        </w:rPr>
        <w:t xml:space="preserve">, </w:t>
      </w:r>
      <w:proofErr w:type="spellStart"/>
      <w:r w:rsidRPr="000E1573">
        <w:rPr>
          <w:sz w:val="22"/>
          <w:szCs w:val="22"/>
        </w:rPr>
        <w:t>stearát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>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Obal tablety: </w:t>
      </w:r>
      <w:proofErr w:type="spellStart"/>
      <w:r w:rsidRPr="000E1573">
        <w:rPr>
          <w:sz w:val="22"/>
          <w:szCs w:val="22"/>
        </w:rPr>
        <w:t>hypromelóza</w:t>
      </w:r>
      <w:proofErr w:type="spellEnd"/>
      <w:r>
        <w:rPr>
          <w:sz w:val="22"/>
          <w:szCs w:val="22"/>
        </w:rPr>
        <w:t xml:space="preserve"> (E15), </w:t>
      </w:r>
      <w:proofErr w:type="spellStart"/>
      <w:r>
        <w:rPr>
          <w:sz w:val="22"/>
          <w:szCs w:val="22"/>
        </w:rPr>
        <w:t>hydroxypropyl</w:t>
      </w:r>
      <w:proofErr w:type="spellEnd"/>
      <w:r>
        <w:rPr>
          <w:sz w:val="22"/>
          <w:szCs w:val="22"/>
        </w:rPr>
        <w:t xml:space="preserve"> celulóza, 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propylén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glykol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makrogol</w:t>
      </w:r>
      <w:proofErr w:type="spellEnd"/>
      <w:r>
        <w:rPr>
          <w:sz w:val="22"/>
          <w:szCs w:val="22"/>
        </w:rPr>
        <w:t xml:space="preserve"> 6000 a mastenec.</w:t>
      </w: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6.2</w:t>
      </w:r>
      <w:r w:rsidRPr="000E1573">
        <w:rPr>
          <w:b/>
          <w:bCs/>
          <w:sz w:val="22"/>
          <w:szCs w:val="22"/>
        </w:rPr>
        <w:tab/>
        <w:t>Inkompatibility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Neaplikovateľné.</w:t>
      </w:r>
    </w:p>
    <w:p w:rsidR="00826813" w:rsidRPr="00437B35" w:rsidRDefault="00826813" w:rsidP="00437B35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6.3</w:t>
      </w:r>
      <w:r w:rsidRPr="000E1573">
        <w:rPr>
          <w:b/>
          <w:bCs/>
          <w:sz w:val="22"/>
          <w:szCs w:val="22"/>
        </w:rPr>
        <w:tab/>
        <w:t>Čas použiteľnosti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3 roky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67599F" w:rsidRDefault="00826813" w:rsidP="004A5EE0">
      <w:pPr>
        <w:numPr>
          <w:ilvl w:val="0"/>
          <w:numId w:val="0"/>
        </w:numPr>
        <w:outlineLvl w:val="1"/>
        <w:rPr>
          <w:sz w:val="22"/>
          <w:szCs w:val="22"/>
        </w:rPr>
      </w:pPr>
      <w:r w:rsidRPr="0067599F">
        <w:rPr>
          <w:b/>
          <w:bCs/>
          <w:sz w:val="22"/>
          <w:szCs w:val="22"/>
        </w:rPr>
        <w:t>6.4</w:t>
      </w:r>
      <w:r w:rsidRPr="0067599F">
        <w:rPr>
          <w:b/>
          <w:bCs/>
          <w:sz w:val="22"/>
          <w:szCs w:val="22"/>
        </w:rPr>
        <w:tab/>
        <w:t>Špeciálne upozornenia na uchovávanie</w:t>
      </w:r>
    </w:p>
    <w:p w:rsidR="00826813" w:rsidRPr="000E1573" w:rsidRDefault="00826813" w:rsidP="0067599F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Tento liek nevyžaduje žiadne zvláštne podmienky na uchovávanie. 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6.5</w:t>
      </w:r>
      <w:r w:rsidRPr="000E1573">
        <w:rPr>
          <w:b/>
          <w:bCs/>
          <w:sz w:val="22"/>
          <w:szCs w:val="22"/>
        </w:rPr>
        <w:tab/>
        <w:t>Druh obalu a obsah balenia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735B8B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 w:rsidRPr="000E1573">
        <w:rPr>
          <w:sz w:val="22"/>
          <w:szCs w:val="22"/>
        </w:rPr>
        <w:t xml:space="preserve"> 1000 mg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tablety s predĺženým uvoľňovaním</w:t>
      </w:r>
      <w:r>
        <w:rPr>
          <w:sz w:val="22"/>
          <w:szCs w:val="22"/>
        </w:rPr>
        <w:t xml:space="preserve"> </w:t>
      </w:r>
      <w:r w:rsidR="00826813">
        <w:rPr>
          <w:sz w:val="22"/>
          <w:szCs w:val="22"/>
        </w:rPr>
        <w:t>sú balené</w:t>
      </w:r>
      <w:r w:rsidR="00CA298C">
        <w:rPr>
          <w:sz w:val="22"/>
          <w:szCs w:val="22"/>
        </w:rPr>
        <w:t xml:space="preserve"> v </w:t>
      </w:r>
      <w:r w:rsidR="00826813" w:rsidRPr="000E1573">
        <w:rPr>
          <w:sz w:val="22"/>
          <w:szCs w:val="22"/>
        </w:rPr>
        <w:t>PVC</w:t>
      </w:r>
      <w:r w:rsidR="00826813">
        <w:rPr>
          <w:sz w:val="22"/>
          <w:szCs w:val="22"/>
        </w:rPr>
        <w:t xml:space="preserve">/PVDC - </w:t>
      </w:r>
      <w:r>
        <w:rPr>
          <w:sz w:val="22"/>
          <w:szCs w:val="22"/>
        </w:rPr>
        <w:t xml:space="preserve">ALU </w:t>
      </w:r>
      <w:proofErr w:type="spellStart"/>
      <w:r w:rsidR="00826813">
        <w:rPr>
          <w:sz w:val="22"/>
          <w:szCs w:val="22"/>
        </w:rPr>
        <w:t>blistroch</w:t>
      </w:r>
      <w:proofErr w:type="spellEnd"/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Veľkosť balenia: </w:t>
      </w:r>
      <w:r w:rsidRPr="00F8680F">
        <w:rPr>
          <w:sz w:val="22"/>
          <w:szCs w:val="22"/>
        </w:rPr>
        <w:t>14, 20, 28, 30, 50, 56, 6</w:t>
      </w:r>
      <w:r>
        <w:rPr>
          <w:sz w:val="22"/>
          <w:szCs w:val="22"/>
        </w:rPr>
        <w:t>0, 84, 90, 100, 112, 120, 180 a </w:t>
      </w:r>
      <w:r w:rsidRPr="00F8680F">
        <w:rPr>
          <w:sz w:val="22"/>
          <w:szCs w:val="22"/>
        </w:rPr>
        <w:t>600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tabliet</w:t>
      </w:r>
    </w:p>
    <w:p w:rsidR="00826813" w:rsidRPr="000E1573" w:rsidRDefault="00826813" w:rsidP="000E1573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67599F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trh nemusia byť uvedené všetky veľkosti balenia.   </w:t>
      </w:r>
    </w:p>
    <w:p w:rsidR="00826813" w:rsidRPr="000E1573" w:rsidRDefault="00826813" w:rsidP="0067599F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6.6</w:t>
      </w:r>
      <w:r w:rsidRPr="000E1573">
        <w:rPr>
          <w:b/>
          <w:bCs/>
          <w:sz w:val="22"/>
          <w:szCs w:val="22"/>
        </w:rPr>
        <w:tab/>
        <w:t>Špeciálne opatrenia na likvidáciu a iné zaobchádzanie s liekom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67599F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Žiadne zvláštne požiadavky. Všetok nepoužitý liek alebo odpad vzniknutý z lieku sa má zlikvidovať v súlade s národnými požiadavkami.</w:t>
      </w:r>
    </w:p>
    <w:p w:rsidR="00826813" w:rsidRPr="000E1573" w:rsidRDefault="00826813" w:rsidP="0067599F">
      <w:pPr>
        <w:numPr>
          <w:ilvl w:val="0"/>
          <w:numId w:val="0"/>
        </w:numPr>
        <w:rPr>
          <w:sz w:val="22"/>
          <w:szCs w:val="22"/>
        </w:rPr>
      </w:pP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7.</w:t>
      </w:r>
      <w:r w:rsidRPr="000E1573">
        <w:rPr>
          <w:b/>
          <w:bCs/>
          <w:sz w:val="22"/>
          <w:szCs w:val="22"/>
        </w:rPr>
        <w:tab/>
        <w:t>DRŽITEĽ ROZHODNUTIA O REGISTRÁCII</w:t>
      </w:r>
    </w:p>
    <w:p w:rsidR="00826813" w:rsidRDefault="00826813" w:rsidP="000E1573">
      <w:pPr>
        <w:pStyle w:val="Zkladntext"/>
        <w:rPr>
          <w:sz w:val="22"/>
          <w:szCs w:val="22"/>
        </w:rPr>
      </w:pPr>
    </w:p>
    <w:p w:rsidR="007662B0" w:rsidRPr="00F1587A" w:rsidRDefault="007662B0" w:rsidP="007662B0">
      <w:pPr>
        <w:pStyle w:val="Zkladntext"/>
        <w:rPr>
          <w:sz w:val="22"/>
          <w:szCs w:val="22"/>
        </w:rPr>
      </w:pPr>
      <w:proofErr w:type="spellStart"/>
      <w:r w:rsidRPr="00F1587A">
        <w:rPr>
          <w:sz w:val="22"/>
          <w:szCs w:val="22"/>
        </w:rPr>
        <w:t>Zentiva</w:t>
      </w:r>
      <w:proofErr w:type="spellEnd"/>
      <w:r w:rsidRPr="00F1587A">
        <w:rPr>
          <w:sz w:val="22"/>
          <w:szCs w:val="22"/>
        </w:rPr>
        <w:t xml:space="preserve">, </w:t>
      </w:r>
      <w:proofErr w:type="spellStart"/>
      <w:r w:rsidRPr="00F1587A">
        <w:rPr>
          <w:sz w:val="22"/>
          <w:szCs w:val="22"/>
        </w:rPr>
        <w:t>k.s</w:t>
      </w:r>
      <w:proofErr w:type="spellEnd"/>
      <w:r w:rsidRPr="00F1587A">
        <w:rPr>
          <w:sz w:val="22"/>
          <w:szCs w:val="22"/>
        </w:rPr>
        <w:t xml:space="preserve">. </w:t>
      </w:r>
    </w:p>
    <w:p w:rsidR="007662B0" w:rsidRPr="00F1587A" w:rsidRDefault="007662B0" w:rsidP="007662B0">
      <w:pPr>
        <w:pStyle w:val="Zkladntext"/>
        <w:rPr>
          <w:sz w:val="22"/>
          <w:szCs w:val="22"/>
        </w:rPr>
      </w:pPr>
      <w:r w:rsidRPr="00F1587A">
        <w:rPr>
          <w:sz w:val="22"/>
          <w:szCs w:val="22"/>
        </w:rPr>
        <w:t xml:space="preserve">U </w:t>
      </w:r>
      <w:proofErr w:type="spellStart"/>
      <w:r w:rsidRPr="00F1587A">
        <w:rPr>
          <w:sz w:val="22"/>
          <w:szCs w:val="22"/>
        </w:rPr>
        <w:t>kabelovny</w:t>
      </w:r>
      <w:proofErr w:type="spellEnd"/>
      <w:r w:rsidRPr="00F1587A">
        <w:rPr>
          <w:sz w:val="22"/>
          <w:szCs w:val="22"/>
        </w:rPr>
        <w:t xml:space="preserve"> 130</w:t>
      </w:r>
    </w:p>
    <w:p w:rsidR="007662B0" w:rsidRPr="00F1587A" w:rsidRDefault="007662B0" w:rsidP="007662B0">
      <w:pPr>
        <w:pStyle w:val="Zkladntext"/>
        <w:rPr>
          <w:sz w:val="22"/>
          <w:szCs w:val="22"/>
        </w:rPr>
      </w:pPr>
      <w:r w:rsidRPr="00F1587A">
        <w:rPr>
          <w:sz w:val="22"/>
          <w:szCs w:val="22"/>
        </w:rPr>
        <w:t xml:space="preserve">102 37 Praha 10 - Dolní </w:t>
      </w:r>
      <w:proofErr w:type="spellStart"/>
      <w:r w:rsidRPr="00F1587A">
        <w:rPr>
          <w:sz w:val="22"/>
          <w:szCs w:val="22"/>
        </w:rPr>
        <w:t>Měcholupy</w:t>
      </w:r>
      <w:proofErr w:type="spellEnd"/>
    </w:p>
    <w:p w:rsidR="007662B0" w:rsidRPr="000E1573" w:rsidRDefault="007662B0" w:rsidP="007662B0">
      <w:pPr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F1587A">
        <w:rPr>
          <w:sz w:val="22"/>
          <w:szCs w:val="22"/>
        </w:rPr>
        <w:t>Česká republika</w:t>
      </w:r>
    </w:p>
    <w:p w:rsidR="007662B0" w:rsidRDefault="007662B0" w:rsidP="007662B0">
      <w:pPr>
        <w:pStyle w:val="Zkladntext"/>
        <w:rPr>
          <w:sz w:val="22"/>
          <w:szCs w:val="22"/>
        </w:rPr>
      </w:pP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8.</w:t>
      </w:r>
      <w:r w:rsidRPr="000E1573">
        <w:rPr>
          <w:b/>
          <w:bCs/>
          <w:sz w:val="22"/>
          <w:szCs w:val="22"/>
        </w:rPr>
        <w:tab/>
        <w:t>REGISTRAČNÉ ČÍSLO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826813" w:rsidRDefault="00FD175A" w:rsidP="000E1573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18/0227</w:t>
      </w:r>
      <w:r w:rsidRPr="00FD175A">
        <w:rPr>
          <w:sz w:val="22"/>
          <w:szCs w:val="22"/>
        </w:rPr>
        <w:t>/20-S</w:t>
      </w:r>
    </w:p>
    <w:p w:rsidR="00735B8B" w:rsidRPr="000E1573" w:rsidRDefault="00735B8B" w:rsidP="000E1573">
      <w:pPr>
        <w:pStyle w:val="Zkladntext"/>
        <w:rPr>
          <w:sz w:val="22"/>
          <w:szCs w:val="22"/>
        </w:rPr>
      </w:pP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9.</w:t>
      </w:r>
      <w:r w:rsidRPr="000E1573">
        <w:rPr>
          <w:b/>
          <w:bCs/>
          <w:sz w:val="22"/>
          <w:szCs w:val="22"/>
        </w:rPr>
        <w:tab/>
        <w:t>DÁTUM PRVEJ REGISTRÁCIE/PREDĹŽENIE REGISTRÁCIE</w:t>
      </w:r>
    </w:p>
    <w:p w:rsidR="00826813" w:rsidRPr="000E1573" w:rsidRDefault="00826813" w:rsidP="000E1573">
      <w:pPr>
        <w:pStyle w:val="Zkladntext"/>
        <w:rPr>
          <w:sz w:val="22"/>
          <w:szCs w:val="22"/>
        </w:rPr>
      </w:pPr>
    </w:p>
    <w:p w:rsidR="007662B0" w:rsidRDefault="007662B0" w:rsidP="007662B0">
      <w:pPr>
        <w:pStyle w:val="Zkladntext"/>
        <w:rPr>
          <w:sz w:val="22"/>
          <w:szCs w:val="22"/>
        </w:rPr>
      </w:pPr>
      <w:r w:rsidRPr="00CA258E">
        <w:rPr>
          <w:sz w:val="22"/>
          <w:szCs w:val="22"/>
        </w:rPr>
        <w:t>Dátum</w:t>
      </w:r>
      <w:r>
        <w:rPr>
          <w:sz w:val="22"/>
          <w:szCs w:val="22"/>
        </w:rPr>
        <w:t xml:space="preserve"> prvej registrácie: 20. októbra 2020</w:t>
      </w: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Pr="000E1573" w:rsidRDefault="00826813" w:rsidP="000E1573">
      <w:pPr>
        <w:pStyle w:val="Zkladntext"/>
        <w:rPr>
          <w:b/>
          <w:bCs/>
          <w:sz w:val="22"/>
          <w:szCs w:val="22"/>
        </w:rPr>
      </w:pPr>
    </w:p>
    <w:p w:rsidR="00826813" w:rsidRDefault="0082681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10.</w:t>
      </w:r>
      <w:r w:rsidRPr="000E1573">
        <w:rPr>
          <w:b/>
          <w:bCs/>
          <w:sz w:val="22"/>
          <w:szCs w:val="22"/>
        </w:rPr>
        <w:tab/>
        <w:t>DÁTUM REVÍZIE TEXTU</w:t>
      </w:r>
    </w:p>
    <w:p w:rsidR="00735B8B" w:rsidRDefault="00735B8B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</w:p>
    <w:p w:rsidR="00826813" w:rsidRPr="000E1573" w:rsidRDefault="0082436E" w:rsidP="00DD5EE6">
      <w:pPr>
        <w:numPr>
          <w:ilvl w:val="0"/>
          <w:numId w:val="0"/>
        </w:numPr>
        <w:outlineLvl w:val="0"/>
      </w:pPr>
      <w:r>
        <w:rPr>
          <w:bCs/>
          <w:sz w:val="22"/>
          <w:szCs w:val="22"/>
        </w:rPr>
        <w:lastRenderedPageBreak/>
        <w:t>1</w:t>
      </w:r>
      <w:r w:rsidR="00C73C3E">
        <w:rPr>
          <w:bCs/>
          <w:sz w:val="22"/>
          <w:szCs w:val="22"/>
        </w:rPr>
        <w:t>2</w:t>
      </w:r>
      <w:bookmarkStart w:id="0" w:name="_GoBack"/>
      <w:bookmarkEnd w:id="0"/>
      <w:r>
        <w:rPr>
          <w:bCs/>
          <w:sz w:val="22"/>
          <w:szCs w:val="22"/>
        </w:rPr>
        <w:t>/2020</w:t>
      </w:r>
    </w:p>
    <w:sectPr w:rsidR="00826813" w:rsidRPr="000E1573" w:rsidSect="00DD5EE6">
      <w:headerReference w:type="default" r:id="rId8"/>
      <w:footerReference w:type="default" r:id="rId9"/>
      <w:pgSz w:w="11906" w:h="16838" w:code="9"/>
      <w:pgMar w:top="1418" w:right="1134" w:bottom="1418" w:left="1134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FF" w:rsidRDefault="004D21FF">
      <w:r>
        <w:separator/>
      </w:r>
    </w:p>
  </w:endnote>
  <w:endnote w:type="continuationSeparator" w:id="0">
    <w:p w:rsidR="004D21FF" w:rsidRDefault="004D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OWUE+Verdana">
    <w:altName w:val="Verda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13" w:rsidRPr="00CF2CFA" w:rsidRDefault="00826813">
    <w:pPr>
      <w:pStyle w:val="Pta"/>
      <w:numPr>
        <w:ilvl w:val="0"/>
        <w:numId w:val="0"/>
      </w:numPr>
      <w:ind w:right="360"/>
      <w:jc w:val="center"/>
      <w:rPr>
        <w:sz w:val="18"/>
        <w:szCs w:val="18"/>
      </w:rPr>
    </w:pPr>
    <w:r w:rsidRPr="00CF2CFA">
      <w:rPr>
        <w:rStyle w:val="slostrany"/>
        <w:sz w:val="18"/>
        <w:szCs w:val="18"/>
      </w:rPr>
      <w:fldChar w:fldCharType="begin"/>
    </w:r>
    <w:r w:rsidRPr="00CF2CFA">
      <w:rPr>
        <w:rStyle w:val="slostrany"/>
        <w:sz w:val="18"/>
        <w:szCs w:val="18"/>
      </w:rPr>
      <w:instrText xml:space="preserve"> PAGE </w:instrText>
    </w:r>
    <w:r w:rsidRPr="00CF2CFA">
      <w:rPr>
        <w:rStyle w:val="slostrany"/>
        <w:sz w:val="18"/>
        <w:szCs w:val="18"/>
      </w:rPr>
      <w:fldChar w:fldCharType="separate"/>
    </w:r>
    <w:r w:rsidR="00C73C3E">
      <w:rPr>
        <w:rStyle w:val="slostrany"/>
        <w:noProof/>
        <w:sz w:val="18"/>
        <w:szCs w:val="18"/>
      </w:rPr>
      <w:t>1</w:t>
    </w:r>
    <w:r w:rsidRPr="00CF2CFA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FF" w:rsidRDefault="004D21FF">
      <w:r>
        <w:separator/>
      </w:r>
    </w:p>
  </w:footnote>
  <w:footnote w:type="continuationSeparator" w:id="0">
    <w:p w:rsidR="004D21FF" w:rsidRDefault="004D2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6E" w:rsidRDefault="00B9656E" w:rsidP="00B9656E">
    <w:pPr>
      <w:pStyle w:val="Hlavika"/>
      <w:numPr>
        <w:ilvl w:val="0"/>
        <w:numId w:val="0"/>
      </w:numPr>
    </w:pPr>
    <w:r>
      <w:t>Schválený text k rozhodnutiu o </w:t>
    </w:r>
    <w:r w:rsidR="007662B0">
      <w:t>prevode</w:t>
    </w:r>
    <w:r>
      <w:t xml:space="preserve">, </w:t>
    </w:r>
    <w:proofErr w:type="spellStart"/>
    <w:r>
      <w:t>ev.č</w:t>
    </w:r>
    <w:proofErr w:type="spellEnd"/>
    <w:r>
      <w:t>.:</w:t>
    </w:r>
    <w:r w:rsidR="007662B0">
      <w:t xml:space="preserve"> 2020/</w:t>
    </w:r>
    <w:r w:rsidR="0082436E">
      <w:t>06245-TR</w:t>
    </w:r>
  </w:p>
  <w:p w:rsidR="00826813" w:rsidRPr="00125D70" w:rsidRDefault="00826813" w:rsidP="00125D70">
    <w:pPr>
      <w:pStyle w:val="Hlavika"/>
      <w:numPr>
        <w:ilvl w:val="0"/>
        <w:numId w:val="0"/>
      </w:numPr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80C1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AB5725"/>
    <w:multiLevelType w:val="singleLevel"/>
    <w:tmpl w:val="FCEEC42E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016A7E6E"/>
    <w:multiLevelType w:val="multilevel"/>
    <w:tmpl w:val="73BA2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pStyle w:val="Normlny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Normlny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lny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ormlny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lny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Normlny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lny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ormlny"/>
      <w:isLgl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4" w15:restartNumberingAfterBreak="0">
    <w:nsid w:val="03660D69"/>
    <w:multiLevelType w:val="hybridMultilevel"/>
    <w:tmpl w:val="452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D3289E"/>
    <w:multiLevelType w:val="multilevel"/>
    <w:tmpl w:val="D936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620ECD"/>
    <w:multiLevelType w:val="singleLevel"/>
    <w:tmpl w:val="0704975C"/>
    <w:lvl w:ilvl="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12261A"/>
    <w:multiLevelType w:val="multilevel"/>
    <w:tmpl w:val="E828F8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17854C0"/>
    <w:multiLevelType w:val="hybridMultilevel"/>
    <w:tmpl w:val="FE16171A"/>
    <w:lvl w:ilvl="0" w:tplc="BE7ADC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F3526F"/>
    <w:multiLevelType w:val="hybridMultilevel"/>
    <w:tmpl w:val="2FFA0E40"/>
    <w:lvl w:ilvl="0" w:tplc="0B94A648">
      <w:start w:val="1"/>
      <w:numFmt w:val="decimal"/>
      <w:lvlText w:val="%1."/>
      <w:lvlJc w:val="right"/>
      <w:pPr>
        <w:tabs>
          <w:tab w:val="num" w:pos="454"/>
        </w:tabs>
        <w:ind w:left="510" w:hanging="340"/>
      </w:pPr>
      <w:rPr>
        <w:rFonts w:hint="default"/>
      </w:rPr>
    </w:lvl>
    <w:lvl w:ilvl="1" w:tplc="C6CE5286">
      <w:numFmt w:val="none"/>
      <w:lvlText w:val=""/>
      <w:lvlJc w:val="left"/>
      <w:pPr>
        <w:tabs>
          <w:tab w:val="num" w:pos="360"/>
        </w:tabs>
      </w:pPr>
    </w:lvl>
    <w:lvl w:ilvl="2" w:tplc="6862D56E">
      <w:numFmt w:val="none"/>
      <w:lvlText w:val=""/>
      <w:lvlJc w:val="left"/>
      <w:pPr>
        <w:tabs>
          <w:tab w:val="num" w:pos="360"/>
        </w:tabs>
      </w:pPr>
    </w:lvl>
    <w:lvl w:ilvl="3" w:tplc="5D5855DC">
      <w:numFmt w:val="none"/>
      <w:lvlText w:val=""/>
      <w:lvlJc w:val="left"/>
      <w:pPr>
        <w:tabs>
          <w:tab w:val="num" w:pos="360"/>
        </w:tabs>
      </w:pPr>
    </w:lvl>
    <w:lvl w:ilvl="4" w:tplc="505E8872">
      <w:numFmt w:val="none"/>
      <w:lvlText w:val=""/>
      <w:lvlJc w:val="left"/>
      <w:pPr>
        <w:tabs>
          <w:tab w:val="num" w:pos="360"/>
        </w:tabs>
      </w:pPr>
    </w:lvl>
    <w:lvl w:ilvl="5" w:tplc="01AC8B62">
      <w:numFmt w:val="none"/>
      <w:lvlText w:val=""/>
      <w:lvlJc w:val="left"/>
      <w:pPr>
        <w:tabs>
          <w:tab w:val="num" w:pos="360"/>
        </w:tabs>
      </w:pPr>
    </w:lvl>
    <w:lvl w:ilvl="6" w:tplc="B2388790">
      <w:numFmt w:val="none"/>
      <w:lvlText w:val=""/>
      <w:lvlJc w:val="left"/>
      <w:pPr>
        <w:tabs>
          <w:tab w:val="num" w:pos="360"/>
        </w:tabs>
      </w:pPr>
    </w:lvl>
    <w:lvl w:ilvl="7" w:tplc="1E146E06">
      <w:numFmt w:val="none"/>
      <w:lvlText w:val=""/>
      <w:lvlJc w:val="left"/>
      <w:pPr>
        <w:tabs>
          <w:tab w:val="num" w:pos="360"/>
        </w:tabs>
      </w:pPr>
    </w:lvl>
    <w:lvl w:ilvl="8" w:tplc="3A400A2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6573B4D"/>
    <w:multiLevelType w:val="hybridMultilevel"/>
    <w:tmpl w:val="516E6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F01850"/>
    <w:multiLevelType w:val="hybridMultilevel"/>
    <w:tmpl w:val="F882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F93EAB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B2B6986"/>
    <w:multiLevelType w:val="singleLevel"/>
    <w:tmpl w:val="06007954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1BE73285"/>
    <w:multiLevelType w:val="hybridMultilevel"/>
    <w:tmpl w:val="C53ACC3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9C26C9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C7610A4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D9358E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26D441CD"/>
    <w:multiLevelType w:val="hybridMultilevel"/>
    <w:tmpl w:val="3C5295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C7E1CCD"/>
    <w:multiLevelType w:val="hybridMultilevel"/>
    <w:tmpl w:val="54969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A617F8"/>
    <w:multiLevelType w:val="hybridMultilevel"/>
    <w:tmpl w:val="79589FE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866C812E">
      <w:start w:val="1"/>
      <w:numFmt w:val="bullet"/>
      <w:lvlText w:val="-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321FE"/>
    <w:multiLevelType w:val="hybridMultilevel"/>
    <w:tmpl w:val="08AE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390F9D"/>
    <w:multiLevelType w:val="hybridMultilevel"/>
    <w:tmpl w:val="6FD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243E75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D9C51D8"/>
    <w:multiLevelType w:val="singleLevel"/>
    <w:tmpl w:val="1C3218AC"/>
    <w:lvl w:ilvl="0">
      <w:start w:val="4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ED5315E"/>
    <w:multiLevelType w:val="multilevel"/>
    <w:tmpl w:val="DE22714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73538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FFF55B6"/>
    <w:multiLevelType w:val="hybridMultilevel"/>
    <w:tmpl w:val="BF0E36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9441AB"/>
    <w:multiLevelType w:val="hybridMultilevel"/>
    <w:tmpl w:val="5FBE54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40D791E"/>
    <w:multiLevelType w:val="hybridMultilevel"/>
    <w:tmpl w:val="6BA89F1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193B08"/>
    <w:multiLevelType w:val="multilevel"/>
    <w:tmpl w:val="A53099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8FF18ED"/>
    <w:multiLevelType w:val="multilevel"/>
    <w:tmpl w:val="80500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EF543C0"/>
    <w:multiLevelType w:val="hybridMultilevel"/>
    <w:tmpl w:val="1AB603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6D1107"/>
    <w:multiLevelType w:val="hybridMultilevel"/>
    <w:tmpl w:val="EED2A35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C26C9E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D52DEA"/>
    <w:multiLevelType w:val="hybridMultilevel"/>
    <w:tmpl w:val="2F3A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D302F6"/>
    <w:multiLevelType w:val="hybridMultilevel"/>
    <w:tmpl w:val="71ECD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55E1A2C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6" w15:restartNumberingAfterBreak="0">
    <w:nsid w:val="6A726C81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557CF0"/>
    <w:multiLevelType w:val="singleLevel"/>
    <w:tmpl w:val="BE7ADCB0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9" w15:restartNumberingAfterBreak="0">
    <w:nsid w:val="6CBE0BEB"/>
    <w:multiLevelType w:val="multilevel"/>
    <w:tmpl w:val="80500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MT Extra" w:hAnsi="MT Extra" w:cs="MT Extra" w:hint="default"/>
        <w:i w:val="0"/>
        <w:iCs w:val="0"/>
      </w:rPr>
    </w:lvl>
  </w:abstractNum>
  <w:abstractNum w:abstractNumId="41" w15:restartNumberingAfterBreak="0">
    <w:nsid w:val="6FBF4A49"/>
    <w:multiLevelType w:val="singleLevel"/>
    <w:tmpl w:val="4B100C18"/>
    <w:lvl w:ilvl="0">
      <w:start w:val="4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3543B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" w15:restartNumberingAfterBreak="0">
    <w:nsid w:val="737948F7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4" w15:restartNumberingAfterBreak="0">
    <w:nsid w:val="77584A34"/>
    <w:multiLevelType w:val="hybridMultilevel"/>
    <w:tmpl w:val="5E8C73E0"/>
    <w:lvl w:ilvl="0" w:tplc="449095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C8CE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A1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4607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6BA08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E25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AD01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D2BA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78B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8"/>
  </w:num>
  <w:num w:numId="3">
    <w:abstractNumId w:val="43"/>
  </w:num>
  <w:num w:numId="4">
    <w:abstractNumId w:val="36"/>
  </w:num>
  <w:num w:numId="5">
    <w:abstractNumId w:val="2"/>
  </w:num>
  <w:num w:numId="6">
    <w:abstractNumId w:val="30"/>
  </w:num>
  <w:num w:numId="7">
    <w:abstractNumId w:val="13"/>
  </w:num>
  <w:num w:numId="8">
    <w:abstractNumId w:val="16"/>
  </w:num>
  <w:num w:numId="9">
    <w:abstractNumId w:val="42"/>
  </w:num>
  <w:num w:numId="10">
    <w:abstractNumId w:val="23"/>
  </w:num>
  <w:num w:numId="11">
    <w:abstractNumId w:val="41"/>
  </w:num>
  <w:num w:numId="12">
    <w:abstractNumId w:val="25"/>
  </w:num>
  <w:num w:numId="13">
    <w:abstractNumId w:val="6"/>
  </w:num>
  <w:num w:numId="14">
    <w:abstractNumId w:val="5"/>
  </w:num>
  <w:num w:numId="15">
    <w:abstractNumId w:val="40"/>
  </w:num>
  <w:num w:numId="16">
    <w:abstractNumId w:val="24"/>
  </w:num>
  <w:num w:numId="17">
    <w:abstractNumId w:val="29"/>
  </w:num>
  <w:num w:numId="18">
    <w:abstractNumId w:val="7"/>
  </w:num>
  <w:num w:numId="19">
    <w:abstractNumId w:val="22"/>
  </w:num>
  <w:num w:numId="20">
    <w:abstractNumId w:val="15"/>
  </w:num>
  <w:num w:numId="21">
    <w:abstractNumId w:val="12"/>
  </w:num>
  <w:num w:numId="22">
    <w:abstractNumId w:val="39"/>
  </w:num>
  <w:num w:numId="23">
    <w:abstractNumId w:val="26"/>
  </w:num>
  <w:num w:numId="24">
    <w:abstractNumId w:val="44"/>
  </w:num>
  <w:num w:numId="25">
    <w:abstractNumId w:val="37"/>
  </w:num>
  <w:num w:numId="26">
    <w:abstractNumId w:val="9"/>
  </w:num>
  <w:num w:numId="27">
    <w:abstractNumId w:val="33"/>
  </w:num>
  <w:num w:numId="28">
    <w:abstractNumId w:val="31"/>
  </w:num>
  <w:num w:numId="29">
    <w:abstractNumId w:val="8"/>
  </w:num>
  <w:num w:numId="30">
    <w:abstractNumId w:val="20"/>
  </w:num>
  <w:num w:numId="31">
    <w:abstractNumId w:val="4"/>
  </w:num>
  <w:num w:numId="32">
    <w:abstractNumId w:val="21"/>
  </w:num>
  <w:num w:numId="33">
    <w:abstractNumId w:val="11"/>
  </w:num>
  <w:num w:numId="34">
    <w:abstractNumId w:val="27"/>
  </w:num>
  <w:num w:numId="35">
    <w:abstractNumId w:val="35"/>
  </w:num>
  <w:num w:numId="36">
    <w:abstractNumId w:val="18"/>
  </w:num>
  <w:num w:numId="37">
    <w:abstractNumId w:val="14"/>
  </w:num>
  <w:num w:numId="38">
    <w:abstractNumId w:val="28"/>
  </w:num>
  <w:num w:numId="39">
    <w:abstractNumId w:val="32"/>
  </w:num>
  <w:num w:numId="40">
    <w:abstractNumId w:val="10"/>
  </w:num>
  <w:num w:numId="41">
    <w:abstractNumId w:val="34"/>
  </w:num>
  <w:num w:numId="42">
    <w:abstractNumId w:val="17"/>
  </w:num>
  <w:num w:numId="43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19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BC"/>
    <w:rsid w:val="00012340"/>
    <w:rsid w:val="00012549"/>
    <w:rsid w:val="00015CBC"/>
    <w:rsid w:val="00016397"/>
    <w:rsid w:val="00023D78"/>
    <w:rsid w:val="0002608F"/>
    <w:rsid w:val="000366AB"/>
    <w:rsid w:val="00037D90"/>
    <w:rsid w:val="00065E60"/>
    <w:rsid w:val="00090D90"/>
    <w:rsid w:val="00091D31"/>
    <w:rsid w:val="00094105"/>
    <w:rsid w:val="00094661"/>
    <w:rsid w:val="0009790A"/>
    <w:rsid w:val="000A7D43"/>
    <w:rsid w:val="000B1E12"/>
    <w:rsid w:val="000B3DF6"/>
    <w:rsid w:val="000B46A6"/>
    <w:rsid w:val="000B7EA2"/>
    <w:rsid w:val="000C6364"/>
    <w:rsid w:val="000D0929"/>
    <w:rsid w:val="000D61A6"/>
    <w:rsid w:val="000E1573"/>
    <w:rsid w:val="000F0E74"/>
    <w:rsid w:val="00101E91"/>
    <w:rsid w:val="001207ED"/>
    <w:rsid w:val="00125D70"/>
    <w:rsid w:val="0013717F"/>
    <w:rsid w:val="00146E9F"/>
    <w:rsid w:val="001512F3"/>
    <w:rsid w:val="00164E64"/>
    <w:rsid w:val="001754CA"/>
    <w:rsid w:val="00183748"/>
    <w:rsid w:val="001B3EAB"/>
    <w:rsid w:val="001B5C22"/>
    <w:rsid w:val="001C272C"/>
    <w:rsid w:val="001D34B5"/>
    <w:rsid w:val="001D4DFC"/>
    <w:rsid w:val="001F0B72"/>
    <w:rsid w:val="001F1FF6"/>
    <w:rsid w:val="001F76CD"/>
    <w:rsid w:val="00204B85"/>
    <w:rsid w:val="00211A32"/>
    <w:rsid w:val="00225AFB"/>
    <w:rsid w:val="00230893"/>
    <w:rsid w:val="00233788"/>
    <w:rsid w:val="00247865"/>
    <w:rsid w:val="002518DE"/>
    <w:rsid w:val="0025253D"/>
    <w:rsid w:val="00265FB7"/>
    <w:rsid w:val="00267103"/>
    <w:rsid w:val="0027004F"/>
    <w:rsid w:val="0028114D"/>
    <w:rsid w:val="00287D65"/>
    <w:rsid w:val="002913B8"/>
    <w:rsid w:val="00292A3B"/>
    <w:rsid w:val="002A6474"/>
    <w:rsid w:val="002A717E"/>
    <w:rsid w:val="002B5215"/>
    <w:rsid w:val="002C6ED5"/>
    <w:rsid w:val="002D3A12"/>
    <w:rsid w:val="00310699"/>
    <w:rsid w:val="00310DE1"/>
    <w:rsid w:val="0031606A"/>
    <w:rsid w:val="0032344A"/>
    <w:rsid w:val="0032380B"/>
    <w:rsid w:val="00327871"/>
    <w:rsid w:val="0033537A"/>
    <w:rsid w:val="0034036F"/>
    <w:rsid w:val="00341053"/>
    <w:rsid w:val="003506D7"/>
    <w:rsid w:val="00363CA2"/>
    <w:rsid w:val="0036559D"/>
    <w:rsid w:val="003878A3"/>
    <w:rsid w:val="003906DE"/>
    <w:rsid w:val="00397ED0"/>
    <w:rsid w:val="003A2C4B"/>
    <w:rsid w:val="003B235D"/>
    <w:rsid w:val="003B493F"/>
    <w:rsid w:val="003D5289"/>
    <w:rsid w:val="003D6087"/>
    <w:rsid w:val="003E2BCE"/>
    <w:rsid w:val="003E5CE8"/>
    <w:rsid w:val="003F111E"/>
    <w:rsid w:val="00402A2B"/>
    <w:rsid w:val="0042339F"/>
    <w:rsid w:val="00425186"/>
    <w:rsid w:val="00426CDC"/>
    <w:rsid w:val="00430A7D"/>
    <w:rsid w:val="00437B35"/>
    <w:rsid w:val="00444173"/>
    <w:rsid w:val="00452E80"/>
    <w:rsid w:val="00453388"/>
    <w:rsid w:val="00463AC4"/>
    <w:rsid w:val="00473AA4"/>
    <w:rsid w:val="00477BE5"/>
    <w:rsid w:val="00486536"/>
    <w:rsid w:val="004900F7"/>
    <w:rsid w:val="004960E0"/>
    <w:rsid w:val="00496C08"/>
    <w:rsid w:val="004A06C9"/>
    <w:rsid w:val="004A0C0F"/>
    <w:rsid w:val="004A5EE0"/>
    <w:rsid w:val="004B3E39"/>
    <w:rsid w:val="004C1A77"/>
    <w:rsid w:val="004C373E"/>
    <w:rsid w:val="004D21FF"/>
    <w:rsid w:val="004D76CF"/>
    <w:rsid w:val="004E17A1"/>
    <w:rsid w:val="004E1C85"/>
    <w:rsid w:val="004E3711"/>
    <w:rsid w:val="00501D2C"/>
    <w:rsid w:val="00503C99"/>
    <w:rsid w:val="00504C44"/>
    <w:rsid w:val="00507EFA"/>
    <w:rsid w:val="00511398"/>
    <w:rsid w:val="005240FC"/>
    <w:rsid w:val="00540148"/>
    <w:rsid w:val="00547CF2"/>
    <w:rsid w:val="00550F91"/>
    <w:rsid w:val="00556432"/>
    <w:rsid w:val="005771E3"/>
    <w:rsid w:val="0057747E"/>
    <w:rsid w:val="00584272"/>
    <w:rsid w:val="00585331"/>
    <w:rsid w:val="005A3421"/>
    <w:rsid w:val="005B5837"/>
    <w:rsid w:val="005C6D01"/>
    <w:rsid w:val="005D182F"/>
    <w:rsid w:val="005D4C93"/>
    <w:rsid w:val="005D6A71"/>
    <w:rsid w:val="005D6C14"/>
    <w:rsid w:val="005D7C80"/>
    <w:rsid w:val="005E673D"/>
    <w:rsid w:val="00601895"/>
    <w:rsid w:val="0060334B"/>
    <w:rsid w:val="00611AD3"/>
    <w:rsid w:val="006133D3"/>
    <w:rsid w:val="00622F39"/>
    <w:rsid w:val="00633FD8"/>
    <w:rsid w:val="00634A5F"/>
    <w:rsid w:val="00655A2A"/>
    <w:rsid w:val="00657562"/>
    <w:rsid w:val="0067599F"/>
    <w:rsid w:val="006800B6"/>
    <w:rsid w:val="0068050C"/>
    <w:rsid w:val="006848C3"/>
    <w:rsid w:val="00686BF9"/>
    <w:rsid w:val="006A08FF"/>
    <w:rsid w:val="006A09AC"/>
    <w:rsid w:val="006A5653"/>
    <w:rsid w:val="006B2615"/>
    <w:rsid w:val="006B42E6"/>
    <w:rsid w:val="006B55FD"/>
    <w:rsid w:val="006D74DD"/>
    <w:rsid w:val="006E0AEB"/>
    <w:rsid w:val="006E3AEA"/>
    <w:rsid w:val="006E5D75"/>
    <w:rsid w:val="006F0867"/>
    <w:rsid w:val="006F374E"/>
    <w:rsid w:val="006F46A0"/>
    <w:rsid w:val="006F798F"/>
    <w:rsid w:val="00706CF5"/>
    <w:rsid w:val="0071446C"/>
    <w:rsid w:val="007239FA"/>
    <w:rsid w:val="00735B8B"/>
    <w:rsid w:val="00765D13"/>
    <w:rsid w:val="007662B0"/>
    <w:rsid w:val="00766F7B"/>
    <w:rsid w:val="00775EA3"/>
    <w:rsid w:val="0078059D"/>
    <w:rsid w:val="0078294D"/>
    <w:rsid w:val="00784021"/>
    <w:rsid w:val="00784B42"/>
    <w:rsid w:val="00793F39"/>
    <w:rsid w:val="007965E6"/>
    <w:rsid w:val="007A0E54"/>
    <w:rsid w:val="007A3528"/>
    <w:rsid w:val="007B0EA4"/>
    <w:rsid w:val="007C54DD"/>
    <w:rsid w:val="007E46B8"/>
    <w:rsid w:val="007E78A6"/>
    <w:rsid w:val="008023CB"/>
    <w:rsid w:val="00807240"/>
    <w:rsid w:val="00815CC4"/>
    <w:rsid w:val="00815F25"/>
    <w:rsid w:val="0082436E"/>
    <w:rsid w:val="00826813"/>
    <w:rsid w:val="00852BC8"/>
    <w:rsid w:val="00864017"/>
    <w:rsid w:val="008664F5"/>
    <w:rsid w:val="008728FF"/>
    <w:rsid w:val="00880008"/>
    <w:rsid w:val="00891131"/>
    <w:rsid w:val="00894247"/>
    <w:rsid w:val="00895FF8"/>
    <w:rsid w:val="008A6E31"/>
    <w:rsid w:val="008C13E0"/>
    <w:rsid w:val="008C2604"/>
    <w:rsid w:val="008C40C0"/>
    <w:rsid w:val="008C52EA"/>
    <w:rsid w:val="008C54C7"/>
    <w:rsid w:val="008C60A0"/>
    <w:rsid w:val="008D4119"/>
    <w:rsid w:val="008E0359"/>
    <w:rsid w:val="008F7D63"/>
    <w:rsid w:val="00901A63"/>
    <w:rsid w:val="0090603C"/>
    <w:rsid w:val="00912DE2"/>
    <w:rsid w:val="00915A81"/>
    <w:rsid w:val="00933FFA"/>
    <w:rsid w:val="00946FED"/>
    <w:rsid w:val="00947BC9"/>
    <w:rsid w:val="00964CE7"/>
    <w:rsid w:val="00966261"/>
    <w:rsid w:val="00971B79"/>
    <w:rsid w:val="00986BAC"/>
    <w:rsid w:val="009916C3"/>
    <w:rsid w:val="009927D1"/>
    <w:rsid w:val="009979E1"/>
    <w:rsid w:val="009C11EF"/>
    <w:rsid w:val="009C2BD7"/>
    <w:rsid w:val="009C3D02"/>
    <w:rsid w:val="009D0211"/>
    <w:rsid w:val="009E09EC"/>
    <w:rsid w:val="009E64CB"/>
    <w:rsid w:val="00A00A74"/>
    <w:rsid w:val="00A00FD5"/>
    <w:rsid w:val="00A14B61"/>
    <w:rsid w:val="00A15059"/>
    <w:rsid w:val="00A1608A"/>
    <w:rsid w:val="00A21889"/>
    <w:rsid w:val="00A25523"/>
    <w:rsid w:val="00A466FC"/>
    <w:rsid w:val="00A60BB5"/>
    <w:rsid w:val="00A7130F"/>
    <w:rsid w:val="00A723F7"/>
    <w:rsid w:val="00A76176"/>
    <w:rsid w:val="00A95643"/>
    <w:rsid w:val="00A97C31"/>
    <w:rsid w:val="00AA7F1D"/>
    <w:rsid w:val="00AE0584"/>
    <w:rsid w:val="00AE19EA"/>
    <w:rsid w:val="00AE7967"/>
    <w:rsid w:val="00AF16E4"/>
    <w:rsid w:val="00AF4F91"/>
    <w:rsid w:val="00B410A6"/>
    <w:rsid w:val="00B4221D"/>
    <w:rsid w:val="00B504DA"/>
    <w:rsid w:val="00B54F88"/>
    <w:rsid w:val="00B56A10"/>
    <w:rsid w:val="00B61101"/>
    <w:rsid w:val="00B7538E"/>
    <w:rsid w:val="00B75679"/>
    <w:rsid w:val="00B75DDE"/>
    <w:rsid w:val="00B9243B"/>
    <w:rsid w:val="00B9351D"/>
    <w:rsid w:val="00B9656E"/>
    <w:rsid w:val="00BA1D1F"/>
    <w:rsid w:val="00BB2747"/>
    <w:rsid w:val="00BB2813"/>
    <w:rsid w:val="00BB7E24"/>
    <w:rsid w:val="00BC10A2"/>
    <w:rsid w:val="00BC299D"/>
    <w:rsid w:val="00BC2C29"/>
    <w:rsid w:val="00BC4B9D"/>
    <w:rsid w:val="00BD6A13"/>
    <w:rsid w:val="00BF4A0C"/>
    <w:rsid w:val="00C10448"/>
    <w:rsid w:val="00C12042"/>
    <w:rsid w:val="00C13B40"/>
    <w:rsid w:val="00C24C4D"/>
    <w:rsid w:val="00C54786"/>
    <w:rsid w:val="00C56C16"/>
    <w:rsid w:val="00C67475"/>
    <w:rsid w:val="00C72318"/>
    <w:rsid w:val="00C734E2"/>
    <w:rsid w:val="00C73C3E"/>
    <w:rsid w:val="00C75488"/>
    <w:rsid w:val="00C836F9"/>
    <w:rsid w:val="00CA298C"/>
    <w:rsid w:val="00CA63B3"/>
    <w:rsid w:val="00CB5DA8"/>
    <w:rsid w:val="00CE4075"/>
    <w:rsid w:val="00CE4660"/>
    <w:rsid w:val="00CF2CFA"/>
    <w:rsid w:val="00CF3E90"/>
    <w:rsid w:val="00D03B44"/>
    <w:rsid w:val="00D071F9"/>
    <w:rsid w:val="00D256FD"/>
    <w:rsid w:val="00D27943"/>
    <w:rsid w:val="00D31B51"/>
    <w:rsid w:val="00D32731"/>
    <w:rsid w:val="00D33D0D"/>
    <w:rsid w:val="00D4724D"/>
    <w:rsid w:val="00D47457"/>
    <w:rsid w:val="00D47988"/>
    <w:rsid w:val="00D63464"/>
    <w:rsid w:val="00D729D8"/>
    <w:rsid w:val="00D76927"/>
    <w:rsid w:val="00D819F6"/>
    <w:rsid w:val="00D82DAC"/>
    <w:rsid w:val="00D862B9"/>
    <w:rsid w:val="00D87E61"/>
    <w:rsid w:val="00D93D16"/>
    <w:rsid w:val="00D94DF5"/>
    <w:rsid w:val="00D95F11"/>
    <w:rsid w:val="00DA6E7B"/>
    <w:rsid w:val="00DB6E55"/>
    <w:rsid w:val="00DD5EE6"/>
    <w:rsid w:val="00DE3D14"/>
    <w:rsid w:val="00DE6D1F"/>
    <w:rsid w:val="00DF19BC"/>
    <w:rsid w:val="00DF19C4"/>
    <w:rsid w:val="00DF5874"/>
    <w:rsid w:val="00E0069D"/>
    <w:rsid w:val="00E106F7"/>
    <w:rsid w:val="00E11AA8"/>
    <w:rsid w:val="00E13F79"/>
    <w:rsid w:val="00E21D57"/>
    <w:rsid w:val="00E33BD5"/>
    <w:rsid w:val="00E37985"/>
    <w:rsid w:val="00E43375"/>
    <w:rsid w:val="00E5543E"/>
    <w:rsid w:val="00E6146D"/>
    <w:rsid w:val="00E625FB"/>
    <w:rsid w:val="00E62E8A"/>
    <w:rsid w:val="00E64AEB"/>
    <w:rsid w:val="00E77774"/>
    <w:rsid w:val="00E77881"/>
    <w:rsid w:val="00E83A6E"/>
    <w:rsid w:val="00E90DCD"/>
    <w:rsid w:val="00E92EBB"/>
    <w:rsid w:val="00EA53D7"/>
    <w:rsid w:val="00EB21FA"/>
    <w:rsid w:val="00EC01AF"/>
    <w:rsid w:val="00EC0F77"/>
    <w:rsid w:val="00EC53A4"/>
    <w:rsid w:val="00EE6777"/>
    <w:rsid w:val="00EF7999"/>
    <w:rsid w:val="00F25700"/>
    <w:rsid w:val="00F26C19"/>
    <w:rsid w:val="00F32160"/>
    <w:rsid w:val="00F40E3B"/>
    <w:rsid w:val="00F40E8E"/>
    <w:rsid w:val="00F45DD2"/>
    <w:rsid w:val="00F557E6"/>
    <w:rsid w:val="00F8680F"/>
    <w:rsid w:val="00F9355D"/>
    <w:rsid w:val="00FA0AF8"/>
    <w:rsid w:val="00FA1D27"/>
    <w:rsid w:val="00FA2004"/>
    <w:rsid w:val="00FA7901"/>
    <w:rsid w:val="00FC5264"/>
    <w:rsid w:val="00FD175A"/>
    <w:rsid w:val="00FE2D19"/>
    <w:rsid w:val="00FF0F27"/>
    <w:rsid w:val="00FF4654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2E4F63-62BA-497B-BAD9-F12E5BF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2C4B"/>
    <w:pPr>
      <w:numPr>
        <w:ilvl w:val="8"/>
        <w:numId w:val="1"/>
      </w:numPr>
    </w:pPr>
    <w:rPr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A2C4B"/>
    <w:pPr>
      <w:keepNext/>
      <w:ind w:left="360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A2C4B"/>
    <w:pPr>
      <w:keepNext/>
      <w:outlineLvl w:val="1"/>
    </w:pPr>
    <w:rPr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A2C4B"/>
    <w:pPr>
      <w:keepNext/>
      <w:numPr>
        <w:ilvl w:val="0"/>
        <w:numId w:val="0"/>
      </w:numPr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A2C4B"/>
    <w:pPr>
      <w:keepNext/>
      <w:numPr>
        <w:ilvl w:val="0"/>
        <w:numId w:val="0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A2C4B"/>
    <w:pPr>
      <w:keepNext/>
      <w:numPr>
        <w:ilvl w:val="0"/>
        <w:numId w:val="0"/>
      </w:numPr>
      <w:outlineLvl w:val="4"/>
    </w:pPr>
    <w:rPr>
      <w:b/>
      <w:b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64AEB"/>
    <w:pPr>
      <w:numPr>
        <w:ilvl w:val="0"/>
        <w:numId w:val="0"/>
      </w:numPr>
      <w:tabs>
        <w:tab w:val="num" w:pos="1152"/>
      </w:tabs>
      <w:spacing w:before="240" w:after="60"/>
      <w:ind w:left="1152" w:hanging="1152"/>
      <w:outlineLvl w:val="5"/>
    </w:pPr>
    <w:rPr>
      <w:rFonts w:eastAsia="Batang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64AEB"/>
    <w:pPr>
      <w:numPr>
        <w:ilvl w:val="0"/>
        <w:numId w:val="0"/>
      </w:numPr>
      <w:tabs>
        <w:tab w:val="num" w:pos="1296"/>
      </w:tabs>
      <w:spacing w:before="240" w:after="60"/>
      <w:ind w:left="1296" w:hanging="1296"/>
      <w:outlineLvl w:val="6"/>
    </w:pPr>
    <w:rPr>
      <w:rFonts w:eastAsia="Batang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64AEB"/>
    <w:pPr>
      <w:numPr>
        <w:ilvl w:val="0"/>
        <w:numId w:val="0"/>
      </w:numPr>
      <w:tabs>
        <w:tab w:val="num" w:pos="1440"/>
      </w:tabs>
      <w:spacing w:before="240" w:after="60"/>
      <w:ind w:left="1440" w:hanging="1440"/>
      <w:outlineLvl w:val="7"/>
    </w:pPr>
    <w:rPr>
      <w:rFonts w:eastAsia="Batang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64AEB"/>
    <w:pPr>
      <w:numPr>
        <w:ilvl w:val="0"/>
        <w:numId w:val="0"/>
      </w:num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511398"/>
    <w:rPr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7747E"/>
    <w:rPr>
      <w:rFonts w:ascii="Cambria" w:hAnsi="Cambria" w:cs="Cambria"/>
      <w:b/>
      <w:bCs/>
      <w:i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57747E"/>
    <w:rPr>
      <w:rFonts w:ascii="Cambria" w:hAnsi="Cambria" w:cs="Cambria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463AC4"/>
    <w:rPr>
      <w:b/>
      <w:bCs/>
      <w:sz w:val="24"/>
      <w:szCs w:val="24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57747E"/>
    <w:rPr>
      <w:rFonts w:ascii="Calibri" w:hAnsi="Calibri" w:cs="Calibri"/>
      <w:b/>
      <w:bCs/>
      <w:i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64AEB"/>
    <w:rPr>
      <w:rFonts w:eastAsia="Batang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E64AEB"/>
    <w:rPr>
      <w:rFonts w:eastAsia="Batang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64AEB"/>
    <w:rPr>
      <w:rFonts w:eastAsia="Batang"/>
      <w:i/>
      <w:i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E64AEB"/>
    <w:rPr>
      <w:rFonts w:ascii="Arial" w:eastAsia="Batang" w:hAnsi="Arial" w:cs="Arial"/>
      <w:sz w:val="22"/>
      <w:szCs w:val="22"/>
      <w:lang w:val="sk-SK"/>
    </w:rPr>
  </w:style>
  <w:style w:type="paragraph" w:styleId="Nzov">
    <w:name w:val="Title"/>
    <w:basedOn w:val="Normlny"/>
    <w:link w:val="NzovChar"/>
    <w:uiPriority w:val="99"/>
    <w:qFormat/>
    <w:rsid w:val="003A2C4B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57747E"/>
    <w:rPr>
      <w:rFonts w:ascii="Cambria" w:hAnsi="Cambria" w:cs="Cambria"/>
      <w:b/>
      <w:bCs/>
      <w:kern w:val="28"/>
      <w:sz w:val="32"/>
      <w:szCs w:val="32"/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3A2C4B"/>
    <w:pPr>
      <w:ind w:left="360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511398"/>
    <w:rPr>
      <w:sz w:val="24"/>
      <w:szCs w:val="24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3A2C4B"/>
    <w:pPr>
      <w:ind w:left="780"/>
    </w:pPr>
    <w:rPr>
      <w:b/>
      <w:bCs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57747E"/>
    <w:rPr>
      <w:sz w:val="20"/>
      <w:szCs w:val="20"/>
      <w:lang w:val="sk-SK"/>
    </w:rPr>
  </w:style>
  <w:style w:type="paragraph" w:styleId="Zkladntext">
    <w:name w:val="Body Text"/>
    <w:basedOn w:val="Normlny"/>
    <w:link w:val="ZkladntextChar"/>
    <w:uiPriority w:val="99"/>
    <w:semiHidden/>
    <w:rsid w:val="003A2C4B"/>
    <w:pPr>
      <w:numPr>
        <w:ilvl w:val="0"/>
        <w:numId w:val="0"/>
      </w:numPr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57747E"/>
    <w:rPr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semiHidden/>
    <w:rsid w:val="003A2C4B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57747E"/>
    <w:rPr>
      <w:sz w:val="20"/>
      <w:szCs w:val="20"/>
      <w:lang w:val="sk-SK"/>
    </w:rPr>
  </w:style>
  <w:style w:type="character" w:styleId="slostrany">
    <w:name w:val="page number"/>
    <w:basedOn w:val="Predvolenpsmoodseku"/>
    <w:uiPriority w:val="99"/>
    <w:semiHidden/>
    <w:rsid w:val="003A2C4B"/>
  </w:style>
  <w:style w:type="paragraph" w:styleId="Hlavika">
    <w:name w:val="header"/>
    <w:basedOn w:val="Normlny"/>
    <w:link w:val="HlavikaChar"/>
    <w:uiPriority w:val="99"/>
    <w:semiHidden/>
    <w:rsid w:val="003A2C4B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7747E"/>
    <w:rPr>
      <w:sz w:val="20"/>
      <w:szCs w:val="20"/>
      <w:lang w:val="sk-SK"/>
    </w:rPr>
  </w:style>
  <w:style w:type="paragraph" w:styleId="Zkladntext2">
    <w:name w:val="Body Text 2"/>
    <w:basedOn w:val="Normlny"/>
    <w:link w:val="Zkladntext2Char"/>
    <w:uiPriority w:val="99"/>
    <w:semiHidden/>
    <w:rsid w:val="003A2C4B"/>
    <w:pPr>
      <w:numPr>
        <w:ilvl w:val="0"/>
        <w:numId w:val="0"/>
      </w:num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57747E"/>
    <w:rPr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rsid w:val="003A2C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7747E"/>
    <w:rPr>
      <w:sz w:val="2"/>
      <w:szCs w:val="2"/>
      <w:lang w:val="sk-SK"/>
    </w:rPr>
  </w:style>
  <w:style w:type="paragraph" w:customStyle="1" w:styleId="Textbubliny1">
    <w:name w:val="Text bubliny1"/>
    <w:basedOn w:val="Normlny"/>
    <w:uiPriority w:val="99"/>
    <w:semiHidden/>
    <w:rsid w:val="003A2C4B"/>
    <w:rPr>
      <w:rFonts w:ascii="Tahoma" w:hAnsi="Tahoma" w:cs="Tahoma"/>
      <w:sz w:val="16"/>
      <w:szCs w:val="16"/>
    </w:rPr>
  </w:style>
  <w:style w:type="paragraph" w:customStyle="1" w:styleId="SPCnormal">
    <w:name w:val="SPC_normal"/>
    <w:uiPriority w:val="99"/>
    <w:rsid w:val="003A2C4B"/>
    <w:rPr>
      <w:lang w:val="en-GB" w:eastAsia="sv-SE"/>
    </w:rPr>
  </w:style>
  <w:style w:type="paragraph" w:styleId="Bezriadkovania">
    <w:name w:val="No Spacing"/>
    <w:uiPriority w:val="99"/>
    <w:qFormat/>
    <w:rsid w:val="005D6C14"/>
    <w:pPr>
      <w:tabs>
        <w:tab w:val="num" w:pos="3360"/>
        <w:tab w:val="num" w:pos="3510"/>
      </w:tabs>
      <w:ind w:left="3510" w:hanging="1800"/>
    </w:pPr>
    <w:rPr>
      <w:sz w:val="20"/>
      <w:szCs w:val="20"/>
      <w:lang w:val="sk-SK"/>
    </w:rPr>
  </w:style>
  <w:style w:type="character" w:styleId="Odkaznakomentr">
    <w:name w:val="annotation reference"/>
    <w:basedOn w:val="Predvolenpsmoodseku"/>
    <w:uiPriority w:val="99"/>
    <w:semiHidden/>
    <w:rsid w:val="005A34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A3421"/>
    <w:rPr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A342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A34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A3421"/>
    <w:rPr>
      <w:b/>
      <w:bCs/>
      <w:lang w:eastAsia="en-US"/>
    </w:rPr>
  </w:style>
  <w:style w:type="character" w:styleId="Hypertextovprepojenie">
    <w:name w:val="Hyperlink"/>
    <w:basedOn w:val="Predvolenpsmoodseku"/>
    <w:uiPriority w:val="99"/>
    <w:rsid w:val="006B2615"/>
    <w:rPr>
      <w:color w:val="0563C1"/>
      <w:u w:val="single"/>
    </w:rPr>
  </w:style>
  <w:style w:type="paragraph" w:customStyle="1" w:styleId="CM16">
    <w:name w:val="CM16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5">
    <w:name w:val="CM5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4">
    <w:name w:val="CM4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3">
    <w:name w:val="CM3"/>
    <w:basedOn w:val="Normlny"/>
    <w:next w:val="Normlny"/>
    <w:uiPriority w:val="99"/>
    <w:rsid w:val="00793F39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11">
    <w:name w:val="CM11"/>
    <w:basedOn w:val="Normlny"/>
    <w:next w:val="Normlny"/>
    <w:uiPriority w:val="99"/>
    <w:rsid w:val="006E0AEB"/>
    <w:pPr>
      <w:widowControl w:val="0"/>
      <w:numPr>
        <w:ilvl w:val="0"/>
        <w:numId w:val="0"/>
      </w:numPr>
      <w:autoSpaceDE w:val="0"/>
      <w:autoSpaceDN w:val="0"/>
      <w:adjustRightInd w:val="0"/>
      <w:spacing w:line="283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styleId="Normlnywebov">
    <w:name w:val="Normal (Web)"/>
    <w:basedOn w:val="Normlny"/>
    <w:uiPriority w:val="99"/>
    <w:rsid w:val="008C13E0"/>
    <w:pPr>
      <w:numPr>
        <w:ilvl w:val="0"/>
        <w:numId w:val="0"/>
      </w:numPr>
      <w:spacing w:before="100" w:beforeAutospacing="1" w:after="100" w:afterAutospacing="1"/>
    </w:pPr>
    <w:rPr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E46B8"/>
    <w:rPr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MERCK</Company>
  <LinksUpToDate>false</LinksUpToDate>
  <CharactersWithSpaces>23356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n/a</dc:creator>
  <cp:keywords/>
  <dc:description/>
  <cp:lastModifiedBy>zuzana molnarova</cp:lastModifiedBy>
  <cp:revision>4</cp:revision>
  <cp:lastPrinted>2020-11-30T07:19:00Z</cp:lastPrinted>
  <dcterms:created xsi:type="dcterms:W3CDTF">2020-11-30T07:20:00Z</dcterms:created>
  <dcterms:modified xsi:type="dcterms:W3CDTF">2020-11-30T07:48:00Z</dcterms:modified>
</cp:coreProperties>
</file>