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AACEF" w14:textId="77777777" w:rsidR="0000767D" w:rsidRPr="00905199" w:rsidRDefault="0000767D">
      <w:pPr>
        <w:widowControl w:val="0"/>
        <w:spacing w:line="240" w:lineRule="atLeast"/>
        <w:rPr>
          <w:bCs/>
          <w:iCs/>
          <w:noProof/>
          <w:szCs w:val="22"/>
          <w:lang w:val="sk-SK"/>
        </w:rPr>
      </w:pPr>
    </w:p>
    <w:p w14:paraId="506928C3" w14:textId="77777777" w:rsidR="0000767D" w:rsidRPr="00905199" w:rsidRDefault="003607C1">
      <w:pPr>
        <w:widowControl w:val="0"/>
        <w:jc w:val="center"/>
        <w:rPr>
          <w:b/>
          <w:szCs w:val="22"/>
          <w:lang w:val="sk-SK"/>
        </w:rPr>
      </w:pPr>
      <w:r w:rsidRPr="00AD7007">
        <w:rPr>
          <w:b/>
          <w:szCs w:val="22"/>
          <w:lang w:val="sk-SK"/>
        </w:rPr>
        <w:t>SÚHRN CHARAKTERISTICKÝCH VLASTNOSTÍ LIEKU</w:t>
      </w:r>
    </w:p>
    <w:p w14:paraId="6D4D95CE" w14:textId="77777777" w:rsidR="00EA055A" w:rsidRDefault="00EA055A">
      <w:pPr>
        <w:widowControl w:val="0"/>
        <w:jc w:val="center"/>
        <w:rPr>
          <w:bCs/>
          <w:iCs/>
          <w:noProof/>
          <w:szCs w:val="22"/>
          <w:lang w:val="sk-SK"/>
        </w:rPr>
      </w:pPr>
    </w:p>
    <w:p w14:paraId="5478FF4A" w14:textId="77777777" w:rsidR="00C4240F" w:rsidRPr="00AD7007" w:rsidRDefault="00C4240F">
      <w:pPr>
        <w:widowControl w:val="0"/>
        <w:jc w:val="center"/>
        <w:rPr>
          <w:bCs/>
          <w:iCs/>
          <w:noProof/>
          <w:szCs w:val="22"/>
          <w:lang w:val="sk-SK"/>
        </w:rPr>
      </w:pPr>
    </w:p>
    <w:p w14:paraId="40E692AC" w14:textId="77777777" w:rsidR="0000767D" w:rsidRPr="00905199" w:rsidRDefault="003607C1">
      <w:pPr>
        <w:widowControl w:val="0"/>
        <w:rPr>
          <w:szCs w:val="22"/>
          <w:lang w:val="sk-SK"/>
        </w:rPr>
      </w:pPr>
      <w:r w:rsidRPr="00684ADF">
        <w:rPr>
          <w:b/>
          <w:szCs w:val="22"/>
          <w:lang w:val="sk-SK"/>
        </w:rPr>
        <w:t>1.</w:t>
      </w:r>
      <w:r w:rsidRPr="00684ADF">
        <w:rPr>
          <w:b/>
          <w:szCs w:val="22"/>
          <w:lang w:val="sk-SK"/>
        </w:rPr>
        <w:tab/>
        <w:t>NÁZOV LIEKU</w:t>
      </w:r>
    </w:p>
    <w:p w14:paraId="6895B3B0" w14:textId="77777777" w:rsidR="0000767D" w:rsidRPr="00905199" w:rsidRDefault="0000767D">
      <w:pPr>
        <w:rPr>
          <w:iCs/>
          <w:szCs w:val="22"/>
          <w:lang w:val="sk-SK"/>
        </w:rPr>
      </w:pPr>
    </w:p>
    <w:p w14:paraId="521B53A8" w14:textId="77777777" w:rsidR="0000767D" w:rsidRPr="00AD7007" w:rsidRDefault="009F691D">
      <w:pPr>
        <w:rPr>
          <w:noProof/>
          <w:szCs w:val="22"/>
          <w:lang w:val="sk-SK"/>
        </w:rPr>
      </w:pPr>
      <w:r w:rsidRPr="00AD7007">
        <w:rPr>
          <w:bCs/>
          <w:noProof/>
          <w:szCs w:val="22"/>
          <w:lang w:val="sk-SK"/>
        </w:rPr>
        <w:t>Grippecton</w:t>
      </w:r>
      <w:r w:rsidR="003607C1" w:rsidRPr="00AD7007">
        <w:rPr>
          <w:noProof/>
          <w:szCs w:val="22"/>
          <w:lang w:val="sk-SK"/>
        </w:rPr>
        <w:t xml:space="preserve"> 200 mg/30 mg </w:t>
      </w:r>
      <w:r w:rsidR="000A5984" w:rsidRPr="00AD7007">
        <w:rPr>
          <w:noProof/>
          <w:szCs w:val="22"/>
          <w:lang w:val="sk-SK"/>
        </w:rPr>
        <w:t>f</w:t>
      </w:r>
      <w:r w:rsidR="003607C1" w:rsidRPr="00AD7007">
        <w:rPr>
          <w:noProof/>
          <w:szCs w:val="22"/>
          <w:lang w:val="sk-SK"/>
        </w:rPr>
        <w:t>ilmom obalen</w:t>
      </w:r>
      <w:r w:rsidR="000A5984" w:rsidRPr="00AD7007">
        <w:rPr>
          <w:noProof/>
          <w:szCs w:val="22"/>
          <w:lang w:val="sk-SK"/>
        </w:rPr>
        <w:t>é</w:t>
      </w:r>
      <w:r w:rsidR="003607C1" w:rsidRPr="00AD7007">
        <w:rPr>
          <w:noProof/>
          <w:szCs w:val="22"/>
          <w:lang w:val="sk-SK"/>
        </w:rPr>
        <w:t xml:space="preserve"> tablet</w:t>
      </w:r>
      <w:r w:rsidR="000A5984" w:rsidRPr="00AD7007">
        <w:rPr>
          <w:noProof/>
          <w:szCs w:val="22"/>
          <w:lang w:val="sk-SK"/>
        </w:rPr>
        <w:t>y</w:t>
      </w:r>
    </w:p>
    <w:p w14:paraId="7D65435F" w14:textId="77777777" w:rsidR="0000767D" w:rsidRPr="00905199" w:rsidRDefault="0000767D">
      <w:pPr>
        <w:rPr>
          <w:noProof/>
          <w:szCs w:val="22"/>
          <w:lang w:val="sk-SK"/>
        </w:rPr>
      </w:pPr>
    </w:p>
    <w:p w14:paraId="30D69091" w14:textId="77777777" w:rsidR="0044542B" w:rsidRPr="00905199" w:rsidRDefault="0044542B">
      <w:pPr>
        <w:rPr>
          <w:noProof/>
          <w:szCs w:val="22"/>
          <w:lang w:val="sk-SK"/>
        </w:rPr>
      </w:pPr>
    </w:p>
    <w:p w14:paraId="3274EAA9" w14:textId="77777777" w:rsidR="0000767D" w:rsidRPr="00905199" w:rsidRDefault="003607C1">
      <w:pPr>
        <w:widowControl w:val="0"/>
        <w:rPr>
          <w:szCs w:val="22"/>
          <w:lang w:val="sk-SK"/>
        </w:rPr>
      </w:pPr>
      <w:r w:rsidRPr="00905199">
        <w:rPr>
          <w:b/>
          <w:szCs w:val="22"/>
          <w:lang w:val="sk-SK"/>
        </w:rPr>
        <w:t>2.</w:t>
      </w:r>
      <w:r w:rsidRPr="00905199">
        <w:rPr>
          <w:b/>
          <w:szCs w:val="22"/>
          <w:lang w:val="sk-SK"/>
        </w:rPr>
        <w:tab/>
        <w:t>KVALITATÍVNE A KVANTITATÍVNE ZLOŽENIE</w:t>
      </w:r>
    </w:p>
    <w:p w14:paraId="4A5B2305" w14:textId="77777777" w:rsidR="0000767D" w:rsidRPr="00905199" w:rsidRDefault="0000767D">
      <w:pPr>
        <w:rPr>
          <w:szCs w:val="22"/>
          <w:lang w:val="sk-SK"/>
        </w:rPr>
      </w:pPr>
    </w:p>
    <w:p w14:paraId="255B578D" w14:textId="24D61A01" w:rsidR="0000767D" w:rsidRPr="00905199" w:rsidRDefault="003607C1">
      <w:pPr>
        <w:pStyle w:val="EMEAEnBodyText"/>
        <w:rPr>
          <w:szCs w:val="22"/>
          <w:lang w:val="sk-SK"/>
        </w:rPr>
      </w:pPr>
      <w:r w:rsidRPr="00905199">
        <w:rPr>
          <w:szCs w:val="22"/>
          <w:lang w:val="sk-SK"/>
        </w:rPr>
        <w:t xml:space="preserve">Každá filmom obalená tableta obsahuje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30 mg </w:t>
      </w:r>
      <w:r w:rsidR="004F27D0">
        <w:rPr>
          <w:szCs w:val="22"/>
          <w:lang w:val="sk-SK"/>
        </w:rPr>
        <w:t>pseudoefedrínium-</w:t>
      </w:r>
      <w:r w:rsidRPr="00905199">
        <w:rPr>
          <w:szCs w:val="22"/>
          <w:lang w:val="sk-SK"/>
        </w:rPr>
        <w:t>chloridu.</w:t>
      </w:r>
      <w:bookmarkStart w:id="0" w:name="_GoBack"/>
      <w:bookmarkEnd w:id="0"/>
    </w:p>
    <w:p w14:paraId="3C3A82CE" w14:textId="77777777" w:rsidR="0000767D" w:rsidRPr="00905199" w:rsidRDefault="003607C1" w:rsidP="0044542B">
      <w:pPr>
        <w:pStyle w:val="EMEAEnBodyText"/>
        <w:autoSpaceDE w:val="0"/>
        <w:autoSpaceDN w:val="0"/>
        <w:adjustRightInd w:val="0"/>
        <w:spacing w:before="0" w:after="0"/>
        <w:rPr>
          <w:szCs w:val="22"/>
          <w:lang w:val="sk-SK"/>
        </w:rPr>
      </w:pPr>
      <w:r w:rsidRPr="00905199">
        <w:rPr>
          <w:szCs w:val="22"/>
          <w:lang w:val="sk-SK"/>
        </w:rPr>
        <w:t>Úplný zoznam pomocných látok, pozri časť 6.1.</w:t>
      </w:r>
    </w:p>
    <w:p w14:paraId="2BB8F6B9" w14:textId="77777777" w:rsidR="0000767D" w:rsidRPr="00905199" w:rsidRDefault="0000767D">
      <w:pPr>
        <w:rPr>
          <w:szCs w:val="22"/>
          <w:lang w:val="sk-SK"/>
        </w:rPr>
      </w:pPr>
    </w:p>
    <w:p w14:paraId="71DDE188" w14:textId="77777777" w:rsidR="0000767D" w:rsidRPr="00905199" w:rsidRDefault="0000767D">
      <w:pPr>
        <w:rPr>
          <w:szCs w:val="22"/>
          <w:lang w:val="sk-SK"/>
        </w:rPr>
      </w:pPr>
    </w:p>
    <w:p w14:paraId="682225CD" w14:textId="77777777" w:rsidR="0000767D" w:rsidRPr="00905199" w:rsidRDefault="003607C1">
      <w:pPr>
        <w:ind w:left="567" w:hanging="567"/>
        <w:rPr>
          <w:b/>
          <w:caps/>
          <w:szCs w:val="22"/>
          <w:lang w:val="sk-SK"/>
        </w:rPr>
      </w:pPr>
      <w:r w:rsidRPr="00905199">
        <w:rPr>
          <w:b/>
          <w:szCs w:val="22"/>
          <w:lang w:val="sk-SK"/>
        </w:rPr>
        <w:t>3.</w:t>
      </w:r>
      <w:r w:rsidRPr="00905199">
        <w:rPr>
          <w:b/>
          <w:szCs w:val="22"/>
          <w:lang w:val="sk-SK"/>
        </w:rPr>
        <w:tab/>
        <w:t>LIEKOVÁ FORMA</w:t>
      </w:r>
    </w:p>
    <w:p w14:paraId="01110C02" w14:textId="77777777" w:rsidR="0000767D" w:rsidRPr="00905199" w:rsidRDefault="0000767D">
      <w:pPr>
        <w:rPr>
          <w:szCs w:val="22"/>
          <w:lang w:val="sk-SK"/>
        </w:rPr>
      </w:pPr>
    </w:p>
    <w:p w14:paraId="060656BD" w14:textId="77777777" w:rsidR="0000767D" w:rsidRPr="00905199" w:rsidRDefault="003607C1">
      <w:pPr>
        <w:rPr>
          <w:szCs w:val="22"/>
          <w:lang w:val="sk-SK"/>
        </w:rPr>
      </w:pPr>
      <w:r w:rsidRPr="00905199">
        <w:rPr>
          <w:szCs w:val="22"/>
          <w:lang w:val="sk-SK"/>
        </w:rPr>
        <w:t>Filmom obalená tableta.</w:t>
      </w:r>
    </w:p>
    <w:p w14:paraId="3C3A3201" w14:textId="77777777" w:rsidR="0000767D" w:rsidRPr="00905199" w:rsidRDefault="003607C1">
      <w:pPr>
        <w:rPr>
          <w:szCs w:val="22"/>
          <w:lang w:val="sk-SK"/>
        </w:rPr>
      </w:pPr>
      <w:r w:rsidRPr="00905199">
        <w:rPr>
          <w:szCs w:val="22"/>
          <w:lang w:val="sk-SK"/>
        </w:rPr>
        <w:t xml:space="preserve">Žlté, okrúhle, filmom obalené tablety. </w:t>
      </w:r>
      <w:r w:rsidRPr="00905199">
        <w:rPr>
          <w:lang w:val="sk-SK"/>
        </w:rPr>
        <w:t xml:space="preserve">Priemer: približne 11 mm, </w:t>
      </w:r>
      <w:r w:rsidR="000A5984" w:rsidRPr="00905199">
        <w:rPr>
          <w:lang w:val="sk-SK"/>
        </w:rPr>
        <w:t>hrúbka</w:t>
      </w:r>
      <w:r w:rsidRPr="00905199">
        <w:rPr>
          <w:lang w:val="sk-SK"/>
        </w:rPr>
        <w:t>: približne 5 mm.</w:t>
      </w:r>
    </w:p>
    <w:p w14:paraId="1F9D2F2F" w14:textId="77777777" w:rsidR="0000767D" w:rsidRPr="00905199" w:rsidRDefault="0000767D">
      <w:pPr>
        <w:rPr>
          <w:szCs w:val="22"/>
          <w:lang w:val="sk-SK"/>
        </w:rPr>
      </w:pPr>
    </w:p>
    <w:p w14:paraId="6C27D7FE" w14:textId="77777777" w:rsidR="0044542B" w:rsidRPr="00905199" w:rsidRDefault="0044542B">
      <w:pPr>
        <w:rPr>
          <w:szCs w:val="22"/>
          <w:lang w:val="sk-SK"/>
        </w:rPr>
      </w:pPr>
    </w:p>
    <w:p w14:paraId="4F9614C6" w14:textId="77777777" w:rsidR="0000767D" w:rsidRPr="00905199" w:rsidRDefault="003607C1">
      <w:pPr>
        <w:ind w:left="567" w:hanging="567"/>
        <w:rPr>
          <w:caps/>
          <w:szCs w:val="22"/>
          <w:lang w:val="sk-SK"/>
        </w:rPr>
      </w:pPr>
      <w:r w:rsidRPr="00905199">
        <w:rPr>
          <w:b/>
          <w:caps/>
          <w:szCs w:val="22"/>
          <w:lang w:val="sk-SK"/>
        </w:rPr>
        <w:t>4.</w:t>
      </w:r>
      <w:r w:rsidRPr="00905199">
        <w:rPr>
          <w:b/>
          <w:caps/>
          <w:szCs w:val="22"/>
          <w:lang w:val="sk-SK"/>
        </w:rPr>
        <w:tab/>
        <w:t>KLINICKÉ ÚDAJE</w:t>
      </w:r>
    </w:p>
    <w:p w14:paraId="4BA7C02D" w14:textId="77777777" w:rsidR="0000767D" w:rsidRPr="00905199" w:rsidRDefault="0000767D">
      <w:pPr>
        <w:rPr>
          <w:szCs w:val="22"/>
          <w:lang w:val="sk-SK"/>
        </w:rPr>
      </w:pPr>
    </w:p>
    <w:p w14:paraId="7D846CCA" w14:textId="77777777" w:rsidR="0000767D" w:rsidRPr="00905199" w:rsidRDefault="003607C1">
      <w:pPr>
        <w:ind w:left="567" w:hanging="567"/>
        <w:rPr>
          <w:szCs w:val="22"/>
          <w:lang w:val="sk-SK"/>
        </w:rPr>
      </w:pPr>
      <w:r w:rsidRPr="00905199">
        <w:rPr>
          <w:b/>
          <w:szCs w:val="22"/>
          <w:lang w:val="sk-SK"/>
        </w:rPr>
        <w:t>4.1</w:t>
      </w:r>
      <w:r w:rsidRPr="00905199">
        <w:rPr>
          <w:b/>
          <w:szCs w:val="22"/>
          <w:lang w:val="sk-SK"/>
        </w:rPr>
        <w:tab/>
        <w:t>Terapeutické indikácie</w:t>
      </w:r>
    </w:p>
    <w:p w14:paraId="5C4E778B" w14:textId="77777777" w:rsidR="0000767D" w:rsidRPr="00905199" w:rsidRDefault="0000767D">
      <w:pPr>
        <w:rPr>
          <w:szCs w:val="22"/>
          <w:lang w:val="sk-SK"/>
        </w:rPr>
      </w:pPr>
    </w:p>
    <w:p w14:paraId="494CFA92" w14:textId="77777777" w:rsidR="0000767D" w:rsidRPr="00905199" w:rsidRDefault="003607C1">
      <w:pPr>
        <w:rPr>
          <w:szCs w:val="22"/>
          <w:lang w:val="sk-SK"/>
        </w:rPr>
      </w:pPr>
      <w:r w:rsidRPr="00905199">
        <w:rPr>
          <w:szCs w:val="22"/>
          <w:lang w:val="sk-SK"/>
        </w:rPr>
        <w:t>Symptomatická liečba upchatého nosa spojeného s akútnou rinosinusitídou s podozrením na vírusový pôvod, sprevádzaného bolesťou hlavy a/alebo horúčkou.</w:t>
      </w:r>
    </w:p>
    <w:p w14:paraId="29357C2C" w14:textId="77777777" w:rsidR="0000767D" w:rsidRPr="00905199" w:rsidRDefault="0000767D">
      <w:pPr>
        <w:rPr>
          <w:szCs w:val="22"/>
          <w:lang w:val="sk-SK"/>
        </w:rPr>
      </w:pPr>
    </w:p>
    <w:p w14:paraId="03E96241" w14:textId="77777777" w:rsidR="0000767D" w:rsidRPr="00905199" w:rsidRDefault="002654BB" w:rsidP="0044542B">
      <w:pPr>
        <w:tabs>
          <w:tab w:val="clear" w:pos="567"/>
        </w:tabs>
        <w:spacing w:line="240" w:lineRule="auto"/>
        <w:rPr>
          <w:szCs w:val="22"/>
          <w:lang w:val="sk-SK"/>
        </w:rPr>
      </w:pPr>
      <w:r w:rsidRPr="00905199">
        <w:rPr>
          <w:szCs w:val="22"/>
          <w:lang w:val="sk-SK"/>
        </w:rPr>
        <w:t>Grippecton 200 mg/30 mg</w:t>
      </w:r>
      <w:r w:rsidR="003607C1" w:rsidRPr="00905199">
        <w:rPr>
          <w:szCs w:val="22"/>
          <w:lang w:val="sk-SK"/>
        </w:rPr>
        <w:t xml:space="preserve"> je indikovaný u dospelých a dospievajúcich vo veku </w:t>
      </w:r>
      <w:r w:rsidR="003607C1" w:rsidRPr="00905199">
        <w:rPr>
          <w:noProof/>
          <w:szCs w:val="22"/>
          <w:lang w:val="sk-SK"/>
        </w:rPr>
        <w:t>15 rokov a starších.</w:t>
      </w:r>
    </w:p>
    <w:p w14:paraId="2B6B08EB" w14:textId="77777777" w:rsidR="0000767D" w:rsidRPr="00905199" w:rsidRDefault="0000767D">
      <w:pPr>
        <w:tabs>
          <w:tab w:val="clear" w:pos="567"/>
        </w:tabs>
        <w:spacing w:line="240" w:lineRule="auto"/>
        <w:rPr>
          <w:szCs w:val="22"/>
          <w:lang w:val="sk-SK"/>
        </w:rPr>
      </w:pPr>
    </w:p>
    <w:p w14:paraId="4441E6C7" w14:textId="77777777" w:rsidR="0000767D" w:rsidRPr="00905199" w:rsidRDefault="003607C1">
      <w:pPr>
        <w:ind w:left="567" w:hanging="567"/>
        <w:rPr>
          <w:b/>
          <w:szCs w:val="22"/>
          <w:lang w:val="sk-SK"/>
        </w:rPr>
      </w:pPr>
      <w:r w:rsidRPr="00905199">
        <w:rPr>
          <w:b/>
          <w:szCs w:val="22"/>
          <w:lang w:val="sk-SK"/>
        </w:rPr>
        <w:t>4.2</w:t>
      </w:r>
      <w:r w:rsidRPr="00905199">
        <w:rPr>
          <w:b/>
          <w:szCs w:val="22"/>
          <w:lang w:val="sk-SK"/>
        </w:rPr>
        <w:tab/>
        <w:t>Dávkovanie a spôsob podávania</w:t>
      </w:r>
    </w:p>
    <w:p w14:paraId="2F3F3E1B" w14:textId="77777777" w:rsidR="0000767D" w:rsidRPr="00905199" w:rsidRDefault="0000767D">
      <w:pPr>
        <w:ind w:left="567" w:hanging="567"/>
        <w:rPr>
          <w:szCs w:val="22"/>
          <w:lang w:val="sk-SK"/>
        </w:rPr>
      </w:pPr>
    </w:p>
    <w:p w14:paraId="283E552C" w14:textId="77777777" w:rsidR="0000767D" w:rsidRPr="00905199" w:rsidRDefault="003607C1">
      <w:pPr>
        <w:tabs>
          <w:tab w:val="clear" w:pos="567"/>
        </w:tabs>
        <w:spacing w:line="240" w:lineRule="auto"/>
        <w:rPr>
          <w:szCs w:val="22"/>
          <w:u w:val="single"/>
          <w:lang w:val="sk-SK"/>
        </w:rPr>
      </w:pPr>
      <w:r w:rsidRPr="00905199">
        <w:rPr>
          <w:szCs w:val="22"/>
          <w:u w:val="single"/>
          <w:lang w:val="sk-SK"/>
        </w:rPr>
        <w:t>Dávkovanie</w:t>
      </w:r>
    </w:p>
    <w:p w14:paraId="7A5637C5" w14:textId="77777777" w:rsidR="0000767D" w:rsidRPr="00905199" w:rsidRDefault="0000767D">
      <w:pPr>
        <w:tabs>
          <w:tab w:val="clear" w:pos="567"/>
        </w:tabs>
        <w:spacing w:line="240" w:lineRule="auto"/>
        <w:rPr>
          <w:szCs w:val="22"/>
          <w:u w:val="single"/>
          <w:lang w:val="sk-SK"/>
        </w:rPr>
      </w:pPr>
    </w:p>
    <w:p w14:paraId="58A68902" w14:textId="77777777" w:rsidR="0000767D" w:rsidRPr="00905199" w:rsidRDefault="003607C1">
      <w:pPr>
        <w:tabs>
          <w:tab w:val="clear" w:pos="567"/>
        </w:tabs>
        <w:spacing w:line="240" w:lineRule="auto"/>
        <w:rPr>
          <w:i/>
          <w:szCs w:val="22"/>
          <w:lang w:val="sk-SK"/>
        </w:rPr>
      </w:pPr>
      <w:r w:rsidRPr="00905199">
        <w:rPr>
          <w:i/>
          <w:szCs w:val="22"/>
          <w:lang w:val="sk-SK"/>
        </w:rPr>
        <w:t xml:space="preserve">Dospelí a dospievajúci vo veku </w:t>
      </w:r>
      <w:r w:rsidRPr="00905199">
        <w:rPr>
          <w:i/>
          <w:noProof/>
          <w:szCs w:val="22"/>
          <w:lang w:val="sk-SK"/>
        </w:rPr>
        <w:t>15 rokov a starší:</w:t>
      </w:r>
    </w:p>
    <w:p w14:paraId="07E30917" w14:textId="3C1AB49A" w:rsidR="0000767D" w:rsidRPr="00905199" w:rsidRDefault="000A5984">
      <w:pPr>
        <w:tabs>
          <w:tab w:val="clear" w:pos="567"/>
        </w:tabs>
        <w:spacing w:line="240" w:lineRule="auto"/>
        <w:rPr>
          <w:szCs w:val="22"/>
          <w:lang w:val="sk-SK"/>
        </w:rPr>
      </w:pPr>
      <w:r w:rsidRPr="00905199">
        <w:rPr>
          <w:szCs w:val="22"/>
          <w:lang w:val="sk-SK"/>
        </w:rPr>
        <w:t>Jedna</w:t>
      </w:r>
      <w:r w:rsidR="003607C1" w:rsidRPr="00905199">
        <w:rPr>
          <w:szCs w:val="22"/>
          <w:lang w:val="sk-SK"/>
        </w:rPr>
        <w:t xml:space="preserve"> tableta (čo zodpovedá 200 mg </w:t>
      </w:r>
      <w:r w:rsidR="00221A8D" w:rsidRPr="00905199">
        <w:rPr>
          <w:szCs w:val="22"/>
          <w:lang w:val="sk-SK"/>
        </w:rPr>
        <w:t>ibuprof</w:t>
      </w:r>
      <w:r w:rsidR="00221A8D">
        <w:rPr>
          <w:szCs w:val="22"/>
          <w:lang w:val="sk-SK"/>
        </w:rPr>
        <w:t>é</w:t>
      </w:r>
      <w:r w:rsidR="00221A8D" w:rsidRPr="00905199">
        <w:rPr>
          <w:szCs w:val="22"/>
          <w:lang w:val="sk-SK"/>
        </w:rPr>
        <w:t xml:space="preserve">nu </w:t>
      </w:r>
      <w:r w:rsidR="003607C1" w:rsidRPr="00905199">
        <w:rPr>
          <w:szCs w:val="22"/>
          <w:lang w:val="sk-SK"/>
        </w:rPr>
        <w:t xml:space="preserve">a 30 mg </w:t>
      </w:r>
      <w:r w:rsidR="004F27D0">
        <w:rPr>
          <w:szCs w:val="22"/>
          <w:lang w:val="sk-SK"/>
        </w:rPr>
        <w:t>pseudoefedrínium-</w:t>
      </w:r>
      <w:r w:rsidR="003607C1" w:rsidRPr="00905199">
        <w:rPr>
          <w:szCs w:val="22"/>
          <w:lang w:val="sk-SK"/>
        </w:rPr>
        <w:t>chloridu) každých 6 hodín</w:t>
      </w:r>
      <w:r w:rsidRPr="00905199">
        <w:rPr>
          <w:szCs w:val="22"/>
          <w:lang w:val="sk-SK"/>
        </w:rPr>
        <w:t xml:space="preserve"> podľa potreby</w:t>
      </w:r>
      <w:r w:rsidR="003607C1" w:rsidRPr="00905199">
        <w:rPr>
          <w:szCs w:val="22"/>
          <w:lang w:val="sk-SK"/>
        </w:rPr>
        <w:t>.</w:t>
      </w:r>
    </w:p>
    <w:p w14:paraId="2BE07865" w14:textId="01948E6F" w:rsidR="0000767D" w:rsidRPr="00905199" w:rsidRDefault="003607C1">
      <w:pPr>
        <w:rPr>
          <w:szCs w:val="22"/>
          <w:lang w:val="sk-SK"/>
        </w:rPr>
      </w:pPr>
      <w:r w:rsidRPr="00905199">
        <w:rPr>
          <w:szCs w:val="22"/>
          <w:lang w:val="sk-SK"/>
        </w:rPr>
        <w:t xml:space="preserve">Pri závažnejších príznakoch, 2 tablety (čo zodpovedá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60 mg </w:t>
      </w:r>
      <w:r w:rsidR="004F27D0">
        <w:rPr>
          <w:szCs w:val="22"/>
          <w:lang w:val="sk-SK"/>
        </w:rPr>
        <w:t>pseudoefedrínium-</w:t>
      </w:r>
      <w:r w:rsidRPr="00905199">
        <w:rPr>
          <w:szCs w:val="22"/>
          <w:lang w:val="sk-SK"/>
        </w:rPr>
        <w:t>chloridu) každých 6 hodín</w:t>
      </w:r>
      <w:r w:rsidR="000A5984" w:rsidRPr="00905199">
        <w:rPr>
          <w:szCs w:val="22"/>
          <w:lang w:val="sk-SK"/>
        </w:rPr>
        <w:t xml:space="preserve"> podľa potreby</w:t>
      </w:r>
      <w:r w:rsidRPr="00905199">
        <w:rPr>
          <w:szCs w:val="22"/>
          <w:lang w:val="sk-SK"/>
        </w:rPr>
        <w:t xml:space="preserve">, do maximálnej celkovej dennej dávky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180 mg </w:t>
      </w:r>
      <w:r w:rsidR="004F27D0">
        <w:rPr>
          <w:szCs w:val="22"/>
          <w:lang w:val="sk-SK"/>
        </w:rPr>
        <w:t>pseudoefedrínium-</w:t>
      </w:r>
      <w:r w:rsidRPr="00905199">
        <w:rPr>
          <w:szCs w:val="22"/>
          <w:lang w:val="sk-SK"/>
        </w:rPr>
        <w:t>chloridu).</w:t>
      </w:r>
    </w:p>
    <w:p w14:paraId="5D7787A4" w14:textId="3B28F7CA" w:rsidR="0000767D" w:rsidRPr="00905199" w:rsidRDefault="003607C1">
      <w:pPr>
        <w:rPr>
          <w:szCs w:val="22"/>
          <w:lang w:val="sk-SK"/>
        </w:rPr>
      </w:pPr>
      <w:r w:rsidRPr="00905199">
        <w:rPr>
          <w:szCs w:val="22"/>
          <w:lang w:val="sk-SK"/>
        </w:rPr>
        <w:t xml:space="preserve">Maximálna celková denná dávka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180 mg </w:t>
      </w:r>
      <w:r w:rsidR="004F27D0">
        <w:rPr>
          <w:szCs w:val="22"/>
          <w:lang w:val="sk-SK"/>
        </w:rPr>
        <w:t>pseudoefedrínium-</w:t>
      </w:r>
      <w:r w:rsidRPr="00905199">
        <w:rPr>
          <w:szCs w:val="22"/>
          <w:lang w:val="sk-SK"/>
        </w:rPr>
        <w:t>chloridu) sa nesmie prekročiť.</w:t>
      </w:r>
    </w:p>
    <w:p w14:paraId="4D9B8D52" w14:textId="77777777" w:rsidR="0000767D" w:rsidRPr="00905199" w:rsidRDefault="0000767D">
      <w:pPr>
        <w:rPr>
          <w:szCs w:val="22"/>
          <w:lang w:val="sk-SK"/>
        </w:rPr>
      </w:pPr>
    </w:p>
    <w:p w14:paraId="63896E76" w14:textId="77777777" w:rsidR="0000767D" w:rsidRPr="00905199" w:rsidRDefault="003607C1">
      <w:pPr>
        <w:rPr>
          <w:szCs w:val="22"/>
          <w:lang w:val="sk-SK"/>
        </w:rPr>
      </w:pPr>
      <w:r w:rsidRPr="00905199">
        <w:rPr>
          <w:szCs w:val="22"/>
          <w:lang w:val="sk-SK"/>
        </w:rPr>
        <w:t>Na krátkodobé použitie.</w:t>
      </w:r>
    </w:p>
    <w:p w14:paraId="2A5F7F62" w14:textId="77777777" w:rsidR="0000767D" w:rsidRPr="00905199" w:rsidRDefault="0000767D">
      <w:pPr>
        <w:rPr>
          <w:szCs w:val="22"/>
          <w:lang w:val="sk-SK"/>
        </w:rPr>
      </w:pPr>
    </w:p>
    <w:p w14:paraId="2CA69643" w14:textId="77777777" w:rsidR="0000767D" w:rsidRPr="00905199" w:rsidRDefault="003607C1">
      <w:pPr>
        <w:rPr>
          <w:szCs w:val="22"/>
          <w:lang w:val="sk-SK"/>
        </w:rPr>
      </w:pPr>
      <w:r w:rsidRPr="00905199">
        <w:rPr>
          <w:b/>
          <w:szCs w:val="22"/>
          <w:lang w:val="sk-SK"/>
        </w:rPr>
        <w:t>Pri zhoršení príznakov sa má pacient poradiť s lekárom. Maximálne trvanie liečby sú 4 dni pre dospelých a 3 dni pre dospievajúcich vo veku 15 rokov a starších.</w:t>
      </w:r>
    </w:p>
    <w:p w14:paraId="0DDF6302" w14:textId="77777777" w:rsidR="0000767D" w:rsidRPr="00905199" w:rsidRDefault="0000767D">
      <w:pPr>
        <w:rPr>
          <w:szCs w:val="22"/>
          <w:lang w:val="sk-SK"/>
        </w:rPr>
      </w:pPr>
    </w:p>
    <w:p w14:paraId="4DE5EEF6" w14:textId="77777777" w:rsidR="0000767D" w:rsidRPr="00905199" w:rsidRDefault="003607C1">
      <w:pPr>
        <w:rPr>
          <w:szCs w:val="22"/>
          <w:lang w:val="sk-SK"/>
        </w:rPr>
      </w:pPr>
      <w:r w:rsidRPr="00905199">
        <w:rPr>
          <w:szCs w:val="22"/>
          <w:lang w:val="sk-SK"/>
        </w:rPr>
        <w:t>Ak prevažuje jeden z príznakov, či už bolesť/horúčka alebo upchatý nos, má sa uprednostniť liečba jednozložkovým liekom.</w:t>
      </w:r>
    </w:p>
    <w:p w14:paraId="090D25CB" w14:textId="77777777" w:rsidR="0000767D" w:rsidRPr="00905199" w:rsidRDefault="0000767D">
      <w:pPr>
        <w:rPr>
          <w:szCs w:val="22"/>
          <w:lang w:val="sk-SK"/>
        </w:rPr>
      </w:pPr>
    </w:p>
    <w:p w14:paraId="46EC8190" w14:textId="3A448DD8" w:rsidR="0000767D" w:rsidRPr="00905199" w:rsidRDefault="005C257F">
      <w:pPr>
        <w:rPr>
          <w:szCs w:val="22"/>
          <w:lang w:val="sk-SK"/>
        </w:rPr>
      </w:pPr>
      <w:r w:rsidRPr="005C257F">
        <w:rPr>
          <w:szCs w:val="22"/>
          <w:lang w:val="sk-SK"/>
        </w:rPr>
        <w:t xml:space="preserve">Má sa použiť najnižšia účinná dávka počas najkratšieho obdobia, ktoré je potrebné na zmiernenie symptómov (pozri časť 4.4). </w:t>
      </w:r>
    </w:p>
    <w:p w14:paraId="7A33406F" w14:textId="77777777" w:rsidR="0000767D" w:rsidRPr="00905199" w:rsidRDefault="003607C1" w:rsidP="004F0E07">
      <w:pPr>
        <w:keepNext/>
        <w:rPr>
          <w:i/>
          <w:szCs w:val="22"/>
          <w:lang w:val="sk-SK"/>
        </w:rPr>
      </w:pPr>
      <w:r w:rsidRPr="00905199">
        <w:rPr>
          <w:i/>
          <w:szCs w:val="22"/>
          <w:lang w:val="sk-SK"/>
        </w:rPr>
        <w:lastRenderedPageBreak/>
        <w:t>Pediatrická populácia</w:t>
      </w:r>
    </w:p>
    <w:p w14:paraId="1B3BDB56" w14:textId="77777777" w:rsidR="0000767D" w:rsidRPr="00905199" w:rsidRDefault="002654BB" w:rsidP="004F0E07">
      <w:pPr>
        <w:keepNext/>
        <w:rPr>
          <w:szCs w:val="22"/>
          <w:lang w:val="sk-SK"/>
        </w:rPr>
      </w:pPr>
      <w:r w:rsidRPr="00905199">
        <w:rPr>
          <w:szCs w:val="22"/>
          <w:lang w:val="sk-SK"/>
        </w:rPr>
        <w:t>Grippecton 200 mg/30 mg</w:t>
      </w:r>
      <w:r w:rsidR="003607C1" w:rsidRPr="00905199">
        <w:rPr>
          <w:szCs w:val="22"/>
          <w:lang w:val="sk-SK"/>
        </w:rPr>
        <w:t xml:space="preserve"> je kontraindikovaný u pediatrických pacientov mladších ako 15 rokov (pozri časť 4.3).</w:t>
      </w:r>
    </w:p>
    <w:p w14:paraId="625A3334" w14:textId="77777777" w:rsidR="0000767D" w:rsidRPr="00905199" w:rsidRDefault="0000767D" w:rsidP="00AD7007">
      <w:pPr>
        <w:tabs>
          <w:tab w:val="clear" w:pos="567"/>
        </w:tabs>
        <w:spacing w:line="240" w:lineRule="auto"/>
        <w:rPr>
          <w:szCs w:val="22"/>
          <w:lang w:val="sk-SK"/>
        </w:rPr>
      </w:pPr>
    </w:p>
    <w:p w14:paraId="396B3E3D" w14:textId="77777777" w:rsidR="0000767D" w:rsidRPr="00905199" w:rsidRDefault="003607C1">
      <w:pPr>
        <w:rPr>
          <w:szCs w:val="22"/>
          <w:u w:val="single"/>
          <w:lang w:val="sk-SK"/>
        </w:rPr>
      </w:pPr>
      <w:r w:rsidRPr="00905199">
        <w:rPr>
          <w:szCs w:val="22"/>
          <w:u w:val="single"/>
          <w:lang w:val="sk-SK"/>
        </w:rPr>
        <w:t>Spôsob podávania</w:t>
      </w:r>
    </w:p>
    <w:p w14:paraId="623F76A9" w14:textId="77777777" w:rsidR="0000767D" w:rsidRPr="00905199" w:rsidRDefault="003607C1">
      <w:pPr>
        <w:rPr>
          <w:szCs w:val="22"/>
          <w:lang w:val="sk-SK"/>
        </w:rPr>
      </w:pPr>
      <w:r w:rsidRPr="00905199">
        <w:rPr>
          <w:szCs w:val="22"/>
          <w:lang w:val="sk-SK"/>
        </w:rPr>
        <w:t>Na perorálne použitie.</w:t>
      </w:r>
    </w:p>
    <w:p w14:paraId="37B81CB1" w14:textId="77777777" w:rsidR="0000767D" w:rsidRPr="00905199" w:rsidRDefault="003607C1" w:rsidP="0044542B">
      <w:pPr>
        <w:rPr>
          <w:szCs w:val="22"/>
          <w:lang w:val="sk-SK"/>
        </w:rPr>
      </w:pPr>
      <w:r w:rsidRPr="00905199">
        <w:rPr>
          <w:szCs w:val="22"/>
          <w:lang w:val="sk-SK"/>
        </w:rPr>
        <w:t>Tablety sa majú prehltnúť celé bez rozžuvania a zapiť veľkým pohárom vody, najlepšie počas jedla.</w:t>
      </w:r>
    </w:p>
    <w:p w14:paraId="2D319056" w14:textId="77777777" w:rsidR="0000767D" w:rsidRPr="00905199" w:rsidRDefault="0000767D">
      <w:pPr>
        <w:tabs>
          <w:tab w:val="clear" w:pos="567"/>
        </w:tabs>
        <w:spacing w:line="240" w:lineRule="auto"/>
        <w:rPr>
          <w:szCs w:val="22"/>
          <w:lang w:val="sk-SK"/>
        </w:rPr>
      </w:pPr>
    </w:p>
    <w:p w14:paraId="617B0B82" w14:textId="77777777" w:rsidR="0000767D" w:rsidRPr="00905199" w:rsidRDefault="003607C1">
      <w:pPr>
        <w:ind w:left="567" w:hanging="567"/>
        <w:rPr>
          <w:szCs w:val="22"/>
          <w:lang w:val="sk-SK"/>
        </w:rPr>
      </w:pPr>
      <w:r w:rsidRPr="00905199">
        <w:rPr>
          <w:b/>
          <w:szCs w:val="22"/>
          <w:lang w:val="sk-SK"/>
        </w:rPr>
        <w:t>4.3</w:t>
      </w:r>
      <w:r w:rsidRPr="00905199">
        <w:rPr>
          <w:b/>
          <w:szCs w:val="22"/>
          <w:lang w:val="sk-SK"/>
        </w:rPr>
        <w:tab/>
        <w:t>Kontraindikácie</w:t>
      </w:r>
    </w:p>
    <w:p w14:paraId="48755304" w14:textId="77777777" w:rsidR="0000767D" w:rsidRPr="00905199" w:rsidRDefault="0000767D">
      <w:pPr>
        <w:rPr>
          <w:szCs w:val="22"/>
          <w:lang w:val="sk-SK"/>
        </w:rPr>
      </w:pPr>
    </w:p>
    <w:p w14:paraId="57FEA3A8" w14:textId="73026F6F"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Precitlivenosť na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xml:space="preserve">, </w:t>
      </w:r>
      <w:r w:rsidR="004F27D0">
        <w:rPr>
          <w:sz w:val="22"/>
          <w:szCs w:val="22"/>
          <w:lang w:val="sk-SK"/>
        </w:rPr>
        <w:t>pseudoefedrínium-</w:t>
      </w:r>
      <w:r w:rsidRPr="00905199">
        <w:rPr>
          <w:sz w:val="22"/>
          <w:szCs w:val="22"/>
          <w:lang w:val="sk-SK"/>
        </w:rPr>
        <w:t>chlorid alebo na ktorúkoľvek z pomocných látok uvedených v časti 6.1,</w:t>
      </w:r>
    </w:p>
    <w:p w14:paraId="5ED950C0"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vo veku do 15 rokov,</w:t>
      </w:r>
    </w:p>
    <w:p w14:paraId="51FBC518"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Tehotné ženy počas tretieho trimestra gravidity (pozri časť 4.6),</w:t>
      </w:r>
    </w:p>
    <w:p w14:paraId="42C50069"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Dojčiace ženy (pozri časť 4.6),</w:t>
      </w:r>
    </w:p>
    <w:p w14:paraId="1AAD9C0E"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s reakciami precitlivenosti (napr. bronchospazmus, astma, rinitída, angioedém alebo žihľavka) na kyselinu acetylsalicylovú alebo na iné nesteroidové protizápalové liečivá (NSAID) v anamnéze,</w:t>
      </w:r>
    </w:p>
    <w:p w14:paraId="11488BBF"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Gastrointestinálne krvácanie alebo perforácia, ktorá súvisela s predchádzajúcou liečbou NSAID v anamnéze,</w:t>
      </w:r>
    </w:p>
    <w:p w14:paraId="2725DCE1"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Aktívny peptický vred alebo rekurentný vred/krvácanie (dve alebo viac odlišných epizód preukázaných vredov alebo krvácania) v anamnéze,</w:t>
      </w:r>
    </w:p>
    <w:p w14:paraId="729769F1"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Cerebrovaskulárne alebo iné krvácanie,</w:t>
      </w:r>
    </w:p>
    <w:p w14:paraId="35C84A52"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Neobjasnené poruchy krvotvorby,</w:t>
      </w:r>
    </w:p>
    <w:p w14:paraId="5FD80AB9"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Ťažká insuficiencia</w:t>
      </w:r>
      <w:r w:rsidR="00FF7302" w:rsidRPr="00905199">
        <w:rPr>
          <w:sz w:val="22"/>
          <w:szCs w:val="22"/>
          <w:lang w:val="sk-SK"/>
        </w:rPr>
        <w:t xml:space="preserve"> pečene</w:t>
      </w:r>
      <w:r w:rsidRPr="00905199">
        <w:rPr>
          <w:sz w:val="22"/>
          <w:szCs w:val="22"/>
          <w:lang w:val="sk-SK"/>
        </w:rPr>
        <w:t>,</w:t>
      </w:r>
    </w:p>
    <w:p w14:paraId="7E203A5D"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obličiek,</w:t>
      </w:r>
    </w:p>
    <w:p w14:paraId="356BF5DA"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srdca,</w:t>
      </w:r>
    </w:p>
    <w:p w14:paraId="09C36D9D"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kardiovaskulárne poruchy, koronárne ochorenie srdca (ochorenie srdca, hypertenzia, angína pe</w:t>
      </w:r>
      <w:r w:rsidR="00FF7302" w:rsidRPr="00905199">
        <w:rPr>
          <w:sz w:val="22"/>
          <w:szCs w:val="22"/>
          <w:lang w:val="sk-SK"/>
        </w:rPr>
        <w:t>k</w:t>
      </w:r>
      <w:r w:rsidRPr="00905199">
        <w:rPr>
          <w:sz w:val="22"/>
          <w:szCs w:val="22"/>
          <w:lang w:val="sk-SK"/>
        </w:rPr>
        <w:t>toris) tachykardia, hypertyreoidizmus, cukrovka, feochromocytóm,</w:t>
      </w:r>
    </w:p>
    <w:p w14:paraId="2950C31A" w14:textId="3F79D89B"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Cievna mozgová príhoda v anamnéze alebo prítomnosť rizikových faktorov vzniku mozgovej cievnej príhody (z dôvodu α-sympatomimetickej aktivity </w:t>
      </w:r>
      <w:r w:rsidR="004F27D0">
        <w:rPr>
          <w:sz w:val="22"/>
          <w:szCs w:val="22"/>
          <w:lang w:val="sk-SK"/>
        </w:rPr>
        <w:t>pseudoefedrínium-</w:t>
      </w:r>
      <w:r w:rsidRPr="00905199">
        <w:rPr>
          <w:sz w:val="22"/>
          <w:szCs w:val="22"/>
          <w:lang w:val="sk-SK"/>
        </w:rPr>
        <w:t>chloridu),</w:t>
      </w:r>
    </w:p>
    <w:p w14:paraId="1A599696"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glaukómu s uzavretým uhlom,</w:t>
      </w:r>
    </w:p>
    <w:p w14:paraId="79F2BFAC"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retencie moču spojené s uretro-prostatickými poruchami,</w:t>
      </w:r>
    </w:p>
    <w:p w14:paraId="70B018C0"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Infarkt myokardu v anamnéze,</w:t>
      </w:r>
    </w:p>
    <w:p w14:paraId="2EB273EA"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Záchvaty v anamnéze,</w:t>
      </w:r>
    </w:p>
    <w:p w14:paraId="0F159CB8"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Systémový lupus erythematosus,</w:t>
      </w:r>
    </w:p>
    <w:p w14:paraId="4B2A07F9"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Súbežné používanie iných vazokonstrikčných látok používaných ako nosové dekongestíva, či už perorálne podávané alebo podávané do nosa (napr. fenylpropanolamín, fenylefrín a efedrín) a metylfenidátu (pozri časť 4.5),</w:t>
      </w:r>
    </w:p>
    <w:p w14:paraId="2680C016" w14:textId="77777777" w:rsidR="0000767D" w:rsidRPr="00905199" w:rsidRDefault="003607C1">
      <w:pPr>
        <w:pStyle w:val="Default"/>
        <w:widowControl w:val="0"/>
        <w:numPr>
          <w:ilvl w:val="0"/>
          <w:numId w:val="39"/>
        </w:numPr>
        <w:ind w:left="284" w:hanging="284"/>
        <w:rPr>
          <w:sz w:val="22"/>
          <w:szCs w:val="22"/>
          <w:lang w:val="sk-SK"/>
        </w:rPr>
      </w:pPr>
      <w:r w:rsidRPr="00905199">
        <w:rPr>
          <w:sz w:val="22"/>
          <w:szCs w:val="22"/>
          <w:lang w:val="sk-SK"/>
        </w:rPr>
        <w:t>Súbežné používanie neselektívnych inhibítorov monoaminooxidázy (IMAO) (iproniazid) (pozri časť 4.5) alebo používanie inhibítorov monoaminooxidázy v priebehu posledných dvoch týždňov.</w:t>
      </w:r>
    </w:p>
    <w:p w14:paraId="3455E3A9" w14:textId="77777777" w:rsidR="0000767D" w:rsidRPr="00905199" w:rsidRDefault="0000767D">
      <w:pPr>
        <w:pStyle w:val="Default"/>
        <w:widowControl w:val="0"/>
        <w:ind w:left="284"/>
        <w:rPr>
          <w:sz w:val="22"/>
          <w:szCs w:val="22"/>
          <w:lang w:val="sk-SK"/>
        </w:rPr>
      </w:pPr>
    </w:p>
    <w:p w14:paraId="5E0B91CD" w14:textId="77777777" w:rsidR="0000767D" w:rsidRPr="00905199" w:rsidRDefault="003607C1">
      <w:pPr>
        <w:ind w:left="567" w:hanging="567"/>
        <w:rPr>
          <w:b/>
          <w:szCs w:val="22"/>
          <w:lang w:val="sk-SK"/>
        </w:rPr>
      </w:pPr>
      <w:r w:rsidRPr="00905199">
        <w:rPr>
          <w:b/>
          <w:szCs w:val="22"/>
          <w:lang w:val="sk-SK"/>
        </w:rPr>
        <w:t>4.4</w:t>
      </w:r>
      <w:r w:rsidRPr="00905199">
        <w:rPr>
          <w:b/>
          <w:szCs w:val="22"/>
          <w:lang w:val="sk-SK"/>
        </w:rPr>
        <w:tab/>
        <w:t>Osobitné upozornenia a opatrenia pri používaní</w:t>
      </w:r>
    </w:p>
    <w:p w14:paraId="7CE54348" w14:textId="77777777" w:rsidR="0000767D" w:rsidRPr="00905199" w:rsidRDefault="0000767D">
      <w:pPr>
        <w:ind w:left="284" w:hanging="284"/>
        <w:rPr>
          <w:szCs w:val="22"/>
          <w:lang w:val="sk-SK"/>
        </w:rPr>
      </w:pPr>
    </w:p>
    <w:p w14:paraId="02530AE2" w14:textId="77777777" w:rsidR="0000767D" w:rsidRPr="00905199" w:rsidRDefault="003607C1">
      <w:pPr>
        <w:rPr>
          <w:szCs w:val="22"/>
          <w:lang w:val="sk-SK"/>
        </w:rPr>
      </w:pPr>
      <w:r w:rsidRPr="00905199">
        <w:rPr>
          <w:szCs w:val="22"/>
          <w:lang w:val="sk-SK"/>
        </w:rPr>
        <w:t xml:space="preserve">Súbežnému používaniu </w:t>
      </w:r>
      <w:r w:rsidR="002654BB" w:rsidRPr="00905199">
        <w:rPr>
          <w:szCs w:val="22"/>
          <w:lang w:val="sk-SK"/>
        </w:rPr>
        <w:t>Grippecton</w:t>
      </w:r>
      <w:r w:rsidR="00FF7302" w:rsidRPr="00905199">
        <w:rPr>
          <w:szCs w:val="22"/>
          <w:lang w:val="sk-SK"/>
        </w:rPr>
        <w:t>u</w:t>
      </w:r>
      <w:r w:rsidR="002654BB" w:rsidRPr="00905199">
        <w:rPr>
          <w:szCs w:val="22"/>
          <w:lang w:val="sk-SK"/>
        </w:rPr>
        <w:t xml:space="preserve"> 200 mg/30 mg</w:t>
      </w:r>
      <w:r w:rsidRPr="00905199">
        <w:rPr>
          <w:szCs w:val="22"/>
          <w:lang w:val="sk-SK"/>
        </w:rPr>
        <w:t xml:space="preserve"> s inými NSAID, vrátane selektívnych inhibítorov cyklooxygenázy COX</w:t>
      </w:r>
      <w:r w:rsidRPr="00905199">
        <w:rPr>
          <w:szCs w:val="22"/>
          <w:lang w:val="sk-SK"/>
        </w:rPr>
        <w:noBreakHyphen/>
        <w:t>2, sa treba vyhnúť.</w:t>
      </w:r>
    </w:p>
    <w:p w14:paraId="46D53EF7" w14:textId="77777777" w:rsidR="0000767D" w:rsidRPr="00905199" w:rsidRDefault="0000767D">
      <w:pPr>
        <w:rPr>
          <w:szCs w:val="22"/>
          <w:lang w:val="sk-SK"/>
        </w:rPr>
      </w:pPr>
    </w:p>
    <w:p w14:paraId="7DDD72C7" w14:textId="77777777" w:rsidR="0000767D" w:rsidRPr="00905199" w:rsidRDefault="003607C1">
      <w:pPr>
        <w:rPr>
          <w:szCs w:val="22"/>
          <w:lang w:val="sk-SK"/>
        </w:rPr>
      </w:pPr>
      <w:r w:rsidRPr="00905199">
        <w:rPr>
          <w:szCs w:val="22"/>
          <w:lang w:val="sk-SK"/>
        </w:rPr>
        <w:lastRenderedPageBreak/>
        <w:t>Nežiaduce účinky sa môžu zmierniť použitím minimálnej účinnej dávky počas čo najkratšieho času potrebného na potlačenie príznakov (pozri "</w:t>
      </w:r>
      <w:r w:rsidRPr="00905199">
        <w:rPr>
          <w:iCs/>
          <w:lang w:val="sk-SK"/>
        </w:rPr>
        <w:t>Účinky na gastrointestinálny trakt</w:t>
      </w:r>
      <w:r w:rsidRPr="00905199">
        <w:rPr>
          <w:szCs w:val="22"/>
          <w:lang w:val="sk-SK"/>
        </w:rPr>
        <w:t>" a "Kardiovaskulárne a cerebrovaskulárne účinky" nižšie).</w:t>
      </w:r>
    </w:p>
    <w:p w14:paraId="33894676" w14:textId="77777777" w:rsidR="0000767D" w:rsidRPr="00905199" w:rsidRDefault="0000767D">
      <w:pPr>
        <w:rPr>
          <w:szCs w:val="22"/>
          <w:lang w:val="sk-SK"/>
        </w:rPr>
      </w:pPr>
    </w:p>
    <w:p w14:paraId="3460F49C" w14:textId="77777777"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 príznaky pretrvávajú dlhšie, ako je maximálne odporúčané trvanie liečby týmto liekom (4 dni pre dospelých a 3 dni pre dospievajúcich), liečba sa má prehodnotiť a predovšetkým sa má zvážiť prospešnosť liečby antibiotikami.</w:t>
      </w:r>
    </w:p>
    <w:p w14:paraId="0694D30D" w14:textId="77777777"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14:paraId="16714D0D" w14:textId="77777777"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Akútna rinosinusitída s podozrením na vírusový pôvod sa vyznačuje obojstrannými rinologickými príznakmi strednej závažnosti s prevládajúcim upchatím nosa, so závažnou alebo puriformnou rinoreou, a vyskytuje sa v epidemickom kontexte. Puriformný vzhľad rinorey je častý a systematicky nezodpovedá bakteriálnej superinfekcii.</w:t>
      </w:r>
    </w:p>
    <w:p w14:paraId="13A5AF76" w14:textId="77777777"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14:paraId="5648FD22" w14:textId="77777777"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Bolesť dutín počas prvých dní ochorenia súvisí s upchatím sliznice dutín (akútna kongestívna rinosinusitída) a najčastejšie ustúpi spontánne.</w:t>
      </w:r>
    </w:p>
    <w:p w14:paraId="4923F531" w14:textId="77777777"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14:paraId="03822B9A" w14:textId="77777777" w:rsidR="0000767D" w:rsidRPr="00F93CCF"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V prípade akútnej bakteriálnej s</w:t>
      </w:r>
      <w:r w:rsidR="00905199">
        <w:rPr>
          <w:szCs w:val="22"/>
          <w:lang w:val="sk-SK"/>
        </w:rPr>
        <w:t>i</w:t>
      </w:r>
      <w:r w:rsidRPr="00905199">
        <w:rPr>
          <w:szCs w:val="22"/>
          <w:lang w:val="sk-SK"/>
        </w:rPr>
        <w:t>nusitíd</w:t>
      </w:r>
      <w:r w:rsidRPr="00684ADF">
        <w:rPr>
          <w:szCs w:val="22"/>
          <w:lang w:val="sk-SK"/>
        </w:rPr>
        <w:t>y je odôvodnená liečba antibiotikami.</w:t>
      </w:r>
    </w:p>
    <w:p w14:paraId="33CF5B68" w14:textId="77777777" w:rsidR="0000767D" w:rsidRDefault="0000767D">
      <w:pPr>
        <w:rPr>
          <w:szCs w:val="22"/>
          <w:lang w:val="sk-SK"/>
        </w:rPr>
      </w:pPr>
    </w:p>
    <w:p w14:paraId="34F281EB" w14:textId="77777777" w:rsidR="00C4240F" w:rsidRPr="006955DE" w:rsidRDefault="00C4240F" w:rsidP="00C4240F">
      <w:pPr>
        <w:keepNext/>
        <w:spacing w:line="240" w:lineRule="auto"/>
        <w:ind w:right="-23"/>
        <w:rPr>
          <w:szCs w:val="26"/>
          <w:u w:val="single"/>
          <w:lang w:val="sk-SK"/>
        </w:rPr>
      </w:pPr>
      <w:r w:rsidRPr="006955DE">
        <w:rPr>
          <w:szCs w:val="26"/>
          <w:u w:val="single"/>
          <w:lang w:val="sk-SK"/>
        </w:rPr>
        <w:t>Závažné kožné reakcie</w:t>
      </w:r>
    </w:p>
    <w:p w14:paraId="566EE5BE" w14:textId="77777777" w:rsidR="00C4240F" w:rsidRPr="006955DE" w:rsidRDefault="00C4240F" w:rsidP="00C4240F">
      <w:pPr>
        <w:keepNext/>
        <w:spacing w:line="240" w:lineRule="auto"/>
        <w:ind w:right="-23"/>
        <w:rPr>
          <w:u w:val="single"/>
          <w:lang w:val="sk-SK"/>
        </w:rPr>
      </w:pPr>
    </w:p>
    <w:p w14:paraId="77708DE6" w14:textId="77777777" w:rsidR="00C4240F" w:rsidRPr="006955DE" w:rsidRDefault="00C4240F" w:rsidP="00C4240F">
      <w:pPr>
        <w:keepNext/>
        <w:spacing w:line="240" w:lineRule="auto"/>
        <w:ind w:right="-23"/>
        <w:rPr>
          <w:lang w:val="sk-SK"/>
        </w:rPr>
      </w:pPr>
      <w:r w:rsidRPr="006955DE">
        <w:rPr>
          <w:szCs w:val="26"/>
          <w:lang w:val="sk-SK"/>
        </w:rPr>
        <w:t xml:space="preserve">Pri užívaní liekov </w:t>
      </w:r>
      <w:r w:rsidR="00584CD1" w:rsidRPr="006955DE">
        <w:rPr>
          <w:szCs w:val="26"/>
          <w:lang w:val="sk-SK"/>
        </w:rPr>
        <w:t>obsahujúcich</w:t>
      </w:r>
      <w:r w:rsidRPr="006955DE">
        <w:rPr>
          <w:szCs w:val="26"/>
          <w:lang w:val="sk-SK"/>
        </w:rPr>
        <w:t xml:space="preserve"> </w:t>
      </w:r>
      <w:r w:rsidR="006E44A9" w:rsidRPr="006955DE">
        <w:rPr>
          <w:szCs w:val="26"/>
          <w:lang w:val="sk-SK"/>
        </w:rPr>
        <w:t>ibuprof</w:t>
      </w:r>
      <w:r w:rsidR="00221A8D">
        <w:rPr>
          <w:szCs w:val="26"/>
          <w:lang w:val="sk-SK"/>
        </w:rPr>
        <w:t>é</w:t>
      </w:r>
      <w:r w:rsidR="006E44A9" w:rsidRPr="006955DE">
        <w:rPr>
          <w:szCs w:val="26"/>
          <w:lang w:val="sk-SK"/>
        </w:rPr>
        <w:t xml:space="preserve">n a </w:t>
      </w:r>
      <w:r w:rsidRPr="006955DE">
        <w:rPr>
          <w:szCs w:val="26"/>
          <w:lang w:val="sk-SK"/>
        </w:rPr>
        <w:t>pseudoefedrín sa môžu vyskytnúť závažné kožné reakcie, ako je akútna generalizovaná exant</w:t>
      </w:r>
      <w:r w:rsidR="00743C8D">
        <w:rPr>
          <w:szCs w:val="26"/>
          <w:lang w:val="sk-SK"/>
        </w:rPr>
        <w:t>ematózna</w:t>
      </w:r>
      <w:r w:rsidRPr="006955DE">
        <w:rPr>
          <w:szCs w:val="26"/>
          <w:lang w:val="sk-SK"/>
        </w:rPr>
        <w:t xml:space="preserve"> pustulóza (AGEP). Táto akútna pustul</w:t>
      </w:r>
      <w:r w:rsidR="00743C8D">
        <w:rPr>
          <w:szCs w:val="26"/>
          <w:lang w:val="sk-SK"/>
        </w:rPr>
        <w:t>óz</w:t>
      </w:r>
      <w:r w:rsidRPr="006955DE">
        <w:rPr>
          <w:szCs w:val="26"/>
          <w:lang w:val="sk-SK"/>
        </w:rPr>
        <w:t>na erupcia sa môže vyskytnúť počas prvých 2 dní liečby, s horúčkou a veľkým počtom malých, predovšetkým nefolikulárnych pustúl objavujúcich sa na rozšírenom edematóznom erytéme a predovšetkým lokalizovaných na kožných záhyboch, trupe a horných končatinách. Pacient musí byť dôkladne monitorovaný. Ak sa objavia prejavy a príznaky ako sú zvýšená telesná teplota, erytém alebo veľké množstvo malých pustúl, podávanie Grippectonu sa musí ukončiť a musia byť prijaté náležité opatrenia.</w:t>
      </w:r>
    </w:p>
    <w:p w14:paraId="3400B5A1" w14:textId="77777777" w:rsidR="00C4240F" w:rsidRPr="00905199" w:rsidRDefault="00C4240F">
      <w:pPr>
        <w:rPr>
          <w:szCs w:val="22"/>
          <w:lang w:val="sk-SK"/>
        </w:rPr>
      </w:pPr>
    </w:p>
    <w:p w14:paraId="1A44ABBF" w14:textId="40777FB6" w:rsidR="0000767D" w:rsidRPr="00905199" w:rsidRDefault="003607C1">
      <w:pPr>
        <w:ind w:left="284" w:hanging="284"/>
        <w:rPr>
          <w:b/>
          <w:bCs/>
          <w:iCs/>
          <w:szCs w:val="22"/>
          <w:lang w:val="sk-SK"/>
        </w:rPr>
      </w:pPr>
      <w:r w:rsidRPr="00905199">
        <w:rPr>
          <w:b/>
          <w:bCs/>
          <w:i/>
          <w:iCs/>
          <w:szCs w:val="22"/>
          <w:lang w:val="sk-SK"/>
        </w:rPr>
        <w:t xml:space="preserve">Osobitné upozornenia súvisiace s </w:t>
      </w:r>
      <w:r w:rsidR="004F27D0">
        <w:rPr>
          <w:b/>
          <w:bCs/>
          <w:i/>
          <w:iCs/>
          <w:szCs w:val="22"/>
          <w:lang w:val="sk-SK"/>
        </w:rPr>
        <w:t>pseudoefedrínium-</w:t>
      </w:r>
      <w:r w:rsidRPr="00905199">
        <w:rPr>
          <w:b/>
          <w:bCs/>
          <w:i/>
          <w:iCs/>
          <w:szCs w:val="22"/>
          <w:lang w:val="sk-SK"/>
        </w:rPr>
        <w:t>chloridom:</w:t>
      </w:r>
    </w:p>
    <w:p w14:paraId="577D7216" w14:textId="77777777" w:rsidR="0000767D" w:rsidRPr="00905199" w:rsidRDefault="0000767D">
      <w:pPr>
        <w:ind w:left="284" w:hanging="284"/>
        <w:rPr>
          <w:szCs w:val="22"/>
          <w:lang w:val="sk-SK"/>
        </w:rPr>
      </w:pPr>
    </w:p>
    <w:p w14:paraId="028E9C93"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Dávkovanie, odporúčané maximálne trvanie liečby (4 dni pre dospelých a 3 dni pre dospievajúcich) a kontraindikácie sa musia striktne dodržiavať (pozri časť 4.8).</w:t>
      </w:r>
    </w:p>
    <w:p w14:paraId="34195A11" w14:textId="77777777"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Pacienti majú byť informovaní, že liečba sa musí ukončiť, ak sa u nich vyvinie hypertenzia, tachykardia, palpitácie, srdcové arytmie, nauzea alebo akékoľvek neurologické príznaky, ako je nástup alebo zhoršenie bolesti hlavy.</w:t>
      </w:r>
    </w:p>
    <w:p w14:paraId="4BA10D87" w14:textId="77777777" w:rsidR="0000767D" w:rsidRPr="00905199" w:rsidRDefault="0000767D">
      <w:pPr>
        <w:pStyle w:val="Default"/>
        <w:widowControl w:val="0"/>
        <w:spacing w:after="87"/>
        <w:rPr>
          <w:sz w:val="22"/>
          <w:szCs w:val="22"/>
          <w:lang w:val="sk-SK"/>
        </w:rPr>
      </w:pPr>
    </w:p>
    <w:p w14:paraId="7C90CC3B" w14:textId="77777777" w:rsidR="0000767D" w:rsidRPr="00905199" w:rsidRDefault="003607C1">
      <w:pPr>
        <w:rPr>
          <w:szCs w:val="22"/>
          <w:lang w:val="sk-SK"/>
        </w:rPr>
      </w:pPr>
      <w:r w:rsidRPr="00905199">
        <w:rPr>
          <w:szCs w:val="22"/>
          <w:lang w:val="sk-SK"/>
        </w:rPr>
        <w:t>Pred použitím tohto lieku majú pacienti kontaktovať svojho lekára v prípade:</w:t>
      </w:r>
    </w:p>
    <w:p w14:paraId="59F7EB9E" w14:textId="77777777" w:rsidR="0000767D" w:rsidRPr="00905199" w:rsidRDefault="0000767D">
      <w:pPr>
        <w:rPr>
          <w:szCs w:val="22"/>
          <w:lang w:val="sk-SK"/>
        </w:rPr>
      </w:pPr>
    </w:p>
    <w:p w14:paraId="1716F3BA"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Hypertenzie, ochorenia srdca, hypertyreoidizmu, psychózy alebo cukrovky,</w:t>
      </w:r>
    </w:p>
    <w:p w14:paraId="6690EC8D"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Súbežného podávania antimigrenóznych </w:t>
      </w:r>
      <w:r w:rsidR="00FF7302" w:rsidRPr="00905199">
        <w:rPr>
          <w:sz w:val="22"/>
          <w:szCs w:val="22"/>
          <w:lang w:val="sk-SK"/>
        </w:rPr>
        <w:t>liekov</w:t>
      </w:r>
      <w:r w:rsidRPr="00905199">
        <w:rPr>
          <w:sz w:val="22"/>
          <w:szCs w:val="22"/>
          <w:lang w:val="sk-SK"/>
        </w:rPr>
        <w:t>, hlavne vazokonstriktorov ergotamínových alkaloidov (z dôvodu α-sympatomimetickej aktivity pseudoefedrínu),</w:t>
      </w:r>
    </w:p>
    <w:p w14:paraId="60CFD016"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Zmiešaných ochorení spojivových tkanív – tie zvyšujú riziko aseptickej meningitídy (pozri časť 4.8),</w:t>
      </w:r>
    </w:p>
    <w:p w14:paraId="1F6EC74B" w14:textId="77777777"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Neurologických príznakov ako sú záchvaty, halucinácie, poruchy správania, agitácia a insomnia, ktoré boli popísané po systémovom podaní vazokonstriktorov, najmä počas febrilných epizód alebo pri predávkovaní. Tieto symptómy sa častejšie hlásia u pediatrickej populácii.</w:t>
      </w:r>
    </w:p>
    <w:p w14:paraId="77E03FEA" w14:textId="77777777" w:rsidR="0000767D" w:rsidRPr="00905199" w:rsidRDefault="0000767D">
      <w:pPr>
        <w:pStyle w:val="Default"/>
        <w:widowControl w:val="0"/>
        <w:spacing w:after="87"/>
        <w:rPr>
          <w:sz w:val="22"/>
          <w:szCs w:val="22"/>
          <w:lang w:val="sk-SK"/>
        </w:rPr>
      </w:pPr>
    </w:p>
    <w:p w14:paraId="7100F2A2" w14:textId="77777777" w:rsidR="0000767D" w:rsidRPr="00905199" w:rsidRDefault="003607C1" w:rsidP="004F0E07">
      <w:pPr>
        <w:pStyle w:val="Default"/>
        <w:widowControl w:val="0"/>
        <w:ind w:left="284"/>
        <w:rPr>
          <w:sz w:val="22"/>
          <w:szCs w:val="22"/>
          <w:lang w:val="sk-SK"/>
        </w:rPr>
      </w:pPr>
      <w:r w:rsidRPr="00905199">
        <w:rPr>
          <w:sz w:val="22"/>
          <w:szCs w:val="22"/>
          <w:lang w:val="sk-SK"/>
        </w:rPr>
        <w:t>V dôsledku toho je vhodné:</w:t>
      </w:r>
    </w:p>
    <w:p w14:paraId="4C693028" w14:textId="77777777" w:rsidR="0000767D" w:rsidRPr="00905199" w:rsidRDefault="0000767D">
      <w:pPr>
        <w:rPr>
          <w:szCs w:val="22"/>
          <w:lang w:val="sk-SK"/>
        </w:rPr>
      </w:pPr>
    </w:p>
    <w:p w14:paraId="7A693962"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vyhnúť sa podaniu </w:t>
      </w:r>
      <w:r w:rsidR="002654BB" w:rsidRPr="00905199">
        <w:rPr>
          <w:sz w:val="22"/>
          <w:szCs w:val="22"/>
          <w:lang w:val="sk-SK"/>
        </w:rPr>
        <w:t>Grippecton</w:t>
      </w:r>
      <w:r w:rsidR="00FF7302"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buď v kombinácii s liekmi, ktoré môžu znižovať epileptogénny prah, ako sú deriváty terpénov, klobutinol, liečivá podobné atropínu a lokálne anestetiká, alebo v prípade záchvatov v anamnéze,</w:t>
      </w:r>
    </w:p>
    <w:p w14:paraId="31CB500D" w14:textId="77777777"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 xml:space="preserve">vo všetkých prípadoch striktne dodržiavať odporučené dávkovanie a informovať pacientov o riziku predávkovania, ak sa </w:t>
      </w:r>
      <w:r w:rsidR="002654BB" w:rsidRPr="00905199">
        <w:rPr>
          <w:sz w:val="22"/>
          <w:szCs w:val="22"/>
          <w:lang w:val="sk-SK"/>
        </w:rPr>
        <w:t>Grippecton 200 mg/30 mg</w:t>
      </w:r>
      <w:r w:rsidRPr="00905199">
        <w:rPr>
          <w:sz w:val="22"/>
          <w:szCs w:val="22"/>
          <w:lang w:val="sk-SK"/>
        </w:rPr>
        <w:t xml:space="preserve"> užíva súbežne s inými liekmi obsahujúcimi </w:t>
      </w:r>
      <w:r w:rsidRPr="00905199">
        <w:rPr>
          <w:sz w:val="22"/>
          <w:szCs w:val="22"/>
          <w:lang w:val="sk-SK"/>
        </w:rPr>
        <w:lastRenderedPageBreak/>
        <w:t>vazokonstriktory.</w:t>
      </w:r>
    </w:p>
    <w:p w14:paraId="5FCAC87B" w14:textId="77777777" w:rsidR="0000767D" w:rsidRPr="00905199" w:rsidRDefault="0000767D">
      <w:pPr>
        <w:pStyle w:val="Default"/>
        <w:widowControl w:val="0"/>
        <w:spacing w:after="87"/>
        <w:ind w:left="284"/>
        <w:rPr>
          <w:sz w:val="22"/>
          <w:szCs w:val="22"/>
          <w:lang w:val="sk-SK"/>
        </w:rPr>
      </w:pPr>
    </w:p>
    <w:p w14:paraId="0179F4A6" w14:textId="77777777" w:rsidR="0000767D" w:rsidRPr="00905199" w:rsidRDefault="003607C1">
      <w:pPr>
        <w:rPr>
          <w:szCs w:val="22"/>
          <w:lang w:val="sk-SK"/>
        </w:rPr>
      </w:pPr>
      <w:r w:rsidRPr="00905199">
        <w:rPr>
          <w:szCs w:val="22"/>
          <w:lang w:val="sk-SK"/>
        </w:rPr>
        <w:t>Pacienti s uretro-prostatickými poruchami sú náchylnejší na rozvoj symptómov, ako je dyzúria a retencia moču.</w:t>
      </w:r>
    </w:p>
    <w:p w14:paraId="3EAB2F3D" w14:textId="77777777" w:rsidR="0000767D" w:rsidRPr="00905199" w:rsidRDefault="0000767D">
      <w:pPr>
        <w:rPr>
          <w:szCs w:val="22"/>
          <w:lang w:val="sk-SK"/>
        </w:rPr>
      </w:pPr>
    </w:p>
    <w:p w14:paraId="48401412" w14:textId="77777777" w:rsidR="0000767D" w:rsidRDefault="003607C1">
      <w:pPr>
        <w:rPr>
          <w:szCs w:val="22"/>
          <w:lang w:val="sk-SK"/>
        </w:rPr>
      </w:pPr>
      <w:r w:rsidRPr="00905199">
        <w:rPr>
          <w:szCs w:val="22"/>
          <w:lang w:val="sk-SK"/>
        </w:rPr>
        <w:t>Starší pacienti môžu byť citlivejší na účinky na centrálny nervový systém (CNS).</w:t>
      </w:r>
    </w:p>
    <w:p w14:paraId="5D4EE4D5" w14:textId="77777777" w:rsidR="00B43EB5" w:rsidRDefault="00B43EB5">
      <w:pPr>
        <w:rPr>
          <w:szCs w:val="22"/>
          <w:lang w:val="sk-SK"/>
        </w:rPr>
      </w:pPr>
    </w:p>
    <w:p w14:paraId="36ADA79B" w14:textId="77777777" w:rsidR="00B73B6F" w:rsidRPr="00CD2ADC" w:rsidRDefault="00B73B6F">
      <w:pPr>
        <w:rPr>
          <w:szCs w:val="22"/>
          <w:u w:val="single"/>
          <w:lang w:val="sk-SK"/>
        </w:rPr>
      </w:pPr>
      <w:r w:rsidRPr="00CD2ADC">
        <w:rPr>
          <w:szCs w:val="22"/>
          <w:u w:val="single"/>
          <w:lang w:val="sk-SK"/>
        </w:rPr>
        <w:t>Ischemická kolitída</w:t>
      </w:r>
    </w:p>
    <w:p w14:paraId="3F03B22F" w14:textId="77777777" w:rsidR="00B73B6F" w:rsidRPr="00B862C8" w:rsidRDefault="00997506">
      <w:pPr>
        <w:rPr>
          <w:szCs w:val="22"/>
          <w:lang w:val="sk-SK"/>
        </w:rPr>
      </w:pPr>
      <w:r>
        <w:rPr>
          <w:szCs w:val="22"/>
          <w:lang w:val="sk-SK"/>
        </w:rPr>
        <w:t>V súvislosti s</w:t>
      </w:r>
      <w:r w:rsidR="00B73B6F" w:rsidRPr="00B73B6F">
        <w:rPr>
          <w:szCs w:val="22"/>
          <w:lang w:val="sk-SK"/>
        </w:rPr>
        <w:t xml:space="preserve"> </w:t>
      </w:r>
      <w:r w:rsidR="00B73B6F">
        <w:rPr>
          <w:szCs w:val="22"/>
          <w:lang w:val="sk-SK"/>
        </w:rPr>
        <w:t>u</w:t>
      </w:r>
      <w:r w:rsidR="00B73B6F" w:rsidRPr="00B73B6F">
        <w:rPr>
          <w:szCs w:val="22"/>
          <w:lang w:val="sk-SK"/>
        </w:rPr>
        <w:t>žívaní</w:t>
      </w:r>
      <w:r>
        <w:rPr>
          <w:szCs w:val="22"/>
          <w:lang w:val="sk-SK"/>
        </w:rPr>
        <w:t>m</w:t>
      </w:r>
      <w:r w:rsidR="00B73B6F" w:rsidRPr="00B73B6F">
        <w:rPr>
          <w:szCs w:val="22"/>
          <w:lang w:val="sk-SK"/>
        </w:rPr>
        <w:t xml:space="preserve"> </w:t>
      </w:r>
      <w:r w:rsidR="00B73B6F" w:rsidRPr="00B862C8">
        <w:rPr>
          <w:szCs w:val="22"/>
          <w:lang w:val="sk-SK"/>
        </w:rPr>
        <w:t>pseudoefedrínu bol</w:t>
      </w:r>
      <w:r>
        <w:rPr>
          <w:szCs w:val="22"/>
          <w:lang w:val="sk-SK"/>
        </w:rPr>
        <w:t>o</w:t>
      </w:r>
      <w:r w:rsidR="00B73B6F" w:rsidRPr="00B862C8">
        <w:rPr>
          <w:szCs w:val="22"/>
          <w:lang w:val="sk-SK"/>
        </w:rPr>
        <w:t xml:space="preserve"> hlásen</w:t>
      </w:r>
      <w:r>
        <w:rPr>
          <w:szCs w:val="22"/>
          <w:lang w:val="sk-SK"/>
        </w:rPr>
        <w:t>ých</w:t>
      </w:r>
      <w:r w:rsidR="00B73B6F" w:rsidRPr="00B862C8">
        <w:rPr>
          <w:szCs w:val="22"/>
          <w:lang w:val="sk-SK"/>
        </w:rPr>
        <w:t xml:space="preserve"> niek</w:t>
      </w:r>
      <w:r>
        <w:rPr>
          <w:szCs w:val="22"/>
          <w:lang w:val="sk-SK"/>
        </w:rPr>
        <w:t>oľko</w:t>
      </w:r>
      <w:r w:rsidR="00B73B6F" w:rsidRPr="00B862C8">
        <w:rPr>
          <w:szCs w:val="22"/>
          <w:lang w:val="sk-SK"/>
        </w:rPr>
        <w:t xml:space="preserve"> prípad</w:t>
      </w:r>
      <w:r>
        <w:rPr>
          <w:szCs w:val="22"/>
          <w:lang w:val="sk-SK"/>
        </w:rPr>
        <w:t>ov</w:t>
      </w:r>
      <w:r w:rsidR="00B73B6F" w:rsidRPr="00B862C8">
        <w:rPr>
          <w:szCs w:val="22"/>
          <w:lang w:val="sk-SK"/>
        </w:rPr>
        <w:t xml:space="preserve"> ischemickej kolitídy. </w:t>
      </w:r>
      <w:r w:rsidR="00B73B6F">
        <w:rPr>
          <w:szCs w:val="22"/>
          <w:lang w:val="sk-SK"/>
        </w:rPr>
        <w:t xml:space="preserve">Ak sa </w:t>
      </w:r>
      <w:r w:rsidR="00B862C8">
        <w:rPr>
          <w:szCs w:val="22"/>
          <w:lang w:val="sk-SK"/>
        </w:rPr>
        <w:t>vy</w:t>
      </w:r>
      <w:r>
        <w:rPr>
          <w:szCs w:val="22"/>
          <w:lang w:val="sk-SK"/>
        </w:rPr>
        <w:t>skytnú</w:t>
      </w:r>
      <w:r w:rsidR="00B862C8">
        <w:rPr>
          <w:szCs w:val="22"/>
          <w:lang w:val="sk-SK"/>
        </w:rPr>
        <w:t xml:space="preserve"> náhl</w:t>
      </w:r>
      <w:r>
        <w:rPr>
          <w:szCs w:val="22"/>
          <w:lang w:val="sk-SK"/>
        </w:rPr>
        <w:t>e</w:t>
      </w:r>
      <w:r w:rsidR="00B73B6F">
        <w:rPr>
          <w:szCs w:val="22"/>
          <w:lang w:val="sk-SK"/>
        </w:rPr>
        <w:t xml:space="preserve"> </w:t>
      </w:r>
      <w:r>
        <w:rPr>
          <w:szCs w:val="22"/>
          <w:lang w:val="sk-SK"/>
        </w:rPr>
        <w:t xml:space="preserve">abdominálne </w:t>
      </w:r>
      <w:r w:rsidR="00B73B6F">
        <w:rPr>
          <w:szCs w:val="22"/>
          <w:lang w:val="sk-SK"/>
        </w:rPr>
        <w:t>boles</w:t>
      </w:r>
      <w:r>
        <w:rPr>
          <w:szCs w:val="22"/>
          <w:lang w:val="sk-SK"/>
        </w:rPr>
        <w:t>ti</w:t>
      </w:r>
      <w:r w:rsidR="00B73B6F">
        <w:rPr>
          <w:szCs w:val="22"/>
          <w:lang w:val="sk-SK"/>
        </w:rPr>
        <w:t xml:space="preserve">, rektálne krvácanie alebo iné príznaky ischemickej kolitídy, </w:t>
      </w:r>
      <w:r>
        <w:rPr>
          <w:szCs w:val="22"/>
          <w:lang w:val="sk-SK"/>
        </w:rPr>
        <w:t>uží</w:t>
      </w:r>
      <w:r w:rsidR="00B73B6F">
        <w:rPr>
          <w:szCs w:val="22"/>
          <w:lang w:val="sk-SK"/>
        </w:rPr>
        <w:t>vanie pseudoefedrínu sa m</w:t>
      </w:r>
      <w:r>
        <w:rPr>
          <w:szCs w:val="22"/>
          <w:lang w:val="sk-SK"/>
        </w:rPr>
        <w:t>á</w:t>
      </w:r>
      <w:r w:rsidR="00B73B6F">
        <w:rPr>
          <w:szCs w:val="22"/>
          <w:lang w:val="sk-SK"/>
        </w:rPr>
        <w:t xml:space="preserve"> prerušiť a</w:t>
      </w:r>
      <w:r>
        <w:rPr>
          <w:szCs w:val="22"/>
          <w:lang w:val="sk-SK"/>
        </w:rPr>
        <w:t> je potrebné</w:t>
      </w:r>
      <w:r w:rsidR="00B73B6F">
        <w:rPr>
          <w:szCs w:val="22"/>
          <w:lang w:val="sk-SK"/>
        </w:rPr>
        <w:t xml:space="preserve"> vyhľadať lekárska pomoc.</w:t>
      </w:r>
    </w:p>
    <w:p w14:paraId="0BD79CDA" w14:textId="77777777" w:rsidR="00CE4401" w:rsidRDefault="00CE4401" w:rsidP="00CE4401">
      <w:pPr>
        <w:ind w:left="284" w:hanging="284"/>
        <w:rPr>
          <w:szCs w:val="22"/>
          <w:u w:val="single"/>
          <w:lang w:val="sk-SK"/>
        </w:rPr>
      </w:pPr>
    </w:p>
    <w:p w14:paraId="69A9209F" w14:textId="77777777" w:rsidR="00CE4401" w:rsidRPr="00332AF8" w:rsidRDefault="00CE4401">
      <w:pPr>
        <w:ind w:left="284" w:hanging="284"/>
        <w:rPr>
          <w:szCs w:val="22"/>
          <w:u w:val="single"/>
          <w:lang w:val="sk-SK"/>
        </w:rPr>
      </w:pPr>
      <w:r w:rsidRPr="00332AF8">
        <w:rPr>
          <w:szCs w:val="22"/>
          <w:u w:val="single"/>
          <w:lang w:val="sk-SK"/>
        </w:rPr>
        <w:t>Ischemická očná neuropatia</w:t>
      </w:r>
    </w:p>
    <w:p w14:paraId="18557444" w14:textId="77777777" w:rsidR="00CE4401" w:rsidRPr="00D54032" w:rsidRDefault="00CE4401" w:rsidP="00CE4401">
      <w:pPr>
        <w:ind w:left="284" w:hanging="284"/>
        <w:rPr>
          <w:szCs w:val="22"/>
          <w:lang w:val="sk-SK"/>
        </w:rPr>
      </w:pPr>
      <w:r w:rsidRPr="00D54032">
        <w:rPr>
          <w:szCs w:val="22"/>
          <w:lang w:val="sk-SK"/>
        </w:rPr>
        <w:t xml:space="preserve">Pri pseudoefedríne boli hlásené prípady ischemickej očnej neuropatie. V prípade náhlej straty zraku </w:t>
      </w:r>
    </w:p>
    <w:p w14:paraId="215A1BE3" w14:textId="77777777" w:rsidR="00CE4401" w:rsidRDefault="00CE4401" w:rsidP="00CE4401">
      <w:pPr>
        <w:ind w:left="284" w:hanging="284"/>
        <w:rPr>
          <w:szCs w:val="22"/>
          <w:lang w:val="sk-SK"/>
        </w:rPr>
      </w:pPr>
      <w:r w:rsidRPr="00D54032">
        <w:rPr>
          <w:szCs w:val="22"/>
          <w:lang w:val="sk-SK"/>
        </w:rPr>
        <w:t>alebo zníženej zrakovej ostrosti, ako napríklad skotóm, sa má pseudoefedrín vysadiť.</w:t>
      </w:r>
    </w:p>
    <w:p w14:paraId="18EC9C5F" w14:textId="77777777" w:rsidR="00B73B6F" w:rsidRPr="00905199" w:rsidRDefault="00B73B6F">
      <w:pPr>
        <w:rPr>
          <w:szCs w:val="22"/>
          <w:lang w:val="sk-SK"/>
        </w:rPr>
      </w:pPr>
    </w:p>
    <w:p w14:paraId="4837B83C" w14:textId="436B34F2" w:rsidR="0000767D" w:rsidRPr="00905199" w:rsidRDefault="003607C1">
      <w:pPr>
        <w:ind w:left="284" w:hanging="284"/>
        <w:rPr>
          <w:b/>
          <w:bCs/>
          <w:i/>
          <w:iCs/>
          <w:szCs w:val="22"/>
          <w:lang w:val="sk-SK"/>
        </w:rPr>
      </w:pPr>
      <w:r w:rsidRPr="00905199">
        <w:rPr>
          <w:b/>
          <w:bCs/>
          <w:i/>
          <w:iCs/>
          <w:szCs w:val="22"/>
          <w:lang w:val="sk-SK"/>
        </w:rPr>
        <w:t xml:space="preserve">Opatrenia pri používaní, ktoré súvisia s </w:t>
      </w:r>
      <w:r w:rsidR="004F27D0">
        <w:rPr>
          <w:b/>
          <w:bCs/>
          <w:i/>
          <w:iCs/>
          <w:szCs w:val="22"/>
          <w:lang w:val="sk-SK"/>
        </w:rPr>
        <w:t>pseudoefedrínium-</w:t>
      </w:r>
      <w:r w:rsidRPr="00905199">
        <w:rPr>
          <w:b/>
          <w:bCs/>
          <w:i/>
          <w:iCs/>
          <w:szCs w:val="22"/>
          <w:lang w:val="sk-SK"/>
        </w:rPr>
        <w:t>chloridom:</w:t>
      </w:r>
    </w:p>
    <w:p w14:paraId="1CA3B9D4" w14:textId="77777777" w:rsidR="0000767D" w:rsidRPr="00905199" w:rsidRDefault="0000767D">
      <w:pPr>
        <w:ind w:left="284" w:hanging="284"/>
        <w:rPr>
          <w:szCs w:val="22"/>
          <w:lang w:val="sk-SK"/>
        </w:rPr>
      </w:pPr>
    </w:p>
    <w:p w14:paraId="501CC04C" w14:textId="77777777"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U pacientov, ktorí majú podstúpiť plánovaný chirurgický výkon, pri ktorom sa budú používať prchavé halogénované anestetiká, je vhodnejšie liečbu </w:t>
      </w:r>
      <w:r w:rsidR="002654BB" w:rsidRPr="00905199">
        <w:rPr>
          <w:sz w:val="22"/>
          <w:szCs w:val="22"/>
          <w:lang w:val="sk-SK"/>
        </w:rPr>
        <w:t>Grippecton</w:t>
      </w:r>
      <w:r w:rsidR="00476327" w:rsidRPr="00905199">
        <w:rPr>
          <w:sz w:val="22"/>
          <w:szCs w:val="22"/>
          <w:lang w:val="sk-SK"/>
        </w:rPr>
        <w:t>om</w:t>
      </w:r>
      <w:r w:rsidR="002654BB" w:rsidRPr="00905199">
        <w:rPr>
          <w:sz w:val="22"/>
          <w:szCs w:val="22"/>
          <w:lang w:val="sk-SK"/>
        </w:rPr>
        <w:t xml:space="preserve"> 200 mg/30 mg</w:t>
      </w:r>
      <w:r w:rsidRPr="00905199">
        <w:rPr>
          <w:sz w:val="22"/>
          <w:szCs w:val="22"/>
          <w:lang w:val="sk-SK"/>
        </w:rPr>
        <w:t xml:space="preserve"> ukončiť niekoľko dní pred chirurgickým výkonom s ohľadom na riziko vzniku akútnej hypertenzie (pozri časť 4.5).</w:t>
      </w:r>
    </w:p>
    <w:p w14:paraId="7A0A0BFB" w14:textId="02DAFADD"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Atléti majú byť informovaní, že liečba </w:t>
      </w:r>
      <w:r w:rsidR="004F27D0">
        <w:rPr>
          <w:sz w:val="22"/>
          <w:szCs w:val="22"/>
          <w:lang w:val="sk-SK"/>
        </w:rPr>
        <w:t>pseudoefedrínium-</w:t>
      </w:r>
      <w:r w:rsidRPr="00905199">
        <w:rPr>
          <w:sz w:val="22"/>
          <w:szCs w:val="22"/>
          <w:lang w:val="sk-SK"/>
        </w:rPr>
        <w:t>chloridom môže viesť k pozitívnym výsledkom antidopingových testov.</w:t>
      </w:r>
    </w:p>
    <w:p w14:paraId="6E7A9D5C" w14:textId="77777777" w:rsidR="0000767D" w:rsidRPr="00905199" w:rsidRDefault="0000767D" w:rsidP="00AD7007">
      <w:pPr>
        <w:rPr>
          <w:szCs w:val="22"/>
          <w:lang w:val="sk-SK"/>
        </w:rPr>
      </w:pPr>
    </w:p>
    <w:p w14:paraId="70F3B1F4" w14:textId="77777777" w:rsidR="0000767D" w:rsidRPr="00905199" w:rsidRDefault="003607C1">
      <w:pPr>
        <w:ind w:left="284" w:hanging="284"/>
        <w:rPr>
          <w:szCs w:val="22"/>
          <w:u w:val="single"/>
          <w:lang w:val="sk-SK"/>
        </w:rPr>
      </w:pPr>
      <w:r w:rsidRPr="00905199">
        <w:rPr>
          <w:szCs w:val="22"/>
          <w:u w:val="single"/>
          <w:lang w:val="sk-SK"/>
        </w:rPr>
        <w:t>Interferencia so sérologickými testami</w:t>
      </w:r>
    </w:p>
    <w:p w14:paraId="4FFECE42" w14:textId="77777777" w:rsidR="0000767D" w:rsidRPr="00905199" w:rsidRDefault="0000767D">
      <w:pPr>
        <w:ind w:left="284" w:hanging="284"/>
        <w:rPr>
          <w:szCs w:val="22"/>
          <w:lang w:val="sk-SK"/>
        </w:rPr>
      </w:pPr>
    </w:p>
    <w:p w14:paraId="7D3B941D" w14:textId="77777777" w:rsidR="0000767D" w:rsidRPr="00905199" w:rsidRDefault="003607C1">
      <w:pPr>
        <w:rPr>
          <w:szCs w:val="22"/>
          <w:lang w:val="sk-SK"/>
        </w:rPr>
      </w:pPr>
      <w:r w:rsidRPr="00905199">
        <w:rPr>
          <w:szCs w:val="22"/>
          <w:lang w:val="sk-SK"/>
        </w:rPr>
        <w:t>Pseudoefedrín má potenciál znižovať spätné vychytávanie jobenguánu </w:t>
      </w:r>
      <w:r w:rsidR="00064D60" w:rsidRPr="00AD7007">
        <w:rPr>
          <w:szCs w:val="22"/>
          <w:vertAlign w:val="superscript"/>
          <w:lang w:val="sk-SK"/>
        </w:rPr>
        <w:t>131</w:t>
      </w:r>
      <w:r w:rsidR="00064D60" w:rsidRPr="00AD7007">
        <w:rPr>
          <w:szCs w:val="22"/>
          <w:lang w:val="sk-SK"/>
        </w:rPr>
        <w:t>I</w:t>
      </w:r>
      <w:r w:rsidRPr="00905199">
        <w:rPr>
          <w:szCs w:val="22"/>
          <w:lang w:val="sk-SK"/>
        </w:rPr>
        <w:t xml:space="preserve"> v neuroendokrinných</w:t>
      </w:r>
      <w:r w:rsidRPr="00684ADF">
        <w:rPr>
          <w:szCs w:val="22"/>
          <w:lang w:val="sk-SK"/>
        </w:rPr>
        <w:t xml:space="preserve"> nádoroch, teda interferuje so scintigrafiou.</w:t>
      </w:r>
    </w:p>
    <w:p w14:paraId="71AE0A14" w14:textId="77777777" w:rsidR="0000767D" w:rsidRPr="00905199" w:rsidRDefault="0000767D">
      <w:pPr>
        <w:ind w:left="284" w:hanging="284"/>
        <w:rPr>
          <w:szCs w:val="22"/>
          <w:lang w:val="sk-SK"/>
        </w:rPr>
      </w:pPr>
    </w:p>
    <w:p w14:paraId="3CC590AF" w14:textId="77777777" w:rsidR="0000767D" w:rsidRPr="00905199" w:rsidRDefault="003607C1">
      <w:pPr>
        <w:ind w:left="284" w:hanging="284"/>
        <w:rPr>
          <w:b/>
          <w:bCs/>
          <w:i/>
          <w:iCs/>
          <w:szCs w:val="22"/>
          <w:lang w:val="sk-SK"/>
        </w:rPr>
      </w:pPr>
      <w:r w:rsidRPr="00905199">
        <w:rPr>
          <w:b/>
          <w:bCs/>
          <w:i/>
          <w:iCs/>
          <w:szCs w:val="22"/>
          <w:lang w:val="sk-SK"/>
        </w:rPr>
        <w:t xml:space="preserve">Osobitné upozornenia súvisiace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14:paraId="024C6750" w14:textId="77777777" w:rsidR="0000767D" w:rsidRPr="00905199" w:rsidRDefault="0000767D">
      <w:pPr>
        <w:ind w:left="284" w:hanging="284"/>
        <w:rPr>
          <w:szCs w:val="22"/>
          <w:lang w:val="sk-SK"/>
        </w:rPr>
      </w:pPr>
    </w:p>
    <w:p w14:paraId="48242474" w14:textId="77777777" w:rsidR="0000767D" w:rsidRPr="00905199" w:rsidRDefault="003607C1">
      <w:pPr>
        <w:rPr>
          <w:szCs w:val="22"/>
          <w:lang w:val="sk-SK"/>
        </w:rPr>
      </w:pPr>
      <w:r w:rsidRPr="00905199">
        <w:rPr>
          <w:szCs w:val="22"/>
          <w:lang w:val="sk-SK"/>
        </w:rPr>
        <w:t>Vznik bronchospazmu môže byť urýchlený u pacientov trpiacich bronchiálnou astmou alebo alergickým ochorením alebo s týmito ochoreniami v anamnéze. Liek sa v prípadoch astmy nemá užívať bez predošlej konzultácie s lekárom (pozri časť 4.3).</w:t>
      </w:r>
    </w:p>
    <w:p w14:paraId="2D975F6B" w14:textId="77777777" w:rsidR="0000767D" w:rsidRPr="00905199" w:rsidRDefault="0000767D">
      <w:pPr>
        <w:rPr>
          <w:szCs w:val="22"/>
          <w:lang w:val="sk-SK"/>
        </w:rPr>
      </w:pPr>
    </w:p>
    <w:p w14:paraId="23345E38" w14:textId="77777777" w:rsidR="0000767D" w:rsidRPr="00905199" w:rsidRDefault="003607C1">
      <w:pPr>
        <w:rPr>
          <w:szCs w:val="22"/>
          <w:lang w:val="sk-SK"/>
        </w:rPr>
      </w:pPr>
      <w:r w:rsidRPr="00905199">
        <w:rPr>
          <w:szCs w:val="22"/>
          <w:lang w:val="sk-SK"/>
        </w:rPr>
        <w:t xml:space="preserve">Pacienti, ktorí majú astmu spojenú s chronickou rinitídou, chronickou sinusitídou a/alebo nosovými polypmi majú pri užívaní kyseliny acetylsalicylovej a/alebo NSAID vyššie riziko vzniku alergických reakcií. Podávanie </w:t>
      </w:r>
      <w:r w:rsidR="002654BB" w:rsidRPr="00905199">
        <w:rPr>
          <w:szCs w:val="22"/>
          <w:lang w:val="sk-SK"/>
        </w:rPr>
        <w:t>Grippecton</w:t>
      </w:r>
      <w:r w:rsidR="00476327" w:rsidRPr="00905199">
        <w:rPr>
          <w:szCs w:val="22"/>
          <w:lang w:val="sk-SK"/>
        </w:rPr>
        <w:t>u</w:t>
      </w:r>
      <w:r w:rsidR="002654BB" w:rsidRPr="00905199">
        <w:rPr>
          <w:szCs w:val="22"/>
          <w:lang w:val="sk-SK"/>
        </w:rPr>
        <w:t xml:space="preserve"> 200 mg/30 mg</w:t>
      </w:r>
      <w:r w:rsidRPr="00905199">
        <w:rPr>
          <w:szCs w:val="22"/>
          <w:lang w:val="sk-SK"/>
        </w:rPr>
        <w:t xml:space="preserve"> môže vyvolať akútny záchvat astmy, zvlášť u niektorých pacientov, ktorí sú alergickí na kyselinu acetylsalicylovú alebo na NSAID (pozri časť 4.3).</w:t>
      </w:r>
    </w:p>
    <w:p w14:paraId="2B0F55B9" w14:textId="77777777" w:rsidR="0000767D" w:rsidRPr="00905199" w:rsidRDefault="0000767D">
      <w:pPr>
        <w:rPr>
          <w:szCs w:val="22"/>
          <w:lang w:val="sk-SK"/>
        </w:rPr>
      </w:pPr>
    </w:p>
    <w:p w14:paraId="065869B6" w14:textId="77777777" w:rsidR="0000767D" w:rsidRPr="00905199" w:rsidRDefault="003607C1">
      <w:pPr>
        <w:rPr>
          <w:szCs w:val="22"/>
          <w:lang w:val="sk-SK"/>
        </w:rPr>
      </w:pPr>
      <w:r w:rsidRPr="00905199">
        <w:rPr>
          <w:szCs w:val="22"/>
          <w:lang w:val="sk-SK"/>
        </w:rPr>
        <w:t xml:space="preserve">Dlhšie používanie akýchkoľvek liekov proti bolesti hlavy môže </w:t>
      </w:r>
      <w:r w:rsidR="00476327" w:rsidRPr="00905199">
        <w:rPr>
          <w:szCs w:val="22"/>
          <w:lang w:val="sk-SK"/>
        </w:rPr>
        <w:t>bolesť hlavy</w:t>
      </w:r>
      <w:r w:rsidRPr="00905199">
        <w:rPr>
          <w:szCs w:val="22"/>
          <w:lang w:val="sk-SK"/>
        </w:rPr>
        <w:t xml:space="preserve"> zhoršovať. V prípade výskytu t</w:t>
      </w:r>
      <w:r w:rsidR="00476327" w:rsidRPr="00905199">
        <w:rPr>
          <w:szCs w:val="22"/>
          <w:lang w:val="sk-SK"/>
        </w:rPr>
        <w:t>ohto stavu</w:t>
      </w:r>
      <w:r w:rsidRPr="00905199">
        <w:rPr>
          <w:szCs w:val="22"/>
          <w:lang w:val="sk-SK"/>
        </w:rPr>
        <w:t xml:space="preserve"> alebo v prípade podozrenia na</w:t>
      </w:r>
      <w:r w:rsidR="00476327" w:rsidRPr="00905199">
        <w:rPr>
          <w:szCs w:val="22"/>
          <w:lang w:val="sk-SK"/>
        </w:rPr>
        <w:t xml:space="preserve"> tento stav</w:t>
      </w:r>
      <w:r w:rsidRPr="00905199">
        <w:rPr>
          <w:szCs w:val="22"/>
          <w:lang w:val="sk-SK"/>
        </w:rPr>
        <w:t xml:space="preserve"> treba vyhľadať lekársku pomoc a ukončiť liečbu. Má sa vziať do úvahy diagnóza bolesti hlavy spôsobenej nadmerným používaním liekov u pacientov, ktorí majú časté alebo každodenné bolesti hlavy napriek (alebo kvôli) pravidelnému používaniu liekov proti bolesti hlavy.</w:t>
      </w:r>
    </w:p>
    <w:p w14:paraId="08DC13E2" w14:textId="77777777" w:rsidR="0000767D" w:rsidRPr="00905199" w:rsidRDefault="0000767D">
      <w:pPr>
        <w:rPr>
          <w:szCs w:val="22"/>
          <w:lang w:val="sk-SK"/>
        </w:rPr>
      </w:pPr>
    </w:p>
    <w:p w14:paraId="7DF37161" w14:textId="77777777" w:rsidR="0000767D" w:rsidRPr="00905199" w:rsidRDefault="003607C1" w:rsidP="0044542B">
      <w:pPr>
        <w:rPr>
          <w:szCs w:val="22"/>
          <w:lang w:val="sk-SK"/>
        </w:rPr>
      </w:pPr>
      <w:r w:rsidRPr="00905199">
        <w:rPr>
          <w:szCs w:val="22"/>
          <w:lang w:val="sk-SK"/>
        </w:rPr>
        <w:t>Pred použitím tohto lieku sa majú pacienti poradiť so svojim lekárom v prípade, že majú poruchu zrážanlivosti krvi.</w:t>
      </w:r>
    </w:p>
    <w:p w14:paraId="7F51A3D9" w14:textId="77777777" w:rsidR="0000767D" w:rsidRPr="00905199" w:rsidRDefault="0000767D">
      <w:pPr>
        <w:rPr>
          <w:szCs w:val="22"/>
          <w:lang w:val="sk-SK"/>
        </w:rPr>
      </w:pPr>
    </w:p>
    <w:p w14:paraId="7A07C7B8" w14:textId="77777777" w:rsidR="0000767D" w:rsidRPr="00905199" w:rsidRDefault="003607C1">
      <w:pPr>
        <w:ind w:left="284" w:hanging="284"/>
        <w:rPr>
          <w:i/>
          <w:iCs/>
          <w:szCs w:val="22"/>
          <w:lang w:val="sk-SK"/>
        </w:rPr>
      </w:pPr>
      <w:r w:rsidRPr="00905199">
        <w:rPr>
          <w:i/>
          <w:iCs/>
          <w:szCs w:val="22"/>
          <w:lang w:val="sk-SK"/>
        </w:rPr>
        <w:t>Účinky na gastrointestinálny trakt:</w:t>
      </w:r>
    </w:p>
    <w:p w14:paraId="1785E2D8" w14:textId="77777777" w:rsidR="0000767D" w:rsidRPr="00905199" w:rsidRDefault="0000767D">
      <w:pPr>
        <w:ind w:left="284" w:hanging="284"/>
        <w:rPr>
          <w:szCs w:val="22"/>
          <w:lang w:val="sk-SK"/>
        </w:rPr>
      </w:pPr>
    </w:p>
    <w:p w14:paraId="065C3BD5" w14:textId="77777777" w:rsidR="0000767D" w:rsidRPr="00905199" w:rsidRDefault="003607C1">
      <w:pPr>
        <w:rPr>
          <w:szCs w:val="22"/>
          <w:lang w:val="sk-SK"/>
        </w:rPr>
      </w:pPr>
      <w:r w:rsidRPr="00905199">
        <w:rPr>
          <w:szCs w:val="22"/>
          <w:lang w:val="sk-SK"/>
        </w:rPr>
        <w:t>Gastrointestinálne krvácanie, ulcerácia alebo perforácia, ktoré môžu byť fatálne, boli hlásené pri všetkých NSAID kedykoľvek počas liečby, s varovnými príznakmi alebo predchádzajúcimi gastrointestinálnymi príhodami v anamnéze alebo bez nich.</w:t>
      </w:r>
    </w:p>
    <w:p w14:paraId="1B70192C" w14:textId="77777777" w:rsidR="0000767D" w:rsidRPr="00905199" w:rsidRDefault="0000767D">
      <w:pPr>
        <w:rPr>
          <w:szCs w:val="22"/>
          <w:lang w:val="sk-SK"/>
        </w:rPr>
      </w:pPr>
    </w:p>
    <w:p w14:paraId="368268B4" w14:textId="77777777" w:rsidR="0000767D" w:rsidRPr="00905199" w:rsidRDefault="003607C1">
      <w:pPr>
        <w:rPr>
          <w:szCs w:val="22"/>
          <w:lang w:val="sk-SK"/>
        </w:rPr>
      </w:pPr>
      <w:r w:rsidRPr="00905199">
        <w:rPr>
          <w:szCs w:val="22"/>
          <w:lang w:val="sk-SK"/>
        </w:rPr>
        <w:lastRenderedPageBreak/>
        <w:t>Riziko gastrointestinálneho krvácania, ulcerácie alebo perforácie, ktoré môžu byť fatálne, sa zvyšuje so zvyšujúcou sa dávkou NSAID u pacientov s vredom v anamnéze, predovšetkým ak bol skomplikovaný krvácaním alebo perforáciou (pozri časť 4.3) a u starších pacientov. Títo pacienti majú začať liečbu najnižšou dostupnou dávkou. U týchto pacientov ako aj u pacientov súbežne užívajúcich nízke dávky kyseliny acetylsalicylovej alebo iných liekov, ktoré pravdepodobne zvyšujú gastrointestinálne riziko, sa má zvážiť kombinovaná liečba ochrannými látkami (napr. mi</w:t>
      </w:r>
      <w:r w:rsidR="00B57233" w:rsidRPr="00905199">
        <w:rPr>
          <w:szCs w:val="22"/>
          <w:lang w:val="sk-SK"/>
        </w:rPr>
        <w:t>s</w:t>
      </w:r>
      <w:r w:rsidRPr="00905199">
        <w:rPr>
          <w:szCs w:val="22"/>
          <w:lang w:val="sk-SK"/>
        </w:rPr>
        <w:t>oprostol alebo inhibítory protónovej pumpy) (pozri nižšie a časť 4.5).</w:t>
      </w:r>
    </w:p>
    <w:p w14:paraId="43F79250" w14:textId="77777777" w:rsidR="0000767D" w:rsidRPr="00905199" w:rsidRDefault="0000767D">
      <w:pPr>
        <w:rPr>
          <w:szCs w:val="22"/>
          <w:lang w:val="sk-SK"/>
        </w:rPr>
      </w:pPr>
    </w:p>
    <w:p w14:paraId="0BB4E780" w14:textId="77777777" w:rsidR="0000767D" w:rsidRPr="00905199" w:rsidRDefault="003607C1">
      <w:pPr>
        <w:rPr>
          <w:szCs w:val="22"/>
          <w:lang w:val="sk-SK"/>
        </w:rPr>
      </w:pPr>
      <w:r w:rsidRPr="00905199">
        <w:rPr>
          <w:szCs w:val="22"/>
          <w:lang w:val="sk-SK"/>
        </w:rPr>
        <w:t>Pacienti s gastrointestinálnou toxicitou v anamnéze, predovšetkým starší pacienti, majú hlásiť akékoľvek neobvyklé abdominálne príznaky (hlavne gastrointestinálne krvácanie) a to hlavne v začiatočných fázach liečby.</w:t>
      </w:r>
    </w:p>
    <w:p w14:paraId="3621C436" w14:textId="77777777" w:rsidR="0000767D" w:rsidRPr="00905199" w:rsidRDefault="0000767D">
      <w:pPr>
        <w:ind w:left="284" w:hanging="284"/>
        <w:rPr>
          <w:szCs w:val="22"/>
          <w:lang w:val="sk-SK"/>
        </w:rPr>
      </w:pPr>
    </w:p>
    <w:p w14:paraId="487113A0" w14:textId="77777777" w:rsidR="0000767D" w:rsidRPr="00905199" w:rsidRDefault="003607C1">
      <w:pPr>
        <w:rPr>
          <w:szCs w:val="22"/>
          <w:lang w:val="sk-SK"/>
        </w:rPr>
      </w:pPr>
      <w:r w:rsidRPr="00905199">
        <w:rPr>
          <w:szCs w:val="22"/>
          <w:lang w:val="sk-SK"/>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14:paraId="350AA9F5" w14:textId="77777777" w:rsidR="0000767D" w:rsidRPr="00905199" w:rsidRDefault="0000767D">
      <w:pPr>
        <w:rPr>
          <w:szCs w:val="22"/>
          <w:lang w:val="sk-SK"/>
        </w:rPr>
      </w:pPr>
    </w:p>
    <w:p w14:paraId="7526E4C2" w14:textId="77777777" w:rsidR="0000767D" w:rsidRPr="00905199" w:rsidRDefault="003607C1">
      <w:pPr>
        <w:rPr>
          <w:szCs w:val="22"/>
          <w:lang w:val="sk-SK"/>
        </w:rPr>
      </w:pPr>
      <w:r w:rsidRPr="00905199">
        <w:rPr>
          <w:szCs w:val="22"/>
          <w:lang w:val="sk-SK"/>
        </w:rPr>
        <w:t xml:space="preserve">Ak sa vyskytne gastrointestinálne krvácanie alebo ulcerácia, liečba </w:t>
      </w:r>
      <w:r w:rsidR="002654BB" w:rsidRPr="00905199">
        <w:rPr>
          <w:szCs w:val="22"/>
          <w:lang w:val="sk-SK"/>
        </w:rPr>
        <w:t>Grippecton</w:t>
      </w:r>
      <w:r w:rsidR="00B57233" w:rsidRPr="00905199">
        <w:rPr>
          <w:szCs w:val="22"/>
          <w:lang w:val="sk-SK"/>
        </w:rPr>
        <w:t>om</w:t>
      </w:r>
      <w:r w:rsidR="002654BB" w:rsidRPr="00905199">
        <w:rPr>
          <w:szCs w:val="22"/>
          <w:lang w:val="sk-SK"/>
        </w:rPr>
        <w:t xml:space="preserve"> 200 mg/30 mg</w:t>
      </w:r>
      <w:r w:rsidRPr="00905199">
        <w:rPr>
          <w:szCs w:val="22"/>
          <w:lang w:val="sk-SK"/>
        </w:rPr>
        <w:t xml:space="preserve"> sa má okamžite ukončiť.</w:t>
      </w:r>
    </w:p>
    <w:p w14:paraId="7022CEA0" w14:textId="77777777" w:rsidR="0000767D" w:rsidRPr="00905199" w:rsidRDefault="003607C1">
      <w:pPr>
        <w:rPr>
          <w:szCs w:val="22"/>
          <w:lang w:val="sk-SK"/>
        </w:rPr>
      </w:pPr>
      <w:r w:rsidRPr="00905199">
        <w:rPr>
          <w:szCs w:val="22"/>
          <w:lang w:val="sk-SK"/>
        </w:rPr>
        <w:t>NSAID je potrebné podávať s opatrnosťou pacientom s gastrointestinálnym ochorením v anamnéze (ulcerózna kolitída, Crohnova choroba), pretože môže dôjsť k exacerbácii ich ochorenia (pozri časť 4.8).</w:t>
      </w:r>
    </w:p>
    <w:p w14:paraId="025DBC8D" w14:textId="77777777" w:rsidR="0000767D" w:rsidRPr="00905199" w:rsidRDefault="0000767D">
      <w:pPr>
        <w:rPr>
          <w:szCs w:val="22"/>
          <w:lang w:val="sk-SK"/>
        </w:rPr>
      </w:pPr>
    </w:p>
    <w:p w14:paraId="61171A67" w14:textId="77777777" w:rsidR="0000767D" w:rsidRPr="00905199" w:rsidRDefault="003607C1">
      <w:pPr>
        <w:rPr>
          <w:szCs w:val="22"/>
          <w:lang w:val="sk-SK"/>
        </w:rPr>
      </w:pPr>
      <w:r w:rsidRPr="00905199">
        <w:rPr>
          <w:szCs w:val="22"/>
          <w:lang w:val="sk-SK"/>
        </w:rPr>
        <w:t>Pri súbežnej konzumácii alkoholu</w:t>
      </w:r>
      <w:r w:rsidR="0009189D" w:rsidRPr="00905199">
        <w:rPr>
          <w:szCs w:val="22"/>
          <w:lang w:val="sk-SK"/>
        </w:rPr>
        <w:t xml:space="preserve"> počas užívania NSAID</w:t>
      </w:r>
      <w:r w:rsidRPr="00905199">
        <w:rPr>
          <w:szCs w:val="22"/>
          <w:lang w:val="sk-SK"/>
        </w:rPr>
        <w:t xml:space="preserve"> môže byť zvýšený výskyt nežiaducich účinkov súvisiacich s liečivom, a to predovšetkým účinkov týkajúcich sa gastrointestinálneho traktu alebo centrálneho nervového systému.</w:t>
      </w:r>
    </w:p>
    <w:p w14:paraId="4E5CCF90" w14:textId="77777777" w:rsidR="0000767D" w:rsidRPr="00905199" w:rsidRDefault="0000767D">
      <w:pPr>
        <w:rPr>
          <w:szCs w:val="22"/>
          <w:lang w:val="sk-SK"/>
        </w:rPr>
      </w:pPr>
    </w:p>
    <w:p w14:paraId="5993B89A" w14:textId="77777777" w:rsidR="0000767D" w:rsidRPr="006955DE" w:rsidRDefault="003607C1">
      <w:pPr>
        <w:ind w:left="284" w:hanging="284"/>
        <w:rPr>
          <w:iCs/>
          <w:szCs w:val="22"/>
          <w:lang w:val="sk-SK"/>
        </w:rPr>
      </w:pPr>
      <w:r w:rsidRPr="006955DE">
        <w:rPr>
          <w:iCs/>
          <w:szCs w:val="22"/>
          <w:lang w:val="sk-SK"/>
        </w:rPr>
        <w:t>Kardiovaskulárne a cerebrovaskulárne účinky:</w:t>
      </w:r>
    </w:p>
    <w:p w14:paraId="131DDE5D" w14:textId="77777777" w:rsidR="0000767D" w:rsidRPr="00655AF7" w:rsidRDefault="0000767D">
      <w:pPr>
        <w:ind w:left="284" w:hanging="284"/>
        <w:rPr>
          <w:szCs w:val="22"/>
          <w:lang w:val="sk-SK"/>
        </w:rPr>
      </w:pPr>
    </w:p>
    <w:p w14:paraId="7BE85745" w14:textId="25D6A6AF" w:rsidR="0000767D" w:rsidRPr="006955DE" w:rsidRDefault="003607C1">
      <w:pPr>
        <w:tabs>
          <w:tab w:val="left" w:pos="0"/>
        </w:tabs>
        <w:rPr>
          <w:szCs w:val="22"/>
          <w:lang w:val="sk-SK"/>
        </w:rPr>
      </w:pPr>
      <w:r w:rsidRPr="006955DE">
        <w:rPr>
          <w:szCs w:val="22"/>
          <w:lang w:val="sk-SK"/>
        </w:rPr>
        <w:t xml:space="preserve">Kvôli zložke </w:t>
      </w:r>
      <w:r w:rsidR="004F27D0">
        <w:rPr>
          <w:szCs w:val="22"/>
          <w:lang w:val="sk-SK"/>
        </w:rPr>
        <w:t>pseudoefedrínium-</w:t>
      </w:r>
      <w:r w:rsidRPr="006955DE">
        <w:rPr>
          <w:szCs w:val="22"/>
          <w:lang w:val="sk-SK"/>
        </w:rPr>
        <w:t>chloridu sú nasledujúce prípady kontraindikované (pozri časť 4.3) ťažké kardiovaskulárne poruchy, koronárne ochorenie srdca (ochorenie srdca, ang</w:t>
      </w:r>
      <w:r w:rsidR="00BE3A68" w:rsidRPr="006955DE">
        <w:rPr>
          <w:szCs w:val="22"/>
          <w:lang w:val="sk-SK"/>
        </w:rPr>
        <w:t>i</w:t>
      </w:r>
      <w:r w:rsidRPr="006955DE">
        <w:rPr>
          <w:szCs w:val="22"/>
          <w:lang w:val="sk-SK"/>
        </w:rPr>
        <w:t xml:space="preserve">na pectoris) </w:t>
      </w:r>
      <w:r w:rsidRPr="006955DE">
        <w:rPr>
          <w:lang w:val="sk-SK"/>
        </w:rPr>
        <w:t xml:space="preserve">tachykardia, hypertyreoidizmus, cukrovka, feochromocytóm, cievna mozgová príhoda </w:t>
      </w:r>
      <w:r w:rsidRPr="006955DE">
        <w:rPr>
          <w:szCs w:val="22"/>
          <w:lang w:val="sk-SK"/>
        </w:rPr>
        <w:t>v anamnéze alebo prítomnosť rizikových faktorov vzniku mozgovej cievnej príhody,</w:t>
      </w:r>
      <w:r w:rsidRPr="006955DE">
        <w:rPr>
          <w:lang w:val="sk-SK"/>
        </w:rPr>
        <w:t xml:space="preserve"> infarkt myokardu v anamnéze.</w:t>
      </w:r>
    </w:p>
    <w:p w14:paraId="1B68E8D5" w14:textId="77777777" w:rsidR="0000767D" w:rsidRPr="00905199" w:rsidRDefault="0000767D">
      <w:pPr>
        <w:ind w:left="284" w:hanging="284"/>
        <w:rPr>
          <w:szCs w:val="22"/>
          <w:lang w:val="sk-SK"/>
        </w:rPr>
      </w:pPr>
    </w:p>
    <w:p w14:paraId="22B8E31C" w14:textId="77777777" w:rsidR="0000767D" w:rsidRPr="00905199" w:rsidRDefault="003607C1">
      <w:pPr>
        <w:rPr>
          <w:szCs w:val="22"/>
          <w:lang w:val="sk-SK"/>
        </w:rPr>
      </w:pPr>
      <w:r w:rsidRPr="00905199">
        <w:rPr>
          <w:szCs w:val="22"/>
          <w:lang w:val="sk-SK"/>
        </w:rPr>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xml:space="preserve">, predovšetkým vo vysokých dávkach (nad 2 400 mg/deň) sa môže spájať s mierne zvýšeným rizikom arteriálnych trombotických príhod (napr. infarkt myokardu alebo mozgová mŕtvica). Vo všeobecnosti epidemiologické štúdie nenaznačujú, že je užívanie nízkych dávok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(t.j. ≤ 1 200 mg/deň) spojené so zvýšeným rizikom arteriálnych trombotických príhod.</w:t>
      </w:r>
    </w:p>
    <w:p w14:paraId="29ED77B3" w14:textId="77777777" w:rsidR="0000767D" w:rsidRPr="00905199" w:rsidRDefault="0000767D">
      <w:pPr>
        <w:rPr>
          <w:szCs w:val="22"/>
          <w:lang w:val="sk-SK"/>
        </w:rPr>
      </w:pPr>
    </w:p>
    <w:p w14:paraId="1615CF4B" w14:textId="77777777" w:rsidR="0000767D" w:rsidRPr="00905199" w:rsidRDefault="003607C1">
      <w:pPr>
        <w:rPr>
          <w:szCs w:val="22"/>
          <w:lang w:val="sk-SK"/>
        </w:rPr>
      </w:pPr>
      <w:r w:rsidRPr="00905199">
        <w:rPr>
          <w:szCs w:val="22"/>
          <w:lang w:val="sk-SK"/>
        </w:rPr>
        <w:t>Pacienti s neliečenou hypertenziou, kongestívnym ochorením srdca (NYHA II</w:t>
      </w:r>
      <w:r w:rsidRPr="00905199">
        <w:rPr>
          <w:szCs w:val="22"/>
          <w:lang w:val="sk-SK"/>
        </w:rPr>
        <w:noBreakHyphen/>
        <w:t xml:space="preserve">III), potvrdeným ischemickým ochorením srdca, periférnym arteriálnym ochorením a/alebo cerebrovaskulárnym ochorením sa majú liečiť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iba po dôkladnom zvážení a treba sa vyhnúť vysokým dávkam (2 400 mg/deň).</w:t>
      </w:r>
    </w:p>
    <w:p w14:paraId="5DBE2BBD" w14:textId="77777777" w:rsidR="0000767D" w:rsidRPr="00905199" w:rsidRDefault="0000767D">
      <w:pPr>
        <w:ind w:left="284" w:hanging="284"/>
        <w:rPr>
          <w:szCs w:val="22"/>
          <w:lang w:val="sk-SK"/>
        </w:rPr>
      </w:pPr>
    </w:p>
    <w:p w14:paraId="63A0D40A" w14:textId="77777777" w:rsidR="0000767D" w:rsidRPr="00905199" w:rsidRDefault="003607C1">
      <w:pPr>
        <w:rPr>
          <w:szCs w:val="22"/>
          <w:lang w:val="sk-SK"/>
        </w:rPr>
      </w:pPr>
      <w:r w:rsidRPr="00905199">
        <w:rPr>
          <w:szCs w:val="22"/>
          <w:lang w:val="sk-SK"/>
        </w:rPr>
        <w:t xml:space="preserve">Liečba sa má tiež dôkladne zvážiť pred začatím dlhodobej liečby pacientov s rizikovými faktormi kardiovaskulárnych príhod (napr. hypertenzia, hyperlipidémia, diabetes mellitus, fajčenie), a to predovšetkým, ak sa vyžadujú vysoké dávky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(2 400 mg/deň).</w:t>
      </w:r>
    </w:p>
    <w:p w14:paraId="2BF3706E" w14:textId="77777777" w:rsidR="0000767D" w:rsidRPr="00905199" w:rsidRDefault="0000767D">
      <w:pPr>
        <w:rPr>
          <w:szCs w:val="22"/>
          <w:lang w:val="sk-SK"/>
        </w:rPr>
      </w:pPr>
    </w:p>
    <w:p w14:paraId="352CFBE9" w14:textId="77777777" w:rsidR="0000767D" w:rsidRPr="00905199" w:rsidRDefault="003607C1">
      <w:pPr>
        <w:ind w:left="284" w:hanging="284"/>
        <w:rPr>
          <w:i/>
          <w:iCs/>
          <w:szCs w:val="22"/>
          <w:lang w:val="sk-SK"/>
        </w:rPr>
      </w:pPr>
      <w:r w:rsidRPr="00905199">
        <w:rPr>
          <w:i/>
          <w:iCs/>
          <w:szCs w:val="22"/>
          <w:lang w:val="sk-SK"/>
        </w:rPr>
        <w:t>Kožné reakcie</w:t>
      </w:r>
    </w:p>
    <w:p w14:paraId="19C8EC38" w14:textId="77777777" w:rsidR="0000767D" w:rsidRPr="00905199" w:rsidRDefault="0000767D">
      <w:pPr>
        <w:ind w:left="284" w:hanging="284"/>
        <w:rPr>
          <w:szCs w:val="22"/>
          <w:lang w:val="sk-SK"/>
        </w:rPr>
      </w:pPr>
    </w:p>
    <w:p w14:paraId="4C1ADA43" w14:textId="0074E121" w:rsidR="0000767D" w:rsidRDefault="003607C1">
      <w:pPr>
        <w:rPr>
          <w:szCs w:val="22"/>
          <w:lang w:val="sk-SK"/>
        </w:rPr>
      </w:pPr>
      <w:r w:rsidRPr="00905199">
        <w:rPr>
          <w:szCs w:val="22"/>
          <w:lang w:val="sk-SK"/>
        </w:rPr>
        <w:t>Závažné kožné reakcie, niektoré z nich fatálne, vrátane exfoliatívnej dermatitídy, Stevensovho-Johnsonovho syndrómu a toxickej epidermálnej nekrolýzy</w:t>
      </w:r>
      <w:r w:rsidR="00BE3A68" w:rsidRPr="00905199">
        <w:rPr>
          <w:szCs w:val="22"/>
          <w:lang w:val="sk-SK"/>
        </w:rPr>
        <w:t>,</w:t>
      </w:r>
      <w:r w:rsidRPr="00905199">
        <w:rPr>
          <w:szCs w:val="22"/>
          <w:lang w:val="sk-SK"/>
        </w:rPr>
        <w:t xml:space="preserve"> boli veľmi zriedkavo hlásené v súvislosti s užívaním NSAID (pozri časť 4.8). Pacienti majú najväčšie riziko vzniku týchto reakcií na začiatku liečebného cyklu, pričom vo väčšine prípadov reakcia nastáva počas prvého mesiaca liečby. </w:t>
      </w:r>
      <w:r w:rsidR="002654BB" w:rsidRPr="00905199">
        <w:rPr>
          <w:szCs w:val="22"/>
          <w:lang w:val="sk-SK"/>
        </w:rPr>
        <w:t>Grippecton 200 mg/30 mg</w:t>
      </w:r>
      <w:r w:rsidRPr="00905199">
        <w:rPr>
          <w:szCs w:val="22"/>
          <w:lang w:val="sk-SK"/>
        </w:rPr>
        <w:t xml:space="preserve"> sa má vysadiť pri prvom objavení sa kožnej vyrážky, lézií na sliznici alebo akýchkoľvek iných pr</w:t>
      </w:r>
      <w:r w:rsidR="00BE3A68" w:rsidRPr="00905199">
        <w:rPr>
          <w:szCs w:val="22"/>
          <w:lang w:val="sk-SK"/>
        </w:rPr>
        <w:t>ejav</w:t>
      </w:r>
      <w:r w:rsidRPr="00905199">
        <w:rPr>
          <w:szCs w:val="22"/>
          <w:lang w:val="sk-SK"/>
        </w:rPr>
        <w:t>ov precitlivenosti.</w:t>
      </w:r>
    </w:p>
    <w:p w14:paraId="1EED6BE8" w14:textId="77777777" w:rsidR="005052AA" w:rsidRPr="00905199" w:rsidRDefault="005052AA">
      <w:pPr>
        <w:rPr>
          <w:szCs w:val="22"/>
          <w:lang w:val="sk-SK"/>
        </w:rPr>
      </w:pPr>
    </w:p>
    <w:p w14:paraId="14DEF7F7" w14:textId="19E54A34" w:rsidR="005052AA" w:rsidRPr="003E1F62" w:rsidRDefault="005052AA" w:rsidP="005052AA">
      <w:pPr>
        <w:ind w:left="284" w:hanging="284"/>
        <w:rPr>
          <w:szCs w:val="22"/>
          <w:u w:val="single"/>
          <w:lang w:val="sk-SK"/>
        </w:rPr>
      </w:pPr>
      <w:r w:rsidRPr="003E1F62">
        <w:rPr>
          <w:szCs w:val="22"/>
          <w:u w:val="single"/>
          <w:lang w:val="sk-SK"/>
        </w:rPr>
        <w:t xml:space="preserve">Maskovanie symptómov existujúcich infekcií </w:t>
      </w:r>
    </w:p>
    <w:p w14:paraId="0C5C70C7" w14:textId="77777777" w:rsidR="005052AA" w:rsidRPr="005052AA" w:rsidRDefault="005052AA" w:rsidP="005052AA">
      <w:pPr>
        <w:ind w:left="284" w:hanging="284"/>
        <w:rPr>
          <w:szCs w:val="22"/>
          <w:lang w:val="sk-SK"/>
        </w:rPr>
      </w:pPr>
    </w:p>
    <w:p w14:paraId="3D3425D7" w14:textId="237DE987" w:rsidR="0000767D" w:rsidRDefault="005052AA" w:rsidP="003E1F62">
      <w:pPr>
        <w:rPr>
          <w:szCs w:val="22"/>
          <w:lang w:val="sk-SK"/>
        </w:rPr>
      </w:pPr>
      <w:r>
        <w:rPr>
          <w:szCs w:val="22"/>
          <w:lang w:val="sk-SK"/>
        </w:rPr>
        <w:lastRenderedPageBreak/>
        <w:t>Grippecton</w:t>
      </w:r>
      <w:r w:rsidRPr="005052AA">
        <w:rPr>
          <w:szCs w:val="22"/>
          <w:lang w:val="sk-SK"/>
        </w:rPr>
        <w:t xml:space="preserve"> môže maskovať symptómy infekcie, čo môže viesť k oneskorenému začatiu vhodnej liečby, a tým aj k zhoršeniu výsledku infekcie. Táto skutočnosť sa pozorovala v prípade bakteriálnej pneumónie získanej v komunite a bakteriálnych komplikácií súvisiacich s ovčími kiahňami. Ak sa </w:t>
      </w:r>
      <w:r w:rsidR="003A4D47">
        <w:rPr>
          <w:szCs w:val="22"/>
          <w:lang w:val="sk-SK"/>
        </w:rPr>
        <w:t>Gripppecton</w:t>
      </w:r>
      <w:r w:rsidRPr="005052AA">
        <w:rPr>
          <w:szCs w:val="22"/>
          <w:lang w:val="sk-SK"/>
        </w:rPr>
        <w:t xml:space="preserve"> podáva na zníženie horúčky alebo zmiernenie bolesti súvisiacej s infekciou, odporúča sa sledovanie infekcie. V podmienkach mimo nemocnice je potrebné, aby sa pacient obrátil na lekára, pokiaľ symptómy pretrvávajú alebo sa zhoršujú.</w:t>
      </w:r>
    </w:p>
    <w:p w14:paraId="7059E108" w14:textId="77777777" w:rsidR="005052AA" w:rsidRPr="00905199" w:rsidRDefault="005052AA" w:rsidP="005052AA">
      <w:pPr>
        <w:ind w:left="284" w:hanging="284"/>
        <w:rPr>
          <w:szCs w:val="22"/>
          <w:lang w:val="sk-SK"/>
        </w:rPr>
      </w:pPr>
    </w:p>
    <w:p w14:paraId="149C795B" w14:textId="77777777" w:rsidR="0000767D" w:rsidRPr="00905199" w:rsidRDefault="003607C1">
      <w:pPr>
        <w:ind w:left="284" w:hanging="284"/>
        <w:rPr>
          <w:b/>
          <w:bCs/>
          <w:i/>
          <w:iCs/>
          <w:szCs w:val="22"/>
          <w:lang w:val="sk-SK"/>
        </w:rPr>
      </w:pPr>
      <w:r w:rsidRPr="00905199">
        <w:rPr>
          <w:b/>
          <w:bCs/>
          <w:i/>
          <w:iCs/>
          <w:szCs w:val="22"/>
          <w:lang w:val="sk-SK"/>
        </w:rPr>
        <w:t>Opatrenia pri používaní, ktoré súvisia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14:paraId="51E86024" w14:textId="77777777" w:rsidR="0000767D" w:rsidRPr="00905199" w:rsidRDefault="0000767D">
      <w:pPr>
        <w:ind w:left="284" w:hanging="284"/>
        <w:rPr>
          <w:szCs w:val="22"/>
          <w:lang w:val="sk-SK"/>
        </w:rPr>
      </w:pPr>
    </w:p>
    <w:p w14:paraId="5ABD14E0" w14:textId="77777777" w:rsidR="0000767D" w:rsidRPr="00905199" w:rsidRDefault="003607C1" w:rsidP="003E1F62">
      <w:pPr>
        <w:pStyle w:val="Default"/>
        <w:widowControl w:val="0"/>
        <w:numPr>
          <w:ilvl w:val="0"/>
          <w:numId w:val="39"/>
        </w:numPr>
        <w:ind w:left="284" w:hanging="284"/>
        <w:rPr>
          <w:sz w:val="22"/>
          <w:szCs w:val="22"/>
          <w:lang w:val="sk-SK"/>
        </w:rPr>
      </w:pPr>
      <w:r w:rsidRPr="00905199">
        <w:rPr>
          <w:sz w:val="22"/>
          <w:szCs w:val="22"/>
          <w:lang w:val="sk-SK"/>
        </w:rPr>
        <w:t xml:space="preserve">Starší pacienti: Farmakokinetika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sa vekom nemení, u starších pacientov nie je potrebná žiadna úprava dávok. Starší pacienti sa však majú starostlivo sledovať, pretože je u nich častejší výskyt nežiaducich účinkov spojených s NSAID, predovšetkým gastrointestinálneho krvácania a perforácie, ktoré môžu byť fatálne.</w:t>
      </w:r>
    </w:p>
    <w:p w14:paraId="22D6C060" w14:textId="77777777" w:rsidR="0000767D" w:rsidRPr="00905199" w:rsidRDefault="003607C1" w:rsidP="003E1F62">
      <w:pPr>
        <w:pStyle w:val="Default"/>
        <w:widowControl w:val="0"/>
        <w:numPr>
          <w:ilvl w:val="0"/>
          <w:numId w:val="39"/>
        </w:numPr>
        <w:ind w:left="284" w:hanging="284"/>
        <w:rPr>
          <w:sz w:val="22"/>
          <w:szCs w:val="22"/>
          <w:lang w:val="sk-SK"/>
        </w:rPr>
      </w:pPr>
      <w:r w:rsidRPr="00905199">
        <w:rPr>
          <w:sz w:val="22"/>
          <w:szCs w:val="22"/>
          <w:lang w:val="sk-SK"/>
        </w:rPr>
        <w:t xml:space="preserve">Pri podávaní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pacientom s gastrointestinálnym ochorením v anamnéze (ako je peptický vred, hiátová hernia alebo gastrointestinálne krvácanie) sa vyžaduje opatrnosť a špeciálne sledovanie.</w:t>
      </w:r>
    </w:p>
    <w:p w14:paraId="239EE50A" w14:textId="77777777" w:rsidR="0000767D" w:rsidRPr="00905199" w:rsidRDefault="003607C1" w:rsidP="003E1F62">
      <w:pPr>
        <w:pStyle w:val="Default"/>
        <w:widowControl w:val="0"/>
        <w:numPr>
          <w:ilvl w:val="0"/>
          <w:numId w:val="39"/>
        </w:numPr>
        <w:ind w:left="284" w:hanging="284"/>
        <w:rPr>
          <w:sz w:val="22"/>
          <w:szCs w:val="22"/>
          <w:lang w:val="sk-SK"/>
        </w:rPr>
      </w:pPr>
      <w:r w:rsidRPr="00905199">
        <w:rPr>
          <w:sz w:val="22"/>
          <w:szCs w:val="22"/>
          <w:lang w:val="sk-SK"/>
        </w:rPr>
        <w:t>U pacientov so zlyhaním srdca, u pacientov s chronick</w:t>
      </w:r>
      <w:r w:rsidR="00BE3A68" w:rsidRPr="00905199">
        <w:rPr>
          <w:sz w:val="22"/>
          <w:szCs w:val="22"/>
          <w:lang w:val="sk-SK"/>
        </w:rPr>
        <w:t>ou</w:t>
      </w:r>
      <w:r w:rsidRPr="00905199">
        <w:rPr>
          <w:sz w:val="22"/>
          <w:szCs w:val="22"/>
          <w:lang w:val="sk-SK"/>
        </w:rPr>
        <w:t xml:space="preserve"> po</w:t>
      </w:r>
      <w:r w:rsidR="00BE3A68" w:rsidRPr="00905199">
        <w:rPr>
          <w:sz w:val="22"/>
          <w:szCs w:val="22"/>
          <w:lang w:val="sk-SK"/>
        </w:rPr>
        <w:t>ruch</w:t>
      </w:r>
      <w:r w:rsidRPr="00905199">
        <w:rPr>
          <w:sz w:val="22"/>
          <w:szCs w:val="22"/>
          <w:lang w:val="sk-SK"/>
        </w:rPr>
        <w:t>ou funkci</w:t>
      </w:r>
      <w:r w:rsidR="00BE3A68" w:rsidRPr="00905199">
        <w:rPr>
          <w:sz w:val="22"/>
          <w:szCs w:val="22"/>
          <w:lang w:val="sk-SK"/>
        </w:rPr>
        <w:t>e</w:t>
      </w:r>
      <w:r w:rsidRPr="00905199">
        <w:rPr>
          <w:sz w:val="22"/>
          <w:szCs w:val="22"/>
          <w:lang w:val="sk-SK"/>
        </w:rPr>
        <w:t xml:space="preserve"> obličiek alebo pečene, u pacientov užívajúcich diuretiká, u pacientov s hypovolémiou ako násled</w:t>
      </w:r>
      <w:r w:rsidR="00BE3A68" w:rsidRPr="00905199">
        <w:rPr>
          <w:sz w:val="22"/>
          <w:szCs w:val="22"/>
          <w:lang w:val="sk-SK"/>
        </w:rPr>
        <w:t>ok</w:t>
      </w:r>
      <w:r w:rsidRPr="00905199">
        <w:rPr>
          <w:sz w:val="22"/>
          <w:szCs w:val="22"/>
          <w:lang w:val="sk-SK"/>
        </w:rPr>
        <w:t xml:space="preserve"> veľkého chirurgického výkonu a osobitne u starších pacientov sa v úvodných štádiách liečby vyžaduje starostlivé sledovanie objemu moču a funkcie obličiek. U dehydrovaných dospievajúcich existuje riziko po</w:t>
      </w:r>
      <w:r w:rsidR="00BE3A68" w:rsidRPr="00905199">
        <w:rPr>
          <w:sz w:val="22"/>
          <w:szCs w:val="22"/>
          <w:lang w:val="sk-SK"/>
        </w:rPr>
        <w:t>ruchy</w:t>
      </w:r>
      <w:r w:rsidRPr="00905199">
        <w:rPr>
          <w:sz w:val="22"/>
          <w:szCs w:val="22"/>
          <w:lang w:val="sk-SK"/>
        </w:rPr>
        <w:t xml:space="preserve"> funkcie obličiek.</w:t>
      </w:r>
    </w:p>
    <w:p w14:paraId="21C57305" w14:textId="016C46B0" w:rsidR="0000767D" w:rsidRDefault="003607C1" w:rsidP="0060260C">
      <w:pPr>
        <w:pStyle w:val="Default"/>
        <w:widowControl w:val="0"/>
        <w:numPr>
          <w:ilvl w:val="0"/>
          <w:numId w:val="39"/>
        </w:numPr>
        <w:ind w:left="284" w:hanging="284"/>
        <w:rPr>
          <w:sz w:val="22"/>
          <w:szCs w:val="22"/>
          <w:lang w:val="sk-SK"/>
        </w:rPr>
      </w:pPr>
      <w:r w:rsidRPr="00905199">
        <w:rPr>
          <w:sz w:val="22"/>
          <w:szCs w:val="22"/>
          <w:lang w:val="sk-SK"/>
        </w:rPr>
        <w:t>Ak sa v priebehu liečby vyskytnú poruchy zraku, má sa vykonať komplexné oftalmologické vyšetrenie.</w:t>
      </w:r>
    </w:p>
    <w:p w14:paraId="31E07D5E" w14:textId="77777777" w:rsidR="0060260C" w:rsidRPr="00905199" w:rsidRDefault="0060260C" w:rsidP="003E1F62">
      <w:pPr>
        <w:pStyle w:val="Default"/>
        <w:widowControl w:val="0"/>
        <w:ind w:left="284"/>
        <w:rPr>
          <w:sz w:val="22"/>
          <w:szCs w:val="22"/>
          <w:lang w:val="sk-SK"/>
        </w:rPr>
      </w:pPr>
    </w:p>
    <w:p w14:paraId="2EDA5E1C" w14:textId="39D75F2F" w:rsidR="0000767D" w:rsidRDefault="009C0605">
      <w:pPr>
        <w:rPr>
          <w:szCs w:val="22"/>
        </w:rPr>
      </w:pPr>
      <w:r w:rsidRPr="009C0605">
        <w:rPr>
          <w:szCs w:val="22"/>
        </w:rPr>
        <w:t xml:space="preserve">Tento liek obsahuje menej ako 1 mmol sodíka (23 mg) v </w:t>
      </w:r>
      <w:r w:rsidR="0060260C">
        <w:rPr>
          <w:szCs w:val="22"/>
        </w:rPr>
        <w:t>dávke</w:t>
      </w:r>
      <w:r w:rsidRPr="009C0605">
        <w:rPr>
          <w:szCs w:val="22"/>
        </w:rPr>
        <w:t>, t.j. v podstate zanedbateľné množstvo sodíka.</w:t>
      </w:r>
    </w:p>
    <w:p w14:paraId="13AB5E65" w14:textId="77777777" w:rsidR="009C0605" w:rsidRPr="00905199" w:rsidRDefault="009C0605">
      <w:pPr>
        <w:rPr>
          <w:szCs w:val="22"/>
          <w:lang w:val="sk-SK"/>
        </w:rPr>
      </w:pPr>
    </w:p>
    <w:p w14:paraId="0A59231B" w14:textId="77777777" w:rsidR="0000767D" w:rsidRPr="00905199" w:rsidRDefault="003607C1">
      <w:pPr>
        <w:keepNext/>
        <w:keepLines/>
        <w:ind w:left="567" w:hanging="567"/>
        <w:rPr>
          <w:b/>
          <w:szCs w:val="22"/>
          <w:lang w:val="sk-SK"/>
        </w:rPr>
      </w:pPr>
      <w:r w:rsidRPr="00905199">
        <w:rPr>
          <w:b/>
          <w:szCs w:val="22"/>
          <w:lang w:val="sk-SK"/>
        </w:rPr>
        <w:t>4.5</w:t>
      </w:r>
      <w:r w:rsidRPr="00905199">
        <w:rPr>
          <w:b/>
          <w:szCs w:val="22"/>
          <w:lang w:val="sk-SK"/>
        </w:rPr>
        <w:tab/>
        <w:t>Liekové a iné interakcie</w:t>
      </w:r>
    </w:p>
    <w:p w14:paraId="18A46880" w14:textId="77777777" w:rsidR="0000767D" w:rsidRPr="00905199" w:rsidRDefault="0000767D">
      <w:pPr>
        <w:keepNext/>
        <w:keepLines/>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14:paraId="591DEDCA" w14:textId="77777777">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14:paraId="7649B7FC" w14:textId="77777777" w:rsidR="0000767D" w:rsidRPr="00905199" w:rsidRDefault="003607C1">
            <w:pPr>
              <w:pStyle w:val="Default"/>
              <w:keepNext/>
              <w:keepLines/>
              <w:rPr>
                <w:sz w:val="22"/>
                <w:szCs w:val="22"/>
                <w:lang w:val="sk-SK"/>
              </w:rPr>
            </w:pPr>
            <w:r w:rsidRPr="00905199">
              <w:rPr>
                <w:b/>
                <w:bCs/>
                <w:sz w:val="22"/>
                <w:szCs w:val="22"/>
                <w:lang w:val="sk-SK"/>
              </w:rPr>
              <w:t>Kombinácia pseudoefedrínu s:</w:t>
            </w:r>
          </w:p>
        </w:tc>
        <w:tc>
          <w:tcPr>
            <w:tcW w:w="4820" w:type="dxa"/>
            <w:tcBorders>
              <w:top w:val="single" w:sz="6" w:space="0" w:color="000000"/>
              <w:left w:val="single" w:sz="4" w:space="0" w:color="000000"/>
              <w:bottom w:val="single" w:sz="4" w:space="0" w:color="000000"/>
              <w:right w:val="single" w:sz="4" w:space="0" w:color="000000"/>
            </w:tcBorders>
          </w:tcPr>
          <w:p w14:paraId="05243550" w14:textId="77777777" w:rsidR="0000767D" w:rsidRPr="00905199" w:rsidRDefault="003607C1">
            <w:pPr>
              <w:pStyle w:val="Default"/>
              <w:keepNext/>
              <w:keepLines/>
              <w:rPr>
                <w:sz w:val="22"/>
                <w:szCs w:val="22"/>
                <w:lang w:val="sk-SK"/>
              </w:rPr>
            </w:pPr>
            <w:r w:rsidRPr="00905199">
              <w:rPr>
                <w:b/>
                <w:bCs/>
                <w:sz w:val="22"/>
                <w:szCs w:val="22"/>
                <w:lang w:val="sk-SK"/>
              </w:rPr>
              <w:t>Možná reakcia</w:t>
            </w:r>
          </w:p>
        </w:tc>
      </w:tr>
      <w:tr w:rsidR="0000767D" w:rsidRPr="00905199" w14:paraId="604D193B"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6C385345" w14:textId="77777777" w:rsidR="0000767D" w:rsidRPr="00905199" w:rsidRDefault="003607C1">
            <w:pPr>
              <w:pStyle w:val="Default"/>
              <w:keepNext/>
              <w:keepLines/>
              <w:rPr>
                <w:sz w:val="22"/>
                <w:szCs w:val="22"/>
                <w:lang w:val="sk-SK"/>
              </w:rPr>
            </w:pPr>
            <w:r w:rsidRPr="00905199">
              <w:rPr>
                <w:sz w:val="22"/>
                <w:szCs w:val="22"/>
                <w:lang w:val="sk-SK"/>
              </w:rPr>
              <w:t>Neselektívne inhibítory monoaminooxidázy (IMAO) (iproniazid):</w:t>
            </w:r>
          </w:p>
        </w:tc>
        <w:tc>
          <w:tcPr>
            <w:tcW w:w="4820" w:type="dxa"/>
            <w:tcBorders>
              <w:top w:val="single" w:sz="4" w:space="0" w:color="000000"/>
              <w:left w:val="single" w:sz="4" w:space="0" w:color="000000"/>
              <w:bottom w:val="single" w:sz="4" w:space="0" w:color="000000"/>
              <w:right w:val="single" w:sz="4" w:space="0" w:color="000000"/>
            </w:tcBorders>
          </w:tcPr>
          <w:p w14:paraId="47DF65B1" w14:textId="77777777" w:rsidR="0000767D" w:rsidRPr="00905199" w:rsidRDefault="003607C1">
            <w:pPr>
              <w:pStyle w:val="Default"/>
              <w:keepNext/>
              <w:keepLines/>
              <w:rPr>
                <w:sz w:val="22"/>
                <w:szCs w:val="22"/>
                <w:lang w:val="sk-SK"/>
              </w:rPr>
            </w:pPr>
            <w:r w:rsidRPr="00905199">
              <w:rPr>
                <w:sz w:val="22"/>
                <w:szCs w:val="22"/>
                <w:lang w:val="sk-SK"/>
              </w:rPr>
              <w:t>Paroxyzmálna hypertenzia a hypertermia, ktoré môžu byť fatálne. Z dôvodu dlhodobého účinku IMAO sa môže táto interakcia vyskytnúť až do 15 dní po vysadení IMAO.</w:t>
            </w:r>
          </w:p>
        </w:tc>
      </w:tr>
      <w:tr w:rsidR="0000767D" w:rsidRPr="00905199" w14:paraId="21F08734"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08CDD5C9" w14:textId="77777777" w:rsidR="0000767D" w:rsidRPr="00905199" w:rsidRDefault="003607C1">
            <w:pPr>
              <w:pStyle w:val="Default"/>
              <w:rPr>
                <w:sz w:val="22"/>
                <w:szCs w:val="22"/>
                <w:lang w:val="sk-SK"/>
              </w:rPr>
            </w:pPr>
            <w:r w:rsidRPr="00905199">
              <w:rPr>
                <w:sz w:val="22"/>
                <w:szCs w:val="22"/>
                <w:lang w:val="sk-SK"/>
              </w:rPr>
              <w:t>Iné nepriamo pôsobiace perorálne alebo nazálne podávané sympatomimetiká alebo vazokonstri</w:t>
            </w:r>
            <w:r w:rsidR="00905199">
              <w:rPr>
                <w:sz w:val="22"/>
                <w:szCs w:val="22"/>
                <w:lang w:val="sk-SK"/>
              </w:rPr>
              <w:t>k</w:t>
            </w:r>
            <w:r w:rsidRPr="00905199">
              <w:rPr>
                <w:sz w:val="22"/>
                <w:szCs w:val="22"/>
                <w:lang w:val="sk-SK"/>
              </w:rPr>
              <w:t>čné liečivá, α-sympatomimetiká, fenylpropanolamín, fenylefrín, efedrín, metylfenidát:</w:t>
            </w:r>
          </w:p>
        </w:tc>
        <w:tc>
          <w:tcPr>
            <w:tcW w:w="4820" w:type="dxa"/>
            <w:tcBorders>
              <w:top w:val="single" w:sz="4" w:space="0" w:color="000000"/>
              <w:left w:val="single" w:sz="4" w:space="0" w:color="000000"/>
              <w:bottom w:val="single" w:sz="4" w:space="0" w:color="000000"/>
              <w:right w:val="single" w:sz="4" w:space="0" w:color="000000"/>
            </w:tcBorders>
          </w:tcPr>
          <w:p w14:paraId="5B8F4254" w14:textId="77777777"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14:paraId="35BC0572"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237FA4F1" w14:textId="77777777" w:rsidR="0000767D" w:rsidRPr="00905199" w:rsidRDefault="003607C1">
            <w:pPr>
              <w:pStyle w:val="Default"/>
              <w:rPr>
                <w:sz w:val="22"/>
                <w:szCs w:val="22"/>
                <w:lang w:val="sk-SK"/>
              </w:rPr>
            </w:pPr>
            <w:r w:rsidRPr="00905199">
              <w:rPr>
                <w:sz w:val="22"/>
                <w:szCs w:val="22"/>
                <w:lang w:val="sk-SK"/>
              </w:rPr>
              <w:t>Reverzibilné inhibítory monoaminooxidázy A (RIMA), linezolid, dopaminergné ergotamínové alkaloidy, vazokonstrikčné ergotamínové alkaloidy:</w:t>
            </w:r>
          </w:p>
        </w:tc>
        <w:tc>
          <w:tcPr>
            <w:tcW w:w="4820" w:type="dxa"/>
            <w:tcBorders>
              <w:top w:val="single" w:sz="4" w:space="0" w:color="000000"/>
              <w:left w:val="single" w:sz="4" w:space="0" w:color="000000"/>
              <w:bottom w:val="single" w:sz="4" w:space="0" w:color="000000"/>
              <w:right w:val="single" w:sz="4" w:space="0" w:color="000000"/>
            </w:tcBorders>
          </w:tcPr>
          <w:p w14:paraId="72E77D3A" w14:textId="77777777"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14:paraId="2079C07E"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0929A522" w14:textId="77777777" w:rsidR="0000767D" w:rsidRPr="00905199" w:rsidRDefault="003607C1">
            <w:pPr>
              <w:pStyle w:val="Default"/>
              <w:rPr>
                <w:sz w:val="22"/>
                <w:szCs w:val="22"/>
                <w:lang w:val="sk-SK"/>
              </w:rPr>
            </w:pPr>
            <w:r w:rsidRPr="00905199">
              <w:rPr>
                <w:sz w:val="22"/>
                <w:szCs w:val="22"/>
                <w:lang w:val="sk-SK"/>
              </w:rPr>
              <w:t>Prchavé halogénované anestetiká:</w:t>
            </w:r>
          </w:p>
        </w:tc>
        <w:tc>
          <w:tcPr>
            <w:tcW w:w="4820" w:type="dxa"/>
            <w:tcBorders>
              <w:top w:val="single" w:sz="4" w:space="0" w:color="000000"/>
              <w:left w:val="single" w:sz="4" w:space="0" w:color="000000"/>
              <w:bottom w:val="single" w:sz="4" w:space="0" w:color="000000"/>
              <w:right w:val="single" w:sz="4" w:space="0" w:color="000000"/>
            </w:tcBorders>
          </w:tcPr>
          <w:p w14:paraId="1DB0BE1A" w14:textId="36C55C79" w:rsidR="0000767D" w:rsidRPr="00905199" w:rsidRDefault="003607C1">
            <w:pPr>
              <w:pStyle w:val="Default"/>
              <w:rPr>
                <w:sz w:val="22"/>
                <w:szCs w:val="22"/>
                <w:lang w:val="sk-SK"/>
              </w:rPr>
            </w:pPr>
            <w:r w:rsidRPr="00905199">
              <w:rPr>
                <w:sz w:val="22"/>
                <w:szCs w:val="22"/>
                <w:lang w:val="sk-SK"/>
              </w:rPr>
              <w:t xml:space="preserve">Perioperatívna akútna hypertenzia. Niekoľko dní pred plánovaným chirurgickým výkonom </w:t>
            </w:r>
            <w:r w:rsidR="00B0551B">
              <w:rPr>
                <w:sz w:val="22"/>
                <w:szCs w:val="22"/>
                <w:lang w:val="sk-SK"/>
              </w:rPr>
              <w:t>ukončiť</w:t>
            </w:r>
            <w:r w:rsidR="00B0551B" w:rsidRPr="00905199">
              <w:rPr>
                <w:sz w:val="22"/>
                <w:szCs w:val="22"/>
                <w:lang w:val="sk-SK"/>
              </w:rPr>
              <w:t xml:space="preserve"> </w:t>
            </w:r>
            <w:r w:rsidRPr="00905199">
              <w:rPr>
                <w:sz w:val="22"/>
                <w:szCs w:val="22"/>
                <w:lang w:val="sk-SK"/>
              </w:rPr>
              <w:t xml:space="preserve">liečbu </w:t>
            </w:r>
            <w:r w:rsidR="002654BB" w:rsidRPr="00905199">
              <w:rPr>
                <w:sz w:val="22"/>
                <w:szCs w:val="22"/>
                <w:lang w:val="sk-SK"/>
              </w:rPr>
              <w:t>Grippecton</w:t>
            </w:r>
            <w:r w:rsidR="003E07B7" w:rsidRPr="00905199">
              <w:rPr>
                <w:sz w:val="22"/>
                <w:szCs w:val="22"/>
                <w:lang w:val="sk-SK"/>
              </w:rPr>
              <w:t>om</w:t>
            </w:r>
            <w:r w:rsidR="002654BB" w:rsidRPr="00905199">
              <w:rPr>
                <w:sz w:val="22"/>
                <w:szCs w:val="22"/>
                <w:lang w:val="sk-SK"/>
              </w:rPr>
              <w:t xml:space="preserve"> 200 mg/30 mg</w:t>
            </w:r>
            <w:r w:rsidRPr="00905199">
              <w:rPr>
                <w:sz w:val="22"/>
                <w:szCs w:val="22"/>
                <w:lang w:val="sk-SK"/>
              </w:rPr>
              <w:t>.</w:t>
            </w:r>
          </w:p>
        </w:tc>
      </w:tr>
      <w:tr w:rsidR="0000767D" w:rsidRPr="00905199" w14:paraId="4EC61120"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79DA5B77" w14:textId="77777777" w:rsidR="0000767D" w:rsidRPr="00905199" w:rsidRDefault="003607C1">
            <w:pPr>
              <w:pStyle w:val="Default"/>
              <w:rPr>
                <w:sz w:val="22"/>
                <w:szCs w:val="22"/>
                <w:lang w:val="sk-SK"/>
              </w:rPr>
            </w:pPr>
            <w:r w:rsidRPr="00905199">
              <w:rPr>
                <w:sz w:val="22"/>
                <w:szCs w:val="22"/>
                <w:lang w:val="sk-SK"/>
              </w:rPr>
              <w:t>G</w:t>
            </w:r>
            <w:r w:rsidR="003E07B7" w:rsidRPr="00905199">
              <w:rPr>
                <w:sz w:val="22"/>
                <w:szCs w:val="22"/>
                <w:lang w:val="sk-SK"/>
              </w:rPr>
              <w:t>u</w:t>
            </w:r>
            <w:r w:rsidRPr="00684ADF">
              <w:rPr>
                <w:sz w:val="22"/>
                <w:szCs w:val="22"/>
                <w:lang w:val="sk-SK"/>
              </w:rPr>
              <w:t>a</w:t>
            </w:r>
            <w:r w:rsidRPr="00F93CCF">
              <w:rPr>
                <w:sz w:val="22"/>
                <w:szCs w:val="22"/>
                <w:lang w:val="sk-SK"/>
              </w:rPr>
              <w:t>netidín, rezerpín a metyldopa:</w:t>
            </w:r>
          </w:p>
        </w:tc>
        <w:tc>
          <w:tcPr>
            <w:tcW w:w="4820" w:type="dxa"/>
            <w:tcBorders>
              <w:top w:val="single" w:sz="4" w:space="0" w:color="000000"/>
              <w:left w:val="single" w:sz="4" w:space="0" w:color="000000"/>
              <w:bottom w:val="single" w:sz="4" w:space="0" w:color="000000"/>
              <w:right w:val="single" w:sz="4" w:space="0" w:color="000000"/>
            </w:tcBorders>
          </w:tcPr>
          <w:p w14:paraId="48F3DF30" w14:textId="77777777" w:rsidR="0000767D" w:rsidRPr="00905199" w:rsidRDefault="003607C1">
            <w:pPr>
              <w:pStyle w:val="Default"/>
              <w:rPr>
                <w:sz w:val="22"/>
                <w:szCs w:val="22"/>
                <w:lang w:val="sk-SK"/>
              </w:rPr>
            </w:pPr>
            <w:r w:rsidRPr="00905199">
              <w:rPr>
                <w:sz w:val="22"/>
                <w:szCs w:val="22"/>
                <w:lang w:val="sk-SK"/>
              </w:rPr>
              <w:t>Môže sa znížiť účinok pseudoefedrínu.</w:t>
            </w:r>
          </w:p>
        </w:tc>
      </w:tr>
      <w:tr w:rsidR="0000767D" w:rsidRPr="00905199" w14:paraId="310BE2B1"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1F8BC68D" w14:textId="77777777" w:rsidR="0000767D" w:rsidRPr="00905199" w:rsidRDefault="003607C1">
            <w:pPr>
              <w:pStyle w:val="Default"/>
              <w:rPr>
                <w:sz w:val="22"/>
                <w:szCs w:val="22"/>
                <w:lang w:val="sk-SK"/>
              </w:rPr>
            </w:pPr>
            <w:r w:rsidRPr="00905199">
              <w:rPr>
                <w:sz w:val="22"/>
                <w:szCs w:val="22"/>
                <w:lang w:val="sk-SK"/>
              </w:rPr>
              <w:t>Tricyklické antidepresíva:</w:t>
            </w:r>
          </w:p>
        </w:tc>
        <w:tc>
          <w:tcPr>
            <w:tcW w:w="4820" w:type="dxa"/>
            <w:tcBorders>
              <w:top w:val="single" w:sz="4" w:space="0" w:color="000000"/>
              <w:left w:val="single" w:sz="4" w:space="0" w:color="000000"/>
              <w:bottom w:val="single" w:sz="4" w:space="0" w:color="000000"/>
              <w:right w:val="single" w:sz="4" w:space="0" w:color="000000"/>
            </w:tcBorders>
          </w:tcPr>
          <w:p w14:paraId="504CE577" w14:textId="77777777" w:rsidR="0000767D" w:rsidRPr="00905199" w:rsidRDefault="003607C1">
            <w:pPr>
              <w:pStyle w:val="Default"/>
              <w:rPr>
                <w:sz w:val="22"/>
                <w:szCs w:val="22"/>
                <w:lang w:val="sk-SK"/>
              </w:rPr>
            </w:pPr>
            <w:r w:rsidRPr="00905199">
              <w:rPr>
                <w:sz w:val="22"/>
                <w:szCs w:val="22"/>
                <w:lang w:val="sk-SK"/>
              </w:rPr>
              <w:t>Môže sa znížiť alebo zvýšiť účinok pseudoefedrínu.</w:t>
            </w:r>
          </w:p>
        </w:tc>
      </w:tr>
      <w:tr w:rsidR="0000767D" w:rsidRPr="00905199" w14:paraId="0CBBA30D" w14:textId="77777777">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14:paraId="30047FB0" w14:textId="77777777" w:rsidR="0000767D" w:rsidRPr="00F93CCF" w:rsidRDefault="003607C1">
            <w:pPr>
              <w:pStyle w:val="Default"/>
              <w:rPr>
                <w:sz w:val="22"/>
                <w:szCs w:val="22"/>
                <w:lang w:val="sk-SK"/>
              </w:rPr>
            </w:pPr>
            <w:r w:rsidRPr="00905199">
              <w:rPr>
                <w:sz w:val="22"/>
                <w:szCs w:val="22"/>
                <w:lang w:val="sk-SK"/>
              </w:rPr>
              <w:t>Digit</w:t>
            </w:r>
            <w:r w:rsidR="003E07B7" w:rsidRPr="00905199">
              <w:rPr>
                <w:sz w:val="22"/>
                <w:szCs w:val="22"/>
                <w:lang w:val="sk-SK"/>
              </w:rPr>
              <w:t>á</w:t>
            </w:r>
            <w:r w:rsidRPr="00684ADF">
              <w:rPr>
                <w:sz w:val="22"/>
                <w:szCs w:val="22"/>
                <w:lang w:val="sk-SK"/>
              </w:rPr>
              <w:t>lis, chinidín alebo tricyklické antidepresíva:</w:t>
            </w:r>
          </w:p>
        </w:tc>
        <w:tc>
          <w:tcPr>
            <w:tcW w:w="4820" w:type="dxa"/>
            <w:tcBorders>
              <w:top w:val="single" w:sz="4" w:space="0" w:color="000000"/>
              <w:left w:val="single" w:sz="4" w:space="0" w:color="000000"/>
              <w:bottom w:val="single" w:sz="6" w:space="0" w:color="000000"/>
              <w:right w:val="single" w:sz="4" w:space="0" w:color="000000"/>
            </w:tcBorders>
          </w:tcPr>
          <w:p w14:paraId="37A33F2E" w14:textId="77777777" w:rsidR="0000767D" w:rsidRPr="00905199" w:rsidRDefault="003607C1">
            <w:pPr>
              <w:pStyle w:val="Default"/>
              <w:rPr>
                <w:sz w:val="22"/>
                <w:szCs w:val="22"/>
                <w:lang w:val="sk-SK"/>
              </w:rPr>
            </w:pPr>
            <w:r w:rsidRPr="00905199">
              <w:rPr>
                <w:sz w:val="22"/>
                <w:szCs w:val="22"/>
                <w:lang w:val="sk-SK"/>
              </w:rPr>
              <w:t>Zvýšená frekvencia arytmie.</w:t>
            </w:r>
          </w:p>
        </w:tc>
      </w:tr>
    </w:tbl>
    <w:p w14:paraId="156AED50" w14:textId="77777777" w:rsidR="0000767D" w:rsidRPr="00905199" w:rsidRDefault="0000767D">
      <w:pPr>
        <w:ind w:left="567" w:hanging="567"/>
        <w:rPr>
          <w:b/>
          <w:szCs w:val="22"/>
          <w:lang w:val="sk-SK"/>
        </w:rPr>
      </w:pPr>
    </w:p>
    <w:p w14:paraId="421EC365" w14:textId="77777777" w:rsidR="0000767D" w:rsidRPr="00905199" w:rsidRDefault="0000767D">
      <w:pPr>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14:paraId="34874AAB" w14:textId="77777777">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14:paraId="313ACF69" w14:textId="77777777" w:rsidR="0000767D" w:rsidRPr="00905199" w:rsidRDefault="003607C1" w:rsidP="00221A8D">
            <w:pPr>
              <w:pStyle w:val="Default"/>
              <w:rPr>
                <w:b/>
                <w:bCs/>
                <w:sz w:val="22"/>
                <w:szCs w:val="22"/>
                <w:lang w:val="sk-SK"/>
              </w:rPr>
            </w:pPr>
            <w:r w:rsidRPr="00905199">
              <w:rPr>
                <w:b/>
                <w:bCs/>
                <w:sz w:val="22"/>
                <w:szCs w:val="22"/>
                <w:lang w:val="sk-SK"/>
              </w:rPr>
              <w:t xml:space="preserve">Súbežné užívanie </w:t>
            </w:r>
            <w:r w:rsidR="00221A8D" w:rsidRPr="00905199">
              <w:rPr>
                <w:b/>
                <w:bCs/>
                <w:sz w:val="22"/>
                <w:szCs w:val="22"/>
                <w:lang w:val="sk-SK"/>
              </w:rPr>
              <w:t>ibuprof</w:t>
            </w:r>
            <w:r w:rsidR="00221A8D">
              <w:rPr>
                <w:b/>
                <w:bCs/>
                <w:sz w:val="22"/>
                <w:szCs w:val="22"/>
                <w:lang w:val="sk-SK"/>
              </w:rPr>
              <w:t>é</w:t>
            </w:r>
            <w:r w:rsidR="00221A8D" w:rsidRPr="00905199">
              <w:rPr>
                <w:b/>
                <w:bCs/>
                <w:sz w:val="22"/>
                <w:szCs w:val="22"/>
                <w:lang w:val="sk-SK"/>
              </w:rPr>
              <w:t xml:space="preserve">nu </w:t>
            </w:r>
            <w:r w:rsidRPr="00905199">
              <w:rPr>
                <w:b/>
                <w:bCs/>
                <w:sz w:val="22"/>
                <w:szCs w:val="22"/>
                <w:lang w:val="sk-SK"/>
              </w:rPr>
              <w:t>s:</w:t>
            </w:r>
          </w:p>
        </w:tc>
        <w:tc>
          <w:tcPr>
            <w:tcW w:w="4820" w:type="dxa"/>
            <w:tcBorders>
              <w:top w:val="single" w:sz="6" w:space="0" w:color="000000"/>
              <w:left w:val="single" w:sz="4" w:space="0" w:color="000000"/>
              <w:bottom w:val="single" w:sz="4" w:space="0" w:color="000000"/>
              <w:right w:val="single" w:sz="4" w:space="0" w:color="000000"/>
            </w:tcBorders>
          </w:tcPr>
          <w:p w14:paraId="3833C131" w14:textId="77777777" w:rsidR="0000767D" w:rsidRPr="00905199" w:rsidRDefault="003607C1">
            <w:pPr>
              <w:pStyle w:val="Default"/>
              <w:rPr>
                <w:b/>
                <w:bCs/>
                <w:sz w:val="22"/>
                <w:szCs w:val="22"/>
                <w:lang w:val="sk-SK"/>
              </w:rPr>
            </w:pPr>
            <w:r w:rsidRPr="00905199">
              <w:rPr>
                <w:b/>
                <w:bCs/>
                <w:sz w:val="22"/>
                <w:szCs w:val="22"/>
                <w:lang w:val="sk-SK"/>
              </w:rPr>
              <w:t>Možná reakcia</w:t>
            </w:r>
          </w:p>
        </w:tc>
      </w:tr>
      <w:tr w:rsidR="0000767D" w:rsidRPr="00905199" w14:paraId="64A14A0E"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4548621B" w14:textId="77777777" w:rsidR="0000767D" w:rsidRPr="00905199" w:rsidRDefault="003607C1">
            <w:pPr>
              <w:pStyle w:val="Default"/>
              <w:rPr>
                <w:sz w:val="22"/>
                <w:szCs w:val="22"/>
                <w:lang w:val="sk-SK"/>
              </w:rPr>
            </w:pPr>
            <w:r w:rsidRPr="00905199">
              <w:rPr>
                <w:sz w:val="22"/>
                <w:szCs w:val="22"/>
                <w:lang w:val="sk-SK"/>
              </w:rPr>
              <w:t>Iné NSAID vrátane salicylátov a selektívnych inhibítorov COX</w:t>
            </w:r>
            <w:r w:rsidRPr="00905199">
              <w:rPr>
                <w:sz w:val="22"/>
                <w:szCs w:val="22"/>
                <w:lang w:val="sk-SK"/>
              </w:rPr>
              <w:noBreakHyphen/>
              <w:t>2:</w:t>
            </w:r>
          </w:p>
        </w:tc>
        <w:tc>
          <w:tcPr>
            <w:tcW w:w="4820" w:type="dxa"/>
            <w:tcBorders>
              <w:top w:val="single" w:sz="4" w:space="0" w:color="000000"/>
              <w:left w:val="single" w:sz="4" w:space="0" w:color="000000"/>
              <w:bottom w:val="single" w:sz="4" w:space="0" w:color="000000"/>
              <w:right w:val="single" w:sz="4" w:space="0" w:color="000000"/>
            </w:tcBorders>
          </w:tcPr>
          <w:p w14:paraId="04E87370" w14:textId="77777777" w:rsidR="0000767D" w:rsidRPr="00905199" w:rsidRDefault="003607C1" w:rsidP="00221A8D">
            <w:pPr>
              <w:pStyle w:val="Default"/>
              <w:rPr>
                <w:sz w:val="22"/>
                <w:szCs w:val="22"/>
                <w:lang w:val="sk-SK"/>
              </w:rPr>
            </w:pPr>
            <w:r w:rsidRPr="00905199">
              <w:rPr>
                <w:sz w:val="22"/>
                <w:szCs w:val="22"/>
                <w:lang w:val="sk-SK"/>
              </w:rPr>
              <w:t xml:space="preserve">Súbežné podávanie viacerých NSAID môže zvýšiť riziko gastrointestinálnych vredov a krvácania z dôvodu synergického účinku. Súbežnému </w:t>
            </w:r>
            <w:r w:rsidRPr="00905199">
              <w:rPr>
                <w:sz w:val="22"/>
                <w:szCs w:val="22"/>
                <w:lang w:val="sk-SK"/>
              </w:rPr>
              <w:lastRenderedPageBreak/>
              <w:t xml:space="preserve">užívaniu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 inými NSAID sa má preto vyhnúť (pozri časť 4.4).</w:t>
            </w:r>
          </w:p>
        </w:tc>
      </w:tr>
      <w:tr w:rsidR="0000767D" w:rsidRPr="00905199" w14:paraId="49460648" w14:textId="77777777">
        <w:trPr>
          <w:trHeight w:val="1447"/>
          <w:jc w:val="center"/>
        </w:trPr>
        <w:tc>
          <w:tcPr>
            <w:tcW w:w="4819" w:type="dxa"/>
            <w:tcBorders>
              <w:top w:val="single" w:sz="4" w:space="0" w:color="000000"/>
              <w:left w:val="single" w:sz="4" w:space="0" w:color="000000"/>
              <w:right w:val="single" w:sz="4" w:space="0" w:color="000000"/>
            </w:tcBorders>
          </w:tcPr>
          <w:p w14:paraId="1AA2E809" w14:textId="77777777" w:rsidR="0000767D" w:rsidRPr="00905199" w:rsidRDefault="003607C1">
            <w:pPr>
              <w:pStyle w:val="Default"/>
              <w:rPr>
                <w:sz w:val="22"/>
                <w:szCs w:val="22"/>
                <w:lang w:val="sk-SK"/>
              </w:rPr>
            </w:pPr>
            <w:r w:rsidRPr="00905199">
              <w:rPr>
                <w:sz w:val="22"/>
                <w:szCs w:val="22"/>
                <w:lang w:val="sk-SK"/>
              </w:rPr>
              <w:lastRenderedPageBreak/>
              <w:t>Digoxín:</w:t>
            </w:r>
          </w:p>
          <w:p w14:paraId="76AC58CA" w14:textId="77777777" w:rsidR="0000767D" w:rsidRPr="00905199" w:rsidRDefault="0000767D">
            <w:pPr>
              <w:pStyle w:val="Default"/>
              <w:rPr>
                <w:sz w:val="22"/>
                <w:szCs w:val="22"/>
                <w:lang w:val="sk-SK"/>
              </w:rPr>
            </w:pPr>
          </w:p>
          <w:p w14:paraId="4CD72E13" w14:textId="77777777" w:rsidR="0000767D" w:rsidRPr="00905199" w:rsidRDefault="0000767D">
            <w:pPr>
              <w:pStyle w:val="Default"/>
              <w:rPr>
                <w:sz w:val="22"/>
                <w:szCs w:val="22"/>
                <w:lang w:val="sk-SK"/>
              </w:rPr>
            </w:pPr>
          </w:p>
        </w:tc>
        <w:tc>
          <w:tcPr>
            <w:tcW w:w="4820" w:type="dxa"/>
            <w:tcBorders>
              <w:top w:val="single" w:sz="4" w:space="0" w:color="000000"/>
              <w:left w:val="single" w:sz="4" w:space="0" w:color="000000"/>
              <w:right w:val="single" w:sz="4" w:space="0" w:color="000000"/>
            </w:tcBorders>
          </w:tcPr>
          <w:p w14:paraId="760F6FEE" w14:textId="77777777"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digoxín môže zvýšiť sérové hladiny týchto liekov. Kontrola digoxínu v sére sa pri správnom 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14:paraId="55AADB05"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1E6BC5B6" w14:textId="77777777" w:rsidR="0000767D" w:rsidRPr="00905199" w:rsidRDefault="003607C1">
            <w:pPr>
              <w:pStyle w:val="Default"/>
              <w:rPr>
                <w:sz w:val="22"/>
                <w:szCs w:val="22"/>
                <w:lang w:val="sk-SK"/>
              </w:rPr>
            </w:pPr>
            <w:r w:rsidRPr="00905199">
              <w:rPr>
                <w:sz w:val="22"/>
                <w:szCs w:val="22"/>
                <w:lang w:val="sk-SK"/>
              </w:rPr>
              <w:t>Kortikosteroidy:</w:t>
            </w:r>
          </w:p>
        </w:tc>
        <w:tc>
          <w:tcPr>
            <w:tcW w:w="4820" w:type="dxa"/>
            <w:tcBorders>
              <w:top w:val="single" w:sz="4" w:space="0" w:color="000000"/>
              <w:left w:val="single" w:sz="4" w:space="0" w:color="000000"/>
              <w:bottom w:val="single" w:sz="4" w:space="0" w:color="000000"/>
              <w:right w:val="single" w:sz="4" w:space="0" w:color="000000"/>
            </w:tcBorders>
          </w:tcPr>
          <w:p w14:paraId="278C8A85" w14:textId="77777777" w:rsidR="0000767D" w:rsidRPr="00905199" w:rsidRDefault="003607C1">
            <w:pPr>
              <w:pStyle w:val="Default"/>
              <w:rPr>
                <w:sz w:val="22"/>
                <w:szCs w:val="22"/>
                <w:lang w:val="sk-SK"/>
              </w:rPr>
            </w:pPr>
            <w:r w:rsidRPr="00905199">
              <w:rPr>
                <w:sz w:val="22"/>
                <w:szCs w:val="22"/>
                <w:lang w:val="sk-SK"/>
              </w:rPr>
              <w:t>Kortikosteroidy, pretože môžu zvýšiť riziko nežiaducich reakcií, týkajúce sa najmä gastrointestinálneho traktu (gastrointestinálne ulcerácie alebo krvácanie) (pozri časť 4.3).</w:t>
            </w:r>
          </w:p>
        </w:tc>
      </w:tr>
      <w:tr w:rsidR="0000767D" w:rsidRPr="00905199" w14:paraId="4E33C56C"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16A12C54" w14:textId="77777777" w:rsidR="0000767D" w:rsidRPr="00905199" w:rsidRDefault="003607C1">
            <w:pPr>
              <w:pStyle w:val="Default"/>
              <w:rPr>
                <w:sz w:val="22"/>
                <w:szCs w:val="22"/>
                <w:lang w:val="sk-SK"/>
              </w:rPr>
            </w:pPr>
            <w:r w:rsidRPr="00905199">
              <w:rPr>
                <w:sz w:val="22"/>
                <w:szCs w:val="22"/>
                <w:lang w:val="sk-SK"/>
              </w:rPr>
              <w:t>Antiagregačné látky:</w:t>
            </w:r>
          </w:p>
        </w:tc>
        <w:tc>
          <w:tcPr>
            <w:tcW w:w="4820" w:type="dxa"/>
            <w:tcBorders>
              <w:top w:val="single" w:sz="4" w:space="0" w:color="000000"/>
              <w:left w:val="single" w:sz="4" w:space="0" w:color="000000"/>
              <w:bottom w:val="single" w:sz="4" w:space="0" w:color="000000"/>
              <w:right w:val="single" w:sz="4" w:space="0" w:color="000000"/>
            </w:tcBorders>
          </w:tcPr>
          <w:p w14:paraId="402E605E" w14:textId="77777777"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14:paraId="6D3D1200"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3329A0D1" w14:textId="77777777" w:rsidR="0000767D" w:rsidRPr="00905199" w:rsidRDefault="003607C1">
            <w:pPr>
              <w:pStyle w:val="Default"/>
              <w:rPr>
                <w:sz w:val="22"/>
                <w:szCs w:val="22"/>
                <w:lang w:val="sk-SK"/>
              </w:rPr>
            </w:pPr>
            <w:r w:rsidRPr="00905199">
              <w:rPr>
                <w:sz w:val="22"/>
                <w:szCs w:val="22"/>
                <w:lang w:val="sk-SK"/>
              </w:rPr>
              <w:t>Kyselina acetylsalicylová:</w:t>
            </w:r>
          </w:p>
        </w:tc>
        <w:tc>
          <w:tcPr>
            <w:tcW w:w="4820" w:type="dxa"/>
            <w:tcBorders>
              <w:top w:val="single" w:sz="4" w:space="0" w:color="000000"/>
              <w:left w:val="single" w:sz="4" w:space="0" w:color="000000"/>
              <w:bottom w:val="single" w:sz="4" w:space="0" w:color="000000"/>
              <w:right w:val="single" w:sz="4" w:space="0" w:color="000000"/>
            </w:tcBorders>
          </w:tcPr>
          <w:p w14:paraId="5F0B50EF" w14:textId="77777777" w:rsidR="0000767D" w:rsidRPr="00905199" w:rsidRDefault="003607C1">
            <w:pPr>
              <w:pStyle w:val="Default"/>
              <w:rPr>
                <w:sz w:val="22"/>
                <w:szCs w:val="22"/>
                <w:lang w:val="sk-SK"/>
              </w:rPr>
            </w:pPr>
            <w:r w:rsidRPr="00905199">
              <w:rPr>
                <w:sz w:val="22"/>
                <w:szCs w:val="22"/>
                <w:lang w:val="sk-SK"/>
              </w:rPr>
              <w:t xml:space="preserve">Súbežné používanie </w:t>
            </w:r>
            <w:r w:rsidR="00221A8D" w:rsidRPr="00905199">
              <w:rPr>
                <w:sz w:val="22"/>
                <w:szCs w:val="22"/>
                <w:lang w:val="sk-SK"/>
              </w:rPr>
              <w:t>ibupro</w:t>
            </w:r>
            <w:r w:rsidR="00221A8D" w:rsidRPr="00F93CCF">
              <w:rPr>
                <w:sz w:val="22"/>
                <w:szCs w:val="22"/>
                <w:lang w:val="sk-SK"/>
              </w:rPr>
              <w:t>f</w:t>
            </w:r>
            <w:r w:rsidR="00221A8D">
              <w:rPr>
                <w:sz w:val="22"/>
                <w:szCs w:val="22"/>
                <w:lang w:val="sk-SK"/>
              </w:rPr>
              <w:t>é</w:t>
            </w:r>
            <w:r w:rsidR="00221A8D" w:rsidRPr="00F93CCF">
              <w:rPr>
                <w:sz w:val="22"/>
                <w:szCs w:val="22"/>
                <w:lang w:val="sk-SK"/>
              </w:rPr>
              <w:t>n</w:t>
            </w:r>
            <w:r w:rsidR="00221A8D" w:rsidRPr="00905199">
              <w:rPr>
                <w:sz w:val="22"/>
                <w:szCs w:val="22"/>
                <w:lang w:val="sk-SK"/>
              </w:rPr>
              <w:t xml:space="preserve">u </w:t>
            </w:r>
            <w:r w:rsidRPr="00905199">
              <w:rPr>
                <w:sz w:val="22"/>
                <w:szCs w:val="22"/>
                <w:lang w:val="sk-SK"/>
              </w:rPr>
              <w:t>a kyseliny acetylsalicylovej sa vo všeobecnosti neodporúča z dôvodu možného zvýšenia výskytu nežiaducich účinkov.</w:t>
            </w:r>
          </w:p>
          <w:p w14:paraId="502CC6F3" w14:textId="77777777" w:rsidR="0000767D" w:rsidRPr="00905199" w:rsidRDefault="003607C1">
            <w:pPr>
              <w:pStyle w:val="Default"/>
              <w:rPr>
                <w:sz w:val="22"/>
                <w:szCs w:val="22"/>
                <w:lang w:val="sk-SK"/>
              </w:rPr>
            </w:pPr>
            <w:r w:rsidRPr="00905199">
              <w:rPr>
                <w:sz w:val="22"/>
                <w:szCs w:val="22"/>
                <w:lang w:val="sk-SK"/>
              </w:rPr>
              <w:t xml:space="preserve">Experimentálne údaje naznačujú, že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 </w:t>
            </w:r>
            <w:r w:rsidRPr="00905199">
              <w:rPr>
                <w:sz w:val="22"/>
                <w:szCs w:val="22"/>
                <w:lang w:val="sk-SK"/>
              </w:rPr>
              <w:t xml:space="preserve">môže </w:t>
            </w:r>
            <w:r w:rsidR="003E07B7" w:rsidRPr="00905199">
              <w:rPr>
                <w:sz w:val="22"/>
                <w:szCs w:val="22"/>
                <w:lang w:val="sk-SK"/>
              </w:rPr>
              <w:t xml:space="preserve">kompetitívne </w:t>
            </w:r>
            <w:r w:rsidRPr="00905199">
              <w:rPr>
                <w:sz w:val="22"/>
                <w:szCs w:val="22"/>
                <w:lang w:val="sk-SK"/>
              </w:rPr>
              <w:t xml:space="preserve">inhibovať účinok nízkej dávky </w:t>
            </w:r>
          </w:p>
          <w:p w14:paraId="60D94838" w14:textId="77777777" w:rsidR="0000767D" w:rsidRPr="00905199" w:rsidRDefault="003607C1">
            <w:pPr>
              <w:pStyle w:val="Default"/>
              <w:rPr>
                <w:sz w:val="22"/>
                <w:szCs w:val="22"/>
                <w:lang w:val="sk-SK"/>
              </w:rPr>
            </w:pPr>
            <w:r w:rsidRPr="00905199">
              <w:rPr>
                <w:sz w:val="22"/>
                <w:szCs w:val="22"/>
                <w:lang w:val="sk-SK"/>
              </w:rPr>
              <w:t xml:space="preserve">kyseliny acetylsalicylovej na agregáciu krvných doštičiek, keď sa podávajú súbežne. Aj keď existujú </w:t>
            </w:r>
          </w:p>
          <w:p w14:paraId="0AB4746C" w14:textId="77777777" w:rsidR="0000767D" w:rsidRPr="00905199" w:rsidRDefault="003607C1">
            <w:pPr>
              <w:pStyle w:val="Default"/>
              <w:rPr>
                <w:sz w:val="22"/>
                <w:szCs w:val="22"/>
                <w:lang w:val="sk-SK"/>
              </w:rPr>
            </w:pPr>
            <w:r w:rsidRPr="00905199">
              <w:rPr>
                <w:sz w:val="22"/>
                <w:szCs w:val="22"/>
                <w:lang w:val="sk-SK"/>
              </w:rPr>
              <w:t xml:space="preserve">nejasnosti ohľadom extrapolácie týchto </w:t>
            </w:r>
            <w:r w:rsidR="003E07B7" w:rsidRPr="00905199">
              <w:rPr>
                <w:sz w:val="22"/>
                <w:szCs w:val="22"/>
                <w:lang w:val="sk-SK"/>
              </w:rPr>
              <w:t xml:space="preserve">údajov </w:t>
            </w:r>
            <w:r w:rsidRPr="00905199">
              <w:rPr>
                <w:sz w:val="22"/>
                <w:szCs w:val="22"/>
                <w:lang w:val="sk-SK"/>
              </w:rPr>
              <w:t xml:space="preserve">pre klinickú situáciu, možnosť, že pravidelné, </w:t>
            </w:r>
          </w:p>
          <w:p w14:paraId="47E3122D" w14:textId="77777777" w:rsidR="0000767D" w:rsidRPr="00905199" w:rsidRDefault="003607C1" w:rsidP="00221A8D">
            <w:pPr>
              <w:pStyle w:val="Default"/>
              <w:rPr>
                <w:sz w:val="22"/>
                <w:szCs w:val="22"/>
                <w:lang w:val="sk-SK"/>
              </w:rPr>
            </w:pPr>
            <w:r w:rsidRPr="00905199">
              <w:rPr>
                <w:sz w:val="22"/>
                <w:szCs w:val="22"/>
                <w:lang w:val="sk-SK"/>
              </w:rPr>
              <w:t xml:space="preserve">dlhodobé užívanie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 xml:space="preserve">môže znižovať kardioprotektívny účinok nízkej dávky kyseliny acetylsalicylovej nemôže byť vylúčená. Žiadny klinicky významný účinok sa nepovažuje za pravdepodobný pre príležitostné použitie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(pozri časť 5.1).</w:t>
            </w:r>
          </w:p>
        </w:tc>
      </w:tr>
      <w:tr w:rsidR="0000767D" w:rsidRPr="00905199" w14:paraId="0AD5A3F8"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5AE8790B" w14:textId="77777777" w:rsidR="0000767D" w:rsidRPr="00905199" w:rsidRDefault="003607C1">
            <w:pPr>
              <w:pStyle w:val="Default"/>
              <w:rPr>
                <w:sz w:val="22"/>
                <w:szCs w:val="22"/>
                <w:lang w:val="sk-SK"/>
              </w:rPr>
            </w:pPr>
            <w:r w:rsidRPr="00905199">
              <w:rPr>
                <w:sz w:val="22"/>
                <w:szCs w:val="22"/>
                <w:lang w:val="sk-SK"/>
              </w:rPr>
              <w:t>Antikoagulanciá:</w:t>
            </w:r>
          </w:p>
          <w:p w14:paraId="23787C54" w14:textId="77777777" w:rsidR="0000767D" w:rsidRPr="00905199" w:rsidRDefault="003607C1">
            <w:pPr>
              <w:pStyle w:val="Default"/>
              <w:rPr>
                <w:sz w:val="22"/>
                <w:szCs w:val="22"/>
                <w:lang w:val="sk-SK"/>
              </w:rPr>
            </w:pPr>
            <w:r w:rsidRPr="00905199">
              <w:rPr>
                <w:sz w:val="22"/>
                <w:szCs w:val="22"/>
                <w:lang w:val="sk-SK"/>
              </w:rPr>
              <w:t>(napr.: warfarín, tiklopidín, klopidogrel, tirofiban, eptifibatid, abciximab, iloprost)</w:t>
            </w:r>
          </w:p>
        </w:tc>
        <w:tc>
          <w:tcPr>
            <w:tcW w:w="4820" w:type="dxa"/>
            <w:tcBorders>
              <w:top w:val="single" w:sz="4" w:space="0" w:color="000000"/>
              <w:left w:val="single" w:sz="4" w:space="0" w:color="000000"/>
              <w:bottom w:val="single" w:sz="4" w:space="0" w:color="000000"/>
              <w:right w:val="single" w:sz="4" w:space="0" w:color="000000"/>
            </w:tcBorders>
          </w:tcPr>
          <w:p w14:paraId="60467A7B" w14:textId="77777777" w:rsidR="0000767D" w:rsidRPr="00905199" w:rsidRDefault="003607C1" w:rsidP="00221A8D">
            <w:pPr>
              <w:pStyle w:val="Default"/>
              <w:rPr>
                <w:sz w:val="22"/>
                <w:szCs w:val="22"/>
                <w:lang w:val="sk-SK"/>
              </w:rPr>
            </w:pPr>
            <w:r w:rsidRPr="00905199">
              <w:rPr>
                <w:sz w:val="22"/>
                <w:szCs w:val="22"/>
                <w:lang w:val="sk-SK"/>
              </w:rPr>
              <w:t xml:space="preserve">NSAID, ako je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môžu zosilniť účinok antikoagulancií ako takých (pozri časť 4.4).</w:t>
            </w:r>
          </w:p>
        </w:tc>
      </w:tr>
      <w:tr w:rsidR="0000767D" w:rsidRPr="00905199" w14:paraId="311369C4"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4100080F" w14:textId="77777777" w:rsidR="0000767D" w:rsidRPr="00905199" w:rsidRDefault="003607C1">
            <w:pPr>
              <w:pStyle w:val="Default"/>
              <w:rPr>
                <w:sz w:val="22"/>
                <w:szCs w:val="22"/>
                <w:lang w:val="sk-SK"/>
              </w:rPr>
            </w:pPr>
            <w:r w:rsidRPr="00905199">
              <w:rPr>
                <w:sz w:val="22"/>
                <w:szCs w:val="22"/>
                <w:lang w:val="sk-SK"/>
              </w:rPr>
              <w:t>Fenytoín:</w:t>
            </w:r>
          </w:p>
        </w:tc>
        <w:tc>
          <w:tcPr>
            <w:tcW w:w="4820" w:type="dxa"/>
            <w:tcBorders>
              <w:top w:val="single" w:sz="4" w:space="0" w:color="000000"/>
              <w:left w:val="single" w:sz="4" w:space="0" w:color="000000"/>
              <w:bottom w:val="single" w:sz="4" w:space="0" w:color="000000"/>
              <w:right w:val="single" w:sz="4" w:space="0" w:color="000000"/>
            </w:tcBorders>
          </w:tcPr>
          <w:p w14:paraId="3941EC4F" w14:textId="77777777"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fenytoín môže zvýšiť sérové hladiny týchto liekov. Kontrola sérového fenytoínu sa pri správnom používaní </w:t>
            </w:r>
            <w:r w:rsidR="003E07B7" w:rsidRPr="00905199">
              <w:rPr>
                <w:sz w:val="22"/>
                <w:szCs w:val="22"/>
                <w:lang w:val="sk-SK"/>
              </w:rPr>
              <w:t xml:space="preserve">(maximálne počas 4 dní) </w:t>
            </w:r>
            <w:r w:rsidRPr="00905199">
              <w:rPr>
                <w:sz w:val="22"/>
                <w:szCs w:val="22"/>
                <w:lang w:val="sk-SK"/>
              </w:rPr>
              <w:t>zvyčajne nevyžaduje</w:t>
            </w:r>
            <w:r w:rsidR="003E07B7" w:rsidRPr="00905199">
              <w:rPr>
                <w:sz w:val="22"/>
                <w:szCs w:val="22"/>
                <w:lang w:val="sk-SK"/>
              </w:rPr>
              <w:t>.</w:t>
            </w:r>
            <w:r w:rsidRPr="00905199">
              <w:rPr>
                <w:sz w:val="22"/>
                <w:szCs w:val="22"/>
                <w:lang w:val="sk-SK"/>
              </w:rPr>
              <w:t xml:space="preserve"> </w:t>
            </w:r>
          </w:p>
        </w:tc>
      </w:tr>
      <w:tr w:rsidR="0000767D" w:rsidRPr="00905199" w14:paraId="6C1092CA"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50CD6097" w14:textId="77777777" w:rsidR="0000767D" w:rsidRPr="00905199" w:rsidRDefault="003607C1">
            <w:pPr>
              <w:pStyle w:val="Default"/>
              <w:rPr>
                <w:sz w:val="22"/>
                <w:szCs w:val="22"/>
                <w:lang w:val="sk-SK"/>
              </w:rPr>
            </w:pPr>
            <w:r w:rsidRPr="00905199">
              <w:rPr>
                <w:sz w:val="22"/>
                <w:szCs w:val="22"/>
                <w:lang w:val="sk-SK"/>
              </w:rPr>
              <w:t>Selektívne inhibítory spätného vychytávania sérotonínu (SSRI):</w:t>
            </w:r>
          </w:p>
        </w:tc>
        <w:tc>
          <w:tcPr>
            <w:tcW w:w="4820" w:type="dxa"/>
            <w:tcBorders>
              <w:top w:val="single" w:sz="4" w:space="0" w:color="000000"/>
              <w:left w:val="single" w:sz="4" w:space="0" w:color="000000"/>
              <w:bottom w:val="single" w:sz="4" w:space="0" w:color="000000"/>
              <w:right w:val="single" w:sz="4" w:space="0" w:color="000000"/>
            </w:tcBorders>
          </w:tcPr>
          <w:p w14:paraId="71FF5945" w14:textId="77777777"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14:paraId="3EE445C5" w14:textId="77777777">
        <w:trPr>
          <w:trHeight w:val="1513"/>
          <w:jc w:val="center"/>
        </w:trPr>
        <w:tc>
          <w:tcPr>
            <w:tcW w:w="4819" w:type="dxa"/>
            <w:tcBorders>
              <w:top w:val="single" w:sz="4" w:space="0" w:color="000000"/>
              <w:left w:val="single" w:sz="4" w:space="0" w:color="000000"/>
              <w:right w:val="single" w:sz="4" w:space="0" w:color="000000"/>
            </w:tcBorders>
          </w:tcPr>
          <w:p w14:paraId="52DC50C8" w14:textId="77777777" w:rsidR="0000767D" w:rsidRPr="00905199" w:rsidRDefault="003607C1" w:rsidP="0044542B">
            <w:pPr>
              <w:pStyle w:val="Default"/>
              <w:rPr>
                <w:sz w:val="22"/>
                <w:szCs w:val="22"/>
                <w:lang w:val="sk-SK"/>
              </w:rPr>
            </w:pPr>
            <w:r w:rsidRPr="00905199">
              <w:rPr>
                <w:sz w:val="22"/>
                <w:szCs w:val="22"/>
                <w:lang w:val="sk-SK"/>
              </w:rPr>
              <w:t>Lítium:</w:t>
            </w:r>
          </w:p>
        </w:tc>
        <w:tc>
          <w:tcPr>
            <w:tcW w:w="4820" w:type="dxa"/>
            <w:tcBorders>
              <w:top w:val="single" w:sz="4" w:space="0" w:color="000000"/>
              <w:left w:val="single" w:sz="4" w:space="0" w:color="000000"/>
              <w:right w:val="single" w:sz="4" w:space="0" w:color="000000"/>
            </w:tcBorders>
          </w:tcPr>
          <w:p w14:paraId="6913FD2B" w14:textId="77777777"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lítium môže zvýšiť sérové hladiny týchto liekov. Kontrola sérového lítia sa pri správnom používaní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14:paraId="18BCD0BF"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565566AA" w14:textId="77777777" w:rsidR="0000767D" w:rsidRPr="00905199" w:rsidRDefault="003607C1">
            <w:pPr>
              <w:pStyle w:val="Default"/>
              <w:rPr>
                <w:sz w:val="22"/>
                <w:szCs w:val="22"/>
                <w:lang w:val="sk-SK"/>
              </w:rPr>
            </w:pPr>
            <w:r w:rsidRPr="00905199">
              <w:rPr>
                <w:sz w:val="22"/>
                <w:szCs w:val="22"/>
                <w:lang w:val="sk-SK"/>
              </w:rPr>
              <w:t>Probenecid a sulfinpyrazón:</w:t>
            </w:r>
          </w:p>
        </w:tc>
        <w:tc>
          <w:tcPr>
            <w:tcW w:w="4820" w:type="dxa"/>
            <w:tcBorders>
              <w:top w:val="single" w:sz="4" w:space="0" w:color="000000"/>
              <w:left w:val="single" w:sz="4" w:space="0" w:color="000000"/>
              <w:bottom w:val="single" w:sz="4" w:space="0" w:color="000000"/>
              <w:right w:val="single" w:sz="4" w:space="0" w:color="000000"/>
            </w:tcBorders>
          </w:tcPr>
          <w:p w14:paraId="25506844" w14:textId="77777777" w:rsidR="0000767D" w:rsidRPr="00905199" w:rsidRDefault="003607C1" w:rsidP="00221A8D">
            <w:pPr>
              <w:pStyle w:val="Default"/>
              <w:rPr>
                <w:sz w:val="22"/>
                <w:szCs w:val="22"/>
                <w:lang w:val="sk-SK"/>
              </w:rPr>
            </w:pPr>
            <w:r w:rsidRPr="00905199">
              <w:rPr>
                <w:sz w:val="22"/>
                <w:szCs w:val="22"/>
                <w:lang w:val="sk-SK"/>
              </w:rPr>
              <w:t xml:space="preserve">Lieky, ktoré obsahujú probenecid alebo sulfinpyrazón, môžu oneskoriť vylučovanie </w:t>
            </w:r>
            <w:r w:rsidR="00221A8D" w:rsidRPr="00905199">
              <w:rPr>
                <w:sz w:val="22"/>
                <w:szCs w:val="22"/>
                <w:lang w:val="sk-SK"/>
              </w:rPr>
              <w:t>ibuprof</w:t>
            </w:r>
            <w:r w:rsidR="00221A8D">
              <w:rPr>
                <w:sz w:val="22"/>
                <w:szCs w:val="22"/>
                <w:lang w:val="sk-SK"/>
              </w:rPr>
              <w:t>é</w:t>
            </w:r>
            <w:r w:rsidR="00221A8D" w:rsidRPr="00905199">
              <w:rPr>
                <w:sz w:val="22"/>
                <w:szCs w:val="22"/>
                <w:lang w:val="sk-SK"/>
              </w:rPr>
              <w:t>nu</w:t>
            </w:r>
            <w:r w:rsidRPr="00905199">
              <w:rPr>
                <w:sz w:val="22"/>
                <w:szCs w:val="22"/>
                <w:lang w:val="sk-SK"/>
              </w:rPr>
              <w:t>.</w:t>
            </w:r>
          </w:p>
        </w:tc>
      </w:tr>
      <w:tr w:rsidR="0000767D" w:rsidRPr="00905199" w14:paraId="4AFDEE52" w14:textId="77777777">
        <w:trPr>
          <w:trHeight w:val="3959"/>
          <w:jc w:val="center"/>
        </w:trPr>
        <w:tc>
          <w:tcPr>
            <w:tcW w:w="4819" w:type="dxa"/>
            <w:tcBorders>
              <w:top w:val="single" w:sz="4" w:space="0" w:color="000000"/>
              <w:left w:val="single" w:sz="4" w:space="0" w:color="000000"/>
              <w:bottom w:val="single" w:sz="4" w:space="0" w:color="auto"/>
              <w:right w:val="single" w:sz="4" w:space="0" w:color="000000"/>
            </w:tcBorders>
          </w:tcPr>
          <w:p w14:paraId="1EA0F346" w14:textId="77777777" w:rsidR="0000767D" w:rsidRPr="00684ADF" w:rsidRDefault="003607C1">
            <w:pPr>
              <w:pStyle w:val="Default"/>
              <w:rPr>
                <w:sz w:val="22"/>
                <w:szCs w:val="22"/>
                <w:lang w:val="sk-SK"/>
              </w:rPr>
            </w:pPr>
            <w:r w:rsidRPr="00905199">
              <w:rPr>
                <w:sz w:val="22"/>
                <w:szCs w:val="22"/>
                <w:lang w:val="sk-SK"/>
              </w:rPr>
              <w:lastRenderedPageBreak/>
              <w:t>Diuretiká, inhibítory ACE, a blokátory beta</w:t>
            </w:r>
            <w:r w:rsidR="003E07B7" w:rsidRPr="00905199">
              <w:rPr>
                <w:sz w:val="22"/>
                <w:szCs w:val="22"/>
                <w:lang w:val="sk-SK"/>
              </w:rPr>
              <w:t>-</w:t>
            </w:r>
          </w:p>
          <w:p w14:paraId="1FA18DA3" w14:textId="77777777" w:rsidR="0000767D" w:rsidRPr="00905199" w:rsidRDefault="003607C1">
            <w:pPr>
              <w:pStyle w:val="Default"/>
              <w:rPr>
                <w:sz w:val="22"/>
                <w:szCs w:val="22"/>
                <w:lang w:val="sk-SK"/>
              </w:rPr>
            </w:pPr>
            <w:r w:rsidRPr="00F93CCF">
              <w:rPr>
                <w:sz w:val="22"/>
                <w:szCs w:val="22"/>
                <w:lang w:val="sk-SK"/>
              </w:rPr>
              <w:t>receptorov a antagon</w:t>
            </w:r>
            <w:r w:rsidRPr="00905199">
              <w:rPr>
                <w:sz w:val="22"/>
                <w:szCs w:val="22"/>
                <w:lang w:val="sk-SK"/>
              </w:rPr>
              <w:t>ist</w:t>
            </w:r>
            <w:r w:rsidR="003E07B7" w:rsidRPr="00905199">
              <w:rPr>
                <w:sz w:val="22"/>
                <w:szCs w:val="22"/>
                <w:lang w:val="sk-SK"/>
              </w:rPr>
              <w:t>y</w:t>
            </w:r>
            <w:r w:rsidRPr="00905199">
              <w:rPr>
                <w:sz w:val="22"/>
                <w:szCs w:val="22"/>
                <w:lang w:val="sk-SK"/>
              </w:rPr>
              <w:t xml:space="preserve"> angiotenzínu II:</w:t>
            </w:r>
          </w:p>
        </w:tc>
        <w:tc>
          <w:tcPr>
            <w:tcW w:w="4820" w:type="dxa"/>
            <w:tcBorders>
              <w:top w:val="single" w:sz="4" w:space="0" w:color="000000"/>
              <w:left w:val="single" w:sz="4" w:space="0" w:color="000000"/>
              <w:right w:val="single" w:sz="4" w:space="0" w:color="000000"/>
            </w:tcBorders>
          </w:tcPr>
          <w:p w14:paraId="13C36B74" w14:textId="77777777" w:rsidR="0000767D" w:rsidRPr="00905199" w:rsidRDefault="003607C1">
            <w:pPr>
              <w:pStyle w:val="Default"/>
              <w:rPr>
                <w:sz w:val="22"/>
                <w:szCs w:val="22"/>
                <w:lang w:val="sk-SK"/>
              </w:rPr>
            </w:pPr>
            <w:r w:rsidRPr="00905199">
              <w:rPr>
                <w:sz w:val="22"/>
                <w:szCs w:val="22"/>
                <w:lang w:val="sk-SK"/>
              </w:rPr>
              <w:t>NSAID môžu znížiť účinok diuretík a iných antihypertenzných liekov. U niektorých pacientov so zhoršenou funkciou obličiek (napr. dehydratovaní pacienti alebo starší pacienti so zhoršenou funkciou obličiek) môže mať súbežné podávanie inhibítorov ACE, blokátorov beta</w:t>
            </w:r>
            <w:r w:rsidRPr="00905199">
              <w:rPr>
                <w:sz w:val="22"/>
                <w:szCs w:val="22"/>
                <w:lang w:val="sk-SK"/>
              </w:rPr>
              <w:noBreakHyphen/>
              <w:t>receptorov alebo antagonistov angiotenzínu II a látok, ktoré inhibujú cyklooxygenázu, za následok ďalšie zhoršenie funkcie obličiek vrátane možného akútneho zlyhania obličiek, ktoré je zvyčajne reverzibilné. Preto sa má táto kombinácia podávať opatrne, predovšetkým u starších pacientov. Pacienti majú byť adekvátne hydratovaní a je potrebné zvážiť sledovanie funkcie obličiek po začatí súbežnej liečby, a potom pravidelne.</w:t>
            </w:r>
          </w:p>
        </w:tc>
      </w:tr>
      <w:tr w:rsidR="0000767D" w:rsidRPr="00905199" w14:paraId="256E21A8" w14:textId="77777777">
        <w:trPr>
          <w:trHeight w:val="425"/>
          <w:jc w:val="center"/>
        </w:trPr>
        <w:tc>
          <w:tcPr>
            <w:tcW w:w="4819" w:type="dxa"/>
            <w:tcBorders>
              <w:top w:val="single" w:sz="4" w:space="0" w:color="auto"/>
              <w:left w:val="single" w:sz="4" w:space="0" w:color="auto"/>
              <w:bottom w:val="single" w:sz="4" w:space="0" w:color="auto"/>
              <w:right w:val="single" w:sz="4" w:space="0" w:color="auto"/>
            </w:tcBorders>
          </w:tcPr>
          <w:p w14:paraId="0AACADF0" w14:textId="77777777" w:rsidR="0000767D" w:rsidRPr="00905199" w:rsidRDefault="003607C1">
            <w:pPr>
              <w:pStyle w:val="Default"/>
              <w:rPr>
                <w:sz w:val="22"/>
                <w:szCs w:val="22"/>
                <w:lang w:val="sk-SK"/>
              </w:rPr>
            </w:pPr>
            <w:r w:rsidRPr="00905199">
              <w:rPr>
                <w:sz w:val="22"/>
                <w:szCs w:val="22"/>
                <w:lang w:val="sk-SK"/>
              </w:rPr>
              <w:t>Draslík šetriace diuretiká:</w:t>
            </w:r>
          </w:p>
        </w:tc>
        <w:tc>
          <w:tcPr>
            <w:tcW w:w="4820" w:type="dxa"/>
            <w:tcBorders>
              <w:top w:val="single" w:sz="4" w:space="0" w:color="000000"/>
              <w:left w:val="single" w:sz="4" w:space="0" w:color="auto"/>
              <w:bottom w:val="single" w:sz="4" w:space="0" w:color="000000"/>
              <w:right w:val="single" w:sz="4" w:space="0" w:color="000000"/>
            </w:tcBorders>
          </w:tcPr>
          <w:p w14:paraId="1D99841E" w14:textId="77777777" w:rsidR="0000767D" w:rsidRPr="00905199" w:rsidRDefault="003607C1">
            <w:pPr>
              <w:pStyle w:val="Default"/>
              <w:rPr>
                <w:sz w:val="22"/>
                <w:szCs w:val="22"/>
                <w:lang w:val="sk-SK"/>
              </w:rPr>
            </w:pPr>
            <w:r w:rsidRPr="00905199">
              <w:rPr>
                <w:sz w:val="22"/>
                <w:szCs w:val="22"/>
                <w:lang w:val="sk-SK"/>
              </w:rPr>
              <w:t xml:space="preserve">Súbežné 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a draslík šetriacich diuretík môže viesť k hyperkaliémii (odporúča sa kontrola sérového draslíka).</w:t>
            </w:r>
          </w:p>
        </w:tc>
      </w:tr>
      <w:tr w:rsidR="0000767D" w:rsidRPr="00905199" w14:paraId="70A73EB3" w14:textId="77777777">
        <w:trPr>
          <w:trHeight w:val="425"/>
          <w:jc w:val="center"/>
        </w:trPr>
        <w:tc>
          <w:tcPr>
            <w:tcW w:w="4819" w:type="dxa"/>
            <w:tcBorders>
              <w:top w:val="single" w:sz="4" w:space="0" w:color="auto"/>
              <w:left w:val="single" w:sz="4" w:space="0" w:color="000000"/>
              <w:bottom w:val="single" w:sz="4" w:space="0" w:color="000000"/>
              <w:right w:val="single" w:sz="4" w:space="0" w:color="000000"/>
            </w:tcBorders>
          </w:tcPr>
          <w:p w14:paraId="0D0DEAB3" w14:textId="77777777" w:rsidR="0000767D" w:rsidRPr="00905199" w:rsidRDefault="003607C1">
            <w:pPr>
              <w:pStyle w:val="Default"/>
              <w:rPr>
                <w:sz w:val="22"/>
                <w:szCs w:val="22"/>
                <w:lang w:val="sk-SK"/>
              </w:rPr>
            </w:pPr>
            <w:r w:rsidRPr="00905199">
              <w:rPr>
                <w:sz w:val="22"/>
                <w:szCs w:val="22"/>
                <w:lang w:val="sk-SK"/>
              </w:rPr>
              <w:t>Metotrexát:</w:t>
            </w:r>
          </w:p>
        </w:tc>
        <w:tc>
          <w:tcPr>
            <w:tcW w:w="4820" w:type="dxa"/>
            <w:tcBorders>
              <w:top w:val="single" w:sz="4" w:space="0" w:color="000000"/>
              <w:left w:val="single" w:sz="4" w:space="0" w:color="000000"/>
              <w:bottom w:val="single" w:sz="4" w:space="0" w:color="000000"/>
              <w:right w:val="single" w:sz="4" w:space="0" w:color="000000"/>
            </w:tcBorders>
          </w:tcPr>
          <w:p w14:paraId="69F17F23" w14:textId="77777777" w:rsidR="0000767D" w:rsidRPr="00905199" w:rsidRDefault="003607C1">
            <w:pPr>
              <w:pStyle w:val="Default"/>
              <w:rPr>
                <w:sz w:val="22"/>
                <w:szCs w:val="22"/>
                <w:lang w:val="sk-SK"/>
              </w:rPr>
            </w:pPr>
            <w:r w:rsidRPr="00905199">
              <w:rPr>
                <w:sz w:val="22"/>
                <w:szCs w:val="22"/>
                <w:lang w:val="sk-SK"/>
              </w:rPr>
              <w:t xml:space="preserve">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v priebehu 24 hodín pred alebo po podaní metotrexátu môže viesť k zvýšeným koncentráciám metotrexátu a k zvýšeniu jeho toxického účinku.</w:t>
            </w:r>
          </w:p>
        </w:tc>
      </w:tr>
      <w:tr w:rsidR="0000767D" w:rsidRPr="00905199" w14:paraId="78877DE3" w14:textId="77777777">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14:paraId="5B1D42D3" w14:textId="77777777" w:rsidR="0000767D" w:rsidRPr="00905199" w:rsidRDefault="003607C1">
            <w:pPr>
              <w:pStyle w:val="Default"/>
              <w:rPr>
                <w:sz w:val="22"/>
                <w:szCs w:val="22"/>
                <w:lang w:val="sk-SK"/>
              </w:rPr>
            </w:pPr>
            <w:r w:rsidRPr="00905199">
              <w:rPr>
                <w:sz w:val="22"/>
                <w:szCs w:val="22"/>
                <w:lang w:val="sk-SK"/>
              </w:rPr>
              <w:t>Cyklosporín:</w:t>
            </w:r>
          </w:p>
        </w:tc>
        <w:tc>
          <w:tcPr>
            <w:tcW w:w="4820" w:type="dxa"/>
            <w:tcBorders>
              <w:top w:val="single" w:sz="4" w:space="0" w:color="000000"/>
              <w:left w:val="single" w:sz="4" w:space="0" w:color="000000"/>
              <w:bottom w:val="single" w:sz="6" w:space="0" w:color="000000"/>
              <w:right w:val="single" w:sz="4" w:space="0" w:color="000000"/>
            </w:tcBorders>
          </w:tcPr>
          <w:p w14:paraId="0C9984C7" w14:textId="77777777" w:rsidR="0000767D" w:rsidRPr="00905199" w:rsidRDefault="003607C1" w:rsidP="00221A8D">
            <w:pPr>
              <w:pStyle w:val="Default"/>
              <w:rPr>
                <w:sz w:val="22"/>
                <w:szCs w:val="22"/>
                <w:lang w:val="sk-SK"/>
              </w:rPr>
            </w:pPr>
            <w:r w:rsidRPr="00905199">
              <w:rPr>
                <w:sz w:val="22"/>
                <w:szCs w:val="22"/>
                <w:lang w:val="sk-SK"/>
              </w:rPr>
              <w:t>Riziko poškodenia obličiek súvisiace s cyklosporínom sa zvyšuje súbežným podávaním niektorých nesteroidových antiflogistík. Tento účinok nemožno vylúčiť ani pri kombinácii cyklosporínu s </w:t>
            </w:r>
            <w:r w:rsidR="00221A8D" w:rsidRPr="00905199">
              <w:rPr>
                <w:sz w:val="22"/>
                <w:szCs w:val="22"/>
                <w:lang w:val="sk-SK"/>
              </w:rPr>
              <w:t>ibuprof</w:t>
            </w:r>
            <w:r w:rsidR="00221A8D">
              <w:rPr>
                <w:sz w:val="22"/>
                <w:szCs w:val="22"/>
                <w:lang w:val="sk-SK"/>
              </w:rPr>
              <w:t>é</w:t>
            </w:r>
            <w:r w:rsidR="00221A8D" w:rsidRPr="00905199">
              <w:rPr>
                <w:sz w:val="22"/>
                <w:szCs w:val="22"/>
                <w:lang w:val="sk-SK"/>
              </w:rPr>
              <w:t>nom</w:t>
            </w:r>
            <w:r w:rsidRPr="00905199">
              <w:rPr>
                <w:sz w:val="22"/>
                <w:szCs w:val="22"/>
                <w:lang w:val="sk-SK"/>
              </w:rPr>
              <w:t>.</w:t>
            </w:r>
          </w:p>
        </w:tc>
      </w:tr>
      <w:tr w:rsidR="0000767D" w:rsidRPr="00905199" w14:paraId="56BB9F79" w14:textId="77777777">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14:paraId="00F56521" w14:textId="77777777" w:rsidR="0000767D" w:rsidRPr="00905199" w:rsidRDefault="003607C1">
            <w:pPr>
              <w:pStyle w:val="Default"/>
              <w:rPr>
                <w:sz w:val="22"/>
                <w:szCs w:val="22"/>
                <w:lang w:val="sk-SK"/>
              </w:rPr>
            </w:pPr>
            <w:r w:rsidRPr="00905199">
              <w:rPr>
                <w:sz w:val="22"/>
                <w:szCs w:val="22"/>
                <w:lang w:val="sk-SK"/>
              </w:rPr>
              <w:t>Takrolimus:</w:t>
            </w:r>
          </w:p>
        </w:tc>
        <w:tc>
          <w:tcPr>
            <w:tcW w:w="4820" w:type="dxa"/>
            <w:tcBorders>
              <w:top w:val="single" w:sz="6" w:space="0" w:color="000000"/>
              <w:left w:val="single" w:sz="4" w:space="0" w:color="000000"/>
              <w:bottom w:val="single" w:sz="4" w:space="0" w:color="000000"/>
              <w:right w:val="single" w:sz="4" w:space="0" w:color="000000"/>
            </w:tcBorders>
          </w:tcPr>
          <w:p w14:paraId="6135599C" w14:textId="77777777" w:rsidR="0000767D" w:rsidRPr="00905199" w:rsidRDefault="003607C1">
            <w:pPr>
              <w:pStyle w:val="Default"/>
              <w:rPr>
                <w:sz w:val="22"/>
                <w:szCs w:val="22"/>
                <w:lang w:val="sk-SK"/>
              </w:rPr>
            </w:pPr>
            <w:r w:rsidRPr="00905199">
              <w:rPr>
                <w:sz w:val="22"/>
                <w:szCs w:val="22"/>
                <w:lang w:val="sk-SK"/>
              </w:rPr>
              <w:t>Ak sa tieto dva lieky podávajú súbežne, je zvýšené riziko nefrotoxicity.</w:t>
            </w:r>
          </w:p>
        </w:tc>
      </w:tr>
      <w:tr w:rsidR="0000767D" w:rsidRPr="00905199" w14:paraId="238265B2"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76E1B62D" w14:textId="77777777" w:rsidR="0000767D" w:rsidRPr="00905199" w:rsidRDefault="003607C1">
            <w:pPr>
              <w:pStyle w:val="Default"/>
              <w:rPr>
                <w:sz w:val="22"/>
                <w:szCs w:val="22"/>
                <w:lang w:val="sk-SK"/>
              </w:rPr>
            </w:pPr>
            <w:r w:rsidRPr="00905199">
              <w:rPr>
                <w:sz w:val="22"/>
                <w:szCs w:val="22"/>
                <w:lang w:val="sk-SK"/>
              </w:rPr>
              <w:t>Zidovudín:</w:t>
            </w:r>
          </w:p>
        </w:tc>
        <w:tc>
          <w:tcPr>
            <w:tcW w:w="4820" w:type="dxa"/>
            <w:tcBorders>
              <w:top w:val="single" w:sz="4" w:space="0" w:color="000000"/>
              <w:left w:val="single" w:sz="4" w:space="0" w:color="000000"/>
              <w:bottom w:val="single" w:sz="4" w:space="0" w:color="000000"/>
              <w:right w:val="single" w:sz="4" w:space="0" w:color="000000"/>
            </w:tcBorders>
          </w:tcPr>
          <w:p w14:paraId="4C16D8A7" w14:textId="77777777" w:rsidR="0000767D" w:rsidRPr="00905199" w:rsidRDefault="003607C1" w:rsidP="00221A8D">
            <w:pPr>
              <w:pStyle w:val="Default"/>
              <w:rPr>
                <w:sz w:val="22"/>
                <w:szCs w:val="22"/>
                <w:lang w:val="sk-SK"/>
              </w:rPr>
            </w:pPr>
            <w:r w:rsidRPr="00905199">
              <w:rPr>
                <w:sz w:val="22"/>
                <w:szCs w:val="22"/>
                <w:lang w:val="sk-SK"/>
              </w:rPr>
              <w:t>U HIV (+) hemofilikov užívajúcich súbežnú liečbu zidovudínom 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existuje zvýšené riziko hemartróz a hematómov.</w:t>
            </w:r>
          </w:p>
        </w:tc>
      </w:tr>
      <w:tr w:rsidR="0000767D" w:rsidRPr="00905199" w14:paraId="2C7BA9D4"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5C842E23" w14:textId="77777777" w:rsidR="0000767D" w:rsidRPr="00905199" w:rsidRDefault="003607C1">
            <w:pPr>
              <w:pStyle w:val="Default"/>
              <w:rPr>
                <w:sz w:val="22"/>
                <w:szCs w:val="22"/>
                <w:lang w:val="sk-SK"/>
              </w:rPr>
            </w:pPr>
            <w:r w:rsidRPr="00905199">
              <w:rPr>
                <w:sz w:val="22"/>
                <w:szCs w:val="22"/>
                <w:lang w:val="sk-SK"/>
              </w:rPr>
              <w:t>Deriváty sulfonylmočoviny:</w:t>
            </w:r>
          </w:p>
        </w:tc>
        <w:tc>
          <w:tcPr>
            <w:tcW w:w="4820" w:type="dxa"/>
            <w:tcBorders>
              <w:top w:val="single" w:sz="4" w:space="0" w:color="000000"/>
              <w:left w:val="single" w:sz="4" w:space="0" w:color="000000"/>
              <w:bottom w:val="single" w:sz="4" w:space="0" w:color="000000"/>
              <w:right w:val="single" w:sz="4" w:space="0" w:color="000000"/>
            </w:tcBorders>
          </w:tcPr>
          <w:p w14:paraId="55EAD1B3" w14:textId="77777777" w:rsidR="0000767D" w:rsidRPr="00905199" w:rsidRDefault="003607C1" w:rsidP="00221A8D">
            <w:pPr>
              <w:pStyle w:val="Default"/>
              <w:rPr>
                <w:sz w:val="22"/>
                <w:szCs w:val="22"/>
                <w:lang w:val="sk-SK"/>
              </w:rPr>
            </w:pPr>
            <w:r w:rsidRPr="00905199">
              <w:rPr>
                <w:sz w:val="22"/>
                <w:szCs w:val="22"/>
                <w:lang w:val="sk-SK"/>
              </w:rPr>
              <w:t xml:space="preserve">Klinické zistenia preukázali interakcie medzi nesteroidovými antiflogistikami a antidiabetikami (derivátmi sulfonylmočoviny). Hoci interakcie medzi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a derivátmi sulfonylmočoviny neboli doteraz zaznamenané, preventívne sa pri súbežnom užívaní odporúča kontrola hodnôt glukózy v krvi.</w:t>
            </w:r>
          </w:p>
        </w:tc>
      </w:tr>
      <w:tr w:rsidR="0000767D" w:rsidRPr="00905199" w14:paraId="3D456820" w14:textId="77777777">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14:paraId="1F2EEFC7" w14:textId="77777777" w:rsidR="0000767D" w:rsidRPr="00905199" w:rsidRDefault="003607C1">
            <w:pPr>
              <w:pStyle w:val="Default"/>
              <w:rPr>
                <w:sz w:val="22"/>
                <w:szCs w:val="22"/>
                <w:lang w:val="sk-SK"/>
              </w:rPr>
            </w:pPr>
            <w:r w:rsidRPr="00905199">
              <w:rPr>
                <w:sz w:val="22"/>
                <w:szCs w:val="22"/>
                <w:lang w:val="sk-SK"/>
              </w:rPr>
              <w:t>Chinolónové antibiotiká:</w:t>
            </w:r>
          </w:p>
        </w:tc>
        <w:tc>
          <w:tcPr>
            <w:tcW w:w="4820" w:type="dxa"/>
            <w:tcBorders>
              <w:top w:val="single" w:sz="4" w:space="0" w:color="000000"/>
              <w:left w:val="single" w:sz="4" w:space="0" w:color="000000"/>
              <w:bottom w:val="single" w:sz="4" w:space="0" w:color="000000"/>
              <w:right w:val="single" w:sz="4" w:space="0" w:color="000000"/>
            </w:tcBorders>
          </w:tcPr>
          <w:p w14:paraId="66B15CE3" w14:textId="77777777" w:rsidR="0000767D" w:rsidRPr="00905199" w:rsidRDefault="003607C1">
            <w:pPr>
              <w:pStyle w:val="Default"/>
              <w:rPr>
                <w:sz w:val="22"/>
                <w:szCs w:val="22"/>
                <w:lang w:val="sk-SK"/>
              </w:rPr>
            </w:pPr>
            <w:r w:rsidRPr="00905199">
              <w:rPr>
                <w:sz w:val="22"/>
                <w:szCs w:val="22"/>
                <w:lang w:val="sk-SK"/>
              </w:rPr>
              <w:t>Údaje získané na zvieratách naznačujú, že NSAID môžu zvyšovať riziko kŕčov v súvislosti s chinolónovými antibiotikami. Pacienti užívajúci NSAID a chinolóny môžu mať zvýšené riziko rozvoja kŕčov.</w:t>
            </w:r>
          </w:p>
        </w:tc>
      </w:tr>
      <w:tr w:rsidR="0000767D" w:rsidRPr="00905199" w14:paraId="31834FD3" w14:textId="77777777">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14:paraId="2AB8708A" w14:textId="77777777" w:rsidR="0000767D" w:rsidRPr="00905199" w:rsidRDefault="003607C1">
            <w:pPr>
              <w:pStyle w:val="Default"/>
              <w:rPr>
                <w:sz w:val="22"/>
                <w:szCs w:val="22"/>
                <w:lang w:val="sk-SK"/>
              </w:rPr>
            </w:pPr>
            <w:r w:rsidRPr="00905199">
              <w:rPr>
                <w:sz w:val="22"/>
                <w:szCs w:val="22"/>
                <w:lang w:val="sk-SK"/>
              </w:rPr>
              <w:t xml:space="preserve">Heparíny; </w:t>
            </w:r>
            <w:r w:rsidRPr="00905199">
              <w:rPr>
                <w:i/>
                <w:iCs/>
                <w:sz w:val="22"/>
                <w:szCs w:val="22"/>
                <w:lang w:val="sk-SK"/>
              </w:rPr>
              <w:t>Gingko biloba</w:t>
            </w:r>
            <w:r w:rsidRPr="00905199">
              <w:rPr>
                <w:sz w:val="22"/>
                <w:szCs w:val="22"/>
                <w:lang w:val="sk-SK"/>
              </w:rPr>
              <w:t>:</w:t>
            </w:r>
          </w:p>
        </w:tc>
        <w:tc>
          <w:tcPr>
            <w:tcW w:w="4820" w:type="dxa"/>
            <w:tcBorders>
              <w:top w:val="single" w:sz="4" w:space="0" w:color="000000"/>
              <w:left w:val="single" w:sz="4" w:space="0" w:color="000000"/>
              <w:bottom w:val="single" w:sz="6" w:space="0" w:color="000000"/>
              <w:right w:val="single" w:sz="4" w:space="0" w:color="000000"/>
            </w:tcBorders>
          </w:tcPr>
          <w:p w14:paraId="00C21A9B" w14:textId="77777777" w:rsidR="0000767D" w:rsidRPr="00905199" w:rsidRDefault="003607C1">
            <w:pPr>
              <w:pStyle w:val="Default"/>
              <w:rPr>
                <w:sz w:val="22"/>
                <w:szCs w:val="22"/>
                <w:lang w:val="sk-SK"/>
              </w:rPr>
            </w:pPr>
            <w:r w:rsidRPr="00905199">
              <w:rPr>
                <w:sz w:val="22"/>
                <w:szCs w:val="22"/>
                <w:lang w:val="sk-SK"/>
              </w:rPr>
              <w:t>Zvýšené riziko krvácania.</w:t>
            </w:r>
          </w:p>
        </w:tc>
      </w:tr>
    </w:tbl>
    <w:p w14:paraId="159A2F3E" w14:textId="77777777" w:rsidR="0000767D" w:rsidRPr="00905199" w:rsidRDefault="0000767D" w:rsidP="0044542B">
      <w:pPr>
        <w:rPr>
          <w:szCs w:val="22"/>
          <w:lang w:val="sk-SK"/>
        </w:rPr>
      </w:pPr>
    </w:p>
    <w:p w14:paraId="5713177B" w14:textId="77777777" w:rsidR="0000767D" w:rsidRPr="00905199" w:rsidRDefault="003607C1" w:rsidP="00E27F12">
      <w:pPr>
        <w:ind w:left="567" w:hanging="567"/>
        <w:rPr>
          <w:szCs w:val="22"/>
          <w:lang w:val="sk-SK"/>
        </w:rPr>
      </w:pPr>
      <w:r w:rsidRPr="00905199">
        <w:rPr>
          <w:b/>
          <w:szCs w:val="22"/>
          <w:lang w:val="sk-SK"/>
        </w:rPr>
        <w:t>4.6</w:t>
      </w:r>
      <w:r w:rsidRPr="00905199">
        <w:rPr>
          <w:b/>
          <w:szCs w:val="22"/>
          <w:lang w:val="sk-SK"/>
        </w:rPr>
        <w:tab/>
        <w:t>Fertilita, gravidita a laktácia</w:t>
      </w:r>
    </w:p>
    <w:p w14:paraId="1278A37D" w14:textId="77777777" w:rsidR="0000767D" w:rsidRPr="00905199" w:rsidRDefault="0000767D">
      <w:pPr>
        <w:rPr>
          <w:i/>
          <w:szCs w:val="22"/>
          <w:lang w:val="sk-SK"/>
        </w:rPr>
      </w:pPr>
    </w:p>
    <w:p w14:paraId="3924AD74" w14:textId="77777777" w:rsidR="0000767D" w:rsidRPr="00905199" w:rsidRDefault="003607C1">
      <w:pPr>
        <w:autoSpaceDE w:val="0"/>
        <w:autoSpaceDN w:val="0"/>
        <w:adjustRightInd w:val="0"/>
        <w:rPr>
          <w:bCs/>
          <w:szCs w:val="22"/>
          <w:u w:val="single"/>
          <w:lang w:val="sk-SK"/>
        </w:rPr>
      </w:pPr>
      <w:r w:rsidRPr="00905199">
        <w:rPr>
          <w:bCs/>
          <w:szCs w:val="22"/>
          <w:u w:val="single"/>
          <w:lang w:val="sk-SK"/>
        </w:rPr>
        <w:t>Gravidita</w:t>
      </w:r>
    </w:p>
    <w:p w14:paraId="4F1F1A13" w14:textId="77777777" w:rsidR="0000767D" w:rsidRPr="00905199" w:rsidRDefault="0000767D">
      <w:pPr>
        <w:autoSpaceDE w:val="0"/>
        <w:autoSpaceDN w:val="0"/>
        <w:adjustRightInd w:val="0"/>
        <w:rPr>
          <w:b/>
          <w:szCs w:val="22"/>
          <w:lang w:val="sk-SK"/>
        </w:rPr>
      </w:pPr>
    </w:p>
    <w:p w14:paraId="77382A0F" w14:textId="4C7950B8" w:rsidR="0000767D" w:rsidRPr="00905199" w:rsidRDefault="004F27D0">
      <w:pPr>
        <w:autoSpaceDE w:val="0"/>
        <w:autoSpaceDN w:val="0"/>
        <w:adjustRightInd w:val="0"/>
        <w:rPr>
          <w:i/>
          <w:szCs w:val="22"/>
          <w:lang w:val="sk-SK"/>
        </w:rPr>
      </w:pPr>
      <w:r>
        <w:rPr>
          <w:i/>
          <w:szCs w:val="22"/>
          <w:lang w:val="sk-SK"/>
        </w:rPr>
        <w:t>Pseudoefedrínium-</w:t>
      </w:r>
      <w:r w:rsidR="003607C1" w:rsidRPr="00905199">
        <w:rPr>
          <w:i/>
          <w:szCs w:val="22"/>
          <w:lang w:val="sk-SK"/>
        </w:rPr>
        <w:t>chlorid:</w:t>
      </w:r>
    </w:p>
    <w:p w14:paraId="40B27583" w14:textId="77777777" w:rsidR="0000767D" w:rsidRPr="00905199" w:rsidRDefault="0000767D">
      <w:pPr>
        <w:autoSpaceDE w:val="0"/>
        <w:autoSpaceDN w:val="0"/>
        <w:adjustRightInd w:val="0"/>
        <w:rPr>
          <w:szCs w:val="22"/>
          <w:lang w:val="sk-SK"/>
        </w:rPr>
      </w:pPr>
    </w:p>
    <w:p w14:paraId="19530A5E" w14:textId="651A769D" w:rsidR="0000767D" w:rsidRPr="00905199" w:rsidRDefault="003607C1" w:rsidP="004F0E07">
      <w:pPr>
        <w:rPr>
          <w:szCs w:val="22"/>
          <w:lang w:val="sk-SK"/>
        </w:rPr>
      </w:pPr>
      <w:r w:rsidRPr="00905199">
        <w:rPr>
          <w:szCs w:val="22"/>
          <w:lang w:val="sk-SK"/>
        </w:rPr>
        <w:t xml:space="preserve">Štúdie na zvieratách preukázali reprodukčnú toxicitu (pozri časť 5.3). Používanie </w:t>
      </w:r>
      <w:r w:rsidR="004F27D0">
        <w:rPr>
          <w:szCs w:val="22"/>
          <w:lang w:val="sk-SK"/>
        </w:rPr>
        <w:t>pseudoefedrínium-</w:t>
      </w:r>
      <w:r w:rsidRPr="00905199">
        <w:rPr>
          <w:szCs w:val="22"/>
          <w:lang w:val="sk-SK"/>
        </w:rPr>
        <w:t>chloridu znižuje prekrvovanie maternice, ale klinické údaje ohľadne účinkov na graviditu nie sú dostatočné.</w:t>
      </w:r>
    </w:p>
    <w:p w14:paraId="21C18195" w14:textId="77777777" w:rsidR="0000767D" w:rsidRPr="00905199" w:rsidRDefault="0000767D" w:rsidP="00E27F12">
      <w:pPr>
        <w:autoSpaceDE w:val="0"/>
        <w:autoSpaceDN w:val="0"/>
        <w:adjustRightInd w:val="0"/>
        <w:rPr>
          <w:szCs w:val="22"/>
          <w:lang w:val="sk-SK"/>
        </w:rPr>
      </w:pPr>
    </w:p>
    <w:p w14:paraId="1794E4E8" w14:textId="77777777" w:rsidR="0000767D" w:rsidRPr="00905199" w:rsidRDefault="00221A8D">
      <w:pPr>
        <w:autoSpaceDE w:val="0"/>
        <w:autoSpaceDN w:val="0"/>
        <w:adjustRightInd w:val="0"/>
        <w:rPr>
          <w:i/>
          <w:szCs w:val="22"/>
          <w:lang w:val="sk-SK"/>
        </w:rPr>
      </w:pPr>
      <w:r w:rsidRPr="00905199">
        <w:rPr>
          <w:i/>
          <w:szCs w:val="22"/>
          <w:lang w:val="sk-SK"/>
        </w:rPr>
        <w:t>Ibuprof</w:t>
      </w:r>
      <w:r>
        <w:rPr>
          <w:i/>
          <w:szCs w:val="22"/>
          <w:lang w:val="sk-SK"/>
        </w:rPr>
        <w:t>é</w:t>
      </w:r>
      <w:r w:rsidRPr="00905199">
        <w:rPr>
          <w:i/>
          <w:szCs w:val="22"/>
          <w:lang w:val="sk-SK"/>
        </w:rPr>
        <w:t>n</w:t>
      </w:r>
      <w:r w:rsidR="003607C1" w:rsidRPr="00905199">
        <w:rPr>
          <w:i/>
          <w:szCs w:val="22"/>
          <w:lang w:val="sk-SK"/>
        </w:rPr>
        <w:t>:</w:t>
      </w:r>
    </w:p>
    <w:p w14:paraId="461E5F77" w14:textId="77777777" w:rsidR="0000767D" w:rsidRPr="00905199" w:rsidRDefault="0000767D">
      <w:pPr>
        <w:autoSpaceDE w:val="0"/>
        <w:autoSpaceDN w:val="0"/>
        <w:adjustRightInd w:val="0"/>
        <w:rPr>
          <w:szCs w:val="22"/>
          <w:lang w:val="sk-SK"/>
        </w:rPr>
      </w:pPr>
    </w:p>
    <w:p w14:paraId="16412123" w14:textId="77777777" w:rsidR="0000767D" w:rsidRPr="00905199" w:rsidRDefault="003607C1" w:rsidP="004F0E07">
      <w:pPr>
        <w:rPr>
          <w:szCs w:val="22"/>
          <w:lang w:val="sk-SK"/>
        </w:rPr>
      </w:pPr>
      <w:r w:rsidRPr="00905199">
        <w:rPr>
          <w:szCs w:val="22"/>
          <w:lang w:val="sk-SK"/>
        </w:rPr>
        <w:t>Inhibícia syntézy prostaglandínu môže nepriaznivo ovplyvniť tehotenstvo a/alebo vývoj embrya/plodu.</w:t>
      </w:r>
    </w:p>
    <w:p w14:paraId="5BA10B70" w14:textId="77777777" w:rsidR="0000767D" w:rsidRPr="00905199" w:rsidRDefault="0000767D" w:rsidP="004F0E07">
      <w:pPr>
        <w:rPr>
          <w:szCs w:val="22"/>
          <w:lang w:val="sk-SK"/>
        </w:rPr>
      </w:pPr>
    </w:p>
    <w:p w14:paraId="4C40ABB7" w14:textId="77777777" w:rsidR="0000767D" w:rsidRPr="00905199" w:rsidRDefault="003607C1" w:rsidP="004F0E07">
      <w:pPr>
        <w:rPr>
          <w:szCs w:val="22"/>
          <w:lang w:val="sk-SK"/>
        </w:rPr>
      </w:pPr>
      <w:r w:rsidRPr="00905199">
        <w:rPr>
          <w:szCs w:val="22"/>
          <w:lang w:val="sk-SK"/>
        </w:rPr>
        <w:t xml:space="preserve">Údaje z epidemiologických štúdií naznačujú zvýšené riziko potratu a srdcových malformácií a gastroschízy po použití inhibítorov syntézy </w:t>
      </w:r>
      <w:r w:rsidR="00905199" w:rsidRPr="00905199">
        <w:rPr>
          <w:szCs w:val="22"/>
          <w:lang w:val="sk-SK"/>
        </w:rPr>
        <w:t>prostaglandínu</w:t>
      </w:r>
      <w:r w:rsidRPr="00905199">
        <w:rPr>
          <w:szCs w:val="22"/>
          <w:lang w:val="sk-SK"/>
        </w:rPr>
        <w:t xml:space="preserve"> v skorom štádiu tehotenstva. Predpokladá sa zvyšovanie rizika s dávkou a trvaním liečby.</w:t>
      </w:r>
    </w:p>
    <w:p w14:paraId="68087820" w14:textId="77777777" w:rsidR="0000767D" w:rsidRPr="00905199" w:rsidRDefault="003607C1" w:rsidP="004F0E07">
      <w:pPr>
        <w:rPr>
          <w:szCs w:val="22"/>
          <w:lang w:val="sk-SK"/>
        </w:rPr>
      </w:pPr>
      <w:r w:rsidRPr="00905199">
        <w:rPr>
          <w:lang w:val="sk-SK"/>
        </w:rPr>
        <w:t>U zvierat sa preukázalo, že podávanie inhibítorov syntézy prostaglandínu má za následok zvýšený výskyt pred- a poimplantačných potratov a zvýšenú embr</w:t>
      </w:r>
      <w:r w:rsidR="00905199">
        <w:rPr>
          <w:lang w:val="sk-SK"/>
        </w:rPr>
        <w:t>y</w:t>
      </w:r>
      <w:r w:rsidRPr="00905199">
        <w:rPr>
          <w:lang w:val="sk-SK"/>
        </w:rPr>
        <w:t>ofetálnu úmrtnosť. Okrem toho sa u zvierat, ktorým sa podával inhibítor syntézy prostaglandínov počas organogenetického štádia, hlásil zvýšený výskyt rôznych malformácií, vrátane kardiovaskulárnych malformácií.</w:t>
      </w:r>
    </w:p>
    <w:p w14:paraId="27F54C00" w14:textId="77777777" w:rsidR="0000767D" w:rsidRPr="00905199" w:rsidRDefault="0000767D" w:rsidP="004F0E07">
      <w:pPr>
        <w:pStyle w:val="Zkladntext3"/>
        <w:jc w:val="left"/>
        <w:rPr>
          <w:color w:val="auto"/>
          <w:lang w:val="sk-SK"/>
        </w:rPr>
      </w:pPr>
    </w:p>
    <w:p w14:paraId="087176D1" w14:textId="77777777" w:rsidR="0000767D" w:rsidRPr="00905199" w:rsidRDefault="003607C1" w:rsidP="004F0E07">
      <w:pPr>
        <w:pStyle w:val="Zkladntext3"/>
        <w:jc w:val="left"/>
        <w:rPr>
          <w:color w:val="auto"/>
          <w:lang w:val="sk-SK"/>
        </w:rPr>
      </w:pPr>
      <w:r w:rsidRPr="00905199">
        <w:rPr>
          <w:color w:val="auto"/>
          <w:lang w:val="sk-SK"/>
        </w:rPr>
        <w:t xml:space="preserve">Počas prvého a druhého trimestra gravidity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 xml:space="preserve">nemá podávať, ak to nie je úplne nevyhnutné. Ak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použije u ženy, ktorá sa snaží otehotnieť, alebo počas prvého alebo druhého trimestra gravidity, má sa použiť čo najnižšia možná dávka pri čo najkratšom čase podávania.</w:t>
      </w:r>
    </w:p>
    <w:p w14:paraId="03E7E91A" w14:textId="77777777" w:rsidR="0000767D" w:rsidRPr="00905199" w:rsidRDefault="0000767D" w:rsidP="004F0E07">
      <w:pPr>
        <w:rPr>
          <w:szCs w:val="22"/>
          <w:lang w:val="sk-SK"/>
        </w:rPr>
      </w:pPr>
    </w:p>
    <w:p w14:paraId="72E62E42" w14:textId="77777777" w:rsidR="0000767D" w:rsidRPr="00905199" w:rsidRDefault="003607C1" w:rsidP="004F0E07">
      <w:pPr>
        <w:rPr>
          <w:szCs w:val="22"/>
          <w:lang w:val="sk-SK"/>
        </w:rPr>
      </w:pPr>
      <w:r w:rsidRPr="00905199">
        <w:rPr>
          <w:szCs w:val="22"/>
          <w:lang w:val="sk-SK"/>
        </w:rPr>
        <w:t xml:space="preserve">Počas tretieho trimestra gravidity môžu všetky inhibítory syntézy </w:t>
      </w:r>
      <w:r w:rsidR="00905199" w:rsidRPr="00905199">
        <w:rPr>
          <w:szCs w:val="22"/>
          <w:lang w:val="sk-SK"/>
        </w:rPr>
        <w:t>prostaglandínov</w:t>
      </w:r>
      <w:r w:rsidRPr="00905199">
        <w:rPr>
          <w:szCs w:val="22"/>
          <w:lang w:val="sk-SK"/>
        </w:rPr>
        <w:t xml:space="preserve"> vystaviť </w:t>
      </w:r>
      <w:r w:rsidRPr="00905199">
        <w:rPr>
          <w:b/>
          <w:szCs w:val="22"/>
          <w:lang w:val="sk-SK"/>
        </w:rPr>
        <w:t>plod</w:t>
      </w:r>
      <w:r w:rsidRPr="00905199">
        <w:rPr>
          <w:szCs w:val="22"/>
          <w:lang w:val="sk-SK"/>
        </w:rPr>
        <w:t>:</w:t>
      </w:r>
    </w:p>
    <w:p w14:paraId="03899370" w14:textId="77777777" w:rsidR="0000767D" w:rsidRPr="00905199" w:rsidRDefault="003607C1" w:rsidP="004F0E07">
      <w:pPr>
        <w:rPr>
          <w:szCs w:val="22"/>
          <w:lang w:val="sk-SK"/>
        </w:rPr>
      </w:pPr>
      <w:r w:rsidRPr="00905199">
        <w:rPr>
          <w:szCs w:val="22"/>
          <w:lang w:val="sk-SK"/>
        </w:rPr>
        <w:t>-kardiop</w:t>
      </w:r>
      <w:r w:rsidR="003E07B7" w:rsidRPr="00905199">
        <w:rPr>
          <w:szCs w:val="22"/>
          <w:lang w:val="sk-SK"/>
        </w:rPr>
        <w:t>ul</w:t>
      </w:r>
      <w:r w:rsidRPr="00905199">
        <w:rPr>
          <w:szCs w:val="22"/>
          <w:lang w:val="sk-SK"/>
        </w:rPr>
        <w:t>monárnej toxicite (s predčasným uzavretím ductus arteriosus a pulmonárnou hypertenziou),</w:t>
      </w:r>
    </w:p>
    <w:p w14:paraId="4FE9F419" w14:textId="77777777" w:rsidR="0000767D" w:rsidRPr="00905199" w:rsidRDefault="003607C1" w:rsidP="004F0E07">
      <w:pPr>
        <w:rPr>
          <w:szCs w:val="22"/>
          <w:lang w:val="sk-SK"/>
        </w:rPr>
      </w:pPr>
      <w:r w:rsidRPr="00905199">
        <w:rPr>
          <w:szCs w:val="22"/>
          <w:lang w:val="sk-SK"/>
        </w:rPr>
        <w:t>-renálnej dysfunkcii, ktorá môže pokročiť do zlyhania obličiek s oligohydroamni</w:t>
      </w:r>
      <w:r w:rsidR="003E07B7" w:rsidRPr="00905199">
        <w:rPr>
          <w:szCs w:val="22"/>
          <w:lang w:val="sk-SK"/>
        </w:rPr>
        <w:t>ó</w:t>
      </w:r>
      <w:r w:rsidRPr="00905199">
        <w:rPr>
          <w:szCs w:val="22"/>
          <w:lang w:val="sk-SK"/>
        </w:rPr>
        <w:t>nom,</w:t>
      </w:r>
    </w:p>
    <w:p w14:paraId="5D4636B3" w14:textId="77777777" w:rsidR="0000767D" w:rsidRPr="00905199" w:rsidRDefault="0000767D" w:rsidP="004F0E07">
      <w:pPr>
        <w:rPr>
          <w:szCs w:val="22"/>
          <w:lang w:val="sk-SK"/>
        </w:rPr>
      </w:pPr>
    </w:p>
    <w:p w14:paraId="69AD6623" w14:textId="77777777" w:rsidR="0000767D" w:rsidRPr="00905199" w:rsidRDefault="003607C1">
      <w:pPr>
        <w:jc w:val="both"/>
        <w:rPr>
          <w:szCs w:val="22"/>
          <w:lang w:val="sk-SK"/>
        </w:rPr>
      </w:pPr>
      <w:r w:rsidRPr="00905199">
        <w:rPr>
          <w:b/>
          <w:szCs w:val="22"/>
          <w:lang w:val="sk-SK"/>
        </w:rPr>
        <w:t>matku a plod na konci gravidity:</w:t>
      </w:r>
    </w:p>
    <w:p w14:paraId="3C34493F" w14:textId="77777777" w:rsidR="0000767D" w:rsidRPr="00905199" w:rsidRDefault="003607C1">
      <w:pPr>
        <w:jc w:val="both"/>
        <w:rPr>
          <w:szCs w:val="22"/>
          <w:lang w:val="sk-SK"/>
        </w:rPr>
      </w:pPr>
      <w:r w:rsidRPr="00905199">
        <w:rPr>
          <w:szCs w:val="22"/>
          <w:lang w:val="sk-SK"/>
        </w:rPr>
        <w:t>-možnému predĺženiu času krvácania, antiagregačnému účinku, ktorý sa môže vyskytnúť i po veľmi nízkych dávkach,</w:t>
      </w:r>
    </w:p>
    <w:p w14:paraId="3CEACB61" w14:textId="77777777" w:rsidR="0000767D" w:rsidRPr="00905199" w:rsidRDefault="003607C1">
      <w:pPr>
        <w:tabs>
          <w:tab w:val="left" w:pos="0"/>
          <w:tab w:val="left" w:pos="540"/>
          <w:tab w:val="right" w:pos="7920"/>
        </w:tabs>
        <w:jc w:val="both"/>
        <w:rPr>
          <w:szCs w:val="22"/>
          <w:lang w:val="sk-SK"/>
        </w:rPr>
      </w:pPr>
      <w:r w:rsidRPr="00905199">
        <w:rPr>
          <w:szCs w:val="22"/>
          <w:lang w:val="sk-SK"/>
        </w:rPr>
        <w:t>-inhibícii kontrakcií maternice vedúcich k oneskorenému alebo predĺženému pôrodu.</w:t>
      </w:r>
    </w:p>
    <w:p w14:paraId="16892BBF" w14:textId="77777777" w:rsidR="0000767D" w:rsidRPr="00905199" w:rsidRDefault="0000767D">
      <w:pPr>
        <w:tabs>
          <w:tab w:val="left" w:pos="540"/>
          <w:tab w:val="left" w:pos="851"/>
          <w:tab w:val="left" w:pos="1260"/>
          <w:tab w:val="right" w:pos="7920"/>
        </w:tabs>
        <w:jc w:val="both"/>
        <w:rPr>
          <w:szCs w:val="22"/>
          <w:lang w:val="sk-SK"/>
        </w:rPr>
      </w:pPr>
    </w:p>
    <w:p w14:paraId="275FFA42" w14:textId="77777777" w:rsidR="0000767D" w:rsidRPr="00905199" w:rsidRDefault="003607C1" w:rsidP="004F0E07">
      <w:pPr>
        <w:tabs>
          <w:tab w:val="left" w:pos="0"/>
          <w:tab w:val="left" w:pos="540"/>
          <w:tab w:val="right" w:pos="7920"/>
        </w:tabs>
        <w:rPr>
          <w:szCs w:val="22"/>
          <w:lang w:val="sk-SK"/>
        </w:rPr>
      </w:pPr>
      <w:r w:rsidRPr="00905199">
        <w:rPr>
          <w:szCs w:val="22"/>
          <w:lang w:val="sk-SK"/>
        </w:rPr>
        <w:t>Preto je použitie tohto lieku:</w:t>
      </w:r>
    </w:p>
    <w:p w14:paraId="28106E79" w14:textId="77777777" w:rsidR="0000767D" w:rsidRPr="00905199" w:rsidRDefault="003607C1" w:rsidP="004F0E07">
      <w:pPr>
        <w:rPr>
          <w:szCs w:val="22"/>
          <w:lang w:val="sk-SK"/>
        </w:rPr>
      </w:pPr>
      <w:r w:rsidRPr="00905199">
        <w:rPr>
          <w:szCs w:val="22"/>
          <w:lang w:val="sk-SK"/>
        </w:rPr>
        <w:t>Kontraindikované počas tretieho trimestra gravidity a počas prvého a druhého trimestra sa má liek podávať iba ak to je úplne nevyhnutné.</w:t>
      </w:r>
    </w:p>
    <w:p w14:paraId="196AF026" w14:textId="77777777" w:rsidR="0000767D" w:rsidRPr="00905199" w:rsidRDefault="0000767D">
      <w:pPr>
        <w:autoSpaceDE w:val="0"/>
        <w:autoSpaceDN w:val="0"/>
        <w:adjustRightInd w:val="0"/>
        <w:rPr>
          <w:szCs w:val="22"/>
          <w:lang w:val="sk-SK"/>
        </w:rPr>
      </w:pPr>
    </w:p>
    <w:p w14:paraId="368BB3A1" w14:textId="77777777" w:rsidR="0000767D" w:rsidRPr="00905199" w:rsidRDefault="003607C1">
      <w:pPr>
        <w:keepNext/>
        <w:keepLines/>
        <w:autoSpaceDE w:val="0"/>
        <w:autoSpaceDN w:val="0"/>
        <w:adjustRightInd w:val="0"/>
        <w:rPr>
          <w:bCs/>
          <w:szCs w:val="22"/>
          <w:u w:val="single"/>
          <w:lang w:val="sk-SK"/>
        </w:rPr>
      </w:pPr>
      <w:r w:rsidRPr="00905199">
        <w:rPr>
          <w:bCs/>
          <w:szCs w:val="22"/>
          <w:u w:val="single"/>
          <w:lang w:val="sk-SK"/>
        </w:rPr>
        <w:t>Dojčenie</w:t>
      </w:r>
    </w:p>
    <w:p w14:paraId="2876E874" w14:textId="77777777" w:rsidR="0000767D" w:rsidRPr="00905199" w:rsidRDefault="0000767D">
      <w:pPr>
        <w:keepNext/>
        <w:keepLines/>
        <w:autoSpaceDE w:val="0"/>
        <w:autoSpaceDN w:val="0"/>
        <w:adjustRightInd w:val="0"/>
        <w:rPr>
          <w:b/>
          <w:szCs w:val="22"/>
          <w:lang w:val="sk-SK"/>
        </w:rPr>
      </w:pPr>
    </w:p>
    <w:p w14:paraId="74C0701F" w14:textId="0F9A5DAF" w:rsidR="0000767D" w:rsidRPr="00905199" w:rsidRDefault="003607C1" w:rsidP="004F0E07">
      <w:pPr>
        <w:tabs>
          <w:tab w:val="left" w:pos="0"/>
          <w:tab w:val="left" w:pos="540"/>
          <w:tab w:val="right" w:pos="7920"/>
        </w:tabs>
        <w:rPr>
          <w:szCs w:val="22"/>
          <w:lang w:val="sk-SK"/>
        </w:rPr>
      </w:pPr>
      <w:r w:rsidRPr="00905199">
        <w:rPr>
          <w:szCs w:val="22"/>
          <w:lang w:val="sk-SK"/>
        </w:rPr>
        <w:t xml:space="preserve">Opatrenia, ktoré treba urobiť </w:t>
      </w:r>
      <w:r w:rsidR="00AA0EF4">
        <w:rPr>
          <w:szCs w:val="22"/>
          <w:lang w:val="sk-SK"/>
        </w:rPr>
        <w:t>v období</w:t>
      </w:r>
      <w:r w:rsidR="00AA0EF4" w:rsidRPr="00905199">
        <w:rPr>
          <w:szCs w:val="22"/>
          <w:lang w:val="sk-SK"/>
        </w:rPr>
        <w:t xml:space="preserve"> </w:t>
      </w:r>
      <w:r w:rsidRPr="00905199">
        <w:rPr>
          <w:szCs w:val="22"/>
          <w:lang w:val="sk-SK"/>
        </w:rPr>
        <w:t>dojčenia</w:t>
      </w:r>
      <w:r w:rsidR="006620DC" w:rsidRPr="00905199">
        <w:rPr>
          <w:szCs w:val="22"/>
          <w:lang w:val="sk-SK"/>
        </w:rPr>
        <w:t>,</w:t>
      </w:r>
      <w:r w:rsidRPr="00905199">
        <w:rPr>
          <w:szCs w:val="22"/>
          <w:lang w:val="sk-SK"/>
        </w:rPr>
        <w:t xml:space="preserve"> vyplývajú z prítomnosti </w:t>
      </w:r>
      <w:r w:rsidR="004F27D0">
        <w:rPr>
          <w:szCs w:val="22"/>
          <w:lang w:val="sk-SK"/>
        </w:rPr>
        <w:t>pseudoefedrínium-</w:t>
      </w:r>
      <w:r w:rsidRPr="00905199">
        <w:rPr>
          <w:szCs w:val="22"/>
          <w:lang w:val="sk-SK"/>
        </w:rPr>
        <w:t xml:space="preserve">chloridu v lieku: </w:t>
      </w:r>
      <w:r w:rsidR="004F27D0">
        <w:rPr>
          <w:szCs w:val="22"/>
          <w:lang w:val="sk-SK"/>
        </w:rPr>
        <w:t>pseudoefedrínium-</w:t>
      </w:r>
      <w:r w:rsidRPr="00905199">
        <w:rPr>
          <w:szCs w:val="22"/>
          <w:lang w:val="sk-SK"/>
        </w:rPr>
        <w:t xml:space="preserve">chlorid sa vylučuje do ľudského materského mlieka. Z hľadiska možných kardiovaskulárnych a neurologických účinkov vazokonstrikčných liečiv je používanie tohto lieku </w:t>
      </w:r>
      <w:r w:rsidR="00AA0EF4">
        <w:rPr>
          <w:szCs w:val="22"/>
          <w:lang w:val="sk-SK"/>
        </w:rPr>
        <w:t>v období</w:t>
      </w:r>
      <w:r w:rsidR="00AA0EF4" w:rsidRPr="00905199">
        <w:rPr>
          <w:szCs w:val="22"/>
          <w:lang w:val="sk-SK"/>
        </w:rPr>
        <w:t xml:space="preserve"> </w:t>
      </w:r>
      <w:r w:rsidRPr="00905199">
        <w:rPr>
          <w:szCs w:val="22"/>
          <w:lang w:val="sk-SK"/>
        </w:rPr>
        <w:t>dojčenia kontraindikované.</w:t>
      </w:r>
    </w:p>
    <w:p w14:paraId="159A4821" w14:textId="77777777" w:rsidR="0000767D" w:rsidRPr="00905199" w:rsidRDefault="0000767D">
      <w:pPr>
        <w:autoSpaceDE w:val="0"/>
        <w:autoSpaceDN w:val="0"/>
        <w:adjustRightInd w:val="0"/>
        <w:rPr>
          <w:szCs w:val="22"/>
          <w:lang w:val="sk-SK"/>
        </w:rPr>
      </w:pPr>
    </w:p>
    <w:p w14:paraId="5ACDDEFF" w14:textId="77777777" w:rsidR="0000767D" w:rsidRPr="00905199" w:rsidRDefault="003607C1">
      <w:pPr>
        <w:autoSpaceDE w:val="0"/>
        <w:autoSpaceDN w:val="0"/>
        <w:adjustRightInd w:val="0"/>
        <w:rPr>
          <w:bCs/>
          <w:szCs w:val="22"/>
          <w:u w:val="single"/>
          <w:lang w:val="sk-SK"/>
        </w:rPr>
      </w:pPr>
      <w:r w:rsidRPr="00905199">
        <w:rPr>
          <w:bCs/>
          <w:szCs w:val="22"/>
          <w:u w:val="single"/>
          <w:lang w:val="sk-SK"/>
        </w:rPr>
        <w:t>Fertilita:</w:t>
      </w:r>
    </w:p>
    <w:p w14:paraId="26F0C1A4" w14:textId="77777777" w:rsidR="0000767D" w:rsidRPr="00905199" w:rsidRDefault="0000767D">
      <w:pPr>
        <w:autoSpaceDE w:val="0"/>
        <w:autoSpaceDN w:val="0"/>
        <w:adjustRightInd w:val="0"/>
        <w:rPr>
          <w:szCs w:val="22"/>
          <w:lang w:val="sk-SK"/>
        </w:rPr>
      </w:pPr>
    </w:p>
    <w:p w14:paraId="7D4184B8" w14:textId="3008BBBF" w:rsidR="0000767D" w:rsidRPr="00905199" w:rsidRDefault="003607C1">
      <w:pPr>
        <w:autoSpaceDE w:val="0"/>
        <w:autoSpaceDN w:val="0"/>
        <w:adjustRightInd w:val="0"/>
        <w:rPr>
          <w:szCs w:val="22"/>
          <w:lang w:val="sk-SK"/>
        </w:rPr>
      </w:pPr>
      <w:r w:rsidRPr="00905199">
        <w:rPr>
          <w:szCs w:val="22"/>
          <w:lang w:val="sk-SK"/>
        </w:rPr>
        <w:t xml:space="preserve">Existujú obmedzené dôkazy, že lieky, ktoré inhibujú cyklooxygenázu/syntézu prostaglandínov, môžu ovplyvnením ovulácie spôsobiť zníženie fertility u žien. Tento účinok je po </w:t>
      </w:r>
      <w:r w:rsidR="00AA0EF4">
        <w:rPr>
          <w:szCs w:val="22"/>
          <w:lang w:val="sk-SK"/>
        </w:rPr>
        <w:t>ukončení</w:t>
      </w:r>
      <w:r w:rsidR="00AA0EF4" w:rsidRPr="00905199">
        <w:rPr>
          <w:szCs w:val="22"/>
          <w:lang w:val="sk-SK"/>
        </w:rPr>
        <w:t xml:space="preserve"> </w:t>
      </w:r>
      <w:r w:rsidRPr="00905199">
        <w:rPr>
          <w:szCs w:val="22"/>
          <w:lang w:val="sk-SK"/>
        </w:rPr>
        <w:t>liečby reverzibilný.</w:t>
      </w:r>
    </w:p>
    <w:p w14:paraId="558D865F" w14:textId="77777777" w:rsidR="0000767D" w:rsidRPr="00905199" w:rsidRDefault="0000767D">
      <w:pPr>
        <w:autoSpaceDE w:val="0"/>
        <w:autoSpaceDN w:val="0"/>
        <w:adjustRightInd w:val="0"/>
        <w:rPr>
          <w:b/>
          <w:szCs w:val="22"/>
          <w:lang w:val="sk-SK"/>
        </w:rPr>
      </w:pPr>
    </w:p>
    <w:p w14:paraId="3168CA59" w14:textId="77777777" w:rsidR="0000767D" w:rsidRPr="00905199" w:rsidRDefault="003607C1">
      <w:pPr>
        <w:ind w:left="567" w:hanging="567"/>
        <w:rPr>
          <w:b/>
          <w:szCs w:val="22"/>
          <w:lang w:val="sk-SK"/>
        </w:rPr>
      </w:pPr>
      <w:r w:rsidRPr="00905199">
        <w:rPr>
          <w:b/>
          <w:szCs w:val="22"/>
          <w:lang w:val="sk-SK"/>
        </w:rPr>
        <w:t>4.7</w:t>
      </w:r>
      <w:r w:rsidRPr="00905199">
        <w:rPr>
          <w:b/>
          <w:szCs w:val="22"/>
          <w:lang w:val="sk-SK"/>
        </w:rPr>
        <w:tab/>
        <w:t>Ovplyvnenie schopnosti viesť vozidlá a obsluhovať stroje</w:t>
      </w:r>
    </w:p>
    <w:p w14:paraId="1C277806" w14:textId="77777777" w:rsidR="0000767D" w:rsidRPr="00905199" w:rsidRDefault="0000767D">
      <w:pPr>
        <w:ind w:left="567" w:hanging="567"/>
        <w:rPr>
          <w:szCs w:val="22"/>
          <w:lang w:val="sk-SK"/>
        </w:rPr>
      </w:pPr>
    </w:p>
    <w:p w14:paraId="313440CB" w14:textId="5A175891"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má malý alebo mierny vplyv na schopnosť viesť vozidlá a obsluhovať stroje. Pacienti, u ktorých sa vyskytne závrat, neobvyklá bolesť hlavy a poruchy zraku alebo sluchu</w:t>
      </w:r>
      <w:r w:rsidR="006620DC" w:rsidRPr="00905199">
        <w:rPr>
          <w:szCs w:val="22"/>
          <w:lang w:val="sk-SK"/>
        </w:rPr>
        <w:t>,</w:t>
      </w:r>
      <w:r w:rsidR="00913835" w:rsidRPr="00905199">
        <w:rPr>
          <w:szCs w:val="22"/>
          <w:lang w:val="sk-SK"/>
        </w:rPr>
        <w:t xml:space="preserve"> </w:t>
      </w:r>
      <w:r w:rsidR="003607C1" w:rsidRPr="00905199">
        <w:rPr>
          <w:szCs w:val="22"/>
          <w:lang w:val="sk-SK"/>
        </w:rPr>
        <w:t>nemajú viesť vozidlá ani obsluhovať stroje. Jednorazové podanie alebo krátkodobé používanie tohto lieku zvyčajne nevyžaduje žiadne špeciálne opatrenia.</w:t>
      </w:r>
    </w:p>
    <w:p w14:paraId="3CA67194" w14:textId="77777777" w:rsidR="0000767D" w:rsidRPr="00905199" w:rsidRDefault="0000767D">
      <w:pPr>
        <w:rPr>
          <w:szCs w:val="22"/>
          <w:lang w:val="sk-SK"/>
        </w:rPr>
      </w:pPr>
    </w:p>
    <w:p w14:paraId="58601FB1" w14:textId="77777777" w:rsidR="0000767D" w:rsidRPr="00905199" w:rsidRDefault="003607C1">
      <w:pPr>
        <w:numPr>
          <w:ilvl w:val="1"/>
          <w:numId w:val="10"/>
        </w:numPr>
        <w:rPr>
          <w:b/>
          <w:szCs w:val="22"/>
          <w:lang w:val="sk-SK"/>
        </w:rPr>
      </w:pPr>
      <w:r w:rsidRPr="00905199">
        <w:rPr>
          <w:b/>
          <w:szCs w:val="22"/>
          <w:lang w:val="sk-SK"/>
        </w:rPr>
        <w:t>Nežiaduce účinky</w:t>
      </w:r>
    </w:p>
    <w:p w14:paraId="7AACBCD6" w14:textId="77777777" w:rsidR="0000767D" w:rsidRPr="00905199" w:rsidRDefault="0000767D">
      <w:pPr>
        <w:rPr>
          <w:szCs w:val="22"/>
          <w:lang w:val="sk-SK"/>
        </w:rPr>
      </w:pPr>
    </w:p>
    <w:p w14:paraId="4FD56164" w14:textId="77777777" w:rsidR="0000767D" w:rsidRPr="00905199" w:rsidRDefault="003607C1">
      <w:pPr>
        <w:rPr>
          <w:szCs w:val="22"/>
          <w:lang w:val="sk-SK"/>
        </w:rPr>
      </w:pPr>
      <w:r w:rsidRPr="00905199">
        <w:rPr>
          <w:szCs w:val="22"/>
          <w:lang w:val="sk-SK"/>
        </w:rPr>
        <w:t xml:space="preserve">Najčastejšie pozorované nežiaduce reakcie súvisiace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 xml:space="preserve">sú gastrointestinálneho charakteru. Môže sa vyskytnúť peptický vred, perforácia alebo gastrointestinálne krvácanie, ktoré sú niekedy fatálne, a to hlavne u starších pacientov (pozri časť 4.4). Po podaní boli hlásené nauzea, vracanie, hnačka, flatulencia, zápcha, </w:t>
      </w:r>
      <w:r w:rsidR="00913835" w:rsidRPr="00905199">
        <w:rPr>
          <w:szCs w:val="22"/>
          <w:lang w:val="sk-SK"/>
        </w:rPr>
        <w:t xml:space="preserve">dyspepsia, </w:t>
      </w:r>
      <w:r w:rsidRPr="00905199">
        <w:rPr>
          <w:szCs w:val="22"/>
          <w:lang w:val="sk-SK"/>
        </w:rPr>
        <w:t xml:space="preserve">abdominálna bolesť, meléna, hemateméza, ulcerózna stomatitída, exacerbácia kolitídy a Crohnovej choroby (pozri časť 4.4 Osobitné upozornenia a opatrenia pri používaní). Menej často sa </w:t>
      </w:r>
      <w:r w:rsidRPr="00905199">
        <w:rPr>
          <w:szCs w:val="22"/>
          <w:lang w:val="sk-SK"/>
        </w:rPr>
        <w:lastRenderedPageBreak/>
        <w:t>pozorovala gastritída. Vo všeobecnosti sa riziko vzniku nežiaducich reakcií (predovšetkým rozvoja závažných gastrointestinálnych komplikácií) zvyšuje so zvyšujúcou sa dávkou a so zvyšujúcim sa trvaním liečby.</w:t>
      </w:r>
    </w:p>
    <w:p w14:paraId="480618B6" w14:textId="77777777" w:rsidR="0000767D" w:rsidRPr="00905199" w:rsidRDefault="0000767D">
      <w:pPr>
        <w:rPr>
          <w:szCs w:val="22"/>
          <w:lang w:val="sk-SK"/>
        </w:rPr>
      </w:pPr>
    </w:p>
    <w:p w14:paraId="2CEEE0B9" w14:textId="77777777" w:rsidR="0000767D" w:rsidRPr="00905199" w:rsidRDefault="003607C1">
      <w:pPr>
        <w:rPr>
          <w:szCs w:val="22"/>
          <w:lang w:val="sk-SK"/>
        </w:rPr>
      </w:pPr>
      <w:r w:rsidRPr="00905199">
        <w:rPr>
          <w:szCs w:val="22"/>
          <w:lang w:val="sk-SK"/>
        </w:rPr>
        <w:t xml:space="preserve">Po liečbe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boli hlásené reakcie precitlivenosti. Môžu pozostávať z:</w:t>
      </w:r>
    </w:p>
    <w:p w14:paraId="632FF48B" w14:textId="77777777" w:rsidR="0000767D" w:rsidRPr="00905199" w:rsidRDefault="003607C1">
      <w:pPr>
        <w:rPr>
          <w:szCs w:val="22"/>
          <w:lang w:val="sk-SK"/>
        </w:rPr>
      </w:pPr>
      <w:r w:rsidRPr="00905199">
        <w:rPr>
          <w:szCs w:val="22"/>
          <w:lang w:val="sk-SK"/>
        </w:rPr>
        <w:t>(a) Nešpecifickej alergickej reakcie a anafylaxie,</w:t>
      </w:r>
    </w:p>
    <w:p w14:paraId="41C56272" w14:textId="77777777" w:rsidR="0000767D" w:rsidRPr="00905199" w:rsidRDefault="003607C1">
      <w:pPr>
        <w:rPr>
          <w:szCs w:val="22"/>
          <w:lang w:val="sk-SK"/>
        </w:rPr>
      </w:pPr>
      <w:r w:rsidRPr="00905199">
        <w:rPr>
          <w:szCs w:val="22"/>
          <w:lang w:val="sk-SK"/>
        </w:rPr>
        <w:t>(b) Reaktivity dýchacieho traktu zahŕňajúcej astmu, zhoršenie astmy, bronchospazmus alebo dyspnoe,</w:t>
      </w:r>
    </w:p>
    <w:p w14:paraId="4C5E831C" w14:textId="77777777" w:rsidR="0000767D" w:rsidRPr="00905199" w:rsidRDefault="003607C1">
      <w:pPr>
        <w:rPr>
          <w:szCs w:val="22"/>
          <w:lang w:val="sk-SK"/>
        </w:rPr>
      </w:pPr>
      <w:r w:rsidRPr="00905199">
        <w:rPr>
          <w:szCs w:val="22"/>
          <w:lang w:val="sk-SK"/>
        </w:rPr>
        <w:t>(c) Zmiešaných kožných ochorení zahŕňajúcich vyrážky rôzneho druhu, svrbenie, žihľavku, purpuru, angioedém a zriedkavejšie exfoliatívne a bulózne dermatózy (zahŕňajúce epidermálnu nekrolýzu a multiformný erytém).</w:t>
      </w:r>
    </w:p>
    <w:p w14:paraId="60D89EE3" w14:textId="77777777" w:rsidR="0000767D" w:rsidRPr="00905199" w:rsidRDefault="0000767D">
      <w:pPr>
        <w:rPr>
          <w:szCs w:val="22"/>
          <w:lang w:val="sk-SK"/>
        </w:rPr>
      </w:pPr>
    </w:p>
    <w:p w14:paraId="715462DF" w14:textId="77777777" w:rsidR="0000767D" w:rsidRPr="00905199" w:rsidRDefault="003607C1">
      <w:pPr>
        <w:rPr>
          <w:szCs w:val="22"/>
          <w:lang w:val="sk-SK"/>
        </w:rPr>
      </w:pPr>
      <w:r w:rsidRPr="00905199">
        <w:rPr>
          <w:szCs w:val="22"/>
          <w:lang w:val="sk-SK"/>
        </w:rPr>
        <w:t xml:space="preserve">U pacientov s existujúcimi autoimunitnými ochoreniami (ako je systémový lupus erythematosus, zmiešané ochorenia spojivových tkanív) sa počas liečby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pozorovali jednotlivé prípady symptómov aseptickej meningitídy, ako je stuhnutá šija, bolesť hlavy, nauzea, vracanie, horúčka alebo dezorientácia.</w:t>
      </w:r>
    </w:p>
    <w:p w14:paraId="4D62013E" w14:textId="77777777" w:rsidR="0000767D" w:rsidRPr="00905199" w:rsidRDefault="0000767D">
      <w:pPr>
        <w:rPr>
          <w:szCs w:val="22"/>
          <w:lang w:val="sk-SK"/>
        </w:rPr>
      </w:pPr>
    </w:p>
    <w:p w14:paraId="43D687A8" w14:textId="77777777" w:rsidR="0000767D" w:rsidRPr="00905199" w:rsidRDefault="003607C1">
      <w:pPr>
        <w:rPr>
          <w:szCs w:val="22"/>
          <w:lang w:val="sk-SK"/>
        </w:rPr>
      </w:pPr>
      <w:r w:rsidRPr="00905199">
        <w:rPr>
          <w:szCs w:val="22"/>
          <w:lang w:val="sk-SK"/>
        </w:rPr>
        <w:t>V súvislosti s liečbou NSAID sa hlásil edém, hypertenzia a zlyhanie srdca.</w:t>
      </w:r>
    </w:p>
    <w:p w14:paraId="181F1399" w14:textId="77777777" w:rsidR="0000767D" w:rsidRPr="00905199" w:rsidRDefault="0000767D">
      <w:pPr>
        <w:rPr>
          <w:szCs w:val="22"/>
          <w:lang w:val="sk-SK"/>
        </w:rPr>
      </w:pPr>
    </w:p>
    <w:p w14:paraId="7B3F86B5" w14:textId="77777777" w:rsidR="0000767D" w:rsidRPr="00905199" w:rsidRDefault="003607C1">
      <w:pPr>
        <w:rPr>
          <w:szCs w:val="22"/>
          <w:lang w:val="sk-SK"/>
        </w:rPr>
      </w:pPr>
      <w:r w:rsidRPr="00905199">
        <w:rPr>
          <w:szCs w:val="22"/>
          <w:lang w:val="sk-SK"/>
        </w:rPr>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a to predovšetkým vo vysokých dávkach (2 400 mg/deň) môžu súvisieť s mierne zvýšeným rizikom arteriálnych trombotických príhod (napríklad infarktu myokardu alebo mozgovej mŕtvice) (pozri časť 4.4).</w:t>
      </w:r>
    </w:p>
    <w:p w14:paraId="4F1FBB73" w14:textId="77777777" w:rsidR="0000767D" w:rsidRPr="00905199" w:rsidRDefault="0000767D">
      <w:pPr>
        <w:rPr>
          <w:szCs w:val="22"/>
          <w:lang w:val="sk-SK"/>
        </w:rPr>
      </w:pPr>
    </w:p>
    <w:p w14:paraId="0F67019F" w14:textId="4CAD85C5" w:rsidR="0000767D" w:rsidRPr="00905199" w:rsidRDefault="003607C1">
      <w:pPr>
        <w:rPr>
          <w:szCs w:val="22"/>
          <w:lang w:val="sk-SK"/>
        </w:rPr>
      </w:pPr>
      <w:r w:rsidRPr="00905199">
        <w:rPr>
          <w:szCs w:val="22"/>
          <w:lang w:val="sk-SK"/>
        </w:rPr>
        <w:t xml:space="preserve">Nasledujúci zoznam nežiaducich reakcií súvisí so zaznamenanými skúsenosťami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 xml:space="preserve">a </w:t>
      </w:r>
      <w:r w:rsidR="004F27D0">
        <w:rPr>
          <w:szCs w:val="22"/>
          <w:lang w:val="sk-SK"/>
        </w:rPr>
        <w:t>pseudoefedrínium-</w:t>
      </w:r>
      <w:r w:rsidRPr="00905199">
        <w:rPr>
          <w:szCs w:val="22"/>
          <w:lang w:val="sk-SK"/>
        </w:rPr>
        <w:t>chloridom pri OTC dávkach na krátkodobé použitie. Pri liečbe chronických stavov, pri dlhodobej liečbe, sa môžu vyskytnúť ďalšie nežiaduce účinky.</w:t>
      </w:r>
    </w:p>
    <w:p w14:paraId="7DB5F83D" w14:textId="77777777" w:rsidR="0000767D" w:rsidRPr="00905199" w:rsidRDefault="0000767D">
      <w:pPr>
        <w:rPr>
          <w:szCs w:val="22"/>
          <w:lang w:val="sk-SK"/>
        </w:rPr>
      </w:pPr>
    </w:p>
    <w:p w14:paraId="4901474D" w14:textId="77777777" w:rsidR="0000767D" w:rsidRPr="00905199" w:rsidRDefault="003607C1">
      <w:pPr>
        <w:rPr>
          <w:szCs w:val="22"/>
          <w:lang w:val="sk-SK"/>
        </w:rPr>
      </w:pPr>
      <w:r w:rsidRPr="00905199">
        <w:rPr>
          <w:szCs w:val="22"/>
          <w:lang w:val="sk-SK"/>
        </w:rPr>
        <w:t xml:space="preserve">Pacienti majú byť informovaní, že užívanie </w:t>
      </w:r>
      <w:r w:rsidR="002654BB" w:rsidRPr="00905199">
        <w:rPr>
          <w:szCs w:val="22"/>
          <w:lang w:val="sk-SK"/>
        </w:rPr>
        <w:t>Grippecton</w:t>
      </w:r>
      <w:r w:rsidR="005F22C1" w:rsidRPr="00905199">
        <w:rPr>
          <w:szCs w:val="22"/>
          <w:lang w:val="sk-SK"/>
        </w:rPr>
        <w:t>u</w:t>
      </w:r>
      <w:r w:rsidR="002654BB" w:rsidRPr="00905199">
        <w:rPr>
          <w:szCs w:val="22"/>
          <w:lang w:val="sk-SK"/>
        </w:rPr>
        <w:t xml:space="preserve"> 200 mg/30 mg</w:t>
      </w:r>
      <w:r w:rsidRPr="00905199">
        <w:rPr>
          <w:szCs w:val="22"/>
          <w:lang w:val="sk-SK"/>
        </w:rPr>
        <w:t xml:space="preserve"> musia okamžite ukončiť a vyhľadať lekára, ak sa u nich vyskytnú závažné nežiaduce reakcie.</w:t>
      </w:r>
    </w:p>
    <w:p w14:paraId="51193AA6" w14:textId="77777777" w:rsidR="0000767D" w:rsidRPr="00905199" w:rsidRDefault="0000767D">
      <w:pPr>
        <w:rPr>
          <w:szCs w:val="22"/>
          <w:lang w:val="sk-SK"/>
        </w:rPr>
      </w:pPr>
    </w:p>
    <w:p w14:paraId="4FEBDECD" w14:textId="77777777" w:rsidR="0000767D" w:rsidRPr="00905199" w:rsidRDefault="0000767D">
      <w:pPr>
        <w:rPr>
          <w:szCs w:val="22"/>
          <w:lang w:val="sk-SK"/>
        </w:rPr>
      </w:pPr>
    </w:p>
    <w:tbl>
      <w:tblPr>
        <w:tblW w:w="0" w:type="auto"/>
        <w:jc w:val="center"/>
        <w:tblBorders>
          <w:top w:val="nil"/>
          <w:left w:val="nil"/>
          <w:bottom w:val="nil"/>
          <w:right w:val="nil"/>
        </w:tblBorders>
        <w:tblLayout w:type="fixed"/>
        <w:tblLook w:val="0000" w:firstRow="0" w:lastRow="0" w:firstColumn="0" w:lastColumn="0" w:noHBand="0" w:noVBand="0"/>
      </w:tblPr>
      <w:tblGrid>
        <w:gridCol w:w="3812"/>
      </w:tblGrid>
      <w:tr w:rsidR="0000767D" w:rsidRPr="00905199" w14:paraId="76C725B2" w14:textId="77777777">
        <w:trPr>
          <w:trHeight w:val="425"/>
          <w:jc w:val="center"/>
        </w:trPr>
        <w:tc>
          <w:tcPr>
            <w:tcW w:w="3812" w:type="dxa"/>
            <w:tcBorders>
              <w:top w:val="single" w:sz="6" w:space="0" w:color="000000"/>
              <w:left w:val="single" w:sz="4" w:space="0" w:color="000000"/>
              <w:bottom w:val="single" w:sz="4" w:space="0" w:color="000000"/>
              <w:right w:val="single" w:sz="4" w:space="0" w:color="000000"/>
            </w:tcBorders>
            <w:vAlign w:val="center"/>
          </w:tcPr>
          <w:p w14:paraId="26CF38EA" w14:textId="77777777" w:rsidR="0000767D" w:rsidRPr="00905199" w:rsidRDefault="003607C1">
            <w:pPr>
              <w:pStyle w:val="Default"/>
              <w:keepNext/>
              <w:keepLines/>
              <w:rPr>
                <w:sz w:val="22"/>
                <w:szCs w:val="22"/>
                <w:lang w:val="sk-SK"/>
              </w:rPr>
            </w:pPr>
            <w:r w:rsidRPr="00905199">
              <w:rPr>
                <w:sz w:val="22"/>
                <w:szCs w:val="22"/>
                <w:lang w:val="sk-SK"/>
              </w:rPr>
              <w:t>Veľmi časté (≥ 1/10)</w:t>
            </w:r>
          </w:p>
        </w:tc>
      </w:tr>
      <w:tr w:rsidR="0000767D" w:rsidRPr="00905199" w14:paraId="408A56DC" w14:textId="77777777">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50FE22D0" w14:textId="77777777" w:rsidR="0000767D" w:rsidRPr="00905199" w:rsidRDefault="003607C1">
            <w:pPr>
              <w:pStyle w:val="Default"/>
              <w:keepNext/>
              <w:keepLines/>
              <w:rPr>
                <w:sz w:val="22"/>
                <w:szCs w:val="22"/>
                <w:lang w:val="sk-SK"/>
              </w:rPr>
            </w:pPr>
            <w:r w:rsidRPr="00905199">
              <w:rPr>
                <w:sz w:val="22"/>
                <w:szCs w:val="22"/>
                <w:lang w:val="sk-SK"/>
              </w:rPr>
              <w:t>Časté (≥ 1/100 až &lt; 1/10)</w:t>
            </w:r>
          </w:p>
        </w:tc>
      </w:tr>
      <w:tr w:rsidR="0000767D" w:rsidRPr="00905199" w14:paraId="40665836" w14:textId="77777777">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163312D6" w14:textId="77777777" w:rsidR="0000767D" w:rsidRPr="00905199" w:rsidRDefault="003607C1">
            <w:pPr>
              <w:pStyle w:val="Default"/>
              <w:keepNext/>
              <w:keepLines/>
              <w:rPr>
                <w:sz w:val="22"/>
                <w:szCs w:val="22"/>
                <w:lang w:val="sk-SK"/>
              </w:rPr>
            </w:pPr>
            <w:r w:rsidRPr="00905199">
              <w:rPr>
                <w:sz w:val="22"/>
                <w:szCs w:val="22"/>
                <w:lang w:val="sk-SK"/>
              </w:rPr>
              <w:t>Menej časté (≥ 1/1 000 až &lt; 1/100)</w:t>
            </w:r>
          </w:p>
        </w:tc>
      </w:tr>
      <w:tr w:rsidR="0000767D" w:rsidRPr="00905199" w14:paraId="526EBAB9" w14:textId="77777777">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3152D97F" w14:textId="77777777" w:rsidR="0000767D" w:rsidRPr="00905199" w:rsidRDefault="003607C1">
            <w:pPr>
              <w:pStyle w:val="Default"/>
              <w:keepNext/>
              <w:keepLines/>
              <w:rPr>
                <w:sz w:val="22"/>
                <w:szCs w:val="22"/>
                <w:lang w:val="sk-SK"/>
              </w:rPr>
            </w:pPr>
            <w:r w:rsidRPr="00905199">
              <w:rPr>
                <w:sz w:val="22"/>
                <w:szCs w:val="22"/>
                <w:lang w:val="sk-SK"/>
              </w:rPr>
              <w:t>Zriedkavé (≥ 1/10 000 až &lt; 1/1 000)</w:t>
            </w:r>
          </w:p>
        </w:tc>
      </w:tr>
      <w:tr w:rsidR="0000767D" w:rsidRPr="00905199" w14:paraId="3C1F77B2" w14:textId="77777777">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7CFE2006" w14:textId="77777777" w:rsidR="0000767D" w:rsidRPr="00905199" w:rsidRDefault="003607C1">
            <w:pPr>
              <w:pStyle w:val="Default"/>
              <w:keepNext/>
              <w:keepLines/>
              <w:rPr>
                <w:sz w:val="22"/>
                <w:szCs w:val="22"/>
                <w:lang w:val="sk-SK"/>
              </w:rPr>
            </w:pPr>
            <w:r w:rsidRPr="00905199">
              <w:rPr>
                <w:sz w:val="22"/>
                <w:szCs w:val="22"/>
                <w:lang w:val="sk-SK"/>
              </w:rPr>
              <w:t>Veľmi zriedkavé (&lt; 1/10 000)</w:t>
            </w:r>
          </w:p>
        </w:tc>
      </w:tr>
      <w:tr w:rsidR="0000767D" w:rsidRPr="00905199" w14:paraId="10033720" w14:textId="77777777">
        <w:trPr>
          <w:trHeight w:val="425"/>
          <w:jc w:val="center"/>
        </w:trPr>
        <w:tc>
          <w:tcPr>
            <w:tcW w:w="3812" w:type="dxa"/>
            <w:tcBorders>
              <w:top w:val="single" w:sz="4" w:space="0" w:color="000000"/>
              <w:left w:val="single" w:sz="4" w:space="0" w:color="000000"/>
              <w:bottom w:val="single" w:sz="6" w:space="0" w:color="000000"/>
              <w:right w:val="single" w:sz="4" w:space="0" w:color="000000"/>
            </w:tcBorders>
            <w:vAlign w:val="center"/>
          </w:tcPr>
          <w:p w14:paraId="1E3FC8B3" w14:textId="77777777" w:rsidR="0000767D" w:rsidRPr="00905199" w:rsidRDefault="003607C1">
            <w:pPr>
              <w:pStyle w:val="Default"/>
              <w:keepNext/>
              <w:keepLines/>
              <w:rPr>
                <w:sz w:val="22"/>
                <w:szCs w:val="22"/>
                <w:lang w:val="sk-SK"/>
              </w:rPr>
            </w:pPr>
            <w:r w:rsidRPr="00905199">
              <w:rPr>
                <w:sz w:val="22"/>
                <w:szCs w:val="22"/>
                <w:lang w:val="sk-SK"/>
              </w:rPr>
              <w:t>Neznáme (z dostupných údajov)</w:t>
            </w:r>
          </w:p>
        </w:tc>
      </w:tr>
    </w:tbl>
    <w:p w14:paraId="66666DA9" w14:textId="77777777" w:rsidR="0000767D" w:rsidRPr="00905199" w:rsidRDefault="0000767D">
      <w:pPr>
        <w:rPr>
          <w:szCs w:val="22"/>
          <w:lang w:val="sk-SK"/>
        </w:rPr>
      </w:pPr>
    </w:p>
    <w:p w14:paraId="0289DE97" w14:textId="77777777" w:rsidR="0000767D" w:rsidRPr="00905199" w:rsidRDefault="0000767D">
      <w:pPr>
        <w:rPr>
          <w:szCs w:val="22"/>
          <w:lang w:val="sk-S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462"/>
        <w:gridCol w:w="1750"/>
        <w:gridCol w:w="2838"/>
      </w:tblGrid>
      <w:tr w:rsidR="0000767D" w:rsidRPr="00905199" w14:paraId="11D39A24" w14:textId="77777777">
        <w:trPr>
          <w:trHeight w:val="2712"/>
        </w:trPr>
        <w:tc>
          <w:tcPr>
            <w:tcW w:w="2589" w:type="dxa"/>
          </w:tcPr>
          <w:p w14:paraId="7E2CF36F" w14:textId="77777777" w:rsidR="0000767D" w:rsidRPr="00905199" w:rsidRDefault="003607C1">
            <w:pPr>
              <w:pStyle w:val="Default"/>
              <w:rPr>
                <w:sz w:val="22"/>
                <w:szCs w:val="22"/>
                <w:lang w:val="sk-SK"/>
              </w:rPr>
            </w:pPr>
            <w:r w:rsidRPr="00905199">
              <w:rPr>
                <w:b/>
                <w:bCs/>
                <w:sz w:val="22"/>
                <w:szCs w:val="22"/>
                <w:lang w:val="sk-SK"/>
              </w:rPr>
              <w:t xml:space="preserve">Infekcie a </w:t>
            </w:r>
          </w:p>
          <w:p w14:paraId="1D83EC74" w14:textId="77777777" w:rsidR="0000767D" w:rsidRPr="00905199" w:rsidRDefault="003607C1">
            <w:pPr>
              <w:pStyle w:val="Default"/>
              <w:rPr>
                <w:sz w:val="22"/>
                <w:szCs w:val="22"/>
                <w:lang w:val="sk-SK"/>
              </w:rPr>
            </w:pPr>
            <w:r w:rsidRPr="00905199">
              <w:rPr>
                <w:b/>
                <w:bCs/>
                <w:sz w:val="22"/>
                <w:szCs w:val="22"/>
                <w:lang w:val="sk-SK"/>
              </w:rPr>
              <w:t>nákazy</w:t>
            </w:r>
          </w:p>
        </w:tc>
        <w:tc>
          <w:tcPr>
            <w:tcW w:w="2462" w:type="dxa"/>
          </w:tcPr>
          <w:p w14:paraId="6912E3BF" w14:textId="77777777"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14B80CC7" w14:textId="77777777" w:rsidR="0000767D" w:rsidRPr="00905199" w:rsidRDefault="003607C1">
            <w:pPr>
              <w:pStyle w:val="Default"/>
              <w:rPr>
                <w:sz w:val="22"/>
                <w:szCs w:val="22"/>
                <w:lang w:val="sk-SK"/>
              </w:rPr>
            </w:pPr>
            <w:r w:rsidRPr="00905199">
              <w:rPr>
                <w:sz w:val="22"/>
                <w:szCs w:val="22"/>
                <w:lang w:val="sk-SK"/>
              </w:rPr>
              <w:t>Veľmi zriedkavé</w:t>
            </w:r>
          </w:p>
        </w:tc>
        <w:tc>
          <w:tcPr>
            <w:tcW w:w="2838" w:type="dxa"/>
          </w:tcPr>
          <w:p w14:paraId="73CEE177" w14:textId="77777777" w:rsidR="0000767D" w:rsidRPr="00905199" w:rsidRDefault="003607C1">
            <w:pPr>
              <w:pStyle w:val="Default"/>
              <w:rPr>
                <w:sz w:val="22"/>
                <w:szCs w:val="22"/>
                <w:lang w:val="sk-SK"/>
              </w:rPr>
            </w:pPr>
            <w:r w:rsidRPr="00905199">
              <w:rPr>
                <w:sz w:val="22"/>
                <w:szCs w:val="22"/>
                <w:lang w:val="sk-SK"/>
              </w:rPr>
              <w:t xml:space="preserve">Exacerbácia </w:t>
            </w:r>
          </w:p>
          <w:p w14:paraId="62AC94C1" w14:textId="77777777" w:rsidR="0000767D" w:rsidRPr="00905199" w:rsidRDefault="003607C1">
            <w:pPr>
              <w:pStyle w:val="Default"/>
              <w:rPr>
                <w:sz w:val="22"/>
                <w:szCs w:val="22"/>
                <w:lang w:val="sk-SK"/>
              </w:rPr>
            </w:pPr>
            <w:r w:rsidRPr="00905199">
              <w:rPr>
                <w:sz w:val="22"/>
                <w:szCs w:val="22"/>
                <w:lang w:val="sk-SK"/>
              </w:rPr>
              <w:t>infekčných zápalov (napr. nekrotizujúcej fasciitídy), aseptická meningitída (stuhnutosť šije, bolesť hlavy, nauzea, vracanie, horúčka alebo dezorientácia u pacientov s prítomnými autoimunitnými ochoreniami (</w:t>
            </w:r>
            <w:r w:rsidR="00905199" w:rsidRPr="00905199">
              <w:rPr>
                <w:sz w:val="22"/>
                <w:szCs w:val="22"/>
                <w:lang w:val="sk-SK"/>
              </w:rPr>
              <w:t>Systémový</w:t>
            </w:r>
            <w:r w:rsidRPr="00905199">
              <w:rPr>
                <w:sz w:val="22"/>
                <w:szCs w:val="22"/>
                <w:lang w:val="sk-SK"/>
              </w:rPr>
              <w:t xml:space="preserve"> Lupus Erythematosus (SLE), zmiešané ochorenie spojivového tkaniva)</w:t>
            </w:r>
          </w:p>
        </w:tc>
      </w:tr>
      <w:tr w:rsidR="0000767D" w:rsidRPr="00905199" w14:paraId="675FD7E0" w14:textId="77777777">
        <w:trPr>
          <w:trHeight w:val="1563"/>
        </w:trPr>
        <w:tc>
          <w:tcPr>
            <w:tcW w:w="2589" w:type="dxa"/>
          </w:tcPr>
          <w:p w14:paraId="7DCD0B60" w14:textId="77777777" w:rsidR="0000767D" w:rsidRPr="00905199" w:rsidRDefault="003607C1">
            <w:pPr>
              <w:pStyle w:val="Default"/>
              <w:rPr>
                <w:sz w:val="22"/>
                <w:szCs w:val="22"/>
                <w:lang w:val="sk-SK"/>
              </w:rPr>
            </w:pPr>
            <w:r w:rsidRPr="00905199">
              <w:rPr>
                <w:b/>
                <w:bCs/>
                <w:sz w:val="22"/>
                <w:szCs w:val="22"/>
                <w:lang w:val="sk-SK"/>
              </w:rPr>
              <w:lastRenderedPageBreak/>
              <w:t xml:space="preserve">Poruchy krvi a </w:t>
            </w:r>
          </w:p>
          <w:p w14:paraId="3E3A59D6" w14:textId="77777777" w:rsidR="0000767D" w:rsidRPr="00905199" w:rsidRDefault="003607C1">
            <w:pPr>
              <w:pStyle w:val="Default"/>
              <w:rPr>
                <w:sz w:val="22"/>
                <w:szCs w:val="22"/>
                <w:lang w:val="sk-SK"/>
              </w:rPr>
            </w:pPr>
            <w:r w:rsidRPr="00905199">
              <w:rPr>
                <w:b/>
                <w:bCs/>
                <w:sz w:val="22"/>
                <w:szCs w:val="22"/>
                <w:lang w:val="sk-SK"/>
              </w:rPr>
              <w:t xml:space="preserve">lymfatického </w:t>
            </w:r>
          </w:p>
          <w:p w14:paraId="5F95393D" w14:textId="77777777" w:rsidR="0000767D" w:rsidRPr="00905199" w:rsidRDefault="003607C1">
            <w:pPr>
              <w:pStyle w:val="Default"/>
              <w:rPr>
                <w:sz w:val="22"/>
                <w:szCs w:val="22"/>
                <w:lang w:val="sk-SK"/>
              </w:rPr>
            </w:pPr>
            <w:r w:rsidRPr="00905199">
              <w:rPr>
                <w:b/>
                <w:bCs/>
                <w:sz w:val="22"/>
                <w:szCs w:val="22"/>
                <w:lang w:val="sk-SK"/>
              </w:rPr>
              <w:t>systému</w:t>
            </w:r>
          </w:p>
        </w:tc>
        <w:tc>
          <w:tcPr>
            <w:tcW w:w="2462" w:type="dxa"/>
          </w:tcPr>
          <w:p w14:paraId="7AC1B279" w14:textId="77777777"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73E8B993" w14:textId="77777777" w:rsidR="0000767D" w:rsidRPr="00905199" w:rsidRDefault="003607C1">
            <w:pPr>
              <w:pStyle w:val="Default"/>
              <w:rPr>
                <w:sz w:val="22"/>
                <w:szCs w:val="22"/>
                <w:lang w:val="sk-SK"/>
              </w:rPr>
            </w:pPr>
            <w:r w:rsidRPr="00905199">
              <w:rPr>
                <w:sz w:val="22"/>
                <w:szCs w:val="22"/>
                <w:lang w:val="sk-SK"/>
              </w:rPr>
              <w:t>Veľmi zriedkavé</w:t>
            </w:r>
          </w:p>
        </w:tc>
        <w:tc>
          <w:tcPr>
            <w:tcW w:w="2838" w:type="dxa"/>
          </w:tcPr>
          <w:p w14:paraId="422432B7" w14:textId="77777777" w:rsidR="0000767D" w:rsidRPr="00905199" w:rsidRDefault="003607C1">
            <w:pPr>
              <w:pStyle w:val="Default"/>
              <w:rPr>
                <w:sz w:val="22"/>
                <w:szCs w:val="22"/>
                <w:lang w:val="sk-SK"/>
              </w:rPr>
            </w:pPr>
            <w:r w:rsidRPr="00905199">
              <w:rPr>
                <w:sz w:val="22"/>
                <w:szCs w:val="22"/>
                <w:lang w:val="sk-SK"/>
              </w:rPr>
              <w:t>Poruchy krvotvorby (anémia,</w:t>
            </w:r>
          </w:p>
          <w:p w14:paraId="01BA6921" w14:textId="77777777" w:rsidR="0000767D" w:rsidRPr="00905199" w:rsidRDefault="003607C1">
            <w:pPr>
              <w:pStyle w:val="Default"/>
              <w:rPr>
                <w:sz w:val="22"/>
                <w:szCs w:val="22"/>
                <w:lang w:val="sk-SK"/>
              </w:rPr>
            </w:pPr>
            <w:r w:rsidRPr="00905199">
              <w:rPr>
                <w:sz w:val="22"/>
                <w:szCs w:val="22"/>
                <w:lang w:val="sk-SK"/>
              </w:rPr>
              <w:t>leukopénia, trombocytopénia, pancytopénia, agranulocytóza)</w:t>
            </w:r>
          </w:p>
        </w:tc>
      </w:tr>
      <w:tr w:rsidR="0000767D" w:rsidRPr="00905199" w14:paraId="369FEEB3" w14:textId="77777777">
        <w:trPr>
          <w:trHeight w:val="1022"/>
        </w:trPr>
        <w:tc>
          <w:tcPr>
            <w:tcW w:w="2589" w:type="dxa"/>
          </w:tcPr>
          <w:p w14:paraId="62E991C1" w14:textId="77777777" w:rsidR="0000767D" w:rsidRPr="00905199" w:rsidRDefault="003607C1">
            <w:pPr>
              <w:pStyle w:val="Default"/>
              <w:rPr>
                <w:sz w:val="22"/>
                <w:szCs w:val="22"/>
                <w:lang w:val="sk-SK"/>
              </w:rPr>
            </w:pPr>
            <w:r w:rsidRPr="00905199">
              <w:rPr>
                <w:b/>
                <w:bCs/>
                <w:sz w:val="22"/>
                <w:szCs w:val="22"/>
                <w:lang w:val="sk-SK"/>
              </w:rPr>
              <w:t>Poruchy imunitného systému</w:t>
            </w:r>
          </w:p>
          <w:p w14:paraId="358980BD" w14:textId="77777777" w:rsidR="0000767D" w:rsidRPr="00905199" w:rsidRDefault="0000767D">
            <w:pPr>
              <w:pStyle w:val="Default"/>
              <w:rPr>
                <w:sz w:val="22"/>
                <w:szCs w:val="22"/>
                <w:lang w:val="sk-SK"/>
              </w:rPr>
            </w:pPr>
          </w:p>
          <w:p w14:paraId="771CB483" w14:textId="77777777" w:rsidR="0000767D" w:rsidRPr="00905199" w:rsidRDefault="0000767D">
            <w:pPr>
              <w:pStyle w:val="Default"/>
              <w:rPr>
                <w:sz w:val="22"/>
                <w:szCs w:val="22"/>
                <w:lang w:val="sk-SK"/>
              </w:rPr>
            </w:pPr>
          </w:p>
        </w:tc>
        <w:tc>
          <w:tcPr>
            <w:tcW w:w="2462" w:type="dxa"/>
          </w:tcPr>
          <w:p w14:paraId="23460E56" w14:textId="77777777"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51A0BFC0" w14:textId="77777777" w:rsidR="0000767D" w:rsidRPr="00905199" w:rsidRDefault="003607C1">
            <w:pPr>
              <w:pStyle w:val="Default"/>
              <w:rPr>
                <w:sz w:val="22"/>
                <w:szCs w:val="22"/>
                <w:lang w:val="sk-SK"/>
              </w:rPr>
            </w:pPr>
            <w:r w:rsidRPr="00905199">
              <w:rPr>
                <w:sz w:val="22"/>
                <w:szCs w:val="22"/>
                <w:lang w:val="sk-SK"/>
              </w:rPr>
              <w:t>Menej časté</w:t>
            </w:r>
          </w:p>
        </w:tc>
        <w:tc>
          <w:tcPr>
            <w:tcW w:w="2838" w:type="dxa"/>
          </w:tcPr>
          <w:p w14:paraId="1EE8FFAB" w14:textId="77777777" w:rsidR="0000767D" w:rsidRPr="00905199" w:rsidRDefault="003607C1">
            <w:pPr>
              <w:pStyle w:val="Default"/>
              <w:rPr>
                <w:sz w:val="22"/>
                <w:szCs w:val="22"/>
                <w:lang w:val="sk-SK"/>
              </w:rPr>
            </w:pPr>
            <w:r w:rsidRPr="00905199">
              <w:rPr>
                <w:sz w:val="22"/>
                <w:szCs w:val="22"/>
                <w:lang w:val="sk-SK"/>
              </w:rPr>
              <w:t xml:space="preserve">Reakcie precitlivenosti so žihľavkou, svrbením a </w:t>
            </w:r>
          </w:p>
          <w:p w14:paraId="6BA51192" w14:textId="77777777" w:rsidR="0000767D" w:rsidRPr="00905199" w:rsidRDefault="003607C1">
            <w:pPr>
              <w:pStyle w:val="Default"/>
              <w:rPr>
                <w:sz w:val="22"/>
                <w:szCs w:val="22"/>
                <w:lang w:val="sk-SK"/>
              </w:rPr>
            </w:pPr>
            <w:r w:rsidRPr="00905199">
              <w:rPr>
                <w:sz w:val="22"/>
                <w:szCs w:val="22"/>
                <w:lang w:val="sk-SK"/>
              </w:rPr>
              <w:t>astmatické záchvaty (s poklesom krvného tlaku)</w:t>
            </w:r>
          </w:p>
        </w:tc>
      </w:tr>
      <w:tr w:rsidR="0000767D" w:rsidRPr="00905199" w14:paraId="63385387" w14:textId="77777777">
        <w:trPr>
          <w:trHeight w:val="425"/>
        </w:trPr>
        <w:tc>
          <w:tcPr>
            <w:tcW w:w="2589" w:type="dxa"/>
          </w:tcPr>
          <w:p w14:paraId="309508CB" w14:textId="77777777" w:rsidR="0000767D" w:rsidRPr="00905199" w:rsidRDefault="0000767D">
            <w:pPr>
              <w:pStyle w:val="Default"/>
              <w:rPr>
                <w:sz w:val="22"/>
                <w:szCs w:val="22"/>
                <w:lang w:val="sk-SK"/>
              </w:rPr>
            </w:pPr>
          </w:p>
        </w:tc>
        <w:tc>
          <w:tcPr>
            <w:tcW w:w="2462" w:type="dxa"/>
          </w:tcPr>
          <w:p w14:paraId="607F1D53" w14:textId="37F1C144" w:rsidR="0000767D" w:rsidRPr="00905199" w:rsidRDefault="00221A8D" w:rsidP="00221A8D">
            <w:pPr>
              <w:pStyle w:val="Default"/>
              <w:rPr>
                <w:sz w:val="22"/>
                <w:szCs w:val="22"/>
                <w:lang w:val="sk-SK"/>
              </w:rPr>
            </w:pPr>
            <w:r w:rsidRPr="00905199">
              <w:rPr>
                <w:sz w:val="22"/>
                <w:szCs w:val="22"/>
                <w:lang w:val="sk-SK"/>
              </w:rPr>
              <w:t>Ibupro</w:t>
            </w:r>
            <w:r w:rsidRPr="00F93CCF">
              <w:rPr>
                <w:sz w:val="22"/>
                <w:szCs w:val="22"/>
                <w:lang w:val="sk-SK"/>
              </w:rPr>
              <w:t>f</w:t>
            </w:r>
            <w:r>
              <w:rPr>
                <w:sz w:val="22"/>
                <w:szCs w:val="22"/>
                <w:lang w:val="sk-SK"/>
              </w:rPr>
              <w:t>é</w:t>
            </w:r>
            <w:r w:rsidRPr="00F93CCF">
              <w:rPr>
                <w:sz w:val="22"/>
                <w:szCs w:val="22"/>
                <w:lang w:val="sk-SK"/>
              </w:rPr>
              <w:t>n</w:t>
            </w:r>
            <w:r w:rsidRPr="00905199">
              <w:rPr>
                <w:sz w:val="22"/>
                <w:szCs w:val="22"/>
                <w:lang w:val="sk-SK"/>
              </w:rPr>
              <w:t xml:space="preserve"> </w:t>
            </w:r>
            <w:r w:rsidR="003607C1" w:rsidRPr="00905199">
              <w:rPr>
                <w:sz w:val="22"/>
                <w:szCs w:val="22"/>
                <w:lang w:val="sk-SK"/>
              </w:rPr>
              <w:t xml:space="preserve">a </w:t>
            </w:r>
            <w:r w:rsidR="004F27D0">
              <w:rPr>
                <w:sz w:val="22"/>
                <w:szCs w:val="22"/>
                <w:lang w:val="sk-SK"/>
              </w:rPr>
              <w:t>pseudoefedrínium-</w:t>
            </w:r>
            <w:r w:rsidR="003607C1" w:rsidRPr="00905199">
              <w:rPr>
                <w:sz w:val="22"/>
                <w:szCs w:val="22"/>
                <w:lang w:val="sk-SK"/>
              </w:rPr>
              <w:t>chlorid</w:t>
            </w:r>
          </w:p>
        </w:tc>
        <w:tc>
          <w:tcPr>
            <w:tcW w:w="1750" w:type="dxa"/>
          </w:tcPr>
          <w:p w14:paraId="0794E13B" w14:textId="77777777" w:rsidR="0000767D" w:rsidRPr="00905199" w:rsidRDefault="003607C1">
            <w:pPr>
              <w:pStyle w:val="Default"/>
              <w:rPr>
                <w:sz w:val="22"/>
                <w:szCs w:val="22"/>
                <w:lang w:val="sk-SK"/>
              </w:rPr>
            </w:pPr>
            <w:r w:rsidRPr="00905199">
              <w:rPr>
                <w:sz w:val="22"/>
                <w:szCs w:val="22"/>
                <w:lang w:val="sk-SK"/>
              </w:rPr>
              <w:t>Veľmi zriedkavé</w:t>
            </w:r>
          </w:p>
        </w:tc>
        <w:tc>
          <w:tcPr>
            <w:tcW w:w="2838" w:type="dxa"/>
          </w:tcPr>
          <w:p w14:paraId="7591535F" w14:textId="77777777" w:rsidR="0000767D" w:rsidRPr="00905199" w:rsidRDefault="003607C1">
            <w:pPr>
              <w:pStyle w:val="Default"/>
              <w:rPr>
                <w:sz w:val="22"/>
                <w:szCs w:val="22"/>
                <w:lang w:val="sk-SK"/>
              </w:rPr>
            </w:pPr>
            <w:r w:rsidRPr="00905199">
              <w:rPr>
                <w:sz w:val="22"/>
                <w:szCs w:val="22"/>
                <w:lang w:val="sk-SK"/>
              </w:rPr>
              <w:t>Závažné generalizované reakcie precitlivenosti, pr</w:t>
            </w:r>
            <w:r w:rsidR="002D72FB" w:rsidRPr="00905199">
              <w:rPr>
                <w:sz w:val="22"/>
                <w:szCs w:val="22"/>
                <w:lang w:val="sk-SK"/>
              </w:rPr>
              <w:t>ejavy</w:t>
            </w:r>
            <w:r w:rsidRPr="00905199">
              <w:rPr>
                <w:sz w:val="22"/>
                <w:szCs w:val="22"/>
                <w:lang w:val="sk-SK"/>
              </w:rPr>
              <w:t xml:space="preserve"> môžu byť opuch tváre, angioedém, dyspnoe, tachykardia, pokles krvného tlaku, anafylaktický šok</w:t>
            </w:r>
          </w:p>
        </w:tc>
      </w:tr>
      <w:tr w:rsidR="0000767D" w:rsidRPr="00905199" w14:paraId="52F7854C" w14:textId="77777777">
        <w:trPr>
          <w:trHeight w:val="425"/>
        </w:trPr>
        <w:tc>
          <w:tcPr>
            <w:tcW w:w="2589" w:type="dxa"/>
            <w:vAlign w:val="center"/>
          </w:tcPr>
          <w:p w14:paraId="02E9512A" w14:textId="77777777" w:rsidR="0000767D" w:rsidRPr="00905199" w:rsidRDefault="003607C1">
            <w:pPr>
              <w:pStyle w:val="Default"/>
              <w:rPr>
                <w:sz w:val="22"/>
                <w:szCs w:val="22"/>
                <w:lang w:val="sk-SK"/>
              </w:rPr>
            </w:pPr>
            <w:r w:rsidRPr="00905199">
              <w:rPr>
                <w:b/>
                <w:bCs/>
                <w:sz w:val="22"/>
                <w:szCs w:val="22"/>
                <w:lang w:val="sk-SK"/>
              </w:rPr>
              <w:t>Psychické poruchy</w:t>
            </w:r>
          </w:p>
        </w:tc>
        <w:tc>
          <w:tcPr>
            <w:tcW w:w="2462" w:type="dxa"/>
          </w:tcPr>
          <w:p w14:paraId="4BDB7A0B" w14:textId="77777777"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3DE5E445" w14:textId="77777777" w:rsidR="0000767D" w:rsidRPr="00905199" w:rsidRDefault="003607C1">
            <w:pPr>
              <w:pStyle w:val="Default"/>
              <w:rPr>
                <w:sz w:val="22"/>
                <w:szCs w:val="22"/>
                <w:lang w:val="sk-SK"/>
              </w:rPr>
            </w:pPr>
            <w:r w:rsidRPr="00905199">
              <w:rPr>
                <w:sz w:val="22"/>
                <w:szCs w:val="22"/>
                <w:lang w:val="sk-SK"/>
              </w:rPr>
              <w:t>Veľmi zriedkavé</w:t>
            </w:r>
          </w:p>
        </w:tc>
        <w:tc>
          <w:tcPr>
            <w:tcW w:w="2838" w:type="dxa"/>
          </w:tcPr>
          <w:p w14:paraId="3773079B" w14:textId="77777777" w:rsidR="0000767D" w:rsidRPr="00905199" w:rsidRDefault="003607C1">
            <w:pPr>
              <w:pStyle w:val="Default"/>
              <w:rPr>
                <w:sz w:val="22"/>
                <w:szCs w:val="22"/>
                <w:lang w:val="sk-SK"/>
              </w:rPr>
            </w:pPr>
            <w:r w:rsidRPr="00905199">
              <w:rPr>
                <w:sz w:val="22"/>
                <w:szCs w:val="22"/>
                <w:lang w:val="sk-SK"/>
              </w:rPr>
              <w:t>Psychotické reakcie, depresia</w:t>
            </w:r>
          </w:p>
        </w:tc>
      </w:tr>
      <w:tr w:rsidR="0000767D" w:rsidRPr="00905199" w14:paraId="457E089D" w14:textId="77777777">
        <w:trPr>
          <w:trHeight w:val="425"/>
        </w:trPr>
        <w:tc>
          <w:tcPr>
            <w:tcW w:w="2589" w:type="dxa"/>
          </w:tcPr>
          <w:p w14:paraId="7CC19317" w14:textId="77777777" w:rsidR="0000767D" w:rsidRPr="00905199" w:rsidRDefault="0000767D">
            <w:pPr>
              <w:pStyle w:val="Default"/>
              <w:rPr>
                <w:sz w:val="22"/>
                <w:szCs w:val="22"/>
                <w:lang w:val="sk-SK"/>
              </w:rPr>
            </w:pPr>
          </w:p>
        </w:tc>
        <w:tc>
          <w:tcPr>
            <w:tcW w:w="2462" w:type="dxa"/>
          </w:tcPr>
          <w:p w14:paraId="2934DB6F" w14:textId="50901A5B" w:rsidR="0000767D" w:rsidRPr="00905199" w:rsidRDefault="004F27D0">
            <w:pPr>
              <w:pStyle w:val="Default"/>
              <w:rPr>
                <w:sz w:val="22"/>
                <w:szCs w:val="22"/>
                <w:lang w:val="sk-SK"/>
              </w:rPr>
            </w:pPr>
            <w:r>
              <w:rPr>
                <w:sz w:val="22"/>
                <w:szCs w:val="22"/>
                <w:lang w:val="sk-SK"/>
              </w:rPr>
              <w:t>Pseudoefedrínium-</w:t>
            </w:r>
            <w:r w:rsidR="003607C1" w:rsidRPr="00905199">
              <w:rPr>
                <w:sz w:val="22"/>
                <w:szCs w:val="22"/>
                <w:lang w:val="sk-SK"/>
              </w:rPr>
              <w:t>chlorid</w:t>
            </w:r>
          </w:p>
        </w:tc>
        <w:tc>
          <w:tcPr>
            <w:tcW w:w="1750" w:type="dxa"/>
          </w:tcPr>
          <w:p w14:paraId="6BD2F163" w14:textId="77777777" w:rsidR="0000767D" w:rsidRPr="00905199" w:rsidRDefault="003607C1">
            <w:pPr>
              <w:pStyle w:val="Default"/>
              <w:rPr>
                <w:sz w:val="22"/>
                <w:szCs w:val="22"/>
                <w:lang w:val="sk-SK"/>
              </w:rPr>
            </w:pPr>
            <w:r w:rsidRPr="00905199">
              <w:rPr>
                <w:sz w:val="22"/>
                <w:szCs w:val="22"/>
                <w:lang w:val="sk-SK"/>
              </w:rPr>
              <w:t>Neznáme</w:t>
            </w:r>
          </w:p>
        </w:tc>
        <w:tc>
          <w:tcPr>
            <w:tcW w:w="2838" w:type="dxa"/>
          </w:tcPr>
          <w:p w14:paraId="1683486C" w14:textId="77777777" w:rsidR="0000767D" w:rsidRPr="00905199" w:rsidRDefault="003607C1">
            <w:pPr>
              <w:pStyle w:val="Default"/>
              <w:rPr>
                <w:sz w:val="22"/>
                <w:szCs w:val="22"/>
                <w:lang w:val="sk-SK"/>
              </w:rPr>
            </w:pPr>
            <w:r w:rsidRPr="00905199">
              <w:rPr>
                <w:sz w:val="22"/>
                <w:szCs w:val="22"/>
                <w:lang w:val="sk-SK"/>
              </w:rPr>
              <w:t>Agitácia, halucinácie, úzkosť, abnormálne správanie, insomnia</w:t>
            </w:r>
          </w:p>
        </w:tc>
      </w:tr>
      <w:tr w:rsidR="0000767D" w:rsidRPr="00905199" w14:paraId="556E361E" w14:textId="77777777">
        <w:trPr>
          <w:trHeight w:val="425"/>
        </w:trPr>
        <w:tc>
          <w:tcPr>
            <w:tcW w:w="2589" w:type="dxa"/>
          </w:tcPr>
          <w:p w14:paraId="0F1D3D6A" w14:textId="77777777" w:rsidR="0000767D" w:rsidRPr="00905199" w:rsidRDefault="003607C1">
            <w:pPr>
              <w:pStyle w:val="Default"/>
              <w:rPr>
                <w:sz w:val="22"/>
                <w:szCs w:val="22"/>
                <w:lang w:val="sk-SK"/>
              </w:rPr>
            </w:pPr>
            <w:r w:rsidRPr="00905199">
              <w:rPr>
                <w:b/>
                <w:bCs/>
                <w:sz w:val="22"/>
                <w:szCs w:val="22"/>
                <w:lang w:val="sk-SK"/>
              </w:rPr>
              <w:t>Poruchy nervového systému</w:t>
            </w:r>
          </w:p>
        </w:tc>
        <w:tc>
          <w:tcPr>
            <w:tcW w:w="2462" w:type="dxa"/>
          </w:tcPr>
          <w:p w14:paraId="6FC9BED5" w14:textId="77777777"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29AADB7B" w14:textId="77777777" w:rsidR="0000767D" w:rsidRPr="00905199" w:rsidRDefault="003607C1">
            <w:pPr>
              <w:pStyle w:val="Default"/>
              <w:rPr>
                <w:sz w:val="22"/>
                <w:szCs w:val="22"/>
                <w:lang w:val="sk-SK"/>
              </w:rPr>
            </w:pPr>
            <w:r w:rsidRPr="00905199">
              <w:rPr>
                <w:sz w:val="22"/>
                <w:szCs w:val="22"/>
                <w:lang w:val="sk-SK"/>
              </w:rPr>
              <w:t>Menej časté</w:t>
            </w:r>
          </w:p>
        </w:tc>
        <w:tc>
          <w:tcPr>
            <w:tcW w:w="2838" w:type="dxa"/>
          </w:tcPr>
          <w:p w14:paraId="1AB2B8F4" w14:textId="77777777" w:rsidR="0000767D" w:rsidRPr="00905199" w:rsidRDefault="003607C1">
            <w:pPr>
              <w:pStyle w:val="Default"/>
              <w:rPr>
                <w:sz w:val="22"/>
                <w:szCs w:val="22"/>
                <w:lang w:val="sk-SK"/>
              </w:rPr>
            </w:pPr>
            <w:r w:rsidRPr="00905199">
              <w:rPr>
                <w:sz w:val="22"/>
                <w:szCs w:val="22"/>
                <w:lang w:val="sk-SK"/>
              </w:rPr>
              <w:t>Poruchy centrálneho nervového systému, ako je bolesť hlavy, závrat, nespavosť, agitácia, podráždenosť alebo únava</w:t>
            </w:r>
          </w:p>
        </w:tc>
      </w:tr>
      <w:tr w:rsidR="0000767D" w:rsidRPr="00905199" w14:paraId="301A9C7C" w14:textId="77777777">
        <w:trPr>
          <w:trHeight w:val="425"/>
        </w:trPr>
        <w:tc>
          <w:tcPr>
            <w:tcW w:w="2589" w:type="dxa"/>
          </w:tcPr>
          <w:p w14:paraId="001EEFB3" w14:textId="77777777" w:rsidR="0000767D" w:rsidRPr="00905199" w:rsidRDefault="0000767D">
            <w:pPr>
              <w:pStyle w:val="Default"/>
              <w:rPr>
                <w:b/>
                <w:bCs/>
                <w:sz w:val="22"/>
                <w:szCs w:val="22"/>
                <w:lang w:val="sk-SK"/>
              </w:rPr>
            </w:pPr>
          </w:p>
        </w:tc>
        <w:tc>
          <w:tcPr>
            <w:tcW w:w="2462" w:type="dxa"/>
          </w:tcPr>
          <w:p w14:paraId="3DDE4E7D" w14:textId="434FE7EE" w:rsidR="0000767D" w:rsidRPr="00905199" w:rsidRDefault="004F27D0">
            <w:pPr>
              <w:pStyle w:val="Default"/>
              <w:rPr>
                <w:sz w:val="22"/>
                <w:szCs w:val="22"/>
                <w:lang w:val="sk-SK"/>
              </w:rPr>
            </w:pPr>
            <w:r>
              <w:rPr>
                <w:sz w:val="22"/>
                <w:szCs w:val="22"/>
                <w:lang w:val="sk-SK"/>
              </w:rPr>
              <w:t>Pseudoefedrínium-</w:t>
            </w:r>
            <w:r w:rsidR="003607C1" w:rsidRPr="00905199">
              <w:rPr>
                <w:sz w:val="22"/>
                <w:szCs w:val="22"/>
                <w:lang w:val="sk-SK"/>
              </w:rPr>
              <w:t>chlorid</w:t>
            </w:r>
          </w:p>
        </w:tc>
        <w:tc>
          <w:tcPr>
            <w:tcW w:w="1750" w:type="dxa"/>
          </w:tcPr>
          <w:p w14:paraId="1475EE8D" w14:textId="77777777"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14:paraId="0B4D509F" w14:textId="77777777" w:rsidR="0000767D" w:rsidRPr="00905199" w:rsidRDefault="003607C1">
            <w:pPr>
              <w:pStyle w:val="Default"/>
              <w:rPr>
                <w:sz w:val="22"/>
                <w:szCs w:val="22"/>
                <w:lang w:val="sk-SK"/>
              </w:rPr>
            </w:pPr>
            <w:r w:rsidRPr="00905199">
              <w:rPr>
                <w:sz w:val="22"/>
                <w:szCs w:val="22"/>
                <w:lang w:val="sk-SK"/>
              </w:rPr>
              <w:t>Insomnia, nervozita, úzkosť, nepokoj, tras, halucinácie</w:t>
            </w:r>
          </w:p>
        </w:tc>
      </w:tr>
      <w:tr w:rsidR="0000767D" w:rsidRPr="00905199" w14:paraId="017CCFC0" w14:textId="77777777">
        <w:trPr>
          <w:trHeight w:val="425"/>
        </w:trPr>
        <w:tc>
          <w:tcPr>
            <w:tcW w:w="2589" w:type="dxa"/>
          </w:tcPr>
          <w:p w14:paraId="07F207C8" w14:textId="77777777" w:rsidR="0000767D" w:rsidRPr="00905199" w:rsidRDefault="0000767D">
            <w:pPr>
              <w:pStyle w:val="Default"/>
              <w:rPr>
                <w:sz w:val="22"/>
                <w:szCs w:val="22"/>
                <w:lang w:val="sk-SK"/>
              </w:rPr>
            </w:pPr>
          </w:p>
        </w:tc>
        <w:tc>
          <w:tcPr>
            <w:tcW w:w="2462" w:type="dxa"/>
          </w:tcPr>
          <w:p w14:paraId="6B21491D" w14:textId="6B816B40" w:rsidR="0000767D" w:rsidRPr="00905199" w:rsidRDefault="004F27D0">
            <w:pPr>
              <w:pStyle w:val="Default"/>
              <w:rPr>
                <w:sz w:val="22"/>
                <w:szCs w:val="22"/>
                <w:lang w:val="sk-SK"/>
              </w:rPr>
            </w:pPr>
            <w:r>
              <w:rPr>
                <w:sz w:val="22"/>
                <w:szCs w:val="22"/>
                <w:lang w:val="sk-SK"/>
              </w:rPr>
              <w:t>Pseudoefedrínium-</w:t>
            </w:r>
            <w:r w:rsidR="003607C1" w:rsidRPr="00905199">
              <w:rPr>
                <w:sz w:val="22"/>
                <w:szCs w:val="22"/>
                <w:lang w:val="sk-SK"/>
              </w:rPr>
              <w:t>chlorid</w:t>
            </w:r>
          </w:p>
        </w:tc>
        <w:tc>
          <w:tcPr>
            <w:tcW w:w="1750" w:type="dxa"/>
          </w:tcPr>
          <w:p w14:paraId="76FEC5FB" w14:textId="77777777" w:rsidR="0000767D" w:rsidRPr="00905199" w:rsidRDefault="003607C1">
            <w:pPr>
              <w:pStyle w:val="Default"/>
              <w:rPr>
                <w:sz w:val="22"/>
                <w:szCs w:val="22"/>
                <w:lang w:val="sk-SK"/>
              </w:rPr>
            </w:pPr>
            <w:r w:rsidRPr="00905199">
              <w:rPr>
                <w:sz w:val="22"/>
                <w:szCs w:val="22"/>
                <w:lang w:val="sk-SK"/>
              </w:rPr>
              <w:t>Neznáme</w:t>
            </w:r>
          </w:p>
        </w:tc>
        <w:tc>
          <w:tcPr>
            <w:tcW w:w="2838" w:type="dxa"/>
          </w:tcPr>
          <w:p w14:paraId="26FE367B" w14:textId="77777777" w:rsidR="0000767D" w:rsidRPr="00905199" w:rsidRDefault="003607C1">
            <w:pPr>
              <w:pStyle w:val="Default"/>
              <w:rPr>
                <w:sz w:val="22"/>
                <w:szCs w:val="22"/>
                <w:lang w:val="sk-SK"/>
              </w:rPr>
            </w:pPr>
            <w:r w:rsidRPr="00905199">
              <w:rPr>
                <w:sz w:val="22"/>
                <w:szCs w:val="22"/>
                <w:lang w:val="sk-SK"/>
              </w:rPr>
              <w:t>Hemoragická mozgová príhoda, ischemická mozgová príhoda, kŕče, bolesť hlavy</w:t>
            </w:r>
          </w:p>
        </w:tc>
      </w:tr>
      <w:tr w:rsidR="007861B6" w:rsidRPr="00905199" w14:paraId="522361C8" w14:textId="77777777" w:rsidTr="00050DCE">
        <w:trPr>
          <w:trHeight w:val="425"/>
        </w:trPr>
        <w:tc>
          <w:tcPr>
            <w:tcW w:w="2589" w:type="dxa"/>
            <w:vMerge w:val="restart"/>
            <w:vAlign w:val="center"/>
          </w:tcPr>
          <w:p w14:paraId="2C3A9BAB" w14:textId="77777777" w:rsidR="007861B6" w:rsidRPr="00905199" w:rsidRDefault="007861B6">
            <w:pPr>
              <w:pStyle w:val="Default"/>
              <w:rPr>
                <w:sz w:val="22"/>
                <w:szCs w:val="22"/>
                <w:lang w:val="sk-SK"/>
              </w:rPr>
            </w:pPr>
            <w:r w:rsidRPr="00905199">
              <w:rPr>
                <w:b/>
                <w:bCs/>
                <w:sz w:val="22"/>
                <w:szCs w:val="22"/>
                <w:lang w:val="sk-SK"/>
              </w:rPr>
              <w:t>Poruchy oka</w:t>
            </w:r>
          </w:p>
        </w:tc>
        <w:tc>
          <w:tcPr>
            <w:tcW w:w="2462" w:type="dxa"/>
            <w:vAlign w:val="center"/>
          </w:tcPr>
          <w:p w14:paraId="5F72BB53" w14:textId="77777777" w:rsidR="007861B6" w:rsidRPr="00905199" w:rsidRDefault="007861B6">
            <w:pPr>
              <w:pStyle w:val="Default"/>
              <w:rPr>
                <w:sz w:val="22"/>
                <w:szCs w:val="22"/>
                <w:lang w:val="sk-SK"/>
              </w:rPr>
            </w:pPr>
            <w:r w:rsidRPr="00F93CCF">
              <w:rPr>
                <w:sz w:val="22"/>
                <w:szCs w:val="22"/>
                <w:lang w:val="sk-SK"/>
              </w:rPr>
              <w:t>Ibupro</w:t>
            </w:r>
            <w:r w:rsidRPr="00905199">
              <w:rPr>
                <w:sz w:val="22"/>
                <w:szCs w:val="22"/>
                <w:lang w:val="sk-SK"/>
              </w:rPr>
              <w:t>f</w:t>
            </w:r>
            <w:r>
              <w:rPr>
                <w:sz w:val="22"/>
                <w:szCs w:val="22"/>
                <w:lang w:val="sk-SK"/>
              </w:rPr>
              <w:t>é</w:t>
            </w:r>
            <w:r w:rsidRPr="00905199">
              <w:rPr>
                <w:sz w:val="22"/>
                <w:szCs w:val="22"/>
                <w:lang w:val="sk-SK"/>
              </w:rPr>
              <w:t>n</w:t>
            </w:r>
          </w:p>
        </w:tc>
        <w:tc>
          <w:tcPr>
            <w:tcW w:w="1750" w:type="dxa"/>
          </w:tcPr>
          <w:p w14:paraId="4F893A14" w14:textId="77777777" w:rsidR="007861B6" w:rsidRPr="00905199" w:rsidRDefault="007861B6">
            <w:pPr>
              <w:pStyle w:val="Default"/>
              <w:rPr>
                <w:sz w:val="22"/>
                <w:szCs w:val="22"/>
                <w:lang w:val="sk-SK"/>
              </w:rPr>
            </w:pPr>
            <w:r w:rsidRPr="00905199">
              <w:rPr>
                <w:sz w:val="22"/>
                <w:szCs w:val="22"/>
                <w:lang w:val="sk-SK"/>
              </w:rPr>
              <w:t>Menej časté</w:t>
            </w:r>
          </w:p>
        </w:tc>
        <w:tc>
          <w:tcPr>
            <w:tcW w:w="2838" w:type="dxa"/>
          </w:tcPr>
          <w:p w14:paraId="5E85E808" w14:textId="77777777" w:rsidR="007861B6" w:rsidRPr="00905199" w:rsidRDefault="007861B6">
            <w:pPr>
              <w:pStyle w:val="Default"/>
              <w:rPr>
                <w:sz w:val="22"/>
                <w:szCs w:val="22"/>
                <w:lang w:val="sk-SK"/>
              </w:rPr>
            </w:pPr>
            <w:r w:rsidRPr="00905199">
              <w:rPr>
                <w:sz w:val="22"/>
                <w:szCs w:val="22"/>
                <w:lang w:val="sk-SK"/>
              </w:rPr>
              <w:t>Poruchy zraku</w:t>
            </w:r>
          </w:p>
        </w:tc>
      </w:tr>
      <w:tr w:rsidR="007861B6" w:rsidRPr="00905199" w14:paraId="28A1278D" w14:textId="77777777">
        <w:trPr>
          <w:trHeight w:val="425"/>
        </w:trPr>
        <w:tc>
          <w:tcPr>
            <w:tcW w:w="2589" w:type="dxa"/>
            <w:vMerge/>
            <w:vAlign w:val="center"/>
          </w:tcPr>
          <w:p w14:paraId="326B1E8F" w14:textId="77777777" w:rsidR="007861B6" w:rsidRPr="00905199" w:rsidRDefault="007861B6" w:rsidP="00400A4D">
            <w:pPr>
              <w:pStyle w:val="Default"/>
              <w:rPr>
                <w:b/>
                <w:bCs/>
                <w:sz w:val="22"/>
                <w:szCs w:val="22"/>
                <w:lang w:val="sk-SK"/>
              </w:rPr>
            </w:pPr>
          </w:p>
        </w:tc>
        <w:tc>
          <w:tcPr>
            <w:tcW w:w="2462" w:type="dxa"/>
          </w:tcPr>
          <w:p w14:paraId="528012D0" w14:textId="5EFC75A0" w:rsidR="007861B6" w:rsidRPr="00F93CCF" w:rsidRDefault="004F27D0" w:rsidP="00400A4D">
            <w:pPr>
              <w:pStyle w:val="Default"/>
              <w:rPr>
                <w:sz w:val="22"/>
                <w:szCs w:val="22"/>
                <w:lang w:val="sk-SK"/>
              </w:rPr>
            </w:pPr>
            <w:r>
              <w:rPr>
                <w:sz w:val="22"/>
                <w:szCs w:val="22"/>
                <w:lang w:val="sk-SK"/>
              </w:rPr>
              <w:t>Pseudoefedrínium-</w:t>
            </w:r>
            <w:r w:rsidR="007861B6" w:rsidRPr="00905199">
              <w:rPr>
                <w:sz w:val="22"/>
                <w:szCs w:val="22"/>
                <w:lang w:val="sk-SK"/>
              </w:rPr>
              <w:t>chlorid</w:t>
            </w:r>
          </w:p>
        </w:tc>
        <w:tc>
          <w:tcPr>
            <w:tcW w:w="1750" w:type="dxa"/>
          </w:tcPr>
          <w:p w14:paraId="165E9E9D" w14:textId="77777777" w:rsidR="007861B6" w:rsidRPr="00905199" w:rsidRDefault="007861B6" w:rsidP="00400A4D">
            <w:pPr>
              <w:pStyle w:val="Default"/>
              <w:rPr>
                <w:sz w:val="22"/>
                <w:szCs w:val="22"/>
                <w:lang w:val="sk-SK"/>
              </w:rPr>
            </w:pPr>
            <w:r>
              <w:rPr>
                <w:sz w:val="22"/>
                <w:szCs w:val="22"/>
                <w:lang w:val="sk-SK"/>
              </w:rPr>
              <w:t>Neznáme</w:t>
            </w:r>
          </w:p>
        </w:tc>
        <w:tc>
          <w:tcPr>
            <w:tcW w:w="2838" w:type="dxa"/>
          </w:tcPr>
          <w:p w14:paraId="46F7B9D6" w14:textId="77777777" w:rsidR="007861B6" w:rsidRPr="00400A4D" w:rsidRDefault="007861B6" w:rsidP="00400A4D">
            <w:pPr>
              <w:pStyle w:val="Default"/>
              <w:rPr>
                <w:sz w:val="22"/>
                <w:szCs w:val="22"/>
                <w:lang w:val="sk-SK"/>
              </w:rPr>
            </w:pPr>
            <w:r w:rsidRPr="000E5DE4">
              <w:rPr>
                <w:sz w:val="22"/>
                <w:szCs w:val="22"/>
                <w:lang w:val="sk-SK"/>
              </w:rPr>
              <w:t>Ischemická očná neuropatia</w:t>
            </w:r>
          </w:p>
        </w:tc>
      </w:tr>
      <w:tr w:rsidR="00400A4D" w:rsidRPr="00905199" w14:paraId="15E3B91E" w14:textId="77777777">
        <w:trPr>
          <w:trHeight w:val="425"/>
        </w:trPr>
        <w:tc>
          <w:tcPr>
            <w:tcW w:w="2589" w:type="dxa"/>
            <w:vAlign w:val="center"/>
          </w:tcPr>
          <w:p w14:paraId="497719C6" w14:textId="77777777" w:rsidR="00400A4D" w:rsidRPr="00905199" w:rsidRDefault="00400A4D" w:rsidP="00400A4D">
            <w:pPr>
              <w:pStyle w:val="Default"/>
              <w:rPr>
                <w:sz w:val="22"/>
                <w:szCs w:val="22"/>
                <w:lang w:val="sk-SK"/>
              </w:rPr>
            </w:pPr>
            <w:r w:rsidRPr="00905199">
              <w:rPr>
                <w:b/>
                <w:bCs/>
                <w:sz w:val="22"/>
                <w:szCs w:val="22"/>
                <w:lang w:val="sk-SK"/>
              </w:rPr>
              <w:t>Poruchy ucha a labyrintu</w:t>
            </w:r>
          </w:p>
        </w:tc>
        <w:tc>
          <w:tcPr>
            <w:tcW w:w="2462" w:type="dxa"/>
          </w:tcPr>
          <w:p w14:paraId="79249AB1"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0C4F695F" w14:textId="77777777" w:rsidR="00400A4D" w:rsidRPr="00905199" w:rsidRDefault="00400A4D" w:rsidP="00400A4D">
            <w:pPr>
              <w:pStyle w:val="Default"/>
              <w:rPr>
                <w:sz w:val="22"/>
                <w:szCs w:val="22"/>
                <w:lang w:val="sk-SK"/>
              </w:rPr>
            </w:pPr>
            <w:r w:rsidRPr="00905199">
              <w:rPr>
                <w:sz w:val="22"/>
                <w:szCs w:val="22"/>
                <w:lang w:val="sk-SK"/>
              </w:rPr>
              <w:t>Zriedkavé</w:t>
            </w:r>
          </w:p>
        </w:tc>
        <w:tc>
          <w:tcPr>
            <w:tcW w:w="2838" w:type="dxa"/>
          </w:tcPr>
          <w:p w14:paraId="5D8A18BB" w14:textId="77777777" w:rsidR="00400A4D" w:rsidRPr="00905199" w:rsidRDefault="00400A4D" w:rsidP="00400A4D">
            <w:pPr>
              <w:pStyle w:val="Default"/>
              <w:rPr>
                <w:sz w:val="22"/>
                <w:szCs w:val="22"/>
                <w:lang w:val="sk-SK"/>
              </w:rPr>
            </w:pPr>
            <w:r w:rsidRPr="00905199">
              <w:rPr>
                <w:sz w:val="22"/>
                <w:szCs w:val="22"/>
                <w:lang w:val="sk-SK"/>
              </w:rPr>
              <w:t>Tinnitus</w:t>
            </w:r>
          </w:p>
        </w:tc>
      </w:tr>
      <w:tr w:rsidR="00400A4D" w:rsidRPr="00905199" w14:paraId="0CDB2CAE" w14:textId="77777777">
        <w:trPr>
          <w:trHeight w:val="425"/>
        </w:trPr>
        <w:tc>
          <w:tcPr>
            <w:tcW w:w="2589" w:type="dxa"/>
          </w:tcPr>
          <w:p w14:paraId="5C417F0D" w14:textId="77777777" w:rsidR="00400A4D" w:rsidRPr="00905199" w:rsidRDefault="00400A4D" w:rsidP="00400A4D">
            <w:pPr>
              <w:pStyle w:val="Default"/>
              <w:rPr>
                <w:sz w:val="22"/>
                <w:szCs w:val="22"/>
                <w:lang w:val="sk-SK"/>
              </w:rPr>
            </w:pPr>
            <w:r w:rsidRPr="00905199">
              <w:rPr>
                <w:b/>
                <w:bCs/>
                <w:sz w:val="22"/>
                <w:szCs w:val="22"/>
                <w:lang w:val="sk-SK"/>
              </w:rPr>
              <w:t>Poruchy srdca a srdcovej činnosti</w:t>
            </w:r>
          </w:p>
        </w:tc>
        <w:tc>
          <w:tcPr>
            <w:tcW w:w="2462" w:type="dxa"/>
          </w:tcPr>
          <w:p w14:paraId="57B3F6AE"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2E0B4CB3"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028A408E" w14:textId="77777777" w:rsidR="00400A4D" w:rsidRPr="00905199" w:rsidRDefault="00400A4D" w:rsidP="00400A4D">
            <w:pPr>
              <w:pStyle w:val="Default"/>
              <w:rPr>
                <w:sz w:val="22"/>
                <w:szCs w:val="22"/>
                <w:lang w:val="sk-SK"/>
              </w:rPr>
            </w:pPr>
            <w:r w:rsidRPr="00905199">
              <w:rPr>
                <w:sz w:val="22"/>
                <w:szCs w:val="22"/>
                <w:lang w:val="sk-SK"/>
              </w:rPr>
              <w:t>Palpitácie, srdcové zlyhanie, infarkt myokardu</w:t>
            </w:r>
          </w:p>
        </w:tc>
      </w:tr>
      <w:tr w:rsidR="00400A4D" w:rsidRPr="00905199" w14:paraId="26A2512B" w14:textId="77777777">
        <w:trPr>
          <w:trHeight w:val="425"/>
        </w:trPr>
        <w:tc>
          <w:tcPr>
            <w:tcW w:w="2589" w:type="dxa"/>
          </w:tcPr>
          <w:p w14:paraId="4F4DBF51" w14:textId="77777777" w:rsidR="00400A4D" w:rsidRPr="00905199" w:rsidRDefault="00400A4D" w:rsidP="00400A4D">
            <w:pPr>
              <w:pStyle w:val="Default"/>
              <w:rPr>
                <w:sz w:val="22"/>
                <w:szCs w:val="22"/>
                <w:lang w:val="sk-SK"/>
              </w:rPr>
            </w:pPr>
          </w:p>
        </w:tc>
        <w:tc>
          <w:tcPr>
            <w:tcW w:w="2462" w:type="dxa"/>
          </w:tcPr>
          <w:p w14:paraId="74B1686B" w14:textId="1639733D"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54FFD844" w14:textId="77777777"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14:paraId="76188B3B" w14:textId="77777777" w:rsidR="00400A4D" w:rsidRPr="00905199" w:rsidRDefault="00400A4D" w:rsidP="00400A4D">
            <w:pPr>
              <w:pStyle w:val="Default"/>
              <w:rPr>
                <w:sz w:val="22"/>
                <w:szCs w:val="22"/>
                <w:lang w:val="sk-SK"/>
              </w:rPr>
            </w:pPr>
            <w:r w:rsidRPr="00905199">
              <w:rPr>
                <w:sz w:val="22"/>
                <w:szCs w:val="22"/>
                <w:lang w:val="sk-SK"/>
              </w:rPr>
              <w:t>Palpitácie, tachykardia, bolesť na hrudi, arytmia</w:t>
            </w:r>
          </w:p>
        </w:tc>
      </w:tr>
      <w:tr w:rsidR="00400A4D" w:rsidRPr="00905199" w14:paraId="0728787B" w14:textId="77777777">
        <w:trPr>
          <w:trHeight w:val="425"/>
        </w:trPr>
        <w:tc>
          <w:tcPr>
            <w:tcW w:w="2589" w:type="dxa"/>
            <w:vAlign w:val="center"/>
          </w:tcPr>
          <w:p w14:paraId="3C10A67A" w14:textId="77777777" w:rsidR="00400A4D" w:rsidRPr="00F93CCF" w:rsidRDefault="00400A4D" w:rsidP="00400A4D">
            <w:pPr>
              <w:pStyle w:val="Default"/>
              <w:rPr>
                <w:sz w:val="22"/>
                <w:szCs w:val="22"/>
                <w:lang w:val="sk-SK"/>
              </w:rPr>
            </w:pPr>
            <w:r w:rsidRPr="00905199">
              <w:rPr>
                <w:b/>
                <w:bCs/>
                <w:sz w:val="22"/>
                <w:szCs w:val="22"/>
                <w:lang w:val="sk-SK"/>
              </w:rPr>
              <w:t>Poruchy ciev</w:t>
            </w:r>
          </w:p>
        </w:tc>
        <w:tc>
          <w:tcPr>
            <w:tcW w:w="2462" w:type="dxa"/>
          </w:tcPr>
          <w:p w14:paraId="65CF7793"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632B39C3"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0C53D53F" w14:textId="77777777" w:rsidR="00400A4D" w:rsidRPr="00905199" w:rsidRDefault="00400A4D" w:rsidP="00400A4D">
            <w:pPr>
              <w:pStyle w:val="Default"/>
              <w:rPr>
                <w:sz w:val="22"/>
                <w:szCs w:val="22"/>
                <w:lang w:val="sk-SK"/>
              </w:rPr>
            </w:pPr>
            <w:r w:rsidRPr="00905199">
              <w:rPr>
                <w:sz w:val="22"/>
                <w:szCs w:val="22"/>
                <w:lang w:val="sk-SK"/>
              </w:rPr>
              <w:t>Arteriálna hypertenzia</w:t>
            </w:r>
          </w:p>
        </w:tc>
      </w:tr>
      <w:tr w:rsidR="00400A4D" w:rsidRPr="00905199" w14:paraId="5D50C431" w14:textId="77777777">
        <w:trPr>
          <w:trHeight w:val="425"/>
        </w:trPr>
        <w:tc>
          <w:tcPr>
            <w:tcW w:w="2589" w:type="dxa"/>
          </w:tcPr>
          <w:p w14:paraId="36A2A8B4" w14:textId="77777777" w:rsidR="00400A4D" w:rsidRPr="00905199" w:rsidRDefault="00400A4D" w:rsidP="00400A4D">
            <w:pPr>
              <w:pStyle w:val="Default"/>
              <w:rPr>
                <w:sz w:val="22"/>
                <w:szCs w:val="22"/>
                <w:lang w:val="sk-SK"/>
              </w:rPr>
            </w:pPr>
          </w:p>
        </w:tc>
        <w:tc>
          <w:tcPr>
            <w:tcW w:w="2462" w:type="dxa"/>
          </w:tcPr>
          <w:p w14:paraId="192EC6B4" w14:textId="3506A528"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32899B8B" w14:textId="77777777"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14:paraId="6420E728" w14:textId="77777777" w:rsidR="00400A4D" w:rsidRPr="00905199" w:rsidRDefault="00400A4D" w:rsidP="00400A4D">
            <w:pPr>
              <w:pStyle w:val="Default"/>
              <w:rPr>
                <w:sz w:val="22"/>
                <w:szCs w:val="22"/>
                <w:lang w:val="sk-SK"/>
              </w:rPr>
            </w:pPr>
            <w:r w:rsidRPr="00905199">
              <w:rPr>
                <w:sz w:val="22"/>
                <w:szCs w:val="22"/>
                <w:lang w:val="sk-SK"/>
              </w:rPr>
              <w:t>Hypertenzia</w:t>
            </w:r>
          </w:p>
        </w:tc>
      </w:tr>
      <w:tr w:rsidR="00400A4D" w:rsidRPr="00905199" w14:paraId="169177ED" w14:textId="77777777">
        <w:trPr>
          <w:trHeight w:val="425"/>
        </w:trPr>
        <w:tc>
          <w:tcPr>
            <w:tcW w:w="2589" w:type="dxa"/>
          </w:tcPr>
          <w:p w14:paraId="7E8383C2" w14:textId="77777777" w:rsidR="00400A4D" w:rsidRPr="00905199" w:rsidRDefault="00400A4D" w:rsidP="00400A4D">
            <w:pPr>
              <w:pStyle w:val="Default"/>
              <w:rPr>
                <w:b/>
                <w:sz w:val="22"/>
                <w:szCs w:val="22"/>
                <w:lang w:val="sk-SK"/>
              </w:rPr>
            </w:pPr>
            <w:r w:rsidRPr="00905199">
              <w:rPr>
                <w:b/>
                <w:sz w:val="22"/>
                <w:szCs w:val="22"/>
                <w:lang w:val="sk-SK"/>
              </w:rPr>
              <w:t>Poruchy dýchacej sústavy, hrudníka a mediastína</w:t>
            </w:r>
          </w:p>
        </w:tc>
        <w:tc>
          <w:tcPr>
            <w:tcW w:w="2462" w:type="dxa"/>
          </w:tcPr>
          <w:p w14:paraId="1662A244" w14:textId="5AFAB9A2"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60F7B6AF" w14:textId="77777777" w:rsidR="00400A4D" w:rsidRPr="00905199" w:rsidRDefault="00400A4D" w:rsidP="00400A4D">
            <w:pPr>
              <w:pStyle w:val="Default"/>
              <w:rPr>
                <w:sz w:val="22"/>
                <w:szCs w:val="22"/>
                <w:lang w:val="sk-SK"/>
              </w:rPr>
            </w:pPr>
            <w:r w:rsidRPr="00905199">
              <w:rPr>
                <w:sz w:val="22"/>
                <w:szCs w:val="22"/>
                <w:lang w:val="sk-SK"/>
              </w:rPr>
              <w:t xml:space="preserve">Zriedkavé </w:t>
            </w:r>
          </w:p>
        </w:tc>
        <w:tc>
          <w:tcPr>
            <w:tcW w:w="2838" w:type="dxa"/>
          </w:tcPr>
          <w:p w14:paraId="1A284951" w14:textId="77777777" w:rsidR="00400A4D" w:rsidRPr="00905199" w:rsidRDefault="00400A4D" w:rsidP="00400A4D">
            <w:pPr>
              <w:pStyle w:val="Default"/>
              <w:rPr>
                <w:sz w:val="22"/>
                <w:szCs w:val="22"/>
                <w:lang w:val="sk-SK"/>
              </w:rPr>
            </w:pPr>
            <w:r w:rsidRPr="00905199">
              <w:rPr>
                <w:sz w:val="22"/>
                <w:szCs w:val="22"/>
                <w:lang w:val="sk-SK"/>
              </w:rPr>
              <w:t>Exacerbácia astmy alebo reakcie precitlivenosti s bronchospazmom</w:t>
            </w:r>
          </w:p>
        </w:tc>
      </w:tr>
      <w:tr w:rsidR="00400A4D" w:rsidRPr="00905199" w14:paraId="1E046B93" w14:textId="77777777">
        <w:trPr>
          <w:trHeight w:val="425"/>
        </w:trPr>
        <w:tc>
          <w:tcPr>
            <w:tcW w:w="2589" w:type="dxa"/>
          </w:tcPr>
          <w:p w14:paraId="65B28E38" w14:textId="77777777" w:rsidR="00400A4D" w:rsidRPr="00905199" w:rsidRDefault="00400A4D" w:rsidP="00400A4D">
            <w:pPr>
              <w:pStyle w:val="Default"/>
              <w:rPr>
                <w:sz w:val="22"/>
                <w:szCs w:val="22"/>
                <w:lang w:val="sk-SK"/>
              </w:rPr>
            </w:pPr>
          </w:p>
          <w:p w14:paraId="0E06F35B" w14:textId="77777777" w:rsidR="00400A4D" w:rsidRPr="00905199" w:rsidRDefault="00400A4D" w:rsidP="00400A4D">
            <w:pPr>
              <w:pStyle w:val="Default"/>
              <w:rPr>
                <w:sz w:val="22"/>
                <w:szCs w:val="22"/>
                <w:lang w:val="sk-SK"/>
              </w:rPr>
            </w:pPr>
            <w:r w:rsidRPr="00905199">
              <w:rPr>
                <w:b/>
                <w:bCs/>
                <w:sz w:val="22"/>
                <w:szCs w:val="22"/>
                <w:lang w:val="sk-SK"/>
              </w:rPr>
              <w:t>Poruchy gastrointestinálneho traktu</w:t>
            </w:r>
          </w:p>
        </w:tc>
        <w:tc>
          <w:tcPr>
            <w:tcW w:w="2462" w:type="dxa"/>
          </w:tcPr>
          <w:p w14:paraId="3BB2AAF2"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5054EB4B" w14:textId="77777777" w:rsidR="00400A4D" w:rsidRPr="00905199" w:rsidRDefault="00400A4D" w:rsidP="00400A4D">
            <w:pPr>
              <w:pStyle w:val="Default"/>
              <w:rPr>
                <w:sz w:val="22"/>
                <w:szCs w:val="22"/>
                <w:lang w:val="sk-SK"/>
              </w:rPr>
            </w:pPr>
            <w:r w:rsidRPr="00905199">
              <w:rPr>
                <w:sz w:val="22"/>
                <w:szCs w:val="22"/>
                <w:lang w:val="sk-SK"/>
              </w:rPr>
              <w:t>Časté</w:t>
            </w:r>
          </w:p>
        </w:tc>
        <w:tc>
          <w:tcPr>
            <w:tcW w:w="2838" w:type="dxa"/>
          </w:tcPr>
          <w:p w14:paraId="64D36CDE" w14:textId="77777777" w:rsidR="00400A4D" w:rsidRPr="00905199" w:rsidRDefault="00400A4D" w:rsidP="00400A4D">
            <w:pPr>
              <w:pStyle w:val="Default"/>
              <w:rPr>
                <w:sz w:val="22"/>
                <w:szCs w:val="22"/>
                <w:lang w:val="sk-SK"/>
              </w:rPr>
            </w:pPr>
            <w:r w:rsidRPr="00905199">
              <w:rPr>
                <w:sz w:val="22"/>
                <w:szCs w:val="22"/>
                <w:lang w:val="sk-SK"/>
              </w:rPr>
              <w:t>gastrointestinálny diskomfort, dyspepsia, abdominálna bolesť, nauzea, vracanie, flatulencia, hnačka, zápcha, slabé krvácanie do gastrointestinálneho traktu, ktoré môže v zriedkavých prípadoch spôsobiť anémiu</w:t>
            </w:r>
          </w:p>
        </w:tc>
      </w:tr>
      <w:tr w:rsidR="00400A4D" w:rsidRPr="00905199" w14:paraId="12E11D66" w14:textId="77777777">
        <w:trPr>
          <w:trHeight w:val="425"/>
        </w:trPr>
        <w:tc>
          <w:tcPr>
            <w:tcW w:w="2589" w:type="dxa"/>
          </w:tcPr>
          <w:p w14:paraId="2A9FA199" w14:textId="77777777" w:rsidR="00400A4D" w:rsidRPr="00905199" w:rsidRDefault="00400A4D" w:rsidP="00400A4D">
            <w:pPr>
              <w:pStyle w:val="Default"/>
              <w:rPr>
                <w:sz w:val="22"/>
                <w:szCs w:val="22"/>
                <w:lang w:val="sk-SK"/>
              </w:rPr>
            </w:pPr>
          </w:p>
        </w:tc>
        <w:tc>
          <w:tcPr>
            <w:tcW w:w="2462" w:type="dxa"/>
          </w:tcPr>
          <w:p w14:paraId="49073117"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33F31646" w14:textId="77777777" w:rsidR="00400A4D" w:rsidRPr="00905199" w:rsidRDefault="00400A4D" w:rsidP="00400A4D">
            <w:pPr>
              <w:pStyle w:val="Default"/>
              <w:rPr>
                <w:sz w:val="22"/>
                <w:szCs w:val="22"/>
                <w:lang w:val="sk-SK"/>
              </w:rPr>
            </w:pPr>
            <w:r w:rsidRPr="00905199">
              <w:rPr>
                <w:sz w:val="22"/>
                <w:szCs w:val="22"/>
                <w:lang w:val="sk-SK"/>
              </w:rPr>
              <w:t>Menej časté</w:t>
            </w:r>
          </w:p>
        </w:tc>
        <w:tc>
          <w:tcPr>
            <w:tcW w:w="2838" w:type="dxa"/>
          </w:tcPr>
          <w:p w14:paraId="0FAA49E2" w14:textId="77777777" w:rsidR="00400A4D" w:rsidRPr="00905199" w:rsidRDefault="00400A4D" w:rsidP="00400A4D">
            <w:pPr>
              <w:pStyle w:val="Default"/>
              <w:rPr>
                <w:sz w:val="22"/>
                <w:szCs w:val="22"/>
                <w:lang w:val="sk-SK"/>
              </w:rPr>
            </w:pPr>
            <w:r w:rsidRPr="00905199">
              <w:rPr>
                <w:sz w:val="22"/>
                <w:szCs w:val="22"/>
                <w:lang w:val="sk-SK"/>
              </w:rPr>
              <w:t>Gastrointestinálne vredy s krvácaním a/alebo perforáciou, gastritída, ulcerózna stomatitída, exacerbácia kolitídy a Crohnovej choroby (pozri časť 4.4)</w:t>
            </w:r>
          </w:p>
        </w:tc>
      </w:tr>
      <w:tr w:rsidR="00400A4D" w:rsidRPr="00905199" w14:paraId="4D445482" w14:textId="77777777">
        <w:trPr>
          <w:trHeight w:val="425"/>
        </w:trPr>
        <w:tc>
          <w:tcPr>
            <w:tcW w:w="2589" w:type="dxa"/>
          </w:tcPr>
          <w:p w14:paraId="613191AB" w14:textId="77777777" w:rsidR="00400A4D" w:rsidRPr="00905199" w:rsidRDefault="00400A4D" w:rsidP="00400A4D">
            <w:pPr>
              <w:pStyle w:val="Default"/>
              <w:rPr>
                <w:sz w:val="22"/>
                <w:szCs w:val="22"/>
                <w:lang w:val="sk-SK"/>
              </w:rPr>
            </w:pPr>
          </w:p>
        </w:tc>
        <w:tc>
          <w:tcPr>
            <w:tcW w:w="2462" w:type="dxa"/>
          </w:tcPr>
          <w:p w14:paraId="45AE2F21"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4652CEF1"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71D9D81A" w14:textId="77777777" w:rsidR="00400A4D" w:rsidRPr="00905199" w:rsidRDefault="00400A4D" w:rsidP="00400A4D">
            <w:pPr>
              <w:pStyle w:val="Default"/>
              <w:rPr>
                <w:sz w:val="22"/>
                <w:szCs w:val="22"/>
                <w:lang w:val="sk-SK"/>
              </w:rPr>
            </w:pPr>
            <w:r w:rsidRPr="00905199">
              <w:rPr>
                <w:sz w:val="22"/>
                <w:szCs w:val="22"/>
                <w:lang w:val="sk-SK"/>
              </w:rPr>
              <w:t>Ezofagitída, pankreatitída, tvorba membranóznych striktúr</w:t>
            </w:r>
          </w:p>
        </w:tc>
      </w:tr>
      <w:tr w:rsidR="00400A4D" w:rsidRPr="00905199" w14:paraId="6D258477" w14:textId="77777777">
        <w:trPr>
          <w:trHeight w:val="425"/>
        </w:trPr>
        <w:tc>
          <w:tcPr>
            <w:tcW w:w="2589" w:type="dxa"/>
          </w:tcPr>
          <w:p w14:paraId="516ACAD4" w14:textId="77777777" w:rsidR="00400A4D" w:rsidRPr="00905199" w:rsidRDefault="00400A4D" w:rsidP="00400A4D">
            <w:pPr>
              <w:pStyle w:val="Default"/>
              <w:rPr>
                <w:sz w:val="22"/>
                <w:szCs w:val="22"/>
                <w:lang w:val="sk-SK"/>
              </w:rPr>
            </w:pPr>
          </w:p>
        </w:tc>
        <w:tc>
          <w:tcPr>
            <w:tcW w:w="2462" w:type="dxa"/>
          </w:tcPr>
          <w:p w14:paraId="08F40B6C" w14:textId="5FB06E57"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1566F100" w14:textId="77777777"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14:paraId="29383A69" w14:textId="77777777" w:rsidR="00400A4D" w:rsidRPr="00905199" w:rsidRDefault="00400A4D" w:rsidP="00400A4D">
            <w:pPr>
              <w:pStyle w:val="Default"/>
              <w:rPr>
                <w:sz w:val="22"/>
                <w:szCs w:val="22"/>
                <w:lang w:val="sk-SK"/>
              </w:rPr>
            </w:pPr>
            <w:r w:rsidRPr="00905199">
              <w:rPr>
                <w:sz w:val="22"/>
                <w:szCs w:val="22"/>
                <w:lang w:val="sk-SK"/>
              </w:rPr>
              <w:t>Sucho v ústach, smäd, nauzea, vracanie</w:t>
            </w:r>
            <w:r>
              <w:rPr>
                <w:sz w:val="22"/>
                <w:szCs w:val="22"/>
                <w:lang w:val="sk-SK"/>
              </w:rPr>
              <w:t>, ischemická kolitída</w:t>
            </w:r>
          </w:p>
        </w:tc>
      </w:tr>
      <w:tr w:rsidR="00400A4D" w:rsidRPr="00905199" w14:paraId="2C85A7A6" w14:textId="77777777">
        <w:trPr>
          <w:trHeight w:val="425"/>
        </w:trPr>
        <w:tc>
          <w:tcPr>
            <w:tcW w:w="2589" w:type="dxa"/>
          </w:tcPr>
          <w:p w14:paraId="5357BD85" w14:textId="77777777" w:rsidR="00400A4D" w:rsidRPr="00905199" w:rsidRDefault="00400A4D" w:rsidP="00400A4D">
            <w:pPr>
              <w:pStyle w:val="Default"/>
              <w:rPr>
                <w:sz w:val="22"/>
                <w:szCs w:val="22"/>
                <w:lang w:val="sk-SK"/>
              </w:rPr>
            </w:pPr>
            <w:r w:rsidRPr="00905199">
              <w:rPr>
                <w:b/>
                <w:bCs/>
                <w:sz w:val="22"/>
                <w:szCs w:val="22"/>
                <w:lang w:val="sk-SK"/>
              </w:rPr>
              <w:t>Poruchy pečene a žlčových ciest</w:t>
            </w:r>
          </w:p>
        </w:tc>
        <w:tc>
          <w:tcPr>
            <w:tcW w:w="2462" w:type="dxa"/>
          </w:tcPr>
          <w:p w14:paraId="680E6D8F"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0C8DE36A"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3A5A1287" w14:textId="77777777" w:rsidR="00400A4D" w:rsidRPr="00905199" w:rsidRDefault="00400A4D" w:rsidP="00400A4D">
            <w:pPr>
              <w:pStyle w:val="Default"/>
              <w:rPr>
                <w:sz w:val="22"/>
                <w:szCs w:val="22"/>
                <w:lang w:val="sk-SK"/>
              </w:rPr>
            </w:pPr>
            <w:r w:rsidRPr="00905199">
              <w:rPr>
                <w:sz w:val="22"/>
                <w:szCs w:val="22"/>
                <w:lang w:val="sk-SK"/>
              </w:rPr>
              <w:t>Dysfunkcia pečene, poškodenie pečene, predovšetkým pri dlhodobej liečbe, zlyhanie pečene, akútna hepatitída</w:t>
            </w:r>
          </w:p>
        </w:tc>
      </w:tr>
      <w:tr w:rsidR="00400A4D" w:rsidRPr="00905199" w14:paraId="2C169849" w14:textId="77777777">
        <w:trPr>
          <w:trHeight w:val="425"/>
        </w:trPr>
        <w:tc>
          <w:tcPr>
            <w:tcW w:w="2589" w:type="dxa"/>
            <w:vAlign w:val="center"/>
          </w:tcPr>
          <w:p w14:paraId="1E7D66A5" w14:textId="77777777" w:rsidR="00400A4D" w:rsidRPr="00905199" w:rsidRDefault="00400A4D" w:rsidP="00400A4D">
            <w:pPr>
              <w:pStyle w:val="Default"/>
              <w:rPr>
                <w:sz w:val="22"/>
                <w:szCs w:val="22"/>
                <w:lang w:val="sk-SK"/>
              </w:rPr>
            </w:pPr>
            <w:r w:rsidRPr="00905199">
              <w:rPr>
                <w:b/>
                <w:bCs/>
                <w:sz w:val="22"/>
                <w:szCs w:val="22"/>
                <w:lang w:val="sk-SK"/>
              </w:rPr>
              <w:t>Poruchy kože a podkožného tkaniva</w:t>
            </w:r>
          </w:p>
        </w:tc>
        <w:tc>
          <w:tcPr>
            <w:tcW w:w="2462" w:type="dxa"/>
          </w:tcPr>
          <w:p w14:paraId="4BD78B87"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27108DBD" w14:textId="77777777" w:rsidR="00400A4D" w:rsidRPr="00905199" w:rsidRDefault="00400A4D" w:rsidP="00400A4D">
            <w:pPr>
              <w:pStyle w:val="Default"/>
              <w:rPr>
                <w:sz w:val="22"/>
                <w:szCs w:val="22"/>
                <w:lang w:val="sk-SK"/>
              </w:rPr>
            </w:pPr>
            <w:r w:rsidRPr="00905199">
              <w:rPr>
                <w:sz w:val="22"/>
                <w:szCs w:val="22"/>
                <w:lang w:val="sk-SK"/>
              </w:rPr>
              <w:t>Menej časté</w:t>
            </w:r>
          </w:p>
        </w:tc>
        <w:tc>
          <w:tcPr>
            <w:tcW w:w="2838" w:type="dxa"/>
          </w:tcPr>
          <w:p w14:paraId="411A6161" w14:textId="77777777" w:rsidR="00400A4D" w:rsidRPr="00905199" w:rsidRDefault="00400A4D" w:rsidP="00400A4D">
            <w:pPr>
              <w:pStyle w:val="Default"/>
              <w:rPr>
                <w:sz w:val="22"/>
                <w:szCs w:val="22"/>
                <w:lang w:val="sk-SK"/>
              </w:rPr>
            </w:pPr>
            <w:r w:rsidRPr="00905199">
              <w:rPr>
                <w:sz w:val="22"/>
                <w:szCs w:val="22"/>
                <w:lang w:val="sk-SK"/>
              </w:rPr>
              <w:t>Rôzne kožné vyrážky</w:t>
            </w:r>
          </w:p>
        </w:tc>
      </w:tr>
      <w:tr w:rsidR="00400A4D" w:rsidRPr="00905199" w14:paraId="32301324" w14:textId="77777777">
        <w:trPr>
          <w:trHeight w:val="425"/>
        </w:trPr>
        <w:tc>
          <w:tcPr>
            <w:tcW w:w="2589" w:type="dxa"/>
          </w:tcPr>
          <w:p w14:paraId="79DCFE62" w14:textId="77777777" w:rsidR="00400A4D" w:rsidRPr="00905199" w:rsidRDefault="00400A4D" w:rsidP="00400A4D">
            <w:pPr>
              <w:pStyle w:val="Default"/>
              <w:rPr>
                <w:sz w:val="22"/>
                <w:szCs w:val="22"/>
                <w:lang w:val="sk-SK"/>
              </w:rPr>
            </w:pPr>
          </w:p>
        </w:tc>
        <w:tc>
          <w:tcPr>
            <w:tcW w:w="2462" w:type="dxa"/>
          </w:tcPr>
          <w:p w14:paraId="2E17FBF3"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692966FA"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74606C85" w14:textId="77777777" w:rsidR="00400A4D" w:rsidRPr="00905199" w:rsidRDefault="00400A4D" w:rsidP="00400A4D">
            <w:pPr>
              <w:pStyle w:val="Default"/>
              <w:rPr>
                <w:sz w:val="22"/>
                <w:szCs w:val="22"/>
                <w:lang w:val="sk-SK"/>
              </w:rPr>
            </w:pPr>
            <w:r w:rsidRPr="00905199">
              <w:rPr>
                <w:sz w:val="22"/>
                <w:szCs w:val="22"/>
                <w:lang w:val="sk-SK"/>
              </w:rPr>
              <w:t>Bulózne reakcie vrátane Stevensovho-Johnsonovho syndrómu a toxickej epidermálnej nekrolýzy (Lyellov syndróm), alopécia, závažné kožné infekcie a počas infekcie ovčích kiahní komplikácie v mäkkých tkanivách</w:t>
            </w:r>
          </w:p>
        </w:tc>
      </w:tr>
      <w:tr w:rsidR="00400A4D" w:rsidRPr="00905199" w14:paraId="051F1E7A" w14:textId="77777777">
        <w:trPr>
          <w:trHeight w:val="425"/>
        </w:trPr>
        <w:tc>
          <w:tcPr>
            <w:tcW w:w="2589" w:type="dxa"/>
          </w:tcPr>
          <w:p w14:paraId="795B2A69" w14:textId="77777777" w:rsidR="00400A4D" w:rsidRPr="00905199" w:rsidRDefault="00400A4D" w:rsidP="00400A4D">
            <w:pPr>
              <w:pStyle w:val="Default"/>
              <w:rPr>
                <w:sz w:val="22"/>
                <w:szCs w:val="22"/>
                <w:lang w:val="sk-SK"/>
              </w:rPr>
            </w:pPr>
          </w:p>
        </w:tc>
        <w:tc>
          <w:tcPr>
            <w:tcW w:w="2462" w:type="dxa"/>
          </w:tcPr>
          <w:p w14:paraId="3976F249" w14:textId="77777777" w:rsidR="00400A4D" w:rsidRPr="00905199" w:rsidRDefault="00400A4D" w:rsidP="00400A4D">
            <w:pPr>
              <w:pStyle w:val="Default"/>
              <w:rPr>
                <w:sz w:val="22"/>
                <w:szCs w:val="22"/>
                <w:lang w:val="sk-SK"/>
              </w:rPr>
            </w:pPr>
            <w:r>
              <w:rPr>
                <w:sz w:val="22"/>
                <w:szCs w:val="22"/>
                <w:lang w:val="sk-SK"/>
              </w:rPr>
              <w:t>Ibuprofén</w:t>
            </w:r>
          </w:p>
        </w:tc>
        <w:tc>
          <w:tcPr>
            <w:tcW w:w="1750" w:type="dxa"/>
          </w:tcPr>
          <w:p w14:paraId="2339A2FA" w14:textId="77777777" w:rsidR="00400A4D" w:rsidRPr="00905199" w:rsidRDefault="00400A4D" w:rsidP="00400A4D">
            <w:pPr>
              <w:pStyle w:val="Default"/>
              <w:rPr>
                <w:sz w:val="22"/>
                <w:szCs w:val="22"/>
                <w:lang w:val="sk-SK"/>
              </w:rPr>
            </w:pPr>
            <w:r>
              <w:rPr>
                <w:sz w:val="22"/>
                <w:szCs w:val="22"/>
                <w:lang w:val="sk-SK"/>
              </w:rPr>
              <w:t>Neznáme</w:t>
            </w:r>
          </w:p>
        </w:tc>
        <w:tc>
          <w:tcPr>
            <w:tcW w:w="2838" w:type="dxa"/>
          </w:tcPr>
          <w:p w14:paraId="752E1D18" w14:textId="77777777" w:rsidR="00400A4D" w:rsidRPr="00AF4964" w:rsidRDefault="00400A4D" w:rsidP="00400A4D">
            <w:pPr>
              <w:pStyle w:val="Default"/>
              <w:rPr>
                <w:sz w:val="22"/>
                <w:szCs w:val="22"/>
                <w:lang w:val="sk-SK"/>
              </w:rPr>
            </w:pPr>
            <w:r w:rsidRPr="004F0E07">
              <w:rPr>
                <w:spacing w:val="-1"/>
                <w:sz w:val="22"/>
                <w:szCs w:val="22"/>
              </w:rPr>
              <w:t>Lieková reakcia s eozinofíliou a systémovými príznakmi (syndróm DRESS)</w:t>
            </w:r>
            <w:r>
              <w:rPr>
                <w:spacing w:val="-1"/>
                <w:sz w:val="22"/>
                <w:szCs w:val="22"/>
              </w:rPr>
              <w:t xml:space="preserve">; </w:t>
            </w:r>
            <w:r w:rsidRPr="003841F5">
              <w:rPr>
                <w:spacing w:val="-1"/>
                <w:sz w:val="22"/>
                <w:szCs w:val="22"/>
              </w:rPr>
              <w:t>akútna generalizovaná exant</w:t>
            </w:r>
            <w:r>
              <w:rPr>
                <w:spacing w:val="-1"/>
                <w:sz w:val="22"/>
                <w:szCs w:val="22"/>
              </w:rPr>
              <w:t>ematózna</w:t>
            </w:r>
            <w:r w:rsidRPr="003841F5">
              <w:rPr>
                <w:spacing w:val="-1"/>
                <w:sz w:val="22"/>
                <w:szCs w:val="22"/>
              </w:rPr>
              <w:t xml:space="preserve"> pustulóza (AGEP)</w:t>
            </w:r>
          </w:p>
        </w:tc>
      </w:tr>
      <w:tr w:rsidR="00400A4D" w:rsidRPr="00905199" w14:paraId="76C35E08" w14:textId="77777777">
        <w:trPr>
          <w:trHeight w:val="425"/>
        </w:trPr>
        <w:tc>
          <w:tcPr>
            <w:tcW w:w="2589" w:type="dxa"/>
          </w:tcPr>
          <w:p w14:paraId="15E0F26F" w14:textId="77777777" w:rsidR="00400A4D" w:rsidRPr="00905199" w:rsidRDefault="00400A4D" w:rsidP="00400A4D">
            <w:pPr>
              <w:pStyle w:val="Default"/>
              <w:rPr>
                <w:sz w:val="22"/>
                <w:szCs w:val="22"/>
                <w:lang w:val="sk-SK"/>
              </w:rPr>
            </w:pPr>
          </w:p>
        </w:tc>
        <w:tc>
          <w:tcPr>
            <w:tcW w:w="2462" w:type="dxa"/>
          </w:tcPr>
          <w:p w14:paraId="71C14411" w14:textId="0E85EE6E"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1E5D45C6" w14:textId="77777777"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14:paraId="7B4A91AC" w14:textId="77777777" w:rsidR="00400A4D" w:rsidRPr="00905199" w:rsidRDefault="00400A4D" w:rsidP="00400A4D">
            <w:pPr>
              <w:pStyle w:val="Default"/>
              <w:rPr>
                <w:sz w:val="22"/>
                <w:szCs w:val="22"/>
                <w:lang w:val="sk-SK"/>
              </w:rPr>
            </w:pPr>
            <w:r w:rsidRPr="00905199">
              <w:rPr>
                <w:sz w:val="22"/>
                <w:szCs w:val="22"/>
                <w:lang w:val="sk-SK"/>
              </w:rPr>
              <w:t>Vyrážka, žihľavka, svrbenie, hyperhidróza</w:t>
            </w:r>
            <w:r>
              <w:rPr>
                <w:sz w:val="22"/>
                <w:szCs w:val="22"/>
                <w:lang w:val="sk-SK"/>
              </w:rPr>
              <w:t xml:space="preserve">, </w:t>
            </w:r>
            <w:r w:rsidRPr="004F0E07">
              <w:rPr>
                <w:spacing w:val="1"/>
                <w:sz w:val="22"/>
                <w:szCs w:val="22"/>
              </w:rPr>
              <w:t>závažné kožné reakcie, vrátane akútnej generalizovanej exantematóznej pustulózy (AGEP)</w:t>
            </w:r>
          </w:p>
        </w:tc>
      </w:tr>
      <w:tr w:rsidR="00400A4D" w:rsidRPr="00905199" w14:paraId="22D5407F" w14:textId="77777777">
        <w:trPr>
          <w:trHeight w:val="1022"/>
        </w:trPr>
        <w:tc>
          <w:tcPr>
            <w:tcW w:w="2589" w:type="dxa"/>
            <w:vAlign w:val="center"/>
          </w:tcPr>
          <w:p w14:paraId="3FFB3E22" w14:textId="77777777" w:rsidR="00400A4D" w:rsidRPr="00905199" w:rsidRDefault="00400A4D" w:rsidP="00400A4D">
            <w:pPr>
              <w:pStyle w:val="Default"/>
              <w:rPr>
                <w:sz w:val="22"/>
                <w:szCs w:val="22"/>
                <w:lang w:val="sk-SK"/>
              </w:rPr>
            </w:pPr>
            <w:r w:rsidRPr="00905199">
              <w:rPr>
                <w:b/>
                <w:bCs/>
                <w:sz w:val="22"/>
                <w:szCs w:val="22"/>
                <w:lang w:val="sk-SK"/>
              </w:rPr>
              <w:t>Poruchy obličiek a močových ciest</w:t>
            </w:r>
          </w:p>
          <w:p w14:paraId="248B877A" w14:textId="77777777" w:rsidR="00400A4D" w:rsidRPr="00905199" w:rsidRDefault="00400A4D" w:rsidP="00400A4D">
            <w:pPr>
              <w:pStyle w:val="Default"/>
              <w:rPr>
                <w:sz w:val="22"/>
                <w:szCs w:val="22"/>
                <w:lang w:val="sk-SK"/>
              </w:rPr>
            </w:pPr>
          </w:p>
          <w:p w14:paraId="17D92718" w14:textId="77777777" w:rsidR="00400A4D" w:rsidRPr="00905199" w:rsidRDefault="00400A4D" w:rsidP="00400A4D">
            <w:pPr>
              <w:pStyle w:val="Default"/>
              <w:rPr>
                <w:sz w:val="22"/>
                <w:szCs w:val="22"/>
                <w:lang w:val="sk-SK"/>
              </w:rPr>
            </w:pPr>
          </w:p>
        </w:tc>
        <w:tc>
          <w:tcPr>
            <w:tcW w:w="2462" w:type="dxa"/>
          </w:tcPr>
          <w:p w14:paraId="00BD7A0C"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7FFFC5EB" w14:textId="77777777" w:rsidR="00400A4D" w:rsidRPr="00905199" w:rsidRDefault="00400A4D" w:rsidP="00400A4D">
            <w:pPr>
              <w:pStyle w:val="Default"/>
              <w:rPr>
                <w:sz w:val="22"/>
                <w:szCs w:val="22"/>
                <w:lang w:val="sk-SK"/>
              </w:rPr>
            </w:pPr>
            <w:r w:rsidRPr="00905199">
              <w:rPr>
                <w:sz w:val="22"/>
                <w:szCs w:val="22"/>
                <w:lang w:val="sk-SK"/>
              </w:rPr>
              <w:t>Zriedkavé</w:t>
            </w:r>
          </w:p>
        </w:tc>
        <w:tc>
          <w:tcPr>
            <w:tcW w:w="2838" w:type="dxa"/>
          </w:tcPr>
          <w:p w14:paraId="1258C4FB" w14:textId="77777777" w:rsidR="00400A4D" w:rsidRPr="00905199" w:rsidRDefault="00400A4D" w:rsidP="00400A4D">
            <w:pPr>
              <w:pStyle w:val="Default"/>
              <w:rPr>
                <w:sz w:val="22"/>
                <w:szCs w:val="22"/>
                <w:lang w:val="sk-SK"/>
              </w:rPr>
            </w:pPr>
            <w:r w:rsidRPr="00905199">
              <w:rPr>
                <w:sz w:val="22"/>
                <w:szCs w:val="22"/>
                <w:lang w:val="sk-SK"/>
              </w:rPr>
              <w:t xml:space="preserve">Poškodenie tkaniva obličiek (papilárna nekróza) </w:t>
            </w:r>
          </w:p>
          <w:p w14:paraId="728992E5" w14:textId="77777777" w:rsidR="00400A4D" w:rsidRPr="00905199" w:rsidRDefault="00400A4D" w:rsidP="00400A4D">
            <w:pPr>
              <w:pStyle w:val="Default"/>
              <w:rPr>
                <w:sz w:val="22"/>
                <w:szCs w:val="22"/>
                <w:lang w:val="sk-SK"/>
              </w:rPr>
            </w:pPr>
            <w:r w:rsidRPr="00905199">
              <w:rPr>
                <w:sz w:val="22"/>
                <w:szCs w:val="22"/>
                <w:lang w:val="sk-SK"/>
              </w:rPr>
              <w:t>a zvýšené koncentrácie kyseliny močovej v krvi</w:t>
            </w:r>
          </w:p>
        </w:tc>
      </w:tr>
      <w:tr w:rsidR="00400A4D" w:rsidRPr="00905199" w14:paraId="083DEA1A" w14:textId="77777777">
        <w:trPr>
          <w:trHeight w:val="425"/>
        </w:trPr>
        <w:tc>
          <w:tcPr>
            <w:tcW w:w="2589" w:type="dxa"/>
          </w:tcPr>
          <w:p w14:paraId="6A1811CA" w14:textId="77777777" w:rsidR="00400A4D" w:rsidRPr="00905199" w:rsidRDefault="00400A4D" w:rsidP="00400A4D">
            <w:pPr>
              <w:pStyle w:val="Default"/>
              <w:rPr>
                <w:sz w:val="22"/>
                <w:szCs w:val="22"/>
                <w:lang w:val="sk-SK"/>
              </w:rPr>
            </w:pPr>
          </w:p>
        </w:tc>
        <w:tc>
          <w:tcPr>
            <w:tcW w:w="2462" w:type="dxa"/>
          </w:tcPr>
          <w:p w14:paraId="386F616D" w14:textId="77777777"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14:paraId="23F973C8" w14:textId="77777777"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14:paraId="33DB89B0" w14:textId="77777777" w:rsidR="00400A4D" w:rsidRPr="00905199" w:rsidRDefault="00400A4D" w:rsidP="00400A4D">
            <w:pPr>
              <w:pStyle w:val="Default"/>
              <w:rPr>
                <w:sz w:val="22"/>
                <w:szCs w:val="22"/>
                <w:lang w:val="sk-SK"/>
              </w:rPr>
            </w:pPr>
            <w:r w:rsidRPr="00905199">
              <w:rPr>
                <w:sz w:val="22"/>
                <w:szCs w:val="22"/>
                <w:lang w:val="sk-SK"/>
              </w:rPr>
              <w:t>Zvýšené hladiny sérového kreatinínu, edém (predovšetkým u pacientov s arteriálnou hypertenziou alebo renálnou insuficienciou), nefrotický syndróm, intersticiálna nefritída, akútna renálna insuficiencia</w:t>
            </w:r>
          </w:p>
        </w:tc>
      </w:tr>
      <w:tr w:rsidR="00400A4D" w:rsidRPr="00905199" w14:paraId="29DCD50F" w14:textId="77777777">
        <w:trPr>
          <w:trHeight w:val="425"/>
        </w:trPr>
        <w:tc>
          <w:tcPr>
            <w:tcW w:w="2589" w:type="dxa"/>
          </w:tcPr>
          <w:p w14:paraId="4A4A8DA9" w14:textId="77777777" w:rsidR="00400A4D" w:rsidRPr="00905199" w:rsidRDefault="00400A4D" w:rsidP="00400A4D">
            <w:pPr>
              <w:pStyle w:val="Default"/>
              <w:rPr>
                <w:sz w:val="22"/>
                <w:szCs w:val="22"/>
                <w:lang w:val="sk-SK"/>
              </w:rPr>
            </w:pPr>
          </w:p>
        </w:tc>
        <w:tc>
          <w:tcPr>
            <w:tcW w:w="2462" w:type="dxa"/>
          </w:tcPr>
          <w:p w14:paraId="2929584C" w14:textId="431897E0" w:rsidR="00400A4D" w:rsidRPr="00905199" w:rsidRDefault="004F27D0" w:rsidP="00400A4D">
            <w:pPr>
              <w:pStyle w:val="Default"/>
              <w:rPr>
                <w:sz w:val="22"/>
                <w:szCs w:val="22"/>
                <w:lang w:val="sk-SK"/>
              </w:rPr>
            </w:pPr>
            <w:r>
              <w:rPr>
                <w:sz w:val="22"/>
                <w:szCs w:val="22"/>
                <w:lang w:val="sk-SK"/>
              </w:rPr>
              <w:t>Pseudoefedrínium-</w:t>
            </w:r>
            <w:r w:rsidR="00400A4D" w:rsidRPr="00905199">
              <w:rPr>
                <w:sz w:val="22"/>
                <w:szCs w:val="22"/>
                <w:lang w:val="sk-SK"/>
              </w:rPr>
              <w:t>chlorid</w:t>
            </w:r>
          </w:p>
        </w:tc>
        <w:tc>
          <w:tcPr>
            <w:tcW w:w="1750" w:type="dxa"/>
          </w:tcPr>
          <w:p w14:paraId="322D3586" w14:textId="77777777"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14:paraId="0B6B2E53" w14:textId="77777777" w:rsidR="00400A4D" w:rsidRPr="00905199" w:rsidRDefault="00400A4D" w:rsidP="00400A4D">
            <w:pPr>
              <w:pStyle w:val="Default"/>
              <w:rPr>
                <w:sz w:val="22"/>
                <w:szCs w:val="22"/>
                <w:lang w:val="sk-SK"/>
              </w:rPr>
            </w:pPr>
            <w:r w:rsidRPr="00905199">
              <w:rPr>
                <w:sz w:val="22"/>
                <w:szCs w:val="22"/>
                <w:lang w:val="sk-SK"/>
              </w:rPr>
              <w:t>Ťažkosti s močením</w:t>
            </w:r>
          </w:p>
        </w:tc>
      </w:tr>
    </w:tbl>
    <w:p w14:paraId="17E66F0D" w14:textId="77777777" w:rsidR="0000767D" w:rsidRPr="00905199" w:rsidRDefault="0000767D">
      <w:pPr>
        <w:rPr>
          <w:szCs w:val="22"/>
          <w:u w:val="single"/>
          <w:lang w:val="sk-SK"/>
        </w:rPr>
      </w:pPr>
    </w:p>
    <w:p w14:paraId="7E3F0DF3" w14:textId="77777777" w:rsidR="0000767D" w:rsidRPr="00905199" w:rsidRDefault="0000767D">
      <w:pPr>
        <w:autoSpaceDE w:val="0"/>
        <w:autoSpaceDN w:val="0"/>
        <w:adjustRightInd w:val="0"/>
        <w:rPr>
          <w:szCs w:val="22"/>
          <w:u w:val="single"/>
          <w:lang w:val="sk-SK"/>
        </w:rPr>
      </w:pPr>
    </w:p>
    <w:p w14:paraId="54072760" w14:textId="77777777" w:rsidR="0000767D" w:rsidRPr="00905199" w:rsidRDefault="003607C1">
      <w:pPr>
        <w:autoSpaceDE w:val="0"/>
        <w:autoSpaceDN w:val="0"/>
        <w:adjustRightInd w:val="0"/>
        <w:rPr>
          <w:szCs w:val="22"/>
          <w:u w:val="single"/>
          <w:lang w:val="sk-SK"/>
        </w:rPr>
      </w:pPr>
      <w:r w:rsidRPr="00905199">
        <w:rPr>
          <w:szCs w:val="22"/>
          <w:u w:val="single"/>
          <w:lang w:val="sk-SK"/>
        </w:rPr>
        <w:t>Hlásenie podozrení na nežiaduce reakcie</w:t>
      </w:r>
    </w:p>
    <w:p w14:paraId="317E70B5" w14:textId="77777777" w:rsidR="002D72FB" w:rsidRPr="00AD7007" w:rsidRDefault="003607C1" w:rsidP="002D72FB">
      <w:pPr>
        <w:widowControl w:val="0"/>
        <w:rPr>
          <w:szCs w:val="22"/>
          <w:lang w:val="sk-SK"/>
        </w:rPr>
      </w:pPr>
      <w:r w:rsidRPr="00905199">
        <w:rPr>
          <w:szCs w:val="22"/>
          <w:lang w:val="sk-SK"/>
        </w:rPr>
        <w:t>Hlásenie podozrení na nežiaduce reakcie po registrácii lieku je dôležité. Umožňuje priebežné monitorovanie pomeru prínosu a rizika lieku. Od zdravotníckych pracovníkov sa vyžaduje, aby hlásili akékoľvek podozrenia na ne</w:t>
      </w:r>
      <w:r w:rsidR="00AC6EB3" w:rsidRPr="00905199">
        <w:rPr>
          <w:szCs w:val="22"/>
          <w:lang w:val="sk-SK"/>
        </w:rPr>
        <w:t xml:space="preserve">žiaduce reakcie </w:t>
      </w:r>
      <w:r w:rsidR="00AF4964">
        <w:rPr>
          <w:szCs w:val="22"/>
          <w:lang w:val="sk-SK"/>
        </w:rPr>
        <w:t>na</w:t>
      </w:r>
      <w:r w:rsidR="00AC6EB3" w:rsidRPr="00905199">
        <w:rPr>
          <w:szCs w:val="22"/>
          <w:lang w:val="sk-SK"/>
        </w:rPr>
        <w:t xml:space="preserve"> </w:t>
      </w:r>
      <w:r w:rsidR="002D72FB" w:rsidRPr="00AD7007">
        <w:rPr>
          <w:szCs w:val="22"/>
          <w:highlight w:val="lightGray"/>
          <w:lang w:val="sk-SK"/>
        </w:rPr>
        <w:t xml:space="preserve">národné </w:t>
      </w:r>
      <w:r w:rsidR="00AF4964">
        <w:rPr>
          <w:szCs w:val="22"/>
          <w:highlight w:val="lightGray"/>
          <w:lang w:val="sk-SK"/>
        </w:rPr>
        <w:t>centrum</w:t>
      </w:r>
      <w:r w:rsidR="002D72FB" w:rsidRPr="00AD7007">
        <w:rPr>
          <w:szCs w:val="22"/>
          <w:highlight w:val="lightGray"/>
          <w:lang w:val="sk-SK"/>
        </w:rPr>
        <w:t xml:space="preserve"> hlásenia uvedené v </w:t>
      </w:r>
      <w:hyperlink r:id="rId8" w:history="1">
        <w:r w:rsidR="002D72FB" w:rsidRPr="00AD7007">
          <w:rPr>
            <w:rStyle w:val="Hypertextovprepojenie"/>
            <w:szCs w:val="22"/>
            <w:highlight w:val="lightGray"/>
            <w:lang w:val="sk-SK"/>
          </w:rPr>
          <w:t>Prílohe V</w:t>
        </w:r>
      </w:hyperlink>
      <w:r w:rsidR="002D72FB" w:rsidRPr="00AD7007">
        <w:rPr>
          <w:szCs w:val="22"/>
          <w:lang w:val="sk-SK"/>
        </w:rPr>
        <w:t>.</w:t>
      </w:r>
    </w:p>
    <w:p w14:paraId="5AB699A2" w14:textId="77777777" w:rsidR="0000767D" w:rsidRPr="00905199" w:rsidRDefault="00AD7007" w:rsidP="002D72FB">
      <w:pPr>
        <w:autoSpaceDE w:val="0"/>
        <w:autoSpaceDN w:val="0"/>
        <w:adjustRightInd w:val="0"/>
        <w:rPr>
          <w:b/>
          <w:szCs w:val="22"/>
          <w:lang w:val="sk-SK"/>
        </w:rPr>
      </w:pPr>
      <w:r w:rsidRPr="00905199" w:rsidDel="00AD7007">
        <w:rPr>
          <w:rFonts w:eastAsia="Calibri"/>
          <w:szCs w:val="22"/>
          <w:lang w:val="sk-SK" w:eastAsia="zh-CN"/>
        </w:rPr>
        <w:t xml:space="preserve"> </w:t>
      </w:r>
    </w:p>
    <w:p w14:paraId="2A30B970" w14:textId="77777777" w:rsidR="0000767D" w:rsidRPr="00905199" w:rsidRDefault="003607C1" w:rsidP="00AD7007">
      <w:pPr>
        <w:rPr>
          <w:szCs w:val="22"/>
          <w:lang w:val="sk-SK"/>
        </w:rPr>
      </w:pPr>
      <w:r w:rsidRPr="00905199">
        <w:rPr>
          <w:b/>
          <w:szCs w:val="22"/>
          <w:lang w:val="sk-SK"/>
        </w:rPr>
        <w:t>4.9</w:t>
      </w:r>
      <w:r w:rsidRPr="00905199">
        <w:rPr>
          <w:b/>
          <w:szCs w:val="22"/>
          <w:lang w:val="sk-SK"/>
        </w:rPr>
        <w:tab/>
        <w:t>Predávkovanie</w:t>
      </w:r>
    </w:p>
    <w:p w14:paraId="2A46D282" w14:textId="77777777" w:rsidR="0000767D" w:rsidRPr="00905199" w:rsidRDefault="0000767D">
      <w:pPr>
        <w:rPr>
          <w:szCs w:val="22"/>
          <w:lang w:val="sk-SK"/>
        </w:rPr>
      </w:pPr>
    </w:p>
    <w:p w14:paraId="7A069060" w14:textId="5D19439A" w:rsidR="0000767D" w:rsidRPr="00905199" w:rsidRDefault="003607C1">
      <w:pPr>
        <w:tabs>
          <w:tab w:val="clear" w:pos="567"/>
        </w:tabs>
        <w:spacing w:line="240" w:lineRule="auto"/>
        <w:rPr>
          <w:noProof/>
          <w:szCs w:val="22"/>
          <w:lang w:val="sk-SK"/>
        </w:rPr>
      </w:pPr>
      <w:r w:rsidRPr="00905199">
        <w:rPr>
          <w:noProof/>
          <w:szCs w:val="22"/>
          <w:lang w:val="sk-SK"/>
        </w:rPr>
        <w:t>Klinické účinky predávkovania týmto liekom súvisia pravdepodobnejšie s </w:t>
      </w:r>
      <w:r w:rsidR="004F27D0">
        <w:rPr>
          <w:noProof/>
          <w:szCs w:val="22"/>
          <w:lang w:val="sk-SK"/>
        </w:rPr>
        <w:t>pseudoefedrínium-</w:t>
      </w:r>
      <w:r w:rsidRPr="00905199">
        <w:rPr>
          <w:noProof/>
          <w:szCs w:val="22"/>
          <w:lang w:val="sk-SK"/>
        </w:rPr>
        <w:t xml:space="preserve">chloridom než s </w:t>
      </w:r>
      <w:r w:rsidR="00221A8D" w:rsidRPr="00905199">
        <w:rPr>
          <w:noProof/>
          <w:szCs w:val="22"/>
          <w:lang w:val="sk-SK"/>
        </w:rPr>
        <w:t>ibuprof</w:t>
      </w:r>
      <w:r w:rsidR="00221A8D">
        <w:rPr>
          <w:noProof/>
          <w:szCs w:val="22"/>
          <w:lang w:val="sk-SK"/>
        </w:rPr>
        <w:t>é</w:t>
      </w:r>
      <w:r w:rsidR="00221A8D" w:rsidRPr="00905199">
        <w:rPr>
          <w:noProof/>
          <w:szCs w:val="22"/>
          <w:lang w:val="sk-SK"/>
        </w:rPr>
        <w:t>nom</w:t>
      </w:r>
      <w:r w:rsidRPr="00905199">
        <w:rPr>
          <w:noProof/>
          <w:szCs w:val="22"/>
          <w:lang w:val="sk-SK"/>
        </w:rPr>
        <w:t>. Účinky nekorelujú celkom s užitou dávkou vzhľadom na interindividuálnu citlivosť na sympatomimetické vlastnosti.</w:t>
      </w:r>
    </w:p>
    <w:p w14:paraId="68DDBA31" w14:textId="77777777" w:rsidR="0000767D" w:rsidRPr="00905199" w:rsidRDefault="0000767D">
      <w:pPr>
        <w:tabs>
          <w:tab w:val="clear" w:pos="567"/>
        </w:tabs>
        <w:spacing w:line="240" w:lineRule="auto"/>
        <w:rPr>
          <w:noProof/>
          <w:szCs w:val="22"/>
          <w:lang w:val="sk-SK"/>
        </w:rPr>
      </w:pPr>
    </w:p>
    <w:p w14:paraId="1D3CEBCE" w14:textId="77777777" w:rsidR="0000767D" w:rsidRPr="00905199" w:rsidRDefault="003607C1">
      <w:pPr>
        <w:tabs>
          <w:tab w:val="clear" w:pos="567"/>
        </w:tabs>
        <w:spacing w:line="240" w:lineRule="auto"/>
        <w:rPr>
          <w:i/>
          <w:iCs/>
          <w:noProof/>
          <w:szCs w:val="22"/>
          <w:lang w:val="sk-SK"/>
        </w:rPr>
      </w:pPr>
      <w:r w:rsidRPr="00905199">
        <w:rPr>
          <w:i/>
          <w:iCs/>
          <w:noProof/>
          <w:szCs w:val="22"/>
          <w:lang w:val="sk-SK"/>
        </w:rPr>
        <w:t>Symptómy sympatomimetického účinku</w:t>
      </w:r>
    </w:p>
    <w:p w14:paraId="452EF6EE" w14:textId="77777777" w:rsidR="0000767D" w:rsidRPr="00905199" w:rsidRDefault="0000767D">
      <w:pPr>
        <w:tabs>
          <w:tab w:val="clear" w:pos="567"/>
        </w:tabs>
        <w:spacing w:line="240" w:lineRule="auto"/>
        <w:rPr>
          <w:noProof/>
          <w:szCs w:val="22"/>
          <w:lang w:val="sk-SK"/>
        </w:rPr>
      </w:pPr>
    </w:p>
    <w:p w14:paraId="35C3F209" w14:textId="77777777" w:rsidR="0000767D" w:rsidRPr="00905199" w:rsidRDefault="003607C1">
      <w:pPr>
        <w:tabs>
          <w:tab w:val="clear" w:pos="567"/>
        </w:tabs>
        <w:spacing w:line="240" w:lineRule="auto"/>
        <w:rPr>
          <w:noProof/>
          <w:szCs w:val="22"/>
          <w:lang w:val="sk-SK"/>
        </w:rPr>
      </w:pPr>
      <w:r w:rsidRPr="00905199">
        <w:rPr>
          <w:noProof/>
          <w:szCs w:val="22"/>
          <w:lang w:val="sk-SK"/>
        </w:rPr>
        <w:t>Depresia CNS: napr. sedácia, apnoe, cyanóza, kóma</w:t>
      </w:r>
    </w:p>
    <w:p w14:paraId="39291A7D" w14:textId="77777777" w:rsidR="0000767D" w:rsidRPr="00905199" w:rsidRDefault="0000767D">
      <w:pPr>
        <w:tabs>
          <w:tab w:val="clear" w:pos="567"/>
        </w:tabs>
        <w:spacing w:line="240" w:lineRule="auto"/>
        <w:rPr>
          <w:noProof/>
          <w:szCs w:val="22"/>
          <w:lang w:val="sk-SK"/>
        </w:rPr>
      </w:pPr>
    </w:p>
    <w:p w14:paraId="78E9F15E" w14:textId="77777777" w:rsidR="0000767D" w:rsidRPr="00905199" w:rsidRDefault="003607C1">
      <w:pPr>
        <w:tabs>
          <w:tab w:val="clear" w:pos="567"/>
        </w:tabs>
        <w:spacing w:line="240" w:lineRule="auto"/>
        <w:rPr>
          <w:noProof/>
          <w:szCs w:val="22"/>
          <w:lang w:val="sk-SK"/>
        </w:rPr>
      </w:pPr>
      <w:r w:rsidRPr="00905199">
        <w:rPr>
          <w:noProof/>
          <w:szCs w:val="22"/>
          <w:lang w:val="sk-SK"/>
        </w:rPr>
        <w:t>Stimulácia CNS (ktorá je pravdepodobnejšia u detí): napr. insomnia, halucinácie, záchvaty, tras</w:t>
      </w:r>
    </w:p>
    <w:p w14:paraId="41DD99AF" w14:textId="77777777" w:rsidR="0000767D" w:rsidRPr="00905199" w:rsidRDefault="0000767D">
      <w:pPr>
        <w:tabs>
          <w:tab w:val="clear" w:pos="567"/>
        </w:tabs>
        <w:spacing w:line="240" w:lineRule="auto"/>
        <w:rPr>
          <w:noProof/>
          <w:szCs w:val="22"/>
          <w:lang w:val="sk-SK"/>
        </w:rPr>
      </w:pPr>
    </w:p>
    <w:p w14:paraId="6D5DB633" w14:textId="77777777" w:rsidR="0000767D" w:rsidRPr="00905199" w:rsidRDefault="003607C1">
      <w:pPr>
        <w:tabs>
          <w:tab w:val="clear" w:pos="567"/>
        </w:tabs>
        <w:spacing w:line="240" w:lineRule="auto"/>
        <w:rPr>
          <w:noProof/>
          <w:szCs w:val="22"/>
          <w:lang w:val="sk-SK"/>
        </w:rPr>
      </w:pPr>
      <w:r w:rsidRPr="00905199">
        <w:rPr>
          <w:noProof/>
          <w:szCs w:val="22"/>
          <w:lang w:val="sk-SK"/>
        </w:rPr>
        <w:t>Okrem príznakov už uvedených ako nežiaduce účinky, sa môžu vyskytnúť nasledovné príznaky: hypertenzná kríza, srdcové arytmie, svalová slabosť a svalové napätie, eufória, rozrušenie, smäd, bolesť na hrudi, závrat, tin</w:t>
      </w:r>
      <w:r w:rsidR="002D72FB" w:rsidRPr="00905199">
        <w:rPr>
          <w:noProof/>
          <w:szCs w:val="22"/>
          <w:lang w:val="sk-SK"/>
        </w:rPr>
        <w:t>n</w:t>
      </w:r>
      <w:r w:rsidRPr="00905199">
        <w:rPr>
          <w:noProof/>
          <w:szCs w:val="22"/>
          <w:lang w:val="sk-SK"/>
        </w:rPr>
        <w:t>itus, ataxia, rozmazané videnie, hypotenzia.</w:t>
      </w:r>
    </w:p>
    <w:p w14:paraId="3F23A462" w14:textId="77777777" w:rsidR="0000767D" w:rsidRPr="00905199" w:rsidRDefault="0000767D">
      <w:pPr>
        <w:tabs>
          <w:tab w:val="clear" w:pos="567"/>
        </w:tabs>
        <w:spacing w:line="240" w:lineRule="auto"/>
        <w:rPr>
          <w:noProof/>
          <w:szCs w:val="22"/>
          <w:lang w:val="sk-SK"/>
        </w:rPr>
      </w:pPr>
    </w:p>
    <w:p w14:paraId="55662622" w14:textId="77777777" w:rsidR="0000767D" w:rsidRPr="00905199" w:rsidRDefault="003607C1">
      <w:pPr>
        <w:tabs>
          <w:tab w:val="clear" w:pos="567"/>
        </w:tabs>
        <w:spacing w:line="240" w:lineRule="auto"/>
        <w:rPr>
          <w:i/>
          <w:iCs/>
          <w:noProof/>
          <w:szCs w:val="22"/>
          <w:lang w:val="sk-SK"/>
        </w:rPr>
      </w:pPr>
      <w:r w:rsidRPr="00905199">
        <w:rPr>
          <w:i/>
          <w:iCs/>
          <w:noProof/>
          <w:szCs w:val="22"/>
          <w:lang w:val="sk-SK"/>
        </w:rPr>
        <w:t xml:space="preserve">Symptómy súvisiace s </w:t>
      </w:r>
      <w:r w:rsidR="00221A8D" w:rsidRPr="00905199">
        <w:rPr>
          <w:i/>
          <w:iCs/>
          <w:noProof/>
          <w:szCs w:val="22"/>
          <w:lang w:val="sk-SK"/>
        </w:rPr>
        <w:t>ibuprof</w:t>
      </w:r>
      <w:r w:rsidR="00221A8D">
        <w:rPr>
          <w:i/>
          <w:iCs/>
          <w:noProof/>
          <w:szCs w:val="22"/>
          <w:lang w:val="sk-SK"/>
        </w:rPr>
        <w:t>é</w:t>
      </w:r>
      <w:r w:rsidR="00221A8D" w:rsidRPr="00905199">
        <w:rPr>
          <w:i/>
          <w:iCs/>
          <w:noProof/>
          <w:szCs w:val="22"/>
          <w:lang w:val="sk-SK"/>
        </w:rPr>
        <w:t xml:space="preserve">nom </w:t>
      </w:r>
      <w:r w:rsidRPr="00905199">
        <w:rPr>
          <w:i/>
          <w:iCs/>
          <w:noProof/>
          <w:szCs w:val="22"/>
          <w:lang w:val="sk-SK"/>
        </w:rPr>
        <w:t>(ďalšie gastrointestinálne a neurologické symptómy k už uvedeným ako nežiaduce účinky)</w:t>
      </w:r>
    </w:p>
    <w:p w14:paraId="4AD1BAB8" w14:textId="77777777" w:rsidR="0000767D" w:rsidRPr="00905199" w:rsidRDefault="0000767D">
      <w:pPr>
        <w:tabs>
          <w:tab w:val="clear" w:pos="567"/>
        </w:tabs>
        <w:spacing w:line="240" w:lineRule="auto"/>
        <w:rPr>
          <w:i/>
          <w:noProof/>
          <w:szCs w:val="22"/>
          <w:lang w:val="sk-SK"/>
        </w:rPr>
      </w:pPr>
    </w:p>
    <w:p w14:paraId="6AF512E9" w14:textId="77777777" w:rsidR="0000767D" w:rsidRPr="00905199" w:rsidRDefault="003607C1">
      <w:pPr>
        <w:tabs>
          <w:tab w:val="clear" w:pos="567"/>
        </w:tabs>
        <w:spacing w:line="240" w:lineRule="auto"/>
        <w:rPr>
          <w:noProof/>
          <w:szCs w:val="22"/>
          <w:lang w:val="sk-SK"/>
        </w:rPr>
      </w:pPr>
      <w:r w:rsidRPr="00905199">
        <w:rPr>
          <w:noProof/>
          <w:szCs w:val="22"/>
          <w:lang w:val="sk-SK"/>
        </w:rPr>
        <w:t>Ospanlivosť, nystagmus, tin</w:t>
      </w:r>
      <w:r w:rsidR="002D72FB" w:rsidRPr="00905199">
        <w:rPr>
          <w:noProof/>
          <w:szCs w:val="22"/>
          <w:lang w:val="sk-SK"/>
        </w:rPr>
        <w:t>n</w:t>
      </w:r>
      <w:r w:rsidRPr="00905199">
        <w:rPr>
          <w:noProof/>
          <w:szCs w:val="22"/>
          <w:lang w:val="sk-SK"/>
        </w:rPr>
        <w:t>itus, hypotenzia, strata vedomia.</w:t>
      </w:r>
    </w:p>
    <w:p w14:paraId="56E36E54" w14:textId="77777777" w:rsidR="0000767D" w:rsidRDefault="0000767D">
      <w:pPr>
        <w:tabs>
          <w:tab w:val="clear" w:pos="567"/>
        </w:tabs>
        <w:spacing w:line="240" w:lineRule="auto"/>
        <w:rPr>
          <w:noProof/>
          <w:szCs w:val="22"/>
          <w:lang w:val="sk-SK"/>
        </w:rPr>
      </w:pPr>
    </w:p>
    <w:p w14:paraId="6E0C65C1" w14:textId="77777777" w:rsidR="00B43EB5" w:rsidRDefault="00B43EB5" w:rsidP="004F0E07">
      <w:pPr>
        <w:spacing w:line="240" w:lineRule="auto"/>
        <w:ind w:right="-20"/>
      </w:pPr>
      <w:r>
        <w:t xml:space="preserve">Pri </w:t>
      </w:r>
      <w:r w:rsidR="00B85161">
        <w:t>vážnej otrave</w:t>
      </w:r>
      <w:r>
        <w:t xml:space="preserve"> sa môže vyskytnúť metabolická acidóza.</w:t>
      </w:r>
    </w:p>
    <w:p w14:paraId="6CA883C3" w14:textId="77777777" w:rsidR="00B43EB5" w:rsidRPr="00905199" w:rsidRDefault="00B43EB5">
      <w:pPr>
        <w:tabs>
          <w:tab w:val="clear" w:pos="567"/>
        </w:tabs>
        <w:spacing w:line="240" w:lineRule="auto"/>
        <w:rPr>
          <w:noProof/>
          <w:szCs w:val="22"/>
          <w:lang w:val="sk-SK"/>
        </w:rPr>
      </w:pPr>
    </w:p>
    <w:p w14:paraId="17D3CA5A" w14:textId="77777777" w:rsidR="0000767D" w:rsidRPr="00905199" w:rsidRDefault="003607C1" w:rsidP="004F0E07">
      <w:pPr>
        <w:keepNext/>
        <w:tabs>
          <w:tab w:val="clear" w:pos="567"/>
        </w:tabs>
        <w:spacing w:line="240" w:lineRule="auto"/>
        <w:rPr>
          <w:i/>
          <w:iCs/>
          <w:noProof/>
          <w:szCs w:val="22"/>
          <w:lang w:val="sk-SK"/>
        </w:rPr>
      </w:pPr>
      <w:r w:rsidRPr="00905199">
        <w:rPr>
          <w:i/>
          <w:iCs/>
          <w:noProof/>
          <w:szCs w:val="22"/>
          <w:lang w:val="sk-SK"/>
        </w:rPr>
        <w:t>Terapeutické opatrenia</w:t>
      </w:r>
    </w:p>
    <w:p w14:paraId="33069193" w14:textId="77777777" w:rsidR="0000767D" w:rsidRPr="00905199" w:rsidRDefault="0000767D" w:rsidP="004F0E07">
      <w:pPr>
        <w:keepNext/>
        <w:tabs>
          <w:tab w:val="clear" w:pos="567"/>
        </w:tabs>
        <w:spacing w:line="240" w:lineRule="auto"/>
        <w:rPr>
          <w:i/>
          <w:noProof/>
          <w:szCs w:val="22"/>
          <w:lang w:val="sk-SK"/>
        </w:rPr>
      </w:pPr>
    </w:p>
    <w:p w14:paraId="1E0B74B1" w14:textId="77777777" w:rsidR="0000767D" w:rsidRPr="00905199" w:rsidRDefault="003607C1" w:rsidP="004F0E07">
      <w:pPr>
        <w:keepNext/>
        <w:tabs>
          <w:tab w:val="clear" w:pos="567"/>
        </w:tabs>
        <w:spacing w:line="240" w:lineRule="auto"/>
        <w:rPr>
          <w:noProof/>
          <w:szCs w:val="22"/>
          <w:lang w:val="sk-SK"/>
        </w:rPr>
      </w:pPr>
      <w:r w:rsidRPr="00905199">
        <w:rPr>
          <w:noProof/>
          <w:szCs w:val="22"/>
          <w:lang w:val="sk-SK"/>
        </w:rPr>
        <w:t>Nie je dostupné žiadne špecifické antidotum.</w:t>
      </w:r>
    </w:p>
    <w:p w14:paraId="38887E4C" w14:textId="77777777" w:rsidR="0000767D" w:rsidRPr="00905199" w:rsidRDefault="0000767D">
      <w:pPr>
        <w:tabs>
          <w:tab w:val="clear" w:pos="567"/>
        </w:tabs>
        <w:spacing w:line="240" w:lineRule="auto"/>
        <w:rPr>
          <w:noProof/>
          <w:szCs w:val="22"/>
          <w:lang w:val="sk-SK"/>
        </w:rPr>
      </w:pPr>
    </w:p>
    <w:p w14:paraId="6761F4D6" w14:textId="77777777" w:rsidR="0000767D" w:rsidRPr="00905199" w:rsidRDefault="003607C1">
      <w:pPr>
        <w:tabs>
          <w:tab w:val="clear" w:pos="567"/>
        </w:tabs>
        <w:spacing w:line="240" w:lineRule="auto"/>
        <w:rPr>
          <w:noProof/>
          <w:szCs w:val="22"/>
          <w:lang w:val="sk-SK"/>
        </w:rPr>
      </w:pPr>
      <w:r w:rsidRPr="00905199">
        <w:rPr>
          <w:noProof/>
          <w:szCs w:val="22"/>
          <w:lang w:val="sk-SK"/>
        </w:rPr>
        <w:t>Ak sa pacient dostaví v priebehu jednej hodiny od užitia možnej toxickej dávky</w:t>
      </w:r>
      <w:r w:rsidR="002D72FB" w:rsidRPr="00905199">
        <w:rPr>
          <w:noProof/>
          <w:szCs w:val="22"/>
          <w:lang w:val="sk-SK"/>
        </w:rPr>
        <w:t>,</w:t>
      </w:r>
      <w:r w:rsidRPr="00905199">
        <w:rPr>
          <w:noProof/>
          <w:szCs w:val="22"/>
          <w:lang w:val="sk-SK"/>
        </w:rPr>
        <w:t xml:space="preserve"> má sa zvážiť podanie aktívneho uhlia.</w:t>
      </w:r>
    </w:p>
    <w:p w14:paraId="33FA9DAB" w14:textId="77777777" w:rsidR="0000767D" w:rsidRPr="00905199" w:rsidRDefault="003607C1">
      <w:pPr>
        <w:tabs>
          <w:tab w:val="clear" w:pos="567"/>
        </w:tabs>
        <w:spacing w:line="240" w:lineRule="auto"/>
        <w:rPr>
          <w:noProof/>
          <w:szCs w:val="22"/>
          <w:lang w:val="sk-SK"/>
        </w:rPr>
      </w:pPr>
      <w:r w:rsidRPr="00905199">
        <w:rPr>
          <w:noProof/>
          <w:szCs w:val="22"/>
          <w:lang w:val="sk-SK"/>
        </w:rPr>
        <w:t>Majú sa kontrolovať elektrolyty a urobiť EKG. V prípade kardiovaskulárnej nestability a/alebo symptomatickej nerovnováhy elektrolytov sa má nasadiť symptomatická liečba.</w:t>
      </w:r>
    </w:p>
    <w:p w14:paraId="307F807D" w14:textId="77777777" w:rsidR="0000767D" w:rsidRPr="00905199" w:rsidRDefault="0000767D">
      <w:pPr>
        <w:tabs>
          <w:tab w:val="clear" w:pos="567"/>
        </w:tabs>
        <w:spacing w:line="240" w:lineRule="auto"/>
        <w:rPr>
          <w:i/>
          <w:noProof/>
          <w:szCs w:val="22"/>
          <w:lang w:val="sk-SK"/>
        </w:rPr>
      </w:pPr>
    </w:p>
    <w:p w14:paraId="26710D4F" w14:textId="77777777" w:rsidR="0000767D" w:rsidRPr="00905199" w:rsidRDefault="0000767D">
      <w:pPr>
        <w:tabs>
          <w:tab w:val="clear" w:pos="567"/>
        </w:tabs>
        <w:spacing w:line="240" w:lineRule="auto"/>
        <w:rPr>
          <w:i/>
          <w:noProof/>
          <w:szCs w:val="22"/>
          <w:lang w:val="sk-SK"/>
        </w:rPr>
      </w:pPr>
    </w:p>
    <w:p w14:paraId="5A1857A1" w14:textId="77777777" w:rsidR="0000767D" w:rsidRPr="00905199" w:rsidRDefault="003607C1">
      <w:pPr>
        <w:keepNext/>
        <w:keepLines/>
        <w:ind w:left="567" w:hanging="567"/>
        <w:rPr>
          <w:szCs w:val="22"/>
          <w:lang w:val="sk-SK"/>
        </w:rPr>
      </w:pPr>
      <w:r w:rsidRPr="00905199">
        <w:rPr>
          <w:b/>
          <w:szCs w:val="22"/>
          <w:lang w:val="sk-SK"/>
        </w:rPr>
        <w:t>5.</w:t>
      </w:r>
      <w:r w:rsidRPr="00905199">
        <w:rPr>
          <w:b/>
          <w:szCs w:val="22"/>
          <w:lang w:val="sk-SK"/>
        </w:rPr>
        <w:tab/>
        <w:t>FARMAKOLOGICKÉ VLASTNOSTI</w:t>
      </w:r>
    </w:p>
    <w:p w14:paraId="72E6A3B6" w14:textId="77777777" w:rsidR="0000767D" w:rsidRPr="00905199" w:rsidRDefault="0000767D">
      <w:pPr>
        <w:keepNext/>
        <w:keepLines/>
        <w:rPr>
          <w:b/>
          <w:szCs w:val="22"/>
          <w:lang w:val="sk-SK"/>
        </w:rPr>
      </w:pPr>
    </w:p>
    <w:p w14:paraId="1523705C" w14:textId="77777777" w:rsidR="0000767D" w:rsidRPr="00905199" w:rsidRDefault="003607C1">
      <w:pPr>
        <w:keepNext/>
        <w:keepLines/>
        <w:ind w:left="567" w:hanging="567"/>
        <w:rPr>
          <w:szCs w:val="22"/>
          <w:lang w:val="sk-SK"/>
        </w:rPr>
      </w:pPr>
      <w:r w:rsidRPr="00905199">
        <w:rPr>
          <w:b/>
          <w:szCs w:val="22"/>
          <w:lang w:val="sk-SK"/>
        </w:rPr>
        <w:t>5.1</w:t>
      </w:r>
      <w:r w:rsidRPr="00905199">
        <w:rPr>
          <w:b/>
          <w:szCs w:val="22"/>
          <w:lang w:val="sk-SK"/>
        </w:rPr>
        <w:tab/>
        <w:t>Farmakodynamické vlastnosti</w:t>
      </w:r>
    </w:p>
    <w:p w14:paraId="0B9A3AFD" w14:textId="77777777" w:rsidR="0000767D" w:rsidRPr="00905199" w:rsidRDefault="0000767D">
      <w:pPr>
        <w:rPr>
          <w:szCs w:val="22"/>
          <w:lang w:val="sk-SK"/>
        </w:rPr>
      </w:pPr>
    </w:p>
    <w:p w14:paraId="36D5ACEA" w14:textId="77777777" w:rsidR="0000767D" w:rsidRPr="00905199" w:rsidRDefault="003607C1">
      <w:pPr>
        <w:rPr>
          <w:szCs w:val="22"/>
          <w:lang w:val="sk-SK"/>
        </w:rPr>
      </w:pPr>
      <w:r w:rsidRPr="00905199">
        <w:rPr>
          <w:szCs w:val="22"/>
          <w:lang w:val="sk-SK"/>
        </w:rPr>
        <w:t xml:space="preserve">Farmakoterapeutická skupina: </w:t>
      </w:r>
      <w:r w:rsidR="00F67FCA">
        <w:rPr>
          <w:szCs w:val="22"/>
          <w:lang w:val="sk-SK"/>
        </w:rPr>
        <w:t>Antitusiká a lieky proti nac</w:t>
      </w:r>
      <w:r w:rsidRPr="00905199">
        <w:rPr>
          <w:szCs w:val="22"/>
          <w:lang w:val="sk-SK"/>
        </w:rPr>
        <w:t>hladnuti</w:t>
      </w:r>
      <w:r w:rsidR="00F67FCA">
        <w:rPr>
          <w:szCs w:val="22"/>
          <w:lang w:val="sk-SK"/>
        </w:rPr>
        <w:t>u</w:t>
      </w:r>
      <w:r w:rsidRPr="00905199">
        <w:rPr>
          <w:szCs w:val="22"/>
          <w:lang w:val="sk-SK"/>
        </w:rPr>
        <w:t>, iné</w:t>
      </w:r>
      <w:r w:rsidR="00F67FCA">
        <w:rPr>
          <w:szCs w:val="22"/>
          <w:lang w:val="sk-SK"/>
        </w:rPr>
        <w:t xml:space="preserve"> liečivá</w:t>
      </w:r>
      <w:r w:rsidRPr="00905199">
        <w:rPr>
          <w:szCs w:val="22"/>
          <w:lang w:val="sk-SK"/>
        </w:rPr>
        <w:t xml:space="preserve"> </w:t>
      </w:r>
      <w:r w:rsidR="00F67FCA">
        <w:rPr>
          <w:szCs w:val="22"/>
          <w:lang w:val="sk-SK"/>
        </w:rPr>
        <w:t>proti na</w:t>
      </w:r>
      <w:r w:rsidRPr="00905199">
        <w:rPr>
          <w:szCs w:val="22"/>
          <w:lang w:val="sk-SK"/>
        </w:rPr>
        <w:t>chladnuti</w:t>
      </w:r>
      <w:r w:rsidR="00F67FCA">
        <w:rPr>
          <w:szCs w:val="22"/>
          <w:lang w:val="sk-SK"/>
        </w:rPr>
        <w:t>u</w:t>
      </w:r>
      <w:r w:rsidRPr="00905199">
        <w:rPr>
          <w:szCs w:val="22"/>
          <w:lang w:val="sk-SK"/>
        </w:rPr>
        <w:t>.</w:t>
      </w:r>
    </w:p>
    <w:p w14:paraId="3E575EE8" w14:textId="77777777" w:rsidR="0000767D" w:rsidRPr="00905199" w:rsidRDefault="003607C1">
      <w:pPr>
        <w:rPr>
          <w:szCs w:val="22"/>
          <w:lang w:val="sk-SK"/>
        </w:rPr>
      </w:pPr>
      <w:r w:rsidRPr="00905199">
        <w:rPr>
          <w:szCs w:val="22"/>
          <w:lang w:val="sk-SK"/>
        </w:rPr>
        <w:t>ATC kód: R05X</w:t>
      </w:r>
    </w:p>
    <w:p w14:paraId="38E0B237" w14:textId="77777777" w:rsidR="0000767D" w:rsidRPr="00905199" w:rsidRDefault="0000767D">
      <w:pPr>
        <w:rPr>
          <w:szCs w:val="22"/>
          <w:lang w:val="sk-SK"/>
        </w:rPr>
      </w:pPr>
    </w:p>
    <w:p w14:paraId="1F21A9D8" w14:textId="77777777" w:rsidR="0000767D" w:rsidRPr="00905199" w:rsidRDefault="0000767D">
      <w:pPr>
        <w:rPr>
          <w:szCs w:val="22"/>
          <w:lang w:val="sk-SK"/>
        </w:rPr>
      </w:pPr>
    </w:p>
    <w:p w14:paraId="697D9058" w14:textId="2D434217" w:rsidR="0000767D" w:rsidRPr="00905199" w:rsidRDefault="004F27D0">
      <w:pPr>
        <w:rPr>
          <w:szCs w:val="22"/>
          <w:lang w:val="sk-SK"/>
        </w:rPr>
      </w:pPr>
      <w:r>
        <w:rPr>
          <w:szCs w:val="22"/>
          <w:lang w:val="sk-SK"/>
        </w:rPr>
        <w:t>Pseudoefedrínium-</w:t>
      </w:r>
      <w:r w:rsidR="003607C1" w:rsidRPr="00905199">
        <w:rPr>
          <w:szCs w:val="22"/>
          <w:lang w:val="sk-SK"/>
        </w:rPr>
        <w:t>chlorid je sympatomimetikum, ktoré, ak sa podáva systémovo, pôsobí ako nosové dekongestívum.</w:t>
      </w:r>
    </w:p>
    <w:p w14:paraId="111767BF" w14:textId="77777777" w:rsidR="0000767D" w:rsidRPr="00905199" w:rsidRDefault="0000767D">
      <w:pPr>
        <w:rPr>
          <w:szCs w:val="22"/>
          <w:lang w:val="sk-SK"/>
        </w:rPr>
      </w:pPr>
    </w:p>
    <w:p w14:paraId="49F3D3D1" w14:textId="77777777" w:rsidR="0000767D" w:rsidRPr="00905199" w:rsidRDefault="00221A8D">
      <w:pPr>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je NSAID, ktoré patrí do triedy liečiv deriváty kyseliny propiónovej. Je to derivát kyseliny arylkarboxylovej, ktorý má analgetické, antipyretické a protizápalové vlastnosti, ako aj krátkodobo pôsobiaci inhibičný účinok na funkciu trombocytov. Všetky tieto vlastnosti sa spájajú s jeho schopnosťou inhibovať syntézu prostaglandínov.</w:t>
      </w:r>
    </w:p>
    <w:p w14:paraId="2A11D311" w14:textId="77777777" w:rsidR="0000767D" w:rsidRPr="00905199" w:rsidRDefault="0000767D">
      <w:pPr>
        <w:rPr>
          <w:szCs w:val="22"/>
          <w:lang w:val="sk-SK"/>
        </w:rPr>
      </w:pPr>
    </w:p>
    <w:p w14:paraId="08DAFA5D" w14:textId="084B295A" w:rsidR="0000767D" w:rsidRPr="00905199" w:rsidRDefault="002654BB">
      <w:pPr>
        <w:rPr>
          <w:szCs w:val="22"/>
          <w:lang w:val="sk-SK"/>
        </w:rPr>
      </w:pPr>
      <w:r w:rsidRPr="00905199">
        <w:rPr>
          <w:szCs w:val="22"/>
          <w:lang w:val="sk-SK"/>
        </w:rPr>
        <w:lastRenderedPageBreak/>
        <w:t>Grippecton 200 mg/30 mg</w:t>
      </w:r>
      <w:r w:rsidR="003607C1" w:rsidRPr="00905199">
        <w:rPr>
          <w:szCs w:val="22"/>
          <w:lang w:val="sk-SK"/>
        </w:rPr>
        <w:t xml:space="preserve"> je kombináciou vazokonstriktora (</w:t>
      </w:r>
      <w:r w:rsidR="004F27D0">
        <w:rPr>
          <w:szCs w:val="22"/>
          <w:lang w:val="sk-SK"/>
        </w:rPr>
        <w:t>pseudoefedrínium-</w:t>
      </w:r>
      <w:r w:rsidR="003607C1" w:rsidRPr="00905199">
        <w:rPr>
          <w:szCs w:val="22"/>
          <w:lang w:val="sk-SK"/>
        </w:rPr>
        <w:t>chloridu) s analgetickou dávkou NSAID (</w:t>
      </w:r>
      <w:r w:rsidR="00221A8D" w:rsidRPr="00905199">
        <w:rPr>
          <w:szCs w:val="22"/>
          <w:lang w:val="sk-SK"/>
        </w:rPr>
        <w:t>ibuprof</w:t>
      </w:r>
      <w:r w:rsidR="00221A8D">
        <w:rPr>
          <w:szCs w:val="22"/>
          <w:lang w:val="sk-SK"/>
        </w:rPr>
        <w:t>é</w:t>
      </w:r>
      <w:r w:rsidR="00221A8D" w:rsidRPr="00905199">
        <w:rPr>
          <w:szCs w:val="22"/>
          <w:lang w:val="sk-SK"/>
        </w:rPr>
        <w:t>nu</w:t>
      </w:r>
      <w:r w:rsidR="003607C1" w:rsidRPr="00905199">
        <w:rPr>
          <w:szCs w:val="22"/>
          <w:lang w:val="sk-SK"/>
        </w:rPr>
        <w:t>).</w:t>
      </w:r>
    </w:p>
    <w:p w14:paraId="53C36454" w14:textId="77777777" w:rsidR="0000767D" w:rsidRPr="00905199" w:rsidRDefault="0000767D">
      <w:pPr>
        <w:rPr>
          <w:szCs w:val="22"/>
          <w:lang w:val="sk-SK"/>
        </w:rPr>
      </w:pPr>
    </w:p>
    <w:p w14:paraId="09ECBA3E" w14:textId="77777777" w:rsidR="0000767D" w:rsidRPr="00905199" w:rsidRDefault="003607C1">
      <w:pPr>
        <w:rPr>
          <w:szCs w:val="22"/>
          <w:lang w:val="sk-SK"/>
        </w:rPr>
      </w:pPr>
      <w:r w:rsidRPr="00905199">
        <w:rPr>
          <w:szCs w:val="22"/>
          <w:lang w:val="sk-SK"/>
        </w:rPr>
        <w:t xml:space="preserve">Experimentálne údaje naznačujú,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môže kompetitívnym spôsobom inhibovať účinok nízkej dávky kyseliny acetylsalicylovej na agregáciu trombocytov, keď sa podávajú súčasne. Niektoré farmakodynamické štúdie ukázali, že ak sa jednorazové dávky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podali buď 8 hodín pred podaním alebo do 30 minút po podaní kyseliny acetylsalicylovej s okamžitým uvoľňovaním (81 mg), znížil sa účinok kyseliny acetylsalicylovej na tvorbu tromboxánu alebo na agregáciu trombocytov. Aj keď existujú neistoty ohľadne extrapolácie týchto účinkov do klinickej situácie, možnosť, že pravidelné, dlhodobé používanie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bude znižovať kardioprotektívny účinok nízkej dávky kyseliny acetylsalicylovej sa nedá vylúčiť. Žiadny klinicky významný účinok sa nepovažuje za pravdepodobný pri príležitostnom použití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(pozri časť 4.5).</w:t>
      </w:r>
    </w:p>
    <w:p w14:paraId="59B19A30" w14:textId="77777777" w:rsidR="0000767D" w:rsidRPr="00905199" w:rsidRDefault="0000767D">
      <w:pPr>
        <w:rPr>
          <w:szCs w:val="22"/>
          <w:lang w:val="sk-SK"/>
        </w:rPr>
      </w:pPr>
    </w:p>
    <w:p w14:paraId="0D751016" w14:textId="77777777" w:rsidR="0000767D" w:rsidRPr="00905199" w:rsidRDefault="003607C1">
      <w:pPr>
        <w:ind w:left="567" w:hanging="567"/>
        <w:rPr>
          <w:b/>
          <w:szCs w:val="22"/>
          <w:lang w:val="sk-SK"/>
        </w:rPr>
      </w:pPr>
      <w:r w:rsidRPr="00905199">
        <w:rPr>
          <w:b/>
          <w:szCs w:val="22"/>
          <w:lang w:val="sk-SK"/>
        </w:rPr>
        <w:t>5.2</w:t>
      </w:r>
      <w:r w:rsidRPr="00905199">
        <w:rPr>
          <w:b/>
          <w:szCs w:val="22"/>
          <w:lang w:val="sk-SK"/>
        </w:rPr>
        <w:tab/>
        <w:t>Farmakokinetické vlastnosti</w:t>
      </w:r>
    </w:p>
    <w:p w14:paraId="5EF6DE01" w14:textId="77777777" w:rsidR="0000767D" w:rsidRPr="00905199" w:rsidRDefault="0000767D">
      <w:pPr>
        <w:ind w:left="567" w:hanging="567"/>
        <w:rPr>
          <w:b/>
          <w:bCs/>
          <w:i/>
          <w:iCs/>
          <w:szCs w:val="22"/>
          <w:lang w:val="sk-SK"/>
        </w:rPr>
      </w:pPr>
    </w:p>
    <w:p w14:paraId="3FAFA72D" w14:textId="77777777" w:rsidR="0000767D" w:rsidRPr="00905199" w:rsidRDefault="00221A8D">
      <w:pPr>
        <w:ind w:left="567" w:hanging="567"/>
        <w:rPr>
          <w:szCs w:val="22"/>
          <w:u w:val="single"/>
          <w:lang w:val="sk-SK"/>
        </w:rPr>
      </w:pPr>
      <w:r w:rsidRPr="00905199">
        <w:rPr>
          <w:bCs/>
          <w:iCs/>
          <w:szCs w:val="22"/>
          <w:u w:val="single"/>
          <w:lang w:val="sk-SK"/>
        </w:rPr>
        <w:t>Ibuprof</w:t>
      </w:r>
      <w:r>
        <w:rPr>
          <w:bCs/>
          <w:iCs/>
          <w:szCs w:val="22"/>
          <w:u w:val="single"/>
          <w:lang w:val="sk-SK"/>
        </w:rPr>
        <w:t>é</w:t>
      </w:r>
      <w:r w:rsidRPr="00905199">
        <w:rPr>
          <w:bCs/>
          <w:iCs/>
          <w:szCs w:val="22"/>
          <w:u w:val="single"/>
          <w:lang w:val="sk-SK"/>
        </w:rPr>
        <w:t>n</w:t>
      </w:r>
      <w:r w:rsidR="003607C1" w:rsidRPr="00905199">
        <w:rPr>
          <w:bCs/>
          <w:iCs/>
          <w:szCs w:val="22"/>
          <w:u w:val="single"/>
          <w:lang w:val="sk-SK"/>
        </w:rPr>
        <w:t>:</w:t>
      </w:r>
    </w:p>
    <w:p w14:paraId="50AD48E1"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 xml:space="preserve">Farmakokinetika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je pri terapeutických dávkach lineárna.</w:t>
      </w:r>
    </w:p>
    <w:p w14:paraId="22D1D048" w14:textId="77777777" w:rsidR="0000767D" w:rsidRPr="00905199" w:rsidRDefault="0000767D">
      <w:pPr>
        <w:tabs>
          <w:tab w:val="clear" w:pos="567"/>
        </w:tabs>
        <w:rPr>
          <w:i/>
          <w:iCs/>
          <w:szCs w:val="22"/>
          <w:lang w:val="sk-SK"/>
        </w:rPr>
      </w:pPr>
    </w:p>
    <w:p w14:paraId="66302D40" w14:textId="77777777" w:rsidR="0000767D" w:rsidRPr="00905199" w:rsidRDefault="003607C1">
      <w:pPr>
        <w:tabs>
          <w:tab w:val="clear" w:pos="567"/>
        </w:tabs>
        <w:rPr>
          <w:szCs w:val="22"/>
          <w:lang w:val="sk-SK"/>
        </w:rPr>
      </w:pPr>
      <w:r w:rsidRPr="00905199">
        <w:rPr>
          <w:i/>
          <w:iCs/>
          <w:szCs w:val="22"/>
          <w:lang w:val="sk-SK"/>
        </w:rPr>
        <w:t>Absorpcia:</w:t>
      </w:r>
    </w:p>
    <w:p w14:paraId="6144DAF2"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Maximálne plazmatické hladiny sa po perorálnom podaní dosiahnu v priebehu 90 minút.</w:t>
      </w:r>
    </w:p>
    <w:p w14:paraId="299068EE"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Po jednorazovej dávke sú maximálne plazmatické hladiny u dospelých proporcionálne k podanej dávke (C</w:t>
      </w:r>
      <w:r w:rsidRPr="00905199">
        <w:rPr>
          <w:szCs w:val="22"/>
          <w:vertAlign w:val="subscript"/>
          <w:lang w:val="sk-SK"/>
        </w:rPr>
        <w:t>max</w:t>
      </w:r>
      <w:r w:rsidRPr="00905199">
        <w:rPr>
          <w:szCs w:val="22"/>
          <w:lang w:val="sk-SK"/>
        </w:rPr>
        <w:t xml:space="preserve"> je 17 ± 3,5 µg/ml pri dávke 200 mg a 30,3 ± 4,7 µg/ml pri dávke 400 mg). Absorpcia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sa predlžuje jedlom.</w:t>
      </w:r>
    </w:p>
    <w:p w14:paraId="24164555" w14:textId="77777777" w:rsidR="0000767D" w:rsidRPr="00905199" w:rsidRDefault="0000767D">
      <w:pPr>
        <w:tabs>
          <w:tab w:val="clear" w:pos="567"/>
        </w:tabs>
        <w:rPr>
          <w:szCs w:val="22"/>
          <w:lang w:val="sk-SK"/>
        </w:rPr>
      </w:pPr>
    </w:p>
    <w:p w14:paraId="056EA3AD" w14:textId="77777777" w:rsidR="0000767D" w:rsidRPr="00905199" w:rsidRDefault="003607C1">
      <w:pPr>
        <w:tabs>
          <w:tab w:val="clear" w:pos="567"/>
        </w:tabs>
        <w:rPr>
          <w:szCs w:val="22"/>
          <w:lang w:val="sk-SK"/>
        </w:rPr>
      </w:pPr>
      <w:r w:rsidRPr="00905199">
        <w:rPr>
          <w:i/>
          <w:iCs/>
          <w:szCs w:val="22"/>
          <w:lang w:val="sk-SK"/>
        </w:rPr>
        <w:t>Distribúcia</w:t>
      </w:r>
    </w:p>
    <w:p w14:paraId="0089D681" w14:textId="77777777" w:rsidR="0000767D" w:rsidRPr="00905199" w:rsidRDefault="00221A8D" w:rsidP="003E1F62">
      <w:pPr>
        <w:tabs>
          <w:tab w:val="left" w:pos="540"/>
          <w:tab w:val="left" w:pos="851"/>
          <w:tab w:val="left" w:pos="1260"/>
          <w:tab w:val="right" w:pos="7920"/>
        </w:tabs>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sa neakumuluje. Väzba na plazmatické proteíny je 99 %.</w:t>
      </w:r>
    </w:p>
    <w:p w14:paraId="42F6BE3F"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 xml:space="preserve">V synoviálnej tekutine sa nachádzajú stabilné hladiny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medzi dvoma až ôsmimi hodinami po podaní, s hodnotou C</w:t>
      </w:r>
      <w:r w:rsidRPr="00905199">
        <w:rPr>
          <w:szCs w:val="22"/>
          <w:vertAlign w:val="subscript"/>
          <w:lang w:val="sk-SK"/>
        </w:rPr>
        <w:t>max</w:t>
      </w:r>
      <w:r w:rsidRPr="00905199">
        <w:rPr>
          <w:szCs w:val="22"/>
          <w:lang w:val="sk-SK"/>
        </w:rPr>
        <w:t xml:space="preserve"> </w:t>
      </w:r>
      <w:r w:rsidR="00111E1B" w:rsidRPr="00905199">
        <w:rPr>
          <w:szCs w:val="22"/>
          <w:lang w:val="sk-SK"/>
        </w:rPr>
        <w:t xml:space="preserve">v </w:t>
      </w:r>
      <w:r w:rsidRPr="00905199">
        <w:rPr>
          <w:szCs w:val="22"/>
          <w:lang w:val="sk-SK"/>
        </w:rPr>
        <w:t>synoviálnej tekutin</w:t>
      </w:r>
      <w:r w:rsidR="00111E1B" w:rsidRPr="00905199">
        <w:rPr>
          <w:szCs w:val="22"/>
          <w:lang w:val="sk-SK"/>
        </w:rPr>
        <w:t>e</w:t>
      </w:r>
      <w:r w:rsidRPr="00905199">
        <w:rPr>
          <w:szCs w:val="22"/>
          <w:lang w:val="sk-SK"/>
        </w:rPr>
        <w:t xml:space="preserve"> asi jednej tretiny hodnoty C</w:t>
      </w:r>
      <w:r w:rsidRPr="00905199">
        <w:rPr>
          <w:szCs w:val="22"/>
          <w:vertAlign w:val="subscript"/>
          <w:lang w:val="sk-SK"/>
        </w:rPr>
        <w:t>max</w:t>
      </w:r>
      <w:r w:rsidRPr="00905199">
        <w:rPr>
          <w:szCs w:val="22"/>
          <w:lang w:val="sk-SK"/>
        </w:rPr>
        <w:t xml:space="preserve"> v plazme. Množstvo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vylúčené do materského mlieka dojčiacich žien je po podaní 400 mg každých 6 hodín nižšie ako 1 mg za 24 hodín.</w:t>
      </w:r>
    </w:p>
    <w:p w14:paraId="0EED5740" w14:textId="77777777" w:rsidR="0000767D" w:rsidRPr="00905199" w:rsidRDefault="0000767D">
      <w:pPr>
        <w:tabs>
          <w:tab w:val="clear" w:pos="567"/>
        </w:tabs>
        <w:rPr>
          <w:szCs w:val="22"/>
          <w:lang w:val="sk-SK"/>
        </w:rPr>
      </w:pPr>
    </w:p>
    <w:p w14:paraId="4238E174" w14:textId="77777777" w:rsidR="0000767D" w:rsidRPr="00905199" w:rsidRDefault="003607C1">
      <w:pPr>
        <w:tabs>
          <w:tab w:val="clear" w:pos="567"/>
        </w:tabs>
        <w:rPr>
          <w:szCs w:val="22"/>
          <w:lang w:val="sk-SK"/>
        </w:rPr>
      </w:pPr>
      <w:r w:rsidRPr="00905199">
        <w:rPr>
          <w:i/>
          <w:iCs/>
          <w:szCs w:val="22"/>
          <w:lang w:val="sk-SK"/>
        </w:rPr>
        <w:t>Biotransformácia:</w:t>
      </w:r>
    </w:p>
    <w:p w14:paraId="1B2E099E" w14:textId="77777777" w:rsidR="0000767D" w:rsidRPr="00905199" w:rsidRDefault="00221A8D" w:rsidP="003E1F62">
      <w:pPr>
        <w:tabs>
          <w:tab w:val="left" w:pos="540"/>
          <w:tab w:val="left" w:pos="851"/>
          <w:tab w:val="left" w:pos="1260"/>
          <w:tab w:val="right" w:pos="7920"/>
        </w:tabs>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nie je induktor enzýmov. Asi 90 % dávky sa metabolizuje na neaktívne metabolity.</w:t>
      </w:r>
    </w:p>
    <w:p w14:paraId="5033AA25" w14:textId="77777777" w:rsidR="0000767D" w:rsidRPr="00905199" w:rsidRDefault="0000767D">
      <w:pPr>
        <w:tabs>
          <w:tab w:val="clear" w:pos="567"/>
        </w:tabs>
        <w:rPr>
          <w:szCs w:val="22"/>
          <w:lang w:val="sk-SK"/>
        </w:rPr>
      </w:pPr>
    </w:p>
    <w:p w14:paraId="69132CAC" w14:textId="77777777" w:rsidR="0000767D" w:rsidRPr="00905199" w:rsidRDefault="003607C1">
      <w:pPr>
        <w:tabs>
          <w:tab w:val="clear" w:pos="567"/>
        </w:tabs>
        <w:rPr>
          <w:szCs w:val="22"/>
          <w:lang w:val="sk-SK"/>
        </w:rPr>
      </w:pPr>
      <w:r w:rsidRPr="00905199">
        <w:rPr>
          <w:i/>
          <w:iCs/>
          <w:szCs w:val="22"/>
          <w:lang w:val="sk-SK"/>
        </w:rPr>
        <w:t>Eliminácia</w:t>
      </w:r>
      <w:r w:rsidRPr="00905199">
        <w:rPr>
          <w:szCs w:val="22"/>
          <w:lang w:val="sk-SK"/>
        </w:rPr>
        <w:t>:</w:t>
      </w:r>
    </w:p>
    <w:p w14:paraId="1FA5BD85" w14:textId="77777777" w:rsidR="0000767D" w:rsidRPr="00905199" w:rsidRDefault="00221A8D" w:rsidP="003E1F62">
      <w:pPr>
        <w:tabs>
          <w:tab w:val="left" w:pos="540"/>
          <w:tab w:val="left" w:pos="851"/>
          <w:tab w:val="left" w:pos="1260"/>
          <w:tab w:val="right" w:pos="7920"/>
        </w:tabs>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 xml:space="preserve">sa vylučuje hlavne močom. </w:t>
      </w: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sa úplne vylúči do 24 hodín, s 10 % v nezmenenej forme a 90 % vo forme neaktívnych metabolitov, ktoré sú predovšetkým konjugátmi glukuronidu.</w:t>
      </w:r>
    </w:p>
    <w:p w14:paraId="34645489"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Polčas eliminácie je približne 2 hodiny.</w:t>
      </w:r>
    </w:p>
    <w:p w14:paraId="080BCE9C" w14:textId="77777777" w:rsidR="0000767D" w:rsidRPr="00905199" w:rsidRDefault="0000767D">
      <w:pPr>
        <w:tabs>
          <w:tab w:val="left" w:pos="540"/>
          <w:tab w:val="left" w:pos="851"/>
          <w:tab w:val="left" w:pos="1260"/>
          <w:tab w:val="right" w:pos="7920"/>
        </w:tabs>
        <w:jc w:val="both"/>
        <w:rPr>
          <w:szCs w:val="22"/>
          <w:lang w:val="sk-SK"/>
        </w:rPr>
      </w:pPr>
    </w:p>
    <w:p w14:paraId="4801EB0C"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 xml:space="preserve">Farmakokinetické parametre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sú iba mierne zmenené u starších pacientov, u pacientov so zlyhaním obličiek a u pacientov s pečeňovou insuficienciou. Pozorované zmeny nevyžadujú žiadnu úpravu dávky.</w:t>
      </w:r>
    </w:p>
    <w:p w14:paraId="0CA303EE" w14:textId="77777777" w:rsidR="0000767D" w:rsidRPr="00905199" w:rsidRDefault="0000767D">
      <w:pPr>
        <w:tabs>
          <w:tab w:val="left" w:pos="540"/>
          <w:tab w:val="left" w:pos="851"/>
          <w:tab w:val="left" w:pos="1260"/>
          <w:tab w:val="right" w:pos="7920"/>
        </w:tabs>
        <w:jc w:val="both"/>
        <w:rPr>
          <w:szCs w:val="22"/>
          <w:lang w:val="sk-SK"/>
        </w:rPr>
      </w:pPr>
    </w:p>
    <w:p w14:paraId="64DA6965" w14:textId="467E0FA0" w:rsidR="0000767D" w:rsidRPr="00905199" w:rsidRDefault="004F27D0" w:rsidP="00AF5569">
      <w:pPr>
        <w:tabs>
          <w:tab w:val="clear" w:pos="567"/>
        </w:tabs>
        <w:rPr>
          <w:bCs/>
          <w:iCs/>
          <w:szCs w:val="22"/>
          <w:u w:val="single"/>
          <w:lang w:val="sk-SK"/>
        </w:rPr>
      </w:pPr>
      <w:r>
        <w:rPr>
          <w:bCs/>
          <w:iCs/>
          <w:szCs w:val="22"/>
          <w:u w:val="single"/>
          <w:lang w:val="sk-SK"/>
        </w:rPr>
        <w:t>Pseudoefedrínium-</w:t>
      </w:r>
      <w:r w:rsidR="003607C1" w:rsidRPr="00905199">
        <w:rPr>
          <w:bCs/>
          <w:iCs/>
          <w:szCs w:val="22"/>
          <w:u w:val="single"/>
          <w:lang w:val="sk-SK"/>
        </w:rPr>
        <w:t>chlorid:</w:t>
      </w:r>
    </w:p>
    <w:p w14:paraId="2A0A40C7" w14:textId="77777777" w:rsidR="0000767D" w:rsidRPr="00905199" w:rsidRDefault="0000767D" w:rsidP="00855F8B">
      <w:pPr>
        <w:tabs>
          <w:tab w:val="clear" w:pos="567"/>
        </w:tabs>
        <w:rPr>
          <w:szCs w:val="22"/>
          <w:lang w:val="sk-SK"/>
        </w:rPr>
      </w:pPr>
    </w:p>
    <w:p w14:paraId="6663DA26" w14:textId="6D2A5439"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 xml:space="preserve">Po perorálnom podaní sa </w:t>
      </w:r>
      <w:r w:rsidR="004F27D0">
        <w:rPr>
          <w:szCs w:val="22"/>
          <w:lang w:val="sk-SK"/>
        </w:rPr>
        <w:t>pseudoefedrínium-</w:t>
      </w:r>
      <w:r w:rsidRPr="00905199">
        <w:rPr>
          <w:szCs w:val="22"/>
          <w:lang w:val="sk-SK"/>
        </w:rPr>
        <w:t>chlorid z veľkej časti vylučuje nezmenený (70 až 90 %) obličkami.</w:t>
      </w:r>
    </w:p>
    <w:p w14:paraId="1FB4C510" w14:textId="77777777" w:rsidR="0000767D" w:rsidRPr="00905199" w:rsidRDefault="0000767D" w:rsidP="003E1F62">
      <w:pPr>
        <w:tabs>
          <w:tab w:val="left" w:pos="540"/>
          <w:tab w:val="left" w:pos="851"/>
          <w:tab w:val="left" w:pos="1260"/>
          <w:tab w:val="right" w:pos="7920"/>
        </w:tabs>
        <w:rPr>
          <w:szCs w:val="22"/>
          <w:lang w:val="sk-SK"/>
        </w:rPr>
      </w:pPr>
    </w:p>
    <w:p w14:paraId="74F8C7CF" w14:textId="77777777"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Polčas eliminácie závisí od pH moču.</w:t>
      </w:r>
    </w:p>
    <w:p w14:paraId="0716379B" w14:textId="77777777" w:rsidR="0000767D" w:rsidRPr="00905199" w:rsidRDefault="0000767D" w:rsidP="003E1F62">
      <w:pPr>
        <w:tabs>
          <w:tab w:val="left" w:pos="540"/>
          <w:tab w:val="left" w:pos="851"/>
          <w:tab w:val="left" w:pos="1260"/>
          <w:tab w:val="right" w:pos="7920"/>
        </w:tabs>
        <w:rPr>
          <w:szCs w:val="22"/>
          <w:lang w:val="sk-SK"/>
        </w:rPr>
      </w:pPr>
    </w:p>
    <w:p w14:paraId="7A5FDBE5" w14:textId="4662D688"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 xml:space="preserve">Alkalizácia moču vedie k zvýšenej tubulárnej reabsorpcii, a tým predlžuje polčas eliminácie </w:t>
      </w:r>
      <w:r w:rsidR="004F27D0">
        <w:rPr>
          <w:szCs w:val="22"/>
          <w:lang w:val="sk-SK"/>
        </w:rPr>
        <w:t>pseudoefedrínium-</w:t>
      </w:r>
      <w:r w:rsidRPr="00905199">
        <w:rPr>
          <w:szCs w:val="22"/>
          <w:lang w:val="sk-SK"/>
        </w:rPr>
        <w:t>chloridu.</w:t>
      </w:r>
    </w:p>
    <w:p w14:paraId="4A83CEEF" w14:textId="77777777" w:rsidR="0000767D" w:rsidRPr="00905199" w:rsidRDefault="0000767D">
      <w:pPr>
        <w:tabs>
          <w:tab w:val="clear" w:pos="567"/>
        </w:tabs>
        <w:rPr>
          <w:b/>
          <w:szCs w:val="22"/>
          <w:lang w:val="sk-SK"/>
        </w:rPr>
      </w:pPr>
    </w:p>
    <w:p w14:paraId="3DA692A6" w14:textId="77777777" w:rsidR="0000767D" w:rsidRPr="00905199" w:rsidRDefault="003607C1">
      <w:pPr>
        <w:ind w:left="567" w:hanging="567"/>
        <w:rPr>
          <w:szCs w:val="22"/>
          <w:lang w:val="sk-SK"/>
        </w:rPr>
      </w:pPr>
      <w:r w:rsidRPr="00905199">
        <w:rPr>
          <w:b/>
          <w:szCs w:val="22"/>
          <w:lang w:val="sk-SK"/>
        </w:rPr>
        <w:t>5.3</w:t>
      </w:r>
      <w:r w:rsidRPr="00905199">
        <w:rPr>
          <w:b/>
          <w:szCs w:val="22"/>
          <w:lang w:val="sk-SK"/>
        </w:rPr>
        <w:tab/>
        <w:t>Predklinické údaje o bezpečnosti</w:t>
      </w:r>
    </w:p>
    <w:p w14:paraId="3A54AC64" w14:textId="77777777" w:rsidR="0000767D" w:rsidRPr="00905199" w:rsidRDefault="0000767D">
      <w:pPr>
        <w:jc w:val="both"/>
        <w:rPr>
          <w:szCs w:val="22"/>
          <w:lang w:val="sk-SK"/>
        </w:rPr>
      </w:pPr>
    </w:p>
    <w:p w14:paraId="5D665A1C" w14:textId="58CCEA2F" w:rsidR="0000767D" w:rsidRPr="00905199" w:rsidRDefault="003607C1" w:rsidP="003E1F62">
      <w:pPr>
        <w:rPr>
          <w:szCs w:val="22"/>
          <w:lang w:val="sk-SK"/>
        </w:rPr>
      </w:pPr>
      <w:r w:rsidRPr="00905199">
        <w:rPr>
          <w:szCs w:val="22"/>
          <w:lang w:val="sk-SK"/>
        </w:rPr>
        <w:lastRenderedPageBreak/>
        <w:t>Hodnoty LD</w:t>
      </w:r>
      <w:r w:rsidRPr="00905199">
        <w:rPr>
          <w:szCs w:val="22"/>
          <w:vertAlign w:val="subscript"/>
          <w:lang w:val="sk-SK"/>
        </w:rPr>
        <w:t>50</w:t>
      </w:r>
      <w:r w:rsidRPr="00905199">
        <w:rPr>
          <w:szCs w:val="22"/>
          <w:lang w:val="sk-SK"/>
        </w:rPr>
        <w:t xml:space="preserve">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w:t>
      </w:r>
      <w:r w:rsidR="004F27D0">
        <w:rPr>
          <w:szCs w:val="22"/>
          <w:lang w:val="sk-SK"/>
        </w:rPr>
        <w:t>pseudoefedrínium-</w:t>
      </w:r>
      <w:r w:rsidRPr="00905199">
        <w:rPr>
          <w:szCs w:val="22"/>
          <w:lang w:val="sk-SK"/>
        </w:rPr>
        <w:t xml:space="preserve">chloridu v štúdiách </w:t>
      </w:r>
      <w:r w:rsidR="00DF6017" w:rsidRPr="00905199">
        <w:rPr>
          <w:szCs w:val="22"/>
          <w:lang w:val="sk-SK"/>
        </w:rPr>
        <w:t xml:space="preserve"> </w:t>
      </w:r>
      <w:r w:rsidR="00111E1B" w:rsidRPr="00905199">
        <w:rPr>
          <w:szCs w:val="22"/>
          <w:lang w:val="sk-SK"/>
        </w:rPr>
        <w:t xml:space="preserve">akútnej perorálnej </w:t>
      </w:r>
      <w:r w:rsidRPr="00905199">
        <w:rPr>
          <w:szCs w:val="22"/>
          <w:lang w:val="sk-SK"/>
        </w:rPr>
        <w:t>toxicity boli: 2,40 g/kg u myší a 1,45 g/kg u potkanov.</w:t>
      </w:r>
    </w:p>
    <w:p w14:paraId="3A9BBF96" w14:textId="77777777" w:rsidR="0000767D" w:rsidRPr="00905199" w:rsidRDefault="0000767D" w:rsidP="003E1F62">
      <w:pPr>
        <w:rPr>
          <w:szCs w:val="22"/>
          <w:lang w:val="sk-SK"/>
        </w:rPr>
      </w:pPr>
    </w:p>
    <w:p w14:paraId="0411A80D" w14:textId="4840F18E" w:rsidR="0000767D" w:rsidRPr="00905199" w:rsidRDefault="003607C1" w:rsidP="003E1F62">
      <w:pPr>
        <w:rPr>
          <w:szCs w:val="22"/>
          <w:lang w:val="sk-SK"/>
        </w:rPr>
      </w:pPr>
      <w:r w:rsidRPr="00905199">
        <w:rPr>
          <w:szCs w:val="22"/>
          <w:lang w:val="sk-SK"/>
        </w:rPr>
        <w:t xml:space="preserve">Nevykonali sa žiadne štúdie toxicity po opakovanom podávaní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w:t>
      </w:r>
      <w:r w:rsidR="004F27D0">
        <w:rPr>
          <w:szCs w:val="22"/>
          <w:lang w:val="sk-SK"/>
        </w:rPr>
        <w:t>pseudoefedrínium-</w:t>
      </w:r>
      <w:r w:rsidRPr="00905199">
        <w:rPr>
          <w:szCs w:val="22"/>
          <w:lang w:val="sk-SK"/>
        </w:rPr>
        <w:t>chloridu.</w:t>
      </w:r>
    </w:p>
    <w:p w14:paraId="3468A3EF" w14:textId="77777777" w:rsidR="0000767D" w:rsidRPr="00905199" w:rsidRDefault="0000767D" w:rsidP="003E1F62">
      <w:pPr>
        <w:rPr>
          <w:szCs w:val="22"/>
          <w:lang w:val="sk-SK"/>
        </w:rPr>
      </w:pPr>
    </w:p>
    <w:p w14:paraId="2D65DDEB" w14:textId="7E7F9E50" w:rsidR="0000767D" w:rsidRPr="00905199" w:rsidRDefault="003607C1" w:rsidP="003E1F62">
      <w:pPr>
        <w:rPr>
          <w:szCs w:val="22"/>
          <w:lang w:val="sk-SK"/>
        </w:rPr>
      </w:pPr>
      <w:r w:rsidRPr="00905199">
        <w:rPr>
          <w:szCs w:val="22"/>
          <w:lang w:val="sk-SK"/>
        </w:rPr>
        <w:t xml:space="preserve">Pre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ani </w:t>
      </w:r>
      <w:r w:rsidR="00DF6017" w:rsidRPr="00905199">
        <w:rPr>
          <w:szCs w:val="22"/>
          <w:lang w:val="sk-SK"/>
        </w:rPr>
        <w:t xml:space="preserve">pre </w:t>
      </w:r>
      <w:r w:rsidRPr="00905199">
        <w:rPr>
          <w:szCs w:val="22"/>
          <w:lang w:val="sk-SK"/>
        </w:rPr>
        <w:t xml:space="preserve">kombináciu </w:t>
      </w:r>
      <w:r w:rsidR="004F27D0">
        <w:rPr>
          <w:szCs w:val="22"/>
          <w:lang w:val="sk-SK"/>
        </w:rPr>
        <w:t>pseudoefedrínium-</w:t>
      </w:r>
      <w:r w:rsidRPr="00905199">
        <w:rPr>
          <w:szCs w:val="22"/>
          <w:lang w:val="sk-SK"/>
        </w:rPr>
        <w:t>chlorid/</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sa pri použití Amesovho testu nepozorovala žiadna mutagenita.</w:t>
      </w:r>
    </w:p>
    <w:p w14:paraId="37FF4EE6" w14:textId="77777777" w:rsidR="0000767D" w:rsidRPr="00905199" w:rsidRDefault="0000767D" w:rsidP="003E1F62">
      <w:pPr>
        <w:rPr>
          <w:b/>
          <w:bCs/>
          <w:i/>
          <w:iCs/>
          <w:szCs w:val="22"/>
          <w:lang w:val="sk-SK"/>
        </w:rPr>
      </w:pPr>
    </w:p>
    <w:p w14:paraId="58828ED1" w14:textId="77777777" w:rsidR="0000767D" w:rsidRPr="00905199" w:rsidRDefault="003607C1" w:rsidP="003E1F62">
      <w:pPr>
        <w:rPr>
          <w:szCs w:val="22"/>
          <w:lang w:val="sk-SK"/>
        </w:rPr>
      </w:pPr>
      <w:r w:rsidRPr="00905199">
        <w:rPr>
          <w:szCs w:val="22"/>
          <w:lang w:val="sk-SK"/>
        </w:rPr>
        <w:t xml:space="preserve">Subchronická a chronická toxicita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 pokusoch na zvieratách sa prejavila hlavne vo forme lézií a ulceráci</w:t>
      </w:r>
      <w:r w:rsidR="00DF6017" w:rsidRPr="00905199">
        <w:rPr>
          <w:szCs w:val="22"/>
          <w:lang w:val="sk-SK"/>
        </w:rPr>
        <w:t>í</w:t>
      </w:r>
      <w:r w:rsidRPr="00905199">
        <w:rPr>
          <w:szCs w:val="22"/>
          <w:lang w:val="sk-SK"/>
        </w:rPr>
        <w:t xml:space="preserve"> v gastrointestinálnom trakte. V štúdiách na potkanoch a myšiach sa nenašiel žiaden dôkaz karcinogénneho účinku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w:t>
      </w:r>
    </w:p>
    <w:p w14:paraId="23ADC9C9" w14:textId="77777777" w:rsidR="0000767D" w:rsidRPr="00905199" w:rsidRDefault="0000767D" w:rsidP="003E1F62">
      <w:pPr>
        <w:tabs>
          <w:tab w:val="left" w:pos="540"/>
          <w:tab w:val="left" w:pos="851"/>
          <w:tab w:val="left" w:pos="1260"/>
          <w:tab w:val="right" w:pos="7920"/>
        </w:tabs>
        <w:rPr>
          <w:b/>
          <w:bCs/>
          <w:i/>
          <w:iCs/>
          <w:strike/>
          <w:szCs w:val="22"/>
          <w:lang w:val="sk-SK"/>
        </w:rPr>
      </w:pPr>
    </w:p>
    <w:p w14:paraId="5D22E009" w14:textId="00E95914" w:rsidR="0000767D" w:rsidRPr="00905199" w:rsidRDefault="003607C1" w:rsidP="003E1F62">
      <w:pPr>
        <w:tabs>
          <w:tab w:val="left" w:pos="540"/>
          <w:tab w:val="left" w:pos="851"/>
          <w:tab w:val="left" w:pos="1260"/>
          <w:tab w:val="right" w:pos="7920"/>
        </w:tabs>
        <w:rPr>
          <w:szCs w:val="22"/>
          <w:lang w:val="sk-SK"/>
        </w:rPr>
      </w:pPr>
      <w:r w:rsidRPr="00905199">
        <w:rPr>
          <w:szCs w:val="22"/>
          <w:lang w:val="sk-SK"/>
        </w:rPr>
        <w:t>Štúdie reprotox</w:t>
      </w:r>
      <w:r w:rsidR="00DF6017" w:rsidRPr="00905199">
        <w:rPr>
          <w:szCs w:val="22"/>
          <w:lang w:val="sk-SK"/>
        </w:rPr>
        <w:t>i</w:t>
      </w:r>
      <w:r w:rsidRPr="00905199">
        <w:rPr>
          <w:szCs w:val="22"/>
          <w:lang w:val="sk-SK"/>
        </w:rPr>
        <w:t xml:space="preserve">city u myší a potkanov s individuálnymi zložkami (~ 100 mg/kg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xml:space="preserve">; ~ 15 mg/kg </w:t>
      </w:r>
      <w:r w:rsidR="004F27D0">
        <w:rPr>
          <w:szCs w:val="22"/>
          <w:lang w:val="sk-SK"/>
        </w:rPr>
        <w:t>pseudoefedrínium-</w:t>
      </w:r>
      <w:r w:rsidRPr="00905199">
        <w:rPr>
          <w:szCs w:val="22"/>
          <w:lang w:val="sk-SK"/>
        </w:rPr>
        <w:t>chloridu) ani s kombináciou týchto látok neodhalil žiaden náznak materskej alebo fetálnej toxicity alebo teratogenity.</w:t>
      </w:r>
    </w:p>
    <w:p w14:paraId="1DF9A611" w14:textId="77777777" w:rsidR="0000767D" w:rsidRPr="00905199" w:rsidRDefault="0000767D" w:rsidP="003E1F62">
      <w:pPr>
        <w:rPr>
          <w:i/>
          <w:iCs/>
          <w:szCs w:val="22"/>
          <w:lang w:val="sk-SK"/>
        </w:rPr>
      </w:pPr>
    </w:p>
    <w:p w14:paraId="0D64AA21" w14:textId="29B35002" w:rsidR="0000767D" w:rsidRPr="00905199" w:rsidRDefault="003607C1" w:rsidP="003E1F62">
      <w:pPr>
        <w:rPr>
          <w:szCs w:val="22"/>
          <w:lang w:val="sk-SK"/>
        </w:rPr>
      </w:pPr>
      <w:r w:rsidRPr="00905199">
        <w:rPr>
          <w:szCs w:val="22"/>
          <w:lang w:val="sk-SK"/>
        </w:rPr>
        <w:t xml:space="preserve">V dávkach toxických pre matku indukoval </w:t>
      </w:r>
      <w:r w:rsidR="004F27D0">
        <w:rPr>
          <w:szCs w:val="22"/>
          <w:lang w:val="sk-SK"/>
        </w:rPr>
        <w:t>pseudoefedrínium-</w:t>
      </w:r>
      <w:r w:rsidRPr="00905199">
        <w:rPr>
          <w:szCs w:val="22"/>
          <w:lang w:val="sk-SK"/>
        </w:rPr>
        <w:t xml:space="preserve">chlorid fetotoxicitu (znížená hmotnosť plodu a oneskorená osifikácia) u potkanov. Pre </w:t>
      </w:r>
      <w:r w:rsidR="004F27D0">
        <w:rPr>
          <w:szCs w:val="22"/>
          <w:lang w:val="sk-SK"/>
        </w:rPr>
        <w:t>pseudoefedrínium-</w:t>
      </w:r>
      <w:r w:rsidRPr="00905199">
        <w:rPr>
          <w:szCs w:val="22"/>
          <w:lang w:val="sk-SK"/>
        </w:rPr>
        <w:t>chlorid sa nevykonali štúdie fertility ani peri-postnatálne štúdie.</w:t>
      </w:r>
    </w:p>
    <w:p w14:paraId="69DF6032" w14:textId="77777777" w:rsidR="0000767D" w:rsidRPr="00905199" w:rsidRDefault="0000767D" w:rsidP="003E1F62">
      <w:pPr>
        <w:rPr>
          <w:i/>
          <w:iCs/>
          <w:szCs w:val="22"/>
          <w:lang w:val="sk-SK"/>
        </w:rPr>
      </w:pPr>
    </w:p>
    <w:p w14:paraId="397A3E73" w14:textId="77777777" w:rsidR="0000767D" w:rsidRPr="00905199" w:rsidRDefault="003607C1" w:rsidP="003E1F62">
      <w:pPr>
        <w:rPr>
          <w:szCs w:val="22"/>
          <w:lang w:val="sk-SK"/>
        </w:rPr>
      </w:pPr>
      <w:r w:rsidRPr="00905199">
        <w:rPr>
          <w:szCs w:val="22"/>
          <w:lang w:val="sk-SK"/>
        </w:rPr>
        <w:t xml:space="preserve">Publikované štúdie reprodukčnej toxicity preukázali inhibíciu ovulácie u králikov a poruchu implantácie u rôznych druhov zvierat (králiky, potkany a myši). Štúdie u potkanov a králikov preukázali,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prechádza placentou a pri dávkach toxických pre matku sa pozoroval zvýšený výskyt malformácií (napr. ventrikulárne defekty septa).</w:t>
      </w:r>
    </w:p>
    <w:p w14:paraId="21BA84EA" w14:textId="77777777" w:rsidR="0000767D" w:rsidRPr="00905199" w:rsidRDefault="0000767D" w:rsidP="003E1F62">
      <w:pPr>
        <w:rPr>
          <w:szCs w:val="22"/>
          <w:lang w:val="sk-SK"/>
        </w:rPr>
      </w:pPr>
    </w:p>
    <w:p w14:paraId="0B89D542" w14:textId="77777777" w:rsidR="0000767D" w:rsidRPr="00905199" w:rsidRDefault="003607C1" w:rsidP="00855F8B">
      <w:pPr>
        <w:rPr>
          <w:lang w:val="sk-SK"/>
        </w:rPr>
      </w:pPr>
      <w:r w:rsidRPr="00905199">
        <w:rPr>
          <w:lang w:val="sk-SK"/>
        </w:rPr>
        <w:t xml:space="preserve">Liečivo </w:t>
      </w:r>
      <w:r w:rsidR="00221A8D" w:rsidRPr="00905199">
        <w:rPr>
          <w:lang w:val="sk-SK"/>
        </w:rPr>
        <w:t>ibuprof</w:t>
      </w:r>
      <w:r w:rsidR="00221A8D">
        <w:rPr>
          <w:lang w:val="sk-SK"/>
        </w:rPr>
        <w:t>é</w:t>
      </w:r>
      <w:r w:rsidR="00221A8D" w:rsidRPr="00905199">
        <w:rPr>
          <w:lang w:val="sk-SK"/>
        </w:rPr>
        <w:t xml:space="preserve">n </w:t>
      </w:r>
      <w:r w:rsidRPr="00905199">
        <w:rPr>
          <w:lang w:val="sk-SK"/>
        </w:rPr>
        <w:t xml:space="preserve">môže </w:t>
      </w:r>
      <w:r w:rsidR="00DF6017" w:rsidRPr="00905199">
        <w:rPr>
          <w:lang w:val="sk-SK"/>
        </w:rPr>
        <w:t>vykazovať</w:t>
      </w:r>
      <w:r w:rsidRPr="00905199">
        <w:rPr>
          <w:lang w:val="sk-SK"/>
        </w:rPr>
        <w:t xml:space="preserve"> environmentálne riziko pre vodné prostredie, hlavne pre ryby.</w:t>
      </w:r>
    </w:p>
    <w:p w14:paraId="41C70D0F" w14:textId="77777777" w:rsidR="0000767D" w:rsidRPr="00905199" w:rsidRDefault="0000767D">
      <w:pPr>
        <w:rPr>
          <w:szCs w:val="22"/>
          <w:lang w:val="sk-SK"/>
        </w:rPr>
      </w:pPr>
    </w:p>
    <w:p w14:paraId="0C4CC840" w14:textId="77777777" w:rsidR="0000767D" w:rsidRPr="00905199" w:rsidRDefault="0000767D">
      <w:pPr>
        <w:tabs>
          <w:tab w:val="clear" w:pos="567"/>
        </w:tabs>
        <w:rPr>
          <w:szCs w:val="22"/>
          <w:lang w:val="sk-SK"/>
        </w:rPr>
      </w:pPr>
    </w:p>
    <w:p w14:paraId="78AB03E2" w14:textId="77777777" w:rsidR="0000767D" w:rsidRPr="00905199" w:rsidRDefault="003607C1" w:rsidP="004F0E07">
      <w:pPr>
        <w:keepNext/>
        <w:ind w:left="567" w:hanging="567"/>
        <w:rPr>
          <w:b/>
          <w:szCs w:val="22"/>
          <w:lang w:val="sk-SK"/>
        </w:rPr>
      </w:pPr>
      <w:r w:rsidRPr="00905199">
        <w:rPr>
          <w:b/>
          <w:szCs w:val="22"/>
          <w:lang w:val="sk-SK"/>
        </w:rPr>
        <w:t>6.</w:t>
      </w:r>
      <w:r w:rsidRPr="00905199">
        <w:rPr>
          <w:b/>
          <w:szCs w:val="22"/>
          <w:lang w:val="sk-SK"/>
        </w:rPr>
        <w:tab/>
        <w:t>FARMACEUTICKÉ INFORMÁCIE</w:t>
      </w:r>
    </w:p>
    <w:p w14:paraId="53C0DDA0" w14:textId="77777777" w:rsidR="0000767D" w:rsidRPr="00905199" w:rsidRDefault="0000767D" w:rsidP="004F0E07">
      <w:pPr>
        <w:keepNext/>
        <w:rPr>
          <w:b/>
          <w:szCs w:val="22"/>
          <w:lang w:val="sk-SK"/>
        </w:rPr>
      </w:pPr>
    </w:p>
    <w:p w14:paraId="29032BF4" w14:textId="77777777" w:rsidR="0000767D" w:rsidRPr="00905199" w:rsidRDefault="003607C1" w:rsidP="004F0E07">
      <w:pPr>
        <w:keepNext/>
        <w:ind w:left="567" w:hanging="567"/>
        <w:rPr>
          <w:b/>
          <w:szCs w:val="22"/>
          <w:lang w:val="sk-SK"/>
        </w:rPr>
      </w:pPr>
      <w:r w:rsidRPr="00905199">
        <w:rPr>
          <w:b/>
          <w:szCs w:val="22"/>
          <w:lang w:val="sk-SK"/>
        </w:rPr>
        <w:t>6.1</w:t>
      </w:r>
      <w:r w:rsidRPr="00905199">
        <w:rPr>
          <w:b/>
          <w:szCs w:val="22"/>
          <w:lang w:val="sk-SK"/>
        </w:rPr>
        <w:tab/>
        <w:t>Zoznam pomocných látok</w:t>
      </w:r>
    </w:p>
    <w:p w14:paraId="79B9E789" w14:textId="77777777" w:rsidR="0000767D" w:rsidRPr="00905199" w:rsidRDefault="0000767D">
      <w:pPr>
        <w:rPr>
          <w:szCs w:val="22"/>
          <w:lang w:val="sk-SK"/>
        </w:rPr>
      </w:pPr>
    </w:p>
    <w:p w14:paraId="6BF45FF0" w14:textId="77777777" w:rsidR="0000767D" w:rsidRPr="00905199" w:rsidRDefault="003607C1">
      <w:pPr>
        <w:rPr>
          <w:szCs w:val="22"/>
          <w:u w:val="single"/>
          <w:lang w:val="sk-SK"/>
        </w:rPr>
      </w:pPr>
      <w:r w:rsidRPr="00905199">
        <w:rPr>
          <w:szCs w:val="22"/>
          <w:u w:val="single"/>
          <w:lang w:val="sk-SK"/>
        </w:rPr>
        <w:t>Jadro tablety</w:t>
      </w:r>
    </w:p>
    <w:p w14:paraId="19116D0E" w14:textId="5F1125BE" w:rsidR="0000767D" w:rsidRPr="00905199" w:rsidRDefault="003607C1">
      <w:pPr>
        <w:rPr>
          <w:szCs w:val="22"/>
          <w:lang w:val="sk-SK"/>
        </w:rPr>
      </w:pPr>
      <w:r w:rsidRPr="00905199">
        <w:rPr>
          <w:szCs w:val="22"/>
          <w:lang w:val="sk-SK"/>
        </w:rPr>
        <w:t>celulóza</w:t>
      </w:r>
      <w:r w:rsidR="002F6AD9">
        <w:rPr>
          <w:szCs w:val="22"/>
          <w:lang w:val="sk-SK"/>
        </w:rPr>
        <w:t xml:space="preserve">, </w:t>
      </w:r>
      <w:r w:rsidR="002F6AD9" w:rsidRPr="00905199">
        <w:rPr>
          <w:szCs w:val="22"/>
          <w:lang w:val="sk-SK"/>
        </w:rPr>
        <w:t>mikrokryštalická</w:t>
      </w:r>
    </w:p>
    <w:p w14:paraId="4C917718" w14:textId="77777777" w:rsidR="0000767D" w:rsidRPr="00905199" w:rsidRDefault="00655AF7">
      <w:pPr>
        <w:rPr>
          <w:szCs w:val="22"/>
          <w:lang w:val="sk-SK"/>
        </w:rPr>
      </w:pPr>
      <w:r w:rsidRPr="00905199">
        <w:rPr>
          <w:szCs w:val="22"/>
          <w:lang w:val="sk-SK"/>
        </w:rPr>
        <w:t>hydrog</w:t>
      </w:r>
      <w:r>
        <w:rPr>
          <w:szCs w:val="22"/>
          <w:lang w:val="sk-SK"/>
        </w:rPr>
        <w:t>e</w:t>
      </w:r>
      <w:r w:rsidRPr="00905199">
        <w:rPr>
          <w:szCs w:val="22"/>
          <w:lang w:val="sk-SK"/>
        </w:rPr>
        <w:t xml:space="preserve">nfosforečnan </w:t>
      </w:r>
      <w:r w:rsidR="003607C1" w:rsidRPr="00905199">
        <w:rPr>
          <w:szCs w:val="22"/>
          <w:lang w:val="sk-SK"/>
        </w:rPr>
        <w:t>vápenatý</w:t>
      </w:r>
      <w:r w:rsidR="00E27F12">
        <w:rPr>
          <w:szCs w:val="22"/>
          <w:lang w:val="sk-SK"/>
        </w:rPr>
        <w:t>,</w:t>
      </w:r>
      <w:r w:rsidR="003607C1" w:rsidRPr="00905199">
        <w:rPr>
          <w:szCs w:val="22"/>
          <w:lang w:val="sk-SK"/>
        </w:rPr>
        <w:t xml:space="preserve"> bezvodý</w:t>
      </w:r>
    </w:p>
    <w:p w14:paraId="0392B8BA" w14:textId="0610953C" w:rsidR="0000767D" w:rsidRPr="00905199" w:rsidRDefault="003607C1">
      <w:pPr>
        <w:rPr>
          <w:szCs w:val="22"/>
          <w:lang w:val="sk-SK"/>
        </w:rPr>
      </w:pPr>
      <w:r w:rsidRPr="00905199">
        <w:rPr>
          <w:szCs w:val="22"/>
          <w:lang w:val="sk-SK"/>
        </w:rPr>
        <w:t>kroskarmelóz</w:t>
      </w:r>
      <w:r w:rsidR="002F6AD9">
        <w:rPr>
          <w:szCs w:val="22"/>
          <w:lang w:val="sk-SK"/>
        </w:rPr>
        <w:t xml:space="preserve">a, </w:t>
      </w:r>
      <w:r w:rsidR="002F6AD9" w:rsidRPr="00905199">
        <w:rPr>
          <w:szCs w:val="22"/>
          <w:lang w:val="sk-SK"/>
        </w:rPr>
        <w:t xml:space="preserve">sodná soľ </w:t>
      </w:r>
    </w:p>
    <w:p w14:paraId="2EC5655A" w14:textId="77777777" w:rsidR="0000767D" w:rsidRPr="00905199" w:rsidRDefault="003607C1">
      <w:pPr>
        <w:rPr>
          <w:szCs w:val="22"/>
          <w:lang w:val="sk-SK"/>
        </w:rPr>
      </w:pPr>
      <w:r w:rsidRPr="00905199">
        <w:rPr>
          <w:szCs w:val="22"/>
          <w:lang w:val="sk-SK"/>
        </w:rPr>
        <w:t>kukuričný škrob</w:t>
      </w:r>
    </w:p>
    <w:p w14:paraId="65CE06DC" w14:textId="4539CEFA" w:rsidR="0000767D" w:rsidRPr="00905199" w:rsidRDefault="003607C1">
      <w:pPr>
        <w:rPr>
          <w:szCs w:val="22"/>
          <w:lang w:val="sk-SK"/>
        </w:rPr>
      </w:pPr>
      <w:r w:rsidRPr="00905199">
        <w:rPr>
          <w:szCs w:val="22"/>
          <w:lang w:val="sk-SK"/>
        </w:rPr>
        <w:t xml:space="preserve">oxid kremičitý, </w:t>
      </w:r>
      <w:r w:rsidR="002F6AD9" w:rsidRPr="00905199">
        <w:rPr>
          <w:szCs w:val="22"/>
          <w:lang w:val="sk-SK"/>
        </w:rPr>
        <w:t>koloidný</w:t>
      </w:r>
      <w:r w:rsidR="002F6AD9">
        <w:rPr>
          <w:szCs w:val="22"/>
          <w:lang w:val="sk-SK"/>
        </w:rPr>
        <w:t>,</w:t>
      </w:r>
      <w:r w:rsidR="002F6AD9" w:rsidRPr="00905199">
        <w:rPr>
          <w:szCs w:val="22"/>
          <w:lang w:val="sk-SK"/>
        </w:rPr>
        <w:t xml:space="preserve"> </w:t>
      </w:r>
      <w:r w:rsidRPr="00905199">
        <w:rPr>
          <w:szCs w:val="22"/>
          <w:lang w:val="sk-SK"/>
        </w:rPr>
        <w:t>bezvodý</w:t>
      </w:r>
    </w:p>
    <w:p w14:paraId="2BEA059B" w14:textId="77777777" w:rsidR="0000767D" w:rsidRPr="00905199" w:rsidRDefault="003607C1">
      <w:pPr>
        <w:rPr>
          <w:szCs w:val="22"/>
          <w:lang w:val="sk-SK"/>
        </w:rPr>
      </w:pPr>
      <w:r w:rsidRPr="00905199">
        <w:rPr>
          <w:szCs w:val="22"/>
          <w:lang w:val="sk-SK"/>
        </w:rPr>
        <w:t>stearát</w:t>
      </w:r>
      <w:r w:rsidR="00655AF7">
        <w:rPr>
          <w:szCs w:val="22"/>
          <w:lang w:val="sk-SK"/>
        </w:rPr>
        <w:t xml:space="preserve"> horečnatý</w:t>
      </w:r>
    </w:p>
    <w:p w14:paraId="4BE5E36D" w14:textId="77777777" w:rsidR="0000767D" w:rsidRPr="00905199" w:rsidRDefault="0000767D">
      <w:pPr>
        <w:rPr>
          <w:szCs w:val="22"/>
          <w:lang w:val="sk-SK"/>
        </w:rPr>
      </w:pPr>
    </w:p>
    <w:p w14:paraId="4D529773" w14:textId="77777777" w:rsidR="0000767D" w:rsidRPr="00905199" w:rsidRDefault="003607C1">
      <w:pPr>
        <w:rPr>
          <w:szCs w:val="22"/>
          <w:u w:val="single"/>
          <w:lang w:val="sk-SK"/>
        </w:rPr>
      </w:pPr>
      <w:r w:rsidRPr="00905199">
        <w:rPr>
          <w:szCs w:val="22"/>
          <w:u w:val="single"/>
          <w:lang w:val="sk-SK"/>
        </w:rPr>
        <w:t>Obal tablety</w:t>
      </w:r>
    </w:p>
    <w:p w14:paraId="74890239" w14:textId="77777777" w:rsidR="0000767D" w:rsidRPr="00905199" w:rsidRDefault="003607C1">
      <w:pPr>
        <w:rPr>
          <w:szCs w:val="22"/>
          <w:lang w:val="sk-SK"/>
        </w:rPr>
      </w:pPr>
      <w:r w:rsidRPr="00905199">
        <w:rPr>
          <w:szCs w:val="22"/>
          <w:lang w:val="sk-SK"/>
        </w:rPr>
        <w:t>hypromelóza</w:t>
      </w:r>
    </w:p>
    <w:p w14:paraId="472730AE" w14:textId="77777777" w:rsidR="0000767D" w:rsidRPr="00905199" w:rsidRDefault="003607C1">
      <w:pPr>
        <w:rPr>
          <w:szCs w:val="22"/>
          <w:lang w:val="sk-SK"/>
        </w:rPr>
      </w:pPr>
      <w:r w:rsidRPr="00905199">
        <w:rPr>
          <w:szCs w:val="22"/>
          <w:lang w:val="sk-SK"/>
        </w:rPr>
        <w:t>makrogol 400</w:t>
      </w:r>
    </w:p>
    <w:p w14:paraId="4583534F" w14:textId="77777777" w:rsidR="0000767D" w:rsidRPr="00905199" w:rsidRDefault="003607C1">
      <w:pPr>
        <w:rPr>
          <w:szCs w:val="22"/>
          <w:lang w:val="sk-SK"/>
        </w:rPr>
      </w:pPr>
      <w:r w:rsidRPr="00905199">
        <w:rPr>
          <w:szCs w:val="22"/>
          <w:lang w:val="sk-SK"/>
        </w:rPr>
        <w:t>mastenec</w:t>
      </w:r>
    </w:p>
    <w:p w14:paraId="5A1FDE35" w14:textId="77777777" w:rsidR="0000767D" w:rsidRPr="00905199" w:rsidRDefault="003607C1">
      <w:pPr>
        <w:rPr>
          <w:szCs w:val="22"/>
          <w:lang w:val="sk-SK"/>
        </w:rPr>
      </w:pPr>
      <w:r w:rsidRPr="00905199">
        <w:rPr>
          <w:szCs w:val="22"/>
          <w:lang w:val="sk-SK"/>
        </w:rPr>
        <w:t>oxid titaničitý (E</w:t>
      </w:r>
      <w:r w:rsidR="001729D1">
        <w:rPr>
          <w:szCs w:val="22"/>
          <w:lang w:val="sk-SK"/>
        </w:rPr>
        <w:t xml:space="preserve"> </w:t>
      </w:r>
      <w:r w:rsidRPr="00905199">
        <w:rPr>
          <w:szCs w:val="22"/>
          <w:lang w:val="sk-SK"/>
        </w:rPr>
        <w:t>171)</w:t>
      </w:r>
    </w:p>
    <w:p w14:paraId="139C6F4C" w14:textId="77777777" w:rsidR="0000767D" w:rsidRPr="00905199" w:rsidRDefault="003607C1">
      <w:pPr>
        <w:rPr>
          <w:szCs w:val="22"/>
          <w:lang w:val="sk-SK"/>
        </w:rPr>
      </w:pPr>
      <w:r w:rsidRPr="00905199">
        <w:rPr>
          <w:szCs w:val="22"/>
          <w:lang w:val="sk-SK"/>
        </w:rPr>
        <w:t>žltý oxid železitý (E</w:t>
      </w:r>
      <w:r w:rsidR="001729D1">
        <w:rPr>
          <w:szCs w:val="22"/>
          <w:lang w:val="sk-SK"/>
        </w:rPr>
        <w:t xml:space="preserve"> </w:t>
      </w:r>
      <w:r w:rsidRPr="00905199">
        <w:rPr>
          <w:szCs w:val="22"/>
          <w:lang w:val="sk-SK"/>
        </w:rPr>
        <w:t>172)</w:t>
      </w:r>
    </w:p>
    <w:p w14:paraId="73667A7E" w14:textId="77777777" w:rsidR="0000767D" w:rsidRPr="00905199" w:rsidRDefault="0000767D">
      <w:pPr>
        <w:rPr>
          <w:szCs w:val="22"/>
          <w:lang w:val="sk-SK"/>
        </w:rPr>
      </w:pPr>
    </w:p>
    <w:p w14:paraId="3D762358" w14:textId="77777777" w:rsidR="0000767D" w:rsidRPr="00905199" w:rsidRDefault="003607C1">
      <w:pPr>
        <w:ind w:left="567" w:hanging="567"/>
        <w:rPr>
          <w:szCs w:val="22"/>
          <w:lang w:val="sk-SK"/>
        </w:rPr>
      </w:pPr>
      <w:r w:rsidRPr="00905199">
        <w:rPr>
          <w:b/>
          <w:szCs w:val="22"/>
          <w:lang w:val="sk-SK"/>
        </w:rPr>
        <w:t>6.2</w:t>
      </w:r>
      <w:r w:rsidRPr="00905199">
        <w:rPr>
          <w:b/>
          <w:szCs w:val="22"/>
          <w:lang w:val="sk-SK"/>
        </w:rPr>
        <w:tab/>
        <w:t>Inkompatibility</w:t>
      </w:r>
    </w:p>
    <w:p w14:paraId="7836AC46" w14:textId="77777777" w:rsidR="0000767D" w:rsidRPr="00905199" w:rsidRDefault="0000767D">
      <w:pPr>
        <w:rPr>
          <w:szCs w:val="22"/>
          <w:lang w:val="sk-SK"/>
        </w:rPr>
      </w:pPr>
    </w:p>
    <w:p w14:paraId="647BFA4E" w14:textId="77777777" w:rsidR="0000767D" w:rsidRPr="00905199" w:rsidRDefault="003607C1" w:rsidP="0044542B">
      <w:pPr>
        <w:rPr>
          <w:szCs w:val="22"/>
          <w:lang w:val="sk-SK"/>
        </w:rPr>
      </w:pPr>
      <w:r w:rsidRPr="00905199">
        <w:rPr>
          <w:szCs w:val="22"/>
          <w:lang w:val="sk-SK"/>
        </w:rPr>
        <w:t>Neaplikovateľné.</w:t>
      </w:r>
    </w:p>
    <w:p w14:paraId="033E6C5D" w14:textId="77777777" w:rsidR="0000767D" w:rsidRPr="00905199" w:rsidRDefault="0000767D">
      <w:pPr>
        <w:rPr>
          <w:szCs w:val="22"/>
          <w:lang w:val="sk-SK"/>
        </w:rPr>
      </w:pPr>
    </w:p>
    <w:p w14:paraId="0CCFE017" w14:textId="77777777" w:rsidR="0000767D" w:rsidRPr="00905199" w:rsidRDefault="003607C1">
      <w:pPr>
        <w:ind w:left="567" w:hanging="567"/>
        <w:rPr>
          <w:szCs w:val="22"/>
          <w:lang w:val="sk-SK"/>
        </w:rPr>
      </w:pPr>
      <w:r w:rsidRPr="00905199">
        <w:rPr>
          <w:b/>
          <w:szCs w:val="22"/>
          <w:lang w:val="sk-SK"/>
        </w:rPr>
        <w:t>6.3</w:t>
      </w:r>
      <w:r w:rsidRPr="00905199">
        <w:rPr>
          <w:b/>
          <w:szCs w:val="22"/>
          <w:lang w:val="sk-SK"/>
        </w:rPr>
        <w:tab/>
        <w:t>Čas použiteľnosti</w:t>
      </w:r>
    </w:p>
    <w:p w14:paraId="1DD47D98" w14:textId="77777777" w:rsidR="0000767D" w:rsidRPr="00905199" w:rsidRDefault="0000767D">
      <w:pPr>
        <w:rPr>
          <w:szCs w:val="22"/>
          <w:lang w:val="sk-SK"/>
        </w:rPr>
      </w:pPr>
    </w:p>
    <w:p w14:paraId="7BE2F344" w14:textId="77777777" w:rsidR="0000767D" w:rsidRPr="00905199" w:rsidRDefault="00A80383">
      <w:pPr>
        <w:rPr>
          <w:szCs w:val="22"/>
          <w:lang w:val="sk-SK"/>
        </w:rPr>
      </w:pPr>
      <w:r w:rsidRPr="00905199">
        <w:rPr>
          <w:szCs w:val="22"/>
          <w:lang w:val="sk-SK"/>
        </w:rPr>
        <w:t>3</w:t>
      </w:r>
      <w:r>
        <w:rPr>
          <w:szCs w:val="22"/>
          <w:lang w:val="sk-SK"/>
        </w:rPr>
        <w:t>6</w:t>
      </w:r>
      <w:r w:rsidRPr="00905199">
        <w:rPr>
          <w:szCs w:val="22"/>
          <w:lang w:val="sk-SK"/>
        </w:rPr>
        <w:t> </w:t>
      </w:r>
      <w:r w:rsidR="003607C1" w:rsidRPr="00905199">
        <w:rPr>
          <w:szCs w:val="22"/>
          <w:lang w:val="sk-SK"/>
        </w:rPr>
        <w:t>mesiacov.</w:t>
      </w:r>
    </w:p>
    <w:p w14:paraId="4C9B7E76" w14:textId="77777777" w:rsidR="0000767D" w:rsidRPr="00905199" w:rsidRDefault="0000767D">
      <w:pPr>
        <w:rPr>
          <w:szCs w:val="22"/>
          <w:lang w:val="sk-SK"/>
        </w:rPr>
      </w:pPr>
    </w:p>
    <w:p w14:paraId="044F55C1" w14:textId="77777777" w:rsidR="0000767D" w:rsidRPr="00905199" w:rsidRDefault="003607C1">
      <w:pPr>
        <w:ind w:left="567" w:hanging="567"/>
        <w:rPr>
          <w:b/>
          <w:szCs w:val="22"/>
          <w:lang w:val="sk-SK"/>
        </w:rPr>
      </w:pPr>
      <w:r w:rsidRPr="00905199">
        <w:rPr>
          <w:b/>
          <w:szCs w:val="22"/>
          <w:lang w:val="sk-SK"/>
        </w:rPr>
        <w:lastRenderedPageBreak/>
        <w:t>6.4</w:t>
      </w:r>
      <w:r w:rsidRPr="00905199">
        <w:rPr>
          <w:b/>
          <w:szCs w:val="22"/>
          <w:lang w:val="sk-SK"/>
        </w:rPr>
        <w:tab/>
        <w:t>Špeciálne upozornenia na uchovávanie</w:t>
      </w:r>
    </w:p>
    <w:p w14:paraId="72997B44" w14:textId="77777777" w:rsidR="0000767D" w:rsidRPr="00905199" w:rsidRDefault="0000767D">
      <w:pPr>
        <w:ind w:left="567" w:hanging="567"/>
        <w:rPr>
          <w:b/>
          <w:szCs w:val="22"/>
          <w:lang w:val="sk-SK"/>
        </w:rPr>
      </w:pPr>
    </w:p>
    <w:p w14:paraId="051ADBB7" w14:textId="77777777" w:rsidR="0000767D" w:rsidRPr="00905199" w:rsidRDefault="003607C1">
      <w:pPr>
        <w:ind w:left="567" w:hanging="567"/>
        <w:rPr>
          <w:szCs w:val="22"/>
          <w:lang w:val="sk-SK"/>
        </w:rPr>
      </w:pPr>
      <w:r w:rsidRPr="00905199">
        <w:rPr>
          <w:szCs w:val="22"/>
          <w:lang w:val="sk-SK"/>
        </w:rPr>
        <w:t>Uchovávajte pri teplote do 30 ºC.</w:t>
      </w:r>
    </w:p>
    <w:p w14:paraId="726BA044" w14:textId="77777777" w:rsidR="0000767D" w:rsidRPr="00905199" w:rsidRDefault="0000767D">
      <w:pPr>
        <w:rPr>
          <w:noProof/>
          <w:szCs w:val="22"/>
          <w:lang w:val="sk-SK"/>
        </w:rPr>
      </w:pPr>
    </w:p>
    <w:p w14:paraId="25F05807" w14:textId="77777777" w:rsidR="0000767D" w:rsidRPr="00905199" w:rsidRDefault="003607C1">
      <w:pPr>
        <w:numPr>
          <w:ilvl w:val="1"/>
          <w:numId w:val="11"/>
        </w:numPr>
        <w:rPr>
          <w:b/>
          <w:szCs w:val="22"/>
          <w:lang w:val="sk-SK"/>
        </w:rPr>
      </w:pPr>
      <w:r w:rsidRPr="00905199">
        <w:rPr>
          <w:b/>
          <w:szCs w:val="22"/>
          <w:lang w:val="sk-SK"/>
        </w:rPr>
        <w:t>Druh obalu a obsah balenia</w:t>
      </w:r>
    </w:p>
    <w:p w14:paraId="106DB9D2" w14:textId="77777777" w:rsidR="0000767D" w:rsidRPr="00905199" w:rsidRDefault="0000767D">
      <w:pPr>
        <w:tabs>
          <w:tab w:val="clear" w:pos="567"/>
        </w:tabs>
        <w:rPr>
          <w:b/>
          <w:szCs w:val="22"/>
          <w:lang w:val="sk-SK"/>
        </w:rPr>
      </w:pPr>
    </w:p>
    <w:p w14:paraId="5C7E6662" w14:textId="77777777"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Detský bezpečnostný blister z PVC/PVDC/hliníkovej fólie.</w:t>
      </w:r>
    </w:p>
    <w:p w14:paraId="782AA72C" w14:textId="77777777" w:rsidR="0000767D" w:rsidRPr="00905199" w:rsidRDefault="0000767D">
      <w:pPr>
        <w:tabs>
          <w:tab w:val="clear" w:pos="567"/>
        </w:tabs>
        <w:autoSpaceDE w:val="0"/>
        <w:autoSpaceDN w:val="0"/>
        <w:adjustRightInd w:val="0"/>
        <w:spacing w:line="240" w:lineRule="auto"/>
        <w:rPr>
          <w:szCs w:val="22"/>
          <w:highlight w:val="yellow"/>
          <w:lang w:val="sk-SK" w:eastAsia="de-DE"/>
        </w:rPr>
      </w:pPr>
    </w:p>
    <w:p w14:paraId="175C4091" w14:textId="77777777"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Veľkosti balení: 10, 12, 20 alebo 24 filmom obalených tabliet</w:t>
      </w:r>
    </w:p>
    <w:p w14:paraId="4925BEA3" w14:textId="77777777" w:rsidR="0000767D" w:rsidRPr="00905199" w:rsidRDefault="0000767D">
      <w:pPr>
        <w:tabs>
          <w:tab w:val="clear" w:pos="567"/>
        </w:tabs>
        <w:autoSpaceDE w:val="0"/>
        <w:autoSpaceDN w:val="0"/>
        <w:adjustRightInd w:val="0"/>
        <w:spacing w:line="240" w:lineRule="auto"/>
        <w:rPr>
          <w:szCs w:val="22"/>
          <w:lang w:val="sk-SK" w:eastAsia="de-DE"/>
        </w:rPr>
      </w:pPr>
    </w:p>
    <w:p w14:paraId="480F4363" w14:textId="77777777" w:rsidR="0000767D" w:rsidRPr="00905199" w:rsidRDefault="003607C1">
      <w:pPr>
        <w:rPr>
          <w:szCs w:val="22"/>
          <w:lang w:val="sk-SK" w:eastAsia="de-DE"/>
        </w:rPr>
      </w:pPr>
      <w:r w:rsidRPr="00905199">
        <w:rPr>
          <w:szCs w:val="22"/>
          <w:lang w:val="sk-SK"/>
        </w:rPr>
        <w:t>Na trh nemusia byť uvedené všetky veľkosti balenia.</w:t>
      </w:r>
    </w:p>
    <w:p w14:paraId="0C991472" w14:textId="77777777" w:rsidR="0000767D" w:rsidRPr="00905199" w:rsidRDefault="0000767D">
      <w:pPr>
        <w:rPr>
          <w:szCs w:val="22"/>
          <w:lang w:val="sk-SK"/>
        </w:rPr>
      </w:pPr>
    </w:p>
    <w:p w14:paraId="67B206F8" w14:textId="77777777" w:rsidR="0000767D" w:rsidRPr="00905199" w:rsidRDefault="003607C1">
      <w:pPr>
        <w:ind w:left="567" w:hanging="567"/>
        <w:outlineLvl w:val="0"/>
        <w:rPr>
          <w:szCs w:val="22"/>
          <w:lang w:val="sk-SK"/>
        </w:rPr>
      </w:pPr>
      <w:r w:rsidRPr="00905199">
        <w:rPr>
          <w:b/>
          <w:szCs w:val="22"/>
          <w:lang w:val="sk-SK"/>
        </w:rPr>
        <w:t>6.6</w:t>
      </w:r>
      <w:r w:rsidRPr="00905199">
        <w:rPr>
          <w:b/>
          <w:szCs w:val="22"/>
          <w:lang w:val="sk-SK"/>
        </w:rPr>
        <w:tab/>
        <w:t>Špeciálne opatrenia na likvidáciu</w:t>
      </w:r>
    </w:p>
    <w:p w14:paraId="33C242B8" w14:textId="77777777" w:rsidR="0000767D" w:rsidRPr="00905199" w:rsidRDefault="0000767D">
      <w:pPr>
        <w:rPr>
          <w:szCs w:val="22"/>
          <w:lang w:val="sk-SK"/>
        </w:rPr>
      </w:pPr>
    </w:p>
    <w:p w14:paraId="3E865287" w14:textId="77777777"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Všetok nepoužitý liek alebo odpad vzniknutý z lieku sa má zlikvidovať v súlade s národnými požiadavkami.</w:t>
      </w:r>
    </w:p>
    <w:p w14:paraId="4218DC09" w14:textId="77777777" w:rsidR="0000767D" w:rsidRPr="00905199" w:rsidRDefault="0000767D">
      <w:pPr>
        <w:rPr>
          <w:szCs w:val="22"/>
          <w:lang w:val="sk-SK"/>
        </w:rPr>
      </w:pPr>
    </w:p>
    <w:p w14:paraId="4EBE1AB0" w14:textId="77777777" w:rsidR="0000767D" w:rsidRPr="00905199" w:rsidRDefault="0000767D">
      <w:pPr>
        <w:rPr>
          <w:szCs w:val="22"/>
          <w:lang w:val="sk-SK"/>
        </w:rPr>
      </w:pPr>
    </w:p>
    <w:p w14:paraId="6E12AE79" w14:textId="77777777" w:rsidR="0000767D" w:rsidRPr="00905199" w:rsidRDefault="003607C1">
      <w:pPr>
        <w:ind w:left="567" w:hanging="567"/>
        <w:rPr>
          <w:szCs w:val="22"/>
          <w:lang w:val="sk-SK"/>
        </w:rPr>
      </w:pPr>
      <w:r w:rsidRPr="00905199">
        <w:rPr>
          <w:b/>
          <w:szCs w:val="22"/>
          <w:lang w:val="sk-SK"/>
        </w:rPr>
        <w:t>7.</w:t>
      </w:r>
      <w:r w:rsidRPr="00905199">
        <w:rPr>
          <w:b/>
          <w:szCs w:val="22"/>
          <w:lang w:val="sk-SK"/>
        </w:rPr>
        <w:tab/>
        <w:t>DRŽITEĽ ROZHODNUTIA O REGISTRÁCII</w:t>
      </w:r>
    </w:p>
    <w:p w14:paraId="5DBC3E4F" w14:textId="77777777" w:rsidR="0000767D" w:rsidRPr="00905199" w:rsidRDefault="0000767D">
      <w:pPr>
        <w:rPr>
          <w:szCs w:val="22"/>
          <w:lang w:val="sk-SK"/>
        </w:rPr>
      </w:pPr>
    </w:p>
    <w:p w14:paraId="19AF3B56" w14:textId="77777777" w:rsidR="00AC6EB3" w:rsidRPr="00905199" w:rsidRDefault="00AC6EB3" w:rsidP="00AC6EB3">
      <w:pPr>
        <w:rPr>
          <w:lang w:val="sk-SK"/>
        </w:rPr>
      </w:pPr>
      <w:r w:rsidRPr="00905199">
        <w:rPr>
          <w:lang w:val="sk-SK"/>
        </w:rPr>
        <w:t>Krewel Meuselbach GmbH</w:t>
      </w:r>
    </w:p>
    <w:p w14:paraId="72841586" w14:textId="77777777" w:rsidR="00AC6EB3" w:rsidRPr="00905199" w:rsidRDefault="00AC6EB3" w:rsidP="00AC6EB3">
      <w:pPr>
        <w:rPr>
          <w:lang w:val="sk-SK"/>
        </w:rPr>
      </w:pPr>
      <w:r w:rsidRPr="00905199">
        <w:rPr>
          <w:lang w:val="sk-SK"/>
        </w:rPr>
        <w:t>Krewelstrasse 2</w:t>
      </w:r>
    </w:p>
    <w:p w14:paraId="503ABA3A" w14:textId="77777777" w:rsidR="00AC6EB3" w:rsidRPr="00905199" w:rsidRDefault="00BE4101" w:rsidP="00AC6EB3">
      <w:pPr>
        <w:rPr>
          <w:lang w:val="sk-SK"/>
        </w:rPr>
      </w:pPr>
      <w:r w:rsidRPr="00905199">
        <w:rPr>
          <w:lang w:val="sk-SK"/>
        </w:rPr>
        <w:t>D-53783 Eitorf</w:t>
      </w:r>
      <w:r w:rsidRPr="00905199">
        <w:rPr>
          <w:lang w:val="sk-SK"/>
        </w:rPr>
        <w:br/>
      </w:r>
      <w:r w:rsidR="00AC6EB3" w:rsidRPr="00905199">
        <w:rPr>
          <w:lang w:val="sk-SK"/>
        </w:rPr>
        <w:t>Nemecko</w:t>
      </w:r>
    </w:p>
    <w:p w14:paraId="78072958" w14:textId="77777777"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tel.:  +49 2243 / 87-0</w:t>
      </w:r>
    </w:p>
    <w:p w14:paraId="45CA12D9" w14:textId="77777777"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fax: +49 2243 / 87-175</w:t>
      </w:r>
    </w:p>
    <w:p w14:paraId="7441EEAA" w14:textId="77777777" w:rsidR="00A854BE" w:rsidRPr="00AD7007" w:rsidRDefault="00A854BE" w:rsidP="00A854BE">
      <w:pPr>
        <w:tabs>
          <w:tab w:val="left" w:pos="5380"/>
        </w:tabs>
        <w:rPr>
          <w:szCs w:val="22"/>
          <w:lang w:val="sk-SK"/>
        </w:rPr>
      </w:pPr>
      <w:r w:rsidRPr="00AD7007">
        <w:rPr>
          <w:szCs w:val="22"/>
          <w:lang w:val="sk-SK"/>
        </w:rPr>
        <w:t xml:space="preserve">e-mail: </w:t>
      </w:r>
      <w:hyperlink r:id="rId9" w:history="1">
        <w:r w:rsidRPr="00AD7007">
          <w:rPr>
            <w:rStyle w:val="Hypertextovprepojenie"/>
            <w:szCs w:val="22"/>
            <w:lang w:val="sk-SK"/>
          </w:rPr>
          <w:t>info@krewel-meuselbach.de</w:t>
        </w:r>
      </w:hyperlink>
    </w:p>
    <w:p w14:paraId="206DD5D0" w14:textId="77777777" w:rsidR="0000767D" w:rsidRPr="00AD7007" w:rsidRDefault="0000767D">
      <w:pPr>
        <w:rPr>
          <w:szCs w:val="22"/>
          <w:lang w:val="sk-SK"/>
        </w:rPr>
      </w:pPr>
    </w:p>
    <w:p w14:paraId="30B04F53" w14:textId="77777777" w:rsidR="00F45984" w:rsidRPr="00905199" w:rsidRDefault="00F45984">
      <w:pPr>
        <w:rPr>
          <w:szCs w:val="22"/>
          <w:lang w:val="sk-SK"/>
        </w:rPr>
      </w:pPr>
    </w:p>
    <w:p w14:paraId="76DFF6EB" w14:textId="77777777" w:rsidR="0000767D" w:rsidRPr="00905199" w:rsidRDefault="003607C1">
      <w:pPr>
        <w:ind w:left="567" w:hanging="567"/>
        <w:rPr>
          <w:b/>
          <w:szCs w:val="22"/>
          <w:lang w:val="sk-SK"/>
        </w:rPr>
      </w:pPr>
      <w:r w:rsidRPr="00905199">
        <w:rPr>
          <w:b/>
          <w:szCs w:val="22"/>
          <w:lang w:val="sk-SK"/>
        </w:rPr>
        <w:t>8.</w:t>
      </w:r>
      <w:r w:rsidRPr="00905199">
        <w:rPr>
          <w:b/>
          <w:szCs w:val="22"/>
          <w:lang w:val="sk-SK"/>
        </w:rPr>
        <w:tab/>
        <w:t>REGISTRAČNÉ ČÍSLO</w:t>
      </w:r>
    </w:p>
    <w:p w14:paraId="0910986D" w14:textId="77777777" w:rsidR="0000767D" w:rsidRPr="00905199" w:rsidRDefault="0000767D">
      <w:pPr>
        <w:rPr>
          <w:i/>
          <w:szCs w:val="22"/>
          <w:lang w:val="sk-SK"/>
        </w:rPr>
      </w:pPr>
    </w:p>
    <w:p w14:paraId="5CB4353C" w14:textId="77777777" w:rsidR="0000767D" w:rsidRDefault="00AD7007">
      <w:pPr>
        <w:rPr>
          <w:szCs w:val="22"/>
          <w:lang w:val="sk-SK"/>
        </w:rPr>
      </w:pPr>
      <w:r w:rsidRPr="00AD7007">
        <w:rPr>
          <w:szCs w:val="22"/>
          <w:lang w:val="sk-SK"/>
        </w:rPr>
        <w:t>07/0143/16-S</w:t>
      </w:r>
    </w:p>
    <w:p w14:paraId="086B1C03" w14:textId="77777777" w:rsidR="00AD7007" w:rsidRPr="00905199" w:rsidRDefault="00AD7007">
      <w:pPr>
        <w:rPr>
          <w:szCs w:val="22"/>
          <w:lang w:val="sk-SK"/>
        </w:rPr>
      </w:pPr>
    </w:p>
    <w:p w14:paraId="101E5112" w14:textId="77777777" w:rsidR="0000767D" w:rsidRPr="00905199" w:rsidRDefault="0000767D">
      <w:pPr>
        <w:rPr>
          <w:szCs w:val="22"/>
          <w:lang w:val="sk-SK"/>
        </w:rPr>
      </w:pPr>
    </w:p>
    <w:p w14:paraId="7618D8EE" w14:textId="77777777" w:rsidR="0000767D" w:rsidRPr="00905199" w:rsidRDefault="003607C1">
      <w:pPr>
        <w:ind w:left="567" w:hanging="567"/>
        <w:rPr>
          <w:szCs w:val="22"/>
          <w:lang w:val="sk-SK"/>
        </w:rPr>
      </w:pPr>
      <w:r w:rsidRPr="00905199">
        <w:rPr>
          <w:b/>
          <w:szCs w:val="22"/>
          <w:lang w:val="sk-SK"/>
        </w:rPr>
        <w:t>9.</w:t>
      </w:r>
      <w:r w:rsidRPr="00905199">
        <w:rPr>
          <w:b/>
          <w:szCs w:val="22"/>
          <w:lang w:val="sk-SK"/>
        </w:rPr>
        <w:tab/>
        <w:t>DÁTUM PRVEJ REGISTRÁCIE/PREDĹŽENIA REGISTRÁCIE</w:t>
      </w:r>
    </w:p>
    <w:p w14:paraId="324727E9" w14:textId="77777777" w:rsidR="0000767D" w:rsidRPr="00905199" w:rsidRDefault="0000767D">
      <w:pPr>
        <w:rPr>
          <w:i/>
          <w:szCs w:val="22"/>
          <w:lang w:val="sk-SK"/>
        </w:rPr>
      </w:pPr>
    </w:p>
    <w:p w14:paraId="6ED2DC73" w14:textId="77777777" w:rsidR="007861B6" w:rsidRPr="000E5DE4" w:rsidRDefault="003607C1">
      <w:pPr>
        <w:rPr>
          <w:noProof/>
          <w:szCs w:val="22"/>
          <w:lang w:val="sk-SK"/>
        </w:rPr>
      </w:pPr>
      <w:r w:rsidRPr="00905199">
        <w:rPr>
          <w:noProof/>
          <w:szCs w:val="22"/>
          <w:lang w:val="sk-SK"/>
        </w:rPr>
        <w:t xml:space="preserve">Dátum prvej registrácie: </w:t>
      </w:r>
      <w:r w:rsidR="009D7F25">
        <w:rPr>
          <w:noProof/>
          <w:szCs w:val="22"/>
          <w:lang w:val="sk-SK"/>
        </w:rPr>
        <w:t>9. marca 2016</w:t>
      </w:r>
    </w:p>
    <w:p w14:paraId="2A601A92" w14:textId="55C61ECA" w:rsidR="0000767D" w:rsidRDefault="00CA66D1">
      <w:pPr>
        <w:rPr>
          <w:szCs w:val="22"/>
          <w:lang w:val="sk-SK"/>
        </w:rPr>
      </w:pPr>
      <w:r>
        <w:rPr>
          <w:szCs w:val="22"/>
          <w:lang w:val="sk-SK"/>
        </w:rPr>
        <w:t xml:space="preserve">Dátum posledného predĺženia: </w:t>
      </w:r>
      <w:r w:rsidR="00D11C4A">
        <w:rPr>
          <w:szCs w:val="22"/>
          <w:lang w:val="sk-SK"/>
        </w:rPr>
        <w:t>25</w:t>
      </w:r>
      <w:r w:rsidR="005E0166">
        <w:rPr>
          <w:szCs w:val="22"/>
          <w:lang w:val="sk-SK"/>
        </w:rPr>
        <w:t>. septembra 2020</w:t>
      </w:r>
    </w:p>
    <w:p w14:paraId="65E9259C" w14:textId="77777777" w:rsidR="00CA66D1" w:rsidRDefault="00CA66D1">
      <w:pPr>
        <w:rPr>
          <w:szCs w:val="22"/>
          <w:lang w:val="sk-SK"/>
        </w:rPr>
      </w:pPr>
    </w:p>
    <w:p w14:paraId="43E81101" w14:textId="77777777" w:rsidR="00AD7007" w:rsidRPr="00905199" w:rsidRDefault="00AD7007">
      <w:pPr>
        <w:rPr>
          <w:szCs w:val="22"/>
          <w:lang w:val="sk-SK"/>
        </w:rPr>
      </w:pPr>
    </w:p>
    <w:p w14:paraId="38E13585" w14:textId="77777777" w:rsidR="0000767D" w:rsidRPr="00905199" w:rsidRDefault="003607C1" w:rsidP="004F0E07">
      <w:pPr>
        <w:keepNext/>
        <w:ind w:left="567" w:hanging="567"/>
        <w:rPr>
          <w:b/>
          <w:szCs w:val="22"/>
          <w:lang w:val="sk-SK"/>
        </w:rPr>
      </w:pPr>
      <w:r w:rsidRPr="00905199">
        <w:rPr>
          <w:b/>
          <w:szCs w:val="22"/>
          <w:lang w:val="sk-SK"/>
        </w:rPr>
        <w:t>10.</w:t>
      </w:r>
      <w:r w:rsidRPr="00905199">
        <w:rPr>
          <w:b/>
          <w:szCs w:val="22"/>
          <w:lang w:val="sk-SK"/>
        </w:rPr>
        <w:tab/>
        <w:t>DÁTUM REVÍZIE TEXTU</w:t>
      </w:r>
    </w:p>
    <w:p w14:paraId="32CF0735" w14:textId="77777777" w:rsidR="0000767D" w:rsidRPr="00905199" w:rsidRDefault="0000767D" w:rsidP="004F0E07">
      <w:pPr>
        <w:keepNext/>
        <w:rPr>
          <w:szCs w:val="22"/>
          <w:lang w:val="sk-SK"/>
        </w:rPr>
      </w:pPr>
    </w:p>
    <w:p w14:paraId="4B545891" w14:textId="63293E0B" w:rsidR="0000767D" w:rsidRPr="00905199" w:rsidRDefault="00962F61" w:rsidP="00AD7007">
      <w:pPr>
        <w:rPr>
          <w:iCs/>
          <w:szCs w:val="22"/>
          <w:lang w:val="sk-SK"/>
        </w:rPr>
      </w:pPr>
      <w:r>
        <w:rPr>
          <w:szCs w:val="22"/>
          <w:lang w:val="sk-SK"/>
        </w:rPr>
        <w:t>12</w:t>
      </w:r>
      <w:r w:rsidR="007861B6">
        <w:rPr>
          <w:szCs w:val="22"/>
          <w:lang w:val="sk-SK"/>
        </w:rPr>
        <w:t>/</w:t>
      </w:r>
      <w:r w:rsidR="00A80383">
        <w:rPr>
          <w:szCs w:val="22"/>
          <w:lang w:val="sk-SK"/>
        </w:rPr>
        <w:t>20</w:t>
      </w:r>
      <w:r w:rsidR="003534C8">
        <w:rPr>
          <w:szCs w:val="22"/>
          <w:lang w:val="sk-SK"/>
        </w:rPr>
        <w:t>20</w:t>
      </w:r>
    </w:p>
    <w:sectPr w:rsidR="0000767D" w:rsidRPr="00905199" w:rsidSect="004F0E07">
      <w:headerReference w:type="default" r:id="rId10"/>
      <w:footerReference w:type="default" r:id="rId11"/>
      <w:headerReference w:type="first" r:id="rId12"/>
      <w:footerReference w:type="first" r:id="rId13"/>
      <w:endnotePr>
        <w:numFmt w:val="decimal"/>
      </w:endnotePr>
      <w:pgSz w:w="11907" w:h="16840" w:code="9"/>
      <w:pgMar w:top="1134" w:right="1134" w:bottom="1134" w:left="1134"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961D" w16cex:dateUtc="2020-09-15T17:35:00Z"/>
  <w16cex:commentExtensible w16cex:durableId="230B97D6" w16cex:dateUtc="2020-09-15T17:43:00Z"/>
  <w16cex:commentExtensible w16cex:durableId="230B9907" w16cex:dateUtc="2020-09-15T17:48:00Z"/>
  <w16cex:commentExtensible w16cex:durableId="230B9975" w16cex:dateUtc="2020-09-15T17:50:00Z"/>
  <w16cex:commentExtensible w16cex:durableId="230B9ADD" w16cex:dateUtc="2020-09-15T17:56:00Z"/>
  <w16cex:commentExtensible w16cex:durableId="230B9E2A" w16cex:dateUtc="2020-09-15T18:10:00Z"/>
  <w16cex:commentExtensible w16cex:durableId="230B9E16" w16cex:dateUtc="2020-09-15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97C66" w16cid:durableId="230B961D"/>
  <w16cid:commentId w16cid:paraId="60956D6A" w16cid:durableId="230B97D6"/>
  <w16cid:commentId w16cid:paraId="706F242F" w16cid:durableId="230B9907"/>
  <w16cid:commentId w16cid:paraId="0C36582B" w16cid:durableId="230B9975"/>
  <w16cid:commentId w16cid:paraId="67DA4C21" w16cid:durableId="230B9ADD"/>
  <w16cid:commentId w16cid:paraId="3068B87F" w16cid:durableId="230B9E2A"/>
  <w16cid:commentId w16cid:paraId="3554840E" w16cid:durableId="230B9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B49CB" w14:textId="77777777" w:rsidR="00ED4AAF" w:rsidRDefault="00ED4AAF">
      <w:r>
        <w:separator/>
      </w:r>
    </w:p>
  </w:endnote>
  <w:endnote w:type="continuationSeparator" w:id="0">
    <w:p w14:paraId="60A3C5E7" w14:textId="77777777" w:rsidR="00ED4AAF" w:rsidRDefault="00E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31688" w14:textId="77777777" w:rsidR="00962F61" w:rsidRPr="00CD2ADC" w:rsidRDefault="00962F61">
    <w:pPr>
      <w:pStyle w:val="Pta"/>
      <w:tabs>
        <w:tab w:val="clear" w:pos="8930"/>
        <w:tab w:val="right" w:pos="8931"/>
      </w:tabs>
      <w:ind w:right="96"/>
      <w:jc w:val="center"/>
      <w:rPr>
        <w:rFonts w:ascii="Times New Roman" w:hAnsi="Times New Roman"/>
        <w:sz w:val="18"/>
        <w:szCs w:val="18"/>
      </w:rPr>
    </w:pPr>
    <w:r>
      <w:fldChar w:fldCharType="begin"/>
    </w:r>
    <w:r>
      <w:rPr>
        <w:rFonts w:ascii="Arial" w:hAnsi="Arial" w:cs="Arial"/>
      </w:rPr>
      <w:instrText xml:space="preserve"> EQ </w:instrText>
    </w:r>
    <w:r>
      <w:rPr>
        <w:rFonts w:ascii="Arial" w:hAnsi="Arial" w:cs="Arial"/>
      </w:rPr>
      <w:fldChar w:fldCharType="end"/>
    </w:r>
    <w:r w:rsidRPr="00CD2ADC">
      <w:fldChar w:fldCharType="begin"/>
    </w:r>
    <w:r w:rsidRPr="00997506">
      <w:rPr>
        <w:rStyle w:val="slostrany"/>
        <w:rFonts w:ascii="Times New Roman" w:hAnsi="Times New Roman"/>
        <w:sz w:val="18"/>
        <w:szCs w:val="18"/>
      </w:rPr>
      <w:instrText xml:space="preserve">PAGE  </w:instrText>
    </w:r>
    <w:r w:rsidRPr="00CD2ADC">
      <w:rPr>
        <w:rStyle w:val="slostrany"/>
        <w:rFonts w:ascii="Times New Roman" w:hAnsi="Times New Roman"/>
        <w:sz w:val="18"/>
        <w:szCs w:val="18"/>
      </w:rPr>
      <w:fldChar w:fldCharType="separate"/>
    </w:r>
    <w:r w:rsidR="003E1F62">
      <w:rPr>
        <w:rStyle w:val="slostrany"/>
        <w:rFonts w:ascii="Times New Roman" w:hAnsi="Times New Roman"/>
        <w:noProof/>
        <w:sz w:val="18"/>
        <w:szCs w:val="18"/>
      </w:rPr>
      <w:t>1</w:t>
    </w:r>
    <w:r w:rsidRPr="00CD2ADC">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592B" w14:textId="77777777" w:rsidR="00962F61" w:rsidRDefault="00962F61">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4F0E0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40F95" w14:textId="77777777" w:rsidR="00ED4AAF" w:rsidRDefault="00ED4AAF">
      <w:r>
        <w:separator/>
      </w:r>
    </w:p>
  </w:footnote>
  <w:footnote w:type="continuationSeparator" w:id="0">
    <w:p w14:paraId="44316B9A" w14:textId="77777777" w:rsidR="00ED4AAF" w:rsidRDefault="00ED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DCA98" w14:textId="403E1F9C" w:rsidR="00962F61" w:rsidRPr="004F0E07" w:rsidRDefault="00962F61">
    <w:pPr>
      <w:pStyle w:val="Hlavika"/>
      <w:rPr>
        <w:rFonts w:ascii="Times New Roman" w:hAnsi="Times New Roman"/>
        <w:sz w:val="18"/>
        <w:szCs w:val="18"/>
        <w:lang w:val="sk-SK"/>
      </w:rPr>
    </w:pPr>
    <w:r w:rsidRPr="0081243B">
      <w:rPr>
        <w:rFonts w:ascii="Times New Roman" w:hAnsi="Times New Roman"/>
        <w:sz w:val="18"/>
        <w:szCs w:val="18"/>
        <w:lang w:val="sk-SK"/>
      </w:rPr>
      <w:t xml:space="preserve">Príloha č. 1 k notifikácií o zmene, ev. č.: </w:t>
    </w:r>
    <w:r w:rsidRPr="00962F61">
      <w:rPr>
        <w:rFonts w:ascii="Times New Roman" w:hAnsi="Times New Roman"/>
        <w:sz w:val="18"/>
        <w:szCs w:val="18"/>
        <w:lang w:val="sk-SK"/>
      </w:rPr>
      <w:t>2020/05101-Z1A</w:t>
    </w:r>
    <w:r>
      <w:rPr>
        <w:rFonts w:ascii="Times New Roman" w:hAnsi="Times New Roman"/>
        <w:sz w:val="18"/>
        <w:szCs w:val="18"/>
        <w:lang w:val="sk-SK"/>
      </w:rPr>
      <w:t xml:space="preserve">, </w:t>
    </w:r>
    <w:r w:rsidRPr="00962F61">
      <w:rPr>
        <w:rFonts w:ascii="Times New Roman" w:hAnsi="Times New Roman"/>
        <w:sz w:val="18"/>
        <w:szCs w:val="18"/>
        <w:lang w:val="sk-SK"/>
      </w:rPr>
      <w:t>2020/05102-Z1B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9E79" w14:textId="77777777" w:rsidR="00962F61" w:rsidRPr="004F0E07" w:rsidRDefault="00962F61">
    <w:pPr>
      <w:pStyle w:val="Hlavika"/>
      <w:rPr>
        <w:lang w:val="sk-SK"/>
      </w:rPr>
    </w:pPr>
    <w:r>
      <w:rPr>
        <w:lang w:val="sk-SK"/>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BFB15B"/>
    <w:multiLevelType w:val="hybridMultilevel"/>
    <w:tmpl w:val="1E41D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794B35"/>
    <w:multiLevelType w:val="hybridMultilevel"/>
    <w:tmpl w:val="3ADDD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0639A0"/>
    <w:multiLevelType w:val="hybridMultilevel"/>
    <w:tmpl w:val="C5265AA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47D2F3F"/>
    <w:multiLevelType w:val="hybridMultilevel"/>
    <w:tmpl w:val="FDFF6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93D6E90"/>
    <w:multiLevelType w:val="hybridMultilevel"/>
    <w:tmpl w:val="71706992"/>
    <w:lvl w:ilvl="0" w:tplc="9EB2B5EE">
      <w:start w:val="1"/>
      <w:numFmt w:val="bullet"/>
      <w:lvlText w:val=""/>
      <w:lvlJc w:val="left"/>
      <w:rPr>
        <w:rFonts w:ascii="Symbol" w:hAnsi="Symbo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E3A6CFA"/>
    <w:multiLevelType w:val="hybridMultilevel"/>
    <w:tmpl w:val="B1C0B90A"/>
    <w:lvl w:ilvl="0" w:tplc="A9F24A66">
      <w:start w:val="1"/>
      <w:numFmt w:val="decimal"/>
      <w:pStyle w:val="Aufzhl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15:restartNumberingAfterBreak="0">
    <w:nsid w:val="7AC528D7"/>
    <w:multiLevelType w:val="hybridMultilevel"/>
    <w:tmpl w:val="3A38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EDE5FE5"/>
    <w:multiLevelType w:val="hybridMultilevel"/>
    <w:tmpl w:val="44062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5"/>
  </w:num>
  <w:num w:numId="7">
    <w:abstractNumId w:val="24"/>
  </w:num>
  <w:num w:numId="8">
    <w:abstractNumId w:val="11"/>
  </w:num>
  <w:num w:numId="9">
    <w:abstractNumId w:val="34"/>
  </w:num>
  <w:num w:numId="10">
    <w:abstractNumId w:val="35"/>
  </w:num>
  <w:num w:numId="11">
    <w:abstractNumId w:val="20"/>
  </w:num>
  <w:num w:numId="12">
    <w:abstractNumId w:val="17"/>
  </w:num>
  <w:num w:numId="13">
    <w:abstractNumId w:val="5"/>
  </w:num>
  <w:num w:numId="14">
    <w:abstractNumId w:val="33"/>
  </w:num>
  <w:num w:numId="15">
    <w:abstractNumId w:val="22"/>
  </w:num>
  <w:num w:numId="16">
    <w:abstractNumId w:val="39"/>
  </w:num>
  <w:num w:numId="17">
    <w:abstractNumId w:val="12"/>
  </w:num>
  <w:num w:numId="18">
    <w:abstractNumId w:val="4"/>
  </w:num>
  <w:num w:numId="19">
    <w:abstractNumId w:val="21"/>
  </w:num>
  <w:num w:numId="20">
    <w:abstractNumId w:val="7"/>
  </w:num>
  <w:num w:numId="21">
    <w:abstractNumId w:val="9"/>
  </w:num>
  <w:num w:numId="22">
    <w:abstractNumId w:val="28"/>
  </w:num>
  <w:num w:numId="23">
    <w:abstractNumId w:val="32"/>
  </w:num>
  <w:num w:numId="24">
    <w:abstractNumId w:val="27"/>
  </w:num>
  <w:num w:numId="25">
    <w:abstractNumId w:val="16"/>
  </w:num>
  <w:num w:numId="26">
    <w:abstractNumId w:val="14"/>
  </w:num>
  <w:num w:numId="27">
    <w:abstractNumId w:val="23"/>
  </w:num>
  <w:num w:numId="28">
    <w:abstractNumId w:val="26"/>
  </w:num>
  <w:num w:numId="29">
    <w:abstractNumId w:val="18"/>
  </w:num>
  <w:num w:numId="30">
    <w:abstractNumId w:val="13"/>
  </w:num>
  <w:num w:numId="31">
    <w:abstractNumId w:val="30"/>
  </w:num>
  <w:num w:numId="32">
    <w:abstractNumId w:val="31"/>
  </w:num>
  <w:num w:numId="33">
    <w:abstractNumId w:val="29"/>
  </w:num>
  <w:num w:numId="34">
    <w:abstractNumId w:val="19"/>
  </w:num>
  <w:num w:numId="35">
    <w:abstractNumId w:val="8"/>
  </w:num>
  <w:num w:numId="36">
    <w:abstractNumId w:val="40"/>
  </w:num>
  <w:num w:numId="37">
    <w:abstractNumId w:val="3"/>
    <w:lvlOverride w:ilvl="0">
      <w:lvl w:ilvl="0">
        <w:start w:val="1"/>
        <w:numFmt w:val="bullet"/>
        <w:lvlText w:val="-"/>
        <w:legacy w:legacy="1" w:legacySpace="0" w:legacyIndent="360"/>
        <w:lvlJc w:val="left"/>
        <w:pPr>
          <w:ind w:left="360" w:hanging="360"/>
        </w:pPr>
      </w:lvl>
    </w:lvlOverride>
  </w:num>
  <w:num w:numId="38">
    <w:abstractNumId w:val="1"/>
  </w:num>
  <w:num w:numId="39">
    <w:abstractNumId w:val="10"/>
  </w:num>
  <w:num w:numId="40">
    <w:abstractNumId w:val="2"/>
  </w:num>
  <w:num w:numId="41">
    <w:abstractNumId w:val="0"/>
  </w:num>
  <w:num w:numId="42">
    <w:abstractNumId w:val="6"/>
  </w:num>
  <w:num w:numId="43">
    <w:abstractNumId w:val="41"/>
  </w:num>
  <w:num w:numId="44">
    <w:abstractNumId w:val="4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MjQwMDQyNDUxszBR0lEKTi0uzszPAykwNKgFAFaC2tktAAAA"/>
    <w:docVar w:name="Registered" w:val="-1"/>
    <w:docVar w:name="Version" w:val="0"/>
  </w:docVars>
  <w:rsids>
    <w:rsidRoot w:val="0000767D"/>
    <w:rsid w:val="0000767D"/>
    <w:rsid w:val="00046C38"/>
    <w:rsid w:val="00050DCE"/>
    <w:rsid w:val="00064D60"/>
    <w:rsid w:val="00087234"/>
    <w:rsid w:val="0009189D"/>
    <w:rsid w:val="000A5984"/>
    <w:rsid w:val="000E5DE4"/>
    <w:rsid w:val="000F2A85"/>
    <w:rsid w:val="00111E1B"/>
    <w:rsid w:val="001729D1"/>
    <w:rsid w:val="00221A8D"/>
    <w:rsid w:val="0023538C"/>
    <w:rsid w:val="002654BB"/>
    <w:rsid w:val="002B27F4"/>
    <w:rsid w:val="002C36A0"/>
    <w:rsid w:val="002D72FB"/>
    <w:rsid w:val="002F67D4"/>
    <w:rsid w:val="002F6AD9"/>
    <w:rsid w:val="003534C8"/>
    <w:rsid w:val="003607C1"/>
    <w:rsid w:val="003841F5"/>
    <w:rsid w:val="003A4D47"/>
    <w:rsid w:val="003B4BB4"/>
    <w:rsid w:val="003E07B7"/>
    <w:rsid w:val="003E1F62"/>
    <w:rsid w:val="00400A4D"/>
    <w:rsid w:val="0044542B"/>
    <w:rsid w:val="00476327"/>
    <w:rsid w:val="00487F5A"/>
    <w:rsid w:val="004B538F"/>
    <w:rsid w:val="004B600F"/>
    <w:rsid w:val="004F0E07"/>
    <w:rsid w:val="004F27D0"/>
    <w:rsid w:val="005052AA"/>
    <w:rsid w:val="00541EB4"/>
    <w:rsid w:val="00551D75"/>
    <w:rsid w:val="00584CD1"/>
    <w:rsid w:val="005C257F"/>
    <w:rsid w:val="005E0166"/>
    <w:rsid w:val="005E3E73"/>
    <w:rsid w:val="005F22C1"/>
    <w:rsid w:val="0060260C"/>
    <w:rsid w:val="00655AF7"/>
    <w:rsid w:val="006620DC"/>
    <w:rsid w:val="00682163"/>
    <w:rsid w:val="00684ADF"/>
    <w:rsid w:val="006955DE"/>
    <w:rsid w:val="006B69FF"/>
    <w:rsid w:val="006E44A9"/>
    <w:rsid w:val="00743C8D"/>
    <w:rsid w:val="007861B6"/>
    <w:rsid w:val="00806E85"/>
    <w:rsid w:val="008113A9"/>
    <w:rsid w:val="0081244C"/>
    <w:rsid w:val="00855F8B"/>
    <w:rsid w:val="008B1E87"/>
    <w:rsid w:val="008B23F1"/>
    <w:rsid w:val="008B4780"/>
    <w:rsid w:val="008B4E61"/>
    <w:rsid w:val="008D04EC"/>
    <w:rsid w:val="00905199"/>
    <w:rsid w:val="00913835"/>
    <w:rsid w:val="00915336"/>
    <w:rsid w:val="00927154"/>
    <w:rsid w:val="00931DF2"/>
    <w:rsid w:val="00946AAA"/>
    <w:rsid w:val="00962F61"/>
    <w:rsid w:val="00997506"/>
    <w:rsid w:val="009C0605"/>
    <w:rsid w:val="009C3EC2"/>
    <w:rsid w:val="009D7F25"/>
    <w:rsid w:val="009F6449"/>
    <w:rsid w:val="009F691D"/>
    <w:rsid w:val="00A350B3"/>
    <w:rsid w:val="00A516E4"/>
    <w:rsid w:val="00A655A7"/>
    <w:rsid w:val="00A80383"/>
    <w:rsid w:val="00A854BE"/>
    <w:rsid w:val="00AA0EF4"/>
    <w:rsid w:val="00AC6EB3"/>
    <w:rsid w:val="00AD7007"/>
    <w:rsid w:val="00AF4964"/>
    <w:rsid w:val="00AF5569"/>
    <w:rsid w:val="00B0551B"/>
    <w:rsid w:val="00B21DAB"/>
    <w:rsid w:val="00B43EB5"/>
    <w:rsid w:val="00B57233"/>
    <w:rsid w:val="00B73B6F"/>
    <w:rsid w:val="00B85161"/>
    <w:rsid w:val="00B862C8"/>
    <w:rsid w:val="00B90945"/>
    <w:rsid w:val="00BB1742"/>
    <w:rsid w:val="00BC2DD4"/>
    <w:rsid w:val="00BE3A68"/>
    <w:rsid w:val="00BE4101"/>
    <w:rsid w:val="00C03338"/>
    <w:rsid w:val="00C348F3"/>
    <w:rsid w:val="00C36E07"/>
    <w:rsid w:val="00C4240F"/>
    <w:rsid w:val="00C774E8"/>
    <w:rsid w:val="00C812DF"/>
    <w:rsid w:val="00CA66D1"/>
    <w:rsid w:val="00CC12F1"/>
    <w:rsid w:val="00CC4C7E"/>
    <w:rsid w:val="00CD2ADC"/>
    <w:rsid w:val="00CE4401"/>
    <w:rsid w:val="00D11C4A"/>
    <w:rsid w:val="00D54032"/>
    <w:rsid w:val="00DF6017"/>
    <w:rsid w:val="00E27F12"/>
    <w:rsid w:val="00E44AAA"/>
    <w:rsid w:val="00E53378"/>
    <w:rsid w:val="00E71BA9"/>
    <w:rsid w:val="00EA055A"/>
    <w:rsid w:val="00ED4AAF"/>
    <w:rsid w:val="00F45984"/>
    <w:rsid w:val="00F67FCA"/>
    <w:rsid w:val="00F93CCF"/>
    <w:rsid w:val="00FF73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CFC10"/>
  <w15:docId w15:val="{4F247684-1A5D-4012-81DE-3186586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nfo@krewel-meuselbach.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7726-EFB1-4F0C-95F4-FFC15777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5717</Words>
  <Characters>32589</Characters>
  <Application>Microsoft Office Word</Application>
  <DocSecurity>0</DocSecurity>
  <Lines>271</Lines>
  <Paragraphs>76</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38230</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Frankemöll, Sandra</dc:creator>
  <cp:lastModifiedBy>Milča</cp:lastModifiedBy>
  <cp:revision>2</cp:revision>
  <cp:lastPrinted>2015-08-04T06:24:00Z</cp:lastPrinted>
  <dcterms:created xsi:type="dcterms:W3CDTF">2020-12-10T12:53:00Z</dcterms:created>
  <dcterms:modified xsi:type="dcterms:W3CDTF">2020-12-10T12:53:00Z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