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A78DC" w14:textId="77777777" w:rsidR="00D93656" w:rsidRPr="00530542" w:rsidRDefault="00D93656" w:rsidP="00F004C3">
      <w:pPr>
        <w:adjustRightInd w:val="0"/>
        <w:snapToGrid w:val="0"/>
        <w:rPr>
          <w:szCs w:val="22"/>
        </w:rPr>
      </w:pPr>
    </w:p>
    <w:p w14:paraId="4BCB5DFF" w14:textId="77777777" w:rsidR="00D044EB" w:rsidRPr="00CD10F1" w:rsidRDefault="00D044EB" w:rsidP="00F004C3">
      <w:pPr>
        <w:pStyle w:val="Nadpis6"/>
        <w:adjustRightInd w:val="0"/>
        <w:snapToGrid w:val="0"/>
        <w:ind w:left="0"/>
        <w:jc w:val="center"/>
        <w:rPr>
          <w:b/>
          <w:szCs w:val="22"/>
          <w:u w:val="none"/>
        </w:rPr>
      </w:pPr>
      <w:r w:rsidRPr="00CD10F1">
        <w:rPr>
          <w:b/>
          <w:szCs w:val="22"/>
          <w:u w:val="none"/>
        </w:rPr>
        <w:t>SÚHRN CHARAKTERISTICKÝCH VLASTNOSTÍ LIEKU</w:t>
      </w:r>
    </w:p>
    <w:p w14:paraId="53E1E3D1" w14:textId="77777777" w:rsidR="00D044EB" w:rsidRPr="00CD10F1" w:rsidRDefault="00D044EB" w:rsidP="000E2387">
      <w:pPr>
        <w:adjustRightInd w:val="0"/>
        <w:snapToGrid w:val="0"/>
        <w:rPr>
          <w:szCs w:val="22"/>
        </w:rPr>
      </w:pPr>
    </w:p>
    <w:p w14:paraId="1BED9D26" w14:textId="77777777" w:rsidR="00D044EB" w:rsidRPr="00CD10F1" w:rsidRDefault="00D044EB" w:rsidP="000E2387">
      <w:pPr>
        <w:adjustRightInd w:val="0"/>
        <w:snapToGrid w:val="0"/>
        <w:rPr>
          <w:szCs w:val="22"/>
        </w:rPr>
      </w:pPr>
    </w:p>
    <w:p w14:paraId="05B27494" w14:textId="77777777" w:rsidR="00D044EB" w:rsidRPr="00CD10F1" w:rsidRDefault="00D044EB" w:rsidP="000E2387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CD10F1">
        <w:rPr>
          <w:b/>
          <w:szCs w:val="22"/>
        </w:rPr>
        <w:t>1.</w:t>
      </w:r>
      <w:r w:rsidRPr="00CD10F1">
        <w:rPr>
          <w:b/>
          <w:szCs w:val="22"/>
        </w:rPr>
        <w:tab/>
        <w:t>NÁZOV LIEKU</w:t>
      </w:r>
    </w:p>
    <w:p w14:paraId="2A2F06F7" w14:textId="77777777" w:rsidR="00D044EB" w:rsidRPr="00CD10F1" w:rsidRDefault="00D044EB" w:rsidP="000E2387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Cs/>
          <w:szCs w:val="22"/>
        </w:rPr>
      </w:pPr>
    </w:p>
    <w:p w14:paraId="692B0A38" w14:textId="77777777" w:rsidR="00E02D95" w:rsidRPr="00CD10F1" w:rsidRDefault="005B0824" w:rsidP="000E2387">
      <w:pPr>
        <w:adjustRightInd w:val="0"/>
        <w:snapToGrid w:val="0"/>
        <w:rPr>
          <w:szCs w:val="22"/>
        </w:rPr>
      </w:pPr>
      <w:proofErr w:type="spellStart"/>
      <w:r w:rsidRPr="00CD10F1">
        <w:rPr>
          <w:szCs w:val="22"/>
        </w:rPr>
        <w:t>Cornusan</w:t>
      </w:r>
      <w:proofErr w:type="spellEnd"/>
      <w:r w:rsidR="00D044EB" w:rsidRPr="00CD10F1">
        <w:rPr>
          <w:szCs w:val="22"/>
        </w:rPr>
        <w:t xml:space="preserve"> 10 mg/10 mg </w:t>
      </w:r>
    </w:p>
    <w:p w14:paraId="3333F40A" w14:textId="77777777" w:rsidR="00E02D95" w:rsidRPr="00CD10F1" w:rsidRDefault="005B0824" w:rsidP="000E2387">
      <w:pPr>
        <w:adjustRightInd w:val="0"/>
        <w:snapToGrid w:val="0"/>
        <w:rPr>
          <w:szCs w:val="22"/>
        </w:rPr>
      </w:pPr>
      <w:proofErr w:type="spellStart"/>
      <w:r w:rsidRPr="00CD10F1">
        <w:rPr>
          <w:szCs w:val="22"/>
        </w:rPr>
        <w:t>Cornusan</w:t>
      </w:r>
      <w:proofErr w:type="spellEnd"/>
      <w:r w:rsidRPr="00CD10F1">
        <w:rPr>
          <w:szCs w:val="22"/>
        </w:rPr>
        <w:t xml:space="preserve"> </w:t>
      </w:r>
      <w:r w:rsidR="00D044EB" w:rsidRPr="00CD10F1">
        <w:rPr>
          <w:szCs w:val="22"/>
        </w:rPr>
        <w:t xml:space="preserve">10 mg/20 mg </w:t>
      </w:r>
    </w:p>
    <w:p w14:paraId="6B25FA79" w14:textId="77777777" w:rsidR="00E02D95" w:rsidRPr="00CD10F1" w:rsidRDefault="005B0824" w:rsidP="000E2387">
      <w:pPr>
        <w:adjustRightInd w:val="0"/>
        <w:snapToGrid w:val="0"/>
        <w:rPr>
          <w:szCs w:val="22"/>
        </w:rPr>
      </w:pPr>
      <w:proofErr w:type="spellStart"/>
      <w:r w:rsidRPr="00CD10F1">
        <w:rPr>
          <w:szCs w:val="22"/>
        </w:rPr>
        <w:t>Cornusan</w:t>
      </w:r>
      <w:proofErr w:type="spellEnd"/>
      <w:r w:rsidRPr="00CD10F1">
        <w:rPr>
          <w:szCs w:val="22"/>
        </w:rPr>
        <w:t xml:space="preserve"> </w:t>
      </w:r>
      <w:r w:rsidR="00D044EB" w:rsidRPr="00CD10F1">
        <w:rPr>
          <w:szCs w:val="22"/>
        </w:rPr>
        <w:t>10 mg/40 mg</w:t>
      </w:r>
      <w:r w:rsidR="00E02D95" w:rsidRPr="00CD10F1">
        <w:rPr>
          <w:szCs w:val="22"/>
        </w:rPr>
        <w:t xml:space="preserve"> </w:t>
      </w:r>
    </w:p>
    <w:p w14:paraId="2B06E1CE" w14:textId="77777777" w:rsidR="00D044EB" w:rsidRPr="00CD10F1" w:rsidRDefault="005B0824" w:rsidP="000E2387">
      <w:pPr>
        <w:adjustRightInd w:val="0"/>
        <w:snapToGrid w:val="0"/>
        <w:rPr>
          <w:szCs w:val="22"/>
        </w:rPr>
      </w:pPr>
      <w:proofErr w:type="spellStart"/>
      <w:r w:rsidRPr="00CD10F1">
        <w:rPr>
          <w:szCs w:val="22"/>
        </w:rPr>
        <w:t>Cornusan</w:t>
      </w:r>
      <w:proofErr w:type="spellEnd"/>
      <w:r w:rsidRPr="00CD10F1">
        <w:rPr>
          <w:szCs w:val="22"/>
        </w:rPr>
        <w:t xml:space="preserve"> </w:t>
      </w:r>
      <w:r w:rsidR="00D044EB" w:rsidRPr="00CD10F1">
        <w:rPr>
          <w:szCs w:val="22"/>
        </w:rPr>
        <w:t xml:space="preserve">10 mg/80 mg </w:t>
      </w:r>
    </w:p>
    <w:p w14:paraId="42115A67" w14:textId="77777777" w:rsidR="00063276" w:rsidRPr="00CD10F1" w:rsidRDefault="00063276" w:rsidP="000E2387">
      <w:pPr>
        <w:adjustRightInd w:val="0"/>
        <w:snapToGrid w:val="0"/>
        <w:rPr>
          <w:szCs w:val="22"/>
        </w:rPr>
      </w:pPr>
      <w:r w:rsidRPr="00CD10F1">
        <w:rPr>
          <w:szCs w:val="22"/>
        </w:rPr>
        <w:t>tablety</w:t>
      </w:r>
    </w:p>
    <w:p w14:paraId="2EC5EE98" w14:textId="77777777" w:rsidR="00D044EB" w:rsidRPr="00CD10F1" w:rsidRDefault="00D044EB" w:rsidP="000E2387">
      <w:pPr>
        <w:adjustRightInd w:val="0"/>
        <w:snapToGrid w:val="0"/>
        <w:rPr>
          <w:szCs w:val="22"/>
        </w:rPr>
      </w:pPr>
    </w:p>
    <w:p w14:paraId="7A5F1A80" w14:textId="77777777" w:rsidR="00D044EB" w:rsidRPr="00CD10F1" w:rsidRDefault="00D044EB" w:rsidP="000E2387">
      <w:pPr>
        <w:adjustRightInd w:val="0"/>
        <w:snapToGrid w:val="0"/>
        <w:rPr>
          <w:szCs w:val="22"/>
        </w:rPr>
      </w:pPr>
    </w:p>
    <w:p w14:paraId="2D88A62C" w14:textId="77777777" w:rsidR="00D044EB" w:rsidRPr="00CD10F1" w:rsidRDefault="00D044EB" w:rsidP="000E2387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CD10F1">
        <w:rPr>
          <w:b/>
          <w:szCs w:val="22"/>
        </w:rPr>
        <w:t>2.</w:t>
      </w:r>
      <w:r w:rsidRPr="00CD10F1">
        <w:rPr>
          <w:b/>
          <w:szCs w:val="22"/>
        </w:rPr>
        <w:tab/>
        <w:t>KVALITATÍVNE A KVANTITATÍVNE ZLOŽENIE</w:t>
      </w:r>
    </w:p>
    <w:p w14:paraId="6E5BC19F" w14:textId="77777777" w:rsidR="00D044EB" w:rsidRPr="00CD10F1" w:rsidRDefault="00D044EB" w:rsidP="000E2387">
      <w:pPr>
        <w:pStyle w:val="Body"/>
        <w:keepNext/>
        <w:adjustRightInd w:val="0"/>
        <w:snapToGrid w:val="0"/>
        <w:ind w:firstLine="0"/>
        <w:rPr>
          <w:szCs w:val="22"/>
        </w:rPr>
      </w:pPr>
    </w:p>
    <w:p w14:paraId="511FD038" w14:textId="77777777" w:rsidR="00D044EB" w:rsidRPr="00823BDC" w:rsidRDefault="009E2F49" w:rsidP="000E2387">
      <w:pPr>
        <w:pStyle w:val="CPCLH3"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Cs w:val="22"/>
        </w:rPr>
      </w:pPr>
      <w:proofErr w:type="spellStart"/>
      <w:r w:rsidRPr="00CD10F1">
        <w:rPr>
          <w:rFonts w:ascii="Times New Roman" w:hAnsi="Times New Roman"/>
          <w:szCs w:val="22"/>
        </w:rPr>
        <w:t>Cornusan</w:t>
      </w:r>
      <w:proofErr w:type="spellEnd"/>
      <w:r w:rsidRPr="00CD10F1">
        <w:rPr>
          <w:rFonts w:ascii="Times New Roman" w:hAnsi="Times New Roman"/>
          <w:szCs w:val="22"/>
        </w:rPr>
        <w:t xml:space="preserve"> 10 mg/10 mg: </w:t>
      </w:r>
      <w:r w:rsidR="00D044EB" w:rsidRPr="00CD10F1">
        <w:rPr>
          <w:rFonts w:ascii="Times New Roman" w:hAnsi="Times New Roman"/>
          <w:szCs w:val="22"/>
        </w:rPr>
        <w:t xml:space="preserve">Každá tableta obsahuje 10 mg </w:t>
      </w:r>
      <w:proofErr w:type="spellStart"/>
      <w:r w:rsidR="00D044EB" w:rsidRPr="00CD10F1">
        <w:rPr>
          <w:rFonts w:ascii="Times New Roman" w:hAnsi="Times New Roman"/>
          <w:szCs w:val="22"/>
        </w:rPr>
        <w:t>ezetimibu</w:t>
      </w:r>
      <w:proofErr w:type="spellEnd"/>
      <w:r w:rsidR="00D044EB" w:rsidRPr="00CD10F1">
        <w:rPr>
          <w:rFonts w:ascii="Times New Roman" w:hAnsi="Times New Roman"/>
          <w:szCs w:val="22"/>
        </w:rPr>
        <w:t xml:space="preserve"> a 10</w:t>
      </w:r>
      <w:r w:rsidR="005532E9" w:rsidRPr="00823BDC">
        <w:rPr>
          <w:rFonts w:ascii="Times New Roman" w:hAnsi="Times New Roman"/>
          <w:szCs w:val="22"/>
        </w:rPr>
        <w:t> </w:t>
      </w:r>
      <w:r w:rsidR="00E02D95" w:rsidRPr="00823BDC">
        <w:rPr>
          <w:rFonts w:ascii="Times New Roman" w:hAnsi="Times New Roman"/>
          <w:szCs w:val="22"/>
        </w:rPr>
        <w:t>mg</w:t>
      </w:r>
      <w:r w:rsidR="00D044EB" w:rsidRPr="00823BDC">
        <w:rPr>
          <w:rFonts w:ascii="Times New Roman" w:hAnsi="Times New Roman"/>
          <w:szCs w:val="22"/>
        </w:rPr>
        <w:t xml:space="preserve"> </w:t>
      </w:r>
      <w:proofErr w:type="spellStart"/>
      <w:r w:rsidR="00D044EB" w:rsidRPr="00823BDC">
        <w:rPr>
          <w:rFonts w:ascii="Times New Roman" w:hAnsi="Times New Roman"/>
          <w:szCs w:val="22"/>
        </w:rPr>
        <w:t>simvastatínu</w:t>
      </w:r>
      <w:proofErr w:type="spellEnd"/>
      <w:r w:rsidR="00D044EB" w:rsidRPr="00823BDC">
        <w:rPr>
          <w:rFonts w:ascii="Times New Roman" w:hAnsi="Times New Roman"/>
          <w:szCs w:val="22"/>
        </w:rPr>
        <w:t>.</w:t>
      </w:r>
    </w:p>
    <w:p w14:paraId="4C83DE11" w14:textId="77777777" w:rsidR="00E02D95" w:rsidRPr="00823BDC" w:rsidRDefault="009E2F49" w:rsidP="000E2387">
      <w:pPr>
        <w:pStyle w:val="CPCLH3"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Cs w:val="22"/>
        </w:rPr>
      </w:pPr>
      <w:proofErr w:type="spellStart"/>
      <w:r w:rsidRPr="00823BDC">
        <w:rPr>
          <w:rFonts w:ascii="Times New Roman" w:hAnsi="Times New Roman"/>
          <w:szCs w:val="22"/>
        </w:rPr>
        <w:t>Cornusan</w:t>
      </w:r>
      <w:proofErr w:type="spellEnd"/>
      <w:r w:rsidRPr="00823BDC">
        <w:rPr>
          <w:rFonts w:ascii="Times New Roman" w:hAnsi="Times New Roman"/>
          <w:szCs w:val="22"/>
        </w:rPr>
        <w:t xml:space="preserve"> 10 mg/20 mg: </w:t>
      </w:r>
      <w:r w:rsidR="00E02D95" w:rsidRPr="00823BDC">
        <w:rPr>
          <w:rFonts w:ascii="Times New Roman" w:hAnsi="Times New Roman"/>
          <w:szCs w:val="22"/>
        </w:rPr>
        <w:t xml:space="preserve">Každá tableta obsahuje 10 mg </w:t>
      </w:r>
      <w:proofErr w:type="spellStart"/>
      <w:r w:rsidR="00E02D95" w:rsidRPr="00823BDC">
        <w:rPr>
          <w:rFonts w:ascii="Times New Roman" w:hAnsi="Times New Roman"/>
          <w:szCs w:val="22"/>
        </w:rPr>
        <w:t>ezetimibu</w:t>
      </w:r>
      <w:proofErr w:type="spellEnd"/>
      <w:r w:rsidR="00E02D95" w:rsidRPr="00823BDC">
        <w:rPr>
          <w:rFonts w:ascii="Times New Roman" w:hAnsi="Times New Roman"/>
          <w:szCs w:val="22"/>
        </w:rPr>
        <w:t xml:space="preserve"> a 20</w:t>
      </w:r>
      <w:r w:rsidR="005532E9" w:rsidRPr="00823BDC">
        <w:rPr>
          <w:rFonts w:ascii="Times New Roman" w:hAnsi="Times New Roman"/>
          <w:szCs w:val="22"/>
        </w:rPr>
        <w:t> </w:t>
      </w:r>
      <w:r w:rsidR="00E02D95" w:rsidRPr="00823BDC">
        <w:rPr>
          <w:rFonts w:ascii="Times New Roman" w:hAnsi="Times New Roman"/>
          <w:szCs w:val="22"/>
        </w:rPr>
        <w:t xml:space="preserve">mg </w:t>
      </w:r>
      <w:proofErr w:type="spellStart"/>
      <w:r w:rsidR="00E02D95" w:rsidRPr="00823BDC">
        <w:rPr>
          <w:rFonts w:ascii="Times New Roman" w:hAnsi="Times New Roman"/>
          <w:szCs w:val="22"/>
        </w:rPr>
        <w:t>simvastatínu</w:t>
      </w:r>
      <w:proofErr w:type="spellEnd"/>
      <w:r w:rsidR="00E02D95" w:rsidRPr="00823BDC">
        <w:rPr>
          <w:rFonts w:ascii="Times New Roman" w:hAnsi="Times New Roman"/>
          <w:szCs w:val="22"/>
        </w:rPr>
        <w:t>.</w:t>
      </w:r>
    </w:p>
    <w:p w14:paraId="79EB1753" w14:textId="77777777" w:rsidR="00E02D95" w:rsidRPr="00823BDC" w:rsidRDefault="009E2F49" w:rsidP="000E2387">
      <w:pPr>
        <w:pStyle w:val="CPCLH3"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Cs w:val="22"/>
        </w:rPr>
      </w:pPr>
      <w:proofErr w:type="spellStart"/>
      <w:r w:rsidRPr="00823BDC">
        <w:rPr>
          <w:rFonts w:ascii="Times New Roman" w:hAnsi="Times New Roman"/>
          <w:szCs w:val="22"/>
        </w:rPr>
        <w:t>Cornusan</w:t>
      </w:r>
      <w:proofErr w:type="spellEnd"/>
      <w:r w:rsidRPr="00823BDC">
        <w:rPr>
          <w:rFonts w:ascii="Times New Roman" w:hAnsi="Times New Roman"/>
          <w:szCs w:val="22"/>
        </w:rPr>
        <w:t xml:space="preserve"> 10 mg/40 mg: </w:t>
      </w:r>
      <w:r w:rsidR="00E02D95" w:rsidRPr="00823BDC">
        <w:rPr>
          <w:rFonts w:ascii="Times New Roman" w:hAnsi="Times New Roman"/>
          <w:szCs w:val="22"/>
        </w:rPr>
        <w:t xml:space="preserve">Každá tableta obsahuje 10 mg </w:t>
      </w:r>
      <w:proofErr w:type="spellStart"/>
      <w:r w:rsidR="00E02D95" w:rsidRPr="00823BDC">
        <w:rPr>
          <w:rFonts w:ascii="Times New Roman" w:hAnsi="Times New Roman"/>
          <w:szCs w:val="22"/>
        </w:rPr>
        <w:t>ezetimibu</w:t>
      </w:r>
      <w:proofErr w:type="spellEnd"/>
      <w:r w:rsidR="00E02D95" w:rsidRPr="00823BDC">
        <w:rPr>
          <w:rFonts w:ascii="Times New Roman" w:hAnsi="Times New Roman"/>
          <w:szCs w:val="22"/>
        </w:rPr>
        <w:t xml:space="preserve"> a 40</w:t>
      </w:r>
      <w:r w:rsidR="005532E9" w:rsidRPr="00823BDC">
        <w:rPr>
          <w:rFonts w:ascii="Times New Roman" w:hAnsi="Times New Roman"/>
          <w:szCs w:val="22"/>
        </w:rPr>
        <w:t> </w:t>
      </w:r>
      <w:r w:rsidR="00E02D95" w:rsidRPr="00823BDC">
        <w:rPr>
          <w:rFonts w:ascii="Times New Roman" w:hAnsi="Times New Roman"/>
          <w:szCs w:val="22"/>
        </w:rPr>
        <w:t xml:space="preserve">mg </w:t>
      </w:r>
      <w:proofErr w:type="spellStart"/>
      <w:r w:rsidR="00E02D95" w:rsidRPr="00823BDC">
        <w:rPr>
          <w:rFonts w:ascii="Times New Roman" w:hAnsi="Times New Roman"/>
          <w:szCs w:val="22"/>
        </w:rPr>
        <w:t>simvastatínu</w:t>
      </w:r>
      <w:proofErr w:type="spellEnd"/>
      <w:r w:rsidR="00E02D95" w:rsidRPr="00823BDC">
        <w:rPr>
          <w:rFonts w:ascii="Times New Roman" w:hAnsi="Times New Roman"/>
          <w:szCs w:val="22"/>
        </w:rPr>
        <w:t>.</w:t>
      </w:r>
    </w:p>
    <w:p w14:paraId="4AEAD399" w14:textId="77777777" w:rsidR="00E02D95" w:rsidRPr="00823BDC" w:rsidRDefault="009E2F49" w:rsidP="005332CD">
      <w:pPr>
        <w:pStyle w:val="CPCLH3"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Cs w:val="22"/>
        </w:rPr>
      </w:pPr>
      <w:proofErr w:type="spellStart"/>
      <w:r w:rsidRPr="00823BDC">
        <w:rPr>
          <w:rFonts w:ascii="Times New Roman" w:hAnsi="Times New Roman"/>
          <w:szCs w:val="22"/>
        </w:rPr>
        <w:t>Cornusan</w:t>
      </w:r>
      <w:proofErr w:type="spellEnd"/>
      <w:r w:rsidRPr="00823BDC">
        <w:rPr>
          <w:rFonts w:ascii="Times New Roman" w:hAnsi="Times New Roman"/>
          <w:szCs w:val="22"/>
        </w:rPr>
        <w:t xml:space="preserve"> 10 mg/80 mg: </w:t>
      </w:r>
      <w:r w:rsidR="00E02D95" w:rsidRPr="00823BDC">
        <w:rPr>
          <w:rFonts w:ascii="Times New Roman" w:hAnsi="Times New Roman"/>
          <w:szCs w:val="22"/>
        </w:rPr>
        <w:t xml:space="preserve">Každá tableta obsahuje 10 mg </w:t>
      </w:r>
      <w:proofErr w:type="spellStart"/>
      <w:r w:rsidR="00E02D95" w:rsidRPr="00823BDC">
        <w:rPr>
          <w:rFonts w:ascii="Times New Roman" w:hAnsi="Times New Roman"/>
          <w:szCs w:val="22"/>
        </w:rPr>
        <w:t>ezetimibu</w:t>
      </w:r>
      <w:proofErr w:type="spellEnd"/>
      <w:r w:rsidR="00E02D95" w:rsidRPr="00823BDC">
        <w:rPr>
          <w:rFonts w:ascii="Times New Roman" w:hAnsi="Times New Roman"/>
          <w:szCs w:val="22"/>
        </w:rPr>
        <w:t xml:space="preserve"> a 80 mg </w:t>
      </w:r>
      <w:proofErr w:type="spellStart"/>
      <w:r w:rsidR="00E02D95" w:rsidRPr="00823BDC">
        <w:rPr>
          <w:rFonts w:ascii="Times New Roman" w:hAnsi="Times New Roman"/>
          <w:szCs w:val="22"/>
        </w:rPr>
        <w:t>simvastatínu</w:t>
      </w:r>
      <w:proofErr w:type="spellEnd"/>
      <w:r w:rsidR="00E02D95" w:rsidRPr="00823BDC">
        <w:rPr>
          <w:rFonts w:ascii="Times New Roman" w:hAnsi="Times New Roman"/>
          <w:szCs w:val="22"/>
        </w:rPr>
        <w:t>.</w:t>
      </w:r>
    </w:p>
    <w:p w14:paraId="2DC46595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6279C62A" w14:textId="17A6EC13" w:rsidR="00642381" w:rsidRPr="00823BDC" w:rsidRDefault="00642381">
      <w:pPr>
        <w:adjustRightInd w:val="0"/>
        <w:snapToGrid w:val="0"/>
        <w:rPr>
          <w:szCs w:val="22"/>
        </w:rPr>
      </w:pPr>
      <w:r w:rsidRPr="00823BDC">
        <w:rPr>
          <w:szCs w:val="22"/>
          <w:u w:val="single"/>
        </w:rPr>
        <w:t>Pomocn</w:t>
      </w:r>
      <w:r w:rsidR="009E2F49" w:rsidRPr="00823BDC">
        <w:rPr>
          <w:szCs w:val="22"/>
          <w:u w:val="single"/>
        </w:rPr>
        <w:t>é</w:t>
      </w:r>
      <w:r w:rsidRPr="00823BDC">
        <w:rPr>
          <w:szCs w:val="22"/>
          <w:u w:val="single"/>
        </w:rPr>
        <w:t xml:space="preserve"> látk</w:t>
      </w:r>
      <w:r w:rsidR="009E2F49" w:rsidRPr="00823BDC">
        <w:rPr>
          <w:szCs w:val="22"/>
          <w:u w:val="single"/>
        </w:rPr>
        <w:t>y</w:t>
      </w:r>
      <w:r w:rsidR="00F05FAB" w:rsidRPr="00823BDC">
        <w:rPr>
          <w:noProof/>
          <w:szCs w:val="22"/>
          <w:u w:val="single"/>
        </w:rPr>
        <w:t xml:space="preserve"> so známym účinkom</w:t>
      </w:r>
    </w:p>
    <w:p w14:paraId="74B42C92" w14:textId="059BA0E4" w:rsidR="00642381" w:rsidRPr="00530542" w:rsidRDefault="009E2F49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Pr="00823BDC">
        <w:rPr>
          <w:szCs w:val="22"/>
        </w:rPr>
        <w:t xml:space="preserve"> 10 mg/10 mg: </w:t>
      </w:r>
      <w:r w:rsidR="00642381" w:rsidRPr="00823BDC">
        <w:rPr>
          <w:szCs w:val="22"/>
        </w:rPr>
        <w:t>Každá 10 mg/10 mg tableta obsahuje 5</w:t>
      </w:r>
      <w:r w:rsidR="005B0824" w:rsidRPr="00823BDC">
        <w:rPr>
          <w:szCs w:val="22"/>
        </w:rPr>
        <w:t>1</w:t>
      </w:r>
      <w:r w:rsidR="00642381" w:rsidRPr="00823BDC">
        <w:rPr>
          <w:szCs w:val="22"/>
        </w:rPr>
        <w:t>,</w:t>
      </w:r>
      <w:r w:rsidR="005B0824" w:rsidRPr="00823BDC">
        <w:rPr>
          <w:szCs w:val="22"/>
        </w:rPr>
        <w:t>6</w:t>
      </w:r>
      <w:r w:rsidR="00642381" w:rsidRPr="00823BDC">
        <w:rPr>
          <w:szCs w:val="22"/>
        </w:rPr>
        <w:t> mg monohydrátu laktózy</w:t>
      </w:r>
      <w:r w:rsidR="00642381" w:rsidRPr="00530542">
        <w:rPr>
          <w:szCs w:val="22"/>
        </w:rPr>
        <w:t>.</w:t>
      </w:r>
    </w:p>
    <w:p w14:paraId="3F1ECBC9" w14:textId="76E7BA76" w:rsidR="00642381" w:rsidRPr="00CD10F1" w:rsidRDefault="009E2F49">
      <w:pPr>
        <w:adjustRightInd w:val="0"/>
        <w:snapToGrid w:val="0"/>
        <w:rPr>
          <w:szCs w:val="22"/>
        </w:rPr>
      </w:pPr>
      <w:proofErr w:type="spellStart"/>
      <w:r w:rsidRPr="00CD10F1">
        <w:rPr>
          <w:szCs w:val="22"/>
        </w:rPr>
        <w:t>Cornusan</w:t>
      </w:r>
      <w:proofErr w:type="spellEnd"/>
      <w:r w:rsidRPr="00CD10F1">
        <w:rPr>
          <w:szCs w:val="22"/>
        </w:rPr>
        <w:t xml:space="preserve"> 10 mg/20 mg: </w:t>
      </w:r>
      <w:r w:rsidR="00642381" w:rsidRPr="00CD10F1">
        <w:rPr>
          <w:szCs w:val="22"/>
        </w:rPr>
        <w:t>Každá 10 mg/20 mg tableta obsahuje 1</w:t>
      </w:r>
      <w:r w:rsidR="005B0824" w:rsidRPr="00823BDC">
        <w:rPr>
          <w:szCs w:val="22"/>
        </w:rPr>
        <w:t>13</w:t>
      </w:r>
      <w:r w:rsidR="00642381" w:rsidRPr="00823BDC">
        <w:rPr>
          <w:szCs w:val="22"/>
        </w:rPr>
        <w:t>,</w:t>
      </w:r>
      <w:r w:rsidR="005B0824" w:rsidRPr="00823BDC">
        <w:rPr>
          <w:szCs w:val="22"/>
        </w:rPr>
        <w:t>3</w:t>
      </w:r>
      <w:r w:rsidR="00642381" w:rsidRPr="00823BDC">
        <w:rPr>
          <w:szCs w:val="22"/>
        </w:rPr>
        <w:t> mg monohydrátu laktózy</w:t>
      </w:r>
    </w:p>
    <w:p w14:paraId="1B7CA37B" w14:textId="20B1D07A" w:rsidR="00642381" w:rsidRPr="00530542" w:rsidRDefault="009E2F49">
      <w:pPr>
        <w:adjustRightInd w:val="0"/>
        <w:snapToGrid w:val="0"/>
        <w:rPr>
          <w:szCs w:val="22"/>
        </w:rPr>
      </w:pPr>
      <w:proofErr w:type="spellStart"/>
      <w:r w:rsidRPr="00CD10F1">
        <w:rPr>
          <w:szCs w:val="22"/>
        </w:rPr>
        <w:t>Cornusan</w:t>
      </w:r>
      <w:proofErr w:type="spellEnd"/>
      <w:r w:rsidRPr="00CD10F1">
        <w:rPr>
          <w:szCs w:val="22"/>
        </w:rPr>
        <w:t xml:space="preserve"> 10 mg/40 mg: </w:t>
      </w:r>
      <w:r w:rsidR="00642381" w:rsidRPr="00823BDC">
        <w:rPr>
          <w:szCs w:val="22"/>
        </w:rPr>
        <w:t>Každá 10 mg/40 mg tableta obsahuje 2</w:t>
      </w:r>
      <w:r w:rsidR="005B0824" w:rsidRPr="00823BDC">
        <w:rPr>
          <w:szCs w:val="22"/>
        </w:rPr>
        <w:t>3</w:t>
      </w:r>
      <w:r w:rsidR="00642381" w:rsidRPr="00823BDC">
        <w:rPr>
          <w:szCs w:val="22"/>
        </w:rPr>
        <w:t>6,</w:t>
      </w:r>
      <w:r w:rsidR="005B0824" w:rsidRPr="00823BDC">
        <w:rPr>
          <w:szCs w:val="22"/>
        </w:rPr>
        <w:t>5</w:t>
      </w:r>
      <w:r w:rsidR="00642381" w:rsidRPr="00823BDC">
        <w:rPr>
          <w:szCs w:val="22"/>
        </w:rPr>
        <w:t> mg monohydrátu laktózy</w:t>
      </w:r>
      <w:r w:rsidR="00642381" w:rsidRPr="00530542">
        <w:rPr>
          <w:szCs w:val="22"/>
        </w:rPr>
        <w:t>.</w:t>
      </w:r>
    </w:p>
    <w:p w14:paraId="179867C6" w14:textId="3B0762CF" w:rsidR="00642381" w:rsidRPr="00530542" w:rsidRDefault="009E2F49">
      <w:pPr>
        <w:adjustRightInd w:val="0"/>
        <w:snapToGrid w:val="0"/>
        <w:rPr>
          <w:szCs w:val="22"/>
        </w:rPr>
      </w:pPr>
      <w:proofErr w:type="spellStart"/>
      <w:r w:rsidRPr="00CD10F1">
        <w:rPr>
          <w:szCs w:val="22"/>
        </w:rPr>
        <w:t>Cornusan</w:t>
      </w:r>
      <w:proofErr w:type="spellEnd"/>
      <w:r w:rsidRPr="00CD10F1">
        <w:rPr>
          <w:szCs w:val="22"/>
        </w:rPr>
        <w:t xml:space="preserve"> 10 mg/80 mg: </w:t>
      </w:r>
      <w:r w:rsidR="00642381" w:rsidRPr="00CD10F1">
        <w:rPr>
          <w:szCs w:val="22"/>
        </w:rPr>
        <w:t xml:space="preserve">Každá 10 mg/80 mg tableta obsahuje </w:t>
      </w:r>
      <w:r w:rsidR="005B0824" w:rsidRPr="00823BDC">
        <w:rPr>
          <w:szCs w:val="22"/>
        </w:rPr>
        <w:t>483</w:t>
      </w:r>
      <w:r w:rsidR="00642381" w:rsidRPr="00823BDC">
        <w:rPr>
          <w:szCs w:val="22"/>
        </w:rPr>
        <w:t>,</w:t>
      </w:r>
      <w:r w:rsidR="005B0824" w:rsidRPr="00823BDC">
        <w:rPr>
          <w:szCs w:val="22"/>
        </w:rPr>
        <w:t>0</w:t>
      </w:r>
      <w:r w:rsidR="00642381" w:rsidRPr="00823BDC">
        <w:rPr>
          <w:szCs w:val="22"/>
        </w:rPr>
        <w:t> mg monohydrátu laktózy</w:t>
      </w:r>
      <w:r w:rsidR="00642381" w:rsidRPr="00530542">
        <w:rPr>
          <w:szCs w:val="22"/>
        </w:rPr>
        <w:t>.</w:t>
      </w:r>
    </w:p>
    <w:p w14:paraId="4CD1D259" w14:textId="77777777" w:rsidR="00642381" w:rsidRPr="00CD10F1" w:rsidRDefault="00642381">
      <w:pPr>
        <w:adjustRightInd w:val="0"/>
        <w:snapToGrid w:val="0"/>
        <w:rPr>
          <w:szCs w:val="22"/>
        </w:rPr>
      </w:pPr>
    </w:p>
    <w:p w14:paraId="287F7BBF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CD10F1">
        <w:rPr>
          <w:szCs w:val="22"/>
        </w:rPr>
        <w:t xml:space="preserve">Úplný zoznam pomocných látok, pozri </w:t>
      </w:r>
      <w:r w:rsidRPr="00823BDC">
        <w:rPr>
          <w:szCs w:val="22"/>
        </w:rPr>
        <w:t>časť 6.1.</w:t>
      </w:r>
    </w:p>
    <w:p w14:paraId="3DBB18F1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DB8A520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FA392B8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3.</w:t>
      </w:r>
      <w:r w:rsidRPr="00823BDC">
        <w:rPr>
          <w:b/>
          <w:szCs w:val="22"/>
        </w:rPr>
        <w:tab/>
        <w:t>LIEKOVÁ FORMA</w:t>
      </w:r>
    </w:p>
    <w:p w14:paraId="01406B5F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1F63DCC7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Tableta.</w:t>
      </w:r>
    </w:p>
    <w:p w14:paraId="551979C9" w14:textId="77777777" w:rsidR="005B0824" w:rsidRPr="00823BDC" w:rsidRDefault="005B0824">
      <w:pPr>
        <w:adjustRightInd w:val="0"/>
        <w:snapToGrid w:val="0"/>
        <w:rPr>
          <w:szCs w:val="22"/>
        </w:rPr>
      </w:pPr>
    </w:p>
    <w:p w14:paraId="4D6201E7" w14:textId="77777777" w:rsidR="00C36020" w:rsidRPr="00823BDC" w:rsidRDefault="005B0824">
      <w:pPr>
        <w:adjustRightInd w:val="0"/>
        <w:snapToGrid w:val="0"/>
        <w:ind w:left="2268" w:hanging="2268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Pr="00823BDC">
        <w:rPr>
          <w:szCs w:val="22"/>
        </w:rPr>
        <w:t xml:space="preserve"> 10 mg/10 mg:</w:t>
      </w:r>
      <w:r w:rsidR="00C97130" w:rsidRPr="00823BDC">
        <w:rPr>
          <w:szCs w:val="22"/>
        </w:rPr>
        <w:t xml:space="preserve"> Svetlohnedé, škvrnité, okrúhle, bikonvexné tablety s priemerom 6 </w:t>
      </w:r>
      <w:r w:rsidR="00C36020" w:rsidRPr="00823BDC">
        <w:rPr>
          <w:szCs w:val="22"/>
        </w:rPr>
        <w:t>mm, na</w:t>
      </w:r>
    </w:p>
    <w:p w14:paraId="43EFD009" w14:textId="639DD013" w:rsidR="005B0824" w:rsidRPr="00823BDC" w:rsidRDefault="00C97130">
      <w:pPr>
        <w:adjustRightInd w:val="0"/>
        <w:snapToGrid w:val="0"/>
        <w:ind w:left="2268" w:hanging="2268"/>
        <w:rPr>
          <w:szCs w:val="22"/>
        </w:rPr>
      </w:pPr>
      <w:r w:rsidRPr="00823BDC">
        <w:rPr>
          <w:szCs w:val="22"/>
        </w:rPr>
        <w:t xml:space="preserve">jednej strane hladké a na druhej strane označené </w:t>
      </w:r>
      <w:r w:rsidR="00036F81" w:rsidRPr="00823BDC">
        <w:rPr>
          <w:szCs w:val="22"/>
        </w:rPr>
        <w:t>,,</w:t>
      </w:r>
      <w:r w:rsidRPr="00823BDC">
        <w:rPr>
          <w:szCs w:val="22"/>
        </w:rPr>
        <w:t>511</w:t>
      </w:r>
      <w:r w:rsidR="00036F81" w:rsidRPr="00823BDC">
        <w:rPr>
          <w:szCs w:val="22"/>
        </w:rPr>
        <w:t>“</w:t>
      </w:r>
      <w:r w:rsidRPr="00823BDC">
        <w:rPr>
          <w:szCs w:val="22"/>
        </w:rPr>
        <w:t>.</w:t>
      </w:r>
    </w:p>
    <w:p w14:paraId="620CD04B" w14:textId="77777777" w:rsidR="00C36020" w:rsidRPr="00823BDC" w:rsidRDefault="00C36020">
      <w:pPr>
        <w:adjustRightInd w:val="0"/>
        <w:snapToGrid w:val="0"/>
        <w:ind w:left="2268" w:hanging="2268"/>
        <w:rPr>
          <w:szCs w:val="22"/>
        </w:rPr>
      </w:pPr>
    </w:p>
    <w:p w14:paraId="209FC416" w14:textId="77777777" w:rsidR="00C36020" w:rsidRPr="00823BDC" w:rsidRDefault="005B0824">
      <w:pPr>
        <w:adjustRightInd w:val="0"/>
        <w:snapToGrid w:val="0"/>
        <w:ind w:left="2268" w:hanging="2268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Pr="00823BDC">
        <w:rPr>
          <w:szCs w:val="22"/>
        </w:rPr>
        <w:t xml:space="preserve"> 10 mg/20 mg</w:t>
      </w:r>
      <w:r w:rsidR="00C97130" w:rsidRPr="00823BDC">
        <w:rPr>
          <w:szCs w:val="22"/>
        </w:rPr>
        <w:t>:</w:t>
      </w:r>
      <w:r w:rsidR="004D102D" w:rsidRPr="00823BDC">
        <w:rPr>
          <w:szCs w:val="22"/>
        </w:rPr>
        <w:t xml:space="preserve"> Svetlohnedé, škvrnité, okrúhle, bikonvexné tablety s priemerom 8 </w:t>
      </w:r>
      <w:r w:rsidR="00C36020" w:rsidRPr="00823BDC">
        <w:rPr>
          <w:szCs w:val="22"/>
        </w:rPr>
        <w:t>mm, na</w:t>
      </w:r>
    </w:p>
    <w:p w14:paraId="2C32369E" w14:textId="31B2374E" w:rsidR="005B0824" w:rsidRPr="00823BDC" w:rsidRDefault="004D102D">
      <w:pPr>
        <w:adjustRightInd w:val="0"/>
        <w:snapToGrid w:val="0"/>
        <w:ind w:left="2268" w:hanging="2268"/>
        <w:rPr>
          <w:szCs w:val="22"/>
        </w:rPr>
      </w:pPr>
      <w:r w:rsidRPr="00823BDC">
        <w:rPr>
          <w:szCs w:val="22"/>
        </w:rPr>
        <w:t xml:space="preserve">jednej strane hladké a na druhej strane označené </w:t>
      </w:r>
      <w:r w:rsidR="00036F81" w:rsidRPr="00823BDC">
        <w:rPr>
          <w:szCs w:val="22"/>
        </w:rPr>
        <w:t>,,</w:t>
      </w:r>
      <w:r w:rsidRPr="00823BDC">
        <w:rPr>
          <w:szCs w:val="22"/>
        </w:rPr>
        <w:t>512</w:t>
      </w:r>
      <w:r w:rsidR="00036F81" w:rsidRPr="00823BDC">
        <w:rPr>
          <w:szCs w:val="22"/>
        </w:rPr>
        <w:t>“</w:t>
      </w:r>
      <w:r w:rsidRPr="00823BDC">
        <w:rPr>
          <w:szCs w:val="22"/>
        </w:rPr>
        <w:t>.</w:t>
      </w:r>
    </w:p>
    <w:p w14:paraId="1D660ED6" w14:textId="77777777" w:rsidR="00C36020" w:rsidRPr="00823BDC" w:rsidRDefault="00C36020">
      <w:pPr>
        <w:adjustRightInd w:val="0"/>
        <w:snapToGrid w:val="0"/>
        <w:ind w:left="2268" w:hanging="2268"/>
        <w:rPr>
          <w:szCs w:val="22"/>
        </w:rPr>
      </w:pPr>
    </w:p>
    <w:p w14:paraId="6F53ED7F" w14:textId="77777777" w:rsidR="00C36020" w:rsidRPr="00823BDC" w:rsidRDefault="005B0824">
      <w:pPr>
        <w:adjustRightInd w:val="0"/>
        <w:snapToGrid w:val="0"/>
        <w:ind w:left="2268" w:hanging="2268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Pr="00823BDC">
        <w:rPr>
          <w:szCs w:val="22"/>
        </w:rPr>
        <w:t xml:space="preserve"> 10 mg/40 mg</w:t>
      </w:r>
      <w:r w:rsidR="00C97130" w:rsidRPr="00823BDC">
        <w:rPr>
          <w:szCs w:val="22"/>
        </w:rPr>
        <w:t>:</w:t>
      </w:r>
      <w:r w:rsidR="004D102D" w:rsidRPr="00823BDC">
        <w:rPr>
          <w:szCs w:val="22"/>
        </w:rPr>
        <w:t xml:space="preserve"> Svetlohnedé, škvrnité, okrúhle, bikonvexné tablety s priemerom 10 </w:t>
      </w:r>
      <w:r w:rsidR="00C36020" w:rsidRPr="00823BDC">
        <w:rPr>
          <w:szCs w:val="22"/>
        </w:rPr>
        <w:t>mm, na</w:t>
      </w:r>
    </w:p>
    <w:p w14:paraId="01CB2577" w14:textId="33E2F07C" w:rsidR="005B0824" w:rsidRPr="00823BDC" w:rsidRDefault="004D102D">
      <w:pPr>
        <w:adjustRightInd w:val="0"/>
        <w:snapToGrid w:val="0"/>
        <w:ind w:left="2268" w:hanging="2268"/>
        <w:rPr>
          <w:szCs w:val="22"/>
        </w:rPr>
      </w:pPr>
      <w:r w:rsidRPr="00823BDC">
        <w:rPr>
          <w:szCs w:val="22"/>
        </w:rPr>
        <w:t xml:space="preserve">jednej strane hladké a na druhej strane označené </w:t>
      </w:r>
      <w:r w:rsidR="00036F81" w:rsidRPr="00823BDC">
        <w:rPr>
          <w:szCs w:val="22"/>
        </w:rPr>
        <w:t>„</w:t>
      </w:r>
      <w:r w:rsidRPr="00823BDC">
        <w:rPr>
          <w:szCs w:val="22"/>
        </w:rPr>
        <w:t>513</w:t>
      </w:r>
      <w:r w:rsidR="00036F81" w:rsidRPr="00823BDC">
        <w:rPr>
          <w:szCs w:val="22"/>
        </w:rPr>
        <w:t>“</w:t>
      </w:r>
      <w:r w:rsidRPr="00823BDC">
        <w:rPr>
          <w:szCs w:val="22"/>
        </w:rPr>
        <w:t>.</w:t>
      </w:r>
    </w:p>
    <w:p w14:paraId="6968F150" w14:textId="77777777" w:rsidR="00C36020" w:rsidRPr="00823BDC" w:rsidRDefault="00C36020">
      <w:pPr>
        <w:adjustRightInd w:val="0"/>
        <w:snapToGrid w:val="0"/>
        <w:ind w:left="2268" w:hanging="2268"/>
        <w:rPr>
          <w:szCs w:val="22"/>
        </w:rPr>
      </w:pPr>
    </w:p>
    <w:p w14:paraId="79FE74E9" w14:textId="77777777" w:rsidR="004D102D" w:rsidRPr="00823BDC" w:rsidRDefault="005B0824">
      <w:pPr>
        <w:adjustRightInd w:val="0"/>
        <w:snapToGrid w:val="0"/>
        <w:ind w:left="2268" w:hanging="2268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Pr="00823BDC">
        <w:rPr>
          <w:szCs w:val="22"/>
        </w:rPr>
        <w:t xml:space="preserve"> 10 mg/80 mg</w:t>
      </w:r>
      <w:r w:rsidR="00C97130" w:rsidRPr="00823BDC">
        <w:rPr>
          <w:szCs w:val="22"/>
        </w:rPr>
        <w:t>:</w:t>
      </w:r>
      <w:r w:rsidR="004D102D" w:rsidRPr="00823BDC">
        <w:rPr>
          <w:szCs w:val="22"/>
        </w:rPr>
        <w:t xml:space="preserve"> Svetlohnedé, škvrnité, bikonvexné tablety</w:t>
      </w:r>
      <w:r w:rsidR="00F24D63" w:rsidRPr="00823BDC">
        <w:rPr>
          <w:szCs w:val="22"/>
        </w:rPr>
        <w:t xml:space="preserve"> v</w:t>
      </w:r>
      <w:r w:rsidR="004D102D" w:rsidRPr="00823BDC">
        <w:rPr>
          <w:szCs w:val="22"/>
        </w:rPr>
        <w:t xml:space="preserve"> tvar</w:t>
      </w:r>
      <w:r w:rsidR="00F24D63" w:rsidRPr="00823BDC">
        <w:rPr>
          <w:szCs w:val="22"/>
        </w:rPr>
        <w:t>e</w:t>
      </w:r>
      <w:r w:rsidR="004D102D" w:rsidRPr="00823BDC">
        <w:rPr>
          <w:szCs w:val="22"/>
        </w:rPr>
        <w:t xml:space="preserve"> kapsuly, </w:t>
      </w:r>
    </w:p>
    <w:p w14:paraId="31D8003D" w14:textId="74EB0310" w:rsidR="00D044EB" w:rsidRPr="00823BDC" w:rsidRDefault="004D102D">
      <w:pPr>
        <w:adjustRightInd w:val="0"/>
        <w:snapToGrid w:val="0"/>
        <w:rPr>
          <w:szCs w:val="22"/>
        </w:rPr>
      </w:pPr>
      <w:r w:rsidRPr="00823BDC">
        <w:rPr>
          <w:szCs w:val="22"/>
        </w:rPr>
        <w:t>17,5 x 7,55 mm</w:t>
      </w:r>
      <w:r w:rsidR="00F4373F" w:rsidRPr="00823BDC">
        <w:rPr>
          <w:szCs w:val="22"/>
        </w:rPr>
        <w:t>,</w:t>
      </w:r>
      <w:r w:rsidRPr="00823BDC">
        <w:rPr>
          <w:szCs w:val="22"/>
        </w:rPr>
        <w:t xml:space="preserve"> na jednej strane hladké a na druhej strane označené </w:t>
      </w:r>
      <w:r w:rsidR="00036F81" w:rsidRPr="00823BDC">
        <w:rPr>
          <w:szCs w:val="22"/>
        </w:rPr>
        <w:t>„</w:t>
      </w:r>
      <w:r w:rsidRPr="00823BDC">
        <w:rPr>
          <w:szCs w:val="22"/>
        </w:rPr>
        <w:t>515</w:t>
      </w:r>
      <w:r w:rsidR="00036F81" w:rsidRPr="00823BDC">
        <w:rPr>
          <w:szCs w:val="22"/>
        </w:rPr>
        <w:t>“</w:t>
      </w:r>
      <w:r w:rsidRPr="00823BDC">
        <w:rPr>
          <w:szCs w:val="22"/>
        </w:rPr>
        <w:t>.</w:t>
      </w:r>
    </w:p>
    <w:p w14:paraId="468DE5B9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CB2C193" w14:textId="77777777" w:rsidR="004D102D" w:rsidRPr="00823BDC" w:rsidRDefault="004D102D">
      <w:pPr>
        <w:adjustRightInd w:val="0"/>
        <w:snapToGrid w:val="0"/>
        <w:rPr>
          <w:szCs w:val="22"/>
        </w:rPr>
      </w:pPr>
    </w:p>
    <w:p w14:paraId="00B8F64E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4.</w:t>
      </w:r>
      <w:r w:rsidRPr="00823BDC">
        <w:rPr>
          <w:b/>
          <w:szCs w:val="22"/>
        </w:rPr>
        <w:tab/>
        <w:t>KLINICKÉ ÚDAJE</w:t>
      </w:r>
    </w:p>
    <w:p w14:paraId="52CDAFE7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Cs/>
          <w:szCs w:val="22"/>
        </w:rPr>
      </w:pPr>
    </w:p>
    <w:p w14:paraId="37E21925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4.1</w:t>
      </w:r>
      <w:r w:rsidRPr="00823BDC">
        <w:rPr>
          <w:b/>
          <w:szCs w:val="22"/>
        </w:rPr>
        <w:tab/>
        <w:t>Terapeutické indikácie</w:t>
      </w:r>
    </w:p>
    <w:p w14:paraId="77EB78C7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1F85706B" w14:textId="77777777" w:rsidR="00F26AD4" w:rsidRPr="00823BDC" w:rsidRDefault="00F26AD4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Prevencia kardiovaskulárnych príhod</w:t>
      </w:r>
    </w:p>
    <w:p w14:paraId="5D3671BD" w14:textId="77777777" w:rsidR="00F26AD4" w:rsidRPr="00823BDC" w:rsidRDefault="004D102D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="00F26AD4" w:rsidRPr="00823BDC">
        <w:rPr>
          <w:szCs w:val="22"/>
        </w:rPr>
        <w:t xml:space="preserve"> je indikovaný na zníženie rizika kardiovaskulárnych príhod (pozri časť 5.1) u</w:t>
      </w:r>
      <w:r w:rsidR="005E6EED" w:rsidRPr="00823BDC">
        <w:rPr>
          <w:szCs w:val="22"/>
        </w:rPr>
        <w:t> </w:t>
      </w:r>
      <w:r w:rsidR="00F26AD4" w:rsidRPr="00823BDC">
        <w:rPr>
          <w:szCs w:val="22"/>
        </w:rPr>
        <w:t>pacientov</w:t>
      </w:r>
      <w:r w:rsidR="005E6EED" w:rsidRPr="00823BDC">
        <w:rPr>
          <w:szCs w:val="22"/>
        </w:rPr>
        <w:t xml:space="preserve"> s koronárnou chorobou srdca (</w:t>
      </w:r>
      <w:r w:rsidR="00524B24" w:rsidRPr="00823BDC">
        <w:rPr>
          <w:szCs w:val="22"/>
        </w:rPr>
        <w:t>K</w:t>
      </w:r>
      <w:r w:rsidR="005E6EED" w:rsidRPr="00823BDC">
        <w:rPr>
          <w:szCs w:val="22"/>
        </w:rPr>
        <w:t>CH</w:t>
      </w:r>
      <w:r w:rsidR="00524B24" w:rsidRPr="00823BDC">
        <w:rPr>
          <w:szCs w:val="22"/>
        </w:rPr>
        <w:t>S</w:t>
      </w:r>
      <w:r w:rsidR="005E6EED" w:rsidRPr="00823BDC">
        <w:rPr>
          <w:szCs w:val="22"/>
        </w:rPr>
        <w:t>) a akútnym koronárnym syndrómom (A</w:t>
      </w:r>
      <w:r w:rsidR="00524B24" w:rsidRPr="00823BDC">
        <w:rPr>
          <w:szCs w:val="22"/>
        </w:rPr>
        <w:t>K</w:t>
      </w:r>
      <w:r w:rsidR="005E6EED" w:rsidRPr="00823BDC">
        <w:rPr>
          <w:szCs w:val="22"/>
        </w:rPr>
        <w:t xml:space="preserve">S) v anamnéze, </w:t>
      </w:r>
      <w:r w:rsidR="00AC1692" w:rsidRPr="00823BDC">
        <w:rPr>
          <w:szCs w:val="22"/>
        </w:rPr>
        <w:t xml:space="preserve">v minulosti </w:t>
      </w:r>
      <w:r w:rsidR="005E6EED" w:rsidRPr="00823BDC">
        <w:rPr>
          <w:szCs w:val="22"/>
        </w:rPr>
        <w:t>liečen</w:t>
      </w:r>
      <w:r w:rsidR="00AC1692" w:rsidRPr="00823BDC">
        <w:rPr>
          <w:szCs w:val="22"/>
        </w:rPr>
        <w:t>ých</w:t>
      </w:r>
      <w:r w:rsidR="005E6EED" w:rsidRPr="00823BDC">
        <w:rPr>
          <w:szCs w:val="22"/>
        </w:rPr>
        <w:t xml:space="preserve"> alebo neliečen</w:t>
      </w:r>
      <w:r w:rsidR="00AC1692" w:rsidRPr="00823BDC">
        <w:rPr>
          <w:szCs w:val="22"/>
        </w:rPr>
        <w:t>ých</w:t>
      </w:r>
      <w:r w:rsidR="005E6EED" w:rsidRPr="00823BDC">
        <w:rPr>
          <w:szCs w:val="22"/>
        </w:rPr>
        <w:t xml:space="preserve"> </w:t>
      </w:r>
      <w:proofErr w:type="spellStart"/>
      <w:r w:rsidR="005E6EED" w:rsidRPr="00823BDC">
        <w:rPr>
          <w:szCs w:val="22"/>
        </w:rPr>
        <w:t>statínom</w:t>
      </w:r>
      <w:proofErr w:type="spellEnd"/>
      <w:r w:rsidR="005E6EED" w:rsidRPr="00823BDC">
        <w:rPr>
          <w:szCs w:val="22"/>
        </w:rPr>
        <w:t>.</w:t>
      </w:r>
    </w:p>
    <w:p w14:paraId="0CB65AB2" w14:textId="77777777" w:rsidR="00F26AD4" w:rsidRPr="00823BDC" w:rsidRDefault="00F26AD4">
      <w:pPr>
        <w:adjustRightInd w:val="0"/>
        <w:snapToGrid w:val="0"/>
        <w:rPr>
          <w:szCs w:val="22"/>
        </w:rPr>
      </w:pPr>
    </w:p>
    <w:p w14:paraId="4AC21BE1" w14:textId="77777777" w:rsidR="009C0FE8" w:rsidRPr="00823BDC" w:rsidRDefault="00D044EB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szCs w:val="22"/>
          <w:u w:val="single"/>
        </w:rPr>
        <w:lastRenderedPageBreak/>
        <w:t>Hypercholesterolémia</w:t>
      </w:r>
      <w:proofErr w:type="spellEnd"/>
    </w:p>
    <w:p w14:paraId="13B46FF1" w14:textId="77777777" w:rsidR="00D044EB" w:rsidRPr="00823BDC" w:rsidRDefault="004D102D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="00D044EB" w:rsidRPr="00823BDC">
        <w:rPr>
          <w:szCs w:val="22"/>
        </w:rPr>
        <w:t xml:space="preserve"> je indikovaný ako </w:t>
      </w:r>
      <w:r w:rsidR="00F24D63" w:rsidRPr="00823BDC">
        <w:rPr>
          <w:szCs w:val="22"/>
        </w:rPr>
        <w:t xml:space="preserve">podporná </w:t>
      </w:r>
      <w:r w:rsidR="00E67445" w:rsidRPr="00823BDC">
        <w:rPr>
          <w:szCs w:val="22"/>
        </w:rPr>
        <w:t>liečba</w:t>
      </w:r>
      <w:r w:rsidR="00D044EB" w:rsidRPr="00823BDC">
        <w:rPr>
          <w:szCs w:val="22"/>
        </w:rPr>
        <w:t xml:space="preserve"> k diéte </w:t>
      </w:r>
      <w:r w:rsidR="00E67445" w:rsidRPr="00823BDC">
        <w:rPr>
          <w:szCs w:val="22"/>
        </w:rPr>
        <w:t>u</w:t>
      </w:r>
      <w:r w:rsidR="00D044EB" w:rsidRPr="00823BDC">
        <w:rPr>
          <w:szCs w:val="22"/>
        </w:rPr>
        <w:t> pacientov s primárnou (</w:t>
      </w:r>
      <w:proofErr w:type="spellStart"/>
      <w:r w:rsidR="00D044EB" w:rsidRPr="00823BDC">
        <w:rPr>
          <w:szCs w:val="22"/>
        </w:rPr>
        <w:t>heterozygotnou</w:t>
      </w:r>
      <w:proofErr w:type="spellEnd"/>
      <w:r w:rsidR="00D044EB" w:rsidRPr="00823BDC">
        <w:rPr>
          <w:szCs w:val="22"/>
        </w:rPr>
        <w:t xml:space="preserve"> familiárnou a </w:t>
      </w:r>
      <w:proofErr w:type="spellStart"/>
      <w:r w:rsidR="009C0FE8" w:rsidRPr="00823BDC">
        <w:rPr>
          <w:szCs w:val="22"/>
        </w:rPr>
        <w:t>non</w:t>
      </w:r>
      <w:proofErr w:type="spellEnd"/>
      <w:r w:rsidR="009C0FE8" w:rsidRPr="00823BDC">
        <w:rPr>
          <w:szCs w:val="22"/>
        </w:rPr>
        <w:t>-familiárnou</w:t>
      </w:r>
      <w:r w:rsidR="00D044EB" w:rsidRPr="00823BDC">
        <w:rPr>
          <w:szCs w:val="22"/>
        </w:rPr>
        <w:t xml:space="preserve">) </w:t>
      </w:r>
      <w:proofErr w:type="spellStart"/>
      <w:r w:rsidR="00D044EB" w:rsidRPr="00823BDC">
        <w:rPr>
          <w:szCs w:val="22"/>
        </w:rPr>
        <w:t>hypercholesterolémiou</w:t>
      </w:r>
      <w:proofErr w:type="spellEnd"/>
      <w:r w:rsidR="00D044EB" w:rsidRPr="00823BDC">
        <w:rPr>
          <w:szCs w:val="22"/>
        </w:rPr>
        <w:t xml:space="preserve"> al</w:t>
      </w:r>
      <w:r w:rsidR="00C36020" w:rsidRPr="00823BDC">
        <w:rPr>
          <w:szCs w:val="22"/>
        </w:rPr>
        <w:t xml:space="preserve">ebo zmiešanou </w:t>
      </w:r>
      <w:proofErr w:type="spellStart"/>
      <w:r w:rsidR="00C36020" w:rsidRPr="00823BDC">
        <w:rPr>
          <w:szCs w:val="22"/>
        </w:rPr>
        <w:t>hyperlipidémiou</w:t>
      </w:r>
      <w:proofErr w:type="spellEnd"/>
      <w:r w:rsidR="00C36020" w:rsidRPr="00823BDC">
        <w:rPr>
          <w:szCs w:val="22"/>
        </w:rPr>
        <w:t xml:space="preserve">, </w:t>
      </w:r>
      <w:r w:rsidR="003D0A0C" w:rsidRPr="00823BDC">
        <w:rPr>
          <w:szCs w:val="22"/>
        </w:rPr>
        <w:t>kde</w:t>
      </w:r>
      <w:r w:rsidR="00D044EB" w:rsidRPr="00823BDC">
        <w:rPr>
          <w:szCs w:val="22"/>
        </w:rPr>
        <w:t xml:space="preserve"> je vhodné použitie kombinovaného </w:t>
      </w:r>
      <w:r w:rsidR="00E344BF" w:rsidRPr="00823BDC">
        <w:rPr>
          <w:szCs w:val="22"/>
        </w:rPr>
        <w:t>lieku</w:t>
      </w:r>
      <w:r w:rsidR="00D044EB" w:rsidRPr="00823BDC">
        <w:rPr>
          <w:szCs w:val="22"/>
        </w:rPr>
        <w:t>:</w:t>
      </w:r>
    </w:p>
    <w:p w14:paraId="0C3724EE" w14:textId="77777777" w:rsidR="00D044EB" w:rsidRPr="00823BDC" w:rsidRDefault="00D044EB">
      <w:pPr>
        <w:pStyle w:val="Body"/>
        <w:keepNext/>
        <w:adjustRightInd w:val="0"/>
        <w:snapToGrid w:val="0"/>
        <w:ind w:firstLine="0"/>
        <w:rPr>
          <w:szCs w:val="22"/>
        </w:rPr>
      </w:pPr>
    </w:p>
    <w:p w14:paraId="3A9070AA" w14:textId="77777777" w:rsidR="00D044EB" w:rsidRPr="00823BDC" w:rsidRDefault="00223553">
      <w:pPr>
        <w:numPr>
          <w:ilvl w:val="0"/>
          <w:numId w:val="26"/>
        </w:num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u </w:t>
      </w:r>
      <w:r w:rsidR="00D044EB" w:rsidRPr="00823BDC">
        <w:rPr>
          <w:szCs w:val="22"/>
        </w:rPr>
        <w:t>pacient</w:t>
      </w:r>
      <w:r w:rsidRPr="00823BDC">
        <w:rPr>
          <w:szCs w:val="22"/>
        </w:rPr>
        <w:t>ov</w:t>
      </w:r>
      <w:r w:rsidR="00D044EB" w:rsidRPr="00823BDC">
        <w:rPr>
          <w:szCs w:val="22"/>
        </w:rPr>
        <w:t xml:space="preserve">, ktorí nie sú dostatočne kontrolovaní samotným </w:t>
      </w:r>
      <w:proofErr w:type="spellStart"/>
      <w:r w:rsidR="00D044EB" w:rsidRPr="00823BDC">
        <w:rPr>
          <w:szCs w:val="22"/>
        </w:rPr>
        <w:t>statínom</w:t>
      </w:r>
      <w:proofErr w:type="spellEnd"/>
      <w:r w:rsidR="00D044EB" w:rsidRPr="00823BDC">
        <w:rPr>
          <w:szCs w:val="22"/>
        </w:rPr>
        <w:t>,</w:t>
      </w:r>
    </w:p>
    <w:p w14:paraId="523EF80F" w14:textId="77777777" w:rsidR="00D044EB" w:rsidRPr="00823BDC" w:rsidRDefault="00D044EB">
      <w:pPr>
        <w:pStyle w:val="Body"/>
        <w:adjustRightInd w:val="0"/>
        <w:snapToGrid w:val="0"/>
        <w:ind w:firstLine="0"/>
        <w:rPr>
          <w:szCs w:val="22"/>
        </w:rPr>
      </w:pPr>
    </w:p>
    <w:p w14:paraId="54BF2A2B" w14:textId="77777777" w:rsidR="00D044EB" w:rsidRPr="00823BDC" w:rsidRDefault="00223553">
      <w:pPr>
        <w:numPr>
          <w:ilvl w:val="0"/>
          <w:numId w:val="26"/>
        </w:num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u </w:t>
      </w:r>
      <w:r w:rsidR="00D044EB" w:rsidRPr="00823BDC">
        <w:rPr>
          <w:szCs w:val="22"/>
        </w:rPr>
        <w:t>pacient</w:t>
      </w:r>
      <w:r w:rsidRPr="00823BDC">
        <w:rPr>
          <w:szCs w:val="22"/>
        </w:rPr>
        <w:t>ov</w:t>
      </w:r>
      <w:r w:rsidR="00D044EB" w:rsidRPr="00823BDC">
        <w:rPr>
          <w:szCs w:val="22"/>
        </w:rPr>
        <w:t xml:space="preserve">, ktorí už sú liečení </w:t>
      </w:r>
      <w:proofErr w:type="spellStart"/>
      <w:r w:rsidR="00D044EB" w:rsidRPr="00823BDC">
        <w:rPr>
          <w:szCs w:val="22"/>
        </w:rPr>
        <w:t>statínom</w:t>
      </w:r>
      <w:proofErr w:type="spellEnd"/>
      <w:r w:rsidR="00D044EB" w:rsidRPr="00823BDC">
        <w:rPr>
          <w:szCs w:val="22"/>
        </w:rPr>
        <w:t xml:space="preserve"> a </w:t>
      </w:r>
      <w:proofErr w:type="spellStart"/>
      <w:r w:rsidR="00D044EB" w:rsidRPr="00823BDC">
        <w:rPr>
          <w:szCs w:val="22"/>
        </w:rPr>
        <w:t>ezetimibom</w:t>
      </w:r>
      <w:proofErr w:type="spellEnd"/>
      <w:r w:rsidR="00D044EB" w:rsidRPr="00823BDC">
        <w:rPr>
          <w:szCs w:val="22"/>
        </w:rPr>
        <w:t>.</w:t>
      </w:r>
    </w:p>
    <w:p w14:paraId="44C1A1D7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536A965D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 xml:space="preserve">Homozygotná familiárna </w:t>
      </w:r>
      <w:proofErr w:type="spellStart"/>
      <w:r w:rsidRPr="00823BDC">
        <w:rPr>
          <w:szCs w:val="22"/>
          <w:u w:val="single"/>
        </w:rPr>
        <w:t>hypercholesterolémia</w:t>
      </w:r>
      <w:proofErr w:type="spellEnd"/>
      <w:r w:rsidRPr="00823BDC">
        <w:rPr>
          <w:szCs w:val="22"/>
          <w:u w:val="single"/>
        </w:rPr>
        <w:t xml:space="preserve"> (</w:t>
      </w:r>
      <w:proofErr w:type="spellStart"/>
      <w:r w:rsidRPr="00823BDC">
        <w:rPr>
          <w:szCs w:val="22"/>
          <w:u w:val="single"/>
        </w:rPr>
        <w:t>HoFH</w:t>
      </w:r>
      <w:proofErr w:type="spellEnd"/>
      <w:r w:rsidRPr="00823BDC">
        <w:rPr>
          <w:szCs w:val="22"/>
          <w:u w:val="single"/>
        </w:rPr>
        <w:t>)</w:t>
      </w:r>
    </w:p>
    <w:p w14:paraId="3B173EC9" w14:textId="77777777" w:rsidR="00D044EB" w:rsidRPr="00823BDC" w:rsidRDefault="00512D42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="00D044EB" w:rsidRPr="00823BDC">
        <w:rPr>
          <w:szCs w:val="22"/>
        </w:rPr>
        <w:t xml:space="preserve"> je indikovaný ako </w:t>
      </w:r>
      <w:r w:rsidR="00F24D63" w:rsidRPr="00823BDC">
        <w:rPr>
          <w:szCs w:val="22"/>
        </w:rPr>
        <w:t xml:space="preserve">podporná </w:t>
      </w:r>
      <w:r w:rsidR="00E67445" w:rsidRPr="00823BDC">
        <w:rPr>
          <w:szCs w:val="22"/>
        </w:rPr>
        <w:t>liečba</w:t>
      </w:r>
      <w:r w:rsidR="00D044EB" w:rsidRPr="00823BDC">
        <w:rPr>
          <w:szCs w:val="22"/>
        </w:rPr>
        <w:t xml:space="preserve"> k diéte u pacientov s </w:t>
      </w:r>
      <w:proofErr w:type="spellStart"/>
      <w:r w:rsidR="00D044EB" w:rsidRPr="00823BDC">
        <w:rPr>
          <w:szCs w:val="22"/>
        </w:rPr>
        <w:t>HoFH</w:t>
      </w:r>
      <w:proofErr w:type="spellEnd"/>
      <w:r w:rsidR="00D044EB" w:rsidRPr="00823BDC">
        <w:rPr>
          <w:szCs w:val="22"/>
        </w:rPr>
        <w:t xml:space="preserve">. Pacienti môžu </w:t>
      </w:r>
      <w:r w:rsidR="00F24D63" w:rsidRPr="00823BDC">
        <w:rPr>
          <w:szCs w:val="22"/>
        </w:rPr>
        <w:t xml:space="preserve">podstupovať </w:t>
      </w:r>
      <w:r w:rsidR="00D044EB" w:rsidRPr="00823BDC">
        <w:rPr>
          <w:szCs w:val="22"/>
        </w:rPr>
        <w:t xml:space="preserve">aj </w:t>
      </w:r>
      <w:r w:rsidR="00F24D63" w:rsidRPr="00823BDC">
        <w:rPr>
          <w:szCs w:val="22"/>
        </w:rPr>
        <w:t xml:space="preserve">iné </w:t>
      </w:r>
      <w:r w:rsidR="00D044EB" w:rsidRPr="00823BDC">
        <w:rPr>
          <w:szCs w:val="22"/>
        </w:rPr>
        <w:t>podporn</w:t>
      </w:r>
      <w:r w:rsidR="00E344BF" w:rsidRPr="00823BDC">
        <w:rPr>
          <w:szCs w:val="22"/>
        </w:rPr>
        <w:t>é</w:t>
      </w:r>
      <w:r w:rsidR="00D044EB" w:rsidRPr="00823BDC">
        <w:rPr>
          <w:szCs w:val="22"/>
        </w:rPr>
        <w:t xml:space="preserve"> liečb</w:t>
      </w:r>
      <w:r w:rsidR="00E344BF" w:rsidRPr="00823BDC">
        <w:rPr>
          <w:szCs w:val="22"/>
        </w:rPr>
        <w:t>y</w:t>
      </w:r>
      <w:r w:rsidR="00D044EB" w:rsidRPr="00823BDC">
        <w:rPr>
          <w:szCs w:val="22"/>
        </w:rPr>
        <w:t xml:space="preserve"> (napr. aferézu lipoproteínov s nízkou</w:t>
      </w:r>
      <w:r w:rsidR="00223553" w:rsidRPr="00823BDC">
        <w:rPr>
          <w:szCs w:val="22"/>
        </w:rPr>
        <w:t xml:space="preserve"> </w:t>
      </w:r>
      <w:r w:rsidR="00F24D63" w:rsidRPr="00823BDC">
        <w:rPr>
          <w:szCs w:val="22"/>
        </w:rPr>
        <w:t>hustotou</w:t>
      </w:r>
      <w:r w:rsidR="00D044EB" w:rsidRPr="00823BDC">
        <w:rPr>
          <w:szCs w:val="22"/>
        </w:rPr>
        <w:t xml:space="preserve"> [LDL]).</w:t>
      </w:r>
    </w:p>
    <w:p w14:paraId="05D06610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26E81A67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4.2</w:t>
      </w:r>
      <w:r w:rsidRPr="00823BDC">
        <w:rPr>
          <w:b/>
          <w:szCs w:val="22"/>
        </w:rPr>
        <w:tab/>
        <w:t>Dávkovanie a spôsob podávania</w:t>
      </w:r>
    </w:p>
    <w:p w14:paraId="3149A9CD" w14:textId="77777777" w:rsidR="00D044EB" w:rsidRPr="00823BDC" w:rsidRDefault="00D044EB">
      <w:pPr>
        <w:pStyle w:val="CPCLH3"/>
        <w:keepNext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Cs w:val="22"/>
        </w:rPr>
      </w:pPr>
    </w:p>
    <w:p w14:paraId="7203E2C7" w14:textId="77777777" w:rsidR="00221E1F" w:rsidRPr="00A6540D" w:rsidRDefault="00221E1F">
      <w:pPr>
        <w:pStyle w:val="CPCLH3"/>
        <w:keepNext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b/>
          <w:szCs w:val="22"/>
        </w:rPr>
      </w:pPr>
      <w:r w:rsidRPr="00A6540D">
        <w:rPr>
          <w:rFonts w:ascii="Times New Roman" w:hAnsi="Times New Roman"/>
          <w:b/>
          <w:szCs w:val="22"/>
        </w:rPr>
        <w:t>Dávkovanie</w:t>
      </w:r>
    </w:p>
    <w:p w14:paraId="1A1FED2C" w14:textId="77777777" w:rsidR="00221E1F" w:rsidRPr="00530542" w:rsidRDefault="00221E1F">
      <w:pPr>
        <w:pStyle w:val="CPCLH3"/>
        <w:keepNext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Cs w:val="22"/>
        </w:rPr>
      </w:pPr>
    </w:p>
    <w:p w14:paraId="55DA74A5" w14:textId="77777777" w:rsidR="00D044EB" w:rsidRPr="00CD10F1" w:rsidRDefault="00D044EB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CD10F1">
        <w:rPr>
          <w:szCs w:val="22"/>
          <w:u w:val="single"/>
        </w:rPr>
        <w:t>Hypercholesterolémia</w:t>
      </w:r>
      <w:proofErr w:type="spellEnd"/>
    </w:p>
    <w:p w14:paraId="38B9B89B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Pacient má držať primeranú </w:t>
      </w:r>
      <w:r w:rsidR="00E344BF" w:rsidRPr="00823BDC">
        <w:rPr>
          <w:szCs w:val="22"/>
        </w:rPr>
        <w:t xml:space="preserve">diétu na </w:t>
      </w:r>
      <w:r w:rsidRPr="00823BDC">
        <w:rPr>
          <w:szCs w:val="22"/>
        </w:rPr>
        <w:t>zn</w:t>
      </w:r>
      <w:r w:rsidR="00E344BF" w:rsidRPr="00823BDC">
        <w:rPr>
          <w:szCs w:val="22"/>
        </w:rPr>
        <w:t>íženie</w:t>
      </w:r>
      <w:r w:rsidRPr="00823BDC">
        <w:rPr>
          <w:szCs w:val="22"/>
        </w:rPr>
        <w:t xml:space="preserve"> </w:t>
      </w:r>
      <w:r w:rsidR="00E344BF" w:rsidRPr="00823BDC">
        <w:rPr>
          <w:szCs w:val="22"/>
        </w:rPr>
        <w:t xml:space="preserve">lipidov </w:t>
      </w:r>
      <w:r w:rsidRPr="00823BDC">
        <w:rPr>
          <w:szCs w:val="22"/>
        </w:rPr>
        <w:t xml:space="preserve">a počas liečby </w:t>
      </w:r>
      <w:proofErr w:type="spellStart"/>
      <w:r w:rsidR="00512D42" w:rsidRPr="00823BDC">
        <w:rPr>
          <w:szCs w:val="22"/>
        </w:rPr>
        <w:t>Cornusanom</w:t>
      </w:r>
      <w:proofErr w:type="spellEnd"/>
      <w:r w:rsidRPr="00823BDC">
        <w:rPr>
          <w:szCs w:val="22"/>
        </w:rPr>
        <w:t xml:space="preserve"> má v tejto diéte pokračovať.</w:t>
      </w:r>
    </w:p>
    <w:p w14:paraId="47EBE3E8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F930DB4" w14:textId="76E16303" w:rsidR="00D044EB" w:rsidRPr="00823BDC" w:rsidRDefault="0064358C">
      <w:pPr>
        <w:adjustRightInd w:val="0"/>
        <w:snapToGrid w:val="0"/>
        <w:rPr>
          <w:szCs w:val="22"/>
        </w:rPr>
      </w:pPr>
      <w:r w:rsidRPr="00823BDC">
        <w:rPr>
          <w:szCs w:val="22"/>
        </w:rPr>
        <w:t>Liek sa podáva</w:t>
      </w:r>
      <w:r w:rsidR="00D044EB" w:rsidRPr="00823BDC">
        <w:rPr>
          <w:szCs w:val="22"/>
        </w:rPr>
        <w:t xml:space="preserve"> peroráln</w:t>
      </w:r>
      <w:r w:rsidRPr="00823BDC">
        <w:rPr>
          <w:szCs w:val="22"/>
        </w:rPr>
        <w:t>e</w:t>
      </w:r>
      <w:r w:rsidR="00D044EB" w:rsidRPr="00823BDC">
        <w:rPr>
          <w:szCs w:val="22"/>
        </w:rPr>
        <w:t xml:space="preserve">. Rozsah dávkovania </w:t>
      </w:r>
      <w:proofErr w:type="spellStart"/>
      <w:r w:rsidR="00512D42" w:rsidRPr="00823BDC">
        <w:rPr>
          <w:szCs w:val="22"/>
        </w:rPr>
        <w:t>Cornusanu</w:t>
      </w:r>
      <w:proofErr w:type="spellEnd"/>
      <w:r w:rsidR="00D044EB" w:rsidRPr="00823BDC">
        <w:rPr>
          <w:szCs w:val="22"/>
        </w:rPr>
        <w:t xml:space="preserve"> je 10</w:t>
      </w:r>
      <w:r w:rsidR="00F24D63" w:rsidRPr="00823BDC">
        <w:rPr>
          <w:szCs w:val="22"/>
        </w:rPr>
        <w:t xml:space="preserve"> mg</w:t>
      </w:r>
      <w:r w:rsidR="00D044EB" w:rsidRPr="00823BDC">
        <w:rPr>
          <w:szCs w:val="22"/>
        </w:rPr>
        <w:t>/10 mg/deň až do 10</w:t>
      </w:r>
      <w:r w:rsidR="00F24D63" w:rsidRPr="00823BDC">
        <w:rPr>
          <w:szCs w:val="22"/>
        </w:rPr>
        <w:t xml:space="preserve"> mg</w:t>
      </w:r>
      <w:r w:rsidR="00D044EB" w:rsidRPr="00823BDC">
        <w:rPr>
          <w:szCs w:val="22"/>
        </w:rPr>
        <w:t xml:space="preserve">/80 mg/deň podávaných večer. </w:t>
      </w:r>
      <w:r w:rsidR="00944E0E" w:rsidRPr="00823BDC">
        <w:rPr>
          <w:szCs w:val="22"/>
        </w:rPr>
        <w:t>A</w:t>
      </w:r>
      <w:r w:rsidR="00F24D63" w:rsidRPr="00823BDC">
        <w:rPr>
          <w:szCs w:val="22"/>
        </w:rPr>
        <w:t>k</w:t>
      </w:r>
      <w:r w:rsidR="004201C0" w:rsidRPr="00823BDC">
        <w:rPr>
          <w:szCs w:val="22"/>
        </w:rPr>
        <w:t xml:space="preserve"> nie je možné dosiahnuť optimálnu dávku </w:t>
      </w:r>
      <w:proofErr w:type="spellStart"/>
      <w:r w:rsidR="004201C0" w:rsidRPr="00823BDC">
        <w:rPr>
          <w:szCs w:val="22"/>
        </w:rPr>
        <w:t>ezetimibu</w:t>
      </w:r>
      <w:proofErr w:type="spellEnd"/>
      <w:r w:rsidR="004201C0" w:rsidRPr="00823BDC">
        <w:rPr>
          <w:szCs w:val="22"/>
        </w:rPr>
        <w:t>/</w:t>
      </w:r>
      <w:proofErr w:type="spellStart"/>
      <w:r w:rsidR="004201C0" w:rsidRPr="00823BDC">
        <w:rPr>
          <w:szCs w:val="22"/>
        </w:rPr>
        <w:t>simvastatínu</w:t>
      </w:r>
      <w:proofErr w:type="spellEnd"/>
      <w:r w:rsidR="004201C0" w:rsidRPr="00823BDC">
        <w:rPr>
          <w:szCs w:val="22"/>
        </w:rPr>
        <w:t xml:space="preserve"> </w:t>
      </w:r>
      <w:proofErr w:type="spellStart"/>
      <w:r w:rsidR="004201C0" w:rsidRPr="00823BDC">
        <w:rPr>
          <w:szCs w:val="22"/>
        </w:rPr>
        <w:t>Cornusanom</w:t>
      </w:r>
      <w:proofErr w:type="spellEnd"/>
      <w:r w:rsidR="004201C0" w:rsidRPr="00823BDC">
        <w:rPr>
          <w:szCs w:val="22"/>
        </w:rPr>
        <w:t xml:space="preserve">, môžu </w:t>
      </w:r>
      <w:r w:rsidR="00944E0E" w:rsidRPr="00823BDC">
        <w:rPr>
          <w:szCs w:val="22"/>
        </w:rPr>
        <w:t xml:space="preserve">sa v klinickej praxi </w:t>
      </w:r>
      <w:r w:rsidR="004201C0" w:rsidRPr="00823BDC">
        <w:rPr>
          <w:szCs w:val="22"/>
        </w:rPr>
        <w:t xml:space="preserve">použiť iné </w:t>
      </w:r>
      <w:r w:rsidR="00F24D63" w:rsidRPr="00823BDC">
        <w:rPr>
          <w:szCs w:val="22"/>
        </w:rPr>
        <w:t xml:space="preserve">liekové </w:t>
      </w:r>
      <w:r w:rsidR="004201C0" w:rsidRPr="00823BDC">
        <w:rPr>
          <w:szCs w:val="22"/>
        </w:rPr>
        <w:t xml:space="preserve">formy a sily </w:t>
      </w:r>
      <w:proofErr w:type="spellStart"/>
      <w:r w:rsidR="004201C0" w:rsidRPr="00823BDC">
        <w:rPr>
          <w:szCs w:val="22"/>
        </w:rPr>
        <w:t>ezetimibu</w:t>
      </w:r>
      <w:proofErr w:type="spellEnd"/>
      <w:r w:rsidR="004201C0" w:rsidRPr="00823BDC">
        <w:rPr>
          <w:szCs w:val="22"/>
        </w:rPr>
        <w:t>/</w:t>
      </w:r>
      <w:proofErr w:type="spellStart"/>
      <w:r w:rsidR="004201C0" w:rsidRPr="00823BDC">
        <w:rPr>
          <w:szCs w:val="22"/>
        </w:rPr>
        <w:t>simvastatínu</w:t>
      </w:r>
      <w:proofErr w:type="spellEnd"/>
      <w:r w:rsidR="004201C0" w:rsidRPr="00823BDC">
        <w:rPr>
          <w:szCs w:val="22"/>
        </w:rPr>
        <w:t xml:space="preserve"> dostupné na trhu. </w:t>
      </w:r>
      <w:r w:rsidR="00D044EB" w:rsidRPr="00823BDC">
        <w:rPr>
          <w:szCs w:val="22"/>
        </w:rPr>
        <w:t>Zvyčajná dávk</w:t>
      </w:r>
      <w:r w:rsidR="00FC5D0C" w:rsidRPr="00823BDC">
        <w:rPr>
          <w:szCs w:val="22"/>
        </w:rPr>
        <w:t xml:space="preserve">a </w:t>
      </w:r>
      <w:r w:rsidR="00D044EB" w:rsidRPr="00823BDC">
        <w:rPr>
          <w:szCs w:val="22"/>
        </w:rPr>
        <w:t>je 10</w:t>
      </w:r>
      <w:r w:rsidR="00F24D63" w:rsidRPr="00823BDC">
        <w:rPr>
          <w:szCs w:val="22"/>
        </w:rPr>
        <w:t xml:space="preserve"> mg</w:t>
      </w:r>
      <w:r w:rsidR="00D044EB" w:rsidRPr="00823BDC">
        <w:rPr>
          <w:szCs w:val="22"/>
        </w:rPr>
        <w:t xml:space="preserve">/20 mg/deň alebo </w:t>
      </w:r>
      <w:r w:rsidR="00F24D63" w:rsidRPr="00823BDC">
        <w:rPr>
          <w:szCs w:val="22"/>
        </w:rPr>
        <w:t>1</w:t>
      </w:r>
      <w:r w:rsidR="00182D7A" w:rsidRPr="00823BDC">
        <w:rPr>
          <w:szCs w:val="22"/>
        </w:rPr>
        <w:t>0</w:t>
      </w:r>
      <w:r w:rsidR="00F24D63" w:rsidRPr="00823BDC">
        <w:rPr>
          <w:szCs w:val="22"/>
        </w:rPr>
        <w:t xml:space="preserve"> mg</w:t>
      </w:r>
      <w:r w:rsidR="00D044EB" w:rsidRPr="00823BDC">
        <w:rPr>
          <w:szCs w:val="22"/>
        </w:rPr>
        <w:t xml:space="preserve">/40 mg/deň podávaná </w:t>
      </w:r>
      <w:r w:rsidR="00944E0E" w:rsidRPr="00823BDC">
        <w:rPr>
          <w:szCs w:val="22"/>
        </w:rPr>
        <w:t>jednorazovo</w:t>
      </w:r>
      <w:r w:rsidR="00D044EB" w:rsidRPr="00823BDC">
        <w:rPr>
          <w:szCs w:val="22"/>
        </w:rPr>
        <w:t xml:space="preserve"> večer. </w:t>
      </w:r>
      <w:r w:rsidR="004B3FE7" w:rsidRPr="00823BDC">
        <w:rPr>
          <w:szCs w:val="22"/>
        </w:rPr>
        <w:t>Dávk</w:t>
      </w:r>
      <w:r w:rsidR="00AA6D4F" w:rsidRPr="00823BDC">
        <w:rPr>
          <w:szCs w:val="22"/>
        </w:rPr>
        <w:t>a</w:t>
      </w:r>
      <w:r w:rsidR="00D044EB" w:rsidRPr="00823BDC">
        <w:rPr>
          <w:szCs w:val="22"/>
        </w:rPr>
        <w:t xml:space="preserve"> 10</w:t>
      </w:r>
      <w:r w:rsidR="009D6048" w:rsidRPr="00823BDC">
        <w:rPr>
          <w:szCs w:val="22"/>
        </w:rPr>
        <w:t> </w:t>
      </w:r>
      <w:r w:rsidR="00F24D63" w:rsidRPr="00823BDC">
        <w:rPr>
          <w:szCs w:val="22"/>
        </w:rPr>
        <w:t>mg</w:t>
      </w:r>
      <w:r w:rsidR="00D044EB" w:rsidRPr="00823BDC">
        <w:rPr>
          <w:szCs w:val="22"/>
        </w:rPr>
        <w:t xml:space="preserve">/80 mg sa odporúča </w:t>
      </w:r>
      <w:r w:rsidR="00336647" w:rsidRPr="00823BDC">
        <w:rPr>
          <w:szCs w:val="22"/>
        </w:rPr>
        <w:t>len</w:t>
      </w:r>
      <w:r w:rsidR="00D044EB" w:rsidRPr="00823BDC">
        <w:rPr>
          <w:szCs w:val="22"/>
        </w:rPr>
        <w:t xml:space="preserve"> u pacientov s</w:t>
      </w:r>
      <w:r w:rsidR="00C925CF" w:rsidRPr="00823BDC">
        <w:rPr>
          <w:szCs w:val="22"/>
        </w:rPr>
        <w:t>o</w:t>
      </w:r>
      <w:r w:rsidR="005116EA" w:rsidRPr="00823BDC">
        <w:rPr>
          <w:szCs w:val="22"/>
        </w:rPr>
        <w:t xml:space="preserve"> </w:t>
      </w:r>
      <w:r w:rsidR="00E344BF" w:rsidRPr="00823BDC">
        <w:rPr>
          <w:szCs w:val="22"/>
        </w:rPr>
        <w:t>závažnou</w:t>
      </w:r>
      <w:r w:rsidR="00D044EB" w:rsidRPr="00823BDC">
        <w:rPr>
          <w:szCs w:val="22"/>
        </w:rPr>
        <w:t xml:space="preserve"> </w:t>
      </w:r>
      <w:proofErr w:type="spellStart"/>
      <w:r w:rsidR="00D044EB" w:rsidRPr="00823BDC">
        <w:rPr>
          <w:szCs w:val="22"/>
        </w:rPr>
        <w:t>hypercholesterolémiou</w:t>
      </w:r>
      <w:proofErr w:type="spellEnd"/>
      <w:r w:rsidR="00D044EB" w:rsidRPr="00823BDC">
        <w:rPr>
          <w:szCs w:val="22"/>
        </w:rPr>
        <w:t xml:space="preserve"> a</w:t>
      </w:r>
      <w:r w:rsidR="00E344BF" w:rsidRPr="00823BDC">
        <w:rPr>
          <w:szCs w:val="22"/>
        </w:rPr>
        <w:t xml:space="preserve"> s </w:t>
      </w:r>
      <w:r w:rsidR="00D044EB" w:rsidRPr="00823BDC">
        <w:rPr>
          <w:szCs w:val="22"/>
        </w:rPr>
        <w:t>vysokým rizikom kardiovaskulárnych komplikácií</w:t>
      </w:r>
      <w:r w:rsidR="0005768A" w:rsidRPr="00823BDC">
        <w:rPr>
          <w:szCs w:val="22"/>
        </w:rPr>
        <w:t>, ktorí nedosiahli liečebné ciele pri nižších</w:t>
      </w:r>
      <w:r w:rsidR="004B3FE7" w:rsidRPr="00823BDC">
        <w:rPr>
          <w:szCs w:val="22"/>
        </w:rPr>
        <w:t xml:space="preserve"> dávk</w:t>
      </w:r>
      <w:r w:rsidR="00FC5D0C" w:rsidRPr="00823BDC">
        <w:rPr>
          <w:szCs w:val="22"/>
        </w:rPr>
        <w:t>a</w:t>
      </w:r>
      <w:r w:rsidR="0005768A" w:rsidRPr="00823BDC">
        <w:rPr>
          <w:szCs w:val="22"/>
        </w:rPr>
        <w:t>ch a ak sa očakáva, že prínos</w:t>
      </w:r>
      <w:r w:rsidR="00E344BF" w:rsidRPr="00823BDC">
        <w:rPr>
          <w:szCs w:val="22"/>
        </w:rPr>
        <w:t>y</w:t>
      </w:r>
      <w:r w:rsidR="0005768A" w:rsidRPr="00823BDC">
        <w:rPr>
          <w:szCs w:val="22"/>
        </w:rPr>
        <w:t xml:space="preserve"> preváži</w:t>
      </w:r>
      <w:r w:rsidR="00E344BF" w:rsidRPr="00823BDC">
        <w:rPr>
          <w:szCs w:val="22"/>
        </w:rPr>
        <w:t>a</w:t>
      </w:r>
      <w:r w:rsidR="0005768A" w:rsidRPr="00823BDC">
        <w:rPr>
          <w:szCs w:val="22"/>
        </w:rPr>
        <w:t xml:space="preserve"> možné riziká (pozri čas</w:t>
      </w:r>
      <w:r w:rsidR="00362CDA" w:rsidRPr="00823BDC">
        <w:rPr>
          <w:szCs w:val="22"/>
        </w:rPr>
        <w:t>ti</w:t>
      </w:r>
      <w:r w:rsidR="0005768A" w:rsidRPr="00823BDC">
        <w:rPr>
          <w:szCs w:val="22"/>
        </w:rPr>
        <w:t xml:space="preserve"> 4.4 a 5.1)</w:t>
      </w:r>
      <w:r w:rsidR="00D044EB" w:rsidRPr="00823BDC">
        <w:rPr>
          <w:szCs w:val="22"/>
        </w:rPr>
        <w:t xml:space="preserve">. </w:t>
      </w:r>
      <w:r w:rsidR="00E344BF" w:rsidRPr="00823BDC">
        <w:rPr>
          <w:szCs w:val="22"/>
        </w:rPr>
        <w:t>Na</w:t>
      </w:r>
      <w:r w:rsidR="00406D9F" w:rsidRPr="00823BDC">
        <w:rPr>
          <w:szCs w:val="22"/>
        </w:rPr>
        <w:t xml:space="preserve"> </w:t>
      </w:r>
      <w:r w:rsidR="00D044EB" w:rsidRPr="00823BDC">
        <w:rPr>
          <w:szCs w:val="22"/>
        </w:rPr>
        <w:t xml:space="preserve">začiatku </w:t>
      </w:r>
      <w:r w:rsidR="00E344BF" w:rsidRPr="00823BDC">
        <w:rPr>
          <w:szCs w:val="22"/>
        </w:rPr>
        <w:t>liečby</w:t>
      </w:r>
      <w:r w:rsidR="00D044EB" w:rsidRPr="00823BDC">
        <w:rPr>
          <w:szCs w:val="22"/>
        </w:rPr>
        <w:t xml:space="preserve"> alebo </w:t>
      </w:r>
      <w:r w:rsidR="00E344BF" w:rsidRPr="00823BDC">
        <w:rPr>
          <w:szCs w:val="22"/>
        </w:rPr>
        <w:t xml:space="preserve">pri </w:t>
      </w:r>
      <w:r w:rsidR="00D044EB" w:rsidRPr="00823BDC">
        <w:rPr>
          <w:szCs w:val="22"/>
        </w:rPr>
        <w:t xml:space="preserve">úprave dávky treba u pacienta brať do úvahy hladinu cholesterolu lipoproteínov </w:t>
      </w:r>
      <w:r w:rsidR="00F24D63" w:rsidRPr="00823BDC">
        <w:rPr>
          <w:szCs w:val="22"/>
        </w:rPr>
        <w:t xml:space="preserve">s nízkou hustotou </w:t>
      </w:r>
      <w:r w:rsidR="00D044EB" w:rsidRPr="00823BDC">
        <w:rPr>
          <w:szCs w:val="22"/>
        </w:rPr>
        <w:t>(LDL</w:t>
      </w:r>
      <w:r w:rsidR="00D044EB" w:rsidRPr="00823BDC">
        <w:rPr>
          <w:szCs w:val="22"/>
        </w:rPr>
        <w:noBreakHyphen/>
        <w:t xml:space="preserve">C), riziko vzniku koronárnej choroby srdca a odpoveď na </w:t>
      </w:r>
      <w:r w:rsidR="00362CDA" w:rsidRPr="00823BDC">
        <w:rPr>
          <w:szCs w:val="22"/>
        </w:rPr>
        <w:t xml:space="preserve">súčasnú </w:t>
      </w:r>
      <w:r w:rsidR="00E344BF" w:rsidRPr="00823BDC">
        <w:rPr>
          <w:szCs w:val="22"/>
        </w:rPr>
        <w:t xml:space="preserve">liečbu na zníženie </w:t>
      </w:r>
      <w:r w:rsidR="00D044EB" w:rsidRPr="00823BDC">
        <w:rPr>
          <w:szCs w:val="22"/>
        </w:rPr>
        <w:t>cholesterol</w:t>
      </w:r>
      <w:r w:rsidR="00C925CF" w:rsidRPr="00823BDC">
        <w:rPr>
          <w:szCs w:val="22"/>
        </w:rPr>
        <w:t>u</w:t>
      </w:r>
      <w:r w:rsidR="00D044EB" w:rsidRPr="00823BDC">
        <w:rPr>
          <w:szCs w:val="22"/>
        </w:rPr>
        <w:t>.</w:t>
      </w:r>
    </w:p>
    <w:p w14:paraId="078184BE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0ECE120B" w14:textId="3FA06100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Dávk</w:t>
      </w:r>
      <w:r w:rsidR="00FC5D0C" w:rsidRPr="00823BDC">
        <w:rPr>
          <w:szCs w:val="22"/>
        </w:rPr>
        <w:t>a</w:t>
      </w:r>
      <w:r w:rsidRPr="00823BDC">
        <w:rPr>
          <w:szCs w:val="22"/>
        </w:rPr>
        <w:t xml:space="preserve"> </w:t>
      </w:r>
      <w:proofErr w:type="spellStart"/>
      <w:r w:rsidR="004201C0" w:rsidRPr="00823BDC">
        <w:rPr>
          <w:szCs w:val="22"/>
        </w:rPr>
        <w:t>Cornusanu</w:t>
      </w:r>
      <w:proofErr w:type="spellEnd"/>
      <w:r w:rsidRPr="00823BDC">
        <w:rPr>
          <w:szCs w:val="22"/>
        </w:rPr>
        <w:t xml:space="preserve"> sa má stanoviť individuálne na základe známej účinnosti jednotlivých </w:t>
      </w:r>
      <w:r w:rsidR="00F24D63" w:rsidRPr="00823BDC">
        <w:rPr>
          <w:szCs w:val="22"/>
        </w:rPr>
        <w:t>kombinácií</w:t>
      </w:r>
      <w:r w:rsidRPr="00823BDC">
        <w:rPr>
          <w:szCs w:val="22"/>
        </w:rPr>
        <w:t xml:space="preserve"> síl </w:t>
      </w:r>
      <w:proofErr w:type="spellStart"/>
      <w:r w:rsidR="00336647" w:rsidRPr="00823BDC">
        <w:rPr>
          <w:szCs w:val="22"/>
        </w:rPr>
        <w:t>Cornusanu</w:t>
      </w:r>
      <w:proofErr w:type="spellEnd"/>
      <w:r w:rsidRPr="00823BDC">
        <w:rPr>
          <w:szCs w:val="22"/>
        </w:rPr>
        <w:t xml:space="preserve"> (pozri časť 5.1, tabuľka </w:t>
      </w:r>
      <w:r w:rsidR="00336647" w:rsidRPr="00823BDC">
        <w:rPr>
          <w:szCs w:val="22"/>
        </w:rPr>
        <w:t>2</w:t>
      </w:r>
      <w:r w:rsidRPr="00823BDC">
        <w:rPr>
          <w:szCs w:val="22"/>
        </w:rPr>
        <w:t xml:space="preserve">) a odpovede na </w:t>
      </w:r>
      <w:r w:rsidR="00362CDA" w:rsidRPr="00823BDC">
        <w:rPr>
          <w:szCs w:val="22"/>
        </w:rPr>
        <w:t xml:space="preserve">súčasnú </w:t>
      </w:r>
      <w:r w:rsidR="00E344BF" w:rsidRPr="00823BDC">
        <w:rPr>
          <w:szCs w:val="22"/>
        </w:rPr>
        <w:t xml:space="preserve">liečbu na zníženie hladiny </w:t>
      </w:r>
      <w:r w:rsidRPr="00823BDC">
        <w:rPr>
          <w:szCs w:val="22"/>
        </w:rPr>
        <w:t>cholesterol</w:t>
      </w:r>
      <w:r w:rsidR="00E344BF" w:rsidRPr="00823BDC">
        <w:rPr>
          <w:szCs w:val="22"/>
        </w:rPr>
        <w:t>u</w:t>
      </w:r>
      <w:r w:rsidRPr="00823BDC">
        <w:rPr>
          <w:szCs w:val="22"/>
        </w:rPr>
        <w:t xml:space="preserve">. Ak sú potrebné úpravy dávkovania, majú sa </w:t>
      </w:r>
      <w:r w:rsidR="00F24D63" w:rsidRPr="00823BDC">
        <w:rPr>
          <w:szCs w:val="22"/>
        </w:rPr>
        <w:t>vykonať</w:t>
      </w:r>
      <w:r w:rsidRPr="00823BDC">
        <w:rPr>
          <w:szCs w:val="22"/>
        </w:rPr>
        <w:t xml:space="preserve"> v intervaloch nie kratších ako 4</w:t>
      </w:r>
      <w:r w:rsidR="009D6048" w:rsidRPr="00823BDC">
        <w:rPr>
          <w:szCs w:val="22"/>
        </w:rPr>
        <w:t> </w:t>
      </w:r>
      <w:r w:rsidRPr="00823BDC">
        <w:rPr>
          <w:szCs w:val="22"/>
        </w:rPr>
        <w:t xml:space="preserve">týždne. </w:t>
      </w:r>
      <w:proofErr w:type="spellStart"/>
      <w:r w:rsidR="00336647" w:rsidRPr="00823BDC">
        <w:rPr>
          <w:szCs w:val="22"/>
        </w:rPr>
        <w:t>Cornusan</w:t>
      </w:r>
      <w:proofErr w:type="spellEnd"/>
      <w:r w:rsidRPr="00823BDC">
        <w:rPr>
          <w:szCs w:val="22"/>
        </w:rPr>
        <w:t xml:space="preserve"> </w:t>
      </w:r>
      <w:r w:rsidR="00E344BF" w:rsidRPr="00823BDC">
        <w:rPr>
          <w:szCs w:val="22"/>
        </w:rPr>
        <w:t xml:space="preserve">sa </w:t>
      </w:r>
      <w:r w:rsidRPr="00823BDC">
        <w:rPr>
          <w:szCs w:val="22"/>
        </w:rPr>
        <w:t>môže podáva</w:t>
      </w:r>
      <w:r w:rsidR="00E344BF" w:rsidRPr="00823BDC">
        <w:rPr>
          <w:szCs w:val="22"/>
        </w:rPr>
        <w:t xml:space="preserve">ť </w:t>
      </w:r>
      <w:r w:rsidRPr="00823BDC">
        <w:rPr>
          <w:szCs w:val="22"/>
        </w:rPr>
        <w:t>s jedlom alebo bez jedla.</w:t>
      </w:r>
      <w:r w:rsidR="000C7BD4" w:rsidRPr="00823BDC">
        <w:rPr>
          <w:szCs w:val="22"/>
        </w:rPr>
        <w:t xml:space="preserve"> Tableta sa nemá </w:t>
      </w:r>
      <w:r w:rsidR="00336647" w:rsidRPr="00823BDC">
        <w:rPr>
          <w:szCs w:val="22"/>
        </w:rPr>
        <w:t>deliť</w:t>
      </w:r>
      <w:r w:rsidR="000C7BD4" w:rsidRPr="00823BDC">
        <w:rPr>
          <w:szCs w:val="22"/>
        </w:rPr>
        <w:t>.</w:t>
      </w:r>
    </w:p>
    <w:p w14:paraId="1296D923" w14:textId="77777777" w:rsidR="00D044EB" w:rsidRPr="00823BDC" w:rsidRDefault="00D044EB">
      <w:pPr>
        <w:tabs>
          <w:tab w:val="left" w:pos="3375"/>
        </w:tabs>
        <w:adjustRightInd w:val="0"/>
        <w:snapToGrid w:val="0"/>
        <w:rPr>
          <w:szCs w:val="22"/>
        </w:rPr>
      </w:pPr>
    </w:p>
    <w:p w14:paraId="4014BC7A" w14:textId="77777777" w:rsidR="00C555FD" w:rsidRPr="00823BDC" w:rsidRDefault="00C555FD">
      <w:pPr>
        <w:keepNext/>
        <w:tabs>
          <w:tab w:val="left" w:pos="3375"/>
        </w:tabs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 xml:space="preserve">Pacienti s koronárnou </w:t>
      </w:r>
      <w:r w:rsidR="00524B24" w:rsidRPr="00823BDC">
        <w:rPr>
          <w:szCs w:val="22"/>
          <w:u w:val="single"/>
        </w:rPr>
        <w:t>chorobou srdca a </w:t>
      </w:r>
      <w:r w:rsidR="00AC1692" w:rsidRPr="00823BDC">
        <w:rPr>
          <w:szCs w:val="22"/>
          <w:u w:val="single"/>
        </w:rPr>
        <w:t xml:space="preserve">príhodou </w:t>
      </w:r>
      <w:r w:rsidR="00524B24" w:rsidRPr="00823BDC">
        <w:rPr>
          <w:szCs w:val="22"/>
          <w:u w:val="single"/>
        </w:rPr>
        <w:t>AK</w:t>
      </w:r>
      <w:r w:rsidRPr="00823BDC">
        <w:rPr>
          <w:szCs w:val="22"/>
          <w:u w:val="single"/>
        </w:rPr>
        <w:t>S v</w:t>
      </w:r>
      <w:r w:rsidR="00AC1692" w:rsidRPr="00823BDC">
        <w:rPr>
          <w:szCs w:val="22"/>
          <w:u w:val="single"/>
        </w:rPr>
        <w:t> </w:t>
      </w:r>
      <w:r w:rsidRPr="00823BDC">
        <w:rPr>
          <w:szCs w:val="22"/>
          <w:u w:val="single"/>
        </w:rPr>
        <w:t>anamnéze</w:t>
      </w:r>
    </w:p>
    <w:p w14:paraId="768F66F7" w14:textId="141DF631" w:rsidR="00C555FD" w:rsidRPr="00823BDC" w:rsidRDefault="00EC0A48">
      <w:pPr>
        <w:tabs>
          <w:tab w:val="left" w:pos="3375"/>
        </w:tabs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V štúdii </w:t>
      </w:r>
      <w:r w:rsidR="00B74E2B" w:rsidRPr="00823BDC">
        <w:rPr>
          <w:szCs w:val="22"/>
        </w:rPr>
        <w:t xml:space="preserve">zníženia rizika kardiovaskulárnych príhod (IMPROVE-IT) bola </w:t>
      </w:r>
      <w:r w:rsidR="00F24D63" w:rsidRPr="00823BDC">
        <w:rPr>
          <w:szCs w:val="22"/>
        </w:rPr>
        <w:t>za</w:t>
      </w:r>
      <w:r w:rsidR="009977EC" w:rsidRPr="00823BDC">
        <w:rPr>
          <w:szCs w:val="22"/>
        </w:rPr>
        <w:t>čiatočná</w:t>
      </w:r>
      <w:r w:rsidR="00A2475C" w:rsidRPr="00823BDC">
        <w:rPr>
          <w:szCs w:val="22"/>
        </w:rPr>
        <w:t xml:space="preserve"> </w:t>
      </w:r>
      <w:r w:rsidR="00B74E2B" w:rsidRPr="00823BDC">
        <w:rPr>
          <w:szCs w:val="22"/>
        </w:rPr>
        <w:t>dávka 10</w:t>
      </w:r>
      <w:r w:rsidR="009D6048" w:rsidRPr="00823BDC">
        <w:rPr>
          <w:szCs w:val="22"/>
        </w:rPr>
        <w:t> </w:t>
      </w:r>
      <w:r w:rsidR="00F24D63" w:rsidRPr="00823BDC">
        <w:rPr>
          <w:szCs w:val="22"/>
        </w:rPr>
        <w:t>mg</w:t>
      </w:r>
      <w:r w:rsidR="00B74E2B" w:rsidRPr="00823BDC">
        <w:rPr>
          <w:szCs w:val="22"/>
        </w:rPr>
        <w:t xml:space="preserve">/40 mg </w:t>
      </w:r>
      <w:r w:rsidR="009977EC" w:rsidRPr="00823BDC">
        <w:rPr>
          <w:szCs w:val="22"/>
        </w:rPr>
        <w:t xml:space="preserve">podávaná </w:t>
      </w:r>
      <w:r w:rsidR="00B74E2B" w:rsidRPr="00823BDC">
        <w:rPr>
          <w:szCs w:val="22"/>
        </w:rPr>
        <w:t xml:space="preserve">raz denne večer. </w:t>
      </w:r>
      <w:r w:rsidR="00C555FD" w:rsidRPr="00823BDC">
        <w:rPr>
          <w:szCs w:val="22"/>
        </w:rPr>
        <w:t>Dávka 10</w:t>
      </w:r>
      <w:r w:rsidR="00F24D63" w:rsidRPr="00823BDC">
        <w:rPr>
          <w:szCs w:val="22"/>
        </w:rPr>
        <w:t xml:space="preserve"> mg</w:t>
      </w:r>
      <w:r w:rsidR="00C555FD" w:rsidRPr="00823BDC">
        <w:rPr>
          <w:szCs w:val="22"/>
        </w:rPr>
        <w:t xml:space="preserve">/80 mg sa odporúča </w:t>
      </w:r>
      <w:r w:rsidR="00336647" w:rsidRPr="00823BDC">
        <w:rPr>
          <w:szCs w:val="22"/>
        </w:rPr>
        <w:t>len</w:t>
      </w:r>
      <w:r w:rsidR="00C555FD" w:rsidRPr="00823BDC">
        <w:rPr>
          <w:szCs w:val="22"/>
        </w:rPr>
        <w:t xml:space="preserve"> </w:t>
      </w:r>
      <w:r w:rsidR="00F24D63" w:rsidRPr="00823BDC">
        <w:rPr>
          <w:szCs w:val="22"/>
        </w:rPr>
        <w:t>ak</w:t>
      </w:r>
      <w:r w:rsidR="00C555FD" w:rsidRPr="00823BDC">
        <w:rPr>
          <w:szCs w:val="22"/>
        </w:rPr>
        <w:t xml:space="preserve"> sa očakáva, že prínosy prevážia </w:t>
      </w:r>
      <w:r w:rsidR="00B74E2B" w:rsidRPr="00823BDC">
        <w:rPr>
          <w:szCs w:val="22"/>
        </w:rPr>
        <w:t>nad možnými rizikami.</w:t>
      </w:r>
    </w:p>
    <w:p w14:paraId="766DF8FB" w14:textId="77777777" w:rsidR="00C555FD" w:rsidRPr="00823BDC" w:rsidRDefault="00C555FD">
      <w:pPr>
        <w:tabs>
          <w:tab w:val="left" w:pos="3375"/>
        </w:tabs>
        <w:adjustRightInd w:val="0"/>
        <w:snapToGrid w:val="0"/>
        <w:rPr>
          <w:szCs w:val="22"/>
        </w:rPr>
      </w:pPr>
    </w:p>
    <w:p w14:paraId="73F59AB5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 xml:space="preserve">Homozygotná familiárna </w:t>
      </w:r>
      <w:proofErr w:type="spellStart"/>
      <w:r w:rsidRPr="00823BDC">
        <w:rPr>
          <w:szCs w:val="22"/>
          <w:u w:val="single"/>
        </w:rPr>
        <w:t>hypercholesterolémia</w:t>
      </w:r>
      <w:proofErr w:type="spellEnd"/>
    </w:p>
    <w:p w14:paraId="303D16C1" w14:textId="77777777" w:rsidR="00D044EB" w:rsidRPr="00823BDC" w:rsidRDefault="00D044EB">
      <w:pPr>
        <w:adjustRightInd w:val="0"/>
        <w:snapToGrid w:val="0"/>
        <w:rPr>
          <w:bCs/>
          <w:iCs/>
          <w:szCs w:val="22"/>
        </w:rPr>
      </w:pPr>
      <w:r w:rsidRPr="00823BDC">
        <w:rPr>
          <w:szCs w:val="22"/>
        </w:rPr>
        <w:t xml:space="preserve">Pre pacientov s homozygotnou familiárnou </w:t>
      </w:r>
      <w:proofErr w:type="spellStart"/>
      <w:r w:rsidRPr="00823BDC">
        <w:rPr>
          <w:szCs w:val="22"/>
        </w:rPr>
        <w:t>hypercholesterolémiou</w:t>
      </w:r>
      <w:proofErr w:type="spellEnd"/>
      <w:r w:rsidRPr="00823BDC">
        <w:rPr>
          <w:szCs w:val="22"/>
        </w:rPr>
        <w:t xml:space="preserve"> je odporúčan</w:t>
      </w:r>
      <w:r w:rsidR="00F24D63" w:rsidRPr="00823BDC">
        <w:rPr>
          <w:szCs w:val="22"/>
        </w:rPr>
        <w:t>á</w:t>
      </w:r>
      <w:r w:rsidRPr="00823BDC">
        <w:rPr>
          <w:szCs w:val="22"/>
        </w:rPr>
        <w:t xml:space="preserve"> </w:t>
      </w:r>
      <w:r w:rsidR="00F24D63" w:rsidRPr="00823BDC">
        <w:rPr>
          <w:szCs w:val="22"/>
        </w:rPr>
        <w:t>za</w:t>
      </w:r>
      <w:r w:rsidR="00F94B6C" w:rsidRPr="00823BDC">
        <w:rPr>
          <w:szCs w:val="22"/>
        </w:rPr>
        <w:t>čiatočn</w:t>
      </w:r>
      <w:r w:rsidR="00F24D63" w:rsidRPr="00823BDC">
        <w:rPr>
          <w:szCs w:val="22"/>
        </w:rPr>
        <w:t>á</w:t>
      </w:r>
      <w:r w:rsidR="00F94B6C" w:rsidRPr="00823BDC">
        <w:rPr>
          <w:szCs w:val="22"/>
        </w:rPr>
        <w:t xml:space="preserve"> </w:t>
      </w:r>
      <w:r w:rsidRPr="00823BDC">
        <w:rPr>
          <w:szCs w:val="22"/>
        </w:rPr>
        <w:t>dávk</w:t>
      </w:r>
      <w:r w:rsidR="00F24D63" w:rsidRPr="00823BDC">
        <w:rPr>
          <w:szCs w:val="22"/>
        </w:rPr>
        <w:t>a</w:t>
      </w:r>
      <w:r w:rsidRPr="00823BDC">
        <w:rPr>
          <w:szCs w:val="22"/>
        </w:rPr>
        <w:t xml:space="preserve"> </w:t>
      </w:r>
      <w:proofErr w:type="spellStart"/>
      <w:r w:rsidR="00336647" w:rsidRPr="00823BDC">
        <w:rPr>
          <w:szCs w:val="22"/>
        </w:rPr>
        <w:t>Cornusanu</w:t>
      </w:r>
      <w:proofErr w:type="spellEnd"/>
      <w:r w:rsidRPr="00823BDC">
        <w:rPr>
          <w:szCs w:val="22"/>
        </w:rPr>
        <w:t xml:space="preserve"> 10</w:t>
      </w:r>
      <w:r w:rsidR="00F24D63" w:rsidRPr="00823BDC">
        <w:rPr>
          <w:szCs w:val="22"/>
        </w:rPr>
        <w:t xml:space="preserve"> mg</w:t>
      </w:r>
      <w:r w:rsidRPr="00823BDC">
        <w:rPr>
          <w:szCs w:val="22"/>
        </w:rPr>
        <w:t>/40 mg/deň podáva</w:t>
      </w:r>
      <w:r w:rsidR="00F24D63" w:rsidRPr="00823BDC">
        <w:rPr>
          <w:szCs w:val="22"/>
        </w:rPr>
        <w:t>ná</w:t>
      </w:r>
      <w:r w:rsidRPr="00823BDC">
        <w:rPr>
          <w:szCs w:val="22"/>
        </w:rPr>
        <w:t xml:space="preserve"> večer. </w:t>
      </w:r>
      <w:r w:rsidR="00E344BF" w:rsidRPr="00823BDC">
        <w:rPr>
          <w:szCs w:val="22"/>
        </w:rPr>
        <w:t>Dávk</w:t>
      </w:r>
      <w:r w:rsidR="004B3FE7" w:rsidRPr="00823BDC">
        <w:rPr>
          <w:szCs w:val="22"/>
        </w:rPr>
        <w:t>a</w:t>
      </w:r>
      <w:r w:rsidR="00E344BF" w:rsidRPr="00823BDC">
        <w:rPr>
          <w:szCs w:val="22"/>
        </w:rPr>
        <w:t xml:space="preserve"> 10/80</w:t>
      </w:r>
      <w:r w:rsidR="00B74E2B" w:rsidRPr="00823BDC">
        <w:rPr>
          <w:szCs w:val="22"/>
        </w:rPr>
        <w:t> </w:t>
      </w:r>
      <w:r w:rsidR="00E344BF" w:rsidRPr="00823BDC">
        <w:rPr>
          <w:szCs w:val="22"/>
        </w:rPr>
        <w:t xml:space="preserve">mg sa odporúča </w:t>
      </w:r>
      <w:r w:rsidR="00336647" w:rsidRPr="00823BDC">
        <w:rPr>
          <w:szCs w:val="22"/>
        </w:rPr>
        <w:t>len</w:t>
      </w:r>
      <w:r w:rsidR="00B74E2B" w:rsidRPr="00823BDC">
        <w:rPr>
          <w:szCs w:val="22"/>
        </w:rPr>
        <w:t xml:space="preserve"> </w:t>
      </w:r>
      <w:r w:rsidR="00944E0E" w:rsidRPr="00823BDC">
        <w:rPr>
          <w:szCs w:val="22"/>
        </w:rPr>
        <w:t>ak</w:t>
      </w:r>
      <w:r w:rsidR="00B74E2B" w:rsidRPr="00823BDC">
        <w:rPr>
          <w:szCs w:val="22"/>
        </w:rPr>
        <w:t xml:space="preserve"> </w:t>
      </w:r>
      <w:r w:rsidR="00E344BF" w:rsidRPr="00823BDC">
        <w:rPr>
          <w:szCs w:val="22"/>
        </w:rPr>
        <w:t>sa očakáva, že prínosy prevážia nad možnými rizikami (pozri vyššie; časti</w:t>
      </w:r>
      <w:r w:rsidR="00406D9F" w:rsidRPr="00823BDC">
        <w:rPr>
          <w:szCs w:val="22"/>
        </w:rPr>
        <w:t xml:space="preserve"> </w:t>
      </w:r>
      <w:r w:rsidR="00E344BF" w:rsidRPr="00823BDC">
        <w:rPr>
          <w:szCs w:val="22"/>
        </w:rPr>
        <w:t>4.3 a 4.4).</w:t>
      </w:r>
      <w:r w:rsidR="00051A80" w:rsidRPr="00823BDC">
        <w:rPr>
          <w:szCs w:val="22"/>
        </w:rPr>
        <w:t xml:space="preserve"> </w:t>
      </w:r>
      <w:proofErr w:type="spellStart"/>
      <w:r w:rsidR="0008467F" w:rsidRPr="00823BDC">
        <w:rPr>
          <w:szCs w:val="22"/>
        </w:rPr>
        <w:t>Cornusan</w:t>
      </w:r>
      <w:proofErr w:type="spellEnd"/>
      <w:r w:rsidRPr="00823BDC">
        <w:rPr>
          <w:szCs w:val="22"/>
        </w:rPr>
        <w:t xml:space="preserve"> </w:t>
      </w:r>
      <w:r w:rsidR="00E344BF" w:rsidRPr="00823BDC">
        <w:rPr>
          <w:szCs w:val="22"/>
        </w:rPr>
        <w:t xml:space="preserve">sa </w:t>
      </w:r>
      <w:r w:rsidRPr="00823BDC">
        <w:rPr>
          <w:szCs w:val="22"/>
        </w:rPr>
        <w:t>môže u týchto pacientov použi</w:t>
      </w:r>
      <w:r w:rsidR="00E344BF" w:rsidRPr="00823BDC">
        <w:rPr>
          <w:szCs w:val="22"/>
        </w:rPr>
        <w:t>ť</w:t>
      </w:r>
      <w:r w:rsidRPr="00823BDC">
        <w:rPr>
          <w:szCs w:val="22"/>
        </w:rPr>
        <w:t xml:space="preserve"> ako </w:t>
      </w:r>
      <w:r w:rsidR="00E320B7" w:rsidRPr="00823BDC">
        <w:rPr>
          <w:szCs w:val="22"/>
        </w:rPr>
        <w:t xml:space="preserve">podporná liečba </w:t>
      </w:r>
      <w:r w:rsidRPr="00823BDC">
        <w:rPr>
          <w:szCs w:val="22"/>
        </w:rPr>
        <w:t>k in</w:t>
      </w:r>
      <w:r w:rsidR="00362CDA" w:rsidRPr="00823BDC">
        <w:rPr>
          <w:szCs w:val="22"/>
        </w:rPr>
        <w:t>ým</w:t>
      </w:r>
      <w:r w:rsidRPr="00823BDC">
        <w:rPr>
          <w:szCs w:val="22"/>
        </w:rPr>
        <w:t xml:space="preserve"> </w:t>
      </w:r>
      <w:r w:rsidR="00E344BF" w:rsidRPr="00823BDC">
        <w:rPr>
          <w:szCs w:val="22"/>
        </w:rPr>
        <w:t>liečb</w:t>
      </w:r>
      <w:r w:rsidR="00362CDA" w:rsidRPr="00823BDC">
        <w:rPr>
          <w:szCs w:val="22"/>
        </w:rPr>
        <w:t>am</w:t>
      </w:r>
      <w:r w:rsidR="00E344BF" w:rsidRPr="00823BDC">
        <w:rPr>
          <w:szCs w:val="22"/>
        </w:rPr>
        <w:t xml:space="preserve"> na zníženie hladiny </w:t>
      </w:r>
      <w:r w:rsidRPr="00823BDC">
        <w:rPr>
          <w:szCs w:val="22"/>
        </w:rPr>
        <w:t>lipid</w:t>
      </w:r>
      <w:r w:rsidR="00E344BF" w:rsidRPr="00823BDC">
        <w:rPr>
          <w:szCs w:val="22"/>
        </w:rPr>
        <w:t>ov</w:t>
      </w:r>
      <w:r w:rsidRPr="00823BDC">
        <w:rPr>
          <w:szCs w:val="22"/>
        </w:rPr>
        <w:t xml:space="preserve"> (napr. LDL aferéz</w:t>
      </w:r>
      <w:r w:rsidR="00E320B7" w:rsidRPr="00823BDC">
        <w:rPr>
          <w:szCs w:val="22"/>
        </w:rPr>
        <w:t>e</w:t>
      </w:r>
      <w:r w:rsidRPr="00823BDC">
        <w:rPr>
          <w:szCs w:val="22"/>
        </w:rPr>
        <w:t>)</w:t>
      </w:r>
      <w:r w:rsidR="00E320B7" w:rsidRPr="00823BDC">
        <w:rPr>
          <w:szCs w:val="22"/>
        </w:rPr>
        <w:t>,</w:t>
      </w:r>
      <w:r w:rsidRPr="00823BDC">
        <w:rPr>
          <w:szCs w:val="22"/>
        </w:rPr>
        <w:t xml:space="preserve"> alebo ak tak</w:t>
      </w:r>
      <w:r w:rsidR="00E344BF" w:rsidRPr="00823BDC">
        <w:rPr>
          <w:szCs w:val="22"/>
        </w:rPr>
        <w:t>é</w:t>
      </w:r>
      <w:r w:rsidRPr="00823BDC">
        <w:rPr>
          <w:szCs w:val="22"/>
        </w:rPr>
        <w:t>to liečb</w:t>
      </w:r>
      <w:r w:rsidR="00E344BF" w:rsidRPr="00823BDC">
        <w:rPr>
          <w:szCs w:val="22"/>
        </w:rPr>
        <w:t>y</w:t>
      </w:r>
      <w:r w:rsidRPr="00823BDC">
        <w:rPr>
          <w:szCs w:val="22"/>
        </w:rPr>
        <w:t xml:space="preserve"> nie </w:t>
      </w:r>
      <w:r w:rsidR="00DE11EF" w:rsidRPr="00823BDC">
        <w:rPr>
          <w:szCs w:val="22"/>
        </w:rPr>
        <w:t>sú</w:t>
      </w:r>
      <w:r w:rsidRPr="00823BDC">
        <w:rPr>
          <w:szCs w:val="22"/>
        </w:rPr>
        <w:t xml:space="preserve"> k dispozícii.</w:t>
      </w:r>
    </w:p>
    <w:p w14:paraId="329EAD7A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0C71E01D" w14:textId="5C7A77D0" w:rsidR="002F3B68" w:rsidRPr="00823BDC" w:rsidRDefault="002F3B68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U pacientov užívajúcich </w:t>
      </w:r>
      <w:proofErr w:type="spellStart"/>
      <w:r w:rsidRPr="00823BDC">
        <w:rPr>
          <w:szCs w:val="22"/>
        </w:rPr>
        <w:t>lomitapid</w:t>
      </w:r>
      <w:proofErr w:type="spellEnd"/>
      <w:r w:rsidRPr="00823BDC">
        <w:rPr>
          <w:szCs w:val="22"/>
        </w:rPr>
        <w:t xml:space="preserve"> súbežne s </w:t>
      </w:r>
      <w:proofErr w:type="spellStart"/>
      <w:r w:rsidR="0008467F" w:rsidRPr="00823BDC">
        <w:rPr>
          <w:szCs w:val="22"/>
        </w:rPr>
        <w:t>Cornusanom</w:t>
      </w:r>
      <w:proofErr w:type="spellEnd"/>
      <w:r w:rsidRPr="00823BDC">
        <w:rPr>
          <w:szCs w:val="22"/>
        </w:rPr>
        <w:t xml:space="preserve"> nesmie dávka </w:t>
      </w:r>
      <w:proofErr w:type="spellStart"/>
      <w:r w:rsidR="0008467F" w:rsidRPr="00823BDC">
        <w:rPr>
          <w:szCs w:val="22"/>
        </w:rPr>
        <w:t>Cornusanu</w:t>
      </w:r>
      <w:proofErr w:type="spellEnd"/>
      <w:r w:rsidRPr="00823BDC">
        <w:rPr>
          <w:szCs w:val="22"/>
        </w:rPr>
        <w:t xml:space="preserve"> prekročiť 10</w:t>
      </w:r>
      <w:r w:rsidR="00F401A9" w:rsidRPr="00823BDC">
        <w:rPr>
          <w:szCs w:val="22"/>
        </w:rPr>
        <w:t> </w:t>
      </w:r>
      <w:r w:rsidR="00E320B7" w:rsidRPr="00823BDC">
        <w:rPr>
          <w:szCs w:val="22"/>
        </w:rPr>
        <w:t>mg</w:t>
      </w:r>
      <w:r w:rsidRPr="00823BDC">
        <w:rPr>
          <w:szCs w:val="22"/>
        </w:rPr>
        <w:t>/40 mg/deň (pozri časti 4.3, 4.4. a 4.5).</w:t>
      </w:r>
    </w:p>
    <w:p w14:paraId="07AF7442" w14:textId="77777777" w:rsidR="002F3B68" w:rsidRPr="00823BDC" w:rsidRDefault="002F3B68">
      <w:pPr>
        <w:adjustRightInd w:val="0"/>
        <w:snapToGrid w:val="0"/>
        <w:rPr>
          <w:szCs w:val="22"/>
        </w:rPr>
      </w:pPr>
    </w:p>
    <w:p w14:paraId="710BB288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Sú</w:t>
      </w:r>
      <w:r w:rsidR="00081701" w:rsidRPr="00823BDC">
        <w:rPr>
          <w:szCs w:val="22"/>
          <w:u w:val="single"/>
        </w:rPr>
        <w:t>bežné</w:t>
      </w:r>
      <w:r w:rsidRPr="00823BDC">
        <w:rPr>
          <w:szCs w:val="22"/>
          <w:u w:val="single"/>
        </w:rPr>
        <w:t xml:space="preserve"> podávanie s inými liekmi</w:t>
      </w:r>
    </w:p>
    <w:p w14:paraId="68CD1233" w14:textId="77777777" w:rsidR="00D044EB" w:rsidRPr="00823BDC" w:rsidRDefault="0008467F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="00D044EB" w:rsidRPr="00823BDC">
        <w:rPr>
          <w:szCs w:val="22"/>
        </w:rPr>
        <w:t xml:space="preserve"> </w:t>
      </w:r>
      <w:r w:rsidR="00E344BF" w:rsidRPr="00823BDC">
        <w:rPr>
          <w:szCs w:val="22"/>
        </w:rPr>
        <w:t xml:space="preserve">sa má </w:t>
      </w:r>
      <w:r w:rsidR="00252A55" w:rsidRPr="00823BDC">
        <w:rPr>
          <w:szCs w:val="22"/>
        </w:rPr>
        <w:t>podať</w:t>
      </w:r>
      <w:r w:rsidR="00D044EB" w:rsidRPr="00823BDC">
        <w:rPr>
          <w:szCs w:val="22"/>
        </w:rPr>
        <w:t xml:space="preserve"> </w:t>
      </w:r>
      <w:r w:rsidR="00E320B7" w:rsidRPr="00823BDC">
        <w:rPr>
          <w:szCs w:val="22"/>
        </w:rPr>
        <w:t>aspoň</w:t>
      </w:r>
      <w:r w:rsidR="00081701" w:rsidRPr="00823BDC">
        <w:rPr>
          <w:szCs w:val="22"/>
        </w:rPr>
        <w:t> </w:t>
      </w:r>
      <w:r w:rsidR="00D044EB" w:rsidRPr="00823BDC">
        <w:rPr>
          <w:szCs w:val="22"/>
        </w:rPr>
        <w:t xml:space="preserve">2 hodiny pred alebo </w:t>
      </w:r>
      <w:r w:rsidR="00E320B7" w:rsidRPr="00823BDC">
        <w:rPr>
          <w:szCs w:val="22"/>
        </w:rPr>
        <w:t>najmenej</w:t>
      </w:r>
      <w:r w:rsidR="00DE11EF" w:rsidRPr="00823BDC">
        <w:rPr>
          <w:szCs w:val="22"/>
        </w:rPr>
        <w:t> </w:t>
      </w:r>
      <w:r w:rsidR="00D044EB" w:rsidRPr="00823BDC">
        <w:rPr>
          <w:szCs w:val="22"/>
        </w:rPr>
        <w:t xml:space="preserve">4 hodiny po podaní </w:t>
      </w:r>
      <w:proofErr w:type="spellStart"/>
      <w:r w:rsidR="00D044EB" w:rsidRPr="00823BDC">
        <w:rPr>
          <w:szCs w:val="22"/>
        </w:rPr>
        <w:t>sekvestrantu</w:t>
      </w:r>
      <w:proofErr w:type="spellEnd"/>
      <w:r w:rsidR="00D044EB" w:rsidRPr="00823BDC">
        <w:rPr>
          <w:szCs w:val="22"/>
        </w:rPr>
        <w:t xml:space="preserve"> žlčov</w:t>
      </w:r>
      <w:r w:rsidR="00E320B7" w:rsidRPr="00823BDC">
        <w:rPr>
          <w:szCs w:val="22"/>
        </w:rPr>
        <w:t>ých</w:t>
      </w:r>
      <w:r w:rsidR="00D044EB" w:rsidRPr="00823BDC">
        <w:rPr>
          <w:szCs w:val="22"/>
        </w:rPr>
        <w:t xml:space="preserve"> kysel</w:t>
      </w:r>
      <w:r w:rsidR="00E320B7" w:rsidRPr="00823BDC">
        <w:rPr>
          <w:szCs w:val="22"/>
        </w:rPr>
        <w:t>ín</w:t>
      </w:r>
      <w:r w:rsidR="00D044EB" w:rsidRPr="00823BDC">
        <w:rPr>
          <w:szCs w:val="22"/>
        </w:rPr>
        <w:t>.</w:t>
      </w:r>
    </w:p>
    <w:p w14:paraId="1E40260A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1E001C9C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lastRenderedPageBreak/>
        <w:t>U pacientov, ktorí súbežne s </w:t>
      </w:r>
      <w:proofErr w:type="spellStart"/>
      <w:r w:rsidR="0008467F" w:rsidRPr="00823BDC">
        <w:rPr>
          <w:szCs w:val="22"/>
        </w:rPr>
        <w:t>Cornusanom</w:t>
      </w:r>
      <w:proofErr w:type="spellEnd"/>
      <w:r w:rsidRPr="00823BDC">
        <w:rPr>
          <w:szCs w:val="22"/>
        </w:rPr>
        <w:t xml:space="preserve"> užívajú </w:t>
      </w:r>
      <w:proofErr w:type="spellStart"/>
      <w:r w:rsidRPr="00823BDC">
        <w:rPr>
          <w:szCs w:val="22"/>
        </w:rPr>
        <w:t>amiodarón</w:t>
      </w:r>
      <w:proofErr w:type="spellEnd"/>
      <w:r w:rsidR="00EE19BC" w:rsidRPr="00823BDC">
        <w:rPr>
          <w:szCs w:val="22"/>
        </w:rPr>
        <w:t xml:space="preserve">, </w:t>
      </w:r>
      <w:proofErr w:type="spellStart"/>
      <w:r w:rsidR="00EE19BC" w:rsidRPr="00823BDC">
        <w:rPr>
          <w:szCs w:val="22"/>
        </w:rPr>
        <w:t>amlodipín</w:t>
      </w:r>
      <w:proofErr w:type="spellEnd"/>
      <w:r w:rsidR="00EE19BC"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verapamil</w:t>
      </w:r>
      <w:proofErr w:type="spellEnd"/>
      <w:r w:rsidR="00C07A74" w:rsidRPr="00823BDC">
        <w:rPr>
          <w:szCs w:val="22"/>
        </w:rPr>
        <w:t>,</w:t>
      </w:r>
      <w:r w:rsidR="00EE19BC" w:rsidRPr="00823BDC">
        <w:rPr>
          <w:szCs w:val="22"/>
        </w:rPr>
        <w:t xml:space="preserve"> </w:t>
      </w:r>
      <w:proofErr w:type="spellStart"/>
      <w:r w:rsidR="00EE19BC" w:rsidRPr="00823BDC">
        <w:rPr>
          <w:szCs w:val="22"/>
        </w:rPr>
        <w:t>diltiazem</w:t>
      </w:r>
      <w:proofErr w:type="spellEnd"/>
      <w:r w:rsidR="00C07A74" w:rsidRPr="00823BDC">
        <w:rPr>
          <w:szCs w:val="22"/>
        </w:rPr>
        <w:t xml:space="preserve"> alebo lieky obsahujúce </w:t>
      </w:r>
      <w:proofErr w:type="spellStart"/>
      <w:r w:rsidR="00C07A74" w:rsidRPr="00823BDC">
        <w:rPr>
          <w:szCs w:val="22"/>
        </w:rPr>
        <w:t>elbasvir</w:t>
      </w:r>
      <w:proofErr w:type="spellEnd"/>
      <w:r w:rsidR="00C07A74" w:rsidRPr="00823BDC">
        <w:rPr>
          <w:szCs w:val="22"/>
        </w:rPr>
        <w:t xml:space="preserve"> alebo </w:t>
      </w:r>
      <w:proofErr w:type="spellStart"/>
      <w:r w:rsidR="00C07A74" w:rsidRPr="00823BDC">
        <w:rPr>
          <w:szCs w:val="22"/>
        </w:rPr>
        <w:t>grazoprevir</w:t>
      </w:r>
      <w:proofErr w:type="spellEnd"/>
      <w:r w:rsidRPr="00823BDC">
        <w:rPr>
          <w:szCs w:val="22"/>
        </w:rPr>
        <w:t xml:space="preserve"> nemá dávka </w:t>
      </w:r>
      <w:proofErr w:type="spellStart"/>
      <w:r w:rsidR="0008467F" w:rsidRPr="00823BDC">
        <w:rPr>
          <w:szCs w:val="22"/>
        </w:rPr>
        <w:t>Cornusanu</w:t>
      </w:r>
      <w:proofErr w:type="spellEnd"/>
      <w:r w:rsidRPr="00823BDC">
        <w:rPr>
          <w:szCs w:val="22"/>
        </w:rPr>
        <w:t xml:space="preserve"> prekročiť 10</w:t>
      </w:r>
      <w:r w:rsidR="00E320B7" w:rsidRPr="00823BDC">
        <w:rPr>
          <w:szCs w:val="22"/>
        </w:rPr>
        <w:t xml:space="preserve"> mg</w:t>
      </w:r>
      <w:r w:rsidRPr="00823BDC">
        <w:rPr>
          <w:szCs w:val="22"/>
        </w:rPr>
        <w:t>/20 mg/deň (pozri časti 4.4 a 4.5).</w:t>
      </w:r>
    </w:p>
    <w:p w14:paraId="05565163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5B7CE5BB" w14:textId="77777777" w:rsidR="00031037" w:rsidRPr="00823BDC" w:rsidRDefault="00031037">
      <w:pPr>
        <w:adjustRightInd w:val="0"/>
        <w:snapToGrid w:val="0"/>
        <w:rPr>
          <w:szCs w:val="22"/>
        </w:rPr>
      </w:pPr>
      <w:r w:rsidRPr="00823BDC">
        <w:rPr>
          <w:szCs w:val="22"/>
        </w:rPr>
        <w:t>U pacientov, ktorí súbežne s </w:t>
      </w:r>
      <w:proofErr w:type="spellStart"/>
      <w:r w:rsidR="0008467F" w:rsidRPr="00823BDC">
        <w:rPr>
          <w:szCs w:val="22"/>
        </w:rPr>
        <w:t>Cornusanom</w:t>
      </w:r>
      <w:proofErr w:type="spellEnd"/>
      <w:r w:rsidRPr="00823BDC">
        <w:rPr>
          <w:szCs w:val="22"/>
        </w:rPr>
        <w:t xml:space="preserve"> užívajú ni</w:t>
      </w:r>
      <w:r w:rsidR="0008467F" w:rsidRPr="00823BDC">
        <w:rPr>
          <w:szCs w:val="22"/>
        </w:rPr>
        <w:t>acín</w:t>
      </w:r>
      <w:r w:rsidRPr="00823BDC">
        <w:rPr>
          <w:szCs w:val="22"/>
        </w:rPr>
        <w:t xml:space="preserve"> v dávkach znižujúcich lipidy (≥</w:t>
      </w:r>
      <w:r w:rsidR="00081701" w:rsidRPr="00823BDC">
        <w:rPr>
          <w:szCs w:val="22"/>
        </w:rPr>
        <w:t> </w:t>
      </w:r>
      <w:r w:rsidRPr="00823BDC">
        <w:rPr>
          <w:szCs w:val="22"/>
        </w:rPr>
        <w:t xml:space="preserve">1 g/deň), nemá dávka </w:t>
      </w:r>
      <w:proofErr w:type="spellStart"/>
      <w:r w:rsidR="0008467F" w:rsidRPr="00823BDC">
        <w:rPr>
          <w:szCs w:val="22"/>
        </w:rPr>
        <w:t>Cornusanu</w:t>
      </w:r>
      <w:proofErr w:type="spellEnd"/>
      <w:r w:rsidRPr="00823BDC">
        <w:rPr>
          <w:szCs w:val="22"/>
        </w:rPr>
        <w:t xml:space="preserve"> prekročiť 10</w:t>
      </w:r>
      <w:r w:rsidR="00E320B7" w:rsidRPr="00823BDC">
        <w:rPr>
          <w:szCs w:val="22"/>
        </w:rPr>
        <w:t xml:space="preserve"> mg</w:t>
      </w:r>
      <w:r w:rsidRPr="00823BDC">
        <w:rPr>
          <w:szCs w:val="22"/>
        </w:rPr>
        <w:t>/20 mg/deň (pozri časti 4.4 a 4.5).</w:t>
      </w:r>
    </w:p>
    <w:p w14:paraId="61861B90" w14:textId="77777777" w:rsidR="00563160" w:rsidRPr="00823BDC" w:rsidRDefault="00563160">
      <w:pPr>
        <w:adjustRightInd w:val="0"/>
        <w:snapToGrid w:val="0"/>
        <w:rPr>
          <w:szCs w:val="22"/>
        </w:rPr>
      </w:pPr>
    </w:p>
    <w:p w14:paraId="70DC3AFA" w14:textId="77777777" w:rsidR="00D044EB" w:rsidRPr="00823BDC" w:rsidRDefault="00E320B7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Starší pacienti</w:t>
      </w:r>
    </w:p>
    <w:p w14:paraId="4BCF7697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U starších pacientov nie je potrebná </w:t>
      </w:r>
      <w:r w:rsidR="00E344BF" w:rsidRPr="00823BDC">
        <w:rPr>
          <w:szCs w:val="22"/>
        </w:rPr>
        <w:t xml:space="preserve">žiadna </w:t>
      </w:r>
      <w:r w:rsidRPr="00823BDC">
        <w:rPr>
          <w:szCs w:val="22"/>
        </w:rPr>
        <w:t>úprava dávkovania (pozri časť 5.2).</w:t>
      </w:r>
    </w:p>
    <w:p w14:paraId="71055CBD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75C3AF59" w14:textId="77777777" w:rsidR="00D044EB" w:rsidRPr="00823BDC" w:rsidRDefault="0034066B">
      <w:pPr>
        <w:keepNext/>
        <w:adjustRightInd w:val="0"/>
        <w:snapToGrid w:val="0"/>
        <w:rPr>
          <w:b/>
          <w:szCs w:val="22"/>
          <w:u w:val="single"/>
        </w:rPr>
      </w:pPr>
      <w:r w:rsidRPr="00823BDC">
        <w:rPr>
          <w:noProof/>
          <w:szCs w:val="22"/>
          <w:u w:val="single"/>
        </w:rPr>
        <w:t>Pediatrická populácia</w:t>
      </w:r>
    </w:p>
    <w:p w14:paraId="6F2AF0BA" w14:textId="77777777" w:rsidR="00FE1FC3" w:rsidRPr="00823BDC" w:rsidRDefault="00FE1FC3">
      <w:pPr>
        <w:adjustRightInd w:val="0"/>
        <w:snapToGrid w:val="0"/>
        <w:rPr>
          <w:bCs/>
          <w:iCs/>
          <w:szCs w:val="22"/>
        </w:rPr>
      </w:pPr>
      <w:r w:rsidRPr="00823BDC">
        <w:rPr>
          <w:bCs/>
          <w:iCs/>
          <w:szCs w:val="22"/>
        </w:rPr>
        <w:t>Liečba sa musí začať po</w:t>
      </w:r>
      <w:r w:rsidR="008E3AC8" w:rsidRPr="00823BDC">
        <w:rPr>
          <w:bCs/>
          <w:iCs/>
          <w:szCs w:val="22"/>
        </w:rPr>
        <w:t>d</w:t>
      </w:r>
      <w:r w:rsidRPr="00823BDC">
        <w:rPr>
          <w:bCs/>
          <w:iCs/>
          <w:szCs w:val="22"/>
        </w:rPr>
        <w:t xml:space="preserve"> dohľadom </w:t>
      </w:r>
      <w:r w:rsidR="00E320B7" w:rsidRPr="00823BDC">
        <w:rPr>
          <w:bCs/>
          <w:iCs/>
          <w:szCs w:val="22"/>
        </w:rPr>
        <w:t>odborného lekára</w:t>
      </w:r>
      <w:r w:rsidRPr="00823BDC">
        <w:rPr>
          <w:bCs/>
          <w:iCs/>
          <w:szCs w:val="22"/>
        </w:rPr>
        <w:t>.</w:t>
      </w:r>
    </w:p>
    <w:p w14:paraId="5D61F219" w14:textId="77777777" w:rsidR="00E344BF" w:rsidRPr="00823BDC" w:rsidRDefault="00E344BF">
      <w:pPr>
        <w:adjustRightInd w:val="0"/>
        <w:snapToGrid w:val="0"/>
        <w:rPr>
          <w:bCs/>
          <w:iCs/>
          <w:szCs w:val="22"/>
        </w:rPr>
      </w:pPr>
    </w:p>
    <w:p w14:paraId="1191A3E5" w14:textId="51FFDF68" w:rsidR="00FE1FC3" w:rsidRPr="00823BDC" w:rsidRDefault="00FE1FC3">
      <w:pPr>
        <w:adjustRightInd w:val="0"/>
        <w:snapToGrid w:val="0"/>
        <w:rPr>
          <w:bCs/>
          <w:iCs/>
          <w:szCs w:val="22"/>
        </w:rPr>
      </w:pPr>
      <w:r w:rsidRPr="00823BDC">
        <w:rPr>
          <w:bCs/>
          <w:iCs/>
          <w:szCs w:val="22"/>
        </w:rPr>
        <w:t xml:space="preserve">Dospievajúci </w:t>
      </w:r>
      <w:r w:rsidR="00E320B7" w:rsidRPr="00823BDC">
        <w:rPr>
          <w:szCs w:val="22"/>
        </w:rPr>
        <w:t>nad</w:t>
      </w:r>
      <w:r w:rsidRPr="00823BDC">
        <w:rPr>
          <w:szCs w:val="22"/>
        </w:rPr>
        <w:t> </w:t>
      </w:r>
      <w:r w:rsidR="008E3AC8" w:rsidRPr="00823BDC">
        <w:rPr>
          <w:szCs w:val="22"/>
        </w:rPr>
        <w:t>10 rokov (</w:t>
      </w:r>
      <w:r w:rsidR="00252A55" w:rsidRPr="00823BDC">
        <w:rPr>
          <w:szCs w:val="22"/>
        </w:rPr>
        <w:t>v</w:t>
      </w:r>
      <w:r w:rsidR="00406D9F" w:rsidRPr="00823BDC">
        <w:rPr>
          <w:szCs w:val="22"/>
        </w:rPr>
        <w:t> </w:t>
      </w:r>
      <w:r w:rsidR="008E3AC8" w:rsidRPr="00823BDC">
        <w:rPr>
          <w:szCs w:val="22"/>
        </w:rPr>
        <w:t>pubert</w:t>
      </w:r>
      <w:r w:rsidR="00252A55" w:rsidRPr="00823BDC">
        <w:rPr>
          <w:szCs w:val="22"/>
        </w:rPr>
        <w:t>e</w:t>
      </w:r>
      <w:r w:rsidR="008E3AC8" w:rsidRPr="00823BDC">
        <w:rPr>
          <w:szCs w:val="22"/>
        </w:rPr>
        <w:t xml:space="preserve">: chlapci v II. </w:t>
      </w:r>
      <w:proofErr w:type="spellStart"/>
      <w:r w:rsidR="008E3AC8" w:rsidRPr="00823BDC">
        <w:rPr>
          <w:szCs w:val="22"/>
        </w:rPr>
        <w:t>Tannerovom</w:t>
      </w:r>
      <w:proofErr w:type="spellEnd"/>
      <w:r w:rsidR="008E3AC8" w:rsidRPr="00823BDC">
        <w:rPr>
          <w:szCs w:val="22"/>
        </w:rPr>
        <w:t xml:space="preserve"> štádiu a vyšš</w:t>
      </w:r>
      <w:r w:rsidR="00E320B7" w:rsidRPr="00823BDC">
        <w:rPr>
          <w:szCs w:val="22"/>
        </w:rPr>
        <w:t>om</w:t>
      </w:r>
      <w:r w:rsidR="008E3AC8" w:rsidRPr="00823BDC">
        <w:rPr>
          <w:szCs w:val="22"/>
        </w:rPr>
        <w:t xml:space="preserve"> a dievčatá minimálne </w:t>
      </w:r>
      <w:r w:rsidR="009E2F49" w:rsidRPr="00823BDC">
        <w:rPr>
          <w:szCs w:val="22"/>
        </w:rPr>
        <w:t xml:space="preserve">1 </w:t>
      </w:r>
      <w:r w:rsidR="008E3AC8" w:rsidRPr="00823BDC">
        <w:rPr>
          <w:szCs w:val="22"/>
        </w:rPr>
        <w:t xml:space="preserve">rok po </w:t>
      </w:r>
      <w:proofErr w:type="spellStart"/>
      <w:r w:rsidR="008E3AC8" w:rsidRPr="00823BDC">
        <w:rPr>
          <w:szCs w:val="22"/>
        </w:rPr>
        <w:t>menarché</w:t>
      </w:r>
      <w:proofErr w:type="spellEnd"/>
      <w:r w:rsidR="008E3AC8" w:rsidRPr="00823BDC">
        <w:rPr>
          <w:szCs w:val="22"/>
        </w:rPr>
        <w:t>): Klinická skúsenosť u </w:t>
      </w:r>
      <w:r w:rsidR="004B3FE7" w:rsidRPr="00823BDC">
        <w:rPr>
          <w:szCs w:val="22"/>
        </w:rPr>
        <w:t>pediatrický</w:t>
      </w:r>
      <w:r w:rsidR="008E3AC8" w:rsidRPr="00823BDC">
        <w:rPr>
          <w:szCs w:val="22"/>
        </w:rPr>
        <w:t xml:space="preserve">ch </w:t>
      </w:r>
      <w:r w:rsidR="00AC2175" w:rsidRPr="00823BDC">
        <w:rPr>
          <w:szCs w:val="22"/>
        </w:rPr>
        <w:t xml:space="preserve">a dospievajúcich </w:t>
      </w:r>
      <w:r w:rsidR="008E3AC8" w:rsidRPr="00823BDC">
        <w:rPr>
          <w:szCs w:val="22"/>
        </w:rPr>
        <w:t>pacientov (</w:t>
      </w:r>
      <w:r w:rsidR="00CE6149" w:rsidRPr="00823BDC">
        <w:rPr>
          <w:szCs w:val="22"/>
        </w:rPr>
        <w:t>vo veku 10</w:t>
      </w:r>
      <w:r w:rsidR="004827CA" w:rsidRPr="00823BDC">
        <w:rPr>
          <w:szCs w:val="22"/>
        </w:rPr>
        <w:t xml:space="preserve"> </w:t>
      </w:r>
      <w:r w:rsidR="009E2F49" w:rsidRPr="00823BDC">
        <w:rPr>
          <w:szCs w:val="22"/>
        </w:rPr>
        <w:t xml:space="preserve">až </w:t>
      </w:r>
      <w:r w:rsidR="00CE6149" w:rsidRPr="00823BDC">
        <w:rPr>
          <w:szCs w:val="22"/>
        </w:rPr>
        <w:t>17 </w:t>
      </w:r>
      <w:r w:rsidR="008E3AC8" w:rsidRPr="00823BDC">
        <w:rPr>
          <w:szCs w:val="22"/>
        </w:rPr>
        <w:t xml:space="preserve">rokov) je obmedzená. </w:t>
      </w:r>
      <w:r w:rsidR="0083736D" w:rsidRPr="00823BDC">
        <w:rPr>
          <w:szCs w:val="22"/>
        </w:rPr>
        <w:t>O</w:t>
      </w:r>
      <w:r w:rsidR="008E3AC8" w:rsidRPr="00823BDC">
        <w:rPr>
          <w:szCs w:val="22"/>
        </w:rPr>
        <w:t xml:space="preserve">dporúčaná </w:t>
      </w:r>
      <w:r w:rsidR="0083736D" w:rsidRPr="00823BDC">
        <w:rPr>
          <w:szCs w:val="22"/>
        </w:rPr>
        <w:t xml:space="preserve">zvyčajná </w:t>
      </w:r>
      <w:r w:rsidR="00E320B7" w:rsidRPr="00823BDC">
        <w:rPr>
          <w:szCs w:val="22"/>
        </w:rPr>
        <w:t>za</w:t>
      </w:r>
      <w:r w:rsidR="00F94B6C" w:rsidRPr="00823BDC">
        <w:rPr>
          <w:szCs w:val="22"/>
        </w:rPr>
        <w:t xml:space="preserve">čiatočná </w:t>
      </w:r>
      <w:r w:rsidR="008E3AC8" w:rsidRPr="00823BDC">
        <w:rPr>
          <w:szCs w:val="22"/>
        </w:rPr>
        <w:t>dávk</w:t>
      </w:r>
      <w:r w:rsidR="004B3FE7" w:rsidRPr="00823BDC">
        <w:rPr>
          <w:szCs w:val="22"/>
        </w:rPr>
        <w:t>a</w:t>
      </w:r>
      <w:r w:rsidR="008E3AC8" w:rsidRPr="00823BDC">
        <w:rPr>
          <w:szCs w:val="22"/>
        </w:rPr>
        <w:t xml:space="preserve"> je 10</w:t>
      </w:r>
      <w:r w:rsidR="00E320B7" w:rsidRPr="00823BDC">
        <w:rPr>
          <w:szCs w:val="22"/>
        </w:rPr>
        <w:t xml:space="preserve"> mg</w:t>
      </w:r>
      <w:r w:rsidR="008E3AC8" w:rsidRPr="00823BDC">
        <w:rPr>
          <w:szCs w:val="22"/>
        </w:rPr>
        <w:t>/10</w:t>
      </w:r>
      <w:r w:rsidR="00406D9F" w:rsidRPr="00823BDC">
        <w:rPr>
          <w:szCs w:val="22"/>
        </w:rPr>
        <w:t> </w:t>
      </w:r>
      <w:r w:rsidR="008E3AC8" w:rsidRPr="00823BDC">
        <w:rPr>
          <w:szCs w:val="22"/>
        </w:rPr>
        <w:t>mg raz denne večer. Odporúčané rozmedzie dávkovania je 10</w:t>
      </w:r>
      <w:r w:rsidR="00E320B7" w:rsidRPr="00823BDC">
        <w:rPr>
          <w:szCs w:val="22"/>
        </w:rPr>
        <w:t xml:space="preserve"> mg</w:t>
      </w:r>
      <w:r w:rsidR="008E3AC8" w:rsidRPr="00823BDC">
        <w:rPr>
          <w:szCs w:val="22"/>
        </w:rPr>
        <w:t>/10</w:t>
      </w:r>
      <w:r w:rsidR="00E320B7" w:rsidRPr="00823BDC">
        <w:rPr>
          <w:szCs w:val="22"/>
        </w:rPr>
        <w:t xml:space="preserve"> mg</w:t>
      </w:r>
      <w:r w:rsidR="008E3AC8" w:rsidRPr="00823BDC">
        <w:rPr>
          <w:szCs w:val="22"/>
        </w:rPr>
        <w:t xml:space="preserve"> až maximálne 10</w:t>
      </w:r>
      <w:r w:rsidR="00E320B7" w:rsidRPr="00823BDC">
        <w:rPr>
          <w:szCs w:val="22"/>
        </w:rPr>
        <w:t xml:space="preserve"> mg</w:t>
      </w:r>
      <w:r w:rsidR="008E3AC8" w:rsidRPr="00823BDC">
        <w:rPr>
          <w:szCs w:val="22"/>
        </w:rPr>
        <w:t>/40</w:t>
      </w:r>
      <w:r w:rsidR="00406D9F" w:rsidRPr="00823BDC">
        <w:rPr>
          <w:szCs w:val="22"/>
        </w:rPr>
        <w:t> </w:t>
      </w:r>
      <w:r w:rsidR="008E3AC8" w:rsidRPr="00823BDC">
        <w:rPr>
          <w:szCs w:val="22"/>
        </w:rPr>
        <w:t>mg/deň (pozri časti 4.4 a 5.2).</w:t>
      </w:r>
    </w:p>
    <w:p w14:paraId="1B493081" w14:textId="77777777" w:rsidR="00EE19BC" w:rsidRPr="00823BDC" w:rsidRDefault="00EE19BC">
      <w:pPr>
        <w:adjustRightInd w:val="0"/>
        <w:snapToGrid w:val="0"/>
        <w:rPr>
          <w:szCs w:val="22"/>
        </w:rPr>
      </w:pPr>
    </w:p>
    <w:p w14:paraId="61D69410" w14:textId="602A8952" w:rsidR="00D044EB" w:rsidRPr="00823BDC" w:rsidRDefault="008E3AC8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Deti </w:t>
      </w:r>
      <w:r w:rsidR="00E320B7" w:rsidRPr="00823BDC">
        <w:rPr>
          <w:szCs w:val="22"/>
        </w:rPr>
        <w:t>do</w:t>
      </w:r>
      <w:r w:rsidRPr="00823BDC">
        <w:rPr>
          <w:szCs w:val="22"/>
        </w:rPr>
        <w:t xml:space="preserve"> 10 rokov: </w:t>
      </w:r>
      <w:proofErr w:type="spellStart"/>
      <w:r w:rsidR="0065392B" w:rsidRPr="00823BDC">
        <w:rPr>
          <w:szCs w:val="22"/>
        </w:rPr>
        <w:t>Cornusan</w:t>
      </w:r>
      <w:proofErr w:type="spellEnd"/>
      <w:r w:rsidR="00D044EB" w:rsidRPr="00823BDC">
        <w:rPr>
          <w:bCs/>
          <w:iCs/>
          <w:szCs w:val="22"/>
        </w:rPr>
        <w:t xml:space="preserve"> sa neodporúča používať u detí </w:t>
      </w:r>
      <w:r w:rsidRPr="00823BDC">
        <w:rPr>
          <w:szCs w:val="22"/>
        </w:rPr>
        <w:t xml:space="preserve">mladších ako 10 </w:t>
      </w:r>
      <w:r w:rsidR="008F2959" w:rsidRPr="00823BDC">
        <w:rPr>
          <w:szCs w:val="22"/>
        </w:rPr>
        <w:t xml:space="preserve">rokov </w:t>
      </w:r>
      <w:r w:rsidR="00D044EB" w:rsidRPr="00823BDC">
        <w:rPr>
          <w:bCs/>
          <w:iCs/>
          <w:szCs w:val="22"/>
        </w:rPr>
        <w:t xml:space="preserve">kvôli </w:t>
      </w:r>
      <w:r w:rsidR="008F2959" w:rsidRPr="00823BDC">
        <w:rPr>
          <w:szCs w:val="22"/>
        </w:rPr>
        <w:t>nedostatočným</w:t>
      </w:r>
      <w:r w:rsidR="00D044EB" w:rsidRPr="00823BDC">
        <w:rPr>
          <w:bCs/>
          <w:iCs/>
          <w:szCs w:val="22"/>
        </w:rPr>
        <w:t xml:space="preserve"> údajom o bezpečnosti a účinnosti (pozri časť 5.2).</w:t>
      </w:r>
      <w:r w:rsidR="00C84706" w:rsidRPr="00823BDC">
        <w:rPr>
          <w:szCs w:val="22"/>
        </w:rPr>
        <w:t xml:space="preserve"> Skúsenosť</w:t>
      </w:r>
      <w:r w:rsidRPr="00823BDC">
        <w:rPr>
          <w:szCs w:val="22"/>
        </w:rPr>
        <w:t xml:space="preserve"> u </w:t>
      </w:r>
      <w:r w:rsidR="00C84706" w:rsidRPr="00823BDC">
        <w:rPr>
          <w:szCs w:val="22"/>
        </w:rPr>
        <w:t>detí</w:t>
      </w:r>
      <w:r w:rsidR="00E320B7" w:rsidRPr="00823BDC">
        <w:rPr>
          <w:szCs w:val="22"/>
        </w:rPr>
        <w:t xml:space="preserve"> pred pubertou</w:t>
      </w:r>
      <w:r w:rsidR="00C84706" w:rsidRPr="00823BDC">
        <w:rPr>
          <w:szCs w:val="22"/>
        </w:rPr>
        <w:t xml:space="preserve"> je obmedzená</w:t>
      </w:r>
      <w:r w:rsidRPr="00823BDC">
        <w:rPr>
          <w:szCs w:val="22"/>
        </w:rPr>
        <w:t>.</w:t>
      </w:r>
    </w:p>
    <w:p w14:paraId="7FFB036C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5BBF4FBA" w14:textId="77777777" w:rsidR="00D044EB" w:rsidRPr="00823BDC" w:rsidRDefault="00FF32C6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P</w:t>
      </w:r>
      <w:r w:rsidR="00EC352A" w:rsidRPr="00823BDC">
        <w:rPr>
          <w:szCs w:val="22"/>
          <w:u w:val="single"/>
        </w:rPr>
        <w:t>oruch</w:t>
      </w:r>
      <w:r w:rsidRPr="00823BDC">
        <w:rPr>
          <w:szCs w:val="22"/>
          <w:u w:val="single"/>
        </w:rPr>
        <w:t>a</w:t>
      </w:r>
      <w:r w:rsidR="00EC352A" w:rsidRPr="00823BDC">
        <w:rPr>
          <w:szCs w:val="22"/>
          <w:u w:val="single"/>
        </w:rPr>
        <w:t xml:space="preserve"> </w:t>
      </w:r>
      <w:r w:rsidR="00DE11EF" w:rsidRPr="00823BDC">
        <w:rPr>
          <w:szCs w:val="22"/>
          <w:u w:val="single"/>
        </w:rPr>
        <w:t>funkcie pečene</w:t>
      </w:r>
    </w:p>
    <w:p w14:paraId="55627866" w14:textId="34ED9E25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U pacientov s miernou </w:t>
      </w:r>
      <w:r w:rsidR="00EC352A" w:rsidRPr="00823BDC">
        <w:rPr>
          <w:szCs w:val="22"/>
        </w:rPr>
        <w:t xml:space="preserve">poruchou funkcie </w:t>
      </w:r>
      <w:r w:rsidR="00E344BF" w:rsidRPr="00823BDC">
        <w:rPr>
          <w:szCs w:val="22"/>
        </w:rPr>
        <w:t xml:space="preserve">pečene </w:t>
      </w:r>
      <w:r w:rsidRPr="00823BDC">
        <w:rPr>
          <w:szCs w:val="22"/>
        </w:rPr>
        <w:t>(</w:t>
      </w:r>
      <w:proofErr w:type="spellStart"/>
      <w:r w:rsidRPr="00823BDC">
        <w:rPr>
          <w:szCs w:val="22"/>
        </w:rPr>
        <w:t>Child</w:t>
      </w:r>
      <w:r w:rsidR="00E344BF" w:rsidRPr="00823BDC">
        <w:rPr>
          <w:szCs w:val="22"/>
        </w:rPr>
        <w:t>ovo</w:t>
      </w:r>
      <w:r w:rsidRPr="00823BDC">
        <w:rPr>
          <w:szCs w:val="22"/>
        </w:rPr>
        <w:noBreakHyphen/>
        <w:t>Pughovo</w:t>
      </w:r>
      <w:proofErr w:type="spellEnd"/>
      <w:r w:rsidRPr="00823BDC">
        <w:rPr>
          <w:szCs w:val="22"/>
        </w:rPr>
        <w:t xml:space="preserve"> skóre 5 až 6) nie je potrebná </w:t>
      </w:r>
      <w:r w:rsidR="00E344BF" w:rsidRPr="00823BDC">
        <w:rPr>
          <w:szCs w:val="22"/>
        </w:rPr>
        <w:t xml:space="preserve">žiadna </w:t>
      </w:r>
      <w:r w:rsidRPr="00823BDC">
        <w:rPr>
          <w:szCs w:val="22"/>
        </w:rPr>
        <w:t>úprava dávkovania. U pacientov so</w:t>
      </w:r>
      <w:r w:rsidR="00EC352A" w:rsidRPr="00823BDC">
        <w:rPr>
          <w:szCs w:val="22"/>
        </w:rPr>
        <w:t xml:space="preserve"> </w:t>
      </w:r>
      <w:r w:rsidRPr="00823BDC">
        <w:rPr>
          <w:szCs w:val="22"/>
        </w:rPr>
        <w:t xml:space="preserve">stredne </w:t>
      </w:r>
      <w:r w:rsidR="008278F8" w:rsidRPr="00823BDC">
        <w:rPr>
          <w:szCs w:val="22"/>
        </w:rPr>
        <w:t xml:space="preserve">ťažkou </w:t>
      </w:r>
      <w:r w:rsidRPr="00823BDC">
        <w:rPr>
          <w:szCs w:val="22"/>
        </w:rPr>
        <w:t>(</w:t>
      </w:r>
      <w:proofErr w:type="spellStart"/>
      <w:r w:rsidRPr="00823BDC">
        <w:rPr>
          <w:szCs w:val="22"/>
        </w:rPr>
        <w:t>Child</w:t>
      </w:r>
      <w:r w:rsidR="00A04E02" w:rsidRPr="00823BDC">
        <w:rPr>
          <w:szCs w:val="22"/>
        </w:rPr>
        <w:t>ovo</w:t>
      </w:r>
      <w:r w:rsidRPr="00823BDC">
        <w:rPr>
          <w:szCs w:val="22"/>
        </w:rPr>
        <w:noBreakHyphen/>
        <w:t>Pughovo</w:t>
      </w:r>
      <w:proofErr w:type="spellEnd"/>
      <w:r w:rsidRPr="00823BDC">
        <w:rPr>
          <w:szCs w:val="22"/>
        </w:rPr>
        <w:t xml:space="preserve"> skóre 7 až 9) alebo </w:t>
      </w:r>
      <w:r w:rsidR="008278F8" w:rsidRPr="00823BDC">
        <w:rPr>
          <w:szCs w:val="22"/>
        </w:rPr>
        <w:t xml:space="preserve">ťažkou </w:t>
      </w:r>
      <w:r w:rsidR="00E344BF" w:rsidRPr="00823BDC">
        <w:rPr>
          <w:szCs w:val="22"/>
        </w:rPr>
        <w:t xml:space="preserve">poruchou funkcie </w:t>
      </w:r>
      <w:r w:rsidRPr="00823BDC">
        <w:rPr>
          <w:szCs w:val="22"/>
        </w:rPr>
        <w:t>peče</w:t>
      </w:r>
      <w:r w:rsidR="00E344BF" w:rsidRPr="00823BDC">
        <w:rPr>
          <w:szCs w:val="22"/>
        </w:rPr>
        <w:t>ne</w:t>
      </w:r>
      <w:r w:rsidRPr="00823BDC">
        <w:rPr>
          <w:szCs w:val="22"/>
        </w:rPr>
        <w:t xml:space="preserve"> (</w:t>
      </w:r>
      <w:proofErr w:type="spellStart"/>
      <w:r w:rsidRPr="00823BDC">
        <w:rPr>
          <w:szCs w:val="22"/>
        </w:rPr>
        <w:t>Child</w:t>
      </w:r>
      <w:r w:rsidR="00E344BF" w:rsidRPr="00823BDC">
        <w:rPr>
          <w:szCs w:val="22"/>
        </w:rPr>
        <w:t>ovo</w:t>
      </w:r>
      <w:r w:rsidRPr="00823BDC">
        <w:rPr>
          <w:szCs w:val="22"/>
        </w:rPr>
        <w:noBreakHyphen/>
        <w:t>Pughovo</w:t>
      </w:r>
      <w:proofErr w:type="spellEnd"/>
      <w:r w:rsidRPr="00823BDC">
        <w:rPr>
          <w:szCs w:val="22"/>
        </w:rPr>
        <w:t xml:space="preserve"> skóre &gt;</w:t>
      </w:r>
      <w:r w:rsidR="00EC160B" w:rsidRPr="00823BDC">
        <w:rPr>
          <w:szCs w:val="22"/>
        </w:rPr>
        <w:t> </w:t>
      </w:r>
      <w:r w:rsidRPr="00823BDC">
        <w:rPr>
          <w:szCs w:val="22"/>
        </w:rPr>
        <w:t xml:space="preserve">9) sa liečba </w:t>
      </w:r>
      <w:proofErr w:type="spellStart"/>
      <w:r w:rsidR="0065392B" w:rsidRPr="00823BDC">
        <w:rPr>
          <w:szCs w:val="22"/>
        </w:rPr>
        <w:t>Cornusanom</w:t>
      </w:r>
      <w:proofErr w:type="spellEnd"/>
      <w:r w:rsidRPr="00823BDC">
        <w:rPr>
          <w:szCs w:val="22"/>
        </w:rPr>
        <w:t xml:space="preserve"> neodporúča</w:t>
      </w:r>
      <w:r w:rsidRPr="00823BDC">
        <w:rPr>
          <w:b/>
          <w:szCs w:val="22"/>
        </w:rPr>
        <w:t xml:space="preserve"> </w:t>
      </w:r>
      <w:r w:rsidRPr="00823BDC">
        <w:rPr>
          <w:szCs w:val="22"/>
        </w:rPr>
        <w:t>(</w:t>
      </w:r>
      <w:r w:rsidR="00723E73" w:rsidRPr="00823BDC">
        <w:rPr>
          <w:szCs w:val="22"/>
        </w:rPr>
        <w:t>p</w:t>
      </w:r>
      <w:r w:rsidRPr="00823BDC">
        <w:rPr>
          <w:szCs w:val="22"/>
        </w:rPr>
        <w:t>ozri časti 4.4 a 5.2)</w:t>
      </w:r>
      <w:r w:rsidR="00723E73" w:rsidRPr="00823BDC">
        <w:rPr>
          <w:szCs w:val="22"/>
        </w:rPr>
        <w:t>.</w:t>
      </w:r>
    </w:p>
    <w:p w14:paraId="3DB1B520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657E5ED2" w14:textId="77777777" w:rsidR="008B47E2" w:rsidRPr="00823BDC" w:rsidRDefault="00FF32C6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P</w:t>
      </w:r>
      <w:r w:rsidR="00EC352A" w:rsidRPr="00823BDC">
        <w:rPr>
          <w:szCs w:val="22"/>
          <w:u w:val="single"/>
        </w:rPr>
        <w:t>oruch</w:t>
      </w:r>
      <w:r w:rsidRPr="00823BDC">
        <w:rPr>
          <w:szCs w:val="22"/>
          <w:u w:val="single"/>
        </w:rPr>
        <w:t>a</w:t>
      </w:r>
      <w:r w:rsidR="00EC352A" w:rsidRPr="00823BDC">
        <w:rPr>
          <w:szCs w:val="22"/>
          <w:u w:val="single"/>
        </w:rPr>
        <w:t xml:space="preserve"> </w:t>
      </w:r>
      <w:r w:rsidR="008B47E2" w:rsidRPr="00823BDC">
        <w:rPr>
          <w:szCs w:val="22"/>
          <w:u w:val="single"/>
        </w:rPr>
        <w:t>funkcie obličiek</w:t>
      </w:r>
    </w:p>
    <w:p w14:paraId="3C088218" w14:textId="77777777" w:rsidR="008B47E2" w:rsidRPr="00823BDC" w:rsidRDefault="008B47E2">
      <w:pPr>
        <w:adjustRightInd w:val="0"/>
        <w:snapToGrid w:val="0"/>
        <w:rPr>
          <w:color w:val="000000"/>
          <w:szCs w:val="22"/>
        </w:rPr>
      </w:pPr>
      <w:r w:rsidRPr="00823BDC">
        <w:rPr>
          <w:szCs w:val="22"/>
        </w:rPr>
        <w:t xml:space="preserve">U pacientov s miernou </w:t>
      </w:r>
      <w:r w:rsidR="00EC352A" w:rsidRPr="00823BDC">
        <w:rPr>
          <w:szCs w:val="22"/>
        </w:rPr>
        <w:t xml:space="preserve">poruchou funkcie </w:t>
      </w:r>
      <w:r w:rsidRPr="00823BDC">
        <w:rPr>
          <w:szCs w:val="22"/>
        </w:rPr>
        <w:t xml:space="preserve">obličiek (odhadovaná rýchlosť </w:t>
      </w:r>
      <w:proofErr w:type="spellStart"/>
      <w:r w:rsidRPr="00823BDC">
        <w:rPr>
          <w:szCs w:val="22"/>
        </w:rPr>
        <w:t>glomerulárnej</w:t>
      </w:r>
      <w:proofErr w:type="spellEnd"/>
      <w:r w:rsidRPr="00823BDC">
        <w:rPr>
          <w:szCs w:val="22"/>
        </w:rPr>
        <w:t xml:space="preserve"> filtrácie </w:t>
      </w:r>
      <w:r w:rsidRPr="00823BDC">
        <w:rPr>
          <w:color w:val="000000"/>
          <w:szCs w:val="22"/>
        </w:rPr>
        <w:t>≥ 60 ml/min/1,73 m</w:t>
      </w:r>
      <w:r w:rsidRPr="00823BDC">
        <w:rPr>
          <w:color w:val="000000"/>
          <w:szCs w:val="22"/>
          <w:vertAlign w:val="superscript"/>
        </w:rPr>
        <w:t>2</w:t>
      </w:r>
      <w:r w:rsidRPr="00823BDC">
        <w:rPr>
          <w:szCs w:val="22"/>
        </w:rPr>
        <w:t xml:space="preserve">) </w:t>
      </w:r>
      <w:r w:rsidR="005B3DFE" w:rsidRPr="00823BDC">
        <w:rPr>
          <w:szCs w:val="22"/>
        </w:rPr>
        <w:t>nie je potrebná</w:t>
      </w:r>
      <w:r w:rsidRPr="00823BDC">
        <w:rPr>
          <w:szCs w:val="22"/>
        </w:rPr>
        <w:t xml:space="preserve"> žiadna úprava dávkovania. U pacientov s chronickým ochorením obličiek a odhadovanou rýchlosťou </w:t>
      </w:r>
      <w:proofErr w:type="spellStart"/>
      <w:r w:rsidRPr="00823BDC">
        <w:rPr>
          <w:szCs w:val="22"/>
        </w:rPr>
        <w:t>glomerulárnej</w:t>
      </w:r>
      <w:proofErr w:type="spellEnd"/>
      <w:r w:rsidRPr="00823BDC">
        <w:rPr>
          <w:szCs w:val="22"/>
        </w:rPr>
        <w:t xml:space="preserve"> filtrácie </w:t>
      </w:r>
      <w:r w:rsidRPr="00823BDC">
        <w:rPr>
          <w:color w:val="000000"/>
          <w:szCs w:val="22"/>
        </w:rPr>
        <w:t>&lt; 60 ml/min/1,73 m</w:t>
      </w:r>
      <w:r w:rsidRPr="00823BDC">
        <w:rPr>
          <w:color w:val="000000"/>
          <w:szCs w:val="22"/>
          <w:vertAlign w:val="superscript"/>
        </w:rPr>
        <w:t>2</w:t>
      </w:r>
      <w:r w:rsidRPr="00823BDC">
        <w:rPr>
          <w:color w:val="000000"/>
          <w:szCs w:val="22"/>
        </w:rPr>
        <w:t xml:space="preserve"> sa odporúča dávk</w:t>
      </w:r>
      <w:r w:rsidR="004B3FE7" w:rsidRPr="00823BDC">
        <w:rPr>
          <w:color w:val="000000"/>
          <w:szCs w:val="22"/>
        </w:rPr>
        <w:t>a</w:t>
      </w:r>
      <w:r w:rsidRPr="00823BDC">
        <w:rPr>
          <w:color w:val="000000"/>
          <w:szCs w:val="22"/>
        </w:rPr>
        <w:t xml:space="preserve"> </w:t>
      </w:r>
      <w:proofErr w:type="spellStart"/>
      <w:r w:rsidR="0065392B" w:rsidRPr="00823BDC">
        <w:rPr>
          <w:color w:val="000000"/>
          <w:szCs w:val="22"/>
        </w:rPr>
        <w:t>Cornusanu</w:t>
      </w:r>
      <w:proofErr w:type="spellEnd"/>
      <w:r w:rsidRPr="00823BDC">
        <w:rPr>
          <w:color w:val="000000"/>
          <w:szCs w:val="22"/>
        </w:rPr>
        <w:t xml:space="preserve"> 10</w:t>
      </w:r>
      <w:r w:rsidR="00E320B7" w:rsidRPr="00823BDC">
        <w:rPr>
          <w:color w:val="000000"/>
          <w:szCs w:val="22"/>
        </w:rPr>
        <w:t xml:space="preserve"> mg</w:t>
      </w:r>
      <w:r w:rsidRPr="00823BDC">
        <w:rPr>
          <w:color w:val="000000"/>
          <w:szCs w:val="22"/>
        </w:rPr>
        <w:t>/20</w:t>
      </w:r>
      <w:r w:rsidR="00406D9F" w:rsidRPr="00823BDC">
        <w:rPr>
          <w:color w:val="000000"/>
          <w:szCs w:val="22"/>
        </w:rPr>
        <w:t> </w:t>
      </w:r>
      <w:r w:rsidRPr="00823BDC">
        <w:rPr>
          <w:color w:val="000000"/>
          <w:szCs w:val="22"/>
        </w:rPr>
        <w:t>mg raz denne večer (pozri časti 4.4, 5.1 a 5.2). Vyššie dávky sa m</w:t>
      </w:r>
      <w:r w:rsidR="000A10C6" w:rsidRPr="00823BDC">
        <w:rPr>
          <w:color w:val="000000"/>
          <w:szCs w:val="22"/>
        </w:rPr>
        <w:t>usia</w:t>
      </w:r>
      <w:r w:rsidRPr="00823BDC">
        <w:rPr>
          <w:color w:val="000000"/>
          <w:szCs w:val="22"/>
        </w:rPr>
        <w:t xml:space="preserve"> </w:t>
      </w:r>
      <w:r w:rsidR="00C44212" w:rsidRPr="00823BDC">
        <w:rPr>
          <w:color w:val="000000"/>
          <w:szCs w:val="22"/>
        </w:rPr>
        <w:t xml:space="preserve">podávať </w:t>
      </w:r>
      <w:r w:rsidRPr="00823BDC">
        <w:rPr>
          <w:color w:val="000000"/>
          <w:szCs w:val="22"/>
        </w:rPr>
        <w:t>s opatrnosťou.</w:t>
      </w:r>
    </w:p>
    <w:p w14:paraId="2D73AA76" w14:textId="77777777" w:rsidR="00EC352A" w:rsidRPr="00823BDC" w:rsidRDefault="00EC352A">
      <w:pPr>
        <w:adjustRightInd w:val="0"/>
        <w:snapToGrid w:val="0"/>
        <w:rPr>
          <w:color w:val="000000"/>
          <w:szCs w:val="22"/>
        </w:rPr>
      </w:pPr>
    </w:p>
    <w:p w14:paraId="495F3F3E" w14:textId="77777777" w:rsidR="00EC352A" w:rsidRPr="00823BDC" w:rsidRDefault="00EC352A">
      <w:pPr>
        <w:keepNext/>
        <w:adjustRightInd w:val="0"/>
        <w:snapToGrid w:val="0"/>
        <w:rPr>
          <w:noProof/>
          <w:szCs w:val="22"/>
          <w:u w:val="single"/>
        </w:rPr>
      </w:pPr>
      <w:r w:rsidRPr="00823BDC">
        <w:rPr>
          <w:noProof/>
          <w:szCs w:val="22"/>
          <w:u w:val="single"/>
        </w:rPr>
        <w:t>Spôsob podávania</w:t>
      </w:r>
    </w:p>
    <w:p w14:paraId="660A0736" w14:textId="77777777" w:rsidR="00DD1791" w:rsidRPr="00823BDC" w:rsidRDefault="0065392B">
      <w:pPr>
        <w:adjustRightInd w:val="0"/>
        <w:snapToGrid w:val="0"/>
        <w:rPr>
          <w:szCs w:val="22"/>
          <w:lang w:eastAsia="sk-SK"/>
        </w:rPr>
      </w:pPr>
      <w:proofErr w:type="spellStart"/>
      <w:r w:rsidRPr="00823BDC">
        <w:rPr>
          <w:szCs w:val="22"/>
          <w:lang w:eastAsia="sk-SK"/>
        </w:rPr>
        <w:t>Cornusan</w:t>
      </w:r>
      <w:proofErr w:type="spellEnd"/>
      <w:r w:rsidR="00DD1791" w:rsidRPr="00823BDC">
        <w:rPr>
          <w:szCs w:val="22"/>
          <w:lang w:eastAsia="sk-SK"/>
        </w:rPr>
        <w:t xml:space="preserve"> sa podáva perorálne. </w:t>
      </w:r>
      <w:proofErr w:type="spellStart"/>
      <w:r w:rsidRPr="00823BDC">
        <w:rPr>
          <w:szCs w:val="22"/>
          <w:lang w:eastAsia="sk-SK"/>
        </w:rPr>
        <w:t>Cornusan</w:t>
      </w:r>
      <w:proofErr w:type="spellEnd"/>
      <w:r w:rsidR="00DD1791" w:rsidRPr="00823BDC">
        <w:rPr>
          <w:szCs w:val="22"/>
          <w:lang w:eastAsia="sk-SK"/>
        </w:rPr>
        <w:t xml:space="preserve"> sa môže podávať </w:t>
      </w:r>
      <w:r w:rsidR="00E320B7" w:rsidRPr="00823BDC">
        <w:rPr>
          <w:szCs w:val="22"/>
          <w:lang w:eastAsia="sk-SK"/>
        </w:rPr>
        <w:t>ako</w:t>
      </w:r>
      <w:r w:rsidR="00DD1791" w:rsidRPr="00823BDC">
        <w:rPr>
          <w:szCs w:val="22"/>
          <w:lang w:eastAsia="sk-SK"/>
        </w:rPr>
        <w:t> jedn</w:t>
      </w:r>
      <w:r w:rsidR="00E320B7" w:rsidRPr="00823BDC">
        <w:rPr>
          <w:szCs w:val="22"/>
          <w:lang w:eastAsia="sk-SK"/>
        </w:rPr>
        <w:t>orazová</w:t>
      </w:r>
      <w:r w:rsidR="00DD1791" w:rsidRPr="00823BDC">
        <w:rPr>
          <w:szCs w:val="22"/>
          <w:lang w:eastAsia="sk-SK"/>
        </w:rPr>
        <w:t xml:space="preserve"> dávk</w:t>
      </w:r>
      <w:r w:rsidR="00E320B7" w:rsidRPr="00823BDC">
        <w:rPr>
          <w:szCs w:val="22"/>
          <w:lang w:eastAsia="sk-SK"/>
        </w:rPr>
        <w:t>a</w:t>
      </w:r>
      <w:r w:rsidR="00DD1791" w:rsidRPr="00823BDC">
        <w:rPr>
          <w:szCs w:val="22"/>
          <w:lang w:eastAsia="sk-SK"/>
        </w:rPr>
        <w:t xml:space="preserve"> večer.</w:t>
      </w:r>
    </w:p>
    <w:p w14:paraId="29C38CB8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DFA2A1D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4.3</w:t>
      </w:r>
      <w:r w:rsidRPr="00823BDC">
        <w:rPr>
          <w:b/>
          <w:szCs w:val="22"/>
        </w:rPr>
        <w:tab/>
        <w:t>Kontraindikácie</w:t>
      </w:r>
    </w:p>
    <w:p w14:paraId="112E6804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3C590DE3" w14:textId="77777777" w:rsidR="00D044EB" w:rsidRPr="00823BDC" w:rsidRDefault="00D044EB">
      <w:pPr>
        <w:numPr>
          <w:ilvl w:val="0"/>
          <w:numId w:val="27"/>
        </w:numPr>
        <w:adjustRightInd w:val="0"/>
        <w:snapToGrid w:val="0"/>
        <w:ind w:left="567" w:hanging="567"/>
        <w:rPr>
          <w:szCs w:val="22"/>
        </w:rPr>
      </w:pPr>
      <w:r w:rsidRPr="00823BDC">
        <w:rPr>
          <w:szCs w:val="22"/>
        </w:rPr>
        <w:t xml:space="preserve">Precitlivenosť na </w:t>
      </w:r>
      <w:r w:rsidR="008278F8" w:rsidRPr="00823BDC">
        <w:rPr>
          <w:szCs w:val="22"/>
        </w:rPr>
        <w:t>liečivá</w:t>
      </w:r>
      <w:r w:rsidRPr="00823BDC">
        <w:rPr>
          <w:szCs w:val="22"/>
        </w:rPr>
        <w:t xml:space="preserve"> alebo na </w:t>
      </w:r>
      <w:r w:rsidR="00571F76" w:rsidRPr="00823BDC">
        <w:rPr>
          <w:szCs w:val="22"/>
        </w:rPr>
        <w:t>ktorúkoľvek</w:t>
      </w:r>
      <w:r w:rsidRPr="00823BDC">
        <w:rPr>
          <w:szCs w:val="22"/>
        </w:rPr>
        <w:t xml:space="preserve"> z pomocných látok</w:t>
      </w:r>
      <w:r w:rsidR="00F05FAB" w:rsidRPr="00823BDC">
        <w:rPr>
          <w:noProof/>
          <w:szCs w:val="22"/>
        </w:rPr>
        <w:t xml:space="preserve"> uvedených v časti 6.1</w:t>
      </w:r>
      <w:r w:rsidRPr="00823BDC">
        <w:rPr>
          <w:szCs w:val="22"/>
        </w:rPr>
        <w:t>.</w:t>
      </w:r>
    </w:p>
    <w:p w14:paraId="3F768C4A" w14:textId="77777777" w:rsidR="00D044EB" w:rsidRPr="00823BDC" w:rsidRDefault="00D044EB">
      <w:pPr>
        <w:numPr>
          <w:ilvl w:val="0"/>
          <w:numId w:val="27"/>
        </w:numPr>
        <w:adjustRightInd w:val="0"/>
        <w:snapToGrid w:val="0"/>
        <w:ind w:left="567" w:hanging="567"/>
        <w:rPr>
          <w:szCs w:val="22"/>
        </w:rPr>
      </w:pPr>
      <w:r w:rsidRPr="00823BDC">
        <w:rPr>
          <w:szCs w:val="22"/>
        </w:rPr>
        <w:t>Gravidita a </w:t>
      </w:r>
      <w:r w:rsidR="00E320B7" w:rsidRPr="00823BDC">
        <w:rPr>
          <w:szCs w:val="22"/>
        </w:rPr>
        <w:t xml:space="preserve">dojčenie </w:t>
      </w:r>
      <w:r w:rsidRPr="00823BDC">
        <w:rPr>
          <w:szCs w:val="22"/>
        </w:rPr>
        <w:t>(pozri časť 4.6).</w:t>
      </w:r>
    </w:p>
    <w:p w14:paraId="41F0D005" w14:textId="77777777" w:rsidR="00D044EB" w:rsidRPr="00823BDC" w:rsidRDefault="00D044EB">
      <w:pPr>
        <w:numPr>
          <w:ilvl w:val="0"/>
          <w:numId w:val="27"/>
        </w:numPr>
        <w:adjustRightInd w:val="0"/>
        <w:snapToGrid w:val="0"/>
        <w:ind w:left="567" w:hanging="567"/>
        <w:rPr>
          <w:szCs w:val="22"/>
        </w:rPr>
      </w:pPr>
      <w:r w:rsidRPr="00823BDC">
        <w:rPr>
          <w:szCs w:val="22"/>
        </w:rPr>
        <w:t xml:space="preserve">Aktívne ochorenie pečene alebo </w:t>
      </w:r>
      <w:r w:rsidR="00557D74" w:rsidRPr="00823BDC">
        <w:rPr>
          <w:szCs w:val="22"/>
          <w:lang w:eastAsia="sk-SK"/>
        </w:rPr>
        <w:t>neobjasnené</w:t>
      </w:r>
      <w:r w:rsidRPr="00823BDC">
        <w:rPr>
          <w:szCs w:val="22"/>
        </w:rPr>
        <w:t xml:space="preserve"> pretrvávajúce zvýšenia sérových </w:t>
      </w:r>
      <w:proofErr w:type="spellStart"/>
      <w:r w:rsidRPr="00823BDC">
        <w:rPr>
          <w:szCs w:val="22"/>
        </w:rPr>
        <w:t>transamináz</w:t>
      </w:r>
      <w:proofErr w:type="spellEnd"/>
      <w:r w:rsidRPr="00823BDC">
        <w:rPr>
          <w:szCs w:val="22"/>
        </w:rPr>
        <w:t>.</w:t>
      </w:r>
    </w:p>
    <w:p w14:paraId="4E692130" w14:textId="77777777" w:rsidR="00D044EB" w:rsidRPr="00823BDC" w:rsidRDefault="00D044EB">
      <w:pPr>
        <w:numPr>
          <w:ilvl w:val="0"/>
          <w:numId w:val="27"/>
        </w:numPr>
        <w:adjustRightInd w:val="0"/>
        <w:snapToGrid w:val="0"/>
        <w:ind w:left="567" w:hanging="567"/>
        <w:rPr>
          <w:szCs w:val="22"/>
        </w:rPr>
      </w:pPr>
      <w:r w:rsidRPr="00823BDC">
        <w:rPr>
          <w:szCs w:val="22"/>
        </w:rPr>
        <w:t xml:space="preserve">Súbežné podávanie silných inhibítorov CYP3A4 </w:t>
      </w:r>
      <w:r w:rsidR="00F92FE1" w:rsidRPr="00823BDC">
        <w:rPr>
          <w:szCs w:val="22"/>
        </w:rPr>
        <w:t>(l</w:t>
      </w:r>
      <w:r w:rsidR="00E320B7" w:rsidRPr="00823BDC">
        <w:rPr>
          <w:szCs w:val="22"/>
        </w:rPr>
        <w:t>iečivá</w:t>
      </w:r>
      <w:r w:rsidR="00F92FE1" w:rsidRPr="00823BDC">
        <w:rPr>
          <w:szCs w:val="22"/>
        </w:rPr>
        <w:t xml:space="preserve"> </w:t>
      </w:r>
      <w:r w:rsidR="00AC5325" w:rsidRPr="00823BDC">
        <w:rPr>
          <w:szCs w:val="22"/>
        </w:rPr>
        <w:t>zvyšujú</w:t>
      </w:r>
      <w:r w:rsidR="00F92FE1" w:rsidRPr="00823BDC">
        <w:rPr>
          <w:szCs w:val="22"/>
        </w:rPr>
        <w:t>ce</w:t>
      </w:r>
      <w:r w:rsidR="00AC5325" w:rsidRPr="00823BDC">
        <w:rPr>
          <w:szCs w:val="22"/>
        </w:rPr>
        <w:t xml:space="preserve"> AUC približne 5-násobne alebo viac) </w:t>
      </w:r>
      <w:r w:rsidRPr="00823BDC">
        <w:rPr>
          <w:szCs w:val="22"/>
        </w:rPr>
        <w:t xml:space="preserve">(napr. </w:t>
      </w:r>
      <w:proofErr w:type="spellStart"/>
      <w:r w:rsidRPr="00823BDC">
        <w:rPr>
          <w:szCs w:val="22"/>
        </w:rPr>
        <w:t>itrakonazol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ketokonazol</w:t>
      </w:r>
      <w:proofErr w:type="spellEnd"/>
      <w:r w:rsidRPr="00823BDC">
        <w:rPr>
          <w:szCs w:val="22"/>
        </w:rPr>
        <w:t xml:space="preserve">, </w:t>
      </w:r>
      <w:proofErr w:type="spellStart"/>
      <w:r w:rsidR="00392DDE" w:rsidRPr="00823BDC">
        <w:rPr>
          <w:szCs w:val="22"/>
        </w:rPr>
        <w:t>posakonazol</w:t>
      </w:r>
      <w:proofErr w:type="spellEnd"/>
      <w:r w:rsidR="00392DDE" w:rsidRPr="00823BDC">
        <w:rPr>
          <w:szCs w:val="22"/>
        </w:rPr>
        <w:t xml:space="preserve">, </w:t>
      </w:r>
      <w:proofErr w:type="spellStart"/>
      <w:r w:rsidR="00AC5325" w:rsidRPr="00823BDC">
        <w:rPr>
          <w:szCs w:val="22"/>
        </w:rPr>
        <w:t>vorikonazol</w:t>
      </w:r>
      <w:proofErr w:type="spellEnd"/>
      <w:r w:rsidR="00AC5325"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erytromycín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klaritromycín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telitromycín</w:t>
      </w:r>
      <w:proofErr w:type="spellEnd"/>
      <w:r w:rsidRPr="00823BDC">
        <w:rPr>
          <w:szCs w:val="22"/>
        </w:rPr>
        <w:t>, inhibítor</w:t>
      </w:r>
      <w:r w:rsidR="003449B7" w:rsidRPr="00823BDC">
        <w:rPr>
          <w:szCs w:val="22"/>
        </w:rPr>
        <w:t>y</w:t>
      </w:r>
      <w:r w:rsidRPr="00823BDC">
        <w:rPr>
          <w:szCs w:val="22"/>
        </w:rPr>
        <w:t xml:space="preserve"> HIV proteázy </w:t>
      </w:r>
      <w:r w:rsidR="00392DDE" w:rsidRPr="00823BDC">
        <w:rPr>
          <w:szCs w:val="22"/>
        </w:rPr>
        <w:t xml:space="preserve">(napr. </w:t>
      </w:r>
      <w:proofErr w:type="spellStart"/>
      <w:r w:rsidR="00392DDE" w:rsidRPr="00823BDC">
        <w:rPr>
          <w:szCs w:val="22"/>
        </w:rPr>
        <w:t>nelfinavir</w:t>
      </w:r>
      <w:proofErr w:type="spellEnd"/>
      <w:r w:rsidR="00392DDE" w:rsidRPr="00823BDC">
        <w:rPr>
          <w:szCs w:val="22"/>
        </w:rPr>
        <w:t>)</w:t>
      </w:r>
      <w:r w:rsidR="005456E1" w:rsidRPr="00823BDC">
        <w:rPr>
          <w:szCs w:val="22"/>
        </w:rPr>
        <w:t xml:space="preserve">, </w:t>
      </w:r>
      <w:proofErr w:type="spellStart"/>
      <w:r w:rsidR="005456E1" w:rsidRPr="00823BDC">
        <w:rPr>
          <w:szCs w:val="22"/>
        </w:rPr>
        <w:t>boceprevir</w:t>
      </w:r>
      <w:proofErr w:type="spellEnd"/>
      <w:r w:rsidR="005456E1" w:rsidRPr="00823BDC">
        <w:rPr>
          <w:szCs w:val="22"/>
        </w:rPr>
        <w:t xml:space="preserve">, </w:t>
      </w:r>
      <w:proofErr w:type="spellStart"/>
      <w:r w:rsidR="005456E1" w:rsidRPr="00823BDC">
        <w:rPr>
          <w:szCs w:val="22"/>
        </w:rPr>
        <w:t>telaprevir</w:t>
      </w:r>
      <w:proofErr w:type="spellEnd"/>
      <w:r w:rsidR="00DD1791"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nefazodón</w:t>
      </w:r>
      <w:proofErr w:type="spellEnd"/>
      <w:r w:rsidR="00DD1791" w:rsidRPr="00823BDC">
        <w:rPr>
          <w:szCs w:val="22"/>
        </w:rPr>
        <w:t xml:space="preserve"> a lieky obsahujúce </w:t>
      </w:r>
      <w:proofErr w:type="spellStart"/>
      <w:r w:rsidR="0026767E" w:rsidRPr="00823BDC">
        <w:rPr>
          <w:szCs w:val="22"/>
        </w:rPr>
        <w:t>k</w:t>
      </w:r>
      <w:r w:rsidR="00B02E24" w:rsidRPr="00823BDC">
        <w:rPr>
          <w:szCs w:val="22"/>
        </w:rPr>
        <w:t>obicist</w:t>
      </w:r>
      <w:r w:rsidR="00E320B7" w:rsidRPr="00823BDC">
        <w:rPr>
          <w:szCs w:val="22"/>
        </w:rPr>
        <w:t>át</w:t>
      </w:r>
      <w:proofErr w:type="spellEnd"/>
      <w:r w:rsidRPr="00823BDC">
        <w:rPr>
          <w:szCs w:val="22"/>
        </w:rPr>
        <w:t>) (pozri časti</w:t>
      </w:r>
      <w:r w:rsidR="00C517B5" w:rsidRPr="00823BDC">
        <w:rPr>
          <w:szCs w:val="22"/>
        </w:rPr>
        <w:t xml:space="preserve"> </w:t>
      </w:r>
      <w:r w:rsidRPr="00823BDC">
        <w:rPr>
          <w:szCs w:val="22"/>
        </w:rPr>
        <w:t>4.4 a 4.5).</w:t>
      </w:r>
    </w:p>
    <w:p w14:paraId="322B1251" w14:textId="77777777" w:rsidR="00EE19BC" w:rsidRPr="00823BDC" w:rsidRDefault="00EE19BC">
      <w:pPr>
        <w:numPr>
          <w:ilvl w:val="0"/>
          <w:numId w:val="27"/>
        </w:numPr>
        <w:adjustRightInd w:val="0"/>
        <w:snapToGrid w:val="0"/>
        <w:ind w:left="567" w:hanging="567"/>
        <w:rPr>
          <w:szCs w:val="22"/>
        </w:rPr>
      </w:pPr>
      <w:r w:rsidRPr="00823BDC">
        <w:rPr>
          <w:szCs w:val="22"/>
        </w:rPr>
        <w:t xml:space="preserve">Súbežné podávanie </w:t>
      </w:r>
      <w:proofErr w:type="spellStart"/>
      <w:r w:rsidRPr="00823BDC">
        <w:rPr>
          <w:szCs w:val="22"/>
        </w:rPr>
        <w:t>gemfibrozilu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cyklosporínu</w:t>
      </w:r>
      <w:proofErr w:type="spellEnd"/>
      <w:r w:rsidRPr="00823BDC">
        <w:rPr>
          <w:szCs w:val="22"/>
        </w:rPr>
        <w:t xml:space="preserve"> alebo </w:t>
      </w:r>
      <w:proofErr w:type="spellStart"/>
      <w:r w:rsidRPr="00823BDC">
        <w:rPr>
          <w:szCs w:val="22"/>
        </w:rPr>
        <w:t>danazolu</w:t>
      </w:r>
      <w:proofErr w:type="spellEnd"/>
      <w:r w:rsidRPr="00823BDC">
        <w:rPr>
          <w:szCs w:val="22"/>
        </w:rPr>
        <w:t xml:space="preserve"> (pozri časti</w:t>
      </w:r>
      <w:r w:rsidR="00C517B5" w:rsidRPr="00823BDC">
        <w:rPr>
          <w:szCs w:val="22"/>
        </w:rPr>
        <w:t xml:space="preserve"> </w:t>
      </w:r>
      <w:r w:rsidRPr="00823BDC">
        <w:rPr>
          <w:szCs w:val="22"/>
        </w:rPr>
        <w:t>4.4 a 4.5).</w:t>
      </w:r>
    </w:p>
    <w:p w14:paraId="396A8C23" w14:textId="77777777" w:rsidR="00B02E24" w:rsidRPr="00823BDC" w:rsidRDefault="00B02E24">
      <w:pPr>
        <w:adjustRightInd w:val="0"/>
        <w:snapToGrid w:val="0"/>
        <w:ind w:left="567" w:hanging="720"/>
        <w:rPr>
          <w:szCs w:val="22"/>
        </w:rPr>
      </w:pPr>
    </w:p>
    <w:p w14:paraId="478EE4F8" w14:textId="77777777" w:rsidR="00D044EB" w:rsidRPr="00823BDC" w:rsidRDefault="00B02E24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Súbežné podávanie </w:t>
      </w:r>
      <w:proofErr w:type="spellStart"/>
      <w:r w:rsidRPr="00823BDC">
        <w:rPr>
          <w:szCs w:val="22"/>
        </w:rPr>
        <w:t>lomitapidu</w:t>
      </w:r>
      <w:proofErr w:type="spellEnd"/>
      <w:r w:rsidRPr="00823BDC">
        <w:rPr>
          <w:szCs w:val="22"/>
        </w:rPr>
        <w:t xml:space="preserve"> s</w:t>
      </w:r>
      <w:r w:rsidR="00F172EB" w:rsidRPr="00823BDC">
        <w:rPr>
          <w:szCs w:val="22"/>
        </w:rPr>
        <w:t> </w:t>
      </w:r>
      <w:proofErr w:type="spellStart"/>
      <w:r w:rsidR="00F172EB" w:rsidRPr="00823BDC">
        <w:rPr>
          <w:szCs w:val="22"/>
        </w:rPr>
        <w:t>Cornusanom</w:t>
      </w:r>
      <w:proofErr w:type="spellEnd"/>
      <w:r w:rsidR="00F172EB" w:rsidRPr="00823BDC">
        <w:rPr>
          <w:szCs w:val="22"/>
        </w:rPr>
        <w:t xml:space="preserve"> v </w:t>
      </w:r>
      <w:r w:rsidRPr="00823BDC">
        <w:rPr>
          <w:szCs w:val="22"/>
        </w:rPr>
        <w:t>dávk</w:t>
      </w:r>
      <w:r w:rsidR="00F172EB" w:rsidRPr="00823BDC">
        <w:rPr>
          <w:szCs w:val="22"/>
        </w:rPr>
        <w:t>e</w:t>
      </w:r>
      <w:r w:rsidRPr="00823BDC">
        <w:rPr>
          <w:szCs w:val="22"/>
        </w:rPr>
        <w:t xml:space="preserve"> </w:t>
      </w:r>
      <w:r w:rsidR="00E320B7" w:rsidRPr="00823BDC">
        <w:rPr>
          <w:szCs w:val="22"/>
        </w:rPr>
        <w:t>vyššej ako</w:t>
      </w:r>
      <w:r w:rsidR="00355EBB" w:rsidRPr="00823BDC">
        <w:rPr>
          <w:szCs w:val="22"/>
        </w:rPr>
        <w:t> </w:t>
      </w:r>
      <w:r w:rsidRPr="00823BDC">
        <w:rPr>
          <w:szCs w:val="22"/>
        </w:rPr>
        <w:t>10</w:t>
      </w:r>
      <w:r w:rsidR="00E320B7" w:rsidRPr="00823BDC">
        <w:rPr>
          <w:szCs w:val="22"/>
        </w:rPr>
        <w:t xml:space="preserve"> mg</w:t>
      </w:r>
      <w:r w:rsidRPr="00823BDC">
        <w:rPr>
          <w:szCs w:val="22"/>
        </w:rPr>
        <w:t>/40 mg u pacientov s </w:t>
      </w:r>
      <w:proofErr w:type="spellStart"/>
      <w:r w:rsidRPr="00823BDC">
        <w:rPr>
          <w:szCs w:val="22"/>
        </w:rPr>
        <w:t>HoFH</w:t>
      </w:r>
      <w:proofErr w:type="spellEnd"/>
      <w:r w:rsidRPr="00823BDC">
        <w:rPr>
          <w:szCs w:val="22"/>
        </w:rPr>
        <w:t xml:space="preserve"> (pozri časti 4.2, 4.4 a 4.5).</w:t>
      </w:r>
    </w:p>
    <w:p w14:paraId="4FF2D828" w14:textId="77777777" w:rsidR="00B02E24" w:rsidRPr="00823BDC" w:rsidRDefault="00B02E24">
      <w:pPr>
        <w:adjustRightInd w:val="0"/>
        <w:snapToGrid w:val="0"/>
        <w:rPr>
          <w:szCs w:val="22"/>
        </w:rPr>
      </w:pPr>
    </w:p>
    <w:p w14:paraId="325B5D1C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lastRenderedPageBreak/>
        <w:t>4.4</w:t>
      </w:r>
      <w:r w:rsidRPr="00823BDC">
        <w:rPr>
          <w:b/>
          <w:szCs w:val="22"/>
        </w:rPr>
        <w:tab/>
        <w:t>Osobitné upozornenia a opatrenia pri používaní</w:t>
      </w:r>
    </w:p>
    <w:p w14:paraId="760FC832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56801BE0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szCs w:val="22"/>
          <w:u w:val="single"/>
        </w:rPr>
        <w:t>Myopatia</w:t>
      </w:r>
      <w:proofErr w:type="spellEnd"/>
      <w:r w:rsidRPr="00823BDC">
        <w:rPr>
          <w:szCs w:val="22"/>
          <w:u w:val="single"/>
        </w:rPr>
        <w:t>/</w:t>
      </w:r>
      <w:proofErr w:type="spellStart"/>
      <w:r w:rsidRPr="00823BDC">
        <w:rPr>
          <w:szCs w:val="22"/>
          <w:u w:val="single"/>
        </w:rPr>
        <w:t>rabdomyolýza</w:t>
      </w:r>
      <w:proofErr w:type="spellEnd"/>
    </w:p>
    <w:p w14:paraId="0BBA4801" w14:textId="1AD8C451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P</w:t>
      </w:r>
      <w:r w:rsidR="00A04E02" w:rsidRPr="00823BDC">
        <w:rPr>
          <w:szCs w:val="22"/>
        </w:rPr>
        <w:t>ri skúsenostiach s </w:t>
      </w:r>
      <w:proofErr w:type="spellStart"/>
      <w:r w:rsidR="00A04E02" w:rsidRPr="00823BDC">
        <w:rPr>
          <w:szCs w:val="22"/>
        </w:rPr>
        <w:t>ezetimibom</w:t>
      </w:r>
      <w:proofErr w:type="spellEnd"/>
      <w:r w:rsidR="00A04E02" w:rsidRPr="00823BDC">
        <w:rPr>
          <w:szCs w:val="22"/>
        </w:rPr>
        <w:t xml:space="preserve"> po jeho </w:t>
      </w:r>
      <w:r w:rsidRPr="00823BDC">
        <w:rPr>
          <w:szCs w:val="22"/>
        </w:rPr>
        <w:t xml:space="preserve">uvedení </w:t>
      </w:r>
      <w:r w:rsidR="00A04E02" w:rsidRPr="00823BDC">
        <w:rPr>
          <w:szCs w:val="22"/>
        </w:rPr>
        <w:t>na trh</w:t>
      </w:r>
      <w:r w:rsidRPr="00823BDC">
        <w:rPr>
          <w:szCs w:val="22"/>
        </w:rPr>
        <w:t xml:space="preserve"> boli hlásené prípady </w:t>
      </w:r>
      <w:proofErr w:type="spellStart"/>
      <w:r w:rsidRPr="00823BDC">
        <w:rPr>
          <w:szCs w:val="22"/>
        </w:rPr>
        <w:t>myopatie</w:t>
      </w:r>
      <w:proofErr w:type="spellEnd"/>
      <w:r w:rsidR="007127BA" w:rsidRPr="00823BDC">
        <w:rPr>
          <w:szCs w:val="22"/>
        </w:rPr>
        <w:t xml:space="preserve"> </w:t>
      </w:r>
      <w:r w:rsidRPr="00823BDC">
        <w:rPr>
          <w:szCs w:val="22"/>
        </w:rPr>
        <w:t>a </w:t>
      </w:r>
      <w:proofErr w:type="spellStart"/>
      <w:r w:rsidRPr="00823BDC">
        <w:rPr>
          <w:szCs w:val="22"/>
        </w:rPr>
        <w:t>rabdomyolýzy</w:t>
      </w:r>
      <w:proofErr w:type="spellEnd"/>
      <w:r w:rsidRPr="00823BDC">
        <w:rPr>
          <w:szCs w:val="22"/>
        </w:rPr>
        <w:t xml:space="preserve">. Väčšina pacientov, u ktorých vznikla </w:t>
      </w:r>
      <w:proofErr w:type="spellStart"/>
      <w:r w:rsidRPr="00823BDC">
        <w:rPr>
          <w:szCs w:val="22"/>
        </w:rPr>
        <w:t>rabdomyolýza</w:t>
      </w:r>
      <w:proofErr w:type="spellEnd"/>
      <w:r w:rsidRPr="00823BDC">
        <w:rPr>
          <w:szCs w:val="22"/>
        </w:rPr>
        <w:t>, užívala súbežne s </w:t>
      </w:r>
      <w:proofErr w:type="spellStart"/>
      <w:r w:rsidRPr="00823BDC">
        <w:rPr>
          <w:szCs w:val="22"/>
        </w:rPr>
        <w:t>ezetimibom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statín</w:t>
      </w:r>
      <w:proofErr w:type="spellEnd"/>
      <w:r w:rsidRPr="00823BDC">
        <w:rPr>
          <w:szCs w:val="22"/>
        </w:rPr>
        <w:t xml:space="preserve">. </w:t>
      </w:r>
      <w:r w:rsidR="0065392B" w:rsidRPr="00823BDC">
        <w:rPr>
          <w:szCs w:val="22"/>
        </w:rPr>
        <w:t xml:space="preserve">Avšak, </w:t>
      </w:r>
      <w:proofErr w:type="spellStart"/>
      <w:r w:rsidR="0065392B" w:rsidRPr="00823BDC">
        <w:rPr>
          <w:szCs w:val="22"/>
        </w:rPr>
        <w:t>r</w:t>
      </w:r>
      <w:r w:rsidRPr="00823BDC">
        <w:rPr>
          <w:szCs w:val="22"/>
        </w:rPr>
        <w:t>abdomyolýza</w:t>
      </w:r>
      <w:proofErr w:type="spellEnd"/>
      <w:r w:rsidRPr="00823BDC">
        <w:rPr>
          <w:szCs w:val="22"/>
        </w:rPr>
        <w:t xml:space="preserve"> bola hlásená veľmi zriedkavo pri </w:t>
      </w:r>
      <w:proofErr w:type="spellStart"/>
      <w:r w:rsidRPr="00823BDC">
        <w:rPr>
          <w:szCs w:val="22"/>
        </w:rPr>
        <w:t>monoterapii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ezetimibom</w:t>
      </w:r>
      <w:proofErr w:type="spellEnd"/>
      <w:r w:rsidRPr="00823BDC">
        <w:rPr>
          <w:szCs w:val="22"/>
        </w:rPr>
        <w:t xml:space="preserve"> a veľmi zriedkavo pri pridaní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k iným l</w:t>
      </w:r>
      <w:r w:rsidR="00A04E02" w:rsidRPr="00823BDC">
        <w:rPr>
          <w:szCs w:val="22"/>
        </w:rPr>
        <w:t>iečivám</w:t>
      </w:r>
      <w:r w:rsidRPr="00823BDC">
        <w:rPr>
          <w:szCs w:val="22"/>
        </w:rPr>
        <w:t>, o ktorých je známe, že sú spojené so</w:t>
      </w:r>
      <w:r w:rsidR="00AD0060" w:rsidRPr="00823BDC">
        <w:rPr>
          <w:szCs w:val="22"/>
        </w:rPr>
        <w:t xml:space="preserve"> </w:t>
      </w:r>
      <w:r w:rsidRPr="00823BDC">
        <w:rPr>
          <w:szCs w:val="22"/>
        </w:rPr>
        <w:t xml:space="preserve">zvýšeným rizikom </w:t>
      </w:r>
      <w:proofErr w:type="spellStart"/>
      <w:r w:rsidRPr="00823BDC">
        <w:rPr>
          <w:szCs w:val="22"/>
        </w:rPr>
        <w:t>rabdomyolýzy</w:t>
      </w:r>
      <w:proofErr w:type="spellEnd"/>
      <w:r w:rsidRPr="00823BDC">
        <w:rPr>
          <w:szCs w:val="22"/>
        </w:rPr>
        <w:t>.</w:t>
      </w:r>
    </w:p>
    <w:p w14:paraId="046909DC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CABF8F0" w14:textId="29ADFF3D" w:rsidR="00D044EB" w:rsidRPr="00823BDC" w:rsidRDefault="0065392B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="00D044EB" w:rsidRPr="00823BDC">
        <w:rPr>
          <w:szCs w:val="22"/>
        </w:rPr>
        <w:t xml:space="preserve"> obsahuje </w:t>
      </w:r>
      <w:proofErr w:type="spellStart"/>
      <w:r w:rsidR="00D044EB" w:rsidRPr="00823BDC">
        <w:rPr>
          <w:szCs w:val="22"/>
        </w:rPr>
        <w:t>simvastatín</w:t>
      </w:r>
      <w:proofErr w:type="spellEnd"/>
      <w:r w:rsidR="00D044EB" w:rsidRPr="00823BDC">
        <w:rPr>
          <w:szCs w:val="22"/>
        </w:rPr>
        <w:t xml:space="preserve">. </w:t>
      </w:r>
      <w:proofErr w:type="spellStart"/>
      <w:r w:rsidR="00D044EB" w:rsidRPr="00823BDC">
        <w:rPr>
          <w:szCs w:val="22"/>
        </w:rPr>
        <w:t>Simvastatín</w:t>
      </w:r>
      <w:proofErr w:type="spellEnd"/>
      <w:r w:rsidR="00D044EB" w:rsidRPr="00823BDC">
        <w:rPr>
          <w:szCs w:val="22"/>
        </w:rPr>
        <w:t>, tak ako iné inhibítory HMG</w:t>
      </w:r>
      <w:r w:rsidR="00D90A88" w:rsidRPr="00823BDC">
        <w:rPr>
          <w:szCs w:val="22"/>
        </w:rPr>
        <w:t>-</w:t>
      </w:r>
      <w:proofErr w:type="spellStart"/>
      <w:r w:rsidR="00107829" w:rsidRPr="00CD10F1">
        <w:rPr>
          <w:szCs w:val="22"/>
        </w:rPr>
        <w:t>CoA</w:t>
      </w:r>
      <w:proofErr w:type="spellEnd"/>
      <w:r w:rsidR="00107829" w:rsidRPr="00CD10F1">
        <w:rPr>
          <w:szCs w:val="22"/>
        </w:rPr>
        <w:t>-</w:t>
      </w:r>
      <w:proofErr w:type="spellStart"/>
      <w:r w:rsidR="00D044EB" w:rsidRPr="00CD10F1">
        <w:rPr>
          <w:szCs w:val="22"/>
        </w:rPr>
        <w:t>reduktázy</w:t>
      </w:r>
      <w:proofErr w:type="spellEnd"/>
      <w:r w:rsidR="00D044EB" w:rsidRPr="00CD10F1">
        <w:rPr>
          <w:szCs w:val="22"/>
        </w:rPr>
        <w:t xml:space="preserve">, spôsobuje niekedy </w:t>
      </w:r>
      <w:proofErr w:type="spellStart"/>
      <w:r w:rsidR="00D044EB" w:rsidRPr="00CD10F1">
        <w:rPr>
          <w:szCs w:val="22"/>
        </w:rPr>
        <w:t>myopatiu</w:t>
      </w:r>
      <w:proofErr w:type="spellEnd"/>
      <w:r w:rsidR="00D044EB" w:rsidRPr="00CD10F1">
        <w:rPr>
          <w:szCs w:val="22"/>
        </w:rPr>
        <w:t xml:space="preserve"> prejavujúcu sa svalovou bolesťou, citli</w:t>
      </w:r>
      <w:r w:rsidR="00D044EB" w:rsidRPr="00823BDC">
        <w:rPr>
          <w:szCs w:val="22"/>
        </w:rPr>
        <w:t>vosťou alebo slabosťou so</w:t>
      </w:r>
      <w:r w:rsidR="00AD0060" w:rsidRPr="00823BDC">
        <w:rPr>
          <w:szCs w:val="22"/>
        </w:rPr>
        <w:t xml:space="preserve"> </w:t>
      </w:r>
      <w:r w:rsidR="00D044EB" w:rsidRPr="00823BDC">
        <w:rPr>
          <w:szCs w:val="22"/>
        </w:rPr>
        <w:t xml:space="preserve">zvýšením </w:t>
      </w:r>
      <w:r w:rsidR="00A04E02" w:rsidRPr="00823BDC">
        <w:rPr>
          <w:szCs w:val="22"/>
        </w:rPr>
        <w:t xml:space="preserve">hladiny </w:t>
      </w:r>
      <w:proofErr w:type="spellStart"/>
      <w:r w:rsidR="00D044EB" w:rsidRPr="00823BDC">
        <w:rPr>
          <w:szCs w:val="22"/>
        </w:rPr>
        <w:t>kreatínkinázy</w:t>
      </w:r>
      <w:proofErr w:type="spellEnd"/>
      <w:r w:rsidR="00D044EB" w:rsidRPr="00823BDC">
        <w:rPr>
          <w:szCs w:val="22"/>
        </w:rPr>
        <w:t xml:space="preserve"> (CK) na viac ako 10</w:t>
      </w:r>
      <w:r w:rsidR="00D044EB" w:rsidRPr="00823BDC">
        <w:rPr>
          <w:szCs w:val="22"/>
        </w:rPr>
        <w:noBreakHyphen/>
        <w:t xml:space="preserve">násobok hornej hranice normy (HHN). </w:t>
      </w:r>
      <w:proofErr w:type="spellStart"/>
      <w:r w:rsidR="00D044EB" w:rsidRPr="00823BDC">
        <w:rPr>
          <w:szCs w:val="22"/>
        </w:rPr>
        <w:t>Myopatia</w:t>
      </w:r>
      <w:proofErr w:type="spellEnd"/>
      <w:r w:rsidR="00D044EB" w:rsidRPr="00823BDC">
        <w:rPr>
          <w:szCs w:val="22"/>
        </w:rPr>
        <w:t xml:space="preserve"> môže mať niekedy formu </w:t>
      </w:r>
      <w:proofErr w:type="spellStart"/>
      <w:r w:rsidR="00D044EB" w:rsidRPr="00823BDC">
        <w:rPr>
          <w:szCs w:val="22"/>
        </w:rPr>
        <w:t>rabdomyolýzy</w:t>
      </w:r>
      <w:proofErr w:type="spellEnd"/>
      <w:r w:rsidR="00D044EB" w:rsidRPr="00823BDC">
        <w:rPr>
          <w:szCs w:val="22"/>
        </w:rPr>
        <w:t xml:space="preserve"> so</w:t>
      </w:r>
      <w:r w:rsidR="00C517B5" w:rsidRPr="00823BDC">
        <w:rPr>
          <w:szCs w:val="22"/>
        </w:rPr>
        <w:t xml:space="preserve"> </w:t>
      </w:r>
      <w:r w:rsidR="00D044EB" w:rsidRPr="00823BDC">
        <w:rPr>
          <w:szCs w:val="22"/>
        </w:rPr>
        <w:t xml:space="preserve">sekundárnym akútnym </w:t>
      </w:r>
      <w:proofErr w:type="spellStart"/>
      <w:r w:rsidR="00D044EB" w:rsidRPr="00823BDC">
        <w:rPr>
          <w:szCs w:val="22"/>
        </w:rPr>
        <w:t>renálnym</w:t>
      </w:r>
      <w:proofErr w:type="spellEnd"/>
      <w:r w:rsidR="00D044EB" w:rsidRPr="00823BDC">
        <w:rPr>
          <w:szCs w:val="22"/>
        </w:rPr>
        <w:t xml:space="preserve"> zlyhaním v dôsledku </w:t>
      </w:r>
      <w:proofErr w:type="spellStart"/>
      <w:r w:rsidR="00D044EB" w:rsidRPr="00823BDC">
        <w:rPr>
          <w:szCs w:val="22"/>
        </w:rPr>
        <w:t>myoglobinúrie</w:t>
      </w:r>
      <w:proofErr w:type="spellEnd"/>
      <w:r w:rsidR="00D044EB" w:rsidRPr="00823BDC">
        <w:rPr>
          <w:szCs w:val="22"/>
        </w:rPr>
        <w:t xml:space="preserve"> alebo bez neho, a veľmi zriedkavo sa vyskytli úmrtia. Riziko </w:t>
      </w:r>
      <w:proofErr w:type="spellStart"/>
      <w:r w:rsidR="00D044EB" w:rsidRPr="00823BDC">
        <w:rPr>
          <w:szCs w:val="22"/>
        </w:rPr>
        <w:t>myopatie</w:t>
      </w:r>
      <w:proofErr w:type="spellEnd"/>
      <w:r w:rsidR="00D044EB" w:rsidRPr="00823BDC">
        <w:rPr>
          <w:szCs w:val="22"/>
        </w:rPr>
        <w:t xml:space="preserve"> </w:t>
      </w:r>
      <w:r w:rsidR="00C44212" w:rsidRPr="00823BDC">
        <w:rPr>
          <w:szCs w:val="22"/>
        </w:rPr>
        <w:t>sa</w:t>
      </w:r>
      <w:r w:rsidR="00D044EB" w:rsidRPr="00823BDC">
        <w:rPr>
          <w:szCs w:val="22"/>
        </w:rPr>
        <w:t xml:space="preserve"> zv</w:t>
      </w:r>
      <w:r w:rsidR="00C44212" w:rsidRPr="00823BDC">
        <w:rPr>
          <w:szCs w:val="22"/>
        </w:rPr>
        <w:t>y</w:t>
      </w:r>
      <w:r w:rsidR="00D044EB" w:rsidRPr="00823BDC">
        <w:rPr>
          <w:szCs w:val="22"/>
        </w:rPr>
        <w:t>š</w:t>
      </w:r>
      <w:r w:rsidR="00C44212" w:rsidRPr="00823BDC">
        <w:rPr>
          <w:szCs w:val="22"/>
        </w:rPr>
        <w:t>uje</w:t>
      </w:r>
      <w:r w:rsidR="00D044EB" w:rsidRPr="00823BDC">
        <w:rPr>
          <w:szCs w:val="22"/>
        </w:rPr>
        <w:t xml:space="preserve"> </w:t>
      </w:r>
      <w:r w:rsidR="00C44212" w:rsidRPr="00823BDC">
        <w:rPr>
          <w:szCs w:val="22"/>
        </w:rPr>
        <w:t>s</w:t>
      </w:r>
      <w:r w:rsidR="00D044EB" w:rsidRPr="00823BDC">
        <w:rPr>
          <w:szCs w:val="22"/>
        </w:rPr>
        <w:t xml:space="preserve"> vysoký</w:t>
      </w:r>
      <w:r w:rsidR="00C44212" w:rsidRPr="00823BDC">
        <w:rPr>
          <w:szCs w:val="22"/>
        </w:rPr>
        <w:t>m stupňom aktivity inhibítorov</w:t>
      </w:r>
      <w:r w:rsidR="00813856">
        <w:rPr>
          <w:szCs w:val="22"/>
        </w:rPr>
        <w:t xml:space="preserve"> </w:t>
      </w:r>
      <w:r w:rsidR="00B726B5">
        <w:rPr>
          <w:szCs w:val="22"/>
        </w:rPr>
        <w:t>HMG-</w:t>
      </w:r>
      <w:proofErr w:type="spellStart"/>
      <w:r w:rsidR="00B726B5">
        <w:rPr>
          <w:szCs w:val="22"/>
        </w:rPr>
        <w:t>CoA</w:t>
      </w:r>
      <w:proofErr w:type="spellEnd"/>
      <w:r w:rsidR="00C44212" w:rsidRPr="00823BDC">
        <w:rPr>
          <w:szCs w:val="22"/>
        </w:rPr>
        <w:t>-</w:t>
      </w:r>
      <w:proofErr w:type="spellStart"/>
      <w:r w:rsidR="00D044EB" w:rsidRPr="00823BDC">
        <w:rPr>
          <w:szCs w:val="22"/>
        </w:rPr>
        <w:t>reduktáz</w:t>
      </w:r>
      <w:r w:rsidR="00C44212" w:rsidRPr="00823BDC">
        <w:rPr>
          <w:szCs w:val="22"/>
        </w:rPr>
        <w:t>y</w:t>
      </w:r>
      <w:proofErr w:type="spellEnd"/>
      <w:r w:rsidR="00D044EB" w:rsidRPr="00823BDC">
        <w:rPr>
          <w:szCs w:val="22"/>
        </w:rPr>
        <w:t xml:space="preserve"> v</w:t>
      </w:r>
      <w:r w:rsidR="00355EBB" w:rsidRPr="00823BDC">
        <w:rPr>
          <w:szCs w:val="22"/>
        </w:rPr>
        <w:t> </w:t>
      </w:r>
      <w:r w:rsidR="00D044EB" w:rsidRPr="00823BDC">
        <w:rPr>
          <w:szCs w:val="22"/>
        </w:rPr>
        <w:t>plazme</w:t>
      </w:r>
      <w:r w:rsidR="00355EBB" w:rsidRPr="00823BDC">
        <w:rPr>
          <w:szCs w:val="22"/>
        </w:rPr>
        <w:t xml:space="preserve"> (</w:t>
      </w:r>
      <w:proofErr w:type="spellStart"/>
      <w:r w:rsidR="00355EBB" w:rsidRPr="00823BDC">
        <w:rPr>
          <w:szCs w:val="22"/>
        </w:rPr>
        <w:t>t.j</w:t>
      </w:r>
      <w:proofErr w:type="spellEnd"/>
      <w:r w:rsidR="00355EBB" w:rsidRPr="00823BDC">
        <w:rPr>
          <w:szCs w:val="22"/>
        </w:rPr>
        <w:t xml:space="preserve">. zvýšené hladiny </w:t>
      </w:r>
      <w:proofErr w:type="spellStart"/>
      <w:r w:rsidR="00355EBB" w:rsidRPr="00823BDC">
        <w:rPr>
          <w:szCs w:val="22"/>
        </w:rPr>
        <w:t>simvastatínu</w:t>
      </w:r>
      <w:proofErr w:type="spellEnd"/>
      <w:r w:rsidR="00355EBB" w:rsidRPr="00823BDC">
        <w:rPr>
          <w:szCs w:val="22"/>
        </w:rPr>
        <w:t xml:space="preserve"> a kyseliny </w:t>
      </w:r>
      <w:proofErr w:type="spellStart"/>
      <w:r w:rsidR="00355EBB" w:rsidRPr="00823BDC">
        <w:rPr>
          <w:szCs w:val="22"/>
        </w:rPr>
        <w:t>simvastatínovej</w:t>
      </w:r>
      <w:proofErr w:type="spellEnd"/>
      <w:r w:rsidR="00355EBB" w:rsidRPr="00823BDC">
        <w:rPr>
          <w:szCs w:val="22"/>
        </w:rPr>
        <w:t xml:space="preserve"> v plazme), ktoré môžu byť čiastočne spôsobené interakciou liekov, ktoré zasahujú do metabolizmu </w:t>
      </w:r>
      <w:proofErr w:type="spellStart"/>
      <w:r w:rsidR="00260E5E" w:rsidRPr="00823BDC">
        <w:rPr>
          <w:szCs w:val="22"/>
        </w:rPr>
        <w:t>simvastatínu</w:t>
      </w:r>
      <w:proofErr w:type="spellEnd"/>
      <w:r w:rsidR="00260E5E" w:rsidRPr="00823BDC">
        <w:rPr>
          <w:szCs w:val="22"/>
        </w:rPr>
        <w:t xml:space="preserve"> </w:t>
      </w:r>
      <w:r w:rsidR="00355EBB" w:rsidRPr="00823BDC">
        <w:rPr>
          <w:szCs w:val="22"/>
        </w:rPr>
        <w:t xml:space="preserve">a/alebo transportných </w:t>
      </w:r>
      <w:r w:rsidR="00260E5E" w:rsidRPr="00823BDC">
        <w:rPr>
          <w:szCs w:val="22"/>
        </w:rPr>
        <w:t>dráh</w:t>
      </w:r>
      <w:r w:rsidR="00355EBB" w:rsidRPr="00823BDC">
        <w:rPr>
          <w:szCs w:val="22"/>
        </w:rPr>
        <w:t xml:space="preserve"> (pozri časť 4.5)</w:t>
      </w:r>
      <w:r w:rsidR="00D044EB" w:rsidRPr="00823BDC">
        <w:rPr>
          <w:szCs w:val="22"/>
        </w:rPr>
        <w:t>.</w:t>
      </w:r>
    </w:p>
    <w:p w14:paraId="7C79FBFB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6EC4C27E" w14:textId="4D54FA8E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Tak ako </w:t>
      </w:r>
      <w:r w:rsidR="0088609C" w:rsidRPr="00823BDC">
        <w:rPr>
          <w:szCs w:val="22"/>
        </w:rPr>
        <w:t xml:space="preserve">pri </w:t>
      </w:r>
      <w:r w:rsidRPr="00823BDC">
        <w:rPr>
          <w:szCs w:val="22"/>
        </w:rPr>
        <w:t>ostatných inhibítoro</w:t>
      </w:r>
      <w:r w:rsidR="0088609C" w:rsidRPr="00823BDC">
        <w:rPr>
          <w:szCs w:val="22"/>
        </w:rPr>
        <w:t>ch</w:t>
      </w:r>
      <w:r w:rsidRPr="00823BDC">
        <w:rPr>
          <w:szCs w:val="22"/>
        </w:rPr>
        <w:t xml:space="preserve"> </w:t>
      </w:r>
      <w:r w:rsidR="00B726B5">
        <w:rPr>
          <w:szCs w:val="22"/>
        </w:rPr>
        <w:t>HMG-</w:t>
      </w:r>
      <w:proofErr w:type="spellStart"/>
      <w:r w:rsidR="00B726B5">
        <w:rPr>
          <w:szCs w:val="22"/>
        </w:rPr>
        <w:t>CoA</w:t>
      </w:r>
      <w:proofErr w:type="spellEnd"/>
      <w:r w:rsidR="00722881" w:rsidRPr="00823BDC">
        <w:rPr>
          <w:szCs w:val="22"/>
        </w:rPr>
        <w:t>-</w:t>
      </w:r>
      <w:proofErr w:type="spellStart"/>
      <w:r w:rsidRPr="00823BDC">
        <w:rPr>
          <w:szCs w:val="22"/>
        </w:rPr>
        <w:t>reduktázy</w:t>
      </w:r>
      <w:proofErr w:type="spellEnd"/>
      <w:r w:rsidRPr="00823BDC">
        <w:rPr>
          <w:szCs w:val="22"/>
        </w:rPr>
        <w:t xml:space="preserve">, riziko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>/</w:t>
      </w:r>
      <w:proofErr w:type="spellStart"/>
      <w:r w:rsidRPr="00823BDC">
        <w:rPr>
          <w:szCs w:val="22"/>
        </w:rPr>
        <w:t>rabdomyolýzy</w:t>
      </w:r>
      <w:proofErr w:type="spellEnd"/>
      <w:r w:rsidRPr="00823BDC">
        <w:rPr>
          <w:szCs w:val="22"/>
        </w:rPr>
        <w:t xml:space="preserve"> závisí od dávky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. </w:t>
      </w:r>
      <w:r w:rsidRPr="00823BDC">
        <w:rPr>
          <w:color w:val="000000"/>
          <w:szCs w:val="22"/>
        </w:rPr>
        <w:t xml:space="preserve">Z databázy </w:t>
      </w:r>
      <w:r w:rsidR="00362CDA" w:rsidRPr="00823BDC">
        <w:rPr>
          <w:color w:val="000000"/>
          <w:szCs w:val="22"/>
        </w:rPr>
        <w:t xml:space="preserve">klinického </w:t>
      </w:r>
      <w:r w:rsidRPr="00823BDC">
        <w:rPr>
          <w:color w:val="000000"/>
          <w:szCs w:val="22"/>
        </w:rPr>
        <w:t>skúš</w:t>
      </w:r>
      <w:r w:rsidR="000A10C6" w:rsidRPr="00823BDC">
        <w:rPr>
          <w:color w:val="000000"/>
          <w:szCs w:val="22"/>
        </w:rPr>
        <w:t>an</w:t>
      </w:r>
      <w:r w:rsidR="00362CDA" w:rsidRPr="00823BDC">
        <w:rPr>
          <w:color w:val="000000"/>
          <w:szCs w:val="22"/>
        </w:rPr>
        <w:t>ia</w:t>
      </w:r>
      <w:r w:rsidRPr="00823BDC">
        <w:rPr>
          <w:color w:val="000000"/>
          <w:szCs w:val="22"/>
        </w:rPr>
        <w:t xml:space="preserve">, </w:t>
      </w:r>
      <w:r w:rsidR="00107829" w:rsidRPr="00823BDC">
        <w:rPr>
          <w:color w:val="000000"/>
          <w:szCs w:val="22"/>
        </w:rPr>
        <w:t>v ktorom</w:t>
      </w:r>
      <w:r w:rsidRPr="00823BDC">
        <w:rPr>
          <w:color w:val="000000"/>
          <w:szCs w:val="22"/>
        </w:rPr>
        <w:t xml:space="preserve"> bolo </w:t>
      </w:r>
      <w:proofErr w:type="spellStart"/>
      <w:r w:rsidRPr="00823BDC">
        <w:rPr>
          <w:color w:val="000000"/>
          <w:szCs w:val="22"/>
        </w:rPr>
        <w:t>simvastatínom</w:t>
      </w:r>
      <w:proofErr w:type="spellEnd"/>
      <w:r w:rsidRPr="00823BDC">
        <w:rPr>
          <w:color w:val="000000"/>
          <w:szCs w:val="22"/>
        </w:rPr>
        <w:t xml:space="preserve"> liečených 41 </w:t>
      </w:r>
      <w:r w:rsidR="0005768A" w:rsidRPr="00823BDC">
        <w:rPr>
          <w:color w:val="000000"/>
          <w:szCs w:val="22"/>
        </w:rPr>
        <w:t>413</w:t>
      </w:r>
      <w:r w:rsidRPr="00823BDC">
        <w:rPr>
          <w:color w:val="000000"/>
          <w:szCs w:val="22"/>
        </w:rPr>
        <w:t xml:space="preserve"> pacientov a z toho 24 747 pacientov (približne 60 %) bolo </w:t>
      </w:r>
      <w:r w:rsidR="0005768A" w:rsidRPr="00823BDC">
        <w:rPr>
          <w:color w:val="000000"/>
          <w:szCs w:val="22"/>
        </w:rPr>
        <w:t>zaradených do štúdií s mediánom sledovania počas</w:t>
      </w:r>
      <w:r w:rsidRPr="00823BDC">
        <w:rPr>
          <w:color w:val="000000"/>
          <w:szCs w:val="22"/>
        </w:rPr>
        <w:t xml:space="preserve"> minimálne 4 rokov, vyplýva, že </w:t>
      </w:r>
      <w:proofErr w:type="spellStart"/>
      <w:r w:rsidRPr="00823BDC">
        <w:rPr>
          <w:color w:val="000000"/>
          <w:szCs w:val="22"/>
        </w:rPr>
        <w:t>incidencia</w:t>
      </w:r>
      <w:proofErr w:type="spellEnd"/>
      <w:r w:rsidRPr="00823BDC">
        <w:rPr>
          <w:color w:val="000000"/>
          <w:szCs w:val="22"/>
        </w:rPr>
        <w:t xml:space="preserve"> </w:t>
      </w:r>
      <w:proofErr w:type="spellStart"/>
      <w:r w:rsidRPr="00823BDC">
        <w:rPr>
          <w:color w:val="000000"/>
          <w:szCs w:val="22"/>
        </w:rPr>
        <w:t>myopatie</w:t>
      </w:r>
      <w:proofErr w:type="spellEnd"/>
      <w:r w:rsidRPr="00823BDC">
        <w:rPr>
          <w:color w:val="000000"/>
          <w:szCs w:val="22"/>
        </w:rPr>
        <w:t xml:space="preserve"> bola približne 0,</w:t>
      </w:r>
      <w:r w:rsidR="0005768A" w:rsidRPr="00823BDC">
        <w:rPr>
          <w:color w:val="000000"/>
          <w:szCs w:val="22"/>
        </w:rPr>
        <w:t>03</w:t>
      </w:r>
      <w:r w:rsidRPr="00823BDC">
        <w:rPr>
          <w:color w:val="000000"/>
          <w:szCs w:val="22"/>
        </w:rPr>
        <w:t> % pri dávke 20 mg</w:t>
      </w:r>
      <w:r w:rsidR="008F62AA" w:rsidRPr="00823BDC">
        <w:rPr>
          <w:color w:val="000000"/>
          <w:szCs w:val="22"/>
        </w:rPr>
        <w:t>/deň</w:t>
      </w:r>
      <w:r w:rsidRPr="00823BDC">
        <w:rPr>
          <w:color w:val="000000"/>
          <w:szCs w:val="22"/>
        </w:rPr>
        <w:t xml:space="preserve">, 0,08 % pri dávke </w:t>
      </w:r>
      <w:r w:rsidRPr="00823BDC">
        <w:rPr>
          <w:szCs w:val="22"/>
        </w:rPr>
        <w:t>40 mg</w:t>
      </w:r>
      <w:r w:rsidR="008F62AA" w:rsidRPr="00823BDC">
        <w:rPr>
          <w:szCs w:val="22"/>
        </w:rPr>
        <w:t>/deň</w:t>
      </w:r>
      <w:r w:rsidRPr="00823BDC">
        <w:rPr>
          <w:szCs w:val="22"/>
        </w:rPr>
        <w:t xml:space="preserve"> a</w:t>
      </w:r>
      <w:r w:rsidRPr="00823BDC">
        <w:rPr>
          <w:color w:val="000000"/>
          <w:szCs w:val="22"/>
        </w:rPr>
        <w:t> 0,</w:t>
      </w:r>
      <w:r w:rsidR="0005768A" w:rsidRPr="00823BDC">
        <w:rPr>
          <w:color w:val="000000"/>
          <w:szCs w:val="22"/>
        </w:rPr>
        <w:t>61</w:t>
      </w:r>
      <w:r w:rsidRPr="00823BDC">
        <w:rPr>
          <w:color w:val="000000"/>
          <w:szCs w:val="22"/>
        </w:rPr>
        <w:t> % pri dávke 80 mg</w:t>
      </w:r>
      <w:r w:rsidR="008F62AA" w:rsidRPr="00823BDC">
        <w:rPr>
          <w:color w:val="000000"/>
          <w:szCs w:val="22"/>
        </w:rPr>
        <w:t>/deň</w:t>
      </w:r>
      <w:r w:rsidRPr="00823BDC">
        <w:rPr>
          <w:color w:val="000000"/>
          <w:szCs w:val="22"/>
        </w:rPr>
        <w:t>. V týchto skúša</w:t>
      </w:r>
      <w:r w:rsidR="000A10C6" w:rsidRPr="00823BDC">
        <w:rPr>
          <w:color w:val="000000"/>
          <w:szCs w:val="22"/>
        </w:rPr>
        <w:t>niach</w:t>
      </w:r>
      <w:r w:rsidRPr="00823BDC">
        <w:rPr>
          <w:color w:val="000000"/>
          <w:szCs w:val="22"/>
        </w:rPr>
        <w:t xml:space="preserve"> boli pacienti starostlivo </w:t>
      </w:r>
      <w:r w:rsidR="00A04E02" w:rsidRPr="00823BDC">
        <w:rPr>
          <w:color w:val="000000"/>
          <w:szCs w:val="22"/>
        </w:rPr>
        <w:t>sledovaní</w:t>
      </w:r>
      <w:r w:rsidRPr="00823BDC">
        <w:rPr>
          <w:color w:val="000000"/>
          <w:szCs w:val="22"/>
        </w:rPr>
        <w:t xml:space="preserve"> a z ich liečby boli vylúčené niektoré </w:t>
      </w:r>
      <w:proofErr w:type="spellStart"/>
      <w:r w:rsidRPr="00823BDC">
        <w:rPr>
          <w:color w:val="000000"/>
          <w:szCs w:val="22"/>
        </w:rPr>
        <w:t>interagujúce</w:t>
      </w:r>
      <w:proofErr w:type="spellEnd"/>
      <w:r w:rsidRPr="00823BDC">
        <w:rPr>
          <w:color w:val="000000"/>
          <w:szCs w:val="22"/>
        </w:rPr>
        <w:t xml:space="preserve"> lieky.</w:t>
      </w:r>
    </w:p>
    <w:p w14:paraId="0D6654C9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29CF63FC" w14:textId="77777777" w:rsidR="00FD5A33" w:rsidRPr="00823BDC" w:rsidRDefault="00FD5A33">
      <w:pPr>
        <w:adjustRightInd w:val="0"/>
        <w:snapToGrid w:val="0"/>
        <w:rPr>
          <w:szCs w:val="22"/>
        </w:rPr>
      </w:pPr>
      <w:r w:rsidRPr="00823BDC">
        <w:rPr>
          <w:szCs w:val="22"/>
        </w:rPr>
        <w:t>V klinick</w:t>
      </w:r>
      <w:r w:rsidR="00D3664F" w:rsidRPr="00823BDC">
        <w:rPr>
          <w:szCs w:val="22"/>
        </w:rPr>
        <w:t>om skúšaní</w:t>
      </w:r>
      <w:r w:rsidRPr="00823BDC">
        <w:rPr>
          <w:szCs w:val="22"/>
        </w:rPr>
        <w:t>, v ktor</w:t>
      </w:r>
      <w:r w:rsidR="00D3664F" w:rsidRPr="00823BDC">
        <w:rPr>
          <w:szCs w:val="22"/>
        </w:rPr>
        <w:t>om</w:t>
      </w:r>
      <w:r w:rsidRPr="00823BDC">
        <w:rPr>
          <w:szCs w:val="22"/>
        </w:rPr>
        <w:t xml:space="preserve"> boli pacienti s</w:t>
      </w:r>
      <w:r w:rsidR="0088609C" w:rsidRPr="00823BDC">
        <w:rPr>
          <w:szCs w:val="22"/>
        </w:rPr>
        <w:t> infarktom myokardu v </w:t>
      </w:r>
      <w:r w:rsidRPr="00823BDC">
        <w:rPr>
          <w:szCs w:val="22"/>
        </w:rPr>
        <w:t>anamnéz</w:t>
      </w:r>
      <w:r w:rsidR="0088609C" w:rsidRPr="00823BDC">
        <w:rPr>
          <w:szCs w:val="22"/>
        </w:rPr>
        <w:t>e</w:t>
      </w:r>
      <w:r w:rsidRPr="00823BDC">
        <w:rPr>
          <w:szCs w:val="22"/>
        </w:rPr>
        <w:t xml:space="preserve"> liečení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80 mg/deň (medián sledovania 6,7 rokov), bola </w:t>
      </w:r>
      <w:proofErr w:type="spellStart"/>
      <w:r w:rsidRPr="00823BDC">
        <w:rPr>
          <w:szCs w:val="22"/>
        </w:rPr>
        <w:t>incidencia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približne 1,0 % v porovnaní s 0,02 % u pacientov s dávkou 20 mg/deň. Približne polovica týchto prípadov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sa vyskytla počas prvého roka liečby. </w:t>
      </w:r>
      <w:proofErr w:type="spellStart"/>
      <w:r w:rsidRPr="00823BDC">
        <w:rPr>
          <w:szCs w:val="22"/>
        </w:rPr>
        <w:t>Incidencia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počas každého nasledujúceho roka liečby bola približne 0,1 %. (Pozri časti 4.8 a 5.1)</w:t>
      </w:r>
    </w:p>
    <w:p w14:paraId="143B8088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9BEADE8" w14:textId="5917B0DB" w:rsidR="00EE19BC" w:rsidRPr="00823BDC" w:rsidRDefault="00EE19BC">
      <w:pPr>
        <w:adjustRightInd w:val="0"/>
        <w:snapToGrid w:val="0"/>
        <w:rPr>
          <w:i/>
          <w:szCs w:val="22"/>
          <w:u w:val="single"/>
        </w:rPr>
      </w:pPr>
      <w:r w:rsidRPr="00823BDC">
        <w:rPr>
          <w:szCs w:val="22"/>
        </w:rPr>
        <w:t xml:space="preserve">Riziko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je väčšie u pacientov užívajúcich </w:t>
      </w:r>
      <w:proofErr w:type="spellStart"/>
      <w:r w:rsidR="00B54664" w:rsidRPr="00823BDC">
        <w:rPr>
          <w:szCs w:val="22"/>
        </w:rPr>
        <w:t>ezetimib</w:t>
      </w:r>
      <w:proofErr w:type="spellEnd"/>
      <w:r w:rsidR="00B54664" w:rsidRPr="00823BDC">
        <w:rPr>
          <w:szCs w:val="22"/>
        </w:rPr>
        <w:t>/</w:t>
      </w:r>
      <w:proofErr w:type="spellStart"/>
      <w:r w:rsidR="00B54664" w:rsidRPr="00823BDC">
        <w:rPr>
          <w:szCs w:val="22"/>
        </w:rPr>
        <w:t>simvastatín</w:t>
      </w:r>
      <w:proofErr w:type="spellEnd"/>
      <w:r w:rsidR="00B54664" w:rsidRPr="00823BDC">
        <w:rPr>
          <w:szCs w:val="22"/>
        </w:rPr>
        <w:t xml:space="preserve"> </w:t>
      </w:r>
      <w:r w:rsidRPr="00823BDC">
        <w:rPr>
          <w:szCs w:val="22"/>
        </w:rPr>
        <w:t>10</w:t>
      </w:r>
      <w:r w:rsidR="001B7D04" w:rsidRPr="00823BDC">
        <w:rPr>
          <w:szCs w:val="22"/>
        </w:rPr>
        <w:t xml:space="preserve"> mg</w:t>
      </w:r>
      <w:r w:rsidRPr="00823BDC">
        <w:rPr>
          <w:szCs w:val="22"/>
        </w:rPr>
        <w:t xml:space="preserve">/80 mg v porovnaní s ostatnými liečbami, ktorých základom je </w:t>
      </w:r>
      <w:proofErr w:type="spellStart"/>
      <w:r w:rsidRPr="00823BDC">
        <w:rPr>
          <w:szCs w:val="22"/>
        </w:rPr>
        <w:t>statín</w:t>
      </w:r>
      <w:proofErr w:type="spellEnd"/>
      <w:r w:rsidRPr="00823BDC">
        <w:rPr>
          <w:szCs w:val="22"/>
        </w:rPr>
        <w:t xml:space="preserve"> s podobnou účinnosťou na zníženie hladiny LDL-C. </w:t>
      </w:r>
      <w:r w:rsidR="00596406" w:rsidRPr="00823BDC">
        <w:rPr>
          <w:szCs w:val="22"/>
        </w:rPr>
        <w:t>Preto sa má d</w:t>
      </w:r>
      <w:r w:rsidR="004B3FE7" w:rsidRPr="00823BDC">
        <w:rPr>
          <w:szCs w:val="22"/>
        </w:rPr>
        <w:t>ávk</w:t>
      </w:r>
      <w:r w:rsidR="000A10C6" w:rsidRPr="00823BDC">
        <w:rPr>
          <w:szCs w:val="22"/>
        </w:rPr>
        <w:t>a</w:t>
      </w:r>
      <w:r w:rsidRPr="00823BDC">
        <w:rPr>
          <w:szCs w:val="22"/>
        </w:rPr>
        <w:t xml:space="preserve"> </w:t>
      </w:r>
      <w:proofErr w:type="spellStart"/>
      <w:r w:rsidR="00596406" w:rsidRPr="00823BDC">
        <w:rPr>
          <w:szCs w:val="22"/>
        </w:rPr>
        <w:t>Cornusanu</w:t>
      </w:r>
      <w:proofErr w:type="spellEnd"/>
      <w:r w:rsidRPr="00823BDC">
        <w:rPr>
          <w:szCs w:val="22"/>
        </w:rPr>
        <w:t xml:space="preserve"> 10</w:t>
      </w:r>
      <w:r w:rsidR="001B7D04" w:rsidRPr="00823BDC">
        <w:rPr>
          <w:szCs w:val="22"/>
        </w:rPr>
        <w:t xml:space="preserve"> mg</w:t>
      </w:r>
      <w:r w:rsidRPr="00823BDC">
        <w:rPr>
          <w:szCs w:val="22"/>
        </w:rPr>
        <w:t xml:space="preserve">/80 mg použiť len u pacientov so závažnou </w:t>
      </w:r>
      <w:proofErr w:type="spellStart"/>
      <w:r w:rsidRPr="00823BDC">
        <w:rPr>
          <w:szCs w:val="22"/>
        </w:rPr>
        <w:t>hypercholesterolémiou</w:t>
      </w:r>
      <w:proofErr w:type="spellEnd"/>
      <w:r w:rsidRPr="00823BDC">
        <w:rPr>
          <w:szCs w:val="22"/>
        </w:rPr>
        <w:t xml:space="preserve"> a s vysokým rizikom vznik</w:t>
      </w:r>
      <w:r w:rsidR="001B7D04" w:rsidRPr="00823BDC">
        <w:rPr>
          <w:szCs w:val="22"/>
        </w:rPr>
        <w:t>u</w:t>
      </w:r>
      <w:r w:rsidRPr="00823BDC">
        <w:rPr>
          <w:szCs w:val="22"/>
        </w:rPr>
        <w:t xml:space="preserve"> kardiovaskulárnych komplikácií, ktorí nedosiahli svoje </w:t>
      </w:r>
      <w:r w:rsidR="000A10C6" w:rsidRPr="00823BDC">
        <w:rPr>
          <w:szCs w:val="22"/>
        </w:rPr>
        <w:t>liečebné</w:t>
      </w:r>
      <w:r w:rsidR="00EC160B" w:rsidRPr="00823BDC">
        <w:rPr>
          <w:szCs w:val="22"/>
        </w:rPr>
        <w:t xml:space="preserve"> ciele</w:t>
      </w:r>
      <w:r w:rsidRPr="00823BDC">
        <w:rPr>
          <w:szCs w:val="22"/>
        </w:rPr>
        <w:t xml:space="preserve"> pri nižších dávkach</w:t>
      </w:r>
      <w:r w:rsidR="001B7D04" w:rsidRPr="00823BDC">
        <w:rPr>
          <w:szCs w:val="22"/>
        </w:rPr>
        <w:t>,</w:t>
      </w:r>
      <w:r w:rsidRPr="00823BDC">
        <w:rPr>
          <w:szCs w:val="22"/>
        </w:rPr>
        <w:t xml:space="preserve"> a ak sa očakáva, že prínosy prevážia nad možnými rizikami. U pacientov užívajúcich </w:t>
      </w:r>
      <w:proofErr w:type="spellStart"/>
      <w:r w:rsidR="0092110F" w:rsidRPr="00823BDC">
        <w:rPr>
          <w:szCs w:val="22"/>
        </w:rPr>
        <w:t>Cornusan</w:t>
      </w:r>
      <w:proofErr w:type="spellEnd"/>
      <w:r w:rsidRPr="00823BDC">
        <w:rPr>
          <w:szCs w:val="22"/>
        </w:rPr>
        <w:t xml:space="preserve"> 10</w:t>
      </w:r>
      <w:r w:rsidR="001B7D04" w:rsidRPr="00823BDC">
        <w:rPr>
          <w:szCs w:val="22"/>
        </w:rPr>
        <w:t xml:space="preserve"> mg</w:t>
      </w:r>
      <w:r w:rsidRPr="00823BDC">
        <w:rPr>
          <w:szCs w:val="22"/>
        </w:rPr>
        <w:t xml:space="preserve">/80 mg, u ktorých je potrebné použiť liečivo spôsobujúce interakciu, sa má použiť nižšia dávka </w:t>
      </w:r>
      <w:proofErr w:type="spellStart"/>
      <w:r w:rsidR="0092110F" w:rsidRPr="00823BDC">
        <w:rPr>
          <w:szCs w:val="22"/>
        </w:rPr>
        <w:t>Cornusanu</w:t>
      </w:r>
      <w:proofErr w:type="spellEnd"/>
      <w:r w:rsidRPr="00823BDC">
        <w:rPr>
          <w:szCs w:val="22"/>
        </w:rPr>
        <w:t xml:space="preserve"> alebo alternatívny režim, ktorého základom je </w:t>
      </w:r>
      <w:proofErr w:type="spellStart"/>
      <w:r w:rsidRPr="00823BDC">
        <w:rPr>
          <w:szCs w:val="22"/>
        </w:rPr>
        <w:t>statín</w:t>
      </w:r>
      <w:proofErr w:type="spellEnd"/>
      <w:r w:rsidRPr="00823BDC">
        <w:rPr>
          <w:szCs w:val="22"/>
        </w:rPr>
        <w:t xml:space="preserve"> s menším potenciálom pre </w:t>
      </w:r>
      <w:r w:rsidR="00EC160B" w:rsidRPr="00823BDC">
        <w:rPr>
          <w:szCs w:val="22"/>
        </w:rPr>
        <w:t xml:space="preserve">liekové </w:t>
      </w:r>
      <w:r w:rsidRPr="00823BDC">
        <w:rPr>
          <w:szCs w:val="22"/>
        </w:rPr>
        <w:t xml:space="preserve">interakcie (pozri nižšie </w:t>
      </w:r>
      <w:r w:rsidR="0092110F" w:rsidRPr="00823BDC">
        <w:rPr>
          <w:szCs w:val="22"/>
        </w:rPr>
        <w:t>„</w:t>
      </w:r>
      <w:r w:rsidRPr="00823BDC">
        <w:rPr>
          <w:szCs w:val="22"/>
        </w:rPr>
        <w:t xml:space="preserve">Opatrenia na zníženie rizika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zapríčinenej liekovými interakciami</w:t>
      </w:r>
      <w:r w:rsidR="0092110F" w:rsidRPr="00823BDC">
        <w:rPr>
          <w:szCs w:val="22"/>
        </w:rPr>
        <w:t>“</w:t>
      </w:r>
      <w:r w:rsidRPr="00823BDC">
        <w:rPr>
          <w:szCs w:val="22"/>
        </w:rPr>
        <w:t xml:space="preserve"> a časti 4.2, 4.3 a 4.5).</w:t>
      </w:r>
    </w:p>
    <w:p w14:paraId="33228894" w14:textId="77777777" w:rsidR="008B47E2" w:rsidRPr="00823BDC" w:rsidRDefault="008B47E2">
      <w:pPr>
        <w:adjustRightInd w:val="0"/>
        <w:snapToGrid w:val="0"/>
        <w:rPr>
          <w:szCs w:val="22"/>
        </w:rPr>
      </w:pPr>
    </w:p>
    <w:p w14:paraId="4EDE73CD" w14:textId="6393623A" w:rsidR="00AD0060" w:rsidRPr="00823BDC" w:rsidRDefault="00AD0060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V skúšaní </w:t>
      </w:r>
      <w:r w:rsidRPr="00823BDC">
        <w:rPr>
          <w:noProof/>
          <w:szCs w:val="22"/>
        </w:rPr>
        <w:t xml:space="preserve">IMProved Reduction of Outcomes: Vytorin Efficacy International Trial (IMPROVE-IT) bolo 18 144 pacientov </w:t>
      </w:r>
      <w:r w:rsidR="00524B24" w:rsidRPr="00823BDC">
        <w:rPr>
          <w:szCs w:val="22"/>
        </w:rPr>
        <w:t>s koronárnou chorobou srdca a </w:t>
      </w:r>
      <w:r w:rsidR="0035223F" w:rsidRPr="00823BDC">
        <w:rPr>
          <w:szCs w:val="22"/>
        </w:rPr>
        <w:t xml:space="preserve">príhodou </w:t>
      </w:r>
      <w:r w:rsidR="00524B24" w:rsidRPr="00823BDC">
        <w:rPr>
          <w:szCs w:val="22"/>
        </w:rPr>
        <w:t>AK</w:t>
      </w:r>
      <w:r w:rsidRPr="00823BDC">
        <w:rPr>
          <w:szCs w:val="22"/>
        </w:rPr>
        <w:t xml:space="preserve">S v anamnéze </w:t>
      </w:r>
      <w:proofErr w:type="spellStart"/>
      <w:r w:rsidRPr="00823BDC">
        <w:rPr>
          <w:szCs w:val="22"/>
        </w:rPr>
        <w:t>randomizovaných</w:t>
      </w:r>
      <w:proofErr w:type="spellEnd"/>
      <w:r w:rsidRPr="00823BDC">
        <w:rPr>
          <w:szCs w:val="22"/>
        </w:rPr>
        <w:t xml:space="preserve"> na užívanie</w:t>
      </w:r>
      <w:r w:rsidR="000A4ED9" w:rsidRPr="00823BDC">
        <w:rPr>
          <w:szCs w:val="22"/>
        </w:rPr>
        <w:t xml:space="preserve"> </w:t>
      </w:r>
      <w:proofErr w:type="spellStart"/>
      <w:r w:rsidR="0092110F" w:rsidRPr="00823BDC">
        <w:rPr>
          <w:szCs w:val="22"/>
        </w:rPr>
        <w:t>ezetimibu</w:t>
      </w:r>
      <w:proofErr w:type="spellEnd"/>
      <w:r w:rsidR="0092110F" w:rsidRPr="00823BDC">
        <w:rPr>
          <w:szCs w:val="22"/>
        </w:rPr>
        <w:t>/</w:t>
      </w:r>
      <w:proofErr w:type="spellStart"/>
      <w:r w:rsidR="0092110F" w:rsidRPr="00823BDC">
        <w:rPr>
          <w:szCs w:val="22"/>
        </w:rPr>
        <w:t>simvastatínu</w:t>
      </w:r>
      <w:proofErr w:type="spellEnd"/>
      <w:r w:rsidR="000A4ED9" w:rsidRPr="00823BDC">
        <w:rPr>
          <w:szCs w:val="22"/>
        </w:rPr>
        <w:t xml:space="preserve"> v dávke 10</w:t>
      </w:r>
      <w:r w:rsidR="001B7D04" w:rsidRPr="00823BDC">
        <w:rPr>
          <w:szCs w:val="22"/>
        </w:rPr>
        <w:t xml:space="preserve"> mg</w:t>
      </w:r>
      <w:r w:rsidR="000A4ED9" w:rsidRPr="00823BDC">
        <w:rPr>
          <w:szCs w:val="22"/>
        </w:rPr>
        <w:t xml:space="preserve">/40 mg denne (n = 9 067) alebo </w:t>
      </w:r>
      <w:proofErr w:type="spellStart"/>
      <w:r w:rsidR="000A4ED9" w:rsidRPr="00823BDC">
        <w:rPr>
          <w:szCs w:val="22"/>
        </w:rPr>
        <w:t>simvastatínu</w:t>
      </w:r>
      <w:proofErr w:type="spellEnd"/>
      <w:r w:rsidR="000A4ED9" w:rsidRPr="00823BDC">
        <w:rPr>
          <w:szCs w:val="22"/>
        </w:rPr>
        <w:t xml:space="preserve"> 40 mg denne (n = 9 077). Počas mediánu sledovania 6</w:t>
      </w:r>
      <w:r w:rsidR="001D6EC8" w:rsidRPr="00823BDC">
        <w:rPr>
          <w:szCs w:val="22"/>
        </w:rPr>
        <w:t>,0</w:t>
      </w:r>
      <w:r w:rsidR="000A4ED9" w:rsidRPr="00823BDC">
        <w:rPr>
          <w:szCs w:val="22"/>
        </w:rPr>
        <w:t xml:space="preserve"> rokov bola </w:t>
      </w:r>
      <w:proofErr w:type="spellStart"/>
      <w:r w:rsidR="000A4ED9" w:rsidRPr="00823BDC">
        <w:rPr>
          <w:szCs w:val="22"/>
        </w:rPr>
        <w:t>incidencia</w:t>
      </w:r>
      <w:proofErr w:type="spellEnd"/>
      <w:r w:rsidR="000A4ED9" w:rsidRPr="00823BDC">
        <w:rPr>
          <w:szCs w:val="22"/>
        </w:rPr>
        <w:t xml:space="preserve"> </w:t>
      </w:r>
      <w:proofErr w:type="spellStart"/>
      <w:r w:rsidR="000A4ED9" w:rsidRPr="00823BDC">
        <w:rPr>
          <w:szCs w:val="22"/>
        </w:rPr>
        <w:t>myopatie</w:t>
      </w:r>
      <w:proofErr w:type="spellEnd"/>
      <w:r w:rsidR="000A4ED9" w:rsidRPr="00823BDC">
        <w:rPr>
          <w:szCs w:val="22"/>
        </w:rPr>
        <w:t xml:space="preserve"> pri </w:t>
      </w:r>
      <w:proofErr w:type="spellStart"/>
      <w:r w:rsidR="0092110F" w:rsidRPr="00823BDC">
        <w:rPr>
          <w:szCs w:val="22"/>
        </w:rPr>
        <w:t>ezetimibe</w:t>
      </w:r>
      <w:proofErr w:type="spellEnd"/>
      <w:r w:rsidR="0092110F" w:rsidRPr="00823BDC">
        <w:rPr>
          <w:szCs w:val="22"/>
        </w:rPr>
        <w:t>/</w:t>
      </w:r>
      <w:proofErr w:type="spellStart"/>
      <w:r w:rsidR="0092110F" w:rsidRPr="00823BDC">
        <w:rPr>
          <w:szCs w:val="22"/>
        </w:rPr>
        <w:t>simvastatíne</w:t>
      </w:r>
      <w:proofErr w:type="spellEnd"/>
      <w:r w:rsidR="000A4ED9" w:rsidRPr="00823BDC">
        <w:rPr>
          <w:szCs w:val="22"/>
        </w:rPr>
        <w:t xml:space="preserve"> 0,2 % a pri </w:t>
      </w:r>
      <w:proofErr w:type="spellStart"/>
      <w:r w:rsidR="000A4ED9" w:rsidRPr="00823BDC">
        <w:rPr>
          <w:szCs w:val="22"/>
        </w:rPr>
        <w:t>simvastatíne</w:t>
      </w:r>
      <w:proofErr w:type="spellEnd"/>
      <w:r w:rsidR="000A4ED9" w:rsidRPr="00823BDC">
        <w:rPr>
          <w:szCs w:val="22"/>
        </w:rPr>
        <w:t xml:space="preserve"> 0,1 %, pričom </w:t>
      </w:r>
      <w:proofErr w:type="spellStart"/>
      <w:r w:rsidR="000A4ED9" w:rsidRPr="00823BDC">
        <w:rPr>
          <w:szCs w:val="22"/>
        </w:rPr>
        <w:t>myopatia</w:t>
      </w:r>
      <w:proofErr w:type="spellEnd"/>
      <w:r w:rsidR="000A4ED9" w:rsidRPr="00823BDC">
        <w:rPr>
          <w:szCs w:val="22"/>
        </w:rPr>
        <w:t xml:space="preserve"> bola definovaná ako nevysvetliteľná svalová slabosť alebo bolesť s</w:t>
      </w:r>
      <w:r w:rsidR="00FB2702" w:rsidRPr="00823BDC">
        <w:rPr>
          <w:szCs w:val="22"/>
        </w:rPr>
        <w:t> </w:t>
      </w:r>
      <w:r w:rsidR="000A4ED9" w:rsidRPr="00823BDC">
        <w:rPr>
          <w:szCs w:val="22"/>
        </w:rPr>
        <w:t>hladin</w:t>
      </w:r>
      <w:r w:rsidR="00FB2702" w:rsidRPr="00823BDC">
        <w:rPr>
          <w:szCs w:val="22"/>
        </w:rPr>
        <w:t>ou</w:t>
      </w:r>
      <w:r w:rsidR="000A4ED9" w:rsidRPr="00823BDC">
        <w:rPr>
          <w:szCs w:val="22"/>
        </w:rPr>
        <w:t xml:space="preserve"> CK v sére </w:t>
      </w:r>
      <w:r w:rsidR="000A4ED9" w:rsidRPr="00823BDC">
        <w:rPr>
          <w:noProof/>
          <w:szCs w:val="22"/>
        </w:rPr>
        <w:t>≥</w:t>
      </w:r>
      <w:r w:rsidR="0035223F" w:rsidRPr="00823BDC">
        <w:rPr>
          <w:noProof/>
          <w:szCs w:val="22"/>
        </w:rPr>
        <w:t> </w:t>
      </w:r>
      <w:r w:rsidR="000A4ED9" w:rsidRPr="00823BDC">
        <w:rPr>
          <w:noProof/>
          <w:szCs w:val="22"/>
        </w:rPr>
        <w:t>10</w:t>
      </w:r>
      <w:r w:rsidR="00B54664" w:rsidRPr="00A6540D">
        <w:rPr>
          <w:color w:val="000000"/>
          <w:szCs w:val="22"/>
        </w:rPr>
        <w:t>×</w:t>
      </w:r>
      <w:r w:rsidR="000A4ED9" w:rsidRPr="00CD10F1">
        <w:rPr>
          <w:szCs w:val="22"/>
        </w:rPr>
        <w:t xml:space="preserve"> HHN alebo </w:t>
      </w:r>
      <w:r w:rsidR="00B54664" w:rsidRPr="00CD10F1">
        <w:rPr>
          <w:szCs w:val="22"/>
        </w:rPr>
        <w:t xml:space="preserve">2 </w:t>
      </w:r>
      <w:proofErr w:type="spellStart"/>
      <w:r w:rsidR="004D0004" w:rsidRPr="00657DA7">
        <w:rPr>
          <w:szCs w:val="22"/>
        </w:rPr>
        <w:t>konsekutívn</w:t>
      </w:r>
      <w:r w:rsidR="000A4ED9" w:rsidRPr="00F064AC">
        <w:rPr>
          <w:szCs w:val="22"/>
        </w:rPr>
        <w:t>e</w:t>
      </w:r>
      <w:proofErr w:type="spellEnd"/>
      <w:r w:rsidR="000A4ED9" w:rsidRPr="00F064AC">
        <w:rPr>
          <w:szCs w:val="22"/>
        </w:rPr>
        <w:t xml:space="preserve"> pozorovania</w:t>
      </w:r>
      <w:r w:rsidR="00FB2702" w:rsidRPr="00F064AC">
        <w:rPr>
          <w:szCs w:val="22"/>
        </w:rPr>
        <w:t xml:space="preserve"> hladiny</w:t>
      </w:r>
      <w:r w:rsidR="000A4ED9" w:rsidRPr="006D69A4">
        <w:rPr>
          <w:szCs w:val="22"/>
        </w:rPr>
        <w:t xml:space="preserve"> </w:t>
      </w:r>
      <w:r w:rsidR="000A4ED9" w:rsidRPr="00823BDC">
        <w:rPr>
          <w:noProof/>
          <w:szCs w:val="22"/>
        </w:rPr>
        <w:t>CK ≥</w:t>
      </w:r>
      <w:r w:rsidR="0035223F" w:rsidRPr="00823BDC">
        <w:rPr>
          <w:noProof/>
          <w:szCs w:val="22"/>
        </w:rPr>
        <w:t> </w:t>
      </w:r>
      <w:r w:rsidR="000A4ED9" w:rsidRPr="00823BDC">
        <w:rPr>
          <w:noProof/>
          <w:szCs w:val="22"/>
        </w:rPr>
        <w:t>5 a &lt;</w:t>
      </w:r>
      <w:r w:rsidR="0035223F" w:rsidRPr="00823BDC">
        <w:rPr>
          <w:noProof/>
          <w:szCs w:val="22"/>
        </w:rPr>
        <w:t> </w:t>
      </w:r>
      <w:r w:rsidR="000A4ED9" w:rsidRPr="00823BDC">
        <w:rPr>
          <w:noProof/>
          <w:szCs w:val="22"/>
        </w:rPr>
        <w:t>10</w:t>
      </w:r>
      <w:r w:rsidR="00B54664" w:rsidRPr="00A6540D">
        <w:rPr>
          <w:color w:val="000000"/>
          <w:szCs w:val="22"/>
        </w:rPr>
        <w:t>×</w:t>
      </w:r>
      <w:r w:rsidR="000A4ED9" w:rsidRPr="00CD10F1">
        <w:rPr>
          <w:noProof/>
          <w:szCs w:val="22"/>
        </w:rPr>
        <w:t xml:space="preserve"> HHN</w:t>
      </w:r>
      <w:r w:rsidR="000A4ED9" w:rsidRPr="00CD10F1">
        <w:rPr>
          <w:szCs w:val="22"/>
        </w:rPr>
        <w:t xml:space="preserve">. </w:t>
      </w:r>
      <w:proofErr w:type="spellStart"/>
      <w:r w:rsidR="000A4ED9" w:rsidRPr="00CD10F1">
        <w:rPr>
          <w:szCs w:val="22"/>
        </w:rPr>
        <w:t>Incidencia</w:t>
      </w:r>
      <w:proofErr w:type="spellEnd"/>
      <w:r w:rsidR="000A4ED9" w:rsidRPr="00CD10F1">
        <w:rPr>
          <w:szCs w:val="22"/>
        </w:rPr>
        <w:t xml:space="preserve"> </w:t>
      </w:r>
      <w:proofErr w:type="spellStart"/>
      <w:r w:rsidR="000A4ED9" w:rsidRPr="00CD10F1">
        <w:rPr>
          <w:szCs w:val="22"/>
        </w:rPr>
        <w:t>rabdomyolýzy</w:t>
      </w:r>
      <w:proofErr w:type="spellEnd"/>
      <w:r w:rsidR="000A4ED9" w:rsidRPr="00CD10F1">
        <w:rPr>
          <w:szCs w:val="22"/>
        </w:rPr>
        <w:t xml:space="preserve"> bola pri </w:t>
      </w:r>
      <w:proofErr w:type="spellStart"/>
      <w:r w:rsidR="00F172EB" w:rsidRPr="00CD10F1">
        <w:rPr>
          <w:szCs w:val="22"/>
        </w:rPr>
        <w:t>simvastatíne</w:t>
      </w:r>
      <w:proofErr w:type="spellEnd"/>
      <w:r w:rsidR="00F172EB" w:rsidRPr="00CD10F1">
        <w:rPr>
          <w:szCs w:val="22"/>
        </w:rPr>
        <w:t>/</w:t>
      </w:r>
      <w:proofErr w:type="spellStart"/>
      <w:r w:rsidR="00F172EB" w:rsidRPr="00CD10F1">
        <w:rPr>
          <w:szCs w:val="22"/>
        </w:rPr>
        <w:t>ezetimibe</w:t>
      </w:r>
      <w:proofErr w:type="spellEnd"/>
      <w:r w:rsidR="000A4ED9" w:rsidRPr="00657DA7">
        <w:rPr>
          <w:szCs w:val="22"/>
        </w:rPr>
        <w:t xml:space="preserve"> 0,1 % a pri </w:t>
      </w:r>
      <w:proofErr w:type="spellStart"/>
      <w:r w:rsidR="000A4ED9" w:rsidRPr="00657DA7">
        <w:rPr>
          <w:szCs w:val="22"/>
        </w:rPr>
        <w:t>simvastatíne</w:t>
      </w:r>
      <w:proofErr w:type="spellEnd"/>
      <w:r w:rsidR="000A4ED9" w:rsidRPr="00657DA7">
        <w:rPr>
          <w:szCs w:val="22"/>
        </w:rPr>
        <w:t xml:space="preserve"> 0,2 %, pričom </w:t>
      </w:r>
      <w:proofErr w:type="spellStart"/>
      <w:r w:rsidR="000A4ED9" w:rsidRPr="00657DA7">
        <w:rPr>
          <w:szCs w:val="22"/>
        </w:rPr>
        <w:t>rabdomyolýza</w:t>
      </w:r>
      <w:proofErr w:type="spellEnd"/>
      <w:r w:rsidR="000A4ED9" w:rsidRPr="00657DA7">
        <w:rPr>
          <w:szCs w:val="22"/>
        </w:rPr>
        <w:t xml:space="preserve"> bola definovaná ako nevysvetliteľná svalová slabosť alebo bolesť </w:t>
      </w:r>
      <w:r w:rsidR="00F7113F" w:rsidRPr="00F064AC">
        <w:rPr>
          <w:szCs w:val="22"/>
        </w:rPr>
        <w:t>s hladinou</w:t>
      </w:r>
      <w:r w:rsidR="000A4ED9" w:rsidRPr="00F064AC">
        <w:rPr>
          <w:szCs w:val="22"/>
        </w:rPr>
        <w:t xml:space="preserve"> CK v sére </w:t>
      </w:r>
      <w:r w:rsidR="000A4ED9" w:rsidRPr="006D69A4">
        <w:rPr>
          <w:noProof/>
          <w:szCs w:val="22"/>
        </w:rPr>
        <w:t>≥</w:t>
      </w:r>
      <w:r w:rsidR="0035223F" w:rsidRPr="00823BDC">
        <w:rPr>
          <w:noProof/>
          <w:szCs w:val="22"/>
        </w:rPr>
        <w:t> </w:t>
      </w:r>
      <w:r w:rsidR="000A4ED9" w:rsidRPr="00823BDC">
        <w:rPr>
          <w:noProof/>
          <w:szCs w:val="22"/>
        </w:rPr>
        <w:t>10</w:t>
      </w:r>
      <w:r w:rsidR="00B54664" w:rsidRPr="00A6540D">
        <w:rPr>
          <w:color w:val="000000"/>
          <w:szCs w:val="22"/>
        </w:rPr>
        <w:t>×</w:t>
      </w:r>
      <w:r w:rsidR="000A4ED9" w:rsidRPr="00CD10F1">
        <w:rPr>
          <w:szCs w:val="22"/>
        </w:rPr>
        <w:t xml:space="preserve"> HHN </w:t>
      </w:r>
      <w:r w:rsidR="00F7113F" w:rsidRPr="00CD10F1">
        <w:rPr>
          <w:szCs w:val="22"/>
        </w:rPr>
        <w:t xml:space="preserve">s dôkazom poškodenia obličiek, </w:t>
      </w:r>
      <w:r w:rsidR="00542009" w:rsidRPr="00CD10F1">
        <w:rPr>
          <w:noProof/>
          <w:szCs w:val="22"/>
        </w:rPr>
        <w:t>≥</w:t>
      </w:r>
      <w:r w:rsidR="0035223F" w:rsidRPr="00CD10F1">
        <w:rPr>
          <w:noProof/>
          <w:szCs w:val="22"/>
        </w:rPr>
        <w:t> </w:t>
      </w:r>
      <w:r w:rsidR="00542009" w:rsidRPr="00657DA7">
        <w:rPr>
          <w:noProof/>
          <w:szCs w:val="22"/>
        </w:rPr>
        <w:t>5</w:t>
      </w:r>
      <w:r w:rsidR="00B54664" w:rsidRPr="00A6540D">
        <w:rPr>
          <w:color w:val="000000"/>
          <w:szCs w:val="22"/>
        </w:rPr>
        <w:t>×</w:t>
      </w:r>
      <w:r w:rsidR="00542009" w:rsidRPr="00CD10F1">
        <w:rPr>
          <w:noProof/>
          <w:szCs w:val="22"/>
        </w:rPr>
        <w:t xml:space="preserve"> HHN a &lt;</w:t>
      </w:r>
      <w:r w:rsidR="0035223F" w:rsidRPr="00CD10F1">
        <w:rPr>
          <w:noProof/>
          <w:szCs w:val="22"/>
        </w:rPr>
        <w:t> </w:t>
      </w:r>
      <w:r w:rsidR="00542009" w:rsidRPr="00CD10F1">
        <w:rPr>
          <w:noProof/>
          <w:szCs w:val="22"/>
        </w:rPr>
        <w:t>10</w:t>
      </w:r>
      <w:r w:rsidR="00B54664" w:rsidRPr="00A6540D">
        <w:rPr>
          <w:color w:val="000000"/>
          <w:szCs w:val="22"/>
        </w:rPr>
        <w:t>×</w:t>
      </w:r>
      <w:r w:rsidR="00542009" w:rsidRPr="00CD10F1">
        <w:rPr>
          <w:noProof/>
          <w:szCs w:val="22"/>
        </w:rPr>
        <w:t xml:space="preserve"> HHN</w:t>
      </w:r>
      <w:r w:rsidR="00542009" w:rsidRPr="00CD10F1">
        <w:rPr>
          <w:szCs w:val="22"/>
        </w:rPr>
        <w:t xml:space="preserve"> </w:t>
      </w:r>
      <w:r w:rsidR="00906ED2" w:rsidRPr="00CD10F1">
        <w:rPr>
          <w:szCs w:val="22"/>
        </w:rPr>
        <w:t xml:space="preserve">počas </w:t>
      </w:r>
      <w:r w:rsidR="00B54664" w:rsidRPr="00F064AC">
        <w:rPr>
          <w:szCs w:val="22"/>
        </w:rPr>
        <w:t xml:space="preserve">2 </w:t>
      </w:r>
      <w:proofErr w:type="spellStart"/>
      <w:r w:rsidR="004D0004" w:rsidRPr="00F064AC">
        <w:rPr>
          <w:szCs w:val="22"/>
        </w:rPr>
        <w:t>konsekutívny</w:t>
      </w:r>
      <w:r w:rsidR="00906ED2" w:rsidRPr="006D69A4">
        <w:rPr>
          <w:szCs w:val="22"/>
        </w:rPr>
        <w:t>ch</w:t>
      </w:r>
      <w:proofErr w:type="spellEnd"/>
      <w:r w:rsidR="00906ED2" w:rsidRPr="006D69A4">
        <w:rPr>
          <w:szCs w:val="22"/>
        </w:rPr>
        <w:t xml:space="preserve"> </w:t>
      </w:r>
      <w:r w:rsidR="0035223F" w:rsidRPr="00823BDC">
        <w:rPr>
          <w:szCs w:val="22"/>
        </w:rPr>
        <w:t>udalostí</w:t>
      </w:r>
      <w:r w:rsidR="000A4ED9" w:rsidRPr="00823BDC">
        <w:rPr>
          <w:szCs w:val="22"/>
        </w:rPr>
        <w:t xml:space="preserve"> </w:t>
      </w:r>
      <w:r w:rsidR="00906ED2" w:rsidRPr="00823BDC">
        <w:rPr>
          <w:szCs w:val="22"/>
        </w:rPr>
        <w:t>s dôkazom poškodenia obličiek</w:t>
      </w:r>
      <w:r w:rsidR="00906ED2" w:rsidRPr="00823BDC">
        <w:rPr>
          <w:noProof/>
          <w:szCs w:val="22"/>
        </w:rPr>
        <w:t xml:space="preserve"> alebo</w:t>
      </w:r>
      <w:r w:rsidR="003C4165" w:rsidRPr="00823BDC">
        <w:rPr>
          <w:noProof/>
          <w:szCs w:val="22"/>
        </w:rPr>
        <w:t xml:space="preserve"> hladinou</w:t>
      </w:r>
      <w:r w:rsidR="00906ED2" w:rsidRPr="00823BDC">
        <w:rPr>
          <w:noProof/>
          <w:szCs w:val="22"/>
        </w:rPr>
        <w:t xml:space="preserve"> </w:t>
      </w:r>
      <w:r w:rsidR="000A4ED9" w:rsidRPr="00823BDC">
        <w:rPr>
          <w:noProof/>
          <w:szCs w:val="22"/>
        </w:rPr>
        <w:t>CK</w:t>
      </w:r>
      <w:r w:rsidR="00906ED2" w:rsidRPr="00823BDC">
        <w:rPr>
          <w:noProof/>
          <w:szCs w:val="22"/>
        </w:rPr>
        <w:t xml:space="preserve"> ≥</w:t>
      </w:r>
      <w:r w:rsidR="0035223F" w:rsidRPr="00823BDC">
        <w:rPr>
          <w:noProof/>
          <w:szCs w:val="22"/>
        </w:rPr>
        <w:t> </w:t>
      </w:r>
      <w:r w:rsidR="00906ED2" w:rsidRPr="00823BDC">
        <w:rPr>
          <w:noProof/>
          <w:szCs w:val="22"/>
        </w:rPr>
        <w:t>10</w:t>
      </w:r>
      <w:r w:rsidR="003C4165" w:rsidRPr="00823BDC">
        <w:rPr>
          <w:noProof/>
          <w:szCs w:val="22"/>
        </w:rPr>
        <w:t> </w:t>
      </w:r>
      <w:r w:rsidR="00906ED2" w:rsidRPr="00823BDC">
        <w:rPr>
          <w:noProof/>
          <w:szCs w:val="22"/>
        </w:rPr>
        <w:t>000 IU/l</w:t>
      </w:r>
      <w:r w:rsidR="000A4ED9" w:rsidRPr="00823BDC">
        <w:rPr>
          <w:noProof/>
          <w:szCs w:val="22"/>
        </w:rPr>
        <w:t xml:space="preserve"> </w:t>
      </w:r>
      <w:r w:rsidR="00906ED2" w:rsidRPr="00823BDC">
        <w:rPr>
          <w:noProof/>
          <w:szCs w:val="22"/>
        </w:rPr>
        <w:t>bez dôkazu poškodenia obličiek (Pozri časť 4.8)</w:t>
      </w:r>
      <w:r w:rsidR="00B54664" w:rsidRPr="00823BDC">
        <w:rPr>
          <w:noProof/>
          <w:szCs w:val="22"/>
        </w:rPr>
        <w:t>.</w:t>
      </w:r>
    </w:p>
    <w:p w14:paraId="470D57BD" w14:textId="77777777" w:rsidR="00AD0060" w:rsidRPr="00823BDC" w:rsidRDefault="00AD0060">
      <w:pPr>
        <w:adjustRightInd w:val="0"/>
        <w:snapToGrid w:val="0"/>
        <w:rPr>
          <w:szCs w:val="22"/>
        </w:rPr>
      </w:pPr>
    </w:p>
    <w:p w14:paraId="65EBC673" w14:textId="282C23F0" w:rsidR="008B47E2" w:rsidRPr="00823BDC" w:rsidRDefault="008B47E2">
      <w:pPr>
        <w:adjustRightInd w:val="0"/>
        <w:snapToGrid w:val="0"/>
        <w:rPr>
          <w:szCs w:val="22"/>
        </w:rPr>
      </w:pPr>
      <w:r w:rsidRPr="00823BDC">
        <w:rPr>
          <w:szCs w:val="22"/>
        </w:rPr>
        <w:t>V klinick</w:t>
      </w:r>
      <w:r w:rsidR="004B3FE7" w:rsidRPr="00823BDC">
        <w:rPr>
          <w:szCs w:val="22"/>
        </w:rPr>
        <w:t>om</w:t>
      </w:r>
      <w:r w:rsidRPr="00823BDC">
        <w:rPr>
          <w:szCs w:val="22"/>
        </w:rPr>
        <w:t xml:space="preserve"> skúš</w:t>
      </w:r>
      <w:r w:rsidR="004B3FE7" w:rsidRPr="00823BDC">
        <w:rPr>
          <w:szCs w:val="22"/>
        </w:rPr>
        <w:t>aní</w:t>
      </w:r>
      <w:r w:rsidRPr="00823BDC">
        <w:rPr>
          <w:szCs w:val="22"/>
        </w:rPr>
        <w:t>, v</w:t>
      </w:r>
      <w:r w:rsidR="008F62AA" w:rsidRPr="00823BDC">
        <w:rPr>
          <w:szCs w:val="22"/>
        </w:rPr>
        <w:t> </w:t>
      </w:r>
      <w:r w:rsidRPr="00823BDC">
        <w:rPr>
          <w:szCs w:val="22"/>
        </w:rPr>
        <w:t>ktor</w:t>
      </w:r>
      <w:r w:rsidR="004B3FE7" w:rsidRPr="00823BDC">
        <w:rPr>
          <w:szCs w:val="22"/>
        </w:rPr>
        <w:t>om</w:t>
      </w:r>
      <w:r w:rsidRPr="00823BDC">
        <w:rPr>
          <w:szCs w:val="22"/>
        </w:rPr>
        <w:t xml:space="preserve"> bolo viac ako 9 000 pacientov s chronickým ochorením obličiek </w:t>
      </w:r>
      <w:proofErr w:type="spellStart"/>
      <w:r w:rsidRPr="00823BDC">
        <w:rPr>
          <w:szCs w:val="22"/>
        </w:rPr>
        <w:t>randomizovaných</w:t>
      </w:r>
      <w:proofErr w:type="spellEnd"/>
      <w:r w:rsidRPr="00823BDC">
        <w:rPr>
          <w:szCs w:val="22"/>
        </w:rPr>
        <w:t xml:space="preserve"> na užívanie </w:t>
      </w:r>
      <w:proofErr w:type="spellStart"/>
      <w:r w:rsidR="0092110F" w:rsidRPr="00823BDC">
        <w:rPr>
          <w:szCs w:val="22"/>
        </w:rPr>
        <w:t>ezetimibu</w:t>
      </w:r>
      <w:proofErr w:type="spellEnd"/>
      <w:r w:rsidR="0092110F" w:rsidRPr="00823BDC">
        <w:rPr>
          <w:szCs w:val="22"/>
        </w:rPr>
        <w:t>/</w:t>
      </w:r>
      <w:proofErr w:type="spellStart"/>
      <w:r w:rsidR="0092110F"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v dávke 10</w:t>
      </w:r>
      <w:r w:rsidR="001B7D04" w:rsidRPr="00823BDC">
        <w:rPr>
          <w:szCs w:val="22"/>
        </w:rPr>
        <w:t xml:space="preserve"> mg</w:t>
      </w:r>
      <w:r w:rsidRPr="00823BDC">
        <w:rPr>
          <w:szCs w:val="22"/>
        </w:rPr>
        <w:t>/20</w:t>
      </w:r>
      <w:r w:rsidR="008F62AA" w:rsidRPr="00823BDC">
        <w:rPr>
          <w:szCs w:val="22"/>
        </w:rPr>
        <w:t> </w:t>
      </w:r>
      <w:r w:rsidRPr="00823BDC">
        <w:rPr>
          <w:szCs w:val="22"/>
        </w:rPr>
        <w:t xml:space="preserve">mg denne (n = 4 650) alebo </w:t>
      </w:r>
      <w:r w:rsidR="00704D65" w:rsidRPr="00823BDC">
        <w:rPr>
          <w:szCs w:val="22"/>
        </w:rPr>
        <w:t xml:space="preserve">placeba </w:t>
      </w:r>
      <w:r w:rsidRPr="00823BDC">
        <w:rPr>
          <w:szCs w:val="22"/>
        </w:rPr>
        <w:t>(n = 4 620) (medián sledovania 4,9 rokov), bol</w:t>
      </w:r>
      <w:r w:rsidR="00362CDA" w:rsidRPr="00823BDC">
        <w:rPr>
          <w:szCs w:val="22"/>
        </w:rPr>
        <w:t>a</w:t>
      </w:r>
      <w:r w:rsidRPr="00823BDC">
        <w:rPr>
          <w:szCs w:val="22"/>
        </w:rPr>
        <w:t xml:space="preserve"> </w:t>
      </w:r>
      <w:proofErr w:type="spellStart"/>
      <w:r w:rsidR="00362CDA" w:rsidRPr="00823BDC">
        <w:rPr>
          <w:szCs w:val="22"/>
        </w:rPr>
        <w:t>incidencia</w:t>
      </w:r>
      <w:proofErr w:type="spellEnd"/>
      <w:r w:rsidR="00362CDA"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</w:t>
      </w:r>
      <w:r w:rsidR="00704D65" w:rsidRPr="00823BDC">
        <w:rPr>
          <w:szCs w:val="22"/>
        </w:rPr>
        <w:t xml:space="preserve">0,2 % </w:t>
      </w:r>
      <w:r w:rsidRPr="00823BDC">
        <w:rPr>
          <w:szCs w:val="22"/>
        </w:rPr>
        <w:t xml:space="preserve">pri </w:t>
      </w:r>
      <w:proofErr w:type="spellStart"/>
      <w:r w:rsidR="0092110F" w:rsidRPr="00823BDC">
        <w:rPr>
          <w:szCs w:val="22"/>
        </w:rPr>
        <w:t>ezetimibe</w:t>
      </w:r>
      <w:proofErr w:type="spellEnd"/>
      <w:r w:rsidR="0092110F" w:rsidRPr="00823BDC">
        <w:rPr>
          <w:szCs w:val="22"/>
        </w:rPr>
        <w:t>/</w:t>
      </w:r>
      <w:proofErr w:type="spellStart"/>
      <w:r w:rsidR="0092110F" w:rsidRPr="00823BDC">
        <w:rPr>
          <w:szCs w:val="22"/>
        </w:rPr>
        <w:t>simvastatíne</w:t>
      </w:r>
      <w:proofErr w:type="spellEnd"/>
      <w:r w:rsidRPr="00823BDC">
        <w:rPr>
          <w:szCs w:val="22"/>
        </w:rPr>
        <w:t xml:space="preserve"> a 0,1 % pri placebe (Pozri časť 4.8)</w:t>
      </w:r>
      <w:r w:rsidR="00B54664" w:rsidRPr="00823BDC">
        <w:rPr>
          <w:szCs w:val="22"/>
        </w:rPr>
        <w:t>.</w:t>
      </w:r>
    </w:p>
    <w:p w14:paraId="21290CFC" w14:textId="77777777" w:rsidR="00EE19BC" w:rsidRPr="00823BDC" w:rsidRDefault="00EE19BC">
      <w:pPr>
        <w:adjustRightInd w:val="0"/>
        <w:snapToGrid w:val="0"/>
        <w:rPr>
          <w:szCs w:val="22"/>
        </w:rPr>
      </w:pPr>
    </w:p>
    <w:p w14:paraId="3EE3E5E8" w14:textId="77777777" w:rsidR="00E62FE2" w:rsidRPr="00823BDC" w:rsidRDefault="008F62AA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V klinickom skúšaní, v ktorom boli pacienti </w:t>
      </w:r>
      <w:r w:rsidR="00E62FE2" w:rsidRPr="00823BDC">
        <w:rPr>
          <w:szCs w:val="22"/>
        </w:rPr>
        <w:t>s vysokým rizikom kardiovaskulárneho ochorenia</w:t>
      </w:r>
      <w:r w:rsidRPr="00823BDC">
        <w:rPr>
          <w:szCs w:val="22"/>
        </w:rPr>
        <w:t xml:space="preserve"> liečení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</w:t>
      </w:r>
      <w:r w:rsidR="00E62FE2" w:rsidRPr="00823BDC">
        <w:rPr>
          <w:szCs w:val="22"/>
        </w:rPr>
        <w:t>4</w:t>
      </w:r>
      <w:r w:rsidRPr="00823BDC">
        <w:rPr>
          <w:szCs w:val="22"/>
        </w:rPr>
        <w:t xml:space="preserve">0 mg/deň (medián sledovania </w:t>
      </w:r>
      <w:r w:rsidR="00E62FE2" w:rsidRPr="00823BDC">
        <w:rPr>
          <w:szCs w:val="22"/>
        </w:rPr>
        <w:t>3</w:t>
      </w:r>
      <w:r w:rsidRPr="00823BDC">
        <w:rPr>
          <w:szCs w:val="22"/>
        </w:rPr>
        <w:t>,</w:t>
      </w:r>
      <w:r w:rsidR="00E62FE2" w:rsidRPr="00823BDC">
        <w:rPr>
          <w:szCs w:val="22"/>
        </w:rPr>
        <w:t>9</w:t>
      </w:r>
      <w:r w:rsidRPr="00823BDC">
        <w:rPr>
          <w:szCs w:val="22"/>
        </w:rPr>
        <w:t xml:space="preserve"> rokov), bola </w:t>
      </w:r>
      <w:proofErr w:type="spellStart"/>
      <w:r w:rsidRPr="00823BDC">
        <w:rPr>
          <w:szCs w:val="22"/>
        </w:rPr>
        <w:t>incidencia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približne </w:t>
      </w:r>
      <w:r w:rsidR="00E62FE2" w:rsidRPr="00823BDC">
        <w:rPr>
          <w:szCs w:val="22"/>
        </w:rPr>
        <w:t>0,05</w:t>
      </w:r>
      <w:r w:rsidRPr="00823BDC">
        <w:rPr>
          <w:szCs w:val="22"/>
        </w:rPr>
        <w:t xml:space="preserve"> % </w:t>
      </w:r>
      <w:r w:rsidR="00E62FE2" w:rsidRPr="00823BDC">
        <w:rPr>
          <w:szCs w:val="22"/>
        </w:rPr>
        <w:t>u pacientov, ktorí neboli čínskeho pôvodu (n = 7</w:t>
      </w:r>
      <w:r w:rsidR="001B7D04" w:rsidRPr="00A6540D">
        <w:rPr>
          <w:szCs w:val="22"/>
        </w:rPr>
        <w:t xml:space="preserve"> </w:t>
      </w:r>
      <w:r w:rsidR="00E62FE2" w:rsidRPr="00A6540D">
        <w:rPr>
          <w:szCs w:val="22"/>
        </w:rPr>
        <w:t xml:space="preserve">367) </w:t>
      </w:r>
      <w:r w:rsidRPr="00530542">
        <w:rPr>
          <w:szCs w:val="22"/>
        </w:rPr>
        <w:t>v porovnaní s 0,</w:t>
      </w:r>
      <w:r w:rsidR="00E62FE2" w:rsidRPr="00CD10F1">
        <w:rPr>
          <w:szCs w:val="22"/>
        </w:rPr>
        <w:t>24</w:t>
      </w:r>
      <w:r w:rsidRPr="00CD10F1">
        <w:rPr>
          <w:szCs w:val="22"/>
        </w:rPr>
        <w:t xml:space="preserve"> % u pacientov </w:t>
      </w:r>
      <w:r w:rsidR="00E62FE2" w:rsidRPr="00CD10F1">
        <w:rPr>
          <w:szCs w:val="22"/>
        </w:rPr>
        <w:t xml:space="preserve">čínskeho pôvodu </w:t>
      </w:r>
      <w:r w:rsidR="00E62FE2" w:rsidRPr="00A6540D">
        <w:rPr>
          <w:color w:val="000000"/>
          <w:szCs w:val="22"/>
        </w:rPr>
        <w:t>(n = 5</w:t>
      </w:r>
      <w:r w:rsidR="001B7D04" w:rsidRPr="00A6540D">
        <w:rPr>
          <w:color w:val="000000"/>
          <w:szCs w:val="22"/>
        </w:rPr>
        <w:t xml:space="preserve"> </w:t>
      </w:r>
      <w:r w:rsidR="00E62FE2" w:rsidRPr="00A6540D">
        <w:rPr>
          <w:color w:val="000000"/>
          <w:szCs w:val="22"/>
        </w:rPr>
        <w:t>468)</w:t>
      </w:r>
      <w:r w:rsidRPr="00530542">
        <w:rPr>
          <w:szCs w:val="22"/>
        </w:rPr>
        <w:t>.</w:t>
      </w:r>
      <w:r w:rsidR="00E62FE2" w:rsidRPr="00CD10F1">
        <w:rPr>
          <w:szCs w:val="22"/>
        </w:rPr>
        <w:t xml:space="preserve"> </w:t>
      </w:r>
      <w:r w:rsidR="00E64ACC" w:rsidRPr="00CD10F1">
        <w:rPr>
          <w:szCs w:val="22"/>
        </w:rPr>
        <w:t>Keďže</w:t>
      </w:r>
      <w:r w:rsidR="00E62FE2" w:rsidRPr="00CD10F1">
        <w:rPr>
          <w:szCs w:val="22"/>
        </w:rPr>
        <w:t xml:space="preserve"> jediná ázijská populácia hodnotená v </w:t>
      </w:r>
      <w:r w:rsidR="000C4369" w:rsidRPr="00CD10F1">
        <w:rPr>
          <w:szCs w:val="22"/>
        </w:rPr>
        <w:t>tomto</w:t>
      </w:r>
      <w:r w:rsidR="00E62FE2" w:rsidRPr="00CD10F1">
        <w:rPr>
          <w:szCs w:val="22"/>
        </w:rPr>
        <w:t xml:space="preserve"> klinick</w:t>
      </w:r>
      <w:r w:rsidR="000C4369" w:rsidRPr="00657DA7">
        <w:rPr>
          <w:szCs w:val="22"/>
        </w:rPr>
        <w:t>om</w:t>
      </w:r>
      <w:r w:rsidR="00E62FE2" w:rsidRPr="00F064AC">
        <w:rPr>
          <w:szCs w:val="22"/>
        </w:rPr>
        <w:t xml:space="preserve"> </w:t>
      </w:r>
      <w:r w:rsidR="002B4FC0" w:rsidRPr="00823BDC">
        <w:rPr>
          <w:szCs w:val="22"/>
        </w:rPr>
        <w:t>skúšaní</w:t>
      </w:r>
      <w:r w:rsidR="00E62FE2" w:rsidRPr="00823BDC">
        <w:rPr>
          <w:szCs w:val="22"/>
        </w:rPr>
        <w:t xml:space="preserve"> bola čínska, pri predpisovaní </w:t>
      </w:r>
      <w:proofErr w:type="spellStart"/>
      <w:r w:rsidR="0092110F" w:rsidRPr="00823BDC">
        <w:rPr>
          <w:szCs w:val="22"/>
        </w:rPr>
        <w:t>Cornusanu</w:t>
      </w:r>
      <w:proofErr w:type="spellEnd"/>
      <w:r w:rsidR="00E62FE2" w:rsidRPr="00823BDC">
        <w:rPr>
          <w:szCs w:val="22"/>
        </w:rPr>
        <w:t xml:space="preserve"> ázijským pacientom je potrebná opatrnosť a má sa použiť najnižšia potrebná dávka.</w:t>
      </w:r>
    </w:p>
    <w:p w14:paraId="47F7BE43" w14:textId="77777777" w:rsidR="008F62AA" w:rsidRPr="00823BDC" w:rsidRDefault="008F62AA">
      <w:pPr>
        <w:tabs>
          <w:tab w:val="left" w:pos="6946"/>
        </w:tabs>
        <w:adjustRightInd w:val="0"/>
        <w:snapToGrid w:val="0"/>
        <w:rPr>
          <w:szCs w:val="22"/>
        </w:rPr>
      </w:pPr>
    </w:p>
    <w:p w14:paraId="064AE709" w14:textId="77777777" w:rsidR="007B2E7B" w:rsidRPr="00823BDC" w:rsidRDefault="007B2E7B">
      <w:pPr>
        <w:keepNext/>
        <w:tabs>
          <w:tab w:val="left" w:pos="6946"/>
        </w:tabs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Znížená funkcia transportných proteínov</w:t>
      </w:r>
    </w:p>
    <w:p w14:paraId="028DFDD2" w14:textId="77777777" w:rsidR="007B2E7B" w:rsidRPr="00A6540D" w:rsidRDefault="00543E58">
      <w:pPr>
        <w:tabs>
          <w:tab w:val="left" w:pos="6946"/>
        </w:tabs>
        <w:adjustRightInd w:val="0"/>
        <w:snapToGrid w:val="0"/>
        <w:rPr>
          <w:szCs w:val="22"/>
        </w:rPr>
      </w:pPr>
      <w:r w:rsidRPr="00823BDC">
        <w:rPr>
          <w:szCs w:val="22"/>
          <w:lang w:eastAsia="sk-SK"/>
        </w:rPr>
        <w:t>Znížená funkcia</w:t>
      </w:r>
      <w:r w:rsidR="00E57461" w:rsidRPr="00823BDC">
        <w:rPr>
          <w:szCs w:val="22"/>
        </w:rPr>
        <w:t xml:space="preserve"> pečeňových </w:t>
      </w:r>
      <w:r w:rsidRPr="00823BDC">
        <w:rPr>
          <w:szCs w:val="22"/>
        </w:rPr>
        <w:t xml:space="preserve">transportných proteínov </w:t>
      </w:r>
      <w:r w:rsidR="005F0A1A" w:rsidRPr="00823BDC">
        <w:rPr>
          <w:szCs w:val="22"/>
        </w:rPr>
        <w:t>OATP</w:t>
      </w:r>
      <w:r w:rsidR="005F0A1A" w:rsidRPr="00823BDC">
        <w:rPr>
          <w:szCs w:val="22"/>
          <w:lang w:eastAsia="sk-SK"/>
        </w:rPr>
        <w:t xml:space="preserve"> </w:t>
      </w:r>
      <w:r w:rsidR="007B2E7B" w:rsidRPr="00823BDC">
        <w:rPr>
          <w:szCs w:val="22"/>
          <w:lang w:eastAsia="sk-SK"/>
        </w:rPr>
        <w:t xml:space="preserve">môže </w:t>
      </w:r>
      <w:r w:rsidRPr="00823BDC">
        <w:rPr>
          <w:szCs w:val="22"/>
          <w:lang w:eastAsia="sk-SK"/>
        </w:rPr>
        <w:t>zvýšiť</w:t>
      </w:r>
      <w:r w:rsidR="007B2E7B" w:rsidRPr="00823BDC">
        <w:rPr>
          <w:szCs w:val="22"/>
          <w:lang w:eastAsia="sk-SK"/>
        </w:rPr>
        <w:t xml:space="preserve"> </w:t>
      </w:r>
      <w:r w:rsidRPr="00823BDC">
        <w:rPr>
          <w:szCs w:val="22"/>
          <w:lang w:eastAsia="sk-SK"/>
        </w:rPr>
        <w:t>systémovú expozíciu kyselin</w:t>
      </w:r>
      <w:r w:rsidR="001B7D04" w:rsidRPr="00823BDC">
        <w:rPr>
          <w:szCs w:val="22"/>
          <w:lang w:eastAsia="sk-SK"/>
        </w:rPr>
        <w:t>e</w:t>
      </w:r>
      <w:r w:rsidRPr="00823BDC">
        <w:rPr>
          <w:szCs w:val="22"/>
          <w:lang w:eastAsia="sk-SK"/>
        </w:rPr>
        <w:t xml:space="preserve"> </w:t>
      </w:r>
      <w:proofErr w:type="spellStart"/>
      <w:r w:rsidRPr="00823BDC">
        <w:rPr>
          <w:szCs w:val="22"/>
          <w:lang w:eastAsia="sk-SK"/>
        </w:rPr>
        <w:t>simvastatínovej</w:t>
      </w:r>
      <w:proofErr w:type="spellEnd"/>
      <w:r w:rsidRPr="00823BDC">
        <w:rPr>
          <w:szCs w:val="22"/>
          <w:lang w:eastAsia="sk-SK"/>
        </w:rPr>
        <w:t xml:space="preserve"> </w:t>
      </w:r>
      <w:r w:rsidR="007B2E7B" w:rsidRPr="00823BDC">
        <w:rPr>
          <w:szCs w:val="22"/>
          <w:lang w:eastAsia="sk-SK"/>
        </w:rPr>
        <w:t>a </w:t>
      </w:r>
      <w:r w:rsidRPr="00823BDC">
        <w:rPr>
          <w:szCs w:val="22"/>
          <w:lang w:eastAsia="sk-SK"/>
        </w:rPr>
        <w:t>zvýšiť</w:t>
      </w:r>
      <w:r w:rsidR="007B2E7B" w:rsidRPr="00823BDC">
        <w:rPr>
          <w:szCs w:val="22"/>
          <w:lang w:eastAsia="sk-SK"/>
        </w:rPr>
        <w:t xml:space="preserve"> rizik</w:t>
      </w:r>
      <w:r w:rsidRPr="00823BDC">
        <w:rPr>
          <w:szCs w:val="22"/>
          <w:lang w:eastAsia="sk-SK"/>
        </w:rPr>
        <w:t>o</w:t>
      </w:r>
      <w:r w:rsidR="007B2E7B" w:rsidRPr="00823BDC">
        <w:rPr>
          <w:szCs w:val="22"/>
          <w:lang w:eastAsia="sk-SK"/>
        </w:rPr>
        <w:t xml:space="preserve"> </w:t>
      </w:r>
      <w:proofErr w:type="spellStart"/>
      <w:r w:rsidR="007B2E7B" w:rsidRPr="00823BDC">
        <w:rPr>
          <w:szCs w:val="22"/>
          <w:lang w:eastAsia="sk-SK"/>
        </w:rPr>
        <w:t>myopatie</w:t>
      </w:r>
      <w:proofErr w:type="spellEnd"/>
      <w:r w:rsidRPr="00823BDC">
        <w:rPr>
          <w:szCs w:val="22"/>
          <w:lang w:eastAsia="sk-SK"/>
        </w:rPr>
        <w:t xml:space="preserve"> a </w:t>
      </w:r>
      <w:proofErr w:type="spellStart"/>
      <w:r w:rsidRPr="00823BDC">
        <w:rPr>
          <w:szCs w:val="22"/>
          <w:lang w:eastAsia="sk-SK"/>
        </w:rPr>
        <w:t>rabdomyolýzy</w:t>
      </w:r>
      <w:proofErr w:type="spellEnd"/>
      <w:r w:rsidR="007B2E7B" w:rsidRPr="00823BDC">
        <w:rPr>
          <w:szCs w:val="22"/>
          <w:lang w:eastAsia="sk-SK"/>
        </w:rPr>
        <w:t>.</w:t>
      </w:r>
      <w:r w:rsidRPr="00823BDC">
        <w:rPr>
          <w:szCs w:val="22"/>
          <w:lang w:eastAsia="sk-SK"/>
        </w:rPr>
        <w:t xml:space="preserve"> Znížená funkcia sa m</w:t>
      </w:r>
      <w:r w:rsidR="000B3C11" w:rsidRPr="00823BDC">
        <w:rPr>
          <w:szCs w:val="22"/>
          <w:lang w:eastAsia="sk-SK"/>
        </w:rPr>
        <w:t>ô</w:t>
      </w:r>
      <w:r w:rsidRPr="00823BDC">
        <w:rPr>
          <w:szCs w:val="22"/>
          <w:lang w:eastAsia="sk-SK"/>
        </w:rPr>
        <w:t xml:space="preserve">že vyskytnúť v dôsledku </w:t>
      </w:r>
      <w:r w:rsidR="000B3C11" w:rsidRPr="00823BDC">
        <w:rPr>
          <w:szCs w:val="22"/>
          <w:lang w:eastAsia="sk-SK"/>
        </w:rPr>
        <w:t xml:space="preserve">inhibície </w:t>
      </w:r>
      <w:proofErr w:type="spellStart"/>
      <w:r w:rsidR="000B3C11" w:rsidRPr="00823BDC">
        <w:rPr>
          <w:szCs w:val="22"/>
          <w:lang w:eastAsia="sk-SK"/>
        </w:rPr>
        <w:t>interagujúcimi</w:t>
      </w:r>
      <w:proofErr w:type="spellEnd"/>
      <w:r w:rsidR="000B3C11" w:rsidRPr="00823BDC">
        <w:rPr>
          <w:szCs w:val="22"/>
          <w:lang w:eastAsia="sk-SK"/>
        </w:rPr>
        <w:t xml:space="preserve"> li</w:t>
      </w:r>
      <w:r w:rsidR="001B7D04" w:rsidRPr="00823BDC">
        <w:rPr>
          <w:szCs w:val="22"/>
          <w:lang w:eastAsia="sk-SK"/>
        </w:rPr>
        <w:t>ečivami</w:t>
      </w:r>
      <w:r w:rsidR="000B3C11" w:rsidRPr="00823BDC">
        <w:rPr>
          <w:szCs w:val="22"/>
          <w:lang w:eastAsia="sk-SK"/>
        </w:rPr>
        <w:t xml:space="preserve"> (napr. </w:t>
      </w:r>
      <w:proofErr w:type="spellStart"/>
      <w:r w:rsidR="000B3C11" w:rsidRPr="00823BDC">
        <w:rPr>
          <w:szCs w:val="22"/>
          <w:lang w:eastAsia="sk-SK"/>
        </w:rPr>
        <w:t>cyklosporín</w:t>
      </w:r>
      <w:proofErr w:type="spellEnd"/>
      <w:r w:rsidR="000B3C11" w:rsidRPr="00823BDC">
        <w:rPr>
          <w:szCs w:val="22"/>
          <w:lang w:eastAsia="sk-SK"/>
        </w:rPr>
        <w:t>) alebo u pacientov, ktor</w:t>
      </w:r>
      <w:r w:rsidR="00E57461" w:rsidRPr="00823BDC">
        <w:rPr>
          <w:szCs w:val="22"/>
          <w:lang w:eastAsia="sk-SK"/>
        </w:rPr>
        <w:t>í</w:t>
      </w:r>
      <w:r w:rsidR="000B3C11" w:rsidRPr="00823BDC">
        <w:rPr>
          <w:szCs w:val="22"/>
          <w:lang w:eastAsia="sk-SK"/>
        </w:rPr>
        <w:t xml:space="preserve"> sú </w:t>
      </w:r>
      <w:r w:rsidR="005F0A1A" w:rsidRPr="00823BDC">
        <w:rPr>
          <w:szCs w:val="22"/>
        </w:rPr>
        <w:t>nositeľmi</w:t>
      </w:r>
      <w:r w:rsidR="000B3C11" w:rsidRPr="00823BDC">
        <w:rPr>
          <w:szCs w:val="22"/>
          <w:lang w:eastAsia="sk-SK"/>
        </w:rPr>
        <w:t xml:space="preserve"> genotypu </w:t>
      </w:r>
      <w:r w:rsidR="000B3C11" w:rsidRPr="00A6540D">
        <w:rPr>
          <w:szCs w:val="22"/>
        </w:rPr>
        <w:t>SLCO1B1 c.521T</w:t>
      </w:r>
      <w:r w:rsidR="0022225F" w:rsidRPr="00A6540D">
        <w:rPr>
          <w:szCs w:val="22"/>
        </w:rPr>
        <w:t xml:space="preserve"> </w:t>
      </w:r>
      <w:r w:rsidR="000B3C11" w:rsidRPr="00A6540D">
        <w:rPr>
          <w:szCs w:val="22"/>
        </w:rPr>
        <w:t>&gt;</w:t>
      </w:r>
      <w:r w:rsidR="0022225F" w:rsidRPr="00A6540D">
        <w:rPr>
          <w:szCs w:val="22"/>
        </w:rPr>
        <w:t xml:space="preserve"> </w:t>
      </w:r>
      <w:r w:rsidR="000B3C11" w:rsidRPr="00A6540D">
        <w:rPr>
          <w:szCs w:val="22"/>
        </w:rPr>
        <w:t>C</w:t>
      </w:r>
      <w:r w:rsidR="00E57461" w:rsidRPr="00A6540D">
        <w:rPr>
          <w:szCs w:val="22"/>
        </w:rPr>
        <w:t>.</w:t>
      </w:r>
    </w:p>
    <w:p w14:paraId="1C4F0196" w14:textId="77777777" w:rsidR="00E57461" w:rsidRPr="00A6540D" w:rsidRDefault="00E57461">
      <w:pPr>
        <w:tabs>
          <w:tab w:val="left" w:pos="6946"/>
        </w:tabs>
        <w:adjustRightInd w:val="0"/>
        <w:snapToGrid w:val="0"/>
        <w:rPr>
          <w:szCs w:val="22"/>
        </w:rPr>
      </w:pPr>
    </w:p>
    <w:p w14:paraId="1DFC95FD" w14:textId="406B71FF" w:rsidR="00E57461" w:rsidRPr="00823BDC" w:rsidRDefault="00E57461">
      <w:pPr>
        <w:tabs>
          <w:tab w:val="left" w:pos="6946"/>
        </w:tabs>
        <w:adjustRightInd w:val="0"/>
        <w:snapToGrid w:val="0"/>
        <w:rPr>
          <w:szCs w:val="22"/>
        </w:rPr>
      </w:pPr>
      <w:r w:rsidRPr="00530542">
        <w:rPr>
          <w:szCs w:val="22"/>
        </w:rPr>
        <w:t>Pacienti</w:t>
      </w:r>
      <w:r w:rsidR="00E0593B" w:rsidRPr="00CD10F1">
        <w:rPr>
          <w:szCs w:val="22"/>
        </w:rPr>
        <w:t>, ktorí sú nositeľmi</w:t>
      </w:r>
      <w:r w:rsidRPr="00CD10F1">
        <w:rPr>
          <w:szCs w:val="22"/>
        </w:rPr>
        <w:t xml:space="preserve"> alel</w:t>
      </w:r>
      <w:r w:rsidR="00E0593B" w:rsidRPr="00CD10F1">
        <w:rPr>
          <w:szCs w:val="22"/>
        </w:rPr>
        <w:t>y</w:t>
      </w:r>
      <w:r w:rsidRPr="00CD10F1">
        <w:rPr>
          <w:szCs w:val="22"/>
        </w:rPr>
        <w:t xml:space="preserve"> génu SLCO1B1 (c.521T</w:t>
      </w:r>
      <w:r w:rsidR="0022225F" w:rsidRPr="00CD10F1">
        <w:rPr>
          <w:szCs w:val="22"/>
        </w:rPr>
        <w:t xml:space="preserve"> </w:t>
      </w:r>
      <w:r w:rsidRPr="00657DA7">
        <w:rPr>
          <w:szCs w:val="22"/>
        </w:rPr>
        <w:t>&gt; C) kódujúc</w:t>
      </w:r>
      <w:r w:rsidR="00FE5619" w:rsidRPr="00F064AC">
        <w:rPr>
          <w:szCs w:val="22"/>
        </w:rPr>
        <w:t>ej</w:t>
      </w:r>
      <w:r w:rsidRPr="00823BDC">
        <w:rPr>
          <w:szCs w:val="22"/>
        </w:rPr>
        <w:t xml:space="preserve"> menej aktívny proteín</w:t>
      </w:r>
      <w:r w:rsidR="005F0A1A" w:rsidRPr="00823BDC">
        <w:rPr>
          <w:szCs w:val="22"/>
        </w:rPr>
        <w:t xml:space="preserve"> OATP1B1</w:t>
      </w:r>
      <w:r w:rsidR="00FE5619" w:rsidRPr="00823BDC">
        <w:rPr>
          <w:szCs w:val="22"/>
        </w:rPr>
        <w:t>,</w:t>
      </w:r>
      <w:r w:rsidRPr="00823BDC">
        <w:rPr>
          <w:szCs w:val="22"/>
        </w:rPr>
        <w:t xml:space="preserve"> majú zvýšenú systémovú expozíciu kyselin</w:t>
      </w:r>
      <w:r w:rsidR="001B7D04" w:rsidRPr="00823BDC">
        <w:rPr>
          <w:szCs w:val="22"/>
        </w:rPr>
        <w:t>e</w:t>
      </w:r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simvastatínovej</w:t>
      </w:r>
      <w:proofErr w:type="spellEnd"/>
      <w:r w:rsidRPr="00823BDC">
        <w:rPr>
          <w:szCs w:val="22"/>
        </w:rPr>
        <w:t xml:space="preserve"> a zvýšené riziko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. </w:t>
      </w:r>
      <w:r w:rsidR="00FE5619" w:rsidRPr="00823BDC">
        <w:rPr>
          <w:szCs w:val="22"/>
        </w:rPr>
        <w:t>R</w:t>
      </w:r>
      <w:r w:rsidRPr="00823BDC">
        <w:rPr>
          <w:szCs w:val="22"/>
        </w:rPr>
        <w:t xml:space="preserve">iziko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súvisiacej s vysok</w:t>
      </w:r>
      <w:r w:rsidR="00FE5619" w:rsidRPr="00823BDC">
        <w:rPr>
          <w:szCs w:val="22"/>
        </w:rPr>
        <w:t>ou</w:t>
      </w:r>
      <w:r w:rsidRPr="00823BDC">
        <w:rPr>
          <w:szCs w:val="22"/>
        </w:rPr>
        <w:t xml:space="preserve"> dávk</w:t>
      </w:r>
      <w:r w:rsidR="00FE5619" w:rsidRPr="00823BDC">
        <w:rPr>
          <w:szCs w:val="22"/>
        </w:rPr>
        <w:t>ou</w:t>
      </w:r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(80 mg) </w:t>
      </w:r>
      <w:r w:rsidR="00FE5619" w:rsidRPr="00823BDC">
        <w:rPr>
          <w:szCs w:val="22"/>
        </w:rPr>
        <w:t xml:space="preserve">je vo všeobecnosti bez genetického testovania </w:t>
      </w:r>
      <w:r w:rsidRPr="00823BDC">
        <w:rPr>
          <w:szCs w:val="22"/>
        </w:rPr>
        <w:t xml:space="preserve">asi 1%. Na základe výsledkov skúšania SEARCH, homozygotní nositelia alely </w:t>
      </w:r>
      <w:r w:rsidR="00C346CC" w:rsidRPr="00823BDC">
        <w:rPr>
          <w:szCs w:val="22"/>
        </w:rPr>
        <w:t xml:space="preserve">C </w:t>
      </w:r>
      <w:r w:rsidRPr="00823BDC">
        <w:rPr>
          <w:szCs w:val="22"/>
        </w:rPr>
        <w:t>(</w:t>
      </w:r>
      <w:r w:rsidR="00982DE7" w:rsidRPr="00823BDC">
        <w:rPr>
          <w:szCs w:val="22"/>
        </w:rPr>
        <w:t xml:space="preserve">tiež </w:t>
      </w:r>
      <w:r w:rsidRPr="00823BDC">
        <w:rPr>
          <w:szCs w:val="22"/>
        </w:rPr>
        <w:t xml:space="preserve">nazývaní CC), liečení 80 mg majú 15% riziko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v priebehu </w:t>
      </w:r>
      <w:r w:rsidR="00B54664" w:rsidRPr="00823BDC">
        <w:rPr>
          <w:szCs w:val="22"/>
        </w:rPr>
        <w:t xml:space="preserve">1 </w:t>
      </w:r>
      <w:r w:rsidRPr="00823BDC">
        <w:rPr>
          <w:szCs w:val="22"/>
        </w:rPr>
        <w:t>roka, zatiaľ čo riziko u </w:t>
      </w:r>
      <w:proofErr w:type="spellStart"/>
      <w:r w:rsidRPr="00823BDC">
        <w:rPr>
          <w:szCs w:val="22"/>
        </w:rPr>
        <w:t>heterozygotných</w:t>
      </w:r>
      <w:proofErr w:type="spellEnd"/>
      <w:r w:rsidRPr="00823BDC">
        <w:rPr>
          <w:szCs w:val="22"/>
        </w:rPr>
        <w:t xml:space="preserve"> nositeľov alely </w:t>
      </w:r>
      <w:r w:rsidR="00C346CC" w:rsidRPr="00823BDC">
        <w:rPr>
          <w:szCs w:val="22"/>
        </w:rPr>
        <w:t xml:space="preserve">C </w:t>
      </w:r>
      <w:r w:rsidRPr="00823BDC">
        <w:rPr>
          <w:szCs w:val="22"/>
        </w:rPr>
        <w:t xml:space="preserve">(CT) je 1,5%. U pacientov, ktorí majú najčastejší genotyp (TT) je zodpovedajúce riziko 0,3% (pozri časť 5.2). </w:t>
      </w:r>
      <w:r w:rsidR="001B7D04" w:rsidRPr="00823BDC">
        <w:rPr>
          <w:szCs w:val="22"/>
        </w:rPr>
        <w:t>A</w:t>
      </w:r>
      <w:r w:rsidR="00443890" w:rsidRPr="00823BDC">
        <w:rPr>
          <w:szCs w:val="22"/>
        </w:rPr>
        <w:t>k</w:t>
      </w:r>
      <w:r w:rsidR="001B7D04" w:rsidRPr="00823BDC">
        <w:rPr>
          <w:szCs w:val="22"/>
        </w:rPr>
        <w:t xml:space="preserve"> je to</w:t>
      </w:r>
      <w:r w:rsidRPr="00823BDC">
        <w:rPr>
          <w:szCs w:val="22"/>
        </w:rPr>
        <w:t xml:space="preserve"> možné, má </w:t>
      </w:r>
      <w:r w:rsidR="00443890" w:rsidRPr="00823BDC">
        <w:rPr>
          <w:szCs w:val="22"/>
        </w:rPr>
        <w:t xml:space="preserve">sa </w:t>
      </w:r>
      <w:r w:rsidRPr="00823BDC">
        <w:rPr>
          <w:szCs w:val="22"/>
        </w:rPr>
        <w:t xml:space="preserve">ako súčasť hodnotenia prínosu a rizika pred predpísaním 80 mg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</w:t>
      </w:r>
      <w:r w:rsidR="00AA627C" w:rsidRPr="00823BDC">
        <w:rPr>
          <w:szCs w:val="22"/>
        </w:rPr>
        <w:t xml:space="preserve">u jednotlivých pacientov </w:t>
      </w:r>
      <w:r w:rsidRPr="00823BDC">
        <w:rPr>
          <w:szCs w:val="22"/>
        </w:rPr>
        <w:t xml:space="preserve">zvážiť </w:t>
      </w:r>
      <w:proofErr w:type="spellStart"/>
      <w:r w:rsidRPr="00823BDC">
        <w:rPr>
          <w:szCs w:val="22"/>
        </w:rPr>
        <w:t>genotypizácia</w:t>
      </w:r>
      <w:proofErr w:type="spellEnd"/>
      <w:r w:rsidRPr="00823BDC">
        <w:rPr>
          <w:szCs w:val="22"/>
        </w:rPr>
        <w:t xml:space="preserve"> na prítomnosť alely C a vyhnúť sa vysokým dávkam u tých pacientov, </w:t>
      </w:r>
      <w:r w:rsidR="00FF77A9" w:rsidRPr="00823BDC">
        <w:rPr>
          <w:szCs w:val="22"/>
        </w:rPr>
        <w:t>u ktorých sa zistilo</w:t>
      </w:r>
      <w:r w:rsidR="00C346CC" w:rsidRPr="00823BDC">
        <w:rPr>
          <w:szCs w:val="22"/>
        </w:rPr>
        <w:t>,</w:t>
      </w:r>
      <w:r w:rsidR="00FF77A9" w:rsidRPr="00823BDC">
        <w:rPr>
          <w:szCs w:val="22"/>
        </w:rPr>
        <w:t xml:space="preserve"> že sú </w:t>
      </w:r>
      <w:r w:rsidRPr="00823BDC">
        <w:rPr>
          <w:szCs w:val="22"/>
        </w:rPr>
        <w:t>nosite</w:t>
      </w:r>
      <w:r w:rsidR="00FF77A9" w:rsidRPr="00823BDC">
        <w:rPr>
          <w:szCs w:val="22"/>
        </w:rPr>
        <w:t>ľmi</w:t>
      </w:r>
      <w:r w:rsidRPr="00823BDC">
        <w:rPr>
          <w:szCs w:val="22"/>
        </w:rPr>
        <w:t xml:space="preserve"> </w:t>
      </w:r>
      <w:r w:rsidR="00FF77A9" w:rsidRPr="00823BDC">
        <w:rPr>
          <w:szCs w:val="22"/>
        </w:rPr>
        <w:t xml:space="preserve">genotypu </w:t>
      </w:r>
      <w:r w:rsidRPr="00823BDC">
        <w:rPr>
          <w:szCs w:val="22"/>
        </w:rPr>
        <w:t xml:space="preserve">CC. Absencia tohto génu pri </w:t>
      </w:r>
      <w:proofErr w:type="spellStart"/>
      <w:r w:rsidRPr="00823BDC">
        <w:rPr>
          <w:szCs w:val="22"/>
        </w:rPr>
        <w:t>genotyp</w:t>
      </w:r>
      <w:r w:rsidR="00FF77A9" w:rsidRPr="00823BDC">
        <w:rPr>
          <w:szCs w:val="22"/>
        </w:rPr>
        <w:t>izácii</w:t>
      </w:r>
      <w:proofErr w:type="spellEnd"/>
      <w:r w:rsidRPr="00823BDC">
        <w:rPr>
          <w:szCs w:val="22"/>
        </w:rPr>
        <w:t xml:space="preserve"> však nevylučuje možnosť výskytu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>.</w:t>
      </w:r>
    </w:p>
    <w:p w14:paraId="7E12C1C1" w14:textId="77777777" w:rsidR="007B2E7B" w:rsidRPr="00823BDC" w:rsidRDefault="007B2E7B">
      <w:pPr>
        <w:adjustRightInd w:val="0"/>
        <w:snapToGrid w:val="0"/>
        <w:rPr>
          <w:szCs w:val="22"/>
        </w:rPr>
      </w:pPr>
    </w:p>
    <w:p w14:paraId="30A007D1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 xml:space="preserve">Meranie </w:t>
      </w:r>
      <w:r w:rsidR="00A04E02" w:rsidRPr="00823BDC">
        <w:rPr>
          <w:szCs w:val="22"/>
          <w:u w:val="single"/>
        </w:rPr>
        <w:t xml:space="preserve">hladiny </w:t>
      </w:r>
      <w:proofErr w:type="spellStart"/>
      <w:r w:rsidRPr="00823BDC">
        <w:rPr>
          <w:szCs w:val="22"/>
          <w:u w:val="single"/>
        </w:rPr>
        <w:t>kreatínkinázy</w:t>
      </w:r>
      <w:proofErr w:type="spellEnd"/>
    </w:p>
    <w:p w14:paraId="0658BCC3" w14:textId="490AE984" w:rsidR="00D044EB" w:rsidRPr="00CD10F1" w:rsidRDefault="00A04E02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Hladina </w:t>
      </w:r>
      <w:proofErr w:type="spellStart"/>
      <w:r w:rsidRPr="00823BDC">
        <w:rPr>
          <w:snapToGrid w:val="0"/>
          <w:szCs w:val="22"/>
        </w:rPr>
        <w:t>k</w:t>
      </w:r>
      <w:r w:rsidR="00D044EB" w:rsidRPr="00823BDC">
        <w:rPr>
          <w:snapToGrid w:val="0"/>
          <w:szCs w:val="22"/>
        </w:rPr>
        <w:t>reatínkináz</w:t>
      </w:r>
      <w:r w:rsidRPr="00823BDC">
        <w:rPr>
          <w:snapToGrid w:val="0"/>
          <w:szCs w:val="22"/>
        </w:rPr>
        <w:t>y</w:t>
      </w:r>
      <w:proofErr w:type="spellEnd"/>
      <w:r w:rsidR="00D044EB" w:rsidRPr="00823BDC">
        <w:rPr>
          <w:snapToGrid w:val="0"/>
          <w:szCs w:val="22"/>
        </w:rPr>
        <w:t xml:space="preserve"> (CK) sa nemá merať po namáhavom cvičení</w:t>
      </w:r>
      <w:r w:rsidR="001B7D04" w:rsidRPr="00823BDC">
        <w:rPr>
          <w:snapToGrid w:val="0"/>
          <w:szCs w:val="22"/>
        </w:rPr>
        <w:t>,</w:t>
      </w:r>
      <w:r w:rsidR="00D044EB" w:rsidRPr="00823BDC">
        <w:rPr>
          <w:snapToGrid w:val="0"/>
          <w:szCs w:val="22"/>
        </w:rPr>
        <w:t xml:space="preserve"> alebo ak je prítomná akákoľvek </w:t>
      </w:r>
      <w:r w:rsidR="003224C2" w:rsidRPr="00823BDC">
        <w:rPr>
          <w:snapToGrid w:val="0"/>
          <w:szCs w:val="22"/>
        </w:rPr>
        <w:t xml:space="preserve">možná </w:t>
      </w:r>
      <w:r w:rsidR="00D044EB" w:rsidRPr="00823BDC">
        <w:rPr>
          <w:snapToGrid w:val="0"/>
          <w:szCs w:val="22"/>
        </w:rPr>
        <w:t xml:space="preserve">alternatívna príčina zvýšenia </w:t>
      </w:r>
      <w:r w:rsidRPr="00823BDC">
        <w:rPr>
          <w:snapToGrid w:val="0"/>
          <w:szCs w:val="22"/>
        </w:rPr>
        <w:t xml:space="preserve">hladiny </w:t>
      </w:r>
      <w:r w:rsidR="00D044EB" w:rsidRPr="00823BDC">
        <w:rPr>
          <w:snapToGrid w:val="0"/>
          <w:szCs w:val="22"/>
        </w:rPr>
        <w:t>CK, pretože to sťaž</w:t>
      </w:r>
      <w:r w:rsidRPr="00823BDC">
        <w:rPr>
          <w:snapToGrid w:val="0"/>
          <w:szCs w:val="22"/>
        </w:rPr>
        <w:t>uje</w:t>
      </w:r>
      <w:r w:rsidR="00D044EB" w:rsidRPr="00823BDC">
        <w:rPr>
          <w:snapToGrid w:val="0"/>
          <w:szCs w:val="22"/>
        </w:rPr>
        <w:t xml:space="preserve"> interpretáciu </w:t>
      </w:r>
      <w:r w:rsidR="001B7D04" w:rsidRPr="00823BDC">
        <w:rPr>
          <w:snapToGrid w:val="0"/>
          <w:szCs w:val="22"/>
        </w:rPr>
        <w:t>výsledkov</w:t>
      </w:r>
      <w:r w:rsidR="00D044EB" w:rsidRPr="00823BDC">
        <w:rPr>
          <w:snapToGrid w:val="0"/>
          <w:szCs w:val="22"/>
        </w:rPr>
        <w:t>. Ak sú východiskové hladiny CK signifikantne zvýšené (</w:t>
      </w:r>
      <w:r w:rsidR="00D044EB" w:rsidRPr="00530542">
        <w:rPr>
          <w:snapToGrid w:val="0"/>
          <w:szCs w:val="22"/>
        </w:rPr>
        <w:sym w:font="Symbol" w:char="F03E"/>
      </w:r>
      <w:r w:rsidRPr="00530542">
        <w:rPr>
          <w:snapToGrid w:val="0"/>
          <w:szCs w:val="22"/>
        </w:rPr>
        <w:t> </w:t>
      </w:r>
      <w:r w:rsidR="00D044EB" w:rsidRPr="00CD10F1">
        <w:rPr>
          <w:snapToGrid w:val="0"/>
          <w:szCs w:val="22"/>
        </w:rPr>
        <w:t>5</w:t>
      </w:r>
      <w:r w:rsidR="00B54664" w:rsidRPr="00A6540D">
        <w:rPr>
          <w:color w:val="000000"/>
          <w:szCs w:val="22"/>
        </w:rPr>
        <w:t>×</w:t>
      </w:r>
      <w:r w:rsidR="006C6254" w:rsidRPr="00CD10F1">
        <w:rPr>
          <w:snapToGrid w:val="0"/>
          <w:szCs w:val="22"/>
        </w:rPr>
        <w:t xml:space="preserve"> </w:t>
      </w:r>
      <w:r w:rsidR="00D044EB" w:rsidRPr="00CD10F1">
        <w:rPr>
          <w:snapToGrid w:val="0"/>
          <w:szCs w:val="22"/>
        </w:rPr>
        <w:t>HHN), hladiny sa majú znovu zmerať po 5 až 7 dňoch, aby sa výsledky potvrdili.</w:t>
      </w:r>
    </w:p>
    <w:p w14:paraId="154E4488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76A7D804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Pred liečbou</w:t>
      </w:r>
    </w:p>
    <w:p w14:paraId="2016FDA7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Všetci pacienti, u ktorých sa začína</w:t>
      </w:r>
      <w:r w:rsidR="00704D65" w:rsidRPr="00823BDC">
        <w:rPr>
          <w:szCs w:val="22"/>
        </w:rPr>
        <w:t xml:space="preserve"> s liečbou </w:t>
      </w:r>
      <w:proofErr w:type="spellStart"/>
      <w:r w:rsidR="00982DE7" w:rsidRPr="00823BDC">
        <w:rPr>
          <w:szCs w:val="22"/>
        </w:rPr>
        <w:t>Cornusanom</w:t>
      </w:r>
      <w:proofErr w:type="spellEnd"/>
      <w:r w:rsidRPr="00823BDC">
        <w:rPr>
          <w:szCs w:val="22"/>
        </w:rPr>
        <w:t xml:space="preserve"> alebo pacienti, ktorým sa dávka </w:t>
      </w:r>
      <w:proofErr w:type="spellStart"/>
      <w:r w:rsidR="00982DE7" w:rsidRPr="00823BDC">
        <w:rPr>
          <w:szCs w:val="22"/>
        </w:rPr>
        <w:t>Cornusanu</w:t>
      </w:r>
      <w:proofErr w:type="spellEnd"/>
      <w:r w:rsidRPr="00823BDC">
        <w:rPr>
          <w:szCs w:val="22"/>
        </w:rPr>
        <w:t xml:space="preserve"> zvyšuje, musia byť oboznámení </w:t>
      </w:r>
      <w:r w:rsidR="00DF7ADF" w:rsidRPr="00823BDC">
        <w:rPr>
          <w:szCs w:val="22"/>
        </w:rPr>
        <w:t>s</w:t>
      </w:r>
      <w:r w:rsidRPr="00823BDC">
        <w:rPr>
          <w:szCs w:val="22"/>
        </w:rPr>
        <w:t> rizik</w:t>
      </w:r>
      <w:r w:rsidR="00DF7ADF" w:rsidRPr="00823BDC">
        <w:rPr>
          <w:szCs w:val="22"/>
        </w:rPr>
        <w:t>om</w:t>
      </w:r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a upozornení, aby okamžite hlásili akúkoľvek nevysvetliteľnú svalovú bolesť, citlivosť alebo slabosť.</w:t>
      </w:r>
    </w:p>
    <w:p w14:paraId="2D0DAE3C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00E200FA" w14:textId="42AD4033" w:rsidR="00D044EB" w:rsidRPr="00823BDC" w:rsidRDefault="00D044EB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>Opatrnosť je potrebná u pacientov s </w:t>
      </w:r>
      <w:proofErr w:type="spellStart"/>
      <w:r w:rsidRPr="00823BDC">
        <w:rPr>
          <w:snapToGrid w:val="0"/>
          <w:szCs w:val="22"/>
        </w:rPr>
        <w:t>predispozičnými</w:t>
      </w:r>
      <w:proofErr w:type="spellEnd"/>
      <w:r w:rsidRPr="00823BDC">
        <w:rPr>
          <w:snapToGrid w:val="0"/>
          <w:szCs w:val="22"/>
        </w:rPr>
        <w:t xml:space="preserve"> faktormi </w:t>
      </w:r>
      <w:r w:rsidR="00A04E02" w:rsidRPr="00823BDC">
        <w:rPr>
          <w:snapToGrid w:val="0"/>
          <w:szCs w:val="22"/>
        </w:rPr>
        <w:t>vznik</w:t>
      </w:r>
      <w:r w:rsidR="001B7D04" w:rsidRPr="00823BDC">
        <w:rPr>
          <w:snapToGrid w:val="0"/>
          <w:szCs w:val="22"/>
        </w:rPr>
        <w:t>u</w:t>
      </w:r>
      <w:r w:rsidR="00A04E02" w:rsidRPr="00823BDC">
        <w:rPr>
          <w:snapToGrid w:val="0"/>
          <w:szCs w:val="22"/>
        </w:rPr>
        <w:t xml:space="preserve"> </w:t>
      </w:r>
      <w:proofErr w:type="spellStart"/>
      <w:r w:rsidRPr="00823BDC">
        <w:rPr>
          <w:snapToGrid w:val="0"/>
          <w:szCs w:val="22"/>
        </w:rPr>
        <w:t>rabdomyolýzy</w:t>
      </w:r>
      <w:proofErr w:type="spellEnd"/>
      <w:r w:rsidRPr="00823BDC">
        <w:rPr>
          <w:snapToGrid w:val="0"/>
          <w:szCs w:val="22"/>
        </w:rPr>
        <w:t>. Kvôli stanoveniu základnej referenčnej hodnoty sa má hladina CK merať pred začiatkom liečby v nasledujúcich prípadoch:</w:t>
      </w:r>
    </w:p>
    <w:p w14:paraId="794C2DBD" w14:textId="77777777" w:rsidR="00D044EB" w:rsidRPr="00823BDC" w:rsidRDefault="00D044EB" w:rsidP="00A6540D">
      <w:pPr>
        <w:numPr>
          <w:ilvl w:val="0"/>
          <w:numId w:val="3"/>
        </w:numPr>
        <w:tabs>
          <w:tab w:val="clear" w:pos="360"/>
        </w:tabs>
        <w:adjustRightInd w:val="0"/>
        <w:snapToGrid w:val="0"/>
        <w:ind w:left="567" w:hanging="567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starší pacienti (vek </w:t>
      </w:r>
      <w:r w:rsidR="001B7D04" w:rsidRPr="00823BDC">
        <w:rPr>
          <w:snapToGrid w:val="0"/>
          <w:szCs w:val="22"/>
        </w:rPr>
        <w:t>nad</w:t>
      </w:r>
      <w:r w:rsidR="0094157B" w:rsidRPr="00823BDC">
        <w:rPr>
          <w:snapToGrid w:val="0"/>
          <w:szCs w:val="22"/>
        </w:rPr>
        <w:t> </w:t>
      </w:r>
      <w:r w:rsidR="006215A4" w:rsidRPr="00823BDC">
        <w:rPr>
          <w:snapToGrid w:val="0"/>
          <w:szCs w:val="22"/>
        </w:rPr>
        <w:t>65</w:t>
      </w:r>
      <w:r w:rsidR="004D074C" w:rsidRPr="00823BDC">
        <w:rPr>
          <w:snapToGrid w:val="0"/>
          <w:szCs w:val="22"/>
        </w:rPr>
        <w:t xml:space="preserve"> </w:t>
      </w:r>
      <w:r w:rsidRPr="00823BDC">
        <w:rPr>
          <w:snapToGrid w:val="0"/>
          <w:szCs w:val="22"/>
        </w:rPr>
        <w:t>rokov),</w:t>
      </w:r>
    </w:p>
    <w:p w14:paraId="7A83B155" w14:textId="77777777" w:rsidR="00D044EB" w:rsidRPr="00823BDC" w:rsidRDefault="006215A4" w:rsidP="00A6540D">
      <w:pPr>
        <w:numPr>
          <w:ilvl w:val="0"/>
          <w:numId w:val="3"/>
        </w:numPr>
        <w:tabs>
          <w:tab w:val="clear" w:pos="360"/>
        </w:tabs>
        <w:adjustRightInd w:val="0"/>
        <w:snapToGrid w:val="0"/>
        <w:ind w:left="567" w:hanging="567"/>
        <w:rPr>
          <w:snapToGrid w:val="0"/>
          <w:szCs w:val="22"/>
        </w:rPr>
      </w:pPr>
      <w:r w:rsidRPr="00823BDC">
        <w:rPr>
          <w:snapToGrid w:val="0"/>
          <w:szCs w:val="22"/>
        </w:rPr>
        <w:t>ženské pohlavie,</w:t>
      </w:r>
    </w:p>
    <w:p w14:paraId="2936F10F" w14:textId="77777777" w:rsidR="00D044EB" w:rsidRPr="00823BDC" w:rsidRDefault="007F1B6B" w:rsidP="00A6540D">
      <w:pPr>
        <w:numPr>
          <w:ilvl w:val="0"/>
          <w:numId w:val="3"/>
        </w:numPr>
        <w:tabs>
          <w:tab w:val="clear" w:pos="360"/>
        </w:tabs>
        <w:adjustRightInd w:val="0"/>
        <w:snapToGrid w:val="0"/>
        <w:ind w:left="567" w:hanging="567"/>
        <w:rPr>
          <w:snapToGrid w:val="0"/>
          <w:szCs w:val="22"/>
        </w:rPr>
      </w:pPr>
      <w:r w:rsidRPr="00823BDC">
        <w:rPr>
          <w:snapToGrid w:val="0"/>
          <w:szCs w:val="22"/>
        </w:rPr>
        <w:t>porucha</w:t>
      </w:r>
      <w:r w:rsidR="00DF7ADF" w:rsidRPr="00823BDC">
        <w:rPr>
          <w:snapToGrid w:val="0"/>
          <w:szCs w:val="22"/>
        </w:rPr>
        <w:t xml:space="preserve"> funkcie</w:t>
      </w:r>
      <w:r w:rsidR="00D044EB" w:rsidRPr="00823BDC">
        <w:rPr>
          <w:snapToGrid w:val="0"/>
          <w:szCs w:val="22"/>
        </w:rPr>
        <w:t xml:space="preserve"> obličiek,</w:t>
      </w:r>
    </w:p>
    <w:p w14:paraId="3BCA8492" w14:textId="77777777" w:rsidR="00D044EB" w:rsidRPr="00823BDC" w:rsidRDefault="001B7D04" w:rsidP="00A6540D">
      <w:pPr>
        <w:numPr>
          <w:ilvl w:val="0"/>
          <w:numId w:val="3"/>
        </w:numPr>
        <w:tabs>
          <w:tab w:val="clear" w:pos="360"/>
        </w:tabs>
        <w:adjustRightInd w:val="0"/>
        <w:snapToGrid w:val="0"/>
        <w:ind w:left="567" w:hanging="567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neliečená </w:t>
      </w:r>
      <w:proofErr w:type="spellStart"/>
      <w:r w:rsidR="00D044EB" w:rsidRPr="00823BDC">
        <w:rPr>
          <w:snapToGrid w:val="0"/>
          <w:szCs w:val="22"/>
        </w:rPr>
        <w:t>hypotyre</w:t>
      </w:r>
      <w:r w:rsidR="00A04E02" w:rsidRPr="00823BDC">
        <w:rPr>
          <w:snapToGrid w:val="0"/>
          <w:szCs w:val="22"/>
        </w:rPr>
        <w:t>óza</w:t>
      </w:r>
      <w:proofErr w:type="spellEnd"/>
      <w:r w:rsidR="00D044EB" w:rsidRPr="00823BDC">
        <w:rPr>
          <w:snapToGrid w:val="0"/>
          <w:szCs w:val="22"/>
        </w:rPr>
        <w:t>,</w:t>
      </w:r>
    </w:p>
    <w:p w14:paraId="634CB0C0" w14:textId="77777777" w:rsidR="00D044EB" w:rsidRPr="00823BDC" w:rsidRDefault="00D044EB" w:rsidP="00A6540D">
      <w:pPr>
        <w:numPr>
          <w:ilvl w:val="0"/>
          <w:numId w:val="3"/>
        </w:numPr>
        <w:tabs>
          <w:tab w:val="clear" w:pos="360"/>
        </w:tabs>
        <w:adjustRightInd w:val="0"/>
        <w:snapToGrid w:val="0"/>
        <w:ind w:left="567" w:hanging="567"/>
        <w:rPr>
          <w:snapToGrid w:val="0"/>
          <w:szCs w:val="22"/>
        </w:rPr>
      </w:pPr>
      <w:r w:rsidRPr="00823BDC">
        <w:rPr>
          <w:snapToGrid w:val="0"/>
          <w:szCs w:val="22"/>
        </w:rPr>
        <w:t>dedičné muskulárne poruchy v osobnej alebo rodinnej anamnéze,</w:t>
      </w:r>
    </w:p>
    <w:p w14:paraId="10259C2E" w14:textId="77777777" w:rsidR="00D044EB" w:rsidRPr="00823BDC" w:rsidRDefault="00D044EB" w:rsidP="00A6540D">
      <w:pPr>
        <w:numPr>
          <w:ilvl w:val="0"/>
          <w:numId w:val="3"/>
        </w:numPr>
        <w:tabs>
          <w:tab w:val="clear" w:pos="360"/>
        </w:tabs>
        <w:adjustRightInd w:val="0"/>
        <w:snapToGrid w:val="0"/>
        <w:ind w:left="567" w:hanging="567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muskulárna toxicita pri </w:t>
      </w:r>
      <w:proofErr w:type="spellStart"/>
      <w:r w:rsidRPr="00823BDC">
        <w:rPr>
          <w:snapToGrid w:val="0"/>
          <w:szCs w:val="22"/>
        </w:rPr>
        <w:t>statíne</w:t>
      </w:r>
      <w:proofErr w:type="spellEnd"/>
      <w:r w:rsidRPr="00823BDC">
        <w:rPr>
          <w:snapToGrid w:val="0"/>
          <w:szCs w:val="22"/>
        </w:rPr>
        <w:t xml:space="preserve"> alebo </w:t>
      </w:r>
      <w:proofErr w:type="spellStart"/>
      <w:r w:rsidRPr="00823BDC">
        <w:rPr>
          <w:snapToGrid w:val="0"/>
          <w:szCs w:val="22"/>
        </w:rPr>
        <w:t>fibráte</w:t>
      </w:r>
      <w:proofErr w:type="spellEnd"/>
      <w:r w:rsidRPr="00823BDC">
        <w:rPr>
          <w:snapToGrid w:val="0"/>
          <w:szCs w:val="22"/>
        </w:rPr>
        <w:t xml:space="preserve"> v anamnéze,</w:t>
      </w:r>
    </w:p>
    <w:p w14:paraId="0DE54FCE" w14:textId="77777777" w:rsidR="00D044EB" w:rsidRPr="00823BDC" w:rsidRDefault="00DF7ADF" w:rsidP="00A6540D">
      <w:pPr>
        <w:numPr>
          <w:ilvl w:val="0"/>
          <w:numId w:val="3"/>
        </w:numPr>
        <w:tabs>
          <w:tab w:val="clear" w:pos="360"/>
        </w:tabs>
        <w:adjustRightInd w:val="0"/>
        <w:snapToGrid w:val="0"/>
        <w:ind w:left="567" w:hanging="567"/>
        <w:rPr>
          <w:snapToGrid w:val="0"/>
          <w:szCs w:val="22"/>
        </w:rPr>
      </w:pPr>
      <w:r w:rsidRPr="00823BDC">
        <w:rPr>
          <w:snapToGrid w:val="0"/>
          <w:szCs w:val="22"/>
        </w:rPr>
        <w:t>závislosť od</w:t>
      </w:r>
      <w:r w:rsidR="00D044EB" w:rsidRPr="00823BDC">
        <w:rPr>
          <w:snapToGrid w:val="0"/>
          <w:szCs w:val="22"/>
        </w:rPr>
        <w:t xml:space="preserve"> alkoholu.</w:t>
      </w:r>
    </w:p>
    <w:p w14:paraId="31334311" w14:textId="77777777" w:rsidR="00D044EB" w:rsidRPr="00823BDC" w:rsidRDefault="00D044EB" w:rsidP="00F004C3">
      <w:pPr>
        <w:adjustRightInd w:val="0"/>
        <w:snapToGrid w:val="0"/>
        <w:rPr>
          <w:szCs w:val="22"/>
        </w:rPr>
      </w:pPr>
    </w:p>
    <w:p w14:paraId="16A0A39E" w14:textId="77777777" w:rsidR="00D044EB" w:rsidRPr="00CD10F1" w:rsidRDefault="00D044EB" w:rsidP="000E2387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V takýchto situáciách </w:t>
      </w:r>
      <w:r w:rsidR="001B7D04" w:rsidRPr="00823BDC">
        <w:rPr>
          <w:snapToGrid w:val="0"/>
          <w:szCs w:val="22"/>
        </w:rPr>
        <w:t>je po</w:t>
      </w:r>
      <w:r w:rsidRPr="00823BDC">
        <w:rPr>
          <w:snapToGrid w:val="0"/>
          <w:szCs w:val="22"/>
        </w:rPr>
        <w:t>treb</w:t>
      </w:r>
      <w:r w:rsidR="001B7D04" w:rsidRPr="00823BDC">
        <w:rPr>
          <w:snapToGrid w:val="0"/>
          <w:szCs w:val="22"/>
        </w:rPr>
        <w:t>né</w:t>
      </w:r>
      <w:r w:rsidRPr="00823BDC">
        <w:rPr>
          <w:snapToGrid w:val="0"/>
          <w:szCs w:val="22"/>
        </w:rPr>
        <w:t xml:space="preserve"> zvážiť riziko liečby vo</w:t>
      </w:r>
      <w:r w:rsidR="006C6254" w:rsidRPr="00823BDC">
        <w:rPr>
          <w:snapToGrid w:val="0"/>
          <w:szCs w:val="22"/>
        </w:rPr>
        <w:t xml:space="preserve"> </w:t>
      </w:r>
      <w:r w:rsidRPr="00823BDC">
        <w:rPr>
          <w:snapToGrid w:val="0"/>
          <w:szCs w:val="22"/>
        </w:rPr>
        <w:t xml:space="preserve">vzťahu k možnému prínosu a odporúča sa klinické sledovanie. Ak mal pacient v minulosti poruchu svalstva pri liečbe </w:t>
      </w:r>
      <w:proofErr w:type="spellStart"/>
      <w:r w:rsidRPr="00823BDC">
        <w:rPr>
          <w:snapToGrid w:val="0"/>
          <w:szCs w:val="22"/>
        </w:rPr>
        <w:t>fibrátom</w:t>
      </w:r>
      <w:proofErr w:type="spellEnd"/>
      <w:r w:rsidRPr="00823BDC">
        <w:rPr>
          <w:snapToGrid w:val="0"/>
          <w:szCs w:val="22"/>
        </w:rPr>
        <w:t xml:space="preserve"> alebo </w:t>
      </w:r>
      <w:proofErr w:type="spellStart"/>
      <w:r w:rsidRPr="00823BDC">
        <w:rPr>
          <w:snapToGrid w:val="0"/>
          <w:szCs w:val="22"/>
        </w:rPr>
        <w:t>statínom</w:t>
      </w:r>
      <w:proofErr w:type="spellEnd"/>
      <w:r w:rsidRPr="00823BDC">
        <w:rPr>
          <w:snapToGrid w:val="0"/>
          <w:szCs w:val="22"/>
        </w:rPr>
        <w:t xml:space="preserve">, liečba akýmkoľvek liekom obsahujúcim </w:t>
      </w:r>
      <w:proofErr w:type="spellStart"/>
      <w:r w:rsidRPr="00823BDC">
        <w:rPr>
          <w:snapToGrid w:val="0"/>
          <w:szCs w:val="22"/>
        </w:rPr>
        <w:t>statín</w:t>
      </w:r>
      <w:proofErr w:type="spellEnd"/>
      <w:r w:rsidRPr="00823BDC">
        <w:rPr>
          <w:snapToGrid w:val="0"/>
          <w:szCs w:val="22"/>
        </w:rPr>
        <w:t xml:space="preserve"> (a</w:t>
      </w:r>
      <w:r w:rsidR="00A04E02" w:rsidRPr="00823BDC">
        <w:rPr>
          <w:snapToGrid w:val="0"/>
          <w:szCs w:val="22"/>
        </w:rPr>
        <w:t>ko napr.</w:t>
      </w:r>
      <w:r w:rsidRPr="00823BDC">
        <w:rPr>
          <w:snapToGrid w:val="0"/>
          <w:szCs w:val="22"/>
        </w:rPr>
        <w:t xml:space="preserve"> </w:t>
      </w:r>
      <w:proofErr w:type="spellStart"/>
      <w:r w:rsidR="00457F7C" w:rsidRPr="00823BDC">
        <w:rPr>
          <w:snapToGrid w:val="0"/>
          <w:szCs w:val="22"/>
        </w:rPr>
        <w:t>Cornusan</w:t>
      </w:r>
      <w:proofErr w:type="spellEnd"/>
      <w:r w:rsidRPr="00823BDC">
        <w:rPr>
          <w:snapToGrid w:val="0"/>
          <w:szCs w:val="22"/>
        </w:rPr>
        <w:t>) sa má začať jedine s opatrnosťou. Ak sú východiskové hladiny CK významne zvýšené (</w:t>
      </w:r>
      <w:r w:rsidRPr="00530542">
        <w:rPr>
          <w:snapToGrid w:val="0"/>
          <w:szCs w:val="22"/>
        </w:rPr>
        <w:sym w:font="Symbol" w:char="F03E"/>
      </w:r>
      <w:r w:rsidR="00A04E02" w:rsidRPr="00530542">
        <w:rPr>
          <w:snapToGrid w:val="0"/>
          <w:szCs w:val="22"/>
        </w:rPr>
        <w:t> </w:t>
      </w:r>
      <w:r w:rsidRPr="00CD10F1">
        <w:rPr>
          <w:snapToGrid w:val="0"/>
          <w:szCs w:val="22"/>
        </w:rPr>
        <w:t>5</w:t>
      </w:r>
      <w:r w:rsidRPr="00CD10F1">
        <w:rPr>
          <w:snapToGrid w:val="0"/>
          <w:szCs w:val="22"/>
        </w:rPr>
        <w:noBreakHyphen/>
        <w:t>násobok HHN), liečba sa nesmie začať.</w:t>
      </w:r>
    </w:p>
    <w:p w14:paraId="2BB19FF8" w14:textId="77777777" w:rsidR="00D044EB" w:rsidRPr="00CD10F1" w:rsidRDefault="00D044EB" w:rsidP="000E2387">
      <w:pPr>
        <w:adjustRightInd w:val="0"/>
        <w:snapToGrid w:val="0"/>
        <w:rPr>
          <w:i/>
          <w:szCs w:val="22"/>
          <w:u w:val="single"/>
        </w:rPr>
      </w:pPr>
    </w:p>
    <w:p w14:paraId="5852B014" w14:textId="77777777" w:rsidR="00D044EB" w:rsidRPr="00CD10F1" w:rsidRDefault="00D044EB" w:rsidP="000E2387">
      <w:pPr>
        <w:keepNext/>
        <w:adjustRightInd w:val="0"/>
        <w:snapToGrid w:val="0"/>
        <w:rPr>
          <w:szCs w:val="22"/>
          <w:u w:val="single"/>
        </w:rPr>
      </w:pPr>
      <w:r w:rsidRPr="00CD10F1">
        <w:rPr>
          <w:szCs w:val="22"/>
          <w:u w:val="single"/>
        </w:rPr>
        <w:t>Počas liečby</w:t>
      </w:r>
    </w:p>
    <w:p w14:paraId="7739D7F0" w14:textId="77777777" w:rsidR="00D044EB" w:rsidRPr="00823BDC" w:rsidRDefault="00D044EB" w:rsidP="000E2387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Ak sa počas liečby </w:t>
      </w:r>
      <w:proofErr w:type="spellStart"/>
      <w:r w:rsidR="00457F7C" w:rsidRPr="00823BDC">
        <w:rPr>
          <w:snapToGrid w:val="0"/>
          <w:szCs w:val="22"/>
        </w:rPr>
        <w:t>Cornusanom</w:t>
      </w:r>
      <w:proofErr w:type="spellEnd"/>
      <w:r w:rsidRPr="00823BDC">
        <w:rPr>
          <w:snapToGrid w:val="0"/>
          <w:szCs w:val="22"/>
        </w:rPr>
        <w:t xml:space="preserve"> vyskytne u pacienta svalová bolesť, slabosť alebo kŕče, je potrebné zmerať jeho hladiny CK. Ak sú namerané hladiny</w:t>
      </w:r>
      <w:r w:rsidR="00DF7ADF" w:rsidRPr="00823BDC">
        <w:rPr>
          <w:snapToGrid w:val="0"/>
          <w:szCs w:val="22"/>
        </w:rPr>
        <w:t xml:space="preserve"> aj</w:t>
      </w:r>
      <w:r w:rsidRPr="00823BDC">
        <w:rPr>
          <w:snapToGrid w:val="0"/>
          <w:szCs w:val="22"/>
        </w:rPr>
        <w:t xml:space="preserve"> </w:t>
      </w:r>
      <w:r w:rsidR="00DF7ADF" w:rsidRPr="00823BDC">
        <w:rPr>
          <w:snapToGrid w:val="0"/>
          <w:szCs w:val="22"/>
        </w:rPr>
        <w:t>bez</w:t>
      </w:r>
      <w:r w:rsidRPr="00823BDC">
        <w:rPr>
          <w:snapToGrid w:val="0"/>
          <w:szCs w:val="22"/>
        </w:rPr>
        <w:t xml:space="preserve"> namáhavého cvičenia významne zvýšené </w:t>
      </w:r>
      <w:r w:rsidRPr="00823BDC">
        <w:rPr>
          <w:snapToGrid w:val="0"/>
          <w:szCs w:val="22"/>
        </w:rPr>
        <w:lastRenderedPageBreak/>
        <w:t>(</w:t>
      </w:r>
      <w:r w:rsidRPr="00530542">
        <w:rPr>
          <w:snapToGrid w:val="0"/>
          <w:szCs w:val="22"/>
        </w:rPr>
        <w:sym w:font="Symbol" w:char="F03E"/>
      </w:r>
      <w:r w:rsidR="00A04E02" w:rsidRPr="00530542">
        <w:rPr>
          <w:snapToGrid w:val="0"/>
          <w:szCs w:val="22"/>
        </w:rPr>
        <w:t> </w:t>
      </w:r>
      <w:r w:rsidRPr="00CD10F1">
        <w:rPr>
          <w:snapToGrid w:val="0"/>
          <w:szCs w:val="22"/>
        </w:rPr>
        <w:t>5</w:t>
      </w:r>
      <w:r w:rsidRPr="00CD10F1">
        <w:rPr>
          <w:snapToGrid w:val="0"/>
          <w:szCs w:val="22"/>
        </w:rPr>
        <w:noBreakHyphen/>
        <w:t>násobok</w:t>
      </w:r>
      <w:r w:rsidR="004D074C" w:rsidRPr="00CD10F1">
        <w:rPr>
          <w:snapToGrid w:val="0"/>
          <w:szCs w:val="22"/>
        </w:rPr>
        <w:t xml:space="preserve"> </w:t>
      </w:r>
      <w:r w:rsidRPr="00CD10F1">
        <w:rPr>
          <w:snapToGrid w:val="0"/>
          <w:szCs w:val="22"/>
        </w:rPr>
        <w:t>HHN), liečb</w:t>
      </w:r>
      <w:r w:rsidR="00A04E02" w:rsidRPr="00CD10F1">
        <w:rPr>
          <w:snapToGrid w:val="0"/>
          <w:szCs w:val="22"/>
        </w:rPr>
        <w:t>a</w:t>
      </w:r>
      <w:r w:rsidRPr="00CD10F1">
        <w:rPr>
          <w:snapToGrid w:val="0"/>
          <w:szCs w:val="22"/>
        </w:rPr>
        <w:t xml:space="preserve"> </w:t>
      </w:r>
      <w:r w:rsidR="00A04E02" w:rsidRPr="00657DA7">
        <w:rPr>
          <w:snapToGrid w:val="0"/>
          <w:szCs w:val="22"/>
        </w:rPr>
        <w:t>sa má</w:t>
      </w:r>
      <w:r w:rsidRPr="00F064AC">
        <w:rPr>
          <w:snapToGrid w:val="0"/>
          <w:szCs w:val="22"/>
        </w:rPr>
        <w:t xml:space="preserve"> </w:t>
      </w:r>
      <w:r w:rsidR="001B7D04" w:rsidRPr="00823BDC">
        <w:rPr>
          <w:snapToGrid w:val="0"/>
          <w:szCs w:val="22"/>
        </w:rPr>
        <w:t>ukončiť</w:t>
      </w:r>
      <w:r w:rsidRPr="00823BDC">
        <w:rPr>
          <w:snapToGrid w:val="0"/>
          <w:szCs w:val="22"/>
        </w:rPr>
        <w:t xml:space="preserve">. Ak sú svalové </w:t>
      </w:r>
      <w:r w:rsidR="00A04E02" w:rsidRPr="00823BDC">
        <w:rPr>
          <w:snapToGrid w:val="0"/>
          <w:szCs w:val="22"/>
        </w:rPr>
        <w:t>príznaky závažné</w:t>
      </w:r>
      <w:r w:rsidRPr="00823BDC">
        <w:rPr>
          <w:snapToGrid w:val="0"/>
          <w:szCs w:val="22"/>
        </w:rPr>
        <w:t xml:space="preserve"> a spôsobujú každodenn</w:t>
      </w:r>
      <w:r w:rsidR="00A04E02" w:rsidRPr="00823BDC">
        <w:rPr>
          <w:snapToGrid w:val="0"/>
          <w:szCs w:val="22"/>
        </w:rPr>
        <w:t>é</w:t>
      </w:r>
      <w:r w:rsidRPr="00823BDC">
        <w:rPr>
          <w:snapToGrid w:val="0"/>
          <w:szCs w:val="22"/>
        </w:rPr>
        <w:t xml:space="preserve"> </w:t>
      </w:r>
      <w:r w:rsidR="00A04E02" w:rsidRPr="00823BDC">
        <w:rPr>
          <w:snapToGrid w:val="0"/>
          <w:szCs w:val="22"/>
        </w:rPr>
        <w:t>nepríjemnosti</w:t>
      </w:r>
      <w:r w:rsidRPr="00823BDC">
        <w:rPr>
          <w:snapToGrid w:val="0"/>
          <w:szCs w:val="22"/>
        </w:rPr>
        <w:t xml:space="preserve">, a to aj v prípade, </w:t>
      </w:r>
      <w:r w:rsidR="00704D65" w:rsidRPr="00823BDC">
        <w:rPr>
          <w:snapToGrid w:val="0"/>
          <w:szCs w:val="22"/>
        </w:rPr>
        <w:t xml:space="preserve">ak </w:t>
      </w:r>
      <w:r w:rsidRPr="00823BDC">
        <w:rPr>
          <w:snapToGrid w:val="0"/>
          <w:szCs w:val="22"/>
        </w:rPr>
        <w:t>sú hladiny CK &lt;</w:t>
      </w:r>
      <w:r w:rsidR="00A04E02" w:rsidRPr="00823BDC">
        <w:rPr>
          <w:snapToGrid w:val="0"/>
          <w:szCs w:val="22"/>
        </w:rPr>
        <w:t> </w:t>
      </w:r>
      <w:r w:rsidRPr="00823BDC">
        <w:rPr>
          <w:snapToGrid w:val="0"/>
          <w:szCs w:val="22"/>
        </w:rPr>
        <w:t>5</w:t>
      </w:r>
      <w:r w:rsidRPr="00823BDC">
        <w:rPr>
          <w:snapToGrid w:val="0"/>
          <w:szCs w:val="22"/>
        </w:rPr>
        <w:noBreakHyphen/>
        <w:t>násobok</w:t>
      </w:r>
      <w:r w:rsidR="004D074C" w:rsidRPr="00823BDC">
        <w:rPr>
          <w:snapToGrid w:val="0"/>
          <w:szCs w:val="22"/>
        </w:rPr>
        <w:t xml:space="preserve"> </w:t>
      </w:r>
      <w:r w:rsidRPr="00823BDC">
        <w:rPr>
          <w:snapToGrid w:val="0"/>
          <w:szCs w:val="22"/>
        </w:rPr>
        <w:t xml:space="preserve">HHN, </w:t>
      </w:r>
      <w:r w:rsidR="00A04E02" w:rsidRPr="00823BDC">
        <w:rPr>
          <w:snapToGrid w:val="0"/>
          <w:szCs w:val="22"/>
        </w:rPr>
        <w:t>môže sa</w:t>
      </w:r>
      <w:r w:rsidRPr="00823BDC">
        <w:rPr>
          <w:snapToGrid w:val="0"/>
          <w:szCs w:val="22"/>
        </w:rPr>
        <w:t xml:space="preserve"> zvážiť prerušenie liečby. Ak je podozrenie na </w:t>
      </w:r>
      <w:proofErr w:type="spellStart"/>
      <w:r w:rsidRPr="00823BDC">
        <w:rPr>
          <w:snapToGrid w:val="0"/>
          <w:szCs w:val="22"/>
        </w:rPr>
        <w:t>myopatiu</w:t>
      </w:r>
      <w:proofErr w:type="spellEnd"/>
      <w:r w:rsidRPr="00823BDC">
        <w:rPr>
          <w:snapToGrid w:val="0"/>
          <w:szCs w:val="22"/>
        </w:rPr>
        <w:t xml:space="preserve"> z akéhokoľvek iného dôvodu, liečba sa má prerušiť.</w:t>
      </w:r>
    </w:p>
    <w:p w14:paraId="011E08E1" w14:textId="77777777" w:rsidR="00D044EB" w:rsidRPr="00823BDC" w:rsidRDefault="00D044EB" w:rsidP="005332CD">
      <w:pPr>
        <w:adjustRightInd w:val="0"/>
        <w:snapToGrid w:val="0"/>
        <w:rPr>
          <w:snapToGrid w:val="0"/>
          <w:szCs w:val="22"/>
        </w:rPr>
      </w:pPr>
    </w:p>
    <w:p w14:paraId="7847486C" w14:textId="77777777" w:rsidR="00B45C90" w:rsidRPr="00823BDC" w:rsidRDefault="00B45C90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Počas liečby alebo po liečbe niektorými </w:t>
      </w:r>
      <w:proofErr w:type="spellStart"/>
      <w:r w:rsidRPr="00823BDC">
        <w:rPr>
          <w:snapToGrid w:val="0"/>
          <w:szCs w:val="22"/>
        </w:rPr>
        <w:t>statínmi</w:t>
      </w:r>
      <w:proofErr w:type="spellEnd"/>
      <w:r w:rsidRPr="00823BDC">
        <w:rPr>
          <w:snapToGrid w:val="0"/>
          <w:szCs w:val="22"/>
        </w:rPr>
        <w:t xml:space="preserve"> boli hlásené veľmi zriedkavé prípady </w:t>
      </w:r>
      <w:proofErr w:type="spellStart"/>
      <w:r w:rsidRPr="00823BDC">
        <w:rPr>
          <w:snapToGrid w:val="0"/>
          <w:szCs w:val="22"/>
        </w:rPr>
        <w:t>nekrotizujúcej</w:t>
      </w:r>
      <w:proofErr w:type="spellEnd"/>
      <w:r w:rsidRPr="00823BDC">
        <w:rPr>
          <w:snapToGrid w:val="0"/>
          <w:szCs w:val="22"/>
        </w:rPr>
        <w:t xml:space="preserve"> </w:t>
      </w:r>
      <w:proofErr w:type="spellStart"/>
      <w:r w:rsidRPr="00823BDC">
        <w:rPr>
          <w:snapToGrid w:val="0"/>
          <w:szCs w:val="22"/>
        </w:rPr>
        <w:t>myopatie</w:t>
      </w:r>
      <w:proofErr w:type="spellEnd"/>
      <w:r w:rsidRPr="00823BDC">
        <w:rPr>
          <w:snapToGrid w:val="0"/>
          <w:szCs w:val="22"/>
        </w:rPr>
        <w:t xml:space="preserve"> sprostredkovanej imunitným systémom (</w:t>
      </w:r>
      <w:proofErr w:type="spellStart"/>
      <w:r w:rsidRPr="00823BDC">
        <w:rPr>
          <w:snapToGrid w:val="0"/>
          <w:szCs w:val="22"/>
        </w:rPr>
        <w:t>immune-mediated</w:t>
      </w:r>
      <w:proofErr w:type="spellEnd"/>
      <w:r w:rsidRPr="00823BDC">
        <w:rPr>
          <w:snapToGrid w:val="0"/>
          <w:szCs w:val="22"/>
        </w:rPr>
        <w:t xml:space="preserve"> </w:t>
      </w:r>
      <w:proofErr w:type="spellStart"/>
      <w:r w:rsidRPr="00823BDC">
        <w:rPr>
          <w:snapToGrid w:val="0"/>
          <w:szCs w:val="22"/>
        </w:rPr>
        <w:t>necrotizing</w:t>
      </w:r>
      <w:proofErr w:type="spellEnd"/>
      <w:r w:rsidRPr="00823BDC">
        <w:rPr>
          <w:snapToGrid w:val="0"/>
          <w:szCs w:val="22"/>
        </w:rPr>
        <w:t xml:space="preserve"> </w:t>
      </w:r>
      <w:proofErr w:type="spellStart"/>
      <w:r w:rsidRPr="00823BDC">
        <w:rPr>
          <w:snapToGrid w:val="0"/>
          <w:szCs w:val="22"/>
        </w:rPr>
        <w:t>myopathy</w:t>
      </w:r>
      <w:proofErr w:type="spellEnd"/>
      <w:r w:rsidRPr="00823BDC">
        <w:rPr>
          <w:snapToGrid w:val="0"/>
          <w:szCs w:val="22"/>
        </w:rPr>
        <w:t xml:space="preserve">, IMNM). IMNM je klinicky charakterizovaná pretrvávajúcou slabosťou </w:t>
      </w:r>
      <w:proofErr w:type="spellStart"/>
      <w:r w:rsidRPr="00823BDC">
        <w:rPr>
          <w:snapToGrid w:val="0"/>
          <w:szCs w:val="22"/>
        </w:rPr>
        <w:t>proximálnych</w:t>
      </w:r>
      <w:proofErr w:type="spellEnd"/>
      <w:r w:rsidRPr="00823BDC">
        <w:rPr>
          <w:snapToGrid w:val="0"/>
          <w:szCs w:val="22"/>
        </w:rPr>
        <w:t xml:space="preserve"> svalov a zvýšenou sérovou hladinou </w:t>
      </w:r>
      <w:proofErr w:type="spellStart"/>
      <w:r w:rsidRPr="00823BDC">
        <w:rPr>
          <w:snapToGrid w:val="0"/>
          <w:szCs w:val="22"/>
        </w:rPr>
        <w:t>kreatínkinázy</w:t>
      </w:r>
      <w:proofErr w:type="spellEnd"/>
      <w:r w:rsidRPr="00823BDC">
        <w:rPr>
          <w:snapToGrid w:val="0"/>
          <w:szCs w:val="22"/>
        </w:rPr>
        <w:t xml:space="preserve">, ktoré pretrvávajú napriek ukončeniu liečby </w:t>
      </w:r>
      <w:proofErr w:type="spellStart"/>
      <w:r w:rsidRPr="00823BDC">
        <w:rPr>
          <w:snapToGrid w:val="0"/>
          <w:szCs w:val="22"/>
        </w:rPr>
        <w:t>statínmi</w:t>
      </w:r>
      <w:proofErr w:type="spellEnd"/>
      <w:r w:rsidRPr="00823BDC">
        <w:rPr>
          <w:snapToGrid w:val="0"/>
          <w:szCs w:val="22"/>
        </w:rPr>
        <w:t>.</w:t>
      </w:r>
    </w:p>
    <w:p w14:paraId="61B24946" w14:textId="77777777" w:rsidR="00141645" w:rsidRPr="00823BDC" w:rsidRDefault="00141645">
      <w:pPr>
        <w:adjustRightInd w:val="0"/>
        <w:snapToGrid w:val="0"/>
        <w:rPr>
          <w:snapToGrid w:val="0"/>
          <w:szCs w:val="22"/>
        </w:rPr>
      </w:pPr>
    </w:p>
    <w:p w14:paraId="0FB1F958" w14:textId="77777777" w:rsidR="00D044EB" w:rsidRPr="00823BDC" w:rsidRDefault="00704D65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Ak </w:t>
      </w:r>
      <w:r w:rsidR="00D044EB" w:rsidRPr="00823BDC">
        <w:rPr>
          <w:snapToGrid w:val="0"/>
          <w:szCs w:val="22"/>
        </w:rPr>
        <w:t>príznaky pominú a hladiny CK sa vrátia do normálu, je možné uvažovať o</w:t>
      </w:r>
      <w:r w:rsidR="00081701" w:rsidRPr="00823BDC">
        <w:rPr>
          <w:snapToGrid w:val="0"/>
          <w:szCs w:val="22"/>
        </w:rPr>
        <w:t xml:space="preserve"> opätovnom </w:t>
      </w:r>
      <w:r w:rsidR="00D044EB" w:rsidRPr="00823BDC">
        <w:rPr>
          <w:snapToGrid w:val="0"/>
          <w:szCs w:val="22"/>
        </w:rPr>
        <w:t xml:space="preserve">začatí liečby </w:t>
      </w:r>
      <w:proofErr w:type="spellStart"/>
      <w:r w:rsidR="004B5DEB" w:rsidRPr="00823BDC">
        <w:rPr>
          <w:snapToGrid w:val="0"/>
          <w:szCs w:val="22"/>
        </w:rPr>
        <w:t>Cornusanom</w:t>
      </w:r>
      <w:proofErr w:type="spellEnd"/>
      <w:r w:rsidR="00D044EB" w:rsidRPr="00823BDC">
        <w:rPr>
          <w:snapToGrid w:val="0"/>
          <w:szCs w:val="22"/>
        </w:rPr>
        <w:t xml:space="preserve"> alebo o začatí liečby iným </w:t>
      </w:r>
      <w:r w:rsidR="00A04E02" w:rsidRPr="00823BDC">
        <w:rPr>
          <w:snapToGrid w:val="0"/>
          <w:szCs w:val="22"/>
        </w:rPr>
        <w:t>liekom</w:t>
      </w:r>
      <w:r w:rsidR="00D044EB" w:rsidRPr="00823BDC">
        <w:rPr>
          <w:snapToGrid w:val="0"/>
          <w:szCs w:val="22"/>
        </w:rPr>
        <w:t xml:space="preserve"> obsahujúcim </w:t>
      </w:r>
      <w:proofErr w:type="spellStart"/>
      <w:r w:rsidR="00D044EB" w:rsidRPr="00823BDC">
        <w:rPr>
          <w:snapToGrid w:val="0"/>
          <w:szCs w:val="22"/>
        </w:rPr>
        <w:t>statín</w:t>
      </w:r>
      <w:proofErr w:type="spellEnd"/>
      <w:r w:rsidR="00D044EB" w:rsidRPr="00823BDC">
        <w:rPr>
          <w:snapToGrid w:val="0"/>
          <w:szCs w:val="22"/>
        </w:rPr>
        <w:t xml:space="preserve"> v najnižšej dávke a pri dôkladnom sledovaní.</w:t>
      </w:r>
    </w:p>
    <w:p w14:paraId="39B7628F" w14:textId="77777777" w:rsidR="00D044EB" w:rsidRPr="00823BDC" w:rsidRDefault="00D044EB">
      <w:pPr>
        <w:adjustRightInd w:val="0"/>
        <w:snapToGrid w:val="0"/>
        <w:rPr>
          <w:spacing w:val="-2"/>
          <w:szCs w:val="22"/>
        </w:rPr>
      </w:pPr>
    </w:p>
    <w:p w14:paraId="4B4CEDA0" w14:textId="77777777" w:rsidR="006215A4" w:rsidRPr="00823BDC" w:rsidRDefault="006215A4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U pacientov nastavených na dávku 80 mg </w:t>
      </w:r>
      <w:proofErr w:type="spellStart"/>
      <w:r w:rsidRPr="00823BDC">
        <w:rPr>
          <w:snapToGrid w:val="0"/>
          <w:szCs w:val="22"/>
        </w:rPr>
        <w:t>simvastatínu</w:t>
      </w:r>
      <w:proofErr w:type="spellEnd"/>
      <w:r w:rsidRPr="00823BDC">
        <w:rPr>
          <w:snapToGrid w:val="0"/>
          <w:szCs w:val="22"/>
        </w:rPr>
        <w:t xml:space="preserve"> sa pozorovala vyššia miera </w:t>
      </w:r>
      <w:proofErr w:type="spellStart"/>
      <w:r w:rsidRPr="00823BDC">
        <w:rPr>
          <w:snapToGrid w:val="0"/>
          <w:szCs w:val="22"/>
        </w:rPr>
        <w:t>myopatie</w:t>
      </w:r>
      <w:proofErr w:type="spellEnd"/>
      <w:r w:rsidRPr="00823BDC">
        <w:rPr>
          <w:snapToGrid w:val="0"/>
          <w:szCs w:val="22"/>
        </w:rPr>
        <w:t xml:space="preserve"> (pozri časť 5.1). Odporúčajú sa pravidelné merania </w:t>
      </w:r>
      <w:r w:rsidR="00A04E02" w:rsidRPr="00823BDC">
        <w:rPr>
          <w:snapToGrid w:val="0"/>
          <w:szCs w:val="22"/>
        </w:rPr>
        <w:t xml:space="preserve">hladiny </w:t>
      </w:r>
      <w:r w:rsidRPr="00823BDC">
        <w:rPr>
          <w:snapToGrid w:val="0"/>
          <w:szCs w:val="22"/>
        </w:rPr>
        <w:t xml:space="preserve">CK, keďže môžu pomôcť identifikovať </w:t>
      </w:r>
      <w:proofErr w:type="spellStart"/>
      <w:r w:rsidRPr="00823BDC">
        <w:rPr>
          <w:snapToGrid w:val="0"/>
          <w:szCs w:val="22"/>
        </w:rPr>
        <w:t>subklinické</w:t>
      </w:r>
      <w:proofErr w:type="spellEnd"/>
      <w:r w:rsidRPr="00823BDC">
        <w:rPr>
          <w:snapToGrid w:val="0"/>
          <w:szCs w:val="22"/>
        </w:rPr>
        <w:t xml:space="preserve"> </w:t>
      </w:r>
      <w:r w:rsidR="003224C2" w:rsidRPr="00823BDC">
        <w:rPr>
          <w:snapToGrid w:val="0"/>
          <w:szCs w:val="22"/>
        </w:rPr>
        <w:t xml:space="preserve">prípady </w:t>
      </w:r>
      <w:proofErr w:type="spellStart"/>
      <w:r w:rsidRPr="00823BDC">
        <w:rPr>
          <w:snapToGrid w:val="0"/>
          <w:szCs w:val="22"/>
        </w:rPr>
        <w:t>myopatie</w:t>
      </w:r>
      <w:proofErr w:type="spellEnd"/>
      <w:r w:rsidRPr="00823BDC">
        <w:rPr>
          <w:snapToGrid w:val="0"/>
          <w:szCs w:val="22"/>
        </w:rPr>
        <w:t xml:space="preserve">. Neexistuje však záruka, že takýmto sledovaním sa predíde </w:t>
      </w:r>
      <w:proofErr w:type="spellStart"/>
      <w:r w:rsidRPr="00823BDC">
        <w:rPr>
          <w:snapToGrid w:val="0"/>
          <w:szCs w:val="22"/>
        </w:rPr>
        <w:t>myopatii</w:t>
      </w:r>
      <w:proofErr w:type="spellEnd"/>
      <w:r w:rsidRPr="00823BDC">
        <w:rPr>
          <w:snapToGrid w:val="0"/>
          <w:szCs w:val="22"/>
        </w:rPr>
        <w:t>.</w:t>
      </w:r>
    </w:p>
    <w:p w14:paraId="6144FF9F" w14:textId="77777777" w:rsidR="006215A4" w:rsidRPr="00823BDC" w:rsidRDefault="006215A4">
      <w:pPr>
        <w:adjustRightInd w:val="0"/>
        <w:snapToGrid w:val="0"/>
        <w:rPr>
          <w:spacing w:val="-2"/>
          <w:szCs w:val="22"/>
        </w:rPr>
      </w:pPr>
    </w:p>
    <w:p w14:paraId="2F0F5134" w14:textId="77777777" w:rsidR="00D044EB" w:rsidRPr="00823BDC" w:rsidRDefault="00A04E02">
      <w:pPr>
        <w:adjustRightInd w:val="0"/>
        <w:snapToGrid w:val="0"/>
        <w:rPr>
          <w:szCs w:val="22"/>
        </w:rPr>
      </w:pPr>
      <w:r w:rsidRPr="00823BDC">
        <w:rPr>
          <w:szCs w:val="22"/>
        </w:rPr>
        <w:t>Liečba</w:t>
      </w:r>
      <w:r w:rsidR="00D044EB" w:rsidRPr="00823BDC">
        <w:rPr>
          <w:szCs w:val="22"/>
        </w:rPr>
        <w:t xml:space="preserve"> </w:t>
      </w:r>
      <w:proofErr w:type="spellStart"/>
      <w:r w:rsidR="004B5DEB" w:rsidRPr="00823BDC">
        <w:rPr>
          <w:szCs w:val="22"/>
        </w:rPr>
        <w:t>Cornusanom</w:t>
      </w:r>
      <w:proofErr w:type="spellEnd"/>
      <w:r w:rsidR="00D044EB" w:rsidRPr="00823BDC">
        <w:rPr>
          <w:szCs w:val="22"/>
        </w:rPr>
        <w:t xml:space="preserve"> sa má dočasne </w:t>
      </w:r>
      <w:r w:rsidR="001F3E48" w:rsidRPr="00823BDC">
        <w:rPr>
          <w:szCs w:val="22"/>
        </w:rPr>
        <w:t>prerušiť</w:t>
      </w:r>
      <w:r w:rsidR="00D044EB" w:rsidRPr="00823BDC">
        <w:rPr>
          <w:szCs w:val="22"/>
        </w:rPr>
        <w:t xml:space="preserve"> niekoľko dní pred plánovanou </w:t>
      </w:r>
      <w:r w:rsidR="003224C2" w:rsidRPr="00823BDC">
        <w:rPr>
          <w:szCs w:val="22"/>
        </w:rPr>
        <w:t xml:space="preserve">väčšou </w:t>
      </w:r>
      <w:r w:rsidR="00D044EB" w:rsidRPr="00823BDC">
        <w:rPr>
          <w:szCs w:val="22"/>
        </w:rPr>
        <w:t>operáciou</w:t>
      </w:r>
      <w:r w:rsidR="001F3E48" w:rsidRPr="00823BDC">
        <w:rPr>
          <w:szCs w:val="22"/>
        </w:rPr>
        <w:t>,</w:t>
      </w:r>
      <w:r w:rsidR="00D044EB" w:rsidRPr="00823BDC">
        <w:rPr>
          <w:szCs w:val="22"/>
        </w:rPr>
        <w:t xml:space="preserve"> a</w:t>
      </w:r>
      <w:r w:rsidR="004B5DEB" w:rsidRPr="00823BDC">
        <w:rPr>
          <w:szCs w:val="22"/>
        </w:rPr>
        <w:t> </w:t>
      </w:r>
      <w:r w:rsidR="001F3E48" w:rsidRPr="00823BDC">
        <w:rPr>
          <w:szCs w:val="22"/>
        </w:rPr>
        <w:t>ak</w:t>
      </w:r>
      <w:r w:rsidR="004B5DEB" w:rsidRPr="00823BDC">
        <w:rPr>
          <w:szCs w:val="22"/>
        </w:rPr>
        <w:t xml:space="preserve"> dôjde k akémukoľvek</w:t>
      </w:r>
      <w:r w:rsidR="00D044EB" w:rsidRPr="00823BDC">
        <w:rPr>
          <w:szCs w:val="22"/>
        </w:rPr>
        <w:t xml:space="preserve"> vážne</w:t>
      </w:r>
      <w:r w:rsidR="004B5DEB" w:rsidRPr="00823BDC">
        <w:rPr>
          <w:szCs w:val="22"/>
        </w:rPr>
        <w:t>mu</w:t>
      </w:r>
      <w:r w:rsidR="00D044EB" w:rsidRPr="00823BDC">
        <w:rPr>
          <w:szCs w:val="22"/>
        </w:rPr>
        <w:t xml:space="preserve"> stavu vyžadujúce</w:t>
      </w:r>
      <w:r w:rsidR="004B5DEB" w:rsidRPr="00823BDC">
        <w:rPr>
          <w:szCs w:val="22"/>
        </w:rPr>
        <w:t>mu</w:t>
      </w:r>
      <w:r w:rsidR="00D044EB" w:rsidRPr="00823BDC">
        <w:rPr>
          <w:szCs w:val="22"/>
        </w:rPr>
        <w:t xml:space="preserve"> lekársku alebo chirurgickú starostlivosť.</w:t>
      </w:r>
    </w:p>
    <w:p w14:paraId="79AAF494" w14:textId="77777777" w:rsidR="00D044EB" w:rsidRPr="00823BDC" w:rsidRDefault="00D044EB">
      <w:pPr>
        <w:adjustRightInd w:val="0"/>
        <w:snapToGrid w:val="0"/>
        <w:rPr>
          <w:snapToGrid w:val="0"/>
          <w:szCs w:val="22"/>
        </w:rPr>
      </w:pPr>
    </w:p>
    <w:p w14:paraId="2E75D6EA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 xml:space="preserve">Opatrenia na zníženie rizika </w:t>
      </w:r>
      <w:proofErr w:type="spellStart"/>
      <w:r w:rsidRPr="00823BDC">
        <w:rPr>
          <w:szCs w:val="22"/>
          <w:u w:val="single"/>
        </w:rPr>
        <w:t>myopatie</w:t>
      </w:r>
      <w:proofErr w:type="spellEnd"/>
      <w:r w:rsidRPr="00823BDC">
        <w:rPr>
          <w:szCs w:val="22"/>
          <w:u w:val="single"/>
        </w:rPr>
        <w:t xml:space="preserve"> zapríčinenej liekovými interakciami (pozri tiež časť</w:t>
      </w:r>
      <w:r w:rsidR="000C4369" w:rsidRPr="00823BDC">
        <w:rPr>
          <w:szCs w:val="22"/>
          <w:u w:val="single"/>
        </w:rPr>
        <w:t xml:space="preserve"> </w:t>
      </w:r>
      <w:r w:rsidRPr="00823BDC">
        <w:rPr>
          <w:szCs w:val="22"/>
          <w:u w:val="single"/>
        </w:rPr>
        <w:t>4.5)</w:t>
      </w:r>
    </w:p>
    <w:p w14:paraId="79C2A04D" w14:textId="0B84B6CD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Riziko </w:t>
      </w:r>
      <w:proofErr w:type="spellStart"/>
      <w:r w:rsidRPr="00823BDC">
        <w:rPr>
          <w:szCs w:val="22"/>
        </w:rPr>
        <w:t>myopatie</w:t>
      </w:r>
      <w:proofErr w:type="spellEnd"/>
      <w:r w:rsidR="00165EED" w:rsidRPr="00823BDC">
        <w:rPr>
          <w:szCs w:val="22"/>
        </w:rPr>
        <w:t xml:space="preserve"> </w:t>
      </w:r>
      <w:r w:rsidRPr="00823BDC">
        <w:rPr>
          <w:szCs w:val="22"/>
        </w:rPr>
        <w:t>a </w:t>
      </w:r>
      <w:proofErr w:type="spellStart"/>
      <w:r w:rsidRPr="00823BDC">
        <w:rPr>
          <w:szCs w:val="22"/>
        </w:rPr>
        <w:t>rabdomyolýzy</w:t>
      </w:r>
      <w:proofErr w:type="spellEnd"/>
      <w:r w:rsidRPr="00823BDC">
        <w:rPr>
          <w:szCs w:val="22"/>
        </w:rPr>
        <w:t xml:space="preserve"> je signifikantne zvýšené pri súbežnom užívaní </w:t>
      </w:r>
      <w:proofErr w:type="spellStart"/>
      <w:r w:rsidR="004B5DEB" w:rsidRPr="00823BDC">
        <w:rPr>
          <w:szCs w:val="22"/>
        </w:rPr>
        <w:t>ezetimibu</w:t>
      </w:r>
      <w:proofErr w:type="spellEnd"/>
      <w:r w:rsidR="004B5DEB" w:rsidRPr="00823BDC">
        <w:rPr>
          <w:szCs w:val="22"/>
        </w:rPr>
        <w:t>/</w:t>
      </w:r>
      <w:proofErr w:type="spellStart"/>
      <w:r w:rsidR="004B5DEB"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so</w:t>
      </w:r>
      <w:r w:rsidR="006824B9" w:rsidRPr="00823BDC">
        <w:rPr>
          <w:szCs w:val="22"/>
        </w:rPr>
        <w:t xml:space="preserve"> </w:t>
      </w:r>
      <w:r w:rsidRPr="00823BDC">
        <w:rPr>
          <w:szCs w:val="22"/>
        </w:rPr>
        <w:t>silnými inhibítormi CYP3A4 (</w:t>
      </w:r>
      <w:r w:rsidR="00A04E02" w:rsidRPr="00823BDC">
        <w:rPr>
          <w:szCs w:val="22"/>
        </w:rPr>
        <w:t xml:space="preserve">ako </w:t>
      </w:r>
      <w:r w:rsidRPr="00823BDC">
        <w:rPr>
          <w:szCs w:val="22"/>
        </w:rPr>
        <w:t xml:space="preserve">napr. </w:t>
      </w:r>
      <w:proofErr w:type="spellStart"/>
      <w:r w:rsidRPr="00823BDC">
        <w:rPr>
          <w:szCs w:val="22"/>
        </w:rPr>
        <w:t>itrakonazol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ketokonazol</w:t>
      </w:r>
      <w:proofErr w:type="spellEnd"/>
      <w:r w:rsidRPr="00823BDC">
        <w:rPr>
          <w:szCs w:val="22"/>
        </w:rPr>
        <w:t xml:space="preserve">, </w:t>
      </w:r>
      <w:proofErr w:type="spellStart"/>
      <w:r w:rsidR="00392DDE" w:rsidRPr="00823BDC">
        <w:rPr>
          <w:szCs w:val="22"/>
        </w:rPr>
        <w:t>posakonazol</w:t>
      </w:r>
      <w:proofErr w:type="spellEnd"/>
      <w:r w:rsidR="00392DDE" w:rsidRPr="00823BDC">
        <w:rPr>
          <w:szCs w:val="22"/>
        </w:rPr>
        <w:t>,</w:t>
      </w:r>
      <w:r w:rsidR="00AC5325" w:rsidRPr="00823BDC">
        <w:rPr>
          <w:szCs w:val="22"/>
        </w:rPr>
        <w:t xml:space="preserve"> </w:t>
      </w:r>
      <w:proofErr w:type="spellStart"/>
      <w:r w:rsidR="00AC5325" w:rsidRPr="00823BDC">
        <w:rPr>
          <w:szCs w:val="22"/>
        </w:rPr>
        <w:t>vorikonazol</w:t>
      </w:r>
      <w:proofErr w:type="spellEnd"/>
      <w:r w:rsidR="00AC5325" w:rsidRPr="00823BDC">
        <w:rPr>
          <w:szCs w:val="22"/>
        </w:rPr>
        <w:t>,</w:t>
      </w:r>
      <w:r w:rsidR="00392DDE"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erytromycín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klaritromycín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telitromycín</w:t>
      </w:r>
      <w:proofErr w:type="spellEnd"/>
      <w:r w:rsidRPr="00823BDC">
        <w:rPr>
          <w:szCs w:val="22"/>
        </w:rPr>
        <w:t>, inhibítor</w:t>
      </w:r>
      <w:r w:rsidR="00A04E02" w:rsidRPr="00823BDC">
        <w:rPr>
          <w:szCs w:val="22"/>
        </w:rPr>
        <w:t>y</w:t>
      </w:r>
      <w:r w:rsidRPr="00823BDC">
        <w:rPr>
          <w:szCs w:val="22"/>
        </w:rPr>
        <w:t xml:space="preserve"> HIV proteázy</w:t>
      </w:r>
      <w:r w:rsidR="00392DDE" w:rsidRPr="00823BDC">
        <w:rPr>
          <w:szCs w:val="22"/>
        </w:rPr>
        <w:t xml:space="preserve"> (napr. </w:t>
      </w:r>
      <w:proofErr w:type="spellStart"/>
      <w:r w:rsidR="00392DDE" w:rsidRPr="00823BDC">
        <w:rPr>
          <w:szCs w:val="22"/>
        </w:rPr>
        <w:t>nelfinavir</w:t>
      </w:r>
      <w:proofErr w:type="spellEnd"/>
      <w:r w:rsidR="00392DDE" w:rsidRPr="00823BDC">
        <w:rPr>
          <w:szCs w:val="22"/>
        </w:rPr>
        <w:t>)</w:t>
      </w:r>
      <w:r w:rsidRPr="00823BDC">
        <w:rPr>
          <w:szCs w:val="22"/>
        </w:rPr>
        <w:t xml:space="preserve">, </w:t>
      </w:r>
      <w:proofErr w:type="spellStart"/>
      <w:r w:rsidR="005456E1" w:rsidRPr="00823BDC">
        <w:rPr>
          <w:szCs w:val="22"/>
        </w:rPr>
        <w:t>boceprevir</w:t>
      </w:r>
      <w:proofErr w:type="spellEnd"/>
      <w:r w:rsidR="005456E1" w:rsidRPr="00823BDC">
        <w:rPr>
          <w:szCs w:val="22"/>
        </w:rPr>
        <w:t xml:space="preserve">, </w:t>
      </w:r>
      <w:proofErr w:type="spellStart"/>
      <w:r w:rsidR="005456E1" w:rsidRPr="00823BDC">
        <w:rPr>
          <w:szCs w:val="22"/>
        </w:rPr>
        <w:t>telaprevir</w:t>
      </w:r>
      <w:proofErr w:type="spellEnd"/>
      <w:r w:rsidR="005456E1"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nefazodón</w:t>
      </w:r>
      <w:proofErr w:type="spellEnd"/>
      <w:r w:rsidR="006824B9" w:rsidRPr="00823BDC">
        <w:rPr>
          <w:szCs w:val="22"/>
        </w:rPr>
        <w:t xml:space="preserve">, lieky obsahujúce </w:t>
      </w:r>
      <w:proofErr w:type="spellStart"/>
      <w:r w:rsidR="0026767E" w:rsidRPr="00823BDC">
        <w:rPr>
          <w:szCs w:val="22"/>
        </w:rPr>
        <w:t>k</w:t>
      </w:r>
      <w:r w:rsidR="006824B9" w:rsidRPr="00823BDC">
        <w:rPr>
          <w:szCs w:val="22"/>
        </w:rPr>
        <w:t>obicist</w:t>
      </w:r>
      <w:r w:rsidR="001F3E48" w:rsidRPr="00823BDC">
        <w:rPr>
          <w:szCs w:val="22"/>
        </w:rPr>
        <w:t>á</w:t>
      </w:r>
      <w:r w:rsidR="006824B9" w:rsidRPr="00823BDC">
        <w:rPr>
          <w:szCs w:val="22"/>
        </w:rPr>
        <w:t>t</w:t>
      </w:r>
      <w:proofErr w:type="spellEnd"/>
      <w:r w:rsidRPr="00823BDC">
        <w:rPr>
          <w:szCs w:val="22"/>
        </w:rPr>
        <w:t xml:space="preserve">), ako aj </w:t>
      </w:r>
      <w:proofErr w:type="spellStart"/>
      <w:r w:rsidRPr="00823BDC">
        <w:rPr>
          <w:szCs w:val="22"/>
        </w:rPr>
        <w:t>cyklosporínom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danazolom</w:t>
      </w:r>
      <w:proofErr w:type="spellEnd"/>
      <w:r w:rsidRPr="00823BDC">
        <w:rPr>
          <w:szCs w:val="22"/>
        </w:rPr>
        <w:t xml:space="preserve"> a</w:t>
      </w:r>
      <w:r w:rsidR="0094157B" w:rsidRPr="00823BDC">
        <w:rPr>
          <w:szCs w:val="22"/>
        </w:rPr>
        <w:t> </w:t>
      </w:r>
      <w:proofErr w:type="spellStart"/>
      <w:r w:rsidRPr="00823BDC">
        <w:rPr>
          <w:szCs w:val="22"/>
        </w:rPr>
        <w:t>gemfibrozilom</w:t>
      </w:r>
      <w:proofErr w:type="spellEnd"/>
      <w:r w:rsidR="0094157B" w:rsidRPr="00823BDC">
        <w:rPr>
          <w:szCs w:val="22"/>
        </w:rPr>
        <w:t>.</w:t>
      </w:r>
      <w:r w:rsidRPr="00823BDC">
        <w:rPr>
          <w:szCs w:val="22"/>
        </w:rPr>
        <w:t xml:space="preserve"> </w:t>
      </w:r>
      <w:r w:rsidR="0094157B" w:rsidRPr="00823BDC">
        <w:rPr>
          <w:szCs w:val="22"/>
        </w:rPr>
        <w:t xml:space="preserve">Použitie týchto liekov je kontraindikované </w:t>
      </w:r>
      <w:r w:rsidRPr="00823BDC">
        <w:rPr>
          <w:szCs w:val="22"/>
        </w:rPr>
        <w:t>(pozri časť</w:t>
      </w:r>
      <w:r w:rsidR="000C4369" w:rsidRPr="00823BDC">
        <w:rPr>
          <w:szCs w:val="22"/>
        </w:rPr>
        <w:t xml:space="preserve"> </w:t>
      </w:r>
      <w:r w:rsidRPr="00823BDC">
        <w:rPr>
          <w:szCs w:val="22"/>
        </w:rPr>
        <w:t>4.</w:t>
      </w:r>
      <w:r w:rsidR="00EF39DF" w:rsidRPr="00823BDC">
        <w:rPr>
          <w:szCs w:val="22"/>
        </w:rPr>
        <w:t>3</w:t>
      </w:r>
      <w:r w:rsidRPr="00823BDC">
        <w:rPr>
          <w:szCs w:val="22"/>
        </w:rPr>
        <w:t>).</w:t>
      </w:r>
    </w:p>
    <w:p w14:paraId="3A8CAD3F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1DF2CB8" w14:textId="626393E2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Vzhľadom na to, že zložkou </w:t>
      </w:r>
      <w:proofErr w:type="spellStart"/>
      <w:r w:rsidR="003E09C8" w:rsidRPr="00823BDC">
        <w:rPr>
          <w:szCs w:val="22"/>
        </w:rPr>
        <w:t>Cornusanu</w:t>
      </w:r>
      <w:proofErr w:type="spellEnd"/>
      <w:r w:rsidRPr="00823BDC">
        <w:rPr>
          <w:szCs w:val="22"/>
        </w:rPr>
        <w:t xml:space="preserve"> je 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, riziko </w:t>
      </w:r>
      <w:proofErr w:type="spellStart"/>
      <w:r w:rsidRPr="00823BDC">
        <w:rPr>
          <w:szCs w:val="22"/>
        </w:rPr>
        <w:t>myopatie</w:t>
      </w:r>
      <w:proofErr w:type="spellEnd"/>
      <w:r w:rsidR="00191407" w:rsidRPr="00823BDC">
        <w:rPr>
          <w:szCs w:val="22"/>
        </w:rPr>
        <w:t xml:space="preserve"> </w:t>
      </w:r>
      <w:r w:rsidRPr="00823BDC">
        <w:rPr>
          <w:szCs w:val="22"/>
        </w:rPr>
        <w:t>a </w:t>
      </w:r>
      <w:proofErr w:type="spellStart"/>
      <w:r w:rsidRPr="00823BDC">
        <w:rPr>
          <w:szCs w:val="22"/>
        </w:rPr>
        <w:t>rabdomyolýzy</w:t>
      </w:r>
      <w:proofErr w:type="spellEnd"/>
      <w:r w:rsidRPr="00823BDC">
        <w:rPr>
          <w:szCs w:val="22"/>
        </w:rPr>
        <w:t xml:space="preserve"> sa zvyšuje tiež pri súbežnom užívaní iných </w:t>
      </w:r>
      <w:proofErr w:type="spellStart"/>
      <w:r w:rsidRPr="00823BDC">
        <w:rPr>
          <w:szCs w:val="22"/>
        </w:rPr>
        <w:t>fibrátov</w:t>
      </w:r>
      <w:proofErr w:type="spellEnd"/>
      <w:r w:rsidRPr="00823BDC">
        <w:rPr>
          <w:szCs w:val="22"/>
        </w:rPr>
        <w:t xml:space="preserve">, </w:t>
      </w:r>
      <w:r w:rsidR="003E09C8" w:rsidRPr="00823BDC">
        <w:rPr>
          <w:szCs w:val="22"/>
        </w:rPr>
        <w:t>niacínu</w:t>
      </w:r>
      <w:r w:rsidRPr="00823BDC">
        <w:rPr>
          <w:szCs w:val="22"/>
        </w:rPr>
        <w:t xml:space="preserve"> v dávkach znižujúcich lipidy (</w:t>
      </w:r>
      <w:r w:rsidRPr="00530542">
        <w:rPr>
          <w:szCs w:val="22"/>
        </w:rPr>
        <w:sym w:font="Symbol" w:char="F0B3"/>
      </w:r>
      <w:r w:rsidR="00081701" w:rsidRPr="00530542">
        <w:rPr>
          <w:szCs w:val="22"/>
        </w:rPr>
        <w:t> </w:t>
      </w:r>
      <w:r w:rsidRPr="00CD10F1">
        <w:rPr>
          <w:szCs w:val="22"/>
        </w:rPr>
        <w:t xml:space="preserve">1 g/deň) alebo pri súbežnom užívaní </w:t>
      </w:r>
      <w:proofErr w:type="spellStart"/>
      <w:r w:rsidRPr="00CD10F1">
        <w:rPr>
          <w:szCs w:val="22"/>
        </w:rPr>
        <w:t>amiodarónu</w:t>
      </w:r>
      <w:proofErr w:type="spellEnd"/>
      <w:r w:rsidR="00EF39DF" w:rsidRPr="00CD10F1">
        <w:rPr>
          <w:szCs w:val="22"/>
        </w:rPr>
        <w:t xml:space="preserve">, </w:t>
      </w:r>
      <w:proofErr w:type="spellStart"/>
      <w:r w:rsidR="00EF39DF" w:rsidRPr="00CD10F1">
        <w:rPr>
          <w:szCs w:val="22"/>
        </w:rPr>
        <w:t>amlodipínu</w:t>
      </w:r>
      <w:proofErr w:type="spellEnd"/>
      <w:r w:rsidR="00EF39DF" w:rsidRPr="00CD10F1">
        <w:rPr>
          <w:szCs w:val="22"/>
        </w:rPr>
        <w:t xml:space="preserve">, </w:t>
      </w:r>
      <w:proofErr w:type="spellStart"/>
      <w:r w:rsidRPr="00CD10F1">
        <w:rPr>
          <w:szCs w:val="22"/>
        </w:rPr>
        <w:t>verapamilu</w:t>
      </w:r>
      <w:proofErr w:type="spellEnd"/>
      <w:r w:rsidRPr="00CD10F1">
        <w:rPr>
          <w:szCs w:val="22"/>
        </w:rPr>
        <w:t xml:space="preserve"> </w:t>
      </w:r>
      <w:r w:rsidR="00EF39DF" w:rsidRPr="00CD10F1">
        <w:rPr>
          <w:szCs w:val="22"/>
        </w:rPr>
        <w:t xml:space="preserve">alebo </w:t>
      </w:r>
      <w:proofErr w:type="spellStart"/>
      <w:r w:rsidR="00EF39DF" w:rsidRPr="00CD10F1">
        <w:rPr>
          <w:szCs w:val="22"/>
        </w:rPr>
        <w:t>diltiazemu</w:t>
      </w:r>
      <w:proofErr w:type="spellEnd"/>
      <w:r w:rsidR="00EF39DF" w:rsidRPr="00CD10F1">
        <w:rPr>
          <w:szCs w:val="22"/>
        </w:rPr>
        <w:t xml:space="preserve"> </w:t>
      </w:r>
      <w:r w:rsidRPr="00CD10F1">
        <w:rPr>
          <w:szCs w:val="22"/>
        </w:rPr>
        <w:t>s </w:t>
      </w:r>
      <w:r w:rsidR="00F27E17" w:rsidRPr="00657DA7">
        <w:rPr>
          <w:szCs w:val="22"/>
        </w:rPr>
        <w:t xml:space="preserve">určitými </w:t>
      </w:r>
      <w:r w:rsidRPr="00F064AC">
        <w:rPr>
          <w:szCs w:val="22"/>
        </w:rPr>
        <w:t xml:space="preserve">dávkami </w:t>
      </w:r>
      <w:proofErr w:type="spellStart"/>
      <w:r w:rsidR="00472C74" w:rsidRPr="00823BDC">
        <w:rPr>
          <w:szCs w:val="22"/>
        </w:rPr>
        <w:t>e</w:t>
      </w:r>
      <w:r w:rsidR="00C62C11" w:rsidRPr="00823BDC">
        <w:rPr>
          <w:szCs w:val="22"/>
        </w:rPr>
        <w:t>zetimib</w:t>
      </w:r>
      <w:r w:rsidR="00472C74" w:rsidRPr="00823BDC">
        <w:rPr>
          <w:szCs w:val="22"/>
        </w:rPr>
        <w:t>u</w:t>
      </w:r>
      <w:proofErr w:type="spellEnd"/>
      <w:r w:rsidR="00C62C11" w:rsidRPr="00823BDC">
        <w:rPr>
          <w:szCs w:val="22"/>
        </w:rPr>
        <w:t>/</w:t>
      </w:r>
      <w:proofErr w:type="spellStart"/>
      <w:r w:rsidR="00C62C11" w:rsidRPr="00823BDC">
        <w:rPr>
          <w:szCs w:val="22"/>
        </w:rPr>
        <w:t>simvastatín</w:t>
      </w:r>
      <w:r w:rsidR="00472C74" w:rsidRPr="00823BDC">
        <w:rPr>
          <w:szCs w:val="22"/>
        </w:rPr>
        <w:t>u</w:t>
      </w:r>
      <w:proofErr w:type="spellEnd"/>
      <w:r w:rsidR="00C62C11" w:rsidRPr="00823BDC">
        <w:rPr>
          <w:szCs w:val="22"/>
        </w:rPr>
        <w:t xml:space="preserve"> </w:t>
      </w:r>
      <w:r w:rsidRPr="00823BDC">
        <w:rPr>
          <w:szCs w:val="22"/>
        </w:rPr>
        <w:t>(pozri časti</w:t>
      </w:r>
      <w:r w:rsidR="00850C86" w:rsidRPr="00823BDC">
        <w:rPr>
          <w:szCs w:val="22"/>
        </w:rPr>
        <w:t xml:space="preserve"> </w:t>
      </w:r>
      <w:r w:rsidRPr="00823BDC">
        <w:rPr>
          <w:szCs w:val="22"/>
        </w:rPr>
        <w:t xml:space="preserve">4.2 a 4.5). </w:t>
      </w:r>
      <w:r w:rsidR="00EF39DF" w:rsidRPr="00823BDC">
        <w:rPr>
          <w:szCs w:val="22"/>
        </w:rPr>
        <w:t xml:space="preserve">Riziko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vrátane </w:t>
      </w:r>
      <w:proofErr w:type="spellStart"/>
      <w:r w:rsidRPr="00823BDC">
        <w:rPr>
          <w:szCs w:val="22"/>
        </w:rPr>
        <w:t>rabdomyolýzy</w:t>
      </w:r>
      <w:proofErr w:type="spellEnd"/>
      <w:r w:rsidRPr="00823BDC">
        <w:rPr>
          <w:szCs w:val="22"/>
        </w:rPr>
        <w:t xml:space="preserve"> sa môže zvýšiť pri súbežnom podávaní kyseliny </w:t>
      </w:r>
      <w:proofErr w:type="spellStart"/>
      <w:r w:rsidRPr="00823BDC">
        <w:rPr>
          <w:szCs w:val="22"/>
        </w:rPr>
        <w:t>fusidovej</w:t>
      </w:r>
      <w:proofErr w:type="spellEnd"/>
      <w:r w:rsidRPr="00823BDC">
        <w:rPr>
          <w:szCs w:val="22"/>
        </w:rPr>
        <w:t xml:space="preserve"> s</w:t>
      </w:r>
      <w:r w:rsidR="006824B9" w:rsidRPr="00823BDC">
        <w:rPr>
          <w:szCs w:val="22"/>
        </w:rPr>
        <w:t> </w:t>
      </w:r>
      <w:proofErr w:type="spellStart"/>
      <w:r w:rsidR="00C62C11" w:rsidRPr="00823BDC">
        <w:rPr>
          <w:szCs w:val="22"/>
        </w:rPr>
        <w:t>ezetimibom</w:t>
      </w:r>
      <w:proofErr w:type="spellEnd"/>
      <w:r w:rsidR="00C62C11" w:rsidRPr="00823BDC">
        <w:rPr>
          <w:szCs w:val="22"/>
        </w:rPr>
        <w:t>/</w:t>
      </w:r>
      <w:proofErr w:type="spellStart"/>
      <w:r w:rsidR="00C62C11" w:rsidRPr="00823BDC">
        <w:rPr>
          <w:szCs w:val="22"/>
        </w:rPr>
        <w:t>simvastatínom</w:t>
      </w:r>
      <w:proofErr w:type="spellEnd"/>
      <w:r w:rsidR="006824B9" w:rsidRPr="00823BDC">
        <w:rPr>
          <w:szCs w:val="22"/>
        </w:rPr>
        <w:t>. U pacientov s </w:t>
      </w:r>
      <w:proofErr w:type="spellStart"/>
      <w:r w:rsidR="006824B9" w:rsidRPr="00823BDC">
        <w:rPr>
          <w:szCs w:val="22"/>
        </w:rPr>
        <w:t>HoFH</w:t>
      </w:r>
      <w:proofErr w:type="spellEnd"/>
      <w:r w:rsidR="006824B9" w:rsidRPr="00823BDC">
        <w:rPr>
          <w:szCs w:val="22"/>
        </w:rPr>
        <w:t xml:space="preserve"> sa môže toto riziko zvýšiť súbežným užitím </w:t>
      </w:r>
      <w:proofErr w:type="spellStart"/>
      <w:r w:rsidR="006824B9" w:rsidRPr="00823BDC">
        <w:rPr>
          <w:szCs w:val="22"/>
        </w:rPr>
        <w:t>lomitapid</w:t>
      </w:r>
      <w:r w:rsidR="003E09C8" w:rsidRPr="00823BDC">
        <w:rPr>
          <w:szCs w:val="22"/>
        </w:rPr>
        <w:t>u</w:t>
      </w:r>
      <w:proofErr w:type="spellEnd"/>
      <w:r w:rsidR="003E09C8" w:rsidRPr="00823BDC">
        <w:rPr>
          <w:szCs w:val="22"/>
        </w:rPr>
        <w:t xml:space="preserve"> s </w:t>
      </w:r>
      <w:proofErr w:type="spellStart"/>
      <w:r w:rsidR="00C62C11" w:rsidRPr="00823BDC">
        <w:rPr>
          <w:szCs w:val="22"/>
        </w:rPr>
        <w:t>ezetimibom</w:t>
      </w:r>
      <w:proofErr w:type="spellEnd"/>
      <w:r w:rsidR="00C62C11" w:rsidRPr="00823BDC">
        <w:rPr>
          <w:szCs w:val="22"/>
        </w:rPr>
        <w:t>/</w:t>
      </w:r>
      <w:proofErr w:type="spellStart"/>
      <w:r w:rsidR="00C62C11" w:rsidRPr="00823BDC">
        <w:rPr>
          <w:szCs w:val="22"/>
        </w:rPr>
        <w:t>simvastatínom</w:t>
      </w:r>
      <w:proofErr w:type="spellEnd"/>
      <w:r w:rsidR="00C62C11" w:rsidRPr="00823BDC" w:rsidDel="00C62C11">
        <w:rPr>
          <w:szCs w:val="22"/>
        </w:rPr>
        <w:t xml:space="preserve"> </w:t>
      </w:r>
      <w:r w:rsidRPr="00823BDC">
        <w:rPr>
          <w:szCs w:val="22"/>
        </w:rPr>
        <w:t>(pozri časť 4.5).</w:t>
      </w:r>
    </w:p>
    <w:p w14:paraId="29C358BA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62F8ECB" w14:textId="5BC96C8E" w:rsidR="00D044EB" w:rsidRPr="00823BDC" w:rsidRDefault="00D044EB">
      <w:pPr>
        <w:adjustRightInd w:val="0"/>
        <w:snapToGrid w:val="0"/>
        <w:rPr>
          <w:snapToGrid w:val="0"/>
          <w:szCs w:val="22"/>
        </w:rPr>
      </w:pPr>
      <w:r w:rsidRPr="00823BDC">
        <w:rPr>
          <w:szCs w:val="22"/>
        </w:rPr>
        <w:t xml:space="preserve">Čo sa týka inhibítorov CYP3A4, je preto užívanie </w:t>
      </w:r>
      <w:proofErr w:type="spellStart"/>
      <w:r w:rsidR="00C62C11" w:rsidRPr="00823BDC">
        <w:rPr>
          <w:szCs w:val="22"/>
        </w:rPr>
        <w:t>ezetimibu</w:t>
      </w:r>
      <w:proofErr w:type="spellEnd"/>
      <w:r w:rsidR="00C62C11" w:rsidRPr="00823BDC">
        <w:rPr>
          <w:szCs w:val="22"/>
        </w:rPr>
        <w:t>/</w:t>
      </w:r>
      <w:proofErr w:type="spellStart"/>
      <w:r w:rsidR="00C62C11" w:rsidRPr="00823BDC">
        <w:rPr>
          <w:szCs w:val="22"/>
        </w:rPr>
        <w:t>simvastatínu</w:t>
      </w:r>
      <w:proofErr w:type="spellEnd"/>
      <w:r w:rsidR="008E23D0" w:rsidRPr="00823BDC">
        <w:rPr>
          <w:szCs w:val="22"/>
        </w:rPr>
        <w:t xml:space="preserve"> </w:t>
      </w:r>
      <w:r w:rsidRPr="00823BDC">
        <w:rPr>
          <w:szCs w:val="22"/>
        </w:rPr>
        <w:t>súbežne s </w:t>
      </w:r>
      <w:proofErr w:type="spellStart"/>
      <w:r w:rsidRPr="00823BDC">
        <w:rPr>
          <w:szCs w:val="22"/>
        </w:rPr>
        <w:t>itrakonazolom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ketokonazolom</w:t>
      </w:r>
      <w:proofErr w:type="spellEnd"/>
      <w:r w:rsidRPr="00823BDC">
        <w:rPr>
          <w:szCs w:val="22"/>
        </w:rPr>
        <w:t xml:space="preserve">, </w:t>
      </w:r>
      <w:proofErr w:type="spellStart"/>
      <w:r w:rsidR="00392DDE" w:rsidRPr="00823BDC">
        <w:rPr>
          <w:szCs w:val="22"/>
        </w:rPr>
        <w:t>posakonazolom</w:t>
      </w:r>
      <w:proofErr w:type="spellEnd"/>
      <w:r w:rsidR="00392DDE" w:rsidRPr="00823BDC">
        <w:rPr>
          <w:szCs w:val="22"/>
        </w:rPr>
        <w:t xml:space="preserve">, </w:t>
      </w:r>
      <w:proofErr w:type="spellStart"/>
      <w:r w:rsidR="00AC5325" w:rsidRPr="00823BDC">
        <w:rPr>
          <w:szCs w:val="22"/>
        </w:rPr>
        <w:t>vorikonazol</w:t>
      </w:r>
      <w:r w:rsidR="001B544C" w:rsidRPr="00823BDC">
        <w:rPr>
          <w:szCs w:val="22"/>
        </w:rPr>
        <w:t>om</w:t>
      </w:r>
      <w:proofErr w:type="spellEnd"/>
      <w:r w:rsidR="00AC5325" w:rsidRPr="00823BDC">
        <w:rPr>
          <w:szCs w:val="22"/>
        </w:rPr>
        <w:t xml:space="preserve">, </w:t>
      </w:r>
      <w:r w:rsidRPr="00823BDC">
        <w:rPr>
          <w:szCs w:val="22"/>
        </w:rPr>
        <w:t>inhibítormi HIV proteázy</w:t>
      </w:r>
      <w:r w:rsidR="00392DDE" w:rsidRPr="00823BDC">
        <w:rPr>
          <w:szCs w:val="22"/>
        </w:rPr>
        <w:t xml:space="preserve"> (napr. </w:t>
      </w:r>
      <w:proofErr w:type="spellStart"/>
      <w:r w:rsidR="00392DDE" w:rsidRPr="00823BDC">
        <w:rPr>
          <w:szCs w:val="22"/>
        </w:rPr>
        <w:t>nelfinavir</w:t>
      </w:r>
      <w:proofErr w:type="spellEnd"/>
      <w:r w:rsidR="00392DDE" w:rsidRPr="00823BDC">
        <w:rPr>
          <w:szCs w:val="22"/>
        </w:rPr>
        <w:t>)</w:t>
      </w:r>
      <w:r w:rsidRPr="00823BDC">
        <w:rPr>
          <w:szCs w:val="22"/>
        </w:rPr>
        <w:t xml:space="preserve">, </w:t>
      </w:r>
      <w:proofErr w:type="spellStart"/>
      <w:r w:rsidR="005456E1" w:rsidRPr="00823BDC">
        <w:rPr>
          <w:szCs w:val="22"/>
        </w:rPr>
        <w:t>boceprevirom</w:t>
      </w:r>
      <w:proofErr w:type="spellEnd"/>
      <w:r w:rsidR="005456E1" w:rsidRPr="00823BDC">
        <w:rPr>
          <w:szCs w:val="22"/>
        </w:rPr>
        <w:t xml:space="preserve">, </w:t>
      </w:r>
      <w:proofErr w:type="spellStart"/>
      <w:r w:rsidR="005456E1" w:rsidRPr="00823BDC">
        <w:rPr>
          <w:szCs w:val="22"/>
        </w:rPr>
        <w:t>telaprevirom</w:t>
      </w:r>
      <w:proofErr w:type="spellEnd"/>
      <w:r w:rsidR="005456E1"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erytromycínom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klaritromycínom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telitromycínom</w:t>
      </w:r>
      <w:proofErr w:type="spellEnd"/>
      <w:r w:rsidR="006824B9"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nefazodónom</w:t>
      </w:r>
      <w:proofErr w:type="spellEnd"/>
      <w:r w:rsidRPr="00823BDC">
        <w:rPr>
          <w:szCs w:val="22"/>
        </w:rPr>
        <w:t xml:space="preserve"> </w:t>
      </w:r>
      <w:r w:rsidR="006824B9" w:rsidRPr="00823BDC">
        <w:rPr>
          <w:szCs w:val="22"/>
        </w:rPr>
        <w:t xml:space="preserve">a liekmi obsahujúcimi </w:t>
      </w:r>
      <w:proofErr w:type="spellStart"/>
      <w:r w:rsidR="0026767E" w:rsidRPr="00823BDC">
        <w:rPr>
          <w:szCs w:val="22"/>
        </w:rPr>
        <w:t>k</w:t>
      </w:r>
      <w:r w:rsidR="006824B9" w:rsidRPr="00823BDC">
        <w:rPr>
          <w:szCs w:val="22"/>
        </w:rPr>
        <w:t>obicist</w:t>
      </w:r>
      <w:r w:rsidR="001F3E48" w:rsidRPr="00823BDC">
        <w:rPr>
          <w:szCs w:val="22"/>
        </w:rPr>
        <w:t>á</w:t>
      </w:r>
      <w:r w:rsidR="006824B9" w:rsidRPr="00823BDC">
        <w:rPr>
          <w:szCs w:val="22"/>
        </w:rPr>
        <w:t>t</w:t>
      </w:r>
      <w:proofErr w:type="spellEnd"/>
      <w:r w:rsidR="006824B9" w:rsidRPr="00823BDC">
        <w:rPr>
          <w:szCs w:val="22"/>
        </w:rPr>
        <w:t xml:space="preserve"> </w:t>
      </w:r>
      <w:r w:rsidRPr="00823BDC">
        <w:rPr>
          <w:szCs w:val="22"/>
        </w:rPr>
        <w:t>kontraindikované (pozri časti</w:t>
      </w:r>
      <w:r w:rsidR="00850C86" w:rsidRPr="00823BDC">
        <w:rPr>
          <w:szCs w:val="22"/>
        </w:rPr>
        <w:t xml:space="preserve"> </w:t>
      </w:r>
      <w:r w:rsidRPr="00823BDC">
        <w:rPr>
          <w:szCs w:val="22"/>
        </w:rPr>
        <w:t xml:space="preserve">4.3 a 4.5). Ak </w:t>
      </w:r>
      <w:r w:rsidR="00A04E02" w:rsidRPr="00823BDC">
        <w:rPr>
          <w:szCs w:val="22"/>
        </w:rPr>
        <w:t>sa</w:t>
      </w:r>
      <w:r w:rsidRPr="00823BDC">
        <w:rPr>
          <w:szCs w:val="22"/>
        </w:rPr>
        <w:t xml:space="preserve"> liečb</w:t>
      </w:r>
      <w:r w:rsidR="00A04E02" w:rsidRPr="00823BDC">
        <w:rPr>
          <w:szCs w:val="22"/>
        </w:rPr>
        <w:t>e</w:t>
      </w:r>
      <w:r w:rsidRPr="00823BDC">
        <w:rPr>
          <w:szCs w:val="22"/>
        </w:rPr>
        <w:t xml:space="preserve"> </w:t>
      </w:r>
      <w:r w:rsidR="00AC5325" w:rsidRPr="00823BDC">
        <w:rPr>
          <w:szCs w:val="22"/>
        </w:rPr>
        <w:t xml:space="preserve">so silnými inhibítormi CYP3A4 </w:t>
      </w:r>
      <w:r w:rsidR="00F92FE1" w:rsidRPr="00823BDC">
        <w:rPr>
          <w:szCs w:val="22"/>
        </w:rPr>
        <w:t>(l</w:t>
      </w:r>
      <w:r w:rsidR="001F3E48" w:rsidRPr="00823BDC">
        <w:rPr>
          <w:szCs w:val="22"/>
        </w:rPr>
        <w:t>iečivá</w:t>
      </w:r>
      <w:r w:rsidR="00F92FE1" w:rsidRPr="00823BDC">
        <w:rPr>
          <w:szCs w:val="22"/>
        </w:rPr>
        <w:t xml:space="preserve"> zvyšujúce AUC približne 5-násobne alebo viac) </w:t>
      </w:r>
      <w:r w:rsidR="00A04E02" w:rsidRPr="00823BDC">
        <w:rPr>
          <w:szCs w:val="22"/>
        </w:rPr>
        <w:t xml:space="preserve">nie je možné </w:t>
      </w:r>
      <w:r w:rsidRPr="00823BDC">
        <w:rPr>
          <w:szCs w:val="22"/>
        </w:rPr>
        <w:t>vyhn</w:t>
      </w:r>
      <w:r w:rsidR="00A04E02" w:rsidRPr="00823BDC">
        <w:rPr>
          <w:szCs w:val="22"/>
        </w:rPr>
        <w:t>úť</w:t>
      </w:r>
      <w:r w:rsidRPr="00823BDC">
        <w:rPr>
          <w:szCs w:val="22"/>
        </w:rPr>
        <w:t xml:space="preserve">, počas trvania tejto liečby musí byť </w:t>
      </w:r>
      <w:r w:rsidR="00A04E02" w:rsidRPr="00823BDC">
        <w:rPr>
          <w:szCs w:val="22"/>
        </w:rPr>
        <w:t>liečba</w:t>
      </w:r>
      <w:r w:rsidRPr="00823BDC">
        <w:rPr>
          <w:szCs w:val="22"/>
        </w:rPr>
        <w:t xml:space="preserve"> </w:t>
      </w:r>
      <w:proofErr w:type="spellStart"/>
      <w:r w:rsidR="003E09C8" w:rsidRPr="00823BDC">
        <w:rPr>
          <w:szCs w:val="22"/>
        </w:rPr>
        <w:t>Cornusanom</w:t>
      </w:r>
      <w:proofErr w:type="spellEnd"/>
      <w:r w:rsidRPr="00823BDC">
        <w:rPr>
          <w:szCs w:val="22"/>
        </w:rPr>
        <w:t xml:space="preserve"> pozastavená</w:t>
      </w:r>
      <w:r w:rsidR="00F92FE1" w:rsidRPr="00823BDC">
        <w:rPr>
          <w:szCs w:val="22"/>
        </w:rPr>
        <w:t xml:space="preserve"> (a</w:t>
      </w:r>
      <w:r w:rsidR="00850C86" w:rsidRPr="00823BDC">
        <w:rPr>
          <w:szCs w:val="22"/>
        </w:rPr>
        <w:t> </w:t>
      </w:r>
      <w:r w:rsidR="00F92FE1" w:rsidRPr="00823BDC">
        <w:rPr>
          <w:szCs w:val="22"/>
        </w:rPr>
        <w:t xml:space="preserve">má sa zvážiť použitie alternatívneho </w:t>
      </w:r>
      <w:proofErr w:type="spellStart"/>
      <w:r w:rsidR="00F92FE1" w:rsidRPr="00823BDC">
        <w:rPr>
          <w:szCs w:val="22"/>
        </w:rPr>
        <w:t>statínu</w:t>
      </w:r>
      <w:proofErr w:type="spellEnd"/>
      <w:r w:rsidR="00F92FE1" w:rsidRPr="00823BDC">
        <w:rPr>
          <w:szCs w:val="22"/>
        </w:rPr>
        <w:t>)</w:t>
      </w:r>
      <w:r w:rsidRPr="00823BDC">
        <w:rPr>
          <w:szCs w:val="22"/>
        </w:rPr>
        <w:t xml:space="preserve">. Okrem toho </w:t>
      </w:r>
      <w:r w:rsidR="003224C2" w:rsidRPr="00823BDC">
        <w:rPr>
          <w:szCs w:val="22"/>
        </w:rPr>
        <w:t>je potrebná</w:t>
      </w:r>
      <w:r w:rsidRPr="00823BDC">
        <w:rPr>
          <w:szCs w:val="22"/>
        </w:rPr>
        <w:t xml:space="preserve"> zvýšen</w:t>
      </w:r>
      <w:r w:rsidR="00A04E02" w:rsidRPr="00823BDC">
        <w:rPr>
          <w:szCs w:val="22"/>
        </w:rPr>
        <w:t>á</w:t>
      </w:r>
      <w:r w:rsidRPr="00823BDC">
        <w:rPr>
          <w:szCs w:val="22"/>
        </w:rPr>
        <w:t xml:space="preserve"> opatrnosť pri kombinovaní </w:t>
      </w:r>
      <w:proofErr w:type="spellStart"/>
      <w:r w:rsidR="003E09C8" w:rsidRPr="00823BDC">
        <w:rPr>
          <w:szCs w:val="22"/>
        </w:rPr>
        <w:t>Cornusanu</w:t>
      </w:r>
      <w:proofErr w:type="spellEnd"/>
      <w:r w:rsidRPr="00823BDC">
        <w:rPr>
          <w:szCs w:val="22"/>
        </w:rPr>
        <w:t xml:space="preserve"> s niektorými inými menej silnými inhibítormi</w:t>
      </w:r>
      <w:r w:rsidRPr="00823BDC">
        <w:rPr>
          <w:snapToGrid w:val="0"/>
          <w:szCs w:val="22"/>
        </w:rPr>
        <w:t xml:space="preserve"> CYP3A4: </w:t>
      </w:r>
      <w:proofErr w:type="spellStart"/>
      <w:r w:rsidR="00392DDE" w:rsidRPr="00823BDC">
        <w:rPr>
          <w:snapToGrid w:val="0"/>
          <w:szCs w:val="22"/>
        </w:rPr>
        <w:t>flukonazolom</w:t>
      </w:r>
      <w:proofErr w:type="spellEnd"/>
      <w:r w:rsidR="00EF39DF" w:rsidRPr="00823BDC">
        <w:rPr>
          <w:snapToGrid w:val="0"/>
          <w:szCs w:val="22"/>
        </w:rPr>
        <w:t xml:space="preserve">, </w:t>
      </w:r>
      <w:proofErr w:type="spellStart"/>
      <w:r w:rsidRPr="00823BDC">
        <w:rPr>
          <w:snapToGrid w:val="0"/>
          <w:szCs w:val="22"/>
        </w:rPr>
        <w:t>verapamilom</w:t>
      </w:r>
      <w:proofErr w:type="spellEnd"/>
      <w:r w:rsidRPr="00823BDC">
        <w:rPr>
          <w:snapToGrid w:val="0"/>
          <w:szCs w:val="22"/>
        </w:rPr>
        <w:t xml:space="preserve">, </w:t>
      </w:r>
      <w:proofErr w:type="spellStart"/>
      <w:r w:rsidRPr="00823BDC">
        <w:rPr>
          <w:snapToGrid w:val="0"/>
          <w:szCs w:val="22"/>
        </w:rPr>
        <w:t>diltiazemom</w:t>
      </w:r>
      <w:proofErr w:type="spellEnd"/>
      <w:r w:rsidRPr="00823BDC">
        <w:rPr>
          <w:snapToGrid w:val="0"/>
          <w:szCs w:val="22"/>
        </w:rPr>
        <w:t xml:space="preserve"> (pozri časti</w:t>
      </w:r>
      <w:r w:rsidR="00850C86" w:rsidRPr="00823BDC">
        <w:rPr>
          <w:b/>
          <w:snapToGrid w:val="0"/>
          <w:szCs w:val="22"/>
        </w:rPr>
        <w:t xml:space="preserve"> </w:t>
      </w:r>
      <w:r w:rsidRPr="00823BDC">
        <w:rPr>
          <w:snapToGrid w:val="0"/>
          <w:szCs w:val="22"/>
        </w:rPr>
        <w:t xml:space="preserve">4.2 a 4.5). </w:t>
      </w:r>
      <w:r w:rsidR="003224C2" w:rsidRPr="00823BDC">
        <w:rPr>
          <w:snapToGrid w:val="0"/>
          <w:szCs w:val="22"/>
        </w:rPr>
        <w:t xml:space="preserve">Súbežnej </w:t>
      </w:r>
      <w:r w:rsidR="00A04E02" w:rsidRPr="00823BDC">
        <w:rPr>
          <w:snapToGrid w:val="0"/>
          <w:szCs w:val="22"/>
        </w:rPr>
        <w:t>konzumácii</w:t>
      </w:r>
      <w:r w:rsidRPr="00823BDC">
        <w:rPr>
          <w:snapToGrid w:val="0"/>
          <w:szCs w:val="22"/>
        </w:rPr>
        <w:t xml:space="preserve"> grapefruitového džúsu </w:t>
      </w:r>
      <w:r w:rsidR="003E09C8" w:rsidRPr="00823BDC">
        <w:rPr>
          <w:snapToGrid w:val="0"/>
          <w:szCs w:val="22"/>
        </w:rPr>
        <w:t>a</w:t>
      </w:r>
      <w:r w:rsidRPr="00823BDC">
        <w:rPr>
          <w:snapToGrid w:val="0"/>
          <w:szCs w:val="22"/>
        </w:rPr>
        <w:t> </w:t>
      </w:r>
      <w:proofErr w:type="spellStart"/>
      <w:r w:rsidR="003E09C8" w:rsidRPr="00823BDC">
        <w:rPr>
          <w:snapToGrid w:val="0"/>
          <w:szCs w:val="22"/>
        </w:rPr>
        <w:t>Cornusanu</w:t>
      </w:r>
      <w:proofErr w:type="spellEnd"/>
      <w:r w:rsidR="003224C2" w:rsidRPr="00823BDC">
        <w:rPr>
          <w:snapToGrid w:val="0"/>
          <w:szCs w:val="22"/>
        </w:rPr>
        <w:t xml:space="preserve"> sa treba vyhnúť</w:t>
      </w:r>
      <w:r w:rsidRPr="00823BDC">
        <w:rPr>
          <w:snapToGrid w:val="0"/>
          <w:szCs w:val="22"/>
        </w:rPr>
        <w:t>.</w:t>
      </w:r>
    </w:p>
    <w:p w14:paraId="2985D691" w14:textId="77777777" w:rsidR="00D044EB" w:rsidRPr="00823BDC" w:rsidRDefault="00D044EB">
      <w:pPr>
        <w:adjustRightInd w:val="0"/>
        <w:snapToGrid w:val="0"/>
        <w:rPr>
          <w:spacing w:val="-2"/>
          <w:szCs w:val="22"/>
        </w:rPr>
      </w:pPr>
    </w:p>
    <w:p w14:paraId="0E8543D5" w14:textId="77777777" w:rsidR="004C4F2E" w:rsidRPr="00823BDC" w:rsidRDefault="00F92FE1">
      <w:pPr>
        <w:adjustRightInd w:val="0"/>
        <w:snapToGrid w:val="0"/>
        <w:rPr>
          <w:spacing w:val="-2"/>
          <w:szCs w:val="22"/>
        </w:rPr>
      </w:pPr>
      <w:proofErr w:type="spellStart"/>
      <w:r w:rsidRPr="00823BDC">
        <w:rPr>
          <w:spacing w:val="-2"/>
          <w:szCs w:val="22"/>
        </w:rPr>
        <w:t>Simvastatín</w:t>
      </w:r>
      <w:proofErr w:type="spellEnd"/>
      <w:r w:rsidRPr="00823BDC">
        <w:rPr>
          <w:spacing w:val="-2"/>
          <w:szCs w:val="22"/>
        </w:rPr>
        <w:t xml:space="preserve"> sa nesmie podávať súbežne </w:t>
      </w:r>
      <w:proofErr w:type="spellStart"/>
      <w:r w:rsidR="001F3E48" w:rsidRPr="00823BDC">
        <w:rPr>
          <w:spacing w:val="-2"/>
          <w:szCs w:val="22"/>
        </w:rPr>
        <w:t>s</w:t>
      </w:r>
      <w:r w:rsidRPr="00823BDC">
        <w:rPr>
          <w:spacing w:val="-2"/>
          <w:szCs w:val="22"/>
        </w:rPr>
        <w:t>kyselin</w:t>
      </w:r>
      <w:r w:rsidR="001F3E48" w:rsidRPr="00823BDC">
        <w:rPr>
          <w:spacing w:val="-2"/>
          <w:szCs w:val="22"/>
        </w:rPr>
        <w:t>ou</w:t>
      </w:r>
      <w:proofErr w:type="spellEnd"/>
      <w:r w:rsidRPr="00823BDC">
        <w:rPr>
          <w:spacing w:val="-2"/>
          <w:szCs w:val="22"/>
        </w:rPr>
        <w:t xml:space="preserve"> </w:t>
      </w:r>
      <w:proofErr w:type="spellStart"/>
      <w:r w:rsidRPr="00823BDC">
        <w:rPr>
          <w:spacing w:val="-2"/>
          <w:szCs w:val="22"/>
        </w:rPr>
        <w:t>fusidov</w:t>
      </w:r>
      <w:r w:rsidR="001F3E48" w:rsidRPr="00823BDC">
        <w:rPr>
          <w:spacing w:val="-2"/>
          <w:szCs w:val="22"/>
        </w:rPr>
        <w:t>ou</w:t>
      </w:r>
      <w:proofErr w:type="spellEnd"/>
      <w:r w:rsidR="001F3E48" w:rsidRPr="00823BDC">
        <w:rPr>
          <w:spacing w:val="-2"/>
          <w:szCs w:val="22"/>
        </w:rPr>
        <w:t xml:space="preserve"> v liekových formách</w:t>
      </w:r>
      <w:r w:rsidR="00721E1D" w:rsidRPr="00823BDC">
        <w:rPr>
          <w:spacing w:val="-2"/>
          <w:szCs w:val="22"/>
        </w:rPr>
        <w:t xml:space="preserve"> na systémové použitie alebo počas 7 dní po ukončení liečby kyselinou </w:t>
      </w:r>
      <w:proofErr w:type="spellStart"/>
      <w:r w:rsidR="00721E1D" w:rsidRPr="00823BDC">
        <w:rPr>
          <w:spacing w:val="-2"/>
          <w:szCs w:val="22"/>
        </w:rPr>
        <w:t>fusidovou</w:t>
      </w:r>
      <w:proofErr w:type="spellEnd"/>
      <w:r w:rsidRPr="00823BDC">
        <w:rPr>
          <w:spacing w:val="-2"/>
          <w:szCs w:val="22"/>
        </w:rPr>
        <w:t>.</w:t>
      </w:r>
      <w:r w:rsidR="00FC60A6" w:rsidRPr="00823BDC">
        <w:rPr>
          <w:spacing w:val="-2"/>
          <w:szCs w:val="22"/>
        </w:rPr>
        <w:t xml:space="preserve"> </w:t>
      </w:r>
      <w:r w:rsidR="00C07A74" w:rsidRPr="00823BDC">
        <w:rPr>
          <w:spacing w:val="-2"/>
          <w:szCs w:val="22"/>
        </w:rPr>
        <w:t xml:space="preserve">U pacientov, u ktorých je použitie systémovej kyseliny </w:t>
      </w:r>
      <w:proofErr w:type="spellStart"/>
      <w:r w:rsidR="00C07A74" w:rsidRPr="00823BDC">
        <w:rPr>
          <w:spacing w:val="-2"/>
          <w:szCs w:val="22"/>
        </w:rPr>
        <w:t>fusidovej</w:t>
      </w:r>
      <w:proofErr w:type="spellEnd"/>
      <w:r w:rsidR="00C07A74" w:rsidRPr="00823BDC">
        <w:rPr>
          <w:spacing w:val="-2"/>
          <w:szCs w:val="22"/>
        </w:rPr>
        <w:t xml:space="preserve"> považované za nevyhnutné, </w:t>
      </w:r>
      <w:r w:rsidR="00AF4DC4" w:rsidRPr="00823BDC">
        <w:rPr>
          <w:spacing w:val="-2"/>
          <w:szCs w:val="22"/>
        </w:rPr>
        <w:t xml:space="preserve">sa </w:t>
      </w:r>
      <w:r w:rsidR="00C07A74" w:rsidRPr="00823BDC">
        <w:rPr>
          <w:spacing w:val="-2"/>
          <w:szCs w:val="22"/>
        </w:rPr>
        <w:t xml:space="preserve">má počas liečby kyselinou </w:t>
      </w:r>
      <w:proofErr w:type="spellStart"/>
      <w:r w:rsidR="00C07A74" w:rsidRPr="00823BDC">
        <w:rPr>
          <w:spacing w:val="-2"/>
          <w:szCs w:val="22"/>
        </w:rPr>
        <w:t>fusidovou</w:t>
      </w:r>
      <w:proofErr w:type="spellEnd"/>
      <w:r w:rsidR="00C07A74" w:rsidRPr="00823BDC">
        <w:rPr>
          <w:spacing w:val="-2"/>
          <w:szCs w:val="22"/>
        </w:rPr>
        <w:t xml:space="preserve"> liečba </w:t>
      </w:r>
      <w:proofErr w:type="spellStart"/>
      <w:r w:rsidR="00C07A74" w:rsidRPr="00823BDC">
        <w:rPr>
          <w:spacing w:val="-2"/>
          <w:szCs w:val="22"/>
        </w:rPr>
        <w:t>statínom</w:t>
      </w:r>
      <w:proofErr w:type="spellEnd"/>
      <w:r w:rsidR="00C07A74" w:rsidRPr="00823BDC">
        <w:rPr>
          <w:spacing w:val="-2"/>
          <w:szCs w:val="22"/>
        </w:rPr>
        <w:t xml:space="preserve"> preruš</w:t>
      </w:r>
      <w:r w:rsidR="00AF4DC4" w:rsidRPr="00823BDC">
        <w:rPr>
          <w:spacing w:val="-2"/>
          <w:szCs w:val="22"/>
        </w:rPr>
        <w:t>iť</w:t>
      </w:r>
      <w:r w:rsidR="00C07A74" w:rsidRPr="00823BDC">
        <w:rPr>
          <w:spacing w:val="-2"/>
          <w:szCs w:val="22"/>
        </w:rPr>
        <w:t>.</w:t>
      </w:r>
      <w:r w:rsidR="009A2D2D" w:rsidRPr="00823BDC">
        <w:rPr>
          <w:spacing w:val="-2"/>
          <w:szCs w:val="22"/>
        </w:rPr>
        <w:t xml:space="preserve"> </w:t>
      </w:r>
      <w:r w:rsidR="003449B7" w:rsidRPr="00823BDC">
        <w:rPr>
          <w:spacing w:val="-2"/>
          <w:szCs w:val="22"/>
        </w:rPr>
        <w:t xml:space="preserve">U pacientov </w:t>
      </w:r>
      <w:r w:rsidR="00721E1D" w:rsidRPr="00823BDC">
        <w:rPr>
          <w:spacing w:val="-2"/>
          <w:szCs w:val="22"/>
        </w:rPr>
        <w:t xml:space="preserve">súbežne </w:t>
      </w:r>
      <w:r w:rsidR="003449B7" w:rsidRPr="00823BDC">
        <w:rPr>
          <w:spacing w:val="-2"/>
          <w:szCs w:val="22"/>
        </w:rPr>
        <w:t xml:space="preserve">užívajúcich </w:t>
      </w:r>
      <w:r w:rsidR="00721E1D" w:rsidRPr="00823BDC">
        <w:rPr>
          <w:spacing w:val="-2"/>
          <w:szCs w:val="22"/>
        </w:rPr>
        <w:t xml:space="preserve">kyselinu </w:t>
      </w:r>
      <w:proofErr w:type="spellStart"/>
      <w:r w:rsidR="00721E1D" w:rsidRPr="00823BDC">
        <w:rPr>
          <w:spacing w:val="-2"/>
          <w:szCs w:val="22"/>
        </w:rPr>
        <w:t>fusidovú</w:t>
      </w:r>
      <w:proofErr w:type="spellEnd"/>
      <w:r w:rsidR="00721E1D" w:rsidRPr="00823BDC">
        <w:rPr>
          <w:spacing w:val="-2"/>
          <w:szCs w:val="22"/>
        </w:rPr>
        <w:t xml:space="preserve"> a </w:t>
      </w:r>
      <w:proofErr w:type="spellStart"/>
      <w:r w:rsidR="00721E1D" w:rsidRPr="00823BDC">
        <w:rPr>
          <w:spacing w:val="-2"/>
          <w:szCs w:val="22"/>
        </w:rPr>
        <w:t>statíny</w:t>
      </w:r>
      <w:proofErr w:type="spellEnd"/>
      <w:r w:rsidR="00721E1D" w:rsidRPr="00823BDC">
        <w:rPr>
          <w:spacing w:val="-2"/>
          <w:szCs w:val="22"/>
        </w:rPr>
        <w:t xml:space="preserve"> </w:t>
      </w:r>
      <w:r w:rsidR="003449B7" w:rsidRPr="00823BDC">
        <w:rPr>
          <w:spacing w:val="-2"/>
          <w:szCs w:val="22"/>
        </w:rPr>
        <w:t>b</w:t>
      </w:r>
      <w:r w:rsidR="00F66452" w:rsidRPr="00823BDC">
        <w:rPr>
          <w:spacing w:val="-2"/>
          <w:szCs w:val="22"/>
        </w:rPr>
        <w:t xml:space="preserve">oli hlásené prípady </w:t>
      </w:r>
      <w:proofErr w:type="spellStart"/>
      <w:r w:rsidR="00F66452" w:rsidRPr="00823BDC">
        <w:rPr>
          <w:spacing w:val="-2"/>
          <w:szCs w:val="22"/>
        </w:rPr>
        <w:t>rabdomyolýzy</w:t>
      </w:r>
      <w:proofErr w:type="spellEnd"/>
      <w:r w:rsidR="00F66452" w:rsidRPr="00823BDC">
        <w:rPr>
          <w:spacing w:val="-2"/>
          <w:szCs w:val="22"/>
        </w:rPr>
        <w:t xml:space="preserve"> (vrátane fatálnych prípadov) </w:t>
      </w:r>
      <w:r w:rsidR="00FC60A6" w:rsidRPr="00823BDC">
        <w:rPr>
          <w:spacing w:val="-2"/>
          <w:szCs w:val="22"/>
        </w:rPr>
        <w:t xml:space="preserve">(pozri časť 4.5). </w:t>
      </w:r>
      <w:r w:rsidR="004C4F2E" w:rsidRPr="00823BDC">
        <w:rPr>
          <w:spacing w:val="-2"/>
          <w:szCs w:val="22"/>
        </w:rPr>
        <w:t>Pacient</w:t>
      </w:r>
      <w:r w:rsidR="005F512E" w:rsidRPr="00823BDC">
        <w:rPr>
          <w:spacing w:val="-2"/>
          <w:szCs w:val="22"/>
        </w:rPr>
        <w:t xml:space="preserve"> má byť poučený</w:t>
      </w:r>
      <w:r w:rsidR="004C4F2E" w:rsidRPr="00823BDC">
        <w:rPr>
          <w:spacing w:val="-2"/>
          <w:szCs w:val="22"/>
        </w:rPr>
        <w:t xml:space="preserve">, aby vyhľadal lekársku pomoc </w:t>
      </w:r>
      <w:r w:rsidR="00DB58A5" w:rsidRPr="00823BDC">
        <w:rPr>
          <w:spacing w:val="-2"/>
          <w:szCs w:val="22"/>
        </w:rPr>
        <w:t>hneď</w:t>
      </w:r>
      <w:r w:rsidR="0001499E" w:rsidRPr="00823BDC">
        <w:rPr>
          <w:spacing w:val="-2"/>
          <w:szCs w:val="22"/>
        </w:rPr>
        <w:t>,</w:t>
      </w:r>
      <w:r w:rsidR="00DB58A5" w:rsidRPr="00823BDC">
        <w:rPr>
          <w:spacing w:val="-2"/>
          <w:szCs w:val="22"/>
        </w:rPr>
        <w:t xml:space="preserve"> ako</w:t>
      </w:r>
      <w:r w:rsidR="004C4F2E" w:rsidRPr="00823BDC">
        <w:rPr>
          <w:spacing w:val="-2"/>
          <w:szCs w:val="22"/>
        </w:rPr>
        <w:t xml:space="preserve"> sa u neho vyskytnú príznaky svalovej slabosti, bolesti alebo citlivosti.</w:t>
      </w:r>
    </w:p>
    <w:p w14:paraId="2987FCF9" w14:textId="77777777" w:rsidR="004C4F2E" w:rsidRPr="00823BDC" w:rsidRDefault="004C4F2E">
      <w:pPr>
        <w:adjustRightInd w:val="0"/>
        <w:snapToGrid w:val="0"/>
        <w:rPr>
          <w:spacing w:val="-2"/>
          <w:szCs w:val="22"/>
        </w:rPr>
      </w:pPr>
    </w:p>
    <w:p w14:paraId="6100B7F1" w14:textId="59567BC5" w:rsidR="003E09C8" w:rsidRPr="00823BDC" w:rsidRDefault="004C4F2E">
      <w:pPr>
        <w:adjustRightInd w:val="0"/>
        <w:snapToGrid w:val="0"/>
        <w:rPr>
          <w:spacing w:val="-2"/>
          <w:szCs w:val="22"/>
        </w:rPr>
      </w:pPr>
      <w:r w:rsidRPr="00823BDC">
        <w:rPr>
          <w:spacing w:val="-2"/>
          <w:szCs w:val="22"/>
        </w:rPr>
        <w:t xml:space="preserve">Liečba </w:t>
      </w:r>
      <w:proofErr w:type="spellStart"/>
      <w:r w:rsidRPr="00823BDC">
        <w:rPr>
          <w:spacing w:val="-2"/>
          <w:szCs w:val="22"/>
        </w:rPr>
        <w:t>statínom</w:t>
      </w:r>
      <w:proofErr w:type="spellEnd"/>
      <w:r w:rsidRPr="00823BDC">
        <w:rPr>
          <w:spacing w:val="-2"/>
          <w:szCs w:val="22"/>
        </w:rPr>
        <w:t xml:space="preserve"> môže byť obnovená </w:t>
      </w:r>
      <w:r w:rsidR="00C62C11" w:rsidRPr="00823BDC">
        <w:rPr>
          <w:spacing w:val="-2"/>
          <w:szCs w:val="22"/>
        </w:rPr>
        <w:t xml:space="preserve">7 </w:t>
      </w:r>
      <w:r w:rsidRPr="00823BDC">
        <w:rPr>
          <w:spacing w:val="-2"/>
          <w:szCs w:val="22"/>
        </w:rPr>
        <w:t xml:space="preserve">dní po poslednej dávke kyseliny </w:t>
      </w:r>
      <w:proofErr w:type="spellStart"/>
      <w:r w:rsidRPr="00823BDC">
        <w:rPr>
          <w:spacing w:val="-2"/>
          <w:szCs w:val="22"/>
        </w:rPr>
        <w:t>fusidovej</w:t>
      </w:r>
      <w:proofErr w:type="spellEnd"/>
      <w:r w:rsidRPr="00823BDC">
        <w:rPr>
          <w:spacing w:val="-2"/>
          <w:szCs w:val="22"/>
        </w:rPr>
        <w:t xml:space="preserve">. </w:t>
      </w:r>
    </w:p>
    <w:p w14:paraId="739D906F" w14:textId="77777777" w:rsidR="003E09C8" w:rsidRPr="00823BDC" w:rsidRDefault="003E09C8">
      <w:pPr>
        <w:adjustRightInd w:val="0"/>
        <w:snapToGrid w:val="0"/>
        <w:rPr>
          <w:spacing w:val="-2"/>
          <w:szCs w:val="22"/>
        </w:rPr>
      </w:pPr>
    </w:p>
    <w:p w14:paraId="7EBAE423" w14:textId="77777777" w:rsidR="003441C6" w:rsidRPr="00823BDC" w:rsidRDefault="004C4F2E">
      <w:pPr>
        <w:adjustRightInd w:val="0"/>
        <w:snapToGrid w:val="0"/>
        <w:rPr>
          <w:spacing w:val="-2"/>
          <w:szCs w:val="22"/>
        </w:rPr>
      </w:pPr>
      <w:r w:rsidRPr="00823BDC">
        <w:rPr>
          <w:spacing w:val="-2"/>
          <w:szCs w:val="22"/>
        </w:rPr>
        <w:lastRenderedPageBreak/>
        <w:t xml:space="preserve">Vo výnimočných prípadoch, </w:t>
      </w:r>
      <w:r w:rsidR="001F3E48" w:rsidRPr="00823BDC">
        <w:rPr>
          <w:spacing w:val="-2"/>
          <w:szCs w:val="22"/>
        </w:rPr>
        <w:t>ak</w:t>
      </w:r>
      <w:r w:rsidRPr="00823BDC">
        <w:rPr>
          <w:spacing w:val="-2"/>
          <w:szCs w:val="22"/>
        </w:rPr>
        <w:t xml:space="preserve"> je</w:t>
      </w:r>
      <w:r w:rsidR="005F512E" w:rsidRPr="00823BDC">
        <w:rPr>
          <w:spacing w:val="-2"/>
          <w:szCs w:val="22"/>
        </w:rPr>
        <w:t xml:space="preserve"> potrebn</w:t>
      </w:r>
      <w:r w:rsidR="001F3E48" w:rsidRPr="00823BDC">
        <w:rPr>
          <w:spacing w:val="-2"/>
          <w:szCs w:val="22"/>
        </w:rPr>
        <w:t>é</w:t>
      </w:r>
      <w:r w:rsidRPr="00823BDC">
        <w:rPr>
          <w:spacing w:val="-2"/>
          <w:szCs w:val="22"/>
        </w:rPr>
        <w:t xml:space="preserve"> </w:t>
      </w:r>
      <w:r w:rsidR="003441C6" w:rsidRPr="00823BDC">
        <w:rPr>
          <w:spacing w:val="-2"/>
          <w:szCs w:val="22"/>
        </w:rPr>
        <w:t>dlhodob</w:t>
      </w:r>
      <w:r w:rsidR="001F3E48" w:rsidRPr="00823BDC">
        <w:rPr>
          <w:spacing w:val="-2"/>
          <w:szCs w:val="22"/>
        </w:rPr>
        <w:t>é</w:t>
      </w:r>
      <w:r w:rsidR="003441C6" w:rsidRPr="00823BDC">
        <w:rPr>
          <w:spacing w:val="-2"/>
          <w:szCs w:val="22"/>
        </w:rPr>
        <w:t xml:space="preserve"> </w:t>
      </w:r>
      <w:r w:rsidR="001F3E48" w:rsidRPr="00823BDC">
        <w:rPr>
          <w:spacing w:val="-2"/>
          <w:szCs w:val="22"/>
        </w:rPr>
        <w:t>podávanie</w:t>
      </w:r>
      <w:r w:rsidR="003441C6" w:rsidRPr="00823BDC">
        <w:rPr>
          <w:spacing w:val="-2"/>
          <w:szCs w:val="22"/>
        </w:rPr>
        <w:t xml:space="preserve"> kyselin</w:t>
      </w:r>
      <w:r w:rsidR="001F3E48" w:rsidRPr="00823BDC">
        <w:rPr>
          <w:spacing w:val="-2"/>
          <w:szCs w:val="22"/>
        </w:rPr>
        <w:t>y</w:t>
      </w:r>
      <w:r w:rsidR="003441C6" w:rsidRPr="00823BDC">
        <w:rPr>
          <w:spacing w:val="-2"/>
          <w:szCs w:val="22"/>
        </w:rPr>
        <w:t xml:space="preserve"> </w:t>
      </w:r>
      <w:proofErr w:type="spellStart"/>
      <w:r w:rsidR="003441C6" w:rsidRPr="00823BDC">
        <w:rPr>
          <w:spacing w:val="-2"/>
          <w:szCs w:val="22"/>
        </w:rPr>
        <w:t>fusidov</w:t>
      </w:r>
      <w:r w:rsidR="001F3E48" w:rsidRPr="00823BDC">
        <w:rPr>
          <w:spacing w:val="-2"/>
          <w:szCs w:val="22"/>
        </w:rPr>
        <w:t>ej</w:t>
      </w:r>
      <w:proofErr w:type="spellEnd"/>
      <w:r w:rsidR="001F3E48" w:rsidRPr="00823BDC">
        <w:rPr>
          <w:spacing w:val="-2"/>
          <w:szCs w:val="22"/>
        </w:rPr>
        <w:t xml:space="preserve"> systémovo</w:t>
      </w:r>
      <w:r w:rsidR="003441C6" w:rsidRPr="00823BDC">
        <w:rPr>
          <w:spacing w:val="-2"/>
          <w:szCs w:val="22"/>
        </w:rPr>
        <w:t>, napr.</w:t>
      </w:r>
      <w:r w:rsidR="003449B7" w:rsidRPr="00823BDC">
        <w:rPr>
          <w:spacing w:val="-2"/>
          <w:szCs w:val="22"/>
        </w:rPr>
        <w:t xml:space="preserve"> </w:t>
      </w:r>
      <w:r w:rsidR="00DB58A5" w:rsidRPr="00823BDC">
        <w:rPr>
          <w:spacing w:val="-2"/>
          <w:szCs w:val="22"/>
        </w:rPr>
        <w:t>pri</w:t>
      </w:r>
      <w:r w:rsidR="003441C6" w:rsidRPr="00823BDC">
        <w:rPr>
          <w:spacing w:val="-2"/>
          <w:szCs w:val="22"/>
        </w:rPr>
        <w:t xml:space="preserve"> liečb</w:t>
      </w:r>
      <w:r w:rsidR="00DB58A5" w:rsidRPr="00823BDC">
        <w:rPr>
          <w:spacing w:val="-2"/>
          <w:szCs w:val="22"/>
        </w:rPr>
        <w:t>e</w:t>
      </w:r>
      <w:r w:rsidR="003441C6" w:rsidRPr="00823BDC">
        <w:rPr>
          <w:spacing w:val="-2"/>
          <w:szCs w:val="22"/>
        </w:rPr>
        <w:t xml:space="preserve"> ťažkých infekcií, </w:t>
      </w:r>
      <w:r w:rsidR="006B4A27" w:rsidRPr="00823BDC">
        <w:rPr>
          <w:spacing w:val="-2"/>
          <w:szCs w:val="22"/>
        </w:rPr>
        <w:t xml:space="preserve">sa </w:t>
      </w:r>
      <w:r w:rsidR="003441C6" w:rsidRPr="00823BDC">
        <w:rPr>
          <w:spacing w:val="-2"/>
          <w:szCs w:val="22"/>
        </w:rPr>
        <w:t xml:space="preserve">má </w:t>
      </w:r>
      <w:r w:rsidR="005F512E" w:rsidRPr="00823BDC">
        <w:rPr>
          <w:spacing w:val="-2"/>
          <w:szCs w:val="22"/>
        </w:rPr>
        <w:t>súbežné</w:t>
      </w:r>
      <w:r w:rsidR="00457AF6" w:rsidRPr="00823BDC">
        <w:rPr>
          <w:spacing w:val="-2"/>
          <w:szCs w:val="22"/>
        </w:rPr>
        <w:t xml:space="preserve"> </w:t>
      </w:r>
      <w:r w:rsidR="003441C6" w:rsidRPr="00823BDC">
        <w:rPr>
          <w:spacing w:val="-2"/>
          <w:szCs w:val="22"/>
        </w:rPr>
        <w:t>pod</w:t>
      </w:r>
      <w:r w:rsidR="00457AF6" w:rsidRPr="00823BDC">
        <w:rPr>
          <w:spacing w:val="-2"/>
          <w:szCs w:val="22"/>
        </w:rPr>
        <w:t>ávan</w:t>
      </w:r>
      <w:r w:rsidR="005F512E" w:rsidRPr="00823BDC">
        <w:rPr>
          <w:spacing w:val="-2"/>
          <w:szCs w:val="22"/>
        </w:rPr>
        <w:t>ie</w:t>
      </w:r>
      <w:r w:rsidR="003441C6" w:rsidRPr="00823BDC">
        <w:rPr>
          <w:spacing w:val="-2"/>
          <w:szCs w:val="22"/>
        </w:rPr>
        <w:t xml:space="preserve"> </w:t>
      </w:r>
      <w:proofErr w:type="spellStart"/>
      <w:r w:rsidR="00BA778E" w:rsidRPr="00823BDC">
        <w:rPr>
          <w:spacing w:val="-2"/>
          <w:szCs w:val="22"/>
        </w:rPr>
        <w:t>Cornusanu</w:t>
      </w:r>
      <w:proofErr w:type="spellEnd"/>
      <w:r w:rsidR="003441C6" w:rsidRPr="00823BDC">
        <w:rPr>
          <w:spacing w:val="-2"/>
          <w:szCs w:val="22"/>
        </w:rPr>
        <w:t xml:space="preserve"> a kyseliny </w:t>
      </w:r>
      <w:proofErr w:type="spellStart"/>
      <w:r w:rsidR="003441C6" w:rsidRPr="00823BDC">
        <w:rPr>
          <w:spacing w:val="-2"/>
          <w:szCs w:val="22"/>
        </w:rPr>
        <w:t>fusidovej</w:t>
      </w:r>
      <w:proofErr w:type="spellEnd"/>
      <w:r w:rsidR="003441C6" w:rsidRPr="00823BDC">
        <w:rPr>
          <w:spacing w:val="-2"/>
          <w:szCs w:val="22"/>
        </w:rPr>
        <w:t xml:space="preserve"> </w:t>
      </w:r>
      <w:r w:rsidR="005F512E" w:rsidRPr="00823BDC">
        <w:rPr>
          <w:spacing w:val="-2"/>
          <w:szCs w:val="22"/>
        </w:rPr>
        <w:t>posúd</w:t>
      </w:r>
      <w:r w:rsidR="006B4A27" w:rsidRPr="00823BDC">
        <w:rPr>
          <w:spacing w:val="-2"/>
          <w:szCs w:val="22"/>
        </w:rPr>
        <w:t>iť</w:t>
      </w:r>
      <w:r w:rsidR="005F512E" w:rsidRPr="00823BDC">
        <w:rPr>
          <w:spacing w:val="-2"/>
          <w:szCs w:val="22"/>
        </w:rPr>
        <w:t xml:space="preserve"> </w:t>
      </w:r>
      <w:r w:rsidR="00DB58A5" w:rsidRPr="00823BDC">
        <w:rPr>
          <w:spacing w:val="-2"/>
          <w:szCs w:val="22"/>
        </w:rPr>
        <w:t xml:space="preserve">individuálne </w:t>
      </w:r>
      <w:r w:rsidR="005F512E" w:rsidRPr="00823BDC">
        <w:rPr>
          <w:spacing w:val="-2"/>
          <w:szCs w:val="22"/>
        </w:rPr>
        <w:t>pod</w:t>
      </w:r>
      <w:r w:rsidR="003441C6" w:rsidRPr="00823BDC">
        <w:rPr>
          <w:spacing w:val="-2"/>
          <w:szCs w:val="22"/>
        </w:rPr>
        <w:t xml:space="preserve"> </w:t>
      </w:r>
      <w:r w:rsidR="00F07629" w:rsidRPr="00823BDC">
        <w:rPr>
          <w:spacing w:val="-2"/>
          <w:szCs w:val="22"/>
        </w:rPr>
        <w:t>starostlivým</w:t>
      </w:r>
      <w:r w:rsidR="003441C6" w:rsidRPr="00823BDC">
        <w:rPr>
          <w:spacing w:val="-2"/>
          <w:szCs w:val="22"/>
        </w:rPr>
        <w:t xml:space="preserve"> lekárskym dohľadom.</w:t>
      </w:r>
    </w:p>
    <w:p w14:paraId="62CF0F9E" w14:textId="77777777" w:rsidR="00F92FE1" w:rsidRPr="00823BDC" w:rsidRDefault="00F92FE1">
      <w:pPr>
        <w:adjustRightInd w:val="0"/>
        <w:snapToGrid w:val="0"/>
        <w:rPr>
          <w:spacing w:val="-2"/>
          <w:szCs w:val="22"/>
        </w:rPr>
      </w:pPr>
    </w:p>
    <w:p w14:paraId="3C9718CF" w14:textId="65D71BE4" w:rsidR="00031037" w:rsidRPr="00823BDC" w:rsidRDefault="00031037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Kombinovanému užívaniu </w:t>
      </w:r>
      <w:proofErr w:type="spellStart"/>
      <w:r w:rsidR="00BA778E" w:rsidRPr="00823BDC">
        <w:rPr>
          <w:snapToGrid w:val="0"/>
          <w:szCs w:val="22"/>
        </w:rPr>
        <w:t>Cornusanu</w:t>
      </w:r>
      <w:proofErr w:type="spellEnd"/>
      <w:r w:rsidRPr="00823BDC">
        <w:rPr>
          <w:snapToGrid w:val="0"/>
          <w:szCs w:val="22"/>
        </w:rPr>
        <w:t xml:space="preserve"> v dávkach vyšších ako 10</w:t>
      </w:r>
      <w:r w:rsidR="00C62C11" w:rsidRPr="00823BDC">
        <w:rPr>
          <w:snapToGrid w:val="0"/>
          <w:szCs w:val="22"/>
        </w:rPr>
        <w:t> </w:t>
      </w:r>
      <w:r w:rsidR="001F3E48" w:rsidRPr="00823BDC">
        <w:rPr>
          <w:snapToGrid w:val="0"/>
          <w:szCs w:val="22"/>
        </w:rPr>
        <w:t>mg</w:t>
      </w:r>
      <w:r w:rsidRPr="00823BDC">
        <w:rPr>
          <w:snapToGrid w:val="0"/>
          <w:szCs w:val="22"/>
        </w:rPr>
        <w:t>/20 mg denne s </w:t>
      </w:r>
      <w:r w:rsidRPr="00823BDC">
        <w:rPr>
          <w:szCs w:val="22"/>
        </w:rPr>
        <w:t>kyselinou nikotínovou v dávkach znižujúcich lipidy (</w:t>
      </w:r>
      <w:r w:rsidRPr="00530542">
        <w:rPr>
          <w:szCs w:val="22"/>
        </w:rPr>
        <w:sym w:font="Symbol" w:char="F0B3"/>
      </w:r>
      <w:r w:rsidR="00081701" w:rsidRPr="00530542">
        <w:rPr>
          <w:szCs w:val="22"/>
        </w:rPr>
        <w:t> </w:t>
      </w:r>
      <w:r w:rsidRPr="00CD10F1">
        <w:rPr>
          <w:szCs w:val="22"/>
        </w:rPr>
        <w:t>1 g/deň)</w:t>
      </w:r>
      <w:r w:rsidRPr="00CD10F1">
        <w:rPr>
          <w:snapToGrid w:val="0"/>
          <w:szCs w:val="22"/>
        </w:rPr>
        <w:t xml:space="preserve"> sa treba vyhnúť, pokiaľ možný klinický prínos nepreváži zvýšené riziko </w:t>
      </w:r>
      <w:proofErr w:type="spellStart"/>
      <w:r w:rsidRPr="00CD10F1">
        <w:rPr>
          <w:snapToGrid w:val="0"/>
          <w:szCs w:val="22"/>
        </w:rPr>
        <w:t>myopatie</w:t>
      </w:r>
      <w:proofErr w:type="spellEnd"/>
      <w:r w:rsidRPr="00CD10F1">
        <w:rPr>
          <w:snapToGrid w:val="0"/>
          <w:szCs w:val="22"/>
        </w:rPr>
        <w:t xml:space="preserve"> (pozri časti</w:t>
      </w:r>
      <w:r w:rsidR="00850C86" w:rsidRPr="00823BDC">
        <w:rPr>
          <w:snapToGrid w:val="0"/>
          <w:szCs w:val="22"/>
        </w:rPr>
        <w:t xml:space="preserve"> </w:t>
      </w:r>
      <w:r w:rsidRPr="00823BDC">
        <w:rPr>
          <w:snapToGrid w:val="0"/>
          <w:szCs w:val="22"/>
        </w:rPr>
        <w:t>4.2 a 4.5).</w:t>
      </w:r>
    </w:p>
    <w:p w14:paraId="0B9F9312" w14:textId="77777777" w:rsidR="00031037" w:rsidRPr="00823BDC" w:rsidRDefault="00031037">
      <w:pPr>
        <w:adjustRightInd w:val="0"/>
        <w:snapToGrid w:val="0"/>
        <w:rPr>
          <w:spacing w:val="-2"/>
          <w:szCs w:val="22"/>
        </w:rPr>
      </w:pPr>
    </w:p>
    <w:p w14:paraId="03D9D32A" w14:textId="68022821" w:rsidR="00793FBE" w:rsidRPr="00823BDC" w:rsidRDefault="00793FBE">
      <w:pPr>
        <w:overflowPunct w:val="0"/>
        <w:autoSpaceDE w:val="0"/>
        <w:autoSpaceDN w:val="0"/>
        <w:adjustRightInd w:val="0"/>
        <w:textAlignment w:val="baseline"/>
        <w:rPr>
          <w:color w:val="000000"/>
          <w:szCs w:val="22"/>
        </w:rPr>
      </w:pPr>
      <w:r w:rsidRPr="00823BDC">
        <w:rPr>
          <w:color w:val="000000"/>
          <w:szCs w:val="22"/>
        </w:rPr>
        <w:t>Súbežn</w:t>
      </w:r>
      <w:r w:rsidR="00BA778E" w:rsidRPr="00823BDC">
        <w:rPr>
          <w:color w:val="000000"/>
          <w:szCs w:val="22"/>
        </w:rPr>
        <w:t>é</w:t>
      </w:r>
      <w:r w:rsidRPr="00823BDC">
        <w:rPr>
          <w:color w:val="000000"/>
          <w:szCs w:val="22"/>
        </w:rPr>
        <w:t xml:space="preserve"> podávan</w:t>
      </w:r>
      <w:r w:rsidR="00BA778E" w:rsidRPr="00823BDC">
        <w:rPr>
          <w:color w:val="000000"/>
          <w:szCs w:val="22"/>
        </w:rPr>
        <w:t>ie</w:t>
      </w:r>
      <w:r w:rsidRPr="00823BDC">
        <w:rPr>
          <w:color w:val="000000"/>
          <w:szCs w:val="22"/>
        </w:rPr>
        <w:t xml:space="preserve"> inhibítorov </w:t>
      </w:r>
      <w:r w:rsidR="00B726B5">
        <w:rPr>
          <w:color w:val="000000"/>
          <w:szCs w:val="22"/>
        </w:rPr>
        <w:t>HMG-</w:t>
      </w:r>
      <w:proofErr w:type="spellStart"/>
      <w:r w:rsidR="00B726B5">
        <w:rPr>
          <w:color w:val="000000"/>
          <w:szCs w:val="22"/>
        </w:rPr>
        <w:t>CoA</w:t>
      </w:r>
      <w:proofErr w:type="spellEnd"/>
      <w:r w:rsidR="00722881" w:rsidRPr="00823BDC">
        <w:rPr>
          <w:color w:val="000000"/>
          <w:szCs w:val="22"/>
        </w:rPr>
        <w:t>-</w:t>
      </w:r>
      <w:proofErr w:type="spellStart"/>
      <w:r w:rsidR="00722881" w:rsidRPr="00823BDC">
        <w:rPr>
          <w:color w:val="000000"/>
          <w:szCs w:val="22"/>
        </w:rPr>
        <w:t>reduktázy</w:t>
      </w:r>
      <w:proofErr w:type="spellEnd"/>
      <w:r w:rsidRPr="00823BDC">
        <w:rPr>
          <w:color w:val="000000"/>
          <w:szCs w:val="22"/>
        </w:rPr>
        <w:t xml:space="preserve"> a</w:t>
      </w:r>
      <w:r w:rsidR="00BA778E" w:rsidRPr="00823BDC">
        <w:rPr>
          <w:color w:val="000000"/>
          <w:szCs w:val="22"/>
        </w:rPr>
        <w:t> niacínu (</w:t>
      </w:r>
      <w:r w:rsidRPr="00823BDC">
        <w:rPr>
          <w:color w:val="000000"/>
          <w:szCs w:val="22"/>
        </w:rPr>
        <w:t>kyseliny nikotínovej</w:t>
      </w:r>
      <w:r w:rsidR="00BA778E" w:rsidRPr="00823BDC">
        <w:rPr>
          <w:color w:val="000000"/>
          <w:szCs w:val="22"/>
        </w:rPr>
        <w:t>)</w:t>
      </w:r>
      <w:r w:rsidRPr="00823BDC">
        <w:rPr>
          <w:color w:val="000000"/>
          <w:szCs w:val="22"/>
        </w:rPr>
        <w:t xml:space="preserve"> v dávkach upravujúcich lipidy (≥</w:t>
      </w:r>
      <w:r w:rsidR="00081701" w:rsidRPr="00823BDC">
        <w:rPr>
          <w:color w:val="000000"/>
          <w:szCs w:val="22"/>
        </w:rPr>
        <w:t> </w:t>
      </w:r>
      <w:r w:rsidRPr="00823BDC">
        <w:rPr>
          <w:color w:val="000000"/>
          <w:szCs w:val="22"/>
        </w:rPr>
        <w:t>1</w:t>
      </w:r>
      <w:r w:rsidRPr="00823BDC">
        <w:rPr>
          <w:color w:val="000000"/>
          <w:szCs w:val="22"/>
          <w:lang w:bidi="th-TH"/>
        </w:rPr>
        <w:t> g</w:t>
      </w:r>
      <w:r w:rsidRPr="00823BDC">
        <w:rPr>
          <w:color w:val="000000"/>
          <w:szCs w:val="22"/>
        </w:rPr>
        <w:t xml:space="preserve">/deň), </w:t>
      </w:r>
      <w:r w:rsidR="00BA778E" w:rsidRPr="00823BDC">
        <w:rPr>
          <w:color w:val="000000"/>
          <w:szCs w:val="22"/>
        </w:rPr>
        <w:t xml:space="preserve">bolo spojené so zriedkavými prípadmi </w:t>
      </w:r>
      <w:proofErr w:type="spellStart"/>
      <w:r w:rsidR="00BA778E" w:rsidRPr="00823BDC">
        <w:rPr>
          <w:color w:val="000000"/>
          <w:szCs w:val="22"/>
        </w:rPr>
        <w:t>myopatie</w:t>
      </w:r>
      <w:proofErr w:type="spellEnd"/>
      <w:r w:rsidR="00BA778E" w:rsidRPr="00823BDC">
        <w:rPr>
          <w:color w:val="000000"/>
          <w:szCs w:val="22"/>
        </w:rPr>
        <w:t>/</w:t>
      </w:r>
      <w:proofErr w:type="spellStart"/>
      <w:r w:rsidR="00BA778E" w:rsidRPr="00823BDC">
        <w:rPr>
          <w:color w:val="000000"/>
          <w:szCs w:val="22"/>
        </w:rPr>
        <w:t>rabdomyolýzy</w:t>
      </w:r>
      <w:proofErr w:type="spellEnd"/>
      <w:r w:rsidR="00BA778E" w:rsidRPr="00823BDC">
        <w:rPr>
          <w:color w:val="000000"/>
          <w:szCs w:val="22"/>
        </w:rPr>
        <w:t xml:space="preserve">, </w:t>
      </w:r>
      <w:r w:rsidRPr="00823BDC">
        <w:rPr>
          <w:color w:val="000000"/>
          <w:szCs w:val="22"/>
        </w:rPr>
        <w:t>pričom jedno aj druhé liečivo môže spôsob</w:t>
      </w:r>
      <w:r w:rsidR="00FE38E3" w:rsidRPr="00823BDC">
        <w:rPr>
          <w:color w:val="000000"/>
          <w:szCs w:val="22"/>
        </w:rPr>
        <w:t>iť</w:t>
      </w:r>
      <w:r w:rsidRPr="00823BDC">
        <w:rPr>
          <w:color w:val="000000"/>
          <w:szCs w:val="22"/>
        </w:rPr>
        <w:t xml:space="preserve"> </w:t>
      </w:r>
      <w:proofErr w:type="spellStart"/>
      <w:r w:rsidRPr="00823BDC">
        <w:rPr>
          <w:color w:val="000000"/>
          <w:szCs w:val="22"/>
        </w:rPr>
        <w:t>myopatiu</w:t>
      </w:r>
      <w:proofErr w:type="spellEnd"/>
      <w:r w:rsidRPr="00823BDC">
        <w:rPr>
          <w:color w:val="000000"/>
          <w:szCs w:val="22"/>
        </w:rPr>
        <w:t xml:space="preserve">, </w:t>
      </w:r>
      <w:r w:rsidR="001F3E48" w:rsidRPr="00823BDC">
        <w:rPr>
          <w:color w:val="000000"/>
          <w:szCs w:val="22"/>
        </w:rPr>
        <w:t>ak</w:t>
      </w:r>
      <w:r w:rsidRPr="00823BDC">
        <w:rPr>
          <w:color w:val="000000"/>
          <w:szCs w:val="22"/>
        </w:rPr>
        <w:t xml:space="preserve"> sa podáva samostatne.</w:t>
      </w:r>
    </w:p>
    <w:p w14:paraId="56869985" w14:textId="77777777" w:rsidR="00793FBE" w:rsidRPr="00823BDC" w:rsidRDefault="00793FBE">
      <w:pPr>
        <w:overflowPunct w:val="0"/>
        <w:autoSpaceDE w:val="0"/>
        <w:autoSpaceDN w:val="0"/>
        <w:adjustRightInd w:val="0"/>
        <w:textAlignment w:val="baseline"/>
        <w:rPr>
          <w:color w:val="000000"/>
          <w:szCs w:val="22"/>
        </w:rPr>
      </w:pPr>
    </w:p>
    <w:p w14:paraId="04BC640E" w14:textId="77777777" w:rsidR="00793FBE" w:rsidRPr="00823BDC" w:rsidRDefault="00446920">
      <w:pPr>
        <w:overflowPunct w:val="0"/>
        <w:autoSpaceDE w:val="0"/>
        <w:autoSpaceDN w:val="0"/>
        <w:adjustRightInd w:val="0"/>
        <w:textAlignment w:val="baseline"/>
        <w:rPr>
          <w:color w:val="000000"/>
          <w:szCs w:val="22"/>
          <w:lang w:bidi="th-TH"/>
        </w:rPr>
      </w:pPr>
      <w:r w:rsidRPr="00823BDC">
        <w:rPr>
          <w:szCs w:val="22"/>
        </w:rPr>
        <w:t xml:space="preserve">V klinickom skúšaní (medián sledovania 3,9 rokov) </w:t>
      </w:r>
      <w:r w:rsidR="007900F4" w:rsidRPr="00823BDC">
        <w:rPr>
          <w:szCs w:val="22"/>
        </w:rPr>
        <w:t xml:space="preserve">zahŕňajúcom pacientov s vysokým rizikom kardiovaskulárneho ochorenia, ktorí mali dostatočne kontrolované hladiny LDL-C </w:t>
      </w:r>
      <w:proofErr w:type="spellStart"/>
      <w:r w:rsidR="007900F4" w:rsidRPr="00823BDC">
        <w:rPr>
          <w:szCs w:val="22"/>
        </w:rPr>
        <w:t>simvastatínom</w:t>
      </w:r>
      <w:proofErr w:type="spellEnd"/>
      <w:r w:rsidR="007900F4" w:rsidRPr="00823BDC">
        <w:rPr>
          <w:szCs w:val="22"/>
        </w:rPr>
        <w:t xml:space="preserve"> 40 mg/deň s </w:t>
      </w:r>
      <w:proofErr w:type="spellStart"/>
      <w:r w:rsidR="007900F4" w:rsidRPr="00823BDC">
        <w:rPr>
          <w:szCs w:val="22"/>
        </w:rPr>
        <w:t>ezetimibom</w:t>
      </w:r>
      <w:proofErr w:type="spellEnd"/>
      <w:r w:rsidR="007900F4" w:rsidRPr="00823BDC">
        <w:rPr>
          <w:szCs w:val="22"/>
        </w:rPr>
        <w:t xml:space="preserve"> 10 mg alebo bez neho</w:t>
      </w:r>
      <w:r w:rsidR="00CE4B5D" w:rsidRPr="00823BDC">
        <w:rPr>
          <w:szCs w:val="22"/>
        </w:rPr>
        <w:t>,</w:t>
      </w:r>
      <w:r w:rsidR="007900F4" w:rsidRPr="00823BDC">
        <w:rPr>
          <w:szCs w:val="22"/>
        </w:rPr>
        <w:t xml:space="preserve"> nemalo pridanie </w:t>
      </w:r>
      <w:r w:rsidR="00FE38E3" w:rsidRPr="00823BDC">
        <w:rPr>
          <w:szCs w:val="22"/>
        </w:rPr>
        <w:t>niacínu (</w:t>
      </w:r>
      <w:r w:rsidR="007900F4" w:rsidRPr="00823BDC">
        <w:rPr>
          <w:szCs w:val="22"/>
        </w:rPr>
        <w:t>kyseliny nikotínovej</w:t>
      </w:r>
      <w:r w:rsidR="00FE38E3" w:rsidRPr="00823BDC">
        <w:rPr>
          <w:szCs w:val="22"/>
        </w:rPr>
        <w:t>)</w:t>
      </w:r>
      <w:r w:rsidR="007900F4" w:rsidRPr="00823BDC">
        <w:rPr>
          <w:szCs w:val="22"/>
        </w:rPr>
        <w:t xml:space="preserve"> v dávkach </w:t>
      </w:r>
      <w:r w:rsidR="00CE4B5D" w:rsidRPr="00823BDC">
        <w:rPr>
          <w:color w:val="000000"/>
          <w:szCs w:val="22"/>
        </w:rPr>
        <w:t>upravujúcich</w:t>
      </w:r>
      <w:r w:rsidR="007900F4" w:rsidRPr="00823BDC">
        <w:rPr>
          <w:szCs w:val="22"/>
        </w:rPr>
        <w:t xml:space="preserve"> lipidy (</w:t>
      </w:r>
      <w:r w:rsidR="007900F4" w:rsidRPr="00530542">
        <w:rPr>
          <w:szCs w:val="22"/>
        </w:rPr>
        <w:sym w:font="Symbol" w:char="F0B3"/>
      </w:r>
      <w:r w:rsidR="007900F4" w:rsidRPr="00530542">
        <w:rPr>
          <w:szCs w:val="22"/>
        </w:rPr>
        <w:t xml:space="preserve"> 1 g/deň) žiadny dodatočný prínos </w:t>
      </w:r>
      <w:r w:rsidR="0014669B" w:rsidRPr="00CD10F1">
        <w:rPr>
          <w:szCs w:val="22"/>
        </w:rPr>
        <w:t xml:space="preserve">na kardiovaskulárny výsledok. </w:t>
      </w:r>
      <w:r w:rsidRPr="00CD10F1">
        <w:rPr>
          <w:color w:val="000000"/>
          <w:szCs w:val="22"/>
          <w:lang w:bidi="th-TH"/>
        </w:rPr>
        <w:t>Preto, l</w:t>
      </w:r>
      <w:r w:rsidR="00793FBE" w:rsidRPr="00CD10F1">
        <w:rPr>
          <w:color w:val="000000"/>
          <w:szCs w:val="22"/>
          <w:lang w:bidi="th-TH"/>
        </w:rPr>
        <w:t xml:space="preserve">ekári zvažujúci kombinovanú </w:t>
      </w:r>
      <w:r w:rsidR="006671F5" w:rsidRPr="00CD10F1">
        <w:rPr>
          <w:color w:val="000000"/>
          <w:szCs w:val="22"/>
          <w:lang w:bidi="th-TH"/>
        </w:rPr>
        <w:t>liečbu</w:t>
      </w:r>
      <w:r w:rsidR="00793FBE" w:rsidRPr="00823BDC">
        <w:rPr>
          <w:color w:val="000000"/>
          <w:szCs w:val="22"/>
          <w:lang w:bidi="th-TH"/>
        </w:rPr>
        <w:t xml:space="preserve"> </w:t>
      </w:r>
      <w:proofErr w:type="spellStart"/>
      <w:r w:rsidR="00793FBE" w:rsidRPr="00823BDC">
        <w:rPr>
          <w:color w:val="000000"/>
          <w:szCs w:val="22"/>
          <w:lang w:bidi="th-TH"/>
        </w:rPr>
        <w:t>simvastatínom</w:t>
      </w:r>
      <w:proofErr w:type="spellEnd"/>
      <w:r w:rsidR="00793FBE" w:rsidRPr="00823BDC">
        <w:rPr>
          <w:color w:val="000000"/>
          <w:szCs w:val="22"/>
          <w:lang w:bidi="th-TH"/>
        </w:rPr>
        <w:t xml:space="preserve"> a</w:t>
      </w:r>
      <w:r w:rsidR="00FE38E3" w:rsidRPr="00823BDC">
        <w:rPr>
          <w:color w:val="000000"/>
          <w:szCs w:val="22"/>
          <w:lang w:bidi="th-TH"/>
        </w:rPr>
        <w:t xml:space="preserve"> niacínom (</w:t>
      </w:r>
      <w:r w:rsidR="00793FBE" w:rsidRPr="00823BDC">
        <w:rPr>
          <w:color w:val="000000"/>
          <w:szCs w:val="22"/>
          <w:lang w:bidi="th-TH"/>
        </w:rPr>
        <w:t> </w:t>
      </w:r>
      <w:r w:rsidR="00793FBE" w:rsidRPr="00823BDC">
        <w:rPr>
          <w:color w:val="000000"/>
          <w:szCs w:val="22"/>
        </w:rPr>
        <w:t>kyselinou nikotínovou</w:t>
      </w:r>
      <w:r w:rsidR="00FE38E3" w:rsidRPr="00823BDC">
        <w:rPr>
          <w:color w:val="000000"/>
          <w:szCs w:val="22"/>
        </w:rPr>
        <w:t>)</w:t>
      </w:r>
      <w:r w:rsidR="00793FBE" w:rsidRPr="00823BDC">
        <w:rPr>
          <w:color w:val="000000"/>
          <w:szCs w:val="22"/>
        </w:rPr>
        <w:t xml:space="preserve"> v dávkach upravujúcich lipidy (≥</w:t>
      </w:r>
      <w:r w:rsidR="00081701" w:rsidRPr="00823BDC">
        <w:rPr>
          <w:color w:val="000000"/>
          <w:szCs w:val="22"/>
        </w:rPr>
        <w:t> </w:t>
      </w:r>
      <w:r w:rsidR="00793FBE" w:rsidRPr="00823BDC">
        <w:rPr>
          <w:color w:val="000000"/>
          <w:szCs w:val="22"/>
        </w:rPr>
        <w:t>1</w:t>
      </w:r>
      <w:r w:rsidR="00793FBE" w:rsidRPr="00823BDC">
        <w:rPr>
          <w:color w:val="000000"/>
          <w:szCs w:val="22"/>
          <w:lang w:bidi="th-TH"/>
        </w:rPr>
        <w:t> g</w:t>
      </w:r>
      <w:r w:rsidR="00793FBE" w:rsidRPr="00823BDC">
        <w:rPr>
          <w:color w:val="000000"/>
          <w:szCs w:val="22"/>
        </w:rPr>
        <w:t>/deň)</w:t>
      </w:r>
      <w:r w:rsidR="00793FBE" w:rsidRPr="00823BDC">
        <w:rPr>
          <w:color w:val="000000"/>
          <w:szCs w:val="22"/>
          <w:lang w:bidi="th-TH"/>
        </w:rPr>
        <w:t xml:space="preserve"> alebo liekmi obsahujúcimi </w:t>
      </w:r>
      <w:r w:rsidR="00FE38E3" w:rsidRPr="00823BDC">
        <w:rPr>
          <w:color w:val="000000"/>
          <w:szCs w:val="22"/>
          <w:lang w:bidi="th-TH"/>
        </w:rPr>
        <w:t>niacín</w:t>
      </w:r>
      <w:r w:rsidR="00793FBE" w:rsidRPr="00823BDC">
        <w:rPr>
          <w:color w:val="000000"/>
          <w:szCs w:val="22"/>
          <w:lang w:bidi="th-TH"/>
        </w:rPr>
        <w:t xml:space="preserve"> majú starostlivo zvážiť potenciálne prínosy a riziká a majú u pacientov starostlivo sledovať akékoľvek </w:t>
      </w:r>
      <w:r w:rsidR="001F3E48" w:rsidRPr="00823BDC">
        <w:rPr>
          <w:color w:val="000000"/>
          <w:szCs w:val="22"/>
          <w:lang w:bidi="th-TH"/>
        </w:rPr>
        <w:t>prejavy</w:t>
      </w:r>
      <w:r w:rsidR="00793FBE" w:rsidRPr="00823BDC">
        <w:rPr>
          <w:color w:val="000000"/>
          <w:szCs w:val="22"/>
          <w:lang w:bidi="th-TH"/>
        </w:rPr>
        <w:t xml:space="preserve"> a príznaky svalovej bolesti, citlivosti alebo slabosti, obzvlášť počas prvých mesiacov liečby a pri zvýšení dávky jedného z liekov.</w:t>
      </w:r>
    </w:p>
    <w:p w14:paraId="4A570D4E" w14:textId="77777777" w:rsidR="00793FBE" w:rsidRPr="00823BDC" w:rsidRDefault="00793FBE">
      <w:pPr>
        <w:overflowPunct w:val="0"/>
        <w:autoSpaceDE w:val="0"/>
        <w:autoSpaceDN w:val="0"/>
        <w:adjustRightInd w:val="0"/>
        <w:textAlignment w:val="baseline"/>
        <w:rPr>
          <w:color w:val="000000"/>
          <w:szCs w:val="22"/>
          <w:lang w:bidi="th-TH"/>
        </w:rPr>
      </w:pPr>
    </w:p>
    <w:p w14:paraId="08A6473A" w14:textId="77777777" w:rsidR="00DD5B66" w:rsidRPr="00CD10F1" w:rsidRDefault="00DD5B66">
      <w:pPr>
        <w:overflowPunct w:val="0"/>
        <w:autoSpaceDE w:val="0"/>
        <w:autoSpaceDN w:val="0"/>
        <w:adjustRightInd w:val="0"/>
        <w:textAlignment w:val="baseline"/>
        <w:rPr>
          <w:color w:val="000000"/>
          <w:szCs w:val="22"/>
          <w:lang w:bidi="th-TH"/>
        </w:rPr>
      </w:pPr>
      <w:r w:rsidRPr="00823BDC">
        <w:rPr>
          <w:color w:val="000000"/>
          <w:szCs w:val="22"/>
          <w:lang w:bidi="th-TH"/>
        </w:rPr>
        <w:t xml:space="preserve">V tomto </w:t>
      </w:r>
      <w:r w:rsidR="00FA1EBF" w:rsidRPr="00823BDC">
        <w:rPr>
          <w:color w:val="000000"/>
          <w:szCs w:val="22"/>
          <w:lang w:bidi="th-TH"/>
        </w:rPr>
        <w:t>skúšaní</w:t>
      </w:r>
      <w:r w:rsidRPr="00823BDC">
        <w:rPr>
          <w:color w:val="000000"/>
          <w:szCs w:val="22"/>
          <w:lang w:bidi="th-TH"/>
        </w:rPr>
        <w:t xml:space="preserve"> bol</w:t>
      </w:r>
      <w:r w:rsidR="00FA1EBF" w:rsidRPr="00823BDC">
        <w:rPr>
          <w:color w:val="000000"/>
          <w:szCs w:val="22"/>
          <w:lang w:bidi="th-TH"/>
        </w:rPr>
        <w:t>a</w:t>
      </w:r>
      <w:r w:rsidRPr="00823BDC">
        <w:rPr>
          <w:color w:val="000000"/>
          <w:szCs w:val="22"/>
          <w:lang w:bidi="th-TH"/>
        </w:rPr>
        <w:t xml:space="preserve"> </w:t>
      </w:r>
      <w:r w:rsidR="00FA1EBF" w:rsidRPr="00823BDC">
        <w:rPr>
          <w:color w:val="000000"/>
          <w:szCs w:val="22"/>
          <w:lang w:bidi="th-TH"/>
        </w:rPr>
        <w:t xml:space="preserve">navyše </w:t>
      </w:r>
      <w:proofErr w:type="spellStart"/>
      <w:r w:rsidR="00FA1EBF" w:rsidRPr="00823BDC">
        <w:rPr>
          <w:color w:val="000000"/>
          <w:szCs w:val="22"/>
        </w:rPr>
        <w:t>incidencia</w:t>
      </w:r>
      <w:proofErr w:type="spellEnd"/>
      <w:r w:rsidR="00FA1EBF" w:rsidRPr="00823BDC">
        <w:rPr>
          <w:color w:val="000000"/>
          <w:szCs w:val="22"/>
        </w:rPr>
        <w:t xml:space="preserve"> </w:t>
      </w:r>
      <w:proofErr w:type="spellStart"/>
      <w:r w:rsidR="00FA1EBF" w:rsidRPr="00823BDC">
        <w:rPr>
          <w:color w:val="000000"/>
          <w:szCs w:val="22"/>
        </w:rPr>
        <w:t>myopatie</w:t>
      </w:r>
      <w:proofErr w:type="spellEnd"/>
      <w:r w:rsidR="00FA1EBF" w:rsidRPr="00823BDC">
        <w:rPr>
          <w:color w:val="000000"/>
          <w:szCs w:val="22"/>
        </w:rPr>
        <w:t xml:space="preserve"> približne 0,24 % u čínskych pacientov užívajúcich </w:t>
      </w:r>
      <w:proofErr w:type="spellStart"/>
      <w:r w:rsidR="00FA1EBF" w:rsidRPr="00823BDC">
        <w:rPr>
          <w:color w:val="000000"/>
          <w:szCs w:val="22"/>
        </w:rPr>
        <w:t>simvastatín</w:t>
      </w:r>
      <w:proofErr w:type="spellEnd"/>
      <w:r w:rsidR="00FA1EBF" w:rsidRPr="00823BDC">
        <w:rPr>
          <w:color w:val="000000"/>
          <w:szCs w:val="22"/>
        </w:rPr>
        <w:t xml:space="preserve"> 40 mg alebo </w:t>
      </w:r>
      <w:proofErr w:type="spellStart"/>
      <w:r w:rsidR="00FA1EBF" w:rsidRPr="00823BDC">
        <w:rPr>
          <w:color w:val="000000"/>
          <w:szCs w:val="22"/>
        </w:rPr>
        <w:t>ezetimib</w:t>
      </w:r>
      <w:proofErr w:type="spellEnd"/>
      <w:r w:rsidR="00FA1EBF" w:rsidRPr="00823BDC">
        <w:rPr>
          <w:color w:val="000000"/>
          <w:szCs w:val="22"/>
        </w:rPr>
        <w:t>/</w:t>
      </w:r>
      <w:proofErr w:type="spellStart"/>
      <w:r w:rsidR="00FA1EBF" w:rsidRPr="00823BDC">
        <w:rPr>
          <w:color w:val="000000"/>
          <w:szCs w:val="22"/>
        </w:rPr>
        <w:t>simvastatín</w:t>
      </w:r>
      <w:proofErr w:type="spellEnd"/>
      <w:r w:rsidR="00FA1EBF" w:rsidRPr="00823BDC">
        <w:rPr>
          <w:color w:val="000000"/>
          <w:szCs w:val="22"/>
        </w:rPr>
        <w:t xml:space="preserve"> 10</w:t>
      </w:r>
      <w:r w:rsidR="001F3E48" w:rsidRPr="00823BDC">
        <w:rPr>
          <w:color w:val="000000"/>
          <w:szCs w:val="22"/>
        </w:rPr>
        <w:t xml:space="preserve"> mg</w:t>
      </w:r>
      <w:r w:rsidR="00FA1EBF" w:rsidRPr="00823BDC">
        <w:rPr>
          <w:color w:val="000000"/>
          <w:szCs w:val="22"/>
        </w:rPr>
        <w:t xml:space="preserve">/40 mg v porovnaní s 1,24 % u čínskych pacientov užívajúcich </w:t>
      </w:r>
      <w:proofErr w:type="spellStart"/>
      <w:r w:rsidR="00FA1EBF" w:rsidRPr="00823BDC">
        <w:rPr>
          <w:color w:val="000000"/>
          <w:szCs w:val="22"/>
        </w:rPr>
        <w:t>simvastatín</w:t>
      </w:r>
      <w:proofErr w:type="spellEnd"/>
      <w:r w:rsidR="00FA1EBF" w:rsidRPr="00823BDC">
        <w:rPr>
          <w:color w:val="000000"/>
          <w:szCs w:val="22"/>
        </w:rPr>
        <w:t xml:space="preserve"> 40 mg alebo </w:t>
      </w:r>
      <w:proofErr w:type="spellStart"/>
      <w:r w:rsidR="00FA1EBF" w:rsidRPr="00823BDC">
        <w:rPr>
          <w:color w:val="000000"/>
          <w:szCs w:val="22"/>
        </w:rPr>
        <w:t>ezetimib</w:t>
      </w:r>
      <w:proofErr w:type="spellEnd"/>
      <w:r w:rsidR="00FA1EBF" w:rsidRPr="00823BDC">
        <w:rPr>
          <w:color w:val="000000"/>
          <w:szCs w:val="22"/>
        </w:rPr>
        <w:t>/</w:t>
      </w:r>
      <w:proofErr w:type="spellStart"/>
      <w:r w:rsidR="00FA1EBF" w:rsidRPr="00823BDC">
        <w:rPr>
          <w:color w:val="000000"/>
          <w:szCs w:val="22"/>
        </w:rPr>
        <w:t>simvastatín</w:t>
      </w:r>
      <w:proofErr w:type="spellEnd"/>
      <w:r w:rsidR="00FA1EBF" w:rsidRPr="00823BDC">
        <w:rPr>
          <w:color w:val="000000"/>
          <w:szCs w:val="22"/>
        </w:rPr>
        <w:t xml:space="preserve"> 10</w:t>
      </w:r>
      <w:r w:rsidR="001F3E48" w:rsidRPr="00823BDC">
        <w:rPr>
          <w:color w:val="000000"/>
          <w:szCs w:val="22"/>
        </w:rPr>
        <w:t xml:space="preserve"> mg</w:t>
      </w:r>
      <w:r w:rsidR="00FA1EBF" w:rsidRPr="00823BDC">
        <w:rPr>
          <w:color w:val="000000"/>
          <w:szCs w:val="22"/>
        </w:rPr>
        <w:t>/40 mg súbežne s kyselinou nikotínovou/</w:t>
      </w:r>
      <w:proofErr w:type="spellStart"/>
      <w:r w:rsidR="00FA1EBF" w:rsidRPr="00823BDC">
        <w:rPr>
          <w:color w:val="000000"/>
          <w:szCs w:val="22"/>
        </w:rPr>
        <w:t>laropiprantom</w:t>
      </w:r>
      <w:proofErr w:type="spellEnd"/>
      <w:r w:rsidR="00FA1EBF" w:rsidRPr="00823BDC">
        <w:rPr>
          <w:color w:val="000000"/>
          <w:szCs w:val="22"/>
        </w:rPr>
        <w:t xml:space="preserve"> 2</w:t>
      </w:r>
      <w:r w:rsidR="000C65F9" w:rsidRPr="00823BDC">
        <w:rPr>
          <w:color w:val="000000"/>
          <w:szCs w:val="22"/>
        </w:rPr>
        <w:t> </w:t>
      </w:r>
      <w:r w:rsidR="00FA1EBF" w:rsidRPr="00823BDC">
        <w:rPr>
          <w:color w:val="000000"/>
          <w:szCs w:val="22"/>
        </w:rPr>
        <w:t>000 mg/40 mg</w:t>
      </w:r>
      <w:r w:rsidR="00FE438D" w:rsidRPr="00823BDC">
        <w:rPr>
          <w:color w:val="000000"/>
          <w:szCs w:val="22"/>
        </w:rPr>
        <w:t xml:space="preserve"> s riadeným uvoľňovaním</w:t>
      </w:r>
      <w:r w:rsidR="00FA1EBF" w:rsidRPr="00823BDC">
        <w:rPr>
          <w:color w:val="000000"/>
          <w:szCs w:val="22"/>
        </w:rPr>
        <w:t xml:space="preserve">. </w:t>
      </w:r>
      <w:r w:rsidR="002B4FC0" w:rsidRPr="00823BDC">
        <w:rPr>
          <w:szCs w:val="22"/>
        </w:rPr>
        <w:t>Keďže</w:t>
      </w:r>
      <w:r w:rsidR="0005648A" w:rsidRPr="00823BDC">
        <w:rPr>
          <w:szCs w:val="22"/>
        </w:rPr>
        <w:t xml:space="preserve"> jediná ázijská populácia hodnotená v tomto klinickom </w:t>
      </w:r>
      <w:r w:rsidR="000C65F9" w:rsidRPr="00823BDC">
        <w:rPr>
          <w:szCs w:val="22"/>
        </w:rPr>
        <w:t>skúšaní</w:t>
      </w:r>
      <w:r w:rsidR="0005648A" w:rsidRPr="00823BDC">
        <w:rPr>
          <w:szCs w:val="22"/>
        </w:rPr>
        <w:t xml:space="preserve"> bola čínska, </w:t>
      </w:r>
      <w:r w:rsidR="000C65F9" w:rsidRPr="00823BDC">
        <w:rPr>
          <w:szCs w:val="22"/>
        </w:rPr>
        <w:t xml:space="preserve">z dôvodu, že </w:t>
      </w:r>
      <w:proofErr w:type="spellStart"/>
      <w:r w:rsidR="005116EA" w:rsidRPr="00823BDC">
        <w:rPr>
          <w:szCs w:val="22"/>
        </w:rPr>
        <w:t>incidencia</w:t>
      </w:r>
      <w:proofErr w:type="spellEnd"/>
      <w:r w:rsidR="005116EA" w:rsidRPr="00823BDC">
        <w:rPr>
          <w:szCs w:val="22"/>
        </w:rPr>
        <w:t xml:space="preserve"> </w:t>
      </w:r>
      <w:proofErr w:type="spellStart"/>
      <w:r w:rsidR="0005648A" w:rsidRPr="00823BDC">
        <w:rPr>
          <w:szCs w:val="22"/>
        </w:rPr>
        <w:t>myopatie</w:t>
      </w:r>
      <w:proofErr w:type="spellEnd"/>
      <w:r w:rsidR="0005648A" w:rsidRPr="00823BDC">
        <w:rPr>
          <w:szCs w:val="22"/>
        </w:rPr>
        <w:t xml:space="preserve"> je vyšš</w:t>
      </w:r>
      <w:r w:rsidR="005116EA" w:rsidRPr="00823BDC">
        <w:rPr>
          <w:szCs w:val="22"/>
        </w:rPr>
        <w:t>ia</w:t>
      </w:r>
      <w:r w:rsidR="0005648A" w:rsidRPr="00823BDC">
        <w:rPr>
          <w:szCs w:val="22"/>
        </w:rPr>
        <w:t xml:space="preserve"> u čínskych pacientov v porovnaní s</w:t>
      </w:r>
      <w:r w:rsidR="000C65F9" w:rsidRPr="00823BDC">
        <w:rPr>
          <w:szCs w:val="22"/>
        </w:rPr>
        <w:t> </w:t>
      </w:r>
      <w:r w:rsidR="002B4FC0" w:rsidRPr="00823BDC">
        <w:rPr>
          <w:szCs w:val="22"/>
        </w:rPr>
        <w:t>pacientmi</w:t>
      </w:r>
      <w:r w:rsidR="000C65F9" w:rsidRPr="00823BDC">
        <w:rPr>
          <w:szCs w:val="22"/>
        </w:rPr>
        <w:t>,</w:t>
      </w:r>
      <w:r w:rsidR="0005648A" w:rsidRPr="00823BDC">
        <w:rPr>
          <w:szCs w:val="22"/>
        </w:rPr>
        <w:t xml:space="preserve"> ktorí </w:t>
      </w:r>
      <w:r w:rsidR="00515C17" w:rsidRPr="00823BDC">
        <w:rPr>
          <w:szCs w:val="22"/>
        </w:rPr>
        <w:t>nie sú</w:t>
      </w:r>
      <w:r w:rsidR="0005648A" w:rsidRPr="00823BDC">
        <w:rPr>
          <w:szCs w:val="22"/>
        </w:rPr>
        <w:t xml:space="preserve"> čínskeho pôvodu,</w:t>
      </w:r>
      <w:r w:rsidR="000C65F9" w:rsidRPr="00823BDC">
        <w:rPr>
          <w:szCs w:val="22"/>
        </w:rPr>
        <w:t xml:space="preserve"> sa</w:t>
      </w:r>
      <w:r w:rsidR="0005648A" w:rsidRPr="00823BDC">
        <w:rPr>
          <w:szCs w:val="22"/>
        </w:rPr>
        <w:t xml:space="preserve"> súbežné podávanie </w:t>
      </w:r>
      <w:proofErr w:type="spellStart"/>
      <w:r w:rsidR="00FE38E3" w:rsidRPr="00823BDC">
        <w:rPr>
          <w:szCs w:val="22"/>
        </w:rPr>
        <w:t>Cornusanu</w:t>
      </w:r>
      <w:proofErr w:type="spellEnd"/>
      <w:r w:rsidR="0005648A" w:rsidRPr="00823BDC">
        <w:rPr>
          <w:szCs w:val="22"/>
        </w:rPr>
        <w:t xml:space="preserve"> s</w:t>
      </w:r>
      <w:r w:rsidR="00FE38E3" w:rsidRPr="00823BDC">
        <w:rPr>
          <w:szCs w:val="22"/>
        </w:rPr>
        <w:t> niacínom (</w:t>
      </w:r>
      <w:r w:rsidR="0005648A" w:rsidRPr="00823BDC">
        <w:rPr>
          <w:szCs w:val="22"/>
        </w:rPr>
        <w:t>kyselinou nikotínovou</w:t>
      </w:r>
      <w:r w:rsidR="0015789B" w:rsidRPr="00823BDC">
        <w:rPr>
          <w:szCs w:val="22"/>
        </w:rPr>
        <w:t>)</w:t>
      </w:r>
      <w:r w:rsidR="0005648A" w:rsidRPr="00823BDC">
        <w:rPr>
          <w:szCs w:val="22"/>
        </w:rPr>
        <w:t xml:space="preserve"> v dávkach </w:t>
      </w:r>
      <w:r w:rsidR="0005648A" w:rsidRPr="00823BDC">
        <w:rPr>
          <w:color w:val="000000"/>
          <w:szCs w:val="22"/>
        </w:rPr>
        <w:t>upravujúcich</w:t>
      </w:r>
      <w:r w:rsidR="0005648A" w:rsidRPr="00823BDC">
        <w:rPr>
          <w:szCs w:val="22"/>
        </w:rPr>
        <w:t xml:space="preserve"> lipidy (</w:t>
      </w:r>
      <w:r w:rsidR="0005648A" w:rsidRPr="00530542">
        <w:rPr>
          <w:szCs w:val="22"/>
        </w:rPr>
        <w:sym w:font="Symbol" w:char="F0B3"/>
      </w:r>
      <w:r w:rsidR="0005648A" w:rsidRPr="00530542">
        <w:rPr>
          <w:szCs w:val="22"/>
        </w:rPr>
        <w:t> 1 g/deň) neodporúča u ázijských pacientov.</w:t>
      </w:r>
    </w:p>
    <w:p w14:paraId="6E072009" w14:textId="77777777" w:rsidR="00DD5B66" w:rsidRPr="00823BDC" w:rsidRDefault="00DD5B66">
      <w:pPr>
        <w:overflowPunct w:val="0"/>
        <w:autoSpaceDE w:val="0"/>
        <w:autoSpaceDN w:val="0"/>
        <w:adjustRightInd w:val="0"/>
        <w:textAlignment w:val="baseline"/>
        <w:rPr>
          <w:color w:val="000000"/>
          <w:szCs w:val="22"/>
          <w:lang w:bidi="th-TH"/>
        </w:rPr>
      </w:pPr>
    </w:p>
    <w:p w14:paraId="2264DA4E" w14:textId="77777777" w:rsidR="0005648A" w:rsidRPr="00823BDC" w:rsidRDefault="0005648A">
      <w:pPr>
        <w:overflowPunct w:val="0"/>
        <w:autoSpaceDE w:val="0"/>
        <w:autoSpaceDN w:val="0"/>
        <w:adjustRightInd w:val="0"/>
        <w:textAlignment w:val="baseline"/>
        <w:rPr>
          <w:color w:val="000000"/>
          <w:szCs w:val="22"/>
          <w:lang w:bidi="th-TH"/>
        </w:rPr>
      </w:pPr>
      <w:proofErr w:type="spellStart"/>
      <w:r w:rsidRPr="00823BDC">
        <w:rPr>
          <w:color w:val="000000"/>
          <w:szCs w:val="22"/>
          <w:lang w:bidi="th-TH"/>
        </w:rPr>
        <w:t>Acipimox</w:t>
      </w:r>
      <w:proofErr w:type="spellEnd"/>
      <w:r w:rsidRPr="00823BDC">
        <w:rPr>
          <w:color w:val="000000"/>
          <w:szCs w:val="22"/>
          <w:lang w:bidi="th-TH"/>
        </w:rPr>
        <w:t xml:space="preserve"> je štrukturálne podobný </w:t>
      </w:r>
      <w:r w:rsidR="0015789B" w:rsidRPr="00823BDC">
        <w:rPr>
          <w:color w:val="000000"/>
          <w:szCs w:val="22"/>
          <w:lang w:bidi="th-TH"/>
        </w:rPr>
        <w:t>niacínu</w:t>
      </w:r>
      <w:r w:rsidRPr="00823BDC">
        <w:rPr>
          <w:color w:val="000000"/>
          <w:szCs w:val="22"/>
          <w:lang w:bidi="th-TH"/>
        </w:rPr>
        <w:t xml:space="preserve">. Hoci </w:t>
      </w:r>
      <w:proofErr w:type="spellStart"/>
      <w:r w:rsidRPr="00823BDC">
        <w:rPr>
          <w:color w:val="000000"/>
          <w:szCs w:val="22"/>
          <w:lang w:bidi="th-TH"/>
        </w:rPr>
        <w:t>acipimox</w:t>
      </w:r>
      <w:proofErr w:type="spellEnd"/>
      <w:r w:rsidRPr="00823BDC">
        <w:rPr>
          <w:color w:val="000000"/>
          <w:szCs w:val="22"/>
          <w:lang w:bidi="th-TH"/>
        </w:rPr>
        <w:t xml:space="preserve"> nebol skúmaný, riziko toxických účinkov na sval</w:t>
      </w:r>
      <w:r w:rsidR="007F1B90" w:rsidRPr="00823BDC">
        <w:rPr>
          <w:color w:val="000000"/>
          <w:szCs w:val="22"/>
          <w:lang w:bidi="th-TH"/>
        </w:rPr>
        <w:t>stvo</w:t>
      </w:r>
      <w:r w:rsidRPr="00823BDC">
        <w:rPr>
          <w:color w:val="000000"/>
          <w:szCs w:val="22"/>
          <w:lang w:bidi="th-TH"/>
        </w:rPr>
        <w:t xml:space="preserve"> môže byť podobné </w:t>
      </w:r>
      <w:r w:rsidR="0015789B" w:rsidRPr="00823BDC">
        <w:rPr>
          <w:color w:val="000000"/>
          <w:szCs w:val="22"/>
          <w:lang w:bidi="th-TH"/>
        </w:rPr>
        <w:t>niacínu</w:t>
      </w:r>
      <w:r w:rsidRPr="00823BDC">
        <w:rPr>
          <w:color w:val="000000"/>
          <w:szCs w:val="22"/>
          <w:lang w:bidi="th-TH"/>
        </w:rPr>
        <w:t>.</w:t>
      </w:r>
    </w:p>
    <w:p w14:paraId="12179E82" w14:textId="77777777" w:rsidR="0005648A" w:rsidRPr="00823BDC" w:rsidRDefault="0005648A">
      <w:pPr>
        <w:overflowPunct w:val="0"/>
        <w:autoSpaceDE w:val="0"/>
        <w:autoSpaceDN w:val="0"/>
        <w:adjustRightInd w:val="0"/>
        <w:textAlignment w:val="baseline"/>
        <w:rPr>
          <w:color w:val="000000"/>
          <w:szCs w:val="22"/>
          <w:lang w:bidi="th-TH"/>
        </w:rPr>
      </w:pPr>
    </w:p>
    <w:p w14:paraId="2F288F3C" w14:textId="77777777" w:rsidR="00D044EB" w:rsidRPr="00823BDC" w:rsidRDefault="00D044EB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Kombinovanému užívaniu </w:t>
      </w:r>
      <w:proofErr w:type="spellStart"/>
      <w:r w:rsidR="0015789B" w:rsidRPr="00823BDC">
        <w:rPr>
          <w:snapToGrid w:val="0"/>
          <w:szCs w:val="22"/>
        </w:rPr>
        <w:t>ezetimibu</w:t>
      </w:r>
      <w:proofErr w:type="spellEnd"/>
      <w:r w:rsidR="0015789B" w:rsidRPr="00823BDC">
        <w:rPr>
          <w:snapToGrid w:val="0"/>
          <w:szCs w:val="22"/>
        </w:rPr>
        <w:t xml:space="preserve"> a </w:t>
      </w:r>
      <w:proofErr w:type="spellStart"/>
      <w:r w:rsidR="0015789B" w:rsidRPr="00823BDC">
        <w:rPr>
          <w:snapToGrid w:val="0"/>
          <w:szCs w:val="22"/>
        </w:rPr>
        <w:t>simvastatínu</w:t>
      </w:r>
      <w:proofErr w:type="spellEnd"/>
      <w:r w:rsidRPr="00823BDC">
        <w:rPr>
          <w:snapToGrid w:val="0"/>
          <w:szCs w:val="22"/>
        </w:rPr>
        <w:t xml:space="preserve"> v dávkach vyšších ako 10</w:t>
      </w:r>
      <w:r w:rsidR="001F3E48" w:rsidRPr="00823BDC">
        <w:rPr>
          <w:snapToGrid w:val="0"/>
          <w:szCs w:val="22"/>
        </w:rPr>
        <w:t xml:space="preserve"> mg</w:t>
      </w:r>
      <w:r w:rsidRPr="00823BDC">
        <w:rPr>
          <w:snapToGrid w:val="0"/>
          <w:szCs w:val="22"/>
        </w:rPr>
        <w:t>/20 mg denne s</w:t>
      </w:r>
      <w:r w:rsidR="00EF39DF" w:rsidRPr="00823BDC">
        <w:rPr>
          <w:snapToGrid w:val="0"/>
          <w:szCs w:val="22"/>
        </w:rPr>
        <w:t> </w:t>
      </w:r>
      <w:proofErr w:type="spellStart"/>
      <w:r w:rsidRPr="00823BDC">
        <w:rPr>
          <w:snapToGrid w:val="0"/>
          <w:szCs w:val="22"/>
        </w:rPr>
        <w:t>amiodarónom</w:t>
      </w:r>
      <w:proofErr w:type="spellEnd"/>
      <w:r w:rsidR="00EF39DF" w:rsidRPr="00823BDC">
        <w:rPr>
          <w:snapToGrid w:val="0"/>
          <w:szCs w:val="22"/>
        </w:rPr>
        <w:t xml:space="preserve">, </w:t>
      </w:r>
      <w:proofErr w:type="spellStart"/>
      <w:r w:rsidR="00EF39DF" w:rsidRPr="00823BDC">
        <w:rPr>
          <w:snapToGrid w:val="0"/>
          <w:szCs w:val="22"/>
        </w:rPr>
        <w:t>amlodipínom</w:t>
      </w:r>
      <w:proofErr w:type="spellEnd"/>
      <w:r w:rsidR="00EF39DF" w:rsidRPr="00823BDC">
        <w:rPr>
          <w:snapToGrid w:val="0"/>
          <w:szCs w:val="22"/>
        </w:rPr>
        <w:t xml:space="preserve">, </w:t>
      </w:r>
      <w:proofErr w:type="spellStart"/>
      <w:r w:rsidRPr="00823BDC">
        <w:rPr>
          <w:snapToGrid w:val="0"/>
          <w:szCs w:val="22"/>
        </w:rPr>
        <w:t>verapamilom</w:t>
      </w:r>
      <w:proofErr w:type="spellEnd"/>
      <w:r w:rsidR="00EF39DF" w:rsidRPr="00823BDC">
        <w:rPr>
          <w:snapToGrid w:val="0"/>
          <w:szCs w:val="22"/>
        </w:rPr>
        <w:t xml:space="preserve"> alebo </w:t>
      </w:r>
      <w:proofErr w:type="spellStart"/>
      <w:r w:rsidR="00EF39DF" w:rsidRPr="00823BDC">
        <w:rPr>
          <w:snapToGrid w:val="0"/>
          <w:szCs w:val="22"/>
        </w:rPr>
        <w:t>diltiazemom</w:t>
      </w:r>
      <w:proofErr w:type="spellEnd"/>
      <w:r w:rsidR="00EF39DF" w:rsidRPr="00823BDC">
        <w:rPr>
          <w:snapToGrid w:val="0"/>
          <w:szCs w:val="22"/>
        </w:rPr>
        <w:t xml:space="preserve"> s</w:t>
      </w:r>
      <w:r w:rsidRPr="00823BDC">
        <w:rPr>
          <w:snapToGrid w:val="0"/>
          <w:szCs w:val="22"/>
        </w:rPr>
        <w:t>a treba vyhnúť.</w:t>
      </w:r>
      <w:r w:rsidR="001748AB" w:rsidRPr="00823BDC">
        <w:rPr>
          <w:snapToGrid w:val="0"/>
          <w:szCs w:val="22"/>
        </w:rPr>
        <w:t xml:space="preserve"> </w:t>
      </w:r>
      <w:r w:rsidR="004A2631" w:rsidRPr="00823BDC">
        <w:rPr>
          <w:szCs w:val="22"/>
        </w:rPr>
        <w:t>U</w:t>
      </w:r>
      <w:r w:rsidR="00391FEB" w:rsidRPr="00823BDC">
        <w:rPr>
          <w:szCs w:val="22"/>
        </w:rPr>
        <w:t> pacientov s </w:t>
      </w:r>
      <w:proofErr w:type="spellStart"/>
      <w:r w:rsidR="00391FEB" w:rsidRPr="00823BDC">
        <w:rPr>
          <w:szCs w:val="22"/>
        </w:rPr>
        <w:t>HoFH</w:t>
      </w:r>
      <w:proofErr w:type="spellEnd"/>
      <w:r w:rsidR="00391FEB" w:rsidRPr="00823BDC">
        <w:rPr>
          <w:szCs w:val="22"/>
        </w:rPr>
        <w:t xml:space="preserve"> </w:t>
      </w:r>
      <w:r w:rsidR="004A2631" w:rsidRPr="00823BDC">
        <w:rPr>
          <w:szCs w:val="22"/>
        </w:rPr>
        <w:t xml:space="preserve">sa treba vyhnúť kombinovanému užívaniu </w:t>
      </w:r>
      <w:proofErr w:type="spellStart"/>
      <w:r w:rsidR="0015789B" w:rsidRPr="00823BDC">
        <w:rPr>
          <w:szCs w:val="22"/>
        </w:rPr>
        <w:t>Cornusanu</w:t>
      </w:r>
      <w:proofErr w:type="spellEnd"/>
      <w:r w:rsidR="004A2631" w:rsidRPr="00823BDC">
        <w:rPr>
          <w:szCs w:val="22"/>
        </w:rPr>
        <w:t xml:space="preserve"> v dávkach vyšších ako 10</w:t>
      </w:r>
      <w:r w:rsidR="001F3E48" w:rsidRPr="00823BDC">
        <w:rPr>
          <w:szCs w:val="22"/>
        </w:rPr>
        <w:t xml:space="preserve"> mg</w:t>
      </w:r>
      <w:r w:rsidR="004A2631" w:rsidRPr="00823BDC">
        <w:rPr>
          <w:szCs w:val="22"/>
        </w:rPr>
        <w:t>/40 mg denne s </w:t>
      </w:r>
      <w:proofErr w:type="spellStart"/>
      <w:r w:rsidR="004A2631" w:rsidRPr="00823BDC">
        <w:rPr>
          <w:szCs w:val="22"/>
        </w:rPr>
        <w:t>lomitapidom</w:t>
      </w:r>
      <w:proofErr w:type="spellEnd"/>
      <w:r w:rsidR="004A2631" w:rsidRPr="00823BDC">
        <w:rPr>
          <w:szCs w:val="22"/>
        </w:rPr>
        <w:t xml:space="preserve"> </w:t>
      </w:r>
      <w:r w:rsidR="00391FEB" w:rsidRPr="00823BDC">
        <w:rPr>
          <w:szCs w:val="22"/>
        </w:rPr>
        <w:t>(pozri časti 4.2, 4.3 a 4.5).</w:t>
      </w:r>
    </w:p>
    <w:p w14:paraId="420BB881" w14:textId="77777777" w:rsidR="007D308B" w:rsidRPr="00823BDC" w:rsidRDefault="007D308B">
      <w:pPr>
        <w:adjustRightInd w:val="0"/>
        <w:snapToGrid w:val="0"/>
        <w:rPr>
          <w:snapToGrid w:val="0"/>
          <w:szCs w:val="22"/>
        </w:rPr>
      </w:pPr>
    </w:p>
    <w:p w14:paraId="56B2002F" w14:textId="2E9FB672" w:rsidR="00EF39DF" w:rsidRPr="00823BDC" w:rsidRDefault="00EF39DF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>U</w:t>
      </w:r>
      <w:r w:rsidR="000C65F9" w:rsidRPr="00823BDC">
        <w:rPr>
          <w:snapToGrid w:val="0"/>
          <w:szCs w:val="22"/>
        </w:rPr>
        <w:t> </w:t>
      </w:r>
      <w:r w:rsidRPr="00823BDC">
        <w:rPr>
          <w:snapToGrid w:val="0"/>
          <w:szCs w:val="22"/>
        </w:rPr>
        <w:t xml:space="preserve">pacientov užívajúcich iné </w:t>
      </w:r>
      <w:r w:rsidR="00CC63CC" w:rsidRPr="00823BDC">
        <w:rPr>
          <w:snapToGrid w:val="0"/>
          <w:szCs w:val="22"/>
        </w:rPr>
        <w:t>lieky</w:t>
      </w:r>
      <w:r w:rsidRPr="00823BDC">
        <w:rPr>
          <w:snapToGrid w:val="0"/>
          <w:szCs w:val="22"/>
        </w:rPr>
        <w:t>, ktoré sa označujú ako l</w:t>
      </w:r>
      <w:r w:rsidR="00CC63CC" w:rsidRPr="00823BDC">
        <w:rPr>
          <w:snapToGrid w:val="0"/>
          <w:szCs w:val="22"/>
        </w:rPr>
        <w:t>ieky</w:t>
      </w:r>
      <w:r w:rsidRPr="00823BDC">
        <w:rPr>
          <w:snapToGrid w:val="0"/>
          <w:szCs w:val="22"/>
        </w:rPr>
        <w:t xml:space="preserve"> s</w:t>
      </w:r>
      <w:r w:rsidR="002369AE" w:rsidRPr="00823BDC">
        <w:rPr>
          <w:snapToGrid w:val="0"/>
          <w:szCs w:val="22"/>
        </w:rPr>
        <w:t>o</w:t>
      </w:r>
      <w:r w:rsidRPr="00823BDC">
        <w:rPr>
          <w:snapToGrid w:val="0"/>
          <w:szCs w:val="22"/>
        </w:rPr>
        <w:t xml:space="preserve"> </w:t>
      </w:r>
      <w:r w:rsidR="002369AE" w:rsidRPr="00823BDC">
        <w:rPr>
          <w:snapToGrid w:val="0"/>
          <w:szCs w:val="22"/>
        </w:rPr>
        <w:t>stredne silným</w:t>
      </w:r>
      <w:r w:rsidRPr="00823BDC">
        <w:rPr>
          <w:snapToGrid w:val="0"/>
          <w:szCs w:val="22"/>
        </w:rPr>
        <w:t xml:space="preserve"> inhibičným účinkom na CYP3A4 v terapeutických dávkach</w:t>
      </w:r>
      <w:r w:rsidR="00763817" w:rsidRPr="00823BDC">
        <w:rPr>
          <w:snapToGrid w:val="0"/>
          <w:szCs w:val="22"/>
        </w:rPr>
        <w:t>,</w:t>
      </w:r>
      <w:r w:rsidRPr="00823BDC">
        <w:rPr>
          <w:snapToGrid w:val="0"/>
          <w:szCs w:val="22"/>
        </w:rPr>
        <w:t xml:space="preserve"> súbežne s </w:t>
      </w:r>
      <w:proofErr w:type="spellStart"/>
      <w:r w:rsidR="00C62C11" w:rsidRPr="00823BDC">
        <w:rPr>
          <w:snapToGrid w:val="0"/>
          <w:szCs w:val="22"/>
        </w:rPr>
        <w:t>ezetimibom</w:t>
      </w:r>
      <w:proofErr w:type="spellEnd"/>
      <w:r w:rsidR="00C62C11" w:rsidRPr="00823BDC">
        <w:rPr>
          <w:snapToGrid w:val="0"/>
          <w:szCs w:val="22"/>
        </w:rPr>
        <w:t>/</w:t>
      </w:r>
      <w:proofErr w:type="spellStart"/>
      <w:r w:rsidR="00C62C11" w:rsidRPr="00823BDC">
        <w:rPr>
          <w:snapToGrid w:val="0"/>
          <w:szCs w:val="22"/>
        </w:rPr>
        <w:t>simvastatínom</w:t>
      </w:r>
      <w:proofErr w:type="spellEnd"/>
      <w:r w:rsidRPr="00823BDC">
        <w:rPr>
          <w:snapToGrid w:val="0"/>
          <w:szCs w:val="22"/>
        </w:rPr>
        <w:t xml:space="preserve">, najmä </w:t>
      </w:r>
      <w:r w:rsidR="00B5260D" w:rsidRPr="00823BDC">
        <w:rPr>
          <w:snapToGrid w:val="0"/>
          <w:szCs w:val="22"/>
        </w:rPr>
        <w:t xml:space="preserve">s </w:t>
      </w:r>
      <w:r w:rsidRPr="00823BDC">
        <w:rPr>
          <w:snapToGrid w:val="0"/>
          <w:szCs w:val="22"/>
        </w:rPr>
        <w:t>vyšš</w:t>
      </w:r>
      <w:r w:rsidR="00763817" w:rsidRPr="00823BDC">
        <w:rPr>
          <w:snapToGrid w:val="0"/>
          <w:szCs w:val="22"/>
        </w:rPr>
        <w:t>ími</w:t>
      </w:r>
      <w:r w:rsidRPr="00823BDC">
        <w:rPr>
          <w:snapToGrid w:val="0"/>
          <w:szCs w:val="22"/>
        </w:rPr>
        <w:t xml:space="preserve"> dávk</w:t>
      </w:r>
      <w:r w:rsidR="00763817" w:rsidRPr="00823BDC">
        <w:rPr>
          <w:snapToGrid w:val="0"/>
          <w:szCs w:val="22"/>
        </w:rPr>
        <w:t>ami</w:t>
      </w:r>
      <w:r w:rsidRPr="00823BDC">
        <w:rPr>
          <w:snapToGrid w:val="0"/>
          <w:szCs w:val="22"/>
        </w:rPr>
        <w:t xml:space="preserve"> </w:t>
      </w:r>
      <w:proofErr w:type="spellStart"/>
      <w:r w:rsidR="00C62C11" w:rsidRPr="00823BDC">
        <w:rPr>
          <w:snapToGrid w:val="0"/>
          <w:szCs w:val="22"/>
        </w:rPr>
        <w:t>ezetimibu</w:t>
      </w:r>
      <w:proofErr w:type="spellEnd"/>
      <w:r w:rsidR="00C62C11" w:rsidRPr="00823BDC">
        <w:rPr>
          <w:snapToGrid w:val="0"/>
          <w:szCs w:val="22"/>
        </w:rPr>
        <w:t>/</w:t>
      </w:r>
      <w:proofErr w:type="spellStart"/>
      <w:r w:rsidR="00C62C11" w:rsidRPr="00823BDC">
        <w:rPr>
          <w:snapToGrid w:val="0"/>
          <w:szCs w:val="22"/>
        </w:rPr>
        <w:t>simvastatínu</w:t>
      </w:r>
      <w:proofErr w:type="spellEnd"/>
      <w:r w:rsidRPr="00823BDC">
        <w:rPr>
          <w:snapToGrid w:val="0"/>
          <w:szCs w:val="22"/>
        </w:rPr>
        <w:t xml:space="preserve">, sa môže vyskytovať zvýšené riziko </w:t>
      </w:r>
      <w:proofErr w:type="spellStart"/>
      <w:r w:rsidRPr="00823BDC">
        <w:rPr>
          <w:snapToGrid w:val="0"/>
          <w:szCs w:val="22"/>
        </w:rPr>
        <w:t>myopatie</w:t>
      </w:r>
      <w:proofErr w:type="spellEnd"/>
      <w:r w:rsidRPr="00823BDC">
        <w:rPr>
          <w:snapToGrid w:val="0"/>
          <w:szCs w:val="22"/>
        </w:rPr>
        <w:t>.</w:t>
      </w:r>
      <w:r w:rsidR="00C66741" w:rsidRPr="00823BDC">
        <w:rPr>
          <w:snapToGrid w:val="0"/>
          <w:szCs w:val="22"/>
        </w:rPr>
        <w:t xml:space="preserve"> Pri </w:t>
      </w:r>
      <w:r w:rsidR="00D52D7D" w:rsidRPr="00823BDC">
        <w:rPr>
          <w:snapToGrid w:val="0"/>
          <w:szCs w:val="22"/>
        </w:rPr>
        <w:t xml:space="preserve">súbežnom </w:t>
      </w:r>
      <w:r w:rsidR="00C66741" w:rsidRPr="00823BDC">
        <w:rPr>
          <w:snapToGrid w:val="0"/>
          <w:szCs w:val="22"/>
        </w:rPr>
        <w:t xml:space="preserve">podaní </w:t>
      </w:r>
      <w:proofErr w:type="spellStart"/>
      <w:r w:rsidR="00B5260D" w:rsidRPr="00823BDC">
        <w:rPr>
          <w:snapToGrid w:val="0"/>
          <w:szCs w:val="22"/>
        </w:rPr>
        <w:t>Cornusanu</w:t>
      </w:r>
      <w:proofErr w:type="spellEnd"/>
      <w:r w:rsidR="00C66741" w:rsidRPr="00823BDC">
        <w:rPr>
          <w:snapToGrid w:val="0"/>
          <w:szCs w:val="22"/>
        </w:rPr>
        <w:t xml:space="preserve"> s</w:t>
      </w:r>
      <w:r w:rsidR="00B72455" w:rsidRPr="00823BDC">
        <w:rPr>
          <w:snapToGrid w:val="0"/>
          <w:szCs w:val="22"/>
        </w:rPr>
        <w:t>o</w:t>
      </w:r>
      <w:r w:rsidR="003224C2" w:rsidRPr="00823BDC">
        <w:rPr>
          <w:snapToGrid w:val="0"/>
          <w:szCs w:val="22"/>
        </w:rPr>
        <w:t xml:space="preserve"> </w:t>
      </w:r>
      <w:r w:rsidR="00B72455" w:rsidRPr="00823BDC">
        <w:rPr>
          <w:snapToGrid w:val="0"/>
          <w:szCs w:val="22"/>
        </w:rPr>
        <w:t>stredne silným</w:t>
      </w:r>
      <w:r w:rsidR="00C66741" w:rsidRPr="00823BDC">
        <w:rPr>
          <w:snapToGrid w:val="0"/>
          <w:szCs w:val="22"/>
        </w:rPr>
        <w:t xml:space="preserve"> inhibítor</w:t>
      </w:r>
      <w:r w:rsidR="003224C2" w:rsidRPr="00823BDC">
        <w:rPr>
          <w:snapToGrid w:val="0"/>
          <w:szCs w:val="22"/>
        </w:rPr>
        <w:t>o</w:t>
      </w:r>
      <w:r w:rsidR="00C66741" w:rsidRPr="00823BDC">
        <w:rPr>
          <w:snapToGrid w:val="0"/>
          <w:szCs w:val="22"/>
        </w:rPr>
        <w:t>m CYP3A4 (l</w:t>
      </w:r>
      <w:r w:rsidR="001F3E48" w:rsidRPr="00823BDC">
        <w:rPr>
          <w:snapToGrid w:val="0"/>
          <w:szCs w:val="22"/>
        </w:rPr>
        <w:t>iečivá</w:t>
      </w:r>
      <w:r w:rsidR="00C66741" w:rsidRPr="00823BDC">
        <w:rPr>
          <w:snapToGrid w:val="0"/>
          <w:szCs w:val="22"/>
        </w:rPr>
        <w:t xml:space="preserve"> zvyšujúce AUC približne 2</w:t>
      </w:r>
      <w:r w:rsidR="004D074C" w:rsidRPr="00823BDC">
        <w:rPr>
          <w:snapToGrid w:val="0"/>
          <w:szCs w:val="22"/>
        </w:rPr>
        <w:noBreakHyphen/>
      </w:r>
      <w:r w:rsidR="00C66741" w:rsidRPr="00823BDC">
        <w:rPr>
          <w:snapToGrid w:val="0"/>
          <w:szCs w:val="22"/>
        </w:rPr>
        <w:t>5-násobne)</w:t>
      </w:r>
      <w:r w:rsidR="00F07629" w:rsidRPr="00823BDC">
        <w:rPr>
          <w:snapToGrid w:val="0"/>
          <w:szCs w:val="22"/>
        </w:rPr>
        <w:t xml:space="preserve"> môže byť potrebná úprava dávky. Pre určité </w:t>
      </w:r>
      <w:r w:rsidR="00B72455" w:rsidRPr="00823BDC">
        <w:rPr>
          <w:snapToGrid w:val="0"/>
          <w:szCs w:val="22"/>
        </w:rPr>
        <w:t>stredne silné</w:t>
      </w:r>
      <w:r w:rsidR="00F07629" w:rsidRPr="00823BDC">
        <w:rPr>
          <w:snapToGrid w:val="0"/>
          <w:szCs w:val="22"/>
        </w:rPr>
        <w:t xml:space="preserve"> </w:t>
      </w:r>
      <w:r w:rsidR="00725C47" w:rsidRPr="00823BDC">
        <w:rPr>
          <w:snapToGrid w:val="0"/>
          <w:szCs w:val="22"/>
        </w:rPr>
        <w:t xml:space="preserve">inhibítory </w:t>
      </w:r>
      <w:r w:rsidR="00F07629" w:rsidRPr="00823BDC">
        <w:rPr>
          <w:snapToGrid w:val="0"/>
          <w:szCs w:val="22"/>
        </w:rPr>
        <w:t>CYP3A4</w:t>
      </w:r>
      <w:r w:rsidR="00725C47" w:rsidRPr="00823BDC">
        <w:rPr>
          <w:snapToGrid w:val="0"/>
          <w:szCs w:val="22"/>
        </w:rPr>
        <w:t>,</w:t>
      </w:r>
      <w:r w:rsidR="00F07629" w:rsidRPr="00823BDC">
        <w:rPr>
          <w:snapToGrid w:val="0"/>
          <w:szCs w:val="22"/>
        </w:rPr>
        <w:t xml:space="preserve"> napr. </w:t>
      </w:r>
      <w:proofErr w:type="spellStart"/>
      <w:r w:rsidR="00F07629" w:rsidRPr="00823BDC">
        <w:rPr>
          <w:snapToGrid w:val="0"/>
          <w:szCs w:val="22"/>
        </w:rPr>
        <w:t>diltiazem</w:t>
      </w:r>
      <w:proofErr w:type="spellEnd"/>
      <w:r w:rsidR="00F07629" w:rsidRPr="00823BDC">
        <w:rPr>
          <w:snapToGrid w:val="0"/>
          <w:szCs w:val="22"/>
        </w:rPr>
        <w:t xml:space="preserve">, sa odporúča maximálna dávka </w:t>
      </w:r>
      <w:proofErr w:type="spellStart"/>
      <w:r w:rsidR="00B5260D" w:rsidRPr="00823BDC">
        <w:rPr>
          <w:snapToGrid w:val="0"/>
          <w:szCs w:val="22"/>
        </w:rPr>
        <w:t>Cornusanu</w:t>
      </w:r>
      <w:proofErr w:type="spellEnd"/>
      <w:r w:rsidR="00B5260D" w:rsidRPr="00823BDC">
        <w:rPr>
          <w:snapToGrid w:val="0"/>
          <w:szCs w:val="22"/>
        </w:rPr>
        <w:t xml:space="preserve"> </w:t>
      </w:r>
      <w:r w:rsidR="00F07629" w:rsidRPr="00823BDC">
        <w:rPr>
          <w:snapToGrid w:val="0"/>
          <w:szCs w:val="22"/>
        </w:rPr>
        <w:t>10</w:t>
      </w:r>
      <w:r w:rsidR="001F3E48" w:rsidRPr="00823BDC">
        <w:rPr>
          <w:snapToGrid w:val="0"/>
          <w:szCs w:val="22"/>
        </w:rPr>
        <w:t xml:space="preserve"> mg</w:t>
      </w:r>
      <w:r w:rsidR="00F07629" w:rsidRPr="00823BDC">
        <w:rPr>
          <w:snapToGrid w:val="0"/>
          <w:szCs w:val="22"/>
        </w:rPr>
        <w:t>/20</w:t>
      </w:r>
      <w:r w:rsidR="00B72455" w:rsidRPr="00823BDC">
        <w:rPr>
          <w:snapToGrid w:val="0"/>
          <w:szCs w:val="22"/>
        </w:rPr>
        <w:t> </w:t>
      </w:r>
      <w:r w:rsidR="00F07629" w:rsidRPr="00823BDC">
        <w:rPr>
          <w:snapToGrid w:val="0"/>
          <w:szCs w:val="22"/>
        </w:rPr>
        <w:t>mg (pozri časť 4.2).</w:t>
      </w:r>
    </w:p>
    <w:p w14:paraId="05BDE451" w14:textId="77777777" w:rsidR="00EF39DF" w:rsidRPr="00823BDC" w:rsidRDefault="00EF39DF">
      <w:pPr>
        <w:adjustRightInd w:val="0"/>
        <w:snapToGrid w:val="0"/>
        <w:rPr>
          <w:snapToGrid w:val="0"/>
          <w:szCs w:val="22"/>
        </w:rPr>
      </w:pPr>
    </w:p>
    <w:p w14:paraId="60ECB7B6" w14:textId="40270C34" w:rsidR="00721E1D" w:rsidRPr="00823BDC" w:rsidRDefault="00721E1D">
      <w:pPr>
        <w:adjustRightInd w:val="0"/>
        <w:snapToGrid w:val="0"/>
        <w:rPr>
          <w:snapToGrid w:val="0"/>
          <w:szCs w:val="22"/>
        </w:rPr>
      </w:pP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je substrátom </w:t>
      </w:r>
      <w:proofErr w:type="spellStart"/>
      <w:r w:rsidRPr="00823BDC">
        <w:rPr>
          <w:szCs w:val="22"/>
        </w:rPr>
        <w:t>efluxného</w:t>
      </w:r>
      <w:proofErr w:type="spellEnd"/>
      <w:r w:rsidRPr="00823BDC">
        <w:rPr>
          <w:szCs w:val="22"/>
        </w:rPr>
        <w:t xml:space="preserve"> transportéra proteínu rezistencie voči rakovine prsníka (BCRP).</w:t>
      </w:r>
      <w:r w:rsidRPr="00823BDC">
        <w:rPr>
          <w:snapToGrid w:val="0"/>
          <w:szCs w:val="22"/>
        </w:rPr>
        <w:t xml:space="preserve"> Súbežné podávanie liekov, ktoré sú inhibítormi BCRP (napr. </w:t>
      </w:r>
      <w:proofErr w:type="spellStart"/>
      <w:r w:rsidRPr="00823BDC">
        <w:rPr>
          <w:snapToGrid w:val="0"/>
          <w:szCs w:val="22"/>
        </w:rPr>
        <w:t>elbasvir</w:t>
      </w:r>
      <w:proofErr w:type="spellEnd"/>
      <w:r w:rsidRPr="00823BDC">
        <w:rPr>
          <w:snapToGrid w:val="0"/>
          <w:szCs w:val="22"/>
        </w:rPr>
        <w:t xml:space="preserve"> a </w:t>
      </w:r>
      <w:proofErr w:type="spellStart"/>
      <w:r w:rsidRPr="00823BDC">
        <w:rPr>
          <w:snapToGrid w:val="0"/>
          <w:szCs w:val="22"/>
        </w:rPr>
        <w:t>grazoprevir</w:t>
      </w:r>
      <w:proofErr w:type="spellEnd"/>
      <w:r w:rsidRPr="00823BDC">
        <w:rPr>
          <w:snapToGrid w:val="0"/>
          <w:szCs w:val="22"/>
        </w:rPr>
        <w:t xml:space="preserve">) môže viesť k zvýšeným plazmatickým koncentráciám </w:t>
      </w:r>
      <w:proofErr w:type="spellStart"/>
      <w:r w:rsidRPr="00823BDC">
        <w:rPr>
          <w:snapToGrid w:val="0"/>
          <w:szCs w:val="22"/>
        </w:rPr>
        <w:t>simvastatínu</w:t>
      </w:r>
      <w:proofErr w:type="spellEnd"/>
      <w:r w:rsidRPr="00823BDC">
        <w:rPr>
          <w:snapToGrid w:val="0"/>
          <w:szCs w:val="22"/>
        </w:rPr>
        <w:t xml:space="preserve"> a k zvýšenému riziku </w:t>
      </w:r>
      <w:proofErr w:type="spellStart"/>
      <w:r w:rsidRPr="00823BDC">
        <w:rPr>
          <w:snapToGrid w:val="0"/>
          <w:szCs w:val="22"/>
        </w:rPr>
        <w:t>myopatie</w:t>
      </w:r>
      <w:proofErr w:type="spellEnd"/>
      <w:r w:rsidRPr="00823BDC">
        <w:rPr>
          <w:snapToGrid w:val="0"/>
          <w:szCs w:val="22"/>
        </w:rPr>
        <w:t xml:space="preserve">; </w:t>
      </w:r>
      <w:r w:rsidR="00E619DA" w:rsidRPr="00823BDC">
        <w:rPr>
          <w:snapToGrid w:val="0"/>
          <w:szCs w:val="22"/>
        </w:rPr>
        <w:t xml:space="preserve">preto </w:t>
      </w:r>
      <w:r w:rsidRPr="00823BDC">
        <w:rPr>
          <w:snapToGrid w:val="0"/>
          <w:szCs w:val="22"/>
        </w:rPr>
        <w:t xml:space="preserve">sa má </w:t>
      </w:r>
      <w:r w:rsidR="00E619DA" w:rsidRPr="00823BDC">
        <w:rPr>
          <w:snapToGrid w:val="0"/>
          <w:szCs w:val="22"/>
        </w:rPr>
        <w:t xml:space="preserve">zvážiť </w:t>
      </w:r>
      <w:r w:rsidRPr="00823BDC">
        <w:rPr>
          <w:snapToGrid w:val="0"/>
          <w:szCs w:val="22"/>
        </w:rPr>
        <w:t xml:space="preserve">úprava dávky </w:t>
      </w:r>
      <w:proofErr w:type="spellStart"/>
      <w:r w:rsidRPr="00823BDC">
        <w:rPr>
          <w:snapToGrid w:val="0"/>
          <w:szCs w:val="22"/>
        </w:rPr>
        <w:t>simvastatínu</w:t>
      </w:r>
      <w:proofErr w:type="spellEnd"/>
      <w:r w:rsidRPr="00823BDC">
        <w:rPr>
          <w:snapToGrid w:val="0"/>
          <w:szCs w:val="22"/>
        </w:rPr>
        <w:t xml:space="preserve"> v závislosti od predpísanej dávky. Súbežné podávanie </w:t>
      </w:r>
      <w:proofErr w:type="spellStart"/>
      <w:r w:rsidRPr="00823BDC">
        <w:rPr>
          <w:snapToGrid w:val="0"/>
          <w:szCs w:val="22"/>
        </w:rPr>
        <w:t>elbasviru</w:t>
      </w:r>
      <w:proofErr w:type="spellEnd"/>
      <w:r w:rsidRPr="00823BDC">
        <w:rPr>
          <w:snapToGrid w:val="0"/>
          <w:szCs w:val="22"/>
        </w:rPr>
        <w:t xml:space="preserve"> a </w:t>
      </w:r>
      <w:proofErr w:type="spellStart"/>
      <w:r w:rsidRPr="00823BDC">
        <w:rPr>
          <w:snapToGrid w:val="0"/>
          <w:szCs w:val="22"/>
        </w:rPr>
        <w:t>grazopreviru</w:t>
      </w:r>
      <w:proofErr w:type="spellEnd"/>
      <w:r w:rsidRPr="00823BDC">
        <w:rPr>
          <w:snapToGrid w:val="0"/>
          <w:szCs w:val="22"/>
        </w:rPr>
        <w:t xml:space="preserve"> so </w:t>
      </w:r>
      <w:proofErr w:type="spellStart"/>
      <w:r w:rsidRPr="00823BDC">
        <w:rPr>
          <w:snapToGrid w:val="0"/>
          <w:szCs w:val="22"/>
        </w:rPr>
        <w:t>simvastatínom</w:t>
      </w:r>
      <w:proofErr w:type="spellEnd"/>
      <w:r w:rsidRPr="00823BDC">
        <w:rPr>
          <w:snapToGrid w:val="0"/>
          <w:szCs w:val="22"/>
        </w:rPr>
        <w:t xml:space="preserve"> </w:t>
      </w:r>
      <w:r w:rsidR="004F384C" w:rsidRPr="00823BDC">
        <w:rPr>
          <w:snapToGrid w:val="0"/>
          <w:szCs w:val="22"/>
        </w:rPr>
        <w:t>sa neskúmalo,</w:t>
      </w:r>
      <w:r w:rsidR="00B5260D" w:rsidRPr="00823BDC">
        <w:rPr>
          <w:snapToGrid w:val="0"/>
          <w:szCs w:val="22"/>
        </w:rPr>
        <w:t xml:space="preserve"> avšak</w:t>
      </w:r>
      <w:r w:rsidR="004F384C" w:rsidRPr="00823BDC">
        <w:rPr>
          <w:snapToGrid w:val="0"/>
          <w:szCs w:val="22"/>
        </w:rPr>
        <w:t xml:space="preserve"> </w:t>
      </w:r>
      <w:r w:rsidRPr="00823BDC">
        <w:rPr>
          <w:b/>
          <w:snapToGrid w:val="0"/>
          <w:szCs w:val="22"/>
        </w:rPr>
        <w:t xml:space="preserve">dávka </w:t>
      </w:r>
      <w:proofErr w:type="spellStart"/>
      <w:r w:rsidR="00B5260D" w:rsidRPr="00823BDC">
        <w:rPr>
          <w:b/>
          <w:snapToGrid w:val="0"/>
          <w:szCs w:val="22"/>
        </w:rPr>
        <w:t>Cornusanu</w:t>
      </w:r>
      <w:proofErr w:type="spellEnd"/>
      <w:r w:rsidR="004F384C" w:rsidRPr="00823BDC">
        <w:rPr>
          <w:b/>
          <w:snapToGrid w:val="0"/>
          <w:szCs w:val="22"/>
        </w:rPr>
        <w:t xml:space="preserve"> nemá </w:t>
      </w:r>
      <w:r w:rsidRPr="00823BDC">
        <w:rPr>
          <w:b/>
          <w:snapToGrid w:val="0"/>
          <w:szCs w:val="22"/>
        </w:rPr>
        <w:t xml:space="preserve">u pacientov súbežne užívajúcich lieky obsahujúce </w:t>
      </w:r>
      <w:proofErr w:type="spellStart"/>
      <w:r w:rsidRPr="00823BDC">
        <w:rPr>
          <w:b/>
          <w:snapToGrid w:val="0"/>
          <w:szCs w:val="22"/>
        </w:rPr>
        <w:t>elbasvir</w:t>
      </w:r>
      <w:proofErr w:type="spellEnd"/>
      <w:r w:rsidRPr="00823BDC">
        <w:rPr>
          <w:b/>
          <w:snapToGrid w:val="0"/>
          <w:szCs w:val="22"/>
        </w:rPr>
        <w:t xml:space="preserve"> alebo </w:t>
      </w:r>
      <w:proofErr w:type="spellStart"/>
      <w:r w:rsidRPr="00823BDC">
        <w:rPr>
          <w:b/>
          <w:snapToGrid w:val="0"/>
          <w:szCs w:val="22"/>
        </w:rPr>
        <w:t>grazoprevir</w:t>
      </w:r>
      <w:proofErr w:type="spellEnd"/>
      <w:r w:rsidRPr="00823BDC">
        <w:rPr>
          <w:b/>
          <w:snapToGrid w:val="0"/>
          <w:szCs w:val="22"/>
        </w:rPr>
        <w:t xml:space="preserve"> presiahnuť 10</w:t>
      </w:r>
      <w:r w:rsidR="00C62C11" w:rsidRPr="00823BDC">
        <w:rPr>
          <w:b/>
          <w:snapToGrid w:val="0"/>
          <w:szCs w:val="22"/>
        </w:rPr>
        <w:t> </w:t>
      </w:r>
      <w:r w:rsidR="00CE2355" w:rsidRPr="00823BDC">
        <w:rPr>
          <w:b/>
          <w:snapToGrid w:val="0"/>
          <w:szCs w:val="22"/>
        </w:rPr>
        <w:t>mg</w:t>
      </w:r>
      <w:r w:rsidRPr="00823BDC">
        <w:rPr>
          <w:b/>
          <w:snapToGrid w:val="0"/>
          <w:szCs w:val="22"/>
        </w:rPr>
        <w:t>/20 mg denne</w:t>
      </w:r>
      <w:r w:rsidR="004E68F8" w:rsidRPr="00823BDC">
        <w:rPr>
          <w:snapToGrid w:val="0"/>
          <w:szCs w:val="22"/>
        </w:rPr>
        <w:t xml:space="preserve"> (pozri časť 4.5)</w:t>
      </w:r>
      <w:r w:rsidRPr="00823BDC">
        <w:rPr>
          <w:snapToGrid w:val="0"/>
          <w:szCs w:val="22"/>
        </w:rPr>
        <w:t>.</w:t>
      </w:r>
    </w:p>
    <w:p w14:paraId="7450BB79" w14:textId="77777777" w:rsidR="00721E1D" w:rsidRPr="00823BDC" w:rsidRDefault="00721E1D">
      <w:pPr>
        <w:adjustRightInd w:val="0"/>
        <w:snapToGrid w:val="0"/>
        <w:rPr>
          <w:snapToGrid w:val="0"/>
          <w:szCs w:val="22"/>
        </w:rPr>
      </w:pPr>
    </w:p>
    <w:p w14:paraId="5835028C" w14:textId="77777777" w:rsidR="00D044EB" w:rsidRPr="00823BDC" w:rsidRDefault="00D044EB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Bezpečnosť a účinnosť </w:t>
      </w:r>
      <w:proofErr w:type="spellStart"/>
      <w:r w:rsidR="00B5260D" w:rsidRPr="00823BDC">
        <w:rPr>
          <w:snapToGrid w:val="0"/>
          <w:szCs w:val="22"/>
        </w:rPr>
        <w:t>ezetimibu</w:t>
      </w:r>
      <w:proofErr w:type="spellEnd"/>
      <w:r w:rsidR="00B5260D" w:rsidRPr="00823BDC">
        <w:rPr>
          <w:snapToGrid w:val="0"/>
          <w:szCs w:val="22"/>
        </w:rPr>
        <w:t>/</w:t>
      </w:r>
      <w:proofErr w:type="spellStart"/>
      <w:r w:rsidR="00B5260D" w:rsidRPr="00823BDC">
        <w:rPr>
          <w:snapToGrid w:val="0"/>
          <w:szCs w:val="22"/>
        </w:rPr>
        <w:t>simvastatínu</w:t>
      </w:r>
      <w:proofErr w:type="spellEnd"/>
      <w:r w:rsidRPr="00823BDC">
        <w:rPr>
          <w:snapToGrid w:val="0"/>
          <w:szCs w:val="22"/>
        </w:rPr>
        <w:t xml:space="preserve"> podávaného s </w:t>
      </w:r>
      <w:proofErr w:type="spellStart"/>
      <w:r w:rsidRPr="00823BDC">
        <w:rPr>
          <w:snapToGrid w:val="0"/>
          <w:szCs w:val="22"/>
        </w:rPr>
        <w:t>fibrátmi</w:t>
      </w:r>
      <w:proofErr w:type="spellEnd"/>
      <w:r w:rsidRPr="00823BDC">
        <w:rPr>
          <w:snapToGrid w:val="0"/>
          <w:szCs w:val="22"/>
        </w:rPr>
        <w:t xml:space="preserve"> sa neštudoval</w:t>
      </w:r>
      <w:r w:rsidR="00DA3C14" w:rsidRPr="00823BDC">
        <w:rPr>
          <w:snapToGrid w:val="0"/>
          <w:szCs w:val="22"/>
        </w:rPr>
        <w:t>a</w:t>
      </w:r>
      <w:r w:rsidRPr="00823BDC">
        <w:rPr>
          <w:snapToGrid w:val="0"/>
          <w:szCs w:val="22"/>
        </w:rPr>
        <w:t xml:space="preserve">. Existuje zvýšené riziko </w:t>
      </w:r>
      <w:proofErr w:type="spellStart"/>
      <w:r w:rsidRPr="00823BDC">
        <w:rPr>
          <w:snapToGrid w:val="0"/>
          <w:szCs w:val="22"/>
        </w:rPr>
        <w:t>myopatie</w:t>
      </w:r>
      <w:proofErr w:type="spellEnd"/>
      <w:r w:rsidRPr="00823BDC">
        <w:rPr>
          <w:snapToGrid w:val="0"/>
          <w:szCs w:val="22"/>
        </w:rPr>
        <w:t xml:space="preserve">, </w:t>
      </w:r>
      <w:r w:rsidR="003224C2" w:rsidRPr="00823BDC">
        <w:rPr>
          <w:snapToGrid w:val="0"/>
          <w:szCs w:val="22"/>
        </w:rPr>
        <w:t xml:space="preserve">keď </w:t>
      </w:r>
      <w:r w:rsidRPr="00823BDC">
        <w:rPr>
          <w:snapToGrid w:val="0"/>
          <w:szCs w:val="22"/>
        </w:rPr>
        <w:t xml:space="preserve">sa </w:t>
      </w:r>
      <w:proofErr w:type="spellStart"/>
      <w:r w:rsidRPr="00823BDC">
        <w:rPr>
          <w:snapToGrid w:val="0"/>
          <w:szCs w:val="22"/>
        </w:rPr>
        <w:t>simvastatín</w:t>
      </w:r>
      <w:proofErr w:type="spellEnd"/>
      <w:r w:rsidRPr="00823BDC">
        <w:rPr>
          <w:snapToGrid w:val="0"/>
          <w:szCs w:val="22"/>
        </w:rPr>
        <w:t xml:space="preserve"> </w:t>
      </w:r>
      <w:r w:rsidR="00CA22A6" w:rsidRPr="00823BDC">
        <w:rPr>
          <w:snapToGrid w:val="0"/>
          <w:szCs w:val="22"/>
        </w:rPr>
        <w:t xml:space="preserve">užíva </w:t>
      </w:r>
      <w:r w:rsidR="00A04E02" w:rsidRPr="00823BDC">
        <w:rPr>
          <w:snapToGrid w:val="0"/>
          <w:szCs w:val="22"/>
        </w:rPr>
        <w:t>súbežne</w:t>
      </w:r>
      <w:r w:rsidRPr="00823BDC">
        <w:rPr>
          <w:snapToGrid w:val="0"/>
          <w:szCs w:val="22"/>
        </w:rPr>
        <w:t xml:space="preserve"> s </w:t>
      </w:r>
      <w:proofErr w:type="spellStart"/>
      <w:r w:rsidRPr="00823BDC">
        <w:rPr>
          <w:snapToGrid w:val="0"/>
          <w:szCs w:val="22"/>
        </w:rPr>
        <w:t>fibrátmi</w:t>
      </w:r>
      <w:proofErr w:type="spellEnd"/>
      <w:r w:rsidRPr="00823BDC">
        <w:rPr>
          <w:snapToGrid w:val="0"/>
          <w:szCs w:val="22"/>
        </w:rPr>
        <w:t xml:space="preserve"> (zvlášť s </w:t>
      </w:r>
      <w:proofErr w:type="spellStart"/>
      <w:r w:rsidRPr="00823BDC">
        <w:rPr>
          <w:snapToGrid w:val="0"/>
          <w:szCs w:val="22"/>
        </w:rPr>
        <w:t>gemfibrozilom</w:t>
      </w:r>
      <w:proofErr w:type="spellEnd"/>
      <w:r w:rsidRPr="00823BDC">
        <w:rPr>
          <w:snapToGrid w:val="0"/>
          <w:szCs w:val="22"/>
        </w:rPr>
        <w:t xml:space="preserve">). Preto </w:t>
      </w:r>
      <w:r w:rsidR="00EF39DF" w:rsidRPr="00823BDC">
        <w:rPr>
          <w:snapToGrid w:val="0"/>
          <w:szCs w:val="22"/>
        </w:rPr>
        <w:lastRenderedPageBreak/>
        <w:t xml:space="preserve">je </w:t>
      </w:r>
      <w:r w:rsidR="00A04E02" w:rsidRPr="00823BDC">
        <w:rPr>
          <w:snapToGrid w:val="0"/>
          <w:szCs w:val="22"/>
        </w:rPr>
        <w:t>súbežné</w:t>
      </w:r>
      <w:r w:rsidRPr="00823BDC">
        <w:rPr>
          <w:snapToGrid w:val="0"/>
          <w:szCs w:val="22"/>
        </w:rPr>
        <w:t xml:space="preserve"> užívanie </w:t>
      </w:r>
      <w:proofErr w:type="spellStart"/>
      <w:r w:rsidR="000B2EFD" w:rsidRPr="00823BDC">
        <w:rPr>
          <w:snapToGrid w:val="0"/>
          <w:szCs w:val="22"/>
        </w:rPr>
        <w:t>Cornusanu</w:t>
      </w:r>
      <w:proofErr w:type="spellEnd"/>
      <w:r w:rsidRPr="00823BDC">
        <w:rPr>
          <w:snapToGrid w:val="0"/>
          <w:szCs w:val="22"/>
        </w:rPr>
        <w:t xml:space="preserve"> s </w:t>
      </w:r>
      <w:proofErr w:type="spellStart"/>
      <w:r w:rsidR="00EF39DF" w:rsidRPr="00823BDC">
        <w:rPr>
          <w:snapToGrid w:val="0"/>
          <w:szCs w:val="22"/>
        </w:rPr>
        <w:t>gemfibrozilom</w:t>
      </w:r>
      <w:proofErr w:type="spellEnd"/>
      <w:r w:rsidR="00EF39DF" w:rsidRPr="00823BDC">
        <w:rPr>
          <w:snapToGrid w:val="0"/>
          <w:szCs w:val="22"/>
        </w:rPr>
        <w:t xml:space="preserve"> kontraindikované (pozri časť 4.3) a </w:t>
      </w:r>
      <w:r w:rsidR="009B72C0" w:rsidRPr="00823BDC">
        <w:rPr>
          <w:snapToGrid w:val="0"/>
          <w:szCs w:val="22"/>
        </w:rPr>
        <w:t>súbežné u</w:t>
      </w:r>
      <w:r w:rsidR="00EF39DF" w:rsidRPr="00823BDC">
        <w:rPr>
          <w:snapToGrid w:val="0"/>
          <w:szCs w:val="22"/>
        </w:rPr>
        <w:t>žívanie s inými</w:t>
      </w:r>
      <w:r w:rsidR="00051A80" w:rsidRPr="00823BDC">
        <w:rPr>
          <w:snapToGrid w:val="0"/>
          <w:szCs w:val="22"/>
        </w:rPr>
        <w:t xml:space="preserve"> </w:t>
      </w:r>
      <w:proofErr w:type="spellStart"/>
      <w:r w:rsidRPr="00823BDC">
        <w:rPr>
          <w:snapToGrid w:val="0"/>
          <w:szCs w:val="22"/>
        </w:rPr>
        <w:t>fibrátmi</w:t>
      </w:r>
      <w:proofErr w:type="spellEnd"/>
      <w:r w:rsidRPr="00823BDC">
        <w:rPr>
          <w:snapToGrid w:val="0"/>
          <w:szCs w:val="22"/>
        </w:rPr>
        <w:t xml:space="preserve"> </w:t>
      </w:r>
      <w:r w:rsidR="00EF39DF" w:rsidRPr="00823BDC">
        <w:rPr>
          <w:snapToGrid w:val="0"/>
          <w:szCs w:val="22"/>
        </w:rPr>
        <w:t xml:space="preserve">sa </w:t>
      </w:r>
      <w:r w:rsidRPr="00823BDC">
        <w:rPr>
          <w:snapToGrid w:val="0"/>
          <w:szCs w:val="22"/>
        </w:rPr>
        <w:t>neodporúča</w:t>
      </w:r>
      <w:r w:rsidR="00EF39DF" w:rsidRPr="00823BDC">
        <w:rPr>
          <w:snapToGrid w:val="0"/>
          <w:szCs w:val="22"/>
        </w:rPr>
        <w:t xml:space="preserve"> (pozri</w:t>
      </w:r>
      <w:r w:rsidRPr="00823BDC">
        <w:rPr>
          <w:snapToGrid w:val="0"/>
          <w:szCs w:val="22"/>
        </w:rPr>
        <w:t xml:space="preserve"> časť 4.5)</w:t>
      </w:r>
      <w:r w:rsidR="00EF39DF" w:rsidRPr="00823BDC">
        <w:rPr>
          <w:snapToGrid w:val="0"/>
          <w:szCs w:val="22"/>
        </w:rPr>
        <w:t>.</w:t>
      </w:r>
    </w:p>
    <w:p w14:paraId="04AF9CCA" w14:textId="77777777" w:rsidR="00D044EB" w:rsidRPr="00823BDC" w:rsidRDefault="00D044EB">
      <w:pPr>
        <w:adjustRightInd w:val="0"/>
        <w:snapToGrid w:val="0"/>
        <w:rPr>
          <w:snapToGrid w:val="0"/>
          <w:szCs w:val="22"/>
          <w:u w:val="single"/>
        </w:rPr>
      </w:pPr>
    </w:p>
    <w:p w14:paraId="601EA262" w14:textId="77777777" w:rsidR="0062116B" w:rsidRPr="00823BDC" w:rsidRDefault="0062116B">
      <w:pPr>
        <w:adjustRightInd w:val="0"/>
        <w:snapToGrid w:val="0"/>
        <w:rPr>
          <w:snapToGrid w:val="0"/>
          <w:szCs w:val="22"/>
          <w:u w:val="single"/>
        </w:rPr>
      </w:pPr>
      <w:proofErr w:type="spellStart"/>
      <w:r w:rsidRPr="00823BDC">
        <w:rPr>
          <w:snapToGrid w:val="0"/>
          <w:szCs w:val="22"/>
          <w:u w:val="single"/>
        </w:rPr>
        <w:t>Daptomycín</w:t>
      </w:r>
      <w:proofErr w:type="spellEnd"/>
    </w:p>
    <w:p w14:paraId="124881DD" w14:textId="5F504101" w:rsidR="0062116B" w:rsidRPr="00A6540D" w:rsidRDefault="0062116B">
      <w:pPr>
        <w:adjustRightInd w:val="0"/>
        <w:snapToGrid w:val="0"/>
        <w:rPr>
          <w:snapToGrid w:val="0"/>
          <w:szCs w:val="22"/>
        </w:rPr>
      </w:pPr>
      <w:r w:rsidRPr="00A6540D">
        <w:rPr>
          <w:snapToGrid w:val="0"/>
          <w:szCs w:val="22"/>
        </w:rPr>
        <w:t xml:space="preserve">Boli hlásené prípady </w:t>
      </w:r>
      <w:proofErr w:type="spellStart"/>
      <w:r w:rsidRPr="00A6540D">
        <w:rPr>
          <w:snapToGrid w:val="0"/>
          <w:szCs w:val="22"/>
        </w:rPr>
        <w:t>myopatie</w:t>
      </w:r>
      <w:proofErr w:type="spellEnd"/>
      <w:r w:rsidR="00066B8C" w:rsidRPr="00A6540D">
        <w:rPr>
          <w:snapToGrid w:val="0"/>
          <w:szCs w:val="22"/>
        </w:rPr>
        <w:t xml:space="preserve"> a</w:t>
      </w:r>
      <w:r w:rsidRPr="00A6540D">
        <w:rPr>
          <w:snapToGrid w:val="0"/>
          <w:szCs w:val="22"/>
        </w:rPr>
        <w:t>/</w:t>
      </w:r>
      <w:r w:rsidR="00066B8C" w:rsidRPr="00A6540D">
        <w:rPr>
          <w:snapToGrid w:val="0"/>
          <w:szCs w:val="22"/>
        </w:rPr>
        <w:t xml:space="preserve">alebo </w:t>
      </w:r>
      <w:proofErr w:type="spellStart"/>
      <w:r w:rsidRPr="00A6540D">
        <w:rPr>
          <w:snapToGrid w:val="0"/>
          <w:szCs w:val="22"/>
        </w:rPr>
        <w:t>rabdomyolýzy</w:t>
      </w:r>
      <w:proofErr w:type="spellEnd"/>
      <w:r w:rsidRPr="00A6540D">
        <w:rPr>
          <w:snapToGrid w:val="0"/>
          <w:szCs w:val="22"/>
        </w:rPr>
        <w:t xml:space="preserve"> pri </w:t>
      </w:r>
      <w:r w:rsidR="005332CD" w:rsidRPr="00A6540D">
        <w:rPr>
          <w:snapToGrid w:val="0"/>
          <w:szCs w:val="22"/>
        </w:rPr>
        <w:t xml:space="preserve">súbežnom podávaní </w:t>
      </w:r>
      <w:r w:rsidRPr="00A6540D">
        <w:rPr>
          <w:snapToGrid w:val="0"/>
          <w:szCs w:val="22"/>
        </w:rPr>
        <w:t>inhibítor</w:t>
      </w:r>
      <w:r w:rsidR="005332CD" w:rsidRPr="00A6540D">
        <w:rPr>
          <w:snapToGrid w:val="0"/>
          <w:szCs w:val="22"/>
        </w:rPr>
        <w:t>ov</w:t>
      </w:r>
      <w:r w:rsidRPr="00A6540D">
        <w:rPr>
          <w:snapToGrid w:val="0"/>
          <w:szCs w:val="22"/>
        </w:rPr>
        <w:t xml:space="preserve"> HMG-</w:t>
      </w:r>
      <w:proofErr w:type="spellStart"/>
      <w:r w:rsidRPr="00A6540D">
        <w:rPr>
          <w:snapToGrid w:val="0"/>
          <w:szCs w:val="22"/>
        </w:rPr>
        <w:t>CoA</w:t>
      </w:r>
      <w:proofErr w:type="spellEnd"/>
      <w:r w:rsidR="005332CD" w:rsidRPr="00A6540D">
        <w:rPr>
          <w:snapToGrid w:val="0"/>
          <w:szCs w:val="22"/>
        </w:rPr>
        <w:t>-</w:t>
      </w:r>
      <w:proofErr w:type="spellStart"/>
      <w:r w:rsidRPr="00A6540D">
        <w:rPr>
          <w:snapToGrid w:val="0"/>
          <w:szCs w:val="22"/>
        </w:rPr>
        <w:t>reduktázy</w:t>
      </w:r>
      <w:proofErr w:type="spellEnd"/>
      <w:r w:rsidRPr="00A6540D">
        <w:rPr>
          <w:snapToGrid w:val="0"/>
          <w:szCs w:val="22"/>
        </w:rPr>
        <w:t xml:space="preserve"> (napr. </w:t>
      </w:r>
      <w:proofErr w:type="spellStart"/>
      <w:r w:rsidRPr="00A6540D">
        <w:rPr>
          <w:snapToGrid w:val="0"/>
          <w:szCs w:val="22"/>
        </w:rPr>
        <w:t>simvastatín</w:t>
      </w:r>
      <w:proofErr w:type="spellEnd"/>
      <w:r w:rsidRPr="00A6540D">
        <w:rPr>
          <w:snapToGrid w:val="0"/>
          <w:szCs w:val="22"/>
        </w:rPr>
        <w:t xml:space="preserve"> a </w:t>
      </w:r>
      <w:proofErr w:type="spellStart"/>
      <w:r w:rsidRPr="00A6540D">
        <w:rPr>
          <w:snapToGrid w:val="0"/>
          <w:szCs w:val="22"/>
        </w:rPr>
        <w:t>ezetimib</w:t>
      </w:r>
      <w:proofErr w:type="spellEnd"/>
      <w:r w:rsidRPr="00A6540D">
        <w:rPr>
          <w:snapToGrid w:val="0"/>
          <w:szCs w:val="22"/>
        </w:rPr>
        <w:t>/</w:t>
      </w:r>
      <w:proofErr w:type="spellStart"/>
      <w:r w:rsidRPr="00A6540D">
        <w:rPr>
          <w:snapToGrid w:val="0"/>
          <w:szCs w:val="22"/>
        </w:rPr>
        <w:t>simvastatín</w:t>
      </w:r>
      <w:proofErr w:type="spellEnd"/>
      <w:r w:rsidRPr="00A6540D">
        <w:rPr>
          <w:snapToGrid w:val="0"/>
          <w:szCs w:val="22"/>
        </w:rPr>
        <w:t xml:space="preserve">) spolu s </w:t>
      </w:r>
      <w:proofErr w:type="spellStart"/>
      <w:r w:rsidRPr="00A6540D">
        <w:rPr>
          <w:snapToGrid w:val="0"/>
          <w:szCs w:val="22"/>
        </w:rPr>
        <w:t>daptomycínom</w:t>
      </w:r>
      <w:proofErr w:type="spellEnd"/>
      <w:r w:rsidRPr="00A6540D">
        <w:rPr>
          <w:snapToGrid w:val="0"/>
          <w:szCs w:val="22"/>
        </w:rPr>
        <w:t>. Pri predpisovaní inhibítorov HMG-</w:t>
      </w:r>
      <w:proofErr w:type="spellStart"/>
      <w:r w:rsidRPr="00A6540D">
        <w:rPr>
          <w:snapToGrid w:val="0"/>
          <w:szCs w:val="22"/>
        </w:rPr>
        <w:t>CoA</w:t>
      </w:r>
      <w:proofErr w:type="spellEnd"/>
      <w:r w:rsidR="00520B7D" w:rsidRPr="00A6540D">
        <w:rPr>
          <w:snapToGrid w:val="0"/>
          <w:szCs w:val="22"/>
        </w:rPr>
        <w:t>-</w:t>
      </w:r>
      <w:proofErr w:type="spellStart"/>
      <w:r w:rsidRPr="00A6540D">
        <w:rPr>
          <w:snapToGrid w:val="0"/>
          <w:szCs w:val="22"/>
        </w:rPr>
        <w:t>reduktázy</w:t>
      </w:r>
      <w:proofErr w:type="spellEnd"/>
      <w:r w:rsidRPr="00A6540D">
        <w:rPr>
          <w:snapToGrid w:val="0"/>
          <w:szCs w:val="22"/>
        </w:rPr>
        <w:t xml:space="preserve"> s </w:t>
      </w:r>
      <w:proofErr w:type="spellStart"/>
      <w:r w:rsidRPr="00A6540D">
        <w:rPr>
          <w:snapToGrid w:val="0"/>
          <w:szCs w:val="22"/>
        </w:rPr>
        <w:t>daptomycínom</w:t>
      </w:r>
      <w:proofErr w:type="spellEnd"/>
      <w:r w:rsidRPr="00A6540D">
        <w:rPr>
          <w:snapToGrid w:val="0"/>
          <w:szCs w:val="22"/>
        </w:rPr>
        <w:t xml:space="preserve"> je potrebná opatrnosť, pretože </w:t>
      </w:r>
      <w:r w:rsidR="005332CD" w:rsidRPr="00A6540D">
        <w:rPr>
          <w:snapToGrid w:val="0"/>
          <w:szCs w:val="22"/>
        </w:rPr>
        <w:t xml:space="preserve">každé </w:t>
      </w:r>
      <w:r w:rsidRPr="00A6540D">
        <w:rPr>
          <w:snapToGrid w:val="0"/>
          <w:szCs w:val="22"/>
        </w:rPr>
        <w:t>z týchto l</w:t>
      </w:r>
      <w:r w:rsidR="005332CD" w:rsidRPr="00A6540D">
        <w:rPr>
          <w:snapToGrid w:val="0"/>
          <w:szCs w:val="22"/>
        </w:rPr>
        <w:t>iečiv</w:t>
      </w:r>
      <w:r w:rsidRPr="00A6540D">
        <w:rPr>
          <w:snapToGrid w:val="0"/>
          <w:szCs w:val="22"/>
        </w:rPr>
        <w:t xml:space="preserve"> môže spôsobiť </w:t>
      </w:r>
      <w:proofErr w:type="spellStart"/>
      <w:r w:rsidRPr="00A6540D">
        <w:rPr>
          <w:snapToGrid w:val="0"/>
          <w:szCs w:val="22"/>
        </w:rPr>
        <w:t>myopatiu</w:t>
      </w:r>
      <w:proofErr w:type="spellEnd"/>
      <w:r w:rsidRPr="00A6540D">
        <w:rPr>
          <w:snapToGrid w:val="0"/>
          <w:szCs w:val="22"/>
        </w:rPr>
        <w:t>/</w:t>
      </w:r>
      <w:proofErr w:type="spellStart"/>
      <w:r w:rsidRPr="00A6540D">
        <w:rPr>
          <w:snapToGrid w:val="0"/>
          <w:szCs w:val="22"/>
        </w:rPr>
        <w:t>rabdomyolýzu</w:t>
      </w:r>
      <w:proofErr w:type="spellEnd"/>
      <w:r w:rsidRPr="00A6540D">
        <w:rPr>
          <w:snapToGrid w:val="0"/>
          <w:szCs w:val="22"/>
        </w:rPr>
        <w:t xml:space="preserve">, keď sa podáva samostatne. U pacientov, ktorí užívajú </w:t>
      </w:r>
      <w:proofErr w:type="spellStart"/>
      <w:r w:rsidRPr="00A6540D">
        <w:rPr>
          <w:snapToGrid w:val="0"/>
          <w:szCs w:val="22"/>
        </w:rPr>
        <w:t>daptomycín</w:t>
      </w:r>
      <w:proofErr w:type="spellEnd"/>
      <w:r w:rsidRPr="00A6540D">
        <w:rPr>
          <w:snapToGrid w:val="0"/>
          <w:szCs w:val="22"/>
        </w:rPr>
        <w:t xml:space="preserve">, sa má zvážiť dočasné prerušenie liečby </w:t>
      </w:r>
      <w:proofErr w:type="spellStart"/>
      <w:r w:rsidRPr="00A6540D">
        <w:rPr>
          <w:snapToGrid w:val="0"/>
          <w:szCs w:val="22"/>
        </w:rPr>
        <w:t>Cornusanom</w:t>
      </w:r>
      <w:proofErr w:type="spellEnd"/>
      <w:r w:rsidRPr="00A6540D">
        <w:rPr>
          <w:snapToGrid w:val="0"/>
          <w:szCs w:val="22"/>
        </w:rPr>
        <w:t>, pokiaľ prínos súbežného podávania neprevyšuje riziko. Ďalšie informácie o tejto potenciálnej interakcii s inhibítormi HMG-</w:t>
      </w:r>
      <w:proofErr w:type="spellStart"/>
      <w:r w:rsidRPr="00A6540D">
        <w:rPr>
          <w:snapToGrid w:val="0"/>
          <w:szCs w:val="22"/>
        </w:rPr>
        <w:t>CoA</w:t>
      </w:r>
      <w:proofErr w:type="spellEnd"/>
      <w:r w:rsidR="00520B7D" w:rsidRPr="00A6540D">
        <w:rPr>
          <w:snapToGrid w:val="0"/>
          <w:szCs w:val="22"/>
        </w:rPr>
        <w:t>-</w:t>
      </w:r>
      <w:proofErr w:type="spellStart"/>
      <w:r w:rsidRPr="00A6540D">
        <w:rPr>
          <w:snapToGrid w:val="0"/>
          <w:szCs w:val="22"/>
        </w:rPr>
        <w:t>reduktázy</w:t>
      </w:r>
      <w:proofErr w:type="spellEnd"/>
      <w:r w:rsidRPr="00A6540D">
        <w:rPr>
          <w:snapToGrid w:val="0"/>
          <w:szCs w:val="22"/>
        </w:rPr>
        <w:t xml:space="preserve"> (napr. </w:t>
      </w:r>
      <w:proofErr w:type="spellStart"/>
      <w:r w:rsidRPr="00A6540D">
        <w:rPr>
          <w:snapToGrid w:val="0"/>
          <w:szCs w:val="22"/>
        </w:rPr>
        <w:t>simvastatín</w:t>
      </w:r>
      <w:proofErr w:type="spellEnd"/>
      <w:r w:rsidRPr="00A6540D">
        <w:rPr>
          <w:snapToGrid w:val="0"/>
          <w:szCs w:val="22"/>
        </w:rPr>
        <w:t xml:space="preserve"> a </w:t>
      </w:r>
      <w:proofErr w:type="spellStart"/>
      <w:r w:rsidRPr="00A6540D">
        <w:rPr>
          <w:snapToGrid w:val="0"/>
          <w:szCs w:val="22"/>
        </w:rPr>
        <w:t>ezetimib</w:t>
      </w:r>
      <w:proofErr w:type="spellEnd"/>
      <w:r w:rsidRPr="00A6540D">
        <w:rPr>
          <w:snapToGrid w:val="0"/>
          <w:szCs w:val="22"/>
        </w:rPr>
        <w:t>/</w:t>
      </w:r>
      <w:proofErr w:type="spellStart"/>
      <w:r w:rsidRPr="00A6540D">
        <w:rPr>
          <w:snapToGrid w:val="0"/>
          <w:szCs w:val="22"/>
        </w:rPr>
        <w:t>simvastatín</w:t>
      </w:r>
      <w:proofErr w:type="spellEnd"/>
      <w:r w:rsidRPr="00A6540D">
        <w:rPr>
          <w:snapToGrid w:val="0"/>
          <w:szCs w:val="22"/>
        </w:rPr>
        <w:t xml:space="preserve">) a ďalšie pokyny týkajúce sa monitorovania nájdete </w:t>
      </w:r>
      <w:r w:rsidR="00431182" w:rsidRPr="00A6540D">
        <w:rPr>
          <w:snapToGrid w:val="0"/>
          <w:szCs w:val="22"/>
        </w:rPr>
        <w:t>v písomnej</w:t>
      </w:r>
      <w:r w:rsidRPr="00A6540D">
        <w:rPr>
          <w:snapToGrid w:val="0"/>
          <w:szCs w:val="22"/>
        </w:rPr>
        <w:t xml:space="preserve"> informáci</w:t>
      </w:r>
      <w:r w:rsidR="00431182" w:rsidRPr="00A6540D">
        <w:rPr>
          <w:snapToGrid w:val="0"/>
          <w:szCs w:val="22"/>
        </w:rPr>
        <w:t>i</w:t>
      </w:r>
      <w:r w:rsidRPr="00A6540D">
        <w:rPr>
          <w:snapToGrid w:val="0"/>
          <w:szCs w:val="22"/>
        </w:rPr>
        <w:t xml:space="preserve"> pre </w:t>
      </w:r>
      <w:proofErr w:type="spellStart"/>
      <w:r w:rsidRPr="00A6540D">
        <w:rPr>
          <w:snapToGrid w:val="0"/>
          <w:szCs w:val="22"/>
        </w:rPr>
        <w:t>daptomycín</w:t>
      </w:r>
      <w:proofErr w:type="spellEnd"/>
      <w:r w:rsidRPr="00A6540D">
        <w:rPr>
          <w:snapToGrid w:val="0"/>
          <w:szCs w:val="22"/>
        </w:rPr>
        <w:t xml:space="preserve"> (pozri časť 4.5).</w:t>
      </w:r>
    </w:p>
    <w:p w14:paraId="02AAC338" w14:textId="77777777" w:rsidR="0062116B" w:rsidRPr="00823BDC" w:rsidRDefault="0062116B">
      <w:pPr>
        <w:adjustRightInd w:val="0"/>
        <w:snapToGrid w:val="0"/>
        <w:rPr>
          <w:snapToGrid w:val="0"/>
          <w:szCs w:val="22"/>
          <w:u w:val="single"/>
        </w:rPr>
      </w:pPr>
    </w:p>
    <w:p w14:paraId="6C0FFD34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Pečeňové enzýmy</w:t>
      </w:r>
    </w:p>
    <w:p w14:paraId="3C71A722" w14:textId="77777777" w:rsidR="00D044EB" w:rsidRPr="00CD10F1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V kontrolovaných skúš</w:t>
      </w:r>
      <w:r w:rsidR="004B7C32" w:rsidRPr="00823BDC">
        <w:rPr>
          <w:szCs w:val="22"/>
        </w:rPr>
        <w:t>ania</w:t>
      </w:r>
      <w:r w:rsidRPr="00823BDC">
        <w:rPr>
          <w:szCs w:val="22"/>
        </w:rPr>
        <w:t xml:space="preserve">ch </w:t>
      </w:r>
      <w:r w:rsidR="009B72C0" w:rsidRPr="00823BDC">
        <w:rPr>
          <w:szCs w:val="22"/>
        </w:rPr>
        <w:t>súbežného</w:t>
      </w:r>
      <w:r w:rsidRPr="00823BDC">
        <w:rPr>
          <w:szCs w:val="22"/>
        </w:rPr>
        <w:t xml:space="preserve"> podávania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a 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sa u pacientov pozorovali </w:t>
      </w:r>
      <w:proofErr w:type="spellStart"/>
      <w:r w:rsidRPr="00823BDC">
        <w:rPr>
          <w:szCs w:val="22"/>
        </w:rPr>
        <w:t>konsekutívne</w:t>
      </w:r>
      <w:proofErr w:type="spellEnd"/>
      <w:r w:rsidRPr="00823BDC">
        <w:rPr>
          <w:szCs w:val="22"/>
        </w:rPr>
        <w:t xml:space="preserve"> zvýšenia </w:t>
      </w:r>
      <w:proofErr w:type="spellStart"/>
      <w:r w:rsidRPr="00823BDC">
        <w:rPr>
          <w:szCs w:val="22"/>
        </w:rPr>
        <w:t>transamináz</w:t>
      </w:r>
      <w:proofErr w:type="spellEnd"/>
      <w:r w:rsidRPr="00823BDC">
        <w:rPr>
          <w:szCs w:val="22"/>
        </w:rPr>
        <w:t xml:space="preserve"> (</w:t>
      </w:r>
      <w:r w:rsidR="00DA447A" w:rsidRPr="00530542">
        <w:rPr>
          <w:szCs w:val="22"/>
        </w:rPr>
        <w:sym w:font="Symbol" w:char="F0B3"/>
      </w:r>
      <w:r w:rsidR="00081701" w:rsidRPr="00530542">
        <w:rPr>
          <w:szCs w:val="22"/>
        </w:rPr>
        <w:t> </w:t>
      </w:r>
      <w:r w:rsidRPr="00CD10F1">
        <w:rPr>
          <w:szCs w:val="22"/>
        </w:rPr>
        <w:t>3</w:t>
      </w:r>
      <w:r w:rsidRPr="00CD10F1">
        <w:rPr>
          <w:szCs w:val="22"/>
        </w:rPr>
        <w:noBreakHyphen/>
        <w:t>násobok HHN) (pozri časť 4.8).</w:t>
      </w:r>
    </w:p>
    <w:p w14:paraId="6F259BD7" w14:textId="77777777" w:rsidR="008B47E2" w:rsidRPr="00823BDC" w:rsidRDefault="008B47E2">
      <w:pPr>
        <w:adjustRightInd w:val="0"/>
        <w:snapToGrid w:val="0"/>
        <w:rPr>
          <w:szCs w:val="22"/>
        </w:rPr>
      </w:pPr>
    </w:p>
    <w:p w14:paraId="10D874CE" w14:textId="49FC65AC" w:rsidR="00170044" w:rsidRPr="00823BDC" w:rsidRDefault="00170044">
      <w:pPr>
        <w:adjustRightInd w:val="0"/>
        <w:snapToGrid w:val="0"/>
        <w:rPr>
          <w:szCs w:val="22"/>
        </w:rPr>
      </w:pPr>
      <w:r w:rsidRPr="00823BDC">
        <w:rPr>
          <w:szCs w:val="22"/>
        </w:rPr>
        <w:t>V skúšaní IMPROVE</w:t>
      </w:r>
      <w:r w:rsidR="003C4165" w:rsidRPr="00823BDC">
        <w:rPr>
          <w:szCs w:val="22"/>
        </w:rPr>
        <w:t>-</w:t>
      </w:r>
      <w:r w:rsidRPr="00823BDC">
        <w:rPr>
          <w:szCs w:val="22"/>
        </w:rPr>
        <w:t xml:space="preserve">IT </w:t>
      </w:r>
      <w:r w:rsidRPr="00823BDC">
        <w:rPr>
          <w:noProof/>
          <w:szCs w:val="22"/>
        </w:rPr>
        <w:t xml:space="preserve">bolo 18 144 pacientov </w:t>
      </w:r>
      <w:r w:rsidR="00524B24" w:rsidRPr="00823BDC">
        <w:rPr>
          <w:szCs w:val="22"/>
        </w:rPr>
        <w:t>s koronárnou chorobou srdca a </w:t>
      </w:r>
      <w:r w:rsidR="00862D66" w:rsidRPr="00823BDC">
        <w:rPr>
          <w:szCs w:val="22"/>
        </w:rPr>
        <w:t xml:space="preserve">príhodou </w:t>
      </w:r>
      <w:r w:rsidR="00524B24" w:rsidRPr="00823BDC">
        <w:rPr>
          <w:szCs w:val="22"/>
        </w:rPr>
        <w:t>AK</w:t>
      </w:r>
      <w:r w:rsidRPr="00823BDC">
        <w:rPr>
          <w:szCs w:val="22"/>
        </w:rPr>
        <w:t xml:space="preserve">S v anamnéze </w:t>
      </w:r>
      <w:proofErr w:type="spellStart"/>
      <w:r w:rsidRPr="00823BDC">
        <w:rPr>
          <w:szCs w:val="22"/>
        </w:rPr>
        <w:t>randomizovaných</w:t>
      </w:r>
      <w:proofErr w:type="spellEnd"/>
      <w:r w:rsidRPr="00823BDC">
        <w:rPr>
          <w:szCs w:val="22"/>
        </w:rPr>
        <w:t xml:space="preserve"> na užívanie </w:t>
      </w:r>
      <w:proofErr w:type="spellStart"/>
      <w:r w:rsidR="000B2EFD" w:rsidRPr="00823BDC">
        <w:rPr>
          <w:szCs w:val="22"/>
        </w:rPr>
        <w:t>ezetimibu</w:t>
      </w:r>
      <w:proofErr w:type="spellEnd"/>
      <w:r w:rsidR="000B2EFD" w:rsidRPr="00823BDC">
        <w:rPr>
          <w:szCs w:val="22"/>
        </w:rPr>
        <w:t>/</w:t>
      </w:r>
      <w:proofErr w:type="spellStart"/>
      <w:r w:rsidR="000B2EFD"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v dávke 10</w:t>
      </w:r>
      <w:r w:rsidR="00431182" w:rsidRPr="00823BDC">
        <w:rPr>
          <w:szCs w:val="22"/>
        </w:rPr>
        <w:t> </w:t>
      </w:r>
      <w:r w:rsidR="00CE2355" w:rsidRPr="00823BDC">
        <w:rPr>
          <w:szCs w:val="22"/>
        </w:rPr>
        <w:t>mg</w:t>
      </w:r>
      <w:r w:rsidRPr="00823BDC">
        <w:rPr>
          <w:szCs w:val="22"/>
        </w:rPr>
        <w:t xml:space="preserve">/40 mg denne (n = 9 067) alebo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40 mg denne (n = 9 077). Počas mediánu sledovania 6</w:t>
      </w:r>
      <w:r w:rsidR="00862D66" w:rsidRPr="00823BDC">
        <w:rPr>
          <w:szCs w:val="22"/>
        </w:rPr>
        <w:t>,0</w:t>
      </w:r>
      <w:r w:rsidRPr="00823BDC">
        <w:rPr>
          <w:szCs w:val="22"/>
        </w:rPr>
        <w:t xml:space="preserve"> rokov bola </w:t>
      </w:r>
      <w:proofErr w:type="spellStart"/>
      <w:r w:rsidRPr="00823BDC">
        <w:rPr>
          <w:szCs w:val="22"/>
        </w:rPr>
        <w:t>incidencia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konsekutívnych</w:t>
      </w:r>
      <w:proofErr w:type="spellEnd"/>
      <w:r w:rsidRPr="00823BDC">
        <w:rPr>
          <w:szCs w:val="22"/>
        </w:rPr>
        <w:t xml:space="preserve"> zvýšení </w:t>
      </w:r>
      <w:proofErr w:type="spellStart"/>
      <w:r w:rsidRPr="00823BDC">
        <w:rPr>
          <w:szCs w:val="22"/>
        </w:rPr>
        <w:t>transamináz</w:t>
      </w:r>
      <w:proofErr w:type="spellEnd"/>
      <w:r w:rsidRPr="00823BDC">
        <w:rPr>
          <w:szCs w:val="22"/>
        </w:rPr>
        <w:t xml:space="preserve"> (</w:t>
      </w:r>
      <w:r w:rsidR="00DA447A" w:rsidRPr="00530542">
        <w:rPr>
          <w:szCs w:val="22"/>
        </w:rPr>
        <w:sym w:font="Symbol" w:char="F0B3"/>
      </w:r>
      <w:r w:rsidRPr="00530542">
        <w:rPr>
          <w:szCs w:val="22"/>
        </w:rPr>
        <w:t> 3</w:t>
      </w:r>
      <w:r w:rsidRPr="00530542">
        <w:rPr>
          <w:szCs w:val="22"/>
        </w:rPr>
        <w:noBreakHyphen/>
        <w:t xml:space="preserve">násobok HHN) pri </w:t>
      </w:r>
      <w:proofErr w:type="spellStart"/>
      <w:r w:rsidR="00F172EB" w:rsidRPr="00CD10F1">
        <w:rPr>
          <w:szCs w:val="22"/>
        </w:rPr>
        <w:t>simvastatíne</w:t>
      </w:r>
      <w:proofErr w:type="spellEnd"/>
      <w:r w:rsidR="00F172EB" w:rsidRPr="00CD10F1">
        <w:rPr>
          <w:szCs w:val="22"/>
        </w:rPr>
        <w:t>/</w:t>
      </w:r>
      <w:proofErr w:type="spellStart"/>
      <w:r w:rsidR="00F172EB" w:rsidRPr="00CD10F1">
        <w:rPr>
          <w:szCs w:val="22"/>
        </w:rPr>
        <w:t>ezetimibe</w:t>
      </w:r>
      <w:proofErr w:type="spellEnd"/>
      <w:r w:rsidRPr="00CD10F1">
        <w:rPr>
          <w:szCs w:val="22"/>
        </w:rPr>
        <w:t xml:space="preserve"> 2,5 % a pri </w:t>
      </w:r>
      <w:proofErr w:type="spellStart"/>
      <w:r w:rsidRPr="00CD10F1">
        <w:rPr>
          <w:szCs w:val="22"/>
        </w:rPr>
        <w:t>simvastatíne</w:t>
      </w:r>
      <w:proofErr w:type="spellEnd"/>
      <w:r w:rsidRPr="00CD10F1">
        <w:rPr>
          <w:szCs w:val="22"/>
        </w:rPr>
        <w:t xml:space="preserve"> 2,3 % (</w:t>
      </w:r>
      <w:r w:rsidR="00723E73" w:rsidRPr="00657DA7">
        <w:rPr>
          <w:szCs w:val="22"/>
        </w:rPr>
        <w:t>p</w:t>
      </w:r>
      <w:r w:rsidRPr="00F064AC">
        <w:rPr>
          <w:szCs w:val="22"/>
        </w:rPr>
        <w:t>ozri časť 4.8)</w:t>
      </w:r>
      <w:r w:rsidR="00431182" w:rsidRPr="002377B8">
        <w:rPr>
          <w:szCs w:val="22"/>
        </w:rPr>
        <w:t>.</w:t>
      </w:r>
    </w:p>
    <w:p w14:paraId="5B05B350" w14:textId="77777777" w:rsidR="00170044" w:rsidRPr="00823BDC" w:rsidRDefault="00170044">
      <w:pPr>
        <w:adjustRightInd w:val="0"/>
        <w:snapToGrid w:val="0"/>
        <w:rPr>
          <w:szCs w:val="22"/>
        </w:rPr>
      </w:pPr>
    </w:p>
    <w:p w14:paraId="04BCF1E9" w14:textId="77777777" w:rsidR="008B47E2" w:rsidRPr="00823BDC" w:rsidRDefault="008B47E2">
      <w:pPr>
        <w:adjustRightInd w:val="0"/>
        <w:snapToGrid w:val="0"/>
        <w:rPr>
          <w:szCs w:val="22"/>
        </w:rPr>
      </w:pPr>
      <w:r w:rsidRPr="00823BDC">
        <w:rPr>
          <w:szCs w:val="22"/>
        </w:rPr>
        <w:t>V kontrolovanej klinickej štúdii, v</w:t>
      </w:r>
      <w:r w:rsidR="003133B6" w:rsidRPr="00823BDC">
        <w:rPr>
          <w:szCs w:val="22"/>
        </w:rPr>
        <w:t> </w:t>
      </w:r>
      <w:r w:rsidRPr="00823BDC">
        <w:rPr>
          <w:szCs w:val="22"/>
        </w:rPr>
        <w:t xml:space="preserve">ktorej bolo viac ako 9 000 pacientov s chronickým ochorením obličiek </w:t>
      </w:r>
      <w:proofErr w:type="spellStart"/>
      <w:r w:rsidRPr="00823BDC">
        <w:rPr>
          <w:szCs w:val="22"/>
        </w:rPr>
        <w:t>randomizovaných</w:t>
      </w:r>
      <w:proofErr w:type="spellEnd"/>
      <w:r w:rsidRPr="00823BDC">
        <w:rPr>
          <w:szCs w:val="22"/>
        </w:rPr>
        <w:t xml:space="preserve"> na užívanie </w:t>
      </w:r>
      <w:proofErr w:type="spellStart"/>
      <w:r w:rsidR="000B2EFD" w:rsidRPr="00823BDC">
        <w:rPr>
          <w:szCs w:val="22"/>
        </w:rPr>
        <w:t>ezetimibu</w:t>
      </w:r>
      <w:proofErr w:type="spellEnd"/>
      <w:r w:rsidR="000B2EFD" w:rsidRPr="00823BDC">
        <w:rPr>
          <w:szCs w:val="22"/>
        </w:rPr>
        <w:t>/</w:t>
      </w:r>
      <w:proofErr w:type="spellStart"/>
      <w:r w:rsidR="000B2EFD"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v dávke 10</w:t>
      </w:r>
      <w:r w:rsidR="00CE2355" w:rsidRPr="00823BDC">
        <w:rPr>
          <w:szCs w:val="22"/>
        </w:rPr>
        <w:t xml:space="preserve"> mg</w:t>
      </w:r>
      <w:r w:rsidRPr="00823BDC">
        <w:rPr>
          <w:szCs w:val="22"/>
        </w:rPr>
        <w:t xml:space="preserve">/20 mg denne (n = 4 650) alebo </w:t>
      </w:r>
      <w:r w:rsidR="00704D65" w:rsidRPr="00823BDC">
        <w:rPr>
          <w:szCs w:val="22"/>
        </w:rPr>
        <w:t xml:space="preserve">placeba </w:t>
      </w:r>
      <w:r w:rsidRPr="00823BDC">
        <w:rPr>
          <w:szCs w:val="22"/>
        </w:rPr>
        <w:t>(n = 4 620) (medián sledovaného obdobia 4,9 rokov), bol</w:t>
      </w:r>
      <w:r w:rsidR="005116EA" w:rsidRPr="00823BDC">
        <w:rPr>
          <w:szCs w:val="22"/>
        </w:rPr>
        <w:t xml:space="preserve">a </w:t>
      </w:r>
      <w:proofErr w:type="spellStart"/>
      <w:r w:rsidR="005116EA" w:rsidRPr="00823BDC">
        <w:rPr>
          <w:szCs w:val="22"/>
        </w:rPr>
        <w:t>incidencia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konsekutívnych</w:t>
      </w:r>
      <w:proofErr w:type="spellEnd"/>
      <w:r w:rsidRPr="00823BDC">
        <w:rPr>
          <w:szCs w:val="22"/>
        </w:rPr>
        <w:t xml:space="preserve"> zvýšení </w:t>
      </w:r>
      <w:proofErr w:type="spellStart"/>
      <w:r w:rsidRPr="00823BDC">
        <w:rPr>
          <w:szCs w:val="22"/>
        </w:rPr>
        <w:t>transamináz</w:t>
      </w:r>
      <w:proofErr w:type="spellEnd"/>
      <w:r w:rsidRPr="00823BDC">
        <w:rPr>
          <w:szCs w:val="22"/>
        </w:rPr>
        <w:t xml:space="preserve"> </w:t>
      </w:r>
      <w:r w:rsidRPr="00823BDC">
        <w:rPr>
          <w:color w:val="000000"/>
          <w:szCs w:val="22"/>
        </w:rPr>
        <w:t>(</w:t>
      </w:r>
      <w:r w:rsidR="005456E1" w:rsidRPr="00823BDC">
        <w:rPr>
          <w:szCs w:val="22"/>
        </w:rPr>
        <w:t>&gt;</w:t>
      </w:r>
      <w:r w:rsidRPr="00823BDC">
        <w:rPr>
          <w:szCs w:val="22"/>
        </w:rPr>
        <w:t> </w:t>
      </w:r>
      <w:r w:rsidRPr="00823BDC">
        <w:rPr>
          <w:color w:val="000000"/>
          <w:szCs w:val="22"/>
        </w:rPr>
        <w:t>3</w:t>
      </w:r>
      <w:r w:rsidRPr="00823BDC">
        <w:rPr>
          <w:color w:val="000000"/>
          <w:szCs w:val="22"/>
        </w:rPr>
        <w:noBreakHyphen/>
        <w:t>násobok HHN)</w:t>
      </w:r>
      <w:r w:rsidRPr="00823BDC">
        <w:rPr>
          <w:szCs w:val="22"/>
        </w:rPr>
        <w:t xml:space="preserve"> </w:t>
      </w:r>
      <w:r w:rsidR="003224C2" w:rsidRPr="00823BDC">
        <w:rPr>
          <w:szCs w:val="22"/>
        </w:rPr>
        <w:t xml:space="preserve">0,7 % </w:t>
      </w:r>
      <w:r w:rsidRPr="00823BDC">
        <w:rPr>
          <w:szCs w:val="22"/>
        </w:rPr>
        <w:t xml:space="preserve">pri </w:t>
      </w:r>
      <w:proofErr w:type="spellStart"/>
      <w:r w:rsidR="000B2EFD" w:rsidRPr="00823BDC">
        <w:rPr>
          <w:szCs w:val="22"/>
        </w:rPr>
        <w:t>ezetimibe</w:t>
      </w:r>
      <w:proofErr w:type="spellEnd"/>
      <w:r w:rsidR="000B2EFD" w:rsidRPr="00823BDC">
        <w:rPr>
          <w:szCs w:val="22"/>
        </w:rPr>
        <w:t>/</w:t>
      </w:r>
      <w:proofErr w:type="spellStart"/>
      <w:r w:rsidR="000B2EFD" w:rsidRPr="00823BDC">
        <w:rPr>
          <w:szCs w:val="22"/>
        </w:rPr>
        <w:t>simvastatíne</w:t>
      </w:r>
      <w:proofErr w:type="spellEnd"/>
      <w:r w:rsidRPr="00823BDC">
        <w:rPr>
          <w:szCs w:val="22"/>
        </w:rPr>
        <w:t xml:space="preserve"> a 0,6 % pri placebe (pozri časť 4.8).</w:t>
      </w:r>
    </w:p>
    <w:p w14:paraId="5F99360F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13BBC30E" w14:textId="77777777" w:rsidR="00D044EB" w:rsidRPr="00823BDC" w:rsidRDefault="00D85531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Funkčné vyšetrenia </w:t>
      </w:r>
      <w:r w:rsidR="009B72C0" w:rsidRPr="00823BDC">
        <w:rPr>
          <w:szCs w:val="22"/>
        </w:rPr>
        <w:t>p</w:t>
      </w:r>
      <w:r w:rsidR="00D044EB" w:rsidRPr="00823BDC">
        <w:rPr>
          <w:szCs w:val="22"/>
        </w:rPr>
        <w:t>eče</w:t>
      </w:r>
      <w:r w:rsidR="009B72C0" w:rsidRPr="00823BDC">
        <w:rPr>
          <w:szCs w:val="22"/>
        </w:rPr>
        <w:t>ne</w:t>
      </w:r>
      <w:r w:rsidR="00D044EB" w:rsidRPr="00823BDC">
        <w:rPr>
          <w:szCs w:val="22"/>
        </w:rPr>
        <w:t xml:space="preserve"> sa odporúča </w:t>
      </w:r>
      <w:r w:rsidR="00CE2355" w:rsidRPr="00823BDC">
        <w:rPr>
          <w:szCs w:val="22"/>
        </w:rPr>
        <w:t>vykonať</w:t>
      </w:r>
      <w:r w:rsidR="00D044EB" w:rsidRPr="00823BDC">
        <w:rPr>
          <w:szCs w:val="22"/>
        </w:rPr>
        <w:t xml:space="preserve"> pred začiatkom liečby </w:t>
      </w:r>
      <w:proofErr w:type="spellStart"/>
      <w:r w:rsidR="000B2EFD" w:rsidRPr="00823BDC">
        <w:rPr>
          <w:szCs w:val="22"/>
        </w:rPr>
        <w:t>Cornusanom</w:t>
      </w:r>
      <w:proofErr w:type="spellEnd"/>
      <w:r w:rsidR="00D044EB" w:rsidRPr="00823BDC">
        <w:rPr>
          <w:szCs w:val="22"/>
        </w:rPr>
        <w:t xml:space="preserve"> a potom, </w:t>
      </w:r>
      <w:r w:rsidR="00CE2355" w:rsidRPr="00823BDC">
        <w:rPr>
          <w:szCs w:val="22"/>
        </w:rPr>
        <w:t>ak</w:t>
      </w:r>
      <w:r w:rsidR="00D044EB" w:rsidRPr="00823BDC">
        <w:rPr>
          <w:szCs w:val="22"/>
        </w:rPr>
        <w:t xml:space="preserve"> je to klinicky indikované. Pacientom, u ktorých bola </w:t>
      </w:r>
      <w:proofErr w:type="spellStart"/>
      <w:r w:rsidR="00D044EB" w:rsidRPr="00823BDC">
        <w:rPr>
          <w:szCs w:val="22"/>
        </w:rPr>
        <w:t>vytitrovaná</w:t>
      </w:r>
      <w:proofErr w:type="spellEnd"/>
      <w:r w:rsidR="00D044EB" w:rsidRPr="00823BDC">
        <w:rPr>
          <w:szCs w:val="22"/>
        </w:rPr>
        <w:t xml:space="preserve"> dávka 10</w:t>
      </w:r>
      <w:r w:rsidR="00CE2355" w:rsidRPr="00823BDC">
        <w:rPr>
          <w:szCs w:val="22"/>
        </w:rPr>
        <w:t xml:space="preserve"> mg</w:t>
      </w:r>
      <w:r w:rsidR="00D044EB" w:rsidRPr="00823BDC">
        <w:rPr>
          <w:szCs w:val="22"/>
        </w:rPr>
        <w:t xml:space="preserve">/80 mg, sa má </w:t>
      </w:r>
      <w:r w:rsidR="00CE2355" w:rsidRPr="00823BDC">
        <w:rPr>
          <w:szCs w:val="22"/>
        </w:rPr>
        <w:t>vykonať</w:t>
      </w:r>
      <w:r w:rsidR="00D044EB" w:rsidRPr="00823BDC">
        <w:rPr>
          <w:szCs w:val="22"/>
        </w:rPr>
        <w:t xml:space="preserve"> </w:t>
      </w:r>
      <w:r w:rsidR="003224C2" w:rsidRPr="00823BDC">
        <w:rPr>
          <w:szCs w:val="22"/>
        </w:rPr>
        <w:t xml:space="preserve">dodatkové </w:t>
      </w:r>
      <w:r w:rsidR="009B72C0" w:rsidRPr="00823BDC">
        <w:rPr>
          <w:szCs w:val="22"/>
        </w:rPr>
        <w:t>vy</w:t>
      </w:r>
      <w:r w:rsidR="002F7F5C" w:rsidRPr="00823BDC">
        <w:rPr>
          <w:szCs w:val="22"/>
        </w:rPr>
        <w:t>š</w:t>
      </w:r>
      <w:r w:rsidR="009B72C0" w:rsidRPr="00823BDC">
        <w:rPr>
          <w:szCs w:val="22"/>
        </w:rPr>
        <w:t>etrenie</w:t>
      </w:r>
      <w:r w:rsidR="00D044EB" w:rsidRPr="00823BDC">
        <w:rPr>
          <w:szCs w:val="22"/>
        </w:rPr>
        <w:t xml:space="preserve"> pred titráciou, 3 mesiace po </w:t>
      </w:r>
      <w:proofErr w:type="spellStart"/>
      <w:r w:rsidR="00D044EB" w:rsidRPr="00823BDC">
        <w:rPr>
          <w:szCs w:val="22"/>
        </w:rPr>
        <w:t>vytitrovaní</w:t>
      </w:r>
      <w:proofErr w:type="spellEnd"/>
      <w:r w:rsidR="00D044EB" w:rsidRPr="00823BDC">
        <w:rPr>
          <w:szCs w:val="22"/>
        </w:rPr>
        <w:t xml:space="preserve"> dávky 10</w:t>
      </w:r>
      <w:r w:rsidR="00CE2355" w:rsidRPr="00823BDC">
        <w:rPr>
          <w:szCs w:val="22"/>
        </w:rPr>
        <w:t xml:space="preserve"> mg</w:t>
      </w:r>
      <w:r w:rsidR="00D044EB" w:rsidRPr="00823BDC">
        <w:rPr>
          <w:szCs w:val="22"/>
        </w:rPr>
        <w:t xml:space="preserve">/80 mg a potom periodicky (napr. polročne) počas prvého roku liečby. Osobitnú pozornosť treba venovať pacientom, u ktorých došlo k zvýšeniu hladín sérových </w:t>
      </w:r>
      <w:proofErr w:type="spellStart"/>
      <w:r w:rsidR="00D044EB" w:rsidRPr="00823BDC">
        <w:rPr>
          <w:szCs w:val="22"/>
        </w:rPr>
        <w:t>transamináz</w:t>
      </w:r>
      <w:proofErr w:type="spellEnd"/>
      <w:r w:rsidR="00D044EB" w:rsidRPr="00823BDC">
        <w:rPr>
          <w:szCs w:val="22"/>
        </w:rPr>
        <w:t xml:space="preserve">. U týchto pacientov sa majú vyšetrenia čo najskôr zopakovať a potom robiť častejšie. Ak hladiny </w:t>
      </w:r>
      <w:proofErr w:type="spellStart"/>
      <w:r w:rsidR="00D044EB" w:rsidRPr="00823BDC">
        <w:rPr>
          <w:szCs w:val="22"/>
        </w:rPr>
        <w:t>transamináz</w:t>
      </w:r>
      <w:proofErr w:type="spellEnd"/>
      <w:r w:rsidR="00D044EB" w:rsidRPr="00823BDC">
        <w:rPr>
          <w:szCs w:val="22"/>
        </w:rPr>
        <w:t xml:space="preserve"> prejavujú </w:t>
      </w:r>
      <w:r w:rsidR="00CE2355" w:rsidRPr="00823BDC">
        <w:rPr>
          <w:szCs w:val="22"/>
        </w:rPr>
        <w:t xml:space="preserve">náznaky </w:t>
      </w:r>
      <w:r w:rsidR="00D044EB" w:rsidRPr="00823BDC">
        <w:rPr>
          <w:szCs w:val="22"/>
        </w:rPr>
        <w:t>progresie, najmä ak vystúpia na 3</w:t>
      </w:r>
      <w:r w:rsidR="00D044EB" w:rsidRPr="00823BDC">
        <w:rPr>
          <w:szCs w:val="22"/>
        </w:rPr>
        <w:noBreakHyphen/>
        <w:t>násobok</w:t>
      </w:r>
      <w:r w:rsidR="003133B6" w:rsidRPr="00823BDC">
        <w:rPr>
          <w:szCs w:val="22"/>
        </w:rPr>
        <w:t xml:space="preserve"> </w:t>
      </w:r>
      <w:r w:rsidR="00D044EB" w:rsidRPr="00823BDC">
        <w:rPr>
          <w:szCs w:val="22"/>
        </w:rPr>
        <w:t>HHN a na tejto úrovni pretrvávajú, liek je nutné vysadiť.</w:t>
      </w:r>
      <w:r w:rsidR="00051A80" w:rsidRPr="00823BDC">
        <w:rPr>
          <w:szCs w:val="22"/>
        </w:rPr>
        <w:t xml:space="preserve"> </w:t>
      </w:r>
      <w:r w:rsidR="00CE2355" w:rsidRPr="00823BDC">
        <w:rPr>
          <w:szCs w:val="22"/>
        </w:rPr>
        <w:t>Je potrebné vziať do úvahy</w:t>
      </w:r>
      <w:r w:rsidR="00EF39DF" w:rsidRPr="00823BDC">
        <w:rPr>
          <w:szCs w:val="22"/>
        </w:rPr>
        <w:t xml:space="preserve">, že ALT sa môže vyplavovať zo svalu, preto zvyšovanie hladiny ALT s CK môže poukazovať na </w:t>
      </w:r>
      <w:proofErr w:type="spellStart"/>
      <w:r w:rsidR="00EF39DF" w:rsidRPr="00823BDC">
        <w:rPr>
          <w:szCs w:val="22"/>
        </w:rPr>
        <w:t>myopatiu</w:t>
      </w:r>
      <w:proofErr w:type="spellEnd"/>
      <w:r w:rsidR="00EF39DF" w:rsidRPr="00823BDC">
        <w:rPr>
          <w:szCs w:val="22"/>
        </w:rPr>
        <w:t xml:space="preserve"> (pozri </w:t>
      </w:r>
      <w:r w:rsidR="00763817" w:rsidRPr="00823BDC">
        <w:rPr>
          <w:szCs w:val="22"/>
        </w:rPr>
        <w:t>vyššie</w:t>
      </w:r>
      <w:r w:rsidR="00EF39DF" w:rsidRPr="00823BDC">
        <w:rPr>
          <w:szCs w:val="22"/>
        </w:rPr>
        <w:t xml:space="preserve"> </w:t>
      </w:r>
      <w:proofErr w:type="spellStart"/>
      <w:r w:rsidR="00EF39DF" w:rsidRPr="00823BDC">
        <w:rPr>
          <w:i/>
          <w:szCs w:val="22"/>
        </w:rPr>
        <w:t>Myopatia</w:t>
      </w:r>
      <w:proofErr w:type="spellEnd"/>
      <w:r w:rsidR="00EF39DF" w:rsidRPr="00823BDC">
        <w:rPr>
          <w:i/>
          <w:szCs w:val="22"/>
        </w:rPr>
        <w:t>/</w:t>
      </w:r>
      <w:proofErr w:type="spellStart"/>
      <w:r w:rsidR="00EF39DF" w:rsidRPr="00823BDC">
        <w:rPr>
          <w:i/>
          <w:szCs w:val="22"/>
        </w:rPr>
        <w:t>rabdomyolýza</w:t>
      </w:r>
      <w:proofErr w:type="spellEnd"/>
      <w:r w:rsidR="00EF39DF" w:rsidRPr="00823BDC">
        <w:rPr>
          <w:szCs w:val="22"/>
        </w:rPr>
        <w:t>).</w:t>
      </w:r>
    </w:p>
    <w:p w14:paraId="2536AF41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DEE08CF" w14:textId="77777777" w:rsidR="005456E1" w:rsidRPr="00823BDC" w:rsidRDefault="006D799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Po uvedení lieku na trh boli u pacientov užívajúcich </w:t>
      </w:r>
      <w:proofErr w:type="spellStart"/>
      <w:r w:rsidRPr="00823BDC">
        <w:rPr>
          <w:szCs w:val="22"/>
        </w:rPr>
        <w:t>statíny</w:t>
      </w:r>
      <w:proofErr w:type="spellEnd"/>
      <w:r w:rsidRPr="00823BDC">
        <w:rPr>
          <w:szCs w:val="22"/>
        </w:rPr>
        <w:t xml:space="preserve"> vrátane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zaznamenané zriedkavé hlásenia fatálneho a</w:t>
      </w:r>
      <w:r w:rsidR="00770B13" w:rsidRPr="00823BDC">
        <w:rPr>
          <w:szCs w:val="22"/>
        </w:rPr>
        <w:t> </w:t>
      </w:r>
      <w:r w:rsidRPr="00823BDC">
        <w:rPr>
          <w:szCs w:val="22"/>
        </w:rPr>
        <w:t>nefatálneho</w:t>
      </w:r>
      <w:r w:rsidR="00770B13" w:rsidRPr="00823BDC">
        <w:rPr>
          <w:szCs w:val="22"/>
        </w:rPr>
        <w:t xml:space="preserve"> </w:t>
      </w:r>
      <w:r w:rsidRPr="00823BDC">
        <w:rPr>
          <w:szCs w:val="22"/>
        </w:rPr>
        <w:t>zlyhania</w:t>
      </w:r>
      <w:r w:rsidR="00CE2355" w:rsidRPr="00823BDC">
        <w:rPr>
          <w:szCs w:val="22"/>
        </w:rPr>
        <w:t xml:space="preserve"> pečene</w:t>
      </w:r>
      <w:r w:rsidRPr="00823BDC">
        <w:rPr>
          <w:szCs w:val="22"/>
        </w:rPr>
        <w:t xml:space="preserve">. Ak sa počas liečby </w:t>
      </w:r>
      <w:proofErr w:type="spellStart"/>
      <w:r w:rsidR="000B2EFD" w:rsidRPr="00823BDC">
        <w:rPr>
          <w:szCs w:val="22"/>
        </w:rPr>
        <w:t>Cornusanom</w:t>
      </w:r>
      <w:proofErr w:type="spellEnd"/>
      <w:r w:rsidRPr="00823BDC">
        <w:rPr>
          <w:szCs w:val="22"/>
        </w:rPr>
        <w:t xml:space="preserve"> vyskytne závažné poškodenie</w:t>
      </w:r>
      <w:r w:rsidR="004B7C32" w:rsidRPr="00823BDC">
        <w:rPr>
          <w:szCs w:val="22"/>
        </w:rPr>
        <w:t xml:space="preserve"> </w:t>
      </w:r>
      <w:r w:rsidRPr="00823BDC">
        <w:rPr>
          <w:szCs w:val="22"/>
        </w:rPr>
        <w:t xml:space="preserve">pečene s klinickými symptómami a/alebo </w:t>
      </w:r>
      <w:proofErr w:type="spellStart"/>
      <w:r w:rsidRPr="00823BDC">
        <w:rPr>
          <w:szCs w:val="22"/>
        </w:rPr>
        <w:t>hyperbilirubinémia</w:t>
      </w:r>
      <w:proofErr w:type="spellEnd"/>
      <w:r w:rsidRPr="00823BDC">
        <w:rPr>
          <w:szCs w:val="22"/>
        </w:rPr>
        <w:t xml:space="preserve"> alebo žltačka, liečbu ihneď prerušte. </w:t>
      </w:r>
      <w:r w:rsidR="00770B13" w:rsidRPr="00823BDC">
        <w:rPr>
          <w:szCs w:val="22"/>
        </w:rPr>
        <w:t xml:space="preserve">Ak sa nezistí </w:t>
      </w:r>
      <w:r w:rsidR="00F27E17" w:rsidRPr="00823BDC">
        <w:rPr>
          <w:szCs w:val="22"/>
        </w:rPr>
        <w:t>iná</w:t>
      </w:r>
      <w:r w:rsidR="00770B13" w:rsidRPr="00823BDC">
        <w:rPr>
          <w:szCs w:val="22"/>
        </w:rPr>
        <w:t xml:space="preserve"> etiológia, liečbu </w:t>
      </w:r>
      <w:proofErr w:type="spellStart"/>
      <w:r w:rsidR="000B2EFD" w:rsidRPr="00823BDC">
        <w:rPr>
          <w:szCs w:val="22"/>
        </w:rPr>
        <w:t>Cornusanom</w:t>
      </w:r>
      <w:proofErr w:type="spellEnd"/>
      <w:r w:rsidR="00770B13" w:rsidRPr="00823BDC">
        <w:rPr>
          <w:szCs w:val="22"/>
        </w:rPr>
        <w:t xml:space="preserve"> znova nezačínajte.</w:t>
      </w:r>
    </w:p>
    <w:p w14:paraId="6FD4CFE1" w14:textId="77777777" w:rsidR="005456E1" w:rsidRPr="00823BDC" w:rsidRDefault="005456E1">
      <w:pPr>
        <w:adjustRightInd w:val="0"/>
        <w:snapToGrid w:val="0"/>
        <w:rPr>
          <w:szCs w:val="22"/>
        </w:rPr>
      </w:pPr>
    </w:p>
    <w:p w14:paraId="5237CD0B" w14:textId="77777777" w:rsidR="00D044EB" w:rsidRPr="00823BDC" w:rsidRDefault="000B2EFD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="00D044EB" w:rsidRPr="00823BDC">
        <w:rPr>
          <w:szCs w:val="22"/>
        </w:rPr>
        <w:t xml:space="preserve"> sa má používať s opatrnosťou u pacientov, ktorí konzumujú nadmerné množstvá alkoholu.</w:t>
      </w:r>
    </w:p>
    <w:p w14:paraId="41C204D3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B3FE6B9" w14:textId="77777777" w:rsidR="00D044EB" w:rsidRPr="00823BDC" w:rsidRDefault="00391FEB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Porucha funkcie pečene</w:t>
      </w:r>
    </w:p>
    <w:p w14:paraId="6D831967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V dôsledku neznámych účinkov zvýšenej expozície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u pacientov so</w:t>
      </w:r>
      <w:r w:rsidR="00391FEB" w:rsidRPr="00823BDC">
        <w:rPr>
          <w:szCs w:val="22"/>
        </w:rPr>
        <w:t xml:space="preserve"> </w:t>
      </w:r>
      <w:r w:rsidRPr="00823BDC">
        <w:rPr>
          <w:szCs w:val="22"/>
        </w:rPr>
        <w:t xml:space="preserve">stredne </w:t>
      </w:r>
      <w:r w:rsidR="002A1FF7" w:rsidRPr="00823BDC">
        <w:rPr>
          <w:szCs w:val="22"/>
        </w:rPr>
        <w:t xml:space="preserve">ťažkou </w:t>
      </w:r>
      <w:r w:rsidRPr="00823BDC">
        <w:rPr>
          <w:szCs w:val="22"/>
        </w:rPr>
        <w:t xml:space="preserve">alebo </w:t>
      </w:r>
      <w:r w:rsidR="002A1FF7" w:rsidRPr="00823BDC">
        <w:rPr>
          <w:szCs w:val="22"/>
        </w:rPr>
        <w:t xml:space="preserve">ťažkou </w:t>
      </w:r>
      <w:r w:rsidR="00391FEB" w:rsidRPr="00823BDC">
        <w:rPr>
          <w:szCs w:val="22"/>
        </w:rPr>
        <w:t>poruchou funkcie pečene</w:t>
      </w:r>
      <w:r w:rsidR="003224C2" w:rsidRPr="00823BDC">
        <w:rPr>
          <w:szCs w:val="22"/>
        </w:rPr>
        <w:t>,</w:t>
      </w:r>
      <w:r w:rsidRPr="00823BDC">
        <w:rPr>
          <w:szCs w:val="22"/>
        </w:rPr>
        <w:t xml:space="preserve"> sa </w:t>
      </w:r>
      <w:r w:rsidR="004C4656" w:rsidRPr="00823BDC">
        <w:rPr>
          <w:szCs w:val="22"/>
        </w:rPr>
        <w:t>im</w:t>
      </w:r>
      <w:r w:rsidRPr="00823BDC">
        <w:rPr>
          <w:szCs w:val="22"/>
        </w:rPr>
        <w:t xml:space="preserve"> </w:t>
      </w:r>
      <w:r w:rsidR="00CE2355" w:rsidRPr="00823BDC">
        <w:rPr>
          <w:szCs w:val="22"/>
        </w:rPr>
        <w:t xml:space="preserve">podávanie </w:t>
      </w:r>
      <w:proofErr w:type="spellStart"/>
      <w:r w:rsidR="004C4656" w:rsidRPr="00823BDC">
        <w:rPr>
          <w:szCs w:val="22"/>
        </w:rPr>
        <w:t>Cornusan</w:t>
      </w:r>
      <w:r w:rsidR="00CE2355" w:rsidRPr="00823BDC">
        <w:rPr>
          <w:szCs w:val="22"/>
        </w:rPr>
        <w:t>u</w:t>
      </w:r>
      <w:proofErr w:type="spellEnd"/>
      <w:r w:rsidRPr="00823BDC">
        <w:rPr>
          <w:szCs w:val="22"/>
        </w:rPr>
        <w:t xml:space="preserve"> neodporúča (pozri časť 5.2).</w:t>
      </w:r>
    </w:p>
    <w:p w14:paraId="59726839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15152A73" w14:textId="77777777" w:rsidR="00770B13" w:rsidRPr="00823BDC" w:rsidRDefault="00770B13">
      <w:pPr>
        <w:keepNext/>
        <w:widowControl w:val="0"/>
        <w:rPr>
          <w:bCs/>
          <w:szCs w:val="22"/>
          <w:u w:val="single"/>
        </w:rPr>
      </w:pPr>
      <w:r w:rsidRPr="00823BDC">
        <w:rPr>
          <w:bCs/>
          <w:szCs w:val="22"/>
          <w:u w:val="single"/>
        </w:rPr>
        <w:t>Diabetes mellitus</w:t>
      </w:r>
    </w:p>
    <w:p w14:paraId="680A4C26" w14:textId="72D55704" w:rsidR="00770B13" w:rsidRPr="00823BDC" w:rsidRDefault="00770B13">
      <w:pPr>
        <w:adjustRightInd w:val="0"/>
        <w:snapToGrid w:val="0"/>
        <w:rPr>
          <w:szCs w:val="22"/>
        </w:rPr>
      </w:pPr>
      <w:r w:rsidRPr="00823BDC">
        <w:rPr>
          <w:snapToGrid w:val="0"/>
          <w:szCs w:val="22"/>
        </w:rPr>
        <w:t xml:space="preserve">Niektoré dôkazy naznačujú, že </w:t>
      </w:r>
      <w:r w:rsidR="00CE2355" w:rsidRPr="00823BDC">
        <w:rPr>
          <w:snapToGrid w:val="0"/>
          <w:szCs w:val="22"/>
        </w:rPr>
        <w:t xml:space="preserve">skupinovým účinkom </w:t>
      </w:r>
      <w:proofErr w:type="spellStart"/>
      <w:r w:rsidR="00CE2355" w:rsidRPr="00823BDC">
        <w:rPr>
          <w:snapToGrid w:val="0"/>
          <w:szCs w:val="22"/>
        </w:rPr>
        <w:t>statínov</w:t>
      </w:r>
      <w:proofErr w:type="spellEnd"/>
      <w:r w:rsidR="00CE2355" w:rsidRPr="00823BDC">
        <w:rPr>
          <w:snapToGrid w:val="0"/>
          <w:szCs w:val="22"/>
        </w:rPr>
        <w:t xml:space="preserve"> je</w:t>
      </w:r>
      <w:r w:rsidRPr="00823BDC">
        <w:rPr>
          <w:snapToGrid w:val="0"/>
          <w:szCs w:val="22"/>
        </w:rPr>
        <w:t xml:space="preserve"> zvyš</w:t>
      </w:r>
      <w:r w:rsidR="00CE2355" w:rsidRPr="00823BDC">
        <w:rPr>
          <w:snapToGrid w:val="0"/>
          <w:szCs w:val="22"/>
        </w:rPr>
        <w:t>ovanie</w:t>
      </w:r>
      <w:r w:rsidRPr="00823BDC">
        <w:rPr>
          <w:snapToGrid w:val="0"/>
          <w:szCs w:val="22"/>
        </w:rPr>
        <w:t xml:space="preserve"> hladinu glukózy v krvi a u niektorých pacientov s vysokým rizikom vzniku diabetu môžu vyvolať </w:t>
      </w:r>
      <w:r w:rsidR="00CE2355" w:rsidRPr="00823BDC">
        <w:rPr>
          <w:snapToGrid w:val="0"/>
          <w:szCs w:val="22"/>
        </w:rPr>
        <w:t xml:space="preserve">takú </w:t>
      </w:r>
      <w:r w:rsidR="00C6422C" w:rsidRPr="00823BDC">
        <w:rPr>
          <w:snapToGrid w:val="0"/>
          <w:szCs w:val="22"/>
        </w:rPr>
        <w:t xml:space="preserve">úroveň </w:t>
      </w:r>
      <w:r w:rsidRPr="00823BDC">
        <w:rPr>
          <w:snapToGrid w:val="0"/>
          <w:szCs w:val="22"/>
        </w:rPr>
        <w:t>hyperglykémi</w:t>
      </w:r>
      <w:r w:rsidR="00C6422C" w:rsidRPr="00823BDC">
        <w:rPr>
          <w:snapToGrid w:val="0"/>
          <w:szCs w:val="22"/>
        </w:rPr>
        <w:t>e</w:t>
      </w:r>
      <w:r w:rsidRPr="00823BDC">
        <w:rPr>
          <w:snapToGrid w:val="0"/>
          <w:szCs w:val="22"/>
        </w:rPr>
        <w:t xml:space="preserve">, pri ktorej </w:t>
      </w:r>
      <w:r w:rsidR="00C6422C" w:rsidRPr="00823BDC">
        <w:rPr>
          <w:snapToGrid w:val="0"/>
          <w:szCs w:val="22"/>
        </w:rPr>
        <w:t>je</w:t>
      </w:r>
      <w:r w:rsidRPr="00823BDC">
        <w:rPr>
          <w:snapToGrid w:val="0"/>
          <w:szCs w:val="22"/>
        </w:rPr>
        <w:t xml:space="preserve"> potrebná štandardná liečba</w:t>
      </w:r>
      <w:r w:rsidR="00CE2355" w:rsidRPr="00823BDC">
        <w:rPr>
          <w:snapToGrid w:val="0"/>
          <w:szCs w:val="22"/>
        </w:rPr>
        <w:t xml:space="preserve"> diabetu</w:t>
      </w:r>
      <w:r w:rsidRPr="00823BDC">
        <w:rPr>
          <w:snapToGrid w:val="0"/>
          <w:szCs w:val="22"/>
        </w:rPr>
        <w:t xml:space="preserve">. Nad týmto rizikom však prevažuje zníženie vaskulárneho rizika </w:t>
      </w:r>
      <w:proofErr w:type="spellStart"/>
      <w:r w:rsidRPr="00823BDC">
        <w:rPr>
          <w:snapToGrid w:val="0"/>
          <w:szCs w:val="22"/>
        </w:rPr>
        <w:t>statínmi</w:t>
      </w:r>
      <w:proofErr w:type="spellEnd"/>
      <w:r w:rsidR="00C6422C" w:rsidRPr="00823BDC">
        <w:rPr>
          <w:snapToGrid w:val="0"/>
          <w:szCs w:val="22"/>
        </w:rPr>
        <w:t>,</w:t>
      </w:r>
      <w:r w:rsidRPr="00823BDC">
        <w:rPr>
          <w:snapToGrid w:val="0"/>
          <w:szCs w:val="22"/>
        </w:rPr>
        <w:t xml:space="preserve"> a preto nemá byť dôvodom </w:t>
      </w:r>
      <w:r w:rsidR="00A3342C" w:rsidRPr="00823BDC">
        <w:rPr>
          <w:snapToGrid w:val="0"/>
          <w:szCs w:val="22"/>
        </w:rPr>
        <w:t xml:space="preserve">na </w:t>
      </w:r>
      <w:r w:rsidRPr="00823BDC">
        <w:rPr>
          <w:snapToGrid w:val="0"/>
          <w:szCs w:val="22"/>
        </w:rPr>
        <w:t>ukončenie liečby</w:t>
      </w:r>
      <w:r w:rsidR="00C6422C" w:rsidRPr="00823BDC">
        <w:rPr>
          <w:snapToGrid w:val="0"/>
          <w:szCs w:val="22"/>
        </w:rPr>
        <w:t xml:space="preserve"> </w:t>
      </w:r>
      <w:proofErr w:type="spellStart"/>
      <w:r w:rsidR="00C6422C" w:rsidRPr="00823BDC">
        <w:rPr>
          <w:snapToGrid w:val="0"/>
          <w:szCs w:val="22"/>
        </w:rPr>
        <w:t>statínmi</w:t>
      </w:r>
      <w:proofErr w:type="spellEnd"/>
      <w:r w:rsidRPr="00823BDC">
        <w:rPr>
          <w:snapToGrid w:val="0"/>
          <w:szCs w:val="22"/>
        </w:rPr>
        <w:t xml:space="preserve">. </w:t>
      </w:r>
      <w:r w:rsidR="004C4656" w:rsidRPr="00823BDC">
        <w:rPr>
          <w:snapToGrid w:val="0"/>
          <w:szCs w:val="22"/>
        </w:rPr>
        <w:t>R</w:t>
      </w:r>
      <w:r w:rsidRPr="00823BDC">
        <w:rPr>
          <w:snapToGrid w:val="0"/>
          <w:szCs w:val="22"/>
        </w:rPr>
        <w:t>izikových pacientov (glykémia nalačno 5,6</w:t>
      </w:r>
      <w:r w:rsidR="004D074C" w:rsidRPr="00823BDC">
        <w:rPr>
          <w:snapToGrid w:val="0"/>
          <w:szCs w:val="22"/>
        </w:rPr>
        <w:t xml:space="preserve"> až </w:t>
      </w:r>
      <w:r w:rsidRPr="00823BDC">
        <w:rPr>
          <w:snapToGrid w:val="0"/>
          <w:szCs w:val="22"/>
        </w:rPr>
        <w:t>6,9 mmol/l, BMI &gt; 30 kg/m</w:t>
      </w:r>
      <w:r w:rsidRPr="00823BDC">
        <w:rPr>
          <w:snapToGrid w:val="0"/>
          <w:szCs w:val="22"/>
          <w:vertAlign w:val="superscript"/>
        </w:rPr>
        <w:t>2</w:t>
      </w:r>
      <w:r w:rsidRPr="00823BDC">
        <w:rPr>
          <w:snapToGrid w:val="0"/>
          <w:szCs w:val="22"/>
        </w:rPr>
        <w:t xml:space="preserve">, zvýšená hladina </w:t>
      </w:r>
      <w:r w:rsidRPr="00823BDC">
        <w:rPr>
          <w:snapToGrid w:val="0"/>
          <w:szCs w:val="22"/>
        </w:rPr>
        <w:lastRenderedPageBreak/>
        <w:t>tri</w:t>
      </w:r>
      <w:r w:rsidR="00CE2355" w:rsidRPr="00823BDC">
        <w:rPr>
          <w:snapToGrid w:val="0"/>
          <w:szCs w:val="22"/>
        </w:rPr>
        <w:t>acylglycerolov</w:t>
      </w:r>
      <w:r w:rsidRPr="00823BDC">
        <w:rPr>
          <w:snapToGrid w:val="0"/>
          <w:szCs w:val="22"/>
        </w:rPr>
        <w:t>, hypertenzia) je potrebné</w:t>
      </w:r>
      <w:r w:rsidR="004C4656" w:rsidRPr="00823BDC">
        <w:rPr>
          <w:snapToGrid w:val="0"/>
          <w:szCs w:val="22"/>
        </w:rPr>
        <w:t xml:space="preserve"> </w:t>
      </w:r>
      <w:r w:rsidRPr="00823BDC">
        <w:rPr>
          <w:snapToGrid w:val="0"/>
          <w:szCs w:val="22"/>
        </w:rPr>
        <w:t>klinick</w:t>
      </w:r>
      <w:r w:rsidR="004C4656" w:rsidRPr="00823BDC">
        <w:rPr>
          <w:snapToGrid w:val="0"/>
          <w:szCs w:val="22"/>
        </w:rPr>
        <w:t>y</w:t>
      </w:r>
      <w:r w:rsidRPr="00823BDC">
        <w:rPr>
          <w:snapToGrid w:val="0"/>
          <w:szCs w:val="22"/>
        </w:rPr>
        <w:t xml:space="preserve"> </w:t>
      </w:r>
      <w:r w:rsidR="004C4656" w:rsidRPr="00823BDC">
        <w:rPr>
          <w:snapToGrid w:val="0"/>
          <w:szCs w:val="22"/>
        </w:rPr>
        <w:t>a biochemicky monitorovať</w:t>
      </w:r>
      <w:r w:rsidRPr="00823BDC">
        <w:rPr>
          <w:snapToGrid w:val="0"/>
          <w:szCs w:val="22"/>
        </w:rPr>
        <w:t xml:space="preserve"> v súlade s </w:t>
      </w:r>
      <w:r w:rsidR="002A1FF7" w:rsidRPr="00823BDC">
        <w:rPr>
          <w:snapToGrid w:val="0"/>
          <w:szCs w:val="22"/>
        </w:rPr>
        <w:t xml:space="preserve">národnými </w:t>
      </w:r>
      <w:r w:rsidRPr="00823BDC">
        <w:rPr>
          <w:snapToGrid w:val="0"/>
          <w:szCs w:val="22"/>
        </w:rPr>
        <w:t>odporúčaniami.</w:t>
      </w:r>
    </w:p>
    <w:p w14:paraId="6E184DDB" w14:textId="77777777" w:rsidR="00770B13" w:rsidRPr="00823BDC" w:rsidRDefault="00770B13">
      <w:pPr>
        <w:adjustRightInd w:val="0"/>
        <w:snapToGrid w:val="0"/>
        <w:rPr>
          <w:szCs w:val="22"/>
          <w:u w:val="single"/>
        </w:rPr>
      </w:pPr>
    </w:p>
    <w:p w14:paraId="356FB4A8" w14:textId="77777777" w:rsidR="008E3AC8" w:rsidRPr="00823BDC" w:rsidRDefault="00A27A31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Pediatrick</w:t>
      </w:r>
      <w:r w:rsidR="00391FEB" w:rsidRPr="00823BDC">
        <w:rPr>
          <w:szCs w:val="22"/>
          <w:u w:val="single"/>
        </w:rPr>
        <w:t>á populácia</w:t>
      </w:r>
    </w:p>
    <w:p w14:paraId="197272AA" w14:textId="7D7824FE" w:rsidR="008E3AC8" w:rsidRPr="00823BDC" w:rsidRDefault="008E3AC8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Účinnosť a bezpečnosť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podávaného </w:t>
      </w:r>
      <w:r w:rsidR="00A3342C" w:rsidRPr="00823BDC">
        <w:rPr>
          <w:szCs w:val="22"/>
        </w:rPr>
        <w:t xml:space="preserve">súbežne </w:t>
      </w:r>
      <w:r w:rsidRPr="00823BDC">
        <w:rPr>
          <w:szCs w:val="22"/>
        </w:rPr>
        <w:t xml:space="preserve">so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paciento</w:t>
      </w:r>
      <w:r w:rsidR="004C4656" w:rsidRPr="00823BDC">
        <w:rPr>
          <w:szCs w:val="22"/>
        </w:rPr>
        <w:t>m</w:t>
      </w:r>
      <w:r w:rsidRPr="00823BDC">
        <w:rPr>
          <w:szCs w:val="22"/>
        </w:rPr>
        <w:t xml:space="preserve"> </w:t>
      </w:r>
      <w:r w:rsidR="00A3342C" w:rsidRPr="00823BDC">
        <w:rPr>
          <w:szCs w:val="22"/>
        </w:rPr>
        <w:t xml:space="preserve">vo veku 10 až 17 rokov </w:t>
      </w:r>
      <w:r w:rsidR="008E2569" w:rsidRPr="00823BDC">
        <w:rPr>
          <w:szCs w:val="22"/>
        </w:rPr>
        <w:t>s </w:t>
      </w:r>
      <w:proofErr w:type="spellStart"/>
      <w:r w:rsidR="008E2569" w:rsidRPr="00823BDC">
        <w:rPr>
          <w:szCs w:val="22"/>
        </w:rPr>
        <w:t>heterozygotnou</w:t>
      </w:r>
      <w:proofErr w:type="spellEnd"/>
      <w:r w:rsidR="008E2569" w:rsidRPr="00823BDC">
        <w:rPr>
          <w:szCs w:val="22"/>
        </w:rPr>
        <w:t xml:space="preserve"> familiárnou </w:t>
      </w:r>
      <w:proofErr w:type="spellStart"/>
      <w:r w:rsidR="008E2569" w:rsidRPr="00823BDC">
        <w:rPr>
          <w:szCs w:val="22"/>
        </w:rPr>
        <w:t>hypercholesterolémiou</w:t>
      </w:r>
      <w:proofErr w:type="spellEnd"/>
      <w:r w:rsidR="008E2569" w:rsidRPr="00823BDC">
        <w:rPr>
          <w:szCs w:val="22"/>
        </w:rPr>
        <w:t xml:space="preserve"> </w:t>
      </w:r>
      <w:r w:rsidR="00567A7A" w:rsidRPr="00823BDC">
        <w:rPr>
          <w:szCs w:val="22"/>
        </w:rPr>
        <w:t>sa hodnotili</w:t>
      </w:r>
      <w:r w:rsidRPr="00823BDC">
        <w:rPr>
          <w:szCs w:val="22"/>
        </w:rPr>
        <w:t xml:space="preserve"> v kontrolovan</w:t>
      </w:r>
      <w:r w:rsidR="004B7C32" w:rsidRPr="00823BDC">
        <w:rPr>
          <w:szCs w:val="22"/>
        </w:rPr>
        <w:t>om</w:t>
      </w:r>
      <w:r w:rsidRPr="00823BDC">
        <w:rPr>
          <w:szCs w:val="22"/>
        </w:rPr>
        <w:t xml:space="preserve"> klinick</w:t>
      </w:r>
      <w:r w:rsidR="004B7C32" w:rsidRPr="00823BDC">
        <w:rPr>
          <w:szCs w:val="22"/>
        </w:rPr>
        <w:t>om</w:t>
      </w:r>
      <w:r w:rsidRPr="00823BDC">
        <w:rPr>
          <w:szCs w:val="22"/>
        </w:rPr>
        <w:t xml:space="preserve"> </w:t>
      </w:r>
      <w:r w:rsidR="009B72C0" w:rsidRPr="00823BDC">
        <w:rPr>
          <w:szCs w:val="22"/>
        </w:rPr>
        <w:t>skúš</w:t>
      </w:r>
      <w:r w:rsidR="004B7C32" w:rsidRPr="00823BDC">
        <w:rPr>
          <w:szCs w:val="22"/>
        </w:rPr>
        <w:t>aní</w:t>
      </w:r>
      <w:r w:rsidRPr="00823BDC">
        <w:rPr>
          <w:szCs w:val="22"/>
        </w:rPr>
        <w:t xml:space="preserve"> u dospievajúci</w:t>
      </w:r>
      <w:r w:rsidR="00CA0737" w:rsidRPr="00823BDC">
        <w:rPr>
          <w:szCs w:val="22"/>
        </w:rPr>
        <w:t>c</w:t>
      </w:r>
      <w:r w:rsidRPr="00823BDC">
        <w:rPr>
          <w:szCs w:val="22"/>
        </w:rPr>
        <w:t xml:space="preserve">h chlapcov (II. </w:t>
      </w:r>
      <w:proofErr w:type="spellStart"/>
      <w:r w:rsidRPr="00823BDC">
        <w:rPr>
          <w:szCs w:val="22"/>
        </w:rPr>
        <w:t>Tannerovo</w:t>
      </w:r>
      <w:proofErr w:type="spellEnd"/>
      <w:r w:rsidRPr="00823BDC">
        <w:rPr>
          <w:szCs w:val="22"/>
        </w:rPr>
        <w:t xml:space="preserve"> štádium a</w:t>
      </w:r>
      <w:r w:rsidR="00A3342C" w:rsidRPr="00823BDC">
        <w:rPr>
          <w:szCs w:val="22"/>
        </w:rPr>
        <w:t xml:space="preserve">lebo </w:t>
      </w:r>
      <w:r w:rsidRPr="00823BDC">
        <w:rPr>
          <w:szCs w:val="22"/>
        </w:rPr>
        <w:t xml:space="preserve">vyššie) a u dievčat minimálne </w:t>
      </w:r>
      <w:r w:rsidR="00431182" w:rsidRPr="00823BDC">
        <w:rPr>
          <w:szCs w:val="22"/>
        </w:rPr>
        <w:t xml:space="preserve">1 </w:t>
      </w:r>
      <w:r w:rsidRPr="00823BDC">
        <w:rPr>
          <w:szCs w:val="22"/>
        </w:rPr>
        <w:t xml:space="preserve">rok po </w:t>
      </w:r>
      <w:proofErr w:type="spellStart"/>
      <w:r w:rsidRPr="00823BDC">
        <w:rPr>
          <w:szCs w:val="22"/>
        </w:rPr>
        <w:t>menarché</w:t>
      </w:r>
      <w:proofErr w:type="spellEnd"/>
      <w:r w:rsidRPr="00823BDC">
        <w:rPr>
          <w:szCs w:val="22"/>
        </w:rPr>
        <w:t>.</w:t>
      </w:r>
    </w:p>
    <w:p w14:paraId="56A5B13C" w14:textId="77777777" w:rsidR="008E3AC8" w:rsidRPr="00823BDC" w:rsidRDefault="008E3AC8">
      <w:pPr>
        <w:adjustRightInd w:val="0"/>
        <w:snapToGrid w:val="0"/>
        <w:rPr>
          <w:szCs w:val="22"/>
        </w:rPr>
      </w:pPr>
    </w:p>
    <w:p w14:paraId="2D8D1D98" w14:textId="77777777" w:rsidR="008E3AC8" w:rsidRPr="00823BDC" w:rsidRDefault="00D02C54">
      <w:pPr>
        <w:adjustRightInd w:val="0"/>
        <w:snapToGrid w:val="0"/>
        <w:rPr>
          <w:szCs w:val="22"/>
        </w:rPr>
      </w:pPr>
      <w:r w:rsidRPr="00823BDC">
        <w:rPr>
          <w:szCs w:val="22"/>
        </w:rPr>
        <w:t>V tejto limitovanej kontrolovanej štúdii</w:t>
      </w:r>
      <w:r w:rsidR="00DF6546" w:rsidRPr="00823BDC">
        <w:rPr>
          <w:szCs w:val="22"/>
        </w:rPr>
        <w:t xml:space="preserve"> </w:t>
      </w:r>
      <w:r w:rsidR="009A3759" w:rsidRPr="00823BDC">
        <w:rPr>
          <w:szCs w:val="22"/>
        </w:rPr>
        <w:t xml:space="preserve">sa vo všeobecnosti </w:t>
      </w:r>
      <w:r w:rsidR="00A931E8" w:rsidRPr="00823BDC">
        <w:rPr>
          <w:szCs w:val="22"/>
        </w:rPr>
        <w:t xml:space="preserve">nezaznamenal </w:t>
      </w:r>
      <w:r w:rsidR="00DE3556" w:rsidRPr="00823BDC">
        <w:rPr>
          <w:szCs w:val="22"/>
        </w:rPr>
        <w:t xml:space="preserve">žiadny </w:t>
      </w:r>
      <w:proofErr w:type="spellStart"/>
      <w:r w:rsidR="00DE3556" w:rsidRPr="00823BDC">
        <w:rPr>
          <w:szCs w:val="22"/>
        </w:rPr>
        <w:t>detegovateľný</w:t>
      </w:r>
      <w:proofErr w:type="spellEnd"/>
      <w:r w:rsidR="00DE3556" w:rsidRPr="00823BDC">
        <w:rPr>
          <w:szCs w:val="22"/>
        </w:rPr>
        <w:t xml:space="preserve"> účinok na rast alebo sexuálne dozrievanie</w:t>
      </w:r>
      <w:r w:rsidR="0083736D" w:rsidRPr="00823BDC">
        <w:rPr>
          <w:szCs w:val="22"/>
        </w:rPr>
        <w:t xml:space="preserve"> </w:t>
      </w:r>
      <w:r w:rsidR="008E2569" w:rsidRPr="00823BDC">
        <w:rPr>
          <w:szCs w:val="22"/>
        </w:rPr>
        <w:t>u dospievajúcich chlapcov alebo</w:t>
      </w:r>
      <w:r w:rsidR="00391FEB" w:rsidRPr="00823BDC">
        <w:rPr>
          <w:szCs w:val="22"/>
        </w:rPr>
        <w:t xml:space="preserve"> </w:t>
      </w:r>
      <w:r w:rsidR="008E2569" w:rsidRPr="00823BDC">
        <w:rPr>
          <w:szCs w:val="22"/>
        </w:rPr>
        <w:t xml:space="preserve">dievčat </w:t>
      </w:r>
      <w:r w:rsidR="0083736D" w:rsidRPr="00823BDC">
        <w:rPr>
          <w:szCs w:val="22"/>
        </w:rPr>
        <w:t xml:space="preserve">alebo akýkoľvek účinok na dĺžku menštruačného cyklu u dievčat. </w:t>
      </w:r>
      <w:r w:rsidR="003224C2" w:rsidRPr="00823BDC">
        <w:rPr>
          <w:szCs w:val="22"/>
        </w:rPr>
        <w:t>Ú</w:t>
      </w:r>
      <w:r w:rsidR="00DE3556" w:rsidRPr="00823BDC">
        <w:rPr>
          <w:szCs w:val="22"/>
        </w:rPr>
        <w:t xml:space="preserve">činky </w:t>
      </w:r>
      <w:proofErr w:type="spellStart"/>
      <w:r w:rsidR="00DE3556" w:rsidRPr="00823BDC">
        <w:rPr>
          <w:szCs w:val="22"/>
        </w:rPr>
        <w:t>ezetimibu</w:t>
      </w:r>
      <w:proofErr w:type="spellEnd"/>
      <w:r w:rsidR="00DE3556" w:rsidRPr="00823BDC">
        <w:rPr>
          <w:szCs w:val="22"/>
        </w:rPr>
        <w:t xml:space="preserve"> </w:t>
      </w:r>
      <w:r w:rsidR="00CA3941" w:rsidRPr="00823BDC">
        <w:rPr>
          <w:szCs w:val="22"/>
        </w:rPr>
        <w:t xml:space="preserve">na rast a sexuálne dozrievanie </w:t>
      </w:r>
      <w:r w:rsidR="00DE3556" w:rsidRPr="00823BDC">
        <w:rPr>
          <w:szCs w:val="22"/>
        </w:rPr>
        <w:t xml:space="preserve">počas </w:t>
      </w:r>
      <w:r w:rsidR="0083736D" w:rsidRPr="00823BDC">
        <w:rPr>
          <w:szCs w:val="22"/>
        </w:rPr>
        <w:t>l</w:t>
      </w:r>
      <w:r w:rsidR="002115EF" w:rsidRPr="00823BDC">
        <w:rPr>
          <w:szCs w:val="22"/>
        </w:rPr>
        <w:t xml:space="preserve">iečebného </w:t>
      </w:r>
      <w:r w:rsidR="00DE3556" w:rsidRPr="00823BDC">
        <w:rPr>
          <w:szCs w:val="22"/>
        </w:rPr>
        <w:t xml:space="preserve">obdobia &gt; 33 týždňov </w:t>
      </w:r>
      <w:r w:rsidR="008B6F4B" w:rsidRPr="00823BDC">
        <w:rPr>
          <w:szCs w:val="22"/>
        </w:rPr>
        <w:t xml:space="preserve">sa </w:t>
      </w:r>
      <w:r w:rsidR="003224C2" w:rsidRPr="00823BDC">
        <w:rPr>
          <w:szCs w:val="22"/>
        </w:rPr>
        <w:t xml:space="preserve">však </w:t>
      </w:r>
      <w:r w:rsidR="00DE3556" w:rsidRPr="00823BDC">
        <w:rPr>
          <w:szCs w:val="22"/>
        </w:rPr>
        <w:t>ne</w:t>
      </w:r>
      <w:r w:rsidR="00CA3941" w:rsidRPr="00823BDC">
        <w:rPr>
          <w:szCs w:val="22"/>
        </w:rPr>
        <w:t>študova</w:t>
      </w:r>
      <w:r w:rsidR="008B6F4B" w:rsidRPr="00823BDC">
        <w:rPr>
          <w:szCs w:val="22"/>
        </w:rPr>
        <w:t>li</w:t>
      </w:r>
      <w:r w:rsidR="00DE3556" w:rsidRPr="00823BDC">
        <w:rPr>
          <w:szCs w:val="22"/>
        </w:rPr>
        <w:t xml:space="preserve"> (pozri čas</w:t>
      </w:r>
      <w:r w:rsidR="00A27A31" w:rsidRPr="00823BDC">
        <w:rPr>
          <w:szCs w:val="22"/>
        </w:rPr>
        <w:t xml:space="preserve">ti </w:t>
      </w:r>
      <w:r w:rsidR="00DE3556" w:rsidRPr="00823BDC">
        <w:rPr>
          <w:szCs w:val="22"/>
        </w:rPr>
        <w:t>4.2 a 4.8).</w:t>
      </w:r>
    </w:p>
    <w:p w14:paraId="19B51F0C" w14:textId="77777777" w:rsidR="00A931E8" w:rsidRPr="00823BDC" w:rsidRDefault="00A931E8">
      <w:pPr>
        <w:adjustRightInd w:val="0"/>
        <w:snapToGrid w:val="0"/>
        <w:rPr>
          <w:szCs w:val="22"/>
        </w:rPr>
      </w:pPr>
    </w:p>
    <w:p w14:paraId="5474C622" w14:textId="77777777" w:rsidR="007B6A18" w:rsidRPr="00823BDC" w:rsidRDefault="007B6A18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Bezpečnosť a účinnosť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podávaného </w:t>
      </w:r>
      <w:r w:rsidR="00A3342C" w:rsidRPr="00823BDC">
        <w:rPr>
          <w:szCs w:val="22"/>
        </w:rPr>
        <w:t xml:space="preserve">súbežne </w:t>
      </w:r>
      <w:r w:rsidRPr="00823BDC">
        <w:rPr>
          <w:szCs w:val="22"/>
        </w:rPr>
        <w:t xml:space="preserve">so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v dávkach nad 40</w:t>
      </w:r>
      <w:r w:rsidR="00A84323" w:rsidRPr="00823BDC">
        <w:rPr>
          <w:szCs w:val="22"/>
        </w:rPr>
        <w:t> </w:t>
      </w:r>
      <w:r w:rsidRPr="00823BDC">
        <w:rPr>
          <w:szCs w:val="22"/>
        </w:rPr>
        <w:t xml:space="preserve">mg denne </w:t>
      </w:r>
      <w:r w:rsidR="00A3342C" w:rsidRPr="00823BDC">
        <w:rPr>
          <w:szCs w:val="22"/>
        </w:rPr>
        <w:t xml:space="preserve">sa </w:t>
      </w:r>
      <w:r w:rsidRPr="00823BDC">
        <w:rPr>
          <w:szCs w:val="22"/>
        </w:rPr>
        <w:t>u </w:t>
      </w:r>
      <w:r w:rsidR="004B7C32" w:rsidRPr="00823BDC">
        <w:rPr>
          <w:szCs w:val="22"/>
        </w:rPr>
        <w:t>pediatrických</w:t>
      </w:r>
      <w:r w:rsidRPr="00823BDC">
        <w:rPr>
          <w:szCs w:val="22"/>
        </w:rPr>
        <w:t xml:space="preserve"> pacientov vo veku 10 až 17 rokov</w:t>
      </w:r>
      <w:r w:rsidR="00CE6149" w:rsidRPr="00823BDC">
        <w:rPr>
          <w:szCs w:val="22"/>
        </w:rPr>
        <w:t xml:space="preserve"> </w:t>
      </w:r>
      <w:r w:rsidR="00A3342C" w:rsidRPr="00823BDC">
        <w:rPr>
          <w:szCs w:val="22"/>
        </w:rPr>
        <w:t>neštudovali</w:t>
      </w:r>
      <w:r w:rsidRPr="00823BDC">
        <w:rPr>
          <w:szCs w:val="22"/>
        </w:rPr>
        <w:t>.</w:t>
      </w:r>
    </w:p>
    <w:p w14:paraId="1EE1D7BA" w14:textId="77777777" w:rsidR="00A931E8" w:rsidRPr="00823BDC" w:rsidRDefault="00A931E8">
      <w:pPr>
        <w:adjustRightInd w:val="0"/>
        <w:snapToGrid w:val="0"/>
        <w:rPr>
          <w:szCs w:val="22"/>
        </w:rPr>
      </w:pPr>
    </w:p>
    <w:p w14:paraId="591DB816" w14:textId="21F73973" w:rsidR="008F2959" w:rsidRPr="00823BDC" w:rsidRDefault="008F2959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sa </w:t>
      </w:r>
      <w:r w:rsidR="00CE6149" w:rsidRPr="00823BDC">
        <w:rPr>
          <w:szCs w:val="22"/>
        </w:rPr>
        <w:t xml:space="preserve">neštudoval </w:t>
      </w:r>
      <w:r w:rsidRPr="00823BDC">
        <w:rPr>
          <w:szCs w:val="22"/>
        </w:rPr>
        <w:t xml:space="preserve">u pacientov mladších ako 10 rokov alebo u dievčat </w:t>
      </w:r>
      <w:r w:rsidR="00A931E8" w:rsidRPr="00823BDC">
        <w:rPr>
          <w:szCs w:val="22"/>
        </w:rPr>
        <w:t xml:space="preserve">pred </w:t>
      </w:r>
      <w:proofErr w:type="spellStart"/>
      <w:r w:rsidR="00A931E8" w:rsidRPr="00823BDC">
        <w:rPr>
          <w:szCs w:val="22"/>
        </w:rPr>
        <w:t>menarché</w:t>
      </w:r>
      <w:proofErr w:type="spellEnd"/>
      <w:r w:rsidR="00A931E8" w:rsidRPr="00823BDC">
        <w:rPr>
          <w:szCs w:val="22"/>
        </w:rPr>
        <w:t xml:space="preserve"> (</w:t>
      </w:r>
      <w:r w:rsidR="00723E73" w:rsidRPr="00823BDC">
        <w:rPr>
          <w:szCs w:val="22"/>
        </w:rPr>
        <w:t>p</w:t>
      </w:r>
      <w:r w:rsidR="00A931E8" w:rsidRPr="00823BDC">
        <w:rPr>
          <w:szCs w:val="22"/>
        </w:rPr>
        <w:t>ozri časti 4.2 a 4.8).</w:t>
      </w:r>
    </w:p>
    <w:p w14:paraId="642C02B3" w14:textId="77777777" w:rsidR="008F2959" w:rsidRPr="00823BDC" w:rsidRDefault="008F2959">
      <w:pPr>
        <w:adjustRightInd w:val="0"/>
        <w:snapToGrid w:val="0"/>
        <w:rPr>
          <w:szCs w:val="22"/>
        </w:rPr>
      </w:pPr>
    </w:p>
    <w:p w14:paraId="07707DA6" w14:textId="77777777" w:rsidR="008E3AC8" w:rsidRPr="00823BDC" w:rsidRDefault="007B6A18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Dlhodobá účinnosť liečby </w:t>
      </w:r>
      <w:proofErr w:type="spellStart"/>
      <w:r w:rsidRPr="00823BDC">
        <w:rPr>
          <w:szCs w:val="22"/>
        </w:rPr>
        <w:t>ezetimibom</w:t>
      </w:r>
      <w:proofErr w:type="spellEnd"/>
      <w:r w:rsidRPr="00823BDC">
        <w:rPr>
          <w:szCs w:val="22"/>
        </w:rPr>
        <w:t xml:space="preserve"> na </w:t>
      </w:r>
      <w:r w:rsidR="009B72C0" w:rsidRPr="00823BDC">
        <w:rPr>
          <w:szCs w:val="22"/>
        </w:rPr>
        <w:t xml:space="preserve">zníženie </w:t>
      </w:r>
      <w:r w:rsidRPr="00823BDC">
        <w:rPr>
          <w:szCs w:val="22"/>
        </w:rPr>
        <w:t>morbidit</w:t>
      </w:r>
      <w:r w:rsidR="009B72C0" w:rsidRPr="00823BDC">
        <w:rPr>
          <w:szCs w:val="22"/>
        </w:rPr>
        <w:t>y</w:t>
      </w:r>
      <w:r w:rsidRPr="00823BDC">
        <w:rPr>
          <w:szCs w:val="22"/>
        </w:rPr>
        <w:t xml:space="preserve"> a mortalit</w:t>
      </w:r>
      <w:r w:rsidR="009B72C0" w:rsidRPr="00823BDC">
        <w:rPr>
          <w:szCs w:val="22"/>
        </w:rPr>
        <w:t>y</w:t>
      </w:r>
      <w:r w:rsidRPr="00823BDC">
        <w:rPr>
          <w:szCs w:val="22"/>
        </w:rPr>
        <w:t xml:space="preserve"> v dospelosti </w:t>
      </w:r>
      <w:r w:rsidR="00CE6149" w:rsidRPr="00823BDC">
        <w:rPr>
          <w:szCs w:val="22"/>
        </w:rPr>
        <w:t>sa</w:t>
      </w:r>
      <w:r w:rsidRPr="00823BDC">
        <w:rPr>
          <w:szCs w:val="22"/>
        </w:rPr>
        <w:t xml:space="preserve"> u pacientov mladších ako 17 rokov </w:t>
      </w:r>
      <w:r w:rsidR="00CE6149" w:rsidRPr="00823BDC">
        <w:rPr>
          <w:szCs w:val="22"/>
        </w:rPr>
        <w:t>ne</w:t>
      </w:r>
      <w:r w:rsidRPr="00823BDC">
        <w:rPr>
          <w:szCs w:val="22"/>
        </w:rPr>
        <w:t>študova</w:t>
      </w:r>
      <w:r w:rsidR="00CE6149" w:rsidRPr="00823BDC">
        <w:rPr>
          <w:szCs w:val="22"/>
        </w:rPr>
        <w:t>la.</w:t>
      </w:r>
    </w:p>
    <w:p w14:paraId="0190FD02" w14:textId="77777777" w:rsidR="007B6A18" w:rsidRPr="00823BDC" w:rsidRDefault="007B6A18">
      <w:pPr>
        <w:adjustRightInd w:val="0"/>
        <w:snapToGrid w:val="0"/>
        <w:rPr>
          <w:szCs w:val="22"/>
        </w:rPr>
      </w:pPr>
    </w:p>
    <w:p w14:paraId="3246F5F1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szCs w:val="22"/>
          <w:u w:val="single"/>
        </w:rPr>
        <w:t>Fibráty</w:t>
      </w:r>
      <w:proofErr w:type="spellEnd"/>
    </w:p>
    <w:p w14:paraId="6755EB93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Bezpečnosť a účinnosť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podávaného s </w:t>
      </w:r>
      <w:proofErr w:type="spellStart"/>
      <w:r w:rsidRPr="00823BDC">
        <w:rPr>
          <w:szCs w:val="22"/>
        </w:rPr>
        <w:t>fibrátmi</w:t>
      </w:r>
      <w:proofErr w:type="spellEnd"/>
      <w:r w:rsidRPr="00823BDC">
        <w:rPr>
          <w:szCs w:val="22"/>
        </w:rPr>
        <w:t xml:space="preserve"> neboli stanovené (pozri </w:t>
      </w:r>
      <w:r w:rsidR="00121D00" w:rsidRPr="00823BDC">
        <w:rPr>
          <w:szCs w:val="22"/>
        </w:rPr>
        <w:t>vyššie a</w:t>
      </w:r>
      <w:r w:rsidR="00A27A31" w:rsidRPr="00823BDC">
        <w:rPr>
          <w:szCs w:val="22"/>
        </w:rPr>
        <w:t> </w:t>
      </w:r>
      <w:r w:rsidRPr="00823BDC">
        <w:rPr>
          <w:szCs w:val="22"/>
        </w:rPr>
        <w:t>čas</w:t>
      </w:r>
      <w:r w:rsidR="00121D00" w:rsidRPr="00823BDC">
        <w:rPr>
          <w:szCs w:val="22"/>
        </w:rPr>
        <w:t>ti</w:t>
      </w:r>
      <w:r w:rsidRPr="00823BDC">
        <w:rPr>
          <w:szCs w:val="22"/>
        </w:rPr>
        <w:t xml:space="preserve"> </w:t>
      </w:r>
      <w:r w:rsidR="00121D00" w:rsidRPr="00823BDC">
        <w:rPr>
          <w:szCs w:val="22"/>
        </w:rPr>
        <w:t>4.3 a</w:t>
      </w:r>
      <w:r w:rsidR="00A27A31" w:rsidRPr="00823BDC">
        <w:rPr>
          <w:szCs w:val="22"/>
        </w:rPr>
        <w:t> </w:t>
      </w:r>
      <w:r w:rsidRPr="00823BDC">
        <w:rPr>
          <w:szCs w:val="22"/>
        </w:rPr>
        <w:t>4.5).</w:t>
      </w:r>
    </w:p>
    <w:p w14:paraId="663B679D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1002E846" w14:textId="77777777" w:rsidR="00D044EB" w:rsidRPr="00823BDC" w:rsidRDefault="00D044EB">
      <w:pPr>
        <w:keepNext/>
        <w:adjustRightInd w:val="0"/>
        <w:snapToGrid w:val="0"/>
        <w:rPr>
          <w:bCs/>
          <w:iCs/>
          <w:szCs w:val="22"/>
          <w:u w:val="single"/>
        </w:rPr>
      </w:pPr>
      <w:proofErr w:type="spellStart"/>
      <w:r w:rsidRPr="00823BDC">
        <w:rPr>
          <w:bCs/>
          <w:iCs/>
          <w:szCs w:val="22"/>
          <w:u w:val="single"/>
        </w:rPr>
        <w:t>Antikoagulanciá</w:t>
      </w:r>
      <w:proofErr w:type="spellEnd"/>
    </w:p>
    <w:p w14:paraId="5A959108" w14:textId="77777777" w:rsidR="00D044EB" w:rsidRPr="00823BDC" w:rsidRDefault="00D044EB">
      <w:pPr>
        <w:adjustRightInd w:val="0"/>
        <w:snapToGrid w:val="0"/>
        <w:rPr>
          <w:iCs/>
          <w:szCs w:val="22"/>
        </w:rPr>
      </w:pPr>
      <w:r w:rsidRPr="00823BDC">
        <w:rPr>
          <w:iCs/>
          <w:szCs w:val="22"/>
        </w:rPr>
        <w:t xml:space="preserve">Ak je </w:t>
      </w:r>
      <w:proofErr w:type="spellStart"/>
      <w:r w:rsidR="004C4656" w:rsidRPr="00823BDC">
        <w:rPr>
          <w:iCs/>
          <w:szCs w:val="22"/>
        </w:rPr>
        <w:t>Cornusan</w:t>
      </w:r>
      <w:proofErr w:type="spellEnd"/>
      <w:r w:rsidRPr="00823BDC">
        <w:rPr>
          <w:iCs/>
          <w:szCs w:val="22"/>
        </w:rPr>
        <w:t xml:space="preserve"> pridaný k </w:t>
      </w:r>
      <w:proofErr w:type="spellStart"/>
      <w:r w:rsidRPr="00823BDC">
        <w:rPr>
          <w:iCs/>
          <w:szCs w:val="22"/>
        </w:rPr>
        <w:t>warfarínu</w:t>
      </w:r>
      <w:proofErr w:type="spellEnd"/>
      <w:r w:rsidRPr="00823BDC">
        <w:rPr>
          <w:iCs/>
          <w:szCs w:val="22"/>
        </w:rPr>
        <w:t xml:space="preserve">, k inému </w:t>
      </w:r>
      <w:proofErr w:type="spellStart"/>
      <w:r w:rsidRPr="00823BDC">
        <w:rPr>
          <w:iCs/>
          <w:szCs w:val="22"/>
        </w:rPr>
        <w:t>kumarínovému</w:t>
      </w:r>
      <w:proofErr w:type="spellEnd"/>
      <w:r w:rsidRPr="00823BDC">
        <w:rPr>
          <w:iCs/>
          <w:szCs w:val="22"/>
        </w:rPr>
        <w:t xml:space="preserve"> </w:t>
      </w:r>
      <w:proofErr w:type="spellStart"/>
      <w:r w:rsidRPr="00823BDC">
        <w:rPr>
          <w:iCs/>
          <w:szCs w:val="22"/>
        </w:rPr>
        <w:t>antikoagulan</w:t>
      </w:r>
      <w:r w:rsidR="00CE2355" w:rsidRPr="00823BDC">
        <w:rPr>
          <w:iCs/>
          <w:szCs w:val="22"/>
        </w:rPr>
        <w:t>ciu</w:t>
      </w:r>
      <w:proofErr w:type="spellEnd"/>
      <w:r w:rsidRPr="00823BDC">
        <w:rPr>
          <w:iCs/>
          <w:szCs w:val="22"/>
        </w:rPr>
        <w:t xml:space="preserve"> alebo k </w:t>
      </w:r>
      <w:proofErr w:type="spellStart"/>
      <w:r w:rsidRPr="00823BDC">
        <w:rPr>
          <w:iCs/>
          <w:szCs w:val="22"/>
        </w:rPr>
        <w:t>fluindiónu</w:t>
      </w:r>
      <w:proofErr w:type="spellEnd"/>
      <w:r w:rsidRPr="00823BDC">
        <w:rPr>
          <w:iCs/>
          <w:szCs w:val="22"/>
        </w:rPr>
        <w:t xml:space="preserve">, </w:t>
      </w:r>
      <w:r w:rsidR="00A3342C" w:rsidRPr="00823BDC">
        <w:rPr>
          <w:iCs/>
          <w:szCs w:val="22"/>
        </w:rPr>
        <w:t xml:space="preserve">je potrebné </w:t>
      </w:r>
      <w:r w:rsidRPr="00823BDC">
        <w:rPr>
          <w:iCs/>
          <w:szCs w:val="22"/>
        </w:rPr>
        <w:t xml:space="preserve">náležite </w:t>
      </w:r>
      <w:r w:rsidR="009B72C0" w:rsidRPr="00823BDC">
        <w:rPr>
          <w:iCs/>
          <w:szCs w:val="22"/>
        </w:rPr>
        <w:t>sledovať</w:t>
      </w:r>
      <w:r w:rsidRPr="00823BDC">
        <w:rPr>
          <w:iCs/>
          <w:szCs w:val="22"/>
        </w:rPr>
        <w:t xml:space="preserve"> medzinárodný normalizovaný pomer (International </w:t>
      </w:r>
      <w:proofErr w:type="spellStart"/>
      <w:r w:rsidRPr="00823BDC">
        <w:rPr>
          <w:iCs/>
          <w:szCs w:val="22"/>
        </w:rPr>
        <w:t>Normalised</w:t>
      </w:r>
      <w:proofErr w:type="spellEnd"/>
      <w:r w:rsidRPr="00823BDC">
        <w:rPr>
          <w:iCs/>
          <w:szCs w:val="22"/>
        </w:rPr>
        <w:t xml:space="preserve"> </w:t>
      </w:r>
      <w:proofErr w:type="spellStart"/>
      <w:r w:rsidRPr="00823BDC">
        <w:rPr>
          <w:iCs/>
          <w:szCs w:val="22"/>
        </w:rPr>
        <w:t>Ratio</w:t>
      </w:r>
      <w:proofErr w:type="spellEnd"/>
      <w:r w:rsidRPr="00823BDC">
        <w:rPr>
          <w:iCs/>
          <w:szCs w:val="22"/>
        </w:rPr>
        <w:t>, INR) (pozri časť 4.5).</w:t>
      </w:r>
    </w:p>
    <w:p w14:paraId="36E9C450" w14:textId="77777777" w:rsidR="009778E3" w:rsidRPr="00823BDC" w:rsidRDefault="009778E3">
      <w:pPr>
        <w:adjustRightInd w:val="0"/>
        <w:snapToGrid w:val="0"/>
        <w:rPr>
          <w:szCs w:val="22"/>
        </w:rPr>
      </w:pPr>
    </w:p>
    <w:p w14:paraId="411CF3D3" w14:textId="77777777" w:rsidR="009778E3" w:rsidRPr="00823BDC" w:rsidRDefault="009778E3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szCs w:val="22"/>
          <w:u w:val="single"/>
        </w:rPr>
        <w:t>Intersticiálne</w:t>
      </w:r>
      <w:proofErr w:type="spellEnd"/>
      <w:r w:rsidRPr="00823BDC">
        <w:rPr>
          <w:szCs w:val="22"/>
          <w:u w:val="single"/>
        </w:rPr>
        <w:t xml:space="preserve"> ochorenie pľúc</w:t>
      </w:r>
    </w:p>
    <w:p w14:paraId="0EC2B96D" w14:textId="77777777" w:rsidR="009778E3" w:rsidRPr="00823BDC" w:rsidRDefault="009778E3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Pri užívaní </w:t>
      </w:r>
      <w:r w:rsidR="00A3342C" w:rsidRPr="00823BDC">
        <w:rPr>
          <w:szCs w:val="22"/>
        </w:rPr>
        <w:t xml:space="preserve">niektorých </w:t>
      </w:r>
      <w:proofErr w:type="spellStart"/>
      <w:r w:rsidRPr="00823BDC">
        <w:rPr>
          <w:szCs w:val="22"/>
        </w:rPr>
        <w:t>statínov</w:t>
      </w:r>
      <w:proofErr w:type="spellEnd"/>
      <w:r w:rsidR="003F2250" w:rsidRPr="00823BDC">
        <w:rPr>
          <w:szCs w:val="22"/>
        </w:rPr>
        <w:t xml:space="preserve"> vrátane </w:t>
      </w:r>
      <w:proofErr w:type="spellStart"/>
      <w:r w:rsidR="003F2250"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, hlavne pri dlhodobej liečbe, boli hlásené prípady </w:t>
      </w:r>
      <w:proofErr w:type="spellStart"/>
      <w:r w:rsidRPr="00823BDC">
        <w:rPr>
          <w:szCs w:val="22"/>
        </w:rPr>
        <w:t>intersticiálneho</w:t>
      </w:r>
      <w:proofErr w:type="spellEnd"/>
      <w:r w:rsidRPr="00823BDC">
        <w:rPr>
          <w:szCs w:val="22"/>
        </w:rPr>
        <w:t xml:space="preserve"> ochorenia pľúc (pozri časť 4.8). </w:t>
      </w:r>
      <w:r w:rsidR="003224C2" w:rsidRPr="00823BDC">
        <w:rPr>
          <w:szCs w:val="22"/>
        </w:rPr>
        <w:t>Prejavy môžu zahŕňať</w:t>
      </w:r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dyspnoe</w:t>
      </w:r>
      <w:proofErr w:type="spellEnd"/>
      <w:r w:rsidRPr="00823BDC">
        <w:rPr>
          <w:szCs w:val="22"/>
        </w:rPr>
        <w:t>,</w:t>
      </w:r>
      <w:r w:rsidR="009B72C0" w:rsidRPr="00823BDC">
        <w:rPr>
          <w:szCs w:val="22"/>
        </w:rPr>
        <w:t xml:space="preserve"> </w:t>
      </w:r>
      <w:r w:rsidRPr="00823BDC">
        <w:rPr>
          <w:szCs w:val="22"/>
        </w:rPr>
        <w:t xml:space="preserve">neproduktívny kašeľ a zhoršenie </w:t>
      </w:r>
      <w:r w:rsidR="009B72C0" w:rsidRPr="00823BDC">
        <w:rPr>
          <w:szCs w:val="22"/>
        </w:rPr>
        <w:t xml:space="preserve">celkového </w:t>
      </w:r>
      <w:r w:rsidRPr="00823BDC">
        <w:rPr>
          <w:szCs w:val="22"/>
        </w:rPr>
        <w:t>zdravotného stavu (únava, chudnutie</w:t>
      </w:r>
      <w:r w:rsidR="00A27A31" w:rsidRPr="00823BDC">
        <w:rPr>
          <w:szCs w:val="22"/>
        </w:rPr>
        <w:t xml:space="preserve"> a </w:t>
      </w:r>
      <w:r w:rsidRPr="00823BDC">
        <w:rPr>
          <w:szCs w:val="22"/>
        </w:rPr>
        <w:t xml:space="preserve">horúčka). Ak je podozrenie, že sa u pacienta </w:t>
      </w:r>
      <w:r w:rsidR="009B72C0" w:rsidRPr="00823BDC">
        <w:rPr>
          <w:szCs w:val="22"/>
        </w:rPr>
        <w:t>objavilo</w:t>
      </w:r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intersticiálne</w:t>
      </w:r>
      <w:proofErr w:type="spellEnd"/>
      <w:r w:rsidRPr="00823BDC">
        <w:rPr>
          <w:szCs w:val="22"/>
        </w:rPr>
        <w:t xml:space="preserve"> ochorenie pľúc, </w:t>
      </w:r>
      <w:r w:rsidR="009B72C0" w:rsidRPr="00823BDC">
        <w:rPr>
          <w:szCs w:val="22"/>
        </w:rPr>
        <w:t>liečb</w:t>
      </w:r>
      <w:r w:rsidR="002A1FF7" w:rsidRPr="00823BDC">
        <w:rPr>
          <w:szCs w:val="22"/>
        </w:rPr>
        <w:t>a</w:t>
      </w:r>
      <w:r w:rsidRPr="00823BDC">
        <w:rPr>
          <w:szCs w:val="22"/>
        </w:rPr>
        <w:t xml:space="preserve"> </w:t>
      </w:r>
      <w:proofErr w:type="spellStart"/>
      <w:r w:rsidR="004C4656" w:rsidRPr="00823BDC">
        <w:rPr>
          <w:szCs w:val="22"/>
        </w:rPr>
        <w:t>Cornusanom</w:t>
      </w:r>
      <w:proofErr w:type="spellEnd"/>
      <w:r w:rsidRPr="00823BDC">
        <w:rPr>
          <w:szCs w:val="22"/>
        </w:rPr>
        <w:t xml:space="preserve"> </w:t>
      </w:r>
      <w:r w:rsidR="007F692D" w:rsidRPr="00823BDC">
        <w:rPr>
          <w:szCs w:val="22"/>
        </w:rPr>
        <w:t>sa má</w:t>
      </w:r>
      <w:r w:rsidRPr="00823BDC">
        <w:rPr>
          <w:szCs w:val="22"/>
        </w:rPr>
        <w:t xml:space="preserve"> prerušiť.</w:t>
      </w:r>
    </w:p>
    <w:p w14:paraId="5F5040EB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24D76BA9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bCs/>
          <w:szCs w:val="22"/>
          <w:u w:val="single"/>
        </w:rPr>
        <w:t>Pomocná látka</w:t>
      </w:r>
    </w:p>
    <w:p w14:paraId="774A08A2" w14:textId="77777777" w:rsidR="001C7E56" w:rsidRPr="00823BDC" w:rsidRDefault="001D77FC">
      <w:pPr>
        <w:rPr>
          <w:szCs w:val="22"/>
          <w:lang w:eastAsia="cs-CZ"/>
        </w:rPr>
      </w:pPr>
      <w:r w:rsidRPr="00823BDC">
        <w:rPr>
          <w:szCs w:val="22"/>
        </w:rPr>
        <w:t xml:space="preserve">Tento liek obsahuje laktózu </w:t>
      </w:r>
      <w:r w:rsidR="00CE2355" w:rsidRPr="00823BDC">
        <w:rPr>
          <w:szCs w:val="22"/>
        </w:rPr>
        <w:t>(</w:t>
      </w:r>
      <w:r w:rsidRPr="00823BDC">
        <w:rPr>
          <w:szCs w:val="22"/>
        </w:rPr>
        <w:t>ako monohydrát</w:t>
      </w:r>
      <w:r w:rsidR="00CE2355" w:rsidRPr="00823BDC">
        <w:rPr>
          <w:szCs w:val="22"/>
        </w:rPr>
        <w:t>)</w:t>
      </w:r>
      <w:r w:rsidRPr="00823BDC">
        <w:rPr>
          <w:szCs w:val="22"/>
        </w:rPr>
        <w:t xml:space="preserve">. </w:t>
      </w:r>
      <w:r w:rsidR="00D044EB" w:rsidRPr="00823BDC">
        <w:rPr>
          <w:szCs w:val="22"/>
        </w:rPr>
        <w:t>Pacienti so</w:t>
      </w:r>
      <w:r w:rsidR="001B5E64" w:rsidRPr="00823BDC">
        <w:rPr>
          <w:szCs w:val="22"/>
        </w:rPr>
        <w:t xml:space="preserve"> </w:t>
      </w:r>
      <w:r w:rsidR="00D044EB" w:rsidRPr="00823BDC">
        <w:rPr>
          <w:szCs w:val="22"/>
        </w:rPr>
        <w:t xml:space="preserve">zriedkavými dedičnými problémami </w:t>
      </w:r>
      <w:proofErr w:type="spellStart"/>
      <w:r w:rsidR="00D044EB" w:rsidRPr="00823BDC">
        <w:rPr>
          <w:szCs w:val="22"/>
        </w:rPr>
        <w:t>galaktózovej</w:t>
      </w:r>
      <w:proofErr w:type="spellEnd"/>
      <w:r w:rsidR="00D044EB" w:rsidRPr="00823BDC">
        <w:rPr>
          <w:szCs w:val="22"/>
        </w:rPr>
        <w:t xml:space="preserve"> intolerancie,</w:t>
      </w:r>
      <w:r w:rsidRPr="00823BDC">
        <w:rPr>
          <w:szCs w:val="22"/>
        </w:rPr>
        <w:t xml:space="preserve"> celkovým</w:t>
      </w:r>
      <w:r w:rsidR="00D044EB" w:rsidRPr="00823BDC">
        <w:rPr>
          <w:szCs w:val="22"/>
        </w:rPr>
        <w:t xml:space="preserve"> </w:t>
      </w:r>
      <w:r w:rsidR="009B72C0" w:rsidRPr="00823BDC">
        <w:rPr>
          <w:szCs w:val="22"/>
        </w:rPr>
        <w:t>deficit</w:t>
      </w:r>
      <w:r w:rsidRPr="00823BDC">
        <w:rPr>
          <w:szCs w:val="22"/>
        </w:rPr>
        <w:t>om</w:t>
      </w:r>
      <w:r w:rsidR="009B72C0" w:rsidRPr="00823BDC">
        <w:rPr>
          <w:szCs w:val="22"/>
        </w:rPr>
        <w:t xml:space="preserve"> </w:t>
      </w:r>
      <w:proofErr w:type="spellStart"/>
      <w:r w:rsidR="00D044EB" w:rsidRPr="00823BDC">
        <w:rPr>
          <w:szCs w:val="22"/>
        </w:rPr>
        <w:t>laktáz</w:t>
      </w:r>
      <w:r w:rsidR="009B72C0" w:rsidRPr="00823BDC">
        <w:rPr>
          <w:szCs w:val="22"/>
        </w:rPr>
        <w:t>y</w:t>
      </w:r>
      <w:proofErr w:type="spellEnd"/>
      <w:r w:rsidR="00D044EB" w:rsidRPr="00823BDC">
        <w:rPr>
          <w:szCs w:val="22"/>
        </w:rPr>
        <w:t xml:space="preserve"> alebo </w:t>
      </w:r>
      <w:proofErr w:type="spellStart"/>
      <w:r w:rsidR="00D044EB" w:rsidRPr="00823BDC">
        <w:rPr>
          <w:szCs w:val="22"/>
        </w:rPr>
        <w:t>glukózo</w:t>
      </w:r>
      <w:r w:rsidR="00D044EB" w:rsidRPr="00823BDC">
        <w:rPr>
          <w:szCs w:val="22"/>
        </w:rPr>
        <w:noBreakHyphen/>
        <w:t>galaktózov</w:t>
      </w:r>
      <w:r w:rsidR="00CE2355" w:rsidRPr="00823BDC">
        <w:rPr>
          <w:szCs w:val="22"/>
        </w:rPr>
        <w:t>ou</w:t>
      </w:r>
      <w:proofErr w:type="spellEnd"/>
      <w:r w:rsidR="00D044EB" w:rsidRPr="00823BDC">
        <w:rPr>
          <w:szCs w:val="22"/>
        </w:rPr>
        <w:t xml:space="preserve"> </w:t>
      </w:r>
      <w:proofErr w:type="spellStart"/>
      <w:r w:rsidR="00D044EB" w:rsidRPr="00823BDC">
        <w:rPr>
          <w:szCs w:val="22"/>
        </w:rPr>
        <w:t>malabsorpci</w:t>
      </w:r>
      <w:r w:rsidR="00CE2355" w:rsidRPr="00823BDC">
        <w:rPr>
          <w:szCs w:val="22"/>
        </w:rPr>
        <w:t>ou</w:t>
      </w:r>
      <w:proofErr w:type="spellEnd"/>
      <w:r w:rsidR="00D044EB" w:rsidRPr="00823BDC">
        <w:rPr>
          <w:szCs w:val="22"/>
        </w:rPr>
        <w:t xml:space="preserve"> ne</w:t>
      </w:r>
      <w:r w:rsidR="009B72C0" w:rsidRPr="00823BDC">
        <w:rPr>
          <w:szCs w:val="22"/>
        </w:rPr>
        <w:t>smú</w:t>
      </w:r>
      <w:r w:rsidR="00D044EB" w:rsidRPr="00823BDC">
        <w:rPr>
          <w:szCs w:val="22"/>
        </w:rPr>
        <w:t xml:space="preserve"> užívať tento liek.</w:t>
      </w:r>
      <w:r w:rsidR="001C7E56" w:rsidRPr="00823BDC">
        <w:rPr>
          <w:szCs w:val="22"/>
          <w:lang w:eastAsia="cs-CZ"/>
        </w:rPr>
        <w:t xml:space="preserve"> </w:t>
      </w:r>
    </w:p>
    <w:p w14:paraId="4B590EDB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29BC1A0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4.5</w:t>
      </w:r>
      <w:r w:rsidRPr="00823BDC">
        <w:rPr>
          <w:b/>
          <w:szCs w:val="22"/>
        </w:rPr>
        <w:tab/>
        <w:t>Liekové a iné interakcie</w:t>
      </w:r>
    </w:p>
    <w:p w14:paraId="1C5FD757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23D4F1A2" w14:textId="6E1D298D" w:rsidR="00E536E8" w:rsidRPr="00823BDC" w:rsidRDefault="00E536E8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K potenciálnym interakciám s inhibítormi </w:t>
      </w:r>
      <w:r w:rsidR="00B726B5">
        <w:rPr>
          <w:szCs w:val="22"/>
        </w:rPr>
        <w:t>HMG-</w:t>
      </w:r>
      <w:proofErr w:type="spellStart"/>
      <w:r w:rsidR="00B726B5">
        <w:rPr>
          <w:szCs w:val="22"/>
        </w:rPr>
        <w:t>CoA</w:t>
      </w:r>
      <w:proofErr w:type="spellEnd"/>
      <w:r w:rsidR="005D4CC3" w:rsidRPr="00823BDC">
        <w:rPr>
          <w:szCs w:val="22"/>
        </w:rPr>
        <w:t>-</w:t>
      </w:r>
      <w:proofErr w:type="spellStart"/>
      <w:r w:rsidRPr="00823BDC">
        <w:rPr>
          <w:szCs w:val="22"/>
        </w:rPr>
        <w:t>reduktázy</w:t>
      </w:r>
      <w:proofErr w:type="spellEnd"/>
      <w:r w:rsidRPr="00823BDC">
        <w:rPr>
          <w:szCs w:val="22"/>
        </w:rPr>
        <w:t xml:space="preserve"> môžu prispievať viaceré mechanizmy. Lieky alebo rastlinné </w:t>
      </w:r>
      <w:r w:rsidR="000A25EB" w:rsidRPr="00823BDC">
        <w:rPr>
          <w:szCs w:val="22"/>
        </w:rPr>
        <w:t>lieky</w:t>
      </w:r>
      <w:r w:rsidRPr="00823BDC">
        <w:rPr>
          <w:szCs w:val="22"/>
        </w:rPr>
        <w:t xml:space="preserve">, ktoré inhibujú určité enzýmy (napr. CYP3A4) a/alebo transportné </w:t>
      </w:r>
      <w:r w:rsidR="001D77FC" w:rsidRPr="00823BDC">
        <w:rPr>
          <w:szCs w:val="22"/>
        </w:rPr>
        <w:t>dráhy</w:t>
      </w:r>
      <w:r w:rsidRPr="00823BDC">
        <w:rPr>
          <w:szCs w:val="22"/>
        </w:rPr>
        <w:t xml:space="preserve"> (napr. OATP1B), môžu zvyšovať koncentrácie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a kyseliny </w:t>
      </w:r>
      <w:proofErr w:type="spellStart"/>
      <w:r w:rsidRPr="00823BDC">
        <w:rPr>
          <w:szCs w:val="22"/>
        </w:rPr>
        <w:t>simvastatínovej</w:t>
      </w:r>
      <w:proofErr w:type="spellEnd"/>
      <w:r w:rsidRPr="00823BDC">
        <w:rPr>
          <w:szCs w:val="22"/>
        </w:rPr>
        <w:t xml:space="preserve"> v plazme a môžu viesť k zvýšenému riziku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>/</w:t>
      </w:r>
      <w:proofErr w:type="spellStart"/>
      <w:r w:rsidRPr="00823BDC">
        <w:rPr>
          <w:szCs w:val="22"/>
        </w:rPr>
        <w:t>rabdomyolýzy</w:t>
      </w:r>
      <w:proofErr w:type="spellEnd"/>
      <w:r w:rsidRPr="00823BDC">
        <w:rPr>
          <w:szCs w:val="22"/>
        </w:rPr>
        <w:t>.</w:t>
      </w:r>
    </w:p>
    <w:p w14:paraId="3B46A334" w14:textId="77777777" w:rsidR="00E536E8" w:rsidRPr="00823BDC" w:rsidRDefault="00E536E8">
      <w:pPr>
        <w:adjustRightInd w:val="0"/>
        <w:snapToGrid w:val="0"/>
        <w:rPr>
          <w:szCs w:val="22"/>
        </w:rPr>
      </w:pPr>
    </w:p>
    <w:p w14:paraId="1FEFC315" w14:textId="77777777" w:rsidR="00E536E8" w:rsidRPr="00823BDC" w:rsidRDefault="00E536E8">
      <w:pPr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Pre</w:t>
      </w:r>
      <w:r w:rsidR="00DD4293" w:rsidRPr="00823BDC">
        <w:rPr>
          <w:b/>
          <w:szCs w:val="22"/>
        </w:rPr>
        <w:t xml:space="preserve"> ďalšie</w:t>
      </w:r>
      <w:r w:rsidRPr="00823BDC">
        <w:rPr>
          <w:b/>
          <w:szCs w:val="22"/>
        </w:rPr>
        <w:t xml:space="preserve"> informácie ohľad</w:t>
      </w:r>
      <w:r w:rsidR="000A25EB" w:rsidRPr="00823BDC">
        <w:rPr>
          <w:b/>
          <w:szCs w:val="22"/>
        </w:rPr>
        <w:t>om</w:t>
      </w:r>
      <w:r w:rsidRPr="00823BDC">
        <w:rPr>
          <w:b/>
          <w:szCs w:val="22"/>
        </w:rPr>
        <w:t xml:space="preserve"> možných interakcií so </w:t>
      </w:r>
      <w:proofErr w:type="spellStart"/>
      <w:r w:rsidRPr="00823BDC">
        <w:rPr>
          <w:b/>
          <w:szCs w:val="22"/>
        </w:rPr>
        <w:t>simvastatínom</w:t>
      </w:r>
      <w:proofErr w:type="spellEnd"/>
      <w:r w:rsidRPr="00823BDC">
        <w:rPr>
          <w:b/>
          <w:szCs w:val="22"/>
        </w:rPr>
        <w:t xml:space="preserve"> a/alebo možnom vplyve na zmeny enzýmov a</w:t>
      </w:r>
      <w:r w:rsidR="00DD4293" w:rsidRPr="00823BDC">
        <w:rPr>
          <w:b/>
          <w:szCs w:val="22"/>
        </w:rPr>
        <w:t xml:space="preserve">lebo </w:t>
      </w:r>
      <w:r w:rsidRPr="00823BDC">
        <w:rPr>
          <w:b/>
          <w:szCs w:val="22"/>
        </w:rPr>
        <w:t>transportných proteínov a možných úpravách dávky a liečebných režimov si pozrite informácie o predpisovaní všetkých súbežne užívaných liekov.</w:t>
      </w:r>
    </w:p>
    <w:p w14:paraId="4C1BB127" w14:textId="77777777" w:rsidR="00E536E8" w:rsidRPr="00823BDC" w:rsidRDefault="00E536E8">
      <w:pPr>
        <w:adjustRightInd w:val="0"/>
        <w:snapToGrid w:val="0"/>
        <w:rPr>
          <w:szCs w:val="22"/>
        </w:rPr>
      </w:pPr>
    </w:p>
    <w:p w14:paraId="5D680BAB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szCs w:val="22"/>
          <w:u w:val="single"/>
        </w:rPr>
        <w:lastRenderedPageBreak/>
        <w:t>Farmakodynamické</w:t>
      </w:r>
      <w:proofErr w:type="spellEnd"/>
      <w:r w:rsidRPr="00823BDC">
        <w:rPr>
          <w:szCs w:val="22"/>
          <w:u w:val="single"/>
        </w:rPr>
        <w:t xml:space="preserve"> interakcie</w:t>
      </w:r>
    </w:p>
    <w:p w14:paraId="7B948B8A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0CBA26F8" w14:textId="77777777" w:rsidR="00D044EB" w:rsidRPr="00823BDC" w:rsidRDefault="00D044EB">
      <w:pPr>
        <w:keepNext/>
        <w:adjustRightInd w:val="0"/>
        <w:snapToGrid w:val="0"/>
        <w:rPr>
          <w:i/>
          <w:szCs w:val="22"/>
          <w:u w:val="single"/>
        </w:rPr>
      </w:pPr>
      <w:r w:rsidRPr="00823BDC">
        <w:rPr>
          <w:i/>
          <w:szCs w:val="22"/>
          <w:u w:val="single"/>
        </w:rPr>
        <w:t xml:space="preserve">Interakcie s liekmi znižujúcimi lipidy, ktoré môžu spôsobiť </w:t>
      </w:r>
      <w:proofErr w:type="spellStart"/>
      <w:r w:rsidRPr="00823BDC">
        <w:rPr>
          <w:i/>
          <w:szCs w:val="22"/>
          <w:u w:val="single"/>
        </w:rPr>
        <w:t>myopatiu</w:t>
      </w:r>
      <w:proofErr w:type="spellEnd"/>
      <w:r w:rsidRPr="00823BDC">
        <w:rPr>
          <w:i/>
          <w:szCs w:val="22"/>
          <w:u w:val="single"/>
        </w:rPr>
        <w:t xml:space="preserve">, </w:t>
      </w:r>
      <w:r w:rsidR="000A25EB" w:rsidRPr="00823BDC">
        <w:rPr>
          <w:i/>
          <w:szCs w:val="22"/>
          <w:u w:val="single"/>
        </w:rPr>
        <w:t>ak</w:t>
      </w:r>
      <w:r w:rsidRPr="00823BDC">
        <w:rPr>
          <w:i/>
          <w:szCs w:val="22"/>
          <w:u w:val="single"/>
        </w:rPr>
        <w:t xml:space="preserve"> sa podávajú samostatne</w:t>
      </w:r>
    </w:p>
    <w:p w14:paraId="5C75B90E" w14:textId="77777777" w:rsidR="00D044EB" w:rsidRPr="00823BDC" w:rsidRDefault="00315AA1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Počas súbežného podávania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s </w:t>
      </w:r>
      <w:proofErr w:type="spellStart"/>
      <w:r w:rsidRPr="00823BDC">
        <w:rPr>
          <w:szCs w:val="22"/>
        </w:rPr>
        <w:t>fibrátmi</w:t>
      </w:r>
      <w:proofErr w:type="spellEnd"/>
      <w:r w:rsidRPr="00823BDC">
        <w:rPr>
          <w:szCs w:val="22"/>
        </w:rPr>
        <w:t xml:space="preserve"> je zvýšené r</w:t>
      </w:r>
      <w:r w:rsidR="00D044EB" w:rsidRPr="00823BDC">
        <w:rPr>
          <w:szCs w:val="22"/>
        </w:rPr>
        <w:t xml:space="preserve">iziko </w:t>
      </w:r>
      <w:proofErr w:type="spellStart"/>
      <w:r w:rsidR="00D044EB" w:rsidRPr="00823BDC">
        <w:rPr>
          <w:szCs w:val="22"/>
        </w:rPr>
        <w:t>myopatie</w:t>
      </w:r>
      <w:proofErr w:type="spellEnd"/>
      <w:r w:rsidR="00D044EB" w:rsidRPr="00823BDC">
        <w:rPr>
          <w:szCs w:val="22"/>
        </w:rPr>
        <w:t xml:space="preserve"> vrátane </w:t>
      </w:r>
      <w:proofErr w:type="spellStart"/>
      <w:r w:rsidR="00D044EB" w:rsidRPr="00823BDC">
        <w:rPr>
          <w:szCs w:val="22"/>
        </w:rPr>
        <w:t>rabdomyolýzy</w:t>
      </w:r>
      <w:proofErr w:type="spellEnd"/>
      <w:r w:rsidR="00D044EB" w:rsidRPr="00823BDC">
        <w:rPr>
          <w:szCs w:val="22"/>
        </w:rPr>
        <w:t xml:space="preserve">. Okrem toho </w:t>
      </w:r>
      <w:r w:rsidR="009B72C0" w:rsidRPr="00823BDC">
        <w:rPr>
          <w:szCs w:val="22"/>
        </w:rPr>
        <w:t xml:space="preserve">existuje </w:t>
      </w:r>
      <w:proofErr w:type="spellStart"/>
      <w:r w:rsidR="00D044EB" w:rsidRPr="00823BDC">
        <w:rPr>
          <w:szCs w:val="22"/>
        </w:rPr>
        <w:t>farmakokinetická</w:t>
      </w:r>
      <w:proofErr w:type="spellEnd"/>
      <w:r w:rsidR="00D044EB" w:rsidRPr="00823BDC">
        <w:rPr>
          <w:szCs w:val="22"/>
        </w:rPr>
        <w:t xml:space="preserve"> interakcia </w:t>
      </w:r>
      <w:proofErr w:type="spellStart"/>
      <w:r w:rsidR="00D044EB" w:rsidRPr="00823BDC">
        <w:rPr>
          <w:szCs w:val="22"/>
        </w:rPr>
        <w:t>simvastatínu</w:t>
      </w:r>
      <w:proofErr w:type="spellEnd"/>
      <w:r w:rsidR="00D044EB" w:rsidRPr="00823BDC">
        <w:rPr>
          <w:szCs w:val="22"/>
        </w:rPr>
        <w:t xml:space="preserve"> s</w:t>
      </w:r>
      <w:r w:rsidR="009B72C0" w:rsidRPr="00823BDC">
        <w:rPr>
          <w:szCs w:val="22"/>
        </w:rPr>
        <w:t> </w:t>
      </w:r>
      <w:proofErr w:type="spellStart"/>
      <w:r w:rsidR="00D044EB" w:rsidRPr="00823BDC">
        <w:rPr>
          <w:szCs w:val="22"/>
        </w:rPr>
        <w:t>gemfibrozilom</w:t>
      </w:r>
      <w:proofErr w:type="spellEnd"/>
      <w:r w:rsidR="009B72C0" w:rsidRPr="00823BDC">
        <w:rPr>
          <w:szCs w:val="22"/>
        </w:rPr>
        <w:t>, ktorá</w:t>
      </w:r>
      <w:r w:rsidR="00D044EB" w:rsidRPr="00823BDC">
        <w:rPr>
          <w:szCs w:val="22"/>
        </w:rPr>
        <w:t xml:space="preserve"> vedie k zvýšeným plazmatickým hladinám </w:t>
      </w:r>
      <w:proofErr w:type="spellStart"/>
      <w:r w:rsidR="00D044EB" w:rsidRPr="00823BDC">
        <w:rPr>
          <w:szCs w:val="22"/>
        </w:rPr>
        <w:t>simvastatínu</w:t>
      </w:r>
      <w:proofErr w:type="spellEnd"/>
      <w:r w:rsidR="00D044EB" w:rsidRPr="00823BDC">
        <w:rPr>
          <w:szCs w:val="22"/>
        </w:rPr>
        <w:t xml:space="preserve"> (pozri nižšie </w:t>
      </w:r>
      <w:r w:rsidR="00A43EAA" w:rsidRPr="00823BDC">
        <w:rPr>
          <w:szCs w:val="22"/>
        </w:rPr>
        <w:t>„</w:t>
      </w:r>
      <w:proofErr w:type="spellStart"/>
      <w:r w:rsidR="00D044EB" w:rsidRPr="00823BDC">
        <w:rPr>
          <w:szCs w:val="22"/>
        </w:rPr>
        <w:t>Farmakokinetické</w:t>
      </w:r>
      <w:proofErr w:type="spellEnd"/>
      <w:r w:rsidR="00D044EB" w:rsidRPr="00823BDC">
        <w:rPr>
          <w:szCs w:val="22"/>
        </w:rPr>
        <w:t xml:space="preserve"> interakcie</w:t>
      </w:r>
      <w:r w:rsidR="00A43EAA" w:rsidRPr="00823BDC">
        <w:rPr>
          <w:szCs w:val="22"/>
        </w:rPr>
        <w:t>“</w:t>
      </w:r>
      <w:r w:rsidR="00272CA6" w:rsidRPr="00823BDC">
        <w:rPr>
          <w:szCs w:val="22"/>
        </w:rPr>
        <w:t xml:space="preserve"> a časti 4.3 a 4.4</w:t>
      </w:r>
      <w:r w:rsidR="00D044EB" w:rsidRPr="00823BDC">
        <w:rPr>
          <w:szCs w:val="22"/>
        </w:rPr>
        <w:t>).</w:t>
      </w:r>
      <w:r w:rsidRPr="00823BDC">
        <w:rPr>
          <w:szCs w:val="22"/>
        </w:rPr>
        <w:t xml:space="preserve"> </w:t>
      </w:r>
      <w:r w:rsidRPr="00823BDC">
        <w:rPr>
          <w:color w:val="000000"/>
          <w:szCs w:val="22"/>
        </w:rPr>
        <w:t xml:space="preserve">So </w:t>
      </w:r>
      <w:proofErr w:type="spellStart"/>
      <w:r w:rsidRPr="00823BDC">
        <w:rPr>
          <w:color w:val="000000"/>
          <w:szCs w:val="22"/>
        </w:rPr>
        <w:t>simvastatínom</w:t>
      </w:r>
      <w:proofErr w:type="spellEnd"/>
      <w:r w:rsidRPr="00823BDC">
        <w:rPr>
          <w:color w:val="000000"/>
          <w:szCs w:val="22"/>
        </w:rPr>
        <w:t xml:space="preserve"> podávaným súbežne s kyselinou nikotínovou v dávkach upravujúcich lipidy (≥</w:t>
      </w:r>
      <w:r w:rsidR="009B72C0" w:rsidRPr="00823BDC">
        <w:rPr>
          <w:color w:val="000000"/>
          <w:szCs w:val="22"/>
        </w:rPr>
        <w:t> </w:t>
      </w:r>
      <w:r w:rsidRPr="00823BDC">
        <w:rPr>
          <w:color w:val="000000"/>
          <w:szCs w:val="22"/>
        </w:rPr>
        <w:t>1</w:t>
      </w:r>
      <w:r w:rsidRPr="00823BDC">
        <w:rPr>
          <w:color w:val="000000"/>
          <w:szCs w:val="22"/>
          <w:lang w:bidi="th-TH"/>
        </w:rPr>
        <w:t> g</w:t>
      </w:r>
      <w:r w:rsidRPr="00823BDC">
        <w:rPr>
          <w:color w:val="000000"/>
          <w:szCs w:val="22"/>
        </w:rPr>
        <w:t xml:space="preserve">/deň) boli spojené zriedkavé prípady </w:t>
      </w:r>
      <w:proofErr w:type="spellStart"/>
      <w:r w:rsidRPr="00823BDC">
        <w:rPr>
          <w:color w:val="000000"/>
          <w:szCs w:val="22"/>
        </w:rPr>
        <w:t>myopatie</w:t>
      </w:r>
      <w:proofErr w:type="spellEnd"/>
      <w:r w:rsidRPr="00823BDC">
        <w:rPr>
          <w:color w:val="000000"/>
          <w:szCs w:val="22"/>
        </w:rPr>
        <w:t>/</w:t>
      </w:r>
      <w:proofErr w:type="spellStart"/>
      <w:r w:rsidRPr="00823BDC">
        <w:rPr>
          <w:color w:val="000000"/>
          <w:szCs w:val="22"/>
        </w:rPr>
        <w:t>rabdomyolýzy</w:t>
      </w:r>
      <w:proofErr w:type="spellEnd"/>
      <w:r w:rsidRPr="00823BDC">
        <w:rPr>
          <w:color w:val="000000"/>
          <w:szCs w:val="22"/>
        </w:rPr>
        <w:t xml:space="preserve"> (pozri časť 4.4).</w:t>
      </w:r>
    </w:p>
    <w:p w14:paraId="2B493A6F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35380D4" w14:textId="77777777" w:rsidR="00D044EB" w:rsidRPr="00823BDC" w:rsidRDefault="00D044EB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Fibráty</w:t>
      </w:r>
      <w:proofErr w:type="spellEnd"/>
      <w:r w:rsidRPr="00823BDC">
        <w:rPr>
          <w:szCs w:val="22"/>
        </w:rPr>
        <w:t xml:space="preserve"> môžu zvýšiť vylučovanie cholesterolu do žlče, čo vedie k </w:t>
      </w:r>
      <w:proofErr w:type="spellStart"/>
      <w:r w:rsidRPr="00823BDC">
        <w:rPr>
          <w:szCs w:val="22"/>
        </w:rPr>
        <w:t>cholelitiáze</w:t>
      </w:r>
      <w:proofErr w:type="spellEnd"/>
      <w:r w:rsidRPr="00823BDC">
        <w:rPr>
          <w:szCs w:val="22"/>
        </w:rPr>
        <w:t xml:space="preserve">. V predklinickej štúdii na psoch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zvýšil </w:t>
      </w:r>
      <w:r w:rsidR="009B72C0" w:rsidRPr="00823BDC">
        <w:rPr>
          <w:szCs w:val="22"/>
        </w:rPr>
        <w:t xml:space="preserve">hladinu </w:t>
      </w:r>
      <w:r w:rsidRPr="00823BDC">
        <w:rPr>
          <w:szCs w:val="22"/>
        </w:rPr>
        <w:t>cholesterol</w:t>
      </w:r>
      <w:r w:rsidR="00DB63A3" w:rsidRPr="00823BDC">
        <w:rPr>
          <w:szCs w:val="22"/>
        </w:rPr>
        <w:t>u</w:t>
      </w:r>
      <w:r w:rsidRPr="00823BDC">
        <w:rPr>
          <w:szCs w:val="22"/>
        </w:rPr>
        <w:t xml:space="preserve"> v žlčníkovej žlči (pozri časť 5.3). Hoci význam tohto predklinického zistenia pre ľudí nie je známy, súbežné podávanie </w:t>
      </w:r>
      <w:proofErr w:type="spellStart"/>
      <w:r w:rsidR="00F172EB" w:rsidRPr="00823BDC">
        <w:rPr>
          <w:szCs w:val="22"/>
        </w:rPr>
        <w:t>Cornusanu</w:t>
      </w:r>
      <w:proofErr w:type="spellEnd"/>
      <w:r w:rsidRPr="00823BDC">
        <w:rPr>
          <w:szCs w:val="22"/>
        </w:rPr>
        <w:t xml:space="preserve"> s </w:t>
      </w:r>
      <w:proofErr w:type="spellStart"/>
      <w:r w:rsidRPr="00823BDC">
        <w:rPr>
          <w:szCs w:val="22"/>
        </w:rPr>
        <w:t>fibrátmi</w:t>
      </w:r>
      <w:proofErr w:type="spellEnd"/>
      <w:r w:rsidRPr="00823BDC">
        <w:rPr>
          <w:szCs w:val="22"/>
        </w:rPr>
        <w:t xml:space="preserve"> sa neodporúča (pozri časť 4.4).</w:t>
      </w:r>
    </w:p>
    <w:p w14:paraId="258209F4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08C48D51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szCs w:val="22"/>
          <w:u w:val="single"/>
        </w:rPr>
        <w:t>Farmakokinetické</w:t>
      </w:r>
      <w:proofErr w:type="spellEnd"/>
      <w:r w:rsidRPr="00823BDC">
        <w:rPr>
          <w:szCs w:val="22"/>
          <w:u w:val="single"/>
        </w:rPr>
        <w:t xml:space="preserve"> interakcie</w:t>
      </w:r>
    </w:p>
    <w:p w14:paraId="776E0E53" w14:textId="77777777" w:rsidR="00D044EB" w:rsidRPr="00823BDC" w:rsidRDefault="00D044EB">
      <w:pPr>
        <w:keepNext/>
        <w:adjustRightInd w:val="0"/>
        <w:snapToGrid w:val="0"/>
        <w:rPr>
          <w:i/>
          <w:szCs w:val="22"/>
          <w:u w:val="single"/>
        </w:rPr>
      </w:pPr>
    </w:p>
    <w:p w14:paraId="5428854E" w14:textId="77777777" w:rsidR="00D044EB" w:rsidRPr="00823BDC" w:rsidRDefault="00D044EB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Preskripčné</w:t>
      </w:r>
      <w:proofErr w:type="spellEnd"/>
      <w:r w:rsidRPr="00823BDC">
        <w:rPr>
          <w:szCs w:val="22"/>
        </w:rPr>
        <w:t xml:space="preserve"> odporúčania pre </w:t>
      </w:r>
      <w:proofErr w:type="spellStart"/>
      <w:r w:rsidRPr="00823BDC">
        <w:rPr>
          <w:szCs w:val="22"/>
        </w:rPr>
        <w:t>interagujúce</w:t>
      </w:r>
      <w:proofErr w:type="spellEnd"/>
      <w:r w:rsidRPr="00823BDC">
        <w:rPr>
          <w:szCs w:val="22"/>
        </w:rPr>
        <w:t xml:space="preserve"> l</w:t>
      </w:r>
      <w:r w:rsidR="009B72C0" w:rsidRPr="00823BDC">
        <w:rPr>
          <w:szCs w:val="22"/>
        </w:rPr>
        <w:t xml:space="preserve">iečivá </w:t>
      </w:r>
      <w:r w:rsidRPr="00823BDC">
        <w:rPr>
          <w:szCs w:val="22"/>
        </w:rPr>
        <w:t>sú zosumarizované v tabuľke uvedenej nižšie (ďalšie detaily sú uvedené v texte, pozri tiež časti 4.2, 4.3 a 4.4).</w:t>
      </w:r>
    </w:p>
    <w:p w14:paraId="318EE49E" w14:textId="232EEB16" w:rsidR="00516B93" w:rsidRPr="00823BDC" w:rsidRDefault="00516B93">
      <w:pPr>
        <w:adjustRightInd w:val="0"/>
        <w:snapToGrid w:val="0"/>
        <w:rPr>
          <w:szCs w:val="22"/>
        </w:rPr>
      </w:pPr>
    </w:p>
    <w:p w14:paraId="6509FA6D" w14:textId="6D8A951F" w:rsidR="00A43EAA" w:rsidRDefault="00516B93" w:rsidP="00A6540D">
      <w:pPr>
        <w:keepNext/>
        <w:adjustRightInd w:val="0"/>
        <w:snapToGrid w:val="0"/>
        <w:jc w:val="center"/>
        <w:rPr>
          <w:b/>
          <w:szCs w:val="22"/>
        </w:rPr>
      </w:pPr>
      <w:r w:rsidRPr="00823BDC">
        <w:rPr>
          <w:b/>
          <w:szCs w:val="22"/>
        </w:rPr>
        <w:t>Liekové interakcie spojené so</w:t>
      </w:r>
      <w:r w:rsidR="00033D69" w:rsidRPr="00823BDC">
        <w:rPr>
          <w:b/>
          <w:szCs w:val="22"/>
        </w:rPr>
        <w:t xml:space="preserve"> </w:t>
      </w:r>
      <w:r w:rsidRPr="00823BDC">
        <w:rPr>
          <w:b/>
          <w:szCs w:val="22"/>
        </w:rPr>
        <w:t>zvýšeným</w:t>
      </w:r>
      <w:r w:rsidR="00A43EAA" w:rsidRPr="00823BDC">
        <w:rPr>
          <w:b/>
          <w:szCs w:val="22"/>
        </w:rPr>
        <w:t xml:space="preserve"> </w:t>
      </w:r>
      <w:r w:rsidRPr="00823BDC">
        <w:rPr>
          <w:b/>
          <w:szCs w:val="22"/>
        </w:rPr>
        <w:t xml:space="preserve">rizikom </w:t>
      </w:r>
      <w:proofErr w:type="spellStart"/>
      <w:r w:rsidRPr="00823BDC">
        <w:rPr>
          <w:b/>
          <w:szCs w:val="22"/>
        </w:rPr>
        <w:t>myopatie</w:t>
      </w:r>
      <w:proofErr w:type="spellEnd"/>
      <w:r w:rsidRPr="00823BDC">
        <w:rPr>
          <w:b/>
          <w:szCs w:val="22"/>
        </w:rPr>
        <w:t>/</w:t>
      </w:r>
      <w:proofErr w:type="spellStart"/>
      <w:r w:rsidRPr="00823BDC">
        <w:rPr>
          <w:b/>
          <w:szCs w:val="22"/>
        </w:rPr>
        <w:t>rabdomyolýzy</w:t>
      </w:r>
      <w:proofErr w:type="spellEnd"/>
    </w:p>
    <w:p w14:paraId="1E2473BF" w14:textId="77777777" w:rsidR="001D33A1" w:rsidRPr="00CD10F1" w:rsidRDefault="001D33A1" w:rsidP="00A6540D">
      <w:pPr>
        <w:keepNext/>
        <w:adjustRightInd w:val="0"/>
        <w:snapToGrid w:val="0"/>
        <w:jc w:val="center"/>
        <w:rPr>
          <w:b/>
          <w:szCs w:val="22"/>
        </w:rPr>
      </w:pPr>
    </w:p>
    <w:tbl>
      <w:tblPr>
        <w:tblStyle w:val="Mriekatabuky"/>
        <w:tblW w:w="8359" w:type="dxa"/>
        <w:tblLook w:val="04A0" w:firstRow="1" w:lastRow="0" w:firstColumn="1" w:lastColumn="0" w:noHBand="0" w:noVBand="1"/>
      </w:tblPr>
      <w:tblGrid>
        <w:gridCol w:w="4106"/>
        <w:gridCol w:w="4253"/>
      </w:tblGrid>
      <w:tr w:rsidR="001D33A1" w14:paraId="6A3F780A" w14:textId="77777777" w:rsidTr="000F6A9C">
        <w:trPr>
          <w:cantSplit/>
          <w:tblHeader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7B74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proofErr w:type="spellStart"/>
            <w:r>
              <w:rPr>
                <w:b/>
                <w:szCs w:val="22"/>
              </w:rPr>
              <w:t>Interagujúce</w:t>
            </w:r>
            <w:proofErr w:type="spellEnd"/>
            <w:r>
              <w:rPr>
                <w:b/>
                <w:szCs w:val="22"/>
              </w:rPr>
              <w:t xml:space="preserve"> liečivá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D447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proofErr w:type="spellStart"/>
            <w:r>
              <w:rPr>
                <w:b/>
                <w:szCs w:val="22"/>
              </w:rPr>
              <w:t>Preskripčné</w:t>
            </w:r>
            <w:proofErr w:type="spellEnd"/>
            <w:r>
              <w:rPr>
                <w:b/>
                <w:szCs w:val="22"/>
              </w:rPr>
              <w:t xml:space="preserve"> odporúčania</w:t>
            </w:r>
          </w:p>
        </w:tc>
      </w:tr>
      <w:tr w:rsidR="001D33A1" w14:paraId="730704D5" w14:textId="77777777" w:rsidTr="000F6A9C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0614" w14:textId="77777777" w:rsidR="001D33A1" w:rsidRDefault="001D33A1">
            <w:pPr>
              <w:keepNext/>
              <w:adjustRightInd w:val="0"/>
              <w:snapToGrid w:val="0"/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Silné inhibítory CYP3A4, napr.</w:t>
            </w:r>
          </w:p>
          <w:p w14:paraId="630EFD10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Itrakonazol</w:t>
            </w:r>
            <w:proofErr w:type="spellEnd"/>
          </w:p>
          <w:p w14:paraId="510F39CF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Ketokonazol</w:t>
            </w:r>
            <w:proofErr w:type="spellEnd"/>
          </w:p>
          <w:p w14:paraId="5029A2B9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Posakonazol</w:t>
            </w:r>
            <w:proofErr w:type="spellEnd"/>
          </w:p>
          <w:p w14:paraId="68547BF4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Vorikonazol</w:t>
            </w:r>
            <w:proofErr w:type="spellEnd"/>
          </w:p>
          <w:p w14:paraId="0C243D4D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Erytromycín</w:t>
            </w:r>
            <w:proofErr w:type="spellEnd"/>
          </w:p>
          <w:p w14:paraId="65505789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Klaritromycín</w:t>
            </w:r>
            <w:proofErr w:type="spellEnd"/>
          </w:p>
          <w:p w14:paraId="563B152F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Telitromycín</w:t>
            </w:r>
            <w:proofErr w:type="spellEnd"/>
          </w:p>
          <w:p w14:paraId="33A893ED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Inhibítory HIV proteázy (napr. </w:t>
            </w:r>
            <w:proofErr w:type="spellStart"/>
            <w:r>
              <w:rPr>
                <w:szCs w:val="22"/>
              </w:rPr>
              <w:t>nelfinavir</w:t>
            </w:r>
            <w:proofErr w:type="spellEnd"/>
            <w:r>
              <w:rPr>
                <w:szCs w:val="22"/>
              </w:rPr>
              <w:t>)</w:t>
            </w:r>
          </w:p>
          <w:p w14:paraId="653FBB7E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Boceprevir</w:t>
            </w:r>
            <w:proofErr w:type="spellEnd"/>
          </w:p>
          <w:p w14:paraId="5908CD27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Telaprevir</w:t>
            </w:r>
            <w:proofErr w:type="spellEnd"/>
          </w:p>
          <w:p w14:paraId="41B33F17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Nefazodón</w:t>
            </w:r>
            <w:proofErr w:type="spellEnd"/>
          </w:p>
          <w:p w14:paraId="14881ABE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Kobicistát</w:t>
            </w:r>
            <w:proofErr w:type="spellEnd"/>
          </w:p>
          <w:p w14:paraId="4476A624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Cyklosporín</w:t>
            </w:r>
            <w:proofErr w:type="spellEnd"/>
          </w:p>
          <w:p w14:paraId="16D098FC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Danazol</w:t>
            </w:r>
            <w:proofErr w:type="spellEnd"/>
          </w:p>
          <w:p w14:paraId="5B89B038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proofErr w:type="spellStart"/>
            <w:r>
              <w:rPr>
                <w:szCs w:val="22"/>
              </w:rPr>
              <w:t>Gemfibrozil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48C8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r>
              <w:rPr>
                <w:b/>
                <w:szCs w:val="22"/>
              </w:rPr>
              <w:t>Kontraindikované s </w:t>
            </w:r>
            <w:proofErr w:type="spellStart"/>
            <w:r>
              <w:rPr>
                <w:b/>
                <w:szCs w:val="22"/>
              </w:rPr>
              <w:t>Cornusanom</w:t>
            </w:r>
            <w:proofErr w:type="spellEnd"/>
            <w:r>
              <w:rPr>
                <w:b/>
                <w:szCs w:val="22"/>
              </w:rPr>
              <w:t>.</w:t>
            </w:r>
          </w:p>
        </w:tc>
        <w:bookmarkStart w:id="0" w:name="_GoBack"/>
        <w:bookmarkEnd w:id="0"/>
      </w:tr>
      <w:tr w:rsidR="001D33A1" w14:paraId="61E6E22C" w14:textId="77777777" w:rsidTr="000F6A9C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59F6" w14:textId="77777777" w:rsidR="001D33A1" w:rsidRDefault="001D33A1">
            <w:pPr>
              <w:keepNext/>
              <w:adjustRightInd w:val="0"/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Ostatné </w:t>
            </w:r>
            <w:proofErr w:type="spellStart"/>
            <w:r>
              <w:rPr>
                <w:szCs w:val="22"/>
              </w:rPr>
              <w:t>fibráty</w:t>
            </w:r>
            <w:proofErr w:type="spellEnd"/>
          </w:p>
          <w:p w14:paraId="1EF51281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r>
              <w:rPr>
                <w:szCs w:val="22"/>
              </w:rPr>
              <w:t xml:space="preserve">Kyselina </w:t>
            </w:r>
            <w:proofErr w:type="spellStart"/>
            <w:r>
              <w:rPr>
                <w:szCs w:val="22"/>
              </w:rPr>
              <w:t>fusidová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9423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r>
              <w:rPr>
                <w:szCs w:val="22"/>
              </w:rPr>
              <w:t>Neodporúčajú sa s </w:t>
            </w:r>
            <w:proofErr w:type="spellStart"/>
            <w:r>
              <w:rPr>
                <w:szCs w:val="22"/>
              </w:rPr>
              <w:t>Cornusanom</w:t>
            </w:r>
            <w:proofErr w:type="spellEnd"/>
            <w:r>
              <w:rPr>
                <w:szCs w:val="22"/>
              </w:rPr>
              <w:t>.</w:t>
            </w:r>
          </w:p>
        </w:tc>
      </w:tr>
      <w:tr w:rsidR="001D33A1" w14:paraId="0463F996" w14:textId="77777777" w:rsidTr="000F6A9C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9B8E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r>
              <w:rPr>
                <w:szCs w:val="22"/>
              </w:rPr>
              <w:t>Niacín (kyselina nikotínová) (≥ 1 g/deň)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942A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r>
              <w:rPr>
                <w:szCs w:val="22"/>
              </w:rPr>
              <w:t>Neodporúča sa s </w:t>
            </w:r>
            <w:proofErr w:type="spellStart"/>
            <w:r>
              <w:rPr>
                <w:szCs w:val="22"/>
              </w:rPr>
              <w:t>Cornusanom</w:t>
            </w:r>
            <w:proofErr w:type="spellEnd"/>
            <w:r>
              <w:rPr>
                <w:szCs w:val="22"/>
              </w:rPr>
              <w:t xml:space="preserve"> u pacientov s ázijským pôvodom.</w:t>
            </w:r>
          </w:p>
        </w:tc>
      </w:tr>
      <w:tr w:rsidR="001D33A1" w14:paraId="5E04B679" w14:textId="77777777" w:rsidTr="000F6A9C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994E" w14:textId="77777777" w:rsidR="001D33A1" w:rsidRDefault="001D33A1">
            <w:pPr>
              <w:keepNext/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Amiodarón</w:t>
            </w:r>
            <w:proofErr w:type="spellEnd"/>
          </w:p>
          <w:p w14:paraId="36880673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Amlodipín</w:t>
            </w:r>
            <w:proofErr w:type="spellEnd"/>
          </w:p>
          <w:p w14:paraId="1B6C3DB3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Verapamil</w:t>
            </w:r>
            <w:proofErr w:type="spellEnd"/>
          </w:p>
          <w:p w14:paraId="2287C04A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Diltiazem</w:t>
            </w:r>
            <w:proofErr w:type="spellEnd"/>
          </w:p>
          <w:p w14:paraId="4CE89C91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r>
              <w:rPr>
                <w:szCs w:val="22"/>
              </w:rPr>
              <w:t>Niacín (≥ 1 g/deň)</w:t>
            </w:r>
          </w:p>
          <w:p w14:paraId="12CB3DAC" w14:textId="77777777" w:rsidR="001D33A1" w:rsidRDefault="001D33A1">
            <w:pPr>
              <w:adjustRightInd w:val="0"/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Elbasvir</w:t>
            </w:r>
            <w:proofErr w:type="spellEnd"/>
          </w:p>
          <w:p w14:paraId="1A099E8B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proofErr w:type="spellStart"/>
            <w:r>
              <w:rPr>
                <w:szCs w:val="22"/>
              </w:rPr>
              <w:t>Grazoprevir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F0AA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r>
              <w:rPr>
                <w:szCs w:val="22"/>
              </w:rPr>
              <w:t xml:space="preserve">Neprekročiť dávku 10 mg/20 mg </w:t>
            </w:r>
            <w:proofErr w:type="spellStart"/>
            <w:r>
              <w:rPr>
                <w:szCs w:val="22"/>
              </w:rPr>
              <w:t>Cornusanu</w:t>
            </w:r>
            <w:proofErr w:type="spellEnd"/>
            <w:r>
              <w:rPr>
                <w:szCs w:val="22"/>
              </w:rPr>
              <w:t xml:space="preserve"> denne.</w:t>
            </w:r>
          </w:p>
        </w:tc>
      </w:tr>
      <w:tr w:rsidR="001D33A1" w14:paraId="7223E332" w14:textId="77777777" w:rsidTr="000F6A9C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1E97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proofErr w:type="spellStart"/>
            <w:r>
              <w:rPr>
                <w:szCs w:val="22"/>
              </w:rPr>
              <w:t>Lomitapid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7082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r>
              <w:rPr>
                <w:szCs w:val="22"/>
              </w:rPr>
              <w:t>U pacientov s </w:t>
            </w:r>
            <w:proofErr w:type="spellStart"/>
            <w:r>
              <w:rPr>
                <w:szCs w:val="22"/>
              </w:rPr>
              <w:t>HoFH</w:t>
            </w:r>
            <w:proofErr w:type="spellEnd"/>
            <w:r>
              <w:rPr>
                <w:szCs w:val="22"/>
              </w:rPr>
              <w:t xml:space="preserve"> neprekročiť 10 mg/40 mg </w:t>
            </w:r>
            <w:proofErr w:type="spellStart"/>
            <w:r>
              <w:rPr>
                <w:szCs w:val="22"/>
              </w:rPr>
              <w:t>Cornusanu</w:t>
            </w:r>
            <w:proofErr w:type="spellEnd"/>
            <w:r>
              <w:rPr>
                <w:szCs w:val="22"/>
              </w:rPr>
              <w:t xml:space="preserve"> denne.</w:t>
            </w:r>
          </w:p>
        </w:tc>
      </w:tr>
      <w:tr w:rsidR="001D33A1" w14:paraId="5B21C106" w14:textId="77777777" w:rsidTr="000F6A9C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E94D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proofErr w:type="spellStart"/>
            <w:r>
              <w:rPr>
                <w:szCs w:val="22"/>
              </w:rPr>
              <w:lastRenderedPageBreak/>
              <w:t>Daptomycín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1DCA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r>
              <w:rPr>
                <w:szCs w:val="22"/>
              </w:rPr>
              <w:t xml:space="preserve">U pacientov, ktorí užívajú </w:t>
            </w:r>
            <w:proofErr w:type="spellStart"/>
            <w:r>
              <w:rPr>
                <w:szCs w:val="22"/>
              </w:rPr>
              <w:t>daptomycín</w:t>
            </w:r>
            <w:proofErr w:type="spellEnd"/>
            <w:r>
              <w:rPr>
                <w:szCs w:val="22"/>
              </w:rPr>
              <w:t xml:space="preserve">, sa má zvážiť dočasné pozastavenie liečby </w:t>
            </w:r>
            <w:proofErr w:type="spellStart"/>
            <w:r>
              <w:rPr>
                <w:szCs w:val="22"/>
              </w:rPr>
              <w:t>Cornusanom</w:t>
            </w:r>
            <w:proofErr w:type="spellEnd"/>
            <w:r>
              <w:rPr>
                <w:szCs w:val="22"/>
              </w:rPr>
              <w:t>, pokiaľ prínosy súbežného podávania neprevyšujú riziko (pozri časť 4.4).</w:t>
            </w:r>
          </w:p>
        </w:tc>
      </w:tr>
      <w:tr w:rsidR="001D33A1" w14:paraId="5C75939C" w14:textId="77777777" w:rsidTr="000F6A9C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D9B9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r>
              <w:rPr>
                <w:szCs w:val="22"/>
              </w:rPr>
              <w:t>Grapefruitový džús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602D" w14:textId="77777777" w:rsidR="001D33A1" w:rsidRDefault="001D33A1">
            <w:pPr>
              <w:adjustRightInd w:val="0"/>
              <w:snapToGrid w:val="0"/>
              <w:rPr>
                <w:i/>
                <w:szCs w:val="22"/>
              </w:rPr>
            </w:pPr>
            <w:r>
              <w:rPr>
                <w:szCs w:val="22"/>
              </w:rPr>
              <w:t xml:space="preserve">Vyhnúť sa grapefruitovému džúsu, keď sa užíva </w:t>
            </w:r>
            <w:proofErr w:type="spellStart"/>
            <w:r>
              <w:rPr>
                <w:szCs w:val="22"/>
              </w:rPr>
              <w:t>Cornusan</w:t>
            </w:r>
            <w:proofErr w:type="spellEnd"/>
            <w:r>
              <w:rPr>
                <w:szCs w:val="22"/>
              </w:rPr>
              <w:t>.</w:t>
            </w:r>
          </w:p>
        </w:tc>
      </w:tr>
    </w:tbl>
    <w:p w14:paraId="6B2DB3E4" w14:textId="77777777" w:rsidR="00D044EB" w:rsidRPr="00823BDC" w:rsidRDefault="00D044EB" w:rsidP="00F004C3">
      <w:pPr>
        <w:adjustRightInd w:val="0"/>
        <w:snapToGrid w:val="0"/>
        <w:rPr>
          <w:i/>
          <w:szCs w:val="22"/>
        </w:rPr>
      </w:pPr>
    </w:p>
    <w:p w14:paraId="535B2B49" w14:textId="12BBE9D6" w:rsidR="00D044EB" w:rsidRPr="00A6540D" w:rsidRDefault="00D044EB" w:rsidP="000E2387">
      <w:pPr>
        <w:keepNext/>
        <w:adjustRightInd w:val="0"/>
        <w:snapToGrid w:val="0"/>
        <w:rPr>
          <w:szCs w:val="22"/>
          <w:u w:val="single"/>
        </w:rPr>
      </w:pPr>
      <w:r w:rsidRPr="00A6540D">
        <w:rPr>
          <w:szCs w:val="22"/>
          <w:u w:val="single"/>
        </w:rPr>
        <w:t xml:space="preserve">Účinky iných liekov na </w:t>
      </w:r>
      <w:proofErr w:type="spellStart"/>
      <w:r w:rsidR="00431182" w:rsidRPr="00A6540D">
        <w:rPr>
          <w:color w:val="000000"/>
          <w:szCs w:val="22"/>
          <w:u w:val="single"/>
        </w:rPr>
        <w:t>ezetimib</w:t>
      </w:r>
      <w:proofErr w:type="spellEnd"/>
      <w:r w:rsidR="00431182" w:rsidRPr="00A6540D">
        <w:rPr>
          <w:color w:val="000000"/>
          <w:szCs w:val="22"/>
          <w:u w:val="single"/>
        </w:rPr>
        <w:t>/</w:t>
      </w:r>
      <w:proofErr w:type="spellStart"/>
      <w:r w:rsidR="00431182" w:rsidRPr="00A6540D">
        <w:rPr>
          <w:color w:val="000000"/>
          <w:szCs w:val="22"/>
          <w:u w:val="single"/>
        </w:rPr>
        <w:t>simvastat</w:t>
      </w:r>
      <w:r w:rsidR="00431182" w:rsidRPr="00530542">
        <w:rPr>
          <w:color w:val="000000"/>
          <w:szCs w:val="22"/>
          <w:u w:val="single"/>
        </w:rPr>
        <w:t>í</w:t>
      </w:r>
      <w:r w:rsidR="00431182" w:rsidRPr="00A6540D">
        <w:rPr>
          <w:color w:val="000000"/>
          <w:szCs w:val="22"/>
          <w:u w:val="single"/>
        </w:rPr>
        <w:t>n</w:t>
      </w:r>
      <w:proofErr w:type="spellEnd"/>
    </w:p>
    <w:p w14:paraId="6B987A4A" w14:textId="4A49D8B0" w:rsidR="00D044EB" w:rsidRPr="00530542" w:rsidRDefault="00D044EB" w:rsidP="000E2387">
      <w:pPr>
        <w:keepNext/>
        <w:adjustRightInd w:val="0"/>
        <w:snapToGrid w:val="0"/>
        <w:rPr>
          <w:szCs w:val="22"/>
        </w:rPr>
      </w:pPr>
    </w:p>
    <w:p w14:paraId="429085D4" w14:textId="77777777" w:rsidR="00040998" w:rsidRPr="00A6540D" w:rsidRDefault="00431182" w:rsidP="000E2387">
      <w:pPr>
        <w:adjustRightInd w:val="0"/>
        <w:snapToGrid w:val="0"/>
        <w:rPr>
          <w:i/>
          <w:color w:val="000000"/>
          <w:szCs w:val="22"/>
          <w:u w:val="single"/>
        </w:rPr>
      </w:pPr>
      <w:proofErr w:type="spellStart"/>
      <w:r w:rsidRPr="00A6540D">
        <w:rPr>
          <w:i/>
          <w:color w:val="000000"/>
          <w:szCs w:val="22"/>
          <w:u w:val="single"/>
        </w:rPr>
        <w:t>Ezetimib</w:t>
      </w:r>
      <w:proofErr w:type="spellEnd"/>
      <w:r w:rsidRPr="00A6540D">
        <w:rPr>
          <w:i/>
          <w:color w:val="000000"/>
          <w:szCs w:val="22"/>
          <w:u w:val="single"/>
        </w:rPr>
        <w:t>/</w:t>
      </w:r>
      <w:proofErr w:type="spellStart"/>
      <w:r w:rsidRPr="00A6540D">
        <w:rPr>
          <w:i/>
          <w:color w:val="000000"/>
          <w:szCs w:val="22"/>
          <w:u w:val="single"/>
        </w:rPr>
        <w:t>simvastatín</w:t>
      </w:r>
      <w:proofErr w:type="spellEnd"/>
    </w:p>
    <w:p w14:paraId="1815AD67" w14:textId="67F1CED5" w:rsidR="00723E73" w:rsidRPr="00F064AC" w:rsidRDefault="00FB7E90" w:rsidP="000E2387">
      <w:pPr>
        <w:adjustRightInd w:val="0"/>
        <w:snapToGrid w:val="0"/>
        <w:rPr>
          <w:i/>
          <w:szCs w:val="22"/>
        </w:rPr>
      </w:pPr>
      <w:r w:rsidRPr="00CD10F1">
        <w:rPr>
          <w:i/>
          <w:szCs w:val="22"/>
        </w:rPr>
        <w:t>Niac</w:t>
      </w:r>
      <w:r w:rsidR="001A7F8C" w:rsidRPr="00CD10F1">
        <w:rPr>
          <w:i/>
          <w:szCs w:val="22"/>
        </w:rPr>
        <w:t>í</w:t>
      </w:r>
      <w:r w:rsidRPr="00CD10F1">
        <w:rPr>
          <w:i/>
          <w:szCs w:val="22"/>
        </w:rPr>
        <w:t>n</w:t>
      </w:r>
      <w:r w:rsidR="00E65A4C" w:rsidRPr="00657DA7">
        <w:rPr>
          <w:i/>
          <w:szCs w:val="22"/>
        </w:rPr>
        <w:t xml:space="preserve"> </w:t>
      </w:r>
    </w:p>
    <w:p w14:paraId="12A9F83A" w14:textId="77777777" w:rsidR="00E65A4C" w:rsidRPr="00823BDC" w:rsidRDefault="00CB6863" w:rsidP="000E2387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V štúdii 15 zdravých dospelých spôsobilo súbežné podávanie </w:t>
      </w:r>
      <w:proofErr w:type="spellStart"/>
      <w:r w:rsidR="00FB7E90" w:rsidRPr="00823BDC">
        <w:rPr>
          <w:szCs w:val="22"/>
        </w:rPr>
        <w:t>ezetimibu</w:t>
      </w:r>
      <w:proofErr w:type="spellEnd"/>
      <w:r w:rsidR="00FB7E90" w:rsidRPr="00823BDC">
        <w:rPr>
          <w:szCs w:val="22"/>
        </w:rPr>
        <w:t>/</w:t>
      </w:r>
      <w:proofErr w:type="spellStart"/>
      <w:r w:rsidR="00FB7E90"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(10</w:t>
      </w:r>
      <w:r w:rsidR="000A25EB" w:rsidRPr="00823BDC">
        <w:rPr>
          <w:szCs w:val="22"/>
        </w:rPr>
        <w:t xml:space="preserve"> mg</w:t>
      </w:r>
      <w:r w:rsidRPr="00823BDC">
        <w:rPr>
          <w:szCs w:val="22"/>
        </w:rPr>
        <w:t xml:space="preserve">/20 mg denne počas 7 dní) malé zvýšenie v priemerných AUC </w:t>
      </w:r>
      <w:r w:rsidR="00FB7E90" w:rsidRPr="00823BDC">
        <w:rPr>
          <w:szCs w:val="22"/>
        </w:rPr>
        <w:t>niacínu</w:t>
      </w:r>
      <w:r w:rsidRPr="00823BDC">
        <w:rPr>
          <w:szCs w:val="22"/>
        </w:rPr>
        <w:t xml:space="preserve"> (22 %) a kyseliny </w:t>
      </w:r>
      <w:proofErr w:type="spellStart"/>
      <w:r w:rsidRPr="00823BDC">
        <w:rPr>
          <w:szCs w:val="22"/>
        </w:rPr>
        <w:t>nikotinúrovej</w:t>
      </w:r>
      <w:proofErr w:type="spellEnd"/>
      <w:r w:rsidRPr="00823BDC">
        <w:rPr>
          <w:szCs w:val="22"/>
        </w:rPr>
        <w:t xml:space="preserve"> (19 %) podávaných ako </w:t>
      </w:r>
      <w:r w:rsidR="00C47C59" w:rsidRPr="00823BDC">
        <w:rPr>
          <w:szCs w:val="22"/>
        </w:rPr>
        <w:t xml:space="preserve">NIASPAN tablety s predĺženým uvoľňovaním (1 000 mg počas 2 dní a 2 000 mg počas 5 dní po raňajkách s nízkym obsahom tuku). V tej istej štúdii súbežne podávaný NIAPSAN mierne zvýšil priemerné AUC </w:t>
      </w:r>
      <w:proofErr w:type="spellStart"/>
      <w:r w:rsidR="00C47C59" w:rsidRPr="00823BDC">
        <w:rPr>
          <w:szCs w:val="22"/>
        </w:rPr>
        <w:t>ezetimibu</w:t>
      </w:r>
      <w:proofErr w:type="spellEnd"/>
      <w:r w:rsidR="00C47C59" w:rsidRPr="00823BDC">
        <w:rPr>
          <w:szCs w:val="22"/>
        </w:rPr>
        <w:t xml:space="preserve"> (9 %), celkového </w:t>
      </w:r>
      <w:proofErr w:type="spellStart"/>
      <w:r w:rsidR="00C47C59" w:rsidRPr="00823BDC">
        <w:rPr>
          <w:szCs w:val="22"/>
        </w:rPr>
        <w:t>ezetimibu</w:t>
      </w:r>
      <w:proofErr w:type="spellEnd"/>
      <w:r w:rsidR="00C47C59" w:rsidRPr="00823BDC">
        <w:rPr>
          <w:szCs w:val="22"/>
        </w:rPr>
        <w:t xml:space="preserve"> (26 %), </w:t>
      </w:r>
      <w:proofErr w:type="spellStart"/>
      <w:r w:rsidR="00C47C59" w:rsidRPr="00823BDC">
        <w:rPr>
          <w:szCs w:val="22"/>
        </w:rPr>
        <w:t>simvastatínu</w:t>
      </w:r>
      <w:proofErr w:type="spellEnd"/>
      <w:r w:rsidR="00C47C59" w:rsidRPr="00823BDC">
        <w:rPr>
          <w:szCs w:val="22"/>
        </w:rPr>
        <w:t xml:space="preserve"> (20 %) a kyseliny </w:t>
      </w:r>
      <w:proofErr w:type="spellStart"/>
      <w:r w:rsidR="00C47C59" w:rsidRPr="00823BDC">
        <w:rPr>
          <w:szCs w:val="22"/>
        </w:rPr>
        <w:t>simvastatínovej</w:t>
      </w:r>
      <w:proofErr w:type="spellEnd"/>
      <w:r w:rsidR="00C47C59" w:rsidRPr="00823BDC">
        <w:rPr>
          <w:szCs w:val="22"/>
        </w:rPr>
        <w:t xml:space="preserve"> (35 %).</w:t>
      </w:r>
      <w:r w:rsidR="00315AA1" w:rsidRPr="00823BDC">
        <w:rPr>
          <w:szCs w:val="22"/>
        </w:rPr>
        <w:t xml:space="preserve"> (Pozri časti 4.2 a 4.4)</w:t>
      </w:r>
    </w:p>
    <w:p w14:paraId="1DA47834" w14:textId="77777777" w:rsidR="00C47C59" w:rsidRPr="00823BDC" w:rsidRDefault="00C47C59" w:rsidP="005332CD">
      <w:pPr>
        <w:adjustRightInd w:val="0"/>
        <w:snapToGrid w:val="0"/>
        <w:rPr>
          <w:szCs w:val="22"/>
        </w:rPr>
      </w:pPr>
    </w:p>
    <w:p w14:paraId="49A42008" w14:textId="77777777" w:rsidR="00C47C59" w:rsidRPr="00823BDC" w:rsidRDefault="00C47C59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Štúdie liekových interakcií s vyššími dávkami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sa neskúmali.</w:t>
      </w:r>
    </w:p>
    <w:p w14:paraId="386DB523" w14:textId="77777777" w:rsidR="00E65A4C" w:rsidRPr="00823BDC" w:rsidRDefault="00E65A4C">
      <w:pPr>
        <w:adjustRightInd w:val="0"/>
        <w:snapToGrid w:val="0"/>
        <w:rPr>
          <w:szCs w:val="22"/>
        </w:rPr>
      </w:pPr>
    </w:p>
    <w:p w14:paraId="63CADE92" w14:textId="77777777" w:rsidR="00D044EB" w:rsidRPr="00823BDC" w:rsidRDefault="00D044EB">
      <w:pPr>
        <w:keepNext/>
        <w:adjustRightInd w:val="0"/>
        <w:snapToGrid w:val="0"/>
        <w:rPr>
          <w:i/>
          <w:szCs w:val="22"/>
          <w:u w:val="single"/>
        </w:rPr>
      </w:pPr>
      <w:proofErr w:type="spellStart"/>
      <w:r w:rsidRPr="00823BDC">
        <w:rPr>
          <w:i/>
          <w:szCs w:val="22"/>
          <w:u w:val="single"/>
        </w:rPr>
        <w:t>Ezetimib</w:t>
      </w:r>
      <w:proofErr w:type="spellEnd"/>
    </w:p>
    <w:p w14:paraId="78C98597" w14:textId="4298A914" w:rsidR="00723E73" w:rsidRPr="00823BDC" w:rsidRDefault="00D044EB">
      <w:pPr>
        <w:adjustRightInd w:val="0"/>
        <w:snapToGrid w:val="0"/>
        <w:rPr>
          <w:szCs w:val="22"/>
        </w:rPr>
      </w:pPr>
      <w:proofErr w:type="spellStart"/>
      <w:r w:rsidRPr="00823BDC">
        <w:rPr>
          <w:i/>
          <w:szCs w:val="22"/>
        </w:rPr>
        <w:t>Antacidá</w:t>
      </w:r>
      <w:proofErr w:type="spellEnd"/>
      <w:r w:rsidRPr="00823BDC">
        <w:rPr>
          <w:szCs w:val="22"/>
        </w:rPr>
        <w:t xml:space="preserve"> </w:t>
      </w:r>
    </w:p>
    <w:p w14:paraId="6616EA0A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Sú</w:t>
      </w:r>
      <w:r w:rsidR="009B72C0" w:rsidRPr="00823BDC">
        <w:rPr>
          <w:szCs w:val="22"/>
        </w:rPr>
        <w:t>bežné</w:t>
      </w:r>
      <w:r w:rsidRPr="00823BDC">
        <w:rPr>
          <w:szCs w:val="22"/>
        </w:rPr>
        <w:t xml:space="preserve"> pod</w:t>
      </w:r>
      <w:r w:rsidR="00825ABD" w:rsidRPr="00823BDC">
        <w:rPr>
          <w:szCs w:val="22"/>
        </w:rPr>
        <w:t>áv</w:t>
      </w:r>
      <w:r w:rsidRPr="00823BDC">
        <w:rPr>
          <w:szCs w:val="22"/>
        </w:rPr>
        <w:t xml:space="preserve">anie </w:t>
      </w:r>
      <w:proofErr w:type="spellStart"/>
      <w:r w:rsidRPr="00823BDC">
        <w:rPr>
          <w:szCs w:val="22"/>
        </w:rPr>
        <w:t>antacíd</w:t>
      </w:r>
      <w:proofErr w:type="spellEnd"/>
      <w:r w:rsidRPr="00823BDC">
        <w:rPr>
          <w:szCs w:val="22"/>
        </w:rPr>
        <w:t xml:space="preserve"> znížilo </w:t>
      </w:r>
      <w:r w:rsidR="000A25EB" w:rsidRPr="00823BDC">
        <w:rPr>
          <w:szCs w:val="22"/>
        </w:rPr>
        <w:t xml:space="preserve">rýchlosť </w:t>
      </w:r>
      <w:r w:rsidRPr="00823BDC">
        <w:rPr>
          <w:szCs w:val="22"/>
        </w:rPr>
        <w:t xml:space="preserve">absorpcie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, ale nemalo žiadny vplyv na biologickú dostupnosť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. Toto zníženie </w:t>
      </w:r>
      <w:r w:rsidR="000A25EB" w:rsidRPr="00823BDC">
        <w:rPr>
          <w:szCs w:val="22"/>
        </w:rPr>
        <w:t xml:space="preserve">rýchlosti </w:t>
      </w:r>
      <w:r w:rsidRPr="00823BDC">
        <w:rPr>
          <w:szCs w:val="22"/>
        </w:rPr>
        <w:t>absorpcie sa nepovažuje za klinicky významné.</w:t>
      </w:r>
    </w:p>
    <w:p w14:paraId="181D68F6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B506B5A" w14:textId="759B4D16" w:rsidR="00431182" w:rsidRPr="00823BDC" w:rsidRDefault="000A25EB">
      <w:pPr>
        <w:adjustRightInd w:val="0"/>
        <w:snapToGrid w:val="0"/>
        <w:rPr>
          <w:i/>
          <w:szCs w:val="22"/>
        </w:rPr>
      </w:pPr>
      <w:proofErr w:type="spellStart"/>
      <w:r w:rsidRPr="00823BDC">
        <w:rPr>
          <w:i/>
          <w:szCs w:val="22"/>
        </w:rPr>
        <w:t>K</w:t>
      </w:r>
      <w:r w:rsidR="00D044EB" w:rsidRPr="00823BDC">
        <w:rPr>
          <w:i/>
          <w:szCs w:val="22"/>
        </w:rPr>
        <w:t>olestyramín</w:t>
      </w:r>
      <w:proofErr w:type="spellEnd"/>
      <w:r w:rsidR="00D044EB" w:rsidRPr="00823BDC">
        <w:rPr>
          <w:i/>
          <w:szCs w:val="22"/>
        </w:rPr>
        <w:t xml:space="preserve"> </w:t>
      </w:r>
    </w:p>
    <w:p w14:paraId="17332833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iCs/>
          <w:szCs w:val="22"/>
        </w:rPr>
        <w:t>Sú</w:t>
      </w:r>
      <w:r w:rsidR="009B72C0" w:rsidRPr="00823BDC">
        <w:rPr>
          <w:iCs/>
          <w:szCs w:val="22"/>
        </w:rPr>
        <w:t>bežné</w:t>
      </w:r>
      <w:r w:rsidRPr="00823BDC">
        <w:rPr>
          <w:iCs/>
          <w:szCs w:val="22"/>
        </w:rPr>
        <w:t xml:space="preserve"> pod</w:t>
      </w:r>
      <w:r w:rsidR="00825ABD" w:rsidRPr="00823BDC">
        <w:rPr>
          <w:iCs/>
          <w:szCs w:val="22"/>
        </w:rPr>
        <w:t>áva</w:t>
      </w:r>
      <w:r w:rsidRPr="00823BDC">
        <w:rPr>
          <w:iCs/>
          <w:szCs w:val="22"/>
        </w:rPr>
        <w:t xml:space="preserve">nie </w:t>
      </w:r>
      <w:proofErr w:type="spellStart"/>
      <w:r w:rsidR="000A25EB" w:rsidRPr="00823BDC">
        <w:rPr>
          <w:iCs/>
          <w:szCs w:val="22"/>
        </w:rPr>
        <w:t>k</w:t>
      </w:r>
      <w:r w:rsidRPr="00823BDC">
        <w:rPr>
          <w:iCs/>
          <w:szCs w:val="22"/>
        </w:rPr>
        <w:t>olestyramínu</w:t>
      </w:r>
      <w:proofErr w:type="spellEnd"/>
      <w:r w:rsidRPr="00823BDC">
        <w:rPr>
          <w:iCs/>
          <w:szCs w:val="22"/>
        </w:rPr>
        <w:t xml:space="preserve"> znížilo priemernú plochu pod</w:t>
      </w:r>
      <w:r w:rsidR="000A25EB" w:rsidRPr="00823BDC">
        <w:rPr>
          <w:iCs/>
          <w:szCs w:val="22"/>
        </w:rPr>
        <w:t xml:space="preserve"> koncentračnou</w:t>
      </w:r>
      <w:r w:rsidRPr="00823BDC">
        <w:rPr>
          <w:iCs/>
          <w:szCs w:val="22"/>
        </w:rPr>
        <w:t xml:space="preserve"> krivkou (AUC) celkového </w:t>
      </w:r>
      <w:proofErr w:type="spellStart"/>
      <w:r w:rsidRPr="00823BDC">
        <w:rPr>
          <w:iCs/>
          <w:szCs w:val="22"/>
        </w:rPr>
        <w:t>ezetimibu</w:t>
      </w:r>
      <w:proofErr w:type="spellEnd"/>
      <w:r w:rsidRPr="00823BDC">
        <w:rPr>
          <w:iCs/>
          <w:szCs w:val="22"/>
        </w:rPr>
        <w:t xml:space="preserve"> </w:t>
      </w:r>
      <w:r w:rsidRPr="00823BDC">
        <w:rPr>
          <w:szCs w:val="22"/>
        </w:rPr>
        <w:t>(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+ </w:t>
      </w:r>
      <w:proofErr w:type="spellStart"/>
      <w:r w:rsidR="009B72C0" w:rsidRPr="00823BDC">
        <w:rPr>
          <w:szCs w:val="22"/>
        </w:rPr>
        <w:t>ezetimib</w:t>
      </w:r>
      <w:r w:rsidR="000A25EB" w:rsidRPr="00823BDC">
        <w:rPr>
          <w:szCs w:val="22"/>
        </w:rPr>
        <w:t>-glukuronid</w:t>
      </w:r>
      <w:proofErr w:type="spellEnd"/>
      <w:r w:rsidRPr="00823BDC">
        <w:rPr>
          <w:szCs w:val="22"/>
        </w:rPr>
        <w:t xml:space="preserve">) približne o 55 %. </w:t>
      </w:r>
      <w:r w:rsidR="008079A7" w:rsidRPr="00823BDC">
        <w:rPr>
          <w:szCs w:val="22"/>
        </w:rPr>
        <w:t xml:space="preserve">Postupné </w:t>
      </w:r>
      <w:r w:rsidRPr="00823BDC">
        <w:rPr>
          <w:szCs w:val="22"/>
        </w:rPr>
        <w:t>zníženi</w:t>
      </w:r>
      <w:r w:rsidR="008079A7" w:rsidRPr="00823BDC">
        <w:rPr>
          <w:szCs w:val="22"/>
        </w:rPr>
        <w:t>e</w:t>
      </w:r>
      <w:r w:rsidRPr="00823BDC">
        <w:rPr>
          <w:szCs w:val="22"/>
        </w:rPr>
        <w:t xml:space="preserve"> LDL</w:t>
      </w:r>
      <w:r w:rsidRPr="00823BDC">
        <w:rPr>
          <w:szCs w:val="22"/>
        </w:rPr>
        <w:noBreakHyphen/>
        <w:t xml:space="preserve">C v dôsledku pridania </w:t>
      </w:r>
      <w:proofErr w:type="spellStart"/>
      <w:r w:rsidR="00FB7E90" w:rsidRPr="00823BDC">
        <w:rPr>
          <w:szCs w:val="22"/>
        </w:rPr>
        <w:t>ezetimibu</w:t>
      </w:r>
      <w:proofErr w:type="spellEnd"/>
      <w:r w:rsidR="00FB7E90" w:rsidRPr="00823BDC">
        <w:rPr>
          <w:szCs w:val="22"/>
        </w:rPr>
        <w:t>/</w:t>
      </w:r>
      <w:proofErr w:type="spellStart"/>
      <w:r w:rsidR="00FB7E90"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k</w:t>
      </w:r>
      <w:r w:rsidR="000A25EB" w:rsidRPr="00823BDC">
        <w:rPr>
          <w:szCs w:val="22"/>
        </w:rPr>
        <w:t>u</w:t>
      </w:r>
      <w:r w:rsidRPr="00823BDC">
        <w:rPr>
          <w:szCs w:val="22"/>
        </w:rPr>
        <w:t> </w:t>
      </w:r>
      <w:proofErr w:type="spellStart"/>
      <w:r w:rsidR="000A25EB" w:rsidRPr="00823BDC">
        <w:rPr>
          <w:szCs w:val="22"/>
        </w:rPr>
        <w:t>k</w:t>
      </w:r>
      <w:r w:rsidRPr="00823BDC">
        <w:rPr>
          <w:szCs w:val="22"/>
        </w:rPr>
        <w:t>olestyramínu</w:t>
      </w:r>
      <w:proofErr w:type="spellEnd"/>
      <w:r w:rsidRPr="00823BDC">
        <w:rPr>
          <w:szCs w:val="22"/>
        </w:rPr>
        <w:t xml:space="preserve"> </w:t>
      </w:r>
      <w:r w:rsidR="008079A7" w:rsidRPr="00823BDC">
        <w:rPr>
          <w:szCs w:val="22"/>
        </w:rPr>
        <w:t xml:space="preserve">sa </w:t>
      </w:r>
      <w:r w:rsidRPr="00823BDC">
        <w:rPr>
          <w:szCs w:val="22"/>
        </w:rPr>
        <w:t xml:space="preserve">môže touto interakciou </w:t>
      </w:r>
      <w:r w:rsidR="008079A7" w:rsidRPr="00823BDC">
        <w:rPr>
          <w:szCs w:val="22"/>
        </w:rPr>
        <w:t xml:space="preserve">spomaliť </w:t>
      </w:r>
      <w:r w:rsidRPr="00823BDC">
        <w:rPr>
          <w:szCs w:val="22"/>
        </w:rPr>
        <w:t>(pozri časť 4.2).</w:t>
      </w:r>
    </w:p>
    <w:p w14:paraId="2099F177" w14:textId="77777777" w:rsidR="00D044EB" w:rsidRPr="00823BDC" w:rsidRDefault="00D044EB">
      <w:pPr>
        <w:adjustRightInd w:val="0"/>
        <w:snapToGrid w:val="0"/>
        <w:rPr>
          <w:iCs/>
          <w:szCs w:val="22"/>
        </w:rPr>
      </w:pPr>
    </w:p>
    <w:p w14:paraId="4CD119E7" w14:textId="61E9499D" w:rsidR="00864F69" w:rsidRPr="00823BDC" w:rsidRDefault="00D044EB">
      <w:pPr>
        <w:pStyle w:val="Hlavika"/>
        <w:keepLines w:val="0"/>
        <w:tabs>
          <w:tab w:val="clear" w:pos="4320"/>
          <w:tab w:val="clear" w:pos="8640"/>
        </w:tabs>
        <w:adjustRightInd w:val="0"/>
        <w:snapToGrid w:val="0"/>
        <w:rPr>
          <w:szCs w:val="22"/>
        </w:rPr>
      </w:pPr>
      <w:proofErr w:type="spellStart"/>
      <w:r w:rsidRPr="00823BDC">
        <w:rPr>
          <w:i/>
          <w:szCs w:val="22"/>
        </w:rPr>
        <w:t>Cyklosporín</w:t>
      </w:r>
      <w:proofErr w:type="spellEnd"/>
      <w:r w:rsidRPr="00823BDC">
        <w:rPr>
          <w:szCs w:val="22"/>
        </w:rPr>
        <w:t xml:space="preserve"> </w:t>
      </w:r>
    </w:p>
    <w:p w14:paraId="0CDB8B30" w14:textId="7D23F551" w:rsidR="00D044EB" w:rsidRPr="00823BDC" w:rsidRDefault="00D044EB">
      <w:pPr>
        <w:pStyle w:val="Hlavika"/>
        <w:keepLines w:val="0"/>
        <w:tabs>
          <w:tab w:val="clear" w:pos="4320"/>
          <w:tab w:val="clear" w:pos="8640"/>
        </w:tabs>
        <w:adjustRightInd w:val="0"/>
        <w:snapToGrid w:val="0"/>
        <w:rPr>
          <w:szCs w:val="22"/>
        </w:rPr>
      </w:pPr>
      <w:r w:rsidRPr="00823BDC">
        <w:rPr>
          <w:szCs w:val="22"/>
        </w:rPr>
        <w:t>V</w:t>
      </w:r>
      <w:r w:rsidR="00063C7B" w:rsidRPr="00823BDC">
        <w:rPr>
          <w:szCs w:val="22"/>
        </w:rPr>
        <w:t> </w:t>
      </w:r>
      <w:r w:rsidRPr="00823BDC">
        <w:rPr>
          <w:szCs w:val="22"/>
        </w:rPr>
        <w:t>štúdii</w:t>
      </w:r>
      <w:r w:rsidR="00063C7B" w:rsidRPr="00823BDC">
        <w:rPr>
          <w:szCs w:val="22"/>
        </w:rPr>
        <w:t>,</w:t>
      </w:r>
      <w:r w:rsidRPr="00823BDC">
        <w:rPr>
          <w:szCs w:val="22"/>
        </w:rPr>
        <w:t xml:space="preserve"> </w:t>
      </w:r>
      <w:r w:rsidR="00414212" w:rsidRPr="00823BDC">
        <w:rPr>
          <w:szCs w:val="22"/>
        </w:rPr>
        <w:t xml:space="preserve">ktorej sa zúčastnilo osem </w:t>
      </w:r>
      <w:r w:rsidRPr="00823BDC">
        <w:rPr>
          <w:szCs w:val="22"/>
        </w:rPr>
        <w:t>pacientov po transplantácii obličky s </w:t>
      </w:r>
      <w:proofErr w:type="spellStart"/>
      <w:r w:rsidRPr="00823BDC">
        <w:rPr>
          <w:szCs w:val="22"/>
        </w:rPr>
        <w:t>klírensom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kreatitínu</w:t>
      </w:r>
      <w:proofErr w:type="spellEnd"/>
      <w:r w:rsidRPr="00823BDC">
        <w:rPr>
          <w:snapToGrid w:val="0"/>
          <w:szCs w:val="22"/>
        </w:rPr>
        <w:t xml:space="preserve"> </w:t>
      </w:r>
      <w:r w:rsidRPr="00823BDC">
        <w:rPr>
          <w:szCs w:val="22"/>
        </w:rPr>
        <w:sym w:font="Symbol" w:char="F03E"/>
      </w:r>
      <w:r w:rsidR="009B72C0" w:rsidRPr="00823BDC">
        <w:rPr>
          <w:szCs w:val="22"/>
        </w:rPr>
        <w:t> </w:t>
      </w:r>
      <w:r w:rsidRPr="00823BDC">
        <w:rPr>
          <w:szCs w:val="22"/>
        </w:rPr>
        <w:t xml:space="preserve">50 ml/min na stabilnej dávke </w:t>
      </w:r>
      <w:proofErr w:type="spellStart"/>
      <w:r w:rsidRPr="00823BDC">
        <w:rPr>
          <w:szCs w:val="22"/>
        </w:rPr>
        <w:t>cyklosporínu</w:t>
      </w:r>
      <w:proofErr w:type="spellEnd"/>
      <w:r w:rsidR="00063C7B" w:rsidRPr="00823BDC">
        <w:rPr>
          <w:szCs w:val="22"/>
        </w:rPr>
        <w:t>,</w:t>
      </w:r>
      <w:r w:rsidRPr="00823BDC">
        <w:rPr>
          <w:szCs w:val="22"/>
        </w:rPr>
        <w:t xml:space="preserve"> mala jednorazová dávka </w:t>
      </w:r>
      <w:r w:rsidR="000A25EB" w:rsidRPr="00823BDC">
        <w:rPr>
          <w:szCs w:val="22"/>
        </w:rPr>
        <w:t xml:space="preserve">10 mg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za následok 3,4</w:t>
      </w:r>
      <w:r w:rsidRPr="00823BDC">
        <w:rPr>
          <w:szCs w:val="22"/>
        </w:rPr>
        <w:noBreakHyphen/>
        <w:t xml:space="preserve">násobné </w:t>
      </w:r>
      <w:r w:rsidRPr="00823BDC">
        <w:rPr>
          <w:snapToGrid w:val="0"/>
          <w:szCs w:val="22"/>
        </w:rPr>
        <w:t>(rozsah 2,3</w:t>
      </w:r>
      <w:r w:rsidRPr="00823BDC">
        <w:rPr>
          <w:snapToGrid w:val="0"/>
          <w:szCs w:val="22"/>
        </w:rPr>
        <w:noBreakHyphen/>
        <w:t xml:space="preserve"> až 7,9</w:t>
      </w:r>
      <w:r w:rsidRPr="00823BDC">
        <w:rPr>
          <w:snapToGrid w:val="0"/>
          <w:szCs w:val="22"/>
        </w:rPr>
        <w:noBreakHyphen/>
      </w:r>
      <w:r w:rsidR="00414212" w:rsidRPr="00823BDC">
        <w:rPr>
          <w:snapToGrid w:val="0"/>
          <w:szCs w:val="22"/>
        </w:rPr>
        <w:t>násobné</w:t>
      </w:r>
      <w:r w:rsidRPr="00823BDC">
        <w:rPr>
          <w:snapToGrid w:val="0"/>
          <w:szCs w:val="22"/>
        </w:rPr>
        <w:t xml:space="preserve">) zvýšenie priemernej </w:t>
      </w:r>
      <w:r w:rsidR="00414212" w:rsidRPr="00823BDC">
        <w:rPr>
          <w:snapToGrid w:val="0"/>
          <w:szCs w:val="22"/>
        </w:rPr>
        <w:t xml:space="preserve">hodnoty </w:t>
      </w:r>
      <w:r w:rsidRPr="00823BDC">
        <w:rPr>
          <w:szCs w:val="22"/>
        </w:rPr>
        <w:t xml:space="preserve">AUC celkového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v porovnaní so</w:t>
      </w:r>
      <w:r w:rsidR="000678F2" w:rsidRPr="00823BDC">
        <w:rPr>
          <w:szCs w:val="22"/>
        </w:rPr>
        <w:t xml:space="preserve"> </w:t>
      </w:r>
      <w:r w:rsidRPr="00823BDC">
        <w:rPr>
          <w:szCs w:val="22"/>
        </w:rPr>
        <w:t xml:space="preserve">zdravou kontrolnou populáciou z inej štúdie, ktorá dostávala </w:t>
      </w:r>
      <w:r w:rsidR="000A25EB" w:rsidRPr="00823BDC">
        <w:rPr>
          <w:szCs w:val="22"/>
        </w:rPr>
        <w:t xml:space="preserve">iba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(n = 17). V inej štúdii pacient po transplantácii obličky s</w:t>
      </w:r>
      <w:r w:rsidR="009D4FF8" w:rsidRPr="00823BDC">
        <w:rPr>
          <w:szCs w:val="22"/>
        </w:rPr>
        <w:t> </w:t>
      </w:r>
      <w:r w:rsidR="001E2C16" w:rsidRPr="00823BDC">
        <w:rPr>
          <w:szCs w:val="22"/>
        </w:rPr>
        <w:t xml:space="preserve">ťažkou </w:t>
      </w:r>
      <w:r w:rsidR="00B42191" w:rsidRPr="00823BDC">
        <w:rPr>
          <w:szCs w:val="22"/>
        </w:rPr>
        <w:t>poruchou funkcie obličiek</w:t>
      </w:r>
      <w:r w:rsidRPr="00823BDC">
        <w:rPr>
          <w:szCs w:val="22"/>
        </w:rPr>
        <w:t xml:space="preserve">, ktorý dostával </w:t>
      </w:r>
      <w:proofErr w:type="spellStart"/>
      <w:r w:rsidRPr="00823BDC">
        <w:rPr>
          <w:szCs w:val="22"/>
        </w:rPr>
        <w:t>cyklosporín</w:t>
      </w:r>
      <w:proofErr w:type="spellEnd"/>
      <w:r w:rsidRPr="00823BDC">
        <w:rPr>
          <w:szCs w:val="22"/>
        </w:rPr>
        <w:t xml:space="preserve"> a</w:t>
      </w:r>
      <w:r w:rsidR="000678F2" w:rsidRPr="00823BDC">
        <w:rPr>
          <w:szCs w:val="22"/>
        </w:rPr>
        <w:t> </w:t>
      </w:r>
      <w:r w:rsidR="009B72C0" w:rsidRPr="00823BDC">
        <w:rPr>
          <w:szCs w:val="22"/>
        </w:rPr>
        <w:t>viacero</w:t>
      </w:r>
      <w:r w:rsidRPr="00823BDC">
        <w:rPr>
          <w:szCs w:val="22"/>
        </w:rPr>
        <w:t xml:space="preserve"> </w:t>
      </w:r>
      <w:r w:rsidR="009B72C0" w:rsidRPr="00823BDC">
        <w:rPr>
          <w:szCs w:val="22"/>
        </w:rPr>
        <w:t>iných</w:t>
      </w:r>
      <w:r w:rsidRPr="00823BDC">
        <w:rPr>
          <w:szCs w:val="22"/>
        </w:rPr>
        <w:t xml:space="preserve"> liekov, preukázal 12</w:t>
      </w:r>
      <w:r w:rsidRPr="00823BDC">
        <w:rPr>
          <w:szCs w:val="22"/>
        </w:rPr>
        <w:noBreakHyphen/>
        <w:t xml:space="preserve">násobne väčšiu expozíciu celkovému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v porovnaní so</w:t>
      </w:r>
      <w:r w:rsidR="000678F2" w:rsidRPr="00823BDC">
        <w:rPr>
          <w:szCs w:val="22"/>
        </w:rPr>
        <w:t xml:space="preserve"> </w:t>
      </w:r>
      <w:r w:rsidRPr="00823BDC">
        <w:rPr>
          <w:szCs w:val="22"/>
        </w:rPr>
        <w:t>súbežn</w:t>
      </w:r>
      <w:r w:rsidR="0028567B" w:rsidRPr="00823BDC">
        <w:rPr>
          <w:szCs w:val="22"/>
        </w:rPr>
        <w:t xml:space="preserve">ou kontrolnou skupinou </w:t>
      </w:r>
      <w:r w:rsidRPr="00823BDC">
        <w:rPr>
          <w:szCs w:val="22"/>
        </w:rPr>
        <w:t>pacient</w:t>
      </w:r>
      <w:r w:rsidR="001E2C16" w:rsidRPr="00823BDC">
        <w:rPr>
          <w:szCs w:val="22"/>
        </w:rPr>
        <w:t>ov</w:t>
      </w:r>
      <w:r w:rsidRPr="00823BDC">
        <w:rPr>
          <w:szCs w:val="22"/>
        </w:rPr>
        <w:t xml:space="preserve">, ktorí dostávali </w:t>
      </w:r>
      <w:r w:rsidR="000A25EB" w:rsidRPr="00823BDC">
        <w:rPr>
          <w:szCs w:val="22"/>
        </w:rPr>
        <w:t xml:space="preserve">iba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>. V </w:t>
      </w:r>
      <w:proofErr w:type="spellStart"/>
      <w:r w:rsidR="008079A7" w:rsidRPr="00823BDC">
        <w:rPr>
          <w:szCs w:val="22"/>
        </w:rPr>
        <w:t>crossover</w:t>
      </w:r>
      <w:proofErr w:type="spellEnd"/>
      <w:r w:rsidR="008079A7" w:rsidRPr="00823BDC">
        <w:rPr>
          <w:szCs w:val="22"/>
        </w:rPr>
        <w:t xml:space="preserve"> štúdii</w:t>
      </w:r>
      <w:r w:rsidRPr="00823BDC">
        <w:rPr>
          <w:szCs w:val="22"/>
        </w:rPr>
        <w:t xml:space="preserve"> </w:t>
      </w:r>
      <w:r w:rsidR="008079A7" w:rsidRPr="00823BDC">
        <w:rPr>
          <w:szCs w:val="22"/>
        </w:rPr>
        <w:t>v </w:t>
      </w:r>
      <w:r w:rsidR="00864F69" w:rsidRPr="00823BDC">
        <w:rPr>
          <w:szCs w:val="22"/>
        </w:rPr>
        <w:t xml:space="preserve">2 </w:t>
      </w:r>
      <w:r w:rsidR="008079A7" w:rsidRPr="00823BDC">
        <w:rPr>
          <w:szCs w:val="22"/>
        </w:rPr>
        <w:t xml:space="preserve">obdobiach </w:t>
      </w:r>
      <w:r w:rsidRPr="00823BDC">
        <w:rPr>
          <w:szCs w:val="22"/>
        </w:rPr>
        <w:t xml:space="preserve">u dvanástich zdravých </w:t>
      </w:r>
      <w:r w:rsidR="00944083" w:rsidRPr="00823BDC">
        <w:rPr>
          <w:szCs w:val="22"/>
        </w:rPr>
        <w:t xml:space="preserve">osôb </w:t>
      </w:r>
      <w:r w:rsidRPr="00823BDC">
        <w:rPr>
          <w:szCs w:val="22"/>
        </w:rPr>
        <w:t xml:space="preserve">viedlo denné podávanie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20 mg počas 8</w:t>
      </w:r>
      <w:r w:rsidR="000678F2" w:rsidRPr="00823BDC">
        <w:rPr>
          <w:szCs w:val="22"/>
        </w:rPr>
        <w:t xml:space="preserve"> </w:t>
      </w:r>
      <w:r w:rsidRPr="00823BDC">
        <w:rPr>
          <w:szCs w:val="22"/>
        </w:rPr>
        <w:t xml:space="preserve">dní spolu s jednorazovou dávkou </w:t>
      </w:r>
      <w:r w:rsidR="000A25EB" w:rsidRPr="00823BDC">
        <w:rPr>
          <w:szCs w:val="22"/>
        </w:rPr>
        <w:t xml:space="preserve">100 mg </w:t>
      </w:r>
      <w:proofErr w:type="spellStart"/>
      <w:r w:rsidRPr="00823BDC">
        <w:rPr>
          <w:szCs w:val="22"/>
        </w:rPr>
        <w:t>cyklosporínu</w:t>
      </w:r>
      <w:proofErr w:type="spellEnd"/>
      <w:r w:rsidRPr="00823BDC">
        <w:rPr>
          <w:szCs w:val="22"/>
        </w:rPr>
        <w:t xml:space="preserve"> na 7. deň k priemernému nárastu AUC </w:t>
      </w:r>
      <w:proofErr w:type="spellStart"/>
      <w:r w:rsidRPr="00823BDC">
        <w:rPr>
          <w:szCs w:val="22"/>
        </w:rPr>
        <w:t>cyklosporínu</w:t>
      </w:r>
      <w:proofErr w:type="spellEnd"/>
      <w:r w:rsidRPr="00823BDC">
        <w:rPr>
          <w:szCs w:val="22"/>
        </w:rPr>
        <w:t xml:space="preserve"> o 15 % (rozsah 10 % pokles až 51 % nárast) v porovnaní s jednorazovou dávkou </w:t>
      </w:r>
      <w:r w:rsidR="000A25EB" w:rsidRPr="00823BDC">
        <w:rPr>
          <w:szCs w:val="22"/>
        </w:rPr>
        <w:t xml:space="preserve">100 mg </w:t>
      </w:r>
      <w:r w:rsidR="00414212" w:rsidRPr="00823BDC">
        <w:rPr>
          <w:szCs w:val="22"/>
        </w:rPr>
        <w:t xml:space="preserve">samotného </w:t>
      </w:r>
      <w:proofErr w:type="spellStart"/>
      <w:r w:rsidRPr="00823BDC">
        <w:rPr>
          <w:szCs w:val="22"/>
        </w:rPr>
        <w:t>cyklosporínu</w:t>
      </w:r>
      <w:proofErr w:type="spellEnd"/>
      <w:r w:rsidRPr="00823BDC">
        <w:rPr>
          <w:szCs w:val="22"/>
        </w:rPr>
        <w:t xml:space="preserve">. Kontrolovaná štúdia účinku súbežného podávania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na expozíciu </w:t>
      </w:r>
      <w:proofErr w:type="spellStart"/>
      <w:r w:rsidRPr="00823BDC">
        <w:rPr>
          <w:szCs w:val="22"/>
        </w:rPr>
        <w:t>cyklosporínu</w:t>
      </w:r>
      <w:proofErr w:type="spellEnd"/>
      <w:r w:rsidRPr="00823BDC">
        <w:rPr>
          <w:szCs w:val="22"/>
        </w:rPr>
        <w:t xml:space="preserve"> u pacientov po transplantácii obličky sa </w:t>
      </w:r>
      <w:r w:rsidR="00414212" w:rsidRPr="00823BDC">
        <w:rPr>
          <w:szCs w:val="22"/>
        </w:rPr>
        <w:t>nevykonala</w:t>
      </w:r>
      <w:r w:rsidRPr="00823BDC">
        <w:rPr>
          <w:szCs w:val="22"/>
        </w:rPr>
        <w:t>.</w:t>
      </w:r>
      <w:r w:rsidRPr="00823BDC">
        <w:rPr>
          <w:bCs/>
          <w:iCs/>
          <w:szCs w:val="22"/>
        </w:rPr>
        <w:t xml:space="preserve"> </w:t>
      </w:r>
      <w:r w:rsidR="00272CA6" w:rsidRPr="00823BDC">
        <w:rPr>
          <w:snapToGrid w:val="0"/>
          <w:szCs w:val="22"/>
        </w:rPr>
        <w:t xml:space="preserve">Súbežné podávanie </w:t>
      </w:r>
      <w:proofErr w:type="spellStart"/>
      <w:r w:rsidR="00FB7E90" w:rsidRPr="00823BDC">
        <w:rPr>
          <w:snapToGrid w:val="0"/>
          <w:szCs w:val="22"/>
        </w:rPr>
        <w:t>Cornusanu</w:t>
      </w:r>
      <w:proofErr w:type="spellEnd"/>
      <w:r w:rsidR="00272CA6" w:rsidRPr="00823BDC">
        <w:rPr>
          <w:snapToGrid w:val="0"/>
          <w:szCs w:val="22"/>
        </w:rPr>
        <w:t xml:space="preserve"> s </w:t>
      </w:r>
      <w:proofErr w:type="spellStart"/>
      <w:r w:rsidR="00272CA6" w:rsidRPr="00823BDC">
        <w:rPr>
          <w:snapToGrid w:val="0"/>
          <w:szCs w:val="22"/>
        </w:rPr>
        <w:t>cyklosporínom</w:t>
      </w:r>
      <w:proofErr w:type="spellEnd"/>
      <w:r w:rsidR="00272CA6" w:rsidRPr="00823BDC">
        <w:rPr>
          <w:snapToGrid w:val="0"/>
          <w:szCs w:val="22"/>
        </w:rPr>
        <w:t xml:space="preserve"> je kontraindikované (pozri časť 4.3)</w:t>
      </w:r>
      <w:r w:rsidRPr="00823BDC">
        <w:rPr>
          <w:snapToGrid w:val="0"/>
          <w:szCs w:val="22"/>
        </w:rPr>
        <w:t>.</w:t>
      </w:r>
    </w:p>
    <w:p w14:paraId="5D7762DD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8189B7D" w14:textId="67872DC4" w:rsidR="00864F69" w:rsidRPr="00823BDC" w:rsidRDefault="00D044EB">
      <w:pPr>
        <w:adjustRightInd w:val="0"/>
        <w:snapToGrid w:val="0"/>
        <w:rPr>
          <w:i/>
          <w:szCs w:val="22"/>
        </w:rPr>
      </w:pPr>
      <w:proofErr w:type="spellStart"/>
      <w:r w:rsidRPr="00823BDC">
        <w:rPr>
          <w:i/>
          <w:szCs w:val="22"/>
        </w:rPr>
        <w:t>Fibráty</w:t>
      </w:r>
      <w:proofErr w:type="spellEnd"/>
      <w:r w:rsidRPr="00823BDC">
        <w:rPr>
          <w:i/>
          <w:szCs w:val="22"/>
        </w:rPr>
        <w:t xml:space="preserve"> </w:t>
      </w:r>
    </w:p>
    <w:p w14:paraId="7311F721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Súbežné pod</w:t>
      </w:r>
      <w:r w:rsidR="005A3E3E" w:rsidRPr="00823BDC">
        <w:rPr>
          <w:szCs w:val="22"/>
        </w:rPr>
        <w:t>áva</w:t>
      </w:r>
      <w:r w:rsidRPr="00823BDC">
        <w:rPr>
          <w:szCs w:val="22"/>
        </w:rPr>
        <w:t xml:space="preserve">nie </w:t>
      </w:r>
      <w:proofErr w:type="spellStart"/>
      <w:r w:rsidRPr="00823BDC">
        <w:rPr>
          <w:szCs w:val="22"/>
        </w:rPr>
        <w:t>fenofibrátu</w:t>
      </w:r>
      <w:proofErr w:type="spellEnd"/>
      <w:r w:rsidRPr="00823BDC">
        <w:rPr>
          <w:szCs w:val="22"/>
        </w:rPr>
        <w:t xml:space="preserve"> alebo </w:t>
      </w:r>
      <w:proofErr w:type="spellStart"/>
      <w:r w:rsidRPr="00823BDC">
        <w:rPr>
          <w:szCs w:val="22"/>
        </w:rPr>
        <w:t>gemfibrozilu</w:t>
      </w:r>
      <w:proofErr w:type="spellEnd"/>
      <w:r w:rsidRPr="00823BDC">
        <w:rPr>
          <w:szCs w:val="22"/>
        </w:rPr>
        <w:t xml:space="preserve"> zvýšilo koncentrácie celkového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približne 1,5</w:t>
      </w:r>
      <w:r w:rsidRPr="00823BDC">
        <w:rPr>
          <w:szCs w:val="22"/>
        </w:rPr>
        <w:noBreakHyphen/>
        <w:t xml:space="preserve"> a 1,7</w:t>
      </w:r>
      <w:r w:rsidRPr="00823BDC">
        <w:rPr>
          <w:szCs w:val="22"/>
        </w:rPr>
        <w:noBreakHyphen/>
        <w:t xml:space="preserve">násobne v uvedenom poradí. Hoci sa tieto zvýšenia nepovažujú za klinicky významné, súbežné podávanie </w:t>
      </w:r>
      <w:proofErr w:type="spellStart"/>
      <w:r w:rsidR="00FB7E90" w:rsidRPr="00823BDC">
        <w:rPr>
          <w:szCs w:val="22"/>
        </w:rPr>
        <w:t>Cornusanu</w:t>
      </w:r>
      <w:proofErr w:type="spellEnd"/>
      <w:r w:rsidRPr="00823BDC">
        <w:rPr>
          <w:szCs w:val="22"/>
        </w:rPr>
        <w:t xml:space="preserve"> s </w:t>
      </w:r>
      <w:proofErr w:type="spellStart"/>
      <w:r w:rsidR="00272CA6" w:rsidRPr="00823BDC">
        <w:rPr>
          <w:szCs w:val="22"/>
        </w:rPr>
        <w:t>gemfibrozilom</w:t>
      </w:r>
      <w:proofErr w:type="spellEnd"/>
      <w:r w:rsidR="00272CA6" w:rsidRPr="00823BDC">
        <w:rPr>
          <w:szCs w:val="22"/>
        </w:rPr>
        <w:t xml:space="preserve"> je kontraindikované a s ostatnými</w:t>
      </w:r>
      <w:r w:rsidR="00953D89"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fibrátmi</w:t>
      </w:r>
      <w:proofErr w:type="spellEnd"/>
      <w:r w:rsidRPr="00823BDC">
        <w:rPr>
          <w:szCs w:val="22"/>
        </w:rPr>
        <w:t xml:space="preserve"> sa neodporúča (pozri </w:t>
      </w:r>
      <w:r w:rsidR="00367B5B" w:rsidRPr="00823BDC">
        <w:rPr>
          <w:szCs w:val="22"/>
        </w:rPr>
        <w:t>časti 4.3 a </w:t>
      </w:r>
      <w:r w:rsidRPr="00823BDC">
        <w:rPr>
          <w:szCs w:val="22"/>
        </w:rPr>
        <w:t>4.4).</w:t>
      </w:r>
    </w:p>
    <w:p w14:paraId="13429C56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7D743FB8" w14:textId="77777777" w:rsidR="00D044EB" w:rsidRPr="00823BDC" w:rsidRDefault="00D044EB">
      <w:pPr>
        <w:keepNext/>
        <w:adjustRightInd w:val="0"/>
        <w:snapToGrid w:val="0"/>
        <w:rPr>
          <w:i/>
          <w:szCs w:val="22"/>
          <w:u w:val="single"/>
        </w:rPr>
      </w:pPr>
      <w:proofErr w:type="spellStart"/>
      <w:r w:rsidRPr="00823BDC">
        <w:rPr>
          <w:i/>
          <w:szCs w:val="22"/>
          <w:u w:val="single"/>
        </w:rPr>
        <w:lastRenderedPageBreak/>
        <w:t>Simvastatín</w:t>
      </w:r>
      <w:proofErr w:type="spellEnd"/>
    </w:p>
    <w:p w14:paraId="6FBD63B0" w14:textId="47FDAB9C" w:rsidR="00D044EB" w:rsidRPr="00823BDC" w:rsidRDefault="00D044EB">
      <w:pPr>
        <w:adjustRightInd w:val="0"/>
        <w:snapToGrid w:val="0"/>
        <w:rPr>
          <w:snapToGrid w:val="0"/>
          <w:szCs w:val="22"/>
        </w:rPr>
      </w:pPr>
      <w:proofErr w:type="spellStart"/>
      <w:r w:rsidRPr="00823BDC">
        <w:rPr>
          <w:snapToGrid w:val="0"/>
          <w:szCs w:val="22"/>
        </w:rPr>
        <w:t>Simvastatín</w:t>
      </w:r>
      <w:proofErr w:type="spellEnd"/>
      <w:r w:rsidRPr="00823BDC">
        <w:rPr>
          <w:snapToGrid w:val="0"/>
          <w:szCs w:val="22"/>
        </w:rPr>
        <w:t xml:space="preserve"> je substrát</w:t>
      </w:r>
      <w:r w:rsidR="00827587" w:rsidRPr="00823BDC">
        <w:rPr>
          <w:snapToGrid w:val="0"/>
          <w:szCs w:val="22"/>
        </w:rPr>
        <w:t>om</w:t>
      </w:r>
      <w:r w:rsidRPr="00823BDC">
        <w:rPr>
          <w:snapToGrid w:val="0"/>
          <w:szCs w:val="22"/>
        </w:rPr>
        <w:t xml:space="preserve"> cytochrómu P450 3A4. Silné inhibítory cytochrómu P450 3A4 zvyšujú riziko </w:t>
      </w:r>
      <w:proofErr w:type="spellStart"/>
      <w:r w:rsidRPr="00823BDC">
        <w:rPr>
          <w:snapToGrid w:val="0"/>
          <w:szCs w:val="22"/>
        </w:rPr>
        <w:t>myopatie</w:t>
      </w:r>
      <w:proofErr w:type="spellEnd"/>
      <w:r w:rsidRPr="00823BDC">
        <w:rPr>
          <w:snapToGrid w:val="0"/>
          <w:szCs w:val="22"/>
        </w:rPr>
        <w:t xml:space="preserve"> a </w:t>
      </w:r>
      <w:proofErr w:type="spellStart"/>
      <w:r w:rsidRPr="00823BDC">
        <w:rPr>
          <w:snapToGrid w:val="0"/>
          <w:szCs w:val="22"/>
        </w:rPr>
        <w:t>rabdomyolýzy</w:t>
      </w:r>
      <w:proofErr w:type="spellEnd"/>
      <w:r w:rsidRPr="00823BDC">
        <w:rPr>
          <w:snapToGrid w:val="0"/>
          <w:szCs w:val="22"/>
        </w:rPr>
        <w:t xml:space="preserve"> </w:t>
      </w:r>
      <w:r w:rsidR="008079A7" w:rsidRPr="00823BDC">
        <w:rPr>
          <w:snapToGrid w:val="0"/>
          <w:szCs w:val="22"/>
        </w:rPr>
        <w:t xml:space="preserve">tým, že </w:t>
      </w:r>
      <w:r w:rsidRPr="00823BDC">
        <w:rPr>
          <w:snapToGrid w:val="0"/>
          <w:szCs w:val="22"/>
        </w:rPr>
        <w:t>zv</w:t>
      </w:r>
      <w:r w:rsidR="006147B2" w:rsidRPr="00823BDC">
        <w:rPr>
          <w:snapToGrid w:val="0"/>
          <w:szCs w:val="22"/>
        </w:rPr>
        <w:t>y</w:t>
      </w:r>
      <w:r w:rsidRPr="00823BDC">
        <w:rPr>
          <w:snapToGrid w:val="0"/>
          <w:szCs w:val="22"/>
        </w:rPr>
        <w:t>š</w:t>
      </w:r>
      <w:r w:rsidR="008079A7" w:rsidRPr="00823BDC">
        <w:rPr>
          <w:snapToGrid w:val="0"/>
          <w:szCs w:val="22"/>
        </w:rPr>
        <w:t>ujú</w:t>
      </w:r>
      <w:r w:rsidRPr="00823BDC">
        <w:rPr>
          <w:snapToGrid w:val="0"/>
          <w:szCs w:val="22"/>
        </w:rPr>
        <w:t xml:space="preserve"> </w:t>
      </w:r>
      <w:r w:rsidR="008079A7" w:rsidRPr="00823BDC">
        <w:rPr>
          <w:snapToGrid w:val="0"/>
          <w:szCs w:val="22"/>
        </w:rPr>
        <w:t xml:space="preserve">plazmatickú </w:t>
      </w:r>
      <w:r w:rsidRPr="00823BDC">
        <w:rPr>
          <w:snapToGrid w:val="0"/>
          <w:szCs w:val="22"/>
        </w:rPr>
        <w:t>koncentráci</w:t>
      </w:r>
      <w:r w:rsidR="008079A7" w:rsidRPr="00823BDC">
        <w:rPr>
          <w:snapToGrid w:val="0"/>
          <w:szCs w:val="22"/>
        </w:rPr>
        <w:t>u</w:t>
      </w:r>
      <w:r w:rsidRPr="00823BDC">
        <w:rPr>
          <w:snapToGrid w:val="0"/>
          <w:szCs w:val="22"/>
        </w:rPr>
        <w:t xml:space="preserve"> </w:t>
      </w:r>
      <w:r w:rsidR="008079A7" w:rsidRPr="00823BDC">
        <w:rPr>
          <w:snapToGrid w:val="0"/>
          <w:szCs w:val="22"/>
        </w:rPr>
        <w:t>inhibítorov</w:t>
      </w:r>
      <w:r w:rsidR="00443890" w:rsidRPr="00823BDC">
        <w:rPr>
          <w:snapToGrid w:val="0"/>
          <w:szCs w:val="22"/>
        </w:rPr>
        <w:t xml:space="preserve"> </w:t>
      </w:r>
      <w:r w:rsidR="00B726B5">
        <w:rPr>
          <w:snapToGrid w:val="0"/>
          <w:szCs w:val="22"/>
        </w:rPr>
        <w:t>HMG-</w:t>
      </w:r>
      <w:proofErr w:type="spellStart"/>
      <w:r w:rsidR="00B726B5">
        <w:rPr>
          <w:snapToGrid w:val="0"/>
          <w:szCs w:val="22"/>
        </w:rPr>
        <w:t>CoA</w:t>
      </w:r>
      <w:proofErr w:type="spellEnd"/>
      <w:r w:rsidR="008079A7" w:rsidRPr="00823BDC">
        <w:rPr>
          <w:snapToGrid w:val="0"/>
          <w:szCs w:val="22"/>
        </w:rPr>
        <w:t>-</w:t>
      </w:r>
      <w:proofErr w:type="spellStart"/>
      <w:r w:rsidRPr="00823BDC">
        <w:rPr>
          <w:snapToGrid w:val="0"/>
          <w:szCs w:val="22"/>
        </w:rPr>
        <w:t>reduktáz</w:t>
      </w:r>
      <w:r w:rsidR="008079A7" w:rsidRPr="00823BDC">
        <w:rPr>
          <w:snapToGrid w:val="0"/>
          <w:szCs w:val="22"/>
        </w:rPr>
        <w:t>y</w:t>
      </w:r>
      <w:proofErr w:type="spellEnd"/>
      <w:r w:rsidRPr="00823BDC">
        <w:rPr>
          <w:snapToGrid w:val="0"/>
          <w:szCs w:val="22"/>
        </w:rPr>
        <w:t xml:space="preserve"> počas </w:t>
      </w:r>
      <w:r w:rsidR="009B72C0" w:rsidRPr="00823BDC">
        <w:rPr>
          <w:snapToGrid w:val="0"/>
          <w:szCs w:val="22"/>
        </w:rPr>
        <w:t>liečby</w:t>
      </w:r>
      <w:r w:rsidRPr="00823BDC">
        <w:rPr>
          <w:snapToGrid w:val="0"/>
          <w:szCs w:val="22"/>
        </w:rPr>
        <w:t xml:space="preserve"> </w:t>
      </w:r>
      <w:proofErr w:type="spellStart"/>
      <w:r w:rsidRPr="00823BDC">
        <w:rPr>
          <w:snapToGrid w:val="0"/>
          <w:szCs w:val="22"/>
        </w:rPr>
        <w:t>simvastatínom</w:t>
      </w:r>
      <w:proofErr w:type="spellEnd"/>
      <w:r w:rsidRPr="00823BDC">
        <w:rPr>
          <w:snapToGrid w:val="0"/>
          <w:szCs w:val="22"/>
        </w:rPr>
        <w:t xml:space="preserve">. K týmto inhibítorom patrí </w:t>
      </w:r>
      <w:proofErr w:type="spellStart"/>
      <w:r w:rsidRPr="00823BDC">
        <w:rPr>
          <w:snapToGrid w:val="0"/>
          <w:szCs w:val="22"/>
        </w:rPr>
        <w:t>itrakonazol</w:t>
      </w:r>
      <w:proofErr w:type="spellEnd"/>
      <w:r w:rsidRPr="00823BDC">
        <w:rPr>
          <w:snapToGrid w:val="0"/>
          <w:szCs w:val="22"/>
        </w:rPr>
        <w:t xml:space="preserve">, </w:t>
      </w:r>
      <w:proofErr w:type="spellStart"/>
      <w:r w:rsidRPr="00823BDC">
        <w:rPr>
          <w:snapToGrid w:val="0"/>
          <w:szCs w:val="22"/>
        </w:rPr>
        <w:t>ketokonazol</w:t>
      </w:r>
      <w:proofErr w:type="spellEnd"/>
      <w:r w:rsidRPr="00823BDC">
        <w:rPr>
          <w:snapToGrid w:val="0"/>
          <w:szCs w:val="22"/>
        </w:rPr>
        <w:t xml:space="preserve">, </w:t>
      </w:r>
      <w:proofErr w:type="spellStart"/>
      <w:r w:rsidR="00392DDE" w:rsidRPr="00823BDC">
        <w:rPr>
          <w:snapToGrid w:val="0"/>
          <w:szCs w:val="22"/>
        </w:rPr>
        <w:t>posakonazol</w:t>
      </w:r>
      <w:proofErr w:type="spellEnd"/>
      <w:r w:rsidR="00392DDE" w:rsidRPr="00823BDC">
        <w:rPr>
          <w:snapToGrid w:val="0"/>
          <w:szCs w:val="22"/>
        </w:rPr>
        <w:t xml:space="preserve">, </w:t>
      </w:r>
      <w:proofErr w:type="spellStart"/>
      <w:r w:rsidR="003D75A7" w:rsidRPr="00823BDC">
        <w:rPr>
          <w:snapToGrid w:val="0"/>
          <w:szCs w:val="22"/>
        </w:rPr>
        <w:t>vorikonazol</w:t>
      </w:r>
      <w:proofErr w:type="spellEnd"/>
      <w:r w:rsidR="003D75A7" w:rsidRPr="00823BDC">
        <w:rPr>
          <w:snapToGrid w:val="0"/>
          <w:szCs w:val="22"/>
        </w:rPr>
        <w:t xml:space="preserve">, </w:t>
      </w:r>
      <w:proofErr w:type="spellStart"/>
      <w:r w:rsidRPr="00823BDC">
        <w:rPr>
          <w:snapToGrid w:val="0"/>
          <w:szCs w:val="22"/>
        </w:rPr>
        <w:t>erytromycín</w:t>
      </w:r>
      <w:proofErr w:type="spellEnd"/>
      <w:r w:rsidRPr="00823BDC">
        <w:rPr>
          <w:snapToGrid w:val="0"/>
          <w:szCs w:val="22"/>
        </w:rPr>
        <w:t xml:space="preserve">, </w:t>
      </w:r>
      <w:proofErr w:type="spellStart"/>
      <w:r w:rsidRPr="00823BDC">
        <w:rPr>
          <w:snapToGrid w:val="0"/>
          <w:szCs w:val="22"/>
        </w:rPr>
        <w:t>klaritromycín</w:t>
      </w:r>
      <w:proofErr w:type="spellEnd"/>
      <w:r w:rsidRPr="00823BDC">
        <w:rPr>
          <w:snapToGrid w:val="0"/>
          <w:szCs w:val="22"/>
        </w:rPr>
        <w:t xml:space="preserve">, </w:t>
      </w:r>
      <w:proofErr w:type="spellStart"/>
      <w:r w:rsidRPr="00823BDC">
        <w:rPr>
          <w:snapToGrid w:val="0"/>
          <w:szCs w:val="22"/>
        </w:rPr>
        <w:t>telitromycín</w:t>
      </w:r>
      <w:proofErr w:type="spellEnd"/>
      <w:r w:rsidRPr="00823BDC">
        <w:rPr>
          <w:snapToGrid w:val="0"/>
          <w:szCs w:val="22"/>
        </w:rPr>
        <w:t xml:space="preserve">, inhibítory HIV proteázy </w:t>
      </w:r>
      <w:r w:rsidR="00392DDE" w:rsidRPr="00823BDC">
        <w:rPr>
          <w:snapToGrid w:val="0"/>
          <w:szCs w:val="22"/>
        </w:rPr>
        <w:t xml:space="preserve">(napr. </w:t>
      </w:r>
      <w:proofErr w:type="spellStart"/>
      <w:r w:rsidR="00392DDE" w:rsidRPr="00823BDC">
        <w:rPr>
          <w:snapToGrid w:val="0"/>
          <w:szCs w:val="22"/>
        </w:rPr>
        <w:t>nelfinavir</w:t>
      </w:r>
      <w:proofErr w:type="spellEnd"/>
      <w:r w:rsidR="00392DDE" w:rsidRPr="00823BDC">
        <w:rPr>
          <w:snapToGrid w:val="0"/>
          <w:szCs w:val="22"/>
        </w:rPr>
        <w:t>)</w:t>
      </w:r>
      <w:r w:rsidR="00770B13" w:rsidRPr="00823BDC">
        <w:rPr>
          <w:snapToGrid w:val="0"/>
          <w:szCs w:val="22"/>
        </w:rPr>
        <w:t>,</w:t>
      </w:r>
      <w:r w:rsidR="00392DDE" w:rsidRPr="00823BDC">
        <w:rPr>
          <w:snapToGrid w:val="0"/>
          <w:szCs w:val="22"/>
        </w:rPr>
        <w:t xml:space="preserve"> </w:t>
      </w:r>
      <w:proofErr w:type="spellStart"/>
      <w:r w:rsidR="00770B13" w:rsidRPr="00823BDC">
        <w:rPr>
          <w:snapToGrid w:val="0"/>
          <w:szCs w:val="22"/>
        </w:rPr>
        <w:t>boceprevir</w:t>
      </w:r>
      <w:proofErr w:type="spellEnd"/>
      <w:r w:rsidR="00770B13" w:rsidRPr="00823BDC">
        <w:rPr>
          <w:snapToGrid w:val="0"/>
          <w:szCs w:val="22"/>
        </w:rPr>
        <w:t xml:space="preserve">, </w:t>
      </w:r>
      <w:proofErr w:type="spellStart"/>
      <w:r w:rsidR="00770B13" w:rsidRPr="00823BDC">
        <w:rPr>
          <w:snapToGrid w:val="0"/>
          <w:szCs w:val="22"/>
        </w:rPr>
        <w:t>telaprevir</w:t>
      </w:r>
      <w:proofErr w:type="spellEnd"/>
      <w:r w:rsidR="00D86BF0" w:rsidRPr="00823BDC">
        <w:rPr>
          <w:snapToGrid w:val="0"/>
          <w:szCs w:val="22"/>
        </w:rPr>
        <w:t xml:space="preserve">, </w:t>
      </w:r>
      <w:proofErr w:type="spellStart"/>
      <w:r w:rsidRPr="00823BDC">
        <w:rPr>
          <w:snapToGrid w:val="0"/>
          <w:szCs w:val="22"/>
        </w:rPr>
        <w:t>nefazodón</w:t>
      </w:r>
      <w:proofErr w:type="spellEnd"/>
      <w:r w:rsidR="00D86BF0" w:rsidRPr="00823BDC">
        <w:rPr>
          <w:snapToGrid w:val="0"/>
          <w:szCs w:val="22"/>
        </w:rPr>
        <w:t xml:space="preserve"> a </w:t>
      </w:r>
      <w:r w:rsidR="00D86BF0" w:rsidRPr="00823BDC">
        <w:rPr>
          <w:szCs w:val="22"/>
        </w:rPr>
        <w:t xml:space="preserve">lieky obsahujúce </w:t>
      </w:r>
      <w:proofErr w:type="spellStart"/>
      <w:r w:rsidR="0026767E" w:rsidRPr="00823BDC">
        <w:rPr>
          <w:szCs w:val="22"/>
        </w:rPr>
        <w:t>k</w:t>
      </w:r>
      <w:r w:rsidR="00D86BF0" w:rsidRPr="00823BDC">
        <w:rPr>
          <w:szCs w:val="22"/>
        </w:rPr>
        <w:t>obicist</w:t>
      </w:r>
      <w:r w:rsidR="00827587" w:rsidRPr="00823BDC">
        <w:rPr>
          <w:szCs w:val="22"/>
        </w:rPr>
        <w:t>á</w:t>
      </w:r>
      <w:r w:rsidR="00D86BF0" w:rsidRPr="00823BDC">
        <w:rPr>
          <w:szCs w:val="22"/>
        </w:rPr>
        <w:t>t</w:t>
      </w:r>
      <w:proofErr w:type="spellEnd"/>
      <w:r w:rsidRPr="00823BDC">
        <w:rPr>
          <w:snapToGrid w:val="0"/>
          <w:szCs w:val="22"/>
        </w:rPr>
        <w:t xml:space="preserve">. Súbežné podávanie </w:t>
      </w:r>
      <w:proofErr w:type="spellStart"/>
      <w:r w:rsidRPr="00823BDC">
        <w:rPr>
          <w:snapToGrid w:val="0"/>
          <w:szCs w:val="22"/>
        </w:rPr>
        <w:t>itrakonazolu</w:t>
      </w:r>
      <w:proofErr w:type="spellEnd"/>
      <w:r w:rsidRPr="00823BDC">
        <w:rPr>
          <w:snapToGrid w:val="0"/>
          <w:szCs w:val="22"/>
        </w:rPr>
        <w:t xml:space="preserve"> viedlo k viac ako 10</w:t>
      </w:r>
      <w:r w:rsidRPr="00823BDC">
        <w:rPr>
          <w:snapToGrid w:val="0"/>
          <w:szCs w:val="22"/>
        </w:rPr>
        <w:noBreakHyphen/>
        <w:t>násobnému zvýšeniu expozíci</w:t>
      </w:r>
      <w:r w:rsidR="00827587" w:rsidRPr="00823BDC">
        <w:rPr>
          <w:snapToGrid w:val="0"/>
          <w:szCs w:val="22"/>
        </w:rPr>
        <w:t>e</w:t>
      </w:r>
      <w:r w:rsidRPr="00823BDC">
        <w:rPr>
          <w:snapToGrid w:val="0"/>
          <w:szCs w:val="22"/>
        </w:rPr>
        <w:t xml:space="preserve"> kyseline </w:t>
      </w:r>
      <w:proofErr w:type="spellStart"/>
      <w:r w:rsidRPr="00823BDC">
        <w:rPr>
          <w:snapToGrid w:val="0"/>
          <w:szCs w:val="22"/>
        </w:rPr>
        <w:t>simvastatínovej</w:t>
      </w:r>
      <w:proofErr w:type="spellEnd"/>
      <w:r w:rsidRPr="00823BDC">
        <w:rPr>
          <w:snapToGrid w:val="0"/>
          <w:szCs w:val="22"/>
        </w:rPr>
        <w:t xml:space="preserve"> (aktívny beta-</w:t>
      </w:r>
      <w:proofErr w:type="spellStart"/>
      <w:r w:rsidRPr="00823BDC">
        <w:rPr>
          <w:snapToGrid w:val="0"/>
          <w:szCs w:val="22"/>
        </w:rPr>
        <w:t>hydroxykyselinový</w:t>
      </w:r>
      <w:proofErr w:type="spellEnd"/>
      <w:r w:rsidRPr="00823BDC">
        <w:rPr>
          <w:snapToGrid w:val="0"/>
          <w:szCs w:val="22"/>
        </w:rPr>
        <w:t xml:space="preserve"> metabolit). </w:t>
      </w:r>
      <w:proofErr w:type="spellStart"/>
      <w:r w:rsidRPr="00823BDC">
        <w:rPr>
          <w:snapToGrid w:val="0"/>
          <w:szCs w:val="22"/>
        </w:rPr>
        <w:t>Telitromycín</w:t>
      </w:r>
      <w:proofErr w:type="spellEnd"/>
      <w:r w:rsidRPr="00823BDC">
        <w:rPr>
          <w:snapToGrid w:val="0"/>
          <w:szCs w:val="22"/>
        </w:rPr>
        <w:t xml:space="preserve"> spôsobil 11</w:t>
      </w:r>
      <w:r w:rsidRPr="00823BDC">
        <w:rPr>
          <w:snapToGrid w:val="0"/>
          <w:szCs w:val="22"/>
        </w:rPr>
        <w:noBreakHyphen/>
        <w:t>násobné zvýšenie expozíci</w:t>
      </w:r>
      <w:r w:rsidR="00827587" w:rsidRPr="00823BDC">
        <w:rPr>
          <w:snapToGrid w:val="0"/>
          <w:szCs w:val="22"/>
        </w:rPr>
        <w:t>e</w:t>
      </w:r>
      <w:r w:rsidRPr="00823BDC">
        <w:rPr>
          <w:snapToGrid w:val="0"/>
          <w:szCs w:val="22"/>
        </w:rPr>
        <w:t xml:space="preserve"> kyseline </w:t>
      </w:r>
      <w:proofErr w:type="spellStart"/>
      <w:r w:rsidRPr="00823BDC">
        <w:rPr>
          <w:snapToGrid w:val="0"/>
          <w:szCs w:val="22"/>
        </w:rPr>
        <w:t>simvastatínovej</w:t>
      </w:r>
      <w:proofErr w:type="spellEnd"/>
      <w:r w:rsidRPr="00823BDC">
        <w:rPr>
          <w:snapToGrid w:val="0"/>
          <w:szCs w:val="22"/>
        </w:rPr>
        <w:t>.</w:t>
      </w:r>
    </w:p>
    <w:p w14:paraId="4FA63BDE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75380E6" w14:textId="77777777" w:rsidR="00516B93" w:rsidRPr="00823BDC" w:rsidRDefault="00D044EB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>Kombinácia s </w:t>
      </w:r>
      <w:proofErr w:type="spellStart"/>
      <w:r w:rsidRPr="00823BDC">
        <w:rPr>
          <w:snapToGrid w:val="0"/>
          <w:szCs w:val="22"/>
        </w:rPr>
        <w:t>itrakonazolom</w:t>
      </w:r>
      <w:proofErr w:type="spellEnd"/>
      <w:r w:rsidRPr="00823BDC">
        <w:rPr>
          <w:snapToGrid w:val="0"/>
          <w:szCs w:val="22"/>
        </w:rPr>
        <w:t xml:space="preserve">, </w:t>
      </w:r>
      <w:proofErr w:type="spellStart"/>
      <w:r w:rsidRPr="00823BDC">
        <w:rPr>
          <w:snapToGrid w:val="0"/>
          <w:szCs w:val="22"/>
        </w:rPr>
        <w:t>ketokonazolom</w:t>
      </w:r>
      <w:proofErr w:type="spellEnd"/>
      <w:r w:rsidRPr="00823BDC">
        <w:rPr>
          <w:snapToGrid w:val="0"/>
          <w:szCs w:val="22"/>
        </w:rPr>
        <w:t xml:space="preserve">, </w:t>
      </w:r>
      <w:proofErr w:type="spellStart"/>
      <w:r w:rsidR="00392DDE" w:rsidRPr="00823BDC">
        <w:rPr>
          <w:snapToGrid w:val="0"/>
          <w:szCs w:val="22"/>
        </w:rPr>
        <w:t>posakonazolom</w:t>
      </w:r>
      <w:proofErr w:type="spellEnd"/>
      <w:r w:rsidR="00392DDE" w:rsidRPr="00823BDC">
        <w:rPr>
          <w:snapToGrid w:val="0"/>
          <w:szCs w:val="22"/>
        </w:rPr>
        <w:t xml:space="preserve">, </w:t>
      </w:r>
      <w:proofErr w:type="spellStart"/>
      <w:r w:rsidR="003D75A7" w:rsidRPr="00823BDC">
        <w:rPr>
          <w:snapToGrid w:val="0"/>
          <w:szCs w:val="22"/>
        </w:rPr>
        <w:t>vorikonazol</w:t>
      </w:r>
      <w:r w:rsidR="003E7CD6" w:rsidRPr="00823BDC">
        <w:rPr>
          <w:snapToGrid w:val="0"/>
          <w:szCs w:val="22"/>
        </w:rPr>
        <w:t>om</w:t>
      </w:r>
      <w:proofErr w:type="spellEnd"/>
      <w:r w:rsidR="003D75A7" w:rsidRPr="00823BDC">
        <w:rPr>
          <w:snapToGrid w:val="0"/>
          <w:szCs w:val="22"/>
        </w:rPr>
        <w:t xml:space="preserve">, </w:t>
      </w:r>
      <w:r w:rsidRPr="00823BDC">
        <w:rPr>
          <w:snapToGrid w:val="0"/>
          <w:szCs w:val="22"/>
        </w:rPr>
        <w:t>inhibítormi HIV proteázy</w:t>
      </w:r>
      <w:r w:rsidR="00392DDE" w:rsidRPr="00823BDC">
        <w:rPr>
          <w:snapToGrid w:val="0"/>
          <w:szCs w:val="22"/>
        </w:rPr>
        <w:t xml:space="preserve"> (napr. </w:t>
      </w:r>
      <w:proofErr w:type="spellStart"/>
      <w:r w:rsidR="00392DDE" w:rsidRPr="00823BDC">
        <w:rPr>
          <w:snapToGrid w:val="0"/>
          <w:szCs w:val="22"/>
        </w:rPr>
        <w:t>nelfinavir</w:t>
      </w:r>
      <w:proofErr w:type="spellEnd"/>
      <w:r w:rsidR="00392DDE" w:rsidRPr="00823BDC">
        <w:rPr>
          <w:snapToGrid w:val="0"/>
          <w:szCs w:val="22"/>
        </w:rPr>
        <w:t>)</w:t>
      </w:r>
      <w:r w:rsidRPr="00823BDC">
        <w:rPr>
          <w:snapToGrid w:val="0"/>
          <w:szCs w:val="22"/>
        </w:rPr>
        <w:t xml:space="preserve">, </w:t>
      </w:r>
      <w:proofErr w:type="spellStart"/>
      <w:r w:rsidR="00770B13" w:rsidRPr="00823BDC">
        <w:rPr>
          <w:snapToGrid w:val="0"/>
          <w:szCs w:val="22"/>
        </w:rPr>
        <w:t>boceprevirom</w:t>
      </w:r>
      <w:proofErr w:type="spellEnd"/>
      <w:r w:rsidR="00770B13" w:rsidRPr="00823BDC">
        <w:rPr>
          <w:snapToGrid w:val="0"/>
          <w:szCs w:val="22"/>
        </w:rPr>
        <w:t xml:space="preserve">, </w:t>
      </w:r>
      <w:proofErr w:type="spellStart"/>
      <w:r w:rsidR="00770B13" w:rsidRPr="00823BDC">
        <w:rPr>
          <w:snapToGrid w:val="0"/>
          <w:szCs w:val="22"/>
        </w:rPr>
        <w:t>telaprevirom</w:t>
      </w:r>
      <w:proofErr w:type="spellEnd"/>
      <w:r w:rsidR="00770B13" w:rsidRPr="00823BDC">
        <w:rPr>
          <w:snapToGrid w:val="0"/>
          <w:szCs w:val="22"/>
        </w:rPr>
        <w:t xml:space="preserve">, </w:t>
      </w:r>
      <w:proofErr w:type="spellStart"/>
      <w:r w:rsidRPr="00823BDC">
        <w:rPr>
          <w:snapToGrid w:val="0"/>
          <w:szCs w:val="22"/>
        </w:rPr>
        <w:t>erytromycínom</w:t>
      </w:r>
      <w:proofErr w:type="spellEnd"/>
      <w:r w:rsidRPr="00823BDC">
        <w:rPr>
          <w:snapToGrid w:val="0"/>
          <w:szCs w:val="22"/>
        </w:rPr>
        <w:t xml:space="preserve">, </w:t>
      </w:r>
      <w:proofErr w:type="spellStart"/>
      <w:r w:rsidRPr="00823BDC">
        <w:rPr>
          <w:snapToGrid w:val="0"/>
          <w:szCs w:val="22"/>
        </w:rPr>
        <w:t>klaritromycínom</w:t>
      </w:r>
      <w:proofErr w:type="spellEnd"/>
      <w:r w:rsidRPr="00823BDC">
        <w:rPr>
          <w:snapToGrid w:val="0"/>
          <w:szCs w:val="22"/>
        </w:rPr>
        <w:t xml:space="preserve">, </w:t>
      </w:r>
      <w:proofErr w:type="spellStart"/>
      <w:r w:rsidRPr="00823BDC">
        <w:rPr>
          <w:snapToGrid w:val="0"/>
          <w:szCs w:val="22"/>
        </w:rPr>
        <w:t>telitromycínom</w:t>
      </w:r>
      <w:proofErr w:type="spellEnd"/>
      <w:r w:rsidR="00D86BF0" w:rsidRPr="00823BDC">
        <w:rPr>
          <w:snapToGrid w:val="0"/>
          <w:szCs w:val="22"/>
        </w:rPr>
        <w:t xml:space="preserve">, </w:t>
      </w:r>
      <w:proofErr w:type="spellStart"/>
      <w:r w:rsidRPr="00823BDC">
        <w:rPr>
          <w:snapToGrid w:val="0"/>
          <w:szCs w:val="22"/>
        </w:rPr>
        <w:t>nefazodónom</w:t>
      </w:r>
      <w:proofErr w:type="spellEnd"/>
      <w:r w:rsidR="00D86BF0" w:rsidRPr="00823BDC">
        <w:rPr>
          <w:snapToGrid w:val="0"/>
          <w:szCs w:val="22"/>
        </w:rPr>
        <w:t xml:space="preserve"> a </w:t>
      </w:r>
      <w:r w:rsidR="00D86BF0" w:rsidRPr="00823BDC">
        <w:rPr>
          <w:szCs w:val="22"/>
        </w:rPr>
        <w:t xml:space="preserve">liekmi obsahujúcimi </w:t>
      </w:r>
      <w:proofErr w:type="spellStart"/>
      <w:r w:rsidR="0026767E" w:rsidRPr="00823BDC">
        <w:rPr>
          <w:szCs w:val="22"/>
        </w:rPr>
        <w:t>k</w:t>
      </w:r>
      <w:r w:rsidR="00D86BF0" w:rsidRPr="00823BDC">
        <w:rPr>
          <w:szCs w:val="22"/>
        </w:rPr>
        <w:t>obicist</w:t>
      </w:r>
      <w:r w:rsidR="00727BB7" w:rsidRPr="00823BDC">
        <w:rPr>
          <w:szCs w:val="22"/>
        </w:rPr>
        <w:t>á</w:t>
      </w:r>
      <w:r w:rsidR="00D86BF0" w:rsidRPr="00823BDC">
        <w:rPr>
          <w:szCs w:val="22"/>
        </w:rPr>
        <w:t>t</w:t>
      </w:r>
      <w:proofErr w:type="spellEnd"/>
      <w:r w:rsidRPr="00823BDC">
        <w:rPr>
          <w:snapToGrid w:val="0"/>
          <w:szCs w:val="22"/>
        </w:rPr>
        <w:t xml:space="preserve"> </w:t>
      </w:r>
      <w:r w:rsidR="00272CA6" w:rsidRPr="00823BDC">
        <w:rPr>
          <w:snapToGrid w:val="0"/>
          <w:szCs w:val="22"/>
        </w:rPr>
        <w:t>ako aj s </w:t>
      </w:r>
      <w:proofErr w:type="spellStart"/>
      <w:r w:rsidR="00272CA6" w:rsidRPr="00823BDC">
        <w:rPr>
          <w:snapToGrid w:val="0"/>
          <w:szCs w:val="22"/>
        </w:rPr>
        <w:t>gemfibrozilom</w:t>
      </w:r>
      <w:proofErr w:type="spellEnd"/>
      <w:r w:rsidR="00272CA6" w:rsidRPr="00823BDC">
        <w:rPr>
          <w:snapToGrid w:val="0"/>
          <w:szCs w:val="22"/>
        </w:rPr>
        <w:t xml:space="preserve">, </w:t>
      </w:r>
      <w:proofErr w:type="spellStart"/>
      <w:r w:rsidR="00272CA6" w:rsidRPr="00823BDC">
        <w:rPr>
          <w:snapToGrid w:val="0"/>
          <w:szCs w:val="22"/>
        </w:rPr>
        <w:t>cyklosporínom</w:t>
      </w:r>
      <w:proofErr w:type="spellEnd"/>
      <w:r w:rsidR="00272CA6" w:rsidRPr="00823BDC">
        <w:rPr>
          <w:snapToGrid w:val="0"/>
          <w:szCs w:val="22"/>
        </w:rPr>
        <w:t xml:space="preserve"> a </w:t>
      </w:r>
      <w:proofErr w:type="spellStart"/>
      <w:r w:rsidR="00272CA6" w:rsidRPr="00823BDC">
        <w:rPr>
          <w:snapToGrid w:val="0"/>
          <w:szCs w:val="22"/>
        </w:rPr>
        <w:t>danazolom</w:t>
      </w:r>
      <w:proofErr w:type="spellEnd"/>
      <w:r w:rsidR="00272CA6" w:rsidRPr="00823BDC">
        <w:rPr>
          <w:snapToGrid w:val="0"/>
          <w:szCs w:val="22"/>
        </w:rPr>
        <w:t xml:space="preserve"> </w:t>
      </w:r>
      <w:r w:rsidRPr="00823BDC">
        <w:rPr>
          <w:snapToGrid w:val="0"/>
          <w:szCs w:val="22"/>
        </w:rPr>
        <w:t>je kontraindikovaná</w:t>
      </w:r>
      <w:r w:rsidR="00272CA6" w:rsidRPr="00823BDC">
        <w:rPr>
          <w:snapToGrid w:val="0"/>
          <w:szCs w:val="22"/>
        </w:rPr>
        <w:t xml:space="preserve"> (pozri časť</w:t>
      </w:r>
      <w:r w:rsidR="00367B5B" w:rsidRPr="00823BDC">
        <w:rPr>
          <w:snapToGrid w:val="0"/>
          <w:szCs w:val="22"/>
        </w:rPr>
        <w:t xml:space="preserve"> </w:t>
      </w:r>
      <w:r w:rsidR="00272CA6" w:rsidRPr="00823BDC">
        <w:rPr>
          <w:snapToGrid w:val="0"/>
          <w:szCs w:val="22"/>
        </w:rPr>
        <w:t>4.3)</w:t>
      </w:r>
      <w:r w:rsidRPr="00823BDC">
        <w:rPr>
          <w:snapToGrid w:val="0"/>
          <w:szCs w:val="22"/>
        </w:rPr>
        <w:t xml:space="preserve">. Ak sa liečbe </w:t>
      </w:r>
      <w:r w:rsidR="003D75A7" w:rsidRPr="00823BDC">
        <w:rPr>
          <w:snapToGrid w:val="0"/>
          <w:szCs w:val="22"/>
        </w:rPr>
        <w:t>so silnými inhibítormi CYP3A4 (l</w:t>
      </w:r>
      <w:r w:rsidR="00727BB7" w:rsidRPr="00823BDC">
        <w:rPr>
          <w:snapToGrid w:val="0"/>
          <w:szCs w:val="22"/>
        </w:rPr>
        <w:t>iečivá</w:t>
      </w:r>
      <w:r w:rsidR="003D75A7" w:rsidRPr="00823BDC">
        <w:rPr>
          <w:snapToGrid w:val="0"/>
          <w:szCs w:val="22"/>
        </w:rPr>
        <w:t xml:space="preserve"> zvyšujúce AUC približne 5-násobne alebo viac) </w:t>
      </w:r>
      <w:r w:rsidR="00056799" w:rsidRPr="00823BDC">
        <w:rPr>
          <w:snapToGrid w:val="0"/>
          <w:szCs w:val="22"/>
        </w:rPr>
        <w:t>nie je možné</w:t>
      </w:r>
      <w:r w:rsidRPr="00823BDC">
        <w:rPr>
          <w:snapToGrid w:val="0"/>
          <w:szCs w:val="22"/>
        </w:rPr>
        <w:t xml:space="preserve"> vyhnúť, </w:t>
      </w:r>
      <w:r w:rsidR="00056799" w:rsidRPr="00823BDC">
        <w:rPr>
          <w:snapToGrid w:val="0"/>
          <w:szCs w:val="22"/>
        </w:rPr>
        <w:t xml:space="preserve">počas trvania tejto liečby musí byť </w:t>
      </w:r>
      <w:r w:rsidR="009B72C0" w:rsidRPr="00823BDC">
        <w:rPr>
          <w:snapToGrid w:val="0"/>
          <w:szCs w:val="22"/>
        </w:rPr>
        <w:t>liečba</w:t>
      </w:r>
      <w:r w:rsidRPr="00823BDC">
        <w:rPr>
          <w:snapToGrid w:val="0"/>
          <w:szCs w:val="22"/>
        </w:rPr>
        <w:t xml:space="preserve"> </w:t>
      </w:r>
      <w:proofErr w:type="spellStart"/>
      <w:r w:rsidR="00C127E0" w:rsidRPr="00823BDC">
        <w:rPr>
          <w:snapToGrid w:val="0"/>
          <w:szCs w:val="22"/>
        </w:rPr>
        <w:t>Cornusanom</w:t>
      </w:r>
      <w:proofErr w:type="spellEnd"/>
      <w:r w:rsidRPr="00823BDC">
        <w:rPr>
          <w:snapToGrid w:val="0"/>
          <w:szCs w:val="22"/>
        </w:rPr>
        <w:t xml:space="preserve"> </w:t>
      </w:r>
      <w:r w:rsidR="00056799" w:rsidRPr="00823BDC">
        <w:rPr>
          <w:snapToGrid w:val="0"/>
          <w:szCs w:val="22"/>
        </w:rPr>
        <w:t>pozastavená (a</w:t>
      </w:r>
      <w:r w:rsidR="00367B5B" w:rsidRPr="00823BDC">
        <w:rPr>
          <w:snapToGrid w:val="0"/>
          <w:szCs w:val="22"/>
        </w:rPr>
        <w:t> </w:t>
      </w:r>
      <w:r w:rsidR="00056799" w:rsidRPr="00823BDC">
        <w:rPr>
          <w:snapToGrid w:val="0"/>
          <w:szCs w:val="22"/>
        </w:rPr>
        <w:t xml:space="preserve">má sa zvážiť použitie alternatívneho </w:t>
      </w:r>
      <w:proofErr w:type="spellStart"/>
      <w:r w:rsidR="00056799" w:rsidRPr="00823BDC">
        <w:rPr>
          <w:snapToGrid w:val="0"/>
          <w:szCs w:val="22"/>
        </w:rPr>
        <w:t>statínu</w:t>
      </w:r>
      <w:proofErr w:type="spellEnd"/>
      <w:r w:rsidR="00056799" w:rsidRPr="00823BDC">
        <w:rPr>
          <w:snapToGrid w:val="0"/>
          <w:szCs w:val="22"/>
        </w:rPr>
        <w:t>).</w:t>
      </w:r>
      <w:r w:rsidRPr="00823BDC">
        <w:rPr>
          <w:snapToGrid w:val="0"/>
          <w:szCs w:val="22"/>
        </w:rPr>
        <w:t xml:space="preserve"> Opatrnosť je potrebná pri kombinovaní </w:t>
      </w:r>
      <w:proofErr w:type="spellStart"/>
      <w:r w:rsidR="00C127E0" w:rsidRPr="00823BDC">
        <w:rPr>
          <w:snapToGrid w:val="0"/>
          <w:szCs w:val="22"/>
        </w:rPr>
        <w:t>Cornusanu</w:t>
      </w:r>
      <w:proofErr w:type="spellEnd"/>
      <w:r w:rsidRPr="00823BDC">
        <w:rPr>
          <w:snapToGrid w:val="0"/>
          <w:szCs w:val="22"/>
        </w:rPr>
        <w:t xml:space="preserve"> s niektorými inými menej silnými inhibítormi CYP3A4: </w:t>
      </w:r>
      <w:proofErr w:type="spellStart"/>
      <w:r w:rsidR="00392DDE" w:rsidRPr="00823BDC">
        <w:rPr>
          <w:snapToGrid w:val="0"/>
          <w:szCs w:val="22"/>
        </w:rPr>
        <w:t>flukonazolom</w:t>
      </w:r>
      <w:proofErr w:type="spellEnd"/>
      <w:r w:rsidRPr="00823BDC">
        <w:rPr>
          <w:snapToGrid w:val="0"/>
          <w:szCs w:val="22"/>
        </w:rPr>
        <w:t xml:space="preserve">, </w:t>
      </w:r>
      <w:proofErr w:type="spellStart"/>
      <w:r w:rsidRPr="00823BDC">
        <w:rPr>
          <w:snapToGrid w:val="0"/>
          <w:szCs w:val="22"/>
        </w:rPr>
        <w:t>verapamilom</w:t>
      </w:r>
      <w:proofErr w:type="spellEnd"/>
      <w:r w:rsidR="00272CA6" w:rsidRPr="00823BDC">
        <w:rPr>
          <w:snapToGrid w:val="0"/>
          <w:szCs w:val="22"/>
        </w:rPr>
        <w:t xml:space="preserve"> alebo</w:t>
      </w:r>
      <w:r w:rsidRPr="00823BDC">
        <w:rPr>
          <w:snapToGrid w:val="0"/>
          <w:szCs w:val="22"/>
        </w:rPr>
        <w:t xml:space="preserve"> </w:t>
      </w:r>
      <w:proofErr w:type="spellStart"/>
      <w:r w:rsidRPr="00823BDC">
        <w:rPr>
          <w:snapToGrid w:val="0"/>
          <w:szCs w:val="22"/>
        </w:rPr>
        <w:t>diltiazemom</w:t>
      </w:r>
      <w:proofErr w:type="spellEnd"/>
      <w:r w:rsidRPr="00823BDC">
        <w:rPr>
          <w:snapToGrid w:val="0"/>
          <w:szCs w:val="22"/>
        </w:rPr>
        <w:t xml:space="preserve"> (pozri časti</w:t>
      </w:r>
      <w:r w:rsidR="00367B5B" w:rsidRPr="00823BDC">
        <w:rPr>
          <w:snapToGrid w:val="0"/>
          <w:szCs w:val="22"/>
        </w:rPr>
        <w:t xml:space="preserve"> </w:t>
      </w:r>
      <w:r w:rsidRPr="00823BDC">
        <w:rPr>
          <w:snapToGrid w:val="0"/>
          <w:szCs w:val="22"/>
        </w:rPr>
        <w:t>4.2 a 4.4).</w:t>
      </w:r>
    </w:p>
    <w:p w14:paraId="1984DBD0" w14:textId="77777777" w:rsidR="00AA5528" w:rsidRPr="00823BDC" w:rsidRDefault="00AA5528">
      <w:pPr>
        <w:adjustRightInd w:val="0"/>
        <w:snapToGrid w:val="0"/>
        <w:rPr>
          <w:snapToGrid w:val="0"/>
          <w:szCs w:val="22"/>
        </w:rPr>
      </w:pPr>
    </w:p>
    <w:p w14:paraId="18F16F64" w14:textId="77777777" w:rsidR="00AA5528" w:rsidRPr="00A6540D" w:rsidRDefault="00AA5528">
      <w:pPr>
        <w:adjustRightInd w:val="0"/>
        <w:snapToGrid w:val="0"/>
        <w:rPr>
          <w:i/>
          <w:snapToGrid w:val="0"/>
          <w:szCs w:val="22"/>
        </w:rPr>
      </w:pPr>
      <w:proofErr w:type="spellStart"/>
      <w:r w:rsidRPr="00A6540D">
        <w:rPr>
          <w:i/>
          <w:snapToGrid w:val="0"/>
          <w:szCs w:val="22"/>
        </w:rPr>
        <w:t>Tikagrelor</w:t>
      </w:r>
      <w:proofErr w:type="spellEnd"/>
    </w:p>
    <w:p w14:paraId="014B04FB" w14:textId="32DA6AB0" w:rsidR="003E7CD6" w:rsidRPr="00823BDC" w:rsidRDefault="00AA5528">
      <w:pPr>
        <w:adjustRightInd w:val="0"/>
        <w:snapToGrid w:val="0"/>
        <w:rPr>
          <w:szCs w:val="22"/>
        </w:rPr>
      </w:pPr>
      <w:r w:rsidRPr="00530542">
        <w:rPr>
          <w:szCs w:val="22"/>
        </w:rPr>
        <w:t>P</w:t>
      </w:r>
      <w:r w:rsidRPr="00CD10F1">
        <w:rPr>
          <w:szCs w:val="22"/>
        </w:rPr>
        <w:t xml:space="preserve">ri súbežnom podávaní </w:t>
      </w:r>
      <w:proofErr w:type="spellStart"/>
      <w:r w:rsidRPr="00CD10F1">
        <w:rPr>
          <w:szCs w:val="22"/>
        </w:rPr>
        <w:t>simvastatínu</w:t>
      </w:r>
      <w:proofErr w:type="spellEnd"/>
      <w:r w:rsidRPr="00CD10F1">
        <w:rPr>
          <w:szCs w:val="22"/>
        </w:rPr>
        <w:t xml:space="preserve"> a </w:t>
      </w:r>
      <w:proofErr w:type="spellStart"/>
      <w:r w:rsidRPr="00CD10F1">
        <w:rPr>
          <w:szCs w:val="22"/>
        </w:rPr>
        <w:t>tikagreloru</w:t>
      </w:r>
      <w:proofErr w:type="spellEnd"/>
      <w:r w:rsidRPr="00CD10F1">
        <w:rPr>
          <w:szCs w:val="22"/>
        </w:rPr>
        <w:t xml:space="preserve"> sa </w:t>
      </w:r>
      <w:proofErr w:type="spellStart"/>
      <w:r w:rsidRPr="00CD10F1">
        <w:rPr>
          <w:szCs w:val="22"/>
        </w:rPr>
        <w:t>C</w:t>
      </w:r>
      <w:r w:rsidRPr="00A6540D">
        <w:rPr>
          <w:szCs w:val="22"/>
          <w:vertAlign w:val="subscript"/>
        </w:rPr>
        <w:t>max</w:t>
      </w:r>
      <w:proofErr w:type="spellEnd"/>
      <w:r w:rsidRPr="00530542">
        <w:rPr>
          <w:szCs w:val="22"/>
        </w:rPr>
        <w:t xml:space="preserve"> </w:t>
      </w:r>
      <w:proofErr w:type="spellStart"/>
      <w:r w:rsidRPr="00530542">
        <w:rPr>
          <w:szCs w:val="22"/>
        </w:rPr>
        <w:t>simvastatínu</w:t>
      </w:r>
      <w:proofErr w:type="spellEnd"/>
      <w:r w:rsidRPr="00530542">
        <w:rPr>
          <w:szCs w:val="22"/>
        </w:rPr>
        <w:t xml:space="preserve"> zvýšil</w:t>
      </w:r>
      <w:r w:rsidR="0005347E" w:rsidRPr="00CD10F1">
        <w:rPr>
          <w:szCs w:val="22"/>
        </w:rPr>
        <w:t>o</w:t>
      </w:r>
      <w:r w:rsidRPr="00CD10F1">
        <w:rPr>
          <w:szCs w:val="22"/>
        </w:rPr>
        <w:t xml:space="preserve"> o</w:t>
      </w:r>
      <w:r w:rsidR="007F5FF7" w:rsidRPr="00CD10F1">
        <w:rPr>
          <w:szCs w:val="22"/>
        </w:rPr>
        <w:t> </w:t>
      </w:r>
      <w:r w:rsidRPr="00CD10F1">
        <w:rPr>
          <w:szCs w:val="22"/>
        </w:rPr>
        <w:t>81</w:t>
      </w:r>
      <w:r w:rsidR="007F5FF7" w:rsidRPr="00CD10F1">
        <w:rPr>
          <w:szCs w:val="22"/>
        </w:rPr>
        <w:t> </w:t>
      </w:r>
      <w:r w:rsidRPr="00CD10F1">
        <w:rPr>
          <w:szCs w:val="22"/>
        </w:rPr>
        <w:t>% a AUC o</w:t>
      </w:r>
      <w:r w:rsidR="007F5FF7" w:rsidRPr="00CD10F1">
        <w:rPr>
          <w:szCs w:val="22"/>
        </w:rPr>
        <w:t> </w:t>
      </w:r>
      <w:r w:rsidRPr="00657DA7">
        <w:rPr>
          <w:szCs w:val="22"/>
        </w:rPr>
        <w:t>56</w:t>
      </w:r>
      <w:r w:rsidR="007F5FF7" w:rsidRPr="00F064AC">
        <w:rPr>
          <w:szCs w:val="22"/>
        </w:rPr>
        <w:t> </w:t>
      </w:r>
      <w:r w:rsidRPr="00A843D5">
        <w:rPr>
          <w:szCs w:val="22"/>
        </w:rPr>
        <w:t xml:space="preserve">%, </w:t>
      </w:r>
      <w:proofErr w:type="spellStart"/>
      <w:r w:rsidRPr="00A843D5">
        <w:rPr>
          <w:szCs w:val="22"/>
        </w:rPr>
        <w:t>C</w:t>
      </w:r>
      <w:r w:rsidRPr="00A6540D">
        <w:rPr>
          <w:szCs w:val="22"/>
          <w:vertAlign w:val="subscript"/>
        </w:rPr>
        <w:t>max</w:t>
      </w:r>
      <w:proofErr w:type="spellEnd"/>
      <w:r w:rsidRPr="00530542">
        <w:rPr>
          <w:szCs w:val="22"/>
        </w:rPr>
        <w:t xml:space="preserve"> kyseliny </w:t>
      </w:r>
      <w:proofErr w:type="spellStart"/>
      <w:r w:rsidRPr="00530542">
        <w:rPr>
          <w:szCs w:val="22"/>
        </w:rPr>
        <w:t>simvastatínovej</w:t>
      </w:r>
      <w:proofErr w:type="spellEnd"/>
      <w:r w:rsidRPr="00530542">
        <w:rPr>
          <w:szCs w:val="22"/>
        </w:rPr>
        <w:t xml:space="preserve"> sa zvýšil</w:t>
      </w:r>
      <w:r w:rsidR="0005347E" w:rsidRPr="00CD10F1">
        <w:rPr>
          <w:szCs w:val="22"/>
        </w:rPr>
        <w:t>o</w:t>
      </w:r>
      <w:r w:rsidRPr="00CD10F1">
        <w:rPr>
          <w:szCs w:val="22"/>
        </w:rPr>
        <w:t xml:space="preserve"> o</w:t>
      </w:r>
      <w:r w:rsidR="007F5FF7" w:rsidRPr="00CD10F1">
        <w:rPr>
          <w:szCs w:val="22"/>
        </w:rPr>
        <w:t> </w:t>
      </w:r>
      <w:r w:rsidRPr="00CD10F1">
        <w:rPr>
          <w:szCs w:val="22"/>
        </w:rPr>
        <w:t>64</w:t>
      </w:r>
      <w:r w:rsidR="007F5FF7" w:rsidRPr="00CD10F1">
        <w:rPr>
          <w:szCs w:val="22"/>
        </w:rPr>
        <w:t> </w:t>
      </w:r>
      <w:r w:rsidRPr="00CD10F1">
        <w:rPr>
          <w:szCs w:val="22"/>
        </w:rPr>
        <w:t>% a AUC o</w:t>
      </w:r>
      <w:r w:rsidR="007F5FF7" w:rsidRPr="00CD10F1">
        <w:rPr>
          <w:szCs w:val="22"/>
        </w:rPr>
        <w:t> </w:t>
      </w:r>
      <w:r w:rsidRPr="00CD10F1">
        <w:rPr>
          <w:szCs w:val="22"/>
        </w:rPr>
        <w:t>52</w:t>
      </w:r>
      <w:r w:rsidR="007F5FF7" w:rsidRPr="00657DA7">
        <w:rPr>
          <w:szCs w:val="22"/>
        </w:rPr>
        <w:t> </w:t>
      </w:r>
      <w:r w:rsidRPr="00F064AC">
        <w:rPr>
          <w:szCs w:val="22"/>
        </w:rPr>
        <w:t>%,</w:t>
      </w:r>
      <w:r w:rsidRPr="00A843D5">
        <w:rPr>
          <w:szCs w:val="22"/>
        </w:rPr>
        <w:t xml:space="preserve"> </w:t>
      </w:r>
      <w:r w:rsidRPr="00D81F49">
        <w:rPr>
          <w:szCs w:val="22"/>
        </w:rPr>
        <w:t>v niektorých jednotlivých prípadoch boli zvýšenia 2- až 3-násobné. Súbežné podávanie</w:t>
      </w:r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tikagreloru</w:t>
      </w:r>
      <w:proofErr w:type="spellEnd"/>
      <w:r w:rsidRPr="00823BDC">
        <w:rPr>
          <w:szCs w:val="22"/>
        </w:rPr>
        <w:t xml:space="preserve"> so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v dávkach vyšších ako 40</w:t>
      </w:r>
      <w:r w:rsidR="007F5FF7" w:rsidRPr="00823BDC">
        <w:rPr>
          <w:szCs w:val="22"/>
        </w:rPr>
        <w:t> </w:t>
      </w:r>
      <w:r w:rsidRPr="00823BDC">
        <w:rPr>
          <w:szCs w:val="22"/>
        </w:rPr>
        <w:t xml:space="preserve">mg denne môže spôsobiť nežiaduce reakcie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a potenciálny prínos tejto kombinácie je potrebné zvážiť. 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nemal žiadny vplyv na hladiny </w:t>
      </w:r>
      <w:proofErr w:type="spellStart"/>
      <w:r w:rsidRPr="00823BDC">
        <w:rPr>
          <w:szCs w:val="22"/>
        </w:rPr>
        <w:t>tikagreloru</w:t>
      </w:r>
      <w:proofErr w:type="spellEnd"/>
      <w:r w:rsidRPr="00823BDC">
        <w:rPr>
          <w:szCs w:val="22"/>
        </w:rPr>
        <w:t xml:space="preserve"> v plazme. Súbežné použitie </w:t>
      </w:r>
      <w:proofErr w:type="spellStart"/>
      <w:r w:rsidRPr="00823BDC">
        <w:rPr>
          <w:szCs w:val="22"/>
        </w:rPr>
        <w:t>tikagreloru</w:t>
      </w:r>
      <w:proofErr w:type="spellEnd"/>
      <w:r w:rsidRPr="00823BDC">
        <w:rPr>
          <w:szCs w:val="22"/>
        </w:rPr>
        <w:t xml:space="preserve"> so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</w:t>
      </w:r>
      <w:r w:rsidR="007F5FF7" w:rsidRPr="00823BDC">
        <w:rPr>
          <w:szCs w:val="22"/>
        </w:rPr>
        <w:t>v</w:t>
      </w:r>
      <w:r w:rsidRPr="00823BDC">
        <w:rPr>
          <w:szCs w:val="22"/>
        </w:rPr>
        <w:t xml:space="preserve"> dávkach vyšších ako 40</w:t>
      </w:r>
      <w:r w:rsidR="007F5FF7" w:rsidRPr="00823BDC">
        <w:rPr>
          <w:szCs w:val="22"/>
        </w:rPr>
        <w:t> </w:t>
      </w:r>
      <w:r w:rsidRPr="00823BDC">
        <w:rPr>
          <w:szCs w:val="22"/>
        </w:rPr>
        <w:t>mg sa neodporúča.</w:t>
      </w:r>
    </w:p>
    <w:p w14:paraId="360AC6C2" w14:textId="77777777" w:rsidR="00AA5528" w:rsidRPr="00823BDC" w:rsidRDefault="00AA5528">
      <w:pPr>
        <w:adjustRightInd w:val="0"/>
        <w:snapToGrid w:val="0"/>
        <w:rPr>
          <w:szCs w:val="22"/>
        </w:rPr>
      </w:pPr>
    </w:p>
    <w:p w14:paraId="5677D572" w14:textId="69AD5696" w:rsidR="00864F69" w:rsidRPr="00823BDC" w:rsidRDefault="00392DDE">
      <w:pPr>
        <w:adjustRightInd w:val="0"/>
        <w:snapToGrid w:val="0"/>
        <w:rPr>
          <w:i/>
          <w:color w:val="000000"/>
          <w:szCs w:val="22"/>
        </w:rPr>
      </w:pPr>
      <w:proofErr w:type="spellStart"/>
      <w:r w:rsidRPr="00823BDC">
        <w:rPr>
          <w:i/>
          <w:color w:val="000000"/>
          <w:szCs w:val="22"/>
        </w:rPr>
        <w:t>Flukonazol</w:t>
      </w:r>
      <w:proofErr w:type="spellEnd"/>
      <w:r w:rsidRPr="00823BDC">
        <w:rPr>
          <w:i/>
          <w:color w:val="000000"/>
          <w:szCs w:val="22"/>
        </w:rPr>
        <w:t xml:space="preserve"> </w:t>
      </w:r>
    </w:p>
    <w:p w14:paraId="4E445AF8" w14:textId="77777777" w:rsidR="00392DDE" w:rsidRPr="00823BDC" w:rsidRDefault="00392DDE">
      <w:pPr>
        <w:adjustRightInd w:val="0"/>
        <w:snapToGrid w:val="0"/>
        <w:rPr>
          <w:i/>
          <w:color w:val="000000"/>
          <w:szCs w:val="22"/>
        </w:rPr>
      </w:pPr>
      <w:r w:rsidRPr="00823BDC">
        <w:rPr>
          <w:color w:val="000000"/>
          <w:szCs w:val="22"/>
        </w:rPr>
        <w:t>V</w:t>
      </w:r>
      <w:r w:rsidR="00367B5B" w:rsidRPr="00823BDC">
        <w:rPr>
          <w:color w:val="000000"/>
          <w:szCs w:val="22"/>
        </w:rPr>
        <w:t> </w:t>
      </w:r>
      <w:r w:rsidRPr="00823BDC">
        <w:rPr>
          <w:color w:val="000000"/>
          <w:szCs w:val="22"/>
        </w:rPr>
        <w:t xml:space="preserve">súvislosti so súbežným podaním </w:t>
      </w:r>
      <w:proofErr w:type="spellStart"/>
      <w:r w:rsidRPr="00823BDC">
        <w:rPr>
          <w:color w:val="000000"/>
          <w:szCs w:val="22"/>
        </w:rPr>
        <w:t>simvastatínu</w:t>
      </w:r>
      <w:proofErr w:type="spellEnd"/>
      <w:r w:rsidRPr="00823BDC">
        <w:rPr>
          <w:color w:val="000000"/>
          <w:szCs w:val="22"/>
        </w:rPr>
        <w:t xml:space="preserve"> a</w:t>
      </w:r>
      <w:r w:rsidR="00367B5B" w:rsidRPr="00823BDC">
        <w:rPr>
          <w:color w:val="000000"/>
          <w:szCs w:val="22"/>
        </w:rPr>
        <w:t> </w:t>
      </w:r>
      <w:proofErr w:type="spellStart"/>
      <w:r w:rsidRPr="00823BDC">
        <w:rPr>
          <w:color w:val="000000"/>
          <w:szCs w:val="22"/>
        </w:rPr>
        <w:t>flukonazolu</w:t>
      </w:r>
      <w:proofErr w:type="spellEnd"/>
      <w:r w:rsidRPr="00823BDC">
        <w:rPr>
          <w:color w:val="000000"/>
          <w:szCs w:val="22"/>
        </w:rPr>
        <w:t xml:space="preserve"> boli hlásené zriedkavé prípady </w:t>
      </w:r>
      <w:proofErr w:type="spellStart"/>
      <w:r w:rsidRPr="00823BDC">
        <w:rPr>
          <w:color w:val="000000"/>
          <w:szCs w:val="22"/>
        </w:rPr>
        <w:t>rabdomyolýzy</w:t>
      </w:r>
      <w:proofErr w:type="spellEnd"/>
      <w:r w:rsidRPr="00823BDC">
        <w:rPr>
          <w:color w:val="000000"/>
          <w:szCs w:val="22"/>
        </w:rPr>
        <w:t xml:space="preserve"> (pozri časť</w:t>
      </w:r>
      <w:r w:rsidR="00367B5B" w:rsidRPr="00823BDC">
        <w:rPr>
          <w:color w:val="000000"/>
          <w:szCs w:val="22"/>
        </w:rPr>
        <w:t xml:space="preserve"> </w:t>
      </w:r>
      <w:r w:rsidRPr="00823BDC">
        <w:rPr>
          <w:color w:val="000000"/>
          <w:szCs w:val="22"/>
        </w:rPr>
        <w:t>4.4).</w:t>
      </w:r>
    </w:p>
    <w:p w14:paraId="2F62ACCB" w14:textId="77777777" w:rsidR="00392DDE" w:rsidRPr="00823BDC" w:rsidRDefault="00392DDE">
      <w:pPr>
        <w:adjustRightInd w:val="0"/>
        <w:snapToGrid w:val="0"/>
        <w:rPr>
          <w:szCs w:val="22"/>
        </w:rPr>
      </w:pPr>
    </w:p>
    <w:p w14:paraId="778BB345" w14:textId="39DFAD4E" w:rsidR="00864F69" w:rsidRPr="00823BDC" w:rsidRDefault="00D044EB">
      <w:pPr>
        <w:adjustRightInd w:val="0"/>
        <w:snapToGrid w:val="0"/>
        <w:rPr>
          <w:i/>
          <w:snapToGrid w:val="0"/>
          <w:szCs w:val="22"/>
        </w:rPr>
      </w:pPr>
      <w:proofErr w:type="spellStart"/>
      <w:r w:rsidRPr="00823BDC">
        <w:rPr>
          <w:i/>
          <w:snapToGrid w:val="0"/>
          <w:szCs w:val="22"/>
        </w:rPr>
        <w:t>Cyklosporín</w:t>
      </w:r>
      <w:proofErr w:type="spellEnd"/>
      <w:r w:rsidRPr="00823BDC">
        <w:rPr>
          <w:i/>
          <w:snapToGrid w:val="0"/>
          <w:szCs w:val="22"/>
        </w:rPr>
        <w:t xml:space="preserve"> </w:t>
      </w:r>
    </w:p>
    <w:p w14:paraId="456961DE" w14:textId="7B60F003" w:rsidR="00D044EB" w:rsidRPr="00823BDC" w:rsidRDefault="00D044EB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Riziko </w:t>
      </w:r>
      <w:proofErr w:type="spellStart"/>
      <w:r w:rsidRPr="00823BDC">
        <w:rPr>
          <w:snapToGrid w:val="0"/>
          <w:szCs w:val="22"/>
        </w:rPr>
        <w:t>myopatie</w:t>
      </w:r>
      <w:proofErr w:type="spellEnd"/>
      <w:r w:rsidRPr="00823BDC">
        <w:rPr>
          <w:snapToGrid w:val="0"/>
          <w:szCs w:val="22"/>
        </w:rPr>
        <w:t>/</w:t>
      </w:r>
      <w:proofErr w:type="spellStart"/>
      <w:r w:rsidRPr="00823BDC">
        <w:rPr>
          <w:snapToGrid w:val="0"/>
          <w:szCs w:val="22"/>
        </w:rPr>
        <w:t>rabdomyolýzy</w:t>
      </w:r>
      <w:proofErr w:type="spellEnd"/>
      <w:r w:rsidRPr="00823BDC">
        <w:rPr>
          <w:snapToGrid w:val="0"/>
          <w:szCs w:val="22"/>
        </w:rPr>
        <w:t xml:space="preserve"> je zvýšené pri súbežnom podávaní </w:t>
      </w:r>
      <w:proofErr w:type="spellStart"/>
      <w:r w:rsidRPr="00823BDC">
        <w:rPr>
          <w:snapToGrid w:val="0"/>
          <w:szCs w:val="22"/>
        </w:rPr>
        <w:t>cyklosporínu</w:t>
      </w:r>
      <w:proofErr w:type="spellEnd"/>
      <w:r w:rsidRPr="00823BDC">
        <w:rPr>
          <w:snapToGrid w:val="0"/>
          <w:szCs w:val="22"/>
        </w:rPr>
        <w:t xml:space="preserve"> s </w:t>
      </w:r>
      <w:proofErr w:type="spellStart"/>
      <w:r w:rsidR="00864F69" w:rsidRPr="00823BDC">
        <w:rPr>
          <w:snapToGrid w:val="0"/>
          <w:szCs w:val="22"/>
        </w:rPr>
        <w:t>ezetimibom</w:t>
      </w:r>
      <w:proofErr w:type="spellEnd"/>
      <w:r w:rsidR="00864F69" w:rsidRPr="00823BDC">
        <w:rPr>
          <w:snapToGrid w:val="0"/>
          <w:szCs w:val="22"/>
        </w:rPr>
        <w:t>/</w:t>
      </w:r>
      <w:proofErr w:type="spellStart"/>
      <w:r w:rsidR="00864F69" w:rsidRPr="00823BDC">
        <w:rPr>
          <w:snapToGrid w:val="0"/>
          <w:szCs w:val="22"/>
        </w:rPr>
        <w:t>simvastatínom</w:t>
      </w:r>
      <w:proofErr w:type="spellEnd"/>
      <w:r w:rsidR="00272CA6" w:rsidRPr="00823BDC">
        <w:rPr>
          <w:szCs w:val="22"/>
        </w:rPr>
        <w:t>;</w:t>
      </w:r>
      <w:r w:rsidR="00272CA6" w:rsidRPr="00823BDC">
        <w:rPr>
          <w:snapToGrid w:val="0"/>
          <w:szCs w:val="22"/>
        </w:rPr>
        <w:t xml:space="preserve"> preto je užívanie s </w:t>
      </w:r>
      <w:proofErr w:type="spellStart"/>
      <w:r w:rsidR="00272CA6" w:rsidRPr="00823BDC">
        <w:rPr>
          <w:snapToGrid w:val="0"/>
          <w:szCs w:val="22"/>
        </w:rPr>
        <w:t>cyklosporínom</w:t>
      </w:r>
      <w:proofErr w:type="spellEnd"/>
      <w:r w:rsidR="00272CA6" w:rsidRPr="00823BDC">
        <w:rPr>
          <w:snapToGrid w:val="0"/>
          <w:szCs w:val="22"/>
        </w:rPr>
        <w:t xml:space="preserve"> kontraindikované</w:t>
      </w:r>
      <w:r w:rsidRPr="00823BDC">
        <w:rPr>
          <w:snapToGrid w:val="0"/>
          <w:szCs w:val="22"/>
        </w:rPr>
        <w:t xml:space="preserve"> (pozri časti</w:t>
      </w:r>
      <w:r w:rsidR="00367B5B" w:rsidRPr="00823BDC">
        <w:rPr>
          <w:snapToGrid w:val="0"/>
          <w:szCs w:val="22"/>
        </w:rPr>
        <w:t xml:space="preserve"> </w:t>
      </w:r>
      <w:r w:rsidRPr="00823BDC">
        <w:rPr>
          <w:snapToGrid w:val="0"/>
          <w:szCs w:val="22"/>
        </w:rPr>
        <w:t>4.</w:t>
      </w:r>
      <w:r w:rsidR="00272CA6" w:rsidRPr="00823BDC">
        <w:rPr>
          <w:snapToGrid w:val="0"/>
          <w:szCs w:val="22"/>
        </w:rPr>
        <w:t>3</w:t>
      </w:r>
      <w:r w:rsidRPr="00823BDC">
        <w:rPr>
          <w:snapToGrid w:val="0"/>
          <w:szCs w:val="22"/>
        </w:rPr>
        <w:t xml:space="preserve"> a 4.4). Hoci mechanizmus nie je celkom objasnený, ukázalo sa, že </w:t>
      </w:r>
      <w:proofErr w:type="spellStart"/>
      <w:r w:rsidRPr="00823BDC">
        <w:rPr>
          <w:snapToGrid w:val="0"/>
          <w:szCs w:val="22"/>
        </w:rPr>
        <w:t>cyklosporín</w:t>
      </w:r>
      <w:proofErr w:type="spellEnd"/>
      <w:r w:rsidRPr="00823BDC">
        <w:rPr>
          <w:snapToGrid w:val="0"/>
          <w:szCs w:val="22"/>
        </w:rPr>
        <w:t xml:space="preserve"> zvyšuje AUC inhibítorov </w:t>
      </w:r>
      <w:r w:rsidR="00B726B5">
        <w:rPr>
          <w:snapToGrid w:val="0"/>
          <w:szCs w:val="22"/>
        </w:rPr>
        <w:t>HMG-</w:t>
      </w:r>
      <w:proofErr w:type="spellStart"/>
      <w:r w:rsidR="00B726B5">
        <w:rPr>
          <w:snapToGrid w:val="0"/>
          <w:szCs w:val="22"/>
        </w:rPr>
        <w:t>CoA</w:t>
      </w:r>
      <w:proofErr w:type="spellEnd"/>
      <w:r w:rsidR="005D4CC3" w:rsidRPr="00823BDC">
        <w:rPr>
          <w:snapToGrid w:val="0"/>
          <w:szCs w:val="22"/>
        </w:rPr>
        <w:t>-</w:t>
      </w:r>
      <w:proofErr w:type="spellStart"/>
      <w:r w:rsidRPr="00823BDC">
        <w:rPr>
          <w:snapToGrid w:val="0"/>
          <w:szCs w:val="22"/>
        </w:rPr>
        <w:t>reduktázy</w:t>
      </w:r>
      <w:proofErr w:type="spellEnd"/>
      <w:r w:rsidRPr="00823BDC">
        <w:rPr>
          <w:snapToGrid w:val="0"/>
          <w:szCs w:val="22"/>
        </w:rPr>
        <w:t xml:space="preserve">. Zvýšenie AUC kyseliny </w:t>
      </w:r>
      <w:proofErr w:type="spellStart"/>
      <w:r w:rsidRPr="00823BDC">
        <w:rPr>
          <w:snapToGrid w:val="0"/>
          <w:szCs w:val="22"/>
        </w:rPr>
        <w:t>simvastatínovej</w:t>
      </w:r>
      <w:proofErr w:type="spellEnd"/>
      <w:r w:rsidRPr="00823BDC">
        <w:rPr>
          <w:snapToGrid w:val="0"/>
          <w:szCs w:val="22"/>
        </w:rPr>
        <w:t xml:space="preserve"> je pravdepodobne </w:t>
      </w:r>
      <w:r w:rsidR="00727BB7" w:rsidRPr="00823BDC">
        <w:rPr>
          <w:snapToGrid w:val="0"/>
          <w:szCs w:val="22"/>
        </w:rPr>
        <w:t>s</w:t>
      </w:r>
      <w:r w:rsidRPr="00823BDC">
        <w:rPr>
          <w:snapToGrid w:val="0"/>
          <w:szCs w:val="22"/>
        </w:rPr>
        <w:t>časti následkom inhibície CYP3A4</w:t>
      </w:r>
      <w:r w:rsidR="00834F7D" w:rsidRPr="00823BDC">
        <w:rPr>
          <w:snapToGrid w:val="0"/>
          <w:szCs w:val="22"/>
        </w:rPr>
        <w:t xml:space="preserve"> a/alebo OATP1B1</w:t>
      </w:r>
      <w:r w:rsidRPr="00823BDC">
        <w:rPr>
          <w:snapToGrid w:val="0"/>
          <w:szCs w:val="22"/>
        </w:rPr>
        <w:t>.</w:t>
      </w:r>
    </w:p>
    <w:p w14:paraId="76DC489A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7BDA3CAB" w14:textId="50E49A26" w:rsidR="00864F69" w:rsidRPr="00823BDC" w:rsidRDefault="00D044EB">
      <w:pPr>
        <w:adjustRightInd w:val="0"/>
        <w:snapToGrid w:val="0"/>
        <w:rPr>
          <w:i/>
          <w:iCs/>
          <w:szCs w:val="22"/>
        </w:rPr>
      </w:pPr>
      <w:proofErr w:type="spellStart"/>
      <w:r w:rsidRPr="00823BDC">
        <w:rPr>
          <w:i/>
          <w:iCs/>
          <w:szCs w:val="22"/>
        </w:rPr>
        <w:t>Danazol</w:t>
      </w:r>
      <w:proofErr w:type="spellEnd"/>
      <w:r w:rsidRPr="00823BDC">
        <w:rPr>
          <w:i/>
          <w:iCs/>
          <w:szCs w:val="22"/>
        </w:rPr>
        <w:t xml:space="preserve"> </w:t>
      </w:r>
    </w:p>
    <w:p w14:paraId="7E566EB8" w14:textId="6CFA95C5" w:rsidR="00D044EB" w:rsidRPr="00CD10F1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Riziko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a </w:t>
      </w:r>
      <w:proofErr w:type="spellStart"/>
      <w:r w:rsidRPr="00823BDC">
        <w:rPr>
          <w:szCs w:val="22"/>
        </w:rPr>
        <w:t>rabdomyolýzy</w:t>
      </w:r>
      <w:proofErr w:type="spellEnd"/>
      <w:r w:rsidRPr="00530542">
        <w:rPr>
          <w:szCs w:val="22"/>
        </w:rPr>
        <w:t xml:space="preserve"> je zvýšené pri súbežnom podávaní </w:t>
      </w:r>
      <w:proofErr w:type="spellStart"/>
      <w:r w:rsidRPr="00530542">
        <w:rPr>
          <w:szCs w:val="22"/>
        </w:rPr>
        <w:t>danazolu</w:t>
      </w:r>
      <w:proofErr w:type="spellEnd"/>
      <w:r w:rsidRPr="00530542">
        <w:rPr>
          <w:szCs w:val="22"/>
        </w:rPr>
        <w:t xml:space="preserve"> s </w:t>
      </w:r>
      <w:proofErr w:type="spellStart"/>
      <w:r w:rsidR="00864F69" w:rsidRPr="00CD10F1">
        <w:rPr>
          <w:szCs w:val="22"/>
        </w:rPr>
        <w:t>ezetimibom</w:t>
      </w:r>
      <w:proofErr w:type="spellEnd"/>
      <w:r w:rsidR="00864F69" w:rsidRPr="00CD10F1">
        <w:rPr>
          <w:szCs w:val="22"/>
        </w:rPr>
        <w:t>/</w:t>
      </w:r>
      <w:proofErr w:type="spellStart"/>
      <w:r w:rsidR="00864F69" w:rsidRPr="00CD10F1">
        <w:rPr>
          <w:szCs w:val="22"/>
        </w:rPr>
        <w:t>simvastatínom</w:t>
      </w:r>
      <w:proofErr w:type="spellEnd"/>
      <w:r w:rsidR="00852C70" w:rsidRPr="00CD10F1">
        <w:rPr>
          <w:szCs w:val="22"/>
        </w:rPr>
        <w:t>; preto je užívanie s </w:t>
      </w:r>
      <w:proofErr w:type="spellStart"/>
      <w:r w:rsidR="00852C70" w:rsidRPr="00CD10F1">
        <w:rPr>
          <w:szCs w:val="22"/>
        </w:rPr>
        <w:t>danazolom</w:t>
      </w:r>
      <w:proofErr w:type="spellEnd"/>
      <w:r w:rsidR="00852C70" w:rsidRPr="00CD10F1">
        <w:rPr>
          <w:szCs w:val="22"/>
        </w:rPr>
        <w:t xml:space="preserve"> kontraindikované </w:t>
      </w:r>
      <w:r w:rsidRPr="00CD10F1">
        <w:rPr>
          <w:szCs w:val="22"/>
        </w:rPr>
        <w:t>(pozri časti 4.</w:t>
      </w:r>
      <w:r w:rsidR="00852C70" w:rsidRPr="00CD10F1">
        <w:rPr>
          <w:szCs w:val="22"/>
        </w:rPr>
        <w:t xml:space="preserve">3 </w:t>
      </w:r>
      <w:r w:rsidRPr="00CD10F1">
        <w:rPr>
          <w:szCs w:val="22"/>
        </w:rPr>
        <w:t>a 4.4).</w:t>
      </w:r>
    </w:p>
    <w:p w14:paraId="54E279C2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0F65FD7E" w14:textId="64508AF8" w:rsidR="00864F69" w:rsidRPr="00823BDC" w:rsidRDefault="00D044EB">
      <w:pPr>
        <w:adjustRightInd w:val="0"/>
        <w:snapToGrid w:val="0"/>
        <w:rPr>
          <w:szCs w:val="22"/>
        </w:rPr>
      </w:pPr>
      <w:proofErr w:type="spellStart"/>
      <w:r w:rsidRPr="00823BDC">
        <w:rPr>
          <w:i/>
          <w:szCs w:val="22"/>
        </w:rPr>
        <w:t>Gemfibrozil</w:t>
      </w:r>
      <w:proofErr w:type="spellEnd"/>
      <w:r w:rsidRPr="00823BDC">
        <w:rPr>
          <w:szCs w:val="22"/>
        </w:rPr>
        <w:t xml:space="preserve"> </w:t>
      </w:r>
    </w:p>
    <w:p w14:paraId="56BA8178" w14:textId="77777777" w:rsidR="00D044EB" w:rsidRPr="00823BDC" w:rsidRDefault="00D044EB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Gemfibrozil</w:t>
      </w:r>
      <w:proofErr w:type="spellEnd"/>
      <w:r w:rsidRPr="00823BDC">
        <w:rPr>
          <w:szCs w:val="22"/>
        </w:rPr>
        <w:t xml:space="preserve"> zvyšuje AUC kyseliny </w:t>
      </w:r>
      <w:proofErr w:type="spellStart"/>
      <w:r w:rsidRPr="00823BDC">
        <w:rPr>
          <w:szCs w:val="22"/>
        </w:rPr>
        <w:t>simvastatínovej</w:t>
      </w:r>
      <w:proofErr w:type="spellEnd"/>
      <w:r w:rsidRPr="00823BDC">
        <w:rPr>
          <w:szCs w:val="22"/>
        </w:rPr>
        <w:t xml:space="preserve"> 1,9</w:t>
      </w:r>
      <w:r w:rsidRPr="00823BDC">
        <w:rPr>
          <w:szCs w:val="22"/>
        </w:rPr>
        <w:noBreakHyphen/>
        <w:t xml:space="preserve">násobne, pravdepodobne v dôsledku inhibície </w:t>
      </w:r>
      <w:proofErr w:type="spellStart"/>
      <w:r w:rsidRPr="00823BDC">
        <w:rPr>
          <w:szCs w:val="22"/>
        </w:rPr>
        <w:t>glukuroni</w:t>
      </w:r>
      <w:r w:rsidR="00727BB7" w:rsidRPr="00823BDC">
        <w:rPr>
          <w:szCs w:val="22"/>
        </w:rPr>
        <w:t>dácie</w:t>
      </w:r>
      <w:proofErr w:type="spellEnd"/>
      <w:r w:rsidR="00834F7D" w:rsidRPr="00823BDC">
        <w:rPr>
          <w:snapToGrid w:val="0"/>
          <w:szCs w:val="22"/>
        </w:rPr>
        <w:t xml:space="preserve"> a/alebo OATP1B1</w:t>
      </w:r>
      <w:r w:rsidR="00852C70" w:rsidRPr="00823BDC">
        <w:rPr>
          <w:szCs w:val="22"/>
        </w:rPr>
        <w:t xml:space="preserve"> (pozri časti</w:t>
      </w:r>
      <w:r w:rsidR="00D369FA" w:rsidRPr="00823BDC">
        <w:rPr>
          <w:szCs w:val="22"/>
        </w:rPr>
        <w:t xml:space="preserve"> </w:t>
      </w:r>
      <w:r w:rsidR="00852C70" w:rsidRPr="00823BDC">
        <w:rPr>
          <w:szCs w:val="22"/>
        </w:rPr>
        <w:t>4.3 a 4.4). Súbežné podávanie s </w:t>
      </w:r>
      <w:proofErr w:type="spellStart"/>
      <w:r w:rsidR="00852C70" w:rsidRPr="00823BDC">
        <w:rPr>
          <w:szCs w:val="22"/>
        </w:rPr>
        <w:t>gemfibrozilom</w:t>
      </w:r>
      <w:proofErr w:type="spellEnd"/>
      <w:r w:rsidR="00852C70" w:rsidRPr="00823BDC">
        <w:rPr>
          <w:szCs w:val="22"/>
        </w:rPr>
        <w:t xml:space="preserve"> je kontraindikované.</w:t>
      </w:r>
    </w:p>
    <w:p w14:paraId="4C05C95C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150AB66D" w14:textId="00F03539" w:rsidR="00864F69" w:rsidRPr="00823BDC" w:rsidRDefault="00056799">
      <w:pPr>
        <w:adjustRightInd w:val="0"/>
        <w:snapToGrid w:val="0"/>
        <w:rPr>
          <w:i/>
          <w:szCs w:val="22"/>
        </w:rPr>
      </w:pPr>
      <w:r w:rsidRPr="00823BDC">
        <w:rPr>
          <w:i/>
          <w:szCs w:val="22"/>
        </w:rPr>
        <w:t xml:space="preserve">Kyselina </w:t>
      </w:r>
      <w:proofErr w:type="spellStart"/>
      <w:r w:rsidRPr="00823BDC">
        <w:rPr>
          <w:i/>
          <w:szCs w:val="22"/>
        </w:rPr>
        <w:t>fusidová</w:t>
      </w:r>
      <w:proofErr w:type="spellEnd"/>
      <w:r w:rsidR="00D86BF0" w:rsidRPr="00823BDC">
        <w:rPr>
          <w:i/>
          <w:szCs w:val="22"/>
        </w:rPr>
        <w:t xml:space="preserve"> </w:t>
      </w:r>
    </w:p>
    <w:p w14:paraId="57052B91" w14:textId="77777777" w:rsidR="00063202" w:rsidRPr="00823BDC" w:rsidRDefault="00725C47">
      <w:pPr>
        <w:adjustRightInd w:val="0"/>
        <w:snapToGrid w:val="0"/>
        <w:rPr>
          <w:szCs w:val="22"/>
        </w:rPr>
      </w:pPr>
      <w:r w:rsidRPr="00823BDC">
        <w:rPr>
          <w:szCs w:val="22"/>
        </w:rPr>
        <w:t>P</w:t>
      </w:r>
      <w:r w:rsidR="00457AF6" w:rsidRPr="00823BDC">
        <w:rPr>
          <w:szCs w:val="22"/>
        </w:rPr>
        <w:t xml:space="preserve">ri súbežnom podávaní kyseliny </w:t>
      </w:r>
      <w:proofErr w:type="spellStart"/>
      <w:r w:rsidR="00457AF6" w:rsidRPr="00823BDC">
        <w:rPr>
          <w:szCs w:val="22"/>
        </w:rPr>
        <w:t>fusidovej</w:t>
      </w:r>
      <w:proofErr w:type="spellEnd"/>
      <w:r w:rsidR="00457AF6" w:rsidRPr="00823BDC">
        <w:rPr>
          <w:szCs w:val="22"/>
        </w:rPr>
        <w:t xml:space="preserve"> </w:t>
      </w:r>
      <w:r w:rsidR="00727BB7" w:rsidRPr="00823BDC">
        <w:rPr>
          <w:szCs w:val="22"/>
        </w:rPr>
        <w:t xml:space="preserve">systémovo </w:t>
      </w:r>
      <w:r w:rsidR="00457AF6" w:rsidRPr="00823BDC">
        <w:rPr>
          <w:szCs w:val="22"/>
        </w:rPr>
        <w:t xml:space="preserve">so </w:t>
      </w:r>
      <w:proofErr w:type="spellStart"/>
      <w:r w:rsidR="00457AF6" w:rsidRPr="00823BDC">
        <w:rPr>
          <w:szCs w:val="22"/>
        </w:rPr>
        <w:t>statínmi</w:t>
      </w:r>
      <w:proofErr w:type="spellEnd"/>
      <w:r w:rsidRPr="00823BDC">
        <w:rPr>
          <w:szCs w:val="22"/>
        </w:rPr>
        <w:t xml:space="preserve"> môže byť zvýšené riziko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vrátane </w:t>
      </w:r>
      <w:proofErr w:type="spellStart"/>
      <w:r w:rsidRPr="00823BDC">
        <w:rPr>
          <w:szCs w:val="22"/>
        </w:rPr>
        <w:t>rabdomyolýzy</w:t>
      </w:r>
      <w:proofErr w:type="spellEnd"/>
      <w:r w:rsidR="00457AF6" w:rsidRPr="00823BDC">
        <w:rPr>
          <w:szCs w:val="22"/>
        </w:rPr>
        <w:t xml:space="preserve">. </w:t>
      </w:r>
      <w:r w:rsidR="004F384C" w:rsidRPr="00823BDC">
        <w:rPr>
          <w:szCs w:val="22"/>
        </w:rPr>
        <w:t xml:space="preserve">Mechanizmus tejto interakcie (či je </w:t>
      </w:r>
      <w:proofErr w:type="spellStart"/>
      <w:r w:rsidR="004F384C" w:rsidRPr="00823BDC">
        <w:rPr>
          <w:szCs w:val="22"/>
        </w:rPr>
        <w:t>farmakodynamický</w:t>
      </w:r>
      <w:proofErr w:type="spellEnd"/>
      <w:r w:rsidR="004F384C" w:rsidRPr="00823BDC">
        <w:rPr>
          <w:szCs w:val="22"/>
        </w:rPr>
        <w:t xml:space="preserve"> alebo </w:t>
      </w:r>
      <w:proofErr w:type="spellStart"/>
      <w:r w:rsidR="004F384C" w:rsidRPr="00823BDC">
        <w:rPr>
          <w:szCs w:val="22"/>
        </w:rPr>
        <w:t>farmakokinetický</w:t>
      </w:r>
      <w:proofErr w:type="spellEnd"/>
      <w:r w:rsidR="004F384C" w:rsidRPr="00823BDC">
        <w:rPr>
          <w:szCs w:val="22"/>
        </w:rPr>
        <w:t>, alebo oboje) nie je ešte známy. U</w:t>
      </w:r>
      <w:r w:rsidR="004F384C" w:rsidRPr="00823BDC">
        <w:rPr>
          <w:spacing w:val="-2"/>
          <w:szCs w:val="22"/>
        </w:rPr>
        <w:t xml:space="preserve"> pacientov užívajúcich túto kombináciu boli hlásené prípady </w:t>
      </w:r>
      <w:proofErr w:type="spellStart"/>
      <w:r w:rsidR="004F384C" w:rsidRPr="00823BDC">
        <w:rPr>
          <w:spacing w:val="-2"/>
          <w:szCs w:val="22"/>
        </w:rPr>
        <w:t>rabdomyolýzy</w:t>
      </w:r>
      <w:proofErr w:type="spellEnd"/>
      <w:r w:rsidR="004F384C" w:rsidRPr="00823BDC">
        <w:rPr>
          <w:spacing w:val="-2"/>
          <w:szCs w:val="22"/>
        </w:rPr>
        <w:t xml:space="preserve"> (vrátane fatálnych prípadov). </w:t>
      </w:r>
      <w:r w:rsidR="00457AF6" w:rsidRPr="00823BDC">
        <w:rPr>
          <w:szCs w:val="22"/>
        </w:rPr>
        <w:t xml:space="preserve">Súbežné podávanie tejto kombinácie môže viesť k zvýšeným plazmatickým koncentráciám oboch </w:t>
      </w:r>
      <w:r w:rsidR="00727BB7" w:rsidRPr="00823BDC">
        <w:rPr>
          <w:szCs w:val="22"/>
        </w:rPr>
        <w:t>liečiv</w:t>
      </w:r>
      <w:r w:rsidR="00457AF6" w:rsidRPr="00823BDC">
        <w:rPr>
          <w:szCs w:val="22"/>
        </w:rPr>
        <w:t xml:space="preserve">. </w:t>
      </w:r>
    </w:p>
    <w:p w14:paraId="7C654DD0" w14:textId="77777777" w:rsidR="00063202" w:rsidRPr="00823BDC" w:rsidRDefault="00063202">
      <w:pPr>
        <w:adjustRightInd w:val="0"/>
        <w:snapToGrid w:val="0"/>
        <w:rPr>
          <w:szCs w:val="22"/>
        </w:rPr>
      </w:pPr>
    </w:p>
    <w:p w14:paraId="5567133B" w14:textId="114DA623" w:rsidR="00056799" w:rsidRPr="009C528B" w:rsidRDefault="00E901CE">
      <w:pPr>
        <w:adjustRightInd w:val="0"/>
        <w:snapToGrid w:val="0"/>
        <w:rPr>
          <w:spacing w:val="-2"/>
          <w:szCs w:val="22"/>
        </w:rPr>
      </w:pPr>
      <w:r w:rsidRPr="00823BDC">
        <w:rPr>
          <w:spacing w:val="-2"/>
          <w:szCs w:val="22"/>
        </w:rPr>
        <w:t xml:space="preserve">Ak je </w:t>
      </w:r>
      <w:r w:rsidR="00727BB7" w:rsidRPr="00823BDC">
        <w:rPr>
          <w:spacing w:val="-2"/>
          <w:szCs w:val="22"/>
        </w:rPr>
        <w:t>systémová liečba</w:t>
      </w:r>
      <w:r w:rsidR="00063202" w:rsidRPr="00823BDC">
        <w:rPr>
          <w:spacing w:val="-2"/>
          <w:szCs w:val="22"/>
        </w:rPr>
        <w:t xml:space="preserve"> </w:t>
      </w:r>
      <w:r w:rsidRPr="00823BDC">
        <w:rPr>
          <w:spacing w:val="-2"/>
          <w:szCs w:val="22"/>
        </w:rPr>
        <w:t xml:space="preserve">kyselinou </w:t>
      </w:r>
      <w:proofErr w:type="spellStart"/>
      <w:r w:rsidRPr="00823BDC">
        <w:rPr>
          <w:spacing w:val="-2"/>
          <w:szCs w:val="22"/>
        </w:rPr>
        <w:t>fusidovou</w:t>
      </w:r>
      <w:proofErr w:type="spellEnd"/>
      <w:r w:rsidRPr="00823BDC">
        <w:rPr>
          <w:spacing w:val="-2"/>
          <w:szCs w:val="22"/>
        </w:rPr>
        <w:t xml:space="preserve"> nevyhnutná, liečba </w:t>
      </w:r>
      <w:proofErr w:type="spellStart"/>
      <w:r w:rsidR="00C127E0" w:rsidRPr="00823BDC">
        <w:rPr>
          <w:spacing w:val="-2"/>
          <w:szCs w:val="22"/>
        </w:rPr>
        <w:t>Cornusanom</w:t>
      </w:r>
      <w:proofErr w:type="spellEnd"/>
      <w:r w:rsidRPr="00823BDC">
        <w:rPr>
          <w:spacing w:val="-2"/>
          <w:szCs w:val="22"/>
        </w:rPr>
        <w:t xml:space="preserve"> </w:t>
      </w:r>
      <w:r w:rsidR="00726C51" w:rsidRPr="00823BDC">
        <w:rPr>
          <w:spacing w:val="-2"/>
          <w:szCs w:val="22"/>
        </w:rPr>
        <w:t xml:space="preserve">sa </w:t>
      </w:r>
      <w:r w:rsidRPr="00823BDC">
        <w:rPr>
          <w:spacing w:val="-2"/>
          <w:szCs w:val="22"/>
        </w:rPr>
        <w:t>má preruš</w:t>
      </w:r>
      <w:r w:rsidR="00726C51" w:rsidRPr="00823BDC">
        <w:rPr>
          <w:spacing w:val="-2"/>
          <w:szCs w:val="22"/>
        </w:rPr>
        <w:t>iť</w:t>
      </w:r>
      <w:r w:rsidRPr="00823BDC">
        <w:rPr>
          <w:spacing w:val="-2"/>
          <w:szCs w:val="22"/>
        </w:rPr>
        <w:t xml:space="preserve"> po</w:t>
      </w:r>
      <w:r w:rsidR="00576DE6" w:rsidRPr="00823BDC">
        <w:rPr>
          <w:spacing w:val="-2"/>
          <w:szCs w:val="22"/>
        </w:rPr>
        <w:t xml:space="preserve"> dobu</w:t>
      </w:r>
      <w:r w:rsidRPr="00823BDC">
        <w:rPr>
          <w:spacing w:val="-2"/>
          <w:szCs w:val="22"/>
        </w:rPr>
        <w:t xml:space="preserve"> liečby kyselinou </w:t>
      </w:r>
      <w:proofErr w:type="spellStart"/>
      <w:r w:rsidRPr="00823BDC">
        <w:rPr>
          <w:spacing w:val="-2"/>
          <w:szCs w:val="22"/>
        </w:rPr>
        <w:t>fusidovou</w:t>
      </w:r>
      <w:proofErr w:type="spellEnd"/>
      <w:r w:rsidR="004E68F8" w:rsidRPr="00823BDC">
        <w:rPr>
          <w:spacing w:val="-2"/>
          <w:szCs w:val="22"/>
        </w:rPr>
        <w:t xml:space="preserve">. </w:t>
      </w:r>
      <w:r w:rsidR="004E68F8" w:rsidRPr="00A6540D">
        <w:rPr>
          <w:b/>
          <w:spacing w:val="-2"/>
          <w:szCs w:val="22"/>
        </w:rPr>
        <w:t>P</w:t>
      </w:r>
      <w:r w:rsidRPr="00A6540D">
        <w:rPr>
          <w:b/>
          <w:spacing w:val="-2"/>
          <w:szCs w:val="22"/>
        </w:rPr>
        <w:t xml:space="preserve">ozri </w:t>
      </w:r>
      <w:r w:rsidR="004F384C" w:rsidRPr="00A6540D">
        <w:rPr>
          <w:b/>
          <w:spacing w:val="-2"/>
          <w:szCs w:val="22"/>
        </w:rPr>
        <w:t xml:space="preserve">tiež </w:t>
      </w:r>
      <w:r w:rsidRPr="00A6540D">
        <w:rPr>
          <w:b/>
          <w:spacing w:val="-2"/>
          <w:szCs w:val="22"/>
        </w:rPr>
        <w:t>časť 4.4.</w:t>
      </w:r>
    </w:p>
    <w:p w14:paraId="6E59A336" w14:textId="77777777" w:rsidR="00E901CE" w:rsidRPr="00823BDC" w:rsidRDefault="00E901CE">
      <w:pPr>
        <w:adjustRightInd w:val="0"/>
        <w:snapToGrid w:val="0"/>
        <w:rPr>
          <w:szCs w:val="22"/>
        </w:rPr>
      </w:pPr>
    </w:p>
    <w:p w14:paraId="7FD73437" w14:textId="6AEB4B34" w:rsidR="00864F69" w:rsidRPr="00823BDC" w:rsidRDefault="00D044EB">
      <w:pPr>
        <w:adjustRightInd w:val="0"/>
        <w:snapToGrid w:val="0"/>
        <w:rPr>
          <w:snapToGrid w:val="0"/>
          <w:szCs w:val="22"/>
        </w:rPr>
      </w:pPr>
      <w:proofErr w:type="spellStart"/>
      <w:r w:rsidRPr="00823BDC">
        <w:rPr>
          <w:i/>
          <w:snapToGrid w:val="0"/>
          <w:szCs w:val="22"/>
        </w:rPr>
        <w:t>Amiodarón</w:t>
      </w:r>
      <w:proofErr w:type="spellEnd"/>
      <w:r w:rsidRPr="00823BDC">
        <w:rPr>
          <w:snapToGrid w:val="0"/>
          <w:szCs w:val="22"/>
        </w:rPr>
        <w:t xml:space="preserve"> </w:t>
      </w:r>
    </w:p>
    <w:p w14:paraId="7DFB2DDE" w14:textId="5FB0F676" w:rsidR="00D044EB" w:rsidRPr="00823BDC" w:rsidRDefault="007D308B">
      <w:pPr>
        <w:adjustRightInd w:val="0"/>
        <w:snapToGrid w:val="0"/>
        <w:rPr>
          <w:b/>
          <w:i/>
          <w:snapToGrid w:val="0"/>
          <w:szCs w:val="22"/>
        </w:rPr>
      </w:pPr>
      <w:r w:rsidRPr="00823BDC">
        <w:rPr>
          <w:snapToGrid w:val="0"/>
          <w:szCs w:val="22"/>
        </w:rPr>
        <w:t>Pri</w:t>
      </w:r>
      <w:r w:rsidR="00D044EB" w:rsidRPr="00823BDC">
        <w:rPr>
          <w:snapToGrid w:val="0"/>
          <w:szCs w:val="22"/>
        </w:rPr>
        <w:t xml:space="preserve"> súbežnom podávaní </w:t>
      </w:r>
      <w:proofErr w:type="spellStart"/>
      <w:r w:rsidR="00D044EB" w:rsidRPr="00823BDC">
        <w:rPr>
          <w:snapToGrid w:val="0"/>
          <w:szCs w:val="22"/>
        </w:rPr>
        <w:t>amiodarónu</w:t>
      </w:r>
      <w:proofErr w:type="spellEnd"/>
      <w:r w:rsidR="00D044EB" w:rsidRPr="00823BDC">
        <w:rPr>
          <w:snapToGrid w:val="0"/>
          <w:szCs w:val="22"/>
        </w:rPr>
        <w:t xml:space="preserve"> s</w:t>
      </w:r>
      <w:r w:rsidR="00852C70" w:rsidRPr="00823BDC">
        <w:rPr>
          <w:snapToGrid w:val="0"/>
          <w:szCs w:val="22"/>
        </w:rPr>
        <w:t>o</w:t>
      </w:r>
      <w:r w:rsidR="00D044EB" w:rsidRPr="00823BDC">
        <w:rPr>
          <w:snapToGrid w:val="0"/>
          <w:szCs w:val="22"/>
        </w:rPr>
        <w:t> </w:t>
      </w:r>
      <w:proofErr w:type="spellStart"/>
      <w:r w:rsidR="00D044EB" w:rsidRPr="00823BDC">
        <w:rPr>
          <w:snapToGrid w:val="0"/>
          <w:szCs w:val="22"/>
        </w:rPr>
        <w:t>simvastatín</w:t>
      </w:r>
      <w:r w:rsidR="00852C70" w:rsidRPr="00823BDC">
        <w:rPr>
          <w:snapToGrid w:val="0"/>
          <w:szCs w:val="22"/>
        </w:rPr>
        <w:t>om</w:t>
      </w:r>
      <w:proofErr w:type="spellEnd"/>
      <w:r w:rsidR="00D044EB" w:rsidRPr="00823BDC">
        <w:rPr>
          <w:snapToGrid w:val="0"/>
          <w:szCs w:val="22"/>
        </w:rPr>
        <w:t xml:space="preserve"> </w:t>
      </w:r>
      <w:r w:rsidRPr="00823BDC">
        <w:rPr>
          <w:snapToGrid w:val="0"/>
          <w:color w:val="000000"/>
          <w:szCs w:val="22"/>
        </w:rPr>
        <w:t xml:space="preserve">je zvýšené riziko </w:t>
      </w:r>
      <w:proofErr w:type="spellStart"/>
      <w:r w:rsidRPr="00823BDC">
        <w:rPr>
          <w:snapToGrid w:val="0"/>
          <w:color w:val="000000"/>
          <w:szCs w:val="22"/>
        </w:rPr>
        <w:t>myopatie</w:t>
      </w:r>
      <w:proofErr w:type="spellEnd"/>
      <w:r w:rsidR="00657DA7" w:rsidRPr="00823BDC">
        <w:rPr>
          <w:snapToGrid w:val="0"/>
          <w:color w:val="000000"/>
          <w:szCs w:val="22"/>
        </w:rPr>
        <w:t xml:space="preserve"> </w:t>
      </w:r>
      <w:r w:rsidRPr="00823BDC">
        <w:rPr>
          <w:snapToGrid w:val="0"/>
          <w:color w:val="000000"/>
          <w:szCs w:val="22"/>
        </w:rPr>
        <w:t>a </w:t>
      </w:r>
      <w:proofErr w:type="spellStart"/>
      <w:r w:rsidRPr="00823BDC">
        <w:rPr>
          <w:snapToGrid w:val="0"/>
          <w:color w:val="000000"/>
          <w:szCs w:val="22"/>
        </w:rPr>
        <w:t>rabdomyolýzy</w:t>
      </w:r>
      <w:proofErr w:type="spellEnd"/>
      <w:r w:rsidRPr="00823BDC">
        <w:rPr>
          <w:snapToGrid w:val="0"/>
          <w:color w:val="000000"/>
          <w:szCs w:val="22"/>
        </w:rPr>
        <w:t xml:space="preserve"> </w:t>
      </w:r>
      <w:r w:rsidR="00D044EB" w:rsidRPr="00823BDC">
        <w:rPr>
          <w:snapToGrid w:val="0"/>
          <w:szCs w:val="22"/>
        </w:rPr>
        <w:t>(pozri časť</w:t>
      </w:r>
      <w:r w:rsidR="00D369FA" w:rsidRPr="00823BDC">
        <w:rPr>
          <w:snapToGrid w:val="0"/>
          <w:szCs w:val="22"/>
        </w:rPr>
        <w:t xml:space="preserve"> </w:t>
      </w:r>
      <w:r w:rsidR="00D044EB" w:rsidRPr="00823BDC">
        <w:rPr>
          <w:snapToGrid w:val="0"/>
          <w:szCs w:val="22"/>
        </w:rPr>
        <w:t xml:space="preserve">4.4). </w:t>
      </w:r>
      <w:r w:rsidR="00852C70" w:rsidRPr="00823BDC">
        <w:rPr>
          <w:snapToGrid w:val="0"/>
          <w:szCs w:val="22"/>
        </w:rPr>
        <w:t>V </w:t>
      </w:r>
      <w:r w:rsidR="00D369FA" w:rsidRPr="00823BDC">
        <w:rPr>
          <w:snapToGrid w:val="0"/>
          <w:szCs w:val="22"/>
        </w:rPr>
        <w:t xml:space="preserve">klinickom skúšaní </w:t>
      </w:r>
      <w:r w:rsidR="00D044EB" w:rsidRPr="00823BDC">
        <w:rPr>
          <w:snapToGrid w:val="0"/>
          <w:szCs w:val="22"/>
        </w:rPr>
        <w:t xml:space="preserve">bola </w:t>
      </w:r>
      <w:proofErr w:type="spellStart"/>
      <w:r w:rsidR="00D044EB" w:rsidRPr="00823BDC">
        <w:rPr>
          <w:snapToGrid w:val="0"/>
          <w:szCs w:val="22"/>
        </w:rPr>
        <w:t>myopatia</w:t>
      </w:r>
      <w:proofErr w:type="spellEnd"/>
      <w:r w:rsidR="00D044EB" w:rsidRPr="00823BDC">
        <w:rPr>
          <w:snapToGrid w:val="0"/>
          <w:szCs w:val="22"/>
        </w:rPr>
        <w:t xml:space="preserve"> hlásená u 6 % pacientov, ktorí dostávali 80 mg </w:t>
      </w:r>
      <w:proofErr w:type="spellStart"/>
      <w:r w:rsidR="00576DE6" w:rsidRPr="00823BDC">
        <w:rPr>
          <w:snapToGrid w:val="0"/>
          <w:szCs w:val="22"/>
        </w:rPr>
        <w:t>simvastatínu</w:t>
      </w:r>
      <w:proofErr w:type="spellEnd"/>
      <w:r w:rsidR="00576DE6" w:rsidRPr="00823BDC">
        <w:rPr>
          <w:snapToGrid w:val="0"/>
          <w:szCs w:val="22"/>
        </w:rPr>
        <w:t xml:space="preserve"> </w:t>
      </w:r>
      <w:r w:rsidR="00D044EB" w:rsidRPr="00823BDC">
        <w:rPr>
          <w:snapToGrid w:val="0"/>
          <w:szCs w:val="22"/>
        </w:rPr>
        <w:t>a </w:t>
      </w:r>
      <w:proofErr w:type="spellStart"/>
      <w:r w:rsidR="00D044EB" w:rsidRPr="00823BDC">
        <w:rPr>
          <w:snapToGrid w:val="0"/>
          <w:szCs w:val="22"/>
        </w:rPr>
        <w:t>amiodarón</w:t>
      </w:r>
      <w:proofErr w:type="spellEnd"/>
      <w:r w:rsidR="00D044EB" w:rsidRPr="00823BDC">
        <w:rPr>
          <w:snapToGrid w:val="0"/>
          <w:szCs w:val="22"/>
        </w:rPr>
        <w:t>.</w:t>
      </w:r>
      <w:r w:rsidRPr="00823BDC">
        <w:rPr>
          <w:snapToGrid w:val="0"/>
          <w:szCs w:val="22"/>
        </w:rPr>
        <w:t xml:space="preserve"> </w:t>
      </w:r>
      <w:r w:rsidRPr="00823BDC">
        <w:rPr>
          <w:snapToGrid w:val="0"/>
          <w:color w:val="000000"/>
          <w:szCs w:val="22"/>
        </w:rPr>
        <w:t xml:space="preserve">U pacientov dostávajúcich súbežnú liečbu </w:t>
      </w:r>
      <w:proofErr w:type="spellStart"/>
      <w:r w:rsidRPr="00823BDC">
        <w:rPr>
          <w:snapToGrid w:val="0"/>
          <w:color w:val="000000"/>
          <w:szCs w:val="22"/>
        </w:rPr>
        <w:t>amiodarónom</w:t>
      </w:r>
      <w:proofErr w:type="spellEnd"/>
      <w:r w:rsidRPr="00823BDC">
        <w:rPr>
          <w:snapToGrid w:val="0"/>
          <w:color w:val="000000"/>
          <w:szCs w:val="22"/>
        </w:rPr>
        <w:t xml:space="preserve"> nemá preto dávka </w:t>
      </w:r>
      <w:proofErr w:type="spellStart"/>
      <w:r w:rsidR="00576DE6" w:rsidRPr="00823BDC">
        <w:rPr>
          <w:snapToGrid w:val="0"/>
          <w:color w:val="000000"/>
          <w:szCs w:val="22"/>
        </w:rPr>
        <w:t>Cornusanu</w:t>
      </w:r>
      <w:proofErr w:type="spellEnd"/>
      <w:r w:rsidRPr="00823BDC">
        <w:rPr>
          <w:snapToGrid w:val="0"/>
          <w:color w:val="000000"/>
          <w:szCs w:val="22"/>
        </w:rPr>
        <w:t xml:space="preserve"> prekročiť 10</w:t>
      </w:r>
      <w:r w:rsidR="00941614" w:rsidRPr="00823BDC">
        <w:rPr>
          <w:snapToGrid w:val="0"/>
          <w:color w:val="000000"/>
          <w:szCs w:val="22"/>
        </w:rPr>
        <w:t xml:space="preserve"> mg</w:t>
      </w:r>
      <w:r w:rsidRPr="00823BDC">
        <w:rPr>
          <w:snapToGrid w:val="0"/>
          <w:color w:val="000000"/>
          <w:szCs w:val="22"/>
        </w:rPr>
        <w:t>/20 mg denne.</w:t>
      </w:r>
    </w:p>
    <w:p w14:paraId="281BA2A6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73B7DAA" w14:textId="77777777" w:rsidR="007D308B" w:rsidRPr="00823BDC" w:rsidRDefault="007D308B">
      <w:pPr>
        <w:keepNext/>
        <w:adjustRightInd w:val="0"/>
        <w:snapToGrid w:val="0"/>
        <w:rPr>
          <w:i/>
          <w:snapToGrid w:val="0"/>
          <w:color w:val="000000"/>
          <w:szCs w:val="22"/>
        </w:rPr>
      </w:pPr>
      <w:proofErr w:type="spellStart"/>
      <w:r w:rsidRPr="00823BDC">
        <w:rPr>
          <w:i/>
          <w:snapToGrid w:val="0"/>
          <w:color w:val="000000"/>
          <w:szCs w:val="22"/>
        </w:rPr>
        <w:t>Blokátory</w:t>
      </w:r>
      <w:proofErr w:type="spellEnd"/>
      <w:r w:rsidRPr="00823BDC">
        <w:rPr>
          <w:i/>
          <w:snapToGrid w:val="0"/>
          <w:color w:val="000000"/>
          <w:szCs w:val="22"/>
        </w:rPr>
        <w:t xml:space="preserve"> kalciového kanála</w:t>
      </w:r>
    </w:p>
    <w:p w14:paraId="5050C7E9" w14:textId="77777777" w:rsidR="00D044EB" w:rsidRPr="00823BDC" w:rsidRDefault="007D308B">
      <w:pPr>
        <w:numPr>
          <w:ilvl w:val="0"/>
          <w:numId w:val="28"/>
        </w:numPr>
        <w:rPr>
          <w:i/>
          <w:snapToGrid w:val="0"/>
          <w:color w:val="000000"/>
          <w:szCs w:val="22"/>
        </w:rPr>
      </w:pPr>
      <w:proofErr w:type="spellStart"/>
      <w:r w:rsidRPr="00823BDC">
        <w:rPr>
          <w:i/>
          <w:snapToGrid w:val="0"/>
          <w:color w:val="000000"/>
          <w:szCs w:val="22"/>
        </w:rPr>
        <w:t>Verapamil</w:t>
      </w:r>
      <w:proofErr w:type="spellEnd"/>
      <w:r w:rsidRPr="00823BDC">
        <w:rPr>
          <w:i/>
          <w:snapToGrid w:val="0"/>
          <w:color w:val="000000"/>
          <w:szCs w:val="22"/>
        </w:rPr>
        <w:t xml:space="preserve">: </w:t>
      </w:r>
      <w:r w:rsidRPr="00823BDC">
        <w:rPr>
          <w:snapToGrid w:val="0"/>
          <w:color w:val="000000"/>
          <w:szCs w:val="22"/>
        </w:rPr>
        <w:t>S</w:t>
      </w:r>
      <w:r w:rsidRPr="00823BDC">
        <w:rPr>
          <w:color w:val="000000"/>
          <w:szCs w:val="22"/>
        </w:rPr>
        <w:t xml:space="preserve">úbežným užívaním </w:t>
      </w:r>
      <w:proofErr w:type="spellStart"/>
      <w:r w:rsidRPr="00823BDC">
        <w:rPr>
          <w:color w:val="000000"/>
          <w:szCs w:val="22"/>
        </w:rPr>
        <w:t>verapamilu</w:t>
      </w:r>
      <w:proofErr w:type="spellEnd"/>
      <w:r w:rsidRPr="00823BDC">
        <w:rPr>
          <w:color w:val="000000"/>
          <w:szCs w:val="22"/>
        </w:rPr>
        <w:t xml:space="preserve"> so</w:t>
      </w:r>
      <w:r w:rsidR="00D86BF0" w:rsidRPr="00823BDC">
        <w:rPr>
          <w:color w:val="000000"/>
          <w:szCs w:val="22"/>
        </w:rPr>
        <w:t xml:space="preserve"> </w:t>
      </w:r>
      <w:proofErr w:type="spellStart"/>
      <w:r w:rsidRPr="00823BDC">
        <w:rPr>
          <w:color w:val="000000"/>
          <w:szCs w:val="22"/>
        </w:rPr>
        <w:t>simvastatínom</w:t>
      </w:r>
      <w:proofErr w:type="spellEnd"/>
      <w:r w:rsidRPr="00823BDC">
        <w:rPr>
          <w:color w:val="000000"/>
          <w:szCs w:val="22"/>
        </w:rPr>
        <w:t xml:space="preserve"> 40 mg alebo 80 mg </w:t>
      </w:r>
      <w:r w:rsidR="003224C2" w:rsidRPr="00823BDC">
        <w:rPr>
          <w:color w:val="000000"/>
          <w:szCs w:val="22"/>
        </w:rPr>
        <w:t>sa zvyšuje</w:t>
      </w:r>
      <w:r w:rsidRPr="00823BDC">
        <w:rPr>
          <w:color w:val="000000"/>
          <w:szCs w:val="22"/>
        </w:rPr>
        <w:t xml:space="preserve"> riziko </w:t>
      </w:r>
      <w:proofErr w:type="spellStart"/>
      <w:r w:rsidRPr="00823BDC">
        <w:rPr>
          <w:color w:val="000000"/>
          <w:szCs w:val="22"/>
        </w:rPr>
        <w:t>myopatie</w:t>
      </w:r>
      <w:proofErr w:type="spellEnd"/>
      <w:r w:rsidRPr="00823BDC">
        <w:rPr>
          <w:color w:val="000000"/>
          <w:szCs w:val="22"/>
        </w:rPr>
        <w:t xml:space="preserve"> a </w:t>
      </w:r>
      <w:proofErr w:type="spellStart"/>
      <w:r w:rsidRPr="00823BDC">
        <w:rPr>
          <w:color w:val="000000"/>
          <w:szCs w:val="22"/>
        </w:rPr>
        <w:t>rabdomyolýzy</w:t>
      </w:r>
      <w:proofErr w:type="spellEnd"/>
      <w:r w:rsidRPr="00823BDC">
        <w:rPr>
          <w:color w:val="000000"/>
          <w:szCs w:val="22"/>
        </w:rPr>
        <w:t xml:space="preserve"> (pozri časť 4.4).</w:t>
      </w:r>
      <w:r w:rsidR="00D044EB" w:rsidRPr="00823BDC">
        <w:rPr>
          <w:color w:val="000000"/>
          <w:szCs w:val="22"/>
        </w:rPr>
        <w:t xml:space="preserve"> </w:t>
      </w:r>
      <w:r w:rsidR="00D044EB" w:rsidRPr="00823BDC">
        <w:rPr>
          <w:snapToGrid w:val="0"/>
          <w:szCs w:val="22"/>
        </w:rPr>
        <w:t>Vo</w:t>
      </w:r>
      <w:r w:rsidR="00D369FA" w:rsidRPr="00823BDC">
        <w:rPr>
          <w:snapToGrid w:val="0"/>
          <w:szCs w:val="22"/>
        </w:rPr>
        <w:t xml:space="preserve"> </w:t>
      </w:r>
      <w:proofErr w:type="spellStart"/>
      <w:r w:rsidR="00D044EB" w:rsidRPr="00823BDC">
        <w:rPr>
          <w:snapToGrid w:val="0"/>
          <w:szCs w:val="22"/>
        </w:rPr>
        <w:t>farmakokinetickej</w:t>
      </w:r>
      <w:proofErr w:type="spellEnd"/>
      <w:r w:rsidR="00D044EB" w:rsidRPr="00823BDC">
        <w:rPr>
          <w:snapToGrid w:val="0"/>
          <w:szCs w:val="22"/>
        </w:rPr>
        <w:t xml:space="preserve"> štúdii </w:t>
      </w:r>
      <w:r w:rsidR="00757232" w:rsidRPr="00823BDC">
        <w:rPr>
          <w:snapToGrid w:val="0"/>
          <w:color w:val="000000"/>
          <w:szCs w:val="22"/>
        </w:rPr>
        <w:t xml:space="preserve">viedlo </w:t>
      </w:r>
      <w:r w:rsidR="00D044EB" w:rsidRPr="00823BDC">
        <w:rPr>
          <w:snapToGrid w:val="0"/>
          <w:szCs w:val="22"/>
        </w:rPr>
        <w:t xml:space="preserve">súbežné podávanie </w:t>
      </w:r>
      <w:proofErr w:type="spellStart"/>
      <w:r w:rsidR="00D044EB" w:rsidRPr="00823BDC">
        <w:rPr>
          <w:snapToGrid w:val="0"/>
          <w:szCs w:val="22"/>
        </w:rPr>
        <w:t>simvastatínu</w:t>
      </w:r>
      <w:proofErr w:type="spellEnd"/>
      <w:r w:rsidR="00D044EB" w:rsidRPr="00823BDC">
        <w:rPr>
          <w:snapToGrid w:val="0"/>
          <w:szCs w:val="22"/>
        </w:rPr>
        <w:t xml:space="preserve"> s </w:t>
      </w:r>
      <w:proofErr w:type="spellStart"/>
      <w:r w:rsidR="00D044EB" w:rsidRPr="00823BDC">
        <w:rPr>
          <w:snapToGrid w:val="0"/>
          <w:szCs w:val="22"/>
        </w:rPr>
        <w:t>verapamilom</w:t>
      </w:r>
      <w:proofErr w:type="spellEnd"/>
      <w:r w:rsidR="00D044EB" w:rsidRPr="00823BDC">
        <w:rPr>
          <w:snapToGrid w:val="0"/>
          <w:szCs w:val="22"/>
        </w:rPr>
        <w:t xml:space="preserve"> k 2,3</w:t>
      </w:r>
      <w:r w:rsidR="00D044EB" w:rsidRPr="00823BDC">
        <w:rPr>
          <w:snapToGrid w:val="0"/>
          <w:szCs w:val="22"/>
        </w:rPr>
        <w:noBreakHyphen/>
        <w:t xml:space="preserve">násobnému zvýšeniu v expozícii kyseline </w:t>
      </w:r>
      <w:proofErr w:type="spellStart"/>
      <w:r w:rsidR="00D044EB" w:rsidRPr="00823BDC">
        <w:rPr>
          <w:snapToGrid w:val="0"/>
          <w:szCs w:val="22"/>
        </w:rPr>
        <w:t>simvastatínovej</w:t>
      </w:r>
      <w:proofErr w:type="spellEnd"/>
      <w:r w:rsidR="00D044EB" w:rsidRPr="00823BDC">
        <w:rPr>
          <w:snapToGrid w:val="0"/>
          <w:szCs w:val="22"/>
        </w:rPr>
        <w:t xml:space="preserve">, pravdepodobne čiastočne v dôsledku inhibície CYP3A4. </w:t>
      </w:r>
      <w:r w:rsidR="00FE59B2" w:rsidRPr="00823BDC">
        <w:rPr>
          <w:snapToGrid w:val="0"/>
          <w:szCs w:val="22"/>
        </w:rPr>
        <w:t>Preto u </w:t>
      </w:r>
      <w:r w:rsidR="00D044EB" w:rsidRPr="00823BDC">
        <w:rPr>
          <w:snapToGrid w:val="0"/>
          <w:szCs w:val="22"/>
        </w:rPr>
        <w:t>pacientov</w:t>
      </w:r>
      <w:r w:rsidR="00FE59B2" w:rsidRPr="00823BDC">
        <w:rPr>
          <w:snapToGrid w:val="0"/>
          <w:szCs w:val="22"/>
        </w:rPr>
        <w:t>, ktorí dostávajú</w:t>
      </w:r>
      <w:r w:rsidRPr="00823BDC">
        <w:rPr>
          <w:snapToGrid w:val="0"/>
          <w:szCs w:val="22"/>
        </w:rPr>
        <w:t xml:space="preserve"> </w:t>
      </w:r>
      <w:r w:rsidR="00D044EB" w:rsidRPr="00823BDC">
        <w:rPr>
          <w:snapToGrid w:val="0"/>
          <w:szCs w:val="22"/>
        </w:rPr>
        <w:t>súbežn</w:t>
      </w:r>
      <w:r w:rsidRPr="00823BDC">
        <w:rPr>
          <w:snapToGrid w:val="0"/>
          <w:szCs w:val="22"/>
        </w:rPr>
        <w:t>ú</w:t>
      </w:r>
      <w:r w:rsidR="00D044EB" w:rsidRPr="00823BDC">
        <w:rPr>
          <w:snapToGrid w:val="0"/>
          <w:szCs w:val="22"/>
        </w:rPr>
        <w:t xml:space="preserve"> </w:t>
      </w:r>
      <w:r w:rsidRPr="00823BDC">
        <w:rPr>
          <w:snapToGrid w:val="0"/>
          <w:szCs w:val="22"/>
        </w:rPr>
        <w:t xml:space="preserve">liečbu </w:t>
      </w:r>
      <w:proofErr w:type="spellStart"/>
      <w:r w:rsidR="00D044EB" w:rsidRPr="00823BDC">
        <w:rPr>
          <w:snapToGrid w:val="0"/>
          <w:szCs w:val="22"/>
        </w:rPr>
        <w:t>verapamil</w:t>
      </w:r>
      <w:r w:rsidRPr="00823BDC">
        <w:rPr>
          <w:snapToGrid w:val="0"/>
          <w:szCs w:val="22"/>
        </w:rPr>
        <w:t>om</w:t>
      </w:r>
      <w:proofErr w:type="spellEnd"/>
      <w:r w:rsidR="00D044EB" w:rsidRPr="00823BDC">
        <w:rPr>
          <w:snapToGrid w:val="0"/>
          <w:szCs w:val="22"/>
        </w:rPr>
        <w:t xml:space="preserve"> nemá dávka </w:t>
      </w:r>
      <w:proofErr w:type="spellStart"/>
      <w:r w:rsidR="00576DE6" w:rsidRPr="00823BDC">
        <w:rPr>
          <w:snapToGrid w:val="0"/>
          <w:szCs w:val="22"/>
        </w:rPr>
        <w:t>Cornusanu</w:t>
      </w:r>
      <w:proofErr w:type="spellEnd"/>
      <w:r w:rsidR="00D044EB" w:rsidRPr="00823BDC">
        <w:rPr>
          <w:snapToGrid w:val="0"/>
          <w:szCs w:val="22"/>
        </w:rPr>
        <w:t xml:space="preserve"> prekročiť 10</w:t>
      </w:r>
      <w:r w:rsidR="00941614" w:rsidRPr="00823BDC">
        <w:rPr>
          <w:snapToGrid w:val="0"/>
          <w:szCs w:val="22"/>
        </w:rPr>
        <w:t xml:space="preserve"> mg</w:t>
      </w:r>
      <w:r w:rsidR="00D044EB" w:rsidRPr="00823BDC">
        <w:rPr>
          <w:snapToGrid w:val="0"/>
          <w:szCs w:val="22"/>
        </w:rPr>
        <w:t>/20 mg denne.</w:t>
      </w:r>
    </w:p>
    <w:p w14:paraId="461217BA" w14:textId="6C8B971A" w:rsidR="00D044EB" w:rsidRPr="00823BDC" w:rsidRDefault="00D044EB">
      <w:pPr>
        <w:ind w:left="397"/>
        <w:rPr>
          <w:i/>
          <w:snapToGrid w:val="0"/>
          <w:color w:val="000000"/>
          <w:szCs w:val="22"/>
        </w:rPr>
      </w:pPr>
    </w:p>
    <w:p w14:paraId="3F250B7E" w14:textId="5023B23C" w:rsidR="00D044EB" w:rsidRPr="00823BDC" w:rsidRDefault="00D044EB">
      <w:pPr>
        <w:keepNext/>
        <w:numPr>
          <w:ilvl w:val="0"/>
          <w:numId w:val="28"/>
        </w:numPr>
        <w:adjustRightInd w:val="0"/>
        <w:snapToGrid w:val="0"/>
        <w:rPr>
          <w:i/>
          <w:snapToGrid w:val="0"/>
          <w:color w:val="000000"/>
          <w:szCs w:val="22"/>
        </w:rPr>
      </w:pPr>
      <w:proofErr w:type="spellStart"/>
      <w:r w:rsidRPr="00823BDC">
        <w:rPr>
          <w:i/>
          <w:szCs w:val="22"/>
        </w:rPr>
        <w:t>Diltiazem</w:t>
      </w:r>
      <w:proofErr w:type="spellEnd"/>
      <w:r w:rsidRPr="00823BDC">
        <w:rPr>
          <w:i/>
          <w:szCs w:val="22"/>
        </w:rPr>
        <w:t>:</w:t>
      </w:r>
      <w:r w:rsidRPr="00823BDC">
        <w:rPr>
          <w:szCs w:val="22"/>
        </w:rPr>
        <w:t xml:space="preserve"> </w:t>
      </w:r>
      <w:r w:rsidR="007D308B" w:rsidRPr="00823BDC">
        <w:rPr>
          <w:snapToGrid w:val="0"/>
          <w:color w:val="000000"/>
          <w:szCs w:val="22"/>
        </w:rPr>
        <w:t>S</w:t>
      </w:r>
      <w:r w:rsidR="007D308B" w:rsidRPr="00823BDC">
        <w:rPr>
          <w:color w:val="000000"/>
          <w:szCs w:val="22"/>
        </w:rPr>
        <w:t xml:space="preserve">úbežným užívaním </w:t>
      </w:r>
      <w:proofErr w:type="spellStart"/>
      <w:r w:rsidR="007D308B" w:rsidRPr="00823BDC">
        <w:rPr>
          <w:color w:val="000000"/>
          <w:szCs w:val="22"/>
        </w:rPr>
        <w:t>diltiazemu</w:t>
      </w:r>
      <w:proofErr w:type="spellEnd"/>
      <w:r w:rsidR="007D308B" w:rsidRPr="00823BDC">
        <w:rPr>
          <w:color w:val="000000"/>
          <w:szCs w:val="22"/>
        </w:rPr>
        <w:t xml:space="preserve"> so</w:t>
      </w:r>
      <w:r w:rsidR="00D369FA" w:rsidRPr="00823BDC">
        <w:rPr>
          <w:color w:val="000000"/>
          <w:szCs w:val="22"/>
        </w:rPr>
        <w:t xml:space="preserve"> </w:t>
      </w:r>
      <w:proofErr w:type="spellStart"/>
      <w:r w:rsidR="007D308B" w:rsidRPr="00823BDC">
        <w:rPr>
          <w:color w:val="000000"/>
          <w:szCs w:val="22"/>
        </w:rPr>
        <w:t>simvastatínom</w:t>
      </w:r>
      <w:proofErr w:type="spellEnd"/>
      <w:r w:rsidR="007D308B" w:rsidRPr="00823BDC">
        <w:rPr>
          <w:color w:val="000000"/>
          <w:szCs w:val="22"/>
        </w:rPr>
        <w:t xml:space="preserve"> 80 mg </w:t>
      </w:r>
      <w:r w:rsidR="003224C2" w:rsidRPr="00823BDC">
        <w:rPr>
          <w:color w:val="000000"/>
          <w:szCs w:val="22"/>
        </w:rPr>
        <w:t>sa zvyšuje</w:t>
      </w:r>
      <w:r w:rsidR="007D308B" w:rsidRPr="00823BDC">
        <w:rPr>
          <w:color w:val="000000"/>
          <w:szCs w:val="22"/>
        </w:rPr>
        <w:t xml:space="preserve"> riziko </w:t>
      </w:r>
      <w:proofErr w:type="spellStart"/>
      <w:r w:rsidR="007D308B" w:rsidRPr="00823BDC">
        <w:rPr>
          <w:color w:val="000000"/>
          <w:szCs w:val="22"/>
        </w:rPr>
        <w:t>myopatie</w:t>
      </w:r>
      <w:proofErr w:type="spellEnd"/>
      <w:r w:rsidR="00657DA7" w:rsidRPr="00823BDC">
        <w:rPr>
          <w:color w:val="000000"/>
          <w:szCs w:val="22"/>
        </w:rPr>
        <w:t xml:space="preserve"> </w:t>
      </w:r>
      <w:r w:rsidR="007D308B" w:rsidRPr="00823BDC">
        <w:rPr>
          <w:color w:val="000000"/>
          <w:szCs w:val="22"/>
        </w:rPr>
        <w:t>a </w:t>
      </w:r>
      <w:proofErr w:type="spellStart"/>
      <w:r w:rsidR="007D308B" w:rsidRPr="00823BDC">
        <w:rPr>
          <w:color w:val="000000"/>
          <w:szCs w:val="22"/>
        </w:rPr>
        <w:t>rabdomyolýzy</w:t>
      </w:r>
      <w:proofErr w:type="spellEnd"/>
      <w:r w:rsidR="007D308B" w:rsidRPr="00823BDC">
        <w:rPr>
          <w:color w:val="000000"/>
          <w:szCs w:val="22"/>
        </w:rPr>
        <w:t xml:space="preserve"> (pozri časť 4.4).</w:t>
      </w:r>
      <w:r w:rsidRPr="00823BDC">
        <w:rPr>
          <w:szCs w:val="22"/>
        </w:rPr>
        <w:t xml:space="preserve"> Vo</w:t>
      </w:r>
      <w:r w:rsidR="00D369FA"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farmakokinetickej</w:t>
      </w:r>
      <w:proofErr w:type="spellEnd"/>
      <w:r w:rsidRPr="00823BDC">
        <w:rPr>
          <w:szCs w:val="22"/>
        </w:rPr>
        <w:t xml:space="preserve"> štúdii spôsobilo súbežné podávanie </w:t>
      </w:r>
      <w:proofErr w:type="spellStart"/>
      <w:r w:rsidRPr="00823BDC">
        <w:rPr>
          <w:szCs w:val="22"/>
        </w:rPr>
        <w:t>diltiazemu</w:t>
      </w:r>
      <w:proofErr w:type="spellEnd"/>
      <w:r w:rsidRPr="00823BDC">
        <w:rPr>
          <w:szCs w:val="22"/>
        </w:rPr>
        <w:t xml:space="preserve"> so</w:t>
      </w:r>
      <w:r w:rsidR="00D369FA"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2,7</w:t>
      </w:r>
      <w:r w:rsidRPr="00823BDC">
        <w:rPr>
          <w:szCs w:val="22"/>
        </w:rPr>
        <w:noBreakHyphen/>
        <w:t>násobné zvýšenie expozíci</w:t>
      </w:r>
      <w:r w:rsidR="00AD6A1D" w:rsidRPr="00823BDC">
        <w:rPr>
          <w:szCs w:val="22"/>
        </w:rPr>
        <w:t>e</w:t>
      </w:r>
      <w:r w:rsidRPr="00823BDC">
        <w:rPr>
          <w:szCs w:val="22"/>
        </w:rPr>
        <w:t xml:space="preserve"> kyseline </w:t>
      </w:r>
      <w:proofErr w:type="spellStart"/>
      <w:r w:rsidRPr="00823BDC">
        <w:rPr>
          <w:szCs w:val="22"/>
        </w:rPr>
        <w:t>simvastatínovej</w:t>
      </w:r>
      <w:proofErr w:type="spellEnd"/>
      <w:r w:rsidRPr="00823BDC">
        <w:rPr>
          <w:szCs w:val="22"/>
        </w:rPr>
        <w:t>, pravdepodobne v dôsledku inhibície CYP3A4.</w:t>
      </w:r>
      <w:r w:rsidR="00757232" w:rsidRPr="00823BDC">
        <w:rPr>
          <w:snapToGrid w:val="0"/>
          <w:color w:val="000000"/>
          <w:szCs w:val="22"/>
        </w:rPr>
        <w:t xml:space="preserve"> Preto u pacientov, ktorí dostávajú súbežnú liečbu </w:t>
      </w:r>
      <w:proofErr w:type="spellStart"/>
      <w:r w:rsidR="00757232" w:rsidRPr="00823BDC">
        <w:rPr>
          <w:snapToGrid w:val="0"/>
          <w:color w:val="000000"/>
          <w:szCs w:val="22"/>
        </w:rPr>
        <w:t>diltiazemom</w:t>
      </w:r>
      <w:proofErr w:type="spellEnd"/>
      <w:r w:rsidR="00FE59B2" w:rsidRPr="00823BDC">
        <w:rPr>
          <w:snapToGrid w:val="0"/>
          <w:color w:val="000000"/>
          <w:szCs w:val="22"/>
        </w:rPr>
        <w:t xml:space="preserve"> nemá dávka </w:t>
      </w:r>
      <w:proofErr w:type="spellStart"/>
      <w:r w:rsidR="00576DE6" w:rsidRPr="00823BDC">
        <w:rPr>
          <w:snapToGrid w:val="0"/>
          <w:color w:val="000000"/>
          <w:szCs w:val="22"/>
        </w:rPr>
        <w:t>Cornusanu</w:t>
      </w:r>
      <w:proofErr w:type="spellEnd"/>
      <w:r w:rsidR="00FE59B2" w:rsidRPr="00823BDC">
        <w:rPr>
          <w:snapToGrid w:val="0"/>
          <w:color w:val="000000"/>
          <w:szCs w:val="22"/>
        </w:rPr>
        <w:t xml:space="preserve"> prekročiť 10</w:t>
      </w:r>
      <w:r w:rsidR="00AD6A1D" w:rsidRPr="00823BDC">
        <w:rPr>
          <w:snapToGrid w:val="0"/>
          <w:color w:val="000000"/>
          <w:szCs w:val="22"/>
        </w:rPr>
        <w:t xml:space="preserve"> mg</w:t>
      </w:r>
      <w:r w:rsidR="00FE59B2" w:rsidRPr="00823BDC">
        <w:rPr>
          <w:snapToGrid w:val="0"/>
          <w:color w:val="000000"/>
          <w:szCs w:val="22"/>
        </w:rPr>
        <w:t>/20 mg denne</w:t>
      </w:r>
      <w:r w:rsidRPr="00823BDC">
        <w:rPr>
          <w:szCs w:val="22"/>
        </w:rPr>
        <w:t>.</w:t>
      </w:r>
    </w:p>
    <w:p w14:paraId="0B36C136" w14:textId="77777777" w:rsidR="00A07B6E" w:rsidRPr="00823BDC" w:rsidRDefault="00A07B6E">
      <w:pPr>
        <w:ind w:left="397"/>
        <w:rPr>
          <w:i/>
          <w:snapToGrid w:val="0"/>
          <w:color w:val="000000"/>
          <w:szCs w:val="22"/>
        </w:rPr>
      </w:pPr>
    </w:p>
    <w:p w14:paraId="4E9EDF53" w14:textId="047982D7" w:rsidR="00A07B6E" w:rsidRPr="00823BDC" w:rsidRDefault="00A07B6E">
      <w:pPr>
        <w:keepNext/>
        <w:numPr>
          <w:ilvl w:val="0"/>
          <w:numId w:val="28"/>
        </w:numPr>
        <w:adjustRightInd w:val="0"/>
        <w:snapToGrid w:val="0"/>
        <w:rPr>
          <w:snapToGrid w:val="0"/>
          <w:color w:val="000000"/>
          <w:szCs w:val="22"/>
        </w:rPr>
      </w:pPr>
      <w:proofErr w:type="spellStart"/>
      <w:r w:rsidRPr="00823BDC">
        <w:rPr>
          <w:i/>
          <w:snapToGrid w:val="0"/>
          <w:color w:val="000000"/>
          <w:szCs w:val="22"/>
        </w:rPr>
        <w:t>Amlodipín</w:t>
      </w:r>
      <w:proofErr w:type="spellEnd"/>
      <w:r w:rsidR="00D86BF0" w:rsidRPr="00823BDC">
        <w:rPr>
          <w:i/>
          <w:snapToGrid w:val="0"/>
          <w:color w:val="000000"/>
          <w:szCs w:val="22"/>
        </w:rPr>
        <w:t>:</w:t>
      </w:r>
      <w:r w:rsidR="00D86BF0" w:rsidRPr="00823BDC">
        <w:rPr>
          <w:snapToGrid w:val="0"/>
          <w:color w:val="000000"/>
          <w:szCs w:val="22"/>
        </w:rPr>
        <w:t xml:space="preserve"> </w:t>
      </w:r>
      <w:r w:rsidRPr="00823BDC">
        <w:rPr>
          <w:snapToGrid w:val="0"/>
          <w:color w:val="000000"/>
          <w:szCs w:val="22"/>
        </w:rPr>
        <w:t xml:space="preserve">Pacienti na </w:t>
      </w:r>
      <w:proofErr w:type="spellStart"/>
      <w:r w:rsidRPr="00823BDC">
        <w:rPr>
          <w:snapToGrid w:val="0"/>
          <w:color w:val="000000"/>
          <w:szCs w:val="22"/>
        </w:rPr>
        <w:t>amlodipíne</w:t>
      </w:r>
      <w:proofErr w:type="spellEnd"/>
      <w:r w:rsidRPr="00823BDC">
        <w:rPr>
          <w:snapToGrid w:val="0"/>
          <w:color w:val="000000"/>
          <w:szCs w:val="22"/>
        </w:rPr>
        <w:t xml:space="preserve"> liečení súbežne </w:t>
      </w:r>
      <w:proofErr w:type="spellStart"/>
      <w:r w:rsidRPr="00823BDC">
        <w:rPr>
          <w:snapToGrid w:val="0"/>
          <w:color w:val="000000"/>
          <w:szCs w:val="22"/>
        </w:rPr>
        <w:t>simvastatínom</w:t>
      </w:r>
      <w:proofErr w:type="spellEnd"/>
      <w:r w:rsidRPr="00823BDC">
        <w:rPr>
          <w:snapToGrid w:val="0"/>
          <w:color w:val="000000"/>
          <w:szCs w:val="22"/>
        </w:rPr>
        <w:t xml:space="preserve"> </w:t>
      </w:r>
      <w:r w:rsidR="00D369FA" w:rsidRPr="00823BDC">
        <w:rPr>
          <w:snapToGrid w:val="0"/>
          <w:color w:val="000000"/>
          <w:szCs w:val="22"/>
        </w:rPr>
        <w:t xml:space="preserve">majú </w:t>
      </w:r>
      <w:r w:rsidRPr="00823BDC">
        <w:rPr>
          <w:snapToGrid w:val="0"/>
          <w:color w:val="000000"/>
          <w:szCs w:val="22"/>
        </w:rPr>
        <w:t xml:space="preserve">zvýšené riziko </w:t>
      </w:r>
      <w:proofErr w:type="spellStart"/>
      <w:r w:rsidRPr="00823BDC">
        <w:rPr>
          <w:snapToGrid w:val="0"/>
          <w:color w:val="000000"/>
          <w:szCs w:val="22"/>
        </w:rPr>
        <w:t>myopatie</w:t>
      </w:r>
      <w:proofErr w:type="spellEnd"/>
      <w:r w:rsidRPr="00823BDC">
        <w:rPr>
          <w:snapToGrid w:val="0"/>
          <w:color w:val="000000"/>
          <w:szCs w:val="22"/>
        </w:rPr>
        <w:t xml:space="preserve">. Vo </w:t>
      </w:r>
      <w:proofErr w:type="spellStart"/>
      <w:r w:rsidRPr="00823BDC">
        <w:rPr>
          <w:snapToGrid w:val="0"/>
          <w:color w:val="000000"/>
          <w:szCs w:val="22"/>
        </w:rPr>
        <w:t>farmakokinetickej</w:t>
      </w:r>
      <w:proofErr w:type="spellEnd"/>
      <w:r w:rsidRPr="00823BDC">
        <w:rPr>
          <w:snapToGrid w:val="0"/>
          <w:color w:val="000000"/>
          <w:szCs w:val="22"/>
        </w:rPr>
        <w:t xml:space="preserve"> štúdii spôsobilo súbežné podávanie </w:t>
      </w:r>
      <w:proofErr w:type="spellStart"/>
      <w:r w:rsidRPr="00823BDC">
        <w:rPr>
          <w:snapToGrid w:val="0"/>
          <w:color w:val="000000"/>
          <w:szCs w:val="22"/>
        </w:rPr>
        <w:t>amlodipínu</w:t>
      </w:r>
      <w:proofErr w:type="spellEnd"/>
      <w:r w:rsidRPr="00823BDC">
        <w:rPr>
          <w:snapToGrid w:val="0"/>
          <w:color w:val="000000"/>
          <w:szCs w:val="22"/>
        </w:rPr>
        <w:t xml:space="preserve"> 1,6</w:t>
      </w:r>
      <w:r w:rsidRPr="00823BDC">
        <w:rPr>
          <w:snapToGrid w:val="0"/>
          <w:color w:val="000000"/>
          <w:szCs w:val="22"/>
        </w:rPr>
        <w:noBreakHyphen/>
        <w:t>násobné zvýšenie expozíci</w:t>
      </w:r>
      <w:r w:rsidR="00AD6A1D" w:rsidRPr="00823BDC">
        <w:rPr>
          <w:snapToGrid w:val="0"/>
          <w:color w:val="000000"/>
          <w:szCs w:val="22"/>
        </w:rPr>
        <w:t>e</w:t>
      </w:r>
      <w:r w:rsidRPr="00823BDC">
        <w:rPr>
          <w:snapToGrid w:val="0"/>
          <w:color w:val="000000"/>
          <w:szCs w:val="22"/>
        </w:rPr>
        <w:t xml:space="preserve"> kyseline </w:t>
      </w:r>
      <w:proofErr w:type="spellStart"/>
      <w:r w:rsidRPr="00823BDC">
        <w:rPr>
          <w:snapToGrid w:val="0"/>
          <w:color w:val="000000"/>
          <w:szCs w:val="22"/>
        </w:rPr>
        <w:t>simvastatínovej</w:t>
      </w:r>
      <w:proofErr w:type="spellEnd"/>
      <w:r w:rsidRPr="00823BDC">
        <w:rPr>
          <w:snapToGrid w:val="0"/>
          <w:color w:val="000000"/>
          <w:szCs w:val="22"/>
        </w:rPr>
        <w:t xml:space="preserve">. Preto u pacientov, ktorí dostávajú súbežnú liečbu </w:t>
      </w:r>
      <w:proofErr w:type="spellStart"/>
      <w:r w:rsidRPr="00823BDC">
        <w:rPr>
          <w:snapToGrid w:val="0"/>
          <w:color w:val="000000"/>
          <w:szCs w:val="22"/>
        </w:rPr>
        <w:t>amlodipínom</w:t>
      </w:r>
      <w:proofErr w:type="spellEnd"/>
      <w:r w:rsidR="00FE59B2" w:rsidRPr="00823BDC">
        <w:rPr>
          <w:snapToGrid w:val="0"/>
          <w:color w:val="000000"/>
          <w:szCs w:val="22"/>
        </w:rPr>
        <w:t xml:space="preserve"> nemá dávka </w:t>
      </w:r>
      <w:proofErr w:type="spellStart"/>
      <w:r w:rsidR="00576DE6" w:rsidRPr="00823BDC">
        <w:rPr>
          <w:snapToGrid w:val="0"/>
          <w:color w:val="000000"/>
          <w:szCs w:val="22"/>
        </w:rPr>
        <w:t>Cornusanu</w:t>
      </w:r>
      <w:proofErr w:type="spellEnd"/>
      <w:r w:rsidR="00FE59B2" w:rsidRPr="00823BDC">
        <w:rPr>
          <w:snapToGrid w:val="0"/>
          <w:color w:val="000000"/>
          <w:szCs w:val="22"/>
        </w:rPr>
        <w:t xml:space="preserve"> prekročiť 10</w:t>
      </w:r>
      <w:r w:rsidR="00AD6A1D" w:rsidRPr="00823BDC">
        <w:rPr>
          <w:snapToGrid w:val="0"/>
          <w:color w:val="000000"/>
          <w:szCs w:val="22"/>
        </w:rPr>
        <w:t xml:space="preserve"> mg</w:t>
      </w:r>
      <w:r w:rsidR="00FE59B2" w:rsidRPr="00823BDC">
        <w:rPr>
          <w:snapToGrid w:val="0"/>
          <w:color w:val="000000"/>
          <w:szCs w:val="22"/>
        </w:rPr>
        <w:t>/20 mg denne</w:t>
      </w:r>
      <w:r w:rsidRPr="00823BDC">
        <w:rPr>
          <w:snapToGrid w:val="0"/>
          <w:color w:val="000000"/>
          <w:szCs w:val="22"/>
        </w:rPr>
        <w:t>.</w:t>
      </w:r>
    </w:p>
    <w:p w14:paraId="3FEA6186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1DAC1A83" w14:textId="449D19D1" w:rsidR="00864F69" w:rsidRPr="00823BDC" w:rsidRDefault="00D86BF0">
      <w:pPr>
        <w:adjustRightInd w:val="0"/>
        <w:snapToGrid w:val="0"/>
        <w:rPr>
          <w:szCs w:val="22"/>
        </w:rPr>
      </w:pPr>
      <w:proofErr w:type="spellStart"/>
      <w:r w:rsidRPr="00823BDC">
        <w:rPr>
          <w:i/>
          <w:szCs w:val="22"/>
        </w:rPr>
        <w:t>Lomitapid</w:t>
      </w:r>
      <w:proofErr w:type="spellEnd"/>
      <w:r w:rsidRPr="00823BDC">
        <w:rPr>
          <w:szCs w:val="22"/>
        </w:rPr>
        <w:t xml:space="preserve"> </w:t>
      </w:r>
    </w:p>
    <w:p w14:paraId="6E81DC58" w14:textId="629D2FAD" w:rsidR="00D86BF0" w:rsidRPr="00F064AC" w:rsidRDefault="00D86BF0">
      <w:pPr>
        <w:adjustRightInd w:val="0"/>
        <w:snapToGrid w:val="0"/>
        <w:rPr>
          <w:snapToGrid w:val="0"/>
          <w:szCs w:val="22"/>
        </w:rPr>
      </w:pPr>
      <w:r w:rsidRPr="00823BDC">
        <w:rPr>
          <w:szCs w:val="22"/>
        </w:rPr>
        <w:t xml:space="preserve">Pri súbežnom podávaní </w:t>
      </w:r>
      <w:proofErr w:type="spellStart"/>
      <w:r w:rsidRPr="00823BDC">
        <w:rPr>
          <w:szCs w:val="22"/>
        </w:rPr>
        <w:t>lomitapidu</w:t>
      </w:r>
      <w:proofErr w:type="spellEnd"/>
      <w:r w:rsidRPr="00823BDC">
        <w:rPr>
          <w:szCs w:val="22"/>
        </w:rPr>
        <w:t xml:space="preserve"> so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môže byť zvýšené riziko </w:t>
      </w:r>
      <w:proofErr w:type="spellStart"/>
      <w:r w:rsidRPr="00823BDC">
        <w:rPr>
          <w:szCs w:val="22"/>
        </w:rPr>
        <w:t>myopatie</w:t>
      </w:r>
      <w:proofErr w:type="spellEnd"/>
      <w:r w:rsidR="00F064AC">
        <w:rPr>
          <w:szCs w:val="22"/>
        </w:rPr>
        <w:t xml:space="preserve"> </w:t>
      </w:r>
      <w:r w:rsidRPr="00F064AC">
        <w:rPr>
          <w:szCs w:val="22"/>
        </w:rPr>
        <w:t>a </w:t>
      </w:r>
      <w:proofErr w:type="spellStart"/>
      <w:r w:rsidRPr="00F064AC">
        <w:rPr>
          <w:szCs w:val="22"/>
        </w:rPr>
        <w:t>rabd</w:t>
      </w:r>
      <w:r w:rsidRPr="00530542">
        <w:rPr>
          <w:szCs w:val="22"/>
        </w:rPr>
        <w:t>omyolýzy</w:t>
      </w:r>
      <w:proofErr w:type="spellEnd"/>
      <w:r w:rsidRPr="00530542">
        <w:rPr>
          <w:szCs w:val="22"/>
        </w:rPr>
        <w:t xml:space="preserve"> (pozri časti 4.3 a 4.4).</w:t>
      </w:r>
      <w:r w:rsidRPr="00CD10F1">
        <w:rPr>
          <w:szCs w:val="22"/>
        </w:rPr>
        <w:t xml:space="preserve"> </w:t>
      </w:r>
      <w:r w:rsidR="006457EF" w:rsidRPr="00CD10F1">
        <w:rPr>
          <w:szCs w:val="22"/>
        </w:rPr>
        <w:t>Preto u pacientov s </w:t>
      </w:r>
      <w:proofErr w:type="spellStart"/>
      <w:r w:rsidR="006457EF" w:rsidRPr="00CD10F1">
        <w:rPr>
          <w:szCs w:val="22"/>
        </w:rPr>
        <w:t>HoFH</w:t>
      </w:r>
      <w:proofErr w:type="spellEnd"/>
      <w:r w:rsidR="006457EF" w:rsidRPr="00CD10F1">
        <w:rPr>
          <w:szCs w:val="22"/>
        </w:rPr>
        <w:t xml:space="preserve"> pri súbežnej liečbe </w:t>
      </w:r>
      <w:proofErr w:type="spellStart"/>
      <w:r w:rsidR="006457EF" w:rsidRPr="00CD10F1">
        <w:rPr>
          <w:szCs w:val="22"/>
        </w:rPr>
        <w:t>lomitapidom</w:t>
      </w:r>
      <w:proofErr w:type="spellEnd"/>
      <w:r w:rsidR="006457EF" w:rsidRPr="00CD10F1">
        <w:rPr>
          <w:szCs w:val="22"/>
        </w:rPr>
        <w:t xml:space="preserve"> nesmie dávka </w:t>
      </w:r>
      <w:proofErr w:type="spellStart"/>
      <w:r w:rsidR="00576DE6" w:rsidRPr="00CD10F1">
        <w:rPr>
          <w:szCs w:val="22"/>
        </w:rPr>
        <w:t>Cornusanu</w:t>
      </w:r>
      <w:proofErr w:type="spellEnd"/>
      <w:r w:rsidR="006457EF" w:rsidRPr="00CD10F1">
        <w:rPr>
          <w:szCs w:val="22"/>
        </w:rPr>
        <w:t xml:space="preserve"> prekročiť </w:t>
      </w:r>
      <w:r w:rsidRPr="00CD10F1">
        <w:rPr>
          <w:szCs w:val="22"/>
        </w:rPr>
        <w:t>10</w:t>
      </w:r>
      <w:r w:rsidR="00864F69" w:rsidRPr="00CD10F1">
        <w:rPr>
          <w:szCs w:val="22"/>
        </w:rPr>
        <w:t> </w:t>
      </w:r>
      <w:r w:rsidR="00AD6A1D" w:rsidRPr="00657DA7">
        <w:rPr>
          <w:szCs w:val="22"/>
        </w:rPr>
        <w:t>mg</w:t>
      </w:r>
      <w:r w:rsidRPr="00F064AC">
        <w:rPr>
          <w:szCs w:val="22"/>
        </w:rPr>
        <w:t>/40 mg denne</w:t>
      </w:r>
      <w:r w:rsidR="006457EF" w:rsidRPr="00F064AC">
        <w:rPr>
          <w:szCs w:val="22"/>
        </w:rPr>
        <w:t>.</w:t>
      </w:r>
    </w:p>
    <w:p w14:paraId="06EF041F" w14:textId="77777777" w:rsidR="00D86BF0" w:rsidRPr="00F064AC" w:rsidRDefault="00D86BF0">
      <w:pPr>
        <w:adjustRightInd w:val="0"/>
        <w:snapToGrid w:val="0"/>
        <w:rPr>
          <w:szCs w:val="22"/>
        </w:rPr>
      </w:pPr>
    </w:p>
    <w:p w14:paraId="1A7DDF53" w14:textId="433ADB69" w:rsidR="00932EFA" w:rsidRPr="006D69A4" w:rsidRDefault="002369AE">
      <w:pPr>
        <w:adjustRightInd w:val="0"/>
        <w:snapToGrid w:val="0"/>
        <w:rPr>
          <w:i/>
          <w:snapToGrid w:val="0"/>
          <w:color w:val="000000"/>
          <w:szCs w:val="22"/>
        </w:rPr>
      </w:pPr>
      <w:r w:rsidRPr="00F064AC">
        <w:rPr>
          <w:i/>
          <w:snapToGrid w:val="0"/>
          <w:color w:val="000000"/>
          <w:szCs w:val="22"/>
        </w:rPr>
        <w:t>Stredne silné</w:t>
      </w:r>
      <w:r w:rsidR="00726B3A" w:rsidRPr="00F064AC">
        <w:rPr>
          <w:i/>
          <w:snapToGrid w:val="0"/>
          <w:color w:val="000000"/>
          <w:szCs w:val="22"/>
        </w:rPr>
        <w:t xml:space="preserve"> inhibítory CYP3A4</w:t>
      </w:r>
      <w:r w:rsidR="00D86BF0" w:rsidRPr="00F064AC">
        <w:rPr>
          <w:i/>
          <w:snapToGrid w:val="0"/>
          <w:color w:val="000000"/>
          <w:szCs w:val="22"/>
        </w:rPr>
        <w:t xml:space="preserve"> </w:t>
      </w:r>
    </w:p>
    <w:p w14:paraId="69ED2042" w14:textId="5463EB8C" w:rsidR="00726B3A" w:rsidRPr="00823BDC" w:rsidRDefault="00EF76D0">
      <w:pPr>
        <w:adjustRightInd w:val="0"/>
        <w:snapToGrid w:val="0"/>
        <w:rPr>
          <w:snapToGrid w:val="0"/>
          <w:color w:val="000000"/>
          <w:szCs w:val="22"/>
        </w:rPr>
      </w:pPr>
      <w:r w:rsidRPr="00823BDC">
        <w:rPr>
          <w:snapToGrid w:val="0"/>
          <w:color w:val="000000"/>
          <w:szCs w:val="22"/>
        </w:rPr>
        <w:t>P</w:t>
      </w:r>
      <w:r w:rsidR="00726B3A" w:rsidRPr="00823BDC">
        <w:rPr>
          <w:snapToGrid w:val="0"/>
          <w:color w:val="000000"/>
          <w:szCs w:val="22"/>
        </w:rPr>
        <w:t>acient</w:t>
      </w:r>
      <w:r w:rsidRPr="00823BDC">
        <w:rPr>
          <w:snapToGrid w:val="0"/>
          <w:color w:val="000000"/>
          <w:szCs w:val="22"/>
        </w:rPr>
        <w:t>i</w:t>
      </w:r>
      <w:r w:rsidR="00726B3A" w:rsidRPr="00823BDC">
        <w:rPr>
          <w:snapToGrid w:val="0"/>
          <w:color w:val="000000"/>
          <w:szCs w:val="22"/>
        </w:rPr>
        <w:t xml:space="preserve"> užívajúci iné lieky, ktoré sa označujú ako lieky s</w:t>
      </w:r>
      <w:r w:rsidR="002369AE" w:rsidRPr="00823BDC">
        <w:rPr>
          <w:snapToGrid w:val="0"/>
          <w:color w:val="000000"/>
          <w:szCs w:val="22"/>
        </w:rPr>
        <w:t>o</w:t>
      </w:r>
      <w:r w:rsidR="00726B3A" w:rsidRPr="00823BDC">
        <w:rPr>
          <w:snapToGrid w:val="0"/>
          <w:color w:val="000000"/>
          <w:szCs w:val="22"/>
        </w:rPr>
        <w:t xml:space="preserve"> </w:t>
      </w:r>
      <w:r w:rsidR="002369AE" w:rsidRPr="00823BDC">
        <w:rPr>
          <w:snapToGrid w:val="0"/>
          <w:color w:val="000000"/>
          <w:szCs w:val="22"/>
        </w:rPr>
        <w:t>stredne silným</w:t>
      </w:r>
      <w:r w:rsidR="00726B3A" w:rsidRPr="00823BDC">
        <w:rPr>
          <w:snapToGrid w:val="0"/>
          <w:color w:val="000000"/>
          <w:szCs w:val="22"/>
        </w:rPr>
        <w:t xml:space="preserve"> inhibičným účinkom na CYP3A4, súbežne s </w:t>
      </w:r>
      <w:proofErr w:type="spellStart"/>
      <w:r w:rsidR="00864F69" w:rsidRPr="00823BDC">
        <w:rPr>
          <w:snapToGrid w:val="0"/>
          <w:color w:val="000000"/>
          <w:szCs w:val="22"/>
        </w:rPr>
        <w:t>ezetimibom</w:t>
      </w:r>
      <w:proofErr w:type="spellEnd"/>
      <w:r w:rsidR="00864F69" w:rsidRPr="00823BDC">
        <w:rPr>
          <w:snapToGrid w:val="0"/>
          <w:color w:val="000000"/>
          <w:szCs w:val="22"/>
        </w:rPr>
        <w:t>/</w:t>
      </w:r>
      <w:proofErr w:type="spellStart"/>
      <w:r w:rsidR="00864F69" w:rsidRPr="00823BDC">
        <w:rPr>
          <w:snapToGrid w:val="0"/>
          <w:color w:val="000000"/>
          <w:szCs w:val="22"/>
        </w:rPr>
        <w:t>simvastatínom</w:t>
      </w:r>
      <w:proofErr w:type="spellEnd"/>
      <w:r w:rsidR="00726B3A" w:rsidRPr="00823BDC">
        <w:rPr>
          <w:snapToGrid w:val="0"/>
          <w:color w:val="000000"/>
          <w:szCs w:val="22"/>
        </w:rPr>
        <w:t>, najmä vyšš</w:t>
      </w:r>
      <w:r w:rsidR="003F53D0" w:rsidRPr="00823BDC">
        <w:rPr>
          <w:snapToGrid w:val="0"/>
          <w:color w:val="000000"/>
          <w:szCs w:val="22"/>
        </w:rPr>
        <w:t>ími</w:t>
      </w:r>
      <w:r w:rsidR="00726B3A" w:rsidRPr="00823BDC">
        <w:rPr>
          <w:snapToGrid w:val="0"/>
          <w:color w:val="000000"/>
          <w:szCs w:val="22"/>
        </w:rPr>
        <w:t xml:space="preserve"> dávk</w:t>
      </w:r>
      <w:r w:rsidR="003F53D0" w:rsidRPr="00823BDC">
        <w:rPr>
          <w:snapToGrid w:val="0"/>
          <w:color w:val="000000"/>
          <w:szCs w:val="22"/>
        </w:rPr>
        <w:t>ami</w:t>
      </w:r>
      <w:r w:rsidR="00726B3A" w:rsidRPr="00823BDC">
        <w:rPr>
          <w:snapToGrid w:val="0"/>
          <w:color w:val="000000"/>
          <w:szCs w:val="22"/>
        </w:rPr>
        <w:t xml:space="preserve"> </w:t>
      </w:r>
      <w:proofErr w:type="spellStart"/>
      <w:r w:rsidR="00864F69" w:rsidRPr="00823BDC">
        <w:rPr>
          <w:snapToGrid w:val="0"/>
          <w:color w:val="000000"/>
          <w:szCs w:val="22"/>
        </w:rPr>
        <w:t>ezetimibu</w:t>
      </w:r>
      <w:proofErr w:type="spellEnd"/>
      <w:r w:rsidR="00864F69" w:rsidRPr="00823BDC">
        <w:rPr>
          <w:snapToGrid w:val="0"/>
          <w:color w:val="000000"/>
          <w:szCs w:val="22"/>
        </w:rPr>
        <w:t>/</w:t>
      </w:r>
      <w:proofErr w:type="spellStart"/>
      <w:r w:rsidR="00864F69" w:rsidRPr="00823BDC">
        <w:rPr>
          <w:snapToGrid w:val="0"/>
          <w:color w:val="000000"/>
          <w:szCs w:val="22"/>
        </w:rPr>
        <w:t>simvastatínu</w:t>
      </w:r>
      <w:proofErr w:type="spellEnd"/>
      <w:r w:rsidR="00726B3A" w:rsidRPr="00823BDC">
        <w:rPr>
          <w:snapToGrid w:val="0"/>
          <w:color w:val="000000"/>
          <w:szCs w:val="22"/>
        </w:rPr>
        <w:t>, môž</w:t>
      </w:r>
      <w:r w:rsidRPr="00823BDC">
        <w:rPr>
          <w:snapToGrid w:val="0"/>
          <w:color w:val="000000"/>
          <w:szCs w:val="22"/>
        </w:rPr>
        <w:t>u</w:t>
      </w:r>
      <w:r w:rsidR="00726B3A" w:rsidRPr="00823BDC">
        <w:rPr>
          <w:snapToGrid w:val="0"/>
          <w:color w:val="000000"/>
          <w:szCs w:val="22"/>
        </w:rPr>
        <w:t xml:space="preserve"> </w:t>
      </w:r>
      <w:r w:rsidRPr="00823BDC">
        <w:rPr>
          <w:snapToGrid w:val="0"/>
          <w:color w:val="000000"/>
          <w:szCs w:val="22"/>
        </w:rPr>
        <w:t xml:space="preserve">mať zvýšené </w:t>
      </w:r>
      <w:r w:rsidR="00726B3A" w:rsidRPr="00823BDC">
        <w:rPr>
          <w:snapToGrid w:val="0"/>
          <w:color w:val="000000"/>
          <w:szCs w:val="22"/>
        </w:rPr>
        <w:t xml:space="preserve">riziko </w:t>
      </w:r>
      <w:proofErr w:type="spellStart"/>
      <w:r w:rsidR="00726B3A" w:rsidRPr="00823BDC">
        <w:rPr>
          <w:snapToGrid w:val="0"/>
          <w:color w:val="000000"/>
          <w:szCs w:val="22"/>
        </w:rPr>
        <w:t>myopatie</w:t>
      </w:r>
      <w:proofErr w:type="spellEnd"/>
      <w:r w:rsidR="00E901CE" w:rsidRPr="00823BDC">
        <w:rPr>
          <w:snapToGrid w:val="0"/>
          <w:color w:val="000000"/>
          <w:szCs w:val="22"/>
        </w:rPr>
        <w:t xml:space="preserve"> (pozri časť 4.4)</w:t>
      </w:r>
      <w:r w:rsidR="00726B3A" w:rsidRPr="00823BDC">
        <w:rPr>
          <w:snapToGrid w:val="0"/>
          <w:color w:val="000000"/>
          <w:szCs w:val="22"/>
        </w:rPr>
        <w:t>.</w:t>
      </w:r>
    </w:p>
    <w:p w14:paraId="48FB6B27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704A9593" w14:textId="185030B4" w:rsidR="00864F69" w:rsidRPr="00823BDC" w:rsidRDefault="00834F7D">
      <w:pPr>
        <w:adjustRightInd w:val="0"/>
        <w:snapToGrid w:val="0"/>
        <w:rPr>
          <w:bCs/>
          <w:i/>
          <w:snapToGrid w:val="0"/>
          <w:szCs w:val="22"/>
        </w:rPr>
      </w:pPr>
      <w:r w:rsidRPr="00823BDC">
        <w:rPr>
          <w:i/>
          <w:snapToGrid w:val="0"/>
          <w:szCs w:val="22"/>
        </w:rPr>
        <w:t xml:space="preserve">Inhibítory transportného proteínu </w:t>
      </w:r>
      <w:r w:rsidRPr="00823BDC">
        <w:rPr>
          <w:bCs/>
          <w:i/>
          <w:snapToGrid w:val="0"/>
          <w:szCs w:val="22"/>
        </w:rPr>
        <w:t xml:space="preserve">OATP1B1 </w:t>
      </w:r>
    </w:p>
    <w:p w14:paraId="78592382" w14:textId="77777777" w:rsidR="00834F7D" w:rsidRPr="00823BDC" w:rsidRDefault="00834F7D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Kyselina </w:t>
      </w:r>
      <w:proofErr w:type="spellStart"/>
      <w:r w:rsidRPr="00823BDC">
        <w:rPr>
          <w:snapToGrid w:val="0"/>
          <w:szCs w:val="22"/>
        </w:rPr>
        <w:t>simvastatínová</w:t>
      </w:r>
      <w:proofErr w:type="spellEnd"/>
      <w:r w:rsidRPr="00823BDC">
        <w:rPr>
          <w:snapToGrid w:val="0"/>
          <w:szCs w:val="22"/>
        </w:rPr>
        <w:t xml:space="preserve"> je substrátom transportného proteínu</w:t>
      </w:r>
      <w:r w:rsidRPr="00823BDC">
        <w:rPr>
          <w:bCs/>
          <w:szCs w:val="22"/>
        </w:rPr>
        <w:t xml:space="preserve"> OATP1B1. Súbežné podávanie liekov, ktoré sú inhibítormi transportného proteínu OATP1B1 môže viesť k zvýšeným plazmatickým koncentráciám kyseliny </w:t>
      </w:r>
      <w:proofErr w:type="spellStart"/>
      <w:r w:rsidRPr="00823BDC">
        <w:rPr>
          <w:bCs/>
          <w:szCs w:val="22"/>
        </w:rPr>
        <w:t>simvastatínovej</w:t>
      </w:r>
      <w:proofErr w:type="spellEnd"/>
      <w:r w:rsidRPr="00823BDC">
        <w:rPr>
          <w:bCs/>
          <w:szCs w:val="22"/>
        </w:rPr>
        <w:t xml:space="preserve"> a k zvýšenému riziku </w:t>
      </w:r>
      <w:proofErr w:type="spellStart"/>
      <w:r w:rsidRPr="00823BDC">
        <w:rPr>
          <w:bCs/>
          <w:szCs w:val="22"/>
        </w:rPr>
        <w:t>myopatie</w:t>
      </w:r>
      <w:proofErr w:type="spellEnd"/>
      <w:r w:rsidRPr="00823BDC">
        <w:rPr>
          <w:bCs/>
          <w:szCs w:val="22"/>
        </w:rPr>
        <w:t xml:space="preserve"> (pozri časti 4.3 a 4.4).</w:t>
      </w:r>
    </w:p>
    <w:p w14:paraId="0EB41CDA" w14:textId="77777777" w:rsidR="00834F7D" w:rsidRPr="00823BDC" w:rsidRDefault="00834F7D">
      <w:pPr>
        <w:adjustRightInd w:val="0"/>
        <w:snapToGrid w:val="0"/>
        <w:rPr>
          <w:szCs w:val="22"/>
        </w:rPr>
      </w:pPr>
    </w:p>
    <w:p w14:paraId="2EC39CF4" w14:textId="576930DF" w:rsidR="00864F69" w:rsidRPr="00823BDC" w:rsidRDefault="004F384C">
      <w:pPr>
        <w:adjustRightInd w:val="0"/>
        <w:snapToGrid w:val="0"/>
        <w:rPr>
          <w:szCs w:val="22"/>
        </w:rPr>
      </w:pPr>
      <w:r w:rsidRPr="00823BDC">
        <w:rPr>
          <w:i/>
          <w:szCs w:val="22"/>
        </w:rPr>
        <w:t>Inhibítory proteínu rezistencie voči rakovine prsníka (BCRP)</w:t>
      </w:r>
      <w:r w:rsidRPr="00823BDC">
        <w:rPr>
          <w:szCs w:val="22"/>
        </w:rPr>
        <w:t xml:space="preserve"> </w:t>
      </w:r>
    </w:p>
    <w:p w14:paraId="21691A9A" w14:textId="77777777" w:rsidR="004F384C" w:rsidRPr="00823BDC" w:rsidRDefault="004F384C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Súbežné podávanie liekov, ktoré sú inhibítormi BCRP, vrátane liekov obsahujúcich </w:t>
      </w:r>
      <w:proofErr w:type="spellStart"/>
      <w:r w:rsidRPr="00823BDC">
        <w:rPr>
          <w:szCs w:val="22"/>
        </w:rPr>
        <w:t>elbasvir</w:t>
      </w:r>
      <w:proofErr w:type="spellEnd"/>
      <w:r w:rsidRPr="00823BDC">
        <w:rPr>
          <w:szCs w:val="22"/>
        </w:rPr>
        <w:t xml:space="preserve"> alebo </w:t>
      </w:r>
      <w:proofErr w:type="spellStart"/>
      <w:r w:rsidRPr="00823BDC">
        <w:rPr>
          <w:szCs w:val="22"/>
        </w:rPr>
        <w:t>grazoprevir</w:t>
      </w:r>
      <w:proofErr w:type="spellEnd"/>
      <w:r w:rsidRPr="00823BDC">
        <w:rPr>
          <w:szCs w:val="22"/>
        </w:rPr>
        <w:t xml:space="preserve">, môže viesť k zvýšeným plazmatickým koncentráciám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a k zvýšenému riziku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</w:t>
      </w:r>
      <w:r w:rsidRPr="00823BDC">
        <w:rPr>
          <w:bCs/>
          <w:szCs w:val="22"/>
        </w:rPr>
        <w:t>(pozri časti 4.2 a 4.4)</w:t>
      </w:r>
      <w:r w:rsidRPr="00823BDC">
        <w:rPr>
          <w:szCs w:val="22"/>
        </w:rPr>
        <w:t>.</w:t>
      </w:r>
    </w:p>
    <w:p w14:paraId="582E573E" w14:textId="77777777" w:rsidR="004F384C" w:rsidRPr="00823BDC" w:rsidRDefault="004F384C">
      <w:pPr>
        <w:adjustRightInd w:val="0"/>
        <w:snapToGrid w:val="0"/>
        <w:rPr>
          <w:szCs w:val="22"/>
        </w:rPr>
      </w:pPr>
    </w:p>
    <w:p w14:paraId="04D5C270" w14:textId="7984BFC9" w:rsidR="00864F69" w:rsidRPr="00823BDC" w:rsidRDefault="00D044EB">
      <w:pPr>
        <w:adjustRightInd w:val="0"/>
        <w:snapToGrid w:val="0"/>
        <w:rPr>
          <w:szCs w:val="22"/>
        </w:rPr>
      </w:pPr>
      <w:r w:rsidRPr="00823BDC">
        <w:rPr>
          <w:i/>
          <w:szCs w:val="22"/>
        </w:rPr>
        <w:t>Grapefruitový džús</w:t>
      </w:r>
      <w:r w:rsidRPr="00823BDC">
        <w:rPr>
          <w:szCs w:val="22"/>
        </w:rPr>
        <w:t xml:space="preserve"> </w:t>
      </w:r>
    </w:p>
    <w:p w14:paraId="1790FF28" w14:textId="74BE8DFC" w:rsidR="00D044EB" w:rsidRPr="00823BDC" w:rsidRDefault="00D044EB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Grapefruitový džús inhibuje cytochróm P450 3A4. Súbežné požitie veľkého množstva (viac ako </w:t>
      </w:r>
      <w:smartTag w:uri="urn:schemas-microsoft-com:office:smarttags" w:element="metricconverter">
        <w:smartTagPr>
          <w:attr w:name="ProductID" w:val="1ﾠliter"/>
        </w:smartTagPr>
        <w:r w:rsidRPr="00823BDC">
          <w:rPr>
            <w:snapToGrid w:val="0"/>
            <w:szCs w:val="22"/>
          </w:rPr>
          <w:t>1 liter</w:t>
        </w:r>
      </w:smartTag>
      <w:r w:rsidRPr="00823BDC">
        <w:rPr>
          <w:snapToGrid w:val="0"/>
          <w:szCs w:val="22"/>
        </w:rPr>
        <w:t xml:space="preserve"> denne) grapefruitového džúsu a </w:t>
      </w:r>
      <w:proofErr w:type="spellStart"/>
      <w:r w:rsidRPr="00823BDC">
        <w:rPr>
          <w:snapToGrid w:val="0"/>
          <w:szCs w:val="22"/>
        </w:rPr>
        <w:t>simvastatínu</w:t>
      </w:r>
      <w:proofErr w:type="spellEnd"/>
      <w:r w:rsidRPr="00823BDC">
        <w:rPr>
          <w:snapToGrid w:val="0"/>
          <w:szCs w:val="22"/>
        </w:rPr>
        <w:t xml:space="preserve"> viedlo k 7</w:t>
      </w:r>
      <w:r w:rsidRPr="00823BDC">
        <w:rPr>
          <w:snapToGrid w:val="0"/>
          <w:szCs w:val="22"/>
        </w:rPr>
        <w:noBreakHyphen/>
        <w:t>násobnému zvýšeniu expozíci</w:t>
      </w:r>
      <w:r w:rsidR="00AD6A1D" w:rsidRPr="00823BDC">
        <w:rPr>
          <w:snapToGrid w:val="0"/>
          <w:szCs w:val="22"/>
        </w:rPr>
        <w:t>e</w:t>
      </w:r>
      <w:r w:rsidRPr="00823BDC">
        <w:rPr>
          <w:snapToGrid w:val="0"/>
          <w:szCs w:val="22"/>
        </w:rPr>
        <w:t xml:space="preserve"> kyseline </w:t>
      </w:r>
      <w:proofErr w:type="spellStart"/>
      <w:r w:rsidRPr="00823BDC">
        <w:rPr>
          <w:snapToGrid w:val="0"/>
          <w:szCs w:val="22"/>
        </w:rPr>
        <w:t>simvastatínovej</w:t>
      </w:r>
      <w:proofErr w:type="spellEnd"/>
      <w:r w:rsidRPr="00823BDC">
        <w:rPr>
          <w:snapToGrid w:val="0"/>
          <w:szCs w:val="22"/>
        </w:rPr>
        <w:t xml:space="preserve">. Požitie 240 ml grapefruitového džúsu ráno a podanie </w:t>
      </w:r>
      <w:proofErr w:type="spellStart"/>
      <w:r w:rsidRPr="00823BDC">
        <w:rPr>
          <w:snapToGrid w:val="0"/>
          <w:szCs w:val="22"/>
        </w:rPr>
        <w:t>simvastatínu</w:t>
      </w:r>
      <w:proofErr w:type="spellEnd"/>
      <w:r w:rsidRPr="00823BDC">
        <w:rPr>
          <w:snapToGrid w:val="0"/>
          <w:szCs w:val="22"/>
        </w:rPr>
        <w:t xml:space="preserve"> večer viedlo tiež k 1,9</w:t>
      </w:r>
      <w:r w:rsidRPr="00823BDC">
        <w:rPr>
          <w:snapToGrid w:val="0"/>
          <w:szCs w:val="22"/>
        </w:rPr>
        <w:noBreakHyphen/>
        <w:t xml:space="preserve">násobnému zvýšeniu. Preto sa treba konzumácii grapefruitového džúsu počas </w:t>
      </w:r>
      <w:r w:rsidR="009B72C0" w:rsidRPr="00823BDC">
        <w:rPr>
          <w:snapToGrid w:val="0"/>
          <w:szCs w:val="22"/>
        </w:rPr>
        <w:t>liečby</w:t>
      </w:r>
      <w:r w:rsidRPr="00823BDC">
        <w:rPr>
          <w:snapToGrid w:val="0"/>
          <w:szCs w:val="22"/>
        </w:rPr>
        <w:t xml:space="preserve"> </w:t>
      </w:r>
      <w:proofErr w:type="spellStart"/>
      <w:r w:rsidR="00D36135" w:rsidRPr="00823BDC">
        <w:rPr>
          <w:snapToGrid w:val="0"/>
          <w:szCs w:val="22"/>
        </w:rPr>
        <w:t>Cornusanom</w:t>
      </w:r>
      <w:proofErr w:type="spellEnd"/>
      <w:r w:rsidRPr="00823BDC">
        <w:rPr>
          <w:snapToGrid w:val="0"/>
          <w:szCs w:val="22"/>
        </w:rPr>
        <w:t xml:space="preserve"> vyhnúť.</w:t>
      </w:r>
    </w:p>
    <w:p w14:paraId="30996B69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08BA78BC" w14:textId="4D59E213" w:rsidR="00864F69" w:rsidRPr="00823BDC" w:rsidRDefault="00757232">
      <w:pPr>
        <w:adjustRightInd w:val="0"/>
        <w:snapToGrid w:val="0"/>
        <w:rPr>
          <w:i/>
          <w:szCs w:val="22"/>
        </w:rPr>
      </w:pPr>
      <w:proofErr w:type="spellStart"/>
      <w:r w:rsidRPr="00823BDC">
        <w:rPr>
          <w:i/>
          <w:szCs w:val="22"/>
        </w:rPr>
        <w:t>Kolchicín</w:t>
      </w:r>
      <w:proofErr w:type="spellEnd"/>
      <w:r w:rsidR="004660F6" w:rsidRPr="00823BDC">
        <w:rPr>
          <w:i/>
          <w:szCs w:val="22"/>
        </w:rPr>
        <w:t xml:space="preserve"> </w:t>
      </w:r>
    </w:p>
    <w:p w14:paraId="74B672C0" w14:textId="77777777" w:rsidR="00757232" w:rsidRPr="00823BDC" w:rsidRDefault="00757232">
      <w:pPr>
        <w:adjustRightInd w:val="0"/>
        <w:snapToGrid w:val="0"/>
        <w:rPr>
          <w:i/>
          <w:szCs w:val="22"/>
        </w:rPr>
      </w:pPr>
      <w:r w:rsidRPr="00823BDC">
        <w:rPr>
          <w:szCs w:val="22"/>
        </w:rPr>
        <w:t xml:space="preserve">Pri súbežnom podaní </w:t>
      </w:r>
      <w:proofErr w:type="spellStart"/>
      <w:r w:rsidRPr="00823BDC">
        <w:rPr>
          <w:szCs w:val="22"/>
        </w:rPr>
        <w:t>kolchicínu</w:t>
      </w:r>
      <w:proofErr w:type="spellEnd"/>
      <w:r w:rsidRPr="00823BDC">
        <w:rPr>
          <w:szCs w:val="22"/>
        </w:rPr>
        <w:t xml:space="preserve"> a 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sa vyskytli hlásenia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a</w:t>
      </w:r>
      <w:r w:rsidR="00EF76D0" w:rsidRPr="00823BDC">
        <w:rPr>
          <w:szCs w:val="22"/>
        </w:rPr>
        <w:t> </w:t>
      </w:r>
      <w:proofErr w:type="spellStart"/>
      <w:r w:rsidRPr="00823BDC">
        <w:rPr>
          <w:szCs w:val="22"/>
        </w:rPr>
        <w:t>rabdomyolýzy</w:t>
      </w:r>
      <w:proofErr w:type="spellEnd"/>
      <w:r w:rsidRPr="00823BDC">
        <w:rPr>
          <w:szCs w:val="22"/>
        </w:rPr>
        <w:t xml:space="preserve"> u pacientov s</w:t>
      </w:r>
      <w:r w:rsidR="006457EF" w:rsidRPr="00823BDC">
        <w:rPr>
          <w:szCs w:val="22"/>
        </w:rPr>
        <w:t xml:space="preserve"> poruchou funkcie </w:t>
      </w:r>
      <w:r w:rsidRPr="00823BDC">
        <w:rPr>
          <w:szCs w:val="22"/>
        </w:rPr>
        <w:t>obličiek. Odporúča sa, aby boli pacienti užívajúci takúto kombináciu pozorne klinicky sledovaní.</w:t>
      </w:r>
    </w:p>
    <w:p w14:paraId="165D2145" w14:textId="77777777" w:rsidR="00757232" w:rsidRPr="00823BDC" w:rsidRDefault="00757232">
      <w:pPr>
        <w:adjustRightInd w:val="0"/>
        <w:snapToGrid w:val="0"/>
        <w:rPr>
          <w:szCs w:val="22"/>
        </w:rPr>
      </w:pPr>
    </w:p>
    <w:p w14:paraId="0DD20EBD" w14:textId="0C42D18A" w:rsidR="00864F69" w:rsidRPr="00823BDC" w:rsidRDefault="00757232">
      <w:pPr>
        <w:adjustRightInd w:val="0"/>
        <w:snapToGrid w:val="0"/>
        <w:rPr>
          <w:i/>
          <w:szCs w:val="22"/>
        </w:rPr>
      </w:pPr>
      <w:proofErr w:type="spellStart"/>
      <w:r w:rsidRPr="00823BDC">
        <w:rPr>
          <w:i/>
          <w:szCs w:val="22"/>
        </w:rPr>
        <w:t>Rifampicín</w:t>
      </w:r>
      <w:proofErr w:type="spellEnd"/>
      <w:r w:rsidR="004660F6" w:rsidRPr="00823BDC">
        <w:rPr>
          <w:i/>
          <w:szCs w:val="22"/>
        </w:rPr>
        <w:t xml:space="preserve"> </w:t>
      </w:r>
    </w:p>
    <w:p w14:paraId="4E8C24C1" w14:textId="77777777" w:rsidR="00757232" w:rsidRPr="00823BDC" w:rsidRDefault="00757232">
      <w:pPr>
        <w:adjustRightInd w:val="0"/>
        <w:snapToGrid w:val="0"/>
        <w:rPr>
          <w:i/>
          <w:szCs w:val="22"/>
        </w:rPr>
      </w:pPr>
      <w:r w:rsidRPr="00823BDC">
        <w:rPr>
          <w:szCs w:val="22"/>
        </w:rPr>
        <w:t xml:space="preserve">Pretože </w:t>
      </w:r>
      <w:proofErr w:type="spellStart"/>
      <w:r w:rsidRPr="00823BDC">
        <w:rPr>
          <w:szCs w:val="22"/>
        </w:rPr>
        <w:t>rifampicín</w:t>
      </w:r>
      <w:proofErr w:type="spellEnd"/>
      <w:r w:rsidRPr="00823BDC">
        <w:rPr>
          <w:szCs w:val="22"/>
        </w:rPr>
        <w:t xml:space="preserve"> je silný induktor CYP3A4, u pacientov podstupujúcich dlhodobú liečbu </w:t>
      </w:r>
      <w:proofErr w:type="spellStart"/>
      <w:r w:rsidRPr="00823BDC">
        <w:rPr>
          <w:szCs w:val="22"/>
        </w:rPr>
        <w:t>rifampicínom</w:t>
      </w:r>
      <w:proofErr w:type="spellEnd"/>
      <w:r w:rsidRPr="00823BDC">
        <w:rPr>
          <w:szCs w:val="22"/>
        </w:rPr>
        <w:t xml:space="preserve"> (napr. liečba tuberkulózy) môže dôjsť k</w:t>
      </w:r>
      <w:r w:rsidR="00EF76D0" w:rsidRPr="00823BDC">
        <w:rPr>
          <w:szCs w:val="22"/>
        </w:rPr>
        <w:t> </w:t>
      </w:r>
      <w:r w:rsidRPr="00823BDC">
        <w:rPr>
          <w:szCs w:val="22"/>
        </w:rPr>
        <w:t xml:space="preserve">strate účinnosti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. Vo </w:t>
      </w:r>
      <w:proofErr w:type="spellStart"/>
      <w:r w:rsidRPr="00823BDC">
        <w:rPr>
          <w:szCs w:val="22"/>
        </w:rPr>
        <w:t>farmakokinetickej</w:t>
      </w:r>
      <w:proofErr w:type="spellEnd"/>
      <w:r w:rsidRPr="00823BDC">
        <w:rPr>
          <w:szCs w:val="22"/>
        </w:rPr>
        <w:t xml:space="preserve"> štúdii u</w:t>
      </w:r>
      <w:r w:rsidR="00EF76D0" w:rsidRPr="00823BDC">
        <w:rPr>
          <w:szCs w:val="22"/>
        </w:rPr>
        <w:t> </w:t>
      </w:r>
      <w:r w:rsidRPr="00823BDC">
        <w:rPr>
          <w:szCs w:val="22"/>
        </w:rPr>
        <w:t xml:space="preserve">zdravých dobrovoľníkov bola plocha pod krivkou plazmatickej koncentrácie (AUC) pre kyselinu </w:t>
      </w:r>
      <w:proofErr w:type="spellStart"/>
      <w:r w:rsidRPr="00823BDC">
        <w:rPr>
          <w:szCs w:val="22"/>
        </w:rPr>
        <w:t>simvastatínovú</w:t>
      </w:r>
      <w:proofErr w:type="spellEnd"/>
      <w:r w:rsidRPr="00823BDC">
        <w:rPr>
          <w:szCs w:val="22"/>
        </w:rPr>
        <w:t xml:space="preserve"> pri súbežnom podávaní s </w:t>
      </w:r>
      <w:proofErr w:type="spellStart"/>
      <w:r w:rsidRPr="00823BDC">
        <w:rPr>
          <w:szCs w:val="22"/>
        </w:rPr>
        <w:t>rifampicínom</w:t>
      </w:r>
      <w:proofErr w:type="spellEnd"/>
      <w:r w:rsidRPr="00823BDC">
        <w:rPr>
          <w:szCs w:val="22"/>
        </w:rPr>
        <w:t xml:space="preserve"> znížená o 93 %.</w:t>
      </w:r>
    </w:p>
    <w:p w14:paraId="716ACD83" w14:textId="77777777" w:rsidR="00757232" w:rsidRPr="00823BDC" w:rsidRDefault="00757232">
      <w:pPr>
        <w:adjustRightInd w:val="0"/>
        <w:snapToGrid w:val="0"/>
        <w:rPr>
          <w:szCs w:val="22"/>
        </w:rPr>
      </w:pPr>
    </w:p>
    <w:p w14:paraId="295B0CC8" w14:textId="7A6D5E6A" w:rsidR="00864F69" w:rsidRPr="00823BDC" w:rsidRDefault="00D36135">
      <w:pPr>
        <w:adjustRightInd w:val="0"/>
        <w:snapToGrid w:val="0"/>
        <w:rPr>
          <w:szCs w:val="22"/>
        </w:rPr>
      </w:pPr>
      <w:r w:rsidRPr="00823BDC">
        <w:rPr>
          <w:i/>
          <w:szCs w:val="22"/>
        </w:rPr>
        <w:t>Niacín</w:t>
      </w:r>
      <w:r w:rsidR="00EF76D0" w:rsidRPr="00823BDC">
        <w:rPr>
          <w:szCs w:val="22"/>
        </w:rPr>
        <w:t xml:space="preserve"> </w:t>
      </w:r>
    </w:p>
    <w:p w14:paraId="2506279B" w14:textId="77777777" w:rsidR="00EF76D0" w:rsidRPr="00823BDC" w:rsidRDefault="00EF76D0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Pri súbežnom podaní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</w:t>
      </w:r>
      <w:r w:rsidR="0024514D" w:rsidRPr="00823BDC">
        <w:rPr>
          <w:szCs w:val="22"/>
        </w:rPr>
        <w:t>a </w:t>
      </w:r>
      <w:r w:rsidR="00D36135" w:rsidRPr="00823BDC">
        <w:rPr>
          <w:szCs w:val="22"/>
        </w:rPr>
        <w:t>niacínu</w:t>
      </w:r>
      <w:r w:rsidR="0024514D" w:rsidRPr="00823BDC">
        <w:rPr>
          <w:szCs w:val="22"/>
        </w:rPr>
        <w:t xml:space="preserve"> v dávkach upravujúcich lipidy (</w:t>
      </w:r>
      <w:r w:rsidR="0024514D" w:rsidRPr="00F064AC">
        <w:rPr>
          <w:szCs w:val="22"/>
        </w:rPr>
        <w:sym w:font="Symbol" w:char="F0B3"/>
      </w:r>
      <w:r w:rsidR="0024514D" w:rsidRPr="00F064AC">
        <w:rPr>
          <w:szCs w:val="22"/>
        </w:rPr>
        <w:t> 1 g/deň) boli pozorované prípady</w:t>
      </w:r>
      <w:r w:rsidRPr="00373B08">
        <w:rPr>
          <w:szCs w:val="22"/>
        </w:rPr>
        <w:t xml:space="preserve"> </w:t>
      </w:r>
      <w:proofErr w:type="spellStart"/>
      <w:r w:rsidRPr="00373B08">
        <w:rPr>
          <w:szCs w:val="22"/>
        </w:rPr>
        <w:t>myopatie</w:t>
      </w:r>
      <w:proofErr w:type="spellEnd"/>
      <w:r w:rsidRPr="00373B08">
        <w:rPr>
          <w:szCs w:val="22"/>
        </w:rPr>
        <w:t xml:space="preserve"> a</w:t>
      </w:r>
      <w:r w:rsidR="0024514D" w:rsidRPr="00373B08">
        <w:rPr>
          <w:szCs w:val="22"/>
        </w:rPr>
        <w:t> </w:t>
      </w:r>
      <w:proofErr w:type="spellStart"/>
      <w:r w:rsidRPr="00373B08">
        <w:rPr>
          <w:szCs w:val="22"/>
        </w:rPr>
        <w:t>rabdomyolýzy</w:t>
      </w:r>
      <w:proofErr w:type="spellEnd"/>
      <w:r w:rsidR="0024514D" w:rsidRPr="00823BDC">
        <w:rPr>
          <w:szCs w:val="22"/>
        </w:rPr>
        <w:t xml:space="preserve"> </w:t>
      </w:r>
      <w:r w:rsidR="0024514D" w:rsidRPr="00823BDC">
        <w:rPr>
          <w:iCs/>
          <w:szCs w:val="22"/>
        </w:rPr>
        <w:t>(pozri časť 4.4).</w:t>
      </w:r>
    </w:p>
    <w:p w14:paraId="782A1BB4" w14:textId="77777777" w:rsidR="00EF76D0" w:rsidRPr="00823BDC" w:rsidRDefault="00EF76D0">
      <w:pPr>
        <w:adjustRightInd w:val="0"/>
        <w:snapToGrid w:val="0"/>
        <w:rPr>
          <w:szCs w:val="22"/>
        </w:rPr>
      </w:pPr>
    </w:p>
    <w:p w14:paraId="0275C3A7" w14:textId="77777777" w:rsidR="00864F69" w:rsidRPr="00A6540D" w:rsidRDefault="00864F69">
      <w:pPr>
        <w:adjustRightInd w:val="0"/>
        <w:snapToGrid w:val="0"/>
        <w:rPr>
          <w:i/>
          <w:szCs w:val="22"/>
        </w:rPr>
      </w:pPr>
      <w:proofErr w:type="spellStart"/>
      <w:r w:rsidRPr="00A6540D">
        <w:rPr>
          <w:i/>
          <w:szCs w:val="22"/>
        </w:rPr>
        <w:t>Daptomycín</w:t>
      </w:r>
      <w:proofErr w:type="spellEnd"/>
    </w:p>
    <w:p w14:paraId="7ADF897F" w14:textId="50CC0D0E" w:rsidR="00864F69" w:rsidRPr="00CD10F1" w:rsidRDefault="00864F69">
      <w:pPr>
        <w:adjustRightInd w:val="0"/>
        <w:snapToGrid w:val="0"/>
        <w:rPr>
          <w:szCs w:val="22"/>
        </w:rPr>
      </w:pPr>
      <w:r w:rsidRPr="00373B08">
        <w:rPr>
          <w:szCs w:val="22"/>
        </w:rPr>
        <w:t xml:space="preserve">Riziko </w:t>
      </w:r>
      <w:proofErr w:type="spellStart"/>
      <w:r w:rsidRPr="00373B08">
        <w:rPr>
          <w:szCs w:val="22"/>
        </w:rPr>
        <w:t>myopatie</w:t>
      </w:r>
      <w:proofErr w:type="spellEnd"/>
      <w:r w:rsidR="00066B8C" w:rsidRPr="00373B08">
        <w:rPr>
          <w:szCs w:val="22"/>
        </w:rPr>
        <w:t xml:space="preserve"> a</w:t>
      </w:r>
      <w:r w:rsidRPr="00823BDC">
        <w:rPr>
          <w:szCs w:val="22"/>
        </w:rPr>
        <w:t>/</w:t>
      </w:r>
      <w:r w:rsidR="00066B8C" w:rsidRPr="00823BDC">
        <w:rPr>
          <w:szCs w:val="22"/>
        </w:rPr>
        <w:t xml:space="preserve">alebo </w:t>
      </w:r>
      <w:proofErr w:type="spellStart"/>
      <w:r w:rsidRPr="00823BDC">
        <w:rPr>
          <w:szCs w:val="22"/>
        </w:rPr>
        <w:t>rabdomyolýzy</w:t>
      </w:r>
      <w:proofErr w:type="spellEnd"/>
      <w:r w:rsidRPr="00823BDC">
        <w:rPr>
          <w:szCs w:val="22"/>
        </w:rPr>
        <w:t xml:space="preserve"> sa môže zvýšiť súbežným podávaním inhibítorov HMG-</w:t>
      </w:r>
      <w:proofErr w:type="spellStart"/>
      <w:r w:rsidRPr="00823BDC">
        <w:rPr>
          <w:szCs w:val="22"/>
        </w:rPr>
        <w:t>CoA</w:t>
      </w:r>
      <w:proofErr w:type="spellEnd"/>
      <w:r w:rsidR="00813856">
        <w:rPr>
          <w:szCs w:val="22"/>
        </w:rPr>
        <w:t>-</w:t>
      </w:r>
      <w:proofErr w:type="spellStart"/>
      <w:r w:rsidRPr="00823BDC">
        <w:rPr>
          <w:szCs w:val="22"/>
        </w:rPr>
        <w:t>reduktázy</w:t>
      </w:r>
      <w:proofErr w:type="spellEnd"/>
      <w:r w:rsidRPr="00823BDC">
        <w:rPr>
          <w:szCs w:val="22"/>
        </w:rPr>
        <w:t xml:space="preserve"> (napr.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a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>/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) a </w:t>
      </w:r>
      <w:proofErr w:type="spellStart"/>
      <w:r w:rsidRPr="00823BDC">
        <w:rPr>
          <w:szCs w:val="22"/>
        </w:rPr>
        <w:t>daptomycínu</w:t>
      </w:r>
      <w:proofErr w:type="spellEnd"/>
      <w:r w:rsidRPr="00823BDC">
        <w:rPr>
          <w:szCs w:val="22"/>
        </w:rPr>
        <w:t xml:space="preserve"> (pozri časť 4.4).</w:t>
      </w:r>
    </w:p>
    <w:p w14:paraId="6CAAD74E" w14:textId="77777777" w:rsidR="00864F69" w:rsidRPr="00CD10F1" w:rsidRDefault="00864F69">
      <w:pPr>
        <w:adjustRightInd w:val="0"/>
        <w:snapToGrid w:val="0"/>
        <w:rPr>
          <w:szCs w:val="22"/>
        </w:rPr>
      </w:pPr>
    </w:p>
    <w:p w14:paraId="7112BA27" w14:textId="72369F4C" w:rsidR="00516B93" w:rsidRPr="00F064AC" w:rsidRDefault="00D044EB">
      <w:pPr>
        <w:keepNext/>
        <w:adjustRightInd w:val="0"/>
        <w:snapToGrid w:val="0"/>
        <w:rPr>
          <w:szCs w:val="22"/>
          <w:u w:val="single"/>
        </w:rPr>
      </w:pPr>
      <w:r w:rsidRPr="00657DA7">
        <w:rPr>
          <w:szCs w:val="22"/>
          <w:u w:val="single"/>
        </w:rPr>
        <w:t xml:space="preserve">Účinky </w:t>
      </w:r>
      <w:proofErr w:type="spellStart"/>
      <w:r w:rsidR="00864F69" w:rsidRPr="00B557E6">
        <w:rPr>
          <w:szCs w:val="22"/>
          <w:u w:val="single"/>
        </w:rPr>
        <w:t>ezetimibu</w:t>
      </w:r>
      <w:proofErr w:type="spellEnd"/>
      <w:r w:rsidR="00864F69" w:rsidRPr="00B557E6">
        <w:rPr>
          <w:szCs w:val="22"/>
          <w:u w:val="single"/>
        </w:rPr>
        <w:t>/</w:t>
      </w:r>
      <w:proofErr w:type="spellStart"/>
      <w:r w:rsidR="00864F69" w:rsidRPr="00B557E6">
        <w:rPr>
          <w:szCs w:val="22"/>
          <w:u w:val="single"/>
        </w:rPr>
        <w:t>simvastatínu</w:t>
      </w:r>
      <w:proofErr w:type="spellEnd"/>
      <w:r w:rsidR="00864F69" w:rsidRPr="00F064AC" w:rsidDel="00864F69">
        <w:rPr>
          <w:szCs w:val="22"/>
          <w:u w:val="single"/>
        </w:rPr>
        <w:t xml:space="preserve"> </w:t>
      </w:r>
      <w:r w:rsidRPr="00F064AC">
        <w:rPr>
          <w:szCs w:val="22"/>
          <w:u w:val="single"/>
        </w:rPr>
        <w:t xml:space="preserve">na </w:t>
      </w:r>
      <w:proofErr w:type="spellStart"/>
      <w:r w:rsidRPr="00F064AC">
        <w:rPr>
          <w:szCs w:val="22"/>
          <w:u w:val="single"/>
        </w:rPr>
        <w:t>farmakokinetiku</w:t>
      </w:r>
      <w:proofErr w:type="spellEnd"/>
      <w:r w:rsidRPr="00F064AC">
        <w:rPr>
          <w:szCs w:val="22"/>
          <w:u w:val="single"/>
        </w:rPr>
        <w:t xml:space="preserve"> iných liekov</w:t>
      </w:r>
    </w:p>
    <w:p w14:paraId="767C5CE1" w14:textId="77777777" w:rsidR="00D36135" w:rsidRPr="00823BDC" w:rsidRDefault="00D36135">
      <w:pPr>
        <w:keepNext/>
        <w:adjustRightInd w:val="0"/>
        <w:snapToGrid w:val="0"/>
        <w:rPr>
          <w:i/>
          <w:szCs w:val="22"/>
        </w:rPr>
      </w:pPr>
    </w:p>
    <w:p w14:paraId="1C04278A" w14:textId="77777777" w:rsidR="00D044EB" w:rsidRPr="00823BDC" w:rsidRDefault="00D044EB">
      <w:pPr>
        <w:keepNext/>
        <w:adjustRightInd w:val="0"/>
        <w:snapToGrid w:val="0"/>
        <w:rPr>
          <w:i/>
          <w:szCs w:val="22"/>
          <w:u w:val="single"/>
        </w:rPr>
      </w:pPr>
      <w:proofErr w:type="spellStart"/>
      <w:r w:rsidRPr="00823BDC">
        <w:rPr>
          <w:i/>
          <w:szCs w:val="22"/>
          <w:u w:val="single"/>
        </w:rPr>
        <w:t>Ezetimib</w:t>
      </w:r>
      <w:proofErr w:type="spellEnd"/>
    </w:p>
    <w:p w14:paraId="666DA016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V predklinických štúdiách sa zistilo, že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neindukuje enzýmy cytochrómu P450, ktoré metabolizujú liečivá. Nepozorovali sa žiadne klinicky významné </w:t>
      </w:r>
      <w:proofErr w:type="spellStart"/>
      <w:r w:rsidRPr="00823BDC">
        <w:rPr>
          <w:szCs w:val="22"/>
        </w:rPr>
        <w:t>farmakokinetické</w:t>
      </w:r>
      <w:proofErr w:type="spellEnd"/>
      <w:r w:rsidRPr="00823BDC">
        <w:rPr>
          <w:szCs w:val="22"/>
        </w:rPr>
        <w:t xml:space="preserve"> interakcie medzi </w:t>
      </w:r>
      <w:proofErr w:type="spellStart"/>
      <w:r w:rsidRPr="00823BDC">
        <w:rPr>
          <w:szCs w:val="22"/>
        </w:rPr>
        <w:t>ezetimibom</w:t>
      </w:r>
      <w:proofErr w:type="spellEnd"/>
      <w:r w:rsidRPr="00823BDC">
        <w:rPr>
          <w:szCs w:val="22"/>
        </w:rPr>
        <w:t xml:space="preserve"> a liečivami, o ktorých je známe, že sú metabolizované cytochrómami P450 1A2, 2D6, 2C8, 2C9 a 3A4 alebo N-</w:t>
      </w:r>
      <w:proofErr w:type="spellStart"/>
      <w:r w:rsidRPr="00823BDC">
        <w:rPr>
          <w:szCs w:val="22"/>
        </w:rPr>
        <w:t>acetyltransferázou</w:t>
      </w:r>
      <w:proofErr w:type="spellEnd"/>
      <w:r w:rsidRPr="00823BDC">
        <w:rPr>
          <w:szCs w:val="22"/>
        </w:rPr>
        <w:t>.</w:t>
      </w:r>
    </w:p>
    <w:p w14:paraId="16A36CB9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168EAAEF" w14:textId="348A2CCF" w:rsidR="00E62E34" w:rsidRPr="00823BDC" w:rsidRDefault="00D044EB">
      <w:pPr>
        <w:adjustRightInd w:val="0"/>
        <w:snapToGrid w:val="0"/>
        <w:rPr>
          <w:bCs/>
          <w:i/>
          <w:iCs/>
          <w:szCs w:val="22"/>
        </w:rPr>
      </w:pPr>
      <w:proofErr w:type="spellStart"/>
      <w:r w:rsidRPr="00823BDC">
        <w:rPr>
          <w:i/>
          <w:iCs/>
          <w:szCs w:val="22"/>
        </w:rPr>
        <w:t>Antikoagulanciá</w:t>
      </w:r>
      <w:proofErr w:type="spellEnd"/>
      <w:r w:rsidRPr="00823BDC">
        <w:rPr>
          <w:bCs/>
          <w:i/>
          <w:iCs/>
          <w:szCs w:val="22"/>
        </w:rPr>
        <w:t xml:space="preserve"> </w:t>
      </w:r>
    </w:p>
    <w:p w14:paraId="7A404F5D" w14:textId="10288D50" w:rsidR="00D044EB" w:rsidRPr="00823BDC" w:rsidRDefault="00D044EB">
      <w:pPr>
        <w:adjustRightInd w:val="0"/>
        <w:snapToGrid w:val="0"/>
        <w:rPr>
          <w:iCs/>
          <w:szCs w:val="22"/>
        </w:rPr>
      </w:pPr>
      <w:r w:rsidRPr="00823BDC">
        <w:rPr>
          <w:szCs w:val="22"/>
        </w:rPr>
        <w:t>V</w:t>
      </w:r>
      <w:r w:rsidR="00414212" w:rsidRPr="00823BDC">
        <w:rPr>
          <w:szCs w:val="22"/>
        </w:rPr>
        <w:t> skúšaní, ktorého sa zúčastnilo dvanásť</w:t>
      </w:r>
      <w:r w:rsidRPr="00823BDC">
        <w:rPr>
          <w:szCs w:val="22"/>
        </w:rPr>
        <w:t xml:space="preserve"> </w:t>
      </w:r>
      <w:r w:rsidR="00414212" w:rsidRPr="00823BDC">
        <w:rPr>
          <w:szCs w:val="22"/>
        </w:rPr>
        <w:t xml:space="preserve">zdravých dospelých </w:t>
      </w:r>
      <w:r w:rsidRPr="00823BDC">
        <w:rPr>
          <w:szCs w:val="22"/>
        </w:rPr>
        <w:t>muž</w:t>
      </w:r>
      <w:r w:rsidR="00414212" w:rsidRPr="00823BDC">
        <w:rPr>
          <w:szCs w:val="22"/>
        </w:rPr>
        <w:t>ov,</w:t>
      </w:r>
      <w:r w:rsidRPr="00823BDC">
        <w:rPr>
          <w:szCs w:val="22"/>
        </w:rPr>
        <w:t xml:space="preserve"> nemalo súbežné podávanie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iCs/>
          <w:szCs w:val="22"/>
        </w:rPr>
        <w:t xml:space="preserve"> (10 mg jedenkrát denne) </w:t>
      </w:r>
      <w:r w:rsidR="004A223E" w:rsidRPr="00823BDC">
        <w:rPr>
          <w:iCs/>
          <w:szCs w:val="22"/>
        </w:rPr>
        <w:t xml:space="preserve">významný </w:t>
      </w:r>
      <w:r w:rsidRPr="00823BDC">
        <w:rPr>
          <w:iCs/>
          <w:szCs w:val="22"/>
        </w:rPr>
        <w:t xml:space="preserve">účinok na biologickú dostupnosť </w:t>
      </w:r>
      <w:proofErr w:type="spellStart"/>
      <w:r w:rsidRPr="00823BDC">
        <w:rPr>
          <w:iCs/>
          <w:szCs w:val="22"/>
        </w:rPr>
        <w:t>warfarínu</w:t>
      </w:r>
      <w:proofErr w:type="spellEnd"/>
      <w:r w:rsidRPr="00823BDC">
        <w:rPr>
          <w:iCs/>
          <w:szCs w:val="22"/>
        </w:rPr>
        <w:t xml:space="preserve"> a </w:t>
      </w:r>
      <w:proofErr w:type="spellStart"/>
      <w:r w:rsidRPr="00823BDC">
        <w:rPr>
          <w:iCs/>
          <w:szCs w:val="22"/>
        </w:rPr>
        <w:t>protrombínový</w:t>
      </w:r>
      <w:proofErr w:type="spellEnd"/>
      <w:r w:rsidRPr="00823BDC">
        <w:rPr>
          <w:iCs/>
          <w:szCs w:val="22"/>
        </w:rPr>
        <w:t xml:space="preserve"> čas. </w:t>
      </w:r>
      <w:r w:rsidR="009B72C0" w:rsidRPr="00823BDC">
        <w:rPr>
          <w:iCs/>
          <w:szCs w:val="22"/>
        </w:rPr>
        <w:t>Po uvedení lieku na trh sa však v</w:t>
      </w:r>
      <w:r w:rsidRPr="00823BDC">
        <w:rPr>
          <w:iCs/>
          <w:szCs w:val="22"/>
        </w:rPr>
        <w:t xml:space="preserve">yskytli hlásenia </w:t>
      </w:r>
      <w:r w:rsidR="009B72C0" w:rsidRPr="00823BDC">
        <w:rPr>
          <w:iCs/>
          <w:szCs w:val="22"/>
        </w:rPr>
        <w:t>o</w:t>
      </w:r>
      <w:r w:rsidR="0024514D" w:rsidRPr="00823BDC">
        <w:rPr>
          <w:iCs/>
          <w:szCs w:val="22"/>
        </w:rPr>
        <w:t> </w:t>
      </w:r>
      <w:r w:rsidRPr="00823BDC">
        <w:rPr>
          <w:iCs/>
          <w:szCs w:val="22"/>
        </w:rPr>
        <w:t>zvýšen</w:t>
      </w:r>
      <w:r w:rsidR="009B72C0" w:rsidRPr="00823BDC">
        <w:rPr>
          <w:iCs/>
          <w:szCs w:val="22"/>
        </w:rPr>
        <w:t>í</w:t>
      </w:r>
      <w:r w:rsidRPr="00823BDC">
        <w:rPr>
          <w:iCs/>
          <w:szCs w:val="22"/>
        </w:rPr>
        <w:t xml:space="preserve"> INR u pacientov, ktorým bol </w:t>
      </w:r>
      <w:proofErr w:type="spellStart"/>
      <w:r w:rsidRPr="00823BDC">
        <w:rPr>
          <w:iCs/>
          <w:szCs w:val="22"/>
        </w:rPr>
        <w:t>ezetimib</w:t>
      </w:r>
      <w:proofErr w:type="spellEnd"/>
      <w:r w:rsidRPr="00823BDC">
        <w:rPr>
          <w:iCs/>
          <w:szCs w:val="22"/>
        </w:rPr>
        <w:t xml:space="preserve"> pridaný k </w:t>
      </w:r>
      <w:proofErr w:type="spellStart"/>
      <w:r w:rsidRPr="00823BDC">
        <w:rPr>
          <w:iCs/>
          <w:szCs w:val="22"/>
        </w:rPr>
        <w:t>warfarínu</w:t>
      </w:r>
      <w:proofErr w:type="spellEnd"/>
      <w:r w:rsidRPr="00823BDC">
        <w:rPr>
          <w:iCs/>
          <w:szCs w:val="22"/>
        </w:rPr>
        <w:t xml:space="preserve"> alebo k </w:t>
      </w:r>
      <w:proofErr w:type="spellStart"/>
      <w:r w:rsidRPr="00823BDC">
        <w:rPr>
          <w:iCs/>
          <w:szCs w:val="22"/>
        </w:rPr>
        <w:t>fluindiónu</w:t>
      </w:r>
      <w:proofErr w:type="spellEnd"/>
      <w:r w:rsidRPr="00823BDC">
        <w:rPr>
          <w:iCs/>
          <w:szCs w:val="22"/>
        </w:rPr>
        <w:t xml:space="preserve">. Ak </w:t>
      </w:r>
      <w:r w:rsidR="004A223E" w:rsidRPr="00823BDC">
        <w:rPr>
          <w:iCs/>
          <w:szCs w:val="22"/>
        </w:rPr>
        <w:t xml:space="preserve">sa </w:t>
      </w:r>
      <w:proofErr w:type="spellStart"/>
      <w:r w:rsidR="00047F58" w:rsidRPr="00823BDC">
        <w:rPr>
          <w:iCs/>
          <w:szCs w:val="22"/>
        </w:rPr>
        <w:t>Cornusan</w:t>
      </w:r>
      <w:proofErr w:type="spellEnd"/>
      <w:r w:rsidRPr="00823BDC">
        <w:rPr>
          <w:iCs/>
          <w:szCs w:val="22"/>
        </w:rPr>
        <w:t xml:space="preserve"> </w:t>
      </w:r>
      <w:r w:rsidR="004A223E" w:rsidRPr="00823BDC">
        <w:rPr>
          <w:iCs/>
          <w:szCs w:val="22"/>
        </w:rPr>
        <w:t xml:space="preserve">pridáva </w:t>
      </w:r>
      <w:r w:rsidRPr="00823BDC">
        <w:rPr>
          <w:iCs/>
          <w:szCs w:val="22"/>
        </w:rPr>
        <w:t>k </w:t>
      </w:r>
      <w:proofErr w:type="spellStart"/>
      <w:r w:rsidRPr="00823BDC">
        <w:rPr>
          <w:iCs/>
          <w:szCs w:val="22"/>
        </w:rPr>
        <w:t>warfarínu</w:t>
      </w:r>
      <w:proofErr w:type="spellEnd"/>
      <w:r w:rsidRPr="00823BDC">
        <w:rPr>
          <w:iCs/>
          <w:szCs w:val="22"/>
        </w:rPr>
        <w:t xml:space="preserve">, k inému </w:t>
      </w:r>
      <w:proofErr w:type="spellStart"/>
      <w:r w:rsidRPr="00823BDC">
        <w:rPr>
          <w:iCs/>
          <w:szCs w:val="22"/>
        </w:rPr>
        <w:t>kumarínovému</w:t>
      </w:r>
      <w:proofErr w:type="spellEnd"/>
      <w:r w:rsidRPr="00823BDC">
        <w:rPr>
          <w:iCs/>
          <w:szCs w:val="22"/>
        </w:rPr>
        <w:t xml:space="preserve"> </w:t>
      </w:r>
      <w:proofErr w:type="spellStart"/>
      <w:r w:rsidRPr="00823BDC">
        <w:rPr>
          <w:iCs/>
          <w:szCs w:val="22"/>
        </w:rPr>
        <w:t>antikoagulantu</w:t>
      </w:r>
      <w:proofErr w:type="spellEnd"/>
      <w:r w:rsidRPr="00823BDC">
        <w:rPr>
          <w:iCs/>
          <w:szCs w:val="22"/>
        </w:rPr>
        <w:t xml:space="preserve"> alebo k </w:t>
      </w:r>
      <w:proofErr w:type="spellStart"/>
      <w:r w:rsidRPr="00823BDC">
        <w:rPr>
          <w:iCs/>
          <w:szCs w:val="22"/>
        </w:rPr>
        <w:t>fluindiónu</w:t>
      </w:r>
      <w:proofErr w:type="spellEnd"/>
      <w:r w:rsidRPr="00823BDC">
        <w:rPr>
          <w:iCs/>
          <w:szCs w:val="22"/>
        </w:rPr>
        <w:t>, má sa primerane monitorovať INR (pozri časť 4.4).</w:t>
      </w:r>
    </w:p>
    <w:p w14:paraId="10319A00" w14:textId="77777777" w:rsidR="00D044EB" w:rsidRPr="00823BDC" w:rsidRDefault="00D044EB">
      <w:pPr>
        <w:adjustRightInd w:val="0"/>
        <w:snapToGrid w:val="0"/>
        <w:rPr>
          <w:iCs/>
          <w:szCs w:val="22"/>
        </w:rPr>
      </w:pPr>
    </w:p>
    <w:p w14:paraId="59EDA52D" w14:textId="77777777" w:rsidR="00AD6A1D" w:rsidRPr="00823BDC" w:rsidRDefault="00D044EB">
      <w:pPr>
        <w:adjustRightInd w:val="0"/>
        <w:snapToGrid w:val="0"/>
        <w:rPr>
          <w:i/>
          <w:szCs w:val="22"/>
          <w:u w:val="single"/>
        </w:rPr>
      </w:pPr>
      <w:proofErr w:type="spellStart"/>
      <w:r w:rsidRPr="00823BDC">
        <w:rPr>
          <w:i/>
          <w:szCs w:val="22"/>
          <w:u w:val="single"/>
        </w:rPr>
        <w:t>Simvastatín</w:t>
      </w:r>
      <w:proofErr w:type="spellEnd"/>
      <w:r w:rsidR="00B06D27" w:rsidRPr="00823BDC">
        <w:rPr>
          <w:i/>
          <w:szCs w:val="22"/>
          <w:u w:val="single"/>
        </w:rPr>
        <w:t xml:space="preserve"> </w:t>
      </w:r>
    </w:p>
    <w:p w14:paraId="0CE68B83" w14:textId="77777777" w:rsidR="00D044EB" w:rsidRPr="00823BDC" w:rsidRDefault="00D044EB">
      <w:pPr>
        <w:adjustRightInd w:val="0"/>
        <w:snapToGrid w:val="0"/>
        <w:rPr>
          <w:snapToGrid w:val="0"/>
          <w:szCs w:val="22"/>
        </w:rPr>
      </w:pPr>
      <w:proofErr w:type="spellStart"/>
      <w:r w:rsidRPr="00823BDC">
        <w:rPr>
          <w:snapToGrid w:val="0"/>
          <w:szCs w:val="22"/>
        </w:rPr>
        <w:t>Simvastatín</w:t>
      </w:r>
      <w:proofErr w:type="spellEnd"/>
      <w:r w:rsidRPr="00823BDC">
        <w:rPr>
          <w:snapToGrid w:val="0"/>
          <w:szCs w:val="22"/>
        </w:rPr>
        <w:t xml:space="preserve"> nemá inhibičný účinok na cytochróm P450 3A4. Preto sa neočakáva, že </w:t>
      </w:r>
      <w:proofErr w:type="spellStart"/>
      <w:r w:rsidRPr="00823BDC">
        <w:rPr>
          <w:snapToGrid w:val="0"/>
          <w:szCs w:val="22"/>
        </w:rPr>
        <w:t>simvastatín</w:t>
      </w:r>
      <w:proofErr w:type="spellEnd"/>
      <w:r w:rsidRPr="00823BDC">
        <w:rPr>
          <w:snapToGrid w:val="0"/>
          <w:szCs w:val="22"/>
        </w:rPr>
        <w:t xml:space="preserve"> ovplyvní plazmatické koncentrácie l</w:t>
      </w:r>
      <w:r w:rsidR="00AD6A1D" w:rsidRPr="00823BDC">
        <w:rPr>
          <w:snapToGrid w:val="0"/>
          <w:szCs w:val="22"/>
        </w:rPr>
        <w:t>iečiv</w:t>
      </w:r>
      <w:r w:rsidRPr="00823BDC">
        <w:rPr>
          <w:snapToGrid w:val="0"/>
          <w:szCs w:val="22"/>
        </w:rPr>
        <w:t xml:space="preserve"> metabolizovaných cytochrómom P450 3A4.</w:t>
      </w:r>
    </w:p>
    <w:p w14:paraId="0382E41B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F75862C" w14:textId="7EC1F7C5" w:rsidR="00E62E34" w:rsidRPr="00823BDC" w:rsidRDefault="00D044EB">
      <w:pPr>
        <w:pStyle w:val="Hlavika"/>
        <w:keepLines w:val="0"/>
        <w:tabs>
          <w:tab w:val="clear" w:pos="4320"/>
          <w:tab w:val="clear" w:pos="8640"/>
        </w:tabs>
        <w:adjustRightInd w:val="0"/>
        <w:snapToGrid w:val="0"/>
        <w:rPr>
          <w:szCs w:val="22"/>
        </w:rPr>
      </w:pPr>
      <w:r w:rsidRPr="00823BDC">
        <w:rPr>
          <w:i/>
          <w:szCs w:val="22"/>
        </w:rPr>
        <w:t xml:space="preserve">Perorálne </w:t>
      </w:r>
      <w:proofErr w:type="spellStart"/>
      <w:r w:rsidRPr="00823BDC">
        <w:rPr>
          <w:i/>
          <w:szCs w:val="22"/>
        </w:rPr>
        <w:t>antikoagulanciá</w:t>
      </w:r>
      <w:proofErr w:type="spellEnd"/>
      <w:r w:rsidRPr="00823BDC">
        <w:rPr>
          <w:szCs w:val="22"/>
        </w:rPr>
        <w:t xml:space="preserve"> </w:t>
      </w:r>
    </w:p>
    <w:p w14:paraId="6AA91FD2" w14:textId="733D3657" w:rsidR="00D044EB" w:rsidRPr="00823BDC" w:rsidRDefault="00D044EB">
      <w:pPr>
        <w:pStyle w:val="Hlavika"/>
        <w:keepLines w:val="0"/>
        <w:tabs>
          <w:tab w:val="clear" w:pos="4320"/>
          <w:tab w:val="clear" w:pos="8640"/>
        </w:tabs>
        <w:adjustRightInd w:val="0"/>
        <w:snapToGrid w:val="0"/>
        <w:rPr>
          <w:szCs w:val="22"/>
        </w:rPr>
      </w:pPr>
      <w:r w:rsidRPr="00823BDC">
        <w:rPr>
          <w:szCs w:val="22"/>
        </w:rPr>
        <w:t>V </w:t>
      </w:r>
      <w:r w:rsidR="00E62E34" w:rsidRPr="00823BDC">
        <w:rPr>
          <w:szCs w:val="22"/>
        </w:rPr>
        <w:t xml:space="preserve">2 </w:t>
      </w:r>
      <w:r w:rsidRPr="00823BDC">
        <w:rPr>
          <w:szCs w:val="22"/>
        </w:rPr>
        <w:t>klinických štúdiách, jednej u zdravých dobrovoľníkov a druhej u pacientov s </w:t>
      </w:r>
      <w:proofErr w:type="spellStart"/>
      <w:r w:rsidRPr="00823BDC">
        <w:rPr>
          <w:szCs w:val="22"/>
        </w:rPr>
        <w:t>hypercholesterolémiou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20</w:t>
      </w:r>
      <w:r w:rsidR="00F701A2" w:rsidRPr="00823BDC">
        <w:rPr>
          <w:szCs w:val="22"/>
        </w:rPr>
        <w:t>–</w:t>
      </w:r>
      <w:r w:rsidRPr="00823BDC">
        <w:rPr>
          <w:szCs w:val="22"/>
        </w:rPr>
        <w:t xml:space="preserve">40 mg/deň mierne </w:t>
      </w:r>
      <w:proofErr w:type="spellStart"/>
      <w:r w:rsidRPr="00823BDC">
        <w:rPr>
          <w:szCs w:val="22"/>
        </w:rPr>
        <w:t>potencoval</w:t>
      </w:r>
      <w:proofErr w:type="spellEnd"/>
      <w:r w:rsidRPr="00823BDC">
        <w:rPr>
          <w:szCs w:val="22"/>
        </w:rPr>
        <w:t xml:space="preserve"> účinok </w:t>
      </w:r>
      <w:proofErr w:type="spellStart"/>
      <w:r w:rsidRPr="00823BDC">
        <w:rPr>
          <w:szCs w:val="22"/>
        </w:rPr>
        <w:t>kumarínových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antikoagulancií</w:t>
      </w:r>
      <w:proofErr w:type="spellEnd"/>
      <w:r w:rsidRPr="00823BDC">
        <w:rPr>
          <w:szCs w:val="22"/>
        </w:rPr>
        <w:t xml:space="preserve">: </w:t>
      </w:r>
      <w:proofErr w:type="spellStart"/>
      <w:r w:rsidRPr="00823BDC">
        <w:rPr>
          <w:szCs w:val="22"/>
        </w:rPr>
        <w:t>protrombínový</w:t>
      </w:r>
      <w:proofErr w:type="spellEnd"/>
      <w:r w:rsidRPr="00823BDC">
        <w:rPr>
          <w:szCs w:val="22"/>
        </w:rPr>
        <w:t xml:space="preserve"> čas vyjadrený INR sa zvýšil z východiskovej hodnoty 1,7 na 1,8 v štúdii u dobrovoľníkov a z 2,6 na 3,4 v štúdii u pacientov. Boli hlásené veľmi zriedkavé prípady zvýšenia INR. U pacientov užívajúcich </w:t>
      </w:r>
      <w:proofErr w:type="spellStart"/>
      <w:r w:rsidRPr="00823BDC">
        <w:rPr>
          <w:szCs w:val="22"/>
        </w:rPr>
        <w:t>kumarínové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antikoagulanciá</w:t>
      </w:r>
      <w:proofErr w:type="spellEnd"/>
      <w:r w:rsidRPr="00823BDC">
        <w:rPr>
          <w:szCs w:val="22"/>
        </w:rPr>
        <w:t xml:space="preserve"> sa má </w:t>
      </w:r>
      <w:proofErr w:type="spellStart"/>
      <w:r w:rsidRPr="00823BDC">
        <w:rPr>
          <w:szCs w:val="22"/>
        </w:rPr>
        <w:t>protrombínový</w:t>
      </w:r>
      <w:proofErr w:type="spellEnd"/>
      <w:r w:rsidRPr="00823BDC">
        <w:rPr>
          <w:szCs w:val="22"/>
        </w:rPr>
        <w:t xml:space="preserve"> čas stanoviť pred začiatkom liečby </w:t>
      </w:r>
      <w:proofErr w:type="spellStart"/>
      <w:r w:rsidR="00047F58" w:rsidRPr="00823BDC">
        <w:rPr>
          <w:szCs w:val="22"/>
        </w:rPr>
        <w:t>Cornusanom</w:t>
      </w:r>
      <w:proofErr w:type="spellEnd"/>
      <w:r w:rsidR="00AD6A1D" w:rsidRPr="00823BDC">
        <w:rPr>
          <w:szCs w:val="22"/>
        </w:rPr>
        <w:t>,</w:t>
      </w:r>
      <w:r w:rsidRPr="00823BDC">
        <w:rPr>
          <w:szCs w:val="22"/>
        </w:rPr>
        <w:t xml:space="preserve"> a potom dostatočne často na začiatku </w:t>
      </w:r>
      <w:r w:rsidR="00BF4857" w:rsidRPr="00823BDC">
        <w:rPr>
          <w:szCs w:val="22"/>
        </w:rPr>
        <w:t>liečby</w:t>
      </w:r>
      <w:r w:rsidRPr="00823BDC">
        <w:rPr>
          <w:szCs w:val="22"/>
        </w:rPr>
        <w:t xml:space="preserve">, aby bolo isté, že nedochádza k signifikantnej zmene </w:t>
      </w:r>
      <w:proofErr w:type="spellStart"/>
      <w:r w:rsidRPr="00823BDC">
        <w:rPr>
          <w:szCs w:val="22"/>
        </w:rPr>
        <w:t>protrombínového</w:t>
      </w:r>
      <w:proofErr w:type="spellEnd"/>
      <w:r w:rsidRPr="00823BDC">
        <w:rPr>
          <w:szCs w:val="22"/>
        </w:rPr>
        <w:t xml:space="preserve"> času. Po preukázaní stabilného </w:t>
      </w:r>
      <w:proofErr w:type="spellStart"/>
      <w:r w:rsidRPr="00823BDC">
        <w:rPr>
          <w:szCs w:val="22"/>
        </w:rPr>
        <w:t>protrombínového</w:t>
      </w:r>
      <w:proofErr w:type="spellEnd"/>
      <w:r w:rsidRPr="00823BDC">
        <w:rPr>
          <w:szCs w:val="22"/>
        </w:rPr>
        <w:t xml:space="preserve"> času môže byť </w:t>
      </w:r>
      <w:proofErr w:type="spellStart"/>
      <w:r w:rsidRPr="00823BDC">
        <w:rPr>
          <w:szCs w:val="22"/>
        </w:rPr>
        <w:t>protrombínový</w:t>
      </w:r>
      <w:proofErr w:type="spellEnd"/>
      <w:r w:rsidRPr="00823BDC">
        <w:rPr>
          <w:szCs w:val="22"/>
        </w:rPr>
        <w:t xml:space="preserve"> čas monitorovaný v intervaloch obvykle odporúčaných pre pacientov liečených </w:t>
      </w:r>
      <w:proofErr w:type="spellStart"/>
      <w:r w:rsidRPr="00823BDC">
        <w:rPr>
          <w:szCs w:val="22"/>
        </w:rPr>
        <w:t>kumarínovými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antikoagulanciami</w:t>
      </w:r>
      <w:proofErr w:type="spellEnd"/>
      <w:r w:rsidRPr="00823BDC">
        <w:rPr>
          <w:szCs w:val="22"/>
        </w:rPr>
        <w:t xml:space="preserve">. Ak sa dávkovanie </w:t>
      </w:r>
      <w:proofErr w:type="spellStart"/>
      <w:r w:rsidR="00047F58" w:rsidRPr="00823BDC">
        <w:rPr>
          <w:szCs w:val="22"/>
        </w:rPr>
        <w:t>Cornusanu</w:t>
      </w:r>
      <w:proofErr w:type="spellEnd"/>
      <w:r w:rsidRPr="00823BDC">
        <w:rPr>
          <w:szCs w:val="22"/>
        </w:rPr>
        <w:t xml:space="preserve"> zmení alebo preruší, je potrebné zopakovať rovnaký postup. U</w:t>
      </w:r>
      <w:r w:rsidR="0024514D" w:rsidRPr="00823BDC">
        <w:rPr>
          <w:szCs w:val="22"/>
        </w:rPr>
        <w:t> </w:t>
      </w:r>
      <w:r w:rsidRPr="00823BDC">
        <w:rPr>
          <w:szCs w:val="22"/>
        </w:rPr>
        <w:t xml:space="preserve">pacientov, ktorí neužívali </w:t>
      </w:r>
      <w:proofErr w:type="spellStart"/>
      <w:r w:rsidRPr="00823BDC">
        <w:rPr>
          <w:szCs w:val="22"/>
        </w:rPr>
        <w:t>antikoagulanciá</w:t>
      </w:r>
      <w:proofErr w:type="spellEnd"/>
      <w:r w:rsidRPr="00823BDC">
        <w:rPr>
          <w:szCs w:val="22"/>
        </w:rPr>
        <w:t xml:space="preserve">, nebola </w:t>
      </w:r>
      <w:r w:rsidR="008556DA" w:rsidRPr="00823BDC">
        <w:rPr>
          <w:szCs w:val="22"/>
        </w:rPr>
        <w:t>liečba</w:t>
      </w:r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spojená s krvácaním alebo so</w:t>
      </w:r>
      <w:r w:rsidR="00063202" w:rsidRPr="00823BDC">
        <w:rPr>
          <w:szCs w:val="22"/>
        </w:rPr>
        <w:t xml:space="preserve"> </w:t>
      </w:r>
      <w:r w:rsidRPr="00823BDC">
        <w:rPr>
          <w:szCs w:val="22"/>
        </w:rPr>
        <w:t>zmenami v </w:t>
      </w:r>
      <w:proofErr w:type="spellStart"/>
      <w:r w:rsidRPr="00823BDC">
        <w:rPr>
          <w:szCs w:val="22"/>
        </w:rPr>
        <w:t>protrombínovom</w:t>
      </w:r>
      <w:proofErr w:type="spellEnd"/>
      <w:r w:rsidRPr="00823BDC">
        <w:rPr>
          <w:szCs w:val="22"/>
        </w:rPr>
        <w:t xml:space="preserve"> čase.</w:t>
      </w:r>
    </w:p>
    <w:p w14:paraId="7536B352" w14:textId="77777777" w:rsidR="00D044EB" w:rsidRPr="00823BDC" w:rsidRDefault="00D044EB">
      <w:pPr>
        <w:adjustRightInd w:val="0"/>
        <w:snapToGrid w:val="0"/>
        <w:rPr>
          <w:bCs/>
          <w:szCs w:val="22"/>
        </w:rPr>
      </w:pPr>
    </w:p>
    <w:p w14:paraId="4E8A508B" w14:textId="77777777" w:rsidR="006457EF" w:rsidRPr="00823BDC" w:rsidRDefault="006457EF">
      <w:pPr>
        <w:keepNext/>
        <w:adjustRightInd w:val="0"/>
        <w:snapToGrid w:val="0"/>
        <w:rPr>
          <w:bCs/>
          <w:szCs w:val="22"/>
          <w:u w:val="single"/>
        </w:rPr>
      </w:pPr>
      <w:r w:rsidRPr="00823BDC">
        <w:rPr>
          <w:bCs/>
          <w:szCs w:val="22"/>
          <w:u w:val="single"/>
        </w:rPr>
        <w:t>Pediatrická populácia</w:t>
      </w:r>
    </w:p>
    <w:p w14:paraId="2B40B2CC" w14:textId="77777777" w:rsidR="006457EF" w:rsidRPr="00823BDC" w:rsidRDefault="006457EF">
      <w:pPr>
        <w:adjustRightInd w:val="0"/>
        <w:snapToGrid w:val="0"/>
        <w:rPr>
          <w:bCs/>
          <w:szCs w:val="22"/>
          <w:u w:val="single"/>
        </w:rPr>
      </w:pPr>
      <w:r w:rsidRPr="00823BDC">
        <w:rPr>
          <w:noProof/>
          <w:szCs w:val="22"/>
        </w:rPr>
        <w:t>Interakčné štúdie sa uskutočnili len u dospelých.</w:t>
      </w:r>
    </w:p>
    <w:p w14:paraId="6C180ED4" w14:textId="77777777" w:rsidR="006457EF" w:rsidRPr="00823BDC" w:rsidRDefault="006457EF">
      <w:pPr>
        <w:adjustRightInd w:val="0"/>
        <w:snapToGrid w:val="0"/>
        <w:rPr>
          <w:bCs/>
          <w:szCs w:val="22"/>
        </w:rPr>
      </w:pPr>
    </w:p>
    <w:p w14:paraId="71FDC93C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lastRenderedPageBreak/>
        <w:t>4.6</w:t>
      </w:r>
      <w:r w:rsidRPr="00823BDC">
        <w:rPr>
          <w:b/>
          <w:szCs w:val="22"/>
        </w:rPr>
        <w:tab/>
      </w:r>
      <w:proofErr w:type="spellStart"/>
      <w:r w:rsidR="00F05FAB" w:rsidRPr="00823BDC">
        <w:rPr>
          <w:b/>
          <w:szCs w:val="22"/>
        </w:rPr>
        <w:t>Fertilita</w:t>
      </w:r>
      <w:proofErr w:type="spellEnd"/>
      <w:r w:rsidR="00F05FAB" w:rsidRPr="00823BDC">
        <w:rPr>
          <w:b/>
          <w:szCs w:val="22"/>
        </w:rPr>
        <w:t>, g</w:t>
      </w:r>
      <w:r w:rsidRPr="00823BDC">
        <w:rPr>
          <w:b/>
          <w:szCs w:val="22"/>
        </w:rPr>
        <w:t>ravidita a laktácia</w:t>
      </w:r>
    </w:p>
    <w:p w14:paraId="301DE421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05C59E08" w14:textId="77777777" w:rsidR="00D044EB" w:rsidRPr="00823BDC" w:rsidRDefault="00D044EB">
      <w:pPr>
        <w:keepNext/>
        <w:adjustRightInd w:val="0"/>
        <w:snapToGrid w:val="0"/>
        <w:rPr>
          <w:snapToGrid w:val="0"/>
          <w:szCs w:val="22"/>
          <w:u w:val="single"/>
        </w:rPr>
      </w:pPr>
      <w:r w:rsidRPr="00823BDC">
        <w:rPr>
          <w:snapToGrid w:val="0"/>
          <w:szCs w:val="22"/>
          <w:u w:val="single"/>
        </w:rPr>
        <w:t>Gravidita</w:t>
      </w:r>
    </w:p>
    <w:p w14:paraId="094C5CCC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Ateroskleróza je chronický proces a bežné prerušenie užívania liekov znižujúcich lipidy počas gravidity by malo mať len malý vplyv na dlhodobé riziko spojené s primárnou </w:t>
      </w:r>
      <w:proofErr w:type="spellStart"/>
      <w:r w:rsidRPr="00823BDC">
        <w:rPr>
          <w:szCs w:val="22"/>
        </w:rPr>
        <w:t>hypercholesterolémiou</w:t>
      </w:r>
      <w:proofErr w:type="spellEnd"/>
      <w:r w:rsidRPr="00823BDC">
        <w:rPr>
          <w:szCs w:val="22"/>
        </w:rPr>
        <w:t>.</w:t>
      </w:r>
    </w:p>
    <w:p w14:paraId="5190A0F3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47B75E0" w14:textId="77777777" w:rsidR="00D044EB" w:rsidRPr="00A6540D" w:rsidRDefault="00047F58">
      <w:pPr>
        <w:keepNext/>
        <w:adjustRightInd w:val="0"/>
        <w:snapToGrid w:val="0"/>
        <w:rPr>
          <w:i/>
          <w:szCs w:val="22"/>
          <w:u w:val="single"/>
        </w:rPr>
      </w:pPr>
      <w:proofErr w:type="spellStart"/>
      <w:r w:rsidRPr="00A6540D">
        <w:rPr>
          <w:i/>
          <w:szCs w:val="22"/>
          <w:u w:val="single"/>
        </w:rPr>
        <w:t>Cornusan</w:t>
      </w:r>
      <w:proofErr w:type="spellEnd"/>
    </w:p>
    <w:p w14:paraId="7F65E5EB" w14:textId="43E7E459" w:rsidR="00D044EB" w:rsidRPr="00823BDC" w:rsidRDefault="00047F58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="00D044EB" w:rsidRPr="00823BDC">
        <w:rPr>
          <w:szCs w:val="22"/>
        </w:rPr>
        <w:t xml:space="preserve"> je kontraindikovaný počas gravidity. </w:t>
      </w:r>
      <w:r w:rsidR="006457EF" w:rsidRPr="00823BDC">
        <w:rPr>
          <w:szCs w:val="22"/>
        </w:rPr>
        <w:t>K</w:t>
      </w:r>
      <w:r w:rsidR="00D044EB" w:rsidRPr="00823BDC">
        <w:rPr>
          <w:szCs w:val="22"/>
        </w:rPr>
        <w:t xml:space="preserve"> dispozícii </w:t>
      </w:r>
      <w:r w:rsidR="006457EF" w:rsidRPr="00823BDC">
        <w:rPr>
          <w:szCs w:val="22"/>
        </w:rPr>
        <w:t xml:space="preserve">nie sú </w:t>
      </w:r>
      <w:r w:rsidR="00D044EB" w:rsidRPr="00823BDC">
        <w:rPr>
          <w:szCs w:val="22"/>
        </w:rPr>
        <w:t xml:space="preserve">žiadne klinické údaje o použití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>/</w:t>
      </w:r>
      <w:proofErr w:type="spellStart"/>
      <w:r w:rsidRPr="00823BDC">
        <w:rPr>
          <w:szCs w:val="22"/>
        </w:rPr>
        <w:t>simvastatínu</w:t>
      </w:r>
      <w:proofErr w:type="spellEnd"/>
      <w:r w:rsidR="00D044EB" w:rsidRPr="00823BDC">
        <w:rPr>
          <w:szCs w:val="22"/>
        </w:rPr>
        <w:t xml:space="preserve"> počas gravidity. Štúdie kombinovanej </w:t>
      </w:r>
      <w:r w:rsidR="009B72C0" w:rsidRPr="00823BDC">
        <w:rPr>
          <w:szCs w:val="22"/>
        </w:rPr>
        <w:t>liečby</w:t>
      </w:r>
      <w:r w:rsidR="00D044EB" w:rsidRPr="00823BDC">
        <w:rPr>
          <w:szCs w:val="22"/>
        </w:rPr>
        <w:t xml:space="preserve"> na zvieratách preukázali reprodukčnú toxicitu (Pozri časť 5.3)</w:t>
      </w:r>
      <w:r w:rsidR="00E62E34" w:rsidRPr="00823BDC">
        <w:rPr>
          <w:szCs w:val="22"/>
        </w:rPr>
        <w:t>.</w:t>
      </w:r>
    </w:p>
    <w:p w14:paraId="03325685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D2DE064" w14:textId="77777777" w:rsidR="00D044EB" w:rsidRPr="00823BDC" w:rsidRDefault="00D044EB">
      <w:pPr>
        <w:keepNext/>
        <w:adjustRightInd w:val="0"/>
        <w:snapToGrid w:val="0"/>
        <w:rPr>
          <w:i/>
          <w:szCs w:val="22"/>
          <w:u w:val="single"/>
        </w:rPr>
      </w:pPr>
      <w:proofErr w:type="spellStart"/>
      <w:r w:rsidRPr="00823BDC">
        <w:rPr>
          <w:i/>
          <w:szCs w:val="22"/>
          <w:u w:val="single"/>
        </w:rPr>
        <w:t>Simvastatín</w:t>
      </w:r>
      <w:proofErr w:type="spellEnd"/>
    </w:p>
    <w:p w14:paraId="24063F63" w14:textId="6900B8C6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Bezpečnosť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u gravidných žien nebola stanovená. </w:t>
      </w:r>
      <w:r w:rsidR="00FE59B2" w:rsidRPr="00823BDC">
        <w:rPr>
          <w:szCs w:val="22"/>
        </w:rPr>
        <w:t>U </w:t>
      </w:r>
      <w:r w:rsidRPr="00823BDC">
        <w:rPr>
          <w:szCs w:val="22"/>
        </w:rPr>
        <w:t xml:space="preserve">gravidných žien </w:t>
      </w:r>
      <w:r w:rsidR="00FE59B2" w:rsidRPr="00823BDC">
        <w:rPr>
          <w:szCs w:val="22"/>
        </w:rPr>
        <w:t xml:space="preserve">sa </w:t>
      </w:r>
      <w:r w:rsidRPr="00823BDC">
        <w:rPr>
          <w:szCs w:val="22"/>
        </w:rPr>
        <w:t>neuskutočnili</w:t>
      </w:r>
      <w:r w:rsidR="00FE59B2" w:rsidRPr="00823BDC">
        <w:rPr>
          <w:szCs w:val="22"/>
        </w:rPr>
        <w:t xml:space="preserve"> žiadne kontrolované klinické skúšania so </w:t>
      </w:r>
      <w:proofErr w:type="spellStart"/>
      <w:r w:rsidR="00FE59B2"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. Zriedkavo boli hlásené </w:t>
      </w:r>
      <w:proofErr w:type="spellStart"/>
      <w:r w:rsidRPr="00823BDC">
        <w:rPr>
          <w:szCs w:val="22"/>
        </w:rPr>
        <w:t>kongenitálne</w:t>
      </w:r>
      <w:proofErr w:type="spellEnd"/>
      <w:r w:rsidRPr="00823BDC">
        <w:rPr>
          <w:szCs w:val="22"/>
        </w:rPr>
        <w:t xml:space="preserve"> anomálie po </w:t>
      </w:r>
      <w:proofErr w:type="spellStart"/>
      <w:r w:rsidRPr="00823BDC">
        <w:rPr>
          <w:szCs w:val="22"/>
        </w:rPr>
        <w:t>intrauterinnej</w:t>
      </w:r>
      <w:proofErr w:type="spellEnd"/>
      <w:r w:rsidRPr="00823BDC">
        <w:rPr>
          <w:szCs w:val="22"/>
        </w:rPr>
        <w:t xml:space="preserve"> expozícii inhibítorom </w:t>
      </w:r>
      <w:r w:rsidR="00B726B5">
        <w:rPr>
          <w:szCs w:val="22"/>
        </w:rPr>
        <w:t>HMG-</w:t>
      </w:r>
      <w:proofErr w:type="spellStart"/>
      <w:r w:rsidR="00B726B5">
        <w:rPr>
          <w:szCs w:val="22"/>
        </w:rPr>
        <w:t>CoA</w:t>
      </w:r>
      <w:proofErr w:type="spellEnd"/>
      <w:r w:rsidR="00443890" w:rsidRPr="00823BDC">
        <w:rPr>
          <w:szCs w:val="22"/>
        </w:rPr>
        <w:t>-</w:t>
      </w:r>
      <w:proofErr w:type="spellStart"/>
      <w:r w:rsidRPr="00823BDC">
        <w:rPr>
          <w:szCs w:val="22"/>
        </w:rPr>
        <w:t>reduktázy</w:t>
      </w:r>
      <w:proofErr w:type="spellEnd"/>
      <w:r w:rsidRPr="00823BDC">
        <w:rPr>
          <w:szCs w:val="22"/>
        </w:rPr>
        <w:t xml:space="preserve">. V analýze približne 200 </w:t>
      </w:r>
      <w:proofErr w:type="spellStart"/>
      <w:r w:rsidRPr="00823BDC">
        <w:rPr>
          <w:szCs w:val="22"/>
        </w:rPr>
        <w:t>prospektívne</w:t>
      </w:r>
      <w:proofErr w:type="spellEnd"/>
      <w:r w:rsidRPr="00823BDC">
        <w:rPr>
          <w:szCs w:val="22"/>
        </w:rPr>
        <w:t xml:space="preserve"> sledovaných gravidít exponovaných počas prvého trimestra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alebo inému blízko príbuznému inhibítoru </w:t>
      </w:r>
      <w:r w:rsidR="00B726B5">
        <w:rPr>
          <w:szCs w:val="22"/>
        </w:rPr>
        <w:t>HMG-</w:t>
      </w:r>
      <w:proofErr w:type="spellStart"/>
      <w:r w:rsidR="00B726B5">
        <w:rPr>
          <w:szCs w:val="22"/>
        </w:rPr>
        <w:t>CoA</w:t>
      </w:r>
      <w:proofErr w:type="spellEnd"/>
      <w:r w:rsidR="00443890" w:rsidRPr="00823BDC">
        <w:rPr>
          <w:szCs w:val="22"/>
        </w:rPr>
        <w:t>-</w:t>
      </w:r>
      <w:proofErr w:type="spellStart"/>
      <w:r w:rsidRPr="00823BDC">
        <w:rPr>
          <w:szCs w:val="22"/>
        </w:rPr>
        <w:t>reduktázy</w:t>
      </w:r>
      <w:proofErr w:type="spellEnd"/>
      <w:r w:rsidRPr="00823BDC">
        <w:rPr>
          <w:szCs w:val="22"/>
        </w:rPr>
        <w:t xml:space="preserve"> bola však </w:t>
      </w:r>
      <w:proofErr w:type="spellStart"/>
      <w:r w:rsidRPr="00823BDC">
        <w:rPr>
          <w:szCs w:val="22"/>
        </w:rPr>
        <w:t>incidencia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kongenitálnych</w:t>
      </w:r>
      <w:proofErr w:type="spellEnd"/>
      <w:r w:rsidRPr="00823BDC">
        <w:rPr>
          <w:szCs w:val="22"/>
        </w:rPr>
        <w:t xml:space="preserve"> anomálií porovnateľná s </w:t>
      </w:r>
      <w:proofErr w:type="spellStart"/>
      <w:r w:rsidRPr="00823BDC">
        <w:rPr>
          <w:szCs w:val="22"/>
        </w:rPr>
        <w:t>incidenciou</w:t>
      </w:r>
      <w:proofErr w:type="spellEnd"/>
      <w:r w:rsidRPr="00823BDC">
        <w:rPr>
          <w:szCs w:val="22"/>
        </w:rPr>
        <w:t xml:space="preserve"> v bežnej populácii. Tento počet gravidít bol štatisticky dostatočný na vylúčenie 2,5</w:t>
      </w:r>
      <w:r w:rsidRPr="00823BDC">
        <w:rPr>
          <w:szCs w:val="22"/>
        </w:rPr>
        <w:noBreakHyphen/>
        <w:t xml:space="preserve">násobného alebo väčšieho nárastu </w:t>
      </w:r>
      <w:proofErr w:type="spellStart"/>
      <w:r w:rsidRPr="00823BDC">
        <w:rPr>
          <w:szCs w:val="22"/>
        </w:rPr>
        <w:t>kongenitálnych</w:t>
      </w:r>
      <w:proofErr w:type="spellEnd"/>
      <w:r w:rsidRPr="00823BDC">
        <w:rPr>
          <w:szCs w:val="22"/>
        </w:rPr>
        <w:t xml:space="preserve"> anomálií nad </w:t>
      </w:r>
      <w:proofErr w:type="spellStart"/>
      <w:r w:rsidRPr="00823BDC">
        <w:rPr>
          <w:szCs w:val="22"/>
        </w:rPr>
        <w:t>incidenciu</w:t>
      </w:r>
      <w:proofErr w:type="spellEnd"/>
      <w:r w:rsidRPr="00823BDC">
        <w:rPr>
          <w:szCs w:val="22"/>
        </w:rPr>
        <w:t xml:space="preserve"> v celkovej populácii.</w:t>
      </w:r>
    </w:p>
    <w:p w14:paraId="1EBA8864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750F2C7B" w14:textId="6A6860BE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Hoci nie je dokázané, že sa </w:t>
      </w:r>
      <w:proofErr w:type="spellStart"/>
      <w:r w:rsidRPr="00823BDC">
        <w:rPr>
          <w:szCs w:val="22"/>
        </w:rPr>
        <w:t>incidencia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kongenitálnych</w:t>
      </w:r>
      <w:proofErr w:type="spellEnd"/>
      <w:r w:rsidRPr="00823BDC">
        <w:rPr>
          <w:szCs w:val="22"/>
        </w:rPr>
        <w:t xml:space="preserve"> anomálií u potomkov </w:t>
      </w:r>
      <w:proofErr w:type="spellStart"/>
      <w:r w:rsidRPr="00823BDC">
        <w:rPr>
          <w:szCs w:val="22"/>
        </w:rPr>
        <w:t>pacientok</w:t>
      </w:r>
      <w:proofErr w:type="spellEnd"/>
      <w:r w:rsidRPr="00823BDC">
        <w:rPr>
          <w:szCs w:val="22"/>
        </w:rPr>
        <w:t xml:space="preserve"> užívajúcich 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alebo iný blízko príbuzný inhibítor </w:t>
      </w:r>
      <w:r w:rsidR="00B726B5">
        <w:rPr>
          <w:szCs w:val="22"/>
        </w:rPr>
        <w:t>HMG-</w:t>
      </w:r>
      <w:proofErr w:type="spellStart"/>
      <w:r w:rsidR="00B726B5">
        <w:rPr>
          <w:szCs w:val="22"/>
        </w:rPr>
        <w:t>CoA</w:t>
      </w:r>
      <w:proofErr w:type="spellEnd"/>
      <w:r w:rsidR="00443890" w:rsidRPr="00823BDC">
        <w:rPr>
          <w:szCs w:val="22"/>
        </w:rPr>
        <w:t>-</w:t>
      </w:r>
      <w:proofErr w:type="spellStart"/>
      <w:r w:rsidRPr="00823BDC">
        <w:rPr>
          <w:szCs w:val="22"/>
        </w:rPr>
        <w:t>reduktázy</w:t>
      </w:r>
      <w:proofErr w:type="spellEnd"/>
      <w:r w:rsidRPr="00823BDC">
        <w:rPr>
          <w:szCs w:val="22"/>
        </w:rPr>
        <w:t xml:space="preserve"> líši od </w:t>
      </w:r>
      <w:proofErr w:type="spellStart"/>
      <w:r w:rsidRPr="00823BDC">
        <w:rPr>
          <w:szCs w:val="22"/>
        </w:rPr>
        <w:t>incidencie</w:t>
      </w:r>
      <w:proofErr w:type="spellEnd"/>
      <w:r w:rsidRPr="00823BDC">
        <w:rPr>
          <w:szCs w:val="22"/>
        </w:rPr>
        <w:t xml:space="preserve"> pozorovanej v </w:t>
      </w:r>
      <w:r w:rsidR="00DA2FBA" w:rsidRPr="00823BDC">
        <w:rPr>
          <w:szCs w:val="22"/>
        </w:rPr>
        <w:t xml:space="preserve">bežnej </w:t>
      </w:r>
      <w:r w:rsidRPr="00823BDC">
        <w:rPr>
          <w:szCs w:val="22"/>
        </w:rPr>
        <w:t xml:space="preserve">populácii, liečba nastávajúcich matiek </w:t>
      </w:r>
      <w:proofErr w:type="spellStart"/>
      <w:r w:rsidR="006F1191"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môže u plodu znížiť hladiny </w:t>
      </w:r>
      <w:proofErr w:type="spellStart"/>
      <w:r w:rsidRPr="00823BDC">
        <w:rPr>
          <w:szCs w:val="22"/>
        </w:rPr>
        <w:t>mevalonátu</w:t>
      </w:r>
      <w:proofErr w:type="spellEnd"/>
      <w:r w:rsidRPr="00823BDC">
        <w:rPr>
          <w:szCs w:val="22"/>
        </w:rPr>
        <w:t xml:space="preserve">, ktorý je prekurzorom biosyntézy cholesterolu. Z tohto dôvodu sa </w:t>
      </w:r>
      <w:proofErr w:type="spellStart"/>
      <w:r w:rsidR="00047F58" w:rsidRPr="00823BDC">
        <w:rPr>
          <w:szCs w:val="22"/>
        </w:rPr>
        <w:t>Cornusan</w:t>
      </w:r>
      <w:proofErr w:type="spellEnd"/>
      <w:r w:rsidRPr="00823BDC">
        <w:rPr>
          <w:szCs w:val="22"/>
        </w:rPr>
        <w:t xml:space="preserve"> </w:t>
      </w:r>
      <w:r w:rsidR="00410B0D" w:rsidRPr="00823BDC">
        <w:rPr>
          <w:szCs w:val="22"/>
        </w:rPr>
        <w:t>nesmie</w:t>
      </w:r>
      <w:r w:rsidRPr="00823BDC">
        <w:rPr>
          <w:szCs w:val="22"/>
        </w:rPr>
        <w:t xml:space="preserve"> používať u žien, ktoré sú </w:t>
      </w:r>
      <w:r w:rsidR="00E34FAC" w:rsidRPr="00823BDC">
        <w:rPr>
          <w:szCs w:val="22"/>
        </w:rPr>
        <w:t>tehotné</w:t>
      </w:r>
      <w:r w:rsidRPr="00823BDC">
        <w:rPr>
          <w:szCs w:val="22"/>
        </w:rPr>
        <w:t xml:space="preserve">, pokúšajú sa otehotnieť alebo predpokladajú, že sú tehotné. Liečba </w:t>
      </w:r>
      <w:proofErr w:type="spellStart"/>
      <w:r w:rsidR="00047F58" w:rsidRPr="00823BDC">
        <w:rPr>
          <w:szCs w:val="22"/>
        </w:rPr>
        <w:t>Cornusan</w:t>
      </w:r>
      <w:r w:rsidR="00E34FAC" w:rsidRPr="00823BDC">
        <w:rPr>
          <w:szCs w:val="22"/>
        </w:rPr>
        <w:t>om</w:t>
      </w:r>
      <w:proofErr w:type="spellEnd"/>
      <w:r w:rsidRPr="00823BDC">
        <w:rPr>
          <w:szCs w:val="22"/>
        </w:rPr>
        <w:t xml:space="preserve"> sa </w:t>
      </w:r>
      <w:r w:rsidR="00410B0D" w:rsidRPr="00823BDC">
        <w:rPr>
          <w:szCs w:val="22"/>
        </w:rPr>
        <w:t>musí</w:t>
      </w:r>
      <w:r w:rsidRPr="00823BDC">
        <w:rPr>
          <w:szCs w:val="22"/>
        </w:rPr>
        <w:t xml:space="preserve"> prerušiť počas trvania gravidity alebo kým sa nepotvrdí, že žena nie je tehotná (</w:t>
      </w:r>
      <w:r w:rsidR="00932EFA" w:rsidRPr="00823BDC">
        <w:rPr>
          <w:szCs w:val="22"/>
        </w:rPr>
        <w:t>p</w:t>
      </w:r>
      <w:r w:rsidRPr="00823BDC">
        <w:rPr>
          <w:szCs w:val="22"/>
        </w:rPr>
        <w:t>ozri časť 4.3.)</w:t>
      </w:r>
      <w:r w:rsidR="00932EFA" w:rsidRPr="00823BDC">
        <w:rPr>
          <w:szCs w:val="22"/>
        </w:rPr>
        <w:t>.</w:t>
      </w:r>
    </w:p>
    <w:p w14:paraId="622A67D0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0FDD7D98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i/>
          <w:szCs w:val="22"/>
          <w:u w:val="single"/>
        </w:rPr>
        <w:t>Ezetimib</w:t>
      </w:r>
      <w:proofErr w:type="spellEnd"/>
    </w:p>
    <w:p w14:paraId="3F27DA54" w14:textId="77777777" w:rsidR="00516B93" w:rsidRPr="00823BDC" w:rsidRDefault="006457EF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>K</w:t>
      </w:r>
      <w:r w:rsidR="00D044EB" w:rsidRPr="00823BDC">
        <w:rPr>
          <w:snapToGrid w:val="0"/>
          <w:szCs w:val="22"/>
        </w:rPr>
        <w:t xml:space="preserve"> dispozícii </w:t>
      </w:r>
      <w:r w:rsidRPr="00823BDC">
        <w:rPr>
          <w:snapToGrid w:val="0"/>
          <w:szCs w:val="22"/>
        </w:rPr>
        <w:t xml:space="preserve">nie sú </w:t>
      </w:r>
      <w:r w:rsidR="00D044EB" w:rsidRPr="00823BDC">
        <w:rPr>
          <w:snapToGrid w:val="0"/>
          <w:szCs w:val="22"/>
        </w:rPr>
        <w:t xml:space="preserve">žiadne klinické údaje o použití </w:t>
      </w:r>
      <w:proofErr w:type="spellStart"/>
      <w:r w:rsidR="00D044EB" w:rsidRPr="00823BDC">
        <w:rPr>
          <w:snapToGrid w:val="0"/>
          <w:szCs w:val="22"/>
        </w:rPr>
        <w:t>ezetimibu</w:t>
      </w:r>
      <w:proofErr w:type="spellEnd"/>
      <w:r w:rsidR="00D044EB" w:rsidRPr="00823BDC">
        <w:rPr>
          <w:snapToGrid w:val="0"/>
          <w:szCs w:val="22"/>
        </w:rPr>
        <w:t xml:space="preserve"> počas gravidity.</w:t>
      </w:r>
    </w:p>
    <w:p w14:paraId="76EFA580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62AD094C" w14:textId="77777777" w:rsidR="00D044EB" w:rsidRPr="00823BDC" w:rsidRDefault="0012418F">
      <w:pPr>
        <w:keepNext/>
        <w:adjustRightInd w:val="0"/>
        <w:snapToGrid w:val="0"/>
        <w:rPr>
          <w:snapToGrid w:val="0"/>
          <w:szCs w:val="22"/>
          <w:u w:val="single"/>
        </w:rPr>
      </w:pPr>
      <w:r w:rsidRPr="00823BDC">
        <w:rPr>
          <w:snapToGrid w:val="0"/>
          <w:szCs w:val="22"/>
          <w:u w:val="single"/>
        </w:rPr>
        <w:t>Dojčenie</w:t>
      </w:r>
    </w:p>
    <w:p w14:paraId="234A94BC" w14:textId="77777777" w:rsidR="00D044EB" w:rsidRPr="00823BDC" w:rsidRDefault="00047F58">
      <w:pPr>
        <w:adjustRightInd w:val="0"/>
        <w:snapToGrid w:val="0"/>
        <w:rPr>
          <w:iCs/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="00D044EB" w:rsidRPr="00823BDC">
        <w:rPr>
          <w:szCs w:val="22"/>
        </w:rPr>
        <w:t xml:space="preserve"> je počas </w:t>
      </w:r>
      <w:r w:rsidR="0012418F" w:rsidRPr="00823BDC">
        <w:rPr>
          <w:szCs w:val="22"/>
        </w:rPr>
        <w:t xml:space="preserve">dojčenia </w:t>
      </w:r>
      <w:r w:rsidR="00D044EB" w:rsidRPr="00823BDC">
        <w:rPr>
          <w:szCs w:val="22"/>
        </w:rPr>
        <w:t>kontraindikovaný</w:t>
      </w:r>
      <w:r w:rsidR="00D044EB" w:rsidRPr="00823BDC">
        <w:rPr>
          <w:snapToGrid w:val="0"/>
          <w:szCs w:val="22"/>
        </w:rPr>
        <w:t xml:space="preserve">. Štúdie na potkanoch </w:t>
      </w:r>
      <w:r w:rsidR="004A223E" w:rsidRPr="00823BDC">
        <w:rPr>
          <w:snapToGrid w:val="0"/>
          <w:szCs w:val="22"/>
        </w:rPr>
        <w:t>preukázali</w:t>
      </w:r>
      <w:r w:rsidR="00D044EB" w:rsidRPr="00823BDC">
        <w:rPr>
          <w:snapToGrid w:val="0"/>
          <w:szCs w:val="22"/>
        </w:rPr>
        <w:t xml:space="preserve">, že </w:t>
      </w:r>
      <w:proofErr w:type="spellStart"/>
      <w:r w:rsidR="00D044EB" w:rsidRPr="00823BDC">
        <w:rPr>
          <w:snapToGrid w:val="0"/>
          <w:szCs w:val="22"/>
        </w:rPr>
        <w:t>ezetimib</w:t>
      </w:r>
      <w:proofErr w:type="spellEnd"/>
      <w:r w:rsidR="00D044EB" w:rsidRPr="00823BDC">
        <w:rPr>
          <w:snapToGrid w:val="0"/>
          <w:szCs w:val="22"/>
        </w:rPr>
        <w:t xml:space="preserve"> sa vylučuje do</w:t>
      </w:r>
      <w:r w:rsidR="00DA2FBA" w:rsidRPr="00823BDC">
        <w:rPr>
          <w:snapToGrid w:val="0"/>
          <w:szCs w:val="22"/>
        </w:rPr>
        <w:t xml:space="preserve"> </w:t>
      </w:r>
      <w:r w:rsidR="00D044EB" w:rsidRPr="00823BDC">
        <w:rPr>
          <w:snapToGrid w:val="0"/>
          <w:szCs w:val="22"/>
        </w:rPr>
        <w:t xml:space="preserve">materského mlieka. Nie je známe, či sa </w:t>
      </w:r>
      <w:r w:rsidR="001E2C16" w:rsidRPr="00823BDC">
        <w:rPr>
          <w:snapToGrid w:val="0"/>
          <w:szCs w:val="22"/>
        </w:rPr>
        <w:t>liečivá</w:t>
      </w:r>
      <w:r w:rsidR="00D044EB" w:rsidRPr="00823BDC">
        <w:rPr>
          <w:snapToGrid w:val="0"/>
          <w:szCs w:val="22"/>
        </w:rPr>
        <w:t xml:space="preserve"> </w:t>
      </w:r>
      <w:r w:rsidR="00E34FAC" w:rsidRPr="00823BDC">
        <w:rPr>
          <w:snapToGrid w:val="0"/>
          <w:szCs w:val="22"/>
        </w:rPr>
        <w:t xml:space="preserve">z </w:t>
      </w:r>
      <w:proofErr w:type="spellStart"/>
      <w:r w:rsidRPr="00823BDC">
        <w:rPr>
          <w:snapToGrid w:val="0"/>
          <w:szCs w:val="22"/>
        </w:rPr>
        <w:t>Cornusanu</w:t>
      </w:r>
      <w:proofErr w:type="spellEnd"/>
      <w:r w:rsidR="00D044EB" w:rsidRPr="00823BDC">
        <w:rPr>
          <w:snapToGrid w:val="0"/>
          <w:szCs w:val="22"/>
        </w:rPr>
        <w:t xml:space="preserve"> vylučujú do ľudského </w:t>
      </w:r>
      <w:r w:rsidRPr="00823BDC">
        <w:rPr>
          <w:snapToGrid w:val="0"/>
          <w:szCs w:val="22"/>
        </w:rPr>
        <w:t xml:space="preserve">materského </w:t>
      </w:r>
      <w:r w:rsidR="00D044EB" w:rsidRPr="00823BDC">
        <w:rPr>
          <w:snapToGrid w:val="0"/>
          <w:szCs w:val="22"/>
        </w:rPr>
        <w:t xml:space="preserve">mlieka. </w:t>
      </w:r>
      <w:r w:rsidR="00D044EB" w:rsidRPr="00823BDC">
        <w:rPr>
          <w:iCs/>
          <w:szCs w:val="22"/>
        </w:rPr>
        <w:t>(Pozri časť 4.3.)</w:t>
      </w:r>
    </w:p>
    <w:p w14:paraId="7F38A7E4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B8DCD7D" w14:textId="77777777" w:rsidR="006457EF" w:rsidRPr="00823BDC" w:rsidRDefault="006457EF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szCs w:val="22"/>
          <w:u w:val="single"/>
        </w:rPr>
        <w:t>Fertilita</w:t>
      </w:r>
      <w:proofErr w:type="spellEnd"/>
    </w:p>
    <w:p w14:paraId="4A111165" w14:textId="77777777" w:rsidR="006457EF" w:rsidRPr="00823BDC" w:rsidRDefault="006457EF">
      <w:pPr>
        <w:keepNext/>
        <w:adjustRightInd w:val="0"/>
        <w:snapToGrid w:val="0"/>
        <w:rPr>
          <w:i/>
          <w:szCs w:val="22"/>
          <w:u w:val="single"/>
        </w:rPr>
      </w:pPr>
      <w:proofErr w:type="spellStart"/>
      <w:r w:rsidRPr="00823BDC">
        <w:rPr>
          <w:i/>
          <w:szCs w:val="22"/>
          <w:u w:val="single"/>
        </w:rPr>
        <w:t>Ezetimib</w:t>
      </w:r>
      <w:proofErr w:type="spellEnd"/>
    </w:p>
    <w:p w14:paraId="0BD5397E" w14:textId="77777777" w:rsidR="006457EF" w:rsidRPr="00823BDC" w:rsidRDefault="006457EF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K dispozícii nie sú žiadne údaje </w:t>
      </w:r>
      <w:r w:rsidR="00EF6BF9" w:rsidRPr="00823BDC">
        <w:rPr>
          <w:szCs w:val="22"/>
        </w:rPr>
        <w:t xml:space="preserve">z klinického skúšania </w:t>
      </w:r>
      <w:r w:rsidR="00EF6BF9" w:rsidRPr="00823BDC">
        <w:rPr>
          <w:snapToGrid w:val="0"/>
          <w:szCs w:val="22"/>
        </w:rPr>
        <w:t xml:space="preserve">účinkov </w:t>
      </w:r>
      <w:proofErr w:type="spellStart"/>
      <w:r w:rsidR="00EF6BF9" w:rsidRPr="00823BDC">
        <w:rPr>
          <w:snapToGrid w:val="0"/>
          <w:szCs w:val="22"/>
        </w:rPr>
        <w:t>ezetimibu</w:t>
      </w:r>
      <w:proofErr w:type="spellEnd"/>
      <w:r w:rsidR="00EF6BF9" w:rsidRPr="00823BDC">
        <w:rPr>
          <w:snapToGrid w:val="0"/>
          <w:szCs w:val="22"/>
        </w:rPr>
        <w:t xml:space="preserve"> na </w:t>
      </w:r>
      <w:proofErr w:type="spellStart"/>
      <w:r w:rsidR="00EF6BF9" w:rsidRPr="00823BDC">
        <w:rPr>
          <w:snapToGrid w:val="0"/>
          <w:szCs w:val="22"/>
        </w:rPr>
        <w:t>fertilitu</w:t>
      </w:r>
      <w:proofErr w:type="spellEnd"/>
      <w:r w:rsidR="00EF6BF9" w:rsidRPr="00823BDC">
        <w:rPr>
          <w:snapToGrid w:val="0"/>
          <w:szCs w:val="22"/>
        </w:rPr>
        <w:t xml:space="preserve"> u ľudí. </w:t>
      </w:r>
      <w:proofErr w:type="spellStart"/>
      <w:r w:rsidR="00EF6BF9" w:rsidRPr="00823BDC">
        <w:rPr>
          <w:snapToGrid w:val="0"/>
          <w:szCs w:val="22"/>
        </w:rPr>
        <w:t>Ezetimib</w:t>
      </w:r>
      <w:proofErr w:type="spellEnd"/>
      <w:r w:rsidR="00EF6BF9" w:rsidRPr="00823BDC">
        <w:rPr>
          <w:snapToGrid w:val="0"/>
          <w:szCs w:val="22"/>
        </w:rPr>
        <w:t xml:space="preserve"> nemal žiadny účinok na </w:t>
      </w:r>
      <w:proofErr w:type="spellStart"/>
      <w:r w:rsidR="00EF6BF9" w:rsidRPr="00823BDC">
        <w:rPr>
          <w:snapToGrid w:val="0"/>
          <w:szCs w:val="22"/>
        </w:rPr>
        <w:t>fertilitu</w:t>
      </w:r>
      <w:proofErr w:type="spellEnd"/>
      <w:r w:rsidR="00EF6BF9" w:rsidRPr="00823BDC">
        <w:rPr>
          <w:snapToGrid w:val="0"/>
          <w:szCs w:val="22"/>
        </w:rPr>
        <w:t xml:space="preserve"> samcov alebo samíc potkana (pozri časť 5.3).</w:t>
      </w:r>
    </w:p>
    <w:p w14:paraId="0E0B5C89" w14:textId="77777777" w:rsidR="00EF6BF9" w:rsidRPr="00823BDC" w:rsidRDefault="00EF6BF9">
      <w:pPr>
        <w:adjustRightInd w:val="0"/>
        <w:snapToGrid w:val="0"/>
        <w:rPr>
          <w:snapToGrid w:val="0"/>
          <w:szCs w:val="22"/>
        </w:rPr>
      </w:pPr>
    </w:p>
    <w:p w14:paraId="64E9AB5D" w14:textId="77777777" w:rsidR="00EF6BF9" w:rsidRPr="00823BDC" w:rsidRDefault="00EF6BF9">
      <w:pPr>
        <w:keepNext/>
        <w:adjustRightInd w:val="0"/>
        <w:snapToGrid w:val="0"/>
        <w:rPr>
          <w:i/>
          <w:snapToGrid w:val="0"/>
          <w:szCs w:val="22"/>
          <w:u w:val="single"/>
        </w:rPr>
      </w:pPr>
      <w:proofErr w:type="spellStart"/>
      <w:r w:rsidRPr="00823BDC">
        <w:rPr>
          <w:i/>
          <w:snapToGrid w:val="0"/>
          <w:szCs w:val="22"/>
          <w:u w:val="single"/>
        </w:rPr>
        <w:t>Simvastatín</w:t>
      </w:r>
      <w:proofErr w:type="spellEnd"/>
    </w:p>
    <w:p w14:paraId="73600671" w14:textId="77777777" w:rsidR="00EF6BF9" w:rsidRPr="00823BDC" w:rsidRDefault="00EF6BF9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K dispozícii nie sú žiadne údaje </w:t>
      </w:r>
      <w:r w:rsidRPr="00823BDC">
        <w:rPr>
          <w:szCs w:val="22"/>
        </w:rPr>
        <w:t xml:space="preserve">z klinického skúšania </w:t>
      </w:r>
      <w:r w:rsidRPr="00823BDC">
        <w:rPr>
          <w:snapToGrid w:val="0"/>
          <w:szCs w:val="22"/>
        </w:rPr>
        <w:t xml:space="preserve">účinkov </w:t>
      </w:r>
      <w:proofErr w:type="spellStart"/>
      <w:r w:rsidRPr="00823BDC">
        <w:rPr>
          <w:snapToGrid w:val="0"/>
          <w:szCs w:val="22"/>
        </w:rPr>
        <w:t>simvastatínu</w:t>
      </w:r>
      <w:proofErr w:type="spellEnd"/>
      <w:r w:rsidRPr="00823BDC">
        <w:rPr>
          <w:snapToGrid w:val="0"/>
          <w:szCs w:val="22"/>
        </w:rPr>
        <w:t xml:space="preserve"> na </w:t>
      </w:r>
      <w:proofErr w:type="spellStart"/>
      <w:r w:rsidRPr="00823BDC">
        <w:rPr>
          <w:snapToGrid w:val="0"/>
          <w:szCs w:val="22"/>
        </w:rPr>
        <w:t>fertilitu</w:t>
      </w:r>
      <w:proofErr w:type="spellEnd"/>
      <w:r w:rsidRPr="00823BDC">
        <w:rPr>
          <w:snapToGrid w:val="0"/>
          <w:szCs w:val="22"/>
        </w:rPr>
        <w:t xml:space="preserve"> u ľudí. </w:t>
      </w:r>
      <w:proofErr w:type="spellStart"/>
      <w:r w:rsidR="00F26AD4" w:rsidRPr="00823BDC">
        <w:rPr>
          <w:snapToGrid w:val="0"/>
          <w:szCs w:val="22"/>
        </w:rPr>
        <w:t>Simvastatín</w:t>
      </w:r>
      <w:proofErr w:type="spellEnd"/>
      <w:r w:rsidR="00F26AD4" w:rsidRPr="00823BDC">
        <w:rPr>
          <w:snapToGrid w:val="0"/>
          <w:szCs w:val="22"/>
        </w:rPr>
        <w:t xml:space="preserve"> </w:t>
      </w:r>
      <w:r w:rsidR="00FF6459" w:rsidRPr="00823BDC">
        <w:rPr>
          <w:snapToGrid w:val="0"/>
          <w:szCs w:val="22"/>
        </w:rPr>
        <w:t xml:space="preserve">nemal žiadny účinok </w:t>
      </w:r>
      <w:r w:rsidR="00F26AD4" w:rsidRPr="00823BDC">
        <w:rPr>
          <w:snapToGrid w:val="0"/>
          <w:szCs w:val="22"/>
        </w:rPr>
        <w:t xml:space="preserve">na </w:t>
      </w:r>
      <w:proofErr w:type="spellStart"/>
      <w:r w:rsidR="00F26AD4" w:rsidRPr="00823BDC">
        <w:rPr>
          <w:snapToGrid w:val="0"/>
          <w:szCs w:val="22"/>
        </w:rPr>
        <w:t>fertilitu</w:t>
      </w:r>
      <w:proofErr w:type="spellEnd"/>
      <w:r w:rsidR="00F26AD4" w:rsidRPr="00823BDC">
        <w:rPr>
          <w:snapToGrid w:val="0"/>
          <w:szCs w:val="22"/>
        </w:rPr>
        <w:t xml:space="preserve"> samcov a samíc potkan</w:t>
      </w:r>
      <w:r w:rsidR="006F2CD5" w:rsidRPr="00823BDC">
        <w:rPr>
          <w:snapToGrid w:val="0"/>
          <w:szCs w:val="22"/>
        </w:rPr>
        <w:t>a</w:t>
      </w:r>
      <w:r w:rsidR="00F26AD4" w:rsidRPr="00823BDC">
        <w:rPr>
          <w:snapToGrid w:val="0"/>
          <w:szCs w:val="22"/>
        </w:rPr>
        <w:t xml:space="preserve"> </w:t>
      </w:r>
      <w:r w:rsidRPr="00823BDC">
        <w:rPr>
          <w:snapToGrid w:val="0"/>
          <w:szCs w:val="22"/>
        </w:rPr>
        <w:t>(pozri časť 5.3).</w:t>
      </w:r>
    </w:p>
    <w:p w14:paraId="45E42053" w14:textId="77777777" w:rsidR="006457EF" w:rsidRPr="00823BDC" w:rsidRDefault="006457EF">
      <w:pPr>
        <w:adjustRightInd w:val="0"/>
        <w:snapToGrid w:val="0"/>
        <w:rPr>
          <w:szCs w:val="22"/>
        </w:rPr>
      </w:pPr>
    </w:p>
    <w:p w14:paraId="5BB8F2FB" w14:textId="77777777" w:rsidR="00D044EB" w:rsidRPr="00823BDC" w:rsidRDefault="00D044EB">
      <w:pPr>
        <w:keepNext/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4.7</w:t>
      </w:r>
      <w:r w:rsidRPr="00823BDC">
        <w:rPr>
          <w:b/>
          <w:szCs w:val="22"/>
        </w:rPr>
        <w:tab/>
        <w:t>Ovplyvnenie schopnosti viesť vozidlá a obsluhovať stroje</w:t>
      </w:r>
    </w:p>
    <w:p w14:paraId="614E776D" w14:textId="77777777" w:rsidR="00D044EB" w:rsidRPr="00823BDC" w:rsidRDefault="00D044EB">
      <w:pPr>
        <w:keepNext/>
        <w:adjustRightInd w:val="0"/>
        <w:snapToGrid w:val="0"/>
        <w:rPr>
          <w:bCs/>
          <w:szCs w:val="22"/>
        </w:rPr>
      </w:pPr>
    </w:p>
    <w:p w14:paraId="1A486E30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Neuskutočnili sa žiadne štúdie o účinkoch na schopnosť viesť vozidlá a obsluhovať stroje. </w:t>
      </w:r>
      <w:r w:rsidR="00E34FAC" w:rsidRPr="00823BDC">
        <w:rPr>
          <w:szCs w:val="22"/>
        </w:rPr>
        <w:t>P</w:t>
      </w:r>
      <w:r w:rsidRPr="00823BDC">
        <w:rPr>
          <w:szCs w:val="22"/>
        </w:rPr>
        <w:t xml:space="preserve">ri vedení vozidiel alebo obsluhe strojov </w:t>
      </w:r>
      <w:r w:rsidR="00E34FAC" w:rsidRPr="00823BDC">
        <w:rPr>
          <w:szCs w:val="22"/>
        </w:rPr>
        <w:t xml:space="preserve">však </w:t>
      </w:r>
      <w:r w:rsidRPr="00823BDC">
        <w:rPr>
          <w:szCs w:val="22"/>
        </w:rPr>
        <w:t>treba brať do úvahy, že bol hlásený závrat.</w:t>
      </w:r>
    </w:p>
    <w:p w14:paraId="67B7D5E4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12957D59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4.8</w:t>
      </w:r>
      <w:r w:rsidRPr="00823BDC">
        <w:rPr>
          <w:b/>
          <w:szCs w:val="22"/>
        </w:rPr>
        <w:tab/>
        <w:t>Nežiaduce účinky</w:t>
      </w:r>
    </w:p>
    <w:p w14:paraId="0BF679EE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09B05497" w14:textId="77777777" w:rsidR="00EF6BF9" w:rsidRPr="00A6540D" w:rsidRDefault="00EF6BF9">
      <w:pPr>
        <w:adjustRightInd w:val="0"/>
        <w:snapToGrid w:val="0"/>
        <w:rPr>
          <w:szCs w:val="22"/>
          <w:u w:val="single"/>
        </w:rPr>
      </w:pPr>
      <w:r w:rsidRPr="00A6540D">
        <w:rPr>
          <w:szCs w:val="22"/>
          <w:u w:val="single"/>
        </w:rPr>
        <w:t>Tabuľkový zoznam nežiaducich reakcií (klinické štúdie)</w:t>
      </w:r>
    </w:p>
    <w:p w14:paraId="4CA9D004" w14:textId="77777777" w:rsidR="00EF6BF9" w:rsidRPr="00823BDC" w:rsidRDefault="00EF6BF9">
      <w:pPr>
        <w:adjustRightInd w:val="0"/>
        <w:snapToGrid w:val="0"/>
        <w:rPr>
          <w:szCs w:val="22"/>
        </w:rPr>
      </w:pPr>
    </w:p>
    <w:p w14:paraId="299DF4E8" w14:textId="77777777" w:rsidR="00D044EB" w:rsidRPr="00823BDC" w:rsidRDefault="006855DE">
      <w:pPr>
        <w:adjustRightInd w:val="0"/>
        <w:snapToGrid w:val="0"/>
        <w:rPr>
          <w:szCs w:val="22"/>
        </w:rPr>
      </w:pPr>
      <w:r w:rsidRPr="00823BDC">
        <w:rPr>
          <w:snapToGrid w:val="0"/>
          <w:szCs w:val="22"/>
        </w:rPr>
        <w:lastRenderedPageBreak/>
        <w:t>S</w:t>
      </w:r>
      <w:r w:rsidR="00D044EB" w:rsidRPr="00823BDC">
        <w:rPr>
          <w:snapToGrid w:val="0"/>
          <w:szCs w:val="22"/>
        </w:rPr>
        <w:t>ú</w:t>
      </w:r>
      <w:r w:rsidR="00F57D50" w:rsidRPr="00823BDC">
        <w:rPr>
          <w:snapToGrid w:val="0"/>
          <w:szCs w:val="22"/>
        </w:rPr>
        <w:t>bežné</w:t>
      </w:r>
      <w:r w:rsidR="00D044EB" w:rsidRPr="00823BDC">
        <w:rPr>
          <w:snapToGrid w:val="0"/>
          <w:szCs w:val="22"/>
        </w:rPr>
        <w:t xml:space="preserve"> podávani</w:t>
      </w:r>
      <w:r w:rsidRPr="00823BDC">
        <w:rPr>
          <w:snapToGrid w:val="0"/>
          <w:szCs w:val="22"/>
        </w:rPr>
        <w:t>e</w:t>
      </w:r>
      <w:r w:rsidR="00D044EB" w:rsidRPr="00823BDC">
        <w:rPr>
          <w:snapToGrid w:val="0"/>
          <w:szCs w:val="22"/>
        </w:rPr>
        <w:t xml:space="preserve"> </w:t>
      </w:r>
      <w:proofErr w:type="spellStart"/>
      <w:r w:rsidR="00D044EB" w:rsidRPr="00823BDC">
        <w:rPr>
          <w:snapToGrid w:val="0"/>
          <w:szCs w:val="22"/>
        </w:rPr>
        <w:t>ezetimibu</w:t>
      </w:r>
      <w:proofErr w:type="spellEnd"/>
      <w:r w:rsidR="00D044EB" w:rsidRPr="00823BDC">
        <w:rPr>
          <w:snapToGrid w:val="0"/>
          <w:szCs w:val="22"/>
        </w:rPr>
        <w:t xml:space="preserve"> a </w:t>
      </w:r>
      <w:proofErr w:type="spellStart"/>
      <w:r w:rsidR="006F1191" w:rsidRPr="00823BDC">
        <w:rPr>
          <w:snapToGrid w:val="0"/>
          <w:szCs w:val="22"/>
        </w:rPr>
        <w:t>simvastatínu</w:t>
      </w:r>
      <w:proofErr w:type="spellEnd"/>
      <w:r w:rsidR="006F1191" w:rsidRPr="00823BDC">
        <w:rPr>
          <w:snapToGrid w:val="0"/>
          <w:szCs w:val="22"/>
        </w:rPr>
        <w:t xml:space="preserve"> </w:t>
      </w:r>
      <w:r w:rsidR="00D044EB" w:rsidRPr="00823BDC">
        <w:rPr>
          <w:snapToGrid w:val="0"/>
          <w:szCs w:val="22"/>
        </w:rPr>
        <w:t>bol</w:t>
      </w:r>
      <w:r w:rsidR="00047F58" w:rsidRPr="00823BDC">
        <w:rPr>
          <w:snapToGrid w:val="0"/>
          <w:szCs w:val="22"/>
        </w:rPr>
        <w:t>o</w:t>
      </w:r>
      <w:r w:rsidR="00D044EB" w:rsidRPr="00823BDC">
        <w:rPr>
          <w:snapToGrid w:val="0"/>
          <w:szCs w:val="22"/>
        </w:rPr>
        <w:t xml:space="preserve"> hodnoten</w:t>
      </w:r>
      <w:r w:rsidR="00047F58" w:rsidRPr="00823BDC">
        <w:rPr>
          <w:snapToGrid w:val="0"/>
          <w:szCs w:val="22"/>
        </w:rPr>
        <w:t>é</w:t>
      </w:r>
      <w:r w:rsidR="00D044EB" w:rsidRPr="00823BDC">
        <w:rPr>
          <w:snapToGrid w:val="0"/>
          <w:szCs w:val="22"/>
        </w:rPr>
        <w:t xml:space="preserve"> </w:t>
      </w:r>
      <w:r w:rsidRPr="00823BDC">
        <w:rPr>
          <w:snapToGrid w:val="0"/>
          <w:szCs w:val="22"/>
        </w:rPr>
        <w:t xml:space="preserve">z hľadiska bezpečnosti </w:t>
      </w:r>
      <w:r w:rsidR="00D044EB" w:rsidRPr="00823BDC">
        <w:rPr>
          <w:snapToGrid w:val="0"/>
          <w:szCs w:val="22"/>
        </w:rPr>
        <w:t>u</w:t>
      </w:r>
      <w:r w:rsidR="000C7BD4" w:rsidRPr="00823BDC">
        <w:rPr>
          <w:snapToGrid w:val="0"/>
          <w:szCs w:val="22"/>
        </w:rPr>
        <w:t> približne 12 000</w:t>
      </w:r>
      <w:r w:rsidR="00D044EB" w:rsidRPr="00823BDC">
        <w:rPr>
          <w:szCs w:val="22"/>
        </w:rPr>
        <w:t xml:space="preserve"> pacientov</w:t>
      </w:r>
      <w:r w:rsidRPr="00823BDC">
        <w:rPr>
          <w:szCs w:val="22"/>
        </w:rPr>
        <w:t xml:space="preserve"> v klinických skúšaniach</w:t>
      </w:r>
      <w:r w:rsidR="00D044EB" w:rsidRPr="00823BDC">
        <w:rPr>
          <w:szCs w:val="22"/>
        </w:rPr>
        <w:t>.</w:t>
      </w:r>
    </w:p>
    <w:p w14:paraId="2BC93EC0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627916C0" w14:textId="77777777" w:rsidR="00D044EB" w:rsidRPr="00F064AC" w:rsidRDefault="00D044EB">
      <w:pPr>
        <w:adjustRightInd w:val="0"/>
        <w:snapToGrid w:val="0"/>
        <w:rPr>
          <w:szCs w:val="22"/>
        </w:rPr>
      </w:pPr>
      <w:r w:rsidRPr="00823BDC">
        <w:rPr>
          <w:bCs/>
          <w:szCs w:val="22"/>
        </w:rPr>
        <w:t xml:space="preserve">Frekvencie nežiaducich </w:t>
      </w:r>
      <w:r w:rsidR="00F57D50" w:rsidRPr="00823BDC">
        <w:rPr>
          <w:bCs/>
          <w:szCs w:val="22"/>
        </w:rPr>
        <w:t>udalostí</w:t>
      </w:r>
      <w:r w:rsidRPr="00823BDC">
        <w:rPr>
          <w:bCs/>
          <w:szCs w:val="22"/>
        </w:rPr>
        <w:t xml:space="preserve"> sú </w:t>
      </w:r>
      <w:r w:rsidR="00F57D50" w:rsidRPr="00823BDC">
        <w:rPr>
          <w:bCs/>
          <w:szCs w:val="22"/>
        </w:rPr>
        <w:t>zoradené</w:t>
      </w:r>
      <w:r w:rsidRPr="00823BDC">
        <w:rPr>
          <w:bCs/>
          <w:szCs w:val="22"/>
        </w:rPr>
        <w:t xml:space="preserve"> nasledovne: </w:t>
      </w:r>
      <w:r w:rsidR="00516B93" w:rsidRPr="00823BDC">
        <w:rPr>
          <w:bCs/>
          <w:szCs w:val="22"/>
        </w:rPr>
        <w:t>v</w:t>
      </w:r>
      <w:r w:rsidRPr="00823BDC">
        <w:rPr>
          <w:bCs/>
          <w:szCs w:val="22"/>
        </w:rPr>
        <w:t>eľmi časté (</w:t>
      </w:r>
      <w:r w:rsidRPr="00530542">
        <w:rPr>
          <w:bCs/>
          <w:szCs w:val="22"/>
        </w:rPr>
        <w:sym w:font="Symbol" w:char="F0B3"/>
      </w:r>
      <w:r w:rsidR="00757232" w:rsidRPr="00530542">
        <w:rPr>
          <w:bCs/>
          <w:szCs w:val="22"/>
        </w:rPr>
        <w:t> </w:t>
      </w:r>
      <w:r w:rsidRPr="00CD10F1">
        <w:rPr>
          <w:bCs/>
          <w:szCs w:val="22"/>
        </w:rPr>
        <w:t xml:space="preserve">1/10), </w:t>
      </w:r>
      <w:r w:rsidR="00516B93" w:rsidRPr="00CD10F1">
        <w:rPr>
          <w:bCs/>
          <w:szCs w:val="22"/>
        </w:rPr>
        <w:t>č</w:t>
      </w:r>
      <w:r w:rsidRPr="00CD10F1">
        <w:rPr>
          <w:bCs/>
          <w:szCs w:val="22"/>
        </w:rPr>
        <w:t>asté (</w:t>
      </w:r>
      <w:r w:rsidRPr="00530542">
        <w:rPr>
          <w:bCs/>
          <w:szCs w:val="22"/>
        </w:rPr>
        <w:sym w:font="Symbol" w:char="F0B3"/>
      </w:r>
      <w:r w:rsidR="00757232" w:rsidRPr="00530542">
        <w:rPr>
          <w:bCs/>
          <w:szCs w:val="22"/>
        </w:rPr>
        <w:t> </w:t>
      </w:r>
      <w:r w:rsidRPr="00CD10F1">
        <w:rPr>
          <w:bCs/>
          <w:szCs w:val="22"/>
        </w:rPr>
        <w:t xml:space="preserve">1/100 </w:t>
      </w:r>
      <w:r w:rsidR="00757232" w:rsidRPr="00CD10F1">
        <w:rPr>
          <w:bCs/>
          <w:szCs w:val="22"/>
        </w:rPr>
        <w:t xml:space="preserve">až </w:t>
      </w:r>
      <w:r w:rsidRPr="00CD10F1">
        <w:rPr>
          <w:bCs/>
          <w:szCs w:val="22"/>
        </w:rPr>
        <w:t>&lt;</w:t>
      </w:r>
      <w:r w:rsidR="00757232" w:rsidRPr="00CD10F1">
        <w:rPr>
          <w:bCs/>
          <w:szCs w:val="22"/>
        </w:rPr>
        <w:t> </w:t>
      </w:r>
      <w:r w:rsidRPr="00657DA7">
        <w:rPr>
          <w:bCs/>
          <w:szCs w:val="22"/>
        </w:rPr>
        <w:t xml:space="preserve">1/10), </w:t>
      </w:r>
      <w:r w:rsidR="00516B93" w:rsidRPr="00F064AC">
        <w:rPr>
          <w:bCs/>
          <w:szCs w:val="22"/>
        </w:rPr>
        <w:t>m</w:t>
      </w:r>
      <w:r w:rsidRPr="00F064AC">
        <w:rPr>
          <w:bCs/>
          <w:szCs w:val="22"/>
        </w:rPr>
        <w:t>enej časté (</w:t>
      </w:r>
      <w:r w:rsidRPr="00530542">
        <w:rPr>
          <w:bCs/>
          <w:szCs w:val="22"/>
        </w:rPr>
        <w:sym w:font="Symbol" w:char="F0B3"/>
      </w:r>
      <w:r w:rsidR="00757232" w:rsidRPr="00530542">
        <w:rPr>
          <w:bCs/>
          <w:szCs w:val="22"/>
        </w:rPr>
        <w:t> </w:t>
      </w:r>
      <w:r w:rsidRPr="00CD10F1">
        <w:rPr>
          <w:bCs/>
          <w:szCs w:val="22"/>
        </w:rPr>
        <w:t>1/1 000</w:t>
      </w:r>
      <w:r w:rsidR="00757232" w:rsidRPr="00CD10F1">
        <w:rPr>
          <w:bCs/>
          <w:szCs w:val="22"/>
        </w:rPr>
        <w:t xml:space="preserve"> až</w:t>
      </w:r>
      <w:r w:rsidRPr="00CD10F1">
        <w:rPr>
          <w:bCs/>
          <w:szCs w:val="22"/>
        </w:rPr>
        <w:t xml:space="preserve"> </w:t>
      </w:r>
      <w:r w:rsidRPr="00CD10F1">
        <w:rPr>
          <w:szCs w:val="22"/>
        </w:rPr>
        <w:t>&lt;</w:t>
      </w:r>
      <w:r w:rsidR="00757232" w:rsidRPr="00657DA7">
        <w:rPr>
          <w:szCs w:val="22"/>
        </w:rPr>
        <w:t> </w:t>
      </w:r>
      <w:r w:rsidRPr="00F064AC">
        <w:rPr>
          <w:szCs w:val="22"/>
        </w:rPr>
        <w:t xml:space="preserve">1/100), </w:t>
      </w:r>
      <w:r w:rsidR="00516B93" w:rsidRPr="00F064AC">
        <w:rPr>
          <w:szCs w:val="22"/>
        </w:rPr>
        <w:t>z</w:t>
      </w:r>
      <w:r w:rsidRPr="00F064AC">
        <w:rPr>
          <w:szCs w:val="22"/>
        </w:rPr>
        <w:t>riedkavé (</w:t>
      </w:r>
      <w:r w:rsidRPr="00530542">
        <w:rPr>
          <w:szCs w:val="22"/>
        </w:rPr>
        <w:sym w:font="Symbol" w:char="F0B3"/>
      </w:r>
      <w:r w:rsidR="00757232" w:rsidRPr="00530542">
        <w:rPr>
          <w:szCs w:val="22"/>
        </w:rPr>
        <w:t> </w:t>
      </w:r>
      <w:r w:rsidRPr="00CD10F1">
        <w:rPr>
          <w:szCs w:val="22"/>
        </w:rPr>
        <w:t>1/10 000</w:t>
      </w:r>
      <w:r w:rsidR="00757232" w:rsidRPr="00CD10F1">
        <w:rPr>
          <w:szCs w:val="22"/>
        </w:rPr>
        <w:t xml:space="preserve"> až</w:t>
      </w:r>
      <w:r w:rsidRPr="00CD10F1">
        <w:rPr>
          <w:szCs w:val="22"/>
        </w:rPr>
        <w:t xml:space="preserve"> &lt;</w:t>
      </w:r>
      <w:r w:rsidR="00726B3A" w:rsidRPr="00CD10F1">
        <w:rPr>
          <w:szCs w:val="22"/>
        </w:rPr>
        <w:t> </w:t>
      </w:r>
      <w:r w:rsidRPr="00657DA7">
        <w:rPr>
          <w:szCs w:val="22"/>
        </w:rPr>
        <w:t xml:space="preserve">1/1 000), </w:t>
      </w:r>
      <w:r w:rsidR="00516B93" w:rsidRPr="00F064AC">
        <w:rPr>
          <w:szCs w:val="22"/>
        </w:rPr>
        <w:t>v</w:t>
      </w:r>
      <w:r w:rsidRPr="00F064AC">
        <w:rPr>
          <w:szCs w:val="22"/>
        </w:rPr>
        <w:t>eľmi zriedkavé (&lt;</w:t>
      </w:r>
      <w:r w:rsidR="00757232" w:rsidRPr="00F064AC">
        <w:rPr>
          <w:szCs w:val="22"/>
        </w:rPr>
        <w:t> </w:t>
      </w:r>
      <w:r w:rsidRPr="00F064AC">
        <w:rPr>
          <w:szCs w:val="22"/>
        </w:rPr>
        <w:t>1/10 000) zahŕňajúce jednotlivé hlásenia.</w:t>
      </w:r>
    </w:p>
    <w:p w14:paraId="5A6ABD22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BE6A515" w14:textId="77777777" w:rsidR="00D044EB" w:rsidRPr="00823BDC" w:rsidRDefault="000C7BD4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U pacientov liečených </w:t>
      </w:r>
      <w:proofErr w:type="spellStart"/>
      <w:r w:rsidR="006855DE" w:rsidRPr="00823BDC">
        <w:rPr>
          <w:szCs w:val="22"/>
        </w:rPr>
        <w:t>ezetimibom</w:t>
      </w:r>
      <w:proofErr w:type="spellEnd"/>
      <w:r w:rsidR="006855DE" w:rsidRPr="00823BDC">
        <w:rPr>
          <w:szCs w:val="22"/>
        </w:rPr>
        <w:t>/</w:t>
      </w:r>
      <w:proofErr w:type="spellStart"/>
      <w:r w:rsidR="006855DE"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(</w:t>
      </w:r>
      <w:r w:rsidR="00726B3A" w:rsidRPr="00823BDC">
        <w:rPr>
          <w:szCs w:val="22"/>
        </w:rPr>
        <w:t>N</w:t>
      </w:r>
      <w:r w:rsidR="00636C11" w:rsidRPr="00823BDC">
        <w:rPr>
          <w:szCs w:val="22"/>
        </w:rPr>
        <w:t> </w:t>
      </w:r>
      <w:r w:rsidRPr="00823BDC">
        <w:rPr>
          <w:szCs w:val="22"/>
        </w:rPr>
        <w:t>=</w:t>
      </w:r>
      <w:r w:rsidR="00636C11" w:rsidRPr="00823BDC">
        <w:rPr>
          <w:szCs w:val="22"/>
        </w:rPr>
        <w:t> </w:t>
      </w:r>
      <w:r w:rsidRPr="00823BDC">
        <w:rPr>
          <w:szCs w:val="22"/>
        </w:rPr>
        <w:t xml:space="preserve">2 404) boli s vyššou </w:t>
      </w:r>
      <w:proofErr w:type="spellStart"/>
      <w:r w:rsidRPr="00823BDC">
        <w:rPr>
          <w:szCs w:val="22"/>
        </w:rPr>
        <w:t>incidenciou</w:t>
      </w:r>
      <w:proofErr w:type="spellEnd"/>
      <w:r w:rsidRPr="00823BDC">
        <w:rPr>
          <w:szCs w:val="22"/>
        </w:rPr>
        <w:t xml:space="preserve"> ako pri placebe (</w:t>
      </w:r>
      <w:r w:rsidR="00726B3A" w:rsidRPr="00823BDC">
        <w:rPr>
          <w:szCs w:val="22"/>
        </w:rPr>
        <w:t>N</w:t>
      </w:r>
      <w:r w:rsidR="00636C11" w:rsidRPr="00823BDC">
        <w:rPr>
          <w:szCs w:val="22"/>
        </w:rPr>
        <w:t> </w:t>
      </w:r>
      <w:r w:rsidRPr="00823BDC">
        <w:rPr>
          <w:szCs w:val="22"/>
        </w:rPr>
        <w:t>=</w:t>
      </w:r>
      <w:r w:rsidR="00636C11" w:rsidRPr="00823BDC">
        <w:rPr>
          <w:szCs w:val="22"/>
        </w:rPr>
        <w:t> </w:t>
      </w:r>
      <w:r w:rsidRPr="00823BDC">
        <w:rPr>
          <w:szCs w:val="22"/>
        </w:rPr>
        <w:t>1 340) pozorované nasled</w:t>
      </w:r>
      <w:r w:rsidR="00157DE4" w:rsidRPr="00823BDC">
        <w:rPr>
          <w:szCs w:val="22"/>
        </w:rPr>
        <w:t>ujúce</w:t>
      </w:r>
      <w:r w:rsidRPr="00823BDC">
        <w:rPr>
          <w:szCs w:val="22"/>
        </w:rPr>
        <w:t xml:space="preserve"> nežiaduce reakcie.</w:t>
      </w:r>
    </w:p>
    <w:p w14:paraId="6A57E766" w14:textId="77777777" w:rsidR="000C7BD4" w:rsidRPr="00823BDC" w:rsidRDefault="000C7BD4">
      <w:pPr>
        <w:adjustRightInd w:val="0"/>
        <w:snapToGrid w:val="0"/>
        <w:rPr>
          <w:szCs w:val="22"/>
        </w:rPr>
      </w:pPr>
    </w:p>
    <w:p w14:paraId="49552CEA" w14:textId="4154405A" w:rsidR="006855DE" w:rsidRPr="00823BDC" w:rsidRDefault="006855DE">
      <w:pPr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 xml:space="preserve">Nežiaduce reakcie pri </w:t>
      </w:r>
      <w:proofErr w:type="spellStart"/>
      <w:r w:rsidRPr="00823BDC">
        <w:rPr>
          <w:b/>
          <w:szCs w:val="22"/>
        </w:rPr>
        <w:t>ezetimibe</w:t>
      </w:r>
      <w:proofErr w:type="spellEnd"/>
      <w:r w:rsidR="00E62E34" w:rsidRPr="00823BDC">
        <w:rPr>
          <w:b/>
          <w:szCs w:val="22"/>
        </w:rPr>
        <w:t>/</w:t>
      </w:r>
      <w:proofErr w:type="spellStart"/>
      <w:r w:rsidRPr="00823BDC">
        <w:rPr>
          <w:b/>
          <w:szCs w:val="22"/>
        </w:rPr>
        <w:t>simvastatíne</w:t>
      </w:r>
      <w:proofErr w:type="spellEnd"/>
      <w:r w:rsidRPr="00823BDC">
        <w:rPr>
          <w:b/>
          <w:szCs w:val="22"/>
        </w:rPr>
        <w:t xml:space="preserve"> vyskytujúce sa s vyššou </w:t>
      </w:r>
      <w:proofErr w:type="spellStart"/>
      <w:r w:rsidRPr="00823BDC">
        <w:rPr>
          <w:b/>
          <w:szCs w:val="22"/>
        </w:rPr>
        <w:t>incidenciou</w:t>
      </w:r>
      <w:proofErr w:type="spellEnd"/>
      <w:r w:rsidRPr="00823BDC">
        <w:rPr>
          <w:b/>
          <w:szCs w:val="22"/>
        </w:rPr>
        <w:t xml:space="preserve"> ako pri placebe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3599"/>
        <w:gridCol w:w="1686"/>
      </w:tblGrid>
      <w:tr w:rsidR="000C7BD4" w:rsidRPr="00823BDC" w14:paraId="1698146C" w14:textId="77777777" w:rsidTr="00D006D8">
        <w:trPr>
          <w:cantSplit/>
          <w:tblHeader/>
        </w:trPr>
        <w:tc>
          <w:tcPr>
            <w:tcW w:w="3139" w:type="dxa"/>
            <w:tcBorders>
              <w:top w:val="single" w:sz="12" w:space="0" w:color="auto"/>
            </w:tcBorders>
          </w:tcPr>
          <w:p w14:paraId="63A8E652" w14:textId="77777777" w:rsidR="000C7BD4" w:rsidRPr="00823BDC" w:rsidRDefault="000C7BD4">
            <w:pPr>
              <w:keepNext/>
              <w:rPr>
                <w:b/>
                <w:szCs w:val="22"/>
              </w:rPr>
            </w:pPr>
            <w:r w:rsidRPr="00823BDC">
              <w:rPr>
                <w:b/>
                <w:szCs w:val="22"/>
              </w:rPr>
              <w:t xml:space="preserve">Trieda </w:t>
            </w:r>
            <w:r w:rsidR="00D730BB" w:rsidRPr="00823BDC">
              <w:rPr>
                <w:b/>
                <w:szCs w:val="22"/>
              </w:rPr>
              <w:t>orgánov</w:t>
            </w:r>
            <w:r w:rsidR="00F57D50" w:rsidRPr="00823BDC">
              <w:rPr>
                <w:b/>
                <w:szCs w:val="22"/>
              </w:rPr>
              <w:t>ého</w:t>
            </w:r>
            <w:r w:rsidR="00D730BB" w:rsidRPr="00823BDC">
              <w:rPr>
                <w:b/>
                <w:szCs w:val="22"/>
              </w:rPr>
              <w:t xml:space="preserve"> systém</w:t>
            </w:r>
            <w:r w:rsidR="00F57D50" w:rsidRPr="00823BDC">
              <w:rPr>
                <w:b/>
                <w:szCs w:val="22"/>
              </w:rPr>
              <w:t>u</w:t>
            </w:r>
          </w:p>
        </w:tc>
        <w:tc>
          <w:tcPr>
            <w:tcW w:w="3599" w:type="dxa"/>
            <w:tcBorders>
              <w:top w:val="single" w:sz="12" w:space="0" w:color="auto"/>
            </w:tcBorders>
          </w:tcPr>
          <w:p w14:paraId="6198C568" w14:textId="77777777" w:rsidR="000C7BD4" w:rsidRPr="00823BDC" w:rsidRDefault="00D730BB">
            <w:pPr>
              <w:keepNext/>
              <w:rPr>
                <w:b/>
                <w:szCs w:val="22"/>
              </w:rPr>
            </w:pPr>
            <w:r w:rsidRPr="00823BDC">
              <w:rPr>
                <w:b/>
                <w:szCs w:val="22"/>
              </w:rPr>
              <w:t>Nežiaduc</w:t>
            </w:r>
            <w:r w:rsidR="00F7371E" w:rsidRPr="00823BDC">
              <w:rPr>
                <w:b/>
                <w:szCs w:val="22"/>
              </w:rPr>
              <w:t>e</w:t>
            </w:r>
            <w:r w:rsidRPr="00823BDC">
              <w:rPr>
                <w:b/>
                <w:szCs w:val="22"/>
              </w:rPr>
              <w:t xml:space="preserve"> reakci</w:t>
            </w:r>
            <w:r w:rsidR="00F7371E" w:rsidRPr="00823BDC">
              <w:rPr>
                <w:b/>
                <w:szCs w:val="22"/>
              </w:rPr>
              <w:t>e</w:t>
            </w:r>
          </w:p>
        </w:tc>
        <w:tc>
          <w:tcPr>
            <w:tcW w:w="1686" w:type="dxa"/>
            <w:tcBorders>
              <w:top w:val="single" w:sz="12" w:space="0" w:color="auto"/>
            </w:tcBorders>
          </w:tcPr>
          <w:p w14:paraId="3CDA1D05" w14:textId="77777777" w:rsidR="000C7BD4" w:rsidRPr="00823BDC" w:rsidRDefault="00D730BB">
            <w:pPr>
              <w:keepNext/>
              <w:rPr>
                <w:b/>
                <w:szCs w:val="22"/>
              </w:rPr>
            </w:pPr>
            <w:r w:rsidRPr="00823BDC">
              <w:rPr>
                <w:b/>
                <w:szCs w:val="22"/>
              </w:rPr>
              <w:t>Frekvencia</w:t>
            </w:r>
          </w:p>
        </w:tc>
      </w:tr>
      <w:tr w:rsidR="006855DE" w:rsidRPr="00823BDC" w14:paraId="461A59BF" w14:textId="77777777" w:rsidTr="00D006D8">
        <w:trPr>
          <w:cantSplit/>
        </w:trPr>
        <w:tc>
          <w:tcPr>
            <w:tcW w:w="3139" w:type="dxa"/>
          </w:tcPr>
          <w:p w14:paraId="63543146" w14:textId="77777777" w:rsidR="006855DE" w:rsidRPr="00823BDC" w:rsidRDefault="006855DE" w:rsidP="00F004C3">
            <w:pPr>
              <w:rPr>
                <w:szCs w:val="22"/>
              </w:rPr>
            </w:pPr>
            <w:r w:rsidRPr="00823BDC">
              <w:rPr>
                <w:szCs w:val="22"/>
              </w:rPr>
              <w:t>Psychické poruchy</w:t>
            </w:r>
          </w:p>
        </w:tc>
        <w:tc>
          <w:tcPr>
            <w:tcW w:w="3599" w:type="dxa"/>
          </w:tcPr>
          <w:p w14:paraId="2FF3338E" w14:textId="77777777" w:rsidR="006855DE" w:rsidRPr="00823BDC" w:rsidRDefault="006855DE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>porucha spánku</w:t>
            </w:r>
          </w:p>
        </w:tc>
        <w:tc>
          <w:tcPr>
            <w:tcW w:w="1686" w:type="dxa"/>
          </w:tcPr>
          <w:p w14:paraId="200DA25C" w14:textId="77777777" w:rsidR="006855DE" w:rsidRPr="00823BDC" w:rsidRDefault="006855DE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>menej časté</w:t>
            </w:r>
          </w:p>
        </w:tc>
      </w:tr>
      <w:tr w:rsidR="000C7BD4" w:rsidRPr="00823BDC" w14:paraId="3F57A845" w14:textId="77777777" w:rsidTr="00D006D8">
        <w:trPr>
          <w:cantSplit/>
        </w:trPr>
        <w:tc>
          <w:tcPr>
            <w:tcW w:w="3139" w:type="dxa"/>
          </w:tcPr>
          <w:p w14:paraId="7BF1C24F" w14:textId="77777777" w:rsidR="000C7BD4" w:rsidRPr="00823BDC" w:rsidRDefault="00D730BB" w:rsidP="00F004C3">
            <w:pPr>
              <w:rPr>
                <w:bCs/>
                <w:szCs w:val="22"/>
              </w:rPr>
            </w:pPr>
            <w:r w:rsidRPr="00823BDC">
              <w:rPr>
                <w:bCs/>
                <w:szCs w:val="22"/>
              </w:rPr>
              <w:t>Poruchy nervového systému</w:t>
            </w:r>
          </w:p>
        </w:tc>
        <w:tc>
          <w:tcPr>
            <w:tcW w:w="3599" w:type="dxa"/>
          </w:tcPr>
          <w:p w14:paraId="04B84D4F" w14:textId="583582AD" w:rsidR="006855DE" w:rsidRPr="00823BDC" w:rsidRDefault="00D730BB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závrat </w:t>
            </w:r>
          </w:p>
          <w:p w14:paraId="2D7A85E0" w14:textId="77777777" w:rsidR="000C7BD4" w:rsidRPr="00823BDC" w:rsidRDefault="00D730BB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>bolesť hlavy</w:t>
            </w:r>
          </w:p>
        </w:tc>
        <w:tc>
          <w:tcPr>
            <w:tcW w:w="1686" w:type="dxa"/>
          </w:tcPr>
          <w:p w14:paraId="506EA25D" w14:textId="77777777" w:rsidR="000C7BD4" w:rsidRPr="00823BDC" w:rsidRDefault="00D730BB" w:rsidP="000E2387">
            <w:pPr>
              <w:rPr>
                <w:szCs w:val="22"/>
              </w:rPr>
            </w:pPr>
            <w:r w:rsidRPr="00823BDC">
              <w:rPr>
                <w:bCs/>
                <w:iCs/>
                <w:szCs w:val="22"/>
              </w:rPr>
              <w:t>menej časté</w:t>
            </w:r>
          </w:p>
        </w:tc>
      </w:tr>
      <w:tr w:rsidR="000C7BD4" w:rsidRPr="00823BDC" w14:paraId="0D55D5D9" w14:textId="77777777" w:rsidTr="00D006D8">
        <w:trPr>
          <w:cantSplit/>
        </w:trPr>
        <w:tc>
          <w:tcPr>
            <w:tcW w:w="3139" w:type="dxa"/>
          </w:tcPr>
          <w:p w14:paraId="20DF3AC8" w14:textId="77777777" w:rsidR="000C7BD4" w:rsidRPr="00823BDC" w:rsidRDefault="00D730BB" w:rsidP="00F004C3">
            <w:pPr>
              <w:rPr>
                <w:szCs w:val="22"/>
              </w:rPr>
            </w:pPr>
            <w:r w:rsidRPr="00823BDC">
              <w:rPr>
                <w:bCs/>
                <w:szCs w:val="22"/>
              </w:rPr>
              <w:t>Poruchy gastrointestinálneho traktu</w:t>
            </w:r>
          </w:p>
        </w:tc>
        <w:tc>
          <w:tcPr>
            <w:tcW w:w="3599" w:type="dxa"/>
          </w:tcPr>
          <w:p w14:paraId="2EDECAB9" w14:textId="17E319B7" w:rsidR="006855DE" w:rsidRPr="00823BDC" w:rsidRDefault="00D730BB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bolesť brucha </w:t>
            </w:r>
          </w:p>
          <w:p w14:paraId="3413DA4C" w14:textId="7E5E4669" w:rsidR="006855DE" w:rsidRPr="00823BDC" w:rsidRDefault="00D730BB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abdominálny </w:t>
            </w:r>
            <w:proofErr w:type="spellStart"/>
            <w:r w:rsidRPr="00823BDC">
              <w:rPr>
                <w:szCs w:val="22"/>
              </w:rPr>
              <w:t>diskomfort</w:t>
            </w:r>
            <w:proofErr w:type="spellEnd"/>
            <w:r w:rsidRPr="00823BDC">
              <w:rPr>
                <w:szCs w:val="22"/>
              </w:rPr>
              <w:t xml:space="preserve"> </w:t>
            </w:r>
          </w:p>
          <w:p w14:paraId="78AA6D33" w14:textId="01C02E8C" w:rsidR="00E62E34" w:rsidRPr="00823BDC" w:rsidRDefault="00D730BB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bolesť v hornej časti brucha </w:t>
            </w:r>
          </w:p>
          <w:p w14:paraId="3D2C2454" w14:textId="44C662D6" w:rsidR="006855DE" w:rsidRPr="00823BDC" w:rsidRDefault="00D730BB" w:rsidP="000E2387">
            <w:pPr>
              <w:rPr>
                <w:szCs w:val="22"/>
              </w:rPr>
            </w:pPr>
            <w:proofErr w:type="spellStart"/>
            <w:r w:rsidRPr="00823BDC">
              <w:rPr>
                <w:szCs w:val="22"/>
              </w:rPr>
              <w:t>dyspepsia</w:t>
            </w:r>
            <w:proofErr w:type="spellEnd"/>
            <w:r w:rsidRPr="00823BDC">
              <w:rPr>
                <w:szCs w:val="22"/>
              </w:rPr>
              <w:t xml:space="preserve"> </w:t>
            </w:r>
          </w:p>
          <w:p w14:paraId="617A8C72" w14:textId="09CA8B82" w:rsidR="006855DE" w:rsidRPr="00823BDC" w:rsidRDefault="00D730BB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nadúvanie </w:t>
            </w:r>
          </w:p>
          <w:p w14:paraId="356ADAC4" w14:textId="3A56A396" w:rsidR="006855DE" w:rsidRPr="00823BDC" w:rsidRDefault="00D730BB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nevoľnosť </w:t>
            </w:r>
          </w:p>
          <w:p w14:paraId="5F575383" w14:textId="77777777" w:rsidR="000C7BD4" w:rsidRPr="00823BDC" w:rsidRDefault="00D730BB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>vracanie</w:t>
            </w:r>
          </w:p>
        </w:tc>
        <w:tc>
          <w:tcPr>
            <w:tcW w:w="1686" w:type="dxa"/>
          </w:tcPr>
          <w:p w14:paraId="342BBF47" w14:textId="77777777" w:rsidR="000C7BD4" w:rsidRPr="00823BDC" w:rsidRDefault="00D730BB" w:rsidP="000E2387">
            <w:pPr>
              <w:rPr>
                <w:szCs w:val="22"/>
              </w:rPr>
            </w:pPr>
            <w:r w:rsidRPr="00823BDC">
              <w:rPr>
                <w:bCs/>
                <w:iCs/>
                <w:szCs w:val="22"/>
              </w:rPr>
              <w:t>menej časté</w:t>
            </w:r>
          </w:p>
        </w:tc>
      </w:tr>
      <w:tr w:rsidR="000C7BD4" w:rsidRPr="00823BDC" w14:paraId="5D6A4074" w14:textId="77777777" w:rsidTr="00D006D8">
        <w:trPr>
          <w:cantSplit/>
        </w:trPr>
        <w:tc>
          <w:tcPr>
            <w:tcW w:w="3139" w:type="dxa"/>
          </w:tcPr>
          <w:p w14:paraId="30F98B26" w14:textId="77777777" w:rsidR="000C7BD4" w:rsidRPr="00823BDC" w:rsidRDefault="00D730BB" w:rsidP="00F004C3">
            <w:pPr>
              <w:rPr>
                <w:bCs/>
                <w:szCs w:val="22"/>
              </w:rPr>
            </w:pPr>
            <w:r w:rsidRPr="00823BDC">
              <w:rPr>
                <w:bCs/>
                <w:szCs w:val="22"/>
              </w:rPr>
              <w:t>Poruchy kože a podkožného tkaniva</w:t>
            </w:r>
          </w:p>
        </w:tc>
        <w:tc>
          <w:tcPr>
            <w:tcW w:w="3599" w:type="dxa"/>
          </w:tcPr>
          <w:p w14:paraId="705BF5D0" w14:textId="28CE9586" w:rsidR="006855DE" w:rsidRPr="00823BDC" w:rsidRDefault="003A00CC" w:rsidP="000E2387">
            <w:pPr>
              <w:rPr>
                <w:szCs w:val="22"/>
              </w:rPr>
            </w:pPr>
            <w:proofErr w:type="spellStart"/>
            <w:r w:rsidRPr="00823BDC">
              <w:rPr>
                <w:szCs w:val="22"/>
              </w:rPr>
              <w:t>pruritus</w:t>
            </w:r>
            <w:proofErr w:type="spellEnd"/>
            <w:r w:rsidRPr="00823BDC">
              <w:rPr>
                <w:szCs w:val="22"/>
              </w:rPr>
              <w:t xml:space="preserve"> </w:t>
            </w:r>
          </w:p>
          <w:p w14:paraId="12F21192" w14:textId="77777777" w:rsidR="000C7BD4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>vyrážka</w:t>
            </w:r>
          </w:p>
        </w:tc>
        <w:tc>
          <w:tcPr>
            <w:tcW w:w="1686" w:type="dxa"/>
          </w:tcPr>
          <w:p w14:paraId="6B98BBD1" w14:textId="77777777" w:rsidR="000C7BD4" w:rsidRPr="00823BDC" w:rsidRDefault="00D730BB" w:rsidP="000E2387">
            <w:pPr>
              <w:rPr>
                <w:szCs w:val="22"/>
              </w:rPr>
            </w:pPr>
            <w:r w:rsidRPr="00823BDC">
              <w:rPr>
                <w:bCs/>
                <w:iCs/>
                <w:szCs w:val="22"/>
              </w:rPr>
              <w:t>menej časté</w:t>
            </w:r>
          </w:p>
        </w:tc>
      </w:tr>
      <w:tr w:rsidR="000C7BD4" w:rsidRPr="00823BDC" w14:paraId="164257D5" w14:textId="77777777" w:rsidTr="00D006D8">
        <w:trPr>
          <w:cantSplit/>
        </w:trPr>
        <w:tc>
          <w:tcPr>
            <w:tcW w:w="3139" w:type="dxa"/>
          </w:tcPr>
          <w:p w14:paraId="503781F9" w14:textId="77777777" w:rsidR="000C7BD4" w:rsidRPr="00823BDC" w:rsidRDefault="00D730BB" w:rsidP="00F004C3">
            <w:pPr>
              <w:rPr>
                <w:szCs w:val="22"/>
              </w:rPr>
            </w:pPr>
            <w:r w:rsidRPr="00823BDC">
              <w:rPr>
                <w:bCs/>
                <w:szCs w:val="22"/>
              </w:rPr>
              <w:t>Poruchy kostrovej a svalovej sústavy a spojivového tkaniva</w:t>
            </w:r>
          </w:p>
        </w:tc>
        <w:tc>
          <w:tcPr>
            <w:tcW w:w="3599" w:type="dxa"/>
          </w:tcPr>
          <w:p w14:paraId="7C821382" w14:textId="184AFBF7" w:rsidR="006855DE" w:rsidRPr="00823BDC" w:rsidRDefault="003A00CC" w:rsidP="000E2387">
            <w:pPr>
              <w:rPr>
                <w:szCs w:val="22"/>
              </w:rPr>
            </w:pPr>
            <w:proofErr w:type="spellStart"/>
            <w:r w:rsidRPr="00823BDC">
              <w:rPr>
                <w:szCs w:val="22"/>
              </w:rPr>
              <w:t>artralgia</w:t>
            </w:r>
            <w:proofErr w:type="spellEnd"/>
            <w:r w:rsidRPr="00823BDC">
              <w:rPr>
                <w:szCs w:val="22"/>
              </w:rPr>
              <w:t xml:space="preserve"> </w:t>
            </w:r>
          </w:p>
          <w:p w14:paraId="25334B34" w14:textId="0FB0F4BF" w:rsidR="006855DE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svalové </w:t>
            </w:r>
            <w:proofErr w:type="spellStart"/>
            <w:r w:rsidRPr="00823BDC">
              <w:rPr>
                <w:szCs w:val="22"/>
              </w:rPr>
              <w:t>spazmy</w:t>
            </w:r>
            <w:proofErr w:type="spellEnd"/>
            <w:r w:rsidRPr="00823BDC">
              <w:rPr>
                <w:szCs w:val="22"/>
              </w:rPr>
              <w:t xml:space="preserve"> </w:t>
            </w:r>
          </w:p>
          <w:p w14:paraId="3BD8CFCD" w14:textId="12A9F7D7" w:rsidR="006855DE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svalová slabosť </w:t>
            </w:r>
          </w:p>
          <w:p w14:paraId="07A8B103" w14:textId="1D95AC47" w:rsidR="006855DE" w:rsidRPr="00823BDC" w:rsidRDefault="003A00CC" w:rsidP="000E2387">
            <w:pPr>
              <w:rPr>
                <w:szCs w:val="22"/>
              </w:rPr>
            </w:pPr>
            <w:proofErr w:type="spellStart"/>
            <w:r w:rsidRPr="00823BDC">
              <w:rPr>
                <w:szCs w:val="22"/>
              </w:rPr>
              <w:t>muskuloskeletárny</w:t>
            </w:r>
            <w:proofErr w:type="spellEnd"/>
            <w:r w:rsidRPr="00823BDC">
              <w:rPr>
                <w:szCs w:val="22"/>
              </w:rPr>
              <w:t xml:space="preserve"> </w:t>
            </w:r>
            <w:proofErr w:type="spellStart"/>
            <w:r w:rsidRPr="00823BDC">
              <w:rPr>
                <w:szCs w:val="22"/>
              </w:rPr>
              <w:t>diskomfort</w:t>
            </w:r>
            <w:proofErr w:type="spellEnd"/>
          </w:p>
          <w:p w14:paraId="6D9B62C7" w14:textId="11FEE9FA" w:rsidR="006855DE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bolesť krku </w:t>
            </w:r>
          </w:p>
          <w:p w14:paraId="7D297050" w14:textId="77777777" w:rsidR="000C7BD4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>bolesť v končatine</w:t>
            </w:r>
          </w:p>
        </w:tc>
        <w:tc>
          <w:tcPr>
            <w:tcW w:w="1686" w:type="dxa"/>
          </w:tcPr>
          <w:p w14:paraId="39C6AF5D" w14:textId="77777777" w:rsidR="000C7BD4" w:rsidRPr="00823BDC" w:rsidRDefault="00D730BB" w:rsidP="000E2387">
            <w:pPr>
              <w:rPr>
                <w:szCs w:val="22"/>
              </w:rPr>
            </w:pPr>
            <w:r w:rsidRPr="00823BDC">
              <w:rPr>
                <w:bCs/>
                <w:iCs/>
                <w:szCs w:val="22"/>
              </w:rPr>
              <w:t>menej časté</w:t>
            </w:r>
          </w:p>
        </w:tc>
      </w:tr>
      <w:tr w:rsidR="000C7BD4" w:rsidRPr="00823BDC" w14:paraId="540BEB74" w14:textId="77777777" w:rsidTr="00D006D8">
        <w:trPr>
          <w:cantSplit/>
        </w:trPr>
        <w:tc>
          <w:tcPr>
            <w:tcW w:w="3139" w:type="dxa"/>
          </w:tcPr>
          <w:p w14:paraId="0A304014" w14:textId="77777777" w:rsidR="000C7BD4" w:rsidRPr="00823BDC" w:rsidRDefault="00D730BB" w:rsidP="00F004C3">
            <w:pPr>
              <w:rPr>
                <w:szCs w:val="22"/>
              </w:rPr>
            </w:pPr>
            <w:r w:rsidRPr="00823BDC">
              <w:rPr>
                <w:szCs w:val="22"/>
              </w:rPr>
              <w:t>Celkové poruchy a reakcie v mieste podania</w:t>
            </w:r>
          </w:p>
        </w:tc>
        <w:tc>
          <w:tcPr>
            <w:tcW w:w="3599" w:type="dxa"/>
          </w:tcPr>
          <w:p w14:paraId="7816ED7E" w14:textId="7B62C88D" w:rsidR="000573F9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asténia </w:t>
            </w:r>
          </w:p>
          <w:p w14:paraId="22A1FDC0" w14:textId="17B4B3EC" w:rsidR="000573F9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únava </w:t>
            </w:r>
          </w:p>
          <w:p w14:paraId="3B9075B5" w14:textId="0A673164" w:rsidR="000573F9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nepokoj </w:t>
            </w:r>
          </w:p>
          <w:p w14:paraId="30007B1E" w14:textId="77777777" w:rsidR="000C7BD4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>periférny edém</w:t>
            </w:r>
          </w:p>
        </w:tc>
        <w:tc>
          <w:tcPr>
            <w:tcW w:w="1686" w:type="dxa"/>
          </w:tcPr>
          <w:p w14:paraId="1D8009FD" w14:textId="77777777" w:rsidR="000C7BD4" w:rsidRPr="00CD10F1" w:rsidRDefault="00E7249C" w:rsidP="000E2387">
            <w:pPr>
              <w:rPr>
                <w:szCs w:val="22"/>
              </w:rPr>
            </w:pPr>
            <w:r w:rsidRPr="00530542">
              <w:rPr>
                <w:bCs/>
                <w:iCs/>
                <w:noProof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77C165" wp14:editId="0F4342BF">
                      <wp:simplePos x="0" y="0"/>
                      <wp:positionH relativeFrom="margin">
                        <wp:posOffset>5577840</wp:posOffset>
                      </wp:positionH>
                      <wp:positionV relativeFrom="paragraph">
                        <wp:posOffset>262255</wp:posOffset>
                      </wp:positionV>
                      <wp:extent cx="3383280" cy="914400"/>
                      <wp:effectExtent l="3175" t="1905" r="444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8AF364" w14:textId="77777777" w:rsidR="001D33A1" w:rsidRDefault="001D33A1" w:rsidP="000C7BD4"/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7C1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39.2pt;margin-top:20.65pt;width:266.4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" filled="f" stroked="f">
                      <v:textbox inset="2pt,2pt,2pt,2pt">
                        <w:txbxContent>
                          <w:p w14:paraId="5B8AF364" w14:textId="77777777" w:rsidR="001D33A1" w:rsidRDefault="001D33A1" w:rsidP="000C7BD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730BB" w:rsidRPr="00530542">
              <w:rPr>
                <w:bCs/>
                <w:iCs/>
                <w:szCs w:val="22"/>
              </w:rPr>
              <w:t>menej časté</w:t>
            </w:r>
          </w:p>
        </w:tc>
      </w:tr>
      <w:tr w:rsidR="006855DE" w:rsidRPr="00823BDC" w14:paraId="213CDE57" w14:textId="77777777" w:rsidTr="00B01668">
        <w:trPr>
          <w:cantSplit/>
        </w:trPr>
        <w:tc>
          <w:tcPr>
            <w:tcW w:w="3139" w:type="dxa"/>
            <w:vMerge w:val="restart"/>
          </w:tcPr>
          <w:p w14:paraId="685491FC" w14:textId="77777777" w:rsidR="006855DE" w:rsidRPr="00823BDC" w:rsidRDefault="006855DE" w:rsidP="00F004C3">
            <w:pPr>
              <w:keepNext/>
              <w:rPr>
                <w:szCs w:val="22"/>
              </w:rPr>
            </w:pPr>
            <w:r w:rsidRPr="00823BDC">
              <w:rPr>
                <w:szCs w:val="22"/>
              </w:rPr>
              <w:t>Laboratórne a funkčné vyšetrenia</w:t>
            </w:r>
          </w:p>
        </w:tc>
        <w:tc>
          <w:tcPr>
            <w:tcW w:w="3599" w:type="dxa"/>
          </w:tcPr>
          <w:p w14:paraId="0F717061" w14:textId="33DE75D6" w:rsidR="000573F9" w:rsidRPr="00823BDC" w:rsidRDefault="006855DE" w:rsidP="000E2387">
            <w:pPr>
              <w:keepNext/>
              <w:rPr>
                <w:szCs w:val="22"/>
              </w:rPr>
            </w:pPr>
            <w:r w:rsidRPr="00823BDC">
              <w:rPr>
                <w:szCs w:val="22"/>
              </w:rPr>
              <w:t xml:space="preserve">zvýšenie ALT a/alebo AST </w:t>
            </w:r>
          </w:p>
          <w:p w14:paraId="0DF0E812" w14:textId="77777777" w:rsidR="006855DE" w:rsidRPr="00823BDC" w:rsidRDefault="006855DE" w:rsidP="000E2387">
            <w:pPr>
              <w:keepNext/>
              <w:rPr>
                <w:szCs w:val="22"/>
              </w:rPr>
            </w:pPr>
            <w:r w:rsidRPr="00823BDC">
              <w:rPr>
                <w:szCs w:val="22"/>
              </w:rPr>
              <w:t>zvýšenie CK v krvi</w:t>
            </w:r>
          </w:p>
        </w:tc>
        <w:tc>
          <w:tcPr>
            <w:tcW w:w="1686" w:type="dxa"/>
          </w:tcPr>
          <w:p w14:paraId="6E03C22B" w14:textId="77777777" w:rsidR="006855DE" w:rsidRPr="00823BDC" w:rsidRDefault="006855DE" w:rsidP="000E2387">
            <w:pPr>
              <w:keepNext/>
              <w:rPr>
                <w:szCs w:val="22"/>
              </w:rPr>
            </w:pPr>
            <w:r w:rsidRPr="00823BDC">
              <w:rPr>
                <w:bCs/>
                <w:iCs/>
                <w:szCs w:val="22"/>
              </w:rPr>
              <w:t>časté</w:t>
            </w:r>
          </w:p>
        </w:tc>
      </w:tr>
      <w:tr w:rsidR="006855DE" w:rsidRPr="00823BDC" w14:paraId="410BFD34" w14:textId="77777777" w:rsidTr="00B01668">
        <w:trPr>
          <w:cantSplit/>
        </w:trPr>
        <w:tc>
          <w:tcPr>
            <w:tcW w:w="3139" w:type="dxa"/>
            <w:vMerge/>
          </w:tcPr>
          <w:p w14:paraId="372A66AE" w14:textId="77777777" w:rsidR="006855DE" w:rsidRPr="00823BDC" w:rsidRDefault="006855DE">
            <w:pPr>
              <w:rPr>
                <w:szCs w:val="22"/>
              </w:rPr>
            </w:pPr>
          </w:p>
        </w:tc>
        <w:tc>
          <w:tcPr>
            <w:tcW w:w="3599" w:type="dxa"/>
          </w:tcPr>
          <w:p w14:paraId="70B1E817" w14:textId="785B6888" w:rsidR="000573F9" w:rsidRPr="00823BDC" w:rsidRDefault="006855DE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zvýšenie bilirubínu v krvi </w:t>
            </w:r>
          </w:p>
          <w:p w14:paraId="7421B41C" w14:textId="65C628C8" w:rsidR="00D50A44" w:rsidRPr="00823BDC" w:rsidRDefault="006855DE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zvýšenie kyseliny močovej v krvi </w:t>
            </w:r>
          </w:p>
          <w:p w14:paraId="4C079CD1" w14:textId="7E1778C3" w:rsidR="00D50A44" w:rsidRPr="00823BDC" w:rsidRDefault="006855DE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zvýšenie </w:t>
            </w:r>
            <w:proofErr w:type="spellStart"/>
            <w:r w:rsidRPr="00823BDC">
              <w:rPr>
                <w:szCs w:val="22"/>
              </w:rPr>
              <w:t>gamaglutamyltransferázy</w:t>
            </w:r>
            <w:proofErr w:type="spellEnd"/>
            <w:r w:rsidRPr="00823BDC">
              <w:rPr>
                <w:szCs w:val="22"/>
              </w:rPr>
              <w:t xml:space="preserve"> </w:t>
            </w:r>
          </w:p>
          <w:p w14:paraId="5B17E780" w14:textId="6580D78F" w:rsidR="00691F58" w:rsidRPr="00823BDC" w:rsidRDefault="006855DE">
            <w:pPr>
              <w:rPr>
                <w:szCs w:val="22"/>
              </w:rPr>
            </w:pPr>
            <w:r w:rsidRPr="00823BDC">
              <w:rPr>
                <w:szCs w:val="22"/>
              </w:rPr>
              <w:t>zvýšenie medzinárodného normalizovaného pomeru (</w:t>
            </w:r>
            <w:proofErr w:type="spellStart"/>
            <w:r w:rsidRPr="00823BDC">
              <w:rPr>
                <w:szCs w:val="22"/>
              </w:rPr>
              <w:t>international</w:t>
            </w:r>
            <w:proofErr w:type="spellEnd"/>
            <w:r w:rsidRPr="00823BDC">
              <w:rPr>
                <w:szCs w:val="22"/>
              </w:rPr>
              <w:t xml:space="preserve"> </w:t>
            </w:r>
            <w:proofErr w:type="spellStart"/>
            <w:r w:rsidRPr="00823BDC">
              <w:rPr>
                <w:szCs w:val="22"/>
              </w:rPr>
              <w:t>normalized</w:t>
            </w:r>
            <w:proofErr w:type="spellEnd"/>
            <w:r w:rsidRPr="00823BDC">
              <w:rPr>
                <w:szCs w:val="22"/>
              </w:rPr>
              <w:t xml:space="preserve"> </w:t>
            </w:r>
            <w:proofErr w:type="spellStart"/>
            <w:r w:rsidRPr="00823BDC">
              <w:rPr>
                <w:szCs w:val="22"/>
              </w:rPr>
              <w:t>ratio</w:t>
            </w:r>
            <w:proofErr w:type="spellEnd"/>
            <w:r w:rsidRPr="00823BDC">
              <w:rPr>
                <w:szCs w:val="22"/>
              </w:rPr>
              <w:t xml:space="preserve">) </w:t>
            </w:r>
          </w:p>
          <w:p w14:paraId="3F18F0B8" w14:textId="1ADA7992" w:rsidR="00691F58" w:rsidRPr="00823BDC" w:rsidRDefault="006855DE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prítomnosť bielkoviny v moči </w:t>
            </w:r>
          </w:p>
          <w:p w14:paraId="3AD786CE" w14:textId="77777777" w:rsidR="006855DE" w:rsidRPr="00823BDC" w:rsidRDefault="006855DE">
            <w:pPr>
              <w:rPr>
                <w:szCs w:val="22"/>
              </w:rPr>
            </w:pPr>
            <w:r w:rsidRPr="00823BDC">
              <w:rPr>
                <w:szCs w:val="22"/>
              </w:rPr>
              <w:t>zníženie hmotnosti</w:t>
            </w:r>
          </w:p>
        </w:tc>
        <w:tc>
          <w:tcPr>
            <w:tcW w:w="1686" w:type="dxa"/>
          </w:tcPr>
          <w:p w14:paraId="795B5D02" w14:textId="77777777" w:rsidR="006855DE" w:rsidRPr="00823BDC" w:rsidRDefault="006855DE">
            <w:pPr>
              <w:rPr>
                <w:bCs/>
                <w:iCs/>
                <w:szCs w:val="22"/>
              </w:rPr>
            </w:pPr>
            <w:r w:rsidRPr="00823BDC">
              <w:rPr>
                <w:bCs/>
                <w:iCs/>
                <w:szCs w:val="22"/>
              </w:rPr>
              <w:t>menej časté</w:t>
            </w:r>
          </w:p>
        </w:tc>
      </w:tr>
    </w:tbl>
    <w:p w14:paraId="03FD87E4" w14:textId="77777777" w:rsidR="000C7BD4" w:rsidRPr="00823BDC" w:rsidRDefault="000C7BD4" w:rsidP="00F004C3">
      <w:pPr>
        <w:rPr>
          <w:szCs w:val="22"/>
        </w:rPr>
      </w:pPr>
    </w:p>
    <w:p w14:paraId="3052DAB2" w14:textId="77777777" w:rsidR="000C7BD4" w:rsidRPr="00823BDC" w:rsidRDefault="000C7BD4" w:rsidP="000E2387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U pacientov liečených </w:t>
      </w:r>
      <w:proofErr w:type="spellStart"/>
      <w:r w:rsidR="000573F9" w:rsidRPr="00823BDC">
        <w:rPr>
          <w:szCs w:val="22"/>
        </w:rPr>
        <w:t>ezetimibom</w:t>
      </w:r>
      <w:proofErr w:type="spellEnd"/>
      <w:r w:rsidR="000573F9" w:rsidRPr="00823BDC">
        <w:rPr>
          <w:szCs w:val="22"/>
        </w:rPr>
        <w:t xml:space="preserve"> a </w:t>
      </w:r>
      <w:proofErr w:type="spellStart"/>
      <w:r w:rsidR="000573F9"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(</w:t>
      </w:r>
      <w:r w:rsidR="00726B3A" w:rsidRPr="00823BDC">
        <w:rPr>
          <w:szCs w:val="22"/>
        </w:rPr>
        <w:t>N</w:t>
      </w:r>
      <w:r w:rsidR="00636C11" w:rsidRPr="00823BDC">
        <w:rPr>
          <w:szCs w:val="22"/>
        </w:rPr>
        <w:t> </w:t>
      </w:r>
      <w:r w:rsidRPr="00823BDC">
        <w:rPr>
          <w:szCs w:val="22"/>
        </w:rPr>
        <w:t>=</w:t>
      </w:r>
      <w:r w:rsidR="00636C11" w:rsidRPr="00823BDC">
        <w:rPr>
          <w:szCs w:val="22"/>
        </w:rPr>
        <w:t> </w:t>
      </w:r>
      <w:r w:rsidRPr="00823BDC">
        <w:rPr>
          <w:szCs w:val="22"/>
        </w:rPr>
        <w:t xml:space="preserve">9 595) boli s vyššou </w:t>
      </w:r>
      <w:proofErr w:type="spellStart"/>
      <w:r w:rsidRPr="00823BDC">
        <w:rPr>
          <w:szCs w:val="22"/>
        </w:rPr>
        <w:t>incidenciou</w:t>
      </w:r>
      <w:proofErr w:type="spellEnd"/>
      <w:r w:rsidRPr="00823BDC">
        <w:rPr>
          <w:szCs w:val="22"/>
        </w:rPr>
        <w:t xml:space="preserve"> ako pri samostatne podávaných </w:t>
      </w:r>
      <w:proofErr w:type="spellStart"/>
      <w:r w:rsidRPr="00823BDC">
        <w:rPr>
          <w:szCs w:val="22"/>
        </w:rPr>
        <w:t>statínoch</w:t>
      </w:r>
      <w:proofErr w:type="spellEnd"/>
      <w:r w:rsidRPr="00823BDC">
        <w:rPr>
          <w:szCs w:val="22"/>
        </w:rPr>
        <w:t xml:space="preserve"> (</w:t>
      </w:r>
      <w:r w:rsidR="00726B3A" w:rsidRPr="00823BDC">
        <w:rPr>
          <w:szCs w:val="22"/>
        </w:rPr>
        <w:t>N</w:t>
      </w:r>
      <w:r w:rsidR="00636C11" w:rsidRPr="00823BDC">
        <w:rPr>
          <w:szCs w:val="22"/>
        </w:rPr>
        <w:t> </w:t>
      </w:r>
      <w:r w:rsidRPr="00823BDC">
        <w:rPr>
          <w:szCs w:val="22"/>
        </w:rPr>
        <w:t>=</w:t>
      </w:r>
      <w:r w:rsidR="00636C11" w:rsidRPr="00823BDC">
        <w:rPr>
          <w:szCs w:val="22"/>
        </w:rPr>
        <w:t> </w:t>
      </w:r>
      <w:r w:rsidRPr="00823BDC">
        <w:rPr>
          <w:szCs w:val="22"/>
        </w:rPr>
        <w:t>8 883) pozorované nasled</w:t>
      </w:r>
      <w:r w:rsidR="00157DE4" w:rsidRPr="00823BDC">
        <w:rPr>
          <w:szCs w:val="22"/>
        </w:rPr>
        <w:t>ujúce</w:t>
      </w:r>
      <w:r w:rsidRPr="00823BDC">
        <w:rPr>
          <w:szCs w:val="22"/>
        </w:rPr>
        <w:t xml:space="preserve"> nežiaduce reakcie.</w:t>
      </w:r>
    </w:p>
    <w:p w14:paraId="759CA039" w14:textId="77777777" w:rsidR="003A00CC" w:rsidRPr="00823BDC" w:rsidRDefault="003A00CC" w:rsidP="000E2387">
      <w:pPr>
        <w:rPr>
          <w:szCs w:val="22"/>
        </w:rPr>
      </w:pPr>
    </w:p>
    <w:p w14:paraId="14BBA871" w14:textId="4A7689BD" w:rsidR="000573F9" w:rsidRPr="00823BDC" w:rsidRDefault="000573F9" w:rsidP="000E2387">
      <w:pPr>
        <w:rPr>
          <w:b/>
          <w:szCs w:val="22"/>
        </w:rPr>
      </w:pPr>
      <w:r w:rsidRPr="00823BDC">
        <w:rPr>
          <w:b/>
          <w:szCs w:val="22"/>
        </w:rPr>
        <w:t xml:space="preserve">Nežiaduce reakcie pri </w:t>
      </w:r>
      <w:proofErr w:type="spellStart"/>
      <w:r w:rsidRPr="00823BDC">
        <w:rPr>
          <w:b/>
          <w:szCs w:val="22"/>
        </w:rPr>
        <w:t>ezetimibe</w:t>
      </w:r>
      <w:proofErr w:type="spellEnd"/>
      <w:r w:rsidR="00691F58" w:rsidRPr="00823BDC">
        <w:rPr>
          <w:b/>
          <w:szCs w:val="22"/>
        </w:rPr>
        <w:t>/</w:t>
      </w:r>
      <w:proofErr w:type="spellStart"/>
      <w:r w:rsidRPr="00823BDC">
        <w:rPr>
          <w:b/>
          <w:szCs w:val="22"/>
        </w:rPr>
        <w:t>simvastatíne</w:t>
      </w:r>
      <w:proofErr w:type="spellEnd"/>
      <w:r w:rsidRPr="00823BDC">
        <w:rPr>
          <w:b/>
          <w:szCs w:val="22"/>
        </w:rPr>
        <w:t xml:space="preserve"> vyskytujúce sa s vyššou </w:t>
      </w:r>
      <w:proofErr w:type="spellStart"/>
      <w:r w:rsidRPr="00823BDC">
        <w:rPr>
          <w:b/>
          <w:szCs w:val="22"/>
        </w:rPr>
        <w:t>incidenciou</w:t>
      </w:r>
      <w:proofErr w:type="spellEnd"/>
      <w:r w:rsidRPr="00823BDC">
        <w:rPr>
          <w:b/>
          <w:szCs w:val="22"/>
        </w:rPr>
        <w:t xml:space="preserve"> ako pri </w:t>
      </w:r>
      <w:proofErr w:type="spellStart"/>
      <w:r w:rsidRPr="00823BDC">
        <w:rPr>
          <w:b/>
          <w:szCs w:val="22"/>
        </w:rPr>
        <w:t>statínoch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3599"/>
        <w:gridCol w:w="1686"/>
      </w:tblGrid>
      <w:tr w:rsidR="003A00CC" w:rsidRPr="00823BDC" w14:paraId="64D132E3" w14:textId="77777777" w:rsidTr="00D006D8">
        <w:trPr>
          <w:cantSplit/>
          <w:tblHeader/>
        </w:trPr>
        <w:tc>
          <w:tcPr>
            <w:tcW w:w="3139" w:type="dxa"/>
            <w:tcBorders>
              <w:top w:val="single" w:sz="12" w:space="0" w:color="auto"/>
            </w:tcBorders>
          </w:tcPr>
          <w:p w14:paraId="7E39A2BB" w14:textId="77777777" w:rsidR="003A00CC" w:rsidRPr="00823BDC" w:rsidRDefault="003A00CC" w:rsidP="005332CD">
            <w:pPr>
              <w:keepNext/>
              <w:rPr>
                <w:b/>
                <w:szCs w:val="22"/>
              </w:rPr>
            </w:pPr>
            <w:r w:rsidRPr="00823BDC">
              <w:rPr>
                <w:b/>
                <w:szCs w:val="22"/>
              </w:rPr>
              <w:t>Trieda orgánov</w:t>
            </w:r>
            <w:r w:rsidR="00F57D50" w:rsidRPr="00823BDC">
              <w:rPr>
                <w:b/>
                <w:szCs w:val="22"/>
              </w:rPr>
              <w:t>ého</w:t>
            </w:r>
            <w:r w:rsidRPr="00823BDC">
              <w:rPr>
                <w:b/>
                <w:szCs w:val="22"/>
              </w:rPr>
              <w:t xml:space="preserve"> systém</w:t>
            </w:r>
            <w:r w:rsidR="00F57D50" w:rsidRPr="00823BDC">
              <w:rPr>
                <w:b/>
                <w:szCs w:val="22"/>
              </w:rPr>
              <w:t>u</w:t>
            </w:r>
          </w:p>
        </w:tc>
        <w:tc>
          <w:tcPr>
            <w:tcW w:w="3599" w:type="dxa"/>
            <w:tcBorders>
              <w:top w:val="single" w:sz="12" w:space="0" w:color="auto"/>
            </w:tcBorders>
          </w:tcPr>
          <w:p w14:paraId="0424DC2B" w14:textId="77777777" w:rsidR="003A00CC" w:rsidRPr="00823BDC" w:rsidRDefault="003A00CC">
            <w:pPr>
              <w:keepNext/>
              <w:rPr>
                <w:b/>
                <w:szCs w:val="22"/>
              </w:rPr>
            </w:pPr>
            <w:r w:rsidRPr="00823BDC">
              <w:rPr>
                <w:b/>
                <w:szCs w:val="22"/>
              </w:rPr>
              <w:t>Nežiaduc</w:t>
            </w:r>
            <w:r w:rsidR="006147B2" w:rsidRPr="00823BDC">
              <w:rPr>
                <w:b/>
                <w:szCs w:val="22"/>
              </w:rPr>
              <w:t>e</w:t>
            </w:r>
            <w:r w:rsidRPr="00823BDC">
              <w:rPr>
                <w:b/>
                <w:szCs w:val="22"/>
              </w:rPr>
              <w:t xml:space="preserve"> reakci</w:t>
            </w:r>
            <w:r w:rsidR="006147B2" w:rsidRPr="00823BDC">
              <w:rPr>
                <w:b/>
                <w:szCs w:val="22"/>
              </w:rPr>
              <w:t>e</w:t>
            </w:r>
          </w:p>
        </w:tc>
        <w:tc>
          <w:tcPr>
            <w:tcW w:w="1686" w:type="dxa"/>
            <w:tcBorders>
              <w:top w:val="single" w:sz="12" w:space="0" w:color="auto"/>
            </w:tcBorders>
          </w:tcPr>
          <w:p w14:paraId="151F1765" w14:textId="77777777" w:rsidR="003A00CC" w:rsidRPr="00823BDC" w:rsidRDefault="003A00CC">
            <w:pPr>
              <w:keepNext/>
              <w:rPr>
                <w:b/>
                <w:szCs w:val="22"/>
              </w:rPr>
            </w:pPr>
            <w:r w:rsidRPr="00823BDC">
              <w:rPr>
                <w:b/>
                <w:szCs w:val="22"/>
              </w:rPr>
              <w:t>Frekvencia</w:t>
            </w:r>
          </w:p>
        </w:tc>
      </w:tr>
      <w:tr w:rsidR="000573F9" w:rsidRPr="00823BDC" w14:paraId="7539194A" w14:textId="77777777" w:rsidTr="00D006D8">
        <w:trPr>
          <w:cantSplit/>
        </w:trPr>
        <w:tc>
          <w:tcPr>
            <w:tcW w:w="3139" w:type="dxa"/>
          </w:tcPr>
          <w:p w14:paraId="489A2D51" w14:textId="77777777" w:rsidR="000573F9" w:rsidRPr="00823BDC" w:rsidRDefault="000573F9" w:rsidP="00F004C3">
            <w:pPr>
              <w:rPr>
                <w:szCs w:val="22"/>
              </w:rPr>
            </w:pPr>
            <w:r w:rsidRPr="00823BDC">
              <w:rPr>
                <w:szCs w:val="22"/>
              </w:rPr>
              <w:t>Psychické poruchy</w:t>
            </w:r>
          </w:p>
        </w:tc>
        <w:tc>
          <w:tcPr>
            <w:tcW w:w="3599" w:type="dxa"/>
          </w:tcPr>
          <w:p w14:paraId="5DC96A1F" w14:textId="77777777" w:rsidR="000573F9" w:rsidRPr="00823BDC" w:rsidRDefault="000573F9" w:rsidP="000E2387">
            <w:pPr>
              <w:rPr>
                <w:szCs w:val="22"/>
              </w:rPr>
            </w:pPr>
            <w:proofErr w:type="spellStart"/>
            <w:r w:rsidRPr="00823BDC">
              <w:rPr>
                <w:szCs w:val="22"/>
              </w:rPr>
              <w:t>insomnia</w:t>
            </w:r>
            <w:proofErr w:type="spellEnd"/>
          </w:p>
        </w:tc>
        <w:tc>
          <w:tcPr>
            <w:tcW w:w="1686" w:type="dxa"/>
          </w:tcPr>
          <w:p w14:paraId="12F8FE1B" w14:textId="77777777" w:rsidR="000573F9" w:rsidRPr="00823BDC" w:rsidRDefault="000573F9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>menej časté</w:t>
            </w:r>
          </w:p>
        </w:tc>
      </w:tr>
      <w:tr w:rsidR="003A00CC" w:rsidRPr="00823BDC" w14:paraId="69998DCF" w14:textId="77777777" w:rsidTr="00D006D8">
        <w:trPr>
          <w:cantSplit/>
        </w:trPr>
        <w:tc>
          <w:tcPr>
            <w:tcW w:w="3139" w:type="dxa"/>
          </w:tcPr>
          <w:p w14:paraId="2A8C10AA" w14:textId="77777777" w:rsidR="003A00CC" w:rsidRPr="00823BDC" w:rsidRDefault="003A00CC" w:rsidP="00F004C3">
            <w:pPr>
              <w:rPr>
                <w:bCs/>
                <w:szCs w:val="22"/>
              </w:rPr>
            </w:pPr>
            <w:r w:rsidRPr="00823BDC">
              <w:rPr>
                <w:bCs/>
                <w:szCs w:val="22"/>
              </w:rPr>
              <w:t>Poruchy nervového systému</w:t>
            </w:r>
          </w:p>
        </w:tc>
        <w:tc>
          <w:tcPr>
            <w:tcW w:w="3599" w:type="dxa"/>
          </w:tcPr>
          <w:p w14:paraId="5A680912" w14:textId="408EFE3D" w:rsidR="000573F9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>bolesť hlavy</w:t>
            </w:r>
          </w:p>
          <w:p w14:paraId="6430E409" w14:textId="77777777" w:rsidR="003A00CC" w:rsidRPr="00823BDC" w:rsidRDefault="003A00CC" w:rsidP="000E2387">
            <w:pPr>
              <w:rPr>
                <w:szCs w:val="22"/>
              </w:rPr>
            </w:pPr>
            <w:proofErr w:type="spellStart"/>
            <w:r w:rsidRPr="00823BDC">
              <w:rPr>
                <w:szCs w:val="22"/>
              </w:rPr>
              <w:t>parestézi</w:t>
            </w:r>
            <w:r w:rsidR="00F7371E" w:rsidRPr="00823BDC">
              <w:rPr>
                <w:szCs w:val="22"/>
              </w:rPr>
              <w:t>e</w:t>
            </w:r>
            <w:proofErr w:type="spellEnd"/>
          </w:p>
        </w:tc>
        <w:tc>
          <w:tcPr>
            <w:tcW w:w="1686" w:type="dxa"/>
          </w:tcPr>
          <w:p w14:paraId="42A907B5" w14:textId="77777777" w:rsidR="003A00CC" w:rsidRPr="00823BDC" w:rsidRDefault="003A00CC" w:rsidP="000E2387">
            <w:pPr>
              <w:rPr>
                <w:szCs w:val="22"/>
              </w:rPr>
            </w:pPr>
            <w:r w:rsidRPr="00823BDC">
              <w:rPr>
                <w:bCs/>
                <w:iCs/>
                <w:szCs w:val="22"/>
              </w:rPr>
              <w:t>menej časté</w:t>
            </w:r>
          </w:p>
        </w:tc>
      </w:tr>
      <w:tr w:rsidR="003A00CC" w:rsidRPr="00823BDC" w14:paraId="18777918" w14:textId="77777777" w:rsidTr="00D006D8">
        <w:trPr>
          <w:cantSplit/>
        </w:trPr>
        <w:tc>
          <w:tcPr>
            <w:tcW w:w="3139" w:type="dxa"/>
          </w:tcPr>
          <w:p w14:paraId="42E21CFC" w14:textId="77777777" w:rsidR="003A00CC" w:rsidRPr="00823BDC" w:rsidRDefault="003A00CC" w:rsidP="00F004C3">
            <w:pPr>
              <w:rPr>
                <w:szCs w:val="22"/>
              </w:rPr>
            </w:pPr>
            <w:r w:rsidRPr="00823BDC">
              <w:rPr>
                <w:bCs/>
                <w:szCs w:val="22"/>
              </w:rPr>
              <w:lastRenderedPageBreak/>
              <w:t>Poruchy gastrointestinálneho traktu</w:t>
            </w:r>
          </w:p>
        </w:tc>
        <w:tc>
          <w:tcPr>
            <w:tcW w:w="3599" w:type="dxa"/>
          </w:tcPr>
          <w:p w14:paraId="777EC0C4" w14:textId="48BC3730" w:rsidR="000573F9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abdominálna </w:t>
            </w:r>
            <w:proofErr w:type="spellStart"/>
            <w:r w:rsidRPr="00823BDC">
              <w:rPr>
                <w:szCs w:val="22"/>
              </w:rPr>
              <w:t>distenzia</w:t>
            </w:r>
            <w:proofErr w:type="spellEnd"/>
            <w:r w:rsidRPr="00823BDC">
              <w:rPr>
                <w:szCs w:val="22"/>
              </w:rPr>
              <w:t xml:space="preserve"> </w:t>
            </w:r>
          </w:p>
          <w:p w14:paraId="54B61B82" w14:textId="779DFBC9" w:rsidR="000573F9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hnačka </w:t>
            </w:r>
          </w:p>
          <w:p w14:paraId="694A3140" w14:textId="02D13593" w:rsidR="000573F9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sucho v ústach </w:t>
            </w:r>
          </w:p>
          <w:p w14:paraId="5E505B16" w14:textId="2F00FD14" w:rsidR="000573F9" w:rsidRPr="00823BDC" w:rsidRDefault="003A00CC" w:rsidP="000E2387">
            <w:pPr>
              <w:rPr>
                <w:szCs w:val="22"/>
              </w:rPr>
            </w:pPr>
            <w:proofErr w:type="spellStart"/>
            <w:r w:rsidRPr="00823BDC">
              <w:rPr>
                <w:szCs w:val="22"/>
              </w:rPr>
              <w:t>dyspepsia</w:t>
            </w:r>
            <w:proofErr w:type="spellEnd"/>
            <w:r w:rsidRPr="00823BDC">
              <w:rPr>
                <w:szCs w:val="22"/>
              </w:rPr>
              <w:t xml:space="preserve"> </w:t>
            </w:r>
          </w:p>
          <w:p w14:paraId="4BC337FA" w14:textId="53F9B658" w:rsidR="000573F9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nadúvanie </w:t>
            </w:r>
          </w:p>
          <w:p w14:paraId="1B475B9F" w14:textId="2DD522CA" w:rsidR="003E3C21" w:rsidRPr="00823BDC" w:rsidRDefault="003A00CC" w:rsidP="000E2387">
            <w:pPr>
              <w:rPr>
                <w:szCs w:val="22"/>
              </w:rPr>
            </w:pPr>
            <w:proofErr w:type="spellStart"/>
            <w:r w:rsidRPr="00823BDC">
              <w:rPr>
                <w:szCs w:val="22"/>
              </w:rPr>
              <w:t>gastroezof</w:t>
            </w:r>
            <w:r w:rsidR="0039643C" w:rsidRPr="00823BDC">
              <w:rPr>
                <w:szCs w:val="22"/>
              </w:rPr>
              <w:t>ág</w:t>
            </w:r>
            <w:r w:rsidR="00F7371E" w:rsidRPr="00823BDC">
              <w:rPr>
                <w:szCs w:val="22"/>
              </w:rPr>
              <w:t>ový</w:t>
            </w:r>
            <w:proofErr w:type="spellEnd"/>
            <w:r w:rsidRPr="00823BDC">
              <w:rPr>
                <w:szCs w:val="22"/>
              </w:rPr>
              <w:t xml:space="preserve"> </w:t>
            </w:r>
            <w:proofErr w:type="spellStart"/>
            <w:r w:rsidRPr="00823BDC">
              <w:rPr>
                <w:szCs w:val="22"/>
              </w:rPr>
              <w:t>reflux</w:t>
            </w:r>
            <w:proofErr w:type="spellEnd"/>
            <w:r w:rsidRPr="00823BDC">
              <w:rPr>
                <w:szCs w:val="22"/>
              </w:rPr>
              <w:t xml:space="preserve"> </w:t>
            </w:r>
          </w:p>
          <w:p w14:paraId="1B92A886" w14:textId="77777777" w:rsidR="003A00CC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>vracanie</w:t>
            </w:r>
          </w:p>
        </w:tc>
        <w:tc>
          <w:tcPr>
            <w:tcW w:w="1686" w:type="dxa"/>
          </w:tcPr>
          <w:p w14:paraId="6457D446" w14:textId="77777777" w:rsidR="003A00CC" w:rsidRPr="00823BDC" w:rsidRDefault="003A00CC" w:rsidP="000E2387">
            <w:pPr>
              <w:rPr>
                <w:szCs w:val="22"/>
              </w:rPr>
            </w:pPr>
            <w:r w:rsidRPr="00823BDC">
              <w:rPr>
                <w:bCs/>
                <w:iCs/>
                <w:szCs w:val="22"/>
              </w:rPr>
              <w:t>menej časté</w:t>
            </w:r>
          </w:p>
        </w:tc>
      </w:tr>
      <w:tr w:rsidR="003A00CC" w:rsidRPr="00823BDC" w14:paraId="4ABEBF75" w14:textId="77777777" w:rsidTr="00D006D8">
        <w:trPr>
          <w:cantSplit/>
        </w:trPr>
        <w:tc>
          <w:tcPr>
            <w:tcW w:w="3139" w:type="dxa"/>
          </w:tcPr>
          <w:p w14:paraId="3A6D4444" w14:textId="77777777" w:rsidR="003A00CC" w:rsidRPr="00823BDC" w:rsidRDefault="003A00CC" w:rsidP="00F004C3">
            <w:pPr>
              <w:rPr>
                <w:bCs/>
                <w:szCs w:val="22"/>
              </w:rPr>
            </w:pPr>
            <w:r w:rsidRPr="00823BDC">
              <w:rPr>
                <w:bCs/>
                <w:szCs w:val="22"/>
              </w:rPr>
              <w:t>Poruchy kože a podkožného tkaniva</w:t>
            </w:r>
          </w:p>
        </w:tc>
        <w:tc>
          <w:tcPr>
            <w:tcW w:w="3599" w:type="dxa"/>
          </w:tcPr>
          <w:p w14:paraId="0CE0C789" w14:textId="64A46A89" w:rsidR="003E3C21" w:rsidRPr="00823BDC" w:rsidRDefault="003A00CC" w:rsidP="000E2387">
            <w:pPr>
              <w:rPr>
                <w:szCs w:val="22"/>
              </w:rPr>
            </w:pPr>
            <w:proofErr w:type="spellStart"/>
            <w:r w:rsidRPr="00823BDC">
              <w:rPr>
                <w:szCs w:val="22"/>
              </w:rPr>
              <w:t>pruritus</w:t>
            </w:r>
            <w:proofErr w:type="spellEnd"/>
            <w:r w:rsidRPr="00823BDC">
              <w:rPr>
                <w:szCs w:val="22"/>
              </w:rPr>
              <w:t xml:space="preserve"> </w:t>
            </w:r>
          </w:p>
          <w:p w14:paraId="26539CA7" w14:textId="1297EABB" w:rsidR="003E3C21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vyrážka </w:t>
            </w:r>
          </w:p>
          <w:p w14:paraId="70AD69E3" w14:textId="77777777" w:rsidR="003A00CC" w:rsidRPr="00823BDC" w:rsidRDefault="003A00CC" w:rsidP="000E2387">
            <w:pPr>
              <w:rPr>
                <w:szCs w:val="22"/>
              </w:rPr>
            </w:pPr>
            <w:proofErr w:type="spellStart"/>
            <w:r w:rsidRPr="00823BDC">
              <w:rPr>
                <w:szCs w:val="22"/>
              </w:rPr>
              <w:t>urtikária</w:t>
            </w:r>
            <w:proofErr w:type="spellEnd"/>
          </w:p>
        </w:tc>
        <w:tc>
          <w:tcPr>
            <w:tcW w:w="1686" w:type="dxa"/>
          </w:tcPr>
          <w:p w14:paraId="47C424A6" w14:textId="77777777" w:rsidR="003A00CC" w:rsidRPr="00823BDC" w:rsidRDefault="003A00CC" w:rsidP="000E2387">
            <w:pPr>
              <w:rPr>
                <w:szCs w:val="22"/>
              </w:rPr>
            </w:pPr>
            <w:r w:rsidRPr="00823BDC">
              <w:rPr>
                <w:bCs/>
                <w:iCs/>
                <w:szCs w:val="22"/>
              </w:rPr>
              <w:t>menej časté</w:t>
            </w:r>
          </w:p>
        </w:tc>
      </w:tr>
      <w:tr w:rsidR="003A00CC" w:rsidRPr="00823BDC" w14:paraId="27069995" w14:textId="77777777" w:rsidTr="00D006D8">
        <w:trPr>
          <w:cantSplit/>
        </w:trPr>
        <w:tc>
          <w:tcPr>
            <w:tcW w:w="3139" w:type="dxa"/>
            <w:vMerge w:val="restart"/>
          </w:tcPr>
          <w:p w14:paraId="12C3CC77" w14:textId="77777777" w:rsidR="003A00CC" w:rsidRPr="00823BDC" w:rsidRDefault="003A00CC" w:rsidP="00F004C3">
            <w:pPr>
              <w:rPr>
                <w:szCs w:val="22"/>
              </w:rPr>
            </w:pPr>
            <w:r w:rsidRPr="00823BDC">
              <w:rPr>
                <w:bCs/>
                <w:szCs w:val="22"/>
              </w:rPr>
              <w:t>Poruchy kostrovej a svalovej sústavy a spojivového tkaniva</w:t>
            </w:r>
          </w:p>
        </w:tc>
        <w:tc>
          <w:tcPr>
            <w:tcW w:w="3599" w:type="dxa"/>
          </w:tcPr>
          <w:p w14:paraId="7C87A65A" w14:textId="77777777" w:rsidR="003A00CC" w:rsidRPr="00823BDC" w:rsidRDefault="003A00CC" w:rsidP="000E2387">
            <w:pPr>
              <w:rPr>
                <w:szCs w:val="22"/>
              </w:rPr>
            </w:pPr>
            <w:proofErr w:type="spellStart"/>
            <w:r w:rsidRPr="00823BDC">
              <w:rPr>
                <w:szCs w:val="22"/>
              </w:rPr>
              <w:t>myalgia</w:t>
            </w:r>
            <w:proofErr w:type="spellEnd"/>
          </w:p>
        </w:tc>
        <w:tc>
          <w:tcPr>
            <w:tcW w:w="1686" w:type="dxa"/>
          </w:tcPr>
          <w:p w14:paraId="7B05C294" w14:textId="77777777" w:rsidR="003A00CC" w:rsidRPr="00823BDC" w:rsidRDefault="003A00CC" w:rsidP="000E2387">
            <w:pPr>
              <w:rPr>
                <w:szCs w:val="22"/>
              </w:rPr>
            </w:pPr>
            <w:r w:rsidRPr="00823BDC">
              <w:rPr>
                <w:bCs/>
                <w:iCs/>
                <w:szCs w:val="22"/>
              </w:rPr>
              <w:t>časté</w:t>
            </w:r>
          </w:p>
        </w:tc>
      </w:tr>
      <w:tr w:rsidR="003A00CC" w:rsidRPr="00823BDC" w14:paraId="50917391" w14:textId="77777777" w:rsidTr="00D006D8">
        <w:trPr>
          <w:cantSplit/>
        </w:trPr>
        <w:tc>
          <w:tcPr>
            <w:tcW w:w="3139" w:type="dxa"/>
            <w:vMerge/>
          </w:tcPr>
          <w:p w14:paraId="433EBFAC" w14:textId="77777777" w:rsidR="003A00CC" w:rsidRPr="00823BDC" w:rsidRDefault="003A00CC">
            <w:pPr>
              <w:rPr>
                <w:szCs w:val="22"/>
              </w:rPr>
            </w:pPr>
          </w:p>
        </w:tc>
        <w:tc>
          <w:tcPr>
            <w:tcW w:w="3599" w:type="dxa"/>
          </w:tcPr>
          <w:p w14:paraId="594BFB74" w14:textId="6914BD0E" w:rsidR="003E3C21" w:rsidRPr="00823BDC" w:rsidRDefault="003A00CC">
            <w:pPr>
              <w:rPr>
                <w:szCs w:val="22"/>
              </w:rPr>
            </w:pPr>
            <w:proofErr w:type="spellStart"/>
            <w:r w:rsidRPr="00823BDC">
              <w:rPr>
                <w:szCs w:val="22"/>
              </w:rPr>
              <w:t>artralgia</w:t>
            </w:r>
            <w:proofErr w:type="spellEnd"/>
            <w:r w:rsidRPr="00823BDC">
              <w:rPr>
                <w:szCs w:val="22"/>
              </w:rPr>
              <w:t xml:space="preserve"> </w:t>
            </w:r>
          </w:p>
          <w:p w14:paraId="52FA8667" w14:textId="5BA5B9F8" w:rsidR="003E3C21" w:rsidRPr="00823BDC" w:rsidRDefault="003A00CC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bolesť chrbta </w:t>
            </w:r>
          </w:p>
          <w:p w14:paraId="70030185" w14:textId="7FDC50E8" w:rsidR="003E3C21" w:rsidRPr="00823BDC" w:rsidRDefault="003A00CC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svalové </w:t>
            </w:r>
            <w:proofErr w:type="spellStart"/>
            <w:r w:rsidRPr="00823BDC">
              <w:rPr>
                <w:szCs w:val="22"/>
              </w:rPr>
              <w:t>spazmy</w:t>
            </w:r>
            <w:proofErr w:type="spellEnd"/>
            <w:r w:rsidRPr="00823BDC">
              <w:rPr>
                <w:szCs w:val="22"/>
              </w:rPr>
              <w:t xml:space="preserve"> </w:t>
            </w:r>
          </w:p>
          <w:p w14:paraId="3E5E3EEE" w14:textId="4218D11D" w:rsidR="003E3C21" w:rsidRPr="00823BDC" w:rsidRDefault="003A00CC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svalová slabosť </w:t>
            </w:r>
          </w:p>
          <w:p w14:paraId="40A114CA" w14:textId="4D1B10B0" w:rsidR="003E3C21" w:rsidRPr="00823BDC" w:rsidRDefault="003A00CC">
            <w:pPr>
              <w:rPr>
                <w:szCs w:val="22"/>
              </w:rPr>
            </w:pPr>
            <w:proofErr w:type="spellStart"/>
            <w:r w:rsidRPr="00823BDC">
              <w:rPr>
                <w:szCs w:val="22"/>
              </w:rPr>
              <w:t>muskuloskeletá</w:t>
            </w:r>
            <w:r w:rsidR="003E3C21" w:rsidRPr="00823BDC">
              <w:rPr>
                <w:szCs w:val="22"/>
              </w:rPr>
              <w:t>l</w:t>
            </w:r>
            <w:r w:rsidRPr="00823BDC">
              <w:rPr>
                <w:szCs w:val="22"/>
              </w:rPr>
              <w:t>na</w:t>
            </w:r>
            <w:proofErr w:type="spellEnd"/>
            <w:r w:rsidRPr="00823BDC">
              <w:rPr>
                <w:szCs w:val="22"/>
              </w:rPr>
              <w:t xml:space="preserve"> bolesť </w:t>
            </w:r>
          </w:p>
          <w:p w14:paraId="7EA76B89" w14:textId="77777777" w:rsidR="003A00CC" w:rsidRPr="00823BDC" w:rsidRDefault="003A00CC">
            <w:pPr>
              <w:rPr>
                <w:szCs w:val="22"/>
              </w:rPr>
            </w:pPr>
            <w:r w:rsidRPr="00823BDC">
              <w:rPr>
                <w:szCs w:val="22"/>
              </w:rPr>
              <w:t>bolesť v končatine</w:t>
            </w:r>
          </w:p>
        </w:tc>
        <w:tc>
          <w:tcPr>
            <w:tcW w:w="1686" w:type="dxa"/>
          </w:tcPr>
          <w:p w14:paraId="77D56505" w14:textId="77777777" w:rsidR="003A00CC" w:rsidRPr="00823BDC" w:rsidRDefault="003A00CC">
            <w:pPr>
              <w:rPr>
                <w:szCs w:val="22"/>
              </w:rPr>
            </w:pPr>
            <w:r w:rsidRPr="00823BDC">
              <w:rPr>
                <w:bCs/>
                <w:iCs/>
                <w:szCs w:val="22"/>
              </w:rPr>
              <w:t>menej časté</w:t>
            </w:r>
          </w:p>
        </w:tc>
      </w:tr>
      <w:tr w:rsidR="003A00CC" w:rsidRPr="00823BDC" w14:paraId="1A6B954E" w14:textId="77777777" w:rsidTr="00D006D8">
        <w:trPr>
          <w:cantSplit/>
        </w:trPr>
        <w:tc>
          <w:tcPr>
            <w:tcW w:w="3139" w:type="dxa"/>
          </w:tcPr>
          <w:p w14:paraId="770B5A2A" w14:textId="77777777" w:rsidR="003A00CC" w:rsidRPr="00823BDC" w:rsidRDefault="003A00CC" w:rsidP="00F004C3">
            <w:pPr>
              <w:rPr>
                <w:szCs w:val="22"/>
              </w:rPr>
            </w:pPr>
            <w:r w:rsidRPr="00823BDC">
              <w:rPr>
                <w:szCs w:val="22"/>
              </w:rPr>
              <w:t>Celkové poruchy a reakcie v mieste podania</w:t>
            </w:r>
          </w:p>
        </w:tc>
        <w:tc>
          <w:tcPr>
            <w:tcW w:w="3599" w:type="dxa"/>
          </w:tcPr>
          <w:p w14:paraId="098EEAF5" w14:textId="225C10E6" w:rsidR="003E3C21" w:rsidRPr="00823BDC" w:rsidRDefault="003A00CC" w:rsidP="00F004C3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asténia </w:t>
            </w:r>
          </w:p>
          <w:p w14:paraId="4AD8697B" w14:textId="4100FCAE" w:rsidR="003E3C21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bolesť na hrudi </w:t>
            </w:r>
          </w:p>
          <w:p w14:paraId="6B538187" w14:textId="5DEA70BB" w:rsidR="003E3C21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únava </w:t>
            </w:r>
          </w:p>
          <w:p w14:paraId="7D9CFCD1" w14:textId="77777777" w:rsidR="003A00CC" w:rsidRPr="00823BDC" w:rsidRDefault="003A00CC" w:rsidP="000E2387">
            <w:pPr>
              <w:rPr>
                <w:szCs w:val="22"/>
              </w:rPr>
            </w:pPr>
            <w:r w:rsidRPr="00823BDC">
              <w:rPr>
                <w:szCs w:val="22"/>
              </w:rPr>
              <w:t>periférny edém</w:t>
            </w:r>
          </w:p>
        </w:tc>
        <w:tc>
          <w:tcPr>
            <w:tcW w:w="1686" w:type="dxa"/>
          </w:tcPr>
          <w:p w14:paraId="0A9BE9F8" w14:textId="77777777" w:rsidR="003A00CC" w:rsidRPr="00823BDC" w:rsidRDefault="003A00CC" w:rsidP="000E2387">
            <w:pPr>
              <w:rPr>
                <w:szCs w:val="22"/>
              </w:rPr>
            </w:pPr>
            <w:r w:rsidRPr="00823BDC">
              <w:rPr>
                <w:bCs/>
                <w:iCs/>
                <w:szCs w:val="22"/>
              </w:rPr>
              <w:t>menej časté</w:t>
            </w:r>
          </w:p>
        </w:tc>
      </w:tr>
      <w:tr w:rsidR="000573F9" w:rsidRPr="00823BDC" w14:paraId="37F4F825" w14:textId="77777777" w:rsidTr="00B01668">
        <w:trPr>
          <w:cantSplit/>
        </w:trPr>
        <w:tc>
          <w:tcPr>
            <w:tcW w:w="3139" w:type="dxa"/>
            <w:vMerge w:val="restart"/>
          </w:tcPr>
          <w:p w14:paraId="2C4B8C62" w14:textId="77777777" w:rsidR="000573F9" w:rsidRPr="002377B8" w:rsidRDefault="000573F9" w:rsidP="00F004C3">
            <w:pPr>
              <w:keepNext/>
              <w:rPr>
                <w:szCs w:val="22"/>
              </w:rPr>
            </w:pPr>
            <w:r w:rsidRPr="002377B8">
              <w:rPr>
                <w:szCs w:val="22"/>
              </w:rPr>
              <w:t>Laboratórne a funkčné vyšetrenia</w:t>
            </w:r>
          </w:p>
        </w:tc>
        <w:tc>
          <w:tcPr>
            <w:tcW w:w="3599" w:type="dxa"/>
          </w:tcPr>
          <w:p w14:paraId="6955442C" w14:textId="77777777" w:rsidR="000573F9" w:rsidRPr="00823BDC" w:rsidRDefault="000573F9" w:rsidP="000E2387">
            <w:pPr>
              <w:keepNext/>
              <w:rPr>
                <w:szCs w:val="22"/>
              </w:rPr>
            </w:pPr>
            <w:r w:rsidRPr="00823BDC">
              <w:rPr>
                <w:szCs w:val="22"/>
              </w:rPr>
              <w:t>zvýšenie ALT a/alebo AST</w:t>
            </w:r>
          </w:p>
        </w:tc>
        <w:tc>
          <w:tcPr>
            <w:tcW w:w="1686" w:type="dxa"/>
          </w:tcPr>
          <w:p w14:paraId="07252B26" w14:textId="77777777" w:rsidR="000573F9" w:rsidRPr="00823BDC" w:rsidRDefault="000573F9" w:rsidP="000E2387">
            <w:pPr>
              <w:keepNext/>
              <w:rPr>
                <w:szCs w:val="22"/>
              </w:rPr>
            </w:pPr>
            <w:r w:rsidRPr="00823BDC">
              <w:rPr>
                <w:bCs/>
                <w:iCs/>
                <w:szCs w:val="22"/>
              </w:rPr>
              <w:t>časté</w:t>
            </w:r>
          </w:p>
        </w:tc>
      </w:tr>
      <w:tr w:rsidR="000573F9" w:rsidRPr="00823BDC" w14:paraId="490E2E09" w14:textId="77777777" w:rsidTr="00B01668">
        <w:trPr>
          <w:cantSplit/>
        </w:trPr>
        <w:tc>
          <w:tcPr>
            <w:tcW w:w="3139" w:type="dxa"/>
            <w:vMerge/>
          </w:tcPr>
          <w:p w14:paraId="4BE064C7" w14:textId="77777777" w:rsidR="000573F9" w:rsidRPr="00823BDC" w:rsidRDefault="000573F9">
            <w:pPr>
              <w:rPr>
                <w:szCs w:val="22"/>
              </w:rPr>
            </w:pPr>
          </w:p>
        </w:tc>
        <w:tc>
          <w:tcPr>
            <w:tcW w:w="3599" w:type="dxa"/>
          </w:tcPr>
          <w:p w14:paraId="7A870F1D" w14:textId="05F3A7C1" w:rsidR="003E3C21" w:rsidRPr="00823BDC" w:rsidRDefault="000573F9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zvýšenie bilirubínu v krvi </w:t>
            </w:r>
          </w:p>
          <w:p w14:paraId="2A5BD029" w14:textId="6F774737" w:rsidR="003E3C21" w:rsidRPr="00823BDC" w:rsidRDefault="000573F9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zvýšenie CK v krvi </w:t>
            </w:r>
          </w:p>
          <w:p w14:paraId="1F4D7BDB" w14:textId="77777777" w:rsidR="000573F9" w:rsidRPr="00823BDC" w:rsidRDefault="000573F9">
            <w:pPr>
              <w:rPr>
                <w:szCs w:val="22"/>
              </w:rPr>
            </w:pPr>
            <w:r w:rsidRPr="00823BDC">
              <w:rPr>
                <w:szCs w:val="22"/>
              </w:rPr>
              <w:t xml:space="preserve">zvýšenie </w:t>
            </w:r>
            <w:proofErr w:type="spellStart"/>
            <w:r w:rsidRPr="00823BDC">
              <w:rPr>
                <w:szCs w:val="22"/>
              </w:rPr>
              <w:t>gamaglutamyltransferázy</w:t>
            </w:r>
            <w:proofErr w:type="spellEnd"/>
          </w:p>
        </w:tc>
        <w:tc>
          <w:tcPr>
            <w:tcW w:w="1686" w:type="dxa"/>
          </w:tcPr>
          <w:p w14:paraId="7A95348E" w14:textId="77777777" w:rsidR="000573F9" w:rsidRPr="00823BDC" w:rsidRDefault="000573F9">
            <w:pPr>
              <w:rPr>
                <w:szCs w:val="22"/>
              </w:rPr>
            </w:pPr>
            <w:r w:rsidRPr="00823BDC">
              <w:rPr>
                <w:bCs/>
                <w:iCs/>
                <w:szCs w:val="22"/>
              </w:rPr>
              <w:t>menej časté</w:t>
            </w:r>
          </w:p>
        </w:tc>
      </w:tr>
    </w:tbl>
    <w:p w14:paraId="4008F240" w14:textId="77777777" w:rsidR="000C7BD4" w:rsidRPr="00823BDC" w:rsidRDefault="000C7BD4" w:rsidP="00F004C3">
      <w:pPr>
        <w:adjustRightInd w:val="0"/>
        <w:snapToGrid w:val="0"/>
        <w:rPr>
          <w:szCs w:val="22"/>
        </w:rPr>
      </w:pPr>
    </w:p>
    <w:p w14:paraId="32425911" w14:textId="77777777" w:rsidR="00FA32A6" w:rsidRPr="00823BDC" w:rsidRDefault="00790DC3" w:rsidP="000E2387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Pediatrick</w:t>
      </w:r>
      <w:r w:rsidR="00883028" w:rsidRPr="00823BDC">
        <w:rPr>
          <w:szCs w:val="22"/>
          <w:u w:val="single"/>
        </w:rPr>
        <w:t>á populácia</w:t>
      </w:r>
    </w:p>
    <w:p w14:paraId="365FB685" w14:textId="77777777" w:rsidR="00FA32A6" w:rsidRPr="00823BDC" w:rsidRDefault="00FA32A6" w:rsidP="000E2387">
      <w:pPr>
        <w:adjustRightInd w:val="0"/>
        <w:snapToGrid w:val="0"/>
        <w:rPr>
          <w:szCs w:val="22"/>
        </w:rPr>
      </w:pPr>
      <w:r w:rsidRPr="00823BDC">
        <w:rPr>
          <w:szCs w:val="22"/>
        </w:rPr>
        <w:t>V štúdii zahŕňajúcej dospievajúcich pacientov (vo veku 10 až 17 rokov) s </w:t>
      </w:r>
      <w:proofErr w:type="spellStart"/>
      <w:r w:rsidRPr="00823BDC">
        <w:rPr>
          <w:szCs w:val="22"/>
        </w:rPr>
        <w:t>heterozygotnou</w:t>
      </w:r>
      <w:proofErr w:type="spellEnd"/>
      <w:r w:rsidRPr="00823BDC">
        <w:rPr>
          <w:szCs w:val="22"/>
        </w:rPr>
        <w:t xml:space="preserve"> familiárnou </w:t>
      </w:r>
      <w:proofErr w:type="spellStart"/>
      <w:r w:rsidRPr="00823BDC">
        <w:rPr>
          <w:szCs w:val="22"/>
        </w:rPr>
        <w:t>hypercholesterolémiou</w:t>
      </w:r>
      <w:proofErr w:type="spellEnd"/>
      <w:r w:rsidRPr="00823BDC">
        <w:rPr>
          <w:szCs w:val="22"/>
        </w:rPr>
        <w:t xml:space="preserve"> (n = 248) sa </w:t>
      </w:r>
      <w:r w:rsidR="00A74151" w:rsidRPr="00823BDC">
        <w:rPr>
          <w:szCs w:val="22"/>
        </w:rPr>
        <w:t>zvýšenia ALT a/alebo AST (</w:t>
      </w:r>
      <w:r w:rsidR="00CF1950" w:rsidRPr="00530542">
        <w:rPr>
          <w:szCs w:val="22"/>
        </w:rPr>
        <w:sym w:font="Symbol" w:char="F0B3"/>
      </w:r>
      <w:r w:rsidR="00A74151" w:rsidRPr="00530542">
        <w:rPr>
          <w:szCs w:val="22"/>
        </w:rPr>
        <w:t xml:space="preserve"> 3-násobok HHN, </w:t>
      </w:r>
      <w:proofErr w:type="spellStart"/>
      <w:r w:rsidR="00A74151" w:rsidRPr="00530542">
        <w:rPr>
          <w:szCs w:val="22"/>
        </w:rPr>
        <w:t>konsekutívne</w:t>
      </w:r>
      <w:proofErr w:type="spellEnd"/>
      <w:r w:rsidR="00A74151" w:rsidRPr="00530542">
        <w:rPr>
          <w:szCs w:val="22"/>
        </w:rPr>
        <w:t>) pozo</w:t>
      </w:r>
      <w:r w:rsidR="00A74151" w:rsidRPr="00CD10F1">
        <w:rPr>
          <w:szCs w:val="22"/>
        </w:rPr>
        <w:t xml:space="preserve">rovali </w:t>
      </w:r>
      <w:r w:rsidRPr="00CD10F1">
        <w:rPr>
          <w:szCs w:val="22"/>
        </w:rPr>
        <w:t xml:space="preserve">u 3 % </w:t>
      </w:r>
      <w:r w:rsidR="004A223E" w:rsidRPr="00373B08">
        <w:rPr>
          <w:szCs w:val="22"/>
        </w:rPr>
        <w:t xml:space="preserve">pacientov </w:t>
      </w:r>
      <w:r w:rsidRPr="00373B08">
        <w:rPr>
          <w:szCs w:val="22"/>
        </w:rPr>
        <w:t xml:space="preserve">(4 pacienti) v skupine </w:t>
      </w:r>
      <w:r w:rsidR="002115EF" w:rsidRPr="00823BDC">
        <w:rPr>
          <w:szCs w:val="22"/>
        </w:rPr>
        <w:t>s</w:t>
      </w:r>
      <w:r w:rsidR="00171900" w:rsidRPr="00823BDC">
        <w:rPr>
          <w:szCs w:val="22"/>
        </w:rPr>
        <w:t> </w:t>
      </w:r>
      <w:proofErr w:type="spellStart"/>
      <w:r w:rsidRPr="00823BDC">
        <w:rPr>
          <w:szCs w:val="22"/>
        </w:rPr>
        <w:t>ezetimib</w:t>
      </w:r>
      <w:r w:rsidR="002115EF" w:rsidRPr="00823BDC">
        <w:rPr>
          <w:szCs w:val="22"/>
        </w:rPr>
        <w:t>om</w:t>
      </w:r>
      <w:proofErr w:type="spellEnd"/>
      <w:r w:rsidRPr="00823BDC">
        <w:rPr>
          <w:szCs w:val="22"/>
        </w:rPr>
        <w:t>/</w:t>
      </w:r>
      <w:proofErr w:type="spellStart"/>
      <w:r w:rsidRPr="00823BDC">
        <w:rPr>
          <w:szCs w:val="22"/>
        </w:rPr>
        <w:t>simvastatín</w:t>
      </w:r>
      <w:r w:rsidR="002115EF" w:rsidRPr="00823BDC">
        <w:rPr>
          <w:szCs w:val="22"/>
        </w:rPr>
        <w:t>om</w:t>
      </w:r>
      <w:proofErr w:type="spellEnd"/>
      <w:r w:rsidR="00A74151" w:rsidRPr="00823BDC">
        <w:rPr>
          <w:szCs w:val="22"/>
        </w:rPr>
        <w:t xml:space="preserve"> v porovnaní s 2 % (2 pacienti) v skupine so </w:t>
      </w:r>
      <w:proofErr w:type="spellStart"/>
      <w:r w:rsidR="00A74151" w:rsidRPr="00823BDC">
        <w:rPr>
          <w:szCs w:val="22"/>
        </w:rPr>
        <w:t>simvastatínom</w:t>
      </w:r>
      <w:proofErr w:type="spellEnd"/>
      <w:r w:rsidR="00A74151" w:rsidRPr="00823BDC">
        <w:rPr>
          <w:szCs w:val="22"/>
        </w:rPr>
        <w:t xml:space="preserve"> v </w:t>
      </w:r>
      <w:proofErr w:type="spellStart"/>
      <w:r w:rsidR="00A74151" w:rsidRPr="00823BDC">
        <w:rPr>
          <w:szCs w:val="22"/>
        </w:rPr>
        <w:t>monoterapii</w:t>
      </w:r>
      <w:proofErr w:type="spellEnd"/>
      <w:r w:rsidR="00A74151" w:rsidRPr="00823BDC">
        <w:rPr>
          <w:szCs w:val="22"/>
        </w:rPr>
        <w:t xml:space="preserve">; </w:t>
      </w:r>
      <w:r w:rsidR="00134F0F" w:rsidRPr="00823BDC">
        <w:rPr>
          <w:szCs w:val="22"/>
        </w:rPr>
        <w:t>pre zvýšenie</w:t>
      </w:r>
      <w:r w:rsidR="00E97420" w:rsidRPr="00823BDC">
        <w:rPr>
          <w:szCs w:val="22"/>
        </w:rPr>
        <w:t xml:space="preserve"> CK</w:t>
      </w:r>
      <w:r w:rsidR="00536585" w:rsidRPr="00823BDC">
        <w:rPr>
          <w:szCs w:val="22"/>
        </w:rPr>
        <w:t xml:space="preserve"> (≥ 10-násob</w:t>
      </w:r>
      <w:r w:rsidR="00323F77" w:rsidRPr="00823BDC">
        <w:rPr>
          <w:szCs w:val="22"/>
        </w:rPr>
        <w:t>ok HHN</w:t>
      </w:r>
      <w:r w:rsidR="00536585" w:rsidRPr="00823BDC">
        <w:rPr>
          <w:szCs w:val="22"/>
        </w:rPr>
        <w:t xml:space="preserve">) boli </w:t>
      </w:r>
      <w:r w:rsidR="00943466" w:rsidRPr="00823BDC">
        <w:rPr>
          <w:szCs w:val="22"/>
        </w:rPr>
        <w:t xml:space="preserve">hodnoty </w:t>
      </w:r>
      <w:r w:rsidR="00536585" w:rsidRPr="00823BDC">
        <w:rPr>
          <w:szCs w:val="22"/>
        </w:rPr>
        <w:t>v skupine s </w:t>
      </w:r>
      <w:proofErr w:type="spellStart"/>
      <w:r w:rsidR="00536585" w:rsidRPr="00823BDC">
        <w:rPr>
          <w:szCs w:val="22"/>
        </w:rPr>
        <w:t>ezetimibom</w:t>
      </w:r>
      <w:proofErr w:type="spellEnd"/>
      <w:r w:rsidR="00536585" w:rsidRPr="00823BDC">
        <w:rPr>
          <w:szCs w:val="22"/>
        </w:rPr>
        <w:t>/</w:t>
      </w:r>
      <w:proofErr w:type="spellStart"/>
      <w:r w:rsidR="00536585" w:rsidRPr="00823BDC">
        <w:rPr>
          <w:szCs w:val="22"/>
        </w:rPr>
        <w:t>simvastatínom</w:t>
      </w:r>
      <w:proofErr w:type="spellEnd"/>
      <w:r w:rsidR="00536585" w:rsidRPr="00823BDC">
        <w:rPr>
          <w:szCs w:val="22"/>
        </w:rPr>
        <w:t xml:space="preserve"> </w:t>
      </w:r>
      <w:r w:rsidR="00943466" w:rsidRPr="00823BDC">
        <w:rPr>
          <w:szCs w:val="22"/>
        </w:rPr>
        <w:t xml:space="preserve">2 % (2 pacienti) </w:t>
      </w:r>
      <w:r w:rsidR="00536585" w:rsidRPr="00823BDC">
        <w:rPr>
          <w:szCs w:val="22"/>
        </w:rPr>
        <w:t xml:space="preserve">a v skupine so </w:t>
      </w:r>
      <w:proofErr w:type="spellStart"/>
      <w:r w:rsidR="00536585" w:rsidRPr="00823BDC">
        <w:rPr>
          <w:szCs w:val="22"/>
        </w:rPr>
        <w:t>simvastatínom</w:t>
      </w:r>
      <w:proofErr w:type="spellEnd"/>
      <w:r w:rsidR="00536585" w:rsidRPr="00823BDC">
        <w:rPr>
          <w:szCs w:val="22"/>
        </w:rPr>
        <w:t xml:space="preserve"> v</w:t>
      </w:r>
      <w:r w:rsidR="00943466" w:rsidRPr="00823BDC">
        <w:rPr>
          <w:szCs w:val="22"/>
        </w:rPr>
        <w:t> </w:t>
      </w:r>
      <w:proofErr w:type="spellStart"/>
      <w:r w:rsidR="00536585" w:rsidRPr="00823BDC">
        <w:rPr>
          <w:szCs w:val="22"/>
        </w:rPr>
        <w:t>monoterapii</w:t>
      </w:r>
      <w:proofErr w:type="spellEnd"/>
      <w:r w:rsidR="00943466" w:rsidRPr="00823BDC">
        <w:rPr>
          <w:szCs w:val="22"/>
        </w:rPr>
        <w:t xml:space="preserve"> 0 %</w:t>
      </w:r>
      <w:r w:rsidR="00536585" w:rsidRPr="00823BDC">
        <w:rPr>
          <w:szCs w:val="22"/>
        </w:rPr>
        <w:t xml:space="preserve">. Neboli hlásené žiadne prípady </w:t>
      </w:r>
      <w:proofErr w:type="spellStart"/>
      <w:r w:rsidR="00536585" w:rsidRPr="00823BDC">
        <w:rPr>
          <w:szCs w:val="22"/>
        </w:rPr>
        <w:t>myopatie</w:t>
      </w:r>
      <w:proofErr w:type="spellEnd"/>
      <w:r w:rsidR="00536585" w:rsidRPr="00823BDC">
        <w:rPr>
          <w:szCs w:val="22"/>
        </w:rPr>
        <w:t>.</w:t>
      </w:r>
    </w:p>
    <w:p w14:paraId="10E9E1E3" w14:textId="77777777" w:rsidR="00FA32A6" w:rsidRPr="00823BDC" w:rsidRDefault="00FA32A6" w:rsidP="005332CD">
      <w:pPr>
        <w:adjustRightInd w:val="0"/>
        <w:snapToGrid w:val="0"/>
        <w:rPr>
          <w:szCs w:val="22"/>
        </w:rPr>
      </w:pPr>
    </w:p>
    <w:p w14:paraId="778B8592" w14:textId="77777777" w:rsidR="00FA32A6" w:rsidRPr="00823BDC" w:rsidRDefault="004A223E">
      <w:pPr>
        <w:adjustRightInd w:val="0"/>
        <w:snapToGrid w:val="0"/>
        <w:rPr>
          <w:szCs w:val="22"/>
        </w:rPr>
      </w:pPr>
      <w:r w:rsidRPr="00823BDC">
        <w:rPr>
          <w:szCs w:val="22"/>
        </w:rPr>
        <w:t>Toto skúšanie</w:t>
      </w:r>
      <w:r w:rsidR="00A74151" w:rsidRPr="00823BDC">
        <w:rPr>
          <w:szCs w:val="22"/>
        </w:rPr>
        <w:t xml:space="preserve"> </w:t>
      </w:r>
      <w:r w:rsidRPr="00823BDC">
        <w:rPr>
          <w:szCs w:val="22"/>
        </w:rPr>
        <w:t xml:space="preserve">nebolo vhodné </w:t>
      </w:r>
      <w:r w:rsidR="00A74151" w:rsidRPr="00823BDC">
        <w:rPr>
          <w:szCs w:val="22"/>
        </w:rPr>
        <w:t xml:space="preserve">na porovnanie zriedkavých nežiaducich </w:t>
      </w:r>
      <w:r w:rsidR="002115EF" w:rsidRPr="00823BDC">
        <w:rPr>
          <w:szCs w:val="22"/>
        </w:rPr>
        <w:t xml:space="preserve">liekových </w:t>
      </w:r>
      <w:r w:rsidR="00A74151" w:rsidRPr="00823BDC">
        <w:rPr>
          <w:szCs w:val="22"/>
        </w:rPr>
        <w:t>reakcií.</w:t>
      </w:r>
    </w:p>
    <w:p w14:paraId="3E903683" w14:textId="77777777" w:rsidR="008B47E2" w:rsidRPr="00823BDC" w:rsidRDefault="008B47E2">
      <w:pPr>
        <w:adjustRightInd w:val="0"/>
        <w:snapToGrid w:val="0"/>
        <w:rPr>
          <w:szCs w:val="22"/>
        </w:rPr>
      </w:pPr>
    </w:p>
    <w:p w14:paraId="3D881ED3" w14:textId="77777777" w:rsidR="008C1C6A" w:rsidRPr="00823BDC" w:rsidRDefault="008C1C6A">
      <w:pPr>
        <w:keepNext/>
        <w:tabs>
          <w:tab w:val="left" w:pos="3375"/>
        </w:tabs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 xml:space="preserve">Pacienti </w:t>
      </w:r>
      <w:r w:rsidR="00524B24" w:rsidRPr="00823BDC">
        <w:rPr>
          <w:szCs w:val="22"/>
          <w:u w:val="single"/>
        </w:rPr>
        <w:t>s koronárnou chorobou srdca a </w:t>
      </w:r>
      <w:r w:rsidR="00862D66" w:rsidRPr="00823BDC">
        <w:rPr>
          <w:szCs w:val="22"/>
          <w:u w:val="single"/>
        </w:rPr>
        <w:t xml:space="preserve">príhodou </w:t>
      </w:r>
      <w:r w:rsidR="00524B24" w:rsidRPr="00823BDC">
        <w:rPr>
          <w:szCs w:val="22"/>
          <w:u w:val="single"/>
        </w:rPr>
        <w:t>AK</w:t>
      </w:r>
      <w:r w:rsidRPr="00823BDC">
        <w:rPr>
          <w:szCs w:val="22"/>
          <w:u w:val="single"/>
        </w:rPr>
        <w:t>S v anamnéze</w:t>
      </w:r>
    </w:p>
    <w:p w14:paraId="2A135953" w14:textId="054DA19C" w:rsidR="008C1C6A" w:rsidRPr="00823BDC" w:rsidRDefault="008C1C6A">
      <w:pPr>
        <w:tabs>
          <w:tab w:val="left" w:pos="3375"/>
        </w:tabs>
        <w:adjustRightInd w:val="0"/>
        <w:snapToGrid w:val="0"/>
        <w:rPr>
          <w:szCs w:val="22"/>
        </w:rPr>
      </w:pPr>
      <w:r w:rsidRPr="00823BDC">
        <w:rPr>
          <w:szCs w:val="22"/>
        </w:rPr>
        <w:t>V štúdii IMPROVE-IT (pozri časť 5.1)</w:t>
      </w:r>
      <w:r w:rsidR="002E6E20" w:rsidRPr="00823BDC">
        <w:rPr>
          <w:szCs w:val="22"/>
        </w:rPr>
        <w:t xml:space="preserve"> zahŕňajúcej</w:t>
      </w:r>
      <w:r w:rsidR="00511E62" w:rsidRPr="00823BDC">
        <w:rPr>
          <w:szCs w:val="22"/>
        </w:rPr>
        <w:t xml:space="preserve"> 18 144 pacientov liečených </w:t>
      </w:r>
      <w:proofErr w:type="spellStart"/>
      <w:r w:rsidR="003E3C21" w:rsidRPr="00823BDC">
        <w:rPr>
          <w:szCs w:val="22"/>
        </w:rPr>
        <w:t>ezetimibom</w:t>
      </w:r>
      <w:proofErr w:type="spellEnd"/>
      <w:r w:rsidR="003E3C21" w:rsidRPr="00823BDC">
        <w:rPr>
          <w:szCs w:val="22"/>
        </w:rPr>
        <w:t>/</w:t>
      </w:r>
      <w:proofErr w:type="spellStart"/>
      <w:r w:rsidR="003E3C21" w:rsidRPr="00823BDC">
        <w:rPr>
          <w:szCs w:val="22"/>
        </w:rPr>
        <w:t>simvastatínom</w:t>
      </w:r>
      <w:proofErr w:type="spellEnd"/>
      <w:r w:rsidR="00511E62" w:rsidRPr="00823BDC">
        <w:rPr>
          <w:szCs w:val="22"/>
        </w:rPr>
        <w:t xml:space="preserve"> </w:t>
      </w:r>
      <w:r w:rsidR="003C1ECF" w:rsidRPr="00823BDC">
        <w:rPr>
          <w:szCs w:val="22"/>
        </w:rPr>
        <w:t xml:space="preserve">v dávke </w:t>
      </w:r>
      <w:r w:rsidR="00511E62" w:rsidRPr="00823BDC">
        <w:rPr>
          <w:szCs w:val="22"/>
        </w:rPr>
        <w:t>10</w:t>
      </w:r>
      <w:r w:rsidR="00A452B2" w:rsidRPr="00823BDC">
        <w:rPr>
          <w:szCs w:val="22"/>
        </w:rPr>
        <w:t> mg</w:t>
      </w:r>
      <w:r w:rsidR="00511E62" w:rsidRPr="00823BDC">
        <w:rPr>
          <w:szCs w:val="22"/>
        </w:rPr>
        <w:t xml:space="preserve">/40 mg (n = 9 067, z ktorých 6 % bolo </w:t>
      </w:r>
      <w:proofErr w:type="spellStart"/>
      <w:r w:rsidR="00511E62" w:rsidRPr="00823BDC">
        <w:rPr>
          <w:szCs w:val="22"/>
        </w:rPr>
        <w:t>vytitrovaných</w:t>
      </w:r>
      <w:proofErr w:type="spellEnd"/>
      <w:r w:rsidR="00511E62" w:rsidRPr="00823BDC">
        <w:rPr>
          <w:szCs w:val="22"/>
        </w:rPr>
        <w:t xml:space="preserve"> na </w:t>
      </w:r>
      <w:proofErr w:type="spellStart"/>
      <w:r w:rsidR="003E3C21" w:rsidRPr="00823BDC">
        <w:rPr>
          <w:szCs w:val="22"/>
        </w:rPr>
        <w:t>ezetimib</w:t>
      </w:r>
      <w:proofErr w:type="spellEnd"/>
      <w:r w:rsidR="003E3C21" w:rsidRPr="00823BDC">
        <w:rPr>
          <w:szCs w:val="22"/>
        </w:rPr>
        <w:t>/</w:t>
      </w:r>
      <w:proofErr w:type="spellStart"/>
      <w:r w:rsidR="003E3C21" w:rsidRPr="00823BDC">
        <w:rPr>
          <w:szCs w:val="22"/>
        </w:rPr>
        <w:t>simvastatín</w:t>
      </w:r>
      <w:proofErr w:type="spellEnd"/>
      <w:r w:rsidR="00511E62" w:rsidRPr="00823BDC">
        <w:rPr>
          <w:szCs w:val="22"/>
        </w:rPr>
        <w:t xml:space="preserve"> 10</w:t>
      </w:r>
      <w:r w:rsidR="00A452B2" w:rsidRPr="00823BDC">
        <w:rPr>
          <w:szCs w:val="22"/>
        </w:rPr>
        <w:t> </w:t>
      </w:r>
      <w:r w:rsidR="00F7371E" w:rsidRPr="00823BDC">
        <w:rPr>
          <w:szCs w:val="22"/>
        </w:rPr>
        <w:t>mg</w:t>
      </w:r>
      <w:r w:rsidR="00511E62" w:rsidRPr="00823BDC">
        <w:rPr>
          <w:szCs w:val="22"/>
        </w:rPr>
        <w:t xml:space="preserve">/80 mg) alebo </w:t>
      </w:r>
      <w:proofErr w:type="spellStart"/>
      <w:r w:rsidR="00511E62" w:rsidRPr="00823BDC">
        <w:rPr>
          <w:szCs w:val="22"/>
        </w:rPr>
        <w:t>simvastatínom</w:t>
      </w:r>
      <w:proofErr w:type="spellEnd"/>
      <w:r w:rsidR="00511E62" w:rsidRPr="00823BDC">
        <w:rPr>
          <w:szCs w:val="22"/>
        </w:rPr>
        <w:t xml:space="preserve"> 40 mg (n = 9 077, z ktorých 27 % bolo </w:t>
      </w:r>
      <w:proofErr w:type="spellStart"/>
      <w:r w:rsidR="00511E62" w:rsidRPr="00823BDC">
        <w:rPr>
          <w:szCs w:val="22"/>
        </w:rPr>
        <w:t>vytitrovaných</w:t>
      </w:r>
      <w:proofErr w:type="spellEnd"/>
      <w:r w:rsidR="00511E62" w:rsidRPr="00823BDC">
        <w:rPr>
          <w:szCs w:val="22"/>
        </w:rPr>
        <w:t xml:space="preserve"> na </w:t>
      </w:r>
      <w:proofErr w:type="spellStart"/>
      <w:r w:rsidR="00511E62" w:rsidRPr="00823BDC">
        <w:rPr>
          <w:szCs w:val="22"/>
        </w:rPr>
        <w:t>simvastatín</w:t>
      </w:r>
      <w:proofErr w:type="spellEnd"/>
      <w:r w:rsidR="00511E62" w:rsidRPr="00823BDC">
        <w:rPr>
          <w:szCs w:val="22"/>
        </w:rPr>
        <w:t xml:space="preserve"> 80 mg), boli bezpečnostné profily počas mediánu </w:t>
      </w:r>
      <w:r w:rsidR="002E6E20" w:rsidRPr="00823BDC">
        <w:rPr>
          <w:szCs w:val="22"/>
        </w:rPr>
        <w:t>sledovaného obdobia</w:t>
      </w:r>
      <w:r w:rsidR="00511E62" w:rsidRPr="00823BDC">
        <w:rPr>
          <w:szCs w:val="22"/>
        </w:rPr>
        <w:t xml:space="preserve"> 6,0 rokov podobné. </w:t>
      </w:r>
      <w:r w:rsidR="002E6E20" w:rsidRPr="00823BDC">
        <w:rPr>
          <w:szCs w:val="22"/>
        </w:rPr>
        <w:t xml:space="preserve">Miery prerušenia liečby z dôvodu nežiaducich účinkov boli 10,6 % u pacientov liečených </w:t>
      </w:r>
      <w:proofErr w:type="spellStart"/>
      <w:r w:rsidR="003E3C21" w:rsidRPr="00823BDC">
        <w:rPr>
          <w:szCs w:val="22"/>
        </w:rPr>
        <w:t>ezetimibom</w:t>
      </w:r>
      <w:proofErr w:type="spellEnd"/>
      <w:r w:rsidR="003E3C21" w:rsidRPr="00823BDC">
        <w:rPr>
          <w:szCs w:val="22"/>
        </w:rPr>
        <w:t>/</w:t>
      </w:r>
      <w:proofErr w:type="spellStart"/>
      <w:r w:rsidR="003E3C21" w:rsidRPr="00823BDC">
        <w:rPr>
          <w:szCs w:val="22"/>
        </w:rPr>
        <w:t>simvastatínom</w:t>
      </w:r>
      <w:proofErr w:type="spellEnd"/>
      <w:r w:rsidR="002E6E20" w:rsidRPr="00823BDC">
        <w:rPr>
          <w:szCs w:val="22"/>
        </w:rPr>
        <w:t xml:space="preserve"> a 10,1 % u pacientov liečených </w:t>
      </w:r>
      <w:proofErr w:type="spellStart"/>
      <w:r w:rsidR="002E6E20" w:rsidRPr="00823BDC">
        <w:rPr>
          <w:szCs w:val="22"/>
        </w:rPr>
        <w:t>simvastatínom</w:t>
      </w:r>
      <w:proofErr w:type="spellEnd"/>
      <w:r w:rsidR="002E6E20" w:rsidRPr="00823BDC">
        <w:rPr>
          <w:szCs w:val="22"/>
        </w:rPr>
        <w:t xml:space="preserve">. </w:t>
      </w:r>
      <w:proofErr w:type="spellStart"/>
      <w:r w:rsidR="002E6E20" w:rsidRPr="00823BDC">
        <w:rPr>
          <w:szCs w:val="22"/>
        </w:rPr>
        <w:t>Incidencia</w:t>
      </w:r>
      <w:proofErr w:type="spellEnd"/>
      <w:r w:rsidR="002E6E20" w:rsidRPr="00823BDC">
        <w:rPr>
          <w:szCs w:val="22"/>
        </w:rPr>
        <w:t xml:space="preserve"> </w:t>
      </w:r>
      <w:proofErr w:type="spellStart"/>
      <w:r w:rsidR="002E6E20" w:rsidRPr="00823BDC">
        <w:rPr>
          <w:szCs w:val="22"/>
        </w:rPr>
        <w:t>myopatie</w:t>
      </w:r>
      <w:proofErr w:type="spellEnd"/>
      <w:r w:rsidR="002E6E20" w:rsidRPr="00823BDC">
        <w:rPr>
          <w:szCs w:val="22"/>
        </w:rPr>
        <w:t xml:space="preserve"> bola u pacientov liečených </w:t>
      </w:r>
      <w:proofErr w:type="spellStart"/>
      <w:r w:rsidR="003E3C21" w:rsidRPr="00823BDC">
        <w:rPr>
          <w:szCs w:val="22"/>
        </w:rPr>
        <w:t>ezetimibom</w:t>
      </w:r>
      <w:proofErr w:type="spellEnd"/>
      <w:r w:rsidR="003E3C21" w:rsidRPr="00823BDC">
        <w:rPr>
          <w:szCs w:val="22"/>
        </w:rPr>
        <w:t>/</w:t>
      </w:r>
      <w:proofErr w:type="spellStart"/>
      <w:r w:rsidR="003E3C21" w:rsidRPr="00823BDC">
        <w:rPr>
          <w:szCs w:val="22"/>
        </w:rPr>
        <w:t>simvastatínom</w:t>
      </w:r>
      <w:proofErr w:type="spellEnd"/>
      <w:r w:rsidR="002E6E20" w:rsidRPr="00823BDC">
        <w:rPr>
          <w:szCs w:val="22"/>
        </w:rPr>
        <w:t xml:space="preserve"> 0,2 % a u pacientov liečených </w:t>
      </w:r>
      <w:proofErr w:type="spellStart"/>
      <w:r w:rsidR="002E6E20" w:rsidRPr="00823BDC">
        <w:rPr>
          <w:szCs w:val="22"/>
        </w:rPr>
        <w:t>simvastatínom</w:t>
      </w:r>
      <w:proofErr w:type="spellEnd"/>
      <w:r w:rsidR="002E6E20" w:rsidRPr="00823BDC">
        <w:rPr>
          <w:szCs w:val="22"/>
        </w:rPr>
        <w:t xml:space="preserve"> 0,1 %, pričom </w:t>
      </w:r>
      <w:proofErr w:type="spellStart"/>
      <w:r w:rsidR="002E6E20" w:rsidRPr="00823BDC">
        <w:rPr>
          <w:szCs w:val="22"/>
        </w:rPr>
        <w:t>myopatia</w:t>
      </w:r>
      <w:proofErr w:type="spellEnd"/>
      <w:r w:rsidR="002E6E20" w:rsidRPr="00823BDC">
        <w:rPr>
          <w:szCs w:val="22"/>
        </w:rPr>
        <w:t xml:space="preserve"> bola definovaná ako nevysvetliteľná svalová slabosť alebo bolesť s</w:t>
      </w:r>
      <w:r w:rsidR="00C530FB" w:rsidRPr="00823BDC">
        <w:rPr>
          <w:szCs w:val="22"/>
        </w:rPr>
        <w:t> </w:t>
      </w:r>
      <w:r w:rsidR="002E6E20" w:rsidRPr="00823BDC">
        <w:rPr>
          <w:szCs w:val="22"/>
        </w:rPr>
        <w:t>hladin</w:t>
      </w:r>
      <w:r w:rsidR="00C530FB" w:rsidRPr="00823BDC">
        <w:rPr>
          <w:szCs w:val="22"/>
        </w:rPr>
        <w:t>ou</w:t>
      </w:r>
      <w:r w:rsidR="002E6E20" w:rsidRPr="00823BDC">
        <w:rPr>
          <w:szCs w:val="22"/>
        </w:rPr>
        <w:t xml:space="preserve"> CK v sére </w:t>
      </w:r>
      <w:r w:rsidR="002E6E20" w:rsidRPr="00823BDC">
        <w:rPr>
          <w:noProof/>
          <w:szCs w:val="22"/>
        </w:rPr>
        <w:t>≥</w:t>
      </w:r>
      <w:r w:rsidR="00862D66" w:rsidRPr="00823BDC">
        <w:rPr>
          <w:noProof/>
          <w:szCs w:val="22"/>
        </w:rPr>
        <w:t> </w:t>
      </w:r>
      <w:r w:rsidR="002E6E20" w:rsidRPr="00823BDC">
        <w:rPr>
          <w:noProof/>
          <w:szCs w:val="22"/>
        </w:rPr>
        <w:t>10</w:t>
      </w:r>
      <w:r w:rsidR="00A452B2" w:rsidRPr="00A6540D">
        <w:rPr>
          <w:color w:val="000000"/>
          <w:szCs w:val="22"/>
          <w:lang w:eastAsia="en-GB"/>
        </w:rPr>
        <w:t>×</w:t>
      </w:r>
      <w:r w:rsidR="002E6E20" w:rsidRPr="00530542">
        <w:rPr>
          <w:szCs w:val="22"/>
        </w:rPr>
        <w:t xml:space="preserve"> HHN alebo </w:t>
      </w:r>
      <w:r w:rsidR="00A452B2" w:rsidRPr="00CD10F1">
        <w:rPr>
          <w:szCs w:val="22"/>
        </w:rPr>
        <w:t xml:space="preserve">2 </w:t>
      </w:r>
      <w:proofErr w:type="spellStart"/>
      <w:r w:rsidR="00C530FB" w:rsidRPr="00CD10F1">
        <w:rPr>
          <w:szCs w:val="22"/>
        </w:rPr>
        <w:t>konsekutívn</w:t>
      </w:r>
      <w:r w:rsidR="002E6E20" w:rsidRPr="00CD10F1">
        <w:rPr>
          <w:szCs w:val="22"/>
        </w:rPr>
        <w:t>e</w:t>
      </w:r>
      <w:proofErr w:type="spellEnd"/>
      <w:r w:rsidR="002E6E20" w:rsidRPr="00CD10F1">
        <w:rPr>
          <w:szCs w:val="22"/>
        </w:rPr>
        <w:t xml:space="preserve"> pozorovania</w:t>
      </w:r>
      <w:r w:rsidR="00C530FB" w:rsidRPr="00CD10F1">
        <w:rPr>
          <w:szCs w:val="22"/>
        </w:rPr>
        <w:t xml:space="preserve"> hladiny</w:t>
      </w:r>
      <w:r w:rsidR="002E6E20" w:rsidRPr="00657DA7">
        <w:rPr>
          <w:szCs w:val="22"/>
        </w:rPr>
        <w:t xml:space="preserve"> </w:t>
      </w:r>
      <w:r w:rsidR="002E6E20" w:rsidRPr="00F064AC">
        <w:rPr>
          <w:noProof/>
          <w:szCs w:val="22"/>
        </w:rPr>
        <w:t>CK ≥</w:t>
      </w:r>
      <w:r w:rsidR="00862D66" w:rsidRPr="00F064AC">
        <w:rPr>
          <w:noProof/>
          <w:szCs w:val="22"/>
        </w:rPr>
        <w:t> </w:t>
      </w:r>
      <w:r w:rsidR="002E6E20" w:rsidRPr="00F064AC">
        <w:rPr>
          <w:noProof/>
          <w:szCs w:val="22"/>
        </w:rPr>
        <w:t>5 a &lt;</w:t>
      </w:r>
      <w:r w:rsidR="00862D66" w:rsidRPr="00F80423">
        <w:rPr>
          <w:noProof/>
          <w:szCs w:val="22"/>
        </w:rPr>
        <w:t> </w:t>
      </w:r>
      <w:r w:rsidR="002E6E20" w:rsidRPr="00F80423">
        <w:rPr>
          <w:noProof/>
          <w:szCs w:val="22"/>
        </w:rPr>
        <w:t>10</w:t>
      </w:r>
      <w:r w:rsidR="00A452B2" w:rsidRPr="00A6540D">
        <w:rPr>
          <w:color w:val="000000"/>
          <w:szCs w:val="22"/>
          <w:lang w:eastAsia="en-GB"/>
        </w:rPr>
        <w:t>×</w:t>
      </w:r>
      <w:r w:rsidR="002E6E20" w:rsidRPr="00530542">
        <w:rPr>
          <w:noProof/>
          <w:szCs w:val="22"/>
        </w:rPr>
        <w:t xml:space="preserve"> HHN</w:t>
      </w:r>
      <w:r w:rsidR="002E6E20" w:rsidRPr="00530542">
        <w:rPr>
          <w:szCs w:val="22"/>
        </w:rPr>
        <w:t xml:space="preserve">. </w:t>
      </w:r>
      <w:proofErr w:type="spellStart"/>
      <w:r w:rsidR="002E6E20" w:rsidRPr="00530542">
        <w:rPr>
          <w:szCs w:val="22"/>
        </w:rPr>
        <w:t>Incidencia</w:t>
      </w:r>
      <w:proofErr w:type="spellEnd"/>
      <w:r w:rsidR="002E6E20" w:rsidRPr="00530542">
        <w:rPr>
          <w:szCs w:val="22"/>
        </w:rPr>
        <w:t xml:space="preserve"> </w:t>
      </w:r>
      <w:proofErr w:type="spellStart"/>
      <w:r w:rsidR="002E6E20" w:rsidRPr="00530542">
        <w:rPr>
          <w:szCs w:val="22"/>
        </w:rPr>
        <w:t>rabdomyolýzy</w:t>
      </w:r>
      <w:proofErr w:type="spellEnd"/>
      <w:r w:rsidR="002E6E20" w:rsidRPr="00530542">
        <w:rPr>
          <w:szCs w:val="22"/>
        </w:rPr>
        <w:t xml:space="preserve"> b</w:t>
      </w:r>
      <w:r w:rsidR="002E6E20" w:rsidRPr="00CD10F1">
        <w:rPr>
          <w:szCs w:val="22"/>
        </w:rPr>
        <w:t xml:space="preserve">ola pri </w:t>
      </w:r>
      <w:proofErr w:type="spellStart"/>
      <w:r w:rsidR="003E3C21" w:rsidRPr="00CD10F1">
        <w:rPr>
          <w:szCs w:val="22"/>
        </w:rPr>
        <w:t>ezetimibe</w:t>
      </w:r>
      <w:proofErr w:type="spellEnd"/>
      <w:r w:rsidR="003E3C21" w:rsidRPr="00CD10F1">
        <w:rPr>
          <w:szCs w:val="22"/>
        </w:rPr>
        <w:t>/</w:t>
      </w:r>
      <w:proofErr w:type="spellStart"/>
      <w:r w:rsidR="003E3C21" w:rsidRPr="00CD10F1">
        <w:rPr>
          <w:szCs w:val="22"/>
        </w:rPr>
        <w:t>simvastatíne</w:t>
      </w:r>
      <w:proofErr w:type="spellEnd"/>
      <w:r w:rsidR="002E6E20" w:rsidRPr="00373B08">
        <w:rPr>
          <w:szCs w:val="22"/>
        </w:rPr>
        <w:t xml:space="preserve"> 0,1 % a pri </w:t>
      </w:r>
      <w:proofErr w:type="spellStart"/>
      <w:r w:rsidR="002E6E20" w:rsidRPr="00373B08">
        <w:rPr>
          <w:szCs w:val="22"/>
        </w:rPr>
        <w:t>simvastatíne</w:t>
      </w:r>
      <w:proofErr w:type="spellEnd"/>
      <w:r w:rsidR="002E6E20" w:rsidRPr="00373B08">
        <w:rPr>
          <w:szCs w:val="22"/>
        </w:rPr>
        <w:t xml:space="preserve"> 0,2 %, pričom </w:t>
      </w:r>
      <w:proofErr w:type="spellStart"/>
      <w:r w:rsidR="002E6E20" w:rsidRPr="00373B08">
        <w:rPr>
          <w:szCs w:val="22"/>
        </w:rPr>
        <w:t>rabdomyolýza</w:t>
      </w:r>
      <w:proofErr w:type="spellEnd"/>
      <w:r w:rsidR="002E6E20" w:rsidRPr="00373B08">
        <w:rPr>
          <w:szCs w:val="22"/>
        </w:rPr>
        <w:t xml:space="preserve"> bola definovaná ako nevysvetliteľná svalová slabosť alebo bolesť s hladinou CK v sére </w:t>
      </w:r>
      <w:r w:rsidR="002E6E20" w:rsidRPr="00373B08">
        <w:rPr>
          <w:noProof/>
          <w:szCs w:val="22"/>
        </w:rPr>
        <w:t>≥</w:t>
      </w:r>
      <w:r w:rsidR="00862D66" w:rsidRPr="00373B08">
        <w:rPr>
          <w:noProof/>
          <w:szCs w:val="22"/>
        </w:rPr>
        <w:t> </w:t>
      </w:r>
      <w:r w:rsidR="002E6E20" w:rsidRPr="00823BDC">
        <w:rPr>
          <w:noProof/>
          <w:szCs w:val="22"/>
        </w:rPr>
        <w:t>10</w:t>
      </w:r>
      <w:r w:rsidR="00A452B2" w:rsidRPr="00A6540D">
        <w:rPr>
          <w:color w:val="000000"/>
          <w:szCs w:val="22"/>
          <w:lang w:eastAsia="en-GB"/>
        </w:rPr>
        <w:t>×</w:t>
      </w:r>
      <w:r w:rsidR="002E6E20" w:rsidRPr="00530542">
        <w:rPr>
          <w:szCs w:val="22"/>
        </w:rPr>
        <w:t xml:space="preserve"> HHN s dôkazom poškodenia obličiek, </w:t>
      </w:r>
      <w:r w:rsidR="002E6E20" w:rsidRPr="00530542">
        <w:rPr>
          <w:noProof/>
          <w:szCs w:val="22"/>
        </w:rPr>
        <w:t>≥</w:t>
      </w:r>
      <w:r w:rsidR="00862D66" w:rsidRPr="00CD10F1">
        <w:rPr>
          <w:noProof/>
          <w:szCs w:val="22"/>
        </w:rPr>
        <w:t> </w:t>
      </w:r>
      <w:r w:rsidR="002E6E20" w:rsidRPr="00CD10F1">
        <w:rPr>
          <w:noProof/>
          <w:szCs w:val="22"/>
        </w:rPr>
        <w:t>5</w:t>
      </w:r>
      <w:r w:rsidR="00A452B2" w:rsidRPr="00A6540D">
        <w:rPr>
          <w:color w:val="000000"/>
          <w:szCs w:val="22"/>
          <w:lang w:eastAsia="en-GB"/>
        </w:rPr>
        <w:t>×</w:t>
      </w:r>
      <w:r w:rsidR="002E6E20" w:rsidRPr="00530542">
        <w:rPr>
          <w:noProof/>
          <w:szCs w:val="22"/>
        </w:rPr>
        <w:t xml:space="preserve"> HHN a &lt;</w:t>
      </w:r>
      <w:r w:rsidR="00862D66" w:rsidRPr="00530542">
        <w:rPr>
          <w:noProof/>
          <w:szCs w:val="22"/>
        </w:rPr>
        <w:t> </w:t>
      </w:r>
      <w:r w:rsidR="002E6E20" w:rsidRPr="00CD10F1">
        <w:rPr>
          <w:noProof/>
          <w:szCs w:val="22"/>
        </w:rPr>
        <w:t>10</w:t>
      </w:r>
      <w:r w:rsidR="00A452B2" w:rsidRPr="00A6540D">
        <w:rPr>
          <w:color w:val="000000"/>
          <w:szCs w:val="22"/>
          <w:lang w:eastAsia="en-GB"/>
        </w:rPr>
        <w:t>×</w:t>
      </w:r>
      <w:r w:rsidR="002E6E20" w:rsidRPr="00530542">
        <w:rPr>
          <w:noProof/>
          <w:szCs w:val="22"/>
        </w:rPr>
        <w:t xml:space="preserve"> HHN</w:t>
      </w:r>
      <w:r w:rsidR="002E6E20" w:rsidRPr="00530542">
        <w:rPr>
          <w:szCs w:val="22"/>
        </w:rPr>
        <w:t xml:space="preserve"> p</w:t>
      </w:r>
      <w:r w:rsidR="002E6E20" w:rsidRPr="00CD10F1">
        <w:rPr>
          <w:szCs w:val="22"/>
        </w:rPr>
        <w:t xml:space="preserve">očas </w:t>
      </w:r>
      <w:r w:rsidR="00A452B2" w:rsidRPr="00CD10F1">
        <w:rPr>
          <w:szCs w:val="22"/>
        </w:rPr>
        <w:t>2</w:t>
      </w:r>
      <w:r w:rsidR="0086683F">
        <w:rPr>
          <w:szCs w:val="22"/>
        </w:rPr>
        <w:t> </w:t>
      </w:r>
      <w:proofErr w:type="spellStart"/>
      <w:r w:rsidR="00C530FB" w:rsidRPr="0086683F">
        <w:rPr>
          <w:szCs w:val="22"/>
        </w:rPr>
        <w:t>konsekutívny</w:t>
      </w:r>
      <w:r w:rsidR="002E6E20" w:rsidRPr="0086683F">
        <w:rPr>
          <w:szCs w:val="22"/>
        </w:rPr>
        <w:t>ch</w:t>
      </w:r>
      <w:proofErr w:type="spellEnd"/>
      <w:r w:rsidR="002E6E20" w:rsidRPr="0086683F">
        <w:rPr>
          <w:szCs w:val="22"/>
        </w:rPr>
        <w:t xml:space="preserve"> </w:t>
      </w:r>
      <w:r w:rsidR="00932186" w:rsidRPr="0086683F">
        <w:rPr>
          <w:szCs w:val="22"/>
        </w:rPr>
        <w:t>udalostí</w:t>
      </w:r>
      <w:r w:rsidR="002E6E20" w:rsidRPr="00F235BA">
        <w:rPr>
          <w:szCs w:val="22"/>
        </w:rPr>
        <w:t xml:space="preserve"> s dôkazom poškodenia obličiek</w:t>
      </w:r>
      <w:r w:rsidR="002E6E20" w:rsidRPr="00BD6413">
        <w:rPr>
          <w:noProof/>
          <w:szCs w:val="22"/>
        </w:rPr>
        <w:t xml:space="preserve"> alebo</w:t>
      </w:r>
      <w:r w:rsidR="00C530FB" w:rsidRPr="00A843D5">
        <w:rPr>
          <w:noProof/>
          <w:szCs w:val="22"/>
        </w:rPr>
        <w:t xml:space="preserve"> hladinou</w:t>
      </w:r>
      <w:r w:rsidR="002E6E20" w:rsidRPr="00A843D5">
        <w:rPr>
          <w:noProof/>
          <w:szCs w:val="22"/>
        </w:rPr>
        <w:t xml:space="preserve"> CK ≥</w:t>
      </w:r>
      <w:r w:rsidR="00862D66" w:rsidRPr="00AA7838">
        <w:rPr>
          <w:noProof/>
          <w:szCs w:val="22"/>
        </w:rPr>
        <w:t> </w:t>
      </w:r>
      <w:r w:rsidR="002E6E20" w:rsidRPr="00AA7838">
        <w:rPr>
          <w:noProof/>
          <w:szCs w:val="22"/>
        </w:rPr>
        <w:t>10</w:t>
      </w:r>
      <w:r w:rsidR="00C530FB" w:rsidRPr="00AA7838">
        <w:rPr>
          <w:noProof/>
          <w:szCs w:val="22"/>
        </w:rPr>
        <w:t> </w:t>
      </w:r>
      <w:r w:rsidR="002E6E20" w:rsidRPr="00AA7838">
        <w:rPr>
          <w:noProof/>
          <w:szCs w:val="22"/>
        </w:rPr>
        <w:t>000 IU/l bez dôkazu poškodenia obličiek.</w:t>
      </w:r>
      <w:r w:rsidR="005421E9" w:rsidRPr="00373B08">
        <w:rPr>
          <w:noProof/>
          <w:szCs w:val="22"/>
        </w:rPr>
        <w:t xml:space="preserve"> </w:t>
      </w:r>
      <w:proofErr w:type="spellStart"/>
      <w:r w:rsidR="005421E9" w:rsidRPr="00373B08">
        <w:rPr>
          <w:szCs w:val="22"/>
        </w:rPr>
        <w:t>Incidencia</w:t>
      </w:r>
      <w:proofErr w:type="spellEnd"/>
      <w:r w:rsidR="005421E9" w:rsidRPr="00373B08">
        <w:rPr>
          <w:szCs w:val="22"/>
        </w:rPr>
        <w:t xml:space="preserve"> </w:t>
      </w:r>
      <w:proofErr w:type="spellStart"/>
      <w:r w:rsidR="005421E9" w:rsidRPr="00373B08">
        <w:rPr>
          <w:szCs w:val="22"/>
        </w:rPr>
        <w:t>k</w:t>
      </w:r>
      <w:r w:rsidR="002E6E20" w:rsidRPr="00373B08">
        <w:rPr>
          <w:szCs w:val="22"/>
        </w:rPr>
        <w:t>onsekutívn</w:t>
      </w:r>
      <w:r w:rsidR="005421E9" w:rsidRPr="00823BDC">
        <w:rPr>
          <w:szCs w:val="22"/>
        </w:rPr>
        <w:t>ych</w:t>
      </w:r>
      <w:proofErr w:type="spellEnd"/>
      <w:r w:rsidR="002E6E20" w:rsidRPr="00823BDC">
        <w:rPr>
          <w:szCs w:val="22"/>
        </w:rPr>
        <w:t xml:space="preserve"> zvýšen</w:t>
      </w:r>
      <w:r w:rsidR="005421E9" w:rsidRPr="00823BDC">
        <w:rPr>
          <w:szCs w:val="22"/>
        </w:rPr>
        <w:t>í</w:t>
      </w:r>
      <w:r w:rsidR="002E6E20" w:rsidRPr="00823BDC">
        <w:rPr>
          <w:szCs w:val="22"/>
        </w:rPr>
        <w:t xml:space="preserve"> </w:t>
      </w:r>
      <w:proofErr w:type="spellStart"/>
      <w:r w:rsidR="002E6E20" w:rsidRPr="00823BDC">
        <w:rPr>
          <w:szCs w:val="22"/>
        </w:rPr>
        <w:t>transamináz</w:t>
      </w:r>
      <w:proofErr w:type="spellEnd"/>
      <w:r w:rsidR="002E6E20" w:rsidRPr="00823BDC">
        <w:rPr>
          <w:szCs w:val="22"/>
        </w:rPr>
        <w:t xml:space="preserve"> (</w:t>
      </w:r>
      <w:r w:rsidR="005D2F04" w:rsidRPr="00823BDC">
        <w:rPr>
          <w:color w:val="000000"/>
          <w:szCs w:val="22"/>
        </w:rPr>
        <w:t>≥</w:t>
      </w:r>
      <w:r w:rsidR="002E6E20" w:rsidRPr="00823BDC">
        <w:rPr>
          <w:szCs w:val="22"/>
        </w:rPr>
        <w:t> 3</w:t>
      </w:r>
      <w:r w:rsidR="00A452B2" w:rsidRPr="00A6540D">
        <w:rPr>
          <w:color w:val="000000"/>
          <w:szCs w:val="22"/>
          <w:lang w:eastAsia="en-GB"/>
        </w:rPr>
        <w:t>×</w:t>
      </w:r>
      <w:r w:rsidR="00C530FB" w:rsidRPr="00530542">
        <w:rPr>
          <w:szCs w:val="22"/>
        </w:rPr>
        <w:t xml:space="preserve"> </w:t>
      </w:r>
      <w:r w:rsidR="002E6E20" w:rsidRPr="00530542">
        <w:rPr>
          <w:szCs w:val="22"/>
        </w:rPr>
        <w:t xml:space="preserve">HHN) </w:t>
      </w:r>
      <w:r w:rsidR="005421E9" w:rsidRPr="00530542">
        <w:rPr>
          <w:szCs w:val="22"/>
        </w:rPr>
        <w:t>bola 2,5</w:t>
      </w:r>
      <w:r w:rsidR="002E6E20" w:rsidRPr="00CD10F1">
        <w:rPr>
          <w:szCs w:val="22"/>
        </w:rPr>
        <w:t xml:space="preserve"> % </w:t>
      </w:r>
      <w:r w:rsidR="005421E9" w:rsidRPr="00CD10F1">
        <w:rPr>
          <w:szCs w:val="22"/>
        </w:rPr>
        <w:t xml:space="preserve">pri </w:t>
      </w:r>
      <w:proofErr w:type="spellStart"/>
      <w:r w:rsidR="003E3C21" w:rsidRPr="00F80423">
        <w:rPr>
          <w:szCs w:val="22"/>
        </w:rPr>
        <w:t>ezetimibe</w:t>
      </w:r>
      <w:proofErr w:type="spellEnd"/>
      <w:r w:rsidR="003E3C21" w:rsidRPr="00F80423">
        <w:rPr>
          <w:szCs w:val="22"/>
        </w:rPr>
        <w:t>/</w:t>
      </w:r>
      <w:proofErr w:type="spellStart"/>
      <w:r w:rsidR="003E3C21" w:rsidRPr="00F80423">
        <w:rPr>
          <w:szCs w:val="22"/>
        </w:rPr>
        <w:t>simvastatíne</w:t>
      </w:r>
      <w:proofErr w:type="spellEnd"/>
      <w:r w:rsidR="002E6E20" w:rsidRPr="00F80423">
        <w:rPr>
          <w:szCs w:val="22"/>
        </w:rPr>
        <w:t xml:space="preserve"> </w:t>
      </w:r>
      <w:r w:rsidR="005421E9" w:rsidRPr="00F80423">
        <w:rPr>
          <w:szCs w:val="22"/>
        </w:rPr>
        <w:t xml:space="preserve">a 2,3 % pri </w:t>
      </w:r>
      <w:proofErr w:type="spellStart"/>
      <w:r w:rsidR="005421E9" w:rsidRPr="00F80423">
        <w:rPr>
          <w:szCs w:val="22"/>
        </w:rPr>
        <w:t>simvastatíne</w:t>
      </w:r>
      <w:proofErr w:type="spellEnd"/>
      <w:r w:rsidR="005421E9" w:rsidRPr="00F80423">
        <w:rPr>
          <w:szCs w:val="22"/>
        </w:rPr>
        <w:t xml:space="preserve"> (</w:t>
      </w:r>
      <w:r w:rsidR="00F80423">
        <w:rPr>
          <w:szCs w:val="22"/>
        </w:rPr>
        <w:t>p</w:t>
      </w:r>
      <w:r w:rsidR="005421E9" w:rsidRPr="00F80423">
        <w:rPr>
          <w:szCs w:val="22"/>
        </w:rPr>
        <w:t>ozri časť 4.4). Nežiaduce účinky súvisiace so žlčníkom boli hlásené u 3,1 % pacien</w:t>
      </w:r>
      <w:r w:rsidR="005D2F04" w:rsidRPr="00823BDC">
        <w:rPr>
          <w:szCs w:val="22"/>
        </w:rPr>
        <w:t>t</w:t>
      </w:r>
      <w:r w:rsidR="005421E9" w:rsidRPr="00823BDC">
        <w:rPr>
          <w:szCs w:val="22"/>
        </w:rPr>
        <w:t>ov s</w:t>
      </w:r>
      <w:r w:rsidR="003E3C21" w:rsidRPr="00823BDC">
        <w:rPr>
          <w:szCs w:val="22"/>
        </w:rPr>
        <w:t> </w:t>
      </w:r>
      <w:proofErr w:type="spellStart"/>
      <w:r w:rsidR="003E3C21" w:rsidRPr="00823BDC">
        <w:rPr>
          <w:szCs w:val="22"/>
        </w:rPr>
        <w:t>ezetimibom</w:t>
      </w:r>
      <w:proofErr w:type="spellEnd"/>
      <w:r w:rsidR="003E3C21" w:rsidRPr="00823BDC">
        <w:rPr>
          <w:szCs w:val="22"/>
        </w:rPr>
        <w:t>/</w:t>
      </w:r>
      <w:proofErr w:type="spellStart"/>
      <w:r w:rsidR="003E3C21" w:rsidRPr="00823BDC">
        <w:rPr>
          <w:szCs w:val="22"/>
        </w:rPr>
        <w:t>simvastatínom</w:t>
      </w:r>
      <w:proofErr w:type="spellEnd"/>
      <w:r w:rsidR="005421E9" w:rsidRPr="00823BDC">
        <w:rPr>
          <w:szCs w:val="22"/>
        </w:rPr>
        <w:t xml:space="preserve"> </w:t>
      </w:r>
      <w:r w:rsidR="00C530FB" w:rsidRPr="00823BDC">
        <w:rPr>
          <w:szCs w:val="22"/>
        </w:rPr>
        <w:t xml:space="preserve">oproti </w:t>
      </w:r>
      <w:r w:rsidR="005421E9" w:rsidRPr="00823BDC">
        <w:rPr>
          <w:szCs w:val="22"/>
        </w:rPr>
        <w:t xml:space="preserve">3,5 % pacientov so </w:t>
      </w:r>
      <w:proofErr w:type="spellStart"/>
      <w:r w:rsidR="005421E9" w:rsidRPr="00823BDC">
        <w:rPr>
          <w:szCs w:val="22"/>
        </w:rPr>
        <w:t>si</w:t>
      </w:r>
      <w:r w:rsidR="00504F8B" w:rsidRPr="00823BDC">
        <w:rPr>
          <w:szCs w:val="22"/>
        </w:rPr>
        <w:t>m</w:t>
      </w:r>
      <w:r w:rsidR="005421E9" w:rsidRPr="00823BDC">
        <w:rPr>
          <w:szCs w:val="22"/>
        </w:rPr>
        <w:t>vasta</w:t>
      </w:r>
      <w:r w:rsidR="00862D66" w:rsidRPr="00823BDC">
        <w:rPr>
          <w:szCs w:val="22"/>
        </w:rPr>
        <w:t>t</w:t>
      </w:r>
      <w:r w:rsidR="005421E9" w:rsidRPr="00823BDC">
        <w:rPr>
          <w:szCs w:val="22"/>
        </w:rPr>
        <w:t>ínom</w:t>
      </w:r>
      <w:proofErr w:type="spellEnd"/>
      <w:r w:rsidR="005421E9" w:rsidRPr="00823BDC">
        <w:rPr>
          <w:szCs w:val="22"/>
        </w:rPr>
        <w:t xml:space="preserve">. </w:t>
      </w:r>
      <w:proofErr w:type="spellStart"/>
      <w:r w:rsidR="005421E9" w:rsidRPr="00823BDC">
        <w:rPr>
          <w:szCs w:val="22"/>
        </w:rPr>
        <w:t>Incidencia</w:t>
      </w:r>
      <w:proofErr w:type="spellEnd"/>
      <w:r w:rsidR="005421E9" w:rsidRPr="00823BDC">
        <w:rPr>
          <w:szCs w:val="22"/>
        </w:rPr>
        <w:t xml:space="preserve"> hospitalizácií z dôvodu </w:t>
      </w:r>
      <w:proofErr w:type="spellStart"/>
      <w:r w:rsidR="005421E9" w:rsidRPr="00823BDC">
        <w:rPr>
          <w:szCs w:val="22"/>
        </w:rPr>
        <w:t>cholecystektómie</w:t>
      </w:r>
      <w:proofErr w:type="spellEnd"/>
      <w:r w:rsidR="005421E9" w:rsidRPr="00823BDC">
        <w:rPr>
          <w:szCs w:val="22"/>
        </w:rPr>
        <w:t xml:space="preserve"> bola v obidvoch liečebných skupinách 1,5 %. Rakovina (definovaná ako akákoľvek nová malignita) bola </w:t>
      </w:r>
      <w:r w:rsidR="00504F8B" w:rsidRPr="00823BDC">
        <w:rPr>
          <w:szCs w:val="22"/>
        </w:rPr>
        <w:t xml:space="preserve">počas skúšania </w:t>
      </w:r>
      <w:r w:rsidR="005421E9" w:rsidRPr="00823BDC">
        <w:rPr>
          <w:szCs w:val="22"/>
        </w:rPr>
        <w:lastRenderedPageBreak/>
        <w:t>diagnostikovaná u</w:t>
      </w:r>
      <w:r w:rsidR="00504F8B" w:rsidRPr="00823BDC">
        <w:rPr>
          <w:szCs w:val="22"/>
        </w:rPr>
        <w:t> 9,4 % pacien</w:t>
      </w:r>
      <w:r w:rsidR="00862D66" w:rsidRPr="00823BDC">
        <w:rPr>
          <w:szCs w:val="22"/>
        </w:rPr>
        <w:t>t</w:t>
      </w:r>
      <w:r w:rsidR="00504F8B" w:rsidRPr="00823BDC">
        <w:rPr>
          <w:szCs w:val="22"/>
        </w:rPr>
        <w:t>ov s</w:t>
      </w:r>
      <w:r w:rsidR="003E3C21" w:rsidRPr="00823BDC">
        <w:rPr>
          <w:szCs w:val="22"/>
        </w:rPr>
        <w:t> </w:t>
      </w:r>
      <w:proofErr w:type="spellStart"/>
      <w:r w:rsidR="003E3C21" w:rsidRPr="00823BDC">
        <w:rPr>
          <w:szCs w:val="22"/>
        </w:rPr>
        <w:t>ezetimibom</w:t>
      </w:r>
      <w:proofErr w:type="spellEnd"/>
      <w:r w:rsidR="003E3C21" w:rsidRPr="00823BDC">
        <w:rPr>
          <w:szCs w:val="22"/>
        </w:rPr>
        <w:t>/</w:t>
      </w:r>
      <w:proofErr w:type="spellStart"/>
      <w:r w:rsidR="003E3C21" w:rsidRPr="00823BDC">
        <w:rPr>
          <w:szCs w:val="22"/>
        </w:rPr>
        <w:t>simvastatínom</w:t>
      </w:r>
      <w:proofErr w:type="spellEnd"/>
      <w:r w:rsidR="00504F8B" w:rsidRPr="00823BDC">
        <w:rPr>
          <w:szCs w:val="22"/>
        </w:rPr>
        <w:t xml:space="preserve"> </w:t>
      </w:r>
      <w:r w:rsidR="00C530FB" w:rsidRPr="00823BDC">
        <w:rPr>
          <w:szCs w:val="22"/>
        </w:rPr>
        <w:t xml:space="preserve">oproti </w:t>
      </w:r>
      <w:r w:rsidR="00504F8B" w:rsidRPr="00823BDC">
        <w:rPr>
          <w:szCs w:val="22"/>
        </w:rPr>
        <w:t xml:space="preserve">9,5 % pacientov so </w:t>
      </w:r>
      <w:proofErr w:type="spellStart"/>
      <w:r w:rsidR="00504F8B" w:rsidRPr="00823BDC">
        <w:rPr>
          <w:szCs w:val="22"/>
        </w:rPr>
        <w:t>simvasta</w:t>
      </w:r>
      <w:r w:rsidR="00862D66" w:rsidRPr="00823BDC">
        <w:rPr>
          <w:szCs w:val="22"/>
        </w:rPr>
        <w:t>t</w:t>
      </w:r>
      <w:r w:rsidR="00504F8B" w:rsidRPr="00823BDC">
        <w:rPr>
          <w:szCs w:val="22"/>
        </w:rPr>
        <w:t>ínom</w:t>
      </w:r>
      <w:proofErr w:type="spellEnd"/>
      <w:r w:rsidR="00504F8B" w:rsidRPr="00823BDC">
        <w:rPr>
          <w:szCs w:val="22"/>
        </w:rPr>
        <w:t>.</w:t>
      </w:r>
    </w:p>
    <w:p w14:paraId="4356825E" w14:textId="77777777" w:rsidR="008C1C6A" w:rsidRPr="00823BDC" w:rsidRDefault="008C1C6A">
      <w:pPr>
        <w:adjustRightInd w:val="0"/>
        <w:snapToGrid w:val="0"/>
        <w:rPr>
          <w:szCs w:val="22"/>
        </w:rPr>
      </w:pPr>
    </w:p>
    <w:p w14:paraId="68D43958" w14:textId="77777777" w:rsidR="008B47E2" w:rsidRPr="00823BDC" w:rsidRDefault="008B47E2">
      <w:pPr>
        <w:keepNext/>
        <w:keepLines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Pacienti s chronickým ochorením obličiek</w:t>
      </w:r>
    </w:p>
    <w:p w14:paraId="30A8E612" w14:textId="0E3D968C" w:rsidR="008B47E2" w:rsidRPr="00823BDC" w:rsidRDefault="008B47E2">
      <w:pPr>
        <w:keepLines/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V štúdii Study of </w:t>
      </w:r>
      <w:proofErr w:type="spellStart"/>
      <w:r w:rsidRPr="00823BDC">
        <w:rPr>
          <w:szCs w:val="22"/>
        </w:rPr>
        <w:t>Heart</w:t>
      </w:r>
      <w:proofErr w:type="spellEnd"/>
      <w:r w:rsidRPr="00823BDC">
        <w:rPr>
          <w:szCs w:val="22"/>
        </w:rPr>
        <w:t xml:space="preserve"> and </w:t>
      </w:r>
      <w:proofErr w:type="spellStart"/>
      <w:r w:rsidRPr="00823BDC">
        <w:rPr>
          <w:szCs w:val="22"/>
        </w:rPr>
        <w:t>Renal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Protection</w:t>
      </w:r>
      <w:proofErr w:type="spellEnd"/>
      <w:r w:rsidRPr="00823BDC">
        <w:rPr>
          <w:szCs w:val="22"/>
        </w:rPr>
        <w:t xml:space="preserve"> (SHARP) (pozri časť 5.1) zahŕňajúcej viac ako 9 000 pacientov liečených </w:t>
      </w:r>
      <w:proofErr w:type="spellStart"/>
      <w:r w:rsidR="00D45884" w:rsidRPr="00823BDC">
        <w:rPr>
          <w:szCs w:val="22"/>
        </w:rPr>
        <w:t>ezetimibom</w:t>
      </w:r>
      <w:proofErr w:type="spellEnd"/>
      <w:r w:rsidR="00D45884" w:rsidRPr="00823BDC">
        <w:rPr>
          <w:szCs w:val="22"/>
        </w:rPr>
        <w:t>/</w:t>
      </w:r>
      <w:proofErr w:type="spellStart"/>
      <w:r w:rsidR="00D45884"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v dávke 10</w:t>
      </w:r>
      <w:r w:rsidR="00A452B2" w:rsidRPr="00823BDC">
        <w:rPr>
          <w:szCs w:val="22"/>
        </w:rPr>
        <w:t> </w:t>
      </w:r>
      <w:r w:rsidR="00F7371E" w:rsidRPr="00823BDC">
        <w:rPr>
          <w:szCs w:val="22"/>
        </w:rPr>
        <w:t>mg</w:t>
      </w:r>
      <w:r w:rsidRPr="00823BDC">
        <w:rPr>
          <w:szCs w:val="22"/>
        </w:rPr>
        <w:t>/20</w:t>
      </w:r>
      <w:r w:rsidR="00171900" w:rsidRPr="00823BDC">
        <w:rPr>
          <w:szCs w:val="22"/>
        </w:rPr>
        <w:t> </w:t>
      </w:r>
      <w:r w:rsidRPr="00823BDC">
        <w:rPr>
          <w:szCs w:val="22"/>
        </w:rPr>
        <w:t>mg denne (n = 4 650) alebo placebom (n = 4 620) boli bezpečnostné profily počas mediánu sledovaného obdobia 4,9 rokov porovnateľné. V </w:t>
      </w:r>
      <w:r w:rsidR="004A223E" w:rsidRPr="00823BDC">
        <w:rPr>
          <w:szCs w:val="22"/>
        </w:rPr>
        <w:t xml:space="preserve">tomto skúšaní </w:t>
      </w:r>
      <w:r w:rsidRPr="00823BDC">
        <w:rPr>
          <w:szCs w:val="22"/>
        </w:rPr>
        <w:t xml:space="preserve">sa zaznamenávali len závažné nežiaduce </w:t>
      </w:r>
      <w:r w:rsidR="00171900" w:rsidRPr="00823BDC">
        <w:rPr>
          <w:szCs w:val="22"/>
        </w:rPr>
        <w:t xml:space="preserve">udalosti </w:t>
      </w:r>
      <w:r w:rsidRPr="00823BDC">
        <w:rPr>
          <w:szCs w:val="22"/>
        </w:rPr>
        <w:t xml:space="preserve">a prerušenia liečby </w:t>
      </w:r>
      <w:r w:rsidR="004A223E" w:rsidRPr="00823BDC">
        <w:rPr>
          <w:szCs w:val="22"/>
        </w:rPr>
        <w:t xml:space="preserve">z dôvodu akýchkoľvek nežiaducich </w:t>
      </w:r>
      <w:r w:rsidR="00171900" w:rsidRPr="00823BDC">
        <w:rPr>
          <w:szCs w:val="22"/>
        </w:rPr>
        <w:t>udalost</w:t>
      </w:r>
      <w:r w:rsidR="004A223E" w:rsidRPr="00823BDC">
        <w:rPr>
          <w:szCs w:val="22"/>
        </w:rPr>
        <w:t>í</w:t>
      </w:r>
      <w:r w:rsidRPr="00823BDC">
        <w:rPr>
          <w:szCs w:val="22"/>
        </w:rPr>
        <w:t xml:space="preserve">. Miery prerušenia liečby z dôvodu nežiaducich </w:t>
      </w:r>
      <w:r w:rsidR="00171900" w:rsidRPr="00823BDC">
        <w:rPr>
          <w:szCs w:val="22"/>
        </w:rPr>
        <w:t xml:space="preserve">udalostí </w:t>
      </w:r>
      <w:r w:rsidRPr="00823BDC">
        <w:rPr>
          <w:szCs w:val="22"/>
        </w:rPr>
        <w:t xml:space="preserve">boli porovnateľné (10,4 % u pacientov liečených </w:t>
      </w:r>
      <w:proofErr w:type="spellStart"/>
      <w:r w:rsidR="00D45884" w:rsidRPr="00823BDC">
        <w:rPr>
          <w:szCs w:val="22"/>
        </w:rPr>
        <w:t>ezetimibom</w:t>
      </w:r>
      <w:proofErr w:type="spellEnd"/>
      <w:r w:rsidR="00D45884" w:rsidRPr="00823BDC">
        <w:rPr>
          <w:szCs w:val="22"/>
        </w:rPr>
        <w:t>/</w:t>
      </w:r>
      <w:proofErr w:type="spellStart"/>
      <w:r w:rsidR="00D45884"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>, 9,8 % u pacientov</w:t>
      </w:r>
      <w:r w:rsidR="00932186" w:rsidRPr="00823BDC">
        <w:rPr>
          <w:szCs w:val="22"/>
        </w:rPr>
        <w:t>, ktorí dostávali</w:t>
      </w:r>
      <w:r w:rsidRPr="00823BDC">
        <w:rPr>
          <w:szCs w:val="22"/>
        </w:rPr>
        <w:t xml:space="preserve"> placebo). </w:t>
      </w:r>
      <w:proofErr w:type="spellStart"/>
      <w:r w:rsidR="005116EA" w:rsidRPr="00823BDC">
        <w:rPr>
          <w:szCs w:val="22"/>
        </w:rPr>
        <w:t>Incidencia</w:t>
      </w:r>
      <w:proofErr w:type="spellEnd"/>
      <w:r w:rsidR="005116EA" w:rsidRPr="00823BDC">
        <w:rPr>
          <w:szCs w:val="22"/>
        </w:rPr>
        <w:t xml:space="preserve"> </w:t>
      </w:r>
      <w:proofErr w:type="spellStart"/>
      <w:r w:rsidR="00186395" w:rsidRPr="00823BDC">
        <w:rPr>
          <w:szCs w:val="22"/>
        </w:rPr>
        <w:t>myopatie</w:t>
      </w:r>
      <w:proofErr w:type="spellEnd"/>
      <w:r w:rsidR="00186395" w:rsidRPr="00823BDC">
        <w:rPr>
          <w:szCs w:val="22"/>
        </w:rPr>
        <w:t>/</w:t>
      </w:r>
      <w:proofErr w:type="spellStart"/>
      <w:r w:rsidR="00186395" w:rsidRPr="00823BDC">
        <w:rPr>
          <w:szCs w:val="22"/>
        </w:rPr>
        <w:t>rabdomyolýzy</w:t>
      </w:r>
      <w:proofErr w:type="spellEnd"/>
      <w:r w:rsidR="00186395" w:rsidRPr="00823BDC">
        <w:rPr>
          <w:szCs w:val="22"/>
        </w:rPr>
        <w:t xml:space="preserve"> bol</w:t>
      </w:r>
      <w:r w:rsidR="005116EA" w:rsidRPr="00823BDC">
        <w:rPr>
          <w:szCs w:val="22"/>
        </w:rPr>
        <w:t>a</w:t>
      </w:r>
      <w:r w:rsidR="00186395" w:rsidRPr="00823BDC">
        <w:rPr>
          <w:szCs w:val="22"/>
        </w:rPr>
        <w:t xml:space="preserve"> u</w:t>
      </w:r>
      <w:r w:rsidRPr="00823BDC">
        <w:rPr>
          <w:szCs w:val="22"/>
        </w:rPr>
        <w:t xml:space="preserve"> pacientov liečených </w:t>
      </w:r>
      <w:proofErr w:type="spellStart"/>
      <w:r w:rsidR="00D45884" w:rsidRPr="00823BDC">
        <w:rPr>
          <w:szCs w:val="22"/>
        </w:rPr>
        <w:t>ezetimibom</w:t>
      </w:r>
      <w:proofErr w:type="spellEnd"/>
      <w:r w:rsidR="00D45884" w:rsidRPr="00823BDC">
        <w:rPr>
          <w:szCs w:val="22"/>
        </w:rPr>
        <w:t>/</w:t>
      </w:r>
      <w:proofErr w:type="spellStart"/>
      <w:r w:rsidR="00D45884"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0,2 % a u</w:t>
      </w:r>
      <w:r w:rsidR="00D62E2D" w:rsidRPr="00823BDC">
        <w:rPr>
          <w:szCs w:val="22"/>
        </w:rPr>
        <w:t> </w:t>
      </w:r>
      <w:r w:rsidRPr="00823BDC">
        <w:rPr>
          <w:szCs w:val="22"/>
        </w:rPr>
        <w:t>pacientov</w:t>
      </w:r>
      <w:r w:rsidR="00D62E2D" w:rsidRPr="00823BDC">
        <w:rPr>
          <w:szCs w:val="22"/>
        </w:rPr>
        <w:t xml:space="preserve">, ktorí dostávali placebo </w:t>
      </w:r>
      <w:r w:rsidR="00186395" w:rsidRPr="00823BDC">
        <w:rPr>
          <w:szCs w:val="22"/>
        </w:rPr>
        <w:t>0,1 %</w:t>
      </w:r>
      <w:r w:rsidRPr="00823BDC">
        <w:rPr>
          <w:szCs w:val="22"/>
        </w:rPr>
        <w:t xml:space="preserve">. </w:t>
      </w:r>
      <w:proofErr w:type="spellStart"/>
      <w:r w:rsidRPr="00823BDC">
        <w:rPr>
          <w:szCs w:val="22"/>
        </w:rPr>
        <w:t>Konsekutívne</w:t>
      </w:r>
      <w:proofErr w:type="spellEnd"/>
      <w:r w:rsidRPr="00823BDC">
        <w:rPr>
          <w:szCs w:val="22"/>
        </w:rPr>
        <w:t xml:space="preserve"> zvýšenia </w:t>
      </w:r>
      <w:proofErr w:type="spellStart"/>
      <w:r w:rsidRPr="00823BDC">
        <w:rPr>
          <w:szCs w:val="22"/>
        </w:rPr>
        <w:t>transamináz</w:t>
      </w:r>
      <w:proofErr w:type="spellEnd"/>
      <w:r w:rsidRPr="00823BDC">
        <w:rPr>
          <w:szCs w:val="22"/>
        </w:rPr>
        <w:t xml:space="preserve"> (&gt; 3</w:t>
      </w:r>
      <w:r w:rsidRPr="00823BDC">
        <w:rPr>
          <w:szCs w:val="22"/>
        </w:rPr>
        <w:noBreakHyphen/>
        <w:t xml:space="preserve">násobok HHN) sa objavili u 0,7 % pacientov liečených </w:t>
      </w:r>
      <w:proofErr w:type="spellStart"/>
      <w:r w:rsidR="00D45884" w:rsidRPr="00823BDC">
        <w:rPr>
          <w:szCs w:val="22"/>
        </w:rPr>
        <w:t>ezetimibom</w:t>
      </w:r>
      <w:proofErr w:type="spellEnd"/>
      <w:r w:rsidR="00D45884" w:rsidRPr="00823BDC">
        <w:rPr>
          <w:szCs w:val="22"/>
        </w:rPr>
        <w:t>/</w:t>
      </w:r>
      <w:proofErr w:type="spellStart"/>
      <w:r w:rsidR="00D45884"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v porovnaní s 0,6 % pacientov</w:t>
      </w:r>
      <w:r w:rsidR="00D62E2D" w:rsidRPr="00823BDC">
        <w:rPr>
          <w:szCs w:val="22"/>
        </w:rPr>
        <w:t>, ktorí dostávali placebo</w:t>
      </w:r>
      <w:r w:rsidRPr="00823BDC">
        <w:rPr>
          <w:szCs w:val="22"/>
        </w:rPr>
        <w:t xml:space="preserve">. </w:t>
      </w:r>
      <w:r w:rsidR="00932186" w:rsidRPr="00823BDC">
        <w:rPr>
          <w:szCs w:val="22"/>
        </w:rPr>
        <w:t xml:space="preserve">(Pozri časť 4.4). </w:t>
      </w:r>
      <w:r w:rsidRPr="00823BDC">
        <w:rPr>
          <w:szCs w:val="22"/>
        </w:rPr>
        <w:t>V </w:t>
      </w:r>
      <w:r w:rsidR="00186395" w:rsidRPr="00823BDC">
        <w:rPr>
          <w:szCs w:val="22"/>
        </w:rPr>
        <w:t xml:space="preserve">tomto skúšaní </w:t>
      </w:r>
      <w:r w:rsidRPr="00823BDC">
        <w:rPr>
          <w:szCs w:val="22"/>
        </w:rPr>
        <w:t xml:space="preserve">sa neobjavili žiadne štatisticky </w:t>
      </w:r>
      <w:r w:rsidR="00186395" w:rsidRPr="00823BDC">
        <w:rPr>
          <w:szCs w:val="22"/>
        </w:rPr>
        <w:t xml:space="preserve">významné </w:t>
      </w:r>
      <w:r w:rsidRPr="00823BDC">
        <w:rPr>
          <w:szCs w:val="22"/>
        </w:rPr>
        <w:t xml:space="preserve">zvýšenia </w:t>
      </w:r>
      <w:proofErr w:type="spellStart"/>
      <w:r w:rsidR="00C17785" w:rsidRPr="00823BDC">
        <w:rPr>
          <w:szCs w:val="22"/>
        </w:rPr>
        <w:t>incidencie</w:t>
      </w:r>
      <w:proofErr w:type="spellEnd"/>
      <w:r w:rsidR="00C17785" w:rsidRPr="00823BDC">
        <w:rPr>
          <w:szCs w:val="22"/>
        </w:rPr>
        <w:t xml:space="preserve"> </w:t>
      </w:r>
      <w:r w:rsidRPr="00823BDC">
        <w:rPr>
          <w:szCs w:val="22"/>
        </w:rPr>
        <w:t xml:space="preserve">vopred stanovených nežiaducich </w:t>
      </w:r>
      <w:r w:rsidR="00171900" w:rsidRPr="00823BDC">
        <w:rPr>
          <w:szCs w:val="22"/>
        </w:rPr>
        <w:t xml:space="preserve">udalostí </w:t>
      </w:r>
      <w:r w:rsidRPr="00823BDC">
        <w:rPr>
          <w:szCs w:val="22"/>
        </w:rPr>
        <w:t xml:space="preserve">vrátane rakoviny (9,4 % pri </w:t>
      </w:r>
      <w:proofErr w:type="spellStart"/>
      <w:r w:rsidR="00D45884" w:rsidRPr="00823BDC">
        <w:rPr>
          <w:szCs w:val="22"/>
        </w:rPr>
        <w:t>ezetimibe</w:t>
      </w:r>
      <w:proofErr w:type="spellEnd"/>
      <w:r w:rsidR="00D45884" w:rsidRPr="00823BDC">
        <w:rPr>
          <w:szCs w:val="22"/>
        </w:rPr>
        <w:t>/</w:t>
      </w:r>
      <w:proofErr w:type="spellStart"/>
      <w:r w:rsidR="00D45884" w:rsidRPr="00823BDC">
        <w:rPr>
          <w:szCs w:val="22"/>
        </w:rPr>
        <w:t>simvastatíne</w:t>
      </w:r>
      <w:proofErr w:type="spellEnd"/>
      <w:r w:rsidRPr="00823BDC">
        <w:rPr>
          <w:szCs w:val="22"/>
        </w:rPr>
        <w:t xml:space="preserve">, 9,5 % pri placebe), hepatitídy, </w:t>
      </w:r>
      <w:proofErr w:type="spellStart"/>
      <w:r w:rsidRPr="00823BDC">
        <w:rPr>
          <w:szCs w:val="22"/>
        </w:rPr>
        <w:t>cholecystektómie</w:t>
      </w:r>
      <w:proofErr w:type="spellEnd"/>
      <w:r w:rsidRPr="00823BDC">
        <w:rPr>
          <w:szCs w:val="22"/>
        </w:rPr>
        <w:t xml:space="preserve"> alebo komplikácií žlčových kameňov alebo pankreatitídy.</w:t>
      </w:r>
    </w:p>
    <w:p w14:paraId="5A8F191A" w14:textId="77777777" w:rsidR="00FA32A6" w:rsidRPr="00823BDC" w:rsidRDefault="00FA32A6">
      <w:pPr>
        <w:adjustRightInd w:val="0"/>
        <w:snapToGrid w:val="0"/>
        <w:rPr>
          <w:szCs w:val="22"/>
        </w:rPr>
      </w:pPr>
    </w:p>
    <w:p w14:paraId="3EC2EF1C" w14:textId="77777777" w:rsidR="00D044EB" w:rsidRPr="00823BDC" w:rsidRDefault="00D62E2D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Výsledky laboratórnych vyšetrení</w:t>
      </w:r>
    </w:p>
    <w:p w14:paraId="575BD7E4" w14:textId="057C59D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V skúša</w:t>
      </w:r>
      <w:r w:rsidR="00790DC3" w:rsidRPr="00823BDC">
        <w:rPr>
          <w:szCs w:val="22"/>
        </w:rPr>
        <w:t>nia</w:t>
      </w:r>
      <w:r w:rsidRPr="00823BDC">
        <w:rPr>
          <w:szCs w:val="22"/>
        </w:rPr>
        <w:t>ch sú</w:t>
      </w:r>
      <w:r w:rsidR="00F57D50" w:rsidRPr="00823BDC">
        <w:rPr>
          <w:szCs w:val="22"/>
        </w:rPr>
        <w:t>bežného</w:t>
      </w:r>
      <w:r w:rsidRPr="00823BDC">
        <w:rPr>
          <w:szCs w:val="22"/>
        </w:rPr>
        <w:t xml:space="preserve"> podávania bola </w:t>
      </w:r>
      <w:proofErr w:type="spellStart"/>
      <w:r w:rsidRPr="00823BDC">
        <w:rPr>
          <w:szCs w:val="22"/>
        </w:rPr>
        <w:t>incidencia</w:t>
      </w:r>
      <w:proofErr w:type="spellEnd"/>
      <w:r w:rsidRPr="00823BDC">
        <w:rPr>
          <w:szCs w:val="22"/>
        </w:rPr>
        <w:t xml:space="preserve"> klinicky významných zvýšení </w:t>
      </w:r>
      <w:r w:rsidR="00F57D50" w:rsidRPr="00823BDC">
        <w:rPr>
          <w:szCs w:val="22"/>
        </w:rPr>
        <w:t xml:space="preserve">hladín </w:t>
      </w:r>
      <w:r w:rsidRPr="00823BDC">
        <w:rPr>
          <w:szCs w:val="22"/>
        </w:rPr>
        <w:t xml:space="preserve">sérových </w:t>
      </w:r>
      <w:proofErr w:type="spellStart"/>
      <w:r w:rsidRPr="00823BDC">
        <w:rPr>
          <w:szCs w:val="22"/>
        </w:rPr>
        <w:t>transamináz</w:t>
      </w:r>
      <w:proofErr w:type="spellEnd"/>
      <w:r w:rsidRPr="00823BDC">
        <w:rPr>
          <w:szCs w:val="22"/>
        </w:rPr>
        <w:t xml:space="preserve"> (ALT a/alebo AST ≥</w:t>
      </w:r>
      <w:r w:rsidR="00F57D50" w:rsidRPr="00823BDC">
        <w:rPr>
          <w:szCs w:val="22"/>
        </w:rPr>
        <w:t> </w:t>
      </w:r>
      <w:r w:rsidRPr="00823BDC">
        <w:rPr>
          <w:szCs w:val="22"/>
        </w:rPr>
        <w:t>3</w:t>
      </w:r>
      <w:r w:rsidRPr="00823BDC">
        <w:rPr>
          <w:szCs w:val="22"/>
        </w:rPr>
        <w:noBreakHyphen/>
        <w:t xml:space="preserve">násobok HHN, </w:t>
      </w:r>
      <w:proofErr w:type="spellStart"/>
      <w:r w:rsidRPr="00823BDC">
        <w:rPr>
          <w:szCs w:val="22"/>
        </w:rPr>
        <w:t>konsekutívne</w:t>
      </w:r>
      <w:proofErr w:type="spellEnd"/>
      <w:r w:rsidRPr="00823BDC">
        <w:rPr>
          <w:szCs w:val="22"/>
        </w:rPr>
        <w:t xml:space="preserve">) 1,7 % u pacientov liečených </w:t>
      </w:r>
      <w:proofErr w:type="spellStart"/>
      <w:r w:rsidR="00D45884" w:rsidRPr="00823BDC">
        <w:rPr>
          <w:szCs w:val="22"/>
        </w:rPr>
        <w:t>ezetimibom</w:t>
      </w:r>
      <w:proofErr w:type="spellEnd"/>
      <w:r w:rsidR="00D45884" w:rsidRPr="00823BDC">
        <w:rPr>
          <w:szCs w:val="22"/>
        </w:rPr>
        <w:t>/</w:t>
      </w:r>
      <w:proofErr w:type="spellStart"/>
      <w:r w:rsidR="00D45884" w:rsidRPr="00823BDC">
        <w:rPr>
          <w:szCs w:val="22"/>
        </w:rPr>
        <w:t>simvastatínom</w:t>
      </w:r>
      <w:proofErr w:type="spellEnd"/>
      <w:r w:rsidR="00D45884" w:rsidRPr="00823BDC">
        <w:rPr>
          <w:szCs w:val="22"/>
        </w:rPr>
        <w:t>.</w:t>
      </w:r>
      <w:r w:rsidRPr="00823BDC">
        <w:rPr>
          <w:szCs w:val="22"/>
        </w:rPr>
        <w:t xml:space="preserve"> Tieto zvýšenia boli vo</w:t>
      </w:r>
      <w:r w:rsidR="00932186" w:rsidRPr="00823BDC">
        <w:rPr>
          <w:szCs w:val="22"/>
        </w:rPr>
        <w:t xml:space="preserve"> </w:t>
      </w:r>
      <w:r w:rsidRPr="00823BDC">
        <w:rPr>
          <w:szCs w:val="22"/>
        </w:rPr>
        <w:t>všeobecnosti asymptomatické, neboli spojené s </w:t>
      </w:r>
      <w:proofErr w:type="spellStart"/>
      <w:r w:rsidRPr="00823BDC">
        <w:rPr>
          <w:szCs w:val="22"/>
        </w:rPr>
        <w:t>cholestázou</w:t>
      </w:r>
      <w:proofErr w:type="spellEnd"/>
      <w:r w:rsidRPr="00823BDC">
        <w:rPr>
          <w:szCs w:val="22"/>
        </w:rPr>
        <w:t xml:space="preserve"> a vrátili sa na východiskovú hodnotu po prerušení liečby alebo pri jej pokračovaní (</w:t>
      </w:r>
      <w:r w:rsidR="00932EFA" w:rsidRPr="00823BDC">
        <w:rPr>
          <w:szCs w:val="22"/>
        </w:rPr>
        <w:t>p</w:t>
      </w:r>
      <w:r w:rsidRPr="00823BDC">
        <w:rPr>
          <w:szCs w:val="22"/>
        </w:rPr>
        <w:t>ozri časť 4.4)</w:t>
      </w:r>
      <w:r w:rsidR="00F7371E" w:rsidRPr="00823BDC">
        <w:rPr>
          <w:szCs w:val="22"/>
        </w:rPr>
        <w:t>.</w:t>
      </w:r>
    </w:p>
    <w:p w14:paraId="7976340B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6B7919E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Klinicky významné zvýšenia CK (≥</w:t>
      </w:r>
      <w:r w:rsidR="00081701" w:rsidRPr="00823BDC">
        <w:rPr>
          <w:szCs w:val="22"/>
        </w:rPr>
        <w:t> </w:t>
      </w:r>
      <w:r w:rsidRPr="00823BDC">
        <w:rPr>
          <w:szCs w:val="22"/>
        </w:rPr>
        <w:t>10</w:t>
      </w:r>
      <w:r w:rsidR="009378A1" w:rsidRPr="00823BDC">
        <w:rPr>
          <w:szCs w:val="22"/>
        </w:rPr>
        <w:noBreakHyphen/>
        <w:t xml:space="preserve">násobok </w:t>
      </w:r>
      <w:r w:rsidRPr="00823BDC">
        <w:rPr>
          <w:szCs w:val="22"/>
        </w:rPr>
        <w:t xml:space="preserve">HHN) sa pozorovali u 0,2 % pacientov liečených </w:t>
      </w:r>
      <w:proofErr w:type="spellStart"/>
      <w:r w:rsidR="00D45884" w:rsidRPr="00823BDC">
        <w:rPr>
          <w:szCs w:val="22"/>
        </w:rPr>
        <w:t>ezetimibom</w:t>
      </w:r>
      <w:proofErr w:type="spellEnd"/>
      <w:r w:rsidR="00D45884" w:rsidRPr="00823BDC">
        <w:rPr>
          <w:szCs w:val="22"/>
        </w:rPr>
        <w:t>/</w:t>
      </w:r>
      <w:proofErr w:type="spellStart"/>
      <w:r w:rsidR="00D45884"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>.</w:t>
      </w:r>
    </w:p>
    <w:p w14:paraId="0B5A2B8D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1D4568D6" w14:textId="77777777" w:rsidR="00D044EB" w:rsidRPr="00823BDC" w:rsidRDefault="00516B93">
      <w:pPr>
        <w:keepNext/>
        <w:adjustRightInd w:val="0"/>
        <w:snapToGrid w:val="0"/>
        <w:rPr>
          <w:bCs/>
          <w:iCs/>
          <w:szCs w:val="22"/>
          <w:u w:val="single"/>
        </w:rPr>
      </w:pPr>
      <w:r w:rsidRPr="00823BDC">
        <w:rPr>
          <w:bCs/>
          <w:iCs/>
          <w:szCs w:val="22"/>
          <w:u w:val="single"/>
        </w:rPr>
        <w:t>S</w:t>
      </w:r>
      <w:r w:rsidR="00D044EB" w:rsidRPr="00823BDC">
        <w:rPr>
          <w:bCs/>
          <w:iCs/>
          <w:szCs w:val="22"/>
          <w:u w:val="single"/>
        </w:rPr>
        <w:t>kúsenosti</w:t>
      </w:r>
      <w:r w:rsidRPr="00823BDC">
        <w:rPr>
          <w:bCs/>
          <w:iCs/>
          <w:szCs w:val="22"/>
          <w:u w:val="single"/>
        </w:rPr>
        <w:t xml:space="preserve"> po uvedení lieku na trh</w:t>
      </w:r>
    </w:p>
    <w:p w14:paraId="0AD39E74" w14:textId="77777777" w:rsidR="00D044EB" w:rsidRPr="00823BDC" w:rsidRDefault="00516B93">
      <w:pPr>
        <w:adjustRightInd w:val="0"/>
        <w:snapToGrid w:val="0"/>
        <w:rPr>
          <w:bCs/>
          <w:szCs w:val="22"/>
        </w:rPr>
      </w:pPr>
      <w:r w:rsidRPr="00823BDC">
        <w:rPr>
          <w:bCs/>
          <w:iCs/>
          <w:szCs w:val="22"/>
        </w:rPr>
        <w:t xml:space="preserve">Pri používaní </w:t>
      </w:r>
      <w:proofErr w:type="spellStart"/>
      <w:r w:rsidR="00985102" w:rsidRPr="00823BDC">
        <w:rPr>
          <w:bCs/>
          <w:iCs/>
          <w:szCs w:val="22"/>
        </w:rPr>
        <w:t>ezetimibu</w:t>
      </w:r>
      <w:proofErr w:type="spellEnd"/>
      <w:r w:rsidR="00985102" w:rsidRPr="00823BDC">
        <w:rPr>
          <w:bCs/>
          <w:iCs/>
          <w:szCs w:val="22"/>
        </w:rPr>
        <w:t>/</w:t>
      </w:r>
      <w:proofErr w:type="spellStart"/>
      <w:r w:rsidR="00985102" w:rsidRPr="00823BDC">
        <w:rPr>
          <w:bCs/>
          <w:iCs/>
          <w:szCs w:val="22"/>
        </w:rPr>
        <w:t>simvastatínu</w:t>
      </w:r>
      <w:proofErr w:type="spellEnd"/>
      <w:r w:rsidRPr="00823BDC">
        <w:rPr>
          <w:bCs/>
          <w:iCs/>
          <w:szCs w:val="22"/>
        </w:rPr>
        <w:t xml:space="preserve"> </w:t>
      </w:r>
      <w:r w:rsidR="00790DC3" w:rsidRPr="00823BDC">
        <w:rPr>
          <w:bCs/>
          <w:iCs/>
          <w:szCs w:val="22"/>
        </w:rPr>
        <w:t>po uvedení na trh</w:t>
      </w:r>
      <w:r w:rsidRPr="00823BDC">
        <w:rPr>
          <w:bCs/>
          <w:iCs/>
          <w:szCs w:val="22"/>
        </w:rPr>
        <w:t xml:space="preserve"> alebo počas klinických štúdií alebo </w:t>
      </w:r>
      <w:r w:rsidR="00A81176" w:rsidRPr="00823BDC">
        <w:rPr>
          <w:bCs/>
          <w:iCs/>
          <w:szCs w:val="22"/>
        </w:rPr>
        <w:t>pri používaní</w:t>
      </w:r>
      <w:r w:rsidRPr="00823BDC">
        <w:rPr>
          <w:bCs/>
          <w:iCs/>
          <w:szCs w:val="22"/>
        </w:rPr>
        <w:t xml:space="preserve"> jednej z jeho zložiek </w:t>
      </w:r>
      <w:r w:rsidR="00CF390A" w:rsidRPr="00823BDC">
        <w:rPr>
          <w:bCs/>
          <w:iCs/>
          <w:szCs w:val="22"/>
        </w:rPr>
        <w:t>po uvedení na trh</w:t>
      </w:r>
      <w:r w:rsidRPr="00823BDC">
        <w:rPr>
          <w:bCs/>
          <w:iCs/>
          <w:szCs w:val="22"/>
        </w:rPr>
        <w:t xml:space="preserve"> boli hlásené nasledujúce </w:t>
      </w:r>
      <w:r w:rsidR="00545EDC" w:rsidRPr="00823BDC">
        <w:rPr>
          <w:bCs/>
          <w:iCs/>
          <w:szCs w:val="22"/>
        </w:rPr>
        <w:t xml:space="preserve">ďalšie </w:t>
      </w:r>
      <w:r w:rsidRPr="00823BDC">
        <w:rPr>
          <w:bCs/>
          <w:iCs/>
          <w:szCs w:val="22"/>
        </w:rPr>
        <w:t>nežiaduce reakcie.</w:t>
      </w:r>
    </w:p>
    <w:p w14:paraId="73729145" w14:textId="77777777" w:rsidR="00D044EB" w:rsidRPr="00823BDC" w:rsidRDefault="00D044EB">
      <w:pPr>
        <w:adjustRightInd w:val="0"/>
        <w:snapToGrid w:val="0"/>
        <w:rPr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4"/>
        <w:gridCol w:w="4246"/>
      </w:tblGrid>
      <w:tr w:rsidR="00A452B2" w:rsidRPr="00823BDC" w14:paraId="0844AE63" w14:textId="77777777" w:rsidTr="005A1FB7">
        <w:trPr>
          <w:trHeight w:val="87"/>
        </w:trPr>
        <w:tc>
          <w:tcPr>
            <w:tcW w:w="2657" w:type="pct"/>
          </w:tcPr>
          <w:p w14:paraId="786DF2F0" w14:textId="77777777" w:rsidR="00A452B2" w:rsidRPr="00823BDC" w:rsidRDefault="005B0071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r w:rsidRPr="00823BDC">
              <w:rPr>
                <w:b/>
                <w:szCs w:val="22"/>
              </w:rPr>
              <w:t>Trieda orgánového systému</w:t>
            </w:r>
          </w:p>
        </w:tc>
        <w:tc>
          <w:tcPr>
            <w:tcW w:w="2343" w:type="pct"/>
          </w:tcPr>
          <w:p w14:paraId="2D0DDF85" w14:textId="77777777" w:rsidR="00A452B2" w:rsidRPr="00823BDC" w:rsidRDefault="005B0071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r w:rsidRPr="00823BDC">
              <w:rPr>
                <w:b/>
                <w:szCs w:val="22"/>
              </w:rPr>
              <w:t>Nežiaduce reakcie</w:t>
            </w:r>
          </w:p>
        </w:tc>
      </w:tr>
      <w:tr w:rsidR="00A452B2" w:rsidRPr="00823BDC" w14:paraId="55F834A9" w14:textId="77777777" w:rsidTr="005A1FB7">
        <w:trPr>
          <w:trHeight w:val="87"/>
        </w:trPr>
        <w:tc>
          <w:tcPr>
            <w:tcW w:w="2657" w:type="pct"/>
          </w:tcPr>
          <w:p w14:paraId="4DE2C0DD" w14:textId="77777777" w:rsidR="00A452B2" w:rsidRPr="00A6540D" w:rsidRDefault="00A91D63" w:rsidP="00F004C3">
            <w:pPr>
              <w:adjustRightInd w:val="0"/>
              <w:snapToGrid w:val="0"/>
              <w:rPr>
                <w:bCs/>
                <w:iCs/>
                <w:szCs w:val="22"/>
              </w:rPr>
            </w:pPr>
            <w:r w:rsidRPr="00A6540D">
              <w:rPr>
                <w:bCs/>
                <w:iCs/>
                <w:szCs w:val="22"/>
              </w:rPr>
              <w:t>Poruchy krvi a lymfatického systému</w:t>
            </w:r>
          </w:p>
        </w:tc>
        <w:tc>
          <w:tcPr>
            <w:tcW w:w="2343" w:type="pct"/>
          </w:tcPr>
          <w:p w14:paraId="0F0DC145" w14:textId="77777777" w:rsidR="00A452B2" w:rsidRPr="00823BDC" w:rsidRDefault="00A452B2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proofErr w:type="spellStart"/>
            <w:r w:rsidRPr="00823BDC">
              <w:rPr>
                <w:bCs/>
                <w:iCs/>
                <w:szCs w:val="22"/>
              </w:rPr>
              <w:t>trombocytopénia</w:t>
            </w:r>
            <w:proofErr w:type="spellEnd"/>
          </w:p>
          <w:p w14:paraId="1DBC2586" w14:textId="77777777" w:rsidR="00A452B2" w:rsidRPr="00823BDC" w:rsidRDefault="00A452B2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proofErr w:type="spellStart"/>
            <w:r w:rsidRPr="00823BDC">
              <w:rPr>
                <w:bCs/>
                <w:iCs/>
                <w:szCs w:val="22"/>
                <w:lang w:val="en-GB"/>
              </w:rPr>
              <w:t>anémia</w:t>
            </w:r>
            <w:proofErr w:type="spellEnd"/>
          </w:p>
        </w:tc>
      </w:tr>
      <w:tr w:rsidR="00A452B2" w:rsidRPr="00823BDC" w14:paraId="1A479638" w14:textId="77777777" w:rsidTr="005A1FB7">
        <w:trPr>
          <w:trHeight w:val="87"/>
        </w:trPr>
        <w:tc>
          <w:tcPr>
            <w:tcW w:w="2657" w:type="pct"/>
          </w:tcPr>
          <w:p w14:paraId="2E090CF7" w14:textId="77777777" w:rsidR="00A452B2" w:rsidRPr="00823BDC" w:rsidRDefault="00A91D63" w:rsidP="00F004C3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proofErr w:type="spellStart"/>
            <w:r w:rsidRPr="00823BDC">
              <w:rPr>
                <w:bCs/>
                <w:iCs/>
                <w:szCs w:val="22"/>
                <w:lang w:val="en-GB"/>
              </w:rPr>
              <w:t>Poruchy</w:t>
            </w:r>
            <w:proofErr w:type="spellEnd"/>
            <w:r w:rsidRPr="00823BDC">
              <w:rPr>
                <w:bCs/>
                <w:iCs/>
                <w:szCs w:val="22"/>
                <w:lang w:val="en-GB"/>
              </w:rPr>
              <w:t xml:space="preserve"> </w:t>
            </w:r>
            <w:proofErr w:type="spellStart"/>
            <w:r w:rsidRPr="00823BDC">
              <w:rPr>
                <w:bCs/>
                <w:iCs/>
                <w:szCs w:val="22"/>
                <w:lang w:val="en-GB"/>
              </w:rPr>
              <w:t>imunitného</w:t>
            </w:r>
            <w:proofErr w:type="spellEnd"/>
            <w:r w:rsidRPr="00823BDC">
              <w:rPr>
                <w:bCs/>
                <w:iCs/>
                <w:szCs w:val="22"/>
                <w:lang w:val="en-GB"/>
              </w:rPr>
              <w:t xml:space="preserve"> </w:t>
            </w:r>
            <w:proofErr w:type="spellStart"/>
            <w:r w:rsidRPr="00823BDC">
              <w:rPr>
                <w:bCs/>
                <w:iCs/>
                <w:szCs w:val="22"/>
                <w:lang w:val="en-GB"/>
              </w:rPr>
              <w:t>systému</w:t>
            </w:r>
            <w:proofErr w:type="spellEnd"/>
          </w:p>
        </w:tc>
        <w:tc>
          <w:tcPr>
            <w:tcW w:w="2343" w:type="pct"/>
          </w:tcPr>
          <w:p w14:paraId="2C4323D8" w14:textId="77777777" w:rsidR="00A452B2" w:rsidRPr="00823BDC" w:rsidRDefault="00A91D63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r w:rsidRPr="00823BDC">
              <w:rPr>
                <w:bCs/>
                <w:iCs/>
                <w:szCs w:val="22"/>
              </w:rPr>
              <w:t>precitlivenosť</w:t>
            </w:r>
          </w:p>
          <w:p w14:paraId="26C2CD38" w14:textId="77777777" w:rsidR="00A452B2" w:rsidRPr="00823BDC" w:rsidRDefault="00A91D63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proofErr w:type="spellStart"/>
            <w:r w:rsidRPr="00823BDC">
              <w:rPr>
                <w:bCs/>
                <w:iCs/>
                <w:szCs w:val="22"/>
              </w:rPr>
              <w:t>anafylaxia</w:t>
            </w:r>
            <w:proofErr w:type="spellEnd"/>
            <w:r w:rsidRPr="00823BDC">
              <w:rPr>
                <w:bCs/>
                <w:iCs/>
                <w:szCs w:val="22"/>
              </w:rPr>
              <w:t xml:space="preserve"> </w:t>
            </w:r>
            <w:r w:rsidR="00A452B2" w:rsidRPr="00823BDC">
              <w:rPr>
                <w:bCs/>
                <w:iCs/>
                <w:szCs w:val="22"/>
                <w:lang w:val="en-GB"/>
              </w:rPr>
              <w:t>(</w:t>
            </w:r>
            <w:r w:rsidRPr="00823BDC">
              <w:rPr>
                <w:bCs/>
                <w:iCs/>
                <w:szCs w:val="22"/>
              </w:rPr>
              <w:t>veľmi zriedkavé</w:t>
            </w:r>
            <w:r w:rsidR="00A452B2" w:rsidRPr="00823BDC">
              <w:rPr>
                <w:bCs/>
                <w:iCs/>
                <w:szCs w:val="22"/>
                <w:lang w:val="en-GB"/>
              </w:rPr>
              <w:t>)</w:t>
            </w:r>
          </w:p>
        </w:tc>
      </w:tr>
      <w:tr w:rsidR="00A452B2" w:rsidRPr="00823BDC" w14:paraId="6543AE4D" w14:textId="77777777" w:rsidTr="005A1FB7">
        <w:trPr>
          <w:trHeight w:val="87"/>
        </w:trPr>
        <w:tc>
          <w:tcPr>
            <w:tcW w:w="2657" w:type="pct"/>
          </w:tcPr>
          <w:p w14:paraId="475A90A6" w14:textId="77777777" w:rsidR="00A452B2" w:rsidRPr="00823BDC" w:rsidRDefault="00A91D63" w:rsidP="00F004C3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proofErr w:type="spellStart"/>
            <w:r w:rsidRPr="00823BDC">
              <w:rPr>
                <w:bCs/>
                <w:iCs/>
                <w:szCs w:val="22"/>
                <w:lang w:val="en-GB"/>
              </w:rPr>
              <w:t>Poruchy</w:t>
            </w:r>
            <w:proofErr w:type="spellEnd"/>
            <w:r w:rsidRPr="00823BDC">
              <w:rPr>
                <w:bCs/>
                <w:iCs/>
                <w:szCs w:val="22"/>
                <w:lang w:val="en-GB"/>
              </w:rPr>
              <w:t xml:space="preserve"> </w:t>
            </w:r>
            <w:proofErr w:type="spellStart"/>
            <w:r w:rsidRPr="00823BDC">
              <w:rPr>
                <w:bCs/>
                <w:iCs/>
                <w:szCs w:val="22"/>
                <w:lang w:val="en-GB"/>
              </w:rPr>
              <w:t>metabolizmu</w:t>
            </w:r>
            <w:proofErr w:type="spellEnd"/>
            <w:r w:rsidRPr="00823BDC">
              <w:rPr>
                <w:bCs/>
                <w:iCs/>
                <w:szCs w:val="22"/>
                <w:lang w:val="en-GB"/>
              </w:rPr>
              <w:t xml:space="preserve"> a </w:t>
            </w:r>
            <w:proofErr w:type="spellStart"/>
            <w:r w:rsidRPr="00823BDC">
              <w:rPr>
                <w:bCs/>
                <w:iCs/>
                <w:szCs w:val="22"/>
                <w:lang w:val="en-GB"/>
              </w:rPr>
              <w:t>výživy</w:t>
            </w:r>
            <w:proofErr w:type="spellEnd"/>
          </w:p>
        </w:tc>
        <w:tc>
          <w:tcPr>
            <w:tcW w:w="2343" w:type="pct"/>
          </w:tcPr>
          <w:p w14:paraId="786C13E2" w14:textId="77777777" w:rsidR="00A452B2" w:rsidRPr="00823BDC" w:rsidRDefault="00A91D63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r w:rsidRPr="00823BDC">
              <w:rPr>
                <w:bCs/>
                <w:iCs/>
                <w:szCs w:val="22"/>
              </w:rPr>
              <w:t>zníženie chuti do jedla</w:t>
            </w:r>
          </w:p>
        </w:tc>
      </w:tr>
      <w:tr w:rsidR="00A452B2" w:rsidRPr="00823BDC" w14:paraId="3EEE3ED6" w14:textId="77777777" w:rsidTr="005A1FB7">
        <w:trPr>
          <w:trHeight w:val="88"/>
        </w:trPr>
        <w:tc>
          <w:tcPr>
            <w:tcW w:w="2657" w:type="pct"/>
          </w:tcPr>
          <w:p w14:paraId="70829AB5" w14:textId="77777777" w:rsidR="00A452B2" w:rsidRPr="00823BDC" w:rsidRDefault="00A91D63" w:rsidP="00F004C3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proofErr w:type="spellStart"/>
            <w:r w:rsidRPr="00823BDC">
              <w:rPr>
                <w:bCs/>
                <w:iCs/>
                <w:szCs w:val="22"/>
                <w:lang w:val="en-GB"/>
              </w:rPr>
              <w:t>Psychické</w:t>
            </w:r>
            <w:proofErr w:type="spellEnd"/>
            <w:r w:rsidRPr="00823BDC">
              <w:rPr>
                <w:bCs/>
                <w:iCs/>
                <w:szCs w:val="22"/>
                <w:lang w:val="en-GB"/>
              </w:rPr>
              <w:t xml:space="preserve"> </w:t>
            </w:r>
            <w:proofErr w:type="spellStart"/>
            <w:r w:rsidRPr="00823BDC">
              <w:rPr>
                <w:bCs/>
                <w:iCs/>
                <w:szCs w:val="22"/>
                <w:lang w:val="en-GB"/>
              </w:rPr>
              <w:t>poruchy</w:t>
            </w:r>
            <w:proofErr w:type="spellEnd"/>
          </w:p>
        </w:tc>
        <w:tc>
          <w:tcPr>
            <w:tcW w:w="2343" w:type="pct"/>
          </w:tcPr>
          <w:p w14:paraId="5D7610AE" w14:textId="77777777" w:rsidR="00A452B2" w:rsidRPr="00823BDC" w:rsidRDefault="00A91D63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r w:rsidRPr="00823BDC">
              <w:rPr>
                <w:szCs w:val="22"/>
              </w:rPr>
              <w:t>depresia</w:t>
            </w:r>
          </w:p>
          <w:p w14:paraId="156AD807" w14:textId="77777777" w:rsidR="00A452B2" w:rsidRPr="00823BDC" w:rsidRDefault="00A91D63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proofErr w:type="spellStart"/>
            <w:r w:rsidRPr="00823BDC">
              <w:rPr>
                <w:szCs w:val="22"/>
              </w:rPr>
              <w:t>insomnia</w:t>
            </w:r>
            <w:proofErr w:type="spellEnd"/>
          </w:p>
        </w:tc>
      </w:tr>
      <w:tr w:rsidR="00A452B2" w:rsidRPr="00823BDC" w14:paraId="2FA69C5C" w14:textId="77777777" w:rsidTr="005A1FB7">
        <w:trPr>
          <w:trHeight w:val="88"/>
        </w:trPr>
        <w:tc>
          <w:tcPr>
            <w:tcW w:w="2657" w:type="pct"/>
          </w:tcPr>
          <w:p w14:paraId="54ED7DB8" w14:textId="77777777" w:rsidR="00A452B2" w:rsidRPr="00823BDC" w:rsidRDefault="00A91D63" w:rsidP="00F004C3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proofErr w:type="spellStart"/>
            <w:r w:rsidRPr="00823BDC">
              <w:rPr>
                <w:bCs/>
                <w:iCs/>
                <w:szCs w:val="22"/>
                <w:lang w:val="en-GB"/>
              </w:rPr>
              <w:t>Poruchy</w:t>
            </w:r>
            <w:proofErr w:type="spellEnd"/>
            <w:r w:rsidRPr="00823BDC">
              <w:rPr>
                <w:bCs/>
                <w:iCs/>
                <w:szCs w:val="22"/>
                <w:lang w:val="en-GB"/>
              </w:rPr>
              <w:t xml:space="preserve"> </w:t>
            </w:r>
            <w:proofErr w:type="spellStart"/>
            <w:r w:rsidRPr="00823BDC">
              <w:rPr>
                <w:bCs/>
                <w:iCs/>
                <w:szCs w:val="22"/>
                <w:lang w:val="en-GB"/>
              </w:rPr>
              <w:t>nervového</w:t>
            </w:r>
            <w:proofErr w:type="spellEnd"/>
            <w:r w:rsidRPr="00823BDC">
              <w:rPr>
                <w:bCs/>
                <w:iCs/>
                <w:szCs w:val="22"/>
                <w:lang w:val="en-GB"/>
              </w:rPr>
              <w:t xml:space="preserve"> </w:t>
            </w:r>
            <w:proofErr w:type="spellStart"/>
            <w:r w:rsidRPr="00823BDC">
              <w:rPr>
                <w:bCs/>
                <w:iCs/>
                <w:szCs w:val="22"/>
                <w:lang w:val="en-GB"/>
              </w:rPr>
              <w:t>systému</w:t>
            </w:r>
            <w:proofErr w:type="spellEnd"/>
          </w:p>
        </w:tc>
        <w:tc>
          <w:tcPr>
            <w:tcW w:w="2343" w:type="pct"/>
          </w:tcPr>
          <w:p w14:paraId="35FCDDDA" w14:textId="77777777" w:rsidR="00A452B2" w:rsidRPr="00823BDC" w:rsidRDefault="00A91D63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r w:rsidRPr="00823BDC">
              <w:rPr>
                <w:bCs/>
                <w:iCs/>
                <w:szCs w:val="22"/>
              </w:rPr>
              <w:t xml:space="preserve">periférna </w:t>
            </w:r>
            <w:proofErr w:type="spellStart"/>
            <w:r w:rsidRPr="00823BDC">
              <w:rPr>
                <w:bCs/>
                <w:iCs/>
                <w:szCs w:val="22"/>
              </w:rPr>
              <w:t>neuropatia</w:t>
            </w:r>
            <w:proofErr w:type="spellEnd"/>
          </w:p>
          <w:p w14:paraId="40D7BE26" w14:textId="77777777" w:rsidR="00A452B2" w:rsidRPr="00823BDC" w:rsidRDefault="00A91D63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r w:rsidRPr="00823BDC">
              <w:rPr>
                <w:szCs w:val="22"/>
              </w:rPr>
              <w:t>porucha pamäti</w:t>
            </w:r>
          </w:p>
        </w:tc>
      </w:tr>
      <w:tr w:rsidR="007F5FF7" w:rsidRPr="00823BDC" w14:paraId="3EE2E72C" w14:textId="77777777" w:rsidTr="005A1FB7">
        <w:trPr>
          <w:trHeight w:val="88"/>
        </w:trPr>
        <w:tc>
          <w:tcPr>
            <w:tcW w:w="2657" w:type="pct"/>
          </w:tcPr>
          <w:p w14:paraId="25C9461F" w14:textId="77777777" w:rsidR="007F5FF7" w:rsidRPr="00823BDC" w:rsidRDefault="007F5FF7" w:rsidP="00F004C3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proofErr w:type="spellStart"/>
            <w:r w:rsidRPr="00823BDC">
              <w:rPr>
                <w:bCs/>
                <w:iCs/>
                <w:szCs w:val="22"/>
                <w:lang w:val="en-GB"/>
              </w:rPr>
              <w:t>Poruchy</w:t>
            </w:r>
            <w:proofErr w:type="spellEnd"/>
            <w:r w:rsidRPr="00823BDC">
              <w:rPr>
                <w:bCs/>
                <w:iCs/>
                <w:szCs w:val="22"/>
                <w:lang w:val="en-GB"/>
              </w:rPr>
              <w:t xml:space="preserve"> </w:t>
            </w:r>
            <w:proofErr w:type="spellStart"/>
            <w:r w:rsidRPr="00823BDC">
              <w:rPr>
                <w:bCs/>
                <w:iCs/>
                <w:szCs w:val="22"/>
                <w:lang w:val="en-GB"/>
              </w:rPr>
              <w:t>oka</w:t>
            </w:r>
            <w:proofErr w:type="spellEnd"/>
          </w:p>
        </w:tc>
        <w:tc>
          <w:tcPr>
            <w:tcW w:w="2343" w:type="pct"/>
          </w:tcPr>
          <w:p w14:paraId="3593DECA" w14:textId="77777777" w:rsidR="007F5FF7" w:rsidRPr="00823BDC" w:rsidRDefault="007F5FF7" w:rsidP="000E2387">
            <w:pPr>
              <w:adjustRightInd w:val="0"/>
              <w:snapToGrid w:val="0"/>
              <w:rPr>
                <w:bCs/>
                <w:iCs/>
                <w:szCs w:val="22"/>
              </w:rPr>
            </w:pPr>
            <w:r w:rsidRPr="00823BDC">
              <w:rPr>
                <w:bCs/>
                <w:iCs/>
                <w:szCs w:val="22"/>
              </w:rPr>
              <w:t>rozmazané videnie (zriedkavé)</w:t>
            </w:r>
          </w:p>
          <w:p w14:paraId="04D6C8D3" w14:textId="77777777" w:rsidR="00425514" w:rsidRPr="00823BDC" w:rsidRDefault="00425514" w:rsidP="000E2387">
            <w:pPr>
              <w:adjustRightInd w:val="0"/>
              <w:snapToGrid w:val="0"/>
              <w:rPr>
                <w:bCs/>
                <w:iCs/>
                <w:szCs w:val="22"/>
              </w:rPr>
            </w:pPr>
            <w:r w:rsidRPr="00823BDC">
              <w:rPr>
                <w:bCs/>
                <w:iCs/>
                <w:szCs w:val="22"/>
              </w:rPr>
              <w:t>zhoršenie zraku (zriedkavé)</w:t>
            </w:r>
          </w:p>
        </w:tc>
      </w:tr>
      <w:tr w:rsidR="00A452B2" w:rsidRPr="00823BDC" w14:paraId="29F0F249" w14:textId="77777777" w:rsidTr="005A1FB7">
        <w:trPr>
          <w:trHeight w:val="88"/>
        </w:trPr>
        <w:tc>
          <w:tcPr>
            <w:tcW w:w="2657" w:type="pct"/>
          </w:tcPr>
          <w:p w14:paraId="21CB5662" w14:textId="77777777" w:rsidR="00A452B2" w:rsidRPr="00823BDC" w:rsidRDefault="00A91D63" w:rsidP="00F004C3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proofErr w:type="spellStart"/>
            <w:r w:rsidRPr="00823BDC">
              <w:rPr>
                <w:bCs/>
                <w:iCs/>
                <w:szCs w:val="22"/>
                <w:lang w:val="en-GB"/>
              </w:rPr>
              <w:t>Poruchy</w:t>
            </w:r>
            <w:proofErr w:type="spellEnd"/>
            <w:r w:rsidRPr="00823BDC">
              <w:rPr>
                <w:bCs/>
                <w:iCs/>
                <w:szCs w:val="22"/>
                <w:lang w:val="en-GB"/>
              </w:rPr>
              <w:t xml:space="preserve"> </w:t>
            </w:r>
            <w:proofErr w:type="spellStart"/>
            <w:r w:rsidRPr="00823BDC">
              <w:rPr>
                <w:bCs/>
                <w:iCs/>
                <w:szCs w:val="22"/>
                <w:lang w:val="en-GB"/>
              </w:rPr>
              <w:t>ciev</w:t>
            </w:r>
            <w:proofErr w:type="spellEnd"/>
          </w:p>
        </w:tc>
        <w:tc>
          <w:tcPr>
            <w:tcW w:w="2343" w:type="pct"/>
          </w:tcPr>
          <w:p w14:paraId="10BDA773" w14:textId="77777777" w:rsidR="00A452B2" w:rsidRPr="00823BDC" w:rsidRDefault="00A91D63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r w:rsidRPr="00823BDC">
              <w:rPr>
                <w:bCs/>
                <w:iCs/>
                <w:szCs w:val="22"/>
              </w:rPr>
              <w:t>nával tepla</w:t>
            </w:r>
          </w:p>
          <w:p w14:paraId="56CDA2F2" w14:textId="77777777" w:rsidR="00A452B2" w:rsidRPr="00823BDC" w:rsidRDefault="00A91D63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r w:rsidRPr="00823BDC">
              <w:rPr>
                <w:bCs/>
                <w:iCs/>
                <w:szCs w:val="22"/>
              </w:rPr>
              <w:t>hypertenzia</w:t>
            </w:r>
          </w:p>
        </w:tc>
      </w:tr>
      <w:tr w:rsidR="00A452B2" w:rsidRPr="00823BDC" w14:paraId="6867FA82" w14:textId="77777777" w:rsidTr="005A1FB7">
        <w:trPr>
          <w:trHeight w:val="88"/>
        </w:trPr>
        <w:tc>
          <w:tcPr>
            <w:tcW w:w="2657" w:type="pct"/>
          </w:tcPr>
          <w:p w14:paraId="1B8BA23A" w14:textId="77777777" w:rsidR="00A452B2" w:rsidRPr="00A6540D" w:rsidRDefault="00A91D63" w:rsidP="00F004C3">
            <w:pPr>
              <w:adjustRightInd w:val="0"/>
              <w:snapToGrid w:val="0"/>
              <w:rPr>
                <w:bCs/>
                <w:iCs/>
                <w:szCs w:val="22"/>
              </w:rPr>
            </w:pPr>
            <w:r w:rsidRPr="00A6540D">
              <w:rPr>
                <w:bCs/>
                <w:iCs/>
                <w:szCs w:val="22"/>
              </w:rPr>
              <w:t xml:space="preserve">Poruchy dýchacej sústavy, hrudníka a </w:t>
            </w:r>
            <w:proofErr w:type="spellStart"/>
            <w:r w:rsidRPr="00A6540D">
              <w:rPr>
                <w:bCs/>
                <w:iCs/>
                <w:szCs w:val="22"/>
              </w:rPr>
              <w:t>mediastína</w:t>
            </w:r>
            <w:proofErr w:type="spellEnd"/>
          </w:p>
        </w:tc>
        <w:tc>
          <w:tcPr>
            <w:tcW w:w="2343" w:type="pct"/>
          </w:tcPr>
          <w:p w14:paraId="56DB5E64" w14:textId="77777777" w:rsidR="00A452B2" w:rsidRPr="00A6540D" w:rsidRDefault="00A91D63" w:rsidP="000E2387">
            <w:pPr>
              <w:adjustRightInd w:val="0"/>
              <w:snapToGrid w:val="0"/>
              <w:rPr>
                <w:bCs/>
                <w:iCs/>
                <w:szCs w:val="22"/>
              </w:rPr>
            </w:pPr>
            <w:r w:rsidRPr="00823BDC">
              <w:rPr>
                <w:szCs w:val="22"/>
              </w:rPr>
              <w:t>kašeľ</w:t>
            </w:r>
          </w:p>
          <w:p w14:paraId="38C0FB92" w14:textId="77777777" w:rsidR="00A452B2" w:rsidRPr="00A6540D" w:rsidRDefault="00A91D63" w:rsidP="000E2387">
            <w:pPr>
              <w:adjustRightInd w:val="0"/>
              <w:snapToGrid w:val="0"/>
              <w:rPr>
                <w:bCs/>
                <w:iCs/>
                <w:szCs w:val="22"/>
              </w:rPr>
            </w:pPr>
            <w:proofErr w:type="spellStart"/>
            <w:r w:rsidRPr="00823BDC">
              <w:rPr>
                <w:szCs w:val="22"/>
              </w:rPr>
              <w:t>dyspnoe</w:t>
            </w:r>
            <w:proofErr w:type="spellEnd"/>
          </w:p>
          <w:p w14:paraId="5E7FD053" w14:textId="77777777" w:rsidR="00A452B2" w:rsidRPr="00A6540D" w:rsidRDefault="00A91D63" w:rsidP="005332CD">
            <w:pPr>
              <w:adjustRightInd w:val="0"/>
              <w:snapToGrid w:val="0"/>
              <w:rPr>
                <w:bCs/>
                <w:iCs/>
                <w:szCs w:val="22"/>
              </w:rPr>
            </w:pPr>
            <w:proofErr w:type="spellStart"/>
            <w:r w:rsidRPr="00823BDC">
              <w:rPr>
                <w:szCs w:val="22"/>
              </w:rPr>
              <w:t>intersticiálne</w:t>
            </w:r>
            <w:proofErr w:type="spellEnd"/>
            <w:r w:rsidRPr="00823BDC">
              <w:rPr>
                <w:szCs w:val="22"/>
              </w:rPr>
              <w:t xml:space="preserve"> ochorenie pľúc (pozri časť 4.4)</w:t>
            </w:r>
          </w:p>
        </w:tc>
      </w:tr>
      <w:tr w:rsidR="00A452B2" w:rsidRPr="00823BDC" w14:paraId="1DDF2471" w14:textId="77777777" w:rsidTr="005A1FB7">
        <w:trPr>
          <w:trHeight w:val="471"/>
        </w:trPr>
        <w:tc>
          <w:tcPr>
            <w:tcW w:w="2657" w:type="pct"/>
          </w:tcPr>
          <w:p w14:paraId="78023ED1" w14:textId="77777777" w:rsidR="00A452B2" w:rsidRPr="00823BDC" w:rsidRDefault="00917826" w:rsidP="00F004C3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proofErr w:type="spellStart"/>
            <w:r w:rsidRPr="00823BDC">
              <w:rPr>
                <w:bCs/>
                <w:iCs/>
                <w:szCs w:val="22"/>
                <w:lang w:val="en-GB"/>
              </w:rPr>
              <w:t>Poruchy</w:t>
            </w:r>
            <w:proofErr w:type="spellEnd"/>
            <w:r w:rsidRPr="00823BDC">
              <w:rPr>
                <w:bCs/>
                <w:iCs/>
                <w:szCs w:val="22"/>
                <w:lang w:val="en-GB"/>
              </w:rPr>
              <w:t xml:space="preserve"> </w:t>
            </w:r>
            <w:proofErr w:type="spellStart"/>
            <w:r w:rsidRPr="00823BDC">
              <w:rPr>
                <w:bCs/>
                <w:iCs/>
                <w:szCs w:val="22"/>
                <w:lang w:val="en-GB"/>
              </w:rPr>
              <w:t>gastrointestinálneho</w:t>
            </w:r>
            <w:proofErr w:type="spellEnd"/>
            <w:r w:rsidRPr="00823BDC">
              <w:rPr>
                <w:bCs/>
                <w:iCs/>
                <w:szCs w:val="22"/>
                <w:lang w:val="en-GB"/>
              </w:rPr>
              <w:t xml:space="preserve"> </w:t>
            </w:r>
            <w:proofErr w:type="spellStart"/>
            <w:r w:rsidRPr="00823BDC">
              <w:rPr>
                <w:bCs/>
                <w:iCs/>
                <w:szCs w:val="22"/>
                <w:lang w:val="en-GB"/>
              </w:rPr>
              <w:t>traktu</w:t>
            </w:r>
            <w:proofErr w:type="spellEnd"/>
          </w:p>
        </w:tc>
        <w:tc>
          <w:tcPr>
            <w:tcW w:w="2343" w:type="pct"/>
          </w:tcPr>
          <w:p w14:paraId="0930BFDB" w14:textId="77777777" w:rsidR="00A452B2" w:rsidRPr="00823BDC" w:rsidRDefault="00917826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r w:rsidRPr="00823BDC">
              <w:rPr>
                <w:bCs/>
                <w:iCs/>
                <w:szCs w:val="22"/>
              </w:rPr>
              <w:t>zápcha</w:t>
            </w:r>
          </w:p>
          <w:p w14:paraId="2E3CE5A3" w14:textId="77777777" w:rsidR="00A452B2" w:rsidRPr="00823BDC" w:rsidRDefault="00917826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r w:rsidRPr="00823BDC">
              <w:rPr>
                <w:bCs/>
                <w:iCs/>
                <w:szCs w:val="22"/>
              </w:rPr>
              <w:t>pankreatitída</w:t>
            </w:r>
          </w:p>
          <w:p w14:paraId="71427714" w14:textId="77777777" w:rsidR="00A452B2" w:rsidRPr="00823BDC" w:rsidRDefault="00917826" w:rsidP="005332CD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r w:rsidRPr="00823BDC">
              <w:rPr>
                <w:bCs/>
                <w:iCs/>
                <w:szCs w:val="22"/>
              </w:rPr>
              <w:t>gastritída</w:t>
            </w:r>
          </w:p>
        </w:tc>
      </w:tr>
      <w:tr w:rsidR="00A452B2" w:rsidRPr="00823BDC" w14:paraId="53513D5A" w14:textId="77777777" w:rsidTr="005A1FB7">
        <w:trPr>
          <w:trHeight w:val="471"/>
        </w:trPr>
        <w:tc>
          <w:tcPr>
            <w:tcW w:w="2657" w:type="pct"/>
          </w:tcPr>
          <w:p w14:paraId="1485C55E" w14:textId="77777777" w:rsidR="00A452B2" w:rsidRPr="00A6540D" w:rsidRDefault="00917826" w:rsidP="00F004C3">
            <w:pPr>
              <w:adjustRightInd w:val="0"/>
              <w:snapToGrid w:val="0"/>
              <w:rPr>
                <w:bCs/>
                <w:iCs/>
                <w:szCs w:val="22"/>
                <w:lang w:val="pl-PL"/>
              </w:rPr>
            </w:pPr>
            <w:r w:rsidRPr="00A6540D">
              <w:rPr>
                <w:bCs/>
                <w:iCs/>
                <w:szCs w:val="22"/>
                <w:lang w:val="pl-PL"/>
              </w:rPr>
              <w:t xml:space="preserve">Poruchy </w:t>
            </w:r>
            <w:proofErr w:type="spellStart"/>
            <w:r w:rsidRPr="00A6540D">
              <w:rPr>
                <w:bCs/>
                <w:iCs/>
                <w:szCs w:val="22"/>
                <w:lang w:val="pl-PL"/>
              </w:rPr>
              <w:t>pečene</w:t>
            </w:r>
            <w:proofErr w:type="spellEnd"/>
            <w:r w:rsidRPr="00A6540D">
              <w:rPr>
                <w:bCs/>
                <w:iCs/>
                <w:szCs w:val="22"/>
                <w:lang w:val="pl-PL"/>
              </w:rPr>
              <w:t xml:space="preserve"> a </w:t>
            </w:r>
            <w:proofErr w:type="spellStart"/>
            <w:r w:rsidRPr="00A6540D">
              <w:rPr>
                <w:bCs/>
                <w:iCs/>
                <w:szCs w:val="22"/>
                <w:lang w:val="pl-PL"/>
              </w:rPr>
              <w:t>žlčových</w:t>
            </w:r>
            <w:proofErr w:type="spellEnd"/>
            <w:r w:rsidRPr="00A6540D">
              <w:rPr>
                <w:bCs/>
                <w:iCs/>
                <w:szCs w:val="22"/>
                <w:lang w:val="pl-PL"/>
              </w:rPr>
              <w:t xml:space="preserve"> </w:t>
            </w:r>
            <w:proofErr w:type="spellStart"/>
            <w:r w:rsidRPr="00A6540D">
              <w:rPr>
                <w:bCs/>
                <w:iCs/>
                <w:szCs w:val="22"/>
                <w:lang w:val="pl-PL"/>
              </w:rPr>
              <w:t>ciest</w:t>
            </w:r>
            <w:proofErr w:type="spellEnd"/>
          </w:p>
        </w:tc>
        <w:tc>
          <w:tcPr>
            <w:tcW w:w="2343" w:type="pct"/>
          </w:tcPr>
          <w:p w14:paraId="6AF1511B" w14:textId="77777777" w:rsidR="00917826" w:rsidRPr="00A6540D" w:rsidRDefault="00917826" w:rsidP="00F004C3">
            <w:pPr>
              <w:adjustRightInd w:val="0"/>
              <w:snapToGrid w:val="0"/>
              <w:rPr>
                <w:bCs/>
                <w:iCs/>
                <w:szCs w:val="22"/>
                <w:lang w:val="pl-PL"/>
              </w:rPr>
            </w:pPr>
            <w:r w:rsidRPr="00530542">
              <w:rPr>
                <w:bCs/>
                <w:iCs/>
                <w:szCs w:val="22"/>
              </w:rPr>
              <w:t>hepatitída/žltačka</w:t>
            </w:r>
            <w:r w:rsidRPr="00A6540D">
              <w:rPr>
                <w:bCs/>
                <w:iCs/>
                <w:szCs w:val="22"/>
                <w:lang w:val="pl-PL"/>
              </w:rPr>
              <w:t xml:space="preserve"> </w:t>
            </w:r>
          </w:p>
          <w:p w14:paraId="46C16E39" w14:textId="77777777" w:rsidR="00A452B2" w:rsidRPr="00A6540D" w:rsidRDefault="00917826" w:rsidP="000E2387">
            <w:pPr>
              <w:adjustRightInd w:val="0"/>
              <w:snapToGrid w:val="0"/>
              <w:rPr>
                <w:bCs/>
                <w:iCs/>
                <w:szCs w:val="22"/>
                <w:lang w:val="pl-PL"/>
              </w:rPr>
            </w:pPr>
            <w:r w:rsidRPr="00530542">
              <w:rPr>
                <w:bCs/>
                <w:iCs/>
                <w:szCs w:val="22"/>
              </w:rPr>
              <w:t>fatálne a nefatálne hepatálne zlyhanie</w:t>
            </w:r>
          </w:p>
          <w:p w14:paraId="05AE4C77" w14:textId="77777777" w:rsidR="00A452B2" w:rsidRPr="00CD10F1" w:rsidRDefault="00917826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proofErr w:type="spellStart"/>
            <w:r w:rsidRPr="00530542">
              <w:rPr>
                <w:bCs/>
                <w:iCs/>
                <w:szCs w:val="22"/>
              </w:rPr>
              <w:t>cholelitiáza</w:t>
            </w:r>
            <w:proofErr w:type="spellEnd"/>
          </w:p>
          <w:p w14:paraId="0AB816D9" w14:textId="77777777" w:rsidR="00A452B2" w:rsidRPr="00CD10F1" w:rsidRDefault="00917826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proofErr w:type="spellStart"/>
            <w:r w:rsidRPr="00CD10F1">
              <w:rPr>
                <w:bCs/>
                <w:iCs/>
                <w:szCs w:val="22"/>
              </w:rPr>
              <w:t>cholecystitída</w:t>
            </w:r>
            <w:proofErr w:type="spellEnd"/>
          </w:p>
        </w:tc>
      </w:tr>
      <w:tr w:rsidR="00A452B2" w:rsidRPr="00823BDC" w14:paraId="06EA3804" w14:textId="77777777" w:rsidTr="005A1FB7">
        <w:trPr>
          <w:trHeight w:val="216"/>
        </w:trPr>
        <w:tc>
          <w:tcPr>
            <w:tcW w:w="2657" w:type="pct"/>
          </w:tcPr>
          <w:p w14:paraId="6EAB7A36" w14:textId="77777777" w:rsidR="00A452B2" w:rsidRPr="00A6540D" w:rsidRDefault="00A91D63" w:rsidP="00F004C3">
            <w:pPr>
              <w:adjustRightInd w:val="0"/>
              <w:snapToGrid w:val="0"/>
              <w:rPr>
                <w:bCs/>
                <w:iCs/>
                <w:szCs w:val="22"/>
                <w:lang w:val="pl-PL"/>
              </w:rPr>
            </w:pPr>
            <w:r w:rsidRPr="00A6540D">
              <w:rPr>
                <w:bCs/>
                <w:iCs/>
                <w:szCs w:val="22"/>
                <w:lang w:val="pl-PL"/>
              </w:rPr>
              <w:lastRenderedPageBreak/>
              <w:t xml:space="preserve">Poruchy </w:t>
            </w:r>
            <w:proofErr w:type="spellStart"/>
            <w:r w:rsidRPr="00A6540D">
              <w:rPr>
                <w:bCs/>
                <w:iCs/>
                <w:szCs w:val="22"/>
                <w:lang w:val="pl-PL"/>
              </w:rPr>
              <w:t>kože</w:t>
            </w:r>
            <w:proofErr w:type="spellEnd"/>
            <w:r w:rsidRPr="00A6540D">
              <w:rPr>
                <w:bCs/>
                <w:iCs/>
                <w:szCs w:val="22"/>
                <w:lang w:val="pl-PL"/>
              </w:rPr>
              <w:t xml:space="preserve"> a </w:t>
            </w:r>
            <w:proofErr w:type="spellStart"/>
            <w:r w:rsidRPr="00A6540D">
              <w:rPr>
                <w:bCs/>
                <w:iCs/>
                <w:szCs w:val="22"/>
                <w:lang w:val="pl-PL"/>
              </w:rPr>
              <w:t>podkožného</w:t>
            </w:r>
            <w:proofErr w:type="spellEnd"/>
            <w:r w:rsidRPr="00A6540D">
              <w:rPr>
                <w:bCs/>
                <w:iCs/>
                <w:szCs w:val="22"/>
                <w:lang w:val="pl-PL"/>
              </w:rPr>
              <w:t xml:space="preserve"> </w:t>
            </w:r>
            <w:proofErr w:type="spellStart"/>
            <w:r w:rsidRPr="00A6540D">
              <w:rPr>
                <w:bCs/>
                <w:iCs/>
                <w:szCs w:val="22"/>
                <w:lang w:val="pl-PL"/>
              </w:rPr>
              <w:t>tkaniva</w:t>
            </w:r>
            <w:proofErr w:type="spellEnd"/>
          </w:p>
        </w:tc>
        <w:tc>
          <w:tcPr>
            <w:tcW w:w="2343" w:type="pct"/>
          </w:tcPr>
          <w:p w14:paraId="437C65A0" w14:textId="77777777" w:rsidR="00A452B2" w:rsidRPr="00A6540D" w:rsidRDefault="00A91D63" w:rsidP="00F004C3">
            <w:pPr>
              <w:adjustRightInd w:val="0"/>
              <w:snapToGrid w:val="0"/>
              <w:rPr>
                <w:bCs/>
                <w:iCs/>
                <w:szCs w:val="22"/>
                <w:lang w:val="pl-PL"/>
              </w:rPr>
            </w:pPr>
            <w:proofErr w:type="spellStart"/>
            <w:r w:rsidRPr="00F235BA">
              <w:rPr>
                <w:bCs/>
                <w:iCs/>
                <w:szCs w:val="22"/>
              </w:rPr>
              <w:t>alopécia</w:t>
            </w:r>
            <w:proofErr w:type="spellEnd"/>
          </w:p>
          <w:p w14:paraId="16537648" w14:textId="77777777" w:rsidR="00A452B2" w:rsidRPr="00A6540D" w:rsidRDefault="00A91D63" w:rsidP="000E2387">
            <w:pPr>
              <w:adjustRightInd w:val="0"/>
              <w:snapToGrid w:val="0"/>
              <w:rPr>
                <w:bCs/>
                <w:iCs/>
                <w:szCs w:val="22"/>
                <w:lang w:val="pl-PL"/>
              </w:rPr>
            </w:pPr>
            <w:proofErr w:type="spellStart"/>
            <w:r w:rsidRPr="00F235BA">
              <w:rPr>
                <w:bCs/>
                <w:iCs/>
                <w:szCs w:val="22"/>
              </w:rPr>
              <w:t>multiformný</w:t>
            </w:r>
            <w:proofErr w:type="spellEnd"/>
            <w:r w:rsidRPr="00F235BA">
              <w:rPr>
                <w:bCs/>
                <w:iCs/>
                <w:szCs w:val="22"/>
              </w:rPr>
              <w:t xml:space="preserve"> </w:t>
            </w:r>
            <w:proofErr w:type="spellStart"/>
            <w:r w:rsidRPr="00F235BA">
              <w:rPr>
                <w:bCs/>
                <w:iCs/>
                <w:szCs w:val="22"/>
              </w:rPr>
              <w:t>erytém</w:t>
            </w:r>
            <w:proofErr w:type="spellEnd"/>
          </w:p>
          <w:p w14:paraId="1AED62C1" w14:textId="77777777" w:rsidR="00A452B2" w:rsidRPr="00A6540D" w:rsidRDefault="00A91D63" w:rsidP="000E2387">
            <w:pPr>
              <w:adjustRightInd w:val="0"/>
              <w:snapToGrid w:val="0"/>
              <w:rPr>
                <w:bCs/>
                <w:iCs/>
                <w:szCs w:val="22"/>
                <w:lang w:val="pl-PL"/>
              </w:rPr>
            </w:pPr>
            <w:r w:rsidRPr="00F235BA">
              <w:rPr>
                <w:bCs/>
                <w:iCs/>
                <w:szCs w:val="22"/>
              </w:rPr>
              <w:t>vyrážka</w:t>
            </w:r>
          </w:p>
          <w:p w14:paraId="1FF23B3D" w14:textId="77777777" w:rsidR="00A452B2" w:rsidRPr="00A6540D" w:rsidRDefault="00A91D63" w:rsidP="000E2387">
            <w:pPr>
              <w:adjustRightInd w:val="0"/>
              <w:snapToGrid w:val="0"/>
              <w:rPr>
                <w:bCs/>
                <w:iCs/>
                <w:szCs w:val="22"/>
                <w:lang w:val="pl-PL"/>
              </w:rPr>
            </w:pPr>
            <w:proofErr w:type="spellStart"/>
            <w:r w:rsidRPr="00F235BA">
              <w:rPr>
                <w:bCs/>
                <w:iCs/>
                <w:szCs w:val="22"/>
              </w:rPr>
              <w:t>urtikária</w:t>
            </w:r>
            <w:proofErr w:type="spellEnd"/>
          </w:p>
          <w:p w14:paraId="2AD764AF" w14:textId="77777777" w:rsidR="00A452B2" w:rsidRPr="00BD6413" w:rsidRDefault="00A91D63" w:rsidP="000E2387">
            <w:pPr>
              <w:adjustRightInd w:val="0"/>
              <w:snapToGrid w:val="0"/>
              <w:rPr>
                <w:bCs/>
                <w:iCs/>
                <w:szCs w:val="22"/>
              </w:rPr>
            </w:pPr>
            <w:proofErr w:type="spellStart"/>
            <w:r w:rsidRPr="00F235BA">
              <w:rPr>
                <w:bCs/>
                <w:iCs/>
                <w:szCs w:val="22"/>
              </w:rPr>
              <w:t>angioedém</w:t>
            </w:r>
            <w:proofErr w:type="spellEnd"/>
          </w:p>
          <w:p w14:paraId="243E5907" w14:textId="77777777" w:rsidR="00425514" w:rsidRPr="00A6540D" w:rsidRDefault="00425514" w:rsidP="000E2387">
            <w:pPr>
              <w:adjustRightInd w:val="0"/>
              <w:snapToGrid w:val="0"/>
              <w:rPr>
                <w:bCs/>
                <w:iCs/>
                <w:szCs w:val="22"/>
              </w:rPr>
            </w:pPr>
            <w:proofErr w:type="spellStart"/>
            <w:r w:rsidRPr="00A6540D">
              <w:rPr>
                <w:bCs/>
                <w:iCs/>
                <w:szCs w:val="22"/>
              </w:rPr>
              <w:t>lichenoidné</w:t>
            </w:r>
            <w:proofErr w:type="spellEnd"/>
            <w:r w:rsidRPr="00A6540D">
              <w:rPr>
                <w:bCs/>
                <w:iCs/>
                <w:szCs w:val="22"/>
              </w:rPr>
              <w:t xml:space="preserve"> liekové vyrážky (veľmi zriedkavé)</w:t>
            </w:r>
          </w:p>
        </w:tc>
      </w:tr>
      <w:tr w:rsidR="00A452B2" w:rsidRPr="00823BDC" w14:paraId="2ACB08A3" w14:textId="77777777" w:rsidTr="005A1FB7">
        <w:trPr>
          <w:trHeight w:val="629"/>
        </w:trPr>
        <w:tc>
          <w:tcPr>
            <w:tcW w:w="2657" w:type="pct"/>
          </w:tcPr>
          <w:p w14:paraId="62739617" w14:textId="77777777" w:rsidR="00A452B2" w:rsidRPr="00A6540D" w:rsidRDefault="00917826" w:rsidP="00F004C3">
            <w:pPr>
              <w:adjustRightInd w:val="0"/>
              <w:snapToGrid w:val="0"/>
              <w:rPr>
                <w:bCs/>
                <w:iCs/>
                <w:szCs w:val="22"/>
              </w:rPr>
            </w:pPr>
            <w:r w:rsidRPr="00A6540D">
              <w:rPr>
                <w:bCs/>
                <w:iCs/>
                <w:szCs w:val="22"/>
              </w:rPr>
              <w:t>Poruchy kostrovej a svalovej sústavy a spojivového tkaniva</w:t>
            </w:r>
          </w:p>
        </w:tc>
        <w:tc>
          <w:tcPr>
            <w:tcW w:w="2343" w:type="pct"/>
          </w:tcPr>
          <w:p w14:paraId="0751E9BE" w14:textId="77777777" w:rsidR="00A452B2" w:rsidRPr="00A6540D" w:rsidRDefault="00917826" w:rsidP="000E2387">
            <w:pPr>
              <w:adjustRightInd w:val="0"/>
              <w:snapToGrid w:val="0"/>
              <w:rPr>
                <w:bCs/>
                <w:iCs/>
                <w:szCs w:val="22"/>
              </w:rPr>
            </w:pPr>
            <w:r w:rsidRPr="00F235BA">
              <w:rPr>
                <w:bCs/>
                <w:iCs/>
                <w:szCs w:val="22"/>
              </w:rPr>
              <w:t>svalové kŕče</w:t>
            </w:r>
          </w:p>
          <w:p w14:paraId="6C80DB63" w14:textId="77777777" w:rsidR="00A452B2" w:rsidRPr="00A6540D" w:rsidRDefault="00917826" w:rsidP="000E2387">
            <w:pPr>
              <w:adjustRightInd w:val="0"/>
              <w:snapToGrid w:val="0"/>
              <w:rPr>
                <w:bCs/>
                <w:iCs/>
                <w:szCs w:val="22"/>
              </w:rPr>
            </w:pPr>
            <w:proofErr w:type="spellStart"/>
            <w:r w:rsidRPr="00F235BA">
              <w:rPr>
                <w:bCs/>
                <w:iCs/>
                <w:szCs w:val="22"/>
              </w:rPr>
              <w:t>myopatia</w:t>
            </w:r>
            <w:proofErr w:type="spellEnd"/>
            <w:r w:rsidR="00A452B2" w:rsidRPr="00A6540D">
              <w:rPr>
                <w:bCs/>
                <w:iCs/>
                <w:szCs w:val="22"/>
              </w:rPr>
              <w:t>* (</w:t>
            </w:r>
            <w:r w:rsidRPr="00F235BA">
              <w:rPr>
                <w:szCs w:val="22"/>
              </w:rPr>
              <w:t xml:space="preserve">vrátane </w:t>
            </w:r>
            <w:proofErr w:type="spellStart"/>
            <w:r w:rsidRPr="00F235BA">
              <w:rPr>
                <w:szCs w:val="22"/>
              </w:rPr>
              <w:t>myozitídy</w:t>
            </w:r>
            <w:proofErr w:type="spellEnd"/>
            <w:r w:rsidR="00A452B2" w:rsidRPr="00A6540D">
              <w:rPr>
                <w:bCs/>
                <w:iCs/>
                <w:szCs w:val="22"/>
              </w:rPr>
              <w:t>)</w:t>
            </w:r>
          </w:p>
          <w:p w14:paraId="266D5C1A" w14:textId="77777777" w:rsidR="00A452B2" w:rsidRPr="00A6540D" w:rsidRDefault="00917826" w:rsidP="000E2387">
            <w:pPr>
              <w:adjustRightInd w:val="0"/>
              <w:snapToGrid w:val="0"/>
              <w:rPr>
                <w:bCs/>
                <w:iCs/>
                <w:szCs w:val="22"/>
              </w:rPr>
            </w:pPr>
            <w:proofErr w:type="spellStart"/>
            <w:r w:rsidRPr="00F235BA">
              <w:rPr>
                <w:bCs/>
                <w:iCs/>
                <w:szCs w:val="22"/>
              </w:rPr>
              <w:t>rabdomyolýza</w:t>
            </w:r>
            <w:proofErr w:type="spellEnd"/>
            <w:r w:rsidRPr="00F235BA">
              <w:rPr>
                <w:bCs/>
                <w:iCs/>
                <w:szCs w:val="22"/>
              </w:rPr>
              <w:t xml:space="preserve"> </w:t>
            </w:r>
            <w:r w:rsidRPr="00BD6413">
              <w:rPr>
                <w:szCs w:val="22"/>
              </w:rPr>
              <w:t xml:space="preserve">s akútnym </w:t>
            </w:r>
            <w:proofErr w:type="spellStart"/>
            <w:r w:rsidRPr="00BD6413">
              <w:rPr>
                <w:szCs w:val="22"/>
              </w:rPr>
              <w:t>renálnym</w:t>
            </w:r>
            <w:proofErr w:type="spellEnd"/>
            <w:r w:rsidRPr="00BD6413">
              <w:rPr>
                <w:szCs w:val="22"/>
              </w:rPr>
              <w:t xml:space="preserve"> zlyhaním alebo bez neho</w:t>
            </w:r>
            <w:r w:rsidRPr="00BD6413">
              <w:rPr>
                <w:bCs/>
                <w:iCs/>
                <w:szCs w:val="22"/>
              </w:rPr>
              <w:t xml:space="preserve"> (pozri časť 4.4)</w:t>
            </w:r>
          </w:p>
          <w:p w14:paraId="4C732417" w14:textId="77777777" w:rsidR="00A452B2" w:rsidRPr="00A6540D" w:rsidRDefault="00917826" w:rsidP="000E2387">
            <w:pPr>
              <w:adjustRightInd w:val="0"/>
              <w:snapToGrid w:val="0"/>
              <w:rPr>
                <w:bCs/>
                <w:iCs/>
                <w:szCs w:val="22"/>
              </w:rPr>
            </w:pPr>
            <w:proofErr w:type="spellStart"/>
            <w:r w:rsidRPr="00F235BA">
              <w:rPr>
                <w:bCs/>
                <w:iCs/>
                <w:szCs w:val="22"/>
              </w:rPr>
              <w:t>tendinopatia</w:t>
            </w:r>
            <w:proofErr w:type="spellEnd"/>
            <w:r w:rsidR="00A452B2" w:rsidRPr="00A6540D">
              <w:rPr>
                <w:bCs/>
                <w:iCs/>
                <w:szCs w:val="22"/>
              </w:rPr>
              <w:t xml:space="preserve">, </w:t>
            </w:r>
            <w:r w:rsidRPr="00F235BA">
              <w:rPr>
                <w:bCs/>
                <w:iCs/>
                <w:szCs w:val="22"/>
              </w:rPr>
              <w:t>niekedy komplikovaná ruptúrou</w:t>
            </w:r>
          </w:p>
          <w:p w14:paraId="783C6D9B" w14:textId="77777777" w:rsidR="00A452B2" w:rsidRPr="00A6540D" w:rsidRDefault="00917826" w:rsidP="000E2387">
            <w:pPr>
              <w:adjustRightInd w:val="0"/>
              <w:snapToGrid w:val="0"/>
              <w:rPr>
                <w:bCs/>
                <w:iCs/>
                <w:szCs w:val="22"/>
              </w:rPr>
            </w:pPr>
            <w:proofErr w:type="spellStart"/>
            <w:r w:rsidRPr="00F235BA">
              <w:rPr>
                <w:szCs w:val="22"/>
                <w:lang w:eastAsia="sk-SK"/>
              </w:rPr>
              <w:t>nekrotizujúca</w:t>
            </w:r>
            <w:proofErr w:type="spellEnd"/>
            <w:r w:rsidRPr="00F235BA">
              <w:rPr>
                <w:szCs w:val="22"/>
                <w:lang w:eastAsia="sk-SK"/>
              </w:rPr>
              <w:t xml:space="preserve"> </w:t>
            </w:r>
            <w:proofErr w:type="spellStart"/>
            <w:r w:rsidRPr="00BD6413">
              <w:rPr>
                <w:szCs w:val="22"/>
                <w:lang w:eastAsia="sk-SK"/>
              </w:rPr>
              <w:t>myopatia</w:t>
            </w:r>
            <w:proofErr w:type="spellEnd"/>
            <w:r w:rsidRPr="00BD6413">
              <w:rPr>
                <w:szCs w:val="22"/>
                <w:lang w:eastAsia="sk-SK"/>
              </w:rPr>
              <w:t xml:space="preserve"> sprostredkovaná imunitným systémom (IMNM) (frekvencia neznáma)</w:t>
            </w:r>
            <w:r w:rsidR="00A452B2" w:rsidRPr="00A6540D">
              <w:rPr>
                <w:bCs/>
                <w:iCs/>
                <w:szCs w:val="22"/>
              </w:rPr>
              <w:t>**</w:t>
            </w:r>
          </w:p>
          <w:p w14:paraId="4145B8B0" w14:textId="77777777" w:rsidR="00425514" w:rsidRPr="00A6540D" w:rsidRDefault="00425514" w:rsidP="000E2387">
            <w:pPr>
              <w:adjustRightInd w:val="0"/>
              <w:snapToGrid w:val="0"/>
              <w:rPr>
                <w:bCs/>
                <w:iCs/>
                <w:szCs w:val="22"/>
                <w:lang w:val="pl-PL"/>
              </w:rPr>
            </w:pPr>
            <w:proofErr w:type="spellStart"/>
            <w:r w:rsidRPr="00BD6413">
              <w:rPr>
                <w:bCs/>
                <w:iCs/>
                <w:szCs w:val="22"/>
                <w:lang w:val="pl-PL"/>
              </w:rPr>
              <w:t>pretrhnutie</w:t>
            </w:r>
            <w:proofErr w:type="spellEnd"/>
            <w:r w:rsidRPr="00BD6413">
              <w:rPr>
                <w:bCs/>
                <w:iCs/>
                <w:szCs w:val="22"/>
                <w:lang w:val="pl-PL"/>
              </w:rPr>
              <w:t xml:space="preserve"> </w:t>
            </w:r>
            <w:proofErr w:type="spellStart"/>
            <w:r w:rsidRPr="00BD6413">
              <w:rPr>
                <w:bCs/>
                <w:iCs/>
                <w:szCs w:val="22"/>
                <w:lang w:val="pl-PL"/>
              </w:rPr>
              <w:t>svalu</w:t>
            </w:r>
            <w:proofErr w:type="spellEnd"/>
            <w:r w:rsidRPr="00BD6413">
              <w:rPr>
                <w:bCs/>
                <w:iCs/>
                <w:szCs w:val="22"/>
                <w:lang w:val="pl-PL"/>
              </w:rPr>
              <w:t xml:space="preserve"> (</w:t>
            </w:r>
            <w:proofErr w:type="spellStart"/>
            <w:r w:rsidRPr="00BD6413">
              <w:rPr>
                <w:bCs/>
                <w:iCs/>
                <w:szCs w:val="22"/>
                <w:lang w:val="pl-PL"/>
              </w:rPr>
              <w:t>veľmi</w:t>
            </w:r>
            <w:proofErr w:type="spellEnd"/>
            <w:r w:rsidRPr="00BD6413">
              <w:rPr>
                <w:bCs/>
                <w:iCs/>
                <w:szCs w:val="22"/>
                <w:lang w:val="pl-PL"/>
              </w:rPr>
              <w:t xml:space="preserve"> </w:t>
            </w:r>
            <w:proofErr w:type="spellStart"/>
            <w:r w:rsidRPr="00BD6413">
              <w:rPr>
                <w:bCs/>
                <w:iCs/>
                <w:szCs w:val="22"/>
                <w:lang w:val="pl-PL"/>
              </w:rPr>
              <w:t>zriedkavé</w:t>
            </w:r>
            <w:proofErr w:type="spellEnd"/>
            <w:r w:rsidRPr="00BD6413">
              <w:rPr>
                <w:bCs/>
                <w:iCs/>
                <w:szCs w:val="22"/>
                <w:lang w:val="pl-PL"/>
              </w:rPr>
              <w:t>)</w:t>
            </w:r>
          </w:p>
        </w:tc>
      </w:tr>
      <w:tr w:rsidR="00A452B2" w:rsidRPr="00823BDC" w14:paraId="5FFE404B" w14:textId="77777777" w:rsidTr="005A1FB7">
        <w:trPr>
          <w:trHeight w:val="629"/>
        </w:trPr>
        <w:tc>
          <w:tcPr>
            <w:tcW w:w="2657" w:type="pct"/>
          </w:tcPr>
          <w:p w14:paraId="4A1720BE" w14:textId="77777777" w:rsidR="00A452B2" w:rsidRPr="00A6540D" w:rsidRDefault="00917826" w:rsidP="00F004C3">
            <w:pPr>
              <w:adjustRightInd w:val="0"/>
              <w:snapToGrid w:val="0"/>
              <w:rPr>
                <w:bCs/>
                <w:iCs/>
                <w:szCs w:val="22"/>
                <w:lang w:val="pl-PL"/>
              </w:rPr>
            </w:pPr>
            <w:r w:rsidRPr="00A6540D">
              <w:rPr>
                <w:bCs/>
                <w:iCs/>
                <w:szCs w:val="22"/>
                <w:lang w:val="pl-PL"/>
              </w:rPr>
              <w:t xml:space="preserve">Poruchy </w:t>
            </w:r>
            <w:proofErr w:type="spellStart"/>
            <w:r w:rsidRPr="00A6540D">
              <w:rPr>
                <w:bCs/>
                <w:iCs/>
                <w:szCs w:val="22"/>
                <w:lang w:val="pl-PL"/>
              </w:rPr>
              <w:t>reprodukčného</w:t>
            </w:r>
            <w:proofErr w:type="spellEnd"/>
            <w:r w:rsidRPr="00A6540D">
              <w:rPr>
                <w:bCs/>
                <w:iCs/>
                <w:szCs w:val="22"/>
                <w:lang w:val="pl-PL"/>
              </w:rPr>
              <w:t xml:space="preserve"> </w:t>
            </w:r>
            <w:proofErr w:type="spellStart"/>
            <w:r w:rsidRPr="00A6540D">
              <w:rPr>
                <w:bCs/>
                <w:iCs/>
                <w:szCs w:val="22"/>
                <w:lang w:val="pl-PL"/>
              </w:rPr>
              <w:t>systému</w:t>
            </w:r>
            <w:proofErr w:type="spellEnd"/>
            <w:r w:rsidRPr="00A6540D">
              <w:rPr>
                <w:bCs/>
                <w:iCs/>
                <w:szCs w:val="22"/>
                <w:lang w:val="pl-PL"/>
              </w:rPr>
              <w:t xml:space="preserve"> a </w:t>
            </w:r>
            <w:proofErr w:type="spellStart"/>
            <w:r w:rsidRPr="00A6540D">
              <w:rPr>
                <w:bCs/>
                <w:iCs/>
                <w:szCs w:val="22"/>
                <w:lang w:val="pl-PL"/>
              </w:rPr>
              <w:t>prsníkov</w:t>
            </w:r>
            <w:proofErr w:type="spellEnd"/>
          </w:p>
        </w:tc>
        <w:tc>
          <w:tcPr>
            <w:tcW w:w="2343" w:type="pct"/>
          </w:tcPr>
          <w:p w14:paraId="744FF675" w14:textId="77777777" w:rsidR="00A452B2" w:rsidRPr="00F235BA" w:rsidRDefault="00917826" w:rsidP="000E2387">
            <w:pPr>
              <w:adjustRightInd w:val="0"/>
              <w:snapToGrid w:val="0"/>
              <w:rPr>
                <w:bCs/>
                <w:iCs/>
                <w:szCs w:val="22"/>
              </w:rPr>
            </w:pPr>
            <w:r w:rsidRPr="00F235BA">
              <w:rPr>
                <w:bCs/>
                <w:iCs/>
                <w:szCs w:val="22"/>
              </w:rPr>
              <w:t>erektilná dysfunkcia</w:t>
            </w:r>
          </w:p>
          <w:p w14:paraId="3AAED3C0" w14:textId="77777777" w:rsidR="00425514" w:rsidRPr="00A6540D" w:rsidRDefault="00425514" w:rsidP="000E2387">
            <w:pPr>
              <w:adjustRightInd w:val="0"/>
              <w:snapToGrid w:val="0"/>
              <w:rPr>
                <w:bCs/>
                <w:iCs/>
                <w:szCs w:val="22"/>
                <w:lang w:val="pl-PL"/>
              </w:rPr>
            </w:pPr>
            <w:proofErr w:type="spellStart"/>
            <w:r w:rsidRPr="00A6540D">
              <w:rPr>
                <w:bCs/>
                <w:iCs/>
                <w:szCs w:val="22"/>
                <w:lang w:val="pl-PL"/>
              </w:rPr>
              <w:t>gynekomastia</w:t>
            </w:r>
            <w:proofErr w:type="spellEnd"/>
            <w:r w:rsidRPr="00A6540D">
              <w:rPr>
                <w:bCs/>
                <w:iCs/>
                <w:szCs w:val="22"/>
                <w:lang w:val="pl-PL"/>
              </w:rPr>
              <w:t xml:space="preserve"> (</w:t>
            </w:r>
            <w:proofErr w:type="spellStart"/>
            <w:r w:rsidRPr="00A6540D">
              <w:rPr>
                <w:bCs/>
                <w:iCs/>
                <w:szCs w:val="22"/>
                <w:lang w:val="pl-PL"/>
              </w:rPr>
              <w:t>veľmi</w:t>
            </w:r>
            <w:proofErr w:type="spellEnd"/>
            <w:r w:rsidRPr="00A6540D">
              <w:rPr>
                <w:bCs/>
                <w:iCs/>
                <w:szCs w:val="22"/>
                <w:lang w:val="pl-PL"/>
              </w:rPr>
              <w:t xml:space="preserve"> </w:t>
            </w:r>
            <w:proofErr w:type="spellStart"/>
            <w:r w:rsidRPr="00A6540D">
              <w:rPr>
                <w:bCs/>
                <w:iCs/>
                <w:szCs w:val="22"/>
                <w:lang w:val="pl-PL"/>
              </w:rPr>
              <w:t>zriedkavé</w:t>
            </w:r>
            <w:proofErr w:type="spellEnd"/>
            <w:r w:rsidRPr="00A6540D">
              <w:rPr>
                <w:bCs/>
                <w:iCs/>
                <w:szCs w:val="22"/>
                <w:lang w:val="pl-PL"/>
              </w:rPr>
              <w:t>)</w:t>
            </w:r>
          </w:p>
        </w:tc>
      </w:tr>
      <w:tr w:rsidR="00A452B2" w:rsidRPr="00823BDC" w14:paraId="0AB54385" w14:textId="77777777" w:rsidTr="005A1FB7">
        <w:trPr>
          <w:trHeight w:val="88"/>
        </w:trPr>
        <w:tc>
          <w:tcPr>
            <w:tcW w:w="2657" w:type="pct"/>
          </w:tcPr>
          <w:p w14:paraId="37F56B64" w14:textId="77777777" w:rsidR="00A452B2" w:rsidRPr="00A6540D" w:rsidRDefault="00917826" w:rsidP="00F004C3">
            <w:pPr>
              <w:adjustRightInd w:val="0"/>
              <w:snapToGrid w:val="0"/>
              <w:rPr>
                <w:bCs/>
                <w:iCs/>
                <w:szCs w:val="22"/>
                <w:lang w:val="pl-PL"/>
              </w:rPr>
            </w:pPr>
            <w:proofErr w:type="spellStart"/>
            <w:r w:rsidRPr="00A6540D">
              <w:rPr>
                <w:bCs/>
                <w:iCs/>
                <w:szCs w:val="22"/>
                <w:lang w:val="pl-PL"/>
              </w:rPr>
              <w:t>Celkové</w:t>
            </w:r>
            <w:proofErr w:type="spellEnd"/>
            <w:r w:rsidRPr="00A6540D">
              <w:rPr>
                <w:bCs/>
                <w:iCs/>
                <w:szCs w:val="22"/>
                <w:lang w:val="pl-PL"/>
              </w:rPr>
              <w:t xml:space="preserve"> poruchy a </w:t>
            </w:r>
            <w:proofErr w:type="spellStart"/>
            <w:r w:rsidRPr="00A6540D">
              <w:rPr>
                <w:bCs/>
                <w:iCs/>
                <w:szCs w:val="22"/>
                <w:lang w:val="pl-PL"/>
              </w:rPr>
              <w:t>reakcie</w:t>
            </w:r>
            <w:proofErr w:type="spellEnd"/>
            <w:r w:rsidRPr="00A6540D">
              <w:rPr>
                <w:bCs/>
                <w:iCs/>
                <w:szCs w:val="22"/>
                <w:lang w:val="pl-PL"/>
              </w:rPr>
              <w:t xml:space="preserve"> v </w:t>
            </w:r>
            <w:proofErr w:type="spellStart"/>
            <w:r w:rsidRPr="00A6540D">
              <w:rPr>
                <w:bCs/>
                <w:iCs/>
                <w:szCs w:val="22"/>
                <w:lang w:val="pl-PL"/>
              </w:rPr>
              <w:t>mieste</w:t>
            </w:r>
            <w:proofErr w:type="spellEnd"/>
            <w:r w:rsidRPr="00A6540D">
              <w:rPr>
                <w:bCs/>
                <w:iCs/>
                <w:szCs w:val="22"/>
                <w:lang w:val="pl-PL"/>
              </w:rPr>
              <w:t xml:space="preserve"> podania</w:t>
            </w:r>
          </w:p>
        </w:tc>
        <w:tc>
          <w:tcPr>
            <w:tcW w:w="2343" w:type="pct"/>
          </w:tcPr>
          <w:p w14:paraId="5D25B59E" w14:textId="77777777" w:rsidR="00A452B2" w:rsidRPr="00530542" w:rsidRDefault="00917826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r w:rsidRPr="00530542">
              <w:rPr>
                <w:szCs w:val="22"/>
              </w:rPr>
              <w:t>bolesť</w:t>
            </w:r>
          </w:p>
        </w:tc>
      </w:tr>
      <w:tr w:rsidR="00A452B2" w:rsidRPr="00823BDC" w14:paraId="0AEFD341" w14:textId="77777777" w:rsidTr="005A1FB7">
        <w:trPr>
          <w:trHeight w:val="629"/>
        </w:trPr>
        <w:tc>
          <w:tcPr>
            <w:tcW w:w="2657" w:type="pct"/>
          </w:tcPr>
          <w:p w14:paraId="66EC05FA" w14:textId="164EE163" w:rsidR="00A452B2" w:rsidRPr="002377B8" w:rsidRDefault="002377B8" w:rsidP="00F004C3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proofErr w:type="spellStart"/>
            <w:r w:rsidRPr="002377B8">
              <w:rPr>
                <w:bCs/>
                <w:iCs/>
                <w:szCs w:val="22"/>
                <w:lang w:val="en-GB"/>
              </w:rPr>
              <w:t>Laboratórne</w:t>
            </w:r>
            <w:proofErr w:type="spellEnd"/>
            <w:r w:rsidRPr="002377B8">
              <w:rPr>
                <w:bCs/>
                <w:iCs/>
                <w:szCs w:val="22"/>
                <w:lang w:val="en-GB"/>
              </w:rPr>
              <w:t xml:space="preserve"> a </w:t>
            </w:r>
            <w:proofErr w:type="spellStart"/>
            <w:r w:rsidRPr="002377B8">
              <w:rPr>
                <w:bCs/>
                <w:iCs/>
                <w:szCs w:val="22"/>
                <w:lang w:val="en-GB"/>
              </w:rPr>
              <w:t>funkčné</w:t>
            </w:r>
            <w:proofErr w:type="spellEnd"/>
            <w:r w:rsidRPr="002377B8">
              <w:rPr>
                <w:bCs/>
                <w:iCs/>
                <w:szCs w:val="22"/>
                <w:lang w:val="en-GB"/>
              </w:rPr>
              <w:t xml:space="preserve"> </w:t>
            </w:r>
            <w:proofErr w:type="spellStart"/>
            <w:r w:rsidRPr="002377B8">
              <w:rPr>
                <w:bCs/>
                <w:iCs/>
                <w:szCs w:val="22"/>
                <w:lang w:val="en-GB"/>
              </w:rPr>
              <w:t>vyšetrenia</w:t>
            </w:r>
            <w:proofErr w:type="spellEnd"/>
          </w:p>
        </w:tc>
        <w:tc>
          <w:tcPr>
            <w:tcW w:w="2343" w:type="pct"/>
          </w:tcPr>
          <w:p w14:paraId="07AE3EA9" w14:textId="77777777" w:rsidR="00A452B2" w:rsidRPr="00823BDC" w:rsidRDefault="00566251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r w:rsidRPr="00823BDC">
              <w:rPr>
                <w:bCs/>
                <w:iCs/>
                <w:szCs w:val="22"/>
              </w:rPr>
              <w:t xml:space="preserve">zvýšenie hladiny alkalickej </w:t>
            </w:r>
            <w:proofErr w:type="spellStart"/>
            <w:r w:rsidRPr="00823BDC">
              <w:rPr>
                <w:bCs/>
                <w:iCs/>
                <w:szCs w:val="22"/>
              </w:rPr>
              <w:t>fosfatázy</w:t>
            </w:r>
            <w:proofErr w:type="spellEnd"/>
          </w:p>
          <w:p w14:paraId="42A69004" w14:textId="77777777" w:rsidR="00A452B2" w:rsidRPr="00823BDC" w:rsidRDefault="00566251" w:rsidP="000E2387">
            <w:pPr>
              <w:adjustRightInd w:val="0"/>
              <w:snapToGrid w:val="0"/>
              <w:rPr>
                <w:bCs/>
                <w:iCs/>
                <w:szCs w:val="22"/>
                <w:lang w:val="en-GB"/>
              </w:rPr>
            </w:pPr>
            <w:r w:rsidRPr="00823BDC">
              <w:rPr>
                <w:bCs/>
                <w:iCs/>
                <w:szCs w:val="22"/>
              </w:rPr>
              <w:t>abnormálne výsledky funkčných vyšetrení pečene</w:t>
            </w:r>
          </w:p>
        </w:tc>
      </w:tr>
    </w:tbl>
    <w:p w14:paraId="5BCE5C78" w14:textId="77777777" w:rsidR="00726B3A" w:rsidRPr="00823BDC" w:rsidRDefault="00726B3A" w:rsidP="000E2387">
      <w:pPr>
        <w:adjustRightInd w:val="0"/>
        <w:snapToGrid w:val="0"/>
        <w:rPr>
          <w:szCs w:val="22"/>
        </w:rPr>
      </w:pPr>
      <w:r w:rsidRPr="00823BDC">
        <w:rPr>
          <w:szCs w:val="22"/>
        </w:rPr>
        <w:t>* V klinick</w:t>
      </w:r>
      <w:r w:rsidR="00A87342" w:rsidRPr="00823BDC">
        <w:rPr>
          <w:szCs w:val="22"/>
        </w:rPr>
        <w:t>om</w:t>
      </w:r>
      <w:r w:rsidRPr="00823BDC">
        <w:rPr>
          <w:szCs w:val="22"/>
        </w:rPr>
        <w:t xml:space="preserve"> skúš</w:t>
      </w:r>
      <w:r w:rsidR="00A87342" w:rsidRPr="00823BDC">
        <w:rPr>
          <w:szCs w:val="22"/>
        </w:rPr>
        <w:t>aní</w:t>
      </w:r>
      <w:r w:rsidRPr="00823BDC">
        <w:rPr>
          <w:szCs w:val="22"/>
        </w:rPr>
        <w:t xml:space="preserve"> sa u pacientov liečených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80 mg/deň v porovnaní s pacientmi liečenými 20 mg/deň vyskytovala </w:t>
      </w:r>
      <w:proofErr w:type="spellStart"/>
      <w:r w:rsidRPr="00823BDC">
        <w:rPr>
          <w:szCs w:val="22"/>
        </w:rPr>
        <w:t>myopatia</w:t>
      </w:r>
      <w:proofErr w:type="spellEnd"/>
      <w:r w:rsidRPr="00823BDC">
        <w:rPr>
          <w:szCs w:val="22"/>
        </w:rPr>
        <w:t xml:space="preserve"> často (1,0 % oproti 0,02 %)</w:t>
      </w:r>
      <w:r w:rsidR="00F57D50" w:rsidRPr="00823BDC">
        <w:rPr>
          <w:szCs w:val="22"/>
        </w:rPr>
        <w:t xml:space="preserve"> (pozri časti 4.4 a</w:t>
      </w:r>
      <w:r w:rsidR="00046DA6" w:rsidRPr="00823BDC">
        <w:rPr>
          <w:szCs w:val="22"/>
        </w:rPr>
        <w:t> </w:t>
      </w:r>
      <w:r w:rsidR="00F57D50" w:rsidRPr="00823BDC">
        <w:rPr>
          <w:szCs w:val="22"/>
        </w:rPr>
        <w:t>4.5).</w:t>
      </w:r>
    </w:p>
    <w:p w14:paraId="16BE5F42" w14:textId="77777777" w:rsidR="00FA405E" w:rsidRPr="00530542" w:rsidRDefault="00FA405E" w:rsidP="000E2387">
      <w:pPr>
        <w:adjustRightInd w:val="0"/>
        <w:snapToGrid w:val="0"/>
        <w:rPr>
          <w:szCs w:val="22"/>
        </w:rPr>
      </w:pPr>
      <w:r w:rsidRPr="00A6540D">
        <w:rPr>
          <w:szCs w:val="22"/>
        </w:rPr>
        <w:t>**</w:t>
      </w:r>
      <w:r w:rsidR="000A770D" w:rsidRPr="00A6540D">
        <w:rPr>
          <w:szCs w:val="22"/>
        </w:rPr>
        <w:t>Veľmi zriedkavo sa</w:t>
      </w:r>
      <w:r w:rsidR="00141645" w:rsidRPr="00A6540D">
        <w:rPr>
          <w:szCs w:val="22"/>
        </w:rPr>
        <w:t xml:space="preserve"> </w:t>
      </w:r>
      <w:r w:rsidR="00BA7578" w:rsidRPr="00A6540D">
        <w:rPr>
          <w:szCs w:val="22"/>
        </w:rPr>
        <w:t xml:space="preserve">počas liečby alebo po liečbe niektorými </w:t>
      </w:r>
      <w:proofErr w:type="spellStart"/>
      <w:r w:rsidR="00BA7578" w:rsidRPr="00A6540D">
        <w:rPr>
          <w:szCs w:val="22"/>
        </w:rPr>
        <w:t>statínmi</w:t>
      </w:r>
      <w:proofErr w:type="spellEnd"/>
      <w:r w:rsidR="00BA7578" w:rsidRPr="00A6540D">
        <w:rPr>
          <w:szCs w:val="22"/>
        </w:rPr>
        <w:t xml:space="preserve"> </w:t>
      </w:r>
      <w:r w:rsidR="000A770D" w:rsidRPr="00A6540D">
        <w:rPr>
          <w:szCs w:val="22"/>
        </w:rPr>
        <w:t>hlásil</w:t>
      </w:r>
      <w:r w:rsidRPr="00A6540D">
        <w:rPr>
          <w:szCs w:val="22"/>
        </w:rPr>
        <w:t xml:space="preserve">a </w:t>
      </w:r>
      <w:proofErr w:type="spellStart"/>
      <w:r w:rsidR="00341A9E" w:rsidRPr="00A6540D">
        <w:rPr>
          <w:szCs w:val="22"/>
        </w:rPr>
        <w:t>nekrotizujúca</w:t>
      </w:r>
      <w:proofErr w:type="spellEnd"/>
      <w:r w:rsidRPr="00A6540D">
        <w:rPr>
          <w:szCs w:val="22"/>
        </w:rPr>
        <w:t xml:space="preserve"> </w:t>
      </w:r>
      <w:proofErr w:type="spellStart"/>
      <w:r w:rsidRPr="00A6540D">
        <w:rPr>
          <w:szCs w:val="22"/>
        </w:rPr>
        <w:t>myopati</w:t>
      </w:r>
      <w:r w:rsidR="00341A9E" w:rsidRPr="00A6540D">
        <w:rPr>
          <w:szCs w:val="22"/>
        </w:rPr>
        <w:t>a</w:t>
      </w:r>
      <w:proofErr w:type="spellEnd"/>
      <w:r w:rsidR="00341A9E" w:rsidRPr="00A6540D">
        <w:rPr>
          <w:szCs w:val="22"/>
        </w:rPr>
        <w:t xml:space="preserve"> sprostredkovaná</w:t>
      </w:r>
      <w:r w:rsidRPr="00A6540D">
        <w:rPr>
          <w:szCs w:val="22"/>
        </w:rPr>
        <w:t xml:space="preserve"> imunitným systémom (IMNM)</w:t>
      </w:r>
      <w:r w:rsidR="00341A9E" w:rsidRPr="00A6540D">
        <w:rPr>
          <w:szCs w:val="22"/>
        </w:rPr>
        <w:t>, autoimunitná</w:t>
      </w:r>
      <w:r w:rsidR="00734347" w:rsidRPr="00A6540D">
        <w:rPr>
          <w:szCs w:val="22"/>
        </w:rPr>
        <w:t xml:space="preserve"> </w:t>
      </w:r>
      <w:proofErr w:type="spellStart"/>
      <w:r w:rsidR="00734347" w:rsidRPr="00A6540D">
        <w:rPr>
          <w:szCs w:val="22"/>
        </w:rPr>
        <w:t>myopati</w:t>
      </w:r>
      <w:r w:rsidR="00341A9E" w:rsidRPr="00A6540D">
        <w:rPr>
          <w:szCs w:val="22"/>
        </w:rPr>
        <w:t>a</w:t>
      </w:r>
      <w:proofErr w:type="spellEnd"/>
      <w:r w:rsidR="00FE59B2" w:rsidRPr="00A6540D">
        <w:rPr>
          <w:szCs w:val="22"/>
        </w:rPr>
        <w:t>.</w:t>
      </w:r>
      <w:r w:rsidRPr="00A6540D">
        <w:rPr>
          <w:szCs w:val="22"/>
        </w:rPr>
        <w:t xml:space="preserve"> IMNM </w:t>
      </w:r>
      <w:r w:rsidR="00734347" w:rsidRPr="00A6540D">
        <w:rPr>
          <w:szCs w:val="22"/>
        </w:rPr>
        <w:t xml:space="preserve">je </w:t>
      </w:r>
      <w:r w:rsidR="00932186" w:rsidRPr="00A6540D">
        <w:rPr>
          <w:szCs w:val="22"/>
        </w:rPr>
        <w:t xml:space="preserve">klinicky </w:t>
      </w:r>
      <w:r w:rsidRPr="00A6540D">
        <w:rPr>
          <w:szCs w:val="22"/>
        </w:rPr>
        <w:t>charakterizovaná</w:t>
      </w:r>
      <w:r w:rsidR="00F171E0" w:rsidRPr="00A6540D">
        <w:rPr>
          <w:szCs w:val="22"/>
        </w:rPr>
        <w:t>:</w:t>
      </w:r>
      <w:r w:rsidRPr="00A6540D">
        <w:rPr>
          <w:szCs w:val="22"/>
        </w:rPr>
        <w:t xml:space="preserve"> </w:t>
      </w:r>
      <w:r w:rsidR="00141645" w:rsidRPr="00A6540D">
        <w:rPr>
          <w:szCs w:val="22"/>
        </w:rPr>
        <w:t xml:space="preserve">pretrvávajúcou </w:t>
      </w:r>
      <w:r w:rsidRPr="00A6540D">
        <w:rPr>
          <w:szCs w:val="22"/>
        </w:rPr>
        <w:t xml:space="preserve">slabosťou </w:t>
      </w:r>
      <w:proofErr w:type="spellStart"/>
      <w:r w:rsidRPr="00A6540D">
        <w:rPr>
          <w:szCs w:val="22"/>
        </w:rPr>
        <w:t>proximálneho</w:t>
      </w:r>
      <w:proofErr w:type="spellEnd"/>
      <w:r w:rsidRPr="00A6540D">
        <w:rPr>
          <w:szCs w:val="22"/>
        </w:rPr>
        <w:t xml:space="preserve"> sval</w:t>
      </w:r>
      <w:r w:rsidR="00737970" w:rsidRPr="00A6540D">
        <w:rPr>
          <w:szCs w:val="22"/>
        </w:rPr>
        <w:t>stva</w:t>
      </w:r>
      <w:r w:rsidRPr="00A6540D">
        <w:rPr>
          <w:szCs w:val="22"/>
        </w:rPr>
        <w:t xml:space="preserve"> a</w:t>
      </w:r>
      <w:r w:rsidR="00734347" w:rsidRPr="00A6540D">
        <w:rPr>
          <w:szCs w:val="22"/>
        </w:rPr>
        <w:t> </w:t>
      </w:r>
      <w:r w:rsidRPr="00A6540D">
        <w:rPr>
          <w:szCs w:val="22"/>
        </w:rPr>
        <w:t>z</w:t>
      </w:r>
      <w:r w:rsidR="000A770D" w:rsidRPr="00A6540D">
        <w:rPr>
          <w:szCs w:val="22"/>
        </w:rPr>
        <w:t>výšenou hladinou</w:t>
      </w:r>
      <w:r w:rsidRPr="00A6540D">
        <w:rPr>
          <w:szCs w:val="22"/>
        </w:rPr>
        <w:t xml:space="preserve"> </w:t>
      </w:r>
      <w:proofErr w:type="spellStart"/>
      <w:r w:rsidRPr="00A6540D">
        <w:rPr>
          <w:szCs w:val="22"/>
        </w:rPr>
        <w:t>kreatínkinázy</w:t>
      </w:r>
      <w:proofErr w:type="spellEnd"/>
      <w:r w:rsidR="000A770D" w:rsidRPr="00A6540D">
        <w:rPr>
          <w:szCs w:val="22"/>
        </w:rPr>
        <w:t xml:space="preserve"> v sére</w:t>
      </w:r>
      <w:r w:rsidRPr="00A6540D">
        <w:rPr>
          <w:szCs w:val="22"/>
        </w:rPr>
        <w:t xml:space="preserve">, ktoré pretrvávajú napriek </w:t>
      </w:r>
      <w:r w:rsidR="000A770D" w:rsidRPr="00A6540D">
        <w:rPr>
          <w:szCs w:val="22"/>
        </w:rPr>
        <w:t>prerušeniu</w:t>
      </w:r>
      <w:r w:rsidRPr="00A6540D">
        <w:rPr>
          <w:szCs w:val="22"/>
        </w:rPr>
        <w:t xml:space="preserve"> liečby </w:t>
      </w:r>
      <w:proofErr w:type="spellStart"/>
      <w:r w:rsidRPr="00A6540D">
        <w:rPr>
          <w:szCs w:val="22"/>
        </w:rPr>
        <w:t>statínm</w:t>
      </w:r>
      <w:r w:rsidR="008604A0" w:rsidRPr="00A6540D">
        <w:rPr>
          <w:szCs w:val="22"/>
        </w:rPr>
        <w:t>i</w:t>
      </w:r>
      <w:proofErr w:type="spellEnd"/>
      <w:r w:rsidR="00734347" w:rsidRPr="00A6540D">
        <w:rPr>
          <w:szCs w:val="22"/>
        </w:rPr>
        <w:t xml:space="preserve">; </w:t>
      </w:r>
      <w:r w:rsidR="001C5C2C" w:rsidRPr="00A6540D">
        <w:rPr>
          <w:szCs w:val="22"/>
        </w:rPr>
        <w:t xml:space="preserve">biopsiou svalu preukazujúcu </w:t>
      </w:r>
      <w:proofErr w:type="spellStart"/>
      <w:r w:rsidR="00734347" w:rsidRPr="00A6540D">
        <w:rPr>
          <w:szCs w:val="22"/>
        </w:rPr>
        <w:t>nekrotizujúcou</w:t>
      </w:r>
      <w:proofErr w:type="spellEnd"/>
      <w:r w:rsidR="00734347" w:rsidRPr="00A6540D">
        <w:rPr>
          <w:szCs w:val="22"/>
        </w:rPr>
        <w:t xml:space="preserve"> </w:t>
      </w:r>
      <w:proofErr w:type="spellStart"/>
      <w:r w:rsidR="00734347" w:rsidRPr="00A6540D">
        <w:rPr>
          <w:szCs w:val="22"/>
        </w:rPr>
        <w:t>myopatiou</w:t>
      </w:r>
      <w:proofErr w:type="spellEnd"/>
      <w:r w:rsidR="00734347" w:rsidRPr="00A6540D">
        <w:rPr>
          <w:szCs w:val="22"/>
        </w:rPr>
        <w:t xml:space="preserve"> bez výrazného zápalu; zlepšením vplyvom </w:t>
      </w:r>
      <w:proofErr w:type="spellStart"/>
      <w:r w:rsidR="00734347" w:rsidRPr="00A6540D">
        <w:rPr>
          <w:szCs w:val="22"/>
        </w:rPr>
        <w:t>imunosupresívnych</w:t>
      </w:r>
      <w:proofErr w:type="spellEnd"/>
      <w:r w:rsidR="00734347" w:rsidRPr="00A6540D">
        <w:rPr>
          <w:szCs w:val="22"/>
        </w:rPr>
        <w:t xml:space="preserve"> l</w:t>
      </w:r>
      <w:r w:rsidR="00F7371E" w:rsidRPr="00A6540D">
        <w:rPr>
          <w:szCs w:val="22"/>
        </w:rPr>
        <w:t>iečiv</w:t>
      </w:r>
      <w:r w:rsidR="00734347" w:rsidRPr="00A6540D">
        <w:rPr>
          <w:szCs w:val="22"/>
        </w:rPr>
        <w:t xml:space="preserve"> (pozri </w:t>
      </w:r>
      <w:r w:rsidR="0088522F" w:rsidRPr="00A6540D">
        <w:rPr>
          <w:szCs w:val="22"/>
        </w:rPr>
        <w:t>č</w:t>
      </w:r>
      <w:r w:rsidR="00734347" w:rsidRPr="00A6540D">
        <w:rPr>
          <w:szCs w:val="22"/>
        </w:rPr>
        <w:t>as</w:t>
      </w:r>
      <w:r w:rsidR="0088522F" w:rsidRPr="00A6540D">
        <w:rPr>
          <w:szCs w:val="22"/>
        </w:rPr>
        <w:t>ť</w:t>
      </w:r>
      <w:r w:rsidR="00734347" w:rsidRPr="00A6540D">
        <w:rPr>
          <w:szCs w:val="22"/>
        </w:rPr>
        <w:t xml:space="preserve"> 4.4)</w:t>
      </w:r>
      <w:r w:rsidRPr="00A6540D">
        <w:rPr>
          <w:szCs w:val="22"/>
        </w:rPr>
        <w:t>.</w:t>
      </w:r>
    </w:p>
    <w:p w14:paraId="20591D87" w14:textId="77777777" w:rsidR="00D044EB" w:rsidRPr="00CD10F1" w:rsidRDefault="00D044EB" w:rsidP="000E2387">
      <w:pPr>
        <w:adjustRightInd w:val="0"/>
        <w:snapToGrid w:val="0"/>
        <w:rPr>
          <w:bCs/>
          <w:iCs/>
          <w:szCs w:val="22"/>
        </w:rPr>
      </w:pPr>
    </w:p>
    <w:p w14:paraId="58745F73" w14:textId="77777777" w:rsidR="00A81176" w:rsidRPr="00823BDC" w:rsidRDefault="00A81176" w:rsidP="000E2387">
      <w:pPr>
        <w:adjustRightInd w:val="0"/>
        <w:snapToGrid w:val="0"/>
        <w:rPr>
          <w:szCs w:val="22"/>
        </w:rPr>
      </w:pPr>
      <w:r w:rsidRPr="00AA7838">
        <w:rPr>
          <w:szCs w:val="22"/>
        </w:rPr>
        <w:t>Zriedkavo bol hlásený z</w:t>
      </w:r>
      <w:r w:rsidR="00E44154" w:rsidRPr="00AA7838">
        <w:rPr>
          <w:szCs w:val="22"/>
        </w:rPr>
        <w:t>rejmý</w:t>
      </w:r>
      <w:r w:rsidRPr="00095F7D">
        <w:rPr>
          <w:szCs w:val="22"/>
        </w:rPr>
        <w:t xml:space="preserve"> </w:t>
      </w:r>
      <w:proofErr w:type="spellStart"/>
      <w:r w:rsidR="00944E0E" w:rsidRPr="00373B08">
        <w:rPr>
          <w:szCs w:val="22"/>
        </w:rPr>
        <w:t>hypersenzitívny</w:t>
      </w:r>
      <w:proofErr w:type="spellEnd"/>
      <w:r w:rsidR="00944E0E" w:rsidRPr="00373B08">
        <w:rPr>
          <w:szCs w:val="22"/>
        </w:rPr>
        <w:t xml:space="preserve"> </w:t>
      </w:r>
      <w:r w:rsidRPr="00373B08">
        <w:rPr>
          <w:szCs w:val="22"/>
        </w:rPr>
        <w:t xml:space="preserve">syndróm, ktorý zahŕňal niektoré z nasledujúcich </w:t>
      </w:r>
      <w:r w:rsidR="00F7371E" w:rsidRPr="00823BDC">
        <w:rPr>
          <w:szCs w:val="22"/>
        </w:rPr>
        <w:t>prejavov</w:t>
      </w:r>
      <w:r w:rsidRPr="00823BDC">
        <w:rPr>
          <w:szCs w:val="22"/>
        </w:rPr>
        <w:t xml:space="preserve">: </w:t>
      </w:r>
      <w:proofErr w:type="spellStart"/>
      <w:r w:rsidRPr="00823BDC">
        <w:rPr>
          <w:szCs w:val="22"/>
        </w:rPr>
        <w:t>angioedém</w:t>
      </w:r>
      <w:proofErr w:type="spellEnd"/>
      <w:r w:rsidRPr="00823BDC">
        <w:rPr>
          <w:szCs w:val="22"/>
        </w:rPr>
        <w:t xml:space="preserve">, syndróm podobný </w:t>
      </w:r>
      <w:proofErr w:type="spellStart"/>
      <w:r w:rsidRPr="00823BDC">
        <w:rPr>
          <w:szCs w:val="22"/>
        </w:rPr>
        <w:t>lupusu</w:t>
      </w:r>
      <w:proofErr w:type="spellEnd"/>
      <w:r w:rsidRPr="00823BDC">
        <w:rPr>
          <w:szCs w:val="22"/>
        </w:rPr>
        <w:t xml:space="preserve">, reumatickú </w:t>
      </w:r>
      <w:proofErr w:type="spellStart"/>
      <w:r w:rsidRPr="00823BDC">
        <w:rPr>
          <w:szCs w:val="22"/>
        </w:rPr>
        <w:t>polymyalgiu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dermatomyozitídu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vaskulitídu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trombocytopéniu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eozinofíliu</w:t>
      </w:r>
      <w:proofErr w:type="spellEnd"/>
      <w:r w:rsidRPr="00823BDC">
        <w:rPr>
          <w:szCs w:val="22"/>
        </w:rPr>
        <w:t>, zvýšenú sedimentáciu erytrocytov, artritídu a </w:t>
      </w:r>
      <w:proofErr w:type="spellStart"/>
      <w:r w:rsidRPr="00823BDC">
        <w:rPr>
          <w:szCs w:val="22"/>
        </w:rPr>
        <w:t>artralgiu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urtikáriu</w:t>
      </w:r>
      <w:proofErr w:type="spellEnd"/>
      <w:r w:rsidRPr="00823BDC">
        <w:rPr>
          <w:szCs w:val="22"/>
        </w:rPr>
        <w:t xml:space="preserve">, </w:t>
      </w:r>
      <w:proofErr w:type="spellStart"/>
      <w:r w:rsidRPr="00823BDC">
        <w:rPr>
          <w:szCs w:val="22"/>
        </w:rPr>
        <w:t>fotosenzitívnu</w:t>
      </w:r>
      <w:proofErr w:type="spellEnd"/>
      <w:r w:rsidRPr="00823BDC">
        <w:rPr>
          <w:szCs w:val="22"/>
        </w:rPr>
        <w:t xml:space="preserve"> reakciu, </w:t>
      </w:r>
      <w:proofErr w:type="spellStart"/>
      <w:r w:rsidRPr="00823BDC">
        <w:rPr>
          <w:szCs w:val="22"/>
        </w:rPr>
        <w:t>pyrexiu</w:t>
      </w:r>
      <w:proofErr w:type="spellEnd"/>
      <w:r w:rsidRPr="00823BDC">
        <w:rPr>
          <w:szCs w:val="22"/>
        </w:rPr>
        <w:t xml:space="preserve">, začervenanie, </w:t>
      </w:r>
      <w:proofErr w:type="spellStart"/>
      <w:r w:rsidRPr="00823BDC">
        <w:rPr>
          <w:szCs w:val="22"/>
        </w:rPr>
        <w:t>dyspnoe</w:t>
      </w:r>
      <w:proofErr w:type="spellEnd"/>
      <w:r w:rsidRPr="00823BDC">
        <w:rPr>
          <w:szCs w:val="22"/>
        </w:rPr>
        <w:t xml:space="preserve"> a</w:t>
      </w:r>
      <w:r w:rsidR="00F7371E" w:rsidRPr="00823BDC">
        <w:rPr>
          <w:szCs w:val="22"/>
        </w:rPr>
        <w:t> celkový pocit choroby</w:t>
      </w:r>
      <w:r w:rsidRPr="00823BDC">
        <w:rPr>
          <w:szCs w:val="22"/>
        </w:rPr>
        <w:t>.</w:t>
      </w:r>
    </w:p>
    <w:p w14:paraId="037EB6AB" w14:textId="77777777" w:rsidR="00A81176" w:rsidRPr="00823BDC" w:rsidRDefault="00A81176" w:rsidP="005332CD">
      <w:pPr>
        <w:adjustRightInd w:val="0"/>
        <w:snapToGrid w:val="0"/>
        <w:rPr>
          <w:szCs w:val="22"/>
        </w:rPr>
      </w:pPr>
    </w:p>
    <w:p w14:paraId="2BA547FF" w14:textId="77777777" w:rsidR="00770B13" w:rsidRPr="00823BDC" w:rsidRDefault="00787881" w:rsidP="005332CD">
      <w:pPr>
        <w:adjustRightInd w:val="0"/>
        <w:snapToGrid w:val="0"/>
        <w:rPr>
          <w:bCs/>
          <w:iCs/>
          <w:szCs w:val="22"/>
        </w:rPr>
      </w:pPr>
      <w:r w:rsidRPr="00823BDC">
        <w:rPr>
          <w:bCs/>
          <w:iCs/>
          <w:szCs w:val="22"/>
        </w:rPr>
        <w:t xml:space="preserve">Pri </w:t>
      </w:r>
      <w:proofErr w:type="spellStart"/>
      <w:r w:rsidRPr="00823BDC">
        <w:rPr>
          <w:bCs/>
          <w:iCs/>
          <w:szCs w:val="22"/>
        </w:rPr>
        <w:t>statín</w:t>
      </w:r>
      <w:r w:rsidR="00C77229" w:rsidRPr="00823BDC">
        <w:rPr>
          <w:bCs/>
          <w:iCs/>
          <w:szCs w:val="22"/>
        </w:rPr>
        <w:t>och</w:t>
      </w:r>
      <w:proofErr w:type="spellEnd"/>
      <w:r w:rsidRPr="00823BDC">
        <w:rPr>
          <w:bCs/>
          <w:iCs/>
          <w:szCs w:val="22"/>
        </w:rPr>
        <w:t xml:space="preserve"> vrátane </w:t>
      </w:r>
      <w:proofErr w:type="spellStart"/>
      <w:r w:rsidRPr="00823BDC">
        <w:rPr>
          <w:bCs/>
          <w:iCs/>
          <w:szCs w:val="22"/>
        </w:rPr>
        <w:t>simvastatínu</w:t>
      </w:r>
      <w:proofErr w:type="spellEnd"/>
      <w:r w:rsidRPr="00823BDC">
        <w:rPr>
          <w:bCs/>
          <w:iCs/>
          <w:szCs w:val="22"/>
        </w:rPr>
        <w:t xml:space="preserve"> bolo hlásené zvýšenie HbA1c a sérových hladín glukózy nalačno.</w:t>
      </w:r>
    </w:p>
    <w:p w14:paraId="7EC7D4A7" w14:textId="77777777" w:rsidR="00787881" w:rsidRPr="00823BDC" w:rsidRDefault="00787881">
      <w:pPr>
        <w:adjustRightInd w:val="0"/>
        <w:snapToGrid w:val="0"/>
        <w:rPr>
          <w:bCs/>
          <w:iCs/>
          <w:szCs w:val="22"/>
        </w:rPr>
      </w:pPr>
    </w:p>
    <w:p w14:paraId="533614C3" w14:textId="7E024E0E" w:rsidR="00787881" w:rsidRPr="00823BDC" w:rsidRDefault="00787881">
      <w:pPr>
        <w:adjustRightInd w:val="0"/>
        <w:snapToGrid w:val="0"/>
        <w:rPr>
          <w:bCs/>
          <w:iCs/>
          <w:szCs w:val="22"/>
        </w:rPr>
      </w:pPr>
      <w:r w:rsidRPr="00823BDC">
        <w:rPr>
          <w:bCs/>
          <w:iCs/>
          <w:szCs w:val="22"/>
        </w:rPr>
        <w:t xml:space="preserve">Po uvedení lieku na trh boli v súvislosti s použitím </w:t>
      </w:r>
      <w:proofErr w:type="spellStart"/>
      <w:r w:rsidRPr="00823BDC">
        <w:rPr>
          <w:bCs/>
          <w:iCs/>
          <w:szCs w:val="22"/>
        </w:rPr>
        <w:t>statínov</w:t>
      </w:r>
      <w:proofErr w:type="spellEnd"/>
      <w:r w:rsidRPr="00823BDC">
        <w:rPr>
          <w:bCs/>
          <w:iCs/>
          <w:szCs w:val="22"/>
        </w:rPr>
        <w:t xml:space="preserve"> vrátane </w:t>
      </w:r>
      <w:proofErr w:type="spellStart"/>
      <w:r w:rsidRPr="00823BDC">
        <w:rPr>
          <w:bCs/>
          <w:iCs/>
          <w:szCs w:val="22"/>
        </w:rPr>
        <w:t>simvastatínu</w:t>
      </w:r>
      <w:proofErr w:type="spellEnd"/>
      <w:r w:rsidRPr="00823BDC">
        <w:rPr>
          <w:bCs/>
          <w:iCs/>
          <w:szCs w:val="22"/>
        </w:rPr>
        <w:t xml:space="preserve"> zaznamenané </w:t>
      </w:r>
      <w:r w:rsidR="00E605CE" w:rsidRPr="00823BDC">
        <w:rPr>
          <w:bCs/>
          <w:iCs/>
          <w:szCs w:val="22"/>
        </w:rPr>
        <w:t xml:space="preserve">zriedkavé </w:t>
      </w:r>
      <w:r w:rsidRPr="00823BDC">
        <w:rPr>
          <w:bCs/>
          <w:iCs/>
          <w:szCs w:val="22"/>
        </w:rPr>
        <w:t>hlásenia poškodenia kognitívnych funkcií (napr. strata pamät</w:t>
      </w:r>
      <w:r w:rsidR="00C77229" w:rsidRPr="00823BDC">
        <w:rPr>
          <w:bCs/>
          <w:iCs/>
          <w:szCs w:val="22"/>
        </w:rPr>
        <w:t>i</w:t>
      </w:r>
      <w:r w:rsidRPr="00823BDC">
        <w:rPr>
          <w:bCs/>
          <w:iCs/>
          <w:szCs w:val="22"/>
        </w:rPr>
        <w:t xml:space="preserve">, zábudlivosť, amnézia, </w:t>
      </w:r>
      <w:r w:rsidR="00F7371E" w:rsidRPr="00823BDC">
        <w:rPr>
          <w:bCs/>
          <w:iCs/>
          <w:szCs w:val="22"/>
        </w:rPr>
        <w:t xml:space="preserve">poruchy </w:t>
      </w:r>
      <w:r w:rsidRPr="00823BDC">
        <w:rPr>
          <w:bCs/>
          <w:iCs/>
          <w:szCs w:val="22"/>
        </w:rPr>
        <w:t>pamät</w:t>
      </w:r>
      <w:r w:rsidR="00C77229" w:rsidRPr="00823BDC">
        <w:rPr>
          <w:bCs/>
          <w:iCs/>
          <w:szCs w:val="22"/>
        </w:rPr>
        <w:t>i</w:t>
      </w:r>
      <w:r w:rsidRPr="00823BDC">
        <w:rPr>
          <w:bCs/>
          <w:iCs/>
          <w:szCs w:val="22"/>
        </w:rPr>
        <w:t xml:space="preserve">, zmätenosť). Hlásenia nie sú vo všeobecnosti závažné a po </w:t>
      </w:r>
      <w:r w:rsidR="00D85531" w:rsidRPr="00823BDC">
        <w:rPr>
          <w:bCs/>
          <w:iCs/>
          <w:szCs w:val="22"/>
        </w:rPr>
        <w:t xml:space="preserve">prerušení </w:t>
      </w:r>
      <w:r w:rsidRPr="00823BDC">
        <w:rPr>
          <w:bCs/>
          <w:iCs/>
          <w:szCs w:val="22"/>
        </w:rPr>
        <w:t xml:space="preserve">liečby </w:t>
      </w:r>
      <w:proofErr w:type="spellStart"/>
      <w:r w:rsidRPr="00823BDC">
        <w:rPr>
          <w:bCs/>
          <w:iCs/>
          <w:szCs w:val="22"/>
        </w:rPr>
        <w:t>statínmi</w:t>
      </w:r>
      <w:proofErr w:type="spellEnd"/>
      <w:r w:rsidRPr="00823BDC">
        <w:rPr>
          <w:bCs/>
          <w:iCs/>
          <w:szCs w:val="22"/>
        </w:rPr>
        <w:t xml:space="preserve"> sú reverzibilné s variabilným časom vznik</w:t>
      </w:r>
      <w:r w:rsidR="00F7371E" w:rsidRPr="00823BDC">
        <w:rPr>
          <w:bCs/>
          <w:iCs/>
          <w:szCs w:val="22"/>
        </w:rPr>
        <w:t>u</w:t>
      </w:r>
      <w:r w:rsidRPr="00823BDC">
        <w:rPr>
          <w:bCs/>
          <w:iCs/>
          <w:szCs w:val="22"/>
        </w:rPr>
        <w:t xml:space="preserve"> (1</w:t>
      </w:r>
      <w:r w:rsidR="00712DBC" w:rsidRPr="00823BDC">
        <w:rPr>
          <w:bCs/>
          <w:iCs/>
          <w:szCs w:val="22"/>
        </w:rPr>
        <w:t xml:space="preserve"> </w:t>
      </w:r>
      <w:r w:rsidRPr="00823BDC">
        <w:rPr>
          <w:bCs/>
          <w:iCs/>
          <w:szCs w:val="22"/>
        </w:rPr>
        <w:t>deň až roky) a vymiznuti</w:t>
      </w:r>
      <w:r w:rsidR="00F7371E" w:rsidRPr="00823BDC">
        <w:rPr>
          <w:bCs/>
          <w:iCs/>
          <w:szCs w:val="22"/>
        </w:rPr>
        <w:t>a</w:t>
      </w:r>
      <w:r w:rsidRPr="00823BDC">
        <w:rPr>
          <w:bCs/>
          <w:iCs/>
          <w:szCs w:val="22"/>
        </w:rPr>
        <w:t xml:space="preserve"> symptómov (medián 3</w:t>
      </w:r>
      <w:r w:rsidR="00712DBC" w:rsidRPr="00823BDC">
        <w:rPr>
          <w:bCs/>
          <w:iCs/>
          <w:szCs w:val="22"/>
        </w:rPr>
        <w:t xml:space="preserve"> </w:t>
      </w:r>
      <w:r w:rsidRPr="00823BDC">
        <w:rPr>
          <w:bCs/>
          <w:iCs/>
          <w:szCs w:val="22"/>
        </w:rPr>
        <w:t>týždne).</w:t>
      </w:r>
    </w:p>
    <w:p w14:paraId="5CC74DB0" w14:textId="77777777" w:rsidR="00770B13" w:rsidRPr="00823BDC" w:rsidRDefault="00770B13">
      <w:pPr>
        <w:adjustRightInd w:val="0"/>
        <w:snapToGrid w:val="0"/>
        <w:rPr>
          <w:bCs/>
          <w:iCs/>
          <w:szCs w:val="22"/>
        </w:rPr>
      </w:pPr>
    </w:p>
    <w:p w14:paraId="64FC3266" w14:textId="77777777" w:rsidR="00130D67" w:rsidRPr="00823BDC" w:rsidRDefault="00130D67">
      <w:pPr>
        <w:keepNext/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Nasledujúce </w:t>
      </w:r>
      <w:r w:rsidR="00046DA6" w:rsidRPr="00823BDC">
        <w:rPr>
          <w:szCs w:val="22"/>
        </w:rPr>
        <w:t xml:space="preserve">ďalšie </w:t>
      </w:r>
      <w:r w:rsidRPr="00823BDC">
        <w:rPr>
          <w:szCs w:val="22"/>
        </w:rPr>
        <w:t xml:space="preserve">nežiaduce </w:t>
      </w:r>
      <w:r w:rsidR="00046DA6" w:rsidRPr="00823BDC">
        <w:rPr>
          <w:szCs w:val="22"/>
        </w:rPr>
        <w:t xml:space="preserve">udalosti </w:t>
      </w:r>
      <w:r w:rsidRPr="00823BDC">
        <w:rPr>
          <w:szCs w:val="22"/>
        </w:rPr>
        <w:t xml:space="preserve">boli hlásené v súvislosti s niektorými </w:t>
      </w:r>
      <w:proofErr w:type="spellStart"/>
      <w:r w:rsidRPr="00823BDC">
        <w:rPr>
          <w:szCs w:val="22"/>
        </w:rPr>
        <w:t>statínmi</w:t>
      </w:r>
      <w:proofErr w:type="spellEnd"/>
      <w:r w:rsidRPr="00823BDC">
        <w:rPr>
          <w:szCs w:val="22"/>
        </w:rPr>
        <w:t>:</w:t>
      </w:r>
    </w:p>
    <w:p w14:paraId="3A266E9D" w14:textId="77777777" w:rsidR="00130D67" w:rsidRPr="00823BDC" w:rsidRDefault="00130D67" w:rsidP="00A6540D">
      <w:pPr>
        <w:numPr>
          <w:ilvl w:val="0"/>
          <w:numId w:val="24"/>
        </w:numPr>
        <w:tabs>
          <w:tab w:val="clear" w:pos="360"/>
        </w:tabs>
        <w:ind w:left="567" w:hanging="567"/>
        <w:rPr>
          <w:szCs w:val="22"/>
        </w:rPr>
      </w:pPr>
      <w:r w:rsidRPr="00823BDC">
        <w:rPr>
          <w:szCs w:val="22"/>
        </w:rPr>
        <w:t>poruchy spánku</w:t>
      </w:r>
      <w:r w:rsidR="00787881" w:rsidRPr="00823BDC">
        <w:rPr>
          <w:szCs w:val="22"/>
        </w:rPr>
        <w:t>,</w:t>
      </w:r>
      <w:r w:rsidRPr="00823BDC">
        <w:rPr>
          <w:szCs w:val="22"/>
        </w:rPr>
        <w:t xml:space="preserve"> vrátane nočných môr,</w:t>
      </w:r>
    </w:p>
    <w:p w14:paraId="6F6E44AA" w14:textId="77777777" w:rsidR="00787881" w:rsidRPr="00823BDC" w:rsidRDefault="00130D67" w:rsidP="00A6540D">
      <w:pPr>
        <w:numPr>
          <w:ilvl w:val="0"/>
          <w:numId w:val="24"/>
        </w:numPr>
        <w:tabs>
          <w:tab w:val="clear" w:pos="360"/>
        </w:tabs>
        <w:ind w:left="567" w:hanging="567"/>
        <w:rPr>
          <w:szCs w:val="22"/>
        </w:rPr>
      </w:pPr>
      <w:r w:rsidRPr="00823BDC">
        <w:rPr>
          <w:szCs w:val="22"/>
        </w:rPr>
        <w:t>sexuálna dysfunkcia</w:t>
      </w:r>
      <w:r w:rsidR="00787881" w:rsidRPr="00823BDC">
        <w:rPr>
          <w:szCs w:val="22"/>
        </w:rPr>
        <w:t>,</w:t>
      </w:r>
    </w:p>
    <w:p w14:paraId="744D2078" w14:textId="77777777" w:rsidR="00130D67" w:rsidRPr="00823BDC" w:rsidRDefault="00787881" w:rsidP="00A6540D">
      <w:pPr>
        <w:numPr>
          <w:ilvl w:val="0"/>
          <w:numId w:val="24"/>
        </w:numPr>
        <w:tabs>
          <w:tab w:val="clear" w:pos="360"/>
        </w:tabs>
        <w:ind w:left="567" w:hanging="567"/>
        <w:rPr>
          <w:szCs w:val="22"/>
        </w:rPr>
      </w:pPr>
      <w:r w:rsidRPr="00823BDC">
        <w:rPr>
          <w:szCs w:val="22"/>
        </w:rPr>
        <w:t xml:space="preserve">diabetes mellitus: </w:t>
      </w:r>
      <w:r w:rsidR="00C77229" w:rsidRPr="00823BDC">
        <w:rPr>
          <w:szCs w:val="22"/>
        </w:rPr>
        <w:t>f</w:t>
      </w:r>
      <w:r w:rsidRPr="00823BDC">
        <w:rPr>
          <w:szCs w:val="22"/>
        </w:rPr>
        <w:t xml:space="preserve">rekvencia </w:t>
      </w:r>
      <w:r w:rsidR="00C77229" w:rsidRPr="00823BDC">
        <w:rPr>
          <w:szCs w:val="22"/>
        </w:rPr>
        <w:t xml:space="preserve">bude </w:t>
      </w:r>
      <w:r w:rsidRPr="00823BDC">
        <w:rPr>
          <w:szCs w:val="22"/>
        </w:rPr>
        <w:t>závis</w:t>
      </w:r>
      <w:r w:rsidR="00C77229" w:rsidRPr="00823BDC">
        <w:rPr>
          <w:szCs w:val="22"/>
        </w:rPr>
        <w:t>ieť</w:t>
      </w:r>
      <w:r w:rsidRPr="00823BDC">
        <w:rPr>
          <w:szCs w:val="22"/>
        </w:rPr>
        <w:t xml:space="preserve"> od prítomnosti alebo neprítomnosti rizikových faktorov (</w:t>
      </w:r>
      <w:r w:rsidRPr="00823BDC">
        <w:rPr>
          <w:snapToGrid w:val="0"/>
          <w:szCs w:val="22"/>
        </w:rPr>
        <w:t>glykémia nalačno ≥ 5,6 mmol/l, BMI &gt; 30 kg/m</w:t>
      </w:r>
      <w:r w:rsidRPr="00823BDC">
        <w:rPr>
          <w:snapToGrid w:val="0"/>
          <w:szCs w:val="22"/>
          <w:vertAlign w:val="superscript"/>
        </w:rPr>
        <w:t>2</w:t>
      </w:r>
      <w:r w:rsidRPr="00823BDC">
        <w:rPr>
          <w:snapToGrid w:val="0"/>
          <w:szCs w:val="22"/>
        </w:rPr>
        <w:t>, zvýšená hladina tri</w:t>
      </w:r>
      <w:r w:rsidR="00485AF6" w:rsidRPr="00823BDC">
        <w:rPr>
          <w:snapToGrid w:val="0"/>
          <w:szCs w:val="22"/>
        </w:rPr>
        <w:t>acylglycerolov</w:t>
      </w:r>
      <w:r w:rsidRPr="00823BDC">
        <w:rPr>
          <w:snapToGrid w:val="0"/>
          <w:szCs w:val="22"/>
        </w:rPr>
        <w:t>, hypertenzia v anamnéze)</w:t>
      </w:r>
      <w:r w:rsidR="00726B3A" w:rsidRPr="00823BDC">
        <w:rPr>
          <w:szCs w:val="22"/>
        </w:rPr>
        <w:t>.</w:t>
      </w:r>
    </w:p>
    <w:p w14:paraId="4DE39F64" w14:textId="77777777" w:rsidR="00221E1F" w:rsidRPr="00823BDC" w:rsidRDefault="00221E1F" w:rsidP="00F004C3">
      <w:pPr>
        <w:rPr>
          <w:szCs w:val="22"/>
        </w:rPr>
      </w:pPr>
    </w:p>
    <w:p w14:paraId="3066ACA6" w14:textId="77777777" w:rsidR="00221E1F" w:rsidRPr="00823BDC" w:rsidRDefault="00221E1F" w:rsidP="00F004C3">
      <w:pPr>
        <w:keepNext/>
        <w:rPr>
          <w:szCs w:val="22"/>
          <w:u w:val="single"/>
        </w:rPr>
      </w:pPr>
      <w:r w:rsidRPr="00823BDC">
        <w:rPr>
          <w:szCs w:val="22"/>
          <w:u w:val="single"/>
        </w:rPr>
        <w:t>Hlásenie podozrení na nežiaduce reakcie</w:t>
      </w:r>
    </w:p>
    <w:p w14:paraId="6DFA36AA" w14:textId="77777777" w:rsidR="00221E1F" w:rsidRPr="00530542" w:rsidRDefault="00221E1F" w:rsidP="000E2387">
      <w:pPr>
        <w:rPr>
          <w:szCs w:val="22"/>
        </w:rPr>
      </w:pPr>
      <w:r w:rsidRPr="00823BDC">
        <w:rPr>
          <w:szCs w:val="22"/>
        </w:rPr>
        <w:t>Hlásenie podozrení na nežiaduce reakcie po registrácii lieku je dôležité. Umožňuje priebežné monitorovanie pomeru prínosu a</w:t>
      </w:r>
      <w:r w:rsidR="00E473B8" w:rsidRPr="00823BDC">
        <w:rPr>
          <w:szCs w:val="22"/>
        </w:rPr>
        <w:t> </w:t>
      </w:r>
      <w:r w:rsidRPr="00823BDC">
        <w:rPr>
          <w:szCs w:val="22"/>
        </w:rPr>
        <w:t xml:space="preserve">rizika lieku. Od zdravotníckych pracovníkov sa vyžaduje, aby hlásili akékoľvek podozrenia na nežiaduce reakcie </w:t>
      </w:r>
      <w:r w:rsidR="00B40348" w:rsidRPr="00823BDC">
        <w:rPr>
          <w:noProof/>
          <w:snapToGrid w:val="0"/>
          <w:szCs w:val="22"/>
          <w:shd w:val="clear" w:color="auto" w:fill="A6A6A6"/>
        </w:rPr>
        <w:t>na</w:t>
      </w:r>
      <w:r w:rsidR="00B40348" w:rsidRPr="00823BDC">
        <w:rPr>
          <w:szCs w:val="22"/>
          <w:shd w:val="clear" w:color="auto" w:fill="A6A6A6"/>
        </w:rPr>
        <w:t xml:space="preserve"> </w:t>
      </w:r>
      <w:r w:rsidR="00F10FD8" w:rsidRPr="00A6540D">
        <w:rPr>
          <w:szCs w:val="22"/>
          <w:shd w:val="clear" w:color="auto" w:fill="A6A6A6"/>
          <w:lang w:bidi="sk-SK"/>
        </w:rPr>
        <w:t>národné centrum hlásenia uvedené v </w:t>
      </w:r>
      <w:hyperlink r:id="rId9">
        <w:r w:rsidR="00F10FD8" w:rsidRPr="00A6540D">
          <w:rPr>
            <w:rStyle w:val="Hypertextovprepojenie"/>
            <w:szCs w:val="22"/>
            <w:shd w:val="clear" w:color="auto" w:fill="A6A6A6"/>
            <w:lang w:bidi="sk-SK"/>
          </w:rPr>
          <w:t>Prílohe V</w:t>
        </w:r>
      </w:hyperlink>
      <w:r w:rsidR="00B40348" w:rsidRPr="00530542">
        <w:rPr>
          <w:szCs w:val="22"/>
          <w:lang w:bidi="sk-SK"/>
        </w:rPr>
        <w:t>.</w:t>
      </w:r>
    </w:p>
    <w:p w14:paraId="33101A36" w14:textId="77777777" w:rsidR="00130D67" w:rsidRPr="00CD10F1" w:rsidRDefault="00130D67" w:rsidP="000E2387">
      <w:pPr>
        <w:adjustRightInd w:val="0"/>
        <w:snapToGrid w:val="0"/>
        <w:rPr>
          <w:bCs/>
          <w:iCs/>
          <w:szCs w:val="22"/>
        </w:rPr>
      </w:pPr>
    </w:p>
    <w:p w14:paraId="0BCA463D" w14:textId="77777777" w:rsidR="00D044EB" w:rsidRPr="00CD10F1" w:rsidRDefault="00D044EB" w:rsidP="000E2387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CD10F1">
        <w:rPr>
          <w:b/>
          <w:szCs w:val="22"/>
        </w:rPr>
        <w:t>4.9</w:t>
      </w:r>
      <w:r w:rsidRPr="00CD10F1">
        <w:rPr>
          <w:b/>
          <w:szCs w:val="22"/>
        </w:rPr>
        <w:tab/>
        <w:t>Predávkovanie</w:t>
      </w:r>
    </w:p>
    <w:p w14:paraId="69F5439C" w14:textId="77777777" w:rsidR="00D044EB" w:rsidRPr="00AA7838" w:rsidRDefault="00D044EB" w:rsidP="005332CD">
      <w:pPr>
        <w:keepNext/>
        <w:adjustRightInd w:val="0"/>
        <w:snapToGrid w:val="0"/>
        <w:rPr>
          <w:szCs w:val="22"/>
        </w:rPr>
      </w:pPr>
    </w:p>
    <w:p w14:paraId="012FB362" w14:textId="4AF46B37" w:rsidR="00D044EB" w:rsidRPr="00373B08" w:rsidRDefault="00566251" w:rsidP="005332CD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AA7838">
        <w:rPr>
          <w:szCs w:val="22"/>
          <w:u w:val="single"/>
        </w:rPr>
        <w:t>E</w:t>
      </w:r>
      <w:r w:rsidR="008F0AF0" w:rsidRPr="00AA7838">
        <w:rPr>
          <w:szCs w:val="22"/>
          <w:u w:val="single"/>
        </w:rPr>
        <w:t>zetimib</w:t>
      </w:r>
      <w:proofErr w:type="spellEnd"/>
      <w:r w:rsidR="008F0AF0" w:rsidRPr="00373B08">
        <w:rPr>
          <w:szCs w:val="22"/>
          <w:u w:val="single"/>
        </w:rPr>
        <w:t>/</w:t>
      </w:r>
      <w:proofErr w:type="spellStart"/>
      <w:r w:rsidR="008F0AF0" w:rsidRPr="00373B08">
        <w:rPr>
          <w:szCs w:val="22"/>
          <w:u w:val="single"/>
        </w:rPr>
        <w:t>simvastatín</w:t>
      </w:r>
      <w:proofErr w:type="spellEnd"/>
    </w:p>
    <w:p w14:paraId="1E0165CF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V prípade predávkovania treba vykonať symptomatické a podporné opatrenia. Sú</w:t>
      </w:r>
      <w:r w:rsidR="00F57D50" w:rsidRPr="00823BDC">
        <w:rPr>
          <w:szCs w:val="22"/>
        </w:rPr>
        <w:t>bežné</w:t>
      </w:r>
      <w:r w:rsidRPr="00823BDC">
        <w:rPr>
          <w:szCs w:val="22"/>
        </w:rPr>
        <w:t xml:space="preserve"> podávanie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napToGrid w:val="0"/>
          <w:szCs w:val="22"/>
        </w:rPr>
        <w:t xml:space="preserve"> (1 000 mg/kg) a </w:t>
      </w:r>
      <w:proofErr w:type="spellStart"/>
      <w:r w:rsidRPr="00823BDC">
        <w:rPr>
          <w:snapToGrid w:val="0"/>
          <w:szCs w:val="22"/>
        </w:rPr>
        <w:t>simvastatínu</w:t>
      </w:r>
      <w:proofErr w:type="spellEnd"/>
      <w:r w:rsidRPr="00823BDC">
        <w:rPr>
          <w:snapToGrid w:val="0"/>
          <w:szCs w:val="22"/>
        </w:rPr>
        <w:t xml:space="preserve"> (1 000 mg/kg) bolo dobre tolerované v štúdiách akútnej perorálnej toxicity na myšiach a potkanoch. </w:t>
      </w:r>
      <w:r w:rsidRPr="00823BDC">
        <w:rPr>
          <w:szCs w:val="22"/>
        </w:rPr>
        <w:t xml:space="preserve">U týchto zvierat sa nepozorovali žiadne klinické </w:t>
      </w:r>
      <w:r w:rsidR="00400DF4" w:rsidRPr="00823BDC">
        <w:rPr>
          <w:szCs w:val="22"/>
        </w:rPr>
        <w:t xml:space="preserve">náznaky </w:t>
      </w:r>
      <w:r w:rsidRPr="00823BDC">
        <w:rPr>
          <w:szCs w:val="22"/>
        </w:rPr>
        <w:t>toxicity. Odhadovaná perorálna LD</w:t>
      </w:r>
      <w:r w:rsidRPr="00823BDC">
        <w:rPr>
          <w:szCs w:val="22"/>
          <w:vertAlign w:val="subscript"/>
        </w:rPr>
        <w:t>50</w:t>
      </w:r>
      <w:r w:rsidRPr="00823BDC">
        <w:rPr>
          <w:szCs w:val="22"/>
        </w:rPr>
        <w:t xml:space="preserve"> pre oba druhy bola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≥</w:t>
      </w:r>
      <w:r w:rsidR="00636C11" w:rsidRPr="00823BDC">
        <w:rPr>
          <w:szCs w:val="22"/>
        </w:rPr>
        <w:t> </w:t>
      </w:r>
      <w:r w:rsidRPr="00823BDC">
        <w:rPr>
          <w:szCs w:val="22"/>
        </w:rPr>
        <w:t>1 000 mg/kg/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≥</w:t>
      </w:r>
      <w:r w:rsidR="00636C11" w:rsidRPr="00823BDC">
        <w:rPr>
          <w:szCs w:val="22"/>
        </w:rPr>
        <w:t> </w:t>
      </w:r>
      <w:r w:rsidRPr="00823BDC">
        <w:rPr>
          <w:szCs w:val="22"/>
        </w:rPr>
        <w:t>1 000 mg/kg.</w:t>
      </w:r>
    </w:p>
    <w:p w14:paraId="36AB7A50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6B80124F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szCs w:val="22"/>
          <w:u w:val="single"/>
        </w:rPr>
        <w:t>Ezetimib</w:t>
      </w:r>
      <w:proofErr w:type="spellEnd"/>
    </w:p>
    <w:p w14:paraId="2B4B4E8C" w14:textId="77777777" w:rsidR="00D044EB" w:rsidRPr="00823BDC" w:rsidRDefault="00D044EB">
      <w:pPr>
        <w:numPr>
          <w:ilvl w:val="12"/>
          <w:numId w:val="0"/>
        </w:num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V klinických štúdiách bolo podávanie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50 mg/deň 15</w:t>
      </w:r>
      <w:r w:rsidR="00FA3BCD" w:rsidRPr="00823BDC">
        <w:rPr>
          <w:szCs w:val="22"/>
        </w:rPr>
        <w:t xml:space="preserve"> </w:t>
      </w:r>
      <w:r w:rsidRPr="00823BDC">
        <w:rPr>
          <w:szCs w:val="22"/>
        </w:rPr>
        <w:t xml:space="preserve">zdravým </w:t>
      </w:r>
      <w:r w:rsidR="00944083" w:rsidRPr="00823BDC">
        <w:rPr>
          <w:szCs w:val="22"/>
        </w:rPr>
        <w:t xml:space="preserve">osobám </w:t>
      </w:r>
      <w:r w:rsidRPr="00823BDC">
        <w:rPr>
          <w:szCs w:val="22"/>
        </w:rPr>
        <w:t xml:space="preserve">až </w:t>
      </w:r>
      <w:r w:rsidR="00186395" w:rsidRPr="00823BDC">
        <w:rPr>
          <w:szCs w:val="22"/>
        </w:rPr>
        <w:t xml:space="preserve">po dobu </w:t>
      </w:r>
      <w:r w:rsidRPr="00823BDC">
        <w:rPr>
          <w:szCs w:val="22"/>
        </w:rPr>
        <w:t>14</w:t>
      </w:r>
      <w:r w:rsidR="00186395" w:rsidRPr="00823BDC">
        <w:rPr>
          <w:szCs w:val="22"/>
        </w:rPr>
        <w:t xml:space="preserve"> </w:t>
      </w:r>
      <w:r w:rsidRPr="00823BDC">
        <w:rPr>
          <w:szCs w:val="22"/>
        </w:rPr>
        <w:t>dní alebo 40 mg/deň 18</w:t>
      </w:r>
      <w:r w:rsidR="00186395" w:rsidRPr="00823BDC">
        <w:rPr>
          <w:szCs w:val="22"/>
        </w:rPr>
        <w:t xml:space="preserve"> </w:t>
      </w:r>
      <w:r w:rsidRPr="00823BDC">
        <w:rPr>
          <w:szCs w:val="22"/>
        </w:rPr>
        <w:t xml:space="preserve">pacientom s primárnou </w:t>
      </w:r>
      <w:proofErr w:type="spellStart"/>
      <w:r w:rsidRPr="00823BDC">
        <w:rPr>
          <w:szCs w:val="22"/>
        </w:rPr>
        <w:t>hypercholesterolémiou</w:t>
      </w:r>
      <w:proofErr w:type="spellEnd"/>
      <w:r w:rsidRPr="00823BDC">
        <w:rPr>
          <w:szCs w:val="22"/>
        </w:rPr>
        <w:t xml:space="preserve"> až po</w:t>
      </w:r>
      <w:r w:rsidR="00186395" w:rsidRPr="00823BDC">
        <w:rPr>
          <w:szCs w:val="22"/>
        </w:rPr>
        <w:t xml:space="preserve"> dobu</w:t>
      </w:r>
      <w:r w:rsidRPr="00823BDC">
        <w:rPr>
          <w:szCs w:val="22"/>
        </w:rPr>
        <w:t xml:space="preserve"> 56</w:t>
      </w:r>
      <w:r w:rsidR="00FA3BCD" w:rsidRPr="00823BDC">
        <w:rPr>
          <w:szCs w:val="22"/>
        </w:rPr>
        <w:t xml:space="preserve"> </w:t>
      </w:r>
      <w:r w:rsidRPr="00823BDC">
        <w:rPr>
          <w:szCs w:val="22"/>
        </w:rPr>
        <w:t>dní vo</w:t>
      </w:r>
      <w:r w:rsidR="00FA3BCD" w:rsidRPr="00823BDC">
        <w:rPr>
          <w:szCs w:val="22"/>
        </w:rPr>
        <w:t xml:space="preserve"> </w:t>
      </w:r>
      <w:r w:rsidRPr="00823BDC">
        <w:rPr>
          <w:szCs w:val="22"/>
        </w:rPr>
        <w:t>všeobecnosti dobre tolerované. Bolo hlásených niekoľko prípadov predávkovania; väčšina nebola spojená s nežiaducimi účinkami. Hlásené nežiaduce účinky neboli závažné. U</w:t>
      </w:r>
      <w:r w:rsidR="00FA3BCD" w:rsidRPr="00823BDC">
        <w:rPr>
          <w:szCs w:val="22"/>
        </w:rPr>
        <w:t> </w:t>
      </w:r>
      <w:r w:rsidRPr="00823BDC">
        <w:rPr>
          <w:szCs w:val="22"/>
        </w:rPr>
        <w:t xml:space="preserve">zvierat sa nepozorovala žiadna toxicita po jednorazových perorálnych dávkach 5 000 mg/kg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u potkanov a myší a 3 000 mg/kg u psov.</w:t>
      </w:r>
    </w:p>
    <w:p w14:paraId="03110F6E" w14:textId="77777777" w:rsidR="00D044EB" w:rsidRPr="00823BDC" w:rsidRDefault="00D044EB">
      <w:pPr>
        <w:numPr>
          <w:ilvl w:val="12"/>
          <w:numId w:val="0"/>
        </w:numPr>
        <w:adjustRightInd w:val="0"/>
        <w:snapToGrid w:val="0"/>
        <w:rPr>
          <w:szCs w:val="22"/>
        </w:rPr>
      </w:pPr>
    </w:p>
    <w:p w14:paraId="408995C6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szCs w:val="22"/>
          <w:u w:val="single"/>
        </w:rPr>
        <w:t>Simvastatín</w:t>
      </w:r>
      <w:proofErr w:type="spellEnd"/>
    </w:p>
    <w:p w14:paraId="7943AA37" w14:textId="77777777" w:rsidR="00516B93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Bolo hlásených niekoľko prípadov predávkovania; maximálna užitá dávka bola 3,6 g. Všetci pacienti sa zotavili bez následkov.</w:t>
      </w:r>
    </w:p>
    <w:p w14:paraId="33E5F64B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18266DE5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1552AB15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szCs w:val="22"/>
        </w:rPr>
      </w:pPr>
      <w:r w:rsidRPr="00823BDC">
        <w:rPr>
          <w:b/>
          <w:szCs w:val="22"/>
        </w:rPr>
        <w:t>5.</w:t>
      </w:r>
      <w:r w:rsidRPr="00823BDC">
        <w:rPr>
          <w:b/>
          <w:szCs w:val="22"/>
        </w:rPr>
        <w:tab/>
        <w:t>FARMAKOLOGICKÉ VLASTNOSTI</w:t>
      </w:r>
    </w:p>
    <w:p w14:paraId="1F7A03A5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26EAA191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5.1</w:t>
      </w:r>
      <w:r w:rsidRPr="00823BDC">
        <w:rPr>
          <w:b/>
          <w:szCs w:val="22"/>
        </w:rPr>
        <w:tab/>
      </w:r>
      <w:proofErr w:type="spellStart"/>
      <w:r w:rsidRPr="00823BDC">
        <w:rPr>
          <w:b/>
          <w:szCs w:val="22"/>
        </w:rPr>
        <w:t>Farmakodynamické</w:t>
      </w:r>
      <w:proofErr w:type="spellEnd"/>
      <w:r w:rsidRPr="00823BDC">
        <w:rPr>
          <w:b/>
          <w:szCs w:val="22"/>
        </w:rPr>
        <w:t xml:space="preserve"> vlastnosti</w:t>
      </w:r>
    </w:p>
    <w:p w14:paraId="1244FC3D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7B8D6B5A" w14:textId="1DC20CDA" w:rsidR="00D044EB" w:rsidRPr="00AA7838" w:rsidRDefault="00D044EB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Farmakoterapeutická</w:t>
      </w:r>
      <w:proofErr w:type="spellEnd"/>
      <w:r w:rsidRPr="00823BDC">
        <w:rPr>
          <w:szCs w:val="22"/>
        </w:rPr>
        <w:t xml:space="preserve"> skupina: </w:t>
      </w:r>
      <w:proofErr w:type="spellStart"/>
      <w:r w:rsidR="006B7629" w:rsidRPr="00823BDC">
        <w:rPr>
          <w:szCs w:val="22"/>
        </w:rPr>
        <w:t>Hypolipidemiká</w:t>
      </w:r>
      <w:proofErr w:type="spellEnd"/>
      <w:r w:rsidR="006B7629" w:rsidRPr="00823BDC">
        <w:rPr>
          <w:szCs w:val="22"/>
        </w:rPr>
        <w:t>, i</w:t>
      </w:r>
      <w:r w:rsidRPr="00823BDC">
        <w:rPr>
          <w:szCs w:val="22"/>
        </w:rPr>
        <w:t>nhibítory HMG</w:t>
      </w:r>
      <w:r w:rsidR="006D303C">
        <w:rPr>
          <w:szCs w:val="22"/>
        </w:rPr>
        <w:t>-</w:t>
      </w:r>
      <w:proofErr w:type="spellStart"/>
      <w:r w:rsidRPr="006D303C">
        <w:rPr>
          <w:szCs w:val="22"/>
        </w:rPr>
        <w:t>CoA</w:t>
      </w:r>
      <w:proofErr w:type="spellEnd"/>
      <w:r w:rsidR="00A26693" w:rsidRPr="006D303C">
        <w:rPr>
          <w:szCs w:val="22"/>
        </w:rPr>
        <w:t>-</w:t>
      </w:r>
      <w:proofErr w:type="spellStart"/>
      <w:r w:rsidRPr="00A843D5">
        <w:rPr>
          <w:szCs w:val="22"/>
        </w:rPr>
        <w:t>reduktázy</w:t>
      </w:r>
      <w:proofErr w:type="spellEnd"/>
      <w:r w:rsidRPr="00A843D5">
        <w:rPr>
          <w:szCs w:val="22"/>
        </w:rPr>
        <w:t xml:space="preserve"> v kombinácii s inými </w:t>
      </w:r>
      <w:proofErr w:type="spellStart"/>
      <w:r w:rsidR="006B7629" w:rsidRPr="00AA7838">
        <w:rPr>
          <w:szCs w:val="22"/>
        </w:rPr>
        <w:t>hypolipidemikami</w:t>
      </w:r>
      <w:proofErr w:type="spellEnd"/>
      <w:r w:rsidRPr="00AA7838">
        <w:rPr>
          <w:szCs w:val="22"/>
        </w:rPr>
        <w:t>, ATC kód: C10BA02</w:t>
      </w:r>
    </w:p>
    <w:p w14:paraId="7B5C4890" w14:textId="77777777" w:rsidR="00D044EB" w:rsidRPr="00373B08" w:rsidRDefault="00D044EB">
      <w:pPr>
        <w:adjustRightInd w:val="0"/>
        <w:snapToGrid w:val="0"/>
        <w:rPr>
          <w:szCs w:val="22"/>
        </w:rPr>
      </w:pPr>
    </w:p>
    <w:p w14:paraId="1E58B9AB" w14:textId="6C9A8296" w:rsidR="00D044EB" w:rsidRPr="00823BDC" w:rsidRDefault="00566251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E</w:t>
      </w:r>
      <w:r w:rsidR="00D044EB" w:rsidRPr="00823BDC">
        <w:rPr>
          <w:szCs w:val="22"/>
        </w:rPr>
        <w:t>zetimib</w:t>
      </w:r>
      <w:proofErr w:type="spellEnd"/>
      <w:r w:rsidR="00D044EB" w:rsidRPr="00823BDC">
        <w:rPr>
          <w:szCs w:val="22"/>
        </w:rPr>
        <w:t>/</w:t>
      </w:r>
      <w:proofErr w:type="spellStart"/>
      <w:r w:rsidR="00D044EB" w:rsidRPr="00823BDC">
        <w:rPr>
          <w:szCs w:val="22"/>
        </w:rPr>
        <w:t>simvastatín</w:t>
      </w:r>
      <w:proofErr w:type="spellEnd"/>
      <w:r w:rsidR="00D044EB" w:rsidRPr="00823BDC">
        <w:rPr>
          <w:szCs w:val="22"/>
        </w:rPr>
        <w:t xml:space="preserve"> je </w:t>
      </w:r>
      <w:r w:rsidR="00F57D50" w:rsidRPr="00823BDC">
        <w:rPr>
          <w:szCs w:val="22"/>
        </w:rPr>
        <w:t xml:space="preserve">liek znižujúci </w:t>
      </w:r>
      <w:r w:rsidR="00D044EB" w:rsidRPr="00823BDC">
        <w:rPr>
          <w:szCs w:val="22"/>
        </w:rPr>
        <w:t>lipidy, ktorý selektívne inhibuje črevnú absorpciu cholesterolu a príbuzných rastlinných sterolov a inhibuje endogénnu syntézu cholesterolu.</w:t>
      </w:r>
    </w:p>
    <w:p w14:paraId="4CD7AA9D" w14:textId="77777777" w:rsidR="00D044EB" w:rsidRPr="00823BDC" w:rsidRDefault="00D044EB">
      <w:pPr>
        <w:adjustRightInd w:val="0"/>
        <w:snapToGrid w:val="0"/>
        <w:rPr>
          <w:iCs/>
          <w:szCs w:val="22"/>
        </w:rPr>
      </w:pPr>
    </w:p>
    <w:p w14:paraId="08B92C8B" w14:textId="77777777" w:rsidR="00D044EB" w:rsidRPr="00823BDC" w:rsidRDefault="00D044EB">
      <w:pPr>
        <w:pStyle w:val="CPCLH3"/>
        <w:keepNext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Cs w:val="22"/>
          <w:u w:val="single"/>
        </w:rPr>
      </w:pPr>
      <w:r w:rsidRPr="00823BDC">
        <w:rPr>
          <w:rFonts w:ascii="Times New Roman" w:hAnsi="Times New Roman"/>
          <w:szCs w:val="22"/>
          <w:u w:val="single"/>
        </w:rPr>
        <w:t>Mechanizmus účinku</w:t>
      </w:r>
    </w:p>
    <w:p w14:paraId="42EE8C5D" w14:textId="77777777" w:rsidR="002707E7" w:rsidRPr="00823BDC" w:rsidRDefault="002707E7">
      <w:pPr>
        <w:keepNext/>
        <w:adjustRightInd w:val="0"/>
        <w:snapToGrid w:val="0"/>
        <w:rPr>
          <w:i/>
          <w:szCs w:val="22"/>
        </w:rPr>
      </w:pPr>
    </w:p>
    <w:p w14:paraId="548BAAA5" w14:textId="77777777" w:rsidR="00D044EB" w:rsidRPr="00823BDC" w:rsidRDefault="002707E7">
      <w:pPr>
        <w:keepNext/>
        <w:adjustRightInd w:val="0"/>
        <w:snapToGrid w:val="0"/>
        <w:rPr>
          <w:i/>
          <w:szCs w:val="22"/>
          <w:u w:val="single"/>
        </w:rPr>
      </w:pPr>
      <w:proofErr w:type="spellStart"/>
      <w:r w:rsidRPr="00823BDC">
        <w:rPr>
          <w:i/>
          <w:szCs w:val="22"/>
          <w:u w:val="single"/>
        </w:rPr>
        <w:t>Ezetimib</w:t>
      </w:r>
      <w:proofErr w:type="spellEnd"/>
      <w:r w:rsidRPr="00823BDC">
        <w:rPr>
          <w:i/>
          <w:szCs w:val="22"/>
          <w:u w:val="single"/>
        </w:rPr>
        <w:t>/</w:t>
      </w:r>
      <w:proofErr w:type="spellStart"/>
      <w:r w:rsidRPr="00823BDC">
        <w:rPr>
          <w:i/>
          <w:szCs w:val="22"/>
          <w:u w:val="single"/>
        </w:rPr>
        <w:t>simvastatín</w:t>
      </w:r>
      <w:proofErr w:type="spellEnd"/>
    </w:p>
    <w:p w14:paraId="0D1E5423" w14:textId="50FB5D4F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Plazmatický cholesterol pochádza z črevnej absorpcie a endogénnej syntézy. </w:t>
      </w:r>
      <w:proofErr w:type="spellStart"/>
      <w:r w:rsidR="002707E7" w:rsidRPr="00823BDC">
        <w:rPr>
          <w:szCs w:val="22"/>
        </w:rPr>
        <w:t>Cornusan</w:t>
      </w:r>
      <w:proofErr w:type="spellEnd"/>
      <w:r w:rsidRPr="00823BDC">
        <w:rPr>
          <w:szCs w:val="22"/>
        </w:rPr>
        <w:t xml:space="preserve"> obsahuje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a 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, </w:t>
      </w:r>
      <w:r w:rsidR="00566251" w:rsidRPr="00823BDC">
        <w:rPr>
          <w:szCs w:val="22"/>
        </w:rPr>
        <w:t xml:space="preserve">2 </w:t>
      </w:r>
      <w:r w:rsidR="00DE11EF" w:rsidRPr="00823BDC">
        <w:rPr>
          <w:szCs w:val="22"/>
        </w:rPr>
        <w:t>l</w:t>
      </w:r>
      <w:r w:rsidR="00A26693" w:rsidRPr="00823BDC">
        <w:rPr>
          <w:szCs w:val="22"/>
        </w:rPr>
        <w:t>iečivá</w:t>
      </w:r>
      <w:r w:rsidR="00DE11EF" w:rsidRPr="00823BDC">
        <w:rPr>
          <w:szCs w:val="22"/>
        </w:rPr>
        <w:t xml:space="preserve"> znižujúce </w:t>
      </w:r>
      <w:r w:rsidRPr="00823BDC">
        <w:rPr>
          <w:szCs w:val="22"/>
        </w:rPr>
        <w:t>lipid</w:t>
      </w:r>
      <w:r w:rsidR="00F8774C" w:rsidRPr="00823BDC">
        <w:rPr>
          <w:szCs w:val="22"/>
        </w:rPr>
        <w:t>y</w:t>
      </w:r>
      <w:r w:rsidRPr="00823BDC">
        <w:rPr>
          <w:szCs w:val="22"/>
        </w:rPr>
        <w:t xml:space="preserve"> s komplementárnymi mechanizmami účinku. </w:t>
      </w:r>
      <w:proofErr w:type="spellStart"/>
      <w:r w:rsidR="00566251" w:rsidRPr="00823BDC">
        <w:rPr>
          <w:szCs w:val="22"/>
        </w:rPr>
        <w:t>Ezetimib</w:t>
      </w:r>
      <w:proofErr w:type="spellEnd"/>
      <w:r w:rsidR="00566251" w:rsidRPr="00823BDC">
        <w:rPr>
          <w:szCs w:val="22"/>
        </w:rPr>
        <w:t>/</w:t>
      </w:r>
      <w:proofErr w:type="spellStart"/>
      <w:r w:rsidR="00566251" w:rsidRPr="00823BDC">
        <w:rPr>
          <w:szCs w:val="22"/>
        </w:rPr>
        <w:t>simvastatín</w:t>
      </w:r>
      <w:proofErr w:type="spellEnd"/>
      <w:r w:rsidR="00566251" w:rsidRPr="00823BDC" w:rsidDel="00566251">
        <w:rPr>
          <w:szCs w:val="22"/>
        </w:rPr>
        <w:t xml:space="preserve"> </w:t>
      </w:r>
      <w:r w:rsidRPr="00823BDC">
        <w:rPr>
          <w:szCs w:val="22"/>
        </w:rPr>
        <w:t>znižuje zvýšený celkový cholesterol (celkový</w:t>
      </w:r>
      <w:r w:rsidRPr="00823BDC">
        <w:rPr>
          <w:szCs w:val="22"/>
        </w:rPr>
        <w:noBreakHyphen/>
        <w:t>C), LDL</w:t>
      </w:r>
      <w:r w:rsidRPr="00823BDC">
        <w:rPr>
          <w:szCs w:val="22"/>
        </w:rPr>
        <w:noBreakHyphen/>
        <w:t xml:space="preserve">C, </w:t>
      </w:r>
      <w:proofErr w:type="spellStart"/>
      <w:r w:rsidRPr="00823BDC">
        <w:rPr>
          <w:szCs w:val="22"/>
        </w:rPr>
        <w:t>apolipoproteín</w:t>
      </w:r>
      <w:proofErr w:type="spellEnd"/>
      <w:r w:rsidRPr="00823BDC">
        <w:rPr>
          <w:szCs w:val="22"/>
        </w:rPr>
        <w:t> B (Apo B), tri</w:t>
      </w:r>
      <w:r w:rsidR="00A26693" w:rsidRPr="00823BDC">
        <w:rPr>
          <w:szCs w:val="22"/>
        </w:rPr>
        <w:t>acylglyceroly</w:t>
      </w:r>
      <w:r w:rsidRPr="00823BDC">
        <w:rPr>
          <w:szCs w:val="22"/>
        </w:rPr>
        <w:t xml:space="preserve"> (TG) a cholesterol </w:t>
      </w:r>
      <w:r w:rsidR="00D70651" w:rsidRPr="00823BDC">
        <w:rPr>
          <w:szCs w:val="22"/>
        </w:rPr>
        <w:t>bez</w:t>
      </w:r>
      <w:r w:rsidRPr="00823BDC">
        <w:rPr>
          <w:szCs w:val="22"/>
        </w:rPr>
        <w:t xml:space="preserve"> lipoproteínov</w:t>
      </w:r>
      <w:r w:rsidR="00D70651" w:rsidRPr="00823BDC">
        <w:rPr>
          <w:szCs w:val="22"/>
        </w:rPr>
        <w:t xml:space="preserve"> s vysokou hustotou</w:t>
      </w:r>
      <w:r w:rsidRPr="00823BDC">
        <w:rPr>
          <w:szCs w:val="22"/>
        </w:rPr>
        <w:t xml:space="preserve"> (</w:t>
      </w:r>
      <w:proofErr w:type="spellStart"/>
      <w:r w:rsidRPr="00823BDC">
        <w:rPr>
          <w:szCs w:val="22"/>
        </w:rPr>
        <w:t>non</w:t>
      </w:r>
      <w:proofErr w:type="spellEnd"/>
      <w:r w:rsidRPr="00823BDC">
        <w:rPr>
          <w:szCs w:val="22"/>
        </w:rPr>
        <w:t>-HDL</w:t>
      </w:r>
      <w:r w:rsidRPr="00823BDC">
        <w:rPr>
          <w:szCs w:val="22"/>
        </w:rPr>
        <w:noBreakHyphen/>
        <w:t>C) a zvyšuje cholesterol lipoproteínov</w:t>
      </w:r>
      <w:r w:rsidR="00A26693" w:rsidRPr="00823BDC">
        <w:rPr>
          <w:szCs w:val="22"/>
        </w:rPr>
        <w:t xml:space="preserve"> s vysokou hustotou</w:t>
      </w:r>
      <w:r w:rsidRPr="00823BDC">
        <w:rPr>
          <w:szCs w:val="22"/>
        </w:rPr>
        <w:t xml:space="preserve"> (HDL</w:t>
      </w:r>
      <w:r w:rsidRPr="00823BDC">
        <w:rPr>
          <w:szCs w:val="22"/>
        </w:rPr>
        <w:noBreakHyphen/>
        <w:t>C) duálnou inhibíciou absorpcie a syntézy cholesterolu.</w:t>
      </w:r>
    </w:p>
    <w:p w14:paraId="5F8E6E2C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7625754F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i/>
          <w:szCs w:val="22"/>
          <w:u w:val="single"/>
        </w:rPr>
        <w:t>Ezetimib</w:t>
      </w:r>
      <w:proofErr w:type="spellEnd"/>
    </w:p>
    <w:p w14:paraId="1612440C" w14:textId="77777777" w:rsidR="00D044EB" w:rsidRPr="00823BDC" w:rsidRDefault="00D044EB">
      <w:pPr>
        <w:adjustRightInd w:val="0"/>
        <w:snapToGrid w:val="0"/>
        <w:rPr>
          <w:snapToGrid w:val="0"/>
          <w:szCs w:val="22"/>
        </w:rPr>
      </w:pP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inhibuje črevnú absorpciu cholesterolu.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je perorálne aktívny a má mechanizmus účinku, ktorý sa líši od iných skupín l</w:t>
      </w:r>
      <w:r w:rsidR="00A26693" w:rsidRPr="00823BDC">
        <w:rPr>
          <w:szCs w:val="22"/>
        </w:rPr>
        <w:t>iečiv</w:t>
      </w:r>
      <w:r w:rsidRPr="00823BDC">
        <w:rPr>
          <w:szCs w:val="22"/>
        </w:rPr>
        <w:t xml:space="preserve"> znižujúcich</w:t>
      </w:r>
      <w:r w:rsidRPr="00823BDC">
        <w:rPr>
          <w:snapToGrid w:val="0"/>
          <w:szCs w:val="22"/>
        </w:rPr>
        <w:t xml:space="preserve"> </w:t>
      </w:r>
      <w:r w:rsidRPr="00823BDC">
        <w:rPr>
          <w:szCs w:val="22"/>
        </w:rPr>
        <w:t xml:space="preserve">cholesterol </w:t>
      </w:r>
      <w:r w:rsidRPr="00823BDC">
        <w:rPr>
          <w:snapToGrid w:val="0"/>
          <w:szCs w:val="22"/>
        </w:rPr>
        <w:t xml:space="preserve">(napr. </w:t>
      </w:r>
      <w:proofErr w:type="spellStart"/>
      <w:r w:rsidRPr="00823BDC">
        <w:rPr>
          <w:snapToGrid w:val="0"/>
          <w:szCs w:val="22"/>
        </w:rPr>
        <w:t>statín</w:t>
      </w:r>
      <w:r w:rsidR="00F8774C" w:rsidRPr="00823BDC">
        <w:rPr>
          <w:snapToGrid w:val="0"/>
          <w:szCs w:val="22"/>
        </w:rPr>
        <w:t>y</w:t>
      </w:r>
      <w:proofErr w:type="spellEnd"/>
      <w:r w:rsidRPr="00823BDC">
        <w:rPr>
          <w:snapToGrid w:val="0"/>
          <w:szCs w:val="22"/>
        </w:rPr>
        <w:t xml:space="preserve">, </w:t>
      </w:r>
      <w:proofErr w:type="spellStart"/>
      <w:r w:rsidR="00F8774C" w:rsidRPr="00823BDC">
        <w:rPr>
          <w:snapToGrid w:val="0"/>
          <w:szCs w:val="22"/>
        </w:rPr>
        <w:t>sekvestranty</w:t>
      </w:r>
      <w:proofErr w:type="spellEnd"/>
      <w:r w:rsidR="00F8774C" w:rsidRPr="00823BDC">
        <w:rPr>
          <w:snapToGrid w:val="0"/>
          <w:szCs w:val="22"/>
        </w:rPr>
        <w:t xml:space="preserve"> </w:t>
      </w:r>
      <w:r w:rsidRPr="00823BDC">
        <w:rPr>
          <w:snapToGrid w:val="0"/>
          <w:szCs w:val="22"/>
        </w:rPr>
        <w:t>žlčových kyselín [</w:t>
      </w:r>
      <w:r w:rsidR="00FE59B2" w:rsidRPr="00823BDC">
        <w:rPr>
          <w:snapToGrid w:val="0"/>
          <w:szCs w:val="22"/>
        </w:rPr>
        <w:t>živice</w:t>
      </w:r>
      <w:r w:rsidRPr="00823BDC">
        <w:rPr>
          <w:snapToGrid w:val="0"/>
          <w:szCs w:val="22"/>
        </w:rPr>
        <w:t xml:space="preserve">], </w:t>
      </w:r>
      <w:r w:rsidR="00F8774C" w:rsidRPr="00823BDC">
        <w:rPr>
          <w:snapToGrid w:val="0"/>
          <w:szCs w:val="22"/>
        </w:rPr>
        <w:t xml:space="preserve">deriváty </w:t>
      </w:r>
      <w:r w:rsidRPr="00823BDC">
        <w:rPr>
          <w:snapToGrid w:val="0"/>
          <w:szCs w:val="22"/>
        </w:rPr>
        <w:t xml:space="preserve">kyseliny </w:t>
      </w:r>
      <w:proofErr w:type="spellStart"/>
      <w:r w:rsidRPr="00823BDC">
        <w:rPr>
          <w:snapToGrid w:val="0"/>
          <w:szCs w:val="22"/>
        </w:rPr>
        <w:t>fibrovej</w:t>
      </w:r>
      <w:proofErr w:type="spellEnd"/>
      <w:r w:rsidRPr="00823BDC">
        <w:rPr>
          <w:snapToGrid w:val="0"/>
          <w:szCs w:val="22"/>
        </w:rPr>
        <w:t xml:space="preserve"> a </w:t>
      </w:r>
      <w:r w:rsidR="00F8774C" w:rsidRPr="00823BDC">
        <w:rPr>
          <w:snapToGrid w:val="0"/>
          <w:szCs w:val="22"/>
        </w:rPr>
        <w:t xml:space="preserve">rastlinné </w:t>
      </w:r>
      <w:proofErr w:type="spellStart"/>
      <w:r w:rsidRPr="00823BDC">
        <w:rPr>
          <w:snapToGrid w:val="0"/>
          <w:szCs w:val="22"/>
        </w:rPr>
        <w:t>stanol</w:t>
      </w:r>
      <w:r w:rsidR="00FE59B2" w:rsidRPr="00823BDC">
        <w:rPr>
          <w:snapToGrid w:val="0"/>
          <w:szCs w:val="22"/>
        </w:rPr>
        <w:t>y</w:t>
      </w:r>
      <w:proofErr w:type="spellEnd"/>
      <w:r w:rsidRPr="00823BDC">
        <w:rPr>
          <w:snapToGrid w:val="0"/>
          <w:szCs w:val="22"/>
        </w:rPr>
        <w:t xml:space="preserve">). </w:t>
      </w:r>
      <w:r w:rsidRPr="00823BDC">
        <w:rPr>
          <w:szCs w:val="22"/>
        </w:rPr>
        <w:t xml:space="preserve">Molekulovým cieľom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je </w:t>
      </w:r>
      <w:proofErr w:type="spellStart"/>
      <w:r w:rsidRPr="00823BDC">
        <w:rPr>
          <w:szCs w:val="22"/>
        </w:rPr>
        <w:t>sterolový</w:t>
      </w:r>
      <w:proofErr w:type="spellEnd"/>
      <w:r w:rsidRPr="00823BDC">
        <w:rPr>
          <w:szCs w:val="22"/>
        </w:rPr>
        <w:t xml:space="preserve"> transportér </w:t>
      </w:r>
      <w:proofErr w:type="spellStart"/>
      <w:r w:rsidRPr="00823BDC">
        <w:rPr>
          <w:szCs w:val="22"/>
        </w:rPr>
        <w:t>Niemann-Pick</w:t>
      </w:r>
      <w:proofErr w:type="spellEnd"/>
      <w:r w:rsidRPr="00823BDC">
        <w:rPr>
          <w:szCs w:val="22"/>
        </w:rPr>
        <w:t xml:space="preserve"> C1-Like 1 (NPC1L1), ktorý je zodpovedný za </w:t>
      </w:r>
      <w:proofErr w:type="spellStart"/>
      <w:r w:rsidRPr="00823BDC">
        <w:rPr>
          <w:szCs w:val="22"/>
        </w:rPr>
        <w:t>intestinálne</w:t>
      </w:r>
      <w:proofErr w:type="spellEnd"/>
      <w:r w:rsidRPr="00823BDC">
        <w:rPr>
          <w:szCs w:val="22"/>
        </w:rPr>
        <w:t xml:space="preserve"> vychytávanie cholesterolu a </w:t>
      </w:r>
      <w:proofErr w:type="spellStart"/>
      <w:r w:rsidRPr="00823BDC">
        <w:rPr>
          <w:szCs w:val="22"/>
        </w:rPr>
        <w:t>fytosterolov</w:t>
      </w:r>
      <w:proofErr w:type="spellEnd"/>
      <w:r w:rsidRPr="00823BDC">
        <w:rPr>
          <w:szCs w:val="22"/>
        </w:rPr>
        <w:t>.</w:t>
      </w:r>
    </w:p>
    <w:p w14:paraId="55C94D03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269C3EF6" w14:textId="77777777" w:rsidR="00D044EB" w:rsidRPr="00823BDC" w:rsidRDefault="00D044EB">
      <w:pPr>
        <w:adjustRightInd w:val="0"/>
        <w:snapToGrid w:val="0"/>
        <w:rPr>
          <w:snapToGrid w:val="0"/>
          <w:szCs w:val="22"/>
        </w:rPr>
      </w:pPr>
      <w:proofErr w:type="spellStart"/>
      <w:r w:rsidRPr="00823BDC">
        <w:rPr>
          <w:snapToGrid w:val="0"/>
          <w:szCs w:val="22"/>
        </w:rPr>
        <w:t>Ezetimib</w:t>
      </w:r>
      <w:proofErr w:type="spellEnd"/>
      <w:r w:rsidRPr="00823BDC">
        <w:rPr>
          <w:snapToGrid w:val="0"/>
          <w:szCs w:val="22"/>
        </w:rPr>
        <w:t xml:space="preserve"> sa lokalizuje na </w:t>
      </w:r>
      <w:proofErr w:type="spellStart"/>
      <w:r w:rsidRPr="00823BDC">
        <w:rPr>
          <w:snapToGrid w:val="0"/>
          <w:szCs w:val="22"/>
        </w:rPr>
        <w:t>kefkovitý</w:t>
      </w:r>
      <w:proofErr w:type="spellEnd"/>
      <w:r w:rsidRPr="00823BDC">
        <w:rPr>
          <w:snapToGrid w:val="0"/>
          <w:szCs w:val="22"/>
        </w:rPr>
        <w:t xml:space="preserve"> lem tenkého čreva a inhibuje absorpciu cholesterolu, čo vedie k zníž</w:t>
      </w:r>
      <w:r w:rsidR="00A26693" w:rsidRPr="00823BDC">
        <w:rPr>
          <w:snapToGrid w:val="0"/>
          <w:szCs w:val="22"/>
        </w:rPr>
        <w:t>enému</w:t>
      </w:r>
      <w:r w:rsidRPr="00823BDC">
        <w:rPr>
          <w:snapToGrid w:val="0"/>
          <w:szCs w:val="22"/>
        </w:rPr>
        <w:t xml:space="preserve"> dod</w:t>
      </w:r>
      <w:r w:rsidR="00A26693" w:rsidRPr="00823BDC">
        <w:rPr>
          <w:snapToGrid w:val="0"/>
          <w:szCs w:val="22"/>
        </w:rPr>
        <w:t>aniu</w:t>
      </w:r>
      <w:r w:rsidRPr="00823BDC">
        <w:rPr>
          <w:snapToGrid w:val="0"/>
          <w:szCs w:val="22"/>
        </w:rPr>
        <w:t xml:space="preserve"> črevného cholesterolu do pečene; </w:t>
      </w:r>
      <w:proofErr w:type="spellStart"/>
      <w:r w:rsidRPr="00823BDC">
        <w:rPr>
          <w:szCs w:val="22"/>
        </w:rPr>
        <w:t>statíny</w:t>
      </w:r>
      <w:proofErr w:type="spellEnd"/>
      <w:r w:rsidRPr="00823BDC">
        <w:rPr>
          <w:szCs w:val="22"/>
        </w:rPr>
        <w:t xml:space="preserve"> znižujú syntézu cholesterolu v pečeni a spoločne tieto odlišné mechanizmy zabezpečujú komplementárnu redukciu cholesterolu.</w:t>
      </w:r>
      <w:r w:rsidRPr="00823BDC">
        <w:rPr>
          <w:snapToGrid w:val="0"/>
          <w:szCs w:val="22"/>
        </w:rPr>
        <w:t xml:space="preserve"> V 2</w:t>
      </w:r>
      <w:r w:rsidRPr="00823BDC">
        <w:rPr>
          <w:szCs w:val="22"/>
        </w:rPr>
        <w:noBreakHyphen/>
        <w:t>týždňovej klinickej štúdii u 18 pacientov s </w:t>
      </w:r>
      <w:proofErr w:type="spellStart"/>
      <w:r w:rsidRPr="00823BDC">
        <w:rPr>
          <w:szCs w:val="22"/>
        </w:rPr>
        <w:t>hypercholesterolémiou</w:t>
      </w:r>
      <w:proofErr w:type="spellEnd"/>
      <w:r w:rsidRPr="00823BDC">
        <w:rPr>
          <w:snapToGrid w:val="0"/>
          <w:szCs w:val="22"/>
        </w:rPr>
        <w:t xml:space="preserve"> </w:t>
      </w:r>
      <w:proofErr w:type="spellStart"/>
      <w:r w:rsidRPr="00823BDC">
        <w:rPr>
          <w:snapToGrid w:val="0"/>
          <w:szCs w:val="22"/>
        </w:rPr>
        <w:t>ezetimib</w:t>
      </w:r>
      <w:proofErr w:type="spellEnd"/>
      <w:r w:rsidRPr="00823BDC">
        <w:rPr>
          <w:snapToGrid w:val="0"/>
          <w:szCs w:val="22"/>
        </w:rPr>
        <w:t xml:space="preserve"> inhiboval črevnú absorpciu cholesterolu o 54 % v porovnaní s placebom.</w:t>
      </w:r>
    </w:p>
    <w:p w14:paraId="53283929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925B2E9" w14:textId="77777777" w:rsidR="00D044EB" w:rsidRPr="00823BDC" w:rsidRDefault="00F8774C">
      <w:pPr>
        <w:adjustRightInd w:val="0"/>
        <w:snapToGrid w:val="0"/>
        <w:rPr>
          <w:szCs w:val="22"/>
        </w:rPr>
      </w:pPr>
      <w:r w:rsidRPr="00823BDC">
        <w:rPr>
          <w:szCs w:val="22"/>
        </w:rPr>
        <w:lastRenderedPageBreak/>
        <w:t xml:space="preserve">Na </w:t>
      </w:r>
      <w:r w:rsidR="00D044EB" w:rsidRPr="00823BDC">
        <w:rPr>
          <w:szCs w:val="22"/>
        </w:rPr>
        <w:t xml:space="preserve">určenie selektivity </w:t>
      </w:r>
      <w:proofErr w:type="spellStart"/>
      <w:r w:rsidR="00D044EB" w:rsidRPr="00823BDC">
        <w:rPr>
          <w:szCs w:val="22"/>
        </w:rPr>
        <w:t>ezetimibu</w:t>
      </w:r>
      <w:proofErr w:type="spellEnd"/>
      <w:r w:rsidR="00D044EB" w:rsidRPr="00823BDC">
        <w:rPr>
          <w:szCs w:val="22"/>
        </w:rPr>
        <w:t xml:space="preserve"> na inhibíciu absorpcie cholesterolu</w:t>
      </w:r>
      <w:r w:rsidRPr="00823BDC">
        <w:rPr>
          <w:szCs w:val="22"/>
        </w:rPr>
        <w:t xml:space="preserve"> sa vykonala séria predklinických štúdií</w:t>
      </w:r>
      <w:r w:rsidR="00D044EB" w:rsidRPr="00823BDC">
        <w:rPr>
          <w:szCs w:val="22"/>
        </w:rPr>
        <w:t xml:space="preserve">. </w:t>
      </w:r>
      <w:proofErr w:type="spellStart"/>
      <w:r w:rsidR="00D044EB" w:rsidRPr="00823BDC">
        <w:rPr>
          <w:szCs w:val="22"/>
        </w:rPr>
        <w:t>Ezetimib</w:t>
      </w:r>
      <w:proofErr w:type="spellEnd"/>
      <w:r w:rsidR="00D044EB" w:rsidRPr="00823BDC">
        <w:rPr>
          <w:szCs w:val="22"/>
        </w:rPr>
        <w:t xml:space="preserve"> inhiboval absorpciu [</w:t>
      </w:r>
      <w:r w:rsidR="00D044EB" w:rsidRPr="00823BDC">
        <w:rPr>
          <w:szCs w:val="22"/>
          <w:vertAlign w:val="superscript"/>
        </w:rPr>
        <w:t>14</w:t>
      </w:r>
      <w:r w:rsidR="00D044EB" w:rsidRPr="00823BDC">
        <w:rPr>
          <w:szCs w:val="22"/>
        </w:rPr>
        <w:t>C]</w:t>
      </w:r>
      <w:r w:rsidR="00D044EB" w:rsidRPr="00823BDC">
        <w:rPr>
          <w:szCs w:val="22"/>
        </w:rPr>
        <w:noBreakHyphen/>
        <w:t>cholesterolu bez účinku na absorpciu tri</w:t>
      </w:r>
      <w:r w:rsidR="00A26693" w:rsidRPr="00823BDC">
        <w:rPr>
          <w:szCs w:val="22"/>
        </w:rPr>
        <w:t>acylglycerolov</w:t>
      </w:r>
      <w:r w:rsidR="00D044EB" w:rsidRPr="00823BDC">
        <w:rPr>
          <w:szCs w:val="22"/>
        </w:rPr>
        <w:t xml:space="preserve">, mastných kyselín, žlčových kyselín, </w:t>
      </w:r>
      <w:proofErr w:type="spellStart"/>
      <w:r w:rsidR="00D044EB" w:rsidRPr="00823BDC">
        <w:rPr>
          <w:szCs w:val="22"/>
        </w:rPr>
        <w:t>progesterónu</w:t>
      </w:r>
      <w:proofErr w:type="spellEnd"/>
      <w:r w:rsidR="00D044EB" w:rsidRPr="00823BDC">
        <w:rPr>
          <w:szCs w:val="22"/>
        </w:rPr>
        <w:t xml:space="preserve">, </w:t>
      </w:r>
      <w:proofErr w:type="spellStart"/>
      <w:r w:rsidR="00D044EB" w:rsidRPr="00823BDC">
        <w:rPr>
          <w:szCs w:val="22"/>
        </w:rPr>
        <w:t>etinylestradiolu</w:t>
      </w:r>
      <w:proofErr w:type="spellEnd"/>
      <w:r w:rsidR="00D044EB" w:rsidRPr="00823BDC">
        <w:rPr>
          <w:szCs w:val="22"/>
        </w:rPr>
        <w:t xml:space="preserve"> alebo </w:t>
      </w:r>
      <w:r w:rsidRPr="00823BDC">
        <w:rPr>
          <w:szCs w:val="22"/>
        </w:rPr>
        <w:t xml:space="preserve">v tukoch rozpustných </w:t>
      </w:r>
      <w:r w:rsidR="00D044EB" w:rsidRPr="00823BDC">
        <w:rPr>
          <w:szCs w:val="22"/>
        </w:rPr>
        <w:t xml:space="preserve">vitamínov A </w:t>
      </w:r>
      <w:proofErr w:type="spellStart"/>
      <w:r w:rsidR="00D044EB" w:rsidRPr="00823BDC">
        <w:rPr>
          <w:szCs w:val="22"/>
        </w:rPr>
        <w:t>a</w:t>
      </w:r>
      <w:proofErr w:type="spellEnd"/>
      <w:r w:rsidR="00D044EB" w:rsidRPr="00823BDC">
        <w:rPr>
          <w:szCs w:val="22"/>
        </w:rPr>
        <w:t> D.</w:t>
      </w:r>
    </w:p>
    <w:p w14:paraId="464D6664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225DEAB0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i/>
          <w:szCs w:val="22"/>
          <w:u w:val="single"/>
        </w:rPr>
        <w:t>Simvastatín</w:t>
      </w:r>
      <w:proofErr w:type="spellEnd"/>
    </w:p>
    <w:p w14:paraId="08012C0C" w14:textId="01D288E3" w:rsidR="00D044EB" w:rsidRPr="00823BDC" w:rsidRDefault="00D044EB">
      <w:pPr>
        <w:adjustRightInd w:val="0"/>
        <w:snapToGrid w:val="0"/>
        <w:rPr>
          <w:spacing w:val="-3"/>
          <w:szCs w:val="22"/>
        </w:rPr>
      </w:pPr>
      <w:r w:rsidRPr="00823BDC">
        <w:rPr>
          <w:spacing w:val="-3"/>
          <w:szCs w:val="22"/>
        </w:rPr>
        <w:t xml:space="preserve">Po perorálnom užití je </w:t>
      </w:r>
      <w:proofErr w:type="spellStart"/>
      <w:r w:rsidRPr="00823BDC">
        <w:rPr>
          <w:spacing w:val="-3"/>
          <w:szCs w:val="22"/>
        </w:rPr>
        <w:t>simvastatín</w:t>
      </w:r>
      <w:proofErr w:type="spellEnd"/>
      <w:r w:rsidRPr="00823BDC">
        <w:rPr>
          <w:spacing w:val="-3"/>
          <w:szCs w:val="22"/>
        </w:rPr>
        <w:t xml:space="preserve">, ktorý je </w:t>
      </w:r>
      <w:proofErr w:type="spellStart"/>
      <w:r w:rsidRPr="00823BDC">
        <w:rPr>
          <w:spacing w:val="-3"/>
          <w:szCs w:val="22"/>
        </w:rPr>
        <w:t>inaktívny</w:t>
      </w:r>
      <w:proofErr w:type="spellEnd"/>
      <w:r w:rsidRPr="00823BDC">
        <w:rPr>
          <w:spacing w:val="-3"/>
          <w:szCs w:val="22"/>
        </w:rPr>
        <w:t xml:space="preserve"> </w:t>
      </w:r>
      <w:proofErr w:type="spellStart"/>
      <w:r w:rsidRPr="00823BDC">
        <w:rPr>
          <w:spacing w:val="-3"/>
          <w:szCs w:val="22"/>
        </w:rPr>
        <w:t>laktón</w:t>
      </w:r>
      <w:proofErr w:type="spellEnd"/>
      <w:r w:rsidRPr="00823BDC">
        <w:rPr>
          <w:spacing w:val="-3"/>
          <w:szCs w:val="22"/>
        </w:rPr>
        <w:t>, hydrolyzovaný v pečeni na príslušnú aktívnu formu</w:t>
      </w:r>
      <w:r w:rsidR="00A26693" w:rsidRPr="00823BDC">
        <w:rPr>
          <w:spacing w:val="-3"/>
          <w:szCs w:val="22"/>
        </w:rPr>
        <w:t>,</w:t>
      </w:r>
      <w:r w:rsidRPr="00823BDC">
        <w:rPr>
          <w:spacing w:val="-3"/>
          <w:szCs w:val="22"/>
        </w:rPr>
        <w:t xml:space="preserve"> β</w:t>
      </w:r>
      <w:r w:rsidRPr="00823BDC">
        <w:rPr>
          <w:spacing w:val="-3"/>
          <w:szCs w:val="22"/>
        </w:rPr>
        <w:noBreakHyphen/>
      </w:r>
      <w:proofErr w:type="spellStart"/>
      <w:r w:rsidRPr="00823BDC">
        <w:rPr>
          <w:spacing w:val="-3"/>
          <w:szCs w:val="22"/>
        </w:rPr>
        <w:t>hydroxykyselin</w:t>
      </w:r>
      <w:r w:rsidR="00A26693" w:rsidRPr="00823BDC">
        <w:rPr>
          <w:spacing w:val="-3"/>
          <w:szCs w:val="22"/>
        </w:rPr>
        <w:t>u</w:t>
      </w:r>
      <w:proofErr w:type="spellEnd"/>
      <w:r w:rsidRPr="00823BDC">
        <w:rPr>
          <w:spacing w:val="-3"/>
          <w:szCs w:val="22"/>
        </w:rPr>
        <w:t xml:space="preserve">, ktorá má silnú inhibičnú aktivitu na </w:t>
      </w:r>
      <w:r w:rsidR="00B726B5">
        <w:rPr>
          <w:spacing w:val="-3"/>
          <w:szCs w:val="22"/>
        </w:rPr>
        <w:t>HMG-</w:t>
      </w:r>
      <w:proofErr w:type="spellStart"/>
      <w:r w:rsidR="00B726B5">
        <w:rPr>
          <w:spacing w:val="-3"/>
          <w:szCs w:val="22"/>
        </w:rPr>
        <w:t>CoA</w:t>
      </w:r>
      <w:proofErr w:type="spellEnd"/>
      <w:r w:rsidR="00547D15" w:rsidRPr="00823BDC">
        <w:rPr>
          <w:spacing w:val="-3"/>
          <w:szCs w:val="22"/>
        </w:rPr>
        <w:t>-</w:t>
      </w:r>
      <w:proofErr w:type="spellStart"/>
      <w:r w:rsidRPr="00823BDC">
        <w:rPr>
          <w:spacing w:val="-3"/>
          <w:szCs w:val="22"/>
        </w:rPr>
        <w:t>reduktázu</w:t>
      </w:r>
      <w:proofErr w:type="spellEnd"/>
      <w:r w:rsidRPr="00823BDC">
        <w:rPr>
          <w:spacing w:val="-3"/>
          <w:szCs w:val="22"/>
        </w:rPr>
        <w:t xml:space="preserve"> (3</w:t>
      </w:r>
      <w:r w:rsidR="00C36020" w:rsidRPr="00823BDC">
        <w:rPr>
          <w:spacing w:val="-3"/>
          <w:szCs w:val="22"/>
        </w:rPr>
        <w:t>-hydroxy-</w:t>
      </w:r>
      <w:r w:rsidRPr="00823BDC">
        <w:rPr>
          <w:spacing w:val="-3"/>
          <w:szCs w:val="22"/>
        </w:rPr>
        <w:t>3</w:t>
      </w:r>
      <w:r w:rsidR="00C36020" w:rsidRPr="00823BDC">
        <w:rPr>
          <w:spacing w:val="-3"/>
          <w:szCs w:val="22"/>
        </w:rPr>
        <w:t>-</w:t>
      </w:r>
      <w:r w:rsidRPr="00823BDC">
        <w:rPr>
          <w:spacing w:val="-3"/>
          <w:szCs w:val="22"/>
        </w:rPr>
        <w:t xml:space="preserve">metylglutaryl </w:t>
      </w:r>
      <w:proofErr w:type="spellStart"/>
      <w:r w:rsidRPr="00823BDC">
        <w:rPr>
          <w:spacing w:val="-3"/>
          <w:szCs w:val="22"/>
        </w:rPr>
        <w:t>CoA</w:t>
      </w:r>
      <w:r w:rsidR="00A26693" w:rsidRPr="00823BDC">
        <w:rPr>
          <w:spacing w:val="-3"/>
          <w:szCs w:val="22"/>
        </w:rPr>
        <w:t>-</w:t>
      </w:r>
      <w:r w:rsidRPr="00823BDC">
        <w:rPr>
          <w:spacing w:val="-3"/>
          <w:szCs w:val="22"/>
        </w:rPr>
        <w:t>reduktázu</w:t>
      </w:r>
      <w:proofErr w:type="spellEnd"/>
      <w:r w:rsidRPr="00823BDC">
        <w:rPr>
          <w:spacing w:val="-3"/>
          <w:szCs w:val="22"/>
        </w:rPr>
        <w:t xml:space="preserve">). Tento enzým </w:t>
      </w:r>
      <w:proofErr w:type="spellStart"/>
      <w:r w:rsidRPr="00823BDC">
        <w:rPr>
          <w:spacing w:val="-3"/>
          <w:szCs w:val="22"/>
        </w:rPr>
        <w:t>katalyzuje</w:t>
      </w:r>
      <w:proofErr w:type="spellEnd"/>
      <w:r w:rsidRPr="00823BDC">
        <w:rPr>
          <w:spacing w:val="-3"/>
          <w:szCs w:val="22"/>
        </w:rPr>
        <w:t xml:space="preserve"> premenu </w:t>
      </w:r>
      <w:r w:rsidR="00B726B5">
        <w:rPr>
          <w:spacing w:val="-3"/>
          <w:szCs w:val="22"/>
        </w:rPr>
        <w:t>HMG-</w:t>
      </w:r>
      <w:proofErr w:type="spellStart"/>
      <w:r w:rsidR="00B726B5">
        <w:rPr>
          <w:spacing w:val="-3"/>
          <w:szCs w:val="22"/>
        </w:rPr>
        <w:t>CoA</w:t>
      </w:r>
      <w:proofErr w:type="spellEnd"/>
      <w:r w:rsidRPr="00823BDC">
        <w:rPr>
          <w:spacing w:val="-3"/>
          <w:szCs w:val="22"/>
        </w:rPr>
        <w:t xml:space="preserve"> na </w:t>
      </w:r>
      <w:proofErr w:type="spellStart"/>
      <w:r w:rsidRPr="00823BDC">
        <w:rPr>
          <w:spacing w:val="-3"/>
          <w:szCs w:val="22"/>
        </w:rPr>
        <w:t>mevalonát</w:t>
      </w:r>
      <w:proofErr w:type="spellEnd"/>
      <w:r w:rsidRPr="00823BDC">
        <w:rPr>
          <w:spacing w:val="-3"/>
          <w:szCs w:val="22"/>
        </w:rPr>
        <w:t xml:space="preserve">, </w:t>
      </w:r>
      <w:r w:rsidR="00A26693" w:rsidRPr="00823BDC">
        <w:rPr>
          <w:spacing w:val="-3"/>
          <w:szCs w:val="22"/>
        </w:rPr>
        <w:t>za</w:t>
      </w:r>
      <w:r w:rsidRPr="00823BDC">
        <w:rPr>
          <w:spacing w:val="-3"/>
          <w:szCs w:val="22"/>
        </w:rPr>
        <w:t>čiatočný a rýchlosť limitujúci krok v biosyntéze cholesterolu.</w:t>
      </w:r>
    </w:p>
    <w:p w14:paraId="30036E20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0EA48A16" w14:textId="04DA30A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Zistilo sa, že 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znižuje normálne, aj zvýšené koncentrácie LDL</w:t>
      </w:r>
      <w:r w:rsidRPr="00823BDC">
        <w:rPr>
          <w:szCs w:val="22"/>
        </w:rPr>
        <w:noBreakHyphen/>
        <w:t>C. LDL je tvorený z </w:t>
      </w:r>
      <w:r w:rsidR="00A26693" w:rsidRPr="00823BDC">
        <w:rPr>
          <w:szCs w:val="22"/>
        </w:rPr>
        <w:t>lipoproteínov s veľmi nízkou hustotou</w:t>
      </w:r>
      <w:r w:rsidRPr="00823BDC">
        <w:rPr>
          <w:szCs w:val="22"/>
        </w:rPr>
        <w:t xml:space="preserve"> (VLDL) a je </w:t>
      </w:r>
      <w:proofErr w:type="spellStart"/>
      <w:r w:rsidRPr="00823BDC">
        <w:rPr>
          <w:szCs w:val="22"/>
        </w:rPr>
        <w:t>katabolizovaný</w:t>
      </w:r>
      <w:proofErr w:type="spellEnd"/>
      <w:r w:rsidRPr="00823BDC">
        <w:rPr>
          <w:szCs w:val="22"/>
        </w:rPr>
        <w:t xml:space="preserve"> prevažne </w:t>
      </w:r>
      <w:r w:rsidR="008079A7" w:rsidRPr="00823BDC">
        <w:rPr>
          <w:szCs w:val="22"/>
        </w:rPr>
        <w:t xml:space="preserve">prostredníctvom </w:t>
      </w:r>
      <w:r w:rsidRPr="00823BDC">
        <w:rPr>
          <w:szCs w:val="22"/>
        </w:rPr>
        <w:t>LDL receptoro</w:t>
      </w:r>
      <w:r w:rsidR="008079A7" w:rsidRPr="00823BDC">
        <w:rPr>
          <w:szCs w:val="22"/>
        </w:rPr>
        <w:t>v s vysokou afinitou</w:t>
      </w:r>
      <w:r w:rsidRPr="00823BDC">
        <w:rPr>
          <w:szCs w:val="22"/>
        </w:rPr>
        <w:t xml:space="preserve">. Mechanizmus LDL-znižujúceho účinku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môže zahŕňať zníženie koncentrácie VLDL</w:t>
      </w:r>
      <w:r w:rsidRPr="00823BDC">
        <w:rPr>
          <w:szCs w:val="22"/>
        </w:rPr>
        <w:noBreakHyphen/>
        <w:t>cholesterolu (VLDL</w:t>
      </w:r>
      <w:r w:rsidRPr="00823BDC">
        <w:rPr>
          <w:szCs w:val="22"/>
        </w:rPr>
        <w:noBreakHyphen/>
        <w:t>C) aj indukciu LDL receptoru, čo vedie k zníženej tvorbe a zvýšenému katabolizmu LDL</w:t>
      </w:r>
      <w:r w:rsidRPr="00823BDC">
        <w:rPr>
          <w:szCs w:val="22"/>
        </w:rPr>
        <w:noBreakHyphen/>
        <w:t xml:space="preserve">C. Počas liečby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</w:t>
      </w:r>
      <w:r w:rsidR="001D3BA1" w:rsidRPr="00823BDC">
        <w:rPr>
          <w:szCs w:val="22"/>
        </w:rPr>
        <w:t xml:space="preserve">výrazne </w:t>
      </w:r>
      <w:r w:rsidRPr="00823BDC">
        <w:rPr>
          <w:szCs w:val="22"/>
        </w:rPr>
        <w:t xml:space="preserve">klesá aj </w:t>
      </w:r>
      <w:r w:rsidR="001D3BA1" w:rsidRPr="00823BDC">
        <w:rPr>
          <w:szCs w:val="22"/>
        </w:rPr>
        <w:t xml:space="preserve">hladina </w:t>
      </w:r>
      <w:proofErr w:type="spellStart"/>
      <w:r w:rsidRPr="00823BDC">
        <w:rPr>
          <w:szCs w:val="22"/>
        </w:rPr>
        <w:t>apolipoproteín</w:t>
      </w:r>
      <w:r w:rsidR="001D3BA1" w:rsidRPr="00823BDC">
        <w:rPr>
          <w:szCs w:val="22"/>
        </w:rPr>
        <w:t>u</w:t>
      </w:r>
      <w:proofErr w:type="spellEnd"/>
      <w:r w:rsidRPr="00823BDC">
        <w:rPr>
          <w:szCs w:val="22"/>
        </w:rPr>
        <w:t xml:space="preserve"> B. Okrem toho 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mierne zvyšuje HDL</w:t>
      </w:r>
      <w:r w:rsidRPr="00823BDC">
        <w:rPr>
          <w:szCs w:val="22"/>
        </w:rPr>
        <w:noBreakHyphen/>
        <w:t xml:space="preserve">C a znižuje plazmatické </w:t>
      </w:r>
      <w:r w:rsidR="001D3BA1" w:rsidRPr="00823BDC">
        <w:rPr>
          <w:szCs w:val="22"/>
        </w:rPr>
        <w:t xml:space="preserve">koncentrácie </w:t>
      </w:r>
      <w:r w:rsidRPr="00823BDC">
        <w:rPr>
          <w:szCs w:val="22"/>
        </w:rPr>
        <w:t>TG. Výsledkom týchto zmien je zníženie pomerov celkového cholesterolu k HDL</w:t>
      </w:r>
      <w:r w:rsidRPr="00823BDC">
        <w:rPr>
          <w:szCs w:val="22"/>
        </w:rPr>
        <w:noBreakHyphen/>
        <w:t>C a LDL</w:t>
      </w:r>
      <w:r w:rsidRPr="00823BDC">
        <w:rPr>
          <w:szCs w:val="22"/>
        </w:rPr>
        <w:noBreakHyphen/>
        <w:t>C k HDL</w:t>
      </w:r>
      <w:r w:rsidRPr="00823BDC">
        <w:rPr>
          <w:szCs w:val="22"/>
        </w:rPr>
        <w:noBreakHyphen/>
        <w:t>C.</w:t>
      </w:r>
    </w:p>
    <w:p w14:paraId="595213E8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CD281AD" w14:textId="77777777" w:rsidR="00D044EB" w:rsidRPr="00823BDC" w:rsidRDefault="0088522F">
      <w:pPr>
        <w:keepNext/>
        <w:adjustRightInd w:val="0"/>
        <w:snapToGrid w:val="0"/>
        <w:rPr>
          <w:szCs w:val="22"/>
        </w:rPr>
      </w:pPr>
      <w:r w:rsidRPr="00823BDC">
        <w:rPr>
          <w:noProof/>
          <w:szCs w:val="22"/>
          <w:u w:val="single"/>
        </w:rPr>
        <w:t>Klinická účinnosť a bezpečnosť</w:t>
      </w:r>
    </w:p>
    <w:p w14:paraId="72C58DE1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V kontrolovaných klinických štúdiách </w:t>
      </w:r>
      <w:proofErr w:type="spellStart"/>
      <w:r w:rsidR="00F172EB" w:rsidRPr="00823BDC">
        <w:rPr>
          <w:szCs w:val="22"/>
        </w:rPr>
        <w:t>ezetimib</w:t>
      </w:r>
      <w:proofErr w:type="spellEnd"/>
      <w:r w:rsidR="00F172EB" w:rsidRPr="00823BDC">
        <w:rPr>
          <w:szCs w:val="22"/>
        </w:rPr>
        <w:t>/</w:t>
      </w:r>
      <w:proofErr w:type="spellStart"/>
      <w:r w:rsidR="00F172EB"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signifikantne znížil celkový cholesterol, LDL</w:t>
      </w:r>
      <w:r w:rsidRPr="00823BDC">
        <w:rPr>
          <w:szCs w:val="22"/>
        </w:rPr>
        <w:noBreakHyphen/>
        <w:t>C, Apo B, TG a </w:t>
      </w:r>
      <w:proofErr w:type="spellStart"/>
      <w:r w:rsidRPr="00823BDC">
        <w:rPr>
          <w:szCs w:val="22"/>
        </w:rPr>
        <w:t>non</w:t>
      </w:r>
      <w:proofErr w:type="spellEnd"/>
      <w:r w:rsidRPr="00823BDC">
        <w:rPr>
          <w:szCs w:val="22"/>
        </w:rPr>
        <w:t>-HDL</w:t>
      </w:r>
      <w:r w:rsidRPr="00823BDC">
        <w:rPr>
          <w:szCs w:val="22"/>
        </w:rPr>
        <w:noBreakHyphen/>
        <w:t>C a zvýšil HDL</w:t>
      </w:r>
      <w:r w:rsidRPr="00823BDC">
        <w:rPr>
          <w:szCs w:val="22"/>
        </w:rPr>
        <w:noBreakHyphen/>
        <w:t>C u pacientov s </w:t>
      </w:r>
      <w:proofErr w:type="spellStart"/>
      <w:r w:rsidRPr="00823BDC">
        <w:rPr>
          <w:szCs w:val="22"/>
        </w:rPr>
        <w:t>hypercholesterolémiou</w:t>
      </w:r>
      <w:proofErr w:type="spellEnd"/>
      <w:r w:rsidRPr="00823BDC">
        <w:rPr>
          <w:szCs w:val="22"/>
        </w:rPr>
        <w:t>.</w:t>
      </w:r>
    </w:p>
    <w:p w14:paraId="1FE0EE3F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1320A3F5" w14:textId="77777777" w:rsidR="00F67830" w:rsidRPr="00823BDC" w:rsidRDefault="00F67830">
      <w:pPr>
        <w:keepNext/>
        <w:adjustRightInd w:val="0"/>
        <w:snapToGrid w:val="0"/>
        <w:rPr>
          <w:i/>
          <w:szCs w:val="22"/>
          <w:u w:val="single"/>
        </w:rPr>
      </w:pPr>
      <w:r w:rsidRPr="00823BDC">
        <w:rPr>
          <w:i/>
          <w:szCs w:val="22"/>
          <w:u w:val="single"/>
        </w:rPr>
        <w:t>Prevencia kardiovaskulárnych príhod</w:t>
      </w:r>
    </w:p>
    <w:p w14:paraId="663EA2E7" w14:textId="77777777" w:rsidR="00F67830" w:rsidRPr="00823BDC" w:rsidRDefault="00C16A33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Preukázalo sa, že </w:t>
      </w:r>
      <w:proofErr w:type="spellStart"/>
      <w:r w:rsidR="002707E7" w:rsidRPr="00823BDC">
        <w:rPr>
          <w:szCs w:val="22"/>
        </w:rPr>
        <w:t>ezetimib</w:t>
      </w:r>
      <w:proofErr w:type="spellEnd"/>
      <w:r w:rsidR="002707E7" w:rsidRPr="00823BDC">
        <w:rPr>
          <w:szCs w:val="22"/>
        </w:rPr>
        <w:t>/</w:t>
      </w:r>
      <w:proofErr w:type="spellStart"/>
      <w:r w:rsidR="002707E7"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</w:t>
      </w:r>
      <w:r w:rsidR="002C1E66" w:rsidRPr="00823BDC">
        <w:rPr>
          <w:szCs w:val="22"/>
        </w:rPr>
        <w:t>znižuje</w:t>
      </w:r>
      <w:r w:rsidRPr="00823BDC">
        <w:rPr>
          <w:szCs w:val="22"/>
        </w:rPr>
        <w:t xml:space="preserve"> veľké vaskulárne príhody u pacientov </w:t>
      </w:r>
      <w:r w:rsidR="00524B24" w:rsidRPr="00823BDC">
        <w:rPr>
          <w:szCs w:val="22"/>
        </w:rPr>
        <w:t>s koronárnou chorobou srdca a </w:t>
      </w:r>
      <w:r w:rsidR="007D6D07" w:rsidRPr="00823BDC">
        <w:rPr>
          <w:szCs w:val="22"/>
        </w:rPr>
        <w:t xml:space="preserve">príhodou </w:t>
      </w:r>
      <w:r w:rsidR="00524B24" w:rsidRPr="00823BDC">
        <w:rPr>
          <w:szCs w:val="22"/>
        </w:rPr>
        <w:t>AK</w:t>
      </w:r>
      <w:r w:rsidRPr="00823BDC">
        <w:rPr>
          <w:szCs w:val="22"/>
        </w:rPr>
        <w:t>S v anamnéze.</w:t>
      </w:r>
    </w:p>
    <w:p w14:paraId="0BFC5AE7" w14:textId="77777777" w:rsidR="00C16A33" w:rsidRPr="00823BDC" w:rsidRDefault="00C16A33">
      <w:pPr>
        <w:adjustRightInd w:val="0"/>
        <w:snapToGrid w:val="0"/>
        <w:rPr>
          <w:szCs w:val="22"/>
        </w:rPr>
      </w:pPr>
    </w:p>
    <w:p w14:paraId="6B38015E" w14:textId="77777777" w:rsidR="00C16A33" w:rsidRPr="00823BDC" w:rsidRDefault="006A1BC6">
      <w:pPr>
        <w:adjustRightInd w:val="0"/>
        <w:snapToGrid w:val="0"/>
        <w:rPr>
          <w:szCs w:val="22"/>
        </w:rPr>
      </w:pPr>
      <w:r w:rsidRPr="00823BDC">
        <w:rPr>
          <w:noProof/>
          <w:szCs w:val="22"/>
        </w:rPr>
        <w:t>IMProved Reduction of Outcomes: Vytorin Efficacy International Trial (IMPROVE-IT) bol</w:t>
      </w:r>
      <w:r w:rsidR="003D47C0" w:rsidRPr="00823BDC">
        <w:rPr>
          <w:noProof/>
          <w:szCs w:val="22"/>
        </w:rPr>
        <w:t>o</w:t>
      </w:r>
      <w:r w:rsidRPr="00823BDC">
        <w:rPr>
          <w:noProof/>
          <w:szCs w:val="22"/>
        </w:rPr>
        <w:t xml:space="preserve"> multicentrick</w:t>
      </w:r>
      <w:r w:rsidR="00625100" w:rsidRPr="00823BDC">
        <w:rPr>
          <w:noProof/>
          <w:szCs w:val="22"/>
        </w:rPr>
        <w:t>é</w:t>
      </w:r>
      <w:r w:rsidRPr="00823BDC">
        <w:rPr>
          <w:noProof/>
          <w:szCs w:val="22"/>
        </w:rPr>
        <w:t>, randomizovan</w:t>
      </w:r>
      <w:r w:rsidR="00625100" w:rsidRPr="00823BDC">
        <w:rPr>
          <w:noProof/>
          <w:szCs w:val="22"/>
        </w:rPr>
        <w:t>é</w:t>
      </w:r>
      <w:r w:rsidRPr="00823BDC">
        <w:rPr>
          <w:noProof/>
          <w:szCs w:val="22"/>
        </w:rPr>
        <w:t>, dvojito zaslepen</w:t>
      </w:r>
      <w:r w:rsidR="00625100" w:rsidRPr="00823BDC">
        <w:rPr>
          <w:noProof/>
          <w:szCs w:val="22"/>
        </w:rPr>
        <w:t>é skúšanie</w:t>
      </w:r>
      <w:r w:rsidRPr="00823BDC">
        <w:rPr>
          <w:noProof/>
          <w:szCs w:val="22"/>
        </w:rPr>
        <w:t xml:space="preserve"> s </w:t>
      </w:r>
      <w:r w:rsidR="00700FC2" w:rsidRPr="00823BDC">
        <w:rPr>
          <w:noProof/>
          <w:szCs w:val="22"/>
        </w:rPr>
        <w:t>aktívnym komparátorom</w:t>
      </w:r>
      <w:r w:rsidR="003D47C0" w:rsidRPr="00823BDC">
        <w:rPr>
          <w:noProof/>
          <w:szCs w:val="22"/>
        </w:rPr>
        <w:t>,</w:t>
      </w:r>
      <w:r w:rsidRPr="00823BDC">
        <w:rPr>
          <w:noProof/>
          <w:szCs w:val="22"/>
        </w:rPr>
        <w:t xml:space="preserve"> </w:t>
      </w:r>
      <w:r w:rsidR="00002E2E" w:rsidRPr="00823BDC">
        <w:rPr>
          <w:noProof/>
          <w:szCs w:val="22"/>
        </w:rPr>
        <w:t>zahŕňajúc</w:t>
      </w:r>
      <w:r w:rsidR="00625100" w:rsidRPr="00823BDC">
        <w:rPr>
          <w:noProof/>
          <w:szCs w:val="22"/>
        </w:rPr>
        <w:t>e</w:t>
      </w:r>
      <w:r w:rsidR="00002E2E" w:rsidRPr="00823BDC">
        <w:rPr>
          <w:noProof/>
          <w:szCs w:val="22"/>
        </w:rPr>
        <w:t xml:space="preserve"> </w:t>
      </w:r>
      <w:r w:rsidRPr="00823BDC">
        <w:rPr>
          <w:noProof/>
          <w:szCs w:val="22"/>
        </w:rPr>
        <w:t xml:space="preserve">18 144 pacientov zaradených </w:t>
      </w:r>
      <w:r w:rsidR="003D47C0" w:rsidRPr="00823BDC">
        <w:rPr>
          <w:noProof/>
          <w:szCs w:val="22"/>
        </w:rPr>
        <w:t>v priebehu</w:t>
      </w:r>
      <w:r w:rsidRPr="00823BDC">
        <w:rPr>
          <w:noProof/>
          <w:szCs w:val="22"/>
        </w:rPr>
        <w:t xml:space="preserve"> 10 dní o</w:t>
      </w:r>
      <w:r w:rsidR="00700FC2" w:rsidRPr="00823BDC">
        <w:rPr>
          <w:noProof/>
          <w:szCs w:val="22"/>
        </w:rPr>
        <w:t>d</w:t>
      </w:r>
      <w:r w:rsidRPr="00823BDC">
        <w:rPr>
          <w:noProof/>
          <w:szCs w:val="22"/>
        </w:rPr>
        <w:t xml:space="preserve"> hospitalizáci</w:t>
      </w:r>
      <w:r w:rsidR="00700FC2" w:rsidRPr="00823BDC">
        <w:rPr>
          <w:noProof/>
          <w:szCs w:val="22"/>
        </w:rPr>
        <w:t>e</w:t>
      </w:r>
      <w:r w:rsidRPr="00823BDC">
        <w:rPr>
          <w:noProof/>
          <w:szCs w:val="22"/>
        </w:rPr>
        <w:t xml:space="preserve"> z dôvodu akútneho koronárneho syndrómu (A</w:t>
      </w:r>
      <w:r w:rsidR="00524B24" w:rsidRPr="00823BDC">
        <w:rPr>
          <w:noProof/>
          <w:szCs w:val="22"/>
        </w:rPr>
        <w:t>K</w:t>
      </w:r>
      <w:r w:rsidRPr="00823BDC">
        <w:rPr>
          <w:noProof/>
          <w:szCs w:val="22"/>
        </w:rPr>
        <w:t xml:space="preserve">S, buď akútny infarkt myokardu </w:t>
      </w:r>
      <w:r w:rsidR="00A478EA" w:rsidRPr="00823BDC">
        <w:rPr>
          <w:noProof/>
          <w:szCs w:val="22"/>
        </w:rPr>
        <w:t xml:space="preserve">[IM] </w:t>
      </w:r>
      <w:r w:rsidRPr="00823BDC">
        <w:rPr>
          <w:noProof/>
          <w:szCs w:val="22"/>
        </w:rPr>
        <w:t xml:space="preserve">alebo </w:t>
      </w:r>
      <w:r w:rsidRPr="00823BDC">
        <w:rPr>
          <w:szCs w:val="22"/>
        </w:rPr>
        <w:t>nestabiln</w:t>
      </w:r>
      <w:r w:rsidR="00002E2E" w:rsidRPr="00823BDC">
        <w:rPr>
          <w:szCs w:val="22"/>
        </w:rPr>
        <w:t>á angína</w:t>
      </w:r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pe</w:t>
      </w:r>
      <w:r w:rsidR="00700FC2" w:rsidRPr="00823BDC">
        <w:rPr>
          <w:szCs w:val="22"/>
        </w:rPr>
        <w:t>k</w:t>
      </w:r>
      <w:r w:rsidRPr="00823BDC">
        <w:rPr>
          <w:szCs w:val="22"/>
        </w:rPr>
        <w:t>toris</w:t>
      </w:r>
      <w:proofErr w:type="spellEnd"/>
      <w:r w:rsidRPr="00823BDC">
        <w:rPr>
          <w:szCs w:val="22"/>
        </w:rPr>
        <w:t xml:space="preserve"> [</w:t>
      </w:r>
      <w:r w:rsidR="002659E6" w:rsidRPr="00823BDC">
        <w:rPr>
          <w:szCs w:val="22"/>
        </w:rPr>
        <w:t>N</w:t>
      </w:r>
      <w:r w:rsidRPr="00823BDC">
        <w:rPr>
          <w:szCs w:val="22"/>
        </w:rPr>
        <w:t>AP]</w:t>
      </w:r>
      <w:r w:rsidR="00A478EA" w:rsidRPr="00823BDC">
        <w:rPr>
          <w:szCs w:val="22"/>
        </w:rPr>
        <w:t xml:space="preserve">). Pacienti mali </w:t>
      </w:r>
      <w:r w:rsidR="00524B24" w:rsidRPr="00823BDC">
        <w:rPr>
          <w:szCs w:val="22"/>
        </w:rPr>
        <w:t>v čase AK</w:t>
      </w:r>
      <w:r w:rsidR="00A478EA" w:rsidRPr="00823BDC">
        <w:rPr>
          <w:szCs w:val="22"/>
        </w:rPr>
        <w:t>S LDL</w:t>
      </w:r>
      <w:r w:rsidR="00A478EA" w:rsidRPr="00823BDC">
        <w:rPr>
          <w:szCs w:val="22"/>
        </w:rPr>
        <w:noBreakHyphen/>
        <w:t>C ≤</w:t>
      </w:r>
      <w:r w:rsidR="00002E2E" w:rsidRPr="00823BDC">
        <w:rPr>
          <w:szCs w:val="22"/>
        </w:rPr>
        <w:t> </w:t>
      </w:r>
      <w:r w:rsidR="00A478EA" w:rsidRPr="00823BDC">
        <w:rPr>
          <w:szCs w:val="22"/>
        </w:rPr>
        <w:t>125 mg/dl (≤</w:t>
      </w:r>
      <w:r w:rsidR="00002E2E" w:rsidRPr="00823BDC">
        <w:rPr>
          <w:szCs w:val="22"/>
        </w:rPr>
        <w:t> </w:t>
      </w:r>
      <w:r w:rsidR="00A478EA" w:rsidRPr="00823BDC">
        <w:rPr>
          <w:szCs w:val="22"/>
        </w:rPr>
        <w:t>3</w:t>
      </w:r>
      <w:r w:rsidR="00BD0BF3" w:rsidRPr="00823BDC">
        <w:rPr>
          <w:szCs w:val="22"/>
        </w:rPr>
        <w:t>,</w:t>
      </w:r>
      <w:r w:rsidR="00A478EA" w:rsidRPr="00823BDC">
        <w:rPr>
          <w:szCs w:val="22"/>
        </w:rPr>
        <w:t>2 mmol/l)</w:t>
      </w:r>
      <w:r w:rsidR="002659E6" w:rsidRPr="00823BDC">
        <w:rPr>
          <w:szCs w:val="22"/>
        </w:rPr>
        <w:t>,</w:t>
      </w:r>
      <w:r w:rsidR="00A478EA" w:rsidRPr="00823BDC">
        <w:rPr>
          <w:szCs w:val="22"/>
        </w:rPr>
        <w:t xml:space="preserve"> ak neužívali liečbu na zníženie tukov</w:t>
      </w:r>
      <w:r w:rsidR="00BD0BF3" w:rsidRPr="00823BDC">
        <w:rPr>
          <w:szCs w:val="22"/>
        </w:rPr>
        <w:t xml:space="preserve"> alebo ≤</w:t>
      </w:r>
      <w:r w:rsidR="00002E2E" w:rsidRPr="00823BDC">
        <w:rPr>
          <w:szCs w:val="22"/>
        </w:rPr>
        <w:t> </w:t>
      </w:r>
      <w:r w:rsidR="00BD0BF3" w:rsidRPr="00823BDC">
        <w:rPr>
          <w:szCs w:val="22"/>
        </w:rPr>
        <w:t>100 mg/dl (≤</w:t>
      </w:r>
      <w:r w:rsidR="00002E2E" w:rsidRPr="00823BDC">
        <w:rPr>
          <w:szCs w:val="22"/>
        </w:rPr>
        <w:t> </w:t>
      </w:r>
      <w:r w:rsidR="00BD0BF3" w:rsidRPr="00823BDC">
        <w:rPr>
          <w:szCs w:val="22"/>
        </w:rPr>
        <w:t>2,6 mmol/l)</w:t>
      </w:r>
      <w:r w:rsidR="002659E6" w:rsidRPr="00823BDC">
        <w:rPr>
          <w:szCs w:val="22"/>
        </w:rPr>
        <w:t>,</w:t>
      </w:r>
      <w:r w:rsidR="00BD0BF3" w:rsidRPr="00823BDC">
        <w:rPr>
          <w:szCs w:val="22"/>
        </w:rPr>
        <w:t xml:space="preserve"> ak užívali liečbu na zníženie tukov. Všetci pacienti boli </w:t>
      </w:r>
      <w:proofErr w:type="spellStart"/>
      <w:r w:rsidR="00BD0BF3" w:rsidRPr="00823BDC">
        <w:rPr>
          <w:szCs w:val="22"/>
        </w:rPr>
        <w:t>randomizovaní</w:t>
      </w:r>
      <w:proofErr w:type="spellEnd"/>
      <w:r w:rsidR="00BD0BF3" w:rsidRPr="00823BDC">
        <w:rPr>
          <w:szCs w:val="22"/>
        </w:rPr>
        <w:t xml:space="preserve"> v pomere 1:1 na užívanie </w:t>
      </w:r>
      <w:proofErr w:type="spellStart"/>
      <w:r w:rsidR="00BD0BF3" w:rsidRPr="00823BDC">
        <w:rPr>
          <w:szCs w:val="22"/>
        </w:rPr>
        <w:t>ezetimibu</w:t>
      </w:r>
      <w:proofErr w:type="spellEnd"/>
      <w:r w:rsidR="00BD0BF3" w:rsidRPr="00823BDC">
        <w:rPr>
          <w:szCs w:val="22"/>
        </w:rPr>
        <w:t>/</w:t>
      </w:r>
      <w:proofErr w:type="spellStart"/>
      <w:r w:rsidR="00BD0BF3" w:rsidRPr="00823BDC">
        <w:rPr>
          <w:szCs w:val="22"/>
        </w:rPr>
        <w:t>simvastatínu</w:t>
      </w:r>
      <w:proofErr w:type="spellEnd"/>
      <w:r w:rsidR="00BD0BF3" w:rsidRPr="00823BDC">
        <w:rPr>
          <w:szCs w:val="22"/>
        </w:rPr>
        <w:t xml:space="preserve"> v dávke 10</w:t>
      </w:r>
      <w:r w:rsidR="00566251" w:rsidRPr="00823BDC">
        <w:rPr>
          <w:szCs w:val="22"/>
        </w:rPr>
        <w:t> mg</w:t>
      </w:r>
      <w:r w:rsidR="00BD0BF3" w:rsidRPr="00823BDC">
        <w:rPr>
          <w:szCs w:val="22"/>
        </w:rPr>
        <w:t>/40 mg (n</w:t>
      </w:r>
      <w:r w:rsidR="00002E2E" w:rsidRPr="00823BDC">
        <w:rPr>
          <w:szCs w:val="22"/>
        </w:rPr>
        <w:t> </w:t>
      </w:r>
      <w:r w:rsidR="00BD0BF3" w:rsidRPr="00823BDC">
        <w:rPr>
          <w:szCs w:val="22"/>
        </w:rPr>
        <w:t>=</w:t>
      </w:r>
      <w:r w:rsidR="00002E2E" w:rsidRPr="00823BDC">
        <w:rPr>
          <w:szCs w:val="22"/>
        </w:rPr>
        <w:t> </w:t>
      </w:r>
      <w:r w:rsidR="00BD0BF3" w:rsidRPr="00823BDC">
        <w:rPr>
          <w:szCs w:val="22"/>
        </w:rPr>
        <w:t xml:space="preserve">9 067) alebo </w:t>
      </w:r>
      <w:proofErr w:type="spellStart"/>
      <w:r w:rsidR="00BD0BF3" w:rsidRPr="00823BDC">
        <w:rPr>
          <w:szCs w:val="22"/>
        </w:rPr>
        <w:t>simvastatínu</w:t>
      </w:r>
      <w:proofErr w:type="spellEnd"/>
      <w:r w:rsidR="00BD0BF3" w:rsidRPr="00823BDC">
        <w:rPr>
          <w:szCs w:val="22"/>
        </w:rPr>
        <w:t xml:space="preserve"> 40 mg (n</w:t>
      </w:r>
      <w:r w:rsidR="00002E2E" w:rsidRPr="00823BDC">
        <w:rPr>
          <w:szCs w:val="22"/>
        </w:rPr>
        <w:t> </w:t>
      </w:r>
      <w:r w:rsidR="00BD0BF3" w:rsidRPr="00823BDC">
        <w:rPr>
          <w:szCs w:val="22"/>
        </w:rPr>
        <w:t>=</w:t>
      </w:r>
      <w:r w:rsidR="00002E2E" w:rsidRPr="00823BDC">
        <w:rPr>
          <w:szCs w:val="22"/>
        </w:rPr>
        <w:t> </w:t>
      </w:r>
      <w:r w:rsidR="00BD0BF3" w:rsidRPr="00823BDC">
        <w:rPr>
          <w:szCs w:val="22"/>
        </w:rPr>
        <w:t>9 077) a</w:t>
      </w:r>
      <w:r w:rsidR="008126A4" w:rsidRPr="00823BDC">
        <w:rPr>
          <w:szCs w:val="22"/>
        </w:rPr>
        <w:t xml:space="preserve"> boli </w:t>
      </w:r>
      <w:r w:rsidR="00BD0BF3" w:rsidRPr="00823BDC">
        <w:rPr>
          <w:szCs w:val="22"/>
        </w:rPr>
        <w:t>sledovaní počas mediánu 6</w:t>
      </w:r>
      <w:r w:rsidR="00002E2E" w:rsidRPr="00823BDC">
        <w:rPr>
          <w:szCs w:val="22"/>
        </w:rPr>
        <w:t>,0</w:t>
      </w:r>
      <w:r w:rsidR="00BD0BF3" w:rsidRPr="00823BDC">
        <w:rPr>
          <w:szCs w:val="22"/>
        </w:rPr>
        <w:t xml:space="preserve"> rokov.</w:t>
      </w:r>
    </w:p>
    <w:p w14:paraId="5E996EDA" w14:textId="77777777" w:rsidR="00BD0BF3" w:rsidRPr="00823BDC" w:rsidRDefault="00BD0BF3">
      <w:pPr>
        <w:adjustRightInd w:val="0"/>
        <w:snapToGrid w:val="0"/>
        <w:rPr>
          <w:szCs w:val="22"/>
        </w:rPr>
      </w:pPr>
    </w:p>
    <w:p w14:paraId="3F3E9D34" w14:textId="41893563" w:rsidR="00A478EA" w:rsidRPr="00823BDC" w:rsidRDefault="00BD0BF3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Priemerný vek pacientov bol 63,6 rokov; 76 % bolo mužov, 84 % </w:t>
      </w:r>
      <w:r w:rsidR="00D70651" w:rsidRPr="00823BDC">
        <w:rPr>
          <w:szCs w:val="22"/>
        </w:rPr>
        <w:t xml:space="preserve">pacientov bielej rasy </w:t>
      </w:r>
      <w:r w:rsidRPr="00823BDC">
        <w:rPr>
          <w:szCs w:val="22"/>
        </w:rPr>
        <w:t xml:space="preserve">a 27 % diabetikov. </w:t>
      </w:r>
      <w:r w:rsidR="00061939" w:rsidRPr="00823BDC">
        <w:rPr>
          <w:szCs w:val="22"/>
        </w:rPr>
        <w:t>Priemerná</w:t>
      </w:r>
      <w:r w:rsidR="002659E6" w:rsidRPr="00823BDC">
        <w:rPr>
          <w:szCs w:val="22"/>
        </w:rPr>
        <w:t xml:space="preserve"> hodnota</w:t>
      </w:r>
      <w:r w:rsidR="00061939" w:rsidRPr="00823BDC">
        <w:rPr>
          <w:szCs w:val="22"/>
        </w:rPr>
        <w:t xml:space="preserve"> LDL</w:t>
      </w:r>
      <w:r w:rsidR="00061939" w:rsidRPr="00823BDC">
        <w:rPr>
          <w:szCs w:val="22"/>
        </w:rPr>
        <w:noBreakHyphen/>
        <w:t xml:space="preserve">C v čase </w:t>
      </w:r>
      <w:r w:rsidR="00002E2E" w:rsidRPr="00823BDC">
        <w:rPr>
          <w:szCs w:val="22"/>
        </w:rPr>
        <w:t>príhody</w:t>
      </w:r>
      <w:r w:rsidR="00061939" w:rsidRPr="00823BDC">
        <w:rPr>
          <w:szCs w:val="22"/>
        </w:rPr>
        <w:t xml:space="preserve"> </w:t>
      </w:r>
      <w:r w:rsidR="004E1CB4" w:rsidRPr="00823BDC">
        <w:rPr>
          <w:szCs w:val="22"/>
        </w:rPr>
        <w:t xml:space="preserve">spĺňajúcej podmienky na zaradenie do štúdie </w:t>
      </w:r>
      <w:r w:rsidR="00061939" w:rsidRPr="00823BDC">
        <w:rPr>
          <w:szCs w:val="22"/>
        </w:rPr>
        <w:t>bola 80 mg/dl (2,1 mmol/l) u pacientov užívajúcich liečbu na zníženie tukov (n</w:t>
      </w:r>
      <w:r w:rsidR="00002E2E" w:rsidRPr="00823BDC">
        <w:rPr>
          <w:szCs w:val="22"/>
        </w:rPr>
        <w:t> </w:t>
      </w:r>
      <w:r w:rsidR="00061939" w:rsidRPr="00823BDC">
        <w:rPr>
          <w:szCs w:val="22"/>
        </w:rPr>
        <w:t>=</w:t>
      </w:r>
      <w:r w:rsidR="00002E2E" w:rsidRPr="00823BDC">
        <w:rPr>
          <w:szCs w:val="22"/>
        </w:rPr>
        <w:t> </w:t>
      </w:r>
      <w:r w:rsidR="00061939" w:rsidRPr="00823BDC">
        <w:rPr>
          <w:szCs w:val="22"/>
        </w:rPr>
        <w:t>6 390) a 101 mg/dl (2,6 mmol/l) u</w:t>
      </w:r>
      <w:r w:rsidR="00002E2E" w:rsidRPr="00823BDC">
        <w:rPr>
          <w:szCs w:val="22"/>
        </w:rPr>
        <w:t> </w:t>
      </w:r>
      <w:r w:rsidR="00061939" w:rsidRPr="00823BDC">
        <w:rPr>
          <w:szCs w:val="22"/>
        </w:rPr>
        <w:t>pacientov</w:t>
      </w:r>
      <w:r w:rsidR="00002E2E" w:rsidRPr="00823BDC">
        <w:rPr>
          <w:szCs w:val="22"/>
        </w:rPr>
        <w:t>, ktorí v minulosti</w:t>
      </w:r>
      <w:r w:rsidR="00061939" w:rsidRPr="00823BDC">
        <w:rPr>
          <w:szCs w:val="22"/>
        </w:rPr>
        <w:t xml:space="preserve"> ne</w:t>
      </w:r>
      <w:r w:rsidR="00B46157" w:rsidRPr="00823BDC">
        <w:rPr>
          <w:szCs w:val="22"/>
        </w:rPr>
        <w:t>u</w:t>
      </w:r>
      <w:r w:rsidR="00002E2E" w:rsidRPr="00823BDC">
        <w:rPr>
          <w:szCs w:val="22"/>
        </w:rPr>
        <w:t>žívali</w:t>
      </w:r>
      <w:r w:rsidR="00061939" w:rsidRPr="00823BDC">
        <w:rPr>
          <w:szCs w:val="22"/>
        </w:rPr>
        <w:t xml:space="preserve"> liečbu na zníženie tukov (n</w:t>
      </w:r>
      <w:r w:rsidR="00002E2E" w:rsidRPr="00823BDC">
        <w:rPr>
          <w:szCs w:val="22"/>
        </w:rPr>
        <w:t> </w:t>
      </w:r>
      <w:r w:rsidR="00061939" w:rsidRPr="00823BDC">
        <w:rPr>
          <w:szCs w:val="22"/>
        </w:rPr>
        <w:t>=</w:t>
      </w:r>
      <w:r w:rsidR="00002E2E" w:rsidRPr="00823BDC">
        <w:rPr>
          <w:szCs w:val="22"/>
        </w:rPr>
        <w:t> </w:t>
      </w:r>
      <w:r w:rsidR="000B55FA" w:rsidRPr="00823BDC">
        <w:rPr>
          <w:szCs w:val="22"/>
        </w:rPr>
        <w:t>11</w:t>
      </w:r>
      <w:r w:rsidR="00061939" w:rsidRPr="00823BDC">
        <w:rPr>
          <w:szCs w:val="22"/>
        </w:rPr>
        <w:t> </w:t>
      </w:r>
      <w:r w:rsidR="000B55FA" w:rsidRPr="00823BDC">
        <w:rPr>
          <w:szCs w:val="22"/>
        </w:rPr>
        <w:t>594</w:t>
      </w:r>
      <w:r w:rsidR="00061939" w:rsidRPr="00823BDC">
        <w:rPr>
          <w:szCs w:val="22"/>
        </w:rPr>
        <w:t>).</w:t>
      </w:r>
      <w:r w:rsidR="00170AAA" w:rsidRPr="00823BDC">
        <w:rPr>
          <w:szCs w:val="22"/>
        </w:rPr>
        <w:t xml:space="preserve"> </w:t>
      </w:r>
      <w:r w:rsidR="000B55FA" w:rsidRPr="00823BDC">
        <w:rPr>
          <w:szCs w:val="22"/>
        </w:rPr>
        <w:t>Pred hospitalizáciou z dôvodu príhody AKS</w:t>
      </w:r>
      <w:r w:rsidR="004E1CB4" w:rsidRPr="00823BDC">
        <w:rPr>
          <w:szCs w:val="22"/>
        </w:rPr>
        <w:t xml:space="preserve"> spĺňajúcej podmienky na zaradenie do štúdie</w:t>
      </w:r>
      <w:r w:rsidR="000B55FA" w:rsidRPr="00823BDC">
        <w:rPr>
          <w:szCs w:val="22"/>
        </w:rPr>
        <w:t xml:space="preserve"> bolo 34 % pacientov na liečbe</w:t>
      </w:r>
      <w:r w:rsidR="008A5937" w:rsidRPr="00823BDC">
        <w:rPr>
          <w:szCs w:val="22"/>
        </w:rPr>
        <w:t xml:space="preserve"> </w:t>
      </w:r>
      <w:proofErr w:type="spellStart"/>
      <w:r w:rsidR="008A5937" w:rsidRPr="00823BDC">
        <w:rPr>
          <w:szCs w:val="22"/>
        </w:rPr>
        <w:t>statínom</w:t>
      </w:r>
      <w:proofErr w:type="spellEnd"/>
      <w:r w:rsidR="000B55FA" w:rsidRPr="00823BDC">
        <w:rPr>
          <w:szCs w:val="22"/>
        </w:rPr>
        <w:t xml:space="preserve">. </w:t>
      </w:r>
      <w:r w:rsidR="00170AAA" w:rsidRPr="00823BDC">
        <w:rPr>
          <w:szCs w:val="22"/>
        </w:rPr>
        <w:t xml:space="preserve">U pacientov pokračujúcich </w:t>
      </w:r>
      <w:r w:rsidR="008A5937" w:rsidRPr="00823BDC">
        <w:rPr>
          <w:szCs w:val="22"/>
        </w:rPr>
        <w:t>v</w:t>
      </w:r>
      <w:r w:rsidR="00170AAA" w:rsidRPr="00823BDC">
        <w:rPr>
          <w:szCs w:val="22"/>
        </w:rPr>
        <w:t> liečb</w:t>
      </w:r>
      <w:r w:rsidR="008A5937" w:rsidRPr="00823BDC">
        <w:rPr>
          <w:szCs w:val="22"/>
        </w:rPr>
        <w:t>e</w:t>
      </w:r>
      <w:r w:rsidR="00170AAA" w:rsidRPr="00823BDC">
        <w:rPr>
          <w:szCs w:val="22"/>
        </w:rPr>
        <w:t xml:space="preserve"> bola po </w:t>
      </w:r>
      <w:r w:rsidR="00566251" w:rsidRPr="00823BDC">
        <w:rPr>
          <w:szCs w:val="22"/>
        </w:rPr>
        <w:t xml:space="preserve">1 </w:t>
      </w:r>
      <w:r w:rsidR="00170AAA" w:rsidRPr="00823BDC">
        <w:rPr>
          <w:szCs w:val="22"/>
        </w:rPr>
        <w:t xml:space="preserve">roku priemerná LDL-C 53,2 mg/dl (1,4 mmol/l) v skupine </w:t>
      </w:r>
      <w:r w:rsidR="00954A9F" w:rsidRPr="00823BDC">
        <w:rPr>
          <w:szCs w:val="22"/>
        </w:rPr>
        <w:t>s </w:t>
      </w:r>
      <w:proofErr w:type="spellStart"/>
      <w:r w:rsidR="00954A9F" w:rsidRPr="00823BDC">
        <w:rPr>
          <w:szCs w:val="22"/>
        </w:rPr>
        <w:t>ezetimibom</w:t>
      </w:r>
      <w:proofErr w:type="spellEnd"/>
      <w:r w:rsidR="00954A9F" w:rsidRPr="00823BDC">
        <w:rPr>
          <w:szCs w:val="22"/>
        </w:rPr>
        <w:t>/</w:t>
      </w:r>
      <w:proofErr w:type="spellStart"/>
      <w:r w:rsidR="00954A9F" w:rsidRPr="00823BDC">
        <w:rPr>
          <w:szCs w:val="22"/>
        </w:rPr>
        <w:t>simvastatínom</w:t>
      </w:r>
      <w:proofErr w:type="spellEnd"/>
      <w:r w:rsidR="00170AAA" w:rsidRPr="00823BDC">
        <w:rPr>
          <w:szCs w:val="22"/>
        </w:rPr>
        <w:t xml:space="preserve"> a 69,9 mg/dl (1,8 mmol/l) v skupine </w:t>
      </w:r>
      <w:r w:rsidR="00954A9F" w:rsidRPr="00823BDC">
        <w:rPr>
          <w:szCs w:val="22"/>
        </w:rPr>
        <w:t>so</w:t>
      </w:r>
      <w:r w:rsidR="00170AAA" w:rsidRPr="00823BDC">
        <w:rPr>
          <w:szCs w:val="22"/>
        </w:rPr>
        <w:t xml:space="preserve"> </w:t>
      </w:r>
      <w:proofErr w:type="spellStart"/>
      <w:r w:rsidR="00170AAA" w:rsidRPr="00823BDC">
        <w:rPr>
          <w:szCs w:val="22"/>
        </w:rPr>
        <w:t>simvastatín</w:t>
      </w:r>
      <w:r w:rsidR="00954A9F" w:rsidRPr="00823BDC">
        <w:rPr>
          <w:szCs w:val="22"/>
        </w:rPr>
        <w:t>om</w:t>
      </w:r>
      <w:proofErr w:type="spellEnd"/>
      <w:r w:rsidR="00170AAA" w:rsidRPr="00823BDC">
        <w:rPr>
          <w:szCs w:val="22"/>
        </w:rPr>
        <w:t xml:space="preserve"> v </w:t>
      </w:r>
      <w:proofErr w:type="spellStart"/>
      <w:r w:rsidR="00170AAA" w:rsidRPr="00823BDC">
        <w:rPr>
          <w:szCs w:val="22"/>
        </w:rPr>
        <w:t>monoterapii</w:t>
      </w:r>
      <w:proofErr w:type="spellEnd"/>
      <w:r w:rsidR="00170AAA" w:rsidRPr="00823BDC">
        <w:rPr>
          <w:szCs w:val="22"/>
        </w:rPr>
        <w:t xml:space="preserve">. </w:t>
      </w:r>
      <w:r w:rsidR="00B46157" w:rsidRPr="00823BDC">
        <w:rPr>
          <w:szCs w:val="22"/>
        </w:rPr>
        <w:t xml:space="preserve">Hodnoty lipidov sa vo všeobecnosti </w:t>
      </w:r>
      <w:r w:rsidR="00170AAA" w:rsidRPr="00823BDC">
        <w:rPr>
          <w:szCs w:val="22"/>
        </w:rPr>
        <w:t>určovali</w:t>
      </w:r>
      <w:r w:rsidR="00A82797" w:rsidRPr="00823BDC">
        <w:rPr>
          <w:szCs w:val="22"/>
        </w:rPr>
        <w:t xml:space="preserve"> pre pacientov</w:t>
      </w:r>
      <w:r w:rsidR="00B66081" w:rsidRPr="00823BDC">
        <w:rPr>
          <w:szCs w:val="22"/>
        </w:rPr>
        <w:t>,</w:t>
      </w:r>
      <w:r w:rsidR="00A82797" w:rsidRPr="00823BDC">
        <w:rPr>
          <w:szCs w:val="22"/>
        </w:rPr>
        <w:t xml:space="preserve"> ktorí pokračovali v </w:t>
      </w:r>
      <w:r w:rsidR="008A5937" w:rsidRPr="00823BDC">
        <w:rPr>
          <w:szCs w:val="22"/>
        </w:rPr>
        <w:t xml:space="preserve">skúšanej </w:t>
      </w:r>
      <w:r w:rsidR="00A82797" w:rsidRPr="00823BDC">
        <w:rPr>
          <w:szCs w:val="22"/>
        </w:rPr>
        <w:t>liečbe.</w:t>
      </w:r>
    </w:p>
    <w:p w14:paraId="60219EF8" w14:textId="77777777" w:rsidR="00C16A33" w:rsidRPr="00823BDC" w:rsidRDefault="00C16A33">
      <w:pPr>
        <w:adjustRightInd w:val="0"/>
        <w:snapToGrid w:val="0"/>
        <w:rPr>
          <w:szCs w:val="22"/>
        </w:rPr>
      </w:pPr>
    </w:p>
    <w:p w14:paraId="04DC6A16" w14:textId="47D1E2B5" w:rsidR="00170AAA" w:rsidRPr="00823BDC" w:rsidRDefault="00170AAA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Primárny cieľový ukazovateľ bol zložený </w:t>
      </w:r>
      <w:r w:rsidR="00625100" w:rsidRPr="00823BDC">
        <w:rPr>
          <w:szCs w:val="22"/>
        </w:rPr>
        <w:t>ukazovateľ zahŕňajúci</w:t>
      </w:r>
      <w:r w:rsidR="00B66081" w:rsidRPr="00823BDC">
        <w:rPr>
          <w:szCs w:val="22"/>
        </w:rPr>
        <w:t xml:space="preserve"> úmrti</w:t>
      </w:r>
      <w:r w:rsidR="00625100" w:rsidRPr="00823BDC">
        <w:rPr>
          <w:szCs w:val="22"/>
        </w:rPr>
        <w:t>e z kardiovaskulárnych príčin</w:t>
      </w:r>
      <w:r w:rsidR="00B66081" w:rsidRPr="00823BDC">
        <w:rPr>
          <w:szCs w:val="22"/>
        </w:rPr>
        <w:t>, veľk</w:t>
      </w:r>
      <w:r w:rsidR="00625100" w:rsidRPr="00823BDC">
        <w:rPr>
          <w:szCs w:val="22"/>
        </w:rPr>
        <w:t>ú</w:t>
      </w:r>
      <w:r w:rsidR="00B66081" w:rsidRPr="00823BDC">
        <w:rPr>
          <w:szCs w:val="22"/>
        </w:rPr>
        <w:t xml:space="preserve"> koronárn</w:t>
      </w:r>
      <w:r w:rsidR="00625100" w:rsidRPr="00823BDC">
        <w:rPr>
          <w:szCs w:val="22"/>
        </w:rPr>
        <w:t>u</w:t>
      </w:r>
      <w:r w:rsidR="00B66081" w:rsidRPr="00823BDC">
        <w:rPr>
          <w:szCs w:val="22"/>
        </w:rPr>
        <w:t xml:space="preserve"> príhod</w:t>
      </w:r>
      <w:r w:rsidR="00625100" w:rsidRPr="00823BDC">
        <w:rPr>
          <w:szCs w:val="22"/>
        </w:rPr>
        <w:t>u</w:t>
      </w:r>
      <w:r w:rsidRPr="00823BDC">
        <w:rPr>
          <w:szCs w:val="22"/>
        </w:rPr>
        <w:t xml:space="preserve"> (MCE</w:t>
      </w:r>
      <w:r w:rsidR="00B66081" w:rsidRPr="00823BDC">
        <w:rPr>
          <w:szCs w:val="22"/>
        </w:rPr>
        <w:t xml:space="preserve"> [major </w:t>
      </w:r>
      <w:proofErr w:type="spellStart"/>
      <w:r w:rsidR="00B66081" w:rsidRPr="00823BDC">
        <w:rPr>
          <w:szCs w:val="22"/>
        </w:rPr>
        <w:t>coronary</w:t>
      </w:r>
      <w:proofErr w:type="spellEnd"/>
      <w:r w:rsidR="00B66081" w:rsidRPr="00823BDC">
        <w:rPr>
          <w:szCs w:val="22"/>
        </w:rPr>
        <w:t xml:space="preserve"> </w:t>
      </w:r>
      <w:proofErr w:type="spellStart"/>
      <w:r w:rsidR="00B66081" w:rsidRPr="00823BDC">
        <w:rPr>
          <w:szCs w:val="22"/>
        </w:rPr>
        <w:t>events</w:t>
      </w:r>
      <w:proofErr w:type="spellEnd"/>
      <w:r w:rsidR="00B66081" w:rsidRPr="00823BDC">
        <w:rPr>
          <w:szCs w:val="22"/>
        </w:rPr>
        <w:t>]</w:t>
      </w:r>
      <w:r w:rsidRPr="00823BDC">
        <w:rPr>
          <w:szCs w:val="22"/>
        </w:rPr>
        <w:t>,</w:t>
      </w:r>
      <w:r w:rsidR="00B66081" w:rsidRPr="00823BDC">
        <w:rPr>
          <w:szCs w:val="22"/>
        </w:rPr>
        <w:t xml:space="preserve"> definovan</w:t>
      </w:r>
      <w:r w:rsidR="007C46B6" w:rsidRPr="00823BDC">
        <w:rPr>
          <w:szCs w:val="22"/>
        </w:rPr>
        <w:t>ú</w:t>
      </w:r>
      <w:r w:rsidRPr="00823BDC">
        <w:rPr>
          <w:szCs w:val="22"/>
        </w:rPr>
        <w:t xml:space="preserve"> ako nefatálny infarkt myokardu, dokumentovaná nestabilná angína </w:t>
      </w:r>
      <w:proofErr w:type="spellStart"/>
      <w:r w:rsidRPr="00823BDC">
        <w:rPr>
          <w:szCs w:val="22"/>
        </w:rPr>
        <w:t>pe</w:t>
      </w:r>
      <w:r w:rsidR="00C26453" w:rsidRPr="00823BDC">
        <w:rPr>
          <w:szCs w:val="22"/>
        </w:rPr>
        <w:t>k</w:t>
      </w:r>
      <w:r w:rsidRPr="00823BDC">
        <w:rPr>
          <w:szCs w:val="22"/>
        </w:rPr>
        <w:t>toris</w:t>
      </w:r>
      <w:proofErr w:type="spellEnd"/>
      <w:r w:rsidRPr="00823BDC">
        <w:rPr>
          <w:szCs w:val="22"/>
        </w:rPr>
        <w:t xml:space="preserve"> vyžadujúca hospitalizáciu alebo ak</w:t>
      </w:r>
      <w:r w:rsidR="00F51F96" w:rsidRPr="00823BDC">
        <w:rPr>
          <w:szCs w:val="22"/>
        </w:rPr>
        <w:t>ý</w:t>
      </w:r>
      <w:r w:rsidRPr="00823BDC">
        <w:rPr>
          <w:szCs w:val="22"/>
        </w:rPr>
        <w:t xml:space="preserve">koľvek </w:t>
      </w:r>
      <w:r w:rsidR="00F51F96" w:rsidRPr="00823BDC">
        <w:rPr>
          <w:szCs w:val="22"/>
        </w:rPr>
        <w:t>koronárny</w:t>
      </w:r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revasku</w:t>
      </w:r>
      <w:r w:rsidR="00F51F96" w:rsidRPr="00823BDC">
        <w:rPr>
          <w:szCs w:val="22"/>
        </w:rPr>
        <w:t>larizačný</w:t>
      </w:r>
      <w:proofErr w:type="spellEnd"/>
      <w:r w:rsidRPr="00823BDC">
        <w:rPr>
          <w:szCs w:val="22"/>
        </w:rPr>
        <w:t xml:space="preserve"> </w:t>
      </w:r>
      <w:r w:rsidR="00F51F96" w:rsidRPr="00823BDC">
        <w:rPr>
          <w:szCs w:val="22"/>
        </w:rPr>
        <w:t xml:space="preserve">výkon, ktorý sa </w:t>
      </w:r>
      <w:r w:rsidR="00B8473D" w:rsidRPr="00823BDC">
        <w:rPr>
          <w:szCs w:val="22"/>
        </w:rPr>
        <w:t>uskutočni</w:t>
      </w:r>
      <w:r w:rsidR="00F51F96" w:rsidRPr="00823BDC">
        <w:rPr>
          <w:szCs w:val="22"/>
        </w:rPr>
        <w:t>l</w:t>
      </w:r>
      <w:r w:rsidRPr="00823BDC">
        <w:rPr>
          <w:szCs w:val="22"/>
        </w:rPr>
        <w:t xml:space="preserve"> aspoň 30 dní po </w:t>
      </w:r>
      <w:proofErr w:type="spellStart"/>
      <w:r w:rsidRPr="00823BDC">
        <w:rPr>
          <w:szCs w:val="22"/>
        </w:rPr>
        <w:t>randomizovanom</w:t>
      </w:r>
      <w:proofErr w:type="spellEnd"/>
      <w:r w:rsidRPr="00823BDC">
        <w:rPr>
          <w:szCs w:val="22"/>
        </w:rPr>
        <w:t xml:space="preserve"> </w:t>
      </w:r>
      <w:r w:rsidR="00B66081" w:rsidRPr="00823BDC">
        <w:rPr>
          <w:szCs w:val="22"/>
        </w:rPr>
        <w:t>priradení liečby) a nefatálnej cievnej mozgovej príhody</w:t>
      </w:r>
      <w:r w:rsidR="0014106B" w:rsidRPr="00823BDC">
        <w:rPr>
          <w:szCs w:val="22"/>
        </w:rPr>
        <w:t xml:space="preserve">. </w:t>
      </w:r>
      <w:r w:rsidR="006A0965" w:rsidRPr="00823BDC">
        <w:rPr>
          <w:szCs w:val="22"/>
        </w:rPr>
        <w:t xml:space="preserve">Štúdia preukázala, že liečba </w:t>
      </w:r>
      <w:proofErr w:type="spellStart"/>
      <w:r w:rsidR="00954A9F" w:rsidRPr="00823BDC">
        <w:rPr>
          <w:szCs w:val="22"/>
        </w:rPr>
        <w:t>ezetimibom</w:t>
      </w:r>
      <w:proofErr w:type="spellEnd"/>
      <w:r w:rsidR="00954A9F" w:rsidRPr="00823BDC">
        <w:rPr>
          <w:szCs w:val="22"/>
        </w:rPr>
        <w:t>/</w:t>
      </w:r>
      <w:proofErr w:type="spellStart"/>
      <w:r w:rsidR="00954A9F" w:rsidRPr="00823BDC">
        <w:rPr>
          <w:szCs w:val="22"/>
        </w:rPr>
        <w:t>simvastatínom</w:t>
      </w:r>
      <w:proofErr w:type="spellEnd"/>
      <w:r w:rsidR="006A0965" w:rsidRPr="00823BDC">
        <w:rPr>
          <w:szCs w:val="22"/>
        </w:rPr>
        <w:t xml:space="preserve"> poskytla dodatočný prínos pri znižovaní primárneho cieľového ukazovateľa zloženého z kardiovaskulárneho úmrtia, MCE a</w:t>
      </w:r>
      <w:r w:rsidR="00B66081" w:rsidRPr="00823BDC">
        <w:rPr>
          <w:szCs w:val="22"/>
        </w:rPr>
        <w:t> </w:t>
      </w:r>
      <w:r w:rsidR="006A0965" w:rsidRPr="00823BDC">
        <w:rPr>
          <w:szCs w:val="22"/>
        </w:rPr>
        <w:t>nefatálnej cievnej mozgovej príhody</w:t>
      </w:r>
      <w:r w:rsidR="00B66081" w:rsidRPr="00823BDC">
        <w:rPr>
          <w:szCs w:val="22"/>
        </w:rPr>
        <w:t xml:space="preserve"> </w:t>
      </w:r>
      <w:r w:rsidR="006A0965" w:rsidRPr="00823BDC">
        <w:rPr>
          <w:szCs w:val="22"/>
        </w:rPr>
        <w:t>v</w:t>
      </w:r>
      <w:r w:rsidR="00B66081" w:rsidRPr="00823BDC">
        <w:rPr>
          <w:szCs w:val="22"/>
        </w:rPr>
        <w:t> </w:t>
      </w:r>
      <w:r w:rsidR="006A0965" w:rsidRPr="00823BDC">
        <w:rPr>
          <w:szCs w:val="22"/>
        </w:rPr>
        <w:t xml:space="preserve">porovnaní so samotným </w:t>
      </w:r>
      <w:proofErr w:type="spellStart"/>
      <w:r w:rsidR="006A0965" w:rsidRPr="00823BDC">
        <w:rPr>
          <w:szCs w:val="22"/>
        </w:rPr>
        <w:t>simvastatínom</w:t>
      </w:r>
      <w:proofErr w:type="spellEnd"/>
      <w:r w:rsidR="006A0965" w:rsidRPr="00823BDC">
        <w:rPr>
          <w:szCs w:val="22"/>
        </w:rPr>
        <w:t xml:space="preserve"> (zníženie</w:t>
      </w:r>
      <w:r w:rsidR="00B8473D" w:rsidRPr="00823BDC">
        <w:rPr>
          <w:szCs w:val="22"/>
        </w:rPr>
        <w:t xml:space="preserve"> relatívneho</w:t>
      </w:r>
      <w:r w:rsidR="006A0965" w:rsidRPr="00823BDC">
        <w:rPr>
          <w:szCs w:val="22"/>
        </w:rPr>
        <w:t xml:space="preserve"> rizika 6,4 %, p</w:t>
      </w:r>
      <w:r w:rsidR="00B66081" w:rsidRPr="00823BDC">
        <w:rPr>
          <w:szCs w:val="22"/>
        </w:rPr>
        <w:t> </w:t>
      </w:r>
      <w:r w:rsidR="006A0965" w:rsidRPr="00823BDC">
        <w:rPr>
          <w:szCs w:val="22"/>
        </w:rPr>
        <w:t>=</w:t>
      </w:r>
      <w:r w:rsidR="00B66081" w:rsidRPr="00823BDC">
        <w:rPr>
          <w:szCs w:val="22"/>
        </w:rPr>
        <w:t> </w:t>
      </w:r>
      <w:r w:rsidR="006A0965" w:rsidRPr="00823BDC">
        <w:rPr>
          <w:szCs w:val="22"/>
        </w:rPr>
        <w:t>0,016). Primárny cieľový ukazovateľ sa vyskytol u 2 572 z 9 067 pacientov (</w:t>
      </w:r>
      <w:r w:rsidR="007C46B6" w:rsidRPr="00823BDC">
        <w:rPr>
          <w:szCs w:val="22"/>
        </w:rPr>
        <w:t xml:space="preserve">pravdepodobnosť výskytu za </w:t>
      </w:r>
      <w:r w:rsidR="00FD6B99" w:rsidRPr="00823BDC">
        <w:rPr>
          <w:szCs w:val="22"/>
        </w:rPr>
        <w:t>7</w:t>
      </w:r>
      <w:r w:rsidR="007C46B6" w:rsidRPr="00823BDC">
        <w:rPr>
          <w:szCs w:val="22"/>
        </w:rPr>
        <w:t xml:space="preserve"> rokov podľa</w:t>
      </w:r>
      <w:r w:rsidR="00FD6B99" w:rsidRPr="00823BDC">
        <w:rPr>
          <w:szCs w:val="22"/>
        </w:rPr>
        <w:t xml:space="preserve"> </w:t>
      </w:r>
      <w:proofErr w:type="spellStart"/>
      <w:r w:rsidR="00FD6B99" w:rsidRPr="00823BDC">
        <w:rPr>
          <w:szCs w:val="22"/>
        </w:rPr>
        <w:t>Kaplan</w:t>
      </w:r>
      <w:r w:rsidR="008F2CE1" w:rsidRPr="00823BDC">
        <w:rPr>
          <w:szCs w:val="22"/>
        </w:rPr>
        <w:t>ov</w:t>
      </w:r>
      <w:r w:rsidR="007C46B6" w:rsidRPr="00823BDC">
        <w:rPr>
          <w:szCs w:val="22"/>
        </w:rPr>
        <w:t>ej</w:t>
      </w:r>
      <w:r w:rsidR="00FD6B99" w:rsidRPr="00823BDC">
        <w:rPr>
          <w:szCs w:val="22"/>
        </w:rPr>
        <w:t>-</w:t>
      </w:r>
      <w:r w:rsidR="00FD6B99" w:rsidRPr="00823BDC">
        <w:rPr>
          <w:szCs w:val="22"/>
        </w:rPr>
        <w:lastRenderedPageBreak/>
        <w:t>Meier</w:t>
      </w:r>
      <w:r w:rsidR="008F2CE1" w:rsidRPr="00823BDC">
        <w:rPr>
          <w:szCs w:val="22"/>
        </w:rPr>
        <w:t>ov</w:t>
      </w:r>
      <w:r w:rsidR="007C46B6" w:rsidRPr="00823BDC">
        <w:rPr>
          <w:szCs w:val="22"/>
        </w:rPr>
        <w:t>ej</w:t>
      </w:r>
      <w:proofErr w:type="spellEnd"/>
      <w:r w:rsidR="007C46B6" w:rsidRPr="00823BDC">
        <w:rPr>
          <w:szCs w:val="22"/>
        </w:rPr>
        <w:t xml:space="preserve"> metódy</w:t>
      </w:r>
      <w:r w:rsidR="00FD6B99" w:rsidRPr="00823BDC">
        <w:rPr>
          <w:szCs w:val="22"/>
        </w:rPr>
        <w:t xml:space="preserve"> [KM] </w:t>
      </w:r>
      <w:r w:rsidR="007C46B6" w:rsidRPr="00823BDC">
        <w:rPr>
          <w:szCs w:val="22"/>
        </w:rPr>
        <w:t>bola</w:t>
      </w:r>
      <w:r w:rsidR="00FD6B99" w:rsidRPr="00823BDC">
        <w:rPr>
          <w:szCs w:val="22"/>
        </w:rPr>
        <w:t xml:space="preserve"> 32,72 %) v skupine užívajúcej </w:t>
      </w:r>
      <w:proofErr w:type="spellStart"/>
      <w:r w:rsidR="008969AF" w:rsidRPr="00823BDC">
        <w:rPr>
          <w:szCs w:val="22"/>
        </w:rPr>
        <w:t>ezetimib</w:t>
      </w:r>
      <w:proofErr w:type="spellEnd"/>
      <w:r w:rsidR="008969AF" w:rsidRPr="00823BDC">
        <w:rPr>
          <w:szCs w:val="22"/>
        </w:rPr>
        <w:t>/</w:t>
      </w:r>
      <w:proofErr w:type="spellStart"/>
      <w:r w:rsidR="008969AF" w:rsidRPr="00823BDC">
        <w:rPr>
          <w:szCs w:val="22"/>
        </w:rPr>
        <w:t>simvastatín</w:t>
      </w:r>
      <w:proofErr w:type="spellEnd"/>
      <w:r w:rsidR="00FD6B99" w:rsidRPr="00823BDC">
        <w:rPr>
          <w:szCs w:val="22"/>
        </w:rPr>
        <w:t xml:space="preserve"> a u 2 742 z 9 077 pacientov (</w:t>
      </w:r>
      <w:r w:rsidR="007C46B6" w:rsidRPr="00823BDC">
        <w:rPr>
          <w:szCs w:val="22"/>
        </w:rPr>
        <w:t xml:space="preserve">pravdepodobnosť výskytu za </w:t>
      </w:r>
      <w:r w:rsidR="00FD6B99" w:rsidRPr="00823BDC">
        <w:rPr>
          <w:szCs w:val="22"/>
        </w:rPr>
        <w:t>7</w:t>
      </w:r>
      <w:r w:rsidR="007C46B6" w:rsidRPr="00823BDC">
        <w:rPr>
          <w:szCs w:val="22"/>
        </w:rPr>
        <w:t xml:space="preserve"> rokov bola podľa</w:t>
      </w:r>
      <w:r w:rsidR="00FD6B99" w:rsidRPr="00823BDC">
        <w:rPr>
          <w:szCs w:val="22"/>
        </w:rPr>
        <w:t xml:space="preserve"> KM </w:t>
      </w:r>
      <w:r w:rsidR="007C46B6" w:rsidRPr="00823BDC">
        <w:rPr>
          <w:szCs w:val="22"/>
        </w:rPr>
        <w:t>metódy</w:t>
      </w:r>
      <w:r w:rsidR="00FD6B99" w:rsidRPr="00823BDC">
        <w:rPr>
          <w:szCs w:val="22"/>
        </w:rPr>
        <w:t xml:space="preserve"> 34,67 %) v skupine užívajúcej samotný </w:t>
      </w:r>
      <w:proofErr w:type="spellStart"/>
      <w:r w:rsidR="00FD6B99" w:rsidRPr="00823BDC">
        <w:rPr>
          <w:szCs w:val="22"/>
        </w:rPr>
        <w:t>simvastatín</w:t>
      </w:r>
      <w:proofErr w:type="spellEnd"/>
      <w:r w:rsidR="00FD6B99" w:rsidRPr="00823BDC">
        <w:rPr>
          <w:szCs w:val="22"/>
        </w:rPr>
        <w:t xml:space="preserve">. </w:t>
      </w:r>
      <w:r w:rsidR="007D6D07" w:rsidRPr="00823BDC">
        <w:rPr>
          <w:szCs w:val="22"/>
        </w:rPr>
        <w:t>(Pozri obrázok 1 a t</w:t>
      </w:r>
      <w:r w:rsidR="00FD6B99" w:rsidRPr="00823BDC">
        <w:rPr>
          <w:szCs w:val="22"/>
        </w:rPr>
        <w:t>abuľku 1). Celková úmrtnosť sa v</w:t>
      </w:r>
      <w:r w:rsidR="00B66081" w:rsidRPr="00823BDC">
        <w:rPr>
          <w:szCs w:val="22"/>
        </w:rPr>
        <w:t> </w:t>
      </w:r>
      <w:r w:rsidR="00FD6B99" w:rsidRPr="00823BDC">
        <w:rPr>
          <w:szCs w:val="22"/>
        </w:rPr>
        <w:t>tejto vysoko rizikovej skupine</w:t>
      </w:r>
      <w:r w:rsidR="007D6D07" w:rsidRPr="00823BDC">
        <w:rPr>
          <w:szCs w:val="22"/>
        </w:rPr>
        <w:t xml:space="preserve"> nezmenila (pozri t</w:t>
      </w:r>
      <w:r w:rsidR="00FD6B99" w:rsidRPr="00823BDC">
        <w:rPr>
          <w:szCs w:val="22"/>
        </w:rPr>
        <w:t>abuľku 1).</w:t>
      </w:r>
    </w:p>
    <w:p w14:paraId="16DE873E" w14:textId="77777777" w:rsidR="00FD6B99" w:rsidRPr="00823BDC" w:rsidRDefault="00FD6B99">
      <w:pPr>
        <w:adjustRightInd w:val="0"/>
        <w:snapToGrid w:val="0"/>
        <w:rPr>
          <w:szCs w:val="22"/>
        </w:rPr>
      </w:pPr>
    </w:p>
    <w:p w14:paraId="71F7004E" w14:textId="59F31CCF" w:rsidR="00FD6B99" w:rsidRPr="00823BDC" w:rsidRDefault="0062220E">
      <w:pPr>
        <w:adjustRightInd w:val="0"/>
        <w:snapToGrid w:val="0"/>
        <w:rPr>
          <w:szCs w:val="22"/>
        </w:rPr>
      </w:pPr>
      <w:r w:rsidRPr="00823BDC">
        <w:rPr>
          <w:szCs w:val="22"/>
        </w:rPr>
        <w:t>Pre všetky typy cievnej mozgovej príhody sa pozoroval celkový prínos, avšak v</w:t>
      </w:r>
      <w:r w:rsidR="00FD6B99" w:rsidRPr="00823BDC">
        <w:rPr>
          <w:szCs w:val="22"/>
        </w:rPr>
        <w:t xml:space="preserve"> skupine užívajúcej </w:t>
      </w:r>
      <w:proofErr w:type="spellStart"/>
      <w:r w:rsidR="00FD6B99" w:rsidRPr="00823BDC">
        <w:rPr>
          <w:szCs w:val="22"/>
        </w:rPr>
        <w:t>ezetimib</w:t>
      </w:r>
      <w:proofErr w:type="spellEnd"/>
      <w:r w:rsidR="00566251" w:rsidRPr="00823BDC">
        <w:rPr>
          <w:szCs w:val="22"/>
        </w:rPr>
        <w:t>/</w:t>
      </w:r>
      <w:proofErr w:type="spellStart"/>
      <w:r w:rsidR="00FD6B99" w:rsidRPr="00823BDC">
        <w:rPr>
          <w:szCs w:val="22"/>
        </w:rPr>
        <w:t>simvastatínom</w:t>
      </w:r>
      <w:proofErr w:type="spellEnd"/>
      <w:r w:rsidR="00FD6B99" w:rsidRPr="00823BDC">
        <w:rPr>
          <w:szCs w:val="22"/>
        </w:rPr>
        <w:t xml:space="preserve"> </w:t>
      </w:r>
      <w:r w:rsidRPr="00823BDC">
        <w:rPr>
          <w:szCs w:val="22"/>
        </w:rPr>
        <w:t xml:space="preserve">sa pozoroval </w:t>
      </w:r>
      <w:proofErr w:type="spellStart"/>
      <w:r w:rsidRPr="00823BDC">
        <w:rPr>
          <w:szCs w:val="22"/>
        </w:rPr>
        <w:t>nesignifikantný</w:t>
      </w:r>
      <w:proofErr w:type="spellEnd"/>
      <w:r w:rsidRPr="00823BDC">
        <w:rPr>
          <w:szCs w:val="22"/>
        </w:rPr>
        <w:t xml:space="preserve"> nárast </w:t>
      </w:r>
      <w:proofErr w:type="spellStart"/>
      <w:r w:rsidRPr="00823BDC">
        <w:rPr>
          <w:szCs w:val="22"/>
        </w:rPr>
        <w:t>hemoragickej</w:t>
      </w:r>
      <w:proofErr w:type="spellEnd"/>
      <w:r w:rsidRPr="00823BDC">
        <w:rPr>
          <w:szCs w:val="22"/>
        </w:rPr>
        <w:t xml:space="preserve"> cievnej mozgovej príhody v porovnaní so skupinou so</w:t>
      </w:r>
      <w:r w:rsidR="007D6D07" w:rsidRPr="00823BDC">
        <w:rPr>
          <w:szCs w:val="22"/>
        </w:rPr>
        <w:t xml:space="preserve"> samotným </w:t>
      </w:r>
      <w:proofErr w:type="spellStart"/>
      <w:r w:rsidR="007D6D07" w:rsidRPr="00823BDC">
        <w:rPr>
          <w:szCs w:val="22"/>
        </w:rPr>
        <w:t>simvastatínom</w:t>
      </w:r>
      <w:proofErr w:type="spellEnd"/>
      <w:r w:rsidR="007D6D07" w:rsidRPr="00823BDC">
        <w:rPr>
          <w:szCs w:val="22"/>
        </w:rPr>
        <w:t xml:space="preserve"> (pozri t</w:t>
      </w:r>
      <w:r w:rsidRPr="00823BDC">
        <w:rPr>
          <w:szCs w:val="22"/>
        </w:rPr>
        <w:t xml:space="preserve">abuľku 1). Riziko </w:t>
      </w:r>
      <w:proofErr w:type="spellStart"/>
      <w:r w:rsidRPr="00823BDC">
        <w:rPr>
          <w:szCs w:val="22"/>
        </w:rPr>
        <w:t>hemoragickej</w:t>
      </w:r>
      <w:proofErr w:type="spellEnd"/>
      <w:r w:rsidRPr="00823BDC">
        <w:rPr>
          <w:szCs w:val="22"/>
        </w:rPr>
        <w:t xml:space="preserve"> cievnej mozgovej príhody pri podávaní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súbežne s</w:t>
      </w:r>
      <w:r w:rsidR="00507957" w:rsidRPr="00823BDC">
        <w:rPr>
          <w:szCs w:val="22"/>
        </w:rPr>
        <w:t> účin</w:t>
      </w:r>
      <w:r w:rsidRPr="00823BDC">
        <w:rPr>
          <w:szCs w:val="22"/>
        </w:rPr>
        <w:t xml:space="preserve">nejšími </w:t>
      </w:r>
      <w:proofErr w:type="spellStart"/>
      <w:r w:rsidRPr="00823BDC">
        <w:rPr>
          <w:szCs w:val="22"/>
        </w:rPr>
        <w:t>statínmi</w:t>
      </w:r>
      <w:proofErr w:type="spellEnd"/>
      <w:r w:rsidRPr="00823BDC">
        <w:rPr>
          <w:szCs w:val="22"/>
        </w:rPr>
        <w:t xml:space="preserve"> sa v</w:t>
      </w:r>
      <w:r w:rsidR="00040242" w:rsidRPr="00823BDC">
        <w:rPr>
          <w:szCs w:val="22"/>
        </w:rPr>
        <w:t> </w:t>
      </w:r>
      <w:r w:rsidRPr="00823BDC">
        <w:rPr>
          <w:szCs w:val="22"/>
        </w:rPr>
        <w:t>dlhodobých štúdiách nehodnotil</w:t>
      </w:r>
      <w:r w:rsidR="00B66081" w:rsidRPr="00823BDC">
        <w:rPr>
          <w:szCs w:val="22"/>
        </w:rPr>
        <w:t>o</w:t>
      </w:r>
      <w:r w:rsidRPr="00823BDC">
        <w:rPr>
          <w:szCs w:val="22"/>
        </w:rPr>
        <w:t>.</w:t>
      </w:r>
    </w:p>
    <w:p w14:paraId="2BD3A5AD" w14:textId="77777777" w:rsidR="00040242" w:rsidRPr="00823BDC" w:rsidRDefault="00040242">
      <w:pPr>
        <w:adjustRightInd w:val="0"/>
        <w:snapToGrid w:val="0"/>
        <w:rPr>
          <w:szCs w:val="22"/>
        </w:rPr>
      </w:pPr>
    </w:p>
    <w:p w14:paraId="7187A2B4" w14:textId="77777777" w:rsidR="00040242" w:rsidRPr="00823BDC" w:rsidRDefault="000B55FA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Účinok liečby </w:t>
      </w:r>
      <w:proofErr w:type="spellStart"/>
      <w:r w:rsidRPr="00823BDC">
        <w:rPr>
          <w:szCs w:val="22"/>
        </w:rPr>
        <w:t>ezetimibom</w:t>
      </w:r>
      <w:proofErr w:type="spellEnd"/>
      <w:r w:rsidRPr="00823BDC">
        <w:rPr>
          <w:szCs w:val="22"/>
        </w:rPr>
        <w:t>/</w:t>
      </w:r>
      <w:proofErr w:type="spellStart"/>
      <w:r w:rsidRPr="00823BDC">
        <w:rPr>
          <w:szCs w:val="22"/>
        </w:rPr>
        <w:t>simvastatínom</w:t>
      </w:r>
      <w:proofErr w:type="spellEnd"/>
      <w:r w:rsidR="00040242" w:rsidRPr="00823BDC">
        <w:rPr>
          <w:szCs w:val="22"/>
        </w:rPr>
        <w:t xml:space="preserve"> bol vo všeobecnosti </w:t>
      </w:r>
      <w:r w:rsidR="00B66081" w:rsidRPr="00823BDC">
        <w:rPr>
          <w:szCs w:val="22"/>
        </w:rPr>
        <w:t>zhodný</w:t>
      </w:r>
      <w:r w:rsidR="00040242" w:rsidRPr="00823BDC">
        <w:rPr>
          <w:szCs w:val="22"/>
        </w:rPr>
        <w:t xml:space="preserve"> s celkovými výsledkami medzi mnohými podskupinami </w:t>
      </w:r>
      <w:r w:rsidRPr="00823BDC">
        <w:rPr>
          <w:szCs w:val="22"/>
        </w:rPr>
        <w:t xml:space="preserve">zahŕňajúcimi pohlavie, vek, rasu, diabetes mellitus v anamnéze, východiskové hladiny lipidov, predchádzajúcu liečbu </w:t>
      </w:r>
      <w:proofErr w:type="spellStart"/>
      <w:r w:rsidRPr="00823BDC">
        <w:rPr>
          <w:szCs w:val="22"/>
        </w:rPr>
        <w:t>statínom</w:t>
      </w:r>
      <w:proofErr w:type="spellEnd"/>
      <w:r w:rsidRPr="00823BDC">
        <w:rPr>
          <w:szCs w:val="22"/>
        </w:rPr>
        <w:t>, predchádzajúcu cievnu mozgovú príhodu a hypertenziu.</w:t>
      </w:r>
    </w:p>
    <w:p w14:paraId="7B79D0D1" w14:textId="77777777" w:rsidR="00170AAA" w:rsidRPr="00823BDC" w:rsidRDefault="00170AAA">
      <w:pPr>
        <w:adjustRightInd w:val="0"/>
        <w:snapToGrid w:val="0"/>
        <w:rPr>
          <w:szCs w:val="22"/>
        </w:rPr>
      </w:pPr>
    </w:p>
    <w:p w14:paraId="0B4CE4D4" w14:textId="77777777" w:rsidR="002C290A" w:rsidRPr="00823BDC" w:rsidRDefault="002C290A">
      <w:pPr>
        <w:keepNext/>
        <w:adjustRightInd w:val="0"/>
        <w:snapToGrid w:val="0"/>
        <w:jc w:val="center"/>
        <w:rPr>
          <w:szCs w:val="22"/>
        </w:rPr>
      </w:pPr>
      <w:r w:rsidRPr="00823BDC">
        <w:rPr>
          <w:b/>
          <w:szCs w:val="22"/>
        </w:rPr>
        <w:t xml:space="preserve">Obrázok 1: Účinok </w:t>
      </w:r>
      <w:proofErr w:type="spellStart"/>
      <w:r w:rsidR="008969AF" w:rsidRPr="00823BDC">
        <w:rPr>
          <w:b/>
          <w:szCs w:val="22"/>
        </w:rPr>
        <w:t>ezetimibu</w:t>
      </w:r>
      <w:proofErr w:type="spellEnd"/>
      <w:r w:rsidR="008969AF" w:rsidRPr="00823BDC">
        <w:rPr>
          <w:b/>
          <w:szCs w:val="22"/>
        </w:rPr>
        <w:t>/</w:t>
      </w:r>
      <w:proofErr w:type="spellStart"/>
      <w:r w:rsidR="008969AF" w:rsidRPr="00823BDC">
        <w:rPr>
          <w:b/>
          <w:szCs w:val="22"/>
        </w:rPr>
        <w:t>simvastatínu</w:t>
      </w:r>
      <w:proofErr w:type="spellEnd"/>
      <w:r w:rsidRPr="00823BDC">
        <w:rPr>
          <w:b/>
          <w:szCs w:val="22"/>
        </w:rPr>
        <w:t xml:space="preserve"> na primárny zložený cieľový ukazovateľ </w:t>
      </w:r>
      <w:r w:rsidR="00636FBE" w:rsidRPr="00823BDC">
        <w:rPr>
          <w:b/>
          <w:szCs w:val="22"/>
        </w:rPr>
        <w:t>úmrtia</w:t>
      </w:r>
      <w:r w:rsidR="000D54C8" w:rsidRPr="00823BDC">
        <w:rPr>
          <w:b/>
          <w:szCs w:val="22"/>
        </w:rPr>
        <w:t xml:space="preserve"> z kardiovaskulárnych príčin</w:t>
      </w:r>
      <w:r w:rsidR="00636FBE" w:rsidRPr="00823BDC">
        <w:rPr>
          <w:b/>
          <w:szCs w:val="22"/>
        </w:rPr>
        <w:t>, veľkej koronárnej príhody alebo nefatálnej cievnej mozgovej príhody</w:t>
      </w:r>
    </w:p>
    <w:p w14:paraId="1FF35915" w14:textId="77777777" w:rsidR="002C290A" w:rsidRPr="00CD10F1" w:rsidRDefault="00E7249C">
      <w:pPr>
        <w:adjustRightInd w:val="0"/>
        <w:snapToGrid w:val="0"/>
        <w:rPr>
          <w:szCs w:val="22"/>
        </w:rPr>
      </w:pPr>
      <w:r w:rsidRPr="00CD10F1">
        <w:rPr>
          <w:noProof/>
          <w:szCs w:val="22"/>
          <w:lang w:eastAsia="sk-SK"/>
        </w:rPr>
        <w:drawing>
          <wp:inline distT="0" distB="0" distL="0" distR="0" wp14:anchorId="226440F3" wp14:editId="7B1C8084">
            <wp:extent cx="5781675" cy="39909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39B8" w14:textId="77777777" w:rsidR="00AE57B1" w:rsidRPr="00CD10F1" w:rsidRDefault="00AE57B1">
      <w:pPr>
        <w:adjustRightInd w:val="0"/>
        <w:snapToGrid w:val="0"/>
        <w:rPr>
          <w:szCs w:val="22"/>
        </w:rPr>
      </w:pPr>
    </w:p>
    <w:p w14:paraId="718C1F6F" w14:textId="77777777" w:rsidR="00C16A33" w:rsidRPr="00AA7838" w:rsidRDefault="005C22C9">
      <w:pPr>
        <w:tabs>
          <w:tab w:val="left" w:pos="567"/>
        </w:tabs>
        <w:jc w:val="center"/>
        <w:rPr>
          <w:b/>
          <w:szCs w:val="22"/>
        </w:rPr>
      </w:pPr>
      <w:r w:rsidRPr="00AA7838">
        <w:rPr>
          <w:b/>
          <w:szCs w:val="22"/>
        </w:rPr>
        <w:t>Tabuľka 1</w:t>
      </w:r>
    </w:p>
    <w:p w14:paraId="279ECC21" w14:textId="77777777" w:rsidR="00C16A33" w:rsidRPr="00823BDC" w:rsidRDefault="00A84927">
      <w:pPr>
        <w:tabs>
          <w:tab w:val="left" w:pos="567"/>
        </w:tabs>
        <w:jc w:val="center"/>
        <w:rPr>
          <w:szCs w:val="22"/>
        </w:rPr>
      </w:pPr>
      <w:r w:rsidRPr="00373B08">
        <w:rPr>
          <w:b/>
          <w:szCs w:val="22"/>
        </w:rPr>
        <w:t xml:space="preserve">Veľké kardiovaskulárne príhody podľa liečebnej skupiny u všetkých </w:t>
      </w:r>
      <w:proofErr w:type="spellStart"/>
      <w:r w:rsidRPr="00373B08">
        <w:rPr>
          <w:b/>
          <w:szCs w:val="22"/>
        </w:rPr>
        <w:t>randomizovaných</w:t>
      </w:r>
      <w:proofErr w:type="spellEnd"/>
      <w:r w:rsidRPr="00373B08">
        <w:rPr>
          <w:b/>
          <w:szCs w:val="22"/>
        </w:rPr>
        <w:t xml:space="preserve"> pacientov v štúdii</w:t>
      </w:r>
      <w:r w:rsidR="00C16A33" w:rsidRPr="00823BDC">
        <w:rPr>
          <w:b/>
          <w:szCs w:val="22"/>
        </w:rPr>
        <w:t xml:space="preserve"> IMPROVE-IT</w:t>
      </w:r>
    </w:p>
    <w:p w14:paraId="1209C98F" w14:textId="77777777" w:rsidR="00507957" w:rsidRPr="00823BDC" w:rsidRDefault="00507957">
      <w:pPr>
        <w:tabs>
          <w:tab w:val="left" w:pos="567"/>
        </w:tabs>
        <w:jc w:val="center"/>
        <w:rPr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92"/>
        <w:gridCol w:w="1071"/>
        <w:gridCol w:w="1076"/>
        <w:gridCol w:w="711"/>
        <w:gridCol w:w="711"/>
        <w:gridCol w:w="1573"/>
        <w:gridCol w:w="1036"/>
      </w:tblGrid>
      <w:tr w:rsidR="00C16A33" w:rsidRPr="00823BDC" w14:paraId="1F8BAD8D" w14:textId="77777777" w:rsidTr="00F94B6C">
        <w:trPr>
          <w:tblHeader/>
          <w:jc w:val="center"/>
        </w:trPr>
        <w:tc>
          <w:tcPr>
            <w:tcW w:w="176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C8635F0" w14:textId="77777777" w:rsidR="00C16A33" w:rsidRPr="00823BDC" w:rsidRDefault="00A84927">
            <w:pPr>
              <w:tabs>
                <w:tab w:val="left" w:pos="567"/>
              </w:tabs>
              <w:jc w:val="center"/>
              <w:rPr>
                <w:b/>
                <w:szCs w:val="22"/>
              </w:rPr>
            </w:pPr>
            <w:r w:rsidRPr="00823BDC">
              <w:rPr>
                <w:b/>
                <w:bCs/>
                <w:szCs w:val="22"/>
                <w:u w:val="single"/>
              </w:rPr>
              <w:lastRenderedPageBreak/>
              <w:t>Výsledok</w:t>
            </w:r>
          </w:p>
        </w:tc>
        <w:tc>
          <w:tcPr>
            <w:tcW w:w="985" w:type="pct"/>
            <w:gridSpan w:val="2"/>
            <w:tcBorders>
              <w:top w:val="single" w:sz="18" w:space="0" w:color="auto"/>
            </w:tcBorders>
            <w:shd w:val="clear" w:color="auto" w:fill="auto"/>
          </w:tcPr>
          <w:p w14:paraId="63CFFA7F" w14:textId="77777777" w:rsidR="00C16A33" w:rsidRPr="00823BDC" w:rsidRDefault="008969AF">
            <w:pPr>
              <w:keepNext/>
              <w:keepLines/>
              <w:jc w:val="center"/>
              <w:rPr>
                <w:b/>
                <w:szCs w:val="22"/>
              </w:rPr>
            </w:pPr>
            <w:proofErr w:type="spellStart"/>
            <w:r w:rsidRPr="00823BDC">
              <w:rPr>
                <w:b/>
                <w:szCs w:val="22"/>
              </w:rPr>
              <w:t>ezetimib</w:t>
            </w:r>
            <w:proofErr w:type="spellEnd"/>
            <w:r w:rsidRPr="00823BDC">
              <w:rPr>
                <w:b/>
                <w:szCs w:val="22"/>
              </w:rPr>
              <w:t>/</w:t>
            </w:r>
            <w:proofErr w:type="spellStart"/>
            <w:r w:rsidRPr="00823BDC">
              <w:rPr>
                <w:b/>
                <w:szCs w:val="22"/>
              </w:rPr>
              <w:t>simvastatín</w:t>
            </w:r>
            <w:proofErr w:type="spellEnd"/>
            <w:r w:rsidR="00C16A33" w:rsidRPr="00823BDC">
              <w:rPr>
                <w:b/>
                <w:szCs w:val="22"/>
              </w:rPr>
              <w:t xml:space="preserve"> 10</w:t>
            </w:r>
            <w:r w:rsidR="00566251" w:rsidRPr="00823BDC">
              <w:rPr>
                <w:b/>
                <w:szCs w:val="22"/>
              </w:rPr>
              <w:t> mg</w:t>
            </w:r>
            <w:r w:rsidR="00C16A33" w:rsidRPr="00823BDC">
              <w:rPr>
                <w:b/>
                <w:szCs w:val="22"/>
              </w:rPr>
              <w:t>/40 </w:t>
            </w:r>
            <w:proofErr w:type="spellStart"/>
            <w:r w:rsidR="00C16A33" w:rsidRPr="00823BDC">
              <w:rPr>
                <w:b/>
                <w:szCs w:val="22"/>
              </w:rPr>
              <w:t>mg</w:t>
            </w:r>
            <w:r w:rsidR="00C16A33" w:rsidRPr="00823BDC">
              <w:rPr>
                <w:szCs w:val="22"/>
                <w:vertAlign w:val="superscript"/>
              </w:rPr>
              <w:t>a</w:t>
            </w:r>
            <w:proofErr w:type="spellEnd"/>
            <w:r w:rsidR="00C16A33" w:rsidRPr="00823BDC">
              <w:rPr>
                <w:b/>
                <w:szCs w:val="22"/>
              </w:rPr>
              <w:br/>
              <w:t>(N</w:t>
            </w:r>
            <w:r w:rsidR="006707FD" w:rsidRPr="00823BDC">
              <w:rPr>
                <w:b/>
                <w:szCs w:val="22"/>
              </w:rPr>
              <w:t> </w:t>
            </w:r>
            <w:r w:rsidR="00C16A33" w:rsidRPr="00823BDC">
              <w:rPr>
                <w:b/>
                <w:szCs w:val="22"/>
              </w:rPr>
              <w:t>=</w:t>
            </w:r>
            <w:r w:rsidR="006707FD" w:rsidRPr="00823BDC">
              <w:rPr>
                <w:b/>
                <w:szCs w:val="22"/>
              </w:rPr>
              <w:t> </w:t>
            </w:r>
            <w:r w:rsidR="00C16A33" w:rsidRPr="00823BDC">
              <w:rPr>
                <w:b/>
                <w:szCs w:val="22"/>
              </w:rPr>
              <w:t>9</w:t>
            </w:r>
            <w:r w:rsidR="005C22C9" w:rsidRPr="00823BDC">
              <w:rPr>
                <w:b/>
                <w:szCs w:val="22"/>
              </w:rPr>
              <w:t> </w:t>
            </w:r>
            <w:r w:rsidR="00C16A33" w:rsidRPr="00823BDC">
              <w:rPr>
                <w:b/>
                <w:szCs w:val="22"/>
              </w:rPr>
              <w:t>067)</w:t>
            </w:r>
          </w:p>
        </w:tc>
        <w:tc>
          <w:tcPr>
            <w:tcW w:w="897" w:type="pct"/>
            <w:gridSpan w:val="2"/>
            <w:tcBorders>
              <w:top w:val="single" w:sz="18" w:space="0" w:color="auto"/>
            </w:tcBorders>
            <w:shd w:val="clear" w:color="auto" w:fill="auto"/>
          </w:tcPr>
          <w:p w14:paraId="3CC9D0D3" w14:textId="77777777" w:rsidR="00C16A33" w:rsidRPr="00823BDC" w:rsidRDefault="008969AF">
            <w:pPr>
              <w:keepNext/>
              <w:keepLines/>
              <w:jc w:val="center"/>
              <w:rPr>
                <w:b/>
                <w:szCs w:val="22"/>
              </w:rPr>
            </w:pPr>
            <w:proofErr w:type="spellStart"/>
            <w:r w:rsidRPr="00823BDC">
              <w:rPr>
                <w:b/>
                <w:szCs w:val="22"/>
              </w:rPr>
              <w:t>s</w:t>
            </w:r>
            <w:r w:rsidR="00C16A33" w:rsidRPr="00823BDC">
              <w:rPr>
                <w:b/>
                <w:szCs w:val="22"/>
              </w:rPr>
              <w:t>imvastat</w:t>
            </w:r>
            <w:r w:rsidRPr="00823BDC">
              <w:rPr>
                <w:b/>
                <w:szCs w:val="22"/>
              </w:rPr>
              <w:t>í</w:t>
            </w:r>
            <w:r w:rsidR="00C16A33" w:rsidRPr="00823BDC">
              <w:rPr>
                <w:b/>
                <w:szCs w:val="22"/>
              </w:rPr>
              <w:t>n</w:t>
            </w:r>
            <w:proofErr w:type="spellEnd"/>
            <w:r w:rsidR="00C16A33" w:rsidRPr="00823BDC">
              <w:rPr>
                <w:b/>
                <w:szCs w:val="22"/>
              </w:rPr>
              <w:t xml:space="preserve"> 40 </w:t>
            </w:r>
            <w:proofErr w:type="spellStart"/>
            <w:r w:rsidR="00C16A33" w:rsidRPr="00823BDC">
              <w:rPr>
                <w:b/>
                <w:szCs w:val="22"/>
              </w:rPr>
              <w:t>mg</w:t>
            </w:r>
            <w:r w:rsidR="00C16A33" w:rsidRPr="00823BDC">
              <w:rPr>
                <w:szCs w:val="22"/>
                <w:vertAlign w:val="superscript"/>
              </w:rPr>
              <w:t>b</w:t>
            </w:r>
            <w:proofErr w:type="spellEnd"/>
            <w:r w:rsidR="00C16A33" w:rsidRPr="00823BDC">
              <w:rPr>
                <w:b/>
                <w:szCs w:val="22"/>
              </w:rPr>
              <w:br/>
              <w:t>(N</w:t>
            </w:r>
            <w:r w:rsidR="006707FD" w:rsidRPr="00823BDC">
              <w:rPr>
                <w:b/>
                <w:szCs w:val="22"/>
              </w:rPr>
              <w:t> </w:t>
            </w:r>
            <w:r w:rsidR="00C16A33" w:rsidRPr="00823BDC">
              <w:rPr>
                <w:b/>
                <w:szCs w:val="22"/>
              </w:rPr>
              <w:t>=</w:t>
            </w:r>
            <w:r w:rsidR="006707FD" w:rsidRPr="00823BDC">
              <w:rPr>
                <w:b/>
                <w:szCs w:val="22"/>
              </w:rPr>
              <w:t> </w:t>
            </w:r>
            <w:r w:rsidR="00C16A33" w:rsidRPr="00823BDC">
              <w:rPr>
                <w:b/>
                <w:szCs w:val="22"/>
              </w:rPr>
              <w:t>9</w:t>
            </w:r>
            <w:r w:rsidR="005C22C9" w:rsidRPr="00823BDC">
              <w:rPr>
                <w:b/>
                <w:szCs w:val="22"/>
              </w:rPr>
              <w:t> </w:t>
            </w:r>
            <w:r w:rsidR="00C16A33" w:rsidRPr="00823BDC">
              <w:rPr>
                <w:b/>
                <w:szCs w:val="22"/>
              </w:rPr>
              <w:t>077)</w:t>
            </w:r>
          </w:p>
        </w:tc>
        <w:tc>
          <w:tcPr>
            <w:tcW w:w="890" w:type="pct"/>
            <w:tcBorders>
              <w:top w:val="single" w:sz="18" w:space="0" w:color="auto"/>
            </w:tcBorders>
            <w:shd w:val="clear" w:color="auto" w:fill="auto"/>
          </w:tcPr>
          <w:p w14:paraId="255CFDB4" w14:textId="77777777" w:rsidR="00C16A33" w:rsidRPr="00823BDC" w:rsidRDefault="005C22C9">
            <w:pPr>
              <w:tabs>
                <w:tab w:val="left" w:pos="567"/>
              </w:tabs>
              <w:jc w:val="center"/>
              <w:rPr>
                <w:b/>
                <w:szCs w:val="22"/>
              </w:rPr>
            </w:pPr>
            <w:r w:rsidRPr="00823BDC">
              <w:rPr>
                <w:b/>
                <w:szCs w:val="22"/>
              </w:rPr>
              <w:t>Pomer rizika</w:t>
            </w:r>
            <w:r w:rsidR="00C16A33" w:rsidRPr="00823BDC">
              <w:rPr>
                <w:b/>
                <w:szCs w:val="22"/>
              </w:rPr>
              <w:br/>
              <w:t>(95</w:t>
            </w:r>
            <w:r w:rsidRPr="00823BDC">
              <w:rPr>
                <w:b/>
                <w:szCs w:val="22"/>
              </w:rPr>
              <w:t> </w:t>
            </w:r>
            <w:r w:rsidR="00C16A33" w:rsidRPr="00823BDC">
              <w:rPr>
                <w:b/>
                <w:szCs w:val="22"/>
              </w:rPr>
              <w:t xml:space="preserve">% </w:t>
            </w:r>
            <w:r w:rsidRPr="00823BDC">
              <w:rPr>
                <w:b/>
                <w:szCs w:val="22"/>
              </w:rPr>
              <w:t>IS</w:t>
            </w:r>
            <w:r w:rsidR="00C16A33" w:rsidRPr="00823BDC">
              <w:rPr>
                <w:b/>
                <w:szCs w:val="22"/>
              </w:rPr>
              <w:t>)</w:t>
            </w:r>
          </w:p>
        </w:tc>
        <w:tc>
          <w:tcPr>
            <w:tcW w:w="467" w:type="pct"/>
            <w:tcBorders>
              <w:top w:val="single" w:sz="18" w:space="0" w:color="auto"/>
            </w:tcBorders>
            <w:shd w:val="clear" w:color="auto" w:fill="auto"/>
          </w:tcPr>
          <w:p w14:paraId="7B7DAE11" w14:textId="77777777" w:rsidR="00C16A33" w:rsidRPr="00823BDC" w:rsidRDefault="005C22C9">
            <w:pPr>
              <w:tabs>
                <w:tab w:val="left" w:pos="567"/>
              </w:tabs>
              <w:jc w:val="center"/>
              <w:rPr>
                <w:b/>
                <w:szCs w:val="22"/>
              </w:rPr>
            </w:pPr>
            <w:r w:rsidRPr="00823BDC">
              <w:rPr>
                <w:b/>
                <w:szCs w:val="22"/>
              </w:rPr>
              <w:t>Hodnota p</w:t>
            </w:r>
          </w:p>
        </w:tc>
      </w:tr>
      <w:tr w:rsidR="00C16A33" w:rsidRPr="00823BDC" w14:paraId="63EC4C38" w14:textId="77777777" w:rsidTr="00F94B6C">
        <w:trPr>
          <w:tblHeader/>
          <w:jc w:val="center"/>
        </w:trPr>
        <w:tc>
          <w:tcPr>
            <w:tcW w:w="1761" w:type="pct"/>
            <w:tcBorders>
              <w:bottom w:val="single" w:sz="18" w:space="0" w:color="auto"/>
            </w:tcBorders>
            <w:shd w:val="clear" w:color="auto" w:fill="auto"/>
          </w:tcPr>
          <w:p w14:paraId="4C8DB8F0" w14:textId="77777777" w:rsidR="00C16A33" w:rsidRPr="00823BDC" w:rsidRDefault="00C16A33" w:rsidP="00F004C3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491" w:type="pct"/>
            <w:tcBorders>
              <w:bottom w:val="single" w:sz="18" w:space="0" w:color="auto"/>
            </w:tcBorders>
            <w:shd w:val="clear" w:color="auto" w:fill="auto"/>
          </w:tcPr>
          <w:p w14:paraId="73FCAA4C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n</w:t>
            </w:r>
          </w:p>
        </w:tc>
        <w:tc>
          <w:tcPr>
            <w:tcW w:w="494" w:type="pct"/>
            <w:tcBorders>
              <w:bottom w:val="single" w:sz="18" w:space="0" w:color="auto"/>
            </w:tcBorders>
            <w:shd w:val="clear" w:color="auto" w:fill="auto"/>
          </w:tcPr>
          <w:p w14:paraId="3F1E2104" w14:textId="5EA50FFB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K-M</w:t>
            </w:r>
            <w:r w:rsidR="00CE1815" w:rsidRPr="00823BDC">
              <w:rPr>
                <w:szCs w:val="22"/>
              </w:rPr>
              <w:t xml:space="preserve"> (</w:t>
            </w:r>
            <w:r w:rsidRPr="00823BDC">
              <w:rPr>
                <w:szCs w:val="22"/>
              </w:rPr>
              <w:t>%</w:t>
            </w:r>
            <w:r w:rsidR="00CE1815" w:rsidRPr="00823BDC">
              <w:rPr>
                <w:szCs w:val="22"/>
              </w:rPr>
              <w:t>)</w:t>
            </w:r>
            <w:r w:rsidRPr="00823BDC">
              <w:rPr>
                <w:szCs w:val="22"/>
                <w:vertAlign w:val="superscript"/>
              </w:rPr>
              <w:t>c</w:t>
            </w:r>
          </w:p>
        </w:tc>
        <w:tc>
          <w:tcPr>
            <w:tcW w:w="425" w:type="pct"/>
            <w:tcBorders>
              <w:bottom w:val="single" w:sz="18" w:space="0" w:color="auto"/>
            </w:tcBorders>
            <w:shd w:val="clear" w:color="auto" w:fill="auto"/>
          </w:tcPr>
          <w:p w14:paraId="01E57697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n</w:t>
            </w:r>
          </w:p>
        </w:tc>
        <w:tc>
          <w:tcPr>
            <w:tcW w:w="471" w:type="pct"/>
            <w:tcBorders>
              <w:bottom w:val="single" w:sz="18" w:space="0" w:color="auto"/>
            </w:tcBorders>
            <w:shd w:val="clear" w:color="auto" w:fill="auto"/>
          </w:tcPr>
          <w:p w14:paraId="5B03340E" w14:textId="7D6307C4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K-M</w:t>
            </w:r>
            <w:r w:rsidR="00CE1815" w:rsidRPr="00823BDC">
              <w:rPr>
                <w:szCs w:val="22"/>
              </w:rPr>
              <w:t xml:space="preserve"> (</w:t>
            </w:r>
            <w:r w:rsidRPr="00823BDC">
              <w:rPr>
                <w:szCs w:val="22"/>
              </w:rPr>
              <w:t>%</w:t>
            </w:r>
            <w:r w:rsidR="00CE1815" w:rsidRPr="00823BDC">
              <w:rPr>
                <w:szCs w:val="22"/>
              </w:rPr>
              <w:t>)</w:t>
            </w:r>
            <w:r w:rsidRPr="00823BDC">
              <w:rPr>
                <w:szCs w:val="22"/>
                <w:vertAlign w:val="superscript"/>
              </w:rPr>
              <w:t>c</w:t>
            </w:r>
          </w:p>
        </w:tc>
        <w:tc>
          <w:tcPr>
            <w:tcW w:w="890" w:type="pct"/>
            <w:tcBorders>
              <w:bottom w:val="single" w:sz="18" w:space="0" w:color="auto"/>
            </w:tcBorders>
            <w:shd w:val="clear" w:color="auto" w:fill="auto"/>
          </w:tcPr>
          <w:p w14:paraId="24F0D595" w14:textId="77777777" w:rsidR="00C16A33" w:rsidRPr="00823BDC" w:rsidRDefault="00C16A33" w:rsidP="005332CD">
            <w:pPr>
              <w:tabs>
                <w:tab w:val="left" w:pos="567"/>
              </w:tabs>
              <w:jc w:val="center"/>
              <w:rPr>
                <w:szCs w:val="22"/>
              </w:rPr>
            </w:pPr>
          </w:p>
        </w:tc>
        <w:tc>
          <w:tcPr>
            <w:tcW w:w="467" w:type="pct"/>
            <w:tcBorders>
              <w:bottom w:val="single" w:sz="18" w:space="0" w:color="auto"/>
            </w:tcBorders>
            <w:shd w:val="clear" w:color="auto" w:fill="auto"/>
          </w:tcPr>
          <w:p w14:paraId="463E6D1A" w14:textId="77777777" w:rsidR="00C16A33" w:rsidRPr="00823BDC" w:rsidRDefault="00C16A33">
            <w:pPr>
              <w:tabs>
                <w:tab w:val="left" w:pos="567"/>
              </w:tabs>
              <w:jc w:val="center"/>
              <w:rPr>
                <w:szCs w:val="22"/>
              </w:rPr>
            </w:pPr>
          </w:p>
        </w:tc>
      </w:tr>
      <w:tr w:rsidR="00C16A33" w:rsidRPr="00823BDC" w14:paraId="38C22ACB" w14:textId="77777777" w:rsidTr="00314158">
        <w:trPr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B34EF02" w14:textId="77777777" w:rsidR="00C16A33" w:rsidRPr="00823BDC" w:rsidRDefault="00A84927" w:rsidP="00F004C3">
            <w:pPr>
              <w:keepNext/>
              <w:tabs>
                <w:tab w:val="left" w:pos="567"/>
              </w:tabs>
              <w:rPr>
                <w:szCs w:val="22"/>
              </w:rPr>
            </w:pPr>
            <w:r w:rsidRPr="00823BDC">
              <w:rPr>
                <w:b/>
                <w:color w:val="000000"/>
                <w:szCs w:val="22"/>
              </w:rPr>
              <w:t>Primárny zložený cieľový ukazovateľ účinnosti</w:t>
            </w:r>
          </w:p>
        </w:tc>
      </w:tr>
      <w:tr w:rsidR="00C16A33" w:rsidRPr="00823BDC" w14:paraId="236DD1CB" w14:textId="77777777" w:rsidTr="00314158">
        <w:trPr>
          <w:jc w:val="center"/>
        </w:trPr>
        <w:tc>
          <w:tcPr>
            <w:tcW w:w="176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BF08C62" w14:textId="77777777" w:rsidR="00C16A33" w:rsidRPr="00823BDC" w:rsidRDefault="00C16A33" w:rsidP="00F004C3">
            <w:pPr>
              <w:tabs>
                <w:tab w:val="left" w:pos="567"/>
              </w:tabs>
              <w:rPr>
                <w:szCs w:val="22"/>
              </w:rPr>
            </w:pPr>
            <w:r w:rsidRPr="00823BDC">
              <w:rPr>
                <w:color w:val="000000"/>
                <w:szCs w:val="22"/>
              </w:rPr>
              <w:t>(</w:t>
            </w:r>
            <w:r w:rsidR="00A84927" w:rsidRPr="00823BDC">
              <w:rPr>
                <w:color w:val="000000"/>
                <w:szCs w:val="22"/>
              </w:rPr>
              <w:t>KV úmrtie</w:t>
            </w:r>
            <w:r w:rsidRPr="00823BDC">
              <w:rPr>
                <w:color w:val="000000"/>
                <w:szCs w:val="22"/>
              </w:rPr>
              <w:t xml:space="preserve">, </w:t>
            </w:r>
            <w:r w:rsidR="001F5EB4" w:rsidRPr="00823BDC">
              <w:rPr>
                <w:color w:val="000000"/>
                <w:szCs w:val="22"/>
              </w:rPr>
              <w:t>veľké koronárne príhody</w:t>
            </w:r>
            <w:r w:rsidRPr="00823BDC">
              <w:rPr>
                <w:color w:val="000000"/>
                <w:szCs w:val="22"/>
              </w:rPr>
              <w:t xml:space="preserve"> </w:t>
            </w:r>
            <w:r w:rsidR="00A84927" w:rsidRPr="00823BDC">
              <w:rPr>
                <w:color w:val="000000"/>
                <w:szCs w:val="22"/>
              </w:rPr>
              <w:t>a nefatálna cievna mozgová príhoda</w:t>
            </w:r>
            <w:r w:rsidRPr="00823BDC">
              <w:rPr>
                <w:color w:val="000000"/>
                <w:szCs w:val="22"/>
              </w:rPr>
              <w:t>)</w:t>
            </w:r>
          </w:p>
        </w:tc>
        <w:tc>
          <w:tcPr>
            <w:tcW w:w="49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6464EE4" w14:textId="77777777" w:rsidR="00C16A33" w:rsidRPr="00823BDC" w:rsidRDefault="00C16A33" w:rsidP="000E2387">
            <w:pPr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2</w:t>
            </w:r>
            <w:r w:rsidR="00B46157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572</w:t>
            </w:r>
          </w:p>
        </w:tc>
        <w:tc>
          <w:tcPr>
            <w:tcW w:w="49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4D38A6" w14:textId="0AF0F042" w:rsidR="00C16A33" w:rsidRPr="00823BDC" w:rsidRDefault="00C16A33" w:rsidP="000E2387">
            <w:pPr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32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72</w:t>
            </w:r>
          </w:p>
        </w:tc>
        <w:tc>
          <w:tcPr>
            <w:tcW w:w="42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7831E82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2</w:t>
            </w:r>
            <w:r w:rsidR="00B46157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742</w:t>
            </w:r>
          </w:p>
        </w:tc>
        <w:tc>
          <w:tcPr>
            <w:tcW w:w="47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C3631C7" w14:textId="53B22EFA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34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67</w:t>
            </w:r>
          </w:p>
        </w:tc>
        <w:tc>
          <w:tcPr>
            <w:tcW w:w="89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6205CE2" w14:textId="51FAA75A" w:rsidR="00C16A33" w:rsidRPr="00A843D5" w:rsidRDefault="00C16A33" w:rsidP="00A843D5">
            <w:pPr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936 (0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887</w:t>
            </w:r>
            <w:r w:rsidR="00CE1815" w:rsidRPr="00823BDC">
              <w:rPr>
                <w:szCs w:val="22"/>
              </w:rPr>
              <w:t> </w:t>
            </w:r>
            <w:r w:rsidR="00A843D5">
              <w:rPr>
                <w:szCs w:val="22"/>
              </w:rPr>
              <w:t>–</w:t>
            </w:r>
            <w:r w:rsidR="00CE1815" w:rsidRPr="00A843D5">
              <w:rPr>
                <w:szCs w:val="22"/>
              </w:rPr>
              <w:t> </w:t>
            </w:r>
            <w:r w:rsidRPr="00A843D5">
              <w:rPr>
                <w:szCs w:val="22"/>
              </w:rPr>
              <w:t>0</w:t>
            </w:r>
            <w:r w:rsidR="00B46157" w:rsidRPr="00A843D5">
              <w:rPr>
                <w:szCs w:val="22"/>
              </w:rPr>
              <w:t>,</w:t>
            </w:r>
            <w:r w:rsidRPr="00A843D5">
              <w:rPr>
                <w:szCs w:val="22"/>
              </w:rPr>
              <w:t>988)</w:t>
            </w:r>
          </w:p>
        </w:tc>
        <w:tc>
          <w:tcPr>
            <w:tcW w:w="46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2982FC9" w14:textId="77777777" w:rsidR="00C16A33" w:rsidRPr="00AA7838" w:rsidRDefault="00C16A33" w:rsidP="005332C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AA7838">
              <w:rPr>
                <w:szCs w:val="22"/>
              </w:rPr>
              <w:t>0</w:t>
            </w:r>
            <w:r w:rsidR="00B46157" w:rsidRPr="00AA7838">
              <w:rPr>
                <w:szCs w:val="22"/>
              </w:rPr>
              <w:t>,</w:t>
            </w:r>
            <w:r w:rsidRPr="00AA7838">
              <w:rPr>
                <w:szCs w:val="22"/>
              </w:rPr>
              <w:t>016</w:t>
            </w:r>
          </w:p>
        </w:tc>
      </w:tr>
      <w:tr w:rsidR="00C16A33" w:rsidRPr="00823BDC" w14:paraId="33F6CE59" w14:textId="77777777" w:rsidTr="00314158">
        <w:trPr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60CD3" w14:textId="77777777" w:rsidR="00C16A33" w:rsidRPr="00823BDC" w:rsidRDefault="00A84927" w:rsidP="00F004C3">
            <w:pPr>
              <w:keepNext/>
              <w:tabs>
                <w:tab w:val="left" w:pos="567"/>
              </w:tabs>
              <w:rPr>
                <w:szCs w:val="22"/>
              </w:rPr>
            </w:pPr>
            <w:r w:rsidRPr="00823BDC">
              <w:rPr>
                <w:b/>
                <w:color w:val="000000"/>
                <w:szCs w:val="22"/>
              </w:rPr>
              <w:t>Sekundárny</w:t>
            </w:r>
            <w:r w:rsidR="006707FD" w:rsidRPr="00823BDC">
              <w:rPr>
                <w:b/>
                <w:color w:val="000000"/>
                <w:szCs w:val="22"/>
              </w:rPr>
              <w:t xml:space="preserve"> zložený</w:t>
            </w:r>
            <w:r w:rsidRPr="00823BDC">
              <w:rPr>
                <w:b/>
                <w:color w:val="000000"/>
                <w:szCs w:val="22"/>
              </w:rPr>
              <w:t xml:space="preserve"> cieľový ukazovateľ účinnosti</w:t>
            </w:r>
          </w:p>
        </w:tc>
      </w:tr>
      <w:tr w:rsidR="00C16A33" w:rsidRPr="00823BDC" w14:paraId="339FFC1E" w14:textId="77777777" w:rsidTr="00314158">
        <w:trPr>
          <w:jc w:val="center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7020D" w14:textId="77777777" w:rsidR="00C16A33" w:rsidRPr="00823BDC" w:rsidRDefault="00B42BC0" w:rsidP="00F004C3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823BDC">
              <w:rPr>
                <w:color w:val="000000"/>
                <w:szCs w:val="22"/>
              </w:rPr>
              <w:t xml:space="preserve">Úmrtie z dôvodu </w:t>
            </w:r>
            <w:r w:rsidR="00524B24" w:rsidRPr="00823BDC">
              <w:rPr>
                <w:color w:val="000000"/>
                <w:szCs w:val="22"/>
              </w:rPr>
              <w:t>K</w:t>
            </w:r>
            <w:r w:rsidRPr="00823BDC">
              <w:rPr>
                <w:color w:val="000000"/>
                <w:szCs w:val="22"/>
              </w:rPr>
              <w:t>CH</w:t>
            </w:r>
            <w:r w:rsidR="00524B24" w:rsidRPr="00823BDC">
              <w:rPr>
                <w:color w:val="000000"/>
                <w:szCs w:val="22"/>
              </w:rPr>
              <w:t>S</w:t>
            </w:r>
            <w:r w:rsidR="00C16A33" w:rsidRPr="00823BDC">
              <w:rPr>
                <w:color w:val="000000"/>
                <w:szCs w:val="22"/>
              </w:rPr>
              <w:t xml:space="preserve">, </w:t>
            </w:r>
            <w:r w:rsidR="00524B24" w:rsidRPr="00823BDC">
              <w:rPr>
                <w:color w:val="000000"/>
                <w:szCs w:val="22"/>
              </w:rPr>
              <w:t>nefatálny IM</w:t>
            </w:r>
            <w:r w:rsidR="00C16A33" w:rsidRPr="00823BDC">
              <w:rPr>
                <w:color w:val="000000"/>
                <w:szCs w:val="22"/>
              </w:rPr>
              <w:t xml:space="preserve">, </w:t>
            </w:r>
            <w:r w:rsidR="00DF3BF9" w:rsidRPr="00823BDC">
              <w:rPr>
                <w:color w:val="000000"/>
                <w:szCs w:val="22"/>
              </w:rPr>
              <w:t xml:space="preserve">urgentná </w:t>
            </w:r>
            <w:r w:rsidR="00524B24" w:rsidRPr="00823BDC">
              <w:rPr>
                <w:color w:val="000000"/>
                <w:szCs w:val="22"/>
              </w:rPr>
              <w:t xml:space="preserve">koronárna </w:t>
            </w:r>
            <w:proofErr w:type="spellStart"/>
            <w:r w:rsidR="00524B24" w:rsidRPr="00823BDC">
              <w:rPr>
                <w:color w:val="000000"/>
                <w:szCs w:val="22"/>
              </w:rPr>
              <w:t>revaskularizácia</w:t>
            </w:r>
            <w:proofErr w:type="spellEnd"/>
            <w:r w:rsidR="00524B24" w:rsidRPr="00823BDC">
              <w:rPr>
                <w:color w:val="000000"/>
                <w:szCs w:val="22"/>
              </w:rPr>
              <w:t xml:space="preserve"> po 30 dňoch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67EC6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</w:t>
            </w:r>
            <w:r w:rsidR="00B46157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322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A2170" w14:textId="60525928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17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52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17F4E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</w:t>
            </w:r>
            <w:r w:rsidR="00B46157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448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DC752" w14:textId="11C7B705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18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88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49BE3" w14:textId="622F7FCD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912 (0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847</w:t>
            </w:r>
            <w:r w:rsidR="00CE1815" w:rsidRPr="00823BDC">
              <w:rPr>
                <w:szCs w:val="22"/>
              </w:rPr>
              <w:t> </w:t>
            </w:r>
            <w:r w:rsidR="00F24D6A">
              <w:rPr>
                <w:szCs w:val="22"/>
              </w:rPr>
              <w:t>–</w:t>
            </w:r>
            <w:r w:rsidR="00CE1815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0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983)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D1A20" w14:textId="77777777" w:rsidR="00C16A33" w:rsidRPr="00823BDC" w:rsidRDefault="00C16A33" w:rsidP="005332C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016</w:t>
            </w:r>
          </w:p>
        </w:tc>
      </w:tr>
      <w:tr w:rsidR="00C16A33" w:rsidRPr="00823BDC" w14:paraId="4E714A0E" w14:textId="77777777" w:rsidTr="00314158">
        <w:trPr>
          <w:jc w:val="center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7D11C" w14:textId="77777777" w:rsidR="00C16A33" w:rsidRPr="00823BDC" w:rsidRDefault="00C16A33" w:rsidP="00F004C3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823BDC">
              <w:rPr>
                <w:color w:val="000000"/>
                <w:szCs w:val="22"/>
              </w:rPr>
              <w:t xml:space="preserve">MCE, </w:t>
            </w:r>
            <w:r w:rsidR="00524B24" w:rsidRPr="00823BDC">
              <w:rPr>
                <w:color w:val="000000"/>
                <w:szCs w:val="22"/>
              </w:rPr>
              <w:t>nefatálna cievna mozgová príhoda</w:t>
            </w:r>
            <w:r w:rsidRPr="00823BDC">
              <w:rPr>
                <w:color w:val="000000"/>
                <w:szCs w:val="22"/>
              </w:rPr>
              <w:t xml:space="preserve">, </w:t>
            </w:r>
            <w:r w:rsidR="00524B24" w:rsidRPr="00823BDC">
              <w:rPr>
                <w:color w:val="000000"/>
                <w:szCs w:val="22"/>
              </w:rPr>
              <w:t>úmrtie</w:t>
            </w:r>
            <w:r w:rsidRPr="00823BDC">
              <w:rPr>
                <w:color w:val="000000"/>
                <w:szCs w:val="22"/>
              </w:rPr>
              <w:t xml:space="preserve"> (</w:t>
            </w:r>
            <w:r w:rsidR="00524B24" w:rsidRPr="00823BDC">
              <w:rPr>
                <w:color w:val="000000"/>
                <w:szCs w:val="22"/>
              </w:rPr>
              <w:t>všetky príčiny</w:t>
            </w:r>
            <w:r w:rsidRPr="00823BDC">
              <w:rPr>
                <w:color w:val="000000"/>
                <w:szCs w:val="22"/>
              </w:rPr>
              <w:t>)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DDA38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3</w:t>
            </w:r>
            <w:r w:rsidR="00B46157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089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94EEB" w14:textId="5B8F6542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38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65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5462C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3</w:t>
            </w:r>
            <w:r w:rsidR="00B46157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246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1AD53" w14:textId="704AA696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40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25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30A7D" w14:textId="57B3BB7D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948 (0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903</w:t>
            </w:r>
            <w:r w:rsidR="00CE1815" w:rsidRPr="00823BDC">
              <w:rPr>
                <w:szCs w:val="22"/>
              </w:rPr>
              <w:t> </w:t>
            </w:r>
            <w:r w:rsidR="00F24D6A">
              <w:rPr>
                <w:szCs w:val="22"/>
              </w:rPr>
              <w:t>–</w:t>
            </w:r>
            <w:r w:rsidR="00CE1815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0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996)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6463C" w14:textId="77777777" w:rsidR="00C16A33" w:rsidRPr="00823BDC" w:rsidRDefault="00C16A33" w:rsidP="005332C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035</w:t>
            </w:r>
          </w:p>
        </w:tc>
      </w:tr>
      <w:tr w:rsidR="00C16A33" w:rsidRPr="00823BDC" w14:paraId="661D0E02" w14:textId="77777777" w:rsidTr="00314158">
        <w:trPr>
          <w:jc w:val="center"/>
        </w:trPr>
        <w:tc>
          <w:tcPr>
            <w:tcW w:w="1761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32E841" w14:textId="77777777" w:rsidR="00C16A33" w:rsidRPr="00823BDC" w:rsidRDefault="00524B24" w:rsidP="00F004C3">
            <w:pPr>
              <w:tabs>
                <w:tab w:val="left" w:pos="567"/>
              </w:tabs>
              <w:rPr>
                <w:color w:val="000000"/>
                <w:szCs w:val="22"/>
              </w:rPr>
            </w:pPr>
            <w:r w:rsidRPr="00823BDC">
              <w:rPr>
                <w:szCs w:val="22"/>
              </w:rPr>
              <w:t>K</w:t>
            </w:r>
            <w:r w:rsidR="00C16A33" w:rsidRPr="00823BDC">
              <w:rPr>
                <w:szCs w:val="22"/>
              </w:rPr>
              <w:t xml:space="preserve">V </w:t>
            </w:r>
            <w:r w:rsidRPr="00823BDC">
              <w:rPr>
                <w:szCs w:val="22"/>
              </w:rPr>
              <w:t>úmrtie</w:t>
            </w:r>
            <w:r w:rsidR="00C16A33" w:rsidRPr="00823BDC">
              <w:rPr>
                <w:szCs w:val="22"/>
              </w:rPr>
              <w:t xml:space="preserve">, </w:t>
            </w:r>
            <w:r w:rsidRPr="00823BDC">
              <w:rPr>
                <w:szCs w:val="22"/>
              </w:rPr>
              <w:t>nefatálny IM</w:t>
            </w:r>
            <w:r w:rsidR="00C16A33" w:rsidRPr="00823BDC">
              <w:rPr>
                <w:szCs w:val="22"/>
              </w:rPr>
              <w:t xml:space="preserve">, </w:t>
            </w:r>
            <w:r w:rsidRPr="00823BDC">
              <w:rPr>
                <w:szCs w:val="22"/>
              </w:rPr>
              <w:t xml:space="preserve">nestabilná angína </w:t>
            </w:r>
            <w:proofErr w:type="spellStart"/>
            <w:r w:rsidRPr="00823BDC">
              <w:rPr>
                <w:szCs w:val="22"/>
              </w:rPr>
              <w:t>pe</w:t>
            </w:r>
            <w:r w:rsidR="00E415FA" w:rsidRPr="00823BDC">
              <w:rPr>
                <w:szCs w:val="22"/>
              </w:rPr>
              <w:t>k</w:t>
            </w:r>
            <w:r w:rsidRPr="00823BDC">
              <w:rPr>
                <w:szCs w:val="22"/>
              </w:rPr>
              <w:t>toris</w:t>
            </w:r>
            <w:proofErr w:type="spellEnd"/>
            <w:r w:rsidRPr="00823BDC">
              <w:rPr>
                <w:szCs w:val="22"/>
              </w:rPr>
              <w:t xml:space="preserve"> vyžadujúca hospitalizáciu</w:t>
            </w:r>
            <w:r w:rsidR="00C16A33" w:rsidRPr="00823BDC">
              <w:rPr>
                <w:szCs w:val="22"/>
              </w:rPr>
              <w:t xml:space="preserve">, </w:t>
            </w:r>
            <w:r w:rsidRPr="00823BDC">
              <w:rPr>
                <w:szCs w:val="22"/>
              </w:rPr>
              <w:t xml:space="preserve">akákoľvek </w:t>
            </w:r>
            <w:proofErr w:type="spellStart"/>
            <w:r w:rsidRPr="00823BDC">
              <w:rPr>
                <w:szCs w:val="22"/>
              </w:rPr>
              <w:t>revaskularizácia</w:t>
            </w:r>
            <w:proofErr w:type="spellEnd"/>
            <w:r w:rsidR="00C16A33" w:rsidRPr="00823BDC">
              <w:rPr>
                <w:szCs w:val="22"/>
              </w:rPr>
              <w:t xml:space="preserve">, </w:t>
            </w:r>
            <w:r w:rsidRPr="00823BDC">
              <w:rPr>
                <w:szCs w:val="22"/>
              </w:rPr>
              <w:t>nefatálna cievna mozgová príhoda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B04F868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2</w:t>
            </w:r>
            <w:r w:rsidR="00B46157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716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BA6BC0" w14:textId="38A9539C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34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49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C4608C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2</w:t>
            </w:r>
            <w:r w:rsidR="00B46157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869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B88C64" w14:textId="45945F73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36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20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CEE8E47" w14:textId="78F43584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945 (0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897</w:t>
            </w:r>
            <w:r w:rsidR="00CE1815" w:rsidRPr="00823BDC">
              <w:rPr>
                <w:szCs w:val="22"/>
              </w:rPr>
              <w:t> </w:t>
            </w:r>
            <w:r w:rsidR="00F24D6A">
              <w:rPr>
                <w:szCs w:val="22"/>
              </w:rPr>
              <w:t>–</w:t>
            </w:r>
            <w:r w:rsidR="00CE1815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0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996)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D50B3D" w14:textId="77777777" w:rsidR="00C16A33" w:rsidRPr="00823BDC" w:rsidRDefault="00C16A33" w:rsidP="005332C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035</w:t>
            </w:r>
          </w:p>
        </w:tc>
      </w:tr>
      <w:tr w:rsidR="00C16A33" w:rsidRPr="00823BDC" w14:paraId="74D5D6CB" w14:textId="77777777" w:rsidTr="00314158">
        <w:trPr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F3D78" w14:textId="77777777" w:rsidR="00C16A33" w:rsidRPr="00823BDC" w:rsidRDefault="00040242" w:rsidP="00F004C3">
            <w:pPr>
              <w:keepNext/>
              <w:tabs>
                <w:tab w:val="left" w:pos="567"/>
              </w:tabs>
              <w:rPr>
                <w:szCs w:val="22"/>
              </w:rPr>
            </w:pPr>
            <w:r w:rsidRPr="00823BDC">
              <w:rPr>
                <w:b/>
                <w:bCs/>
                <w:color w:val="000000"/>
                <w:szCs w:val="22"/>
              </w:rPr>
              <w:t xml:space="preserve">Zložky primárneho zloženého cieľového ukazovateľa a vybrané </w:t>
            </w:r>
            <w:r w:rsidRPr="00823BDC">
              <w:rPr>
                <w:b/>
                <w:color w:val="000000"/>
                <w:szCs w:val="22"/>
              </w:rPr>
              <w:t>cieľové ukazovatele účinnosti</w:t>
            </w:r>
            <w:r w:rsidRPr="00823BDC">
              <w:rPr>
                <w:b/>
                <w:bCs/>
                <w:color w:val="000000"/>
                <w:szCs w:val="22"/>
              </w:rPr>
              <w:t xml:space="preserve"> </w:t>
            </w:r>
            <w:r w:rsidR="00C16A33" w:rsidRPr="00823BDC">
              <w:rPr>
                <w:bCs/>
                <w:color w:val="000000"/>
                <w:szCs w:val="22"/>
              </w:rPr>
              <w:t>(</w:t>
            </w:r>
            <w:r w:rsidRPr="00823BDC">
              <w:rPr>
                <w:bCs/>
                <w:color w:val="000000"/>
                <w:szCs w:val="22"/>
              </w:rPr>
              <w:t>prvý výskyt špecifik</w:t>
            </w:r>
            <w:r w:rsidR="00F011B9" w:rsidRPr="00823BDC">
              <w:rPr>
                <w:bCs/>
                <w:color w:val="000000"/>
                <w:szCs w:val="22"/>
              </w:rPr>
              <w:t>ovan</w:t>
            </w:r>
            <w:r w:rsidRPr="00823BDC">
              <w:rPr>
                <w:bCs/>
                <w:color w:val="000000"/>
                <w:szCs w:val="22"/>
              </w:rPr>
              <w:t>ej príhody v akomkoľvek čase</w:t>
            </w:r>
            <w:r w:rsidR="00C16A33" w:rsidRPr="00823BDC">
              <w:rPr>
                <w:bCs/>
                <w:color w:val="000000"/>
                <w:szCs w:val="22"/>
              </w:rPr>
              <w:t>)</w:t>
            </w:r>
          </w:p>
        </w:tc>
      </w:tr>
      <w:tr w:rsidR="00C16A33" w:rsidRPr="00823BDC" w14:paraId="00025557" w14:textId="77777777" w:rsidTr="00314158">
        <w:trPr>
          <w:jc w:val="center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E1E69" w14:textId="77777777" w:rsidR="00C16A33" w:rsidRPr="00823BDC" w:rsidRDefault="001F5EB4" w:rsidP="00F004C3">
            <w:pPr>
              <w:keepNext/>
              <w:tabs>
                <w:tab w:val="left" w:pos="567"/>
              </w:tabs>
              <w:rPr>
                <w:b/>
                <w:bCs/>
                <w:color w:val="000000"/>
                <w:szCs w:val="22"/>
              </w:rPr>
            </w:pPr>
            <w:r w:rsidRPr="00823BDC">
              <w:rPr>
                <w:color w:val="000000"/>
                <w:szCs w:val="22"/>
              </w:rPr>
              <w:t>Kardiovaskulárne úmrtie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174F1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537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01060" w14:textId="1FCF6932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6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89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11003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538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01477" w14:textId="6638D40B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6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84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DD6BF" w14:textId="7DEB46AE" w:rsidR="00C16A33" w:rsidRPr="00823BDC" w:rsidRDefault="00C16A33" w:rsidP="005332CD">
            <w:pPr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000 (0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887</w:t>
            </w:r>
            <w:r w:rsidR="00F24D6A">
              <w:rPr>
                <w:szCs w:val="22"/>
              </w:rPr>
              <w:t> – </w:t>
            </w:r>
            <w:r w:rsidR="002470D1" w:rsidRPr="00823BDC">
              <w:rPr>
                <w:szCs w:val="22"/>
              </w:rPr>
              <w:t>1,127)</w:t>
            </w:r>
            <w:r w:rsidRPr="00823BDC">
              <w:rPr>
                <w:szCs w:val="22"/>
              </w:rPr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43C19" w14:textId="77777777" w:rsidR="00C16A33" w:rsidRPr="00823BDC" w:rsidRDefault="00C16A33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997</w:t>
            </w:r>
          </w:p>
        </w:tc>
      </w:tr>
      <w:tr w:rsidR="00C16A33" w:rsidRPr="00823BDC" w14:paraId="2BCBD81C" w14:textId="77777777" w:rsidTr="00314158">
        <w:trPr>
          <w:jc w:val="center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09E4E" w14:textId="77777777" w:rsidR="00C16A33" w:rsidRPr="00823BDC" w:rsidRDefault="001F5EB4" w:rsidP="00F004C3">
            <w:pPr>
              <w:keepNext/>
              <w:tabs>
                <w:tab w:val="left" w:pos="567"/>
              </w:tabs>
              <w:rPr>
                <w:b/>
                <w:bCs/>
                <w:color w:val="000000"/>
                <w:szCs w:val="22"/>
              </w:rPr>
            </w:pPr>
            <w:r w:rsidRPr="00823BDC">
              <w:rPr>
                <w:szCs w:val="22"/>
              </w:rPr>
              <w:t>Veľká koronárna príhoda</w:t>
            </w:r>
            <w:r w:rsidR="00C16A33" w:rsidRPr="00823BDC">
              <w:rPr>
                <w:szCs w:val="22"/>
              </w:rPr>
              <w:t>: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FCE9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477E5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872C4" w14:textId="77777777" w:rsidR="00C16A33" w:rsidRPr="00823BDC" w:rsidRDefault="00C16A33" w:rsidP="005332CD">
            <w:pPr>
              <w:tabs>
                <w:tab w:val="left" w:pos="567"/>
              </w:tabs>
              <w:jc w:val="center"/>
              <w:rPr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7BC99" w14:textId="77777777" w:rsidR="00C16A33" w:rsidRPr="00823BDC" w:rsidRDefault="00C16A33">
            <w:pPr>
              <w:tabs>
                <w:tab w:val="left" w:pos="567"/>
              </w:tabs>
              <w:jc w:val="center"/>
              <w:rPr>
                <w:szCs w:val="22"/>
              </w:rPr>
            </w:pP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AE291" w14:textId="77777777" w:rsidR="00C16A33" w:rsidRPr="00823BDC" w:rsidRDefault="00C16A33">
            <w:pPr>
              <w:tabs>
                <w:tab w:val="left" w:pos="567"/>
              </w:tabs>
              <w:jc w:val="center"/>
              <w:rPr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2BC3A" w14:textId="77777777" w:rsidR="00C16A33" w:rsidRPr="00823BDC" w:rsidRDefault="00C16A33">
            <w:pPr>
              <w:tabs>
                <w:tab w:val="left" w:pos="567"/>
              </w:tabs>
              <w:jc w:val="center"/>
              <w:rPr>
                <w:szCs w:val="22"/>
              </w:rPr>
            </w:pPr>
          </w:p>
        </w:tc>
      </w:tr>
      <w:tr w:rsidR="00C16A33" w:rsidRPr="00823BDC" w14:paraId="46EDB582" w14:textId="77777777" w:rsidTr="00314158">
        <w:trPr>
          <w:jc w:val="center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E783F" w14:textId="77777777" w:rsidR="00C16A33" w:rsidRPr="00823BDC" w:rsidRDefault="001F5EB4" w:rsidP="00F004C3">
            <w:pPr>
              <w:keepNext/>
              <w:tabs>
                <w:tab w:val="left" w:pos="567"/>
              </w:tabs>
              <w:rPr>
                <w:b/>
                <w:bCs/>
                <w:color w:val="000000"/>
                <w:szCs w:val="22"/>
              </w:rPr>
            </w:pPr>
            <w:r w:rsidRPr="00823BDC">
              <w:rPr>
                <w:szCs w:val="22"/>
              </w:rPr>
              <w:t>Nefatálny IM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7ED10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945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7965" w14:textId="0FA54FF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12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77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3F7D2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</w:t>
            </w:r>
            <w:r w:rsidR="00170D57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083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73537" w14:textId="22F91E97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14</w:t>
            </w:r>
            <w:r w:rsidR="00F011B9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41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157A0" w14:textId="7C501091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871 (0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798</w:t>
            </w:r>
            <w:r w:rsidR="004C4DEF" w:rsidRPr="00823BDC">
              <w:rPr>
                <w:szCs w:val="22"/>
              </w:rPr>
              <w:t> </w:t>
            </w:r>
            <w:r w:rsidR="00F24D6A">
              <w:rPr>
                <w:szCs w:val="22"/>
              </w:rPr>
              <w:t>–</w:t>
            </w:r>
            <w:r w:rsidR="004C4DEF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950)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B4408" w14:textId="77777777" w:rsidR="00C16A33" w:rsidRPr="00823BDC" w:rsidRDefault="00C16A33" w:rsidP="005332C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002</w:t>
            </w:r>
          </w:p>
        </w:tc>
      </w:tr>
      <w:tr w:rsidR="00C16A33" w:rsidRPr="00823BDC" w14:paraId="0E6C2D9D" w14:textId="77777777" w:rsidTr="00314158">
        <w:trPr>
          <w:jc w:val="center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90476" w14:textId="77777777" w:rsidR="00C16A33" w:rsidRPr="00823BDC" w:rsidRDefault="001F5EB4" w:rsidP="00F004C3">
            <w:pPr>
              <w:keepNext/>
              <w:tabs>
                <w:tab w:val="left" w:pos="567"/>
              </w:tabs>
              <w:rPr>
                <w:b/>
                <w:bCs/>
                <w:color w:val="000000"/>
                <w:szCs w:val="22"/>
              </w:rPr>
            </w:pPr>
            <w:r w:rsidRPr="00823BDC">
              <w:rPr>
                <w:szCs w:val="22"/>
              </w:rPr>
              <w:t>Nestabil</w:t>
            </w:r>
            <w:r w:rsidR="00524B24" w:rsidRPr="00823BDC">
              <w:rPr>
                <w:szCs w:val="22"/>
              </w:rPr>
              <w:t>n</w:t>
            </w:r>
            <w:r w:rsidRPr="00823BDC">
              <w:rPr>
                <w:szCs w:val="22"/>
              </w:rPr>
              <w:t xml:space="preserve">á angína </w:t>
            </w:r>
            <w:proofErr w:type="spellStart"/>
            <w:r w:rsidRPr="00823BDC">
              <w:rPr>
                <w:szCs w:val="22"/>
              </w:rPr>
              <w:t>pe</w:t>
            </w:r>
            <w:r w:rsidR="00E415FA" w:rsidRPr="00823BDC">
              <w:rPr>
                <w:szCs w:val="22"/>
              </w:rPr>
              <w:t>k</w:t>
            </w:r>
            <w:r w:rsidRPr="00823BDC">
              <w:rPr>
                <w:szCs w:val="22"/>
              </w:rPr>
              <w:t>toris</w:t>
            </w:r>
            <w:proofErr w:type="spellEnd"/>
            <w:r w:rsidRPr="00823BDC">
              <w:rPr>
                <w:szCs w:val="22"/>
              </w:rPr>
              <w:t xml:space="preserve"> vyžadujúca hospitalizáciu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CDA3C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156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D38EA" w14:textId="45DB027D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2</w:t>
            </w:r>
            <w:r w:rsidR="00B461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06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D526F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148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0359B" w14:textId="2AAC57FD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92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54782" w14:textId="2812ABB9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059 (0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846</w:t>
            </w:r>
            <w:r w:rsidR="004C4DEF" w:rsidRPr="00823BDC">
              <w:rPr>
                <w:szCs w:val="22"/>
              </w:rPr>
              <w:t> </w:t>
            </w:r>
            <w:r w:rsidR="00F24D6A">
              <w:rPr>
                <w:szCs w:val="22"/>
              </w:rPr>
              <w:t>–</w:t>
            </w:r>
            <w:r w:rsidR="004C4DEF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1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326)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53C04" w14:textId="77777777" w:rsidR="00C16A33" w:rsidRPr="00823BDC" w:rsidRDefault="00C16A33" w:rsidP="005332C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618</w:t>
            </w:r>
          </w:p>
        </w:tc>
      </w:tr>
      <w:tr w:rsidR="00C16A33" w:rsidRPr="00823BDC" w14:paraId="5281D616" w14:textId="77777777" w:rsidTr="00314158">
        <w:trPr>
          <w:jc w:val="center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E9070" w14:textId="77777777" w:rsidR="00C16A33" w:rsidRPr="00823BDC" w:rsidRDefault="001F5EB4" w:rsidP="00F004C3">
            <w:pPr>
              <w:keepNext/>
              <w:tabs>
                <w:tab w:val="left" w:pos="567"/>
              </w:tabs>
              <w:rPr>
                <w:b/>
                <w:bCs/>
                <w:color w:val="000000"/>
                <w:szCs w:val="22"/>
              </w:rPr>
            </w:pPr>
            <w:r w:rsidRPr="00823BDC">
              <w:rPr>
                <w:szCs w:val="22"/>
              </w:rPr>
              <w:t xml:space="preserve">Koronárna </w:t>
            </w:r>
            <w:proofErr w:type="spellStart"/>
            <w:r w:rsidRPr="00823BDC">
              <w:rPr>
                <w:szCs w:val="22"/>
              </w:rPr>
              <w:t>revaskularizácia</w:t>
            </w:r>
            <w:proofErr w:type="spellEnd"/>
            <w:r w:rsidRPr="00823BDC">
              <w:rPr>
                <w:szCs w:val="22"/>
              </w:rPr>
              <w:t xml:space="preserve"> po 30 dňoch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7FF91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</w:t>
            </w:r>
            <w:r w:rsidR="00B46157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690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42036" w14:textId="4F54ECC2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21</w:t>
            </w:r>
            <w:r w:rsidR="00F011B9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84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49CD8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</w:t>
            </w:r>
            <w:r w:rsidR="00170D57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793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1F386" w14:textId="4524DBFD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23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36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80245" w14:textId="6CFA0117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947 (0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886</w:t>
            </w:r>
            <w:r w:rsidR="004C4DEF" w:rsidRPr="00823BDC">
              <w:rPr>
                <w:szCs w:val="22"/>
              </w:rPr>
              <w:t> </w:t>
            </w:r>
            <w:r w:rsidR="00F24D6A">
              <w:rPr>
                <w:szCs w:val="22"/>
              </w:rPr>
              <w:t>–</w:t>
            </w:r>
            <w:r w:rsidR="004C4DEF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1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012)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BD972" w14:textId="77777777" w:rsidR="00C16A33" w:rsidRPr="00823BDC" w:rsidRDefault="00170D57" w:rsidP="005332C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0,</w:t>
            </w:r>
            <w:r w:rsidR="00C16A33" w:rsidRPr="00823BDC">
              <w:rPr>
                <w:szCs w:val="22"/>
              </w:rPr>
              <w:t>107</w:t>
            </w:r>
          </w:p>
        </w:tc>
      </w:tr>
      <w:tr w:rsidR="00C16A33" w:rsidRPr="00823BDC" w14:paraId="0F34AD31" w14:textId="77777777" w:rsidTr="00314158">
        <w:trPr>
          <w:jc w:val="center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EE481" w14:textId="77777777" w:rsidR="00C16A33" w:rsidRPr="00823BDC" w:rsidRDefault="001F5EB4" w:rsidP="00F004C3">
            <w:pPr>
              <w:keepNext/>
              <w:tabs>
                <w:tab w:val="left" w:pos="567"/>
              </w:tabs>
              <w:rPr>
                <w:szCs w:val="22"/>
              </w:rPr>
            </w:pPr>
            <w:r w:rsidRPr="00823BDC">
              <w:rPr>
                <w:szCs w:val="22"/>
              </w:rPr>
              <w:t>Nefatálna cievna mozgová príhoda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112E4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245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E6921" w14:textId="3E132C1E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3</w:t>
            </w:r>
            <w:r w:rsidR="00F011B9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49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3E896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305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E94EA" w14:textId="3B495142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4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24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3A75A" w14:textId="6B67F8C3" w:rsidR="00C16A33" w:rsidRPr="00823BDC" w:rsidRDefault="00170D57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0,</w:t>
            </w:r>
            <w:r w:rsidR="00C16A33" w:rsidRPr="00823BDC">
              <w:rPr>
                <w:szCs w:val="22"/>
              </w:rPr>
              <w:t>802 (0</w:t>
            </w:r>
            <w:r w:rsidRPr="00823BDC">
              <w:rPr>
                <w:szCs w:val="22"/>
              </w:rPr>
              <w:t>,</w:t>
            </w:r>
            <w:r w:rsidR="00C16A33" w:rsidRPr="00823BDC">
              <w:rPr>
                <w:szCs w:val="22"/>
              </w:rPr>
              <w:t>678</w:t>
            </w:r>
            <w:r w:rsidR="004C4DEF" w:rsidRPr="00823BDC">
              <w:rPr>
                <w:szCs w:val="22"/>
              </w:rPr>
              <w:t> </w:t>
            </w:r>
            <w:r w:rsidR="00F24D6A">
              <w:rPr>
                <w:szCs w:val="22"/>
              </w:rPr>
              <w:t>–</w:t>
            </w:r>
            <w:r w:rsidR="004C4DEF" w:rsidRPr="00823BDC">
              <w:rPr>
                <w:szCs w:val="22"/>
              </w:rPr>
              <w:t> </w:t>
            </w:r>
            <w:r w:rsidR="00C16A33" w:rsidRPr="00823BDC">
              <w:rPr>
                <w:szCs w:val="22"/>
              </w:rPr>
              <w:t>0</w:t>
            </w:r>
            <w:r w:rsidRPr="00823BDC">
              <w:rPr>
                <w:szCs w:val="22"/>
              </w:rPr>
              <w:t>,</w:t>
            </w:r>
            <w:r w:rsidR="00C16A33" w:rsidRPr="00823BDC">
              <w:rPr>
                <w:szCs w:val="22"/>
              </w:rPr>
              <w:t>949)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8196F" w14:textId="77777777" w:rsidR="00C16A33" w:rsidRPr="00823BDC" w:rsidRDefault="00C16A33" w:rsidP="005332C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010</w:t>
            </w:r>
          </w:p>
        </w:tc>
      </w:tr>
      <w:tr w:rsidR="00C16A33" w:rsidRPr="00823BDC" w14:paraId="48F6E526" w14:textId="77777777" w:rsidTr="00314158">
        <w:trPr>
          <w:jc w:val="center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4D9A2" w14:textId="77777777" w:rsidR="00C16A33" w:rsidRPr="00823BDC" w:rsidRDefault="001F5EB4" w:rsidP="00F004C3">
            <w:pPr>
              <w:keepNext/>
              <w:tabs>
                <w:tab w:val="left" w:pos="567"/>
              </w:tabs>
              <w:rPr>
                <w:szCs w:val="22"/>
              </w:rPr>
            </w:pPr>
            <w:r w:rsidRPr="00823BDC">
              <w:rPr>
                <w:szCs w:val="22"/>
              </w:rPr>
              <w:t>IM (fatálny a nefatálny)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E1BD4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977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E7726" w14:textId="5B3074C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13</w:t>
            </w:r>
            <w:r w:rsidR="00F011B9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13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DAC33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</w:t>
            </w:r>
            <w:r w:rsidR="00170D57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118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3C744" w14:textId="3C9AF990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14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82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05205" w14:textId="59935F07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872 (0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800</w:t>
            </w:r>
            <w:r w:rsidR="004C4DEF" w:rsidRPr="00823BDC">
              <w:rPr>
                <w:szCs w:val="22"/>
              </w:rPr>
              <w:t> </w:t>
            </w:r>
            <w:r w:rsidR="00F24D6A">
              <w:rPr>
                <w:szCs w:val="22"/>
              </w:rPr>
              <w:t>–</w:t>
            </w:r>
            <w:r w:rsidR="004C4DEF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950)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6D3F" w14:textId="77777777" w:rsidR="00C16A33" w:rsidRPr="00823BDC" w:rsidRDefault="00C16A33" w:rsidP="005332C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002</w:t>
            </w:r>
          </w:p>
        </w:tc>
      </w:tr>
      <w:tr w:rsidR="00C16A33" w:rsidRPr="00823BDC" w14:paraId="2203FA90" w14:textId="77777777" w:rsidTr="00314158">
        <w:trPr>
          <w:jc w:val="center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1C5C9" w14:textId="77777777" w:rsidR="00C16A33" w:rsidRPr="00823BDC" w:rsidRDefault="001F5EB4" w:rsidP="00F004C3">
            <w:pPr>
              <w:keepNext/>
              <w:tabs>
                <w:tab w:val="left" w:pos="567"/>
              </w:tabs>
              <w:rPr>
                <w:szCs w:val="22"/>
              </w:rPr>
            </w:pPr>
            <w:r w:rsidRPr="00823BDC">
              <w:rPr>
                <w:color w:val="000000"/>
                <w:szCs w:val="22"/>
              </w:rPr>
              <w:t>Cievna mozgová príhoda (fatálna a nefatálna)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D87D6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296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0F216" w14:textId="04ED8634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4</w:t>
            </w:r>
            <w:r w:rsidR="00F011B9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16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40B8F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345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C576D" w14:textId="32AC8CCD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4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77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2A859" w14:textId="11AB4D88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857 (0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734</w:t>
            </w:r>
            <w:r w:rsidR="004C4DEF" w:rsidRPr="00823BDC">
              <w:rPr>
                <w:szCs w:val="22"/>
              </w:rPr>
              <w:t> </w:t>
            </w:r>
            <w:r w:rsidR="00F24D6A">
              <w:rPr>
                <w:szCs w:val="22"/>
              </w:rPr>
              <w:t>–</w:t>
            </w:r>
            <w:r w:rsidR="004C4DEF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1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001)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11734" w14:textId="77777777" w:rsidR="00C16A33" w:rsidRPr="00823BDC" w:rsidRDefault="00C16A33" w:rsidP="005332C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052</w:t>
            </w:r>
          </w:p>
        </w:tc>
      </w:tr>
      <w:tr w:rsidR="00C16A33" w:rsidRPr="00823BDC" w14:paraId="2E4D710E" w14:textId="77777777" w:rsidTr="00314158">
        <w:trPr>
          <w:jc w:val="center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02388" w14:textId="77777777" w:rsidR="00C16A33" w:rsidRPr="00823BDC" w:rsidRDefault="00B42BC0" w:rsidP="00F004C3">
            <w:pPr>
              <w:keepNext/>
              <w:tabs>
                <w:tab w:val="left" w:pos="567"/>
              </w:tabs>
              <w:rPr>
                <w:color w:val="000000"/>
                <w:szCs w:val="22"/>
              </w:rPr>
            </w:pPr>
            <w:proofErr w:type="spellStart"/>
            <w:r w:rsidRPr="00823BDC">
              <w:rPr>
                <w:szCs w:val="22"/>
              </w:rPr>
              <w:t>Nehemoragická</w:t>
            </w:r>
            <w:proofErr w:type="spellEnd"/>
            <w:r w:rsidRPr="00823BDC">
              <w:rPr>
                <w:szCs w:val="22"/>
              </w:rPr>
              <w:t xml:space="preserve"> cievna mozgová </w:t>
            </w:r>
            <w:proofErr w:type="spellStart"/>
            <w:r w:rsidRPr="00823BDC">
              <w:rPr>
                <w:szCs w:val="22"/>
              </w:rPr>
              <w:t>príhoda</w:t>
            </w:r>
            <w:r w:rsidR="00C16A33" w:rsidRPr="00823BDC">
              <w:rPr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FDB3E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242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AB443" w14:textId="2B329560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3</w:t>
            </w:r>
            <w:r w:rsidR="00F011B9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48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246E8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305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70096" w14:textId="6BF50F6D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4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23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E26D9" w14:textId="2F23FB46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793 (0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670</w:t>
            </w:r>
            <w:r w:rsidR="004C4DEF" w:rsidRPr="00823BDC">
              <w:rPr>
                <w:szCs w:val="22"/>
              </w:rPr>
              <w:t> </w:t>
            </w:r>
            <w:r w:rsidR="00F24D6A">
              <w:rPr>
                <w:szCs w:val="22"/>
              </w:rPr>
              <w:t>–</w:t>
            </w:r>
            <w:r w:rsidR="004C4DEF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939)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5410C" w14:textId="77777777" w:rsidR="00C16A33" w:rsidRPr="00823BDC" w:rsidRDefault="00C16A33" w:rsidP="005332C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007</w:t>
            </w:r>
          </w:p>
        </w:tc>
      </w:tr>
      <w:tr w:rsidR="00C16A33" w:rsidRPr="00823BDC" w14:paraId="67A275E0" w14:textId="77777777" w:rsidTr="00314158">
        <w:trPr>
          <w:jc w:val="center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6FE20" w14:textId="77777777" w:rsidR="00C16A33" w:rsidRPr="00823BDC" w:rsidRDefault="00B42BC0" w:rsidP="00F004C3">
            <w:pPr>
              <w:keepNext/>
              <w:tabs>
                <w:tab w:val="left" w:pos="567"/>
              </w:tabs>
              <w:rPr>
                <w:szCs w:val="22"/>
              </w:rPr>
            </w:pPr>
            <w:proofErr w:type="spellStart"/>
            <w:r w:rsidRPr="00823BDC">
              <w:rPr>
                <w:color w:val="000000"/>
                <w:szCs w:val="22"/>
              </w:rPr>
              <w:t>Hemoragická</w:t>
            </w:r>
            <w:proofErr w:type="spellEnd"/>
            <w:r w:rsidRPr="00823BDC">
              <w:rPr>
                <w:color w:val="000000"/>
                <w:szCs w:val="22"/>
              </w:rPr>
              <w:t xml:space="preserve"> cievna mozgová príhoda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FFBDF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59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E89BB" w14:textId="4041CB4D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F011B9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77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69E2E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43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F1CFC" w14:textId="0DA5F2B6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59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7B3F6" w14:textId="31E460C3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377 (0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930</w:t>
            </w:r>
            <w:r w:rsidR="004C4DEF" w:rsidRPr="00823BDC">
              <w:rPr>
                <w:szCs w:val="22"/>
              </w:rPr>
              <w:t> </w:t>
            </w:r>
            <w:r w:rsidR="00F24D6A">
              <w:rPr>
                <w:szCs w:val="22"/>
              </w:rPr>
              <w:t>–</w:t>
            </w:r>
            <w:r w:rsidR="004C4DEF" w:rsidRPr="00823BDC">
              <w:rPr>
                <w:szCs w:val="22"/>
              </w:rPr>
              <w:t> </w:t>
            </w:r>
            <w:r w:rsidRPr="00823BDC">
              <w:rPr>
                <w:szCs w:val="22"/>
              </w:rPr>
              <w:t>2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040)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1A0" w14:textId="77777777" w:rsidR="00C16A33" w:rsidRPr="00823BDC" w:rsidRDefault="00C16A33" w:rsidP="005332C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0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110</w:t>
            </w:r>
          </w:p>
        </w:tc>
      </w:tr>
      <w:tr w:rsidR="00C16A33" w:rsidRPr="00823BDC" w14:paraId="30466F20" w14:textId="77777777" w:rsidTr="00314158">
        <w:trPr>
          <w:jc w:val="center"/>
        </w:trPr>
        <w:tc>
          <w:tcPr>
            <w:tcW w:w="1761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90F6ED" w14:textId="77777777" w:rsidR="00C16A33" w:rsidRPr="00823BDC" w:rsidRDefault="001F5EB4" w:rsidP="00F004C3">
            <w:pPr>
              <w:keepNext/>
              <w:tabs>
                <w:tab w:val="left" w:pos="567"/>
              </w:tabs>
              <w:rPr>
                <w:color w:val="000000"/>
                <w:szCs w:val="22"/>
              </w:rPr>
            </w:pPr>
            <w:r w:rsidRPr="00823BDC">
              <w:rPr>
                <w:color w:val="000000"/>
                <w:szCs w:val="22"/>
              </w:rPr>
              <w:t>Úmrtie z akejkoľvek príčiny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5DD928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color w:val="000000"/>
                <w:szCs w:val="22"/>
              </w:rPr>
              <w:t>1</w:t>
            </w:r>
            <w:r w:rsidR="00B46157" w:rsidRPr="00823BDC">
              <w:rPr>
                <w:color w:val="000000"/>
                <w:szCs w:val="22"/>
              </w:rPr>
              <w:t> </w:t>
            </w:r>
            <w:r w:rsidRPr="00823BDC">
              <w:rPr>
                <w:color w:val="000000"/>
                <w:szCs w:val="22"/>
              </w:rPr>
              <w:t>215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D60C56B" w14:textId="1BF5154C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15</w:t>
            </w:r>
            <w:r w:rsidR="00314158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36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829DAD" w14:textId="77777777" w:rsidR="00C16A33" w:rsidRPr="00823BDC" w:rsidRDefault="00C16A33" w:rsidP="000E2387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color w:val="000000"/>
                <w:szCs w:val="22"/>
              </w:rPr>
              <w:t>1</w:t>
            </w:r>
            <w:r w:rsidR="00170D57" w:rsidRPr="00823BDC">
              <w:rPr>
                <w:color w:val="000000"/>
                <w:szCs w:val="22"/>
              </w:rPr>
              <w:t> </w:t>
            </w:r>
            <w:r w:rsidRPr="00823BDC">
              <w:rPr>
                <w:color w:val="000000"/>
                <w:szCs w:val="22"/>
              </w:rPr>
              <w:t>231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E79672" w14:textId="148ADCC8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szCs w:val="22"/>
              </w:rPr>
              <w:t>15</w:t>
            </w:r>
            <w:r w:rsidR="00170D57" w:rsidRPr="00823BDC">
              <w:rPr>
                <w:szCs w:val="22"/>
              </w:rPr>
              <w:t>,</w:t>
            </w:r>
            <w:r w:rsidRPr="00823BDC">
              <w:rPr>
                <w:szCs w:val="22"/>
              </w:rPr>
              <w:t>28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C83476A" w14:textId="17F4C8E1" w:rsidR="00C16A33" w:rsidRPr="00823BDC" w:rsidRDefault="00C16A33" w:rsidP="00165EE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color w:val="000000"/>
                <w:szCs w:val="22"/>
              </w:rPr>
              <w:t>0</w:t>
            </w:r>
            <w:r w:rsidR="00170D57" w:rsidRPr="00823BDC">
              <w:rPr>
                <w:color w:val="000000"/>
                <w:szCs w:val="22"/>
              </w:rPr>
              <w:t>,</w:t>
            </w:r>
            <w:r w:rsidRPr="00823BDC">
              <w:rPr>
                <w:color w:val="000000"/>
                <w:szCs w:val="22"/>
              </w:rPr>
              <w:t>989 (0</w:t>
            </w:r>
            <w:r w:rsidR="00170D57" w:rsidRPr="00823BDC">
              <w:rPr>
                <w:color w:val="000000"/>
                <w:szCs w:val="22"/>
              </w:rPr>
              <w:t>,</w:t>
            </w:r>
            <w:r w:rsidRPr="00823BDC">
              <w:rPr>
                <w:color w:val="000000"/>
                <w:szCs w:val="22"/>
              </w:rPr>
              <w:t>914</w:t>
            </w:r>
            <w:r w:rsidR="004C4DEF" w:rsidRPr="00823BDC">
              <w:rPr>
                <w:color w:val="000000"/>
                <w:szCs w:val="22"/>
              </w:rPr>
              <w:t> </w:t>
            </w:r>
            <w:r w:rsidR="00F24D6A">
              <w:rPr>
                <w:color w:val="000000"/>
                <w:szCs w:val="22"/>
              </w:rPr>
              <w:t>–</w:t>
            </w:r>
            <w:r w:rsidR="004C4DEF" w:rsidRPr="00823BDC">
              <w:rPr>
                <w:color w:val="000000"/>
                <w:szCs w:val="22"/>
              </w:rPr>
              <w:t> </w:t>
            </w:r>
            <w:r w:rsidRPr="00823BDC">
              <w:rPr>
                <w:color w:val="000000"/>
                <w:szCs w:val="22"/>
              </w:rPr>
              <w:t>1</w:t>
            </w:r>
            <w:r w:rsidR="00170D57" w:rsidRPr="00823BDC">
              <w:rPr>
                <w:color w:val="000000"/>
                <w:szCs w:val="22"/>
              </w:rPr>
              <w:t>,</w:t>
            </w:r>
            <w:r w:rsidRPr="00823BDC">
              <w:rPr>
                <w:color w:val="000000"/>
                <w:szCs w:val="22"/>
              </w:rPr>
              <w:t>070)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578998" w14:textId="77777777" w:rsidR="00C16A33" w:rsidRPr="00823BDC" w:rsidRDefault="00170D57" w:rsidP="005332CD">
            <w:pPr>
              <w:tabs>
                <w:tab w:val="left" w:pos="567"/>
              </w:tabs>
              <w:jc w:val="center"/>
              <w:rPr>
                <w:szCs w:val="22"/>
              </w:rPr>
            </w:pPr>
            <w:r w:rsidRPr="00823BDC">
              <w:rPr>
                <w:color w:val="000000"/>
                <w:szCs w:val="22"/>
              </w:rPr>
              <w:t>0,</w:t>
            </w:r>
            <w:r w:rsidR="00C16A33" w:rsidRPr="00823BDC">
              <w:rPr>
                <w:color w:val="000000"/>
                <w:szCs w:val="22"/>
              </w:rPr>
              <w:t>782</w:t>
            </w:r>
          </w:p>
        </w:tc>
      </w:tr>
    </w:tbl>
    <w:p w14:paraId="1921EF7A" w14:textId="77777777" w:rsidR="00C16A33" w:rsidRPr="00A6540D" w:rsidRDefault="00C16A33" w:rsidP="00F004C3">
      <w:pPr>
        <w:keepNext/>
        <w:tabs>
          <w:tab w:val="left" w:pos="567"/>
        </w:tabs>
        <w:ind w:left="180" w:hanging="180"/>
        <w:rPr>
          <w:szCs w:val="22"/>
        </w:rPr>
      </w:pPr>
      <w:r w:rsidRPr="00A6540D">
        <w:rPr>
          <w:szCs w:val="22"/>
          <w:vertAlign w:val="superscript"/>
        </w:rPr>
        <w:t>a</w:t>
      </w:r>
      <w:r w:rsidRPr="00A6540D">
        <w:rPr>
          <w:szCs w:val="22"/>
        </w:rPr>
        <w:tab/>
        <w:t>6</w:t>
      </w:r>
      <w:r w:rsidR="006707FD" w:rsidRPr="00A6540D">
        <w:rPr>
          <w:szCs w:val="22"/>
        </w:rPr>
        <w:t> </w:t>
      </w:r>
      <w:r w:rsidRPr="00A6540D">
        <w:rPr>
          <w:szCs w:val="22"/>
        </w:rPr>
        <w:t xml:space="preserve">% </w:t>
      </w:r>
      <w:r w:rsidR="00040242" w:rsidRPr="00A6540D">
        <w:rPr>
          <w:szCs w:val="22"/>
        </w:rPr>
        <w:t xml:space="preserve">bolo </w:t>
      </w:r>
      <w:proofErr w:type="spellStart"/>
      <w:r w:rsidR="00040242" w:rsidRPr="00A6540D">
        <w:rPr>
          <w:szCs w:val="22"/>
        </w:rPr>
        <w:t>vytitrovaných</w:t>
      </w:r>
      <w:proofErr w:type="spellEnd"/>
      <w:r w:rsidR="00040242" w:rsidRPr="00A6540D">
        <w:rPr>
          <w:szCs w:val="22"/>
        </w:rPr>
        <w:t xml:space="preserve"> na</w:t>
      </w:r>
      <w:r w:rsidR="00AB7616" w:rsidRPr="00A6540D">
        <w:rPr>
          <w:szCs w:val="22"/>
        </w:rPr>
        <w:t xml:space="preserve"> </w:t>
      </w:r>
      <w:proofErr w:type="spellStart"/>
      <w:r w:rsidR="00AB7616" w:rsidRPr="00A6540D">
        <w:rPr>
          <w:szCs w:val="22"/>
        </w:rPr>
        <w:t>ezetimib</w:t>
      </w:r>
      <w:proofErr w:type="spellEnd"/>
      <w:r w:rsidR="006707FD" w:rsidRPr="00A6540D">
        <w:rPr>
          <w:szCs w:val="22"/>
        </w:rPr>
        <w:t>/</w:t>
      </w:r>
      <w:proofErr w:type="spellStart"/>
      <w:r w:rsidR="006707FD" w:rsidRPr="00A6540D">
        <w:rPr>
          <w:szCs w:val="22"/>
        </w:rPr>
        <w:t>simvastatí</w:t>
      </w:r>
      <w:r w:rsidRPr="00A6540D">
        <w:rPr>
          <w:szCs w:val="22"/>
        </w:rPr>
        <w:t>n</w:t>
      </w:r>
      <w:proofErr w:type="spellEnd"/>
      <w:r w:rsidRPr="00A6540D">
        <w:rPr>
          <w:szCs w:val="22"/>
        </w:rPr>
        <w:t xml:space="preserve"> 10/80 mg.</w:t>
      </w:r>
    </w:p>
    <w:p w14:paraId="45ECCE6C" w14:textId="77777777" w:rsidR="00C16A33" w:rsidRPr="00A6540D" w:rsidRDefault="00C16A33" w:rsidP="000E2387">
      <w:pPr>
        <w:keepNext/>
        <w:tabs>
          <w:tab w:val="left" w:pos="567"/>
        </w:tabs>
        <w:ind w:left="180" w:hanging="180"/>
        <w:rPr>
          <w:szCs w:val="22"/>
        </w:rPr>
      </w:pPr>
      <w:r w:rsidRPr="00A6540D">
        <w:rPr>
          <w:szCs w:val="22"/>
          <w:vertAlign w:val="superscript"/>
        </w:rPr>
        <w:t>b</w:t>
      </w:r>
      <w:r w:rsidRPr="00A6540D">
        <w:rPr>
          <w:szCs w:val="22"/>
          <w:vertAlign w:val="superscript"/>
        </w:rPr>
        <w:tab/>
      </w:r>
      <w:r w:rsidRPr="00A6540D">
        <w:rPr>
          <w:szCs w:val="22"/>
        </w:rPr>
        <w:t>27</w:t>
      </w:r>
      <w:r w:rsidR="006707FD" w:rsidRPr="00A6540D">
        <w:rPr>
          <w:szCs w:val="22"/>
        </w:rPr>
        <w:t> </w:t>
      </w:r>
      <w:r w:rsidRPr="00A6540D">
        <w:rPr>
          <w:szCs w:val="22"/>
        </w:rPr>
        <w:t xml:space="preserve">% </w:t>
      </w:r>
      <w:r w:rsidR="00040242" w:rsidRPr="00A6540D">
        <w:rPr>
          <w:szCs w:val="22"/>
        </w:rPr>
        <w:t xml:space="preserve">bolo </w:t>
      </w:r>
      <w:proofErr w:type="spellStart"/>
      <w:r w:rsidR="00040242" w:rsidRPr="00A6540D">
        <w:rPr>
          <w:szCs w:val="22"/>
        </w:rPr>
        <w:t>vytitrovaných</w:t>
      </w:r>
      <w:proofErr w:type="spellEnd"/>
      <w:r w:rsidR="00040242" w:rsidRPr="00A6540D">
        <w:rPr>
          <w:szCs w:val="22"/>
        </w:rPr>
        <w:t xml:space="preserve"> na</w:t>
      </w:r>
      <w:r w:rsidR="006707FD" w:rsidRPr="00A6540D">
        <w:rPr>
          <w:szCs w:val="22"/>
        </w:rPr>
        <w:t xml:space="preserve"> </w:t>
      </w:r>
      <w:proofErr w:type="spellStart"/>
      <w:r w:rsidR="006707FD" w:rsidRPr="00A6540D">
        <w:rPr>
          <w:szCs w:val="22"/>
        </w:rPr>
        <w:t>simvastatí</w:t>
      </w:r>
      <w:r w:rsidRPr="00A6540D">
        <w:rPr>
          <w:szCs w:val="22"/>
        </w:rPr>
        <w:t>n</w:t>
      </w:r>
      <w:proofErr w:type="spellEnd"/>
      <w:r w:rsidRPr="00A6540D">
        <w:rPr>
          <w:szCs w:val="22"/>
        </w:rPr>
        <w:t xml:space="preserve"> 80 mg.</w:t>
      </w:r>
    </w:p>
    <w:p w14:paraId="28B7DA6E" w14:textId="77777777" w:rsidR="00C16A33" w:rsidRPr="00A6540D" w:rsidRDefault="00C16A33" w:rsidP="000E2387">
      <w:pPr>
        <w:keepNext/>
        <w:tabs>
          <w:tab w:val="left" w:pos="567"/>
        </w:tabs>
        <w:ind w:left="180" w:hanging="180"/>
        <w:rPr>
          <w:szCs w:val="22"/>
        </w:rPr>
      </w:pPr>
      <w:r w:rsidRPr="00A6540D">
        <w:rPr>
          <w:szCs w:val="22"/>
          <w:vertAlign w:val="superscript"/>
        </w:rPr>
        <w:t>c</w:t>
      </w:r>
      <w:r w:rsidRPr="00A6540D">
        <w:rPr>
          <w:szCs w:val="22"/>
          <w:vertAlign w:val="superscript"/>
        </w:rPr>
        <w:tab/>
      </w:r>
      <w:r w:rsidR="006707FD" w:rsidRPr="00A6540D">
        <w:rPr>
          <w:szCs w:val="22"/>
        </w:rPr>
        <w:t xml:space="preserve"> </w:t>
      </w:r>
      <w:proofErr w:type="spellStart"/>
      <w:r w:rsidRPr="00A6540D">
        <w:rPr>
          <w:szCs w:val="22"/>
        </w:rPr>
        <w:t>Kaplan</w:t>
      </w:r>
      <w:r w:rsidR="00DF3BF9" w:rsidRPr="00A6540D">
        <w:rPr>
          <w:szCs w:val="22"/>
        </w:rPr>
        <w:t>ov</w:t>
      </w:r>
      <w:r w:rsidRPr="00A6540D">
        <w:rPr>
          <w:szCs w:val="22"/>
        </w:rPr>
        <w:t>-Meier</w:t>
      </w:r>
      <w:r w:rsidR="00DF3BF9" w:rsidRPr="00A6540D">
        <w:rPr>
          <w:szCs w:val="22"/>
        </w:rPr>
        <w:t>ov</w:t>
      </w:r>
      <w:proofErr w:type="spellEnd"/>
      <w:r w:rsidR="00DF3BF9" w:rsidRPr="00A6540D">
        <w:rPr>
          <w:szCs w:val="22"/>
        </w:rPr>
        <w:t xml:space="preserve"> odhad na 7 rokov</w:t>
      </w:r>
      <w:r w:rsidRPr="00A6540D">
        <w:rPr>
          <w:szCs w:val="22"/>
        </w:rPr>
        <w:t>.</w:t>
      </w:r>
    </w:p>
    <w:p w14:paraId="30437598" w14:textId="77777777" w:rsidR="00C16A33" w:rsidRPr="00A6540D" w:rsidRDefault="00C16A33" w:rsidP="005332CD">
      <w:pPr>
        <w:tabs>
          <w:tab w:val="left" w:pos="567"/>
        </w:tabs>
        <w:ind w:left="180" w:hanging="180"/>
        <w:rPr>
          <w:szCs w:val="22"/>
        </w:rPr>
      </w:pPr>
      <w:r w:rsidRPr="00A6540D">
        <w:rPr>
          <w:szCs w:val="22"/>
          <w:vertAlign w:val="superscript"/>
        </w:rPr>
        <w:t>d</w:t>
      </w:r>
      <w:r w:rsidRPr="00A6540D">
        <w:rPr>
          <w:szCs w:val="22"/>
          <w:vertAlign w:val="superscript"/>
        </w:rPr>
        <w:tab/>
      </w:r>
      <w:r w:rsidR="00AB7616" w:rsidRPr="00A6540D">
        <w:rPr>
          <w:szCs w:val="22"/>
        </w:rPr>
        <w:t>Z</w:t>
      </w:r>
      <w:r w:rsidR="00040242" w:rsidRPr="00A6540D">
        <w:rPr>
          <w:szCs w:val="22"/>
        </w:rPr>
        <w:t>ahŕňa ischemickú cievnu mozgovú</w:t>
      </w:r>
      <w:r w:rsidRPr="00A6540D">
        <w:rPr>
          <w:szCs w:val="22"/>
        </w:rPr>
        <w:t xml:space="preserve"> </w:t>
      </w:r>
      <w:r w:rsidR="00040242" w:rsidRPr="00A6540D">
        <w:rPr>
          <w:szCs w:val="22"/>
        </w:rPr>
        <w:t>príhodu alebo</w:t>
      </w:r>
      <w:r w:rsidRPr="00A6540D">
        <w:rPr>
          <w:szCs w:val="22"/>
        </w:rPr>
        <w:t xml:space="preserve"> </w:t>
      </w:r>
      <w:r w:rsidR="00040242" w:rsidRPr="00A6540D">
        <w:rPr>
          <w:szCs w:val="22"/>
        </w:rPr>
        <w:t>cievnu mozgovú príhodu neurčeného typu</w:t>
      </w:r>
      <w:r w:rsidRPr="00A6540D">
        <w:rPr>
          <w:szCs w:val="22"/>
        </w:rPr>
        <w:t>.</w:t>
      </w:r>
    </w:p>
    <w:p w14:paraId="27031493" w14:textId="77777777" w:rsidR="00F67830" w:rsidRPr="00A6540D" w:rsidRDefault="00F67830">
      <w:pPr>
        <w:adjustRightInd w:val="0"/>
        <w:snapToGrid w:val="0"/>
        <w:rPr>
          <w:szCs w:val="22"/>
        </w:rPr>
      </w:pPr>
    </w:p>
    <w:p w14:paraId="3C390266" w14:textId="77777777" w:rsidR="00D044EB" w:rsidRPr="00CD10F1" w:rsidRDefault="00D044EB">
      <w:pPr>
        <w:keepNext/>
        <w:adjustRightInd w:val="0"/>
        <w:snapToGrid w:val="0"/>
        <w:rPr>
          <w:szCs w:val="22"/>
          <w:u w:val="single"/>
        </w:rPr>
      </w:pPr>
      <w:r w:rsidRPr="00CD10F1">
        <w:rPr>
          <w:i/>
          <w:szCs w:val="22"/>
          <w:u w:val="single"/>
        </w:rPr>
        <w:t xml:space="preserve">Primárna </w:t>
      </w:r>
      <w:proofErr w:type="spellStart"/>
      <w:r w:rsidRPr="00CD10F1">
        <w:rPr>
          <w:i/>
          <w:szCs w:val="22"/>
          <w:u w:val="single"/>
        </w:rPr>
        <w:t>hypercholesterolémia</w:t>
      </w:r>
      <w:proofErr w:type="spellEnd"/>
    </w:p>
    <w:p w14:paraId="721DE954" w14:textId="77777777" w:rsidR="00D044EB" w:rsidRPr="00823BDC" w:rsidRDefault="00D044EB">
      <w:pPr>
        <w:adjustRightInd w:val="0"/>
        <w:snapToGrid w:val="0"/>
        <w:rPr>
          <w:snapToGrid w:val="0"/>
          <w:szCs w:val="22"/>
        </w:rPr>
      </w:pPr>
      <w:r w:rsidRPr="00A843D5">
        <w:rPr>
          <w:szCs w:val="22"/>
        </w:rPr>
        <w:t>V dvojito zaslepenej, placebom kontrolovanej, 8-týdňovej štúdii bolo 240</w:t>
      </w:r>
      <w:r w:rsidR="00EC79D6" w:rsidRPr="00A843D5">
        <w:rPr>
          <w:szCs w:val="22"/>
        </w:rPr>
        <w:t xml:space="preserve"> </w:t>
      </w:r>
      <w:r w:rsidRPr="00D81F49">
        <w:rPr>
          <w:szCs w:val="22"/>
        </w:rPr>
        <w:t>pacientov s </w:t>
      </w:r>
      <w:proofErr w:type="spellStart"/>
      <w:r w:rsidRPr="00D81F49">
        <w:rPr>
          <w:szCs w:val="22"/>
        </w:rPr>
        <w:t>hypercholesterolémiou</w:t>
      </w:r>
      <w:proofErr w:type="spellEnd"/>
      <w:r w:rsidRPr="00D81F49">
        <w:rPr>
          <w:szCs w:val="22"/>
        </w:rPr>
        <w:t xml:space="preserve">, ktorí už dostávali </w:t>
      </w:r>
      <w:proofErr w:type="spellStart"/>
      <w:r w:rsidRPr="00D81F49">
        <w:rPr>
          <w:szCs w:val="22"/>
        </w:rPr>
        <w:t>monoterapiu</w:t>
      </w:r>
      <w:proofErr w:type="spellEnd"/>
      <w:r w:rsidRPr="00D81F49">
        <w:rPr>
          <w:szCs w:val="22"/>
        </w:rPr>
        <w:t xml:space="preserve"> </w:t>
      </w:r>
      <w:proofErr w:type="spellStart"/>
      <w:r w:rsidRPr="00D81F49">
        <w:rPr>
          <w:szCs w:val="22"/>
        </w:rPr>
        <w:t>simva</w:t>
      </w:r>
      <w:r w:rsidRPr="00AA7838">
        <w:rPr>
          <w:szCs w:val="22"/>
        </w:rPr>
        <w:t>statínom</w:t>
      </w:r>
      <w:proofErr w:type="spellEnd"/>
      <w:r w:rsidRPr="00AA7838">
        <w:rPr>
          <w:szCs w:val="22"/>
        </w:rPr>
        <w:t xml:space="preserve"> a podľa </w:t>
      </w:r>
      <w:r w:rsidRPr="00AA7838">
        <w:rPr>
          <w:snapToGrid w:val="0"/>
          <w:szCs w:val="22"/>
        </w:rPr>
        <w:t xml:space="preserve">National Cholesterol </w:t>
      </w:r>
      <w:proofErr w:type="spellStart"/>
      <w:r w:rsidRPr="00AA7838">
        <w:rPr>
          <w:snapToGrid w:val="0"/>
          <w:szCs w:val="22"/>
        </w:rPr>
        <w:t>Education</w:t>
      </w:r>
      <w:proofErr w:type="spellEnd"/>
      <w:r w:rsidRPr="00AA7838">
        <w:rPr>
          <w:snapToGrid w:val="0"/>
          <w:szCs w:val="22"/>
        </w:rPr>
        <w:t xml:space="preserve"> Program (NCEP) </w:t>
      </w:r>
      <w:r w:rsidRPr="00373B08">
        <w:rPr>
          <w:szCs w:val="22"/>
        </w:rPr>
        <w:t>nedosiahli cieľový LDL</w:t>
      </w:r>
      <w:r w:rsidRPr="00373B08">
        <w:rPr>
          <w:szCs w:val="22"/>
        </w:rPr>
        <w:noBreakHyphen/>
        <w:t xml:space="preserve">C (2,6 až 4,1 mmol/l [100 až 160 mg/dl] </w:t>
      </w:r>
      <w:r w:rsidRPr="00373B08">
        <w:rPr>
          <w:szCs w:val="22"/>
        </w:rPr>
        <w:lastRenderedPageBreak/>
        <w:t xml:space="preserve">v závislosti od vstupných hodnôt), </w:t>
      </w:r>
      <w:proofErr w:type="spellStart"/>
      <w:r w:rsidRPr="00823BDC">
        <w:rPr>
          <w:snapToGrid w:val="0"/>
          <w:szCs w:val="22"/>
        </w:rPr>
        <w:t>randomizovaných</w:t>
      </w:r>
      <w:proofErr w:type="spellEnd"/>
      <w:r w:rsidRPr="00823BDC">
        <w:rPr>
          <w:snapToGrid w:val="0"/>
          <w:szCs w:val="22"/>
        </w:rPr>
        <w:t xml:space="preserve"> tak, aby k prebiehajúcej </w:t>
      </w:r>
      <w:r w:rsidR="0041794A" w:rsidRPr="00823BDC">
        <w:rPr>
          <w:snapToGrid w:val="0"/>
          <w:szCs w:val="22"/>
        </w:rPr>
        <w:t>liečbe</w:t>
      </w:r>
      <w:r w:rsidRPr="00823BDC">
        <w:rPr>
          <w:snapToGrid w:val="0"/>
          <w:szCs w:val="22"/>
        </w:rPr>
        <w:t xml:space="preserve"> </w:t>
      </w:r>
      <w:proofErr w:type="spellStart"/>
      <w:r w:rsidRPr="00823BDC">
        <w:rPr>
          <w:snapToGrid w:val="0"/>
          <w:szCs w:val="22"/>
        </w:rPr>
        <w:t>simvastatínom</w:t>
      </w:r>
      <w:proofErr w:type="spellEnd"/>
      <w:r w:rsidRPr="00823BDC">
        <w:rPr>
          <w:snapToGrid w:val="0"/>
          <w:szCs w:val="22"/>
        </w:rPr>
        <w:t xml:space="preserve"> dostávali buď </w:t>
      </w:r>
      <w:proofErr w:type="spellStart"/>
      <w:r w:rsidRPr="00823BDC">
        <w:rPr>
          <w:snapToGrid w:val="0"/>
          <w:szCs w:val="22"/>
        </w:rPr>
        <w:t>ezetimib</w:t>
      </w:r>
      <w:proofErr w:type="spellEnd"/>
      <w:r w:rsidRPr="00823BDC">
        <w:rPr>
          <w:snapToGrid w:val="0"/>
          <w:szCs w:val="22"/>
        </w:rPr>
        <w:t xml:space="preserve"> </w:t>
      </w:r>
      <w:r w:rsidRPr="00823BDC">
        <w:rPr>
          <w:szCs w:val="22"/>
        </w:rPr>
        <w:t xml:space="preserve">10 mg alebo placebo. Medzi pacientmi liečenými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>, ktorí pri vstupe do štúdie nemali cieľovú hladinu LDL</w:t>
      </w:r>
      <w:r w:rsidRPr="00823BDC">
        <w:rPr>
          <w:szCs w:val="22"/>
        </w:rPr>
        <w:noBreakHyphen/>
        <w:t>C</w:t>
      </w:r>
      <w:r w:rsidRPr="00823BDC">
        <w:rPr>
          <w:snapToGrid w:val="0"/>
          <w:szCs w:val="22"/>
        </w:rPr>
        <w:t xml:space="preserve"> (~80%), signifikantne viac pacientov </w:t>
      </w:r>
      <w:proofErr w:type="spellStart"/>
      <w:r w:rsidRPr="00823BDC">
        <w:rPr>
          <w:snapToGrid w:val="0"/>
          <w:szCs w:val="22"/>
        </w:rPr>
        <w:t>randomizovaných</w:t>
      </w:r>
      <w:proofErr w:type="spellEnd"/>
      <w:r w:rsidRPr="00823BDC">
        <w:rPr>
          <w:snapToGrid w:val="0"/>
          <w:szCs w:val="22"/>
        </w:rPr>
        <w:t xml:space="preserve"> na </w:t>
      </w:r>
      <w:proofErr w:type="spellStart"/>
      <w:r w:rsidRPr="00823BDC">
        <w:rPr>
          <w:snapToGrid w:val="0"/>
          <w:szCs w:val="22"/>
        </w:rPr>
        <w:t>ezetimib</w:t>
      </w:r>
      <w:proofErr w:type="spellEnd"/>
      <w:r w:rsidRPr="00823BDC">
        <w:rPr>
          <w:snapToGrid w:val="0"/>
          <w:szCs w:val="22"/>
        </w:rPr>
        <w:t xml:space="preserve"> podávaný sú</w:t>
      </w:r>
      <w:r w:rsidR="00081701" w:rsidRPr="00823BDC">
        <w:rPr>
          <w:snapToGrid w:val="0"/>
          <w:szCs w:val="22"/>
        </w:rPr>
        <w:t>bežne</w:t>
      </w:r>
      <w:r w:rsidRPr="00823BDC">
        <w:rPr>
          <w:snapToGrid w:val="0"/>
          <w:szCs w:val="22"/>
        </w:rPr>
        <w:t xml:space="preserve"> so</w:t>
      </w:r>
      <w:r w:rsidR="00EC79D6" w:rsidRPr="00823BDC">
        <w:rPr>
          <w:snapToGrid w:val="0"/>
          <w:szCs w:val="22"/>
        </w:rPr>
        <w:t xml:space="preserve"> </w:t>
      </w:r>
      <w:proofErr w:type="spellStart"/>
      <w:r w:rsidRPr="00823BDC">
        <w:rPr>
          <w:snapToGrid w:val="0"/>
          <w:szCs w:val="22"/>
        </w:rPr>
        <w:t>simvastatínom</w:t>
      </w:r>
      <w:proofErr w:type="spellEnd"/>
      <w:r w:rsidRPr="00823BDC">
        <w:rPr>
          <w:snapToGrid w:val="0"/>
          <w:szCs w:val="22"/>
        </w:rPr>
        <w:t xml:space="preserve"> dosiahlo cieľovú hladinu LDL</w:t>
      </w:r>
      <w:r w:rsidRPr="00823BDC">
        <w:rPr>
          <w:snapToGrid w:val="0"/>
          <w:szCs w:val="22"/>
        </w:rPr>
        <w:noBreakHyphen/>
        <w:t xml:space="preserve">C </w:t>
      </w:r>
      <w:r w:rsidR="00A82797" w:rsidRPr="00823BDC">
        <w:rPr>
          <w:snapToGrid w:val="0"/>
          <w:szCs w:val="22"/>
        </w:rPr>
        <w:t>na konci</w:t>
      </w:r>
      <w:r w:rsidRPr="00823BDC">
        <w:rPr>
          <w:snapToGrid w:val="0"/>
          <w:szCs w:val="22"/>
        </w:rPr>
        <w:t xml:space="preserve"> štúdie v porovnaní s pacientmi </w:t>
      </w:r>
      <w:proofErr w:type="spellStart"/>
      <w:r w:rsidRPr="00823BDC">
        <w:rPr>
          <w:snapToGrid w:val="0"/>
          <w:szCs w:val="22"/>
        </w:rPr>
        <w:t>randomizovanými</w:t>
      </w:r>
      <w:proofErr w:type="spellEnd"/>
      <w:r w:rsidRPr="00823BDC">
        <w:rPr>
          <w:snapToGrid w:val="0"/>
          <w:szCs w:val="22"/>
        </w:rPr>
        <w:t xml:space="preserve"> na placebo podávané sú</w:t>
      </w:r>
      <w:r w:rsidR="00081701" w:rsidRPr="00823BDC">
        <w:rPr>
          <w:snapToGrid w:val="0"/>
          <w:szCs w:val="22"/>
        </w:rPr>
        <w:t>bež</w:t>
      </w:r>
      <w:r w:rsidRPr="00823BDC">
        <w:rPr>
          <w:snapToGrid w:val="0"/>
          <w:szCs w:val="22"/>
        </w:rPr>
        <w:t>ne so</w:t>
      </w:r>
      <w:r w:rsidR="0088522F" w:rsidRPr="00823BDC">
        <w:rPr>
          <w:snapToGrid w:val="0"/>
          <w:szCs w:val="22"/>
        </w:rPr>
        <w:t xml:space="preserve"> </w:t>
      </w:r>
      <w:proofErr w:type="spellStart"/>
      <w:r w:rsidRPr="00823BDC">
        <w:rPr>
          <w:snapToGrid w:val="0"/>
          <w:szCs w:val="22"/>
        </w:rPr>
        <w:t>simvastatínom</w:t>
      </w:r>
      <w:proofErr w:type="spellEnd"/>
      <w:r w:rsidRPr="00823BDC">
        <w:rPr>
          <w:snapToGrid w:val="0"/>
          <w:szCs w:val="22"/>
        </w:rPr>
        <w:t>, 76 % a 21,5 % v uvedenom poradí.</w:t>
      </w:r>
    </w:p>
    <w:p w14:paraId="008D3966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4DFB786" w14:textId="77777777" w:rsidR="00D044EB" w:rsidRPr="00823BDC" w:rsidRDefault="00D044EB">
      <w:pPr>
        <w:pStyle w:val="Body"/>
        <w:adjustRightInd w:val="0"/>
        <w:snapToGrid w:val="0"/>
        <w:ind w:firstLine="0"/>
        <w:rPr>
          <w:szCs w:val="22"/>
        </w:rPr>
      </w:pPr>
      <w:r w:rsidRPr="00823BDC">
        <w:rPr>
          <w:snapToGrid w:val="0"/>
          <w:szCs w:val="22"/>
        </w:rPr>
        <w:t>Príslušné zníženia LDL</w:t>
      </w:r>
      <w:r w:rsidRPr="00823BDC">
        <w:rPr>
          <w:snapToGrid w:val="0"/>
          <w:szCs w:val="22"/>
        </w:rPr>
        <w:noBreakHyphen/>
        <w:t xml:space="preserve">C pri </w:t>
      </w:r>
      <w:proofErr w:type="spellStart"/>
      <w:r w:rsidRPr="00823BDC">
        <w:rPr>
          <w:snapToGrid w:val="0"/>
          <w:szCs w:val="22"/>
        </w:rPr>
        <w:t>ezetimibe</w:t>
      </w:r>
      <w:proofErr w:type="spellEnd"/>
      <w:r w:rsidRPr="00823BDC">
        <w:rPr>
          <w:snapToGrid w:val="0"/>
          <w:szCs w:val="22"/>
        </w:rPr>
        <w:t xml:space="preserve"> alebo placebe podávaných sú</w:t>
      </w:r>
      <w:r w:rsidR="00081701" w:rsidRPr="00823BDC">
        <w:rPr>
          <w:snapToGrid w:val="0"/>
          <w:szCs w:val="22"/>
        </w:rPr>
        <w:t>bežne</w:t>
      </w:r>
      <w:r w:rsidRPr="00823BDC">
        <w:rPr>
          <w:snapToGrid w:val="0"/>
          <w:szCs w:val="22"/>
        </w:rPr>
        <w:t xml:space="preserve"> so</w:t>
      </w:r>
      <w:r w:rsidR="0088522F" w:rsidRPr="00823BDC">
        <w:rPr>
          <w:snapToGrid w:val="0"/>
          <w:szCs w:val="22"/>
        </w:rPr>
        <w:t xml:space="preserve"> </w:t>
      </w:r>
      <w:proofErr w:type="spellStart"/>
      <w:r w:rsidRPr="00823BDC">
        <w:rPr>
          <w:snapToGrid w:val="0"/>
          <w:szCs w:val="22"/>
        </w:rPr>
        <w:t>simvastatínom</w:t>
      </w:r>
      <w:proofErr w:type="spellEnd"/>
      <w:r w:rsidRPr="00823BDC">
        <w:rPr>
          <w:snapToGrid w:val="0"/>
          <w:szCs w:val="22"/>
        </w:rPr>
        <w:t xml:space="preserve"> boli tiež signifikantne rozdielne (27 % a</w:t>
      </w:r>
      <w:r w:rsidR="00FE59B2" w:rsidRPr="00823BDC">
        <w:rPr>
          <w:snapToGrid w:val="0"/>
          <w:szCs w:val="22"/>
        </w:rPr>
        <w:t xml:space="preserve">lebo </w:t>
      </w:r>
      <w:r w:rsidRPr="00823BDC">
        <w:rPr>
          <w:snapToGrid w:val="0"/>
          <w:szCs w:val="22"/>
        </w:rPr>
        <w:t xml:space="preserve">3 %, v uvedenom poradí). Okrem toho </w:t>
      </w:r>
      <w:proofErr w:type="spellStart"/>
      <w:r w:rsidRPr="00823BDC">
        <w:rPr>
          <w:snapToGrid w:val="0"/>
          <w:szCs w:val="22"/>
        </w:rPr>
        <w:t>ezetimib</w:t>
      </w:r>
      <w:proofErr w:type="spellEnd"/>
      <w:r w:rsidRPr="00823BDC">
        <w:rPr>
          <w:snapToGrid w:val="0"/>
          <w:szCs w:val="22"/>
        </w:rPr>
        <w:t xml:space="preserve"> podávaný sú</w:t>
      </w:r>
      <w:r w:rsidR="00081701" w:rsidRPr="00823BDC">
        <w:rPr>
          <w:snapToGrid w:val="0"/>
          <w:szCs w:val="22"/>
        </w:rPr>
        <w:t xml:space="preserve">bežne </w:t>
      </w:r>
      <w:r w:rsidRPr="00823BDC">
        <w:rPr>
          <w:snapToGrid w:val="0"/>
          <w:szCs w:val="22"/>
        </w:rPr>
        <w:t>so</w:t>
      </w:r>
      <w:r w:rsidR="0088522F" w:rsidRPr="00823BDC">
        <w:rPr>
          <w:snapToGrid w:val="0"/>
          <w:szCs w:val="22"/>
        </w:rPr>
        <w:t xml:space="preserve"> </w:t>
      </w:r>
      <w:proofErr w:type="spellStart"/>
      <w:r w:rsidRPr="00823BDC">
        <w:rPr>
          <w:snapToGrid w:val="0"/>
          <w:szCs w:val="22"/>
        </w:rPr>
        <w:t>simvastatínom</w:t>
      </w:r>
      <w:proofErr w:type="spellEnd"/>
      <w:r w:rsidRPr="00823BDC">
        <w:rPr>
          <w:snapToGrid w:val="0"/>
          <w:szCs w:val="22"/>
        </w:rPr>
        <w:t xml:space="preserve"> signifikantne znížil celkový</w:t>
      </w:r>
      <w:r w:rsidRPr="00823BDC">
        <w:rPr>
          <w:snapToGrid w:val="0"/>
          <w:szCs w:val="22"/>
        </w:rPr>
        <w:noBreakHyphen/>
        <w:t>C,</w:t>
      </w:r>
      <w:r w:rsidRPr="00823BDC">
        <w:rPr>
          <w:szCs w:val="22"/>
        </w:rPr>
        <w:t xml:space="preserve"> Apo B a TG</w:t>
      </w:r>
      <w:r w:rsidRPr="00823BDC">
        <w:rPr>
          <w:snapToGrid w:val="0"/>
          <w:szCs w:val="22"/>
        </w:rPr>
        <w:t xml:space="preserve"> v porovnaní s placebom podávaným sú</w:t>
      </w:r>
      <w:r w:rsidR="00081701" w:rsidRPr="00823BDC">
        <w:rPr>
          <w:snapToGrid w:val="0"/>
          <w:szCs w:val="22"/>
        </w:rPr>
        <w:t>bežne</w:t>
      </w:r>
      <w:r w:rsidRPr="00823BDC">
        <w:rPr>
          <w:snapToGrid w:val="0"/>
          <w:szCs w:val="22"/>
        </w:rPr>
        <w:t xml:space="preserve"> so</w:t>
      </w:r>
      <w:r w:rsidR="0088522F" w:rsidRPr="00823BDC">
        <w:rPr>
          <w:snapToGrid w:val="0"/>
          <w:szCs w:val="22"/>
        </w:rPr>
        <w:t xml:space="preserve"> </w:t>
      </w:r>
      <w:proofErr w:type="spellStart"/>
      <w:r w:rsidRPr="00823BDC">
        <w:rPr>
          <w:snapToGrid w:val="0"/>
          <w:szCs w:val="22"/>
        </w:rPr>
        <w:t>simvastatínom</w:t>
      </w:r>
      <w:proofErr w:type="spellEnd"/>
      <w:r w:rsidRPr="00823BDC">
        <w:rPr>
          <w:szCs w:val="22"/>
        </w:rPr>
        <w:t>.</w:t>
      </w:r>
    </w:p>
    <w:p w14:paraId="559075BB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22017B60" w14:textId="24CB2D5E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V </w:t>
      </w:r>
      <w:proofErr w:type="spellStart"/>
      <w:r w:rsidRPr="00823BDC">
        <w:rPr>
          <w:szCs w:val="22"/>
        </w:rPr>
        <w:t>multicentrick</w:t>
      </w:r>
      <w:r w:rsidR="0041794A" w:rsidRPr="00823BDC">
        <w:rPr>
          <w:szCs w:val="22"/>
        </w:rPr>
        <w:t>om</w:t>
      </w:r>
      <w:proofErr w:type="spellEnd"/>
      <w:r w:rsidRPr="00823BDC">
        <w:rPr>
          <w:szCs w:val="22"/>
        </w:rPr>
        <w:t>, dvojito zaslepen</w:t>
      </w:r>
      <w:r w:rsidR="0041794A" w:rsidRPr="00823BDC">
        <w:rPr>
          <w:szCs w:val="22"/>
        </w:rPr>
        <w:t>om</w:t>
      </w:r>
      <w:r w:rsidRPr="00823BDC">
        <w:rPr>
          <w:szCs w:val="22"/>
        </w:rPr>
        <w:t>, 24</w:t>
      </w:r>
      <w:r w:rsidRPr="00823BDC">
        <w:rPr>
          <w:szCs w:val="22"/>
        </w:rPr>
        <w:noBreakHyphen/>
        <w:t>týždňov</w:t>
      </w:r>
      <w:r w:rsidR="0041794A" w:rsidRPr="00823BDC">
        <w:rPr>
          <w:szCs w:val="22"/>
        </w:rPr>
        <w:t>om</w:t>
      </w:r>
      <w:r w:rsidRPr="00823BDC">
        <w:rPr>
          <w:szCs w:val="22"/>
        </w:rPr>
        <w:t xml:space="preserve"> skúš</w:t>
      </w:r>
      <w:r w:rsidR="0041794A" w:rsidRPr="00823BDC">
        <w:rPr>
          <w:szCs w:val="22"/>
        </w:rPr>
        <w:t>aní</w:t>
      </w:r>
      <w:r w:rsidRPr="00823BDC">
        <w:rPr>
          <w:szCs w:val="22"/>
        </w:rPr>
        <w:t xml:space="preserve"> bolo 214 pacientov s diabet</w:t>
      </w:r>
      <w:r w:rsidR="00DF3BF9" w:rsidRPr="00823BDC">
        <w:rPr>
          <w:szCs w:val="22"/>
        </w:rPr>
        <w:t>om</w:t>
      </w:r>
      <w:r w:rsidRPr="00823BDC">
        <w:rPr>
          <w:szCs w:val="22"/>
        </w:rPr>
        <w:t xml:space="preserve"> mellitus typu 2 liečených </w:t>
      </w:r>
      <w:proofErr w:type="spellStart"/>
      <w:r w:rsidRPr="00823BDC">
        <w:rPr>
          <w:szCs w:val="22"/>
        </w:rPr>
        <w:t>tiazolidíndiónmi</w:t>
      </w:r>
      <w:proofErr w:type="spellEnd"/>
      <w:r w:rsidRPr="00823BDC">
        <w:rPr>
          <w:szCs w:val="22"/>
        </w:rPr>
        <w:t xml:space="preserve"> (</w:t>
      </w:r>
      <w:proofErr w:type="spellStart"/>
      <w:r w:rsidRPr="00823BDC">
        <w:rPr>
          <w:szCs w:val="22"/>
        </w:rPr>
        <w:t>rosiglitazón</w:t>
      </w:r>
      <w:proofErr w:type="spellEnd"/>
      <w:r w:rsidRPr="00823BDC">
        <w:rPr>
          <w:szCs w:val="22"/>
        </w:rPr>
        <w:t xml:space="preserve"> alebo </w:t>
      </w:r>
      <w:proofErr w:type="spellStart"/>
      <w:r w:rsidRPr="00823BDC">
        <w:rPr>
          <w:szCs w:val="22"/>
        </w:rPr>
        <w:t>pioglitazón</w:t>
      </w:r>
      <w:proofErr w:type="spellEnd"/>
      <w:r w:rsidRPr="00823BDC">
        <w:rPr>
          <w:szCs w:val="22"/>
        </w:rPr>
        <w:t>) minimálne 3 mesiace a 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20 mg minimálne 6 týždňov s priemerným LDL</w:t>
      </w:r>
      <w:r w:rsidRPr="00823BDC">
        <w:rPr>
          <w:szCs w:val="22"/>
        </w:rPr>
        <w:noBreakHyphen/>
        <w:t xml:space="preserve">C 2,4 mmol/l (93 mg/dl) </w:t>
      </w:r>
      <w:proofErr w:type="spellStart"/>
      <w:r w:rsidRPr="00823BDC">
        <w:rPr>
          <w:szCs w:val="22"/>
        </w:rPr>
        <w:t>randomizovaných</w:t>
      </w:r>
      <w:proofErr w:type="spellEnd"/>
      <w:r w:rsidRPr="00823BDC">
        <w:rPr>
          <w:szCs w:val="22"/>
        </w:rPr>
        <w:t xml:space="preserve"> tak, aby dostávali buď 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40 mg alebo sú</w:t>
      </w:r>
      <w:r w:rsidR="00081701" w:rsidRPr="00823BDC">
        <w:rPr>
          <w:szCs w:val="22"/>
        </w:rPr>
        <w:t>bežne</w:t>
      </w:r>
      <w:r w:rsidRPr="00823BDC">
        <w:rPr>
          <w:szCs w:val="22"/>
        </w:rPr>
        <w:t xml:space="preserve"> podávané účinné zložky ekvivalentné </w:t>
      </w:r>
      <w:proofErr w:type="spellStart"/>
      <w:r w:rsidR="0054098C" w:rsidRPr="00823BDC">
        <w:rPr>
          <w:szCs w:val="22"/>
        </w:rPr>
        <w:t>ezetimibu</w:t>
      </w:r>
      <w:proofErr w:type="spellEnd"/>
      <w:r w:rsidR="0054098C" w:rsidRPr="00823BDC">
        <w:rPr>
          <w:szCs w:val="22"/>
        </w:rPr>
        <w:t>/</w:t>
      </w:r>
      <w:proofErr w:type="spellStart"/>
      <w:r w:rsidR="0054098C"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10 mg/20 mg. </w:t>
      </w:r>
      <w:proofErr w:type="spellStart"/>
      <w:r w:rsidR="0054098C" w:rsidRPr="00823BDC">
        <w:rPr>
          <w:szCs w:val="22"/>
        </w:rPr>
        <w:t>Ezetimib</w:t>
      </w:r>
      <w:proofErr w:type="spellEnd"/>
      <w:r w:rsidR="0054098C" w:rsidRPr="00823BDC">
        <w:rPr>
          <w:szCs w:val="22"/>
        </w:rPr>
        <w:t>/</w:t>
      </w:r>
      <w:proofErr w:type="spellStart"/>
      <w:r w:rsidR="0054098C"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10 mg/20 mg bol signifikantne účinnejší </w:t>
      </w:r>
      <w:r w:rsidR="00A82797" w:rsidRPr="00823BDC">
        <w:rPr>
          <w:szCs w:val="22"/>
        </w:rPr>
        <w:t xml:space="preserve">ako </w:t>
      </w:r>
      <w:r w:rsidRPr="00823BDC">
        <w:rPr>
          <w:szCs w:val="22"/>
        </w:rPr>
        <w:t xml:space="preserve">zdvojnásobenie dávky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na 40 mg v ďalšom znižovaní LDL</w:t>
      </w:r>
      <w:r w:rsidRPr="00823BDC">
        <w:rPr>
          <w:szCs w:val="22"/>
        </w:rPr>
        <w:noBreakHyphen/>
        <w:t>C (-21 % oproti 0 %), celkového</w:t>
      </w:r>
      <w:r w:rsidRPr="00823BDC">
        <w:rPr>
          <w:szCs w:val="22"/>
        </w:rPr>
        <w:noBreakHyphen/>
        <w:t>C (-14 % oproti -1 %), Apo B (-14 % oproti -2 %) a </w:t>
      </w:r>
      <w:proofErr w:type="spellStart"/>
      <w:r w:rsidRPr="00823BDC">
        <w:rPr>
          <w:szCs w:val="22"/>
        </w:rPr>
        <w:t>non</w:t>
      </w:r>
      <w:proofErr w:type="spellEnd"/>
      <w:r w:rsidRPr="00823BDC">
        <w:rPr>
          <w:szCs w:val="22"/>
        </w:rPr>
        <w:t>-HDL</w:t>
      </w:r>
      <w:r w:rsidRPr="00823BDC">
        <w:rPr>
          <w:szCs w:val="22"/>
        </w:rPr>
        <w:noBreakHyphen/>
        <w:t xml:space="preserve">C (-20 % oproti -2 %) nad zníženia pozorované pri </w:t>
      </w:r>
      <w:proofErr w:type="spellStart"/>
      <w:r w:rsidRPr="00823BDC">
        <w:rPr>
          <w:szCs w:val="22"/>
        </w:rPr>
        <w:t>simvastatíne</w:t>
      </w:r>
      <w:proofErr w:type="spellEnd"/>
      <w:r w:rsidRPr="00823BDC">
        <w:rPr>
          <w:szCs w:val="22"/>
        </w:rPr>
        <w:t xml:space="preserve"> 20 mg. Výsledné hodnoty HDL</w:t>
      </w:r>
      <w:r w:rsidRPr="00823BDC">
        <w:rPr>
          <w:szCs w:val="22"/>
        </w:rPr>
        <w:noBreakHyphen/>
        <w:t xml:space="preserve">C a TG medzi týmito </w:t>
      </w:r>
      <w:r w:rsidR="004C4DEF" w:rsidRPr="00823BDC">
        <w:rPr>
          <w:szCs w:val="22"/>
        </w:rPr>
        <w:t xml:space="preserve">2 </w:t>
      </w:r>
      <w:r w:rsidRPr="00823BDC">
        <w:rPr>
          <w:szCs w:val="22"/>
        </w:rPr>
        <w:t xml:space="preserve">terapeutickými skupinami sa signifikantne nelíšili. Výsledky neboli ovplyvnené typom </w:t>
      </w:r>
      <w:proofErr w:type="spellStart"/>
      <w:r w:rsidRPr="00823BDC">
        <w:rPr>
          <w:szCs w:val="22"/>
        </w:rPr>
        <w:t>tiazolidíndiónovej</w:t>
      </w:r>
      <w:proofErr w:type="spellEnd"/>
      <w:r w:rsidRPr="00823BDC">
        <w:rPr>
          <w:szCs w:val="22"/>
        </w:rPr>
        <w:t xml:space="preserve"> </w:t>
      </w:r>
      <w:r w:rsidR="005E46D4" w:rsidRPr="00823BDC">
        <w:rPr>
          <w:szCs w:val="22"/>
        </w:rPr>
        <w:t>liečby</w:t>
      </w:r>
      <w:r w:rsidRPr="00823BDC">
        <w:rPr>
          <w:szCs w:val="22"/>
        </w:rPr>
        <w:t>.</w:t>
      </w:r>
    </w:p>
    <w:p w14:paraId="2DE6CFB1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0ABA8D86" w14:textId="77777777" w:rsidR="00D044EB" w:rsidRPr="00823BDC" w:rsidRDefault="00D044EB">
      <w:pPr>
        <w:adjustRightInd w:val="0"/>
        <w:snapToGrid w:val="0"/>
        <w:rPr>
          <w:szCs w:val="22"/>
          <w:lang w:bidi="gu-IN"/>
        </w:rPr>
      </w:pPr>
      <w:r w:rsidRPr="00823BDC">
        <w:rPr>
          <w:szCs w:val="22"/>
        </w:rPr>
        <w:t xml:space="preserve">Účinnosť jednotlivých dávkových síl </w:t>
      </w:r>
      <w:proofErr w:type="spellStart"/>
      <w:r w:rsidR="00211DFC" w:rsidRPr="00823BDC">
        <w:rPr>
          <w:szCs w:val="22"/>
        </w:rPr>
        <w:t>ezetimibu</w:t>
      </w:r>
      <w:proofErr w:type="spellEnd"/>
      <w:r w:rsidR="00211DFC" w:rsidRPr="00823BDC">
        <w:rPr>
          <w:szCs w:val="22"/>
        </w:rPr>
        <w:t>/</w:t>
      </w:r>
      <w:proofErr w:type="spellStart"/>
      <w:r w:rsidR="00211DFC"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(10</w:t>
      </w:r>
      <w:r w:rsidR="00DF3BF9" w:rsidRPr="00823BDC">
        <w:rPr>
          <w:szCs w:val="22"/>
        </w:rPr>
        <w:t xml:space="preserve"> mg</w:t>
      </w:r>
      <w:r w:rsidRPr="00823BDC">
        <w:rPr>
          <w:szCs w:val="22"/>
        </w:rPr>
        <w:t>/10</w:t>
      </w:r>
      <w:r w:rsidR="00DF3BF9" w:rsidRPr="00823BDC">
        <w:rPr>
          <w:szCs w:val="22"/>
        </w:rPr>
        <w:t xml:space="preserve"> mg</w:t>
      </w:r>
      <w:r w:rsidRPr="00823BDC">
        <w:rPr>
          <w:szCs w:val="22"/>
        </w:rPr>
        <w:t xml:space="preserve"> až 10</w:t>
      </w:r>
      <w:r w:rsidR="00DF3BF9" w:rsidRPr="00823BDC">
        <w:rPr>
          <w:szCs w:val="22"/>
        </w:rPr>
        <w:t xml:space="preserve"> mg</w:t>
      </w:r>
      <w:r w:rsidRPr="00823BDC">
        <w:rPr>
          <w:szCs w:val="22"/>
        </w:rPr>
        <w:t>/80 mg/deň) bola preukázaná v </w:t>
      </w:r>
      <w:proofErr w:type="spellStart"/>
      <w:r w:rsidRPr="00823BDC">
        <w:rPr>
          <w:szCs w:val="22"/>
        </w:rPr>
        <w:t>multicentrick</w:t>
      </w:r>
      <w:r w:rsidR="005E46D4" w:rsidRPr="00823BDC">
        <w:rPr>
          <w:szCs w:val="22"/>
        </w:rPr>
        <w:t>om</w:t>
      </w:r>
      <w:proofErr w:type="spellEnd"/>
      <w:r w:rsidRPr="00823BDC">
        <w:rPr>
          <w:szCs w:val="22"/>
        </w:rPr>
        <w:t>, dvojito zaslepen</w:t>
      </w:r>
      <w:r w:rsidR="005E46D4" w:rsidRPr="00823BDC">
        <w:rPr>
          <w:szCs w:val="22"/>
        </w:rPr>
        <w:t>om</w:t>
      </w:r>
      <w:r w:rsidRPr="00823BDC">
        <w:rPr>
          <w:szCs w:val="22"/>
        </w:rPr>
        <w:t>, placebom kontrolovan</w:t>
      </w:r>
      <w:r w:rsidR="0041794A" w:rsidRPr="00823BDC">
        <w:rPr>
          <w:szCs w:val="22"/>
        </w:rPr>
        <w:t>om</w:t>
      </w:r>
      <w:r w:rsidRPr="00823BDC">
        <w:rPr>
          <w:szCs w:val="22"/>
        </w:rPr>
        <w:t xml:space="preserve"> 12-týždňov</w:t>
      </w:r>
      <w:r w:rsidR="0041794A" w:rsidRPr="00823BDC">
        <w:rPr>
          <w:szCs w:val="22"/>
        </w:rPr>
        <w:t>om</w:t>
      </w:r>
      <w:r w:rsidRPr="00823BDC">
        <w:rPr>
          <w:szCs w:val="22"/>
        </w:rPr>
        <w:t xml:space="preserve"> skúš</w:t>
      </w:r>
      <w:r w:rsidR="0041794A" w:rsidRPr="00823BDC">
        <w:rPr>
          <w:szCs w:val="22"/>
        </w:rPr>
        <w:t>aní</w:t>
      </w:r>
      <w:r w:rsidRPr="00823BDC">
        <w:rPr>
          <w:szCs w:val="22"/>
        </w:rPr>
        <w:t>, ktor</w:t>
      </w:r>
      <w:r w:rsidR="0041794A" w:rsidRPr="00823BDC">
        <w:rPr>
          <w:szCs w:val="22"/>
        </w:rPr>
        <w:t>é</w:t>
      </w:r>
      <w:r w:rsidRPr="00823BDC">
        <w:rPr>
          <w:szCs w:val="22"/>
        </w:rPr>
        <w:t xml:space="preserve"> zahŕňal</w:t>
      </w:r>
      <w:r w:rsidR="0041794A" w:rsidRPr="00823BDC">
        <w:rPr>
          <w:szCs w:val="22"/>
        </w:rPr>
        <w:t>o</w:t>
      </w:r>
      <w:r w:rsidRPr="00823BDC">
        <w:rPr>
          <w:szCs w:val="22"/>
        </w:rPr>
        <w:t xml:space="preserve"> všetky dostupné dávky </w:t>
      </w:r>
      <w:proofErr w:type="spellStart"/>
      <w:r w:rsidR="00211DFC" w:rsidRPr="00823BDC">
        <w:rPr>
          <w:szCs w:val="22"/>
        </w:rPr>
        <w:t>ezetimibu</w:t>
      </w:r>
      <w:proofErr w:type="spellEnd"/>
      <w:r w:rsidR="00211DFC" w:rsidRPr="00823BDC">
        <w:rPr>
          <w:szCs w:val="22"/>
        </w:rPr>
        <w:t>/</w:t>
      </w:r>
      <w:proofErr w:type="spellStart"/>
      <w:r w:rsidR="00211DFC"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a všetky relevantné dávky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. Pri porovnaní pacientov dostávajúcich všetky dávky </w:t>
      </w:r>
      <w:proofErr w:type="spellStart"/>
      <w:r w:rsidR="00211DFC" w:rsidRPr="00823BDC">
        <w:rPr>
          <w:szCs w:val="22"/>
        </w:rPr>
        <w:t>ezetimibu</w:t>
      </w:r>
      <w:proofErr w:type="spellEnd"/>
      <w:r w:rsidR="00211DFC" w:rsidRPr="00823BDC">
        <w:rPr>
          <w:szCs w:val="22"/>
        </w:rPr>
        <w:t>/</w:t>
      </w:r>
      <w:proofErr w:type="spellStart"/>
      <w:r w:rsidR="00211DFC"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s pacientmi dostávajúcimi všetky dávky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sa zistilo, že</w:t>
      </w:r>
      <w:r w:rsidRPr="00823BDC">
        <w:rPr>
          <w:szCs w:val="22"/>
          <w:lang w:bidi="gu-IN"/>
        </w:rPr>
        <w:t xml:space="preserve"> </w:t>
      </w:r>
      <w:proofErr w:type="spellStart"/>
      <w:r w:rsidR="00211DFC" w:rsidRPr="00823BDC">
        <w:rPr>
          <w:szCs w:val="22"/>
          <w:lang w:bidi="gu-IN"/>
        </w:rPr>
        <w:t>ezetimib</w:t>
      </w:r>
      <w:proofErr w:type="spellEnd"/>
      <w:r w:rsidR="00211DFC" w:rsidRPr="00823BDC">
        <w:rPr>
          <w:szCs w:val="22"/>
          <w:lang w:bidi="gu-IN"/>
        </w:rPr>
        <w:t>/</w:t>
      </w:r>
      <w:proofErr w:type="spellStart"/>
      <w:r w:rsidR="00211DFC" w:rsidRPr="00823BDC">
        <w:rPr>
          <w:szCs w:val="22"/>
          <w:lang w:bidi="gu-IN"/>
        </w:rPr>
        <w:t>simvastatín</w:t>
      </w:r>
      <w:proofErr w:type="spellEnd"/>
      <w:r w:rsidRPr="00823BDC">
        <w:rPr>
          <w:szCs w:val="22"/>
          <w:lang w:bidi="gu-IN"/>
        </w:rPr>
        <w:t xml:space="preserve"> signifikantne znížil celkový</w:t>
      </w:r>
      <w:r w:rsidRPr="00823BDC">
        <w:rPr>
          <w:szCs w:val="22"/>
          <w:lang w:bidi="gu-IN"/>
        </w:rPr>
        <w:noBreakHyphen/>
        <w:t>C, LDL</w:t>
      </w:r>
      <w:r w:rsidRPr="00823BDC">
        <w:rPr>
          <w:szCs w:val="22"/>
          <w:lang w:bidi="gu-IN"/>
        </w:rPr>
        <w:noBreakHyphen/>
        <w:t xml:space="preserve">C a TG </w:t>
      </w:r>
      <w:r w:rsidRPr="00823BDC">
        <w:rPr>
          <w:szCs w:val="22"/>
        </w:rPr>
        <w:t xml:space="preserve">(pozri tabuľku </w:t>
      </w:r>
      <w:r w:rsidR="00A82797" w:rsidRPr="00823BDC">
        <w:rPr>
          <w:szCs w:val="22"/>
        </w:rPr>
        <w:t>2</w:t>
      </w:r>
      <w:r w:rsidRPr="00823BDC">
        <w:rPr>
          <w:szCs w:val="22"/>
        </w:rPr>
        <w:t>)</w:t>
      </w:r>
      <w:r w:rsidRPr="00823BDC">
        <w:rPr>
          <w:szCs w:val="22"/>
          <w:lang w:bidi="gu-IN"/>
        </w:rPr>
        <w:t xml:space="preserve"> ako aj </w:t>
      </w:r>
      <w:r w:rsidRPr="00823BDC">
        <w:rPr>
          <w:szCs w:val="22"/>
        </w:rPr>
        <w:t xml:space="preserve">Apo B (-42 % oproti -29 %), </w:t>
      </w:r>
      <w:proofErr w:type="spellStart"/>
      <w:r w:rsidRPr="00823BDC">
        <w:rPr>
          <w:szCs w:val="22"/>
        </w:rPr>
        <w:t>non</w:t>
      </w:r>
      <w:proofErr w:type="spellEnd"/>
      <w:r w:rsidRPr="00823BDC">
        <w:rPr>
          <w:szCs w:val="22"/>
        </w:rPr>
        <w:t>-HDL</w:t>
      </w:r>
      <w:r w:rsidRPr="00823BDC">
        <w:rPr>
          <w:szCs w:val="22"/>
        </w:rPr>
        <w:noBreakHyphen/>
        <w:t xml:space="preserve">C (-49 % oproti -34 %) a C-reaktívny proteín </w:t>
      </w:r>
      <w:r w:rsidRPr="00823BDC">
        <w:rPr>
          <w:snapToGrid w:val="0"/>
          <w:szCs w:val="22"/>
        </w:rPr>
        <w:t>(-33 % oproti -9 %).</w:t>
      </w:r>
      <w:r w:rsidRPr="00823BDC">
        <w:rPr>
          <w:szCs w:val="22"/>
        </w:rPr>
        <w:t xml:space="preserve"> Účinky </w:t>
      </w:r>
      <w:proofErr w:type="spellStart"/>
      <w:r w:rsidR="00211DFC" w:rsidRPr="00823BDC">
        <w:rPr>
          <w:szCs w:val="22"/>
        </w:rPr>
        <w:t>ezetimibu</w:t>
      </w:r>
      <w:proofErr w:type="spellEnd"/>
      <w:r w:rsidR="00211DFC" w:rsidRPr="00823BDC">
        <w:rPr>
          <w:szCs w:val="22"/>
        </w:rPr>
        <w:t>/</w:t>
      </w:r>
      <w:proofErr w:type="spellStart"/>
      <w:r w:rsidR="00211DFC"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na</w:t>
      </w:r>
      <w:r w:rsidRPr="00823BDC">
        <w:rPr>
          <w:szCs w:val="22"/>
          <w:lang w:bidi="gu-IN"/>
        </w:rPr>
        <w:t xml:space="preserve"> HDL</w:t>
      </w:r>
      <w:r w:rsidRPr="00823BDC">
        <w:rPr>
          <w:szCs w:val="22"/>
          <w:lang w:bidi="gu-IN"/>
        </w:rPr>
        <w:noBreakHyphen/>
        <w:t xml:space="preserve">C boli podobné ako účinky pozorované pri </w:t>
      </w:r>
      <w:proofErr w:type="spellStart"/>
      <w:r w:rsidRPr="00823BDC">
        <w:rPr>
          <w:szCs w:val="22"/>
          <w:lang w:bidi="gu-IN"/>
        </w:rPr>
        <w:t>simvastatíne</w:t>
      </w:r>
      <w:proofErr w:type="spellEnd"/>
      <w:r w:rsidRPr="00823BDC">
        <w:rPr>
          <w:szCs w:val="22"/>
          <w:lang w:bidi="gu-IN"/>
        </w:rPr>
        <w:t xml:space="preserve">. Ďalšia analýza ukázala, že </w:t>
      </w:r>
      <w:proofErr w:type="spellStart"/>
      <w:r w:rsidR="00211DFC" w:rsidRPr="00823BDC">
        <w:rPr>
          <w:szCs w:val="22"/>
          <w:lang w:bidi="gu-IN"/>
        </w:rPr>
        <w:t>ezetimib</w:t>
      </w:r>
      <w:proofErr w:type="spellEnd"/>
      <w:r w:rsidR="00211DFC" w:rsidRPr="00823BDC">
        <w:rPr>
          <w:szCs w:val="22"/>
          <w:lang w:bidi="gu-IN"/>
        </w:rPr>
        <w:t>/</w:t>
      </w:r>
      <w:proofErr w:type="spellStart"/>
      <w:r w:rsidR="00211DFC" w:rsidRPr="00823BDC">
        <w:rPr>
          <w:szCs w:val="22"/>
          <w:lang w:bidi="gu-IN"/>
        </w:rPr>
        <w:t>simvastatín</w:t>
      </w:r>
      <w:proofErr w:type="spellEnd"/>
      <w:r w:rsidRPr="00823BDC">
        <w:rPr>
          <w:szCs w:val="22"/>
          <w:lang w:bidi="gu-IN"/>
        </w:rPr>
        <w:t xml:space="preserve"> signifikantne zvýšil HDL</w:t>
      </w:r>
      <w:r w:rsidRPr="00823BDC">
        <w:rPr>
          <w:szCs w:val="22"/>
          <w:lang w:bidi="gu-IN"/>
        </w:rPr>
        <w:noBreakHyphen/>
        <w:t>C v porovnaní s placebom.</w:t>
      </w:r>
    </w:p>
    <w:p w14:paraId="31D40773" w14:textId="77777777" w:rsidR="00D044EB" w:rsidRPr="00823BDC" w:rsidRDefault="00D044EB">
      <w:pPr>
        <w:pStyle w:val="ExtraSpace"/>
        <w:adjustRightInd w:val="0"/>
        <w:snapToGrid w:val="0"/>
        <w:spacing w:line="240" w:lineRule="auto"/>
        <w:rPr>
          <w:color w:val="auto"/>
          <w:szCs w:val="22"/>
        </w:rPr>
      </w:pPr>
    </w:p>
    <w:p w14:paraId="2E2EA257" w14:textId="77777777" w:rsidR="00D044EB" w:rsidRPr="00823BDC" w:rsidRDefault="00D044EB">
      <w:pPr>
        <w:pStyle w:val="Tablecentered"/>
        <w:keepLines w:val="0"/>
        <w:adjustRightInd w:val="0"/>
        <w:snapToGrid w:val="0"/>
        <w:outlineLvl w:val="0"/>
        <w:rPr>
          <w:b/>
          <w:sz w:val="22"/>
          <w:szCs w:val="22"/>
        </w:rPr>
      </w:pPr>
      <w:r w:rsidRPr="00823BDC">
        <w:rPr>
          <w:b/>
          <w:sz w:val="22"/>
          <w:szCs w:val="22"/>
        </w:rPr>
        <w:t xml:space="preserve">Tabuľka </w:t>
      </w:r>
      <w:r w:rsidR="00F67830" w:rsidRPr="00823BDC">
        <w:rPr>
          <w:b/>
          <w:sz w:val="22"/>
          <w:szCs w:val="22"/>
        </w:rPr>
        <w:t>2</w:t>
      </w:r>
    </w:p>
    <w:p w14:paraId="4E16BC18" w14:textId="77777777" w:rsidR="00D044EB" w:rsidRPr="00823BDC" w:rsidRDefault="00D044EB">
      <w:pPr>
        <w:pStyle w:val="Tablecentered"/>
        <w:keepLines w:val="0"/>
        <w:adjustRightInd w:val="0"/>
        <w:snapToGrid w:val="0"/>
        <w:rPr>
          <w:b/>
          <w:sz w:val="22"/>
          <w:szCs w:val="22"/>
        </w:rPr>
      </w:pPr>
      <w:r w:rsidRPr="00823BDC">
        <w:rPr>
          <w:b/>
          <w:sz w:val="22"/>
          <w:szCs w:val="22"/>
        </w:rPr>
        <w:t xml:space="preserve">Odpoveď na </w:t>
      </w:r>
      <w:proofErr w:type="spellStart"/>
      <w:r w:rsidR="00211DFC" w:rsidRPr="00823BDC">
        <w:rPr>
          <w:b/>
          <w:sz w:val="22"/>
          <w:szCs w:val="22"/>
        </w:rPr>
        <w:t>ezetimib</w:t>
      </w:r>
      <w:proofErr w:type="spellEnd"/>
      <w:r w:rsidR="00211DFC" w:rsidRPr="00823BDC">
        <w:rPr>
          <w:b/>
          <w:sz w:val="22"/>
          <w:szCs w:val="22"/>
        </w:rPr>
        <w:t>/</w:t>
      </w:r>
      <w:proofErr w:type="spellStart"/>
      <w:r w:rsidR="00211DFC" w:rsidRPr="00823BDC">
        <w:rPr>
          <w:b/>
          <w:sz w:val="22"/>
          <w:szCs w:val="22"/>
        </w:rPr>
        <w:t>simvastatín</w:t>
      </w:r>
      <w:proofErr w:type="spellEnd"/>
      <w:r w:rsidRPr="00823BDC">
        <w:rPr>
          <w:b/>
          <w:sz w:val="22"/>
          <w:szCs w:val="22"/>
        </w:rPr>
        <w:t xml:space="preserve"> u pacientov s primárnou </w:t>
      </w:r>
      <w:proofErr w:type="spellStart"/>
      <w:r w:rsidRPr="00823BDC">
        <w:rPr>
          <w:b/>
          <w:sz w:val="22"/>
          <w:szCs w:val="22"/>
        </w:rPr>
        <w:t>hypercholesterolémiou</w:t>
      </w:r>
      <w:proofErr w:type="spellEnd"/>
    </w:p>
    <w:p w14:paraId="593AD26A" w14:textId="77777777" w:rsidR="00D044EB" w:rsidRPr="00823BDC" w:rsidRDefault="00D044EB">
      <w:pPr>
        <w:pStyle w:val="Tablecentered"/>
        <w:keepLines w:val="0"/>
        <w:adjustRightInd w:val="0"/>
        <w:snapToGrid w:val="0"/>
        <w:rPr>
          <w:b/>
          <w:sz w:val="22"/>
          <w:szCs w:val="22"/>
        </w:rPr>
      </w:pPr>
      <w:r w:rsidRPr="00823BDC">
        <w:rPr>
          <w:b/>
          <w:sz w:val="22"/>
          <w:szCs w:val="22"/>
        </w:rPr>
        <w:t>(</w:t>
      </w:r>
      <w:proofErr w:type="spellStart"/>
      <w:r w:rsidRPr="00823BDC">
        <w:rPr>
          <w:b/>
          <w:sz w:val="22"/>
          <w:szCs w:val="22"/>
        </w:rPr>
        <w:t>Priemerná</w:t>
      </w:r>
      <w:r w:rsidRPr="00823BDC">
        <w:rPr>
          <w:b/>
          <w:sz w:val="22"/>
          <w:szCs w:val="22"/>
          <w:vertAlign w:val="superscript"/>
        </w:rPr>
        <w:t>a</w:t>
      </w:r>
      <w:proofErr w:type="spellEnd"/>
      <w:r w:rsidRPr="00823BDC">
        <w:rPr>
          <w:b/>
          <w:sz w:val="22"/>
          <w:szCs w:val="22"/>
        </w:rPr>
        <w:t xml:space="preserve"> % zmena oproti východiskovej hodnote bez </w:t>
      </w:r>
      <w:proofErr w:type="spellStart"/>
      <w:r w:rsidRPr="00823BDC">
        <w:rPr>
          <w:b/>
          <w:sz w:val="22"/>
          <w:szCs w:val="22"/>
        </w:rPr>
        <w:t>liečby</w:t>
      </w:r>
      <w:r w:rsidRPr="00823BDC">
        <w:rPr>
          <w:b/>
          <w:sz w:val="22"/>
          <w:szCs w:val="22"/>
          <w:vertAlign w:val="superscript"/>
        </w:rPr>
        <w:t>b</w:t>
      </w:r>
      <w:proofErr w:type="spellEnd"/>
      <w:r w:rsidRPr="00823BDC">
        <w:rPr>
          <w:b/>
          <w:sz w:val="22"/>
          <w:szCs w:val="22"/>
        </w:rPr>
        <w:t>)</w:t>
      </w:r>
    </w:p>
    <w:p w14:paraId="40A7035A" w14:textId="77777777" w:rsidR="00D044EB" w:rsidRPr="00823BDC" w:rsidRDefault="00D044EB">
      <w:pPr>
        <w:pStyle w:val="ExtraSpace"/>
        <w:keepNext/>
        <w:adjustRightInd w:val="0"/>
        <w:snapToGrid w:val="0"/>
        <w:spacing w:line="240" w:lineRule="auto"/>
        <w:rPr>
          <w:b/>
          <w:color w:val="auto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88"/>
        <w:gridCol w:w="1132"/>
        <w:gridCol w:w="1133"/>
        <w:gridCol w:w="1132"/>
        <w:gridCol w:w="1133"/>
        <w:gridCol w:w="1133"/>
      </w:tblGrid>
      <w:tr w:rsidR="00D044EB" w:rsidRPr="00823BDC" w14:paraId="53EC8ED2" w14:textId="77777777" w:rsidTr="00D044EB">
        <w:trPr>
          <w:trHeight w:val="255"/>
          <w:jc w:val="center"/>
        </w:trPr>
        <w:tc>
          <w:tcPr>
            <w:tcW w:w="2688" w:type="dxa"/>
            <w:vAlign w:val="center"/>
          </w:tcPr>
          <w:p w14:paraId="62385B2D" w14:textId="77777777" w:rsidR="00D044EB" w:rsidRPr="00A6540D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b/>
                <w:sz w:val="22"/>
                <w:szCs w:val="22"/>
              </w:rPr>
            </w:pPr>
            <w:r w:rsidRPr="00A6540D">
              <w:rPr>
                <w:b/>
                <w:sz w:val="22"/>
                <w:szCs w:val="22"/>
              </w:rPr>
              <w:t>Liečba</w:t>
            </w:r>
          </w:p>
        </w:tc>
        <w:tc>
          <w:tcPr>
            <w:tcW w:w="1132" w:type="dxa"/>
            <w:tcMar>
              <w:left w:w="0" w:type="dxa"/>
              <w:right w:w="0" w:type="dxa"/>
            </w:tcMar>
            <w:vAlign w:val="center"/>
          </w:tcPr>
          <w:p w14:paraId="270EB221" w14:textId="77777777" w:rsidR="00D044EB" w:rsidRPr="00AA7838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14:paraId="79D45B39" w14:textId="77777777" w:rsidR="00D044EB" w:rsidRPr="00373B08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1132" w:type="dxa"/>
            <w:tcMar>
              <w:left w:w="0" w:type="dxa"/>
              <w:right w:w="0" w:type="dxa"/>
            </w:tcMar>
            <w:vAlign w:val="center"/>
          </w:tcPr>
          <w:p w14:paraId="62BCA599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14:paraId="7A29BD37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14:paraId="2E4CD0A1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D044EB" w:rsidRPr="00823BDC" w14:paraId="5EFA6392" w14:textId="77777777" w:rsidTr="00D044EB">
        <w:trPr>
          <w:trHeight w:val="255"/>
          <w:jc w:val="center"/>
        </w:trPr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14:paraId="3530026E" w14:textId="77777777" w:rsidR="00D044EB" w:rsidRPr="00823BDC" w:rsidRDefault="00D044EB" w:rsidP="00F004C3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(denná dávka)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FE45" w14:textId="6BC40AC4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N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5B67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Celkový</w:t>
            </w:r>
            <w:r w:rsidRPr="00823BDC">
              <w:rPr>
                <w:sz w:val="22"/>
                <w:szCs w:val="22"/>
              </w:rPr>
              <w:noBreakHyphen/>
              <w:t>C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836B" w14:textId="77777777" w:rsidR="00D044EB" w:rsidRPr="00823BDC" w:rsidRDefault="00D044EB" w:rsidP="005332CD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LDL</w:t>
            </w:r>
            <w:r w:rsidRPr="00823BDC">
              <w:rPr>
                <w:sz w:val="22"/>
                <w:szCs w:val="22"/>
              </w:rPr>
              <w:noBreakHyphen/>
              <w:t>C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633C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HDL</w:t>
            </w:r>
            <w:r w:rsidRPr="00823BDC">
              <w:rPr>
                <w:sz w:val="22"/>
                <w:szCs w:val="22"/>
              </w:rPr>
              <w:noBreakHyphen/>
              <w:t>C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B396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proofErr w:type="spellStart"/>
            <w:r w:rsidRPr="00823BDC">
              <w:rPr>
                <w:sz w:val="22"/>
                <w:szCs w:val="22"/>
              </w:rPr>
              <w:t>TG</w:t>
            </w:r>
            <w:r w:rsidRPr="00823BDC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D044EB" w:rsidRPr="00823BDC" w14:paraId="63C43E5D" w14:textId="77777777" w:rsidTr="00D044EB">
        <w:trPr>
          <w:trHeight w:val="255"/>
          <w:jc w:val="center"/>
        </w:trPr>
        <w:tc>
          <w:tcPr>
            <w:tcW w:w="268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6CACF53" w14:textId="77777777" w:rsidR="00D044EB" w:rsidRPr="00823BDC" w:rsidRDefault="00D044EB" w:rsidP="00F004C3">
            <w:pPr>
              <w:pStyle w:val="Tablenormal"/>
              <w:keepLines w:val="0"/>
              <w:adjustRightInd w:val="0"/>
              <w:snapToGrid w:val="0"/>
              <w:rPr>
                <w:sz w:val="22"/>
                <w:szCs w:val="22"/>
                <w:vertAlign w:val="superscript"/>
              </w:rPr>
            </w:pPr>
            <w:r w:rsidRPr="00823BDC">
              <w:rPr>
                <w:sz w:val="22"/>
                <w:szCs w:val="22"/>
              </w:rPr>
              <w:t>Združené údaje (</w:t>
            </w:r>
            <w:proofErr w:type="spellStart"/>
            <w:r w:rsidR="00211DFC" w:rsidRPr="00823BDC">
              <w:rPr>
                <w:sz w:val="22"/>
                <w:szCs w:val="22"/>
              </w:rPr>
              <w:t>ezetimib</w:t>
            </w:r>
            <w:proofErr w:type="spellEnd"/>
            <w:r w:rsidR="00211DFC" w:rsidRPr="00823BDC">
              <w:rPr>
                <w:sz w:val="22"/>
                <w:szCs w:val="22"/>
              </w:rPr>
              <w:t>/</w:t>
            </w:r>
            <w:proofErr w:type="spellStart"/>
            <w:r w:rsidR="00211DFC" w:rsidRPr="00823BDC">
              <w:rPr>
                <w:sz w:val="22"/>
                <w:szCs w:val="22"/>
              </w:rPr>
              <w:t>simvastatín</w:t>
            </w:r>
            <w:proofErr w:type="spellEnd"/>
            <w:r w:rsidRPr="00823BDC">
              <w:rPr>
                <w:sz w:val="22"/>
                <w:szCs w:val="22"/>
              </w:rPr>
              <w:t xml:space="preserve"> všetky dávky)</w:t>
            </w:r>
            <w:r w:rsidRPr="00823BDC">
              <w:rPr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32" w:type="dxa"/>
            <w:tcBorders>
              <w:top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8395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353</w:t>
            </w:r>
          </w:p>
        </w:tc>
        <w:tc>
          <w:tcPr>
            <w:tcW w:w="1133" w:type="dxa"/>
            <w:tcBorders>
              <w:top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E290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-38</w:t>
            </w:r>
          </w:p>
        </w:tc>
        <w:tc>
          <w:tcPr>
            <w:tcW w:w="1132" w:type="dxa"/>
            <w:tcBorders>
              <w:top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9CD5" w14:textId="77777777" w:rsidR="00D044EB" w:rsidRPr="00823BDC" w:rsidRDefault="00D044EB" w:rsidP="005332CD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-53</w:t>
            </w:r>
          </w:p>
        </w:tc>
        <w:tc>
          <w:tcPr>
            <w:tcW w:w="1133" w:type="dxa"/>
            <w:tcBorders>
              <w:top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6E38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+8</w:t>
            </w:r>
          </w:p>
        </w:tc>
        <w:tc>
          <w:tcPr>
            <w:tcW w:w="1133" w:type="dxa"/>
            <w:tcBorders>
              <w:top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4830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-28</w:t>
            </w:r>
          </w:p>
        </w:tc>
      </w:tr>
      <w:tr w:rsidR="00D044EB" w:rsidRPr="00823BDC" w14:paraId="030C1B5F" w14:textId="77777777" w:rsidTr="00D044EB">
        <w:trPr>
          <w:trHeight w:val="255"/>
          <w:jc w:val="center"/>
        </w:trPr>
        <w:tc>
          <w:tcPr>
            <w:tcW w:w="268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A996952" w14:textId="77777777" w:rsidR="00D044EB" w:rsidRPr="00823BDC" w:rsidRDefault="00D044EB" w:rsidP="00F004C3">
            <w:pPr>
              <w:pStyle w:val="Tablenormal"/>
              <w:keepNext w:val="0"/>
              <w:keepLines w:val="0"/>
              <w:adjustRightInd w:val="0"/>
              <w:snapToGrid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Združené údaje (</w:t>
            </w:r>
            <w:proofErr w:type="spellStart"/>
            <w:r w:rsidRPr="00823BDC">
              <w:rPr>
                <w:sz w:val="22"/>
                <w:szCs w:val="22"/>
              </w:rPr>
              <w:t>simvastatín</w:t>
            </w:r>
            <w:proofErr w:type="spellEnd"/>
            <w:r w:rsidRPr="00823BDC">
              <w:rPr>
                <w:sz w:val="22"/>
                <w:szCs w:val="22"/>
              </w:rPr>
              <w:t xml:space="preserve"> všetky dávky)</w:t>
            </w:r>
            <w:r w:rsidRPr="00823BDC">
              <w:rPr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32" w:type="dxa"/>
            <w:tcBorders>
              <w:top w:val="dashSmallGap" w:sz="4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7270" w14:textId="77777777" w:rsidR="00D044EB" w:rsidRPr="00823BDC" w:rsidRDefault="00D044EB" w:rsidP="000E2387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349</w:t>
            </w:r>
          </w:p>
        </w:tc>
        <w:tc>
          <w:tcPr>
            <w:tcW w:w="1133" w:type="dxa"/>
            <w:tcBorders>
              <w:top w:val="dashSmallGap" w:sz="4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1213" w14:textId="77777777" w:rsidR="00D044EB" w:rsidRPr="00823BDC" w:rsidRDefault="00D044EB" w:rsidP="000E2387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-26</w:t>
            </w:r>
          </w:p>
        </w:tc>
        <w:tc>
          <w:tcPr>
            <w:tcW w:w="1132" w:type="dxa"/>
            <w:tcBorders>
              <w:top w:val="dashSmallGap" w:sz="4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1F26" w14:textId="77777777" w:rsidR="00D044EB" w:rsidRPr="00823BDC" w:rsidRDefault="00D044EB" w:rsidP="005332CD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-38</w:t>
            </w:r>
          </w:p>
        </w:tc>
        <w:tc>
          <w:tcPr>
            <w:tcW w:w="1133" w:type="dxa"/>
            <w:tcBorders>
              <w:top w:val="dashSmallGap" w:sz="4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A9C7" w14:textId="77777777" w:rsidR="00D044EB" w:rsidRPr="00823BDC" w:rsidRDefault="00D044EB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+8</w:t>
            </w:r>
          </w:p>
        </w:tc>
        <w:tc>
          <w:tcPr>
            <w:tcW w:w="1133" w:type="dxa"/>
            <w:tcBorders>
              <w:top w:val="dashSmallGap" w:sz="4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213E" w14:textId="77777777" w:rsidR="00D044EB" w:rsidRPr="00823BDC" w:rsidRDefault="00D044EB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-15</w:t>
            </w:r>
          </w:p>
        </w:tc>
      </w:tr>
      <w:tr w:rsidR="00D044EB" w:rsidRPr="00823BDC" w14:paraId="03FAE42E" w14:textId="77777777" w:rsidTr="00D044EB">
        <w:trPr>
          <w:trHeight w:val="255"/>
          <w:jc w:val="center"/>
        </w:trPr>
        <w:tc>
          <w:tcPr>
            <w:tcW w:w="26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82C8CF" w14:textId="77777777" w:rsidR="00D044EB" w:rsidRPr="00823BDC" w:rsidRDefault="00211DFC" w:rsidP="00F004C3">
            <w:pPr>
              <w:pStyle w:val="Tablenormal"/>
              <w:keepNext w:val="0"/>
              <w:keepLines w:val="0"/>
              <w:adjustRightInd w:val="0"/>
              <w:snapToGrid w:val="0"/>
              <w:rPr>
                <w:sz w:val="22"/>
                <w:szCs w:val="22"/>
              </w:rPr>
            </w:pPr>
            <w:proofErr w:type="spellStart"/>
            <w:r w:rsidRPr="00823BDC">
              <w:rPr>
                <w:sz w:val="22"/>
                <w:szCs w:val="22"/>
              </w:rPr>
              <w:t>e</w:t>
            </w:r>
            <w:r w:rsidR="00D044EB" w:rsidRPr="00823BDC">
              <w:rPr>
                <w:sz w:val="22"/>
                <w:szCs w:val="22"/>
              </w:rPr>
              <w:t>zetimib</w:t>
            </w:r>
            <w:proofErr w:type="spellEnd"/>
            <w:r w:rsidR="00D044EB" w:rsidRPr="00823BDC">
              <w:rPr>
                <w:sz w:val="22"/>
                <w:szCs w:val="22"/>
              </w:rPr>
              <w:t xml:space="preserve"> 10 mg</w:t>
            </w: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50A4" w14:textId="77777777" w:rsidR="00D044EB" w:rsidRPr="00823BDC" w:rsidRDefault="00D044EB" w:rsidP="000E2387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92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9132" w14:textId="77777777" w:rsidR="00D044EB" w:rsidRPr="00823BDC" w:rsidRDefault="00D044EB" w:rsidP="000E2387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-14</w:t>
            </w: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F379" w14:textId="77777777" w:rsidR="00D044EB" w:rsidRPr="00823BDC" w:rsidRDefault="00D044EB" w:rsidP="005332CD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-20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274B" w14:textId="77777777" w:rsidR="00D044EB" w:rsidRPr="00823BDC" w:rsidRDefault="00D044EB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+7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6D3F" w14:textId="77777777" w:rsidR="00D044EB" w:rsidRPr="00823BDC" w:rsidRDefault="00D044EB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-13</w:t>
            </w:r>
          </w:p>
        </w:tc>
      </w:tr>
      <w:tr w:rsidR="00D044EB" w:rsidRPr="00823BDC" w14:paraId="03294F35" w14:textId="77777777" w:rsidTr="00D044EB">
        <w:trPr>
          <w:trHeight w:val="255"/>
          <w:jc w:val="center"/>
        </w:trPr>
        <w:tc>
          <w:tcPr>
            <w:tcW w:w="26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106777" w14:textId="77777777" w:rsidR="00D044EB" w:rsidRPr="00823BDC" w:rsidRDefault="00211DFC" w:rsidP="00F004C3">
            <w:pPr>
              <w:pStyle w:val="Tablenormal"/>
              <w:keepNext w:val="0"/>
              <w:keepLines w:val="0"/>
              <w:adjustRightInd w:val="0"/>
              <w:snapToGrid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p</w:t>
            </w:r>
            <w:r w:rsidR="00D044EB" w:rsidRPr="00823BDC">
              <w:rPr>
                <w:sz w:val="22"/>
                <w:szCs w:val="22"/>
              </w:rPr>
              <w:t>lacebo</w:t>
            </w: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2742" w14:textId="77777777" w:rsidR="00D044EB" w:rsidRPr="00823BDC" w:rsidRDefault="00D044EB" w:rsidP="000E2387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93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DF73" w14:textId="77777777" w:rsidR="00D044EB" w:rsidRPr="00823BDC" w:rsidRDefault="00D044EB" w:rsidP="000E2387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+2</w:t>
            </w: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1BC4" w14:textId="77777777" w:rsidR="00D044EB" w:rsidRPr="00823BDC" w:rsidRDefault="00D044EB" w:rsidP="005332CD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+3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F1A5" w14:textId="77777777" w:rsidR="00D044EB" w:rsidRPr="00823BDC" w:rsidRDefault="00D044EB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+2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E656" w14:textId="77777777" w:rsidR="00D044EB" w:rsidRPr="00823BDC" w:rsidRDefault="00D044EB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-2</w:t>
            </w:r>
          </w:p>
        </w:tc>
      </w:tr>
      <w:tr w:rsidR="00D044EB" w:rsidRPr="00823BDC" w14:paraId="67F26603" w14:textId="77777777" w:rsidTr="00D044EB">
        <w:trPr>
          <w:trHeight w:val="255"/>
          <w:jc w:val="center"/>
        </w:trPr>
        <w:tc>
          <w:tcPr>
            <w:tcW w:w="2688" w:type="dxa"/>
            <w:tcBorders>
              <w:top w:val="single" w:sz="8" w:space="0" w:color="auto"/>
            </w:tcBorders>
            <w:vAlign w:val="center"/>
          </w:tcPr>
          <w:p w14:paraId="62D05AA6" w14:textId="77777777" w:rsidR="00D044EB" w:rsidRPr="00823BDC" w:rsidRDefault="00211DFC" w:rsidP="00F004C3">
            <w:pPr>
              <w:pStyle w:val="Tablenormal"/>
              <w:keepLines w:val="0"/>
              <w:adjustRightInd w:val="0"/>
              <w:snapToGrid w:val="0"/>
              <w:rPr>
                <w:sz w:val="22"/>
                <w:szCs w:val="22"/>
              </w:rPr>
            </w:pPr>
            <w:proofErr w:type="spellStart"/>
            <w:r w:rsidRPr="00823BDC">
              <w:rPr>
                <w:sz w:val="22"/>
                <w:szCs w:val="22"/>
              </w:rPr>
              <w:t>ezetimib</w:t>
            </w:r>
            <w:proofErr w:type="spellEnd"/>
            <w:r w:rsidRPr="00823BDC">
              <w:rPr>
                <w:sz w:val="22"/>
                <w:szCs w:val="22"/>
              </w:rPr>
              <w:t>/</w:t>
            </w:r>
            <w:proofErr w:type="spellStart"/>
            <w:r w:rsidRPr="00823BDC">
              <w:rPr>
                <w:sz w:val="22"/>
                <w:szCs w:val="22"/>
              </w:rPr>
              <w:t>simvastatín</w:t>
            </w:r>
            <w:proofErr w:type="spellEnd"/>
            <w:r w:rsidR="00D044EB" w:rsidRPr="00823BDC">
              <w:rPr>
                <w:sz w:val="22"/>
                <w:szCs w:val="22"/>
              </w:rPr>
              <w:t xml:space="preserve"> v dávke</w:t>
            </w:r>
          </w:p>
        </w:tc>
        <w:tc>
          <w:tcPr>
            <w:tcW w:w="113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8D90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B670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BA89" w14:textId="77777777" w:rsidR="00D044EB" w:rsidRPr="00823BDC" w:rsidRDefault="00D044EB" w:rsidP="005332CD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D710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4A9E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D044EB" w:rsidRPr="00823BDC" w14:paraId="772A96DD" w14:textId="77777777" w:rsidTr="00D044EB">
        <w:trPr>
          <w:trHeight w:val="255"/>
          <w:jc w:val="center"/>
        </w:trPr>
        <w:tc>
          <w:tcPr>
            <w:tcW w:w="2688" w:type="dxa"/>
            <w:tcBorders>
              <w:bottom w:val="dashSmallGap" w:sz="4" w:space="0" w:color="auto"/>
            </w:tcBorders>
            <w:vAlign w:val="center"/>
          </w:tcPr>
          <w:p w14:paraId="59408064" w14:textId="77777777" w:rsidR="00D044EB" w:rsidRPr="00823BDC" w:rsidRDefault="00D044EB" w:rsidP="00F004C3">
            <w:pPr>
              <w:pStyle w:val="Tablenormal"/>
              <w:keepLines w:val="0"/>
              <w:adjustRightInd w:val="0"/>
              <w:snapToGrid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10</w:t>
            </w:r>
            <w:r w:rsidR="004C4DEF" w:rsidRPr="00823BDC">
              <w:rPr>
                <w:sz w:val="22"/>
                <w:szCs w:val="22"/>
              </w:rPr>
              <w:t> mg</w:t>
            </w:r>
            <w:r w:rsidRPr="00823BDC">
              <w:rPr>
                <w:sz w:val="22"/>
                <w:szCs w:val="22"/>
              </w:rPr>
              <w:t>/10</w:t>
            </w:r>
            <w:r w:rsidR="004C4DEF" w:rsidRPr="00823BDC">
              <w:rPr>
                <w:sz w:val="22"/>
                <w:szCs w:val="22"/>
              </w:rPr>
              <w:t> mg</w:t>
            </w:r>
          </w:p>
        </w:tc>
        <w:tc>
          <w:tcPr>
            <w:tcW w:w="1132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6D79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87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7912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-32</w:t>
            </w:r>
          </w:p>
        </w:tc>
        <w:tc>
          <w:tcPr>
            <w:tcW w:w="1132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97A1" w14:textId="77777777" w:rsidR="00D044EB" w:rsidRPr="00823BDC" w:rsidRDefault="00D044EB" w:rsidP="005332CD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-46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F17F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+9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988F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-21</w:t>
            </w:r>
          </w:p>
        </w:tc>
      </w:tr>
      <w:tr w:rsidR="00D044EB" w:rsidRPr="00823BDC" w14:paraId="5C84911A" w14:textId="77777777" w:rsidTr="00D044EB">
        <w:trPr>
          <w:trHeight w:val="255"/>
          <w:jc w:val="center"/>
        </w:trPr>
        <w:tc>
          <w:tcPr>
            <w:tcW w:w="26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EA9239" w14:textId="77777777" w:rsidR="00D044EB" w:rsidRPr="00823BDC" w:rsidRDefault="00D044EB" w:rsidP="00F004C3">
            <w:pPr>
              <w:pStyle w:val="Tablenormal"/>
              <w:keepLines w:val="0"/>
              <w:adjustRightInd w:val="0"/>
              <w:snapToGrid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10</w:t>
            </w:r>
            <w:r w:rsidR="004C4DEF" w:rsidRPr="00823BDC">
              <w:rPr>
                <w:sz w:val="22"/>
                <w:szCs w:val="22"/>
              </w:rPr>
              <w:t> mg</w:t>
            </w:r>
            <w:r w:rsidRPr="00823BDC">
              <w:rPr>
                <w:sz w:val="22"/>
                <w:szCs w:val="22"/>
              </w:rPr>
              <w:t>/20</w:t>
            </w:r>
            <w:r w:rsidR="004C4DEF" w:rsidRPr="00823BDC">
              <w:rPr>
                <w:sz w:val="22"/>
                <w:szCs w:val="22"/>
              </w:rPr>
              <w:t> mg</w:t>
            </w:r>
          </w:p>
        </w:tc>
        <w:tc>
          <w:tcPr>
            <w:tcW w:w="1132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6AF3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86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C8BE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-37</w:t>
            </w:r>
          </w:p>
        </w:tc>
        <w:tc>
          <w:tcPr>
            <w:tcW w:w="1132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DA0C" w14:textId="77777777" w:rsidR="00D044EB" w:rsidRPr="00823BDC" w:rsidRDefault="00D044EB" w:rsidP="005332CD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-51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BA9A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+8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8148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-31</w:t>
            </w:r>
          </w:p>
        </w:tc>
      </w:tr>
      <w:tr w:rsidR="00D044EB" w:rsidRPr="00823BDC" w14:paraId="3547ADCB" w14:textId="77777777" w:rsidTr="00D044EB">
        <w:trPr>
          <w:trHeight w:val="255"/>
          <w:jc w:val="center"/>
        </w:trPr>
        <w:tc>
          <w:tcPr>
            <w:tcW w:w="26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BF8C80" w14:textId="77777777" w:rsidR="00D044EB" w:rsidRPr="00823BDC" w:rsidRDefault="00D044EB" w:rsidP="00F004C3">
            <w:pPr>
              <w:pStyle w:val="Tablenormal"/>
              <w:keepLines w:val="0"/>
              <w:adjustRightInd w:val="0"/>
              <w:snapToGrid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10</w:t>
            </w:r>
            <w:r w:rsidR="004C4DEF" w:rsidRPr="00823BDC">
              <w:rPr>
                <w:sz w:val="22"/>
                <w:szCs w:val="22"/>
              </w:rPr>
              <w:t> mg</w:t>
            </w:r>
            <w:r w:rsidRPr="00823BDC">
              <w:rPr>
                <w:sz w:val="22"/>
                <w:szCs w:val="22"/>
              </w:rPr>
              <w:t>/40</w:t>
            </w:r>
            <w:r w:rsidR="004C4DEF" w:rsidRPr="00823BDC">
              <w:rPr>
                <w:sz w:val="22"/>
                <w:szCs w:val="22"/>
              </w:rPr>
              <w:t> mg</w:t>
            </w:r>
          </w:p>
        </w:tc>
        <w:tc>
          <w:tcPr>
            <w:tcW w:w="1132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0695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89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542D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-39</w:t>
            </w:r>
          </w:p>
        </w:tc>
        <w:tc>
          <w:tcPr>
            <w:tcW w:w="1132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1838" w14:textId="77777777" w:rsidR="00D044EB" w:rsidRPr="00823BDC" w:rsidRDefault="00D044EB" w:rsidP="005332CD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-55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D5F8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+9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325A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-32</w:t>
            </w:r>
          </w:p>
        </w:tc>
      </w:tr>
      <w:tr w:rsidR="00D044EB" w:rsidRPr="00823BDC" w14:paraId="1308BD5B" w14:textId="77777777" w:rsidTr="00D044EB">
        <w:trPr>
          <w:trHeight w:val="270"/>
          <w:jc w:val="center"/>
        </w:trPr>
        <w:tc>
          <w:tcPr>
            <w:tcW w:w="268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9E30B68" w14:textId="77777777" w:rsidR="00D044EB" w:rsidRPr="00823BDC" w:rsidRDefault="00D044EB" w:rsidP="00F004C3">
            <w:pPr>
              <w:pStyle w:val="Tablenormal"/>
              <w:keepNext w:val="0"/>
              <w:keepLines w:val="0"/>
              <w:adjustRightInd w:val="0"/>
              <w:snapToGrid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10</w:t>
            </w:r>
            <w:r w:rsidR="004C4DEF" w:rsidRPr="00823BDC">
              <w:rPr>
                <w:sz w:val="22"/>
                <w:szCs w:val="22"/>
              </w:rPr>
              <w:t> mg</w:t>
            </w:r>
            <w:r w:rsidRPr="00823BDC">
              <w:rPr>
                <w:sz w:val="22"/>
                <w:szCs w:val="22"/>
              </w:rPr>
              <w:t>/80</w:t>
            </w:r>
            <w:r w:rsidR="004C4DEF" w:rsidRPr="00823BDC">
              <w:rPr>
                <w:sz w:val="22"/>
                <w:szCs w:val="22"/>
              </w:rPr>
              <w:t> mg</w:t>
            </w:r>
          </w:p>
        </w:tc>
        <w:tc>
          <w:tcPr>
            <w:tcW w:w="1132" w:type="dxa"/>
            <w:tcBorders>
              <w:top w:val="dashSmallGap" w:sz="4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5346" w14:textId="77777777" w:rsidR="00D044EB" w:rsidRPr="00823BDC" w:rsidRDefault="00D044EB" w:rsidP="000E2387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91</w:t>
            </w:r>
          </w:p>
        </w:tc>
        <w:tc>
          <w:tcPr>
            <w:tcW w:w="1133" w:type="dxa"/>
            <w:tcBorders>
              <w:top w:val="dashSmallGap" w:sz="4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6AA3" w14:textId="77777777" w:rsidR="00D044EB" w:rsidRPr="00823BDC" w:rsidRDefault="00D044EB" w:rsidP="000E2387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-43</w:t>
            </w:r>
          </w:p>
        </w:tc>
        <w:tc>
          <w:tcPr>
            <w:tcW w:w="1132" w:type="dxa"/>
            <w:tcBorders>
              <w:top w:val="dashSmallGap" w:sz="4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D09F" w14:textId="77777777" w:rsidR="00D044EB" w:rsidRPr="00823BDC" w:rsidRDefault="00D044EB" w:rsidP="005332CD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-61</w:t>
            </w:r>
          </w:p>
        </w:tc>
        <w:tc>
          <w:tcPr>
            <w:tcW w:w="1133" w:type="dxa"/>
            <w:tcBorders>
              <w:top w:val="dashSmallGap" w:sz="4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42B2" w14:textId="77777777" w:rsidR="00D044EB" w:rsidRPr="00823BDC" w:rsidRDefault="00D044EB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+6</w:t>
            </w:r>
          </w:p>
        </w:tc>
        <w:tc>
          <w:tcPr>
            <w:tcW w:w="1133" w:type="dxa"/>
            <w:tcBorders>
              <w:top w:val="dashSmallGap" w:sz="4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85D3" w14:textId="77777777" w:rsidR="00D044EB" w:rsidRPr="00823BDC" w:rsidRDefault="00D044EB">
            <w:pPr>
              <w:pStyle w:val="Tablecentered"/>
              <w:keepNext w:val="0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-28</w:t>
            </w:r>
          </w:p>
        </w:tc>
      </w:tr>
      <w:tr w:rsidR="00D044EB" w:rsidRPr="00823BDC" w14:paraId="7B319316" w14:textId="77777777" w:rsidTr="00D044EB">
        <w:trPr>
          <w:trHeight w:val="255"/>
          <w:jc w:val="center"/>
        </w:trPr>
        <w:tc>
          <w:tcPr>
            <w:tcW w:w="2688" w:type="dxa"/>
            <w:tcBorders>
              <w:top w:val="single" w:sz="8" w:space="0" w:color="auto"/>
            </w:tcBorders>
            <w:vAlign w:val="center"/>
          </w:tcPr>
          <w:p w14:paraId="51550D65" w14:textId="77777777" w:rsidR="00D044EB" w:rsidRPr="00823BDC" w:rsidRDefault="009222DD" w:rsidP="00F004C3">
            <w:pPr>
              <w:pStyle w:val="Tablenormal"/>
              <w:keepLines w:val="0"/>
              <w:adjustRightInd w:val="0"/>
              <w:snapToGrid w:val="0"/>
              <w:rPr>
                <w:sz w:val="22"/>
                <w:szCs w:val="22"/>
              </w:rPr>
            </w:pPr>
            <w:proofErr w:type="spellStart"/>
            <w:r w:rsidRPr="00823BDC">
              <w:rPr>
                <w:sz w:val="22"/>
                <w:szCs w:val="22"/>
              </w:rPr>
              <w:lastRenderedPageBreak/>
              <w:t>s</w:t>
            </w:r>
            <w:r w:rsidR="00D044EB" w:rsidRPr="00823BDC">
              <w:rPr>
                <w:sz w:val="22"/>
                <w:szCs w:val="22"/>
              </w:rPr>
              <w:t>imvastatín</w:t>
            </w:r>
            <w:proofErr w:type="spellEnd"/>
            <w:r w:rsidR="00D044EB" w:rsidRPr="00823BDC">
              <w:rPr>
                <w:sz w:val="22"/>
                <w:szCs w:val="22"/>
              </w:rPr>
              <w:t xml:space="preserve"> v dávke</w:t>
            </w:r>
          </w:p>
        </w:tc>
        <w:tc>
          <w:tcPr>
            <w:tcW w:w="113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C484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DA36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36CA" w14:textId="77777777" w:rsidR="00D044EB" w:rsidRPr="00823BDC" w:rsidRDefault="00D044EB" w:rsidP="005332CD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AFE3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5C66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D044EB" w:rsidRPr="00823BDC" w14:paraId="5BD3EAC5" w14:textId="77777777" w:rsidTr="00D044EB">
        <w:trPr>
          <w:trHeight w:val="255"/>
          <w:jc w:val="center"/>
        </w:trPr>
        <w:tc>
          <w:tcPr>
            <w:tcW w:w="2688" w:type="dxa"/>
            <w:tcBorders>
              <w:bottom w:val="dashSmallGap" w:sz="4" w:space="0" w:color="auto"/>
            </w:tcBorders>
            <w:vAlign w:val="center"/>
          </w:tcPr>
          <w:p w14:paraId="37E4B19F" w14:textId="77777777" w:rsidR="00D044EB" w:rsidRPr="00823BDC" w:rsidRDefault="00D044EB" w:rsidP="00F004C3">
            <w:pPr>
              <w:pStyle w:val="Tablenormal"/>
              <w:keepLines w:val="0"/>
              <w:adjustRightInd w:val="0"/>
              <w:snapToGrid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10 mg</w:t>
            </w:r>
          </w:p>
        </w:tc>
        <w:tc>
          <w:tcPr>
            <w:tcW w:w="1132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F9B3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81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392C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-21</w:t>
            </w:r>
          </w:p>
        </w:tc>
        <w:tc>
          <w:tcPr>
            <w:tcW w:w="1132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0B1A" w14:textId="77777777" w:rsidR="00D044EB" w:rsidRPr="00823BDC" w:rsidRDefault="00D044EB" w:rsidP="005332CD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-31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AE2C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+5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C400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-4</w:t>
            </w:r>
          </w:p>
        </w:tc>
      </w:tr>
      <w:tr w:rsidR="00D044EB" w:rsidRPr="00823BDC" w14:paraId="7E5FB099" w14:textId="77777777" w:rsidTr="00D044EB">
        <w:trPr>
          <w:trHeight w:val="255"/>
          <w:jc w:val="center"/>
        </w:trPr>
        <w:tc>
          <w:tcPr>
            <w:tcW w:w="26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E27F4D" w14:textId="77777777" w:rsidR="00D044EB" w:rsidRPr="00823BDC" w:rsidRDefault="00D044EB" w:rsidP="00F004C3">
            <w:pPr>
              <w:pStyle w:val="Tablenormal"/>
              <w:keepLines w:val="0"/>
              <w:adjustRightInd w:val="0"/>
              <w:snapToGrid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20 mg</w:t>
            </w:r>
          </w:p>
        </w:tc>
        <w:tc>
          <w:tcPr>
            <w:tcW w:w="1132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90DA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90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D9FB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-24</w:t>
            </w:r>
          </w:p>
        </w:tc>
        <w:tc>
          <w:tcPr>
            <w:tcW w:w="1132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437C" w14:textId="77777777" w:rsidR="00D044EB" w:rsidRPr="00823BDC" w:rsidRDefault="00D044EB" w:rsidP="005332CD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-35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A299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+6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840C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-14</w:t>
            </w:r>
          </w:p>
        </w:tc>
      </w:tr>
      <w:tr w:rsidR="00D044EB" w:rsidRPr="00823BDC" w14:paraId="7092CB80" w14:textId="77777777" w:rsidTr="00D044EB">
        <w:trPr>
          <w:trHeight w:val="255"/>
          <w:jc w:val="center"/>
        </w:trPr>
        <w:tc>
          <w:tcPr>
            <w:tcW w:w="26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06E188" w14:textId="77777777" w:rsidR="00D044EB" w:rsidRPr="00823BDC" w:rsidRDefault="00D044EB" w:rsidP="00F004C3">
            <w:pPr>
              <w:pStyle w:val="Tablenormal"/>
              <w:keepLines w:val="0"/>
              <w:adjustRightInd w:val="0"/>
              <w:snapToGrid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40 mg</w:t>
            </w:r>
          </w:p>
        </w:tc>
        <w:tc>
          <w:tcPr>
            <w:tcW w:w="1132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F34C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91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A318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-29</w:t>
            </w:r>
          </w:p>
        </w:tc>
        <w:tc>
          <w:tcPr>
            <w:tcW w:w="1132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AC8F" w14:textId="77777777" w:rsidR="00D044EB" w:rsidRPr="00823BDC" w:rsidRDefault="00D044EB" w:rsidP="005332CD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-42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9F72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+8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CCC7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-19</w:t>
            </w:r>
          </w:p>
        </w:tc>
      </w:tr>
      <w:tr w:rsidR="00D044EB" w:rsidRPr="00823BDC" w14:paraId="65831EC9" w14:textId="77777777" w:rsidTr="00D044EB">
        <w:trPr>
          <w:trHeight w:val="270"/>
          <w:jc w:val="center"/>
        </w:trPr>
        <w:tc>
          <w:tcPr>
            <w:tcW w:w="268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A95EC34" w14:textId="77777777" w:rsidR="00D044EB" w:rsidRPr="00823BDC" w:rsidRDefault="00D044EB" w:rsidP="00F004C3">
            <w:pPr>
              <w:pStyle w:val="Tablenormal"/>
              <w:keepLines w:val="0"/>
              <w:adjustRightInd w:val="0"/>
              <w:snapToGrid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80 mg</w:t>
            </w:r>
          </w:p>
        </w:tc>
        <w:tc>
          <w:tcPr>
            <w:tcW w:w="1132" w:type="dxa"/>
            <w:tcBorders>
              <w:top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66B9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87</w:t>
            </w:r>
          </w:p>
        </w:tc>
        <w:tc>
          <w:tcPr>
            <w:tcW w:w="1133" w:type="dxa"/>
            <w:tcBorders>
              <w:top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AD42" w14:textId="77777777" w:rsidR="00D044EB" w:rsidRPr="00823BDC" w:rsidRDefault="00D044EB" w:rsidP="000E2387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-32</w:t>
            </w:r>
          </w:p>
        </w:tc>
        <w:tc>
          <w:tcPr>
            <w:tcW w:w="1132" w:type="dxa"/>
            <w:tcBorders>
              <w:top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A619" w14:textId="77777777" w:rsidR="00D044EB" w:rsidRPr="00823BDC" w:rsidRDefault="00D044EB" w:rsidP="005332CD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-46</w:t>
            </w:r>
          </w:p>
        </w:tc>
        <w:tc>
          <w:tcPr>
            <w:tcW w:w="1133" w:type="dxa"/>
            <w:tcBorders>
              <w:top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0737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+11</w:t>
            </w:r>
          </w:p>
        </w:tc>
        <w:tc>
          <w:tcPr>
            <w:tcW w:w="1133" w:type="dxa"/>
            <w:tcBorders>
              <w:top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A5D2" w14:textId="77777777" w:rsidR="00D044EB" w:rsidRPr="00823BDC" w:rsidRDefault="00D044EB">
            <w:pPr>
              <w:pStyle w:val="Tablecentered"/>
              <w:keepLines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-26</w:t>
            </w:r>
          </w:p>
        </w:tc>
      </w:tr>
    </w:tbl>
    <w:p w14:paraId="7240F961" w14:textId="77777777" w:rsidR="00D044EB" w:rsidRPr="00A6540D" w:rsidRDefault="00D044EB" w:rsidP="00F004C3">
      <w:pPr>
        <w:pStyle w:val="Footnote"/>
        <w:keepNext/>
        <w:keepLines w:val="0"/>
        <w:tabs>
          <w:tab w:val="clear" w:pos="317"/>
          <w:tab w:val="clear" w:pos="346"/>
        </w:tabs>
        <w:adjustRightInd w:val="0"/>
        <w:snapToGrid w:val="0"/>
        <w:ind w:left="851" w:hanging="227"/>
        <w:rPr>
          <w:sz w:val="22"/>
          <w:szCs w:val="22"/>
        </w:rPr>
      </w:pPr>
      <w:r w:rsidRPr="00A6540D">
        <w:rPr>
          <w:sz w:val="22"/>
          <w:szCs w:val="22"/>
          <w:vertAlign w:val="superscript"/>
        </w:rPr>
        <w:t>a</w:t>
      </w:r>
      <w:r w:rsidRPr="00A6540D">
        <w:rPr>
          <w:sz w:val="22"/>
          <w:szCs w:val="22"/>
        </w:rPr>
        <w:tab/>
        <w:t>Pr</w:t>
      </w:r>
      <w:r w:rsidR="00DF3BF9" w:rsidRPr="00A6540D">
        <w:rPr>
          <w:sz w:val="22"/>
          <w:szCs w:val="22"/>
        </w:rPr>
        <w:t>e</w:t>
      </w:r>
      <w:r w:rsidRPr="00A6540D">
        <w:rPr>
          <w:sz w:val="22"/>
          <w:szCs w:val="22"/>
        </w:rPr>
        <w:t xml:space="preserve"> tr</w:t>
      </w:r>
      <w:r w:rsidR="00DF3BF9" w:rsidRPr="00A6540D">
        <w:rPr>
          <w:sz w:val="22"/>
          <w:szCs w:val="22"/>
        </w:rPr>
        <w:t>iacylglyceroly</w:t>
      </w:r>
      <w:r w:rsidRPr="00A6540D">
        <w:rPr>
          <w:sz w:val="22"/>
          <w:szCs w:val="22"/>
        </w:rPr>
        <w:t xml:space="preserve"> medián % zmeny oproti východiskovej hodnote</w:t>
      </w:r>
    </w:p>
    <w:p w14:paraId="41AC01D0" w14:textId="77777777" w:rsidR="00D044EB" w:rsidRPr="00A6540D" w:rsidRDefault="00D044EB" w:rsidP="000E2387">
      <w:pPr>
        <w:pStyle w:val="Footnote"/>
        <w:keepNext/>
        <w:keepLines w:val="0"/>
        <w:tabs>
          <w:tab w:val="clear" w:pos="317"/>
          <w:tab w:val="clear" w:pos="346"/>
        </w:tabs>
        <w:adjustRightInd w:val="0"/>
        <w:snapToGrid w:val="0"/>
        <w:ind w:left="851" w:hanging="227"/>
        <w:rPr>
          <w:snapToGrid w:val="0"/>
          <w:sz w:val="22"/>
          <w:szCs w:val="22"/>
        </w:rPr>
      </w:pPr>
      <w:r w:rsidRPr="00A6540D">
        <w:rPr>
          <w:sz w:val="22"/>
          <w:szCs w:val="22"/>
          <w:vertAlign w:val="superscript"/>
        </w:rPr>
        <w:t>b</w:t>
      </w:r>
      <w:r w:rsidRPr="00A6540D">
        <w:rPr>
          <w:sz w:val="22"/>
          <w:szCs w:val="22"/>
        </w:rPr>
        <w:tab/>
        <w:t>Východisková hodnota</w:t>
      </w:r>
      <w:r w:rsidRPr="00A6540D">
        <w:rPr>
          <w:snapToGrid w:val="0"/>
          <w:sz w:val="22"/>
          <w:szCs w:val="22"/>
        </w:rPr>
        <w:t xml:space="preserve"> </w:t>
      </w:r>
      <w:r w:rsidRPr="00A6540D">
        <w:rPr>
          <w:sz w:val="22"/>
          <w:szCs w:val="22"/>
        </w:rPr>
        <w:t>–</w:t>
      </w:r>
      <w:r w:rsidRPr="00A6540D">
        <w:rPr>
          <w:snapToGrid w:val="0"/>
          <w:sz w:val="22"/>
          <w:szCs w:val="22"/>
        </w:rPr>
        <w:t xml:space="preserve"> bez </w:t>
      </w:r>
      <w:r w:rsidR="0041794A" w:rsidRPr="00A6540D">
        <w:rPr>
          <w:snapToGrid w:val="0"/>
          <w:sz w:val="22"/>
          <w:szCs w:val="22"/>
        </w:rPr>
        <w:t>liečby</w:t>
      </w:r>
      <w:r w:rsidRPr="00A6540D">
        <w:rPr>
          <w:snapToGrid w:val="0"/>
          <w:sz w:val="22"/>
          <w:szCs w:val="22"/>
        </w:rPr>
        <w:t xml:space="preserve"> </w:t>
      </w:r>
      <w:proofErr w:type="spellStart"/>
      <w:r w:rsidR="00DF3BF9" w:rsidRPr="00A6540D">
        <w:rPr>
          <w:snapToGrid w:val="0"/>
          <w:sz w:val="22"/>
          <w:szCs w:val="22"/>
        </w:rPr>
        <w:t>hypolipidemikom</w:t>
      </w:r>
      <w:proofErr w:type="spellEnd"/>
    </w:p>
    <w:p w14:paraId="7ECE60E6" w14:textId="77777777" w:rsidR="00D044EB" w:rsidRPr="00A6540D" w:rsidRDefault="00D044EB" w:rsidP="000E2387">
      <w:pPr>
        <w:pStyle w:val="Footnote"/>
        <w:keepLines w:val="0"/>
        <w:tabs>
          <w:tab w:val="clear" w:pos="317"/>
          <w:tab w:val="clear" w:pos="346"/>
        </w:tabs>
        <w:adjustRightInd w:val="0"/>
        <w:snapToGrid w:val="0"/>
        <w:ind w:left="851" w:hanging="227"/>
        <w:rPr>
          <w:sz w:val="22"/>
          <w:szCs w:val="22"/>
        </w:rPr>
      </w:pPr>
      <w:r w:rsidRPr="00A6540D">
        <w:rPr>
          <w:sz w:val="22"/>
          <w:szCs w:val="22"/>
          <w:vertAlign w:val="superscript"/>
        </w:rPr>
        <w:t>c</w:t>
      </w:r>
      <w:r w:rsidRPr="00A6540D">
        <w:rPr>
          <w:sz w:val="22"/>
          <w:szCs w:val="22"/>
        </w:rPr>
        <w:tab/>
      </w:r>
      <w:r w:rsidR="00DF3BF9" w:rsidRPr="00A6540D">
        <w:rPr>
          <w:sz w:val="22"/>
          <w:szCs w:val="22"/>
        </w:rPr>
        <w:t xml:space="preserve">Súhrnné dávky </w:t>
      </w:r>
      <w:proofErr w:type="spellStart"/>
      <w:r w:rsidR="00211DFC" w:rsidRPr="00A6540D">
        <w:rPr>
          <w:sz w:val="22"/>
          <w:szCs w:val="22"/>
        </w:rPr>
        <w:t>ezetimib</w:t>
      </w:r>
      <w:r w:rsidR="00DF3BF9" w:rsidRPr="00A6540D">
        <w:rPr>
          <w:sz w:val="22"/>
          <w:szCs w:val="22"/>
        </w:rPr>
        <w:t>u</w:t>
      </w:r>
      <w:proofErr w:type="spellEnd"/>
      <w:r w:rsidR="00211DFC" w:rsidRPr="00A6540D">
        <w:rPr>
          <w:sz w:val="22"/>
          <w:szCs w:val="22"/>
        </w:rPr>
        <w:t>/</w:t>
      </w:r>
      <w:proofErr w:type="spellStart"/>
      <w:r w:rsidR="00211DFC" w:rsidRPr="00A6540D">
        <w:rPr>
          <w:sz w:val="22"/>
          <w:szCs w:val="22"/>
        </w:rPr>
        <w:t>simvastatín</w:t>
      </w:r>
      <w:r w:rsidR="00DF3BF9" w:rsidRPr="00A6540D">
        <w:rPr>
          <w:sz w:val="22"/>
          <w:szCs w:val="22"/>
        </w:rPr>
        <w:t>u</w:t>
      </w:r>
      <w:proofErr w:type="spellEnd"/>
      <w:r w:rsidRPr="00A6540D">
        <w:rPr>
          <w:b/>
          <w:sz w:val="22"/>
          <w:szCs w:val="22"/>
        </w:rPr>
        <w:t xml:space="preserve"> </w:t>
      </w:r>
      <w:r w:rsidRPr="00A6540D">
        <w:rPr>
          <w:sz w:val="22"/>
          <w:szCs w:val="22"/>
        </w:rPr>
        <w:t xml:space="preserve">(10/10 </w:t>
      </w:r>
      <w:r w:rsidR="003621FA" w:rsidRPr="00A6540D">
        <w:rPr>
          <w:sz w:val="22"/>
          <w:szCs w:val="22"/>
        </w:rPr>
        <w:t xml:space="preserve">– </w:t>
      </w:r>
      <w:r w:rsidRPr="00A6540D">
        <w:rPr>
          <w:sz w:val="22"/>
          <w:szCs w:val="22"/>
        </w:rPr>
        <w:t>10/80) signifikantne zní</w:t>
      </w:r>
      <w:r w:rsidR="00DF3BF9" w:rsidRPr="00A6540D">
        <w:rPr>
          <w:sz w:val="22"/>
          <w:szCs w:val="22"/>
        </w:rPr>
        <w:t>žili</w:t>
      </w:r>
      <w:r w:rsidRPr="00A6540D">
        <w:rPr>
          <w:sz w:val="22"/>
          <w:szCs w:val="22"/>
        </w:rPr>
        <w:t xml:space="preserve"> celkový</w:t>
      </w:r>
      <w:r w:rsidRPr="00A6540D">
        <w:rPr>
          <w:sz w:val="22"/>
          <w:szCs w:val="22"/>
        </w:rPr>
        <w:noBreakHyphen/>
        <w:t>C, LDL</w:t>
      </w:r>
      <w:r w:rsidRPr="00A6540D">
        <w:rPr>
          <w:sz w:val="22"/>
          <w:szCs w:val="22"/>
        </w:rPr>
        <w:noBreakHyphen/>
        <w:t>C a TG v porovnaní so</w:t>
      </w:r>
      <w:r w:rsidR="0088522F" w:rsidRPr="00A6540D">
        <w:rPr>
          <w:sz w:val="22"/>
          <w:szCs w:val="22"/>
        </w:rPr>
        <w:t xml:space="preserve"> </w:t>
      </w:r>
      <w:proofErr w:type="spellStart"/>
      <w:r w:rsidRPr="00A6540D">
        <w:rPr>
          <w:sz w:val="22"/>
          <w:szCs w:val="22"/>
        </w:rPr>
        <w:t>simvastatínom</w:t>
      </w:r>
      <w:proofErr w:type="spellEnd"/>
      <w:r w:rsidRPr="00A6540D">
        <w:rPr>
          <w:sz w:val="22"/>
          <w:szCs w:val="22"/>
        </w:rPr>
        <w:t xml:space="preserve"> a signifikantne zvýš</w:t>
      </w:r>
      <w:r w:rsidR="00DF3BF9" w:rsidRPr="00A6540D">
        <w:rPr>
          <w:sz w:val="22"/>
          <w:szCs w:val="22"/>
        </w:rPr>
        <w:t>ili</w:t>
      </w:r>
      <w:r w:rsidRPr="00A6540D">
        <w:rPr>
          <w:sz w:val="22"/>
          <w:szCs w:val="22"/>
        </w:rPr>
        <w:t xml:space="preserve"> HDL</w:t>
      </w:r>
      <w:r w:rsidRPr="00A6540D">
        <w:rPr>
          <w:sz w:val="22"/>
          <w:szCs w:val="22"/>
        </w:rPr>
        <w:noBreakHyphen/>
        <w:t>C v porovnaní s placebom.</w:t>
      </w:r>
    </w:p>
    <w:p w14:paraId="4E685DAD" w14:textId="77777777" w:rsidR="00D044EB" w:rsidRPr="00CD10F1" w:rsidRDefault="00D044EB" w:rsidP="005332CD">
      <w:pPr>
        <w:adjustRightInd w:val="0"/>
        <w:snapToGrid w:val="0"/>
        <w:rPr>
          <w:szCs w:val="22"/>
        </w:rPr>
      </w:pPr>
    </w:p>
    <w:p w14:paraId="14DE9516" w14:textId="21982985" w:rsidR="00D044EB" w:rsidRPr="00823BDC" w:rsidRDefault="00D044EB">
      <w:pPr>
        <w:pStyle w:val="Body"/>
        <w:adjustRightInd w:val="0"/>
        <w:snapToGrid w:val="0"/>
        <w:ind w:firstLine="0"/>
        <w:rPr>
          <w:szCs w:val="22"/>
        </w:rPr>
      </w:pPr>
      <w:r w:rsidRPr="00CD10F1">
        <w:rPr>
          <w:szCs w:val="22"/>
        </w:rPr>
        <w:t xml:space="preserve">V podobne </w:t>
      </w:r>
      <w:r w:rsidR="00DF3BF9" w:rsidRPr="00A843D5">
        <w:rPr>
          <w:szCs w:val="22"/>
        </w:rPr>
        <w:t xml:space="preserve">usporiadanej </w:t>
      </w:r>
      <w:r w:rsidRPr="00A843D5">
        <w:rPr>
          <w:szCs w:val="22"/>
        </w:rPr>
        <w:t xml:space="preserve">štúdii sa výsledky pre všetky </w:t>
      </w:r>
      <w:proofErr w:type="spellStart"/>
      <w:r w:rsidRPr="00A843D5">
        <w:rPr>
          <w:szCs w:val="22"/>
        </w:rPr>
        <w:t>lipidové</w:t>
      </w:r>
      <w:proofErr w:type="spellEnd"/>
      <w:r w:rsidRPr="00A843D5">
        <w:rPr>
          <w:szCs w:val="22"/>
        </w:rPr>
        <w:t xml:space="preserve"> parametre vo</w:t>
      </w:r>
      <w:r w:rsidR="00007AF6" w:rsidRPr="00D81F49">
        <w:rPr>
          <w:szCs w:val="22"/>
        </w:rPr>
        <w:t xml:space="preserve"> </w:t>
      </w:r>
      <w:r w:rsidRPr="00AA7838">
        <w:rPr>
          <w:szCs w:val="22"/>
        </w:rPr>
        <w:t xml:space="preserve">všeobecnosti zhodovali. V združenej analýze týchto </w:t>
      </w:r>
      <w:r w:rsidR="004C4DEF" w:rsidRPr="00AA7838">
        <w:rPr>
          <w:szCs w:val="22"/>
        </w:rPr>
        <w:t xml:space="preserve">2 </w:t>
      </w:r>
      <w:r w:rsidRPr="00AA7838">
        <w:rPr>
          <w:szCs w:val="22"/>
        </w:rPr>
        <w:t xml:space="preserve">štúdií bola odpoveď lipidov na </w:t>
      </w:r>
      <w:proofErr w:type="spellStart"/>
      <w:r w:rsidR="00135C4D" w:rsidRPr="00373B08">
        <w:rPr>
          <w:szCs w:val="22"/>
        </w:rPr>
        <w:t>ezetimib</w:t>
      </w:r>
      <w:proofErr w:type="spellEnd"/>
      <w:r w:rsidR="00135C4D" w:rsidRPr="00373B08">
        <w:rPr>
          <w:szCs w:val="22"/>
        </w:rPr>
        <w:t>/</w:t>
      </w:r>
      <w:proofErr w:type="spellStart"/>
      <w:r w:rsidR="00135C4D" w:rsidRPr="00373B08">
        <w:rPr>
          <w:szCs w:val="22"/>
        </w:rPr>
        <w:t>simvastatín</w:t>
      </w:r>
      <w:proofErr w:type="spellEnd"/>
      <w:r w:rsidRPr="00373B08">
        <w:rPr>
          <w:szCs w:val="22"/>
        </w:rPr>
        <w:t xml:space="preserve"> podobná u pacientov s hladinami TG v</w:t>
      </w:r>
      <w:r w:rsidR="00F72343" w:rsidRPr="00823BDC">
        <w:rPr>
          <w:szCs w:val="22"/>
        </w:rPr>
        <w:t>yššími</w:t>
      </w:r>
      <w:r w:rsidRPr="00823BDC">
        <w:rPr>
          <w:szCs w:val="22"/>
        </w:rPr>
        <w:t xml:space="preserve"> alebo </w:t>
      </w:r>
      <w:r w:rsidR="00DF3BF9" w:rsidRPr="00823BDC">
        <w:rPr>
          <w:szCs w:val="22"/>
        </w:rPr>
        <w:t>nižšími</w:t>
      </w:r>
      <w:r w:rsidRPr="00823BDC">
        <w:rPr>
          <w:szCs w:val="22"/>
        </w:rPr>
        <w:t xml:space="preserve"> než 200 mg/dl.</w:t>
      </w:r>
    </w:p>
    <w:p w14:paraId="3A0A1B4C" w14:textId="77777777" w:rsidR="00D044EB" w:rsidRPr="00823BDC" w:rsidRDefault="00D044EB">
      <w:pPr>
        <w:pStyle w:val="Body"/>
        <w:adjustRightInd w:val="0"/>
        <w:snapToGrid w:val="0"/>
        <w:ind w:firstLine="0"/>
        <w:rPr>
          <w:szCs w:val="22"/>
        </w:rPr>
      </w:pPr>
    </w:p>
    <w:p w14:paraId="30C61631" w14:textId="77777777" w:rsidR="00E91347" w:rsidRPr="00823BDC" w:rsidRDefault="00E91347">
      <w:pPr>
        <w:adjustRightInd w:val="0"/>
        <w:snapToGrid w:val="0"/>
        <w:rPr>
          <w:szCs w:val="22"/>
        </w:rPr>
      </w:pPr>
      <w:r w:rsidRPr="00823BDC">
        <w:rPr>
          <w:szCs w:val="22"/>
        </w:rPr>
        <w:t>V </w:t>
      </w:r>
      <w:proofErr w:type="spellStart"/>
      <w:r w:rsidRPr="00823BDC">
        <w:rPr>
          <w:szCs w:val="22"/>
        </w:rPr>
        <w:t>multicentrickej</w:t>
      </w:r>
      <w:proofErr w:type="spellEnd"/>
      <w:r w:rsidRPr="00823BDC">
        <w:rPr>
          <w:szCs w:val="22"/>
        </w:rPr>
        <w:t>, dvojito zaslepenej, kontrolovanej klinickej štúdii (ENHANCE) bolo 720 pacientov s </w:t>
      </w:r>
      <w:proofErr w:type="spellStart"/>
      <w:r w:rsidRPr="00823BDC">
        <w:rPr>
          <w:szCs w:val="22"/>
        </w:rPr>
        <w:t>heterozygotnou</w:t>
      </w:r>
      <w:proofErr w:type="spellEnd"/>
      <w:r w:rsidRPr="00823BDC">
        <w:rPr>
          <w:szCs w:val="22"/>
        </w:rPr>
        <w:t xml:space="preserve"> familiárnou </w:t>
      </w:r>
      <w:proofErr w:type="spellStart"/>
      <w:r w:rsidRPr="00823BDC">
        <w:rPr>
          <w:szCs w:val="22"/>
        </w:rPr>
        <w:t>hypercholesterolémiou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randomizovaných</w:t>
      </w:r>
      <w:proofErr w:type="spellEnd"/>
      <w:r w:rsidRPr="00823BDC">
        <w:rPr>
          <w:szCs w:val="22"/>
        </w:rPr>
        <w:t xml:space="preserve"> na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10 mg v kombinácii so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80 mg (n = 357) alebo na 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80 mg (n = 363) počas 2 rokov. Primárnym cieľom štúdie bolo preskúmať účinok kombinovanej liečby </w:t>
      </w:r>
      <w:proofErr w:type="spellStart"/>
      <w:r w:rsidRPr="00823BDC">
        <w:rPr>
          <w:szCs w:val="22"/>
        </w:rPr>
        <w:t>ezetimib</w:t>
      </w:r>
      <w:r w:rsidR="00F51F96" w:rsidRPr="00823BDC">
        <w:rPr>
          <w:szCs w:val="22"/>
        </w:rPr>
        <w:t>om</w:t>
      </w:r>
      <w:proofErr w:type="spellEnd"/>
      <w:r w:rsidRPr="00823BDC">
        <w:rPr>
          <w:szCs w:val="22"/>
        </w:rPr>
        <w:t>/</w:t>
      </w:r>
      <w:proofErr w:type="spellStart"/>
      <w:r w:rsidRPr="00823BDC">
        <w:rPr>
          <w:szCs w:val="22"/>
        </w:rPr>
        <w:t>simvastatín</w:t>
      </w:r>
      <w:r w:rsidR="00F51F96" w:rsidRPr="00823BDC">
        <w:rPr>
          <w:szCs w:val="22"/>
        </w:rPr>
        <w:t>om</w:t>
      </w:r>
      <w:proofErr w:type="spellEnd"/>
      <w:r w:rsidRPr="00823BDC">
        <w:rPr>
          <w:szCs w:val="22"/>
        </w:rPr>
        <w:t xml:space="preserve"> na hrúbku vrstvy </w:t>
      </w:r>
      <w:proofErr w:type="spellStart"/>
      <w:r w:rsidRPr="00823BDC">
        <w:rPr>
          <w:szCs w:val="22"/>
        </w:rPr>
        <w:t>intima</w:t>
      </w:r>
      <w:proofErr w:type="spellEnd"/>
      <w:r w:rsidRPr="00823BDC">
        <w:rPr>
          <w:szCs w:val="22"/>
        </w:rPr>
        <w:t>-média (</w:t>
      </w:r>
      <w:proofErr w:type="spellStart"/>
      <w:r w:rsidRPr="00823BDC">
        <w:rPr>
          <w:szCs w:val="22"/>
        </w:rPr>
        <w:t>intima-media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thickness</w:t>
      </w:r>
      <w:proofErr w:type="spellEnd"/>
      <w:r w:rsidRPr="00823BDC">
        <w:rPr>
          <w:szCs w:val="22"/>
        </w:rPr>
        <w:t>, IMT) krčnej tepny v porovnaní s </w:t>
      </w:r>
      <w:proofErr w:type="spellStart"/>
      <w:r w:rsidRPr="00823BDC">
        <w:rPr>
          <w:szCs w:val="22"/>
        </w:rPr>
        <w:t>monoterapiou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>. Vplyv tohto zástupného markera na kardiovaskulárnu morbiditu a mortalitu nie je stále preukázaný.</w:t>
      </w:r>
    </w:p>
    <w:p w14:paraId="3A4E18A3" w14:textId="77777777" w:rsidR="00E91347" w:rsidRPr="00823BDC" w:rsidRDefault="00E91347">
      <w:pPr>
        <w:adjustRightInd w:val="0"/>
        <w:snapToGrid w:val="0"/>
        <w:rPr>
          <w:szCs w:val="22"/>
        </w:rPr>
      </w:pPr>
    </w:p>
    <w:p w14:paraId="6113FFF4" w14:textId="1E85EA71" w:rsidR="00E91347" w:rsidRPr="00823BDC" w:rsidRDefault="00E91347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Primárny cieľový ukazovateľ, zmena </w:t>
      </w:r>
      <w:r w:rsidR="00DF3BF9" w:rsidRPr="00823BDC">
        <w:rPr>
          <w:szCs w:val="22"/>
        </w:rPr>
        <w:t xml:space="preserve">priemernej </w:t>
      </w:r>
      <w:r w:rsidRPr="00823BDC">
        <w:rPr>
          <w:szCs w:val="22"/>
        </w:rPr>
        <w:t xml:space="preserve">hodnoty IMT všetkých </w:t>
      </w:r>
      <w:r w:rsidR="004C4DEF" w:rsidRPr="00823BDC">
        <w:rPr>
          <w:szCs w:val="22"/>
        </w:rPr>
        <w:t xml:space="preserve">6 </w:t>
      </w:r>
      <w:r w:rsidRPr="00823BDC">
        <w:rPr>
          <w:szCs w:val="22"/>
        </w:rPr>
        <w:t xml:space="preserve">segmentov krčnej tepny meraná ultrazvukom v B móde, sa medzi </w:t>
      </w:r>
      <w:r w:rsidR="004C4DEF" w:rsidRPr="00823BDC">
        <w:rPr>
          <w:szCs w:val="22"/>
        </w:rPr>
        <w:t xml:space="preserve">2 </w:t>
      </w:r>
      <w:r w:rsidRPr="00823BDC">
        <w:rPr>
          <w:szCs w:val="22"/>
        </w:rPr>
        <w:t xml:space="preserve">liečebnými skupinami signifikantne nelíšil (p = 0,29). Počas 2-ročného trvania štúdie sa hrúbka vrstvy </w:t>
      </w:r>
      <w:proofErr w:type="spellStart"/>
      <w:r w:rsidRPr="00823BDC">
        <w:rPr>
          <w:szCs w:val="22"/>
        </w:rPr>
        <w:t>intima</w:t>
      </w:r>
      <w:proofErr w:type="spellEnd"/>
      <w:r w:rsidRPr="00823BDC">
        <w:rPr>
          <w:szCs w:val="22"/>
        </w:rPr>
        <w:t xml:space="preserve">-média zväčšila o 0,0111 mm pri </w:t>
      </w:r>
      <w:proofErr w:type="spellStart"/>
      <w:r w:rsidRPr="00823BDC">
        <w:rPr>
          <w:szCs w:val="22"/>
        </w:rPr>
        <w:t>ezetimibe</w:t>
      </w:r>
      <w:proofErr w:type="spellEnd"/>
      <w:r w:rsidRPr="00823BDC">
        <w:rPr>
          <w:szCs w:val="22"/>
        </w:rPr>
        <w:t xml:space="preserve"> 10 mg v kombinácii so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80 mg (východisková </w:t>
      </w:r>
      <w:r w:rsidR="00DF3BF9" w:rsidRPr="00823BDC">
        <w:rPr>
          <w:szCs w:val="22"/>
        </w:rPr>
        <w:t>priemerná</w:t>
      </w:r>
      <w:r w:rsidRPr="00823BDC">
        <w:rPr>
          <w:szCs w:val="22"/>
        </w:rPr>
        <w:t xml:space="preserve"> hodnota </w:t>
      </w:r>
      <w:proofErr w:type="spellStart"/>
      <w:r w:rsidRPr="00823BDC">
        <w:rPr>
          <w:szCs w:val="22"/>
        </w:rPr>
        <w:t>karotickej</w:t>
      </w:r>
      <w:proofErr w:type="spellEnd"/>
      <w:r w:rsidRPr="00823BDC">
        <w:rPr>
          <w:szCs w:val="22"/>
        </w:rPr>
        <w:t xml:space="preserve"> IMT 0,68 mm) a o 0,0058 mm pri samotnom </w:t>
      </w:r>
      <w:proofErr w:type="spellStart"/>
      <w:r w:rsidRPr="00823BDC">
        <w:rPr>
          <w:szCs w:val="22"/>
        </w:rPr>
        <w:t>simvastatíne</w:t>
      </w:r>
      <w:proofErr w:type="spellEnd"/>
      <w:r w:rsidRPr="00823BDC">
        <w:rPr>
          <w:szCs w:val="22"/>
        </w:rPr>
        <w:t xml:space="preserve"> 80 mg (východisková </w:t>
      </w:r>
      <w:r w:rsidR="00DF3BF9" w:rsidRPr="00823BDC">
        <w:rPr>
          <w:szCs w:val="22"/>
        </w:rPr>
        <w:t>priemerná</w:t>
      </w:r>
      <w:r w:rsidRPr="00823BDC">
        <w:rPr>
          <w:szCs w:val="22"/>
        </w:rPr>
        <w:t xml:space="preserve"> hodnota </w:t>
      </w:r>
      <w:proofErr w:type="spellStart"/>
      <w:r w:rsidRPr="00823BDC">
        <w:rPr>
          <w:szCs w:val="22"/>
        </w:rPr>
        <w:t>karotickej</w:t>
      </w:r>
      <w:proofErr w:type="spellEnd"/>
      <w:r w:rsidRPr="00823BDC">
        <w:rPr>
          <w:szCs w:val="22"/>
        </w:rPr>
        <w:t xml:space="preserve"> IMT 0,69 mm).</w:t>
      </w:r>
    </w:p>
    <w:p w14:paraId="574F0C34" w14:textId="77777777" w:rsidR="00E91347" w:rsidRPr="00823BDC" w:rsidRDefault="00E91347">
      <w:pPr>
        <w:adjustRightInd w:val="0"/>
        <w:snapToGrid w:val="0"/>
        <w:rPr>
          <w:szCs w:val="22"/>
        </w:rPr>
      </w:pPr>
    </w:p>
    <w:p w14:paraId="0E941B8F" w14:textId="77777777" w:rsidR="00E91347" w:rsidRPr="00823BDC" w:rsidRDefault="00E91347">
      <w:pPr>
        <w:pStyle w:val="Body"/>
        <w:adjustRightInd w:val="0"/>
        <w:snapToGrid w:val="0"/>
        <w:ind w:firstLine="0"/>
        <w:rPr>
          <w:szCs w:val="22"/>
        </w:rPr>
      </w:pP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10 mg v kombinácii so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80 mg znížil LDL-C, celkový-C, Apo B a TG signifikantne viac ako 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80 mg. Percentuálne zvýšenie HDL-C bolo podobné pre obe liečebné skupiny. Nežiaduce reakcie hlásené pre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10 mg v kombinácii so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80 mg boli zhodné s jeho známym bezpečnostným profilom.</w:t>
      </w:r>
    </w:p>
    <w:p w14:paraId="62F1E94E" w14:textId="77777777" w:rsidR="00E91347" w:rsidRPr="00823BDC" w:rsidRDefault="00E91347">
      <w:pPr>
        <w:pStyle w:val="Body"/>
        <w:adjustRightInd w:val="0"/>
        <w:snapToGrid w:val="0"/>
        <w:ind w:firstLine="0"/>
        <w:rPr>
          <w:szCs w:val="22"/>
        </w:rPr>
      </w:pPr>
    </w:p>
    <w:p w14:paraId="7590438D" w14:textId="127FBB62" w:rsidR="00D044EB" w:rsidRPr="00823BDC" w:rsidRDefault="00135C4D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="00D044EB" w:rsidRPr="00823BDC">
        <w:rPr>
          <w:szCs w:val="22"/>
        </w:rPr>
        <w:t xml:space="preserve"> obsahuje </w:t>
      </w:r>
      <w:proofErr w:type="spellStart"/>
      <w:r w:rsidR="00D044EB" w:rsidRPr="00823BDC">
        <w:rPr>
          <w:szCs w:val="22"/>
        </w:rPr>
        <w:t>simvastatín</w:t>
      </w:r>
      <w:proofErr w:type="spellEnd"/>
      <w:r w:rsidR="00D044EB" w:rsidRPr="00823BDC">
        <w:rPr>
          <w:szCs w:val="22"/>
        </w:rPr>
        <w:t>. V </w:t>
      </w:r>
      <w:r w:rsidR="004C4DEF" w:rsidRPr="00823BDC">
        <w:rPr>
          <w:szCs w:val="22"/>
        </w:rPr>
        <w:t xml:space="preserve">2 </w:t>
      </w:r>
      <w:r w:rsidR="00D044EB" w:rsidRPr="00823BDC">
        <w:rPr>
          <w:szCs w:val="22"/>
        </w:rPr>
        <w:t>veľkých placebom kontrolovaných klinických skúša</w:t>
      </w:r>
      <w:r w:rsidR="003541EF" w:rsidRPr="00823BDC">
        <w:rPr>
          <w:szCs w:val="22"/>
        </w:rPr>
        <w:t>nia</w:t>
      </w:r>
      <w:r w:rsidR="00D044EB" w:rsidRPr="00823BDC">
        <w:rPr>
          <w:szCs w:val="22"/>
        </w:rPr>
        <w:t>ch</w:t>
      </w:r>
      <w:r w:rsidR="00FE59B2" w:rsidRPr="00823BDC">
        <w:rPr>
          <w:szCs w:val="22"/>
        </w:rPr>
        <w:t xml:space="preserve">, </w:t>
      </w:r>
      <w:proofErr w:type="spellStart"/>
      <w:r w:rsidR="00D044EB" w:rsidRPr="00823BDC">
        <w:rPr>
          <w:szCs w:val="22"/>
        </w:rPr>
        <w:t>Scandinavian</w:t>
      </w:r>
      <w:proofErr w:type="spellEnd"/>
      <w:r w:rsidR="00D044EB" w:rsidRPr="00823BDC">
        <w:rPr>
          <w:szCs w:val="22"/>
        </w:rPr>
        <w:t xml:space="preserve"> </w:t>
      </w:r>
      <w:proofErr w:type="spellStart"/>
      <w:r w:rsidR="00D044EB" w:rsidRPr="00823BDC">
        <w:rPr>
          <w:szCs w:val="22"/>
        </w:rPr>
        <w:t>Simvastatin</w:t>
      </w:r>
      <w:proofErr w:type="spellEnd"/>
      <w:r w:rsidR="00D044EB" w:rsidRPr="00823BDC">
        <w:rPr>
          <w:szCs w:val="22"/>
        </w:rPr>
        <w:t xml:space="preserve"> </w:t>
      </w:r>
      <w:proofErr w:type="spellStart"/>
      <w:r w:rsidR="00D044EB" w:rsidRPr="00823BDC">
        <w:rPr>
          <w:szCs w:val="22"/>
        </w:rPr>
        <w:t>Survival</w:t>
      </w:r>
      <w:proofErr w:type="spellEnd"/>
      <w:r w:rsidR="00D044EB" w:rsidRPr="00823BDC">
        <w:rPr>
          <w:szCs w:val="22"/>
        </w:rPr>
        <w:t xml:space="preserve"> Study (20</w:t>
      </w:r>
      <w:r w:rsidR="00886F3D" w:rsidRPr="00823BDC">
        <w:rPr>
          <w:szCs w:val="22"/>
        </w:rPr>
        <w:noBreakHyphen/>
      </w:r>
      <w:r w:rsidR="00D044EB" w:rsidRPr="00823BDC">
        <w:rPr>
          <w:szCs w:val="22"/>
        </w:rPr>
        <w:t xml:space="preserve">40 mg, </w:t>
      </w:r>
      <w:r w:rsidR="00D93656" w:rsidRPr="00823BDC">
        <w:rPr>
          <w:szCs w:val="22"/>
        </w:rPr>
        <w:t>N</w:t>
      </w:r>
      <w:r w:rsidR="00D044EB" w:rsidRPr="00823BDC">
        <w:rPr>
          <w:szCs w:val="22"/>
        </w:rPr>
        <w:t> = 4 444 pacientov) a </w:t>
      </w:r>
      <w:proofErr w:type="spellStart"/>
      <w:r w:rsidR="00D044EB" w:rsidRPr="00823BDC">
        <w:rPr>
          <w:szCs w:val="22"/>
        </w:rPr>
        <w:t>Heart</w:t>
      </w:r>
      <w:proofErr w:type="spellEnd"/>
      <w:r w:rsidR="00D044EB" w:rsidRPr="00823BDC">
        <w:rPr>
          <w:szCs w:val="22"/>
        </w:rPr>
        <w:t xml:space="preserve"> </w:t>
      </w:r>
      <w:proofErr w:type="spellStart"/>
      <w:r w:rsidR="00D044EB" w:rsidRPr="00823BDC">
        <w:rPr>
          <w:szCs w:val="22"/>
        </w:rPr>
        <w:t>Protection</w:t>
      </w:r>
      <w:proofErr w:type="spellEnd"/>
      <w:r w:rsidR="00D044EB" w:rsidRPr="00823BDC">
        <w:rPr>
          <w:szCs w:val="22"/>
        </w:rPr>
        <w:t xml:space="preserve"> Study (40 mg, </w:t>
      </w:r>
      <w:r w:rsidR="00D93656" w:rsidRPr="00823BDC">
        <w:rPr>
          <w:szCs w:val="22"/>
        </w:rPr>
        <w:t>N</w:t>
      </w:r>
      <w:r w:rsidR="00D044EB" w:rsidRPr="00823BDC">
        <w:rPr>
          <w:szCs w:val="22"/>
        </w:rPr>
        <w:t> = 20 536 pacientov)</w:t>
      </w:r>
      <w:r w:rsidR="00FE59B2" w:rsidRPr="00823BDC">
        <w:rPr>
          <w:szCs w:val="22"/>
        </w:rPr>
        <w:t>,</w:t>
      </w:r>
      <w:r w:rsidR="00D044EB" w:rsidRPr="00823BDC">
        <w:rPr>
          <w:szCs w:val="22"/>
        </w:rPr>
        <w:t xml:space="preserve"> sa hodnotili účinky </w:t>
      </w:r>
      <w:r w:rsidR="00AD0BB3" w:rsidRPr="00823BDC">
        <w:rPr>
          <w:szCs w:val="22"/>
        </w:rPr>
        <w:t>liečby</w:t>
      </w:r>
      <w:r w:rsidR="00D044EB" w:rsidRPr="00823BDC">
        <w:rPr>
          <w:szCs w:val="22"/>
        </w:rPr>
        <w:t xml:space="preserve"> </w:t>
      </w:r>
      <w:proofErr w:type="spellStart"/>
      <w:r w:rsidR="00D044EB" w:rsidRPr="00823BDC">
        <w:rPr>
          <w:szCs w:val="22"/>
        </w:rPr>
        <w:t>simvastatínom</w:t>
      </w:r>
      <w:proofErr w:type="spellEnd"/>
      <w:r w:rsidR="00D044EB" w:rsidRPr="00823BDC">
        <w:rPr>
          <w:szCs w:val="22"/>
        </w:rPr>
        <w:t xml:space="preserve"> u pacientov s vysokým rizikom koronárnych príhod v dôsledku existujúcej koronárnej choroby srdca, diabetu, ochorenia periférnych ciev, cievnej mozgovej príhody alebo iného </w:t>
      </w:r>
      <w:proofErr w:type="spellStart"/>
      <w:r w:rsidR="00D044EB" w:rsidRPr="00823BDC">
        <w:rPr>
          <w:szCs w:val="22"/>
        </w:rPr>
        <w:t>cerebrovaskulárneho</w:t>
      </w:r>
      <w:proofErr w:type="spellEnd"/>
      <w:r w:rsidR="00D044EB" w:rsidRPr="00823BDC">
        <w:rPr>
          <w:szCs w:val="22"/>
        </w:rPr>
        <w:t xml:space="preserve"> ochorenia v anamnéze. Dokázalo sa, že </w:t>
      </w:r>
      <w:proofErr w:type="spellStart"/>
      <w:r w:rsidR="00D044EB" w:rsidRPr="00823BDC">
        <w:rPr>
          <w:szCs w:val="22"/>
        </w:rPr>
        <w:t>simvastatín</w:t>
      </w:r>
      <w:proofErr w:type="spellEnd"/>
      <w:r w:rsidR="00D044EB" w:rsidRPr="00823BDC">
        <w:rPr>
          <w:szCs w:val="22"/>
        </w:rPr>
        <w:t xml:space="preserve"> znižuje: riziko celkovej mortality znížením úmrtí v dôsledku KCHS, riziko nefatálneho infarktu myokardu a cievnej mozgovej príhody a potrebu koronárnych a nekoronárnych </w:t>
      </w:r>
      <w:proofErr w:type="spellStart"/>
      <w:r w:rsidR="00D044EB" w:rsidRPr="00823BDC">
        <w:rPr>
          <w:szCs w:val="22"/>
        </w:rPr>
        <w:t>revaskularizačných</w:t>
      </w:r>
      <w:proofErr w:type="spellEnd"/>
      <w:r w:rsidR="00D044EB" w:rsidRPr="00823BDC">
        <w:rPr>
          <w:szCs w:val="22"/>
        </w:rPr>
        <w:t xml:space="preserve"> výkonov.</w:t>
      </w:r>
    </w:p>
    <w:p w14:paraId="3A7C7FD8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5541529D" w14:textId="5E218E85" w:rsidR="00A07B6E" w:rsidRPr="00823BDC" w:rsidRDefault="00A07B6E">
      <w:pPr>
        <w:adjustRightInd w:val="0"/>
        <w:snapToGrid w:val="0"/>
        <w:rPr>
          <w:szCs w:val="22"/>
        </w:rPr>
      </w:pPr>
      <w:r w:rsidRPr="00823BDC">
        <w:rPr>
          <w:szCs w:val="22"/>
        </w:rPr>
        <w:t>Štúdia účinnosti ďalších znížení cholesterolu a </w:t>
      </w:r>
      <w:proofErr w:type="spellStart"/>
      <w:r w:rsidRPr="00823BDC">
        <w:rPr>
          <w:szCs w:val="22"/>
        </w:rPr>
        <w:t>homocysteínu</w:t>
      </w:r>
      <w:proofErr w:type="spellEnd"/>
      <w:r w:rsidRPr="00823BDC">
        <w:rPr>
          <w:szCs w:val="22"/>
        </w:rPr>
        <w:t xml:space="preserve"> (</w:t>
      </w:r>
      <w:proofErr w:type="spellStart"/>
      <w:r w:rsidRPr="00823BDC">
        <w:rPr>
          <w:szCs w:val="22"/>
        </w:rPr>
        <w:t>The</w:t>
      </w:r>
      <w:proofErr w:type="spellEnd"/>
      <w:r w:rsidRPr="00823BDC">
        <w:rPr>
          <w:szCs w:val="22"/>
        </w:rPr>
        <w:t xml:space="preserve"> Study of </w:t>
      </w:r>
      <w:proofErr w:type="spellStart"/>
      <w:r w:rsidRPr="00823BDC">
        <w:rPr>
          <w:szCs w:val="22"/>
        </w:rPr>
        <w:t>the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Effectiveness</w:t>
      </w:r>
      <w:proofErr w:type="spellEnd"/>
      <w:r w:rsidRPr="00823BDC">
        <w:rPr>
          <w:szCs w:val="22"/>
        </w:rPr>
        <w:t xml:space="preserve"> of </w:t>
      </w:r>
      <w:proofErr w:type="spellStart"/>
      <w:r w:rsidRPr="00823BDC">
        <w:rPr>
          <w:szCs w:val="22"/>
        </w:rPr>
        <w:t>Additional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Reductions</w:t>
      </w:r>
      <w:proofErr w:type="spellEnd"/>
      <w:r w:rsidRPr="00823BDC">
        <w:rPr>
          <w:szCs w:val="22"/>
        </w:rPr>
        <w:t xml:space="preserve"> in Cholesterol and </w:t>
      </w:r>
      <w:proofErr w:type="spellStart"/>
      <w:r w:rsidRPr="00823BDC">
        <w:rPr>
          <w:szCs w:val="22"/>
        </w:rPr>
        <w:t>Homocysteine</w:t>
      </w:r>
      <w:proofErr w:type="spellEnd"/>
      <w:r w:rsidRPr="00823BDC">
        <w:rPr>
          <w:szCs w:val="22"/>
        </w:rPr>
        <w:t xml:space="preserve"> (SEARCH)) hodnotila účinok liečby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80 mg oproti 20 mg (medián sledovania 6,7 rokov) na </w:t>
      </w:r>
      <w:r w:rsidR="00FE59B2" w:rsidRPr="00823BDC">
        <w:rPr>
          <w:szCs w:val="22"/>
        </w:rPr>
        <w:t xml:space="preserve">veľké vaskulárne </w:t>
      </w:r>
      <w:r w:rsidRPr="00823BDC">
        <w:rPr>
          <w:szCs w:val="22"/>
        </w:rPr>
        <w:t>príhody (</w:t>
      </w:r>
      <w:r w:rsidR="00FD1F0B" w:rsidRPr="00823BDC">
        <w:rPr>
          <w:szCs w:val="22"/>
        </w:rPr>
        <w:t xml:space="preserve">MVE, </w:t>
      </w:r>
      <w:r w:rsidRPr="00823BDC">
        <w:rPr>
          <w:szCs w:val="22"/>
        </w:rPr>
        <w:t xml:space="preserve">definované ako fatálna KCHS, nefatálny IM, výkon koronárnej </w:t>
      </w:r>
      <w:proofErr w:type="spellStart"/>
      <w:r w:rsidRPr="00823BDC">
        <w:rPr>
          <w:szCs w:val="22"/>
        </w:rPr>
        <w:t>revaskularizácie</w:t>
      </w:r>
      <w:proofErr w:type="spellEnd"/>
      <w:r w:rsidRPr="00823BDC">
        <w:rPr>
          <w:szCs w:val="22"/>
        </w:rPr>
        <w:t xml:space="preserve">, nefatálna alebo fatálna </w:t>
      </w:r>
      <w:r w:rsidR="00FD1F0B" w:rsidRPr="00823BDC">
        <w:rPr>
          <w:szCs w:val="22"/>
        </w:rPr>
        <w:t xml:space="preserve">cievna </w:t>
      </w:r>
      <w:r w:rsidRPr="00823BDC">
        <w:rPr>
          <w:szCs w:val="22"/>
        </w:rPr>
        <w:t xml:space="preserve">mozgová príhoda, alebo výkon periférnej </w:t>
      </w:r>
      <w:proofErr w:type="spellStart"/>
      <w:r w:rsidRPr="00823BDC">
        <w:rPr>
          <w:szCs w:val="22"/>
        </w:rPr>
        <w:t>revaskularizácie</w:t>
      </w:r>
      <w:proofErr w:type="spellEnd"/>
      <w:r w:rsidRPr="00823BDC">
        <w:rPr>
          <w:szCs w:val="22"/>
        </w:rPr>
        <w:t>) u 12 064 pacientov s </w:t>
      </w:r>
      <w:r w:rsidR="00290D48" w:rsidRPr="00823BDC">
        <w:rPr>
          <w:szCs w:val="22"/>
        </w:rPr>
        <w:t>infarktom myokardu v </w:t>
      </w:r>
      <w:r w:rsidRPr="00823BDC">
        <w:rPr>
          <w:szCs w:val="22"/>
        </w:rPr>
        <w:t>anamnéz</w:t>
      </w:r>
      <w:r w:rsidR="00290D48" w:rsidRPr="00823BDC">
        <w:rPr>
          <w:szCs w:val="22"/>
        </w:rPr>
        <w:t>e</w:t>
      </w:r>
      <w:r w:rsidRPr="00823BDC">
        <w:rPr>
          <w:szCs w:val="22"/>
        </w:rPr>
        <w:t>. V </w:t>
      </w:r>
      <w:proofErr w:type="spellStart"/>
      <w:r w:rsidRPr="00823BDC">
        <w:rPr>
          <w:szCs w:val="22"/>
        </w:rPr>
        <w:t>incidencii</w:t>
      </w:r>
      <w:proofErr w:type="spellEnd"/>
      <w:r w:rsidRPr="00823BDC">
        <w:rPr>
          <w:szCs w:val="22"/>
        </w:rPr>
        <w:t xml:space="preserve"> </w:t>
      </w:r>
      <w:r w:rsidR="00FD1F0B" w:rsidRPr="00823BDC">
        <w:rPr>
          <w:szCs w:val="22"/>
        </w:rPr>
        <w:t>veľkých vaskulárnych</w:t>
      </w:r>
      <w:r w:rsidRPr="00823BDC">
        <w:rPr>
          <w:szCs w:val="22"/>
        </w:rPr>
        <w:t xml:space="preserve"> príhod nebol medzi 2 skupinami signifikantný rozdiel; 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20 mg (n</w:t>
      </w:r>
      <w:r w:rsidR="00886F3D" w:rsidRPr="00823BDC">
        <w:rPr>
          <w:szCs w:val="22"/>
        </w:rPr>
        <w:t> </w:t>
      </w:r>
      <w:r w:rsidRPr="00823BDC">
        <w:rPr>
          <w:szCs w:val="22"/>
        </w:rPr>
        <w:t>=</w:t>
      </w:r>
      <w:r w:rsidR="00886F3D" w:rsidRPr="00823BDC">
        <w:rPr>
          <w:szCs w:val="22"/>
        </w:rPr>
        <w:t> </w:t>
      </w:r>
      <w:r w:rsidRPr="00823BDC">
        <w:rPr>
          <w:szCs w:val="22"/>
        </w:rPr>
        <w:t xml:space="preserve">1 553; 25,7 %) oproti 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80 mg (n = 1 477; 24,5 %), RR 0,94, 95 % IS: 0,88 </w:t>
      </w:r>
      <w:r w:rsidR="004C4DEF" w:rsidRPr="00823BDC">
        <w:rPr>
          <w:szCs w:val="22"/>
        </w:rPr>
        <w:t xml:space="preserve">- </w:t>
      </w:r>
      <w:r w:rsidRPr="00823BDC">
        <w:rPr>
          <w:szCs w:val="22"/>
        </w:rPr>
        <w:t xml:space="preserve">1,01. Absolútny rozdiel v LDL-C medzi </w:t>
      </w:r>
      <w:r w:rsidR="004C4DEF" w:rsidRPr="00823BDC">
        <w:rPr>
          <w:szCs w:val="22"/>
        </w:rPr>
        <w:t xml:space="preserve">2 </w:t>
      </w:r>
      <w:r w:rsidRPr="00823BDC">
        <w:rPr>
          <w:szCs w:val="22"/>
        </w:rPr>
        <w:t xml:space="preserve">skupinami počas trvania štúdie bol 0,35 ± 0,01 mmol/l. Bezpečnostné profily boli medzi dvoma liečebnými skupinami podobné, okrem toho, že </w:t>
      </w:r>
      <w:proofErr w:type="spellStart"/>
      <w:r w:rsidR="00C17785" w:rsidRPr="00823BDC">
        <w:rPr>
          <w:szCs w:val="22"/>
        </w:rPr>
        <w:t>incidencia</w:t>
      </w:r>
      <w:proofErr w:type="spellEnd"/>
      <w:r w:rsidR="00C17785"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bol</w:t>
      </w:r>
      <w:r w:rsidR="00C17785" w:rsidRPr="00823BDC">
        <w:rPr>
          <w:szCs w:val="22"/>
        </w:rPr>
        <w:t>a</w:t>
      </w:r>
      <w:r w:rsidRPr="00823BDC">
        <w:rPr>
          <w:szCs w:val="22"/>
        </w:rPr>
        <w:t xml:space="preserve"> u pacientov liečených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80 mg približne 1,0 % v porovnaní s 0,02 % u pacientov s 20 mg. Približne polovica z týchto prípadov </w:t>
      </w:r>
      <w:proofErr w:type="spellStart"/>
      <w:r w:rsidRPr="00823BDC">
        <w:rPr>
          <w:szCs w:val="22"/>
        </w:rPr>
        <w:lastRenderedPageBreak/>
        <w:t>myopatie</w:t>
      </w:r>
      <w:proofErr w:type="spellEnd"/>
      <w:r w:rsidRPr="00823BDC">
        <w:rPr>
          <w:szCs w:val="22"/>
        </w:rPr>
        <w:t xml:space="preserve"> sa vyskytla počas prvého roku liečby. </w:t>
      </w:r>
      <w:proofErr w:type="spellStart"/>
      <w:r w:rsidRPr="00823BDC">
        <w:rPr>
          <w:szCs w:val="22"/>
        </w:rPr>
        <w:t>Incidencia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počas každého nasledujúceho roku liečby bola približne 0,1 %.</w:t>
      </w:r>
    </w:p>
    <w:p w14:paraId="460B465F" w14:textId="77777777" w:rsidR="00452106" w:rsidRPr="00823BDC" w:rsidRDefault="00452106">
      <w:pPr>
        <w:adjustRightInd w:val="0"/>
        <w:snapToGrid w:val="0"/>
        <w:rPr>
          <w:szCs w:val="22"/>
          <w:u w:val="single"/>
        </w:rPr>
      </w:pPr>
    </w:p>
    <w:p w14:paraId="39979596" w14:textId="77777777" w:rsidR="00A74151" w:rsidRPr="00823BDC" w:rsidRDefault="0088522F">
      <w:pPr>
        <w:keepNext/>
        <w:adjustRightInd w:val="0"/>
        <w:snapToGrid w:val="0"/>
        <w:rPr>
          <w:i/>
          <w:szCs w:val="22"/>
          <w:u w:val="single"/>
        </w:rPr>
      </w:pPr>
      <w:r w:rsidRPr="00823BDC">
        <w:rPr>
          <w:i/>
          <w:szCs w:val="22"/>
          <w:u w:val="single"/>
        </w:rPr>
        <w:t>Pediatrická populácia</w:t>
      </w:r>
    </w:p>
    <w:p w14:paraId="075264A0" w14:textId="77777777" w:rsidR="00A74151" w:rsidRPr="00823BDC" w:rsidRDefault="00A74151">
      <w:pPr>
        <w:adjustRightInd w:val="0"/>
        <w:snapToGrid w:val="0"/>
        <w:rPr>
          <w:szCs w:val="22"/>
        </w:rPr>
      </w:pPr>
      <w:r w:rsidRPr="00823BDC">
        <w:rPr>
          <w:szCs w:val="22"/>
        </w:rPr>
        <w:t>V</w:t>
      </w:r>
      <w:r w:rsidR="00DF3BF9" w:rsidRPr="00823BDC">
        <w:rPr>
          <w:szCs w:val="22"/>
        </w:rPr>
        <w:t> </w:t>
      </w:r>
      <w:proofErr w:type="spellStart"/>
      <w:r w:rsidRPr="00823BDC">
        <w:rPr>
          <w:szCs w:val="22"/>
        </w:rPr>
        <w:t>multicentrickej</w:t>
      </w:r>
      <w:proofErr w:type="spellEnd"/>
      <w:r w:rsidR="00DF3BF9" w:rsidRPr="00823BDC">
        <w:rPr>
          <w:szCs w:val="22"/>
        </w:rPr>
        <w:t>,</w:t>
      </w:r>
      <w:r w:rsidRPr="00823BDC">
        <w:rPr>
          <w:szCs w:val="22"/>
        </w:rPr>
        <w:t xml:space="preserve"> dvojito zaslepenej</w:t>
      </w:r>
      <w:r w:rsidR="00DF3BF9" w:rsidRPr="00823BDC">
        <w:rPr>
          <w:szCs w:val="22"/>
        </w:rPr>
        <w:t>,</w:t>
      </w:r>
      <w:r w:rsidRPr="00823BDC">
        <w:rPr>
          <w:szCs w:val="22"/>
        </w:rPr>
        <w:t xml:space="preserve"> kontrolovanej štúdii</w:t>
      </w:r>
      <w:r w:rsidR="00CE6149" w:rsidRPr="00823BDC">
        <w:rPr>
          <w:szCs w:val="22"/>
        </w:rPr>
        <w:t xml:space="preserve"> bolo</w:t>
      </w:r>
      <w:r w:rsidR="009913C5" w:rsidRPr="00823BDC">
        <w:rPr>
          <w:szCs w:val="22"/>
        </w:rPr>
        <w:t xml:space="preserve"> 1</w:t>
      </w:r>
      <w:r w:rsidRPr="00823BDC">
        <w:rPr>
          <w:szCs w:val="22"/>
        </w:rPr>
        <w:t xml:space="preserve">42 chlapcov (II. </w:t>
      </w:r>
      <w:proofErr w:type="spellStart"/>
      <w:r w:rsidRPr="00823BDC">
        <w:rPr>
          <w:szCs w:val="22"/>
        </w:rPr>
        <w:t>Tannerovo</w:t>
      </w:r>
      <w:proofErr w:type="spellEnd"/>
      <w:r w:rsidRPr="00823BDC">
        <w:rPr>
          <w:szCs w:val="22"/>
        </w:rPr>
        <w:t xml:space="preserve"> štádium a vyššie) a 106</w:t>
      </w:r>
      <w:r w:rsidR="00A712AF" w:rsidRPr="00823BDC">
        <w:rPr>
          <w:szCs w:val="22"/>
        </w:rPr>
        <w:t xml:space="preserve"> </w:t>
      </w:r>
      <w:r w:rsidRPr="00823BDC">
        <w:rPr>
          <w:szCs w:val="22"/>
        </w:rPr>
        <w:t xml:space="preserve">dievčat jeden rok po </w:t>
      </w:r>
      <w:proofErr w:type="spellStart"/>
      <w:r w:rsidRPr="00823BDC">
        <w:rPr>
          <w:szCs w:val="22"/>
        </w:rPr>
        <w:t>menarché</w:t>
      </w:r>
      <w:proofErr w:type="spellEnd"/>
      <w:r w:rsidRPr="00823BDC">
        <w:rPr>
          <w:szCs w:val="22"/>
        </w:rPr>
        <w:t xml:space="preserve"> vo veku 10 až 17 rokov (priemerný vek 14,2 rokov) s </w:t>
      </w:r>
      <w:proofErr w:type="spellStart"/>
      <w:r w:rsidRPr="00823BDC">
        <w:rPr>
          <w:szCs w:val="22"/>
        </w:rPr>
        <w:t>heterozygotnou</w:t>
      </w:r>
      <w:proofErr w:type="spellEnd"/>
      <w:r w:rsidRPr="00823BDC">
        <w:rPr>
          <w:szCs w:val="22"/>
        </w:rPr>
        <w:t xml:space="preserve"> familiárnou </w:t>
      </w:r>
      <w:proofErr w:type="spellStart"/>
      <w:r w:rsidRPr="00823BDC">
        <w:rPr>
          <w:szCs w:val="22"/>
        </w:rPr>
        <w:t>hypercholesterolémiou</w:t>
      </w:r>
      <w:proofErr w:type="spellEnd"/>
      <w:r w:rsidRPr="00823BDC">
        <w:rPr>
          <w:szCs w:val="22"/>
        </w:rPr>
        <w:t xml:space="preserve"> (</w:t>
      </w:r>
      <w:proofErr w:type="spellStart"/>
      <w:r w:rsidRPr="00823BDC">
        <w:rPr>
          <w:szCs w:val="22"/>
        </w:rPr>
        <w:t>HeFH</w:t>
      </w:r>
      <w:proofErr w:type="spellEnd"/>
      <w:r w:rsidRPr="00823BDC">
        <w:rPr>
          <w:szCs w:val="22"/>
        </w:rPr>
        <w:t xml:space="preserve">) </w:t>
      </w:r>
      <w:r w:rsidR="009913C5" w:rsidRPr="00823BDC">
        <w:rPr>
          <w:szCs w:val="22"/>
        </w:rPr>
        <w:t xml:space="preserve">s východiskovými hladinami LDL-C </w:t>
      </w:r>
      <w:r w:rsidR="00CE6149" w:rsidRPr="00823BDC">
        <w:rPr>
          <w:szCs w:val="22"/>
        </w:rPr>
        <w:t>v </w:t>
      </w:r>
      <w:r w:rsidR="00536585" w:rsidRPr="00823BDC">
        <w:rPr>
          <w:szCs w:val="22"/>
        </w:rPr>
        <w:t>rozmedzí</w:t>
      </w:r>
      <w:r w:rsidR="00CE6149" w:rsidRPr="00823BDC">
        <w:rPr>
          <w:szCs w:val="22"/>
        </w:rPr>
        <w:t xml:space="preserve"> 4,1 a 10,4 mmol/l</w:t>
      </w:r>
      <w:r w:rsidR="009913C5" w:rsidRPr="00823BDC">
        <w:rPr>
          <w:szCs w:val="22"/>
        </w:rPr>
        <w:t xml:space="preserve"> </w:t>
      </w:r>
      <w:proofErr w:type="spellStart"/>
      <w:r w:rsidR="00FD1F0B" w:rsidRPr="00823BDC">
        <w:rPr>
          <w:szCs w:val="22"/>
        </w:rPr>
        <w:t>randomizovaných</w:t>
      </w:r>
      <w:proofErr w:type="spellEnd"/>
      <w:r w:rsidR="00FD1F0B" w:rsidRPr="00823BDC">
        <w:rPr>
          <w:szCs w:val="22"/>
        </w:rPr>
        <w:t xml:space="preserve"> </w:t>
      </w:r>
      <w:r w:rsidR="00974836" w:rsidRPr="00823BDC">
        <w:rPr>
          <w:szCs w:val="22"/>
        </w:rPr>
        <w:t>buď do skupiny s </w:t>
      </w:r>
      <w:proofErr w:type="spellStart"/>
      <w:r w:rsidR="00974836" w:rsidRPr="00823BDC">
        <w:rPr>
          <w:szCs w:val="22"/>
        </w:rPr>
        <w:t>ezetimibo</w:t>
      </w:r>
      <w:r w:rsidR="00536585" w:rsidRPr="00823BDC">
        <w:rPr>
          <w:szCs w:val="22"/>
        </w:rPr>
        <w:t>m</w:t>
      </w:r>
      <w:proofErr w:type="spellEnd"/>
      <w:r w:rsidR="00536585" w:rsidRPr="00823BDC">
        <w:rPr>
          <w:szCs w:val="22"/>
        </w:rPr>
        <w:t xml:space="preserve"> 10 </w:t>
      </w:r>
      <w:r w:rsidR="00974836" w:rsidRPr="00823BDC">
        <w:rPr>
          <w:szCs w:val="22"/>
        </w:rPr>
        <w:t xml:space="preserve">mg súbežne podávaným so </w:t>
      </w:r>
      <w:proofErr w:type="spellStart"/>
      <w:r w:rsidR="00974836" w:rsidRPr="00823BDC">
        <w:rPr>
          <w:szCs w:val="22"/>
        </w:rPr>
        <w:t>simvastatínom</w:t>
      </w:r>
      <w:proofErr w:type="spellEnd"/>
      <w:r w:rsidR="00974836" w:rsidRPr="00823BDC">
        <w:rPr>
          <w:szCs w:val="22"/>
        </w:rPr>
        <w:t xml:space="preserve"> (10, 20 alebo 40</w:t>
      </w:r>
      <w:r w:rsidR="00D35CBB" w:rsidRPr="00823BDC">
        <w:rPr>
          <w:szCs w:val="22"/>
        </w:rPr>
        <w:t> </w:t>
      </w:r>
      <w:r w:rsidR="00974836" w:rsidRPr="00823BDC">
        <w:rPr>
          <w:szCs w:val="22"/>
        </w:rPr>
        <w:t xml:space="preserve">mg) </w:t>
      </w:r>
      <w:r w:rsidR="00D35CBB" w:rsidRPr="00823BDC">
        <w:rPr>
          <w:szCs w:val="22"/>
        </w:rPr>
        <w:t xml:space="preserve">alebo do skupiny so </w:t>
      </w:r>
      <w:r w:rsidR="0079156C" w:rsidRPr="00823BDC">
        <w:rPr>
          <w:szCs w:val="22"/>
        </w:rPr>
        <w:t xml:space="preserve">samotným </w:t>
      </w:r>
      <w:proofErr w:type="spellStart"/>
      <w:r w:rsidR="00D35CBB" w:rsidRPr="00823BDC">
        <w:rPr>
          <w:szCs w:val="22"/>
        </w:rPr>
        <w:t>simvastatínom</w:t>
      </w:r>
      <w:proofErr w:type="spellEnd"/>
      <w:r w:rsidR="00D35CBB" w:rsidRPr="00823BDC">
        <w:rPr>
          <w:szCs w:val="22"/>
        </w:rPr>
        <w:t xml:space="preserve"> (10, 20 alebo 40 mg) počas 6 týždňov, do skupiny s </w:t>
      </w:r>
      <w:proofErr w:type="spellStart"/>
      <w:r w:rsidR="00D35CBB" w:rsidRPr="00823BDC">
        <w:rPr>
          <w:szCs w:val="22"/>
        </w:rPr>
        <w:t>ezetimibom</w:t>
      </w:r>
      <w:proofErr w:type="spellEnd"/>
      <w:r w:rsidR="00D35CBB" w:rsidRPr="00823BDC">
        <w:rPr>
          <w:szCs w:val="22"/>
        </w:rPr>
        <w:t xml:space="preserve"> súbežne podávaným so </w:t>
      </w:r>
      <w:proofErr w:type="spellStart"/>
      <w:r w:rsidR="00D35CBB" w:rsidRPr="00823BDC">
        <w:rPr>
          <w:szCs w:val="22"/>
        </w:rPr>
        <w:t>simvastatínom</w:t>
      </w:r>
      <w:proofErr w:type="spellEnd"/>
      <w:r w:rsidR="00D35CBB" w:rsidRPr="00823BDC">
        <w:rPr>
          <w:szCs w:val="22"/>
        </w:rPr>
        <w:t xml:space="preserve"> 40 mg </w:t>
      </w:r>
      <w:r w:rsidR="00974836" w:rsidRPr="00823BDC">
        <w:rPr>
          <w:szCs w:val="22"/>
        </w:rPr>
        <w:t xml:space="preserve">alebo do skupiny so </w:t>
      </w:r>
      <w:r w:rsidR="0079156C" w:rsidRPr="00823BDC">
        <w:rPr>
          <w:szCs w:val="22"/>
        </w:rPr>
        <w:t xml:space="preserve">samotným </w:t>
      </w:r>
      <w:proofErr w:type="spellStart"/>
      <w:r w:rsidR="00974836" w:rsidRPr="00823BDC">
        <w:rPr>
          <w:szCs w:val="22"/>
        </w:rPr>
        <w:t>simvastatínom</w:t>
      </w:r>
      <w:proofErr w:type="spellEnd"/>
      <w:r w:rsidR="00974836" w:rsidRPr="00823BDC">
        <w:rPr>
          <w:szCs w:val="22"/>
        </w:rPr>
        <w:t xml:space="preserve"> 40</w:t>
      </w:r>
      <w:r w:rsidR="00D35CBB" w:rsidRPr="00823BDC">
        <w:rPr>
          <w:szCs w:val="22"/>
        </w:rPr>
        <w:t> </w:t>
      </w:r>
      <w:r w:rsidR="00974836" w:rsidRPr="00823BDC">
        <w:rPr>
          <w:szCs w:val="22"/>
        </w:rPr>
        <w:t xml:space="preserve">mg počas </w:t>
      </w:r>
      <w:r w:rsidR="00B73F18" w:rsidRPr="00823BDC">
        <w:rPr>
          <w:szCs w:val="22"/>
        </w:rPr>
        <w:t xml:space="preserve">nasledujúcich </w:t>
      </w:r>
      <w:r w:rsidR="00974836" w:rsidRPr="00823BDC">
        <w:rPr>
          <w:szCs w:val="22"/>
        </w:rPr>
        <w:t xml:space="preserve">27 týždňov </w:t>
      </w:r>
      <w:r w:rsidR="00536585" w:rsidRPr="00823BDC">
        <w:rPr>
          <w:szCs w:val="22"/>
        </w:rPr>
        <w:t xml:space="preserve">a následne </w:t>
      </w:r>
      <w:r w:rsidR="00B73F18" w:rsidRPr="00823BDC">
        <w:rPr>
          <w:szCs w:val="22"/>
        </w:rPr>
        <w:t xml:space="preserve">počas </w:t>
      </w:r>
      <w:r w:rsidR="00536585" w:rsidRPr="00823BDC">
        <w:rPr>
          <w:szCs w:val="22"/>
        </w:rPr>
        <w:t>20 týždňov odslepeného</w:t>
      </w:r>
      <w:r w:rsidR="00974836" w:rsidRPr="00823BDC">
        <w:rPr>
          <w:szCs w:val="22"/>
        </w:rPr>
        <w:t xml:space="preserve"> súbežného podávania </w:t>
      </w:r>
      <w:proofErr w:type="spellStart"/>
      <w:r w:rsidR="00974836" w:rsidRPr="00823BDC">
        <w:rPr>
          <w:szCs w:val="22"/>
        </w:rPr>
        <w:t>ezetimibu</w:t>
      </w:r>
      <w:proofErr w:type="spellEnd"/>
      <w:r w:rsidR="00974836" w:rsidRPr="00823BDC">
        <w:rPr>
          <w:szCs w:val="22"/>
        </w:rPr>
        <w:t xml:space="preserve"> a </w:t>
      </w:r>
      <w:proofErr w:type="spellStart"/>
      <w:r w:rsidR="00974836" w:rsidRPr="00823BDC">
        <w:rPr>
          <w:szCs w:val="22"/>
        </w:rPr>
        <w:t>simvastatínu</w:t>
      </w:r>
      <w:proofErr w:type="spellEnd"/>
      <w:r w:rsidR="00974836" w:rsidRPr="00823BDC">
        <w:rPr>
          <w:szCs w:val="22"/>
        </w:rPr>
        <w:t xml:space="preserve"> (10</w:t>
      </w:r>
      <w:r w:rsidR="00D35CBB" w:rsidRPr="00823BDC">
        <w:rPr>
          <w:szCs w:val="22"/>
        </w:rPr>
        <w:t> </w:t>
      </w:r>
      <w:r w:rsidR="00974836" w:rsidRPr="00823BDC">
        <w:rPr>
          <w:szCs w:val="22"/>
        </w:rPr>
        <w:t>mg, 20</w:t>
      </w:r>
      <w:r w:rsidR="00D35CBB" w:rsidRPr="00823BDC">
        <w:rPr>
          <w:szCs w:val="22"/>
        </w:rPr>
        <w:t> </w:t>
      </w:r>
      <w:r w:rsidR="00974836" w:rsidRPr="00823BDC">
        <w:rPr>
          <w:szCs w:val="22"/>
        </w:rPr>
        <w:t>mg alebo 40</w:t>
      </w:r>
      <w:r w:rsidR="00D35CBB" w:rsidRPr="00823BDC">
        <w:rPr>
          <w:szCs w:val="22"/>
        </w:rPr>
        <w:t> </w:t>
      </w:r>
      <w:r w:rsidR="00974836" w:rsidRPr="00823BDC">
        <w:rPr>
          <w:szCs w:val="22"/>
        </w:rPr>
        <w:t>mg).</w:t>
      </w:r>
    </w:p>
    <w:p w14:paraId="7EEB0C63" w14:textId="77777777" w:rsidR="00A74151" w:rsidRPr="00823BDC" w:rsidRDefault="00A74151">
      <w:pPr>
        <w:adjustRightInd w:val="0"/>
        <w:snapToGrid w:val="0"/>
        <w:rPr>
          <w:szCs w:val="22"/>
        </w:rPr>
      </w:pPr>
    </w:p>
    <w:p w14:paraId="1A472FFF" w14:textId="48657815" w:rsidR="00974836" w:rsidRPr="00823BDC" w:rsidRDefault="00B73F18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súbežne</w:t>
      </w:r>
      <w:r w:rsidR="00974836" w:rsidRPr="00823BDC">
        <w:rPr>
          <w:szCs w:val="22"/>
        </w:rPr>
        <w:t xml:space="preserve"> podávaný so </w:t>
      </w:r>
      <w:proofErr w:type="spellStart"/>
      <w:r w:rsidR="00974836" w:rsidRPr="00823BDC">
        <w:rPr>
          <w:szCs w:val="22"/>
        </w:rPr>
        <w:t>simvastatínom</w:t>
      </w:r>
      <w:proofErr w:type="spellEnd"/>
      <w:r w:rsidR="00974836" w:rsidRPr="00823BDC">
        <w:rPr>
          <w:szCs w:val="22"/>
        </w:rPr>
        <w:t xml:space="preserve"> (všetky sily) </w:t>
      </w:r>
      <w:r w:rsidRPr="00823BDC">
        <w:rPr>
          <w:szCs w:val="22"/>
        </w:rPr>
        <w:t>v</w:t>
      </w:r>
      <w:r w:rsidR="000A1FC1" w:rsidRPr="00823BDC">
        <w:rPr>
          <w:szCs w:val="22"/>
        </w:rPr>
        <w:t> </w:t>
      </w:r>
      <w:r w:rsidRPr="00823BDC">
        <w:rPr>
          <w:szCs w:val="22"/>
        </w:rPr>
        <w:t>6</w:t>
      </w:r>
      <w:r w:rsidR="000A1FC1" w:rsidRPr="00823BDC">
        <w:rPr>
          <w:szCs w:val="22"/>
        </w:rPr>
        <w:t>.</w:t>
      </w:r>
      <w:r w:rsidRPr="00823BDC">
        <w:rPr>
          <w:szCs w:val="22"/>
        </w:rPr>
        <w:t xml:space="preserve"> týždni </w:t>
      </w:r>
      <w:r w:rsidR="00974836" w:rsidRPr="00823BDC">
        <w:rPr>
          <w:szCs w:val="22"/>
        </w:rPr>
        <w:t>signifikantne znížil hladinu celkového cholesterolu (38 % oproti 26 %), LDL-C (49 % oproti 34 %), Apo B (39 % oproti 27 %) a </w:t>
      </w:r>
      <w:proofErr w:type="spellStart"/>
      <w:r w:rsidR="00974836" w:rsidRPr="00823BDC">
        <w:rPr>
          <w:szCs w:val="22"/>
        </w:rPr>
        <w:t>non</w:t>
      </w:r>
      <w:proofErr w:type="spellEnd"/>
      <w:r w:rsidR="00974836" w:rsidRPr="00823BDC">
        <w:rPr>
          <w:szCs w:val="22"/>
        </w:rPr>
        <w:t xml:space="preserve">-HDL-C (47 % oproti 33 %) v porovnaní so samotným </w:t>
      </w:r>
      <w:proofErr w:type="spellStart"/>
      <w:r w:rsidR="00974836" w:rsidRPr="00823BDC">
        <w:rPr>
          <w:szCs w:val="22"/>
        </w:rPr>
        <w:t>simvastatínom</w:t>
      </w:r>
      <w:proofErr w:type="spellEnd"/>
      <w:r w:rsidR="00974836" w:rsidRPr="00823BDC">
        <w:rPr>
          <w:szCs w:val="22"/>
        </w:rPr>
        <w:t xml:space="preserve"> (všetky sily). Výsledky</w:t>
      </w:r>
      <w:r w:rsidR="00B86D2C" w:rsidRPr="00823BDC">
        <w:rPr>
          <w:szCs w:val="22"/>
        </w:rPr>
        <w:t xml:space="preserve"> pre TG a HDL-C</w:t>
      </w:r>
      <w:r w:rsidR="00974836" w:rsidRPr="00823BDC">
        <w:rPr>
          <w:szCs w:val="22"/>
        </w:rPr>
        <w:t xml:space="preserve"> boli pre </w:t>
      </w:r>
      <w:r w:rsidR="004C4DEF" w:rsidRPr="00823BDC">
        <w:rPr>
          <w:szCs w:val="22"/>
        </w:rPr>
        <w:t xml:space="preserve">2 </w:t>
      </w:r>
      <w:r w:rsidR="00974836" w:rsidRPr="00823BDC">
        <w:rPr>
          <w:szCs w:val="22"/>
        </w:rPr>
        <w:t>liečebné skupiny podobné (</w:t>
      </w:r>
      <w:r w:rsidR="00974836" w:rsidRPr="00823BDC">
        <w:rPr>
          <w:szCs w:val="22"/>
        </w:rPr>
        <w:noBreakHyphen/>
        <w:t xml:space="preserve">17 % oproti </w:t>
      </w:r>
      <w:r w:rsidR="00974836" w:rsidRPr="00823BDC">
        <w:rPr>
          <w:szCs w:val="22"/>
        </w:rPr>
        <w:noBreakHyphen/>
        <w:t>12 % pre TG a +7 % oproti +6 % pre HDL-C). V</w:t>
      </w:r>
      <w:r w:rsidR="000A1FC1" w:rsidRPr="00823BDC">
        <w:rPr>
          <w:szCs w:val="22"/>
        </w:rPr>
        <w:t> </w:t>
      </w:r>
      <w:r w:rsidR="00974836" w:rsidRPr="00823BDC">
        <w:rPr>
          <w:szCs w:val="22"/>
        </w:rPr>
        <w:t>33</w:t>
      </w:r>
      <w:r w:rsidR="000A1FC1" w:rsidRPr="00823BDC">
        <w:rPr>
          <w:szCs w:val="22"/>
        </w:rPr>
        <w:t>.</w:t>
      </w:r>
      <w:r w:rsidR="00974836" w:rsidRPr="00823BDC">
        <w:rPr>
          <w:szCs w:val="22"/>
        </w:rPr>
        <w:t xml:space="preserve"> týždni boli výsledky zhodné s</w:t>
      </w:r>
      <w:r w:rsidR="00C80DB7" w:rsidRPr="00823BDC">
        <w:rPr>
          <w:szCs w:val="22"/>
        </w:rPr>
        <w:t> </w:t>
      </w:r>
      <w:r w:rsidR="00974836" w:rsidRPr="00823BDC">
        <w:rPr>
          <w:szCs w:val="22"/>
        </w:rPr>
        <w:t>výsledkami</w:t>
      </w:r>
      <w:r w:rsidR="00C80DB7" w:rsidRPr="00823BDC">
        <w:rPr>
          <w:szCs w:val="22"/>
        </w:rPr>
        <w:t xml:space="preserve"> v</w:t>
      </w:r>
      <w:r w:rsidR="000A1FC1" w:rsidRPr="00823BDC">
        <w:rPr>
          <w:szCs w:val="22"/>
        </w:rPr>
        <w:t> </w:t>
      </w:r>
      <w:r w:rsidR="00C80DB7" w:rsidRPr="00823BDC">
        <w:rPr>
          <w:szCs w:val="22"/>
        </w:rPr>
        <w:t>6</w:t>
      </w:r>
      <w:r w:rsidR="000A1FC1" w:rsidRPr="00823BDC">
        <w:rPr>
          <w:szCs w:val="22"/>
        </w:rPr>
        <w:t>.</w:t>
      </w:r>
      <w:r w:rsidR="00C80DB7" w:rsidRPr="00823BDC">
        <w:rPr>
          <w:szCs w:val="22"/>
        </w:rPr>
        <w:t xml:space="preserve"> týždni a </w:t>
      </w:r>
      <w:proofErr w:type="spellStart"/>
      <w:r w:rsidR="00C80DB7" w:rsidRPr="00823BDC">
        <w:rPr>
          <w:szCs w:val="22"/>
        </w:rPr>
        <w:t>signifikatne</w:t>
      </w:r>
      <w:proofErr w:type="spellEnd"/>
      <w:r w:rsidR="00C80DB7" w:rsidRPr="00823BDC">
        <w:rPr>
          <w:szCs w:val="22"/>
        </w:rPr>
        <w:t xml:space="preserve"> viac pacientov užívajúcich </w:t>
      </w:r>
      <w:proofErr w:type="spellStart"/>
      <w:r w:rsidR="00C80DB7" w:rsidRPr="00823BDC">
        <w:rPr>
          <w:szCs w:val="22"/>
        </w:rPr>
        <w:t>ezetimib</w:t>
      </w:r>
      <w:proofErr w:type="spellEnd"/>
      <w:r w:rsidR="00C80DB7" w:rsidRPr="00823BDC">
        <w:rPr>
          <w:szCs w:val="22"/>
        </w:rPr>
        <w:t xml:space="preserve"> a 40</w:t>
      </w:r>
      <w:r w:rsidR="00B86D2C" w:rsidRPr="00823BDC">
        <w:rPr>
          <w:szCs w:val="22"/>
        </w:rPr>
        <w:t> </w:t>
      </w:r>
      <w:r w:rsidR="00C80DB7" w:rsidRPr="00823BDC">
        <w:rPr>
          <w:szCs w:val="22"/>
        </w:rPr>
        <w:t xml:space="preserve">mg </w:t>
      </w:r>
      <w:proofErr w:type="spellStart"/>
      <w:r w:rsidR="00C80DB7" w:rsidRPr="00823BDC">
        <w:rPr>
          <w:szCs w:val="22"/>
        </w:rPr>
        <w:t>simvastatínu</w:t>
      </w:r>
      <w:proofErr w:type="spellEnd"/>
      <w:r w:rsidR="00C80DB7" w:rsidRPr="00823BDC">
        <w:rPr>
          <w:szCs w:val="22"/>
        </w:rPr>
        <w:t xml:space="preserve"> (62 %) dosiahlo ideálne </w:t>
      </w:r>
      <w:r w:rsidR="00C84706" w:rsidRPr="00823BDC">
        <w:rPr>
          <w:szCs w:val="22"/>
        </w:rPr>
        <w:t>cieľové hodnoty</w:t>
      </w:r>
      <w:r w:rsidR="00C80DB7" w:rsidRPr="00823BDC">
        <w:rPr>
          <w:szCs w:val="22"/>
        </w:rPr>
        <w:t xml:space="preserve"> </w:t>
      </w:r>
      <w:r w:rsidR="00C84706" w:rsidRPr="00823BDC">
        <w:rPr>
          <w:szCs w:val="22"/>
        </w:rPr>
        <w:t xml:space="preserve">podľa </w:t>
      </w:r>
      <w:r w:rsidR="00C80DB7" w:rsidRPr="00823BDC">
        <w:rPr>
          <w:szCs w:val="22"/>
        </w:rPr>
        <w:t>NCEP AAP (</w:t>
      </w:r>
      <w:r w:rsidR="00C84706" w:rsidRPr="00823BDC">
        <w:rPr>
          <w:bCs/>
          <w:iCs/>
          <w:szCs w:val="22"/>
        </w:rPr>
        <w:t>&lt; 2,8 mmol/l[110 mg/dl] pre</w:t>
      </w:r>
      <w:r w:rsidR="00C80DB7" w:rsidRPr="00823BDC">
        <w:rPr>
          <w:bCs/>
          <w:iCs/>
          <w:szCs w:val="22"/>
        </w:rPr>
        <w:t xml:space="preserve"> LDL-C v porovnaní s pacientmi, ktorí užívali 40</w:t>
      </w:r>
      <w:r w:rsidR="00B86D2C" w:rsidRPr="00823BDC">
        <w:rPr>
          <w:bCs/>
          <w:iCs/>
          <w:szCs w:val="22"/>
        </w:rPr>
        <w:t> </w:t>
      </w:r>
      <w:r w:rsidR="00C80DB7" w:rsidRPr="00823BDC">
        <w:rPr>
          <w:bCs/>
          <w:iCs/>
          <w:szCs w:val="22"/>
        </w:rPr>
        <w:t xml:space="preserve">mg </w:t>
      </w:r>
      <w:proofErr w:type="spellStart"/>
      <w:r w:rsidR="00C80DB7" w:rsidRPr="00823BDC">
        <w:rPr>
          <w:bCs/>
          <w:iCs/>
          <w:szCs w:val="22"/>
        </w:rPr>
        <w:t>simvastatínu</w:t>
      </w:r>
      <w:proofErr w:type="spellEnd"/>
      <w:r w:rsidR="00C80DB7" w:rsidRPr="00823BDC">
        <w:rPr>
          <w:bCs/>
          <w:iCs/>
          <w:szCs w:val="22"/>
        </w:rPr>
        <w:t xml:space="preserve"> (25 %). V</w:t>
      </w:r>
      <w:r w:rsidR="000A1FC1" w:rsidRPr="00823BDC">
        <w:rPr>
          <w:bCs/>
          <w:iCs/>
          <w:szCs w:val="22"/>
        </w:rPr>
        <w:t> </w:t>
      </w:r>
      <w:r w:rsidR="00C80DB7" w:rsidRPr="00823BDC">
        <w:rPr>
          <w:bCs/>
          <w:iCs/>
          <w:szCs w:val="22"/>
        </w:rPr>
        <w:t>53</w:t>
      </w:r>
      <w:r w:rsidR="000A1FC1" w:rsidRPr="00823BDC">
        <w:rPr>
          <w:bCs/>
          <w:iCs/>
          <w:szCs w:val="22"/>
        </w:rPr>
        <w:t>.</w:t>
      </w:r>
      <w:r w:rsidR="00C80DB7" w:rsidRPr="00823BDC">
        <w:rPr>
          <w:bCs/>
          <w:iCs/>
          <w:szCs w:val="22"/>
        </w:rPr>
        <w:t xml:space="preserve"> </w:t>
      </w:r>
      <w:r w:rsidR="007B6A18" w:rsidRPr="00823BDC">
        <w:rPr>
          <w:bCs/>
          <w:iCs/>
          <w:szCs w:val="22"/>
        </w:rPr>
        <w:t>týždni</w:t>
      </w:r>
      <w:r w:rsidR="00E6771B" w:rsidRPr="00823BDC">
        <w:rPr>
          <w:bCs/>
          <w:iCs/>
          <w:szCs w:val="22"/>
        </w:rPr>
        <w:t>, na kon</w:t>
      </w:r>
      <w:r w:rsidR="007B6A18" w:rsidRPr="00823BDC">
        <w:rPr>
          <w:bCs/>
          <w:iCs/>
          <w:szCs w:val="22"/>
        </w:rPr>
        <w:t>c</w:t>
      </w:r>
      <w:r w:rsidR="00E6771B" w:rsidRPr="00823BDC">
        <w:rPr>
          <w:bCs/>
          <w:iCs/>
          <w:szCs w:val="22"/>
        </w:rPr>
        <w:t>i</w:t>
      </w:r>
      <w:r w:rsidR="007B6A18" w:rsidRPr="00823BDC">
        <w:rPr>
          <w:bCs/>
          <w:iCs/>
          <w:szCs w:val="22"/>
        </w:rPr>
        <w:t xml:space="preserve"> </w:t>
      </w:r>
      <w:r w:rsidR="002E6A25" w:rsidRPr="00823BDC">
        <w:rPr>
          <w:bCs/>
          <w:iCs/>
          <w:szCs w:val="22"/>
        </w:rPr>
        <w:t>odslepeného</w:t>
      </w:r>
      <w:r w:rsidR="007B6A18" w:rsidRPr="00823BDC">
        <w:rPr>
          <w:bCs/>
          <w:iCs/>
          <w:szCs w:val="22"/>
        </w:rPr>
        <w:t xml:space="preserve"> predĺženia, boli účinky na parametre lipidov zachované.</w:t>
      </w:r>
    </w:p>
    <w:p w14:paraId="38091132" w14:textId="77777777" w:rsidR="00974836" w:rsidRPr="00823BDC" w:rsidRDefault="00974836">
      <w:pPr>
        <w:adjustRightInd w:val="0"/>
        <w:snapToGrid w:val="0"/>
        <w:rPr>
          <w:szCs w:val="22"/>
        </w:rPr>
      </w:pPr>
    </w:p>
    <w:p w14:paraId="4EE5708C" w14:textId="77777777" w:rsidR="007B6A18" w:rsidRPr="00823BDC" w:rsidRDefault="007B6A18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Bezpečnosť a účinnosť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súbežne podávaného so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v dávkach nad 40</w:t>
      </w:r>
      <w:r w:rsidR="00B86D2C" w:rsidRPr="00823BDC">
        <w:rPr>
          <w:szCs w:val="22"/>
        </w:rPr>
        <w:t> </w:t>
      </w:r>
      <w:r w:rsidRPr="00823BDC">
        <w:rPr>
          <w:szCs w:val="22"/>
        </w:rPr>
        <w:t>mg denne neboli študované u </w:t>
      </w:r>
      <w:r w:rsidR="00AD0BB3" w:rsidRPr="00823BDC">
        <w:rPr>
          <w:szCs w:val="22"/>
        </w:rPr>
        <w:t>pediatrických</w:t>
      </w:r>
      <w:r w:rsidRPr="00823BDC">
        <w:rPr>
          <w:szCs w:val="22"/>
        </w:rPr>
        <w:t xml:space="preserve"> pacientov vo veku 10 až 17 rokov. Dlhodobá účinnosť liečby </w:t>
      </w:r>
      <w:proofErr w:type="spellStart"/>
      <w:r w:rsidRPr="00823BDC">
        <w:rPr>
          <w:szCs w:val="22"/>
        </w:rPr>
        <w:t>ezetimibom</w:t>
      </w:r>
      <w:proofErr w:type="spellEnd"/>
      <w:r w:rsidRPr="00823BDC">
        <w:rPr>
          <w:szCs w:val="22"/>
        </w:rPr>
        <w:t xml:space="preserve"> na morbiditu a mortalitu v dospelosti nebola u pacientov mladších ako 17 rokov študovaná.</w:t>
      </w:r>
    </w:p>
    <w:p w14:paraId="531B8C57" w14:textId="77777777" w:rsidR="00A74151" w:rsidRPr="00823BDC" w:rsidRDefault="00A74151">
      <w:pPr>
        <w:adjustRightInd w:val="0"/>
        <w:snapToGrid w:val="0"/>
        <w:rPr>
          <w:szCs w:val="22"/>
        </w:rPr>
      </w:pPr>
    </w:p>
    <w:p w14:paraId="62E3CB82" w14:textId="77777777" w:rsidR="004A5A12" w:rsidRPr="00823BDC" w:rsidRDefault="004A5A12">
      <w:pPr>
        <w:rPr>
          <w:szCs w:val="22"/>
          <w:lang w:eastAsia="sk-SK"/>
        </w:rPr>
      </w:pPr>
      <w:r w:rsidRPr="00823BDC">
        <w:rPr>
          <w:szCs w:val="22"/>
          <w:lang w:eastAsia="sk-SK"/>
        </w:rPr>
        <w:t xml:space="preserve">Európska agentúra pre lieky udelila výnimku z povinnosti predložiť výsledky </w:t>
      </w:r>
      <w:r w:rsidR="00BF381B" w:rsidRPr="00823BDC">
        <w:rPr>
          <w:szCs w:val="22"/>
          <w:lang w:eastAsia="sk-SK"/>
        </w:rPr>
        <w:t>štúdií s</w:t>
      </w:r>
      <w:r w:rsidR="00135C4D" w:rsidRPr="00823BDC">
        <w:rPr>
          <w:szCs w:val="22"/>
          <w:lang w:eastAsia="sk-SK"/>
        </w:rPr>
        <w:t> </w:t>
      </w:r>
      <w:proofErr w:type="spellStart"/>
      <w:r w:rsidR="00135C4D" w:rsidRPr="00823BDC">
        <w:rPr>
          <w:szCs w:val="22"/>
          <w:lang w:eastAsia="sk-SK"/>
        </w:rPr>
        <w:t>ezetimibom</w:t>
      </w:r>
      <w:proofErr w:type="spellEnd"/>
      <w:r w:rsidR="00135C4D" w:rsidRPr="00823BDC">
        <w:rPr>
          <w:szCs w:val="22"/>
          <w:lang w:eastAsia="sk-SK"/>
        </w:rPr>
        <w:t>/</w:t>
      </w:r>
      <w:proofErr w:type="spellStart"/>
      <w:r w:rsidR="00135C4D" w:rsidRPr="00823BDC">
        <w:rPr>
          <w:szCs w:val="22"/>
          <w:lang w:eastAsia="sk-SK"/>
        </w:rPr>
        <w:t>simvastatínom</w:t>
      </w:r>
      <w:proofErr w:type="spellEnd"/>
      <w:r w:rsidRPr="00823BDC">
        <w:rPr>
          <w:szCs w:val="22"/>
          <w:lang w:eastAsia="sk-SK"/>
        </w:rPr>
        <w:t xml:space="preserve"> vo všetkých podskupinách pediatrickej populácie v liečbe </w:t>
      </w:r>
      <w:proofErr w:type="spellStart"/>
      <w:r w:rsidRPr="00823BDC">
        <w:rPr>
          <w:szCs w:val="22"/>
          <w:lang w:eastAsia="sk-SK"/>
        </w:rPr>
        <w:t>hypercholesterolémie</w:t>
      </w:r>
      <w:proofErr w:type="spellEnd"/>
      <w:r w:rsidRPr="00823BDC">
        <w:rPr>
          <w:szCs w:val="22"/>
          <w:lang w:eastAsia="sk-SK"/>
        </w:rPr>
        <w:t xml:space="preserve"> (informácie o použití v pediatrickej populácii, pozri časť 4.2).</w:t>
      </w:r>
    </w:p>
    <w:p w14:paraId="58031543" w14:textId="77777777" w:rsidR="0088522F" w:rsidRPr="00823BDC" w:rsidRDefault="0088522F">
      <w:pPr>
        <w:adjustRightInd w:val="0"/>
        <w:snapToGrid w:val="0"/>
        <w:rPr>
          <w:szCs w:val="22"/>
        </w:rPr>
      </w:pPr>
    </w:p>
    <w:p w14:paraId="09539FC8" w14:textId="77777777" w:rsidR="00D044EB" w:rsidRPr="00823BDC" w:rsidRDefault="00D044EB">
      <w:pPr>
        <w:keepNext/>
        <w:adjustRightInd w:val="0"/>
        <w:snapToGrid w:val="0"/>
        <w:rPr>
          <w:i/>
          <w:szCs w:val="22"/>
          <w:u w:val="single"/>
        </w:rPr>
      </w:pPr>
      <w:r w:rsidRPr="00823BDC">
        <w:rPr>
          <w:i/>
          <w:szCs w:val="22"/>
          <w:u w:val="single"/>
        </w:rPr>
        <w:t xml:space="preserve">Homozygotná familiárna </w:t>
      </w:r>
      <w:proofErr w:type="spellStart"/>
      <w:r w:rsidRPr="00823BDC">
        <w:rPr>
          <w:i/>
          <w:szCs w:val="22"/>
          <w:u w:val="single"/>
        </w:rPr>
        <w:t>hypercholesterolémia</w:t>
      </w:r>
      <w:proofErr w:type="spellEnd"/>
      <w:r w:rsidRPr="00823BDC">
        <w:rPr>
          <w:i/>
          <w:szCs w:val="22"/>
          <w:u w:val="single"/>
        </w:rPr>
        <w:t xml:space="preserve"> (</w:t>
      </w:r>
      <w:proofErr w:type="spellStart"/>
      <w:r w:rsidRPr="00823BDC">
        <w:rPr>
          <w:i/>
          <w:szCs w:val="22"/>
          <w:u w:val="single"/>
        </w:rPr>
        <w:t>HoFH</w:t>
      </w:r>
      <w:proofErr w:type="spellEnd"/>
      <w:r w:rsidRPr="00823BDC">
        <w:rPr>
          <w:i/>
          <w:szCs w:val="22"/>
          <w:u w:val="single"/>
        </w:rPr>
        <w:t>)</w:t>
      </w:r>
    </w:p>
    <w:p w14:paraId="68257978" w14:textId="61D3B89D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Dvojito zaslepená, </w:t>
      </w:r>
      <w:proofErr w:type="spellStart"/>
      <w:r w:rsidRPr="00823BDC">
        <w:rPr>
          <w:szCs w:val="22"/>
        </w:rPr>
        <w:t>randomizovaná</w:t>
      </w:r>
      <w:proofErr w:type="spellEnd"/>
      <w:r w:rsidRPr="00823BDC">
        <w:rPr>
          <w:szCs w:val="22"/>
        </w:rPr>
        <w:t xml:space="preserve">, 12-týždňová štúdia sa uskutočnila u pacientov s klinickou a/alebo </w:t>
      </w:r>
      <w:proofErr w:type="spellStart"/>
      <w:r w:rsidRPr="00823BDC">
        <w:rPr>
          <w:szCs w:val="22"/>
        </w:rPr>
        <w:t>genotypovou</w:t>
      </w:r>
      <w:proofErr w:type="spellEnd"/>
      <w:r w:rsidRPr="00823BDC">
        <w:rPr>
          <w:szCs w:val="22"/>
        </w:rPr>
        <w:t xml:space="preserve"> diagnózou </w:t>
      </w:r>
      <w:proofErr w:type="spellStart"/>
      <w:r w:rsidRPr="00823BDC">
        <w:rPr>
          <w:szCs w:val="22"/>
        </w:rPr>
        <w:t>HoFH</w:t>
      </w:r>
      <w:proofErr w:type="spellEnd"/>
      <w:r w:rsidRPr="00823BDC">
        <w:rPr>
          <w:szCs w:val="22"/>
        </w:rPr>
        <w:t xml:space="preserve">. Analyzovali sa údaje podskupiny pacientov (n = 14), ktorí dostávali pri vstupe do štúdie 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40 mg. Zvýšenie dávky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zo</w:t>
      </w:r>
      <w:r w:rsidR="00B86D2C" w:rsidRPr="00823BDC">
        <w:rPr>
          <w:szCs w:val="22"/>
        </w:rPr>
        <w:t xml:space="preserve"> </w:t>
      </w:r>
      <w:r w:rsidRPr="00823BDC">
        <w:rPr>
          <w:szCs w:val="22"/>
        </w:rPr>
        <w:t>40 na 80 mg (n = 5) viedlo k zníženiu LDL</w:t>
      </w:r>
      <w:r w:rsidRPr="00823BDC">
        <w:rPr>
          <w:szCs w:val="22"/>
        </w:rPr>
        <w:noBreakHyphen/>
        <w:t xml:space="preserve">C o 13 % oproti východiskovej hodnote pri užívaní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40 mg. Sú</w:t>
      </w:r>
      <w:r w:rsidR="00081701" w:rsidRPr="00823BDC">
        <w:rPr>
          <w:szCs w:val="22"/>
        </w:rPr>
        <w:t>bežné</w:t>
      </w:r>
      <w:r w:rsidRPr="00823BDC">
        <w:rPr>
          <w:szCs w:val="22"/>
        </w:rPr>
        <w:t xml:space="preserve"> podanie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a 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ekvivalentné</w:t>
      </w:r>
      <w:r w:rsidR="00F32BE0" w:rsidRPr="00823BDC">
        <w:rPr>
          <w:szCs w:val="22"/>
        </w:rPr>
        <w:t xml:space="preserve"> </w:t>
      </w:r>
      <w:proofErr w:type="spellStart"/>
      <w:r w:rsidR="00F32BE0" w:rsidRPr="00823BDC">
        <w:rPr>
          <w:szCs w:val="22"/>
        </w:rPr>
        <w:t>ezetimibu</w:t>
      </w:r>
      <w:proofErr w:type="spellEnd"/>
      <w:r w:rsidR="00F32BE0" w:rsidRPr="00823BDC">
        <w:rPr>
          <w:szCs w:val="22"/>
        </w:rPr>
        <w:t>/</w:t>
      </w:r>
      <w:proofErr w:type="spellStart"/>
      <w:r w:rsidR="00F32BE0"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(10 mg/40 mg a 10 mg/80 mg </w:t>
      </w:r>
      <w:r w:rsidR="00F32BE0" w:rsidRPr="00823BDC">
        <w:rPr>
          <w:szCs w:val="22"/>
        </w:rPr>
        <w:t>v kombinácii</w:t>
      </w:r>
      <w:r w:rsidRPr="00823BDC">
        <w:rPr>
          <w:szCs w:val="22"/>
        </w:rPr>
        <w:t>, n = 9) viedlo k zníženiu LDL</w:t>
      </w:r>
      <w:r w:rsidRPr="00823BDC">
        <w:rPr>
          <w:szCs w:val="22"/>
        </w:rPr>
        <w:noBreakHyphen/>
        <w:t xml:space="preserve">C o 23 % oproti východiskovej hodnote pri užívaní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40 mg. U pacientov, ktorým bol podávaný sú</w:t>
      </w:r>
      <w:r w:rsidR="00081701" w:rsidRPr="00823BDC">
        <w:rPr>
          <w:szCs w:val="22"/>
        </w:rPr>
        <w:t>bežne</w:t>
      </w:r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a 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ekvivalentný s </w:t>
      </w:r>
      <w:proofErr w:type="spellStart"/>
      <w:r w:rsidR="004D10DE" w:rsidRPr="00823BDC">
        <w:rPr>
          <w:szCs w:val="22"/>
        </w:rPr>
        <w:t>ezetimibom</w:t>
      </w:r>
      <w:proofErr w:type="spellEnd"/>
      <w:r w:rsidR="004D10DE" w:rsidRPr="00823BDC">
        <w:rPr>
          <w:szCs w:val="22"/>
        </w:rPr>
        <w:t>/</w:t>
      </w:r>
      <w:proofErr w:type="spellStart"/>
      <w:r w:rsidR="004D10DE" w:rsidRPr="00823BDC">
        <w:rPr>
          <w:szCs w:val="22"/>
        </w:rPr>
        <w:t>simvastatínom</w:t>
      </w:r>
      <w:proofErr w:type="spellEnd"/>
      <w:r w:rsidR="004D10DE" w:rsidRPr="00823BDC">
        <w:rPr>
          <w:szCs w:val="22"/>
        </w:rPr>
        <w:t xml:space="preserve"> </w:t>
      </w:r>
      <w:r w:rsidRPr="00823BDC">
        <w:rPr>
          <w:szCs w:val="22"/>
        </w:rPr>
        <w:t>(10 mg/80 mg, n = 5) došlo k redukcii LDL</w:t>
      </w:r>
      <w:r w:rsidRPr="00823BDC">
        <w:rPr>
          <w:szCs w:val="22"/>
        </w:rPr>
        <w:noBreakHyphen/>
        <w:t xml:space="preserve">C o 29 % oproti východiskovej hodnote pri užívaní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40 mg.</w:t>
      </w:r>
    </w:p>
    <w:p w14:paraId="00B1EB2E" w14:textId="77777777" w:rsidR="008B47E2" w:rsidRPr="00823BDC" w:rsidRDefault="008B47E2">
      <w:pPr>
        <w:adjustRightInd w:val="0"/>
        <w:snapToGrid w:val="0"/>
        <w:rPr>
          <w:szCs w:val="22"/>
        </w:rPr>
      </w:pPr>
    </w:p>
    <w:p w14:paraId="4497FD7B" w14:textId="77777777" w:rsidR="008B47E2" w:rsidRPr="00823BDC" w:rsidRDefault="008B47E2">
      <w:pPr>
        <w:keepNext/>
        <w:adjustRightInd w:val="0"/>
        <w:snapToGrid w:val="0"/>
        <w:rPr>
          <w:i/>
          <w:szCs w:val="22"/>
          <w:u w:val="single"/>
        </w:rPr>
      </w:pPr>
      <w:r w:rsidRPr="00823BDC">
        <w:rPr>
          <w:i/>
          <w:szCs w:val="22"/>
          <w:u w:val="single"/>
        </w:rPr>
        <w:t>Prevencia veľkých vaskulárnych príhod pri chronickom ochorení obličiek (CKD)</w:t>
      </w:r>
    </w:p>
    <w:p w14:paraId="15E43340" w14:textId="125E3AE6" w:rsidR="008B47E2" w:rsidRPr="00823BDC" w:rsidRDefault="008B47E2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Štúdia Study of </w:t>
      </w:r>
      <w:proofErr w:type="spellStart"/>
      <w:r w:rsidRPr="00823BDC">
        <w:rPr>
          <w:szCs w:val="22"/>
        </w:rPr>
        <w:t>Heart</w:t>
      </w:r>
      <w:proofErr w:type="spellEnd"/>
      <w:r w:rsidRPr="00823BDC">
        <w:rPr>
          <w:szCs w:val="22"/>
        </w:rPr>
        <w:t xml:space="preserve"> and </w:t>
      </w:r>
      <w:proofErr w:type="spellStart"/>
      <w:r w:rsidRPr="00823BDC">
        <w:rPr>
          <w:szCs w:val="22"/>
        </w:rPr>
        <w:t>Renal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Protection</w:t>
      </w:r>
      <w:proofErr w:type="spellEnd"/>
      <w:r w:rsidRPr="00823BDC">
        <w:rPr>
          <w:szCs w:val="22"/>
        </w:rPr>
        <w:t xml:space="preserve"> (SHARP) bola m</w:t>
      </w:r>
      <w:r w:rsidR="0090280C" w:rsidRPr="00823BDC">
        <w:rPr>
          <w:szCs w:val="22"/>
        </w:rPr>
        <w:t>noho</w:t>
      </w:r>
      <w:r w:rsidRPr="00823BDC">
        <w:rPr>
          <w:szCs w:val="22"/>
        </w:rPr>
        <w:t>národná</w:t>
      </w:r>
      <w:r w:rsidR="00FD1F0B" w:rsidRPr="00823BDC">
        <w:rPr>
          <w:szCs w:val="22"/>
        </w:rPr>
        <w:t>,</w:t>
      </w:r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randomizovaná</w:t>
      </w:r>
      <w:proofErr w:type="spellEnd"/>
      <w:r w:rsidRPr="00823BDC">
        <w:rPr>
          <w:szCs w:val="22"/>
        </w:rPr>
        <w:t>, placebom kontrolovaná, dvojito zaslepená štúdia vykonaná u</w:t>
      </w:r>
      <w:r w:rsidR="002B0F3C" w:rsidRPr="00823BDC">
        <w:rPr>
          <w:szCs w:val="22"/>
        </w:rPr>
        <w:t> </w:t>
      </w:r>
      <w:r w:rsidRPr="00823BDC">
        <w:rPr>
          <w:szCs w:val="22"/>
        </w:rPr>
        <w:t xml:space="preserve">9 438 pacientov s chronickým ochorením obličiek, z ktorých jedna tretina podstupovala pri zaradení do štúdie dialýzu. Celkovo </w:t>
      </w:r>
      <w:r w:rsidR="00812579" w:rsidRPr="00823BDC">
        <w:rPr>
          <w:szCs w:val="22"/>
        </w:rPr>
        <w:t xml:space="preserve">bolo </w:t>
      </w:r>
      <w:r w:rsidRPr="00823BDC">
        <w:rPr>
          <w:szCs w:val="22"/>
        </w:rPr>
        <w:t xml:space="preserve">4 650 pacientov </w:t>
      </w:r>
      <w:proofErr w:type="spellStart"/>
      <w:r w:rsidRPr="00823BDC">
        <w:rPr>
          <w:szCs w:val="22"/>
        </w:rPr>
        <w:t>randomizovaných</w:t>
      </w:r>
      <w:proofErr w:type="spellEnd"/>
      <w:r w:rsidRPr="00823BDC">
        <w:rPr>
          <w:szCs w:val="22"/>
        </w:rPr>
        <w:t xml:space="preserve"> na užívanie </w:t>
      </w:r>
      <w:proofErr w:type="spellStart"/>
      <w:r w:rsidR="00FA4309" w:rsidRPr="00823BDC">
        <w:rPr>
          <w:szCs w:val="22"/>
        </w:rPr>
        <w:t>ezetimibu</w:t>
      </w:r>
      <w:proofErr w:type="spellEnd"/>
      <w:r w:rsidR="00FA4309" w:rsidRPr="00823BDC">
        <w:rPr>
          <w:szCs w:val="22"/>
        </w:rPr>
        <w:t>/</w:t>
      </w:r>
      <w:proofErr w:type="spellStart"/>
      <w:r w:rsidR="00FA4309"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10</w:t>
      </w:r>
      <w:r w:rsidR="004D10DE" w:rsidRPr="00823BDC">
        <w:rPr>
          <w:szCs w:val="22"/>
        </w:rPr>
        <w:t> mg</w:t>
      </w:r>
      <w:r w:rsidRPr="00823BDC">
        <w:rPr>
          <w:szCs w:val="22"/>
        </w:rPr>
        <w:t xml:space="preserve">/20 mg a 4 620 na placebo a pacienti sa sledovali počas mediánu 4,9 rokov. Priemerný vek pacientov bol 62 rokov a 63 % boli muži, 72 % boli belosi, 23 % boli diabetici a u tých pacientov, ktorí nepodstupovali dialýzu, bola priemerná odhadovaná rýchlosť </w:t>
      </w:r>
      <w:proofErr w:type="spellStart"/>
      <w:r w:rsidRPr="00823BDC">
        <w:rPr>
          <w:szCs w:val="22"/>
        </w:rPr>
        <w:t>glomerulárnej</w:t>
      </w:r>
      <w:proofErr w:type="spellEnd"/>
      <w:r w:rsidRPr="00823BDC">
        <w:rPr>
          <w:szCs w:val="22"/>
        </w:rPr>
        <w:t xml:space="preserve"> filtrácie (</w:t>
      </w:r>
      <w:proofErr w:type="spellStart"/>
      <w:r w:rsidRPr="00823BDC">
        <w:rPr>
          <w:szCs w:val="22"/>
        </w:rPr>
        <w:t>eGFR</w:t>
      </w:r>
      <w:proofErr w:type="spellEnd"/>
      <w:r w:rsidRPr="00823BDC">
        <w:rPr>
          <w:szCs w:val="22"/>
        </w:rPr>
        <w:t>) 26,5 ml/min/1,73 m</w:t>
      </w:r>
      <w:r w:rsidRPr="00823BDC">
        <w:rPr>
          <w:szCs w:val="22"/>
          <w:vertAlign w:val="superscript"/>
        </w:rPr>
        <w:t>2</w:t>
      </w:r>
      <w:r w:rsidRPr="00823BDC">
        <w:rPr>
          <w:szCs w:val="22"/>
        </w:rPr>
        <w:t>. Neboli udané žiadne vstupné kritéria pre hladiny lipidov. Priemerná východisková hladina LDL</w:t>
      </w:r>
      <w:r w:rsidRPr="00823BDC">
        <w:rPr>
          <w:szCs w:val="22"/>
        </w:rPr>
        <w:noBreakHyphen/>
        <w:t>C bola 108 mg/dl.</w:t>
      </w:r>
      <w:r w:rsidR="00BE15B6" w:rsidRPr="00823BDC">
        <w:rPr>
          <w:szCs w:val="22"/>
        </w:rPr>
        <w:t xml:space="preserve"> V porovnaní s placebom sa po </w:t>
      </w:r>
      <w:r w:rsidR="004D10DE" w:rsidRPr="00823BDC">
        <w:rPr>
          <w:szCs w:val="22"/>
        </w:rPr>
        <w:t xml:space="preserve">1 </w:t>
      </w:r>
      <w:r w:rsidR="00BE15B6" w:rsidRPr="00823BDC">
        <w:rPr>
          <w:szCs w:val="22"/>
        </w:rPr>
        <w:t>roku znížila hladina LDL</w:t>
      </w:r>
      <w:r w:rsidR="00BE15B6" w:rsidRPr="00823BDC">
        <w:rPr>
          <w:szCs w:val="22"/>
        </w:rPr>
        <w:noBreakHyphen/>
        <w:t xml:space="preserve">C samotným </w:t>
      </w:r>
      <w:proofErr w:type="spellStart"/>
      <w:r w:rsidR="00BE15B6" w:rsidRPr="00823BDC">
        <w:rPr>
          <w:szCs w:val="22"/>
        </w:rPr>
        <w:t>simvastatínom</w:t>
      </w:r>
      <w:proofErr w:type="spellEnd"/>
      <w:r w:rsidR="00BE15B6" w:rsidRPr="00823BDC">
        <w:rPr>
          <w:szCs w:val="22"/>
        </w:rPr>
        <w:t xml:space="preserve"> 20 mg o 26 % a</w:t>
      </w:r>
      <w:r w:rsidR="00FA4309" w:rsidRPr="00823BDC">
        <w:rPr>
          <w:szCs w:val="22"/>
        </w:rPr>
        <w:t> </w:t>
      </w:r>
      <w:proofErr w:type="spellStart"/>
      <w:r w:rsidR="00FA4309" w:rsidRPr="00823BDC">
        <w:rPr>
          <w:szCs w:val="22"/>
        </w:rPr>
        <w:t>ezetimibom</w:t>
      </w:r>
      <w:proofErr w:type="spellEnd"/>
      <w:r w:rsidR="00FA4309" w:rsidRPr="00823BDC">
        <w:rPr>
          <w:szCs w:val="22"/>
        </w:rPr>
        <w:t>/</w:t>
      </w:r>
      <w:proofErr w:type="spellStart"/>
      <w:r w:rsidR="00FA4309" w:rsidRPr="00823BDC">
        <w:rPr>
          <w:szCs w:val="22"/>
        </w:rPr>
        <w:t>simvastatínom</w:t>
      </w:r>
      <w:proofErr w:type="spellEnd"/>
      <w:r w:rsidR="00BE15B6" w:rsidRPr="00823BDC">
        <w:rPr>
          <w:szCs w:val="22"/>
        </w:rPr>
        <w:t xml:space="preserve"> 10/20 mg o 38 % aj u pacientov, ktorí už viac neužívali skúšaný liek.</w:t>
      </w:r>
    </w:p>
    <w:p w14:paraId="6E8EDBD7" w14:textId="77777777" w:rsidR="008B47E2" w:rsidRPr="00823BDC" w:rsidRDefault="008B47E2">
      <w:pPr>
        <w:adjustRightInd w:val="0"/>
        <w:snapToGrid w:val="0"/>
        <w:rPr>
          <w:szCs w:val="22"/>
        </w:rPr>
      </w:pPr>
    </w:p>
    <w:p w14:paraId="7994ACC8" w14:textId="77777777" w:rsidR="008B47E2" w:rsidRPr="00823BDC" w:rsidRDefault="008B47E2">
      <w:pPr>
        <w:adjustRightInd w:val="0"/>
        <w:snapToGrid w:val="0"/>
        <w:rPr>
          <w:szCs w:val="22"/>
        </w:rPr>
      </w:pPr>
      <w:r w:rsidRPr="00823BDC">
        <w:rPr>
          <w:szCs w:val="22"/>
        </w:rPr>
        <w:lastRenderedPageBreak/>
        <w:t xml:space="preserve">Primárnym porovnaním, ktoré bolo špecifikované protokolom štúdie SHARP, bola analýza podľa liečebného zámeru </w:t>
      </w:r>
      <w:r w:rsidRPr="00823BDC">
        <w:rPr>
          <w:i/>
          <w:szCs w:val="22"/>
        </w:rPr>
        <w:t>(</w:t>
      </w:r>
      <w:proofErr w:type="spellStart"/>
      <w:r w:rsidRPr="00823BDC">
        <w:rPr>
          <w:i/>
          <w:szCs w:val="22"/>
        </w:rPr>
        <w:t>intention</w:t>
      </w:r>
      <w:proofErr w:type="spellEnd"/>
      <w:r w:rsidR="00C66DD4" w:rsidRPr="00823BDC">
        <w:rPr>
          <w:i/>
          <w:szCs w:val="22"/>
        </w:rPr>
        <w:t xml:space="preserve"> </w:t>
      </w:r>
      <w:r w:rsidRPr="00823BDC">
        <w:rPr>
          <w:i/>
          <w:szCs w:val="22"/>
        </w:rPr>
        <w:t>to</w:t>
      </w:r>
      <w:r w:rsidR="00C66DD4" w:rsidRPr="00823BDC">
        <w:rPr>
          <w:i/>
          <w:szCs w:val="22"/>
        </w:rPr>
        <w:t xml:space="preserve"> </w:t>
      </w:r>
      <w:proofErr w:type="spellStart"/>
      <w:r w:rsidRPr="00823BDC">
        <w:rPr>
          <w:i/>
          <w:szCs w:val="22"/>
        </w:rPr>
        <w:t>treat</w:t>
      </w:r>
      <w:proofErr w:type="spellEnd"/>
      <w:r w:rsidRPr="00823BDC">
        <w:rPr>
          <w:i/>
          <w:szCs w:val="22"/>
        </w:rPr>
        <w:t xml:space="preserve">) </w:t>
      </w:r>
      <w:r w:rsidRPr="00823BDC">
        <w:rPr>
          <w:szCs w:val="22"/>
        </w:rPr>
        <w:t xml:space="preserve">„veľkých vaskulárnych príhod“ (MVE, definované ako nefatálny infarkt myokardu alebo </w:t>
      </w:r>
      <w:r w:rsidR="003B064E" w:rsidRPr="00823BDC">
        <w:rPr>
          <w:szCs w:val="22"/>
        </w:rPr>
        <w:t>kardiálne úmrtie</w:t>
      </w:r>
      <w:r w:rsidRPr="00823BDC">
        <w:rPr>
          <w:szCs w:val="22"/>
        </w:rPr>
        <w:t xml:space="preserve">, cievna mozgová príhoda alebo akýkoľvek </w:t>
      </w:r>
      <w:proofErr w:type="spellStart"/>
      <w:r w:rsidRPr="00823BDC">
        <w:rPr>
          <w:szCs w:val="22"/>
        </w:rPr>
        <w:t>revaskularizačný</w:t>
      </w:r>
      <w:proofErr w:type="spellEnd"/>
      <w:r w:rsidRPr="00823BDC">
        <w:rPr>
          <w:szCs w:val="22"/>
        </w:rPr>
        <w:t xml:space="preserve"> výkon) len u tých pacientov, ktorí boli </w:t>
      </w:r>
      <w:r w:rsidR="003B064E" w:rsidRPr="00823BDC">
        <w:rPr>
          <w:szCs w:val="22"/>
        </w:rPr>
        <w:t>na zač</w:t>
      </w:r>
      <w:r w:rsidR="003413F8" w:rsidRPr="00823BDC">
        <w:rPr>
          <w:szCs w:val="22"/>
        </w:rPr>
        <w:t>iatku</w:t>
      </w:r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randomizovaní</w:t>
      </w:r>
      <w:proofErr w:type="spellEnd"/>
      <w:r w:rsidRPr="00823BDC">
        <w:rPr>
          <w:szCs w:val="22"/>
        </w:rPr>
        <w:t xml:space="preserve"> do </w:t>
      </w:r>
      <w:r w:rsidR="003413F8" w:rsidRPr="00823BDC">
        <w:rPr>
          <w:szCs w:val="22"/>
        </w:rPr>
        <w:t xml:space="preserve">skupiny </w:t>
      </w:r>
      <w:r w:rsidRPr="00823BDC">
        <w:rPr>
          <w:szCs w:val="22"/>
        </w:rPr>
        <w:t>s</w:t>
      </w:r>
      <w:r w:rsidR="00FA4309" w:rsidRPr="00823BDC">
        <w:rPr>
          <w:szCs w:val="22"/>
        </w:rPr>
        <w:t> </w:t>
      </w:r>
      <w:proofErr w:type="spellStart"/>
      <w:r w:rsidR="00FA4309" w:rsidRPr="00823BDC">
        <w:rPr>
          <w:szCs w:val="22"/>
        </w:rPr>
        <w:t>ezetimibom</w:t>
      </w:r>
      <w:proofErr w:type="spellEnd"/>
      <w:r w:rsidR="00FA4309" w:rsidRPr="00823BDC">
        <w:rPr>
          <w:szCs w:val="22"/>
        </w:rPr>
        <w:t>/</w:t>
      </w:r>
      <w:proofErr w:type="spellStart"/>
      <w:r w:rsidR="00FA4309"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(n = 4 193) alebo </w:t>
      </w:r>
      <w:r w:rsidR="003413F8" w:rsidRPr="00823BDC">
        <w:rPr>
          <w:szCs w:val="22"/>
        </w:rPr>
        <w:t xml:space="preserve">do skupiny </w:t>
      </w:r>
      <w:r w:rsidRPr="00823BDC">
        <w:rPr>
          <w:szCs w:val="22"/>
        </w:rPr>
        <w:t>s</w:t>
      </w:r>
      <w:r w:rsidR="00155EE5" w:rsidRPr="00823BDC">
        <w:rPr>
          <w:szCs w:val="22"/>
        </w:rPr>
        <w:t> </w:t>
      </w:r>
      <w:r w:rsidRPr="00823BDC">
        <w:rPr>
          <w:szCs w:val="22"/>
        </w:rPr>
        <w:t xml:space="preserve">placebom (n = 4 191). Sekundárne analýzy zahŕňali rovnaký súbor analyzovaný </w:t>
      </w:r>
      <w:r w:rsidR="003413F8" w:rsidRPr="00823BDC">
        <w:rPr>
          <w:szCs w:val="22"/>
        </w:rPr>
        <w:t>v </w:t>
      </w:r>
      <w:r w:rsidRPr="00823BDC">
        <w:rPr>
          <w:szCs w:val="22"/>
        </w:rPr>
        <w:t xml:space="preserve">celej kohorte </w:t>
      </w:r>
      <w:proofErr w:type="spellStart"/>
      <w:r w:rsidRPr="00823BDC">
        <w:rPr>
          <w:szCs w:val="22"/>
        </w:rPr>
        <w:t>randomizovanej</w:t>
      </w:r>
      <w:proofErr w:type="spellEnd"/>
      <w:r w:rsidRPr="00823BDC">
        <w:rPr>
          <w:szCs w:val="22"/>
        </w:rPr>
        <w:t xml:space="preserve"> (na začiatku štúdie alebo v 1. roku) na </w:t>
      </w:r>
      <w:proofErr w:type="spellStart"/>
      <w:r w:rsidR="00FA4309" w:rsidRPr="00823BDC">
        <w:rPr>
          <w:szCs w:val="22"/>
        </w:rPr>
        <w:t>ezetimib</w:t>
      </w:r>
      <w:proofErr w:type="spellEnd"/>
      <w:r w:rsidR="00FA4309" w:rsidRPr="00823BDC">
        <w:rPr>
          <w:szCs w:val="22"/>
        </w:rPr>
        <w:t>/</w:t>
      </w:r>
      <w:proofErr w:type="spellStart"/>
      <w:r w:rsidR="00FA4309"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(n = 4 650) alebo</w:t>
      </w:r>
      <w:r w:rsidR="003413F8" w:rsidRPr="00823BDC">
        <w:rPr>
          <w:szCs w:val="22"/>
        </w:rPr>
        <w:t xml:space="preserve"> na</w:t>
      </w:r>
      <w:r w:rsidRPr="00823BDC">
        <w:rPr>
          <w:szCs w:val="22"/>
        </w:rPr>
        <w:t xml:space="preserve"> placebo (n = 4 620), ako aj </w:t>
      </w:r>
      <w:r w:rsidR="003413F8" w:rsidRPr="00823BDC">
        <w:rPr>
          <w:szCs w:val="22"/>
        </w:rPr>
        <w:t xml:space="preserve">zložky </w:t>
      </w:r>
      <w:r w:rsidRPr="00823BDC">
        <w:rPr>
          <w:szCs w:val="22"/>
        </w:rPr>
        <w:t>tohto súboru.</w:t>
      </w:r>
    </w:p>
    <w:p w14:paraId="57B5613A" w14:textId="77777777" w:rsidR="008B47E2" w:rsidRPr="00823BDC" w:rsidRDefault="008B47E2">
      <w:pPr>
        <w:adjustRightInd w:val="0"/>
        <w:snapToGrid w:val="0"/>
        <w:rPr>
          <w:szCs w:val="22"/>
        </w:rPr>
      </w:pPr>
    </w:p>
    <w:p w14:paraId="645FCF8D" w14:textId="77777777" w:rsidR="008B47E2" w:rsidRPr="00823BDC" w:rsidRDefault="008B47E2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Analýza primárneho cieľového ukazovateľa preukázala, že </w:t>
      </w:r>
      <w:proofErr w:type="spellStart"/>
      <w:r w:rsidR="00FA4309" w:rsidRPr="00823BDC">
        <w:rPr>
          <w:szCs w:val="22"/>
        </w:rPr>
        <w:t>ezetimib</w:t>
      </w:r>
      <w:proofErr w:type="spellEnd"/>
      <w:r w:rsidR="00FA4309" w:rsidRPr="00823BDC">
        <w:rPr>
          <w:szCs w:val="22"/>
        </w:rPr>
        <w:t>/</w:t>
      </w:r>
      <w:proofErr w:type="spellStart"/>
      <w:r w:rsidR="00FA4309"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signifikantne znížil riziko veľkých vaskulárnych príhod (749 pacientov s príhod</w:t>
      </w:r>
      <w:r w:rsidR="003413F8" w:rsidRPr="00823BDC">
        <w:rPr>
          <w:szCs w:val="22"/>
        </w:rPr>
        <w:t>ami</w:t>
      </w:r>
      <w:r w:rsidRPr="00823BDC">
        <w:rPr>
          <w:szCs w:val="22"/>
        </w:rPr>
        <w:t xml:space="preserve"> v skupine s placebom oproti 693 v skupine s</w:t>
      </w:r>
      <w:r w:rsidR="00FA4309" w:rsidRPr="00823BDC">
        <w:rPr>
          <w:szCs w:val="22"/>
        </w:rPr>
        <w:t> </w:t>
      </w:r>
      <w:proofErr w:type="spellStart"/>
      <w:r w:rsidR="00FA4309" w:rsidRPr="00823BDC">
        <w:rPr>
          <w:szCs w:val="22"/>
        </w:rPr>
        <w:t>ezetimibom</w:t>
      </w:r>
      <w:proofErr w:type="spellEnd"/>
      <w:r w:rsidR="00FA4309" w:rsidRPr="00823BDC">
        <w:rPr>
          <w:szCs w:val="22"/>
        </w:rPr>
        <w:t>/</w:t>
      </w:r>
      <w:proofErr w:type="spellStart"/>
      <w:r w:rsidR="00FA4309"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>) s</w:t>
      </w:r>
      <w:r w:rsidR="00155EE5" w:rsidRPr="00823BDC">
        <w:rPr>
          <w:szCs w:val="22"/>
        </w:rPr>
        <w:t> </w:t>
      </w:r>
      <w:r w:rsidRPr="00823BDC">
        <w:rPr>
          <w:szCs w:val="22"/>
        </w:rPr>
        <w:t>relatívnym znížením rizika o 16 % (p = 0,001).</w:t>
      </w:r>
    </w:p>
    <w:p w14:paraId="4AAA3A20" w14:textId="77777777" w:rsidR="008B47E2" w:rsidRPr="00823BDC" w:rsidRDefault="008B47E2">
      <w:pPr>
        <w:adjustRightInd w:val="0"/>
        <w:snapToGrid w:val="0"/>
        <w:rPr>
          <w:szCs w:val="22"/>
        </w:rPr>
      </w:pPr>
    </w:p>
    <w:p w14:paraId="7F84B8A9" w14:textId="77777777" w:rsidR="008B47E2" w:rsidRPr="00823BDC" w:rsidRDefault="00DE730F">
      <w:pPr>
        <w:adjustRightInd w:val="0"/>
        <w:snapToGrid w:val="0"/>
        <w:rPr>
          <w:szCs w:val="22"/>
        </w:rPr>
      </w:pPr>
      <w:r w:rsidRPr="00823BDC">
        <w:rPr>
          <w:szCs w:val="22"/>
        </w:rPr>
        <w:t>Tento dizajn štúdie však neumožnil sledovať s</w:t>
      </w:r>
      <w:r w:rsidR="008B47E2" w:rsidRPr="00823BDC">
        <w:rPr>
          <w:szCs w:val="22"/>
        </w:rPr>
        <w:t>eparátny p</w:t>
      </w:r>
      <w:r w:rsidR="00B93137" w:rsidRPr="00823BDC">
        <w:rPr>
          <w:szCs w:val="22"/>
        </w:rPr>
        <w:t>odiel</w:t>
      </w:r>
      <w:r w:rsidR="008B47E2" w:rsidRPr="00823BDC">
        <w:rPr>
          <w:szCs w:val="22"/>
        </w:rPr>
        <w:t xml:space="preserve"> </w:t>
      </w:r>
      <w:r w:rsidRPr="00823BDC">
        <w:rPr>
          <w:szCs w:val="22"/>
        </w:rPr>
        <w:t xml:space="preserve">samotného </w:t>
      </w:r>
      <w:proofErr w:type="spellStart"/>
      <w:r w:rsidR="008B47E2" w:rsidRPr="00823BDC">
        <w:rPr>
          <w:szCs w:val="22"/>
        </w:rPr>
        <w:t>ezetimib</w:t>
      </w:r>
      <w:r w:rsidRPr="00823BDC">
        <w:rPr>
          <w:szCs w:val="22"/>
        </w:rPr>
        <w:t>u</w:t>
      </w:r>
      <w:proofErr w:type="spellEnd"/>
      <w:r w:rsidR="008B47E2" w:rsidRPr="00823BDC">
        <w:rPr>
          <w:szCs w:val="22"/>
        </w:rPr>
        <w:t xml:space="preserve"> </w:t>
      </w:r>
      <w:r w:rsidR="00B93137" w:rsidRPr="00823BDC">
        <w:rPr>
          <w:szCs w:val="22"/>
        </w:rPr>
        <w:t xml:space="preserve">na </w:t>
      </w:r>
      <w:r w:rsidR="008B47E2" w:rsidRPr="00823BDC">
        <w:rPr>
          <w:szCs w:val="22"/>
        </w:rPr>
        <w:t>účinnosti</w:t>
      </w:r>
      <w:r w:rsidR="00B93137" w:rsidRPr="00823BDC">
        <w:rPr>
          <w:szCs w:val="22"/>
        </w:rPr>
        <w:t xml:space="preserve"> vedúcej k </w:t>
      </w:r>
      <w:r w:rsidR="008B47E2" w:rsidRPr="00823BDC">
        <w:rPr>
          <w:szCs w:val="22"/>
        </w:rPr>
        <w:t>signifikantn</w:t>
      </w:r>
      <w:r w:rsidR="00B93137" w:rsidRPr="00823BDC">
        <w:rPr>
          <w:szCs w:val="22"/>
        </w:rPr>
        <w:t>ému</w:t>
      </w:r>
      <w:r w:rsidR="008B47E2" w:rsidRPr="00823BDC">
        <w:rPr>
          <w:szCs w:val="22"/>
        </w:rPr>
        <w:t xml:space="preserve"> zníž</w:t>
      </w:r>
      <w:r w:rsidR="00B93137" w:rsidRPr="00823BDC">
        <w:rPr>
          <w:szCs w:val="22"/>
        </w:rPr>
        <w:t>eniu</w:t>
      </w:r>
      <w:r w:rsidR="008B47E2" w:rsidRPr="00823BDC">
        <w:rPr>
          <w:szCs w:val="22"/>
        </w:rPr>
        <w:t xml:space="preserve"> rizik</w:t>
      </w:r>
      <w:r w:rsidR="00B93137" w:rsidRPr="00823BDC">
        <w:rPr>
          <w:szCs w:val="22"/>
        </w:rPr>
        <w:t>a</w:t>
      </w:r>
      <w:r w:rsidR="008B47E2" w:rsidRPr="00823BDC">
        <w:rPr>
          <w:szCs w:val="22"/>
        </w:rPr>
        <w:t xml:space="preserve"> veľkých vaskulárnych príhod u pacientov s</w:t>
      </w:r>
      <w:r w:rsidRPr="00823BDC">
        <w:rPr>
          <w:szCs w:val="22"/>
        </w:rPr>
        <w:t> </w:t>
      </w:r>
      <w:r w:rsidR="008B47E2" w:rsidRPr="00823BDC">
        <w:rPr>
          <w:szCs w:val="22"/>
        </w:rPr>
        <w:t>CKD</w:t>
      </w:r>
      <w:r w:rsidRPr="00823BDC">
        <w:rPr>
          <w:szCs w:val="22"/>
        </w:rPr>
        <w:t>.</w:t>
      </w:r>
    </w:p>
    <w:p w14:paraId="21AD1FD6" w14:textId="77777777" w:rsidR="008B47E2" w:rsidRPr="00823BDC" w:rsidRDefault="008B47E2">
      <w:pPr>
        <w:adjustRightInd w:val="0"/>
        <w:snapToGrid w:val="0"/>
        <w:rPr>
          <w:szCs w:val="22"/>
        </w:rPr>
      </w:pPr>
    </w:p>
    <w:p w14:paraId="09AB12B6" w14:textId="77777777" w:rsidR="008B47E2" w:rsidRPr="00823BDC" w:rsidRDefault="008B47E2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Jednotlivé zložky MVE u všetkých </w:t>
      </w:r>
      <w:proofErr w:type="spellStart"/>
      <w:r w:rsidRPr="00823BDC">
        <w:rPr>
          <w:szCs w:val="22"/>
        </w:rPr>
        <w:t>randomizovaných</w:t>
      </w:r>
      <w:proofErr w:type="spellEnd"/>
      <w:r w:rsidRPr="00823BDC">
        <w:rPr>
          <w:szCs w:val="22"/>
        </w:rPr>
        <w:t xml:space="preserve"> pacientov sú uvedené v tabuľke </w:t>
      </w:r>
      <w:r w:rsidR="002B0F3C" w:rsidRPr="00823BDC">
        <w:rPr>
          <w:szCs w:val="22"/>
        </w:rPr>
        <w:t>3</w:t>
      </w:r>
      <w:r w:rsidRPr="00823BDC">
        <w:rPr>
          <w:szCs w:val="22"/>
        </w:rPr>
        <w:t xml:space="preserve">. </w:t>
      </w:r>
      <w:proofErr w:type="spellStart"/>
      <w:r w:rsidR="00FA4309" w:rsidRPr="00823BDC">
        <w:rPr>
          <w:szCs w:val="22"/>
        </w:rPr>
        <w:t>Ezetimib</w:t>
      </w:r>
      <w:proofErr w:type="spellEnd"/>
      <w:r w:rsidR="00FA4309" w:rsidRPr="00823BDC">
        <w:rPr>
          <w:szCs w:val="22"/>
        </w:rPr>
        <w:t>/</w:t>
      </w:r>
      <w:proofErr w:type="spellStart"/>
      <w:r w:rsidR="00FA4309"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signifikantne znížil riziko cievnej mozgovej príhody a akejkoľvek </w:t>
      </w:r>
      <w:proofErr w:type="spellStart"/>
      <w:r w:rsidRPr="00823BDC">
        <w:rPr>
          <w:szCs w:val="22"/>
        </w:rPr>
        <w:t>revaskularizácie</w:t>
      </w:r>
      <w:proofErr w:type="spellEnd"/>
      <w:r w:rsidRPr="00823BDC">
        <w:rPr>
          <w:szCs w:val="22"/>
        </w:rPr>
        <w:t>, s </w:t>
      </w:r>
      <w:proofErr w:type="spellStart"/>
      <w:r w:rsidRPr="00823BDC">
        <w:rPr>
          <w:szCs w:val="22"/>
        </w:rPr>
        <w:t>nesignifikantnými</w:t>
      </w:r>
      <w:proofErr w:type="spellEnd"/>
      <w:r w:rsidRPr="00823BDC">
        <w:rPr>
          <w:szCs w:val="22"/>
        </w:rPr>
        <w:t xml:space="preserve"> číselnými rozdielmi v prospech </w:t>
      </w:r>
      <w:proofErr w:type="spellStart"/>
      <w:r w:rsidR="00FA4309" w:rsidRPr="00823BDC">
        <w:rPr>
          <w:szCs w:val="22"/>
        </w:rPr>
        <w:t>ezetimibu</w:t>
      </w:r>
      <w:proofErr w:type="spellEnd"/>
      <w:r w:rsidR="00FA4309" w:rsidRPr="00823BDC">
        <w:rPr>
          <w:szCs w:val="22"/>
        </w:rPr>
        <w:t>/</w:t>
      </w:r>
      <w:proofErr w:type="spellStart"/>
      <w:r w:rsidR="00FA4309"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pri </w:t>
      </w:r>
      <w:r w:rsidR="00DE730F" w:rsidRPr="00823BDC">
        <w:rPr>
          <w:szCs w:val="22"/>
        </w:rPr>
        <w:t xml:space="preserve">nefatálnom </w:t>
      </w:r>
      <w:r w:rsidRPr="00823BDC">
        <w:rPr>
          <w:szCs w:val="22"/>
        </w:rPr>
        <w:t>infarkte myokardu a</w:t>
      </w:r>
      <w:r w:rsidR="00DE730F" w:rsidRPr="00823BDC">
        <w:rPr>
          <w:szCs w:val="22"/>
        </w:rPr>
        <w:t> kardiálnom úmrtí</w:t>
      </w:r>
      <w:r w:rsidRPr="00823BDC">
        <w:rPr>
          <w:szCs w:val="22"/>
        </w:rPr>
        <w:t>.</w:t>
      </w:r>
    </w:p>
    <w:p w14:paraId="02F98BEA" w14:textId="77777777" w:rsidR="008B47E2" w:rsidRPr="00823BDC" w:rsidRDefault="008B47E2">
      <w:pPr>
        <w:adjustRightInd w:val="0"/>
        <w:snapToGrid w:val="0"/>
        <w:rPr>
          <w:szCs w:val="22"/>
        </w:rPr>
      </w:pPr>
    </w:p>
    <w:p w14:paraId="3A794189" w14:textId="77777777" w:rsidR="008B47E2" w:rsidRPr="00A6540D" w:rsidRDefault="008B47E2">
      <w:pPr>
        <w:pStyle w:val="Tablenormal"/>
        <w:jc w:val="center"/>
        <w:rPr>
          <w:b/>
          <w:sz w:val="22"/>
          <w:szCs w:val="22"/>
        </w:rPr>
      </w:pPr>
      <w:r w:rsidRPr="00A6540D">
        <w:rPr>
          <w:b/>
          <w:sz w:val="22"/>
          <w:szCs w:val="22"/>
        </w:rPr>
        <w:t xml:space="preserve">Tabuľka </w:t>
      </w:r>
      <w:r w:rsidR="002B0F3C" w:rsidRPr="00A6540D">
        <w:rPr>
          <w:b/>
          <w:sz w:val="22"/>
          <w:szCs w:val="22"/>
        </w:rPr>
        <w:t>3</w:t>
      </w:r>
    </w:p>
    <w:p w14:paraId="58D40115" w14:textId="77777777" w:rsidR="008B47E2" w:rsidRPr="00A6540D" w:rsidRDefault="008B47E2">
      <w:pPr>
        <w:pStyle w:val="Tablenormal"/>
        <w:jc w:val="center"/>
        <w:rPr>
          <w:b/>
          <w:sz w:val="22"/>
          <w:szCs w:val="22"/>
        </w:rPr>
      </w:pPr>
      <w:r w:rsidRPr="00A6540D">
        <w:rPr>
          <w:b/>
          <w:sz w:val="22"/>
          <w:szCs w:val="22"/>
        </w:rPr>
        <w:t xml:space="preserve">Veľké vaskulárne príhody podľa liečebnej skupiny u všetkých </w:t>
      </w:r>
      <w:proofErr w:type="spellStart"/>
      <w:r w:rsidRPr="00A6540D">
        <w:rPr>
          <w:b/>
          <w:sz w:val="22"/>
          <w:szCs w:val="22"/>
        </w:rPr>
        <w:t>randomizovaných</w:t>
      </w:r>
      <w:proofErr w:type="spellEnd"/>
      <w:r w:rsidRPr="00A6540D">
        <w:rPr>
          <w:b/>
          <w:sz w:val="22"/>
          <w:szCs w:val="22"/>
        </w:rPr>
        <w:t xml:space="preserve"> pacientov v štúdii </w:t>
      </w:r>
      <w:proofErr w:type="spellStart"/>
      <w:r w:rsidRPr="00A6540D">
        <w:rPr>
          <w:b/>
          <w:sz w:val="22"/>
          <w:szCs w:val="22"/>
        </w:rPr>
        <w:t>SHARP</w:t>
      </w:r>
      <w:r w:rsidRPr="00A6540D">
        <w:rPr>
          <w:b/>
          <w:sz w:val="22"/>
          <w:szCs w:val="22"/>
          <w:vertAlign w:val="superscript"/>
        </w:rPr>
        <w:t>a</w:t>
      </w:r>
      <w:proofErr w:type="spellEnd"/>
    </w:p>
    <w:p w14:paraId="583A6B14" w14:textId="77777777" w:rsidR="008B47E2" w:rsidRPr="00CD10F1" w:rsidRDefault="008B47E2">
      <w:pPr>
        <w:pStyle w:val="Tablenormal"/>
        <w:rPr>
          <w:sz w:val="22"/>
          <w:szCs w:val="22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440"/>
        <w:gridCol w:w="1440"/>
        <w:gridCol w:w="1710"/>
        <w:gridCol w:w="1170"/>
      </w:tblGrid>
      <w:tr w:rsidR="008B47E2" w:rsidRPr="00823BDC" w14:paraId="3DB56B00" w14:textId="77777777" w:rsidTr="008B47E2">
        <w:trPr>
          <w:cantSplit/>
          <w:tblHeader/>
          <w:jc w:val="center"/>
        </w:trPr>
        <w:tc>
          <w:tcPr>
            <w:tcW w:w="2808" w:type="dxa"/>
            <w:tcBorders>
              <w:top w:val="single" w:sz="18" w:space="0" w:color="auto"/>
              <w:left w:val="nil"/>
              <w:right w:val="nil"/>
            </w:tcBorders>
          </w:tcPr>
          <w:p w14:paraId="542AC00C" w14:textId="77777777" w:rsidR="008B47E2" w:rsidRPr="00CD10F1" w:rsidRDefault="008B47E2">
            <w:pPr>
              <w:pStyle w:val="Tablenormal"/>
              <w:ind w:left="180" w:hanging="180"/>
              <w:rPr>
                <w:b/>
                <w:sz w:val="22"/>
                <w:szCs w:val="22"/>
                <w:u w:val="single"/>
              </w:rPr>
            </w:pPr>
          </w:p>
          <w:p w14:paraId="071667C7" w14:textId="77777777" w:rsidR="008B47E2" w:rsidRPr="00A6540D" w:rsidRDefault="008B47E2">
            <w:pPr>
              <w:pStyle w:val="Tablenormal"/>
              <w:ind w:left="180" w:hanging="180"/>
              <w:rPr>
                <w:b/>
                <w:bCs/>
                <w:sz w:val="22"/>
                <w:szCs w:val="22"/>
                <w:u w:val="single"/>
              </w:rPr>
            </w:pPr>
            <w:r w:rsidRPr="00A6540D">
              <w:rPr>
                <w:b/>
                <w:bCs/>
                <w:sz w:val="22"/>
                <w:szCs w:val="22"/>
                <w:u w:val="single"/>
              </w:rPr>
              <w:t>Výsledok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right w:val="nil"/>
            </w:tcBorders>
          </w:tcPr>
          <w:p w14:paraId="0197E17D" w14:textId="4406578E" w:rsidR="008B47E2" w:rsidRPr="00A6540D" w:rsidRDefault="00AD776D">
            <w:pPr>
              <w:pStyle w:val="Tablenormal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A6540D">
              <w:rPr>
                <w:b/>
                <w:bCs/>
                <w:sz w:val="22"/>
                <w:szCs w:val="22"/>
                <w:u w:val="single"/>
              </w:rPr>
              <w:t>e</w:t>
            </w:r>
            <w:r w:rsidR="00FA4309" w:rsidRPr="00A6540D">
              <w:rPr>
                <w:b/>
                <w:bCs/>
                <w:sz w:val="22"/>
                <w:szCs w:val="22"/>
                <w:u w:val="single"/>
              </w:rPr>
              <w:t>zetimib</w:t>
            </w:r>
            <w:proofErr w:type="spellEnd"/>
            <w:r w:rsidR="00FA4309" w:rsidRPr="00A6540D">
              <w:rPr>
                <w:b/>
                <w:bCs/>
                <w:sz w:val="22"/>
                <w:szCs w:val="22"/>
                <w:u w:val="single"/>
              </w:rPr>
              <w:t>/</w:t>
            </w:r>
            <w:r w:rsidR="009222DD" w:rsidRPr="00A6540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="00FA4309" w:rsidRPr="00A6540D">
              <w:rPr>
                <w:b/>
                <w:bCs/>
                <w:sz w:val="22"/>
                <w:szCs w:val="22"/>
                <w:u w:val="single"/>
              </w:rPr>
              <w:t>simvastatín</w:t>
            </w:r>
            <w:proofErr w:type="spellEnd"/>
            <w:r w:rsidR="008B47E2" w:rsidRPr="00A6540D">
              <w:rPr>
                <w:b/>
                <w:bCs/>
                <w:sz w:val="22"/>
                <w:szCs w:val="22"/>
                <w:u w:val="single"/>
              </w:rPr>
              <w:t xml:space="preserve"> 10</w:t>
            </w:r>
            <w:r w:rsidR="004D10DE" w:rsidRPr="00CD10F1">
              <w:rPr>
                <w:b/>
                <w:bCs/>
                <w:sz w:val="22"/>
                <w:szCs w:val="22"/>
                <w:u w:val="single"/>
              </w:rPr>
              <w:t> mg</w:t>
            </w:r>
            <w:r w:rsidR="008B47E2" w:rsidRPr="00A6540D">
              <w:rPr>
                <w:b/>
                <w:bCs/>
                <w:sz w:val="22"/>
                <w:szCs w:val="22"/>
                <w:u w:val="single"/>
              </w:rPr>
              <w:t>/20</w:t>
            </w:r>
            <w:r w:rsidR="004D10DE" w:rsidRPr="00CD10F1">
              <w:rPr>
                <w:b/>
                <w:bCs/>
                <w:sz w:val="22"/>
                <w:szCs w:val="22"/>
                <w:u w:val="single"/>
              </w:rPr>
              <w:t> mg</w:t>
            </w:r>
            <w:r w:rsidR="008B47E2" w:rsidRPr="00A6540D">
              <w:rPr>
                <w:b/>
                <w:bCs/>
                <w:sz w:val="22"/>
                <w:szCs w:val="22"/>
              </w:rPr>
              <w:br/>
              <w:t>(N = 4 650)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right w:val="nil"/>
            </w:tcBorders>
          </w:tcPr>
          <w:p w14:paraId="3AB2219F" w14:textId="77777777" w:rsidR="008B47E2" w:rsidRPr="00A6540D" w:rsidRDefault="008B47E2">
            <w:pPr>
              <w:pStyle w:val="Tablenormal"/>
              <w:rPr>
                <w:b/>
                <w:bCs/>
                <w:sz w:val="22"/>
                <w:szCs w:val="22"/>
              </w:rPr>
            </w:pPr>
            <w:r w:rsidRPr="00A6540D">
              <w:rPr>
                <w:b/>
                <w:bCs/>
                <w:sz w:val="22"/>
                <w:szCs w:val="22"/>
                <w:u w:val="single"/>
              </w:rPr>
              <w:t>Placebo</w:t>
            </w:r>
            <w:r w:rsidRPr="00A6540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EC0A6DB" w14:textId="77777777" w:rsidR="008B47E2" w:rsidRPr="00A6540D" w:rsidRDefault="008B47E2">
            <w:pPr>
              <w:pStyle w:val="Tablenormal"/>
              <w:rPr>
                <w:b/>
                <w:bCs/>
                <w:sz w:val="22"/>
                <w:szCs w:val="22"/>
                <w:u w:val="single"/>
              </w:rPr>
            </w:pPr>
            <w:r w:rsidRPr="00A6540D">
              <w:rPr>
                <w:b/>
                <w:bCs/>
                <w:sz w:val="22"/>
                <w:szCs w:val="22"/>
              </w:rPr>
              <w:t>(N = 4 620)</w:t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right w:val="nil"/>
            </w:tcBorders>
          </w:tcPr>
          <w:p w14:paraId="1FCDF98D" w14:textId="77777777" w:rsidR="008B47E2" w:rsidRPr="00A6540D" w:rsidRDefault="008B47E2">
            <w:pPr>
              <w:pStyle w:val="Tablenormal"/>
              <w:tabs>
                <w:tab w:val="decimal" w:pos="432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A6540D">
              <w:rPr>
                <w:b/>
                <w:bCs/>
                <w:sz w:val="22"/>
                <w:szCs w:val="22"/>
                <w:u w:val="single"/>
              </w:rPr>
              <w:t>Pomer rizika</w:t>
            </w:r>
          </w:p>
          <w:p w14:paraId="3BEB4F78" w14:textId="77777777" w:rsidR="008B47E2" w:rsidRPr="00A6540D" w:rsidRDefault="008B47E2">
            <w:pPr>
              <w:pStyle w:val="Tablenormal"/>
              <w:rPr>
                <w:b/>
                <w:bCs/>
                <w:sz w:val="22"/>
                <w:szCs w:val="22"/>
                <w:u w:val="single"/>
              </w:rPr>
            </w:pPr>
            <w:r w:rsidRPr="00A6540D">
              <w:rPr>
                <w:b/>
                <w:bCs/>
                <w:sz w:val="22"/>
                <w:szCs w:val="22"/>
                <w:u w:val="single"/>
              </w:rPr>
              <w:t>(95</w:t>
            </w:r>
            <w:r w:rsidR="002B0F3C" w:rsidRPr="00A6540D">
              <w:rPr>
                <w:b/>
                <w:bCs/>
                <w:sz w:val="22"/>
                <w:szCs w:val="22"/>
                <w:u w:val="single"/>
              </w:rPr>
              <w:t> </w:t>
            </w:r>
            <w:r w:rsidRPr="00A6540D">
              <w:rPr>
                <w:b/>
                <w:bCs/>
                <w:sz w:val="22"/>
                <w:szCs w:val="22"/>
                <w:u w:val="single"/>
              </w:rPr>
              <w:t>% IS)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right w:val="nil"/>
            </w:tcBorders>
          </w:tcPr>
          <w:p w14:paraId="4D547FBE" w14:textId="77777777" w:rsidR="008B47E2" w:rsidRPr="00A6540D" w:rsidRDefault="00AB7616">
            <w:pPr>
              <w:pStyle w:val="Tablenormal"/>
              <w:rPr>
                <w:b/>
                <w:bCs/>
                <w:sz w:val="22"/>
                <w:szCs w:val="22"/>
                <w:u w:val="single"/>
              </w:rPr>
            </w:pPr>
            <w:r w:rsidRPr="00A6540D">
              <w:rPr>
                <w:b/>
                <w:bCs/>
                <w:sz w:val="22"/>
                <w:szCs w:val="22"/>
                <w:u w:val="single"/>
              </w:rPr>
              <w:t>H</w:t>
            </w:r>
            <w:r w:rsidR="008B47E2" w:rsidRPr="00A6540D">
              <w:rPr>
                <w:b/>
                <w:bCs/>
                <w:sz w:val="22"/>
                <w:szCs w:val="22"/>
                <w:u w:val="single"/>
              </w:rPr>
              <w:t>odnota p</w:t>
            </w:r>
          </w:p>
        </w:tc>
      </w:tr>
      <w:tr w:rsidR="008B47E2" w:rsidRPr="00823BDC" w14:paraId="4365042C" w14:textId="77777777" w:rsidTr="008B47E2">
        <w:trPr>
          <w:cantSplit/>
          <w:jc w:val="center"/>
        </w:trPr>
        <w:tc>
          <w:tcPr>
            <w:tcW w:w="2808" w:type="dxa"/>
            <w:tcBorders>
              <w:top w:val="single" w:sz="18" w:space="0" w:color="auto"/>
              <w:left w:val="nil"/>
              <w:right w:val="nil"/>
            </w:tcBorders>
          </w:tcPr>
          <w:p w14:paraId="73D6A3B5" w14:textId="77777777" w:rsidR="008B47E2" w:rsidRPr="00823BDC" w:rsidRDefault="008B47E2" w:rsidP="00F004C3">
            <w:pPr>
              <w:pStyle w:val="Tablenormal"/>
              <w:keepLines w:val="0"/>
              <w:ind w:left="170"/>
              <w:rPr>
                <w:bCs/>
                <w:sz w:val="22"/>
                <w:szCs w:val="22"/>
                <w:vertAlign w:val="superscript"/>
              </w:rPr>
            </w:pPr>
            <w:r w:rsidRPr="00823BDC">
              <w:rPr>
                <w:sz w:val="22"/>
                <w:szCs w:val="22"/>
              </w:rPr>
              <w:t>Veľké vaskulárne príhody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right w:val="nil"/>
            </w:tcBorders>
          </w:tcPr>
          <w:p w14:paraId="0C534640" w14:textId="77777777" w:rsidR="008B47E2" w:rsidRPr="00823BDC" w:rsidRDefault="008B47E2" w:rsidP="000E2387">
            <w:pPr>
              <w:pStyle w:val="Tablenormal"/>
              <w:keepLines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701 (15,1 %)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right w:val="nil"/>
            </w:tcBorders>
          </w:tcPr>
          <w:p w14:paraId="71BAC383" w14:textId="77777777" w:rsidR="008B47E2" w:rsidRPr="00823BDC" w:rsidRDefault="008B47E2" w:rsidP="000E2387">
            <w:pPr>
              <w:pStyle w:val="Tablenormal"/>
              <w:keepLines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814 (17,6 %)</w:t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right w:val="nil"/>
            </w:tcBorders>
          </w:tcPr>
          <w:p w14:paraId="24EB769F" w14:textId="77777777" w:rsidR="008B47E2" w:rsidRPr="00823BDC" w:rsidRDefault="008B47E2" w:rsidP="005332CD">
            <w:pPr>
              <w:pStyle w:val="Tablenormal"/>
              <w:keepLines w:val="0"/>
              <w:tabs>
                <w:tab w:val="decimal" w:pos="-18"/>
                <w:tab w:val="decimal" w:pos="522"/>
              </w:tabs>
              <w:rPr>
                <w:snapToGrid w:val="0"/>
                <w:sz w:val="22"/>
                <w:szCs w:val="22"/>
              </w:rPr>
            </w:pPr>
            <w:r w:rsidRPr="00823BDC">
              <w:rPr>
                <w:snapToGrid w:val="0"/>
                <w:sz w:val="22"/>
                <w:szCs w:val="22"/>
              </w:rPr>
              <w:t>0,85 (0,77-0,94)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right w:val="nil"/>
            </w:tcBorders>
          </w:tcPr>
          <w:p w14:paraId="78327951" w14:textId="77777777" w:rsidR="008B47E2" w:rsidRPr="00823BDC" w:rsidRDefault="008B47E2">
            <w:pPr>
              <w:pStyle w:val="Tablenormal"/>
              <w:keepLines w:val="0"/>
              <w:rPr>
                <w:snapToGrid w:val="0"/>
                <w:sz w:val="22"/>
                <w:szCs w:val="22"/>
              </w:rPr>
            </w:pPr>
            <w:r w:rsidRPr="00823BDC">
              <w:rPr>
                <w:snapToGrid w:val="0"/>
                <w:sz w:val="22"/>
                <w:szCs w:val="22"/>
              </w:rPr>
              <w:t>0,001</w:t>
            </w:r>
          </w:p>
        </w:tc>
      </w:tr>
      <w:tr w:rsidR="008B47E2" w:rsidRPr="00823BDC" w14:paraId="4C05DB9D" w14:textId="77777777" w:rsidTr="008B47E2">
        <w:trPr>
          <w:cantSplit/>
          <w:jc w:val="center"/>
        </w:trPr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14:paraId="155DED9E" w14:textId="77777777" w:rsidR="008B47E2" w:rsidRPr="00823BDC" w:rsidRDefault="008B47E2" w:rsidP="00F004C3">
            <w:pPr>
              <w:pStyle w:val="Tablenormal"/>
              <w:keepLines w:val="0"/>
              <w:ind w:left="397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Nefatálny infarkt myokardu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F7193E0" w14:textId="77777777" w:rsidR="008B47E2" w:rsidRPr="00823BDC" w:rsidRDefault="008B47E2" w:rsidP="000E2387">
            <w:pPr>
              <w:pStyle w:val="Tablenormal"/>
              <w:keepNext w:val="0"/>
              <w:keepLines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134 (2,9 %)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342CB2B" w14:textId="77777777" w:rsidR="008B47E2" w:rsidRPr="00823BDC" w:rsidRDefault="008B47E2" w:rsidP="000E2387">
            <w:pPr>
              <w:pStyle w:val="Tablenormal"/>
              <w:keepNext w:val="0"/>
              <w:keepLines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159 (3,4 %)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447925CF" w14:textId="77777777" w:rsidR="008B47E2" w:rsidRPr="00823BDC" w:rsidRDefault="008B47E2" w:rsidP="005332CD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rPr>
                <w:snapToGrid w:val="0"/>
                <w:sz w:val="22"/>
                <w:szCs w:val="22"/>
              </w:rPr>
            </w:pPr>
            <w:r w:rsidRPr="00823BDC">
              <w:rPr>
                <w:snapToGrid w:val="0"/>
                <w:sz w:val="22"/>
                <w:szCs w:val="22"/>
              </w:rPr>
              <w:t>0,84 (0,66-1,05)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76AC5355" w14:textId="77777777" w:rsidR="008B47E2" w:rsidRPr="00823BDC" w:rsidRDefault="008B47E2">
            <w:pPr>
              <w:pStyle w:val="Tablenormal"/>
              <w:keepNext w:val="0"/>
              <w:keepLines w:val="0"/>
              <w:rPr>
                <w:snapToGrid w:val="0"/>
                <w:sz w:val="22"/>
                <w:szCs w:val="22"/>
              </w:rPr>
            </w:pPr>
            <w:r w:rsidRPr="00823BDC">
              <w:rPr>
                <w:snapToGrid w:val="0"/>
                <w:sz w:val="22"/>
                <w:szCs w:val="22"/>
              </w:rPr>
              <w:t>0,12</w:t>
            </w:r>
          </w:p>
        </w:tc>
      </w:tr>
      <w:tr w:rsidR="008B47E2" w:rsidRPr="00823BDC" w14:paraId="594412A8" w14:textId="77777777" w:rsidTr="008B47E2">
        <w:trPr>
          <w:cantSplit/>
          <w:jc w:val="center"/>
        </w:trPr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14:paraId="17C6FA11" w14:textId="77777777" w:rsidR="008B47E2" w:rsidRPr="00823BDC" w:rsidRDefault="00351205" w:rsidP="00F004C3">
            <w:pPr>
              <w:pStyle w:val="Tablenormal"/>
              <w:keepLines w:val="0"/>
              <w:ind w:left="397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Kardiálne úmrtie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7742475" w14:textId="77777777" w:rsidR="008B47E2" w:rsidRPr="00823BDC" w:rsidRDefault="008B47E2" w:rsidP="000E2387">
            <w:pPr>
              <w:pStyle w:val="Tablenormal"/>
              <w:keepNext w:val="0"/>
              <w:keepLines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253 (5,4 %)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DA784E1" w14:textId="77777777" w:rsidR="008B47E2" w:rsidRPr="00823BDC" w:rsidRDefault="008B47E2" w:rsidP="000E2387">
            <w:pPr>
              <w:pStyle w:val="Tablenormal"/>
              <w:keepNext w:val="0"/>
              <w:keepLines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272 (5,9 %)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2EA1868E" w14:textId="77777777" w:rsidR="008B47E2" w:rsidRPr="00823BDC" w:rsidRDefault="008B47E2" w:rsidP="005332CD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rPr>
                <w:snapToGrid w:val="0"/>
                <w:sz w:val="22"/>
                <w:szCs w:val="22"/>
              </w:rPr>
            </w:pPr>
            <w:r w:rsidRPr="00823BDC">
              <w:rPr>
                <w:snapToGrid w:val="0"/>
                <w:sz w:val="22"/>
                <w:szCs w:val="22"/>
              </w:rPr>
              <w:t>0,93 (0,78-1,10)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05B3AEC3" w14:textId="77777777" w:rsidR="008B47E2" w:rsidRPr="00823BDC" w:rsidRDefault="008B47E2">
            <w:pPr>
              <w:pStyle w:val="Tablenormal"/>
              <w:keepNext w:val="0"/>
              <w:keepLines w:val="0"/>
              <w:rPr>
                <w:snapToGrid w:val="0"/>
                <w:sz w:val="22"/>
                <w:szCs w:val="22"/>
              </w:rPr>
            </w:pPr>
            <w:r w:rsidRPr="00823BDC">
              <w:rPr>
                <w:snapToGrid w:val="0"/>
                <w:sz w:val="22"/>
                <w:szCs w:val="22"/>
              </w:rPr>
              <w:t>0,38</w:t>
            </w:r>
          </w:p>
        </w:tc>
      </w:tr>
      <w:tr w:rsidR="008B47E2" w:rsidRPr="00823BDC" w14:paraId="238051E0" w14:textId="77777777" w:rsidTr="008B47E2">
        <w:trPr>
          <w:cantSplit/>
          <w:jc w:val="center"/>
        </w:trPr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14:paraId="238C8A21" w14:textId="77777777" w:rsidR="008B47E2" w:rsidRPr="00823BDC" w:rsidRDefault="008B47E2" w:rsidP="00F004C3">
            <w:pPr>
              <w:pStyle w:val="Tablenormal"/>
              <w:keepLines w:val="0"/>
              <w:ind w:left="397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Akákoľvek cievna mozgová príhoda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19BD852" w14:textId="77777777" w:rsidR="008B47E2" w:rsidRPr="00823BDC" w:rsidRDefault="008B47E2" w:rsidP="000E2387">
            <w:pPr>
              <w:pStyle w:val="Tablenormal"/>
              <w:keepLines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171 (3,7 %)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2C6B4CE" w14:textId="77777777" w:rsidR="008B47E2" w:rsidRPr="00823BDC" w:rsidRDefault="008B47E2" w:rsidP="000E2387">
            <w:pPr>
              <w:pStyle w:val="Tablenormal"/>
              <w:keepLines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210 (4,5 %)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0C1315B6" w14:textId="77777777" w:rsidR="008B47E2" w:rsidRPr="00823BDC" w:rsidRDefault="008B47E2" w:rsidP="005332CD">
            <w:pPr>
              <w:pStyle w:val="Tablenormal"/>
              <w:keepLines w:val="0"/>
              <w:tabs>
                <w:tab w:val="decimal" w:pos="-18"/>
                <w:tab w:val="decimal" w:pos="522"/>
              </w:tabs>
              <w:rPr>
                <w:snapToGrid w:val="0"/>
                <w:sz w:val="22"/>
                <w:szCs w:val="22"/>
              </w:rPr>
            </w:pPr>
            <w:r w:rsidRPr="00823BDC">
              <w:rPr>
                <w:snapToGrid w:val="0"/>
                <w:sz w:val="22"/>
                <w:szCs w:val="22"/>
              </w:rPr>
              <w:t>0,81 (0,66-0,99)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5334968C" w14:textId="77777777" w:rsidR="008B47E2" w:rsidRPr="00823BDC" w:rsidRDefault="008B47E2">
            <w:pPr>
              <w:pStyle w:val="Tablenormal"/>
              <w:keepLines w:val="0"/>
              <w:rPr>
                <w:snapToGrid w:val="0"/>
                <w:sz w:val="22"/>
                <w:szCs w:val="22"/>
              </w:rPr>
            </w:pPr>
            <w:r w:rsidRPr="00823BDC">
              <w:rPr>
                <w:snapToGrid w:val="0"/>
                <w:sz w:val="22"/>
                <w:szCs w:val="22"/>
              </w:rPr>
              <w:t>0,038</w:t>
            </w:r>
          </w:p>
        </w:tc>
      </w:tr>
      <w:tr w:rsidR="008B47E2" w:rsidRPr="00823BDC" w14:paraId="37A74A1A" w14:textId="77777777" w:rsidTr="008B47E2">
        <w:trPr>
          <w:cantSplit/>
          <w:jc w:val="center"/>
        </w:trPr>
        <w:tc>
          <w:tcPr>
            <w:tcW w:w="2808" w:type="dxa"/>
            <w:tcBorders>
              <w:left w:val="nil"/>
              <w:bottom w:val="single" w:sz="4" w:space="0" w:color="auto"/>
              <w:right w:val="nil"/>
            </w:tcBorders>
          </w:tcPr>
          <w:p w14:paraId="0CD1D020" w14:textId="77777777" w:rsidR="008B47E2" w:rsidRPr="00823BDC" w:rsidRDefault="00DA61DF" w:rsidP="00F004C3">
            <w:pPr>
              <w:pStyle w:val="Tablenormal"/>
              <w:keepLines w:val="0"/>
              <w:ind w:left="737"/>
              <w:rPr>
                <w:sz w:val="22"/>
                <w:szCs w:val="22"/>
              </w:rPr>
            </w:pPr>
            <w:proofErr w:type="spellStart"/>
            <w:r w:rsidRPr="00823BDC">
              <w:rPr>
                <w:sz w:val="22"/>
                <w:szCs w:val="22"/>
              </w:rPr>
              <w:t>Nehemoragická</w:t>
            </w:r>
            <w:proofErr w:type="spellEnd"/>
            <w:r w:rsidRPr="00823BDC">
              <w:rPr>
                <w:sz w:val="22"/>
                <w:szCs w:val="22"/>
              </w:rPr>
              <w:t xml:space="preserve"> c</w:t>
            </w:r>
            <w:r w:rsidR="008B47E2" w:rsidRPr="00823BDC">
              <w:rPr>
                <w:sz w:val="22"/>
                <w:szCs w:val="22"/>
              </w:rPr>
              <w:t>ievna mozgová príhoda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682A159E" w14:textId="77777777" w:rsidR="008B47E2" w:rsidRPr="00823BDC" w:rsidRDefault="008B47E2" w:rsidP="000E2387">
            <w:pPr>
              <w:pStyle w:val="Tablenormal"/>
              <w:keepNext w:val="0"/>
              <w:keepLines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131 (2,8 %)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318C3EDE" w14:textId="77777777" w:rsidR="008B47E2" w:rsidRPr="00823BDC" w:rsidRDefault="008B47E2" w:rsidP="000E2387">
            <w:pPr>
              <w:pStyle w:val="Tablenormal"/>
              <w:keepNext w:val="0"/>
              <w:keepLines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174 (3,8 %)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14:paraId="6C5496C6" w14:textId="77777777" w:rsidR="008B47E2" w:rsidRPr="00823BDC" w:rsidRDefault="008B47E2" w:rsidP="005332CD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rPr>
                <w:snapToGrid w:val="0"/>
                <w:sz w:val="22"/>
                <w:szCs w:val="22"/>
              </w:rPr>
            </w:pPr>
            <w:r w:rsidRPr="00823BDC">
              <w:rPr>
                <w:snapToGrid w:val="0"/>
                <w:sz w:val="22"/>
                <w:szCs w:val="22"/>
              </w:rPr>
              <w:t>0,75 (0,60-0,94)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14:paraId="042918C1" w14:textId="77777777" w:rsidR="008B47E2" w:rsidRPr="00823BDC" w:rsidRDefault="008B47E2">
            <w:pPr>
              <w:pStyle w:val="Tablenormal"/>
              <w:keepNext w:val="0"/>
              <w:keepLines w:val="0"/>
              <w:rPr>
                <w:snapToGrid w:val="0"/>
                <w:sz w:val="22"/>
                <w:szCs w:val="22"/>
              </w:rPr>
            </w:pPr>
            <w:r w:rsidRPr="00823BDC">
              <w:rPr>
                <w:snapToGrid w:val="0"/>
                <w:sz w:val="22"/>
                <w:szCs w:val="22"/>
              </w:rPr>
              <w:t>0,011</w:t>
            </w:r>
          </w:p>
        </w:tc>
      </w:tr>
      <w:tr w:rsidR="008B47E2" w:rsidRPr="00823BDC" w14:paraId="5D312A30" w14:textId="77777777" w:rsidTr="008B47E2">
        <w:trPr>
          <w:cantSplit/>
          <w:jc w:val="center"/>
        </w:trPr>
        <w:tc>
          <w:tcPr>
            <w:tcW w:w="2808" w:type="dxa"/>
            <w:tcBorders>
              <w:left w:val="nil"/>
              <w:bottom w:val="single" w:sz="4" w:space="0" w:color="auto"/>
              <w:right w:val="nil"/>
            </w:tcBorders>
          </w:tcPr>
          <w:p w14:paraId="27D2A4CF" w14:textId="77777777" w:rsidR="008B47E2" w:rsidRPr="00823BDC" w:rsidRDefault="00981392" w:rsidP="00F004C3">
            <w:pPr>
              <w:pStyle w:val="Tablenormal"/>
              <w:keepLines w:val="0"/>
              <w:ind w:left="737"/>
              <w:rPr>
                <w:sz w:val="22"/>
                <w:szCs w:val="22"/>
              </w:rPr>
            </w:pPr>
            <w:proofErr w:type="spellStart"/>
            <w:r w:rsidRPr="00823BDC">
              <w:rPr>
                <w:sz w:val="22"/>
                <w:szCs w:val="22"/>
              </w:rPr>
              <w:t>Hemoragická</w:t>
            </w:r>
            <w:proofErr w:type="spellEnd"/>
            <w:r w:rsidRPr="00823BDC">
              <w:rPr>
                <w:sz w:val="22"/>
                <w:szCs w:val="22"/>
              </w:rPr>
              <w:t xml:space="preserve"> c</w:t>
            </w:r>
            <w:r w:rsidR="008B47E2" w:rsidRPr="00823BDC">
              <w:rPr>
                <w:sz w:val="22"/>
                <w:szCs w:val="22"/>
              </w:rPr>
              <w:t xml:space="preserve">ievna mozgová príhoda 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5709591D" w14:textId="77777777" w:rsidR="008B47E2" w:rsidRPr="00823BDC" w:rsidRDefault="008B47E2" w:rsidP="000E2387">
            <w:pPr>
              <w:pStyle w:val="Tablenormal"/>
              <w:keepNext w:val="0"/>
              <w:keepLines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45 (1,0 %)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1CAC850E" w14:textId="77777777" w:rsidR="008B47E2" w:rsidRPr="00823BDC" w:rsidRDefault="008B47E2" w:rsidP="000E2387">
            <w:pPr>
              <w:pStyle w:val="Tablenormal"/>
              <w:keepNext w:val="0"/>
              <w:keepLines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37 (0,8 %)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14:paraId="2179238F" w14:textId="77777777" w:rsidR="008B47E2" w:rsidRPr="00823BDC" w:rsidRDefault="008B47E2" w:rsidP="005332CD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rPr>
                <w:snapToGrid w:val="0"/>
                <w:sz w:val="22"/>
                <w:szCs w:val="22"/>
              </w:rPr>
            </w:pPr>
            <w:r w:rsidRPr="00823BDC">
              <w:rPr>
                <w:snapToGrid w:val="0"/>
                <w:sz w:val="22"/>
                <w:szCs w:val="22"/>
              </w:rPr>
              <w:t>1,21 (0,78-1,86)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14:paraId="3F55E4A3" w14:textId="77777777" w:rsidR="008B47E2" w:rsidRPr="00823BDC" w:rsidRDefault="008B47E2">
            <w:pPr>
              <w:pStyle w:val="Tablenormal"/>
              <w:keepNext w:val="0"/>
              <w:keepLines w:val="0"/>
              <w:rPr>
                <w:snapToGrid w:val="0"/>
                <w:sz w:val="22"/>
                <w:szCs w:val="22"/>
              </w:rPr>
            </w:pPr>
            <w:r w:rsidRPr="00823BDC">
              <w:rPr>
                <w:snapToGrid w:val="0"/>
                <w:sz w:val="22"/>
                <w:szCs w:val="22"/>
              </w:rPr>
              <w:t>0,40</w:t>
            </w:r>
          </w:p>
        </w:tc>
      </w:tr>
      <w:tr w:rsidR="008B47E2" w:rsidRPr="00823BDC" w14:paraId="003FABD1" w14:textId="77777777" w:rsidTr="008B47E2">
        <w:trPr>
          <w:cantSplit/>
          <w:jc w:val="center"/>
        </w:trPr>
        <w:tc>
          <w:tcPr>
            <w:tcW w:w="2808" w:type="dxa"/>
            <w:tcBorders>
              <w:left w:val="nil"/>
              <w:right w:val="nil"/>
            </w:tcBorders>
          </w:tcPr>
          <w:p w14:paraId="422C5FA2" w14:textId="77777777" w:rsidR="008B47E2" w:rsidRPr="00823BDC" w:rsidRDefault="008B47E2" w:rsidP="00F004C3">
            <w:pPr>
              <w:pStyle w:val="Tablenormal"/>
              <w:keepNext w:val="0"/>
              <w:keepLines w:val="0"/>
              <w:ind w:left="397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 xml:space="preserve">Akákoľvek </w:t>
            </w:r>
            <w:proofErr w:type="spellStart"/>
            <w:r w:rsidRPr="00823BDC">
              <w:rPr>
                <w:sz w:val="22"/>
                <w:szCs w:val="22"/>
              </w:rPr>
              <w:t>revaskularizácia</w:t>
            </w:r>
            <w:proofErr w:type="spellEnd"/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B5DAEC8" w14:textId="77777777" w:rsidR="008B47E2" w:rsidRPr="00823BDC" w:rsidRDefault="008B47E2" w:rsidP="000E2387">
            <w:pPr>
              <w:pStyle w:val="Tablenormal"/>
              <w:keepNext w:val="0"/>
              <w:keepLines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284 (6,1 %)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406FBD6" w14:textId="77777777" w:rsidR="008B47E2" w:rsidRPr="00823BDC" w:rsidRDefault="008B47E2" w:rsidP="000E2387">
            <w:pPr>
              <w:pStyle w:val="Tablenormal"/>
              <w:keepNext w:val="0"/>
              <w:keepLines w:val="0"/>
              <w:rPr>
                <w:sz w:val="22"/>
                <w:szCs w:val="22"/>
              </w:rPr>
            </w:pPr>
            <w:r w:rsidRPr="00823BDC">
              <w:rPr>
                <w:sz w:val="22"/>
                <w:szCs w:val="22"/>
              </w:rPr>
              <w:t>352 (7,6 %)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6AF7F7AA" w14:textId="77777777" w:rsidR="008B47E2" w:rsidRPr="00823BDC" w:rsidRDefault="008B47E2" w:rsidP="005332CD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rPr>
                <w:snapToGrid w:val="0"/>
                <w:sz w:val="22"/>
                <w:szCs w:val="22"/>
              </w:rPr>
            </w:pPr>
            <w:r w:rsidRPr="00823BDC">
              <w:rPr>
                <w:snapToGrid w:val="0"/>
                <w:sz w:val="22"/>
                <w:szCs w:val="22"/>
              </w:rPr>
              <w:t>0,79 (0,68-0,93)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45E51411" w14:textId="77777777" w:rsidR="008B47E2" w:rsidRPr="00823BDC" w:rsidRDefault="008B47E2">
            <w:pPr>
              <w:pStyle w:val="Tablenormal"/>
              <w:keepNext w:val="0"/>
              <w:keepLines w:val="0"/>
              <w:rPr>
                <w:snapToGrid w:val="0"/>
                <w:sz w:val="22"/>
                <w:szCs w:val="22"/>
              </w:rPr>
            </w:pPr>
            <w:r w:rsidRPr="00823BDC">
              <w:rPr>
                <w:snapToGrid w:val="0"/>
                <w:sz w:val="22"/>
                <w:szCs w:val="22"/>
              </w:rPr>
              <w:t>0,004</w:t>
            </w:r>
          </w:p>
        </w:tc>
      </w:tr>
      <w:tr w:rsidR="008B47E2" w:rsidRPr="00823BDC" w14:paraId="73700D46" w14:textId="77777777" w:rsidTr="008B47E2">
        <w:trPr>
          <w:cantSplit/>
          <w:jc w:val="center"/>
        </w:trPr>
        <w:tc>
          <w:tcPr>
            <w:tcW w:w="2808" w:type="dxa"/>
            <w:tcBorders>
              <w:left w:val="nil"/>
              <w:bottom w:val="single" w:sz="4" w:space="0" w:color="auto"/>
              <w:right w:val="nil"/>
            </w:tcBorders>
          </w:tcPr>
          <w:p w14:paraId="25AF2A06" w14:textId="77777777" w:rsidR="008B47E2" w:rsidRPr="00823BDC" w:rsidDel="003258B2" w:rsidRDefault="008B47E2" w:rsidP="00F004C3">
            <w:pPr>
              <w:pStyle w:val="Tablenormal"/>
              <w:ind w:left="170"/>
              <w:rPr>
                <w:sz w:val="22"/>
                <w:szCs w:val="22"/>
                <w:highlight w:val="green"/>
              </w:rPr>
            </w:pPr>
            <w:r w:rsidRPr="00823BDC">
              <w:rPr>
                <w:sz w:val="22"/>
                <w:szCs w:val="22"/>
              </w:rPr>
              <w:t xml:space="preserve">Veľké </w:t>
            </w:r>
            <w:proofErr w:type="spellStart"/>
            <w:r w:rsidRPr="00823BDC">
              <w:rPr>
                <w:sz w:val="22"/>
                <w:szCs w:val="22"/>
              </w:rPr>
              <w:t>aterosklerotické</w:t>
            </w:r>
            <w:proofErr w:type="spellEnd"/>
            <w:r w:rsidRPr="00823BDC">
              <w:rPr>
                <w:sz w:val="22"/>
                <w:szCs w:val="22"/>
              </w:rPr>
              <w:t xml:space="preserve"> príhody (MAE)</w:t>
            </w:r>
            <w:r w:rsidRPr="00823BDC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4BEBEB64" w14:textId="77777777" w:rsidR="008B47E2" w:rsidRPr="00823BDC" w:rsidDel="003258B2" w:rsidRDefault="008B47E2" w:rsidP="000E2387">
            <w:pPr>
              <w:pStyle w:val="Tablenormal"/>
              <w:rPr>
                <w:sz w:val="22"/>
                <w:szCs w:val="22"/>
                <w:highlight w:val="green"/>
              </w:rPr>
            </w:pPr>
            <w:r w:rsidRPr="00823BDC">
              <w:rPr>
                <w:sz w:val="22"/>
                <w:szCs w:val="22"/>
              </w:rPr>
              <w:t>526 (11,3 %)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34B240EF" w14:textId="77777777" w:rsidR="008B47E2" w:rsidRPr="00823BDC" w:rsidDel="003258B2" w:rsidRDefault="008B47E2" w:rsidP="000E2387">
            <w:pPr>
              <w:pStyle w:val="Tablenormal"/>
              <w:rPr>
                <w:sz w:val="22"/>
                <w:szCs w:val="22"/>
                <w:highlight w:val="green"/>
              </w:rPr>
            </w:pPr>
            <w:r w:rsidRPr="00823BDC">
              <w:rPr>
                <w:sz w:val="22"/>
                <w:szCs w:val="22"/>
              </w:rPr>
              <w:t>619 (13,4 %)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14:paraId="3571CFFD" w14:textId="77777777" w:rsidR="008B47E2" w:rsidRPr="00823BDC" w:rsidDel="003258B2" w:rsidRDefault="008B47E2" w:rsidP="005332CD">
            <w:pPr>
              <w:pStyle w:val="Tablenormal"/>
              <w:tabs>
                <w:tab w:val="decimal" w:pos="-18"/>
                <w:tab w:val="decimal" w:pos="522"/>
              </w:tabs>
              <w:rPr>
                <w:snapToGrid w:val="0"/>
                <w:sz w:val="22"/>
                <w:szCs w:val="22"/>
                <w:highlight w:val="green"/>
              </w:rPr>
            </w:pPr>
            <w:r w:rsidRPr="00823BDC">
              <w:rPr>
                <w:snapToGrid w:val="0"/>
                <w:sz w:val="22"/>
                <w:szCs w:val="22"/>
              </w:rPr>
              <w:t>0,83 (0,74-0,94)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14:paraId="6A44FB78" w14:textId="77777777" w:rsidR="008B47E2" w:rsidRPr="00823BDC" w:rsidDel="003258B2" w:rsidRDefault="008B47E2">
            <w:pPr>
              <w:pStyle w:val="Tablenormal"/>
              <w:rPr>
                <w:snapToGrid w:val="0"/>
                <w:sz w:val="22"/>
                <w:szCs w:val="22"/>
                <w:highlight w:val="green"/>
              </w:rPr>
            </w:pPr>
            <w:r w:rsidRPr="00823BDC">
              <w:rPr>
                <w:snapToGrid w:val="0"/>
                <w:sz w:val="22"/>
                <w:szCs w:val="22"/>
              </w:rPr>
              <w:t>0,002</w:t>
            </w:r>
          </w:p>
        </w:tc>
      </w:tr>
      <w:tr w:rsidR="008B47E2" w:rsidRPr="00823BDC" w14:paraId="7B7E01B1" w14:textId="77777777" w:rsidTr="008B47E2">
        <w:trPr>
          <w:cantSplit/>
          <w:jc w:val="center"/>
        </w:trPr>
        <w:tc>
          <w:tcPr>
            <w:tcW w:w="8568" w:type="dxa"/>
            <w:gridSpan w:val="5"/>
            <w:tcBorders>
              <w:left w:val="nil"/>
              <w:bottom w:val="nil"/>
              <w:right w:val="nil"/>
            </w:tcBorders>
          </w:tcPr>
          <w:p w14:paraId="2CBA18BD" w14:textId="77777777" w:rsidR="008B47E2" w:rsidRPr="00A6540D" w:rsidRDefault="008B47E2" w:rsidP="00F004C3">
            <w:pPr>
              <w:ind w:left="170" w:hanging="170"/>
              <w:rPr>
                <w:szCs w:val="22"/>
              </w:rPr>
            </w:pPr>
            <w:r w:rsidRPr="00A6540D">
              <w:rPr>
                <w:szCs w:val="22"/>
                <w:vertAlign w:val="superscript"/>
              </w:rPr>
              <w:t>a</w:t>
            </w:r>
            <w:r w:rsidRPr="00A6540D">
              <w:rPr>
                <w:szCs w:val="22"/>
                <w:vertAlign w:val="superscript"/>
              </w:rPr>
              <w:tab/>
            </w:r>
            <w:r w:rsidRPr="00A6540D">
              <w:rPr>
                <w:szCs w:val="22"/>
              </w:rPr>
              <w:t xml:space="preserve">Analýza podľa liečebného zámeru </w:t>
            </w:r>
            <w:r w:rsidR="0057278C" w:rsidRPr="00A6540D">
              <w:rPr>
                <w:szCs w:val="22"/>
              </w:rPr>
              <w:t>u </w:t>
            </w:r>
            <w:r w:rsidRPr="00A6540D">
              <w:rPr>
                <w:szCs w:val="22"/>
              </w:rPr>
              <w:t>všetkých paciento</w:t>
            </w:r>
            <w:r w:rsidR="0057278C" w:rsidRPr="00A6540D">
              <w:rPr>
                <w:szCs w:val="22"/>
              </w:rPr>
              <w:t>v</w:t>
            </w:r>
            <w:r w:rsidRPr="00A6540D">
              <w:rPr>
                <w:szCs w:val="22"/>
              </w:rPr>
              <w:t xml:space="preserve"> v štúdii SHARP </w:t>
            </w:r>
            <w:proofErr w:type="spellStart"/>
            <w:r w:rsidRPr="00A6540D">
              <w:rPr>
                <w:szCs w:val="22"/>
              </w:rPr>
              <w:t>randomizovaných</w:t>
            </w:r>
            <w:proofErr w:type="spellEnd"/>
            <w:r w:rsidRPr="00A6540D">
              <w:rPr>
                <w:szCs w:val="22"/>
              </w:rPr>
              <w:t xml:space="preserve"> na </w:t>
            </w:r>
            <w:proofErr w:type="spellStart"/>
            <w:r w:rsidR="00AD776D" w:rsidRPr="00A6540D">
              <w:rPr>
                <w:szCs w:val="22"/>
              </w:rPr>
              <w:t>ezetimib</w:t>
            </w:r>
            <w:proofErr w:type="spellEnd"/>
            <w:r w:rsidR="00AD776D" w:rsidRPr="00A6540D">
              <w:rPr>
                <w:szCs w:val="22"/>
              </w:rPr>
              <w:t>/</w:t>
            </w:r>
            <w:proofErr w:type="spellStart"/>
            <w:r w:rsidR="00AD776D" w:rsidRPr="00A6540D">
              <w:rPr>
                <w:szCs w:val="22"/>
              </w:rPr>
              <w:t>simvastatín</w:t>
            </w:r>
            <w:proofErr w:type="spellEnd"/>
            <w:r w:rsidRPr="00A6540D">
              <w:rPr>
                <w:szCs w:val="22"/>
              </w:rPr>
              <w:t xml:space="preserve"> alebo placebo buď na začiatku alebo po 1. roku.</w:t>
            </w:r>
          </w:p>
          <w:p w14:paraId="7A53CA1F" w14:textId="77777777" w:rsidR="008B47E2" w:rsidRPr="00CD10F1" w:rsidRDefault="008B47E2" w:rsidP="000E2387">
            <w:pPr>
              <w:pStyle w:val="Tablenormal"/>
              <w:keepNext w:val="0"/>
              <w:ind w:left="170" w:hanging="170"/>
              <w:rPr>
                <w:snapToGrid w:val="0"/>
                <w:sz w:val="22"/>
                <w:szCs w:val="22"/>
              </w:rPr>
            </w:pPr>
            <w:r w:rsidRPr="00A6540D">
              <w:rPr>
                <w:sz w:val="22"/>
                <w:szCs w:val="22"/>
                <w:vertAlign w:val="superscript"/>
              </w:rPr>
              <w:t>b</w:t>
            </w:r>
            <w:r w:rsidRPr="00A6540D">
              <w:rPr>
                <w:sz w:val="22"/>
                <w:szCs w:val="22"/>
              </w:rPr>
              <w:tab/>
              <w:t xml:space="preserve">MAE; definované ako </w:t>
            </w:r>
            <w:r w:rsidR="004A5A12" w:rsidRPr="00A6540D">
              <w:rPr>
                <w:sz w:val="22"/>
                <w:szCs w:val="22"/>
              </w:rPr>
              <w:t xml:space="preserve">súbor </w:t>
            </w:r>
            <w:r w:rsidRPr="00A6540D">
              <w:rPr>
                <w:sz w:val="22"/>
                <w:szCs w:val="22"/>
              </w:rPr>
              <w:t xml:space="preserve">nefatálneho infarktu myokardu, </w:t>
            </w:r>
            <w:r w:rsidR="00981392" w:rsidRPr="00A6540D">
              <w:rPr>
                <w:sz w:val="22"/>
                <w:szCs w:val="22"/>
              </w:rPr>
              <w:t>koronárneho úmrtia</w:t>
            </w:r>
            <w:r w:rsidRPr="00A6540D">
              <w:rPr>
                <w:sz w:val="22"/>
                <w:szCs w:val="22"/>
              </w:rPr>
              <w:t xml:space="preserve">, </w:t>
            </w:r>
            <w:proofErr w:type="spellStart"/>
            <w:r w:rsidR="00981392" w:rsidRPr="00A6540D">
              <w:rPr>
                <w:sz w:val="22"/>
                <w:szCs w:val="22"/>
              </w:rPr>
              <w:t>nehemoragickej</w:t>
            </w:r>
            <w:proofErr w:type="spellEnd"/>
            <w:r w:rsidR="00981392" w:rsidRPr="00A6540D">
              <w:rPr>
                <w:sz w:val="22"/>
                <w:szCs w:val="22"/>
              </w:rPr>
              <w:t xml:space="preserve"> </w:t>
            </w:r>
            <w:r w:rsidRPr="00A6540D">
              <w:rPr>
                <w:sz w:val="22"/>
                <w:szCs w:val="22"/>
              </w:rPr>
              <w:t xml:space="preserve">cievnej mozgovej príhody alebo akejkoľvek </w:t>
            </w:r>
            <w:proofErr w:type="spellStart"/>
            <w:r w:rsidRPr="00A6540D">
              <w:rPr>
                <w:sz w:val="22"/>
                <w:szCs w:val="22"/>
              </w:rPr>
              <w:t>revaskularizácie</w:t>
            </w:r>
            <w:proofErr w:type="spellEnd"/>
            <w:r w:rsidRPr="00A6540D">
              <w:rPr>
                <w:sz w:val="22"/>
                <w:szCs w:val="22"/>
              </w:rPr>
              <w:t>.</w:t>
            </w:r>
          </w:p>
        </w:tc>
      </w:tr>
    </w:tbl>
    <w:p w14:paraId="2C13DC03" w14:textId="77777777" w:rsidR="008B47E2" w:rsidRPr="00823BDC" w:rsidRDefault="008B47E2" w:rsidP="00F004C3">
      <w:pPr>
        <w:adjustRightInd w:val="0"/>
        <w:snapToGrid w:val="0"/>
        <w:rPr>
          <w:szCs w:val="22"/>
        </w:rPr>
      </w:pPr>
    </w:p>
    <w:p w14:paraId="10EC2A8C" w14:textId="77777777" w:rsidR="008B47E2" w:rsidRPr="00823BDC" w:rsidRDefault="008B47E2" w:rsidP="000E2387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Absolútne zníženie LDL cholesterolu dosiahnuté pri </w:t>
      </w:r>
      <w:proofErr w:type="spellStart"/>
      <w:r w:rsidR="00AD776D" w:rsidRPr="00823BDC">
        <w:rPr>
          <w:szCs w:val="22"/>
        </w:rPr>
        <w:t>ezetimibe</w:t>
      </w:r>
      <w:proofErr w:type="spellEnd"/>
      <w:r w:rsidR="00AD776D" w:rsidRPr="00823BDC">
        <w:rPr>
          <w:szCs w:val="22"/>
        </w:rPr>
        <w:t>/</w:t>
      </w:r>
      <w:proofErr w:type="spellStart"/>
      <w:r w:rsidR="00AD776D" w:rsidRPr="00823BDC">
        <w:rPr>
          <w:szCs w:val="22"/>
        </w:rPr>
        <w:t>simvastatíne</w:t>
      </w:r>
      <w:proofErr w:type="spellEnd"/>
      <w:r w:rsidRPr="00823BDC">
        <w:rPr>
          <w:szCs w:val="22"/>
        </w:rPr>
        <w:t xml:space="preserve"> medzi pacientmi s nižšou východiskovou hladinou LDL</w:t>
      </w:r>
      <w:r w:rsidRPr="00823BDC">
        <w:rPr>
          <w:szCs w:val="22"/>
        </w:rPr>
        <w:noBreakHyphen/>
        <w:t>C (</w:t>
      </w:r>
      <w:r w:rsidRPr="00823BDC">
        <w:rPr>
          <w:bCs/>
          <w:szCs w:val="22"/>
        </w:rPr>
        <w:t xml:space="preserve">&lt; 2,5 mmol/l) a pacientmi podstupujúcimi pri vstupe do štúdie dialýzu bolo </w:t>
      </w:r>
      <w:r w:rsidRPr="00823BDC">
        <w:rPr>
          <w:szCs w:val="22"/>
        </w:rPr>
        <w:t>nižšie</w:t>
      </w:r>
      <w:r w:rsidRPr="00823BDC">
        <w:rPr>
          <w:bCs/>
          <w:szCs w:val="22"/>
        </w:rPr>
        <w:t xml:space="preserve"> ako u ostatných pacientov a zodpovedajúce zníženia rizika v týchto dvoch skupinách boli z</w:t>
      </w:r>
      <w:r w:rsidRPr="00823BDC">
        <w:rPr>
          <w:szCs w:val="22"/>
        </w:rPr>
        <w:t>oslabené.</w:t>
      </w:r>
    </w:p>
    <w:p w14:paraId="4F28ECF6" w14:textId="77777777" w:rsidR="00D044EB" w:rsidRPr="00823BDC" w:rsidRDefault="00D044EB" w:rsidP="000E2387">
      <w:pPr>
        <w:adjustRightInd w:val="0"/>
        <w:snapToGrid w:val="0"/>
        <w:rPr>
          <w:szCs w:val="22"/>
          <w:u w:val="single"/>
        </w:rPr>
      </w:pPr>
    </w:p>
    <w:p w14:paraId="70178ABB" w14:textId="77777777" w:rsidR="00E91347" w:rsidRPr="00823BDC" w:rsidRDefault="00E91347" w:rsidP="000E2387">
      <w:pPr>
        <w:keepNext/>
        <w:adjustRightInd w:val="0"/>
        <w:snapToGrid w:val="0"/>
        <w:rPr>
          <w:i/>
          <w:szCs w:val="22"/>
          <w:u w:val="single"/>
        </w:rPr>
      </w:pPr>
      <w:r w:rsidRPr="00823BDC">
        <w:rPr>
          <w:i/>
          <w:szCs w:val="22"/>
          <w:u w:val="single"/>
        </w:rPr>
        <w:lastRenderedPageBreak/>
        <w:t xml:space="preserve">Aortálna </w:t>
      </w:r>
      <w:proofErr w:type="spellStart"/>
      <w:r w:rsidRPr="00823BDC">
        <w:rPr>
          <w:i/>
          <w:szCs w:val="22"/>
          <w:u w:val="single"/>
        </w:rPr>
        <w:t>stenóza</w:t>
      </w:r>
      <w:proofErr w:type="spellEnd"/>
    </w:p>
    <w:p w14:paraId="52322151" w14:textId="77777777" w:rsidR="00E91347" w:rsidRPr="00823BDC" w:rsidRDefault="00E91347" w:rsidP="005332CD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Multicentrická</w:t>
      </w:r>
      <w:proofErr w:type="spellEnd"/>
      <w:r w:rsidRPr="00823BDC">
        <w:rPr>
          <w:szCs w:val="22"/>
        </w:rPr>
        <w:t>, dvojito zaslepená, placebom kontrolovaná štúdia „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a 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</w:t>
      </w:r>
      <w:r w:rsidR="004A3795" w:rsidRPr="00823BDC">
        <w:rPr>
          <w:szCs w:val="22"/>
        </w:rPr>
        <w:t>v</w:t>
      </w:r>
      <w:r w:rsidRPr="00823BDC">
        <w:rPr>
          <w:szCs w:val="22"/>
        </w:rPr>
        <w:t xml:space="preserve"> liečb</w:t>
      </w:r>
      <w:r w:rsidR="004A3795" w:rsidRPr="00823BDC">
        <w:rPr>
          <w:szCs w:val="22"/>
        </w:rPr>
        <w:t>e</w:t>
      </w:r>
      <w:r w:rsidRPr="00823BDC">
        <w:rPr>
          <w:szCs w:val="22"/>
        </w:rPr>
        <w:t xml:space="preserve"> aortálnej </w:t>
      </w:r>
      <w:proofErr w:type="spellStart"/>
      <w:r w:rsidRPr="00823BDC">
        <w:rPr>
          <w:szCs w:val="22"/>
        </w:rPr>
        <w:t>stenózy</w:t>
      </w:r>
      <w:proofErr w:type="spellEnd"/>
      <w:r w:rsidRPr="00823BDC">
        <w:rPr>
          <w:szCs w:val="22"/>
        </w:rPr>
        <w:t>“ (</w:t>
      </w:r>
      <w:proofErr w:type="spellStart"/>
      <w:r w:rsidRPr="00823BDC">
        <w:rPr>
          <w:szCs w:val="22"/>
        </w:rPr>
        <w:t>Simvastatin</w:t>
      </w:r>
      <w:proofErr w:type="spellEnd"/>
      <w:r w:rsidRPr="00823BDC">
        <w:rPr>
          <w:szCs w:val="22"/>
        </w:rPr>
        <w:t xml:space="preserve"> and </w:t>
      </w:r>
      <w:proofErr w:type="spellStart"/>
      <w:r w:rsidRPr="00823BDC">
        <w:rPr>
          <w:szCs w:val="22"/>
        </w:rPr>
        <w:t>Ezetimibe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for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the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Treatment</w:t>
      </w:r>
      <w:proofErr w:type="spellEnd"/>
      <w:r w:rsidRPr="00823BDC">
        <w:rPr>
          <w:szCs w:val="22"/>
        </w:rPr>
        <w:t xml:space="preserve"> of </w:t>
      </w:r>
      <w:proofErr w:type="spellStart"/>
      <w:r w:rsidRPr="00823BDC">
        <w:rPr>
          <w:szCs w:val="22"/>
        </w:rPr>
        <w:t>Aortic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Stenosis</w:t>
      </w:r>
      <w:proofErr w:type="spellEnd"/>
      <w:r w:rsidRPr="00823BDC">
        <w:rPr>
          <w:szCs w:val="22"/>
        </w:rPr>
        <w:t>, SEAS) s mediánom trvania 4,4</w:t>
      </w:r>
      <w:r w:rsidR="00DB59CB" w:rsidRPr="00823BDC">
        <w:rPr>
          <w:szCs w:val="22"/>
        </w:rPr>
        <w:t xml:space="preserve"> </w:t>
      </w:r>
      <w:r w:rsidRPr="00823BDC">
        <w:rPr>
          <w:szCs w:val="22"/>
        </w:rPr>
        <w:t xml:space="preserve">rokov sa uskutočnila u 1 873 pacientov s asymptomatickou aortálnou </w:t>
      </w:r>
      <w:proofErr w:type="spellStart"/>
      <w:r w:rsidRPr="00823BDC">
        <w:rPr>
          <w:szCs w:val="22"/>
        </w:rPr>
        <w:t>stenózou</w:t>
      </w:r>
      <w:proofErr w:type="spellEnd"/>
      <w:r w:rsidRPr="00823BDC">
        <w:rPr>
          <w:szCs w:val="22"/>
        </w:rPr>
        <w:t xml:space="preserve"> (AS) zdokumentovanou pomocou </w:t>
      </w:r>
      <w:proofErr w:type="spellStart"/>
      <w:r w:rsidRPr="00823BDC">
        <w:rPr>
          <w:szCs w:val="22"/>
        </w:rPr>
        <w:t>Dopplerovho</w:t>
      </w:r>
      <w:proofErr w:type="spellEnd"/>
      <w:r w:rsidRPr="00823BDC">
        <w:rPr>
          <w:szCs w:val="22"/>
        </w:rPr>
        <w:t xml:space="preserve"> merania maximálnej rýchlosti prúdenia aortou v rozmedzí 2,5 až 4,0 m/s. Do štúdie boli zaradení len tí pacienti, u ktorých sa zvážilo, že nie je potrebná liečba </w:t>
      </w:r>
      <w:proofErr w:type="spellStart"/>
      <w:r w:rsidRPr="00823BDC">
        <w:rPr>
          <w:szCs w:val="22"/>
        </w:rPr>
        <w:t>statínmi</w:t>
      </w:r>
      <w:proofErr w:type="spellEnd"/>
      <w:r w:rsidRPr="00823BDC">
        <w:rPr>
          <w:szCs w:val="22"/>
        </w:rPr>
        <w:t xml:space="preserve"> za účelom zníženia rizika </w:t>
      </w:r>
      <w:proofErr w:type="spellStart"/>
      <w:r w:rsidRPr="00823BDC">
        <w:rPr>
          <w:szCs w:val="22"/>
        </w:rPr>
        <w:t>aterosklerotického</w:t>
      </w:r>
      <w:proofErr w:type="spellEnd"/>
      <w:r w:rsidRPr="00823BDC">
        <w:rPr>
          <w:szCs w:val="22"/>
        </w:rPr>
        <w:t xml:space="preserve"> kardiovaskulárneho ochorenia. Pacienti boli </w:t>
      </w:r>
      <w:proofErr w:type="spellStart"/>
      <w:r w:rsidRPr="00823BDC">
        <w:rPr>
          <w:szCs w:val="22"/>
        </w:rPr>
        <w:t>randomizovaní</w:t>
      </w:r>
      <w:proofErr w:type="spellEnd"/>
      <w:r w:rsidRPr="00823BDC">
        <w:rPr>
          <w:szCs w:val="22"/>
        </w:rPr>
        <w:t xml:space="preserve"> v pomere 1:1 a dostávali placebo alebo im bol denne súbežne podávaný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10 mg a 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40 mg.</w:t>
      </w:r>
    </w:p>
    <w:p w14:paraId="68350427" w14:textId="77777777" w:rsidR="00E91347" w:rsidRPr="00823BDC" w:rsidRDefault="00E91347">
      <w:pPr>
        <w:adjustRightInd w:val="0"/>
        <w:snapToGrid w:val="0"/>
        <w:rPr>
          <w:szCs w:val="22"/>
        </w:rPr>
      </w:pPr>
    </w:p>
    <w:p w14:paraId="54ED434E" w14:textId="4259BFCC" w:rsidR="00E91347" w:rsidRPr="00823BDC" w:rsidRDefault="00E91347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Primárnym cieľovým ukazovateľom bol </w:t>
      </w:r>
      <w:r w:rsidR="00AA1EAD" w:rsidRPr="00823BDC">
        <w:rPr>
          <w:szCs w:val="22"/>
        </w:rPr>
        <w:t xml:space="preserve">súbor veľkých </w:t>
      </w:r>
      <w:r w:rsidRPr="00823BDC">
        <w:rPr>
          <w:szCs w:val="22"/>
        </w:rPr>
        <w:t xml:space="preserve">kardiovaskulárnych udalostí (major </w:t>
      </w:r>
      <w:proofErr w:type="spellStart"/>
      <w:r w:rsidRPr="00823BDC">
        <w:rPr>
          <w:szCs w:val="22"/>
        </w:rPr>
        <w:t>cardiovascular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events</w:t>
      </w:r>
      <w:proofErr w:type="spellEnd"/>
      <w:r w:rsidRPr="00823BDC">
        <w:rPr>
          <w:szCs w:val="22"/>
        </w:rPr>
        <w:t>, MCE) pozostávajúc</w:t>
      </w:r>
      <w:r w:rsidR="00AA1EAD" w:rsidRPr="00823BDC">
        <w:rPr>
          <w:szCs w:val="22"/>
        </w:rPr>
        <w:t>i</w:t>
      </w:r>
      <w:r w:rsidRPr="00823BDC">
        <w:rPr>
          <w:szCs w:val="22"/>
        </w:rPr>
        <w:t xml:space="preserve"> z úmrtia</w:t>
      </w:r>
      <w:r w:rsidR="004A3795" w:rsidRPr="00823BDC">
        <w:rPr>
          <w:szCs w:val="22"/>
        </w:rPr>
        <w:t xml:space="preserve"> z kardiovaskulárnych príčin</w:t>
      </w:r>
      <w:r w:rsidRPr="00823BDC">
        <w:rPr>
          <w:szCs w:val="22"/>
        </w:rPr>
        <w:t>, chirurgickej náhrady aortálnej chlopne (</w:t>
      </w:r>
      <w:proofErr w:type="spellStart"/>
      <w:r w:rsidRPr="00823BDC">
        <w:rPr>
          <w:szCs w:val="22"/>
        </w:rPr>
        <w:t>aortic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valve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replacement</w:t>
      </w:r>
      <w:proofErr w:type="spellEnd"/>
      <w:r w:rsidRPr="00823BDC">
        <w:rPr>
          <w:szCs w:val="22"/>
        </w:rPr>
        <w:t xml:space="preserve">, AVR), </w:t>
      </w:r>
      <w:proofErr w:type="spellStart"/>
      <w:r w:rsidRPr="00823BDC">
        <w:rPr>
          <w:szCs w:val="22"/>
        </w:rPr>
        <w:t>kongestívneho</w:t>
      </w:r>
      <w:proofErr w:type="spellEnd"/>
      <w:r w:rsidRPr="00823BDC">
        <w:rPr>
          <w:szCs w:val="22"/>
        </w:rPr>
        <w:t xml:space="preserve"> zlyh</w:t>
      </w:r>
      <w:r w:rsidR="004A3795" w:rsidRPr="00823BDC">
        <w:rPr>
          <w:szCs w:val="22"/>
        </w:rPr>
        <w:t>ávania srdca</w:t>
      </w:r>
      <w:r w:rsidRPr="00823BDC">
        <w:rPr>
          <w:szCs w:val="22"/>
        </w:rPr>
        <w:t xml:space="preserve"> (</w:t>
      </w:r>
      <w:proofErr w:type="spellStart"/>
      <w:r w:rsidRPr="00823BDC">
        <w:rPr>
          <w:szCs w:val="22"/>
        </w:rPr>
        <w:t>congestive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heart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failure</w:t>
      </w:r>
      <w:proofErr w:type="spellEnd"/>
      <w:r w:rsidRPr="00823BDC">
        <w:rPr>
          <w:szCs w:val="22"/>
        </w:rPr>
        <w:t xml:space="preserve">, CHF) v dôsledku progresie AS, nefatálneho infarktu myokardu, </w:t>
      </w:r>
      <w:proofErr w:type="spellStart"/>
      <w:r w:rsidRPr="00823BDC">
        <w:rPr>
          <w:szCs w:val="22"/>
        </w:rPr>
        <w:t>bypassu</w:t>
      </w:r>
      <w:proofErr w:type="spellEnd"/>
      <w:r w:rsidRPr="00823BDC">
        <w:rPr>
          <w:szCs w:val="22"/>
        </w:rPr>
        <w:t xml:space="preserve"> koronárnej artérie (</w:t>
      </w:r>
      <w:proofErr w:type="spellStart"/>
      <w:r w:rsidRPr="00823BDC">
        <w:rPr>
          <w:szCs w:val="22"/>
        </w:rPr>
        <w:t>coronary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artery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bypass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grafting</w:t>
      </w:r>
      <w:proofErr w:type="spellEnd"/>
      <w:r w:rsidRPr="00823BDC">
        <w:rPr>
          <w:szCs w:val="22"/>
        </w:rPr>
        <w:t xml:space="preserve">, CABG), </w:t>
      </w:r>
      <w:proofErr w:type="spellStart"/>
      <w:r w:rsidRPr="00823BDC">
        <w:rPr>
          <w:szCs w:val="22"/>
        </w:rPr>
        <w:t>perkutánnej</w:t>
      </w:r>
      <w:proofErr w:type="spellEnd"/>
      <w:r w:rsidRPr="00823BDC">
        <w:rPr>
          <w:szCs w:val="22"/>
        </w:rPr>
        <w:t xml:space="preserve"> koronárnej intervencie (</w:t>
      </w:r>
      <w:proofErr w:type="spellStart"/>
      <w:r w:rsidRPr="00823BDC">
        <w:rPr>
          <w:szCs w:val="22"/>
        </w:rPr>
        <w:t>percutaneous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coronary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intervention</w:t>
      </w:r>
      <w:proofErr w:type="spellEnd"/>
      <w:r w:rsidRPr="00823BDC">
        <w:rPr>
          <w:szCs w:val="22"/>
        </w:rPr>
        <w:t xml:space="preserve">, PCI), hospitalizácie pre nestabilnú angínu </w:t>
      </w:r>
      <w:proofErr w:type="spellStart"/>
      <w:r w:rsidRPr="00823BDC">
        <w:rPr>
          <w:szCs w:val="22"/>
        </w:rPr>
        <w:t>pe</w:t>
      </w:r>
      <w:r w:rsidR="00E415FA" w:rsidRPr="00823BDC">
        <w:rPr>
          <w:szCs w:val="22"/>
        </w:rPr>
        <w:t>k</w:t>
      </w:r>
      <w:r w:rsidRPr="00823BDC">
        <w:rPr>
          <w:szCs w:val="22"/>
        </w:rPr>
        <w:t>toris</w:t>
      </w:r>
      <w:proofErr w:type="spellEnd"/>
      <w:r w:rsidRPr="00823BDC">
        <w:rPr>
          <w:szCs w:val="22"/>
        </w:rPr>
        <w:t xml:space="preserve"> a </w:t>
      </w:r>
      <w:proofErr w:type="spellStart"/>
      <w:r w:rsidRPr="00823BDC">
        <w:rPr>
          <w:szCs w:val="22"/>
        </w:rPr>
        <w:t>nehemoragickej</w:t>
      </w:r>
      <w:proofErr w:type="spellEnd"/>
      <w:r w:rsidRPr="00823BDC">
        <w:rPr>
          <w:szCs w:val="22"/>
        </w:rPr>
        <w:t xml:space="preserve"> </w:t>
      </w:r>
      <w:r w:rsidR="00DB59CB" w:rsidRPr="00823BDC">
        <w:rPr>
          <w:szCs w:val="22"/>
        </w:rPr>
        <w:t>cievnej mozgovej príhody</w:t>
      </w:r>
      <w:r w:rsidRPr="00823BDC">
        <w:rPr>
          <w:szCs w:val="22"/>
        </w:rPr>
        <w:t xml:space="preserve">. Sekundárnymi cieľovými ukazovateľmi boli </w:t>
      </w:r>
      <w:r w:rsidR="00DB59CB" w:rsidRPr="00823BDC">
        <w:rPr>
          <w:szCs w:val="22"/>
        </w:rPr>
        <w:t xml:space="preserve">súbory </w:t>
      </w:r>
      <w:r w:rsidRPr="00823BDC">
        <w:rPr>
          <w:szCs w:val="22"/>
        </w:rPr>
        <w:t>podskupín kategórií udalostí primárneho cieľového ukazovateľa.</w:t>
      </w:r>
    </w:p>
    <w:p w14:paraId="2D3BD9D5" w14:textId="77777777" w:rsidR="00E91347" w:rsidRPr="00823BDC" w:rsidRDefault="00E91347">
      <w:pPr>
        <w:adjustRightInd w:val="0"/>
        <w:snapToGrid w:val="0"/>
        <w:rPr>
          <w:szCs w:val="22"/>
        </w:rPr>
      </w:pPr>
    </w:p>
    <w:p w14:paraId="6C2099B1" w14:textId="77777777" w:rsidR="00E91347" w:rsidRPr="00823BDC" w:rsidRDefault="00E91347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>/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10</w:t>
      </w:r>
      <w:r w:rsidR="009836A0" w:rsidRPr="00823BDC">
        <w:rPr>
          <w:szCs w:val="22"/>
        </w:rPr>
        <w:t xml:space="preserve"> mg</w:t>
      </w:r>
      <w:r w:rsidRPr="00823BDC">
        <w:rPr>
          <w:szCs w:val="22"/>
        </w:rPr>
        <w:t>/40 mg v porovnaní s placebom signifikantne neznížili riziko MCE.</w:t>
      </w:r>
    </w:p>
    <w:p w14:paraId="39B508EC" w14:textId="59B3AAE3" w:rsidR="00E91347" w:rsidRPr="00823BDC" w:rsidRDefault="00E91347">
      <w:pPr>
        <w:adjustRightInd w:val="0"/>
        <w:snapToGrid w:val="0"/>
        <w:rPr>
          <w:szCs w:val="22"/>
        </w:rPr>
      </w:pPr>
      <w:r w:rsidRPr="00823BDC">
        <w:rPr>
          <w:szCs w:val="22"/>
        </w:rPr>
        <w:t>Primárny výsledok sa vyskytol u 333</w:t>
      </w:r>
      <w:r w:rsidR="00155EE5" w:rsidRPr="00823BDC">
        <w:rPr>
          <w:szCs w:val="22"/>
        </w:rPr>
        <w:t xml:space="preserve"> </w:t>
      </w:r>
      <w:r w:rsidRPr="00823BDC">
        <w:rPr>
          <w:szCs w:val="22"/>
        </w:rPr>
        <w:t xml:space="preserve">pacientov (35,3 %) v skupine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>/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a u 355</w:t>
      </w:r>
      <w:r w:rsidR="00155EE5" w:rsidRPr="00823BDC">
        <w:rPr>
          <w:szCs w:val="22"/>
        </w:rPr>
        <w:t xml:space="preserve"> </w:t>
      </w:r>
      <w:r w:rsidRPr="00823BDC">
        <w:rPr>
          <w:szCs w:val="22"/>
        </w:rPr>
        <w:t>pacientov (38,2 %) v skupine s placebom (pomer rizika</w:t>
      </w:r>
      <w:r w:rsidR="004D10DE" w:rsidRPr="00823BDC">
        <w:rPr>
          <w:szCs w:val="22"/>
        </w:rPr>
        <w:t xml:space="preserve"> (PR)</w:t>
      </w:r>
      <w:r w:rsidR="00AA7838">
        <w:rPr>
          <w:szCs w:val="22"/>
        </w:rPr>
        <w:t>)</w:t>
      </w:r>
      <w:r w:rsidRPr="00AA7838">
        <w:rPr>
          <w:szCs w:val="22"/>
        </w:rPr>
        <w:t xml:space="preserve"> v skupine </w:t>
      </w:r>
      <w:proofErr w:type="spellStart"/>
      <w:r w:rsidRPr="00AA7838">
        <w:rPr>
          <w:szCs w:val="22"/>
        </w:rPr>
        <w:t>ezetimib</w:t>
      </w:r>
      <w:proofErr w:type="spellEnd"/>
      <w:r w:rsidRPr="00AA7838">
        <w:rPr>
          <w:szCs w:val="22"/>
        </w:rPr>
        <w:t>/</w:t>
      </w:r>
      <w:proofErr w:type="spellStart"/>
      <w:r w:rsidRPr="00AA7838">
        <w:rPr>
          <w:szCs w:val="22"/>
        </w:rPr>
        <w:t>simvastatín</w:t>
      </w:r>
      <w:proofErr w:type="spellEnd"/>
      <w:r w:rsidRPr="00AA7838">
        <w:rPr>
          <w:szCs w:val="22"/>
        </w:rPr>
        <w:t xml:space="preserve"> 0,96; 95% </w:t>
      </w:r>
      <w:r w:rsidR="004D10DE" w:rsidRPr="00AA7838">
        <w:rPr>
          <w:szCs w:val="22"/>
        </w:rPr>
        <w:t>I</w:t>
      </w:r>
      <w:r w:rsidR="00AA7838">
        <w:rPr>
          <w:szCs w:val="22"/>
        </w:rPr>
        <w:t>S</w:t>
      </w:r>
      <w:r w:rsidRPr="00AA7838">
        <w:rPr>
          <w:szCs w:val="22"/>
        </w:rPr>
        <w:t xml:space="preserve"> 0,83 </w:t>
      </w:r>
      <w:r w:rsidR="004D10DE" w:rsidRPr="00AA7838">
        <w:rPr>
          <w:szCs w:val="22"/>
        </w:rPr>
        <w:t>-</w:t>
      </w:r>
      <w:r w:rsidRPr="00AA7838">
        <w:rPr>
          <w:szCs w:val="22"/>
        </w:rPr>
        <w:t xml:space="preserve"> 1,12; p = 0,59). Náhrada aortálnej chlopne sa uskutočnila u 267</w:t>
      </w:r>
      <w:r w:rsidR="00155EE5" w:rsidRPr="00AA7838">
        <w:rPr>
          <w:szCs w:val="22"/>
        </w:rPr>
        <w:t xml:space="preserve"> </w:t>
      </w:r>
      <w:r w:rsidRPr="00AA7838">
        <w:rPr>
          <w:szCs w:val="22"/>
        </w:rPr>
        <w:t xml:space="preserve">pacientov (28,3 %) v skupine </w:t>
      </w:r>
      <w:proofErr w:type="spellStart"/>
      <w:r w:rsidRPr="00AA7838">
        <w:rPr>
          <w:szCs w:val="22"/>
        </w:rPr>
        <w:t>ezetimib</w:t>
      </w:r>
      <w:proofErr w:type="spellEnd"/>
      <w:r w:rsidRPr="00AA7838">
        <w:rPr>
          <w:szCs w:val="22"/>
        </w:rPr>
        <w:t>/</w:t>
      </w:r>
      <w:proofErr w:type="spellStart"/>
      <w:r w:rsidRPr="00AA7838">
        <w:rPr>
          <w:szCs w:val="22"/>
        </w:rPr>
        <w:t>simvastatín</w:t>
      </w:r>
      <w:proofErr w:type="spellEnd"/>
      <w:r w:rsidRPr="00AA7838">
        <w:rPr>
          <w:szCs w:val="22"/>
        </w:rPr>
        <w:t xml:space="preserve"> a u 278</w:t>
      </w:r>
      <w:r w:rsidR="00155EE5" w:rsidRPr="00AA7838">
        <w:rPr>
          <w:szCs w:val="22"/>
        </w:rPr>
        <w:t xml:space="preserve"> </w:t>
      </w:r>
      <w:r w:rsidRPr="00AA7838">
        <w:rPr>
          <w:szCs w:val="22"/>
        </w:rPr>
        <w:t>pacientov (29,9 %) v skupine s placebom (</w:t>
      </w:r>
      <w:r w:rsidR="004D10DE" w:rsidRPr="00095F7D">
        <w:rPr>
          <w:szCs w:val="22"/>
        </w:rPr>
        <w:t>PR</w:t>
      </w:r>
      <w:r w:rsidRPr="00373B08">
        <w:rPr>
          <w:szCs w:val="22"/>
        </w:rPr>
        <w:t xml:space="preserve"> 1,00; 95% IS 0,84 </w:t>
      </w:r>
      <w:r w:rsidR="004D10DE" w:rsidRPr="00373B08">
        <w:rPr>
          <w:szCs w:val="22"/>
        </w:rPr>
        <w:t>-</w:t>
      </w:r>
      <w:r w:rsidRPr="00373B08">
        <w:rPr>
          <w:szCs w:val="22"/>
        </w:rPr>
        <w:t xml:space="preserve"> 1,18; p = 0,97). V skupine </w:t>
      </w:r>
      <w:proofErr w:type="spellStart"/>
      <w:r w:rsidRPr="00373B08">
        <w:rPr>
          <w:szCs w:val="22"/>
        </w:rPr>
        <w:t>ezetimib</w:t>
      </w:r>
      <w:proofErr w:type="spellEnd"/>
      <w:r w:rsidRPr="00373B08">
        <w:rPr>
          <w:szCs w:val="22"/>
        </w:rPr>
        <w:t>/</w:t>
      </w:r>
      <w:proofErr w:type="spellStart"/>
      <w:r w:rsidRPr="00373B08">
        <w:rPr>
          <w:szCs w:val="22"/>
        </w:rPr>
        <w:t>simvastatín</w:t>
      </w:r>
      <w:proofErr w:type="spellEnd"/>
      <w:r w:rsidRPr="00373B08">
        <w:rPr>
          <w:szCs w:val="22"/>
        </w:rPr>
        <w:t xml:space="preserve"> (n = 148) malo menej pacientov ischemické kardiovaskulárne príhody ako v skupine s placebom (n = 187) (</w:t>
      </w:r>
      <w:r w:rsidR="004D10DE" w:rsidRPr="00823BDC">
        <w:rPr>
          <w:szCs w:val="22"/>
        </w:rPr>
        <w:t>PR</w:t>
      </w:r>
      <w:r w:rsidRPr="00823BDC">
        <w:rPr>
          <w:szCs w:val="22"/>
        </w:rPr>
        <w:t xml:space="preserve"> 0,78; 95% IS 0,63 </w:t>
      </w:r>
      <w:r w:rsidR="004D10DE" w:rsidRPr="00823BDC">
        <w:rPr>
          <w:szCs w:val="22"/>
        </w:rPr>
        <w:t>-</w:t>
      </w:r>
      <w:r w:rsidRPr="00823BDC">
        <w:rPr>
          <w:szCs w:val="22"/>
        </w:rPr>
        <w:t xml:space="preserve"> 0,97; p = 0,02) predovšetkým kvôli menšiemu počtu pacientov, ktorí podstúpili </w:t>
      </w:r>
      <w:proofErr w:type="spellStart"/>
      <w:r w:rsidRPr="00823BDC">
        <w:rPr>
          <w:szCs w:val="22"/>
        </w:rPr>
        <w:t>bypass</w:t>
      </w:r>
      <w:proofErr w:type="spellEnd"/>
      <w:r w:rsidRPr="00823BDC">
        <w:rPr>
          <w:szCs w:val="22"/>
        </w:rPr>
        <w:t xml:space="preserve"> koronárnej artérie.</w:t>
      </w:r>
    </w:p>
    <w:p w14:paraId="712415AE" w14:textId="77777777" w:rsidR="00E91347" w:rsidRPr="00823BDC" w:rsidRDefault="00E91347">
      <w:pPr>
        <w:adjustRightInd w:val="0"/>
        <w:snapToGrid w:val="0"/>
        <w:rPr>
          <w:szCs w:val="22"/>
        </w:rPr>
      </w:pPr>
    </w:p>
    <w:p w14:paraId="1060AD26" w14:textId="77777777" w:rsidR="008B47E2" w:rsidRPr="00823BDC" w:rsidRDefault="008B47E2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V skupine </w:t>
      </w:r>
      <w:r w:rsidR="006707FD" w:rsidRPr="00823BDC">
        <w:rPr>
          <w:szCs w:val="22"/>
        </w:rPr>
        <w:t xml:space="preserve">užívajúcej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>/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sa častejšie vyskytovala rakovina (105 oproti 70, p = 0,01). Klinický význam tohto zistenia nie je jasný, pretože vo väčš</w:t>
      </w:r>
      <w:r w:rsidR="00ED7DAB" w:rsidRPr="00823BDC">
        <w:rPr>
          <w:szCs w:val="22"/>
        </w:rPr>
        <w:t>om</w:t>
      </w:r>
      <w:r w:rsidRPr="00823BDC">
        <w:rPr>
          <w:szCs w:val="22"/>
        </w:rPr>
        <w:t xml:space="preserve"> </w:t>
      </w:r>
      <w:r w:rsidR="00ED7DAB" w:rsidRPr="00823BDC">
        <w:rPr>
          <w:szCs w:val="22"/>
        </w:rPr>
        <w:t xml:space="preserve">skúšaní </w:t>
      </w:r>
      <w:r w:rsidRPr="00823BDC">
        <w:rPr>
          <w:szCs w:val="22"/>
        </w:rPr>
        <w:t xml:space="preserve">SHARP sa celkový počet pacientov s akýmkoľvek výskytom rakoviny (438 pri </w:t>
      </w:r>
      <w:proofErr w:type="spellStart"/>
      <w:r w:rsidRPr="00823BDC">
        <w:rPr>
          <w:szCs w:val="22"/>
        </w:rPr>
        <w:t>ezetimibe</w:t>
      </w:r>
      <w:proofErr w:type="spellEnd"/>
      <w:r w:rsidRPr="00823BDC">
        <w:rPr>
          <w:szCs w:val="22"/>
        </w:rPr>
        <w:t>/</w:t>
      </w:r>
      <w:proofErr w:type="spellStart"/>
      <w:r w:rsidRPr="00823BDC">
        <w:rPr>
          <w:szCs w:val="22"/>
        </w:rPr>
        <w:t>simvastatíne</w:t>
      </w:r>
      <w:proofErr w:type="spellEnd"/>
      <w:r w:rsidRPr="00823BDC">
        <w:rPr>
          <w:szCs w:val="22"/>
        </w:rPr>
        <w:t xml:space="preserve"> oproti 439 v skupine s</w:t>
      </w:r>
      <w:r w:rsidR="00ED7DAB" w:rsidRPr="00823BDC">
        <w:rPr>
          <w:szCs w:val="22"/>
        </w:rPr>
        <w:t> </w:t>
      </w:r>
      <w:r w:rsidRPr="00823BDC">
        <w:rPr>
          <w:szCs w:val="22"/>
        </w:rPr>
        <w:t>placebom) nelíšil</w:t>
      </w:r>
      <w:r w:rsidR="002D5840" w:rsidRPr="00823BDC">
        <w:rPr>
          <w:szCs w:val="22"/>
        </w:rPr>
        <w:t xml:space="preserve">. </w:t>
      </w:r>
      <w:r w:rsidR="006602ED" w:rsidRPr="00823BDC">
        <w:rPr>
          <w:szCs w:val="22"/>
        </w:rPr>
        <w:t xml:space="preserve">Okrem toho, v skúšaní IMPROVE-IT sa celkový počet pacientov s akoukoľvek novou malignitou (853 v skupine užívajúcej </w:t>
      </w:r>
      <w:proofErr w:type="spellStart"/>
      <w:r w:rsidR="006602ED" w:rsidRPr="00823BDC">
        <w:rPr>
          <w:szCs w:val="22"/>
        </w:rPr>
        <w:t>ezetimib</w:t>
      </w:r>
      <w:proofErr w:type="spellEnd"/>
      <w:r w:rsidR="006602ED" w:rsidRPr="00823BDC">
        <w:rPr>
          <w:szCs w:val="22"/>
        </w:rPr>
        <w:t>/</w:t>
      </w:r>
      <w:proofErr w:type="spellStart"/>
      <w:r w:rsidR="006602ED" w:rsidRPr="00823BDC">
        <w:rPr>
          <w:szCs w:val="22"/>
        </w:rPr>
        <w:t>simvastatín</w:t>
      </w:r>
      <w:proofErr w:type="spellEnd"/>
      <w:r w:rsidR="006602ED" w:rsidRPr="00823BDC">
        <w:rPr>
          <w:szCs w:val="22"/>
        </w:rPr>
        <w:t xml:space="preserve"> oproti 863 v skupine so </w:t>
      </w:r>
      <w:proofErr w:type="spellStart"/>
      <w:r w:rsidR="006602ED" w:rsidRPr="00823BDC">
        <w:rPr>
          <w:szCs w:val="22"/>
        </w:rPr>
        <w:t>simvastatínom</w:t>
      </w:r>
      <w:proofErr w:type="spellEnd"/>
      <w:r w:rsidR="006602ED" w:rsidRPr="00823BDC">
        <w:rPr>
          <w:szCs w:val="22"/>
        </w:rPr>
        <w:t>) signifikantne nelíšil</w:t>
      </w:r>
      <w:r w:rsidRPr="00823BDC">
        <w:rPr>
          <w:szCs w:val="22"/>
        </w:rPr>
        <w:t xml:space="preserve"> a</w:t>
      </w:r>
      <w:r w:rsidR="001559A4" w:rsidRPr="00823BDC">
        <w:rPr>
          <w:szCs w:val="22"/>
        </w:rPr>
        <w:t> </w:t>
      </w:r>
      <w:r w:rsidRPr="00823BDC">
        <w:rPr>
          <w:szCs w:val="22"/>
        </w:rPr>
        <w:t xml:space="preserve">preto zistenia </w:t>
      </w:r>
      <w:r w:rsidR="00DB59CB" w:rsidRPr="00823BDC">
        <w:rPr>
          <w:szCs w:val="22"/>
        </w:rPr>
        <w:t xml:space="preserve">zo skúšania </w:t>
      </w:r>
      <w:r w:rsidRPr="00823BDC">
        <w:rPr>
          <w:szCs w:val="22"/>
        </w:rPr>
        <w:t xml:space="preserve">SEAS </w:t>
      </w:r>
      <w:r w:rsidR="00DB59CB" w:rsidRPr="00823BDC">
        <w:rPr>
          <w:szCs w:val="22"/>
        </w:rPr>
        <w:t xml:space="preserve">nie je možné </w:t>
      </w:r>
      <w:r w:rsidRPr="00823BDC">
        <w:rPr>
          <w:szCs w:val="22"/>
        </w:rPr>
        <w:t xml:space="preserve">potvrdiť </w:t>
      </w:r>
      <w:r w:rsidR="00ED7DAB" w:rsidRPr="00823BDC">
        <w:rPr>
          <w:szCs w:val="22"/>
        </w:rPr>
        <w:t xml:space="preserve">skúšaním </w:t>
      </w:r>
      <w:r w:rsidRPr="00823BDC">
        <w:rPr>
          <w:szCs w:val="22"/>
        </w:rPr>
        <w:t>SHARP</w:t>
      </w:r>
      <w:r w:rsidR="002D5840" w:rsidRPr="00823BDC">
        <w:rPr>
          <w:szCs w:val="22"/>
        </w:rPr>
        <w:t xml:space="preserve"> alebo IMPROVE-IT</w:t>
      </w:r>
      <w:r w:rsidRPr="00823BDC">
        <w:rPr>
          <w:szCs w:val="22"/>
        </w:rPr>
        <w:t>.</w:t>
      </w:r>
    </w:p>
    <w:p w14:paraId="67DF44DF" w14:textId="77777777" w:rsidR="00E91347" w:rsidRPr="00823BDC" w:rsidRDefault="00E91347">
      <w:pPr>
        <w:adjustRightInd w:val="0"/>
        <w:snapToGrid w:val="0"/>
        <w:rPr>
          <w:szCs w:val="22"/>
        </w:rPr>
      </w:pPr>
    </w:p>
    <w:p w14:paraId="7B621672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5.2</w:t>
      </w:r>
      <w:r w:rsidRPr="00823BDC">
        <w:rPr>
          <w:b/>
          <w:szCs w:val="22"/>
        </w:rPr>
        <w:tab/>
      </w:r>
      <w:proofErr w:type="spellStart"/>
      <w:r w:rsidRPr="00823BDC">
        <w:rPr>
          <w:b/>
          <w:szCs w:val="22"/>
        </w:rPr>
        <w:t>Farmakokinetické</w:t>
      </w:r>
      <w:proofErr w:type="spellEnd"/>
      <w:r w:rsidRPr="00823BDC">
        <w:rPr>
          <w:b/>
          <w:szCs w:val="22"/>
        </w:rPr>
        <w:t xml:space="preserve"> vlastnosti</w:t>
      </w:r>
    </w:p>
    <w:p w14:paraId="7D0401C8" w14:textId="77777777" w:rsidR="00D044EB" w:rsidRPr="00823BDC" w:rsidRDefault="00D044EB">
      <w:pPr>
        <w:pStyle w:val="CPCLH3"/>
        <w:keepNext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Cs w:val="22"/>
        </w:rPr>
      </w:pPr>
    </w:p>
    <w:p w14:paraId="1DC544ED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Pri sú</w:t>
      </w:r>
      <w:r w:rsidR="00F57D50" w:rsidRPr="00823BDC">
        <w:rPr>
          <w:szCs w:val="22"/>
        </w:rPr>
        <w:t>bežnom</w:t>
      </w:r>
      <w:r w:rsidRPr="00823BDC">
        <w:rPr>
          <w:szCs w:val="22"/>
        </w:rPr>
        <w:t xml:space="preserve"> podávaní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so</w:t>
      </w:r>
      <w:r w:rsidR="002D5840"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neboli pozorované žiadne klinicky významné </w:t>
      </w:r>
      <w:proofErr w:type="spellStart"/>
      <w:r w:rsidRPr="00823BDC">
        <w:rPr>
          <w:szCs w:val="22"/>
        </w:rPr>
        <w:t>farmakokinetické</w:t>
      </w:r>
      <w:proofErr w:type="spellEnd"/>
      <w:r w:rsidRPr="00823BDC">
        <w:rPr>
          <w:szCs w:val="22"/>
        </w:rPr>
        <w:t xml:space="preserve"> interakcie.</w:t>
      </w:r>
    </w:p>
    <w:p w14:paraId="33F207E6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6725C730" w14:textId="77777777" w:rsidR="00AD0BB3" w:rsidRPr="00823BDC" w:rsidRDefault="00D044EB">
      <w:pPr>
        <w:pStyle w:val="Body"/>
        <w:keepNext/>
        <w:adjustRightInd w:val="0"/>
        <w:snapToGrid w:val="0"/>
        <w:ind w:firstLine="0"/>
        <w:rPr>
          <w:szCs w:val="22"/>
          <w:u w:val="single"/>
        </w:rPr>
      </w:pPr>
      <w:r w:rsidRPr="00823BDC">
        <w:rPr>
          <w:szCs w:val="22"/>
          <w:u w:val="single"/>
        </w:rPr>
        <w:t>Absorpcia</w:t>
      </w:r>
    </w:p>
    <w:p w14:paraId="2F5764F7" w14:textId="5CAFA1F3" w:rsidR="00D044EB" w:rsidRPr="00823BDC" w:rsidRDefault="004D10DE">
      <w:pPr>
        <w:keepNext/>
        <w:adjustRightInd w:val="0"/>
        <w:snapToGrid w:val="0"/>
        <w:rPr>
          <w:i/>
          <w:szCs w:val="22"/>
        </w:rPr>
      </w:pPr>
      <w:proofErr w:type="spellStart"/>
      <w:r w:rsidRPr="00823BDC">
        <w:rPr>
          <w:i/>
          <w:szCs w:val="22"/>
        </w:rPr>
        <w:t>Ezetimib</w:t>
      </w:r>
      <w:proofErr w:type="spellEnd"/>
      <w:r w:rsidRPr="00823BDC">
        <w:rPr>
          <w:i/>
          <w:szCs w:val="22"/>
        </w:rPr>
        <w:t>/</w:t>
      </w:r>
      <w:proofErr w:type="spellStart"/>
      <w:r w:rsidRPr="00823BDC">
        <w:rPr>
          <w:i/>
          <w:szCs w:val="22"/>
        </w:rPr>
        <w:t>simvastatín</w:t>
      </w:r>
      <w:proofErr w:type="spellEnd"/>
    </w:p>
    <w:p w14:paraId="46C91A1E" w14:textId="58E4DF29" w:rsidR="00D044EB" w:rsidRPr="00373B08" w:rsidRDefault="004D10DE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>/</w:t>
      </w:r>
      <w:proofErr w:type="spellStart"/>
      <w:r w:rsidRPr="00823BDC">
        <w:rPr>
          <w:szCs w:val="22"/>
        </w:rPr>
        <w:t>simvastatín</w:t>
      </w:r>
      <w:proofErr w:type="spellEnd"/>
      <w:r w:rsidR="00095F7D">
        <w:rPr>
          <w:szCs w:val="22"/>
        </w:rPr>
        <w:t xml:space="preserve"> </w:t>
      </w:r>
      <w:r w:rsidR="00DD73E5" w:rsidRPr="00373B08">
        <w:rPr>
          <w:szCs w:val="22"/>
        </w:rPr>
        <w:t xml:space="preserve">je biologický ekvivalent súbežne podávanému </w:t>
      </w:r>
      <w:proofErr w:type="spellStart"/>
      <w:r w:rsidR="00DD73E5" w:rsidRPr="00373B08">
        <w:rPr>
          <w:szCs w:val="22"/>
        </w:rPr>
        <w:t>ezetimibu</w:t>
      </w:r>
      <w:proofErr w:type="spellEnd"/>
      <w:r w:rsidR="00DD73E5" w:rsidRPr="00373B08">
        <w:rPr>
          <w:szCs w:val="22"/>
        </w:rPr>
        <w:t xml:space="preserve"> a </w:t>
      </w:r>
      <w:proofErr w:type="spellStart"/>
      <w:r w:rsidR="00DD73E5" w:rsidRPr="00373B08">
        <w:rPr>
          <w:szCs w:val="22"/>
        </w:rPr>
        <w:t>simvastatínu</w:t>
      </w:r>
      <w:proofErr w:type="spellEnd"/>
      <w:r w:rsidR="00DD73E5" w:rsidRPr="00373B08">
        <w:rPr>
          <w:szCs w:val="22"/>
        </w:rPr>
        <w:t>.</w:t>
      </w:r>
    </w:p>
    <w:p w14:paraId="2BFBC831" w14:textId="77777777" w:rsidR="00380923" w:rsidRPr="00373B08" w:rsidRDefault="00380923">
      <w:pPr>
        <w:pStyle w:val="Body"/>
        <w:keepNext/>
        <w:adjustRightInd w:val="0"/>
        <w:snapToGrid w:val="0"/>
        <w:ind w:firstLine="0"/>
        <w:rPr>
          <w:i/>
          <w:szCs w:val="22"/>
        </w:rPr>
      </w:pPr>
    </w:p>
    <w:p w14:paraId="753BCABA" w14:textId="77777777" w:rsidR="00D044EB" w:rsidRPr="00823BDC" w:rsidRDefault="00D044EB">
      <w:pPr>
        <w:pStyle w:val="Body"/>
        <w:keepNext/>
        <w:adjustRightInd w:val="0"/>
        <w:snapToGrid w:val="0"/>
        <w:ind w:firstLine="0"/>
        <w:rPr>
          <w:i/>
          <w:szCs w:val="22"/>
        </w:rPr>
      </w:pPr>
      <w:proofErr w:type="spellStart"/>
      <w:r w:rsidRPr="00823BDC">
        <w:rPr>
          <w:i/>
          <w:szCs w:val="22"/>
        </w:rPr>
        <w:t>Ezetimib</w:t>
      </w:r>
      <w:proofErr w:type="spellEnd"/>
    </w:p>
    <w:p w14:paraId="11DD33FD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Po perorálnom podaní je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rýchlo absorbovaný a extenzívne konjugovaný na farmakologicky aktívny fenolový </w:t>
      </w:r>
      <w:proofErr w:type="spellStart"/>
      <w:r w:rsidRPr="00823BDC">
        <w:rPr>
          <w:szCs w:val="22"/>
        </w:rPr>
        <w:t>glukuronid</w:t>
      </w:r>
      <w:proofErr w:type="spellEnd"/>
      <w:r w:rsidRPr="00823BDC">
        <w:rPr>
          <w:szCs w:val="22"/>
        </w:rPr>
        <w:t xml:space="preserve"> (</w:t>
      </w:r>
      <w:proofErr w:type="spellStart"/>
      <w:r w:rsidRPr="00823BDC">
        <w:rPr>
          <w:szCs w:val="22"/>
        </w:rPr>
        <w:t>ezetimib</w:t>
      </w:r>
      <w:r w:rsidRPr="00823BDC">
        <w:rPr>
          <w:szCs w:val="22"/>
        </w:rPr>
        <w:noBreakHyphen/>
        <w:t>glukuronid</w:t>
      </w:r>
      <w:proofErr w:type="spellEnd"/>
      <w:r w:rsidRPr="00823BDC">
        <w:rPr>
          <w:szCs w:val="22"/>
        </w:rPr>
        <w:t>). Priemerné maximálne plazmatické koncentrácie (</w:t>
      </w:r>
      <w:proofErr w:type="spellStart"/>
      <w:r w:rsidRPr="00823BDC">
        <w:rPr>
          <w:szCs w:val="22"/>
        </w:rPr>
        <w:t>C</w:t>
      </w:r>
      <w:r w:rsidRPr="00823BDC">
        <w:rPr>
          <w:szCs w:val="22"/>
          <w:vertAlign w:val="subscript"/>
        </w:rPr>
        <w:t>max</w:t>
      </w:r>
      <w:proofErr w:type="spellEnd"/>
      <w:r w:rsidRPr="00823BDC">
        <w:rPr>
          <w:szCs w:val="22"/>
        </w:rPr>
        <w:t xml:space="preserve">) </w:t>
      </w:r>
      <w:proofErr w:type="spellStart"/>
      <w:r w:rsidRPr="00823BDC">
        <w:rPr>
          <w:szCs w:val="22"/>
        </w:rPr>
        <w:t>ezetimib</w:t>
      </w:r>
      <w:r w:rsidRPr="00823BDC">
        <w:rPr>
          <w:szCs w:val="22"/>
        </w:rPr>
        <w:noBreakHyphen/>
        <w:t>glukuronidu</w:t>
      </w:r>
      <w:proofErr w:type="spellEnd"/>
      <w:r w:rsidRPr="00823BDC">
        <w:rPr>
          <w:szCs w:val="22"/>
        </w:rPr>
        <w:t xml:space="preserve"> sa dosiahnu za 1 až 2 hodiny a 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za 4 až 12 hodín. Absolútnu biologickú dostupnosť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nemožno stanoviť, pretože zlúčenina je prakticky nerozpustná vo</w:t>
      </w:r>
      <w:r w:rsidR="00ED7DAB" w:rsidRPr="00823BDC">
        <w:rPr>
          <w:szCs w:val="22"/>
        </w:rPr>
        <w:t xml:space="preserve"> </w:t>
      </w:r>
      <w:r w:rsidRPr="00823BDC">
        <w:rPr>
          <w:szCs w:val="22"/>
        </w:rPr>
        <w:t>vodných médiách vhodných na injek</w:t>
      </w:r>
      <w:r w:rsidR="003257C9" w:rsidRPr="00823BDC">
        <w:rPr>
          <w:szCs w:val="22"/>
        </w:rPr>
        <w:t>čné podanie</w:t>
      </w:r>
      <w:r w:rsidRPr="00823BDC">
        <w:rPr>
          <w:szCs w:val="22"/>
        </w:rPr>
        <w:t>.</w:t>
      </w:r>
    </w:p>
    <w:p w14:paraId="6E203278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643D2352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Sú</w:t>
      </w:r>
      <w:r w:rsidR="00F57D50" w:rsidRPr="00823BDC">
        <w:rPr>
          <w:szCs w:val="22"/>
        </w:rPr>
        <w:t>bežn</w:t>
      </w:r>
      <w:r w:rsidRPr="00823BDC">
        <w:rPr>
          <w:szCs w:val="22"/>
        </w:rPr>
        <w:t>é podanie jedla (</w:t>
      </w:r>
      <w:r w:rsidR="00AD0BB3" w:rsidRPr="00823BDC">
        <w:rPr>
          <w:szCs w:val="22"/>
        </w:rPr>
        <w:t>jedál</w:t>
      </w:r>
      <w:r w:rsidRPr="00823BDC">
        <w:rPr>
          <w:szCs w:val="22"/>
        </w:rPr>
        <w:t xml:space="preserve"> s vysokým obsahom tukov alebo bez tuku) nemalo žiadny vplyv na perorálnu biologickú dostupnosť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podávaného vo</w:t>
      </w:r>
      <w:r w:rsidR="001559A4" w:rsidRPr="00823BDC">
        <w:rPr>
          <w:szCs w:val="22"/>
        </w:rPr>
        <w:t xml:space="preserve"> </w:t>
      </w:r>
      <w:r w:rsidRPr="00823BDC">
        <w:rPr>
          <w:szCs w:val="22"/>
        </w:rPr>
        <w:t>forme 10</w:t>
      </w:r>
      <w:r w:rsidRPr="00823BDC">
        <w:rPr>
          <w:szCs w:val="22"/>
        </w:rPr>
        <w:noBreakHyphen/>
        <w:t>mg tabliet.</w:t>
      </w:r>
    </w:p>
    <w:p w14:paraId="1880F934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26E4EF66" w14:textId="77777777" w:rsidR="00D044EB" w:rsidRPr="00823BDC" w:rsidRDefault="00D044EB">
      <w:pPr>
        <w:keepNext/>
        <w:adjustRightInd w:val="0"/>
        <w:snapToGrid w:val="0"/>
        <w:rPr>
          <w:i/>
          <w:szCs w:val="22"/>
        </w:rPr>
      </w:pPr>
      <w:proofErr w:type="spellStart"/>
      <w:r w:rsidRPr="00823BDC">
        <w:rPr>
          <w:i/>
          <w:szCs w:val="22"/>
        </w:rPr>
        <w:lastRenderedPageBreak/>
        <w:t>Simvastatín</w:t>
      </w:r>
      <w:proofErr w:type="spellEnd"/>
    </w:p>
    <w:p w14:paraId="37C0D5AD" w14:textId="5F5219B6" w:rsidR="00D044EB" w:rsidRPr="00823BDC" w:rsidRDefault="00D044EB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>Zistilo sa, že dostupnosť aktívnej β</w:t>
      </w:r>
      <w:r w:rsidRPr="00823BDC">
        <w:rPr>
          <w:snapToGrid w:val="0"/>
          <w:szCs w:val="22"/>
        </w:rPr>
        <w:noBreakHyphen/>
      </w:r>
      <w:proofErr w:type="spellStart"/>
      <w:r w:rsidRPr="00823BDC">
        <w:rPr>
          <w:snapToGrid w:val="0"/>
          <w:szCs w:val="22"/>
        </w:rPr>
        <w:t>hydroxykyseliny</w:t>
      </w:r>
      <w:proofErr w:type="spellEnd"/>
      <w:r w:rsidRPr="00823BDC">
        <w:rPr>
          <w:snapToGrid w:val="0"/>
          <w:szCs w:val="22"/>
        </w:rPr>
        <w:t xml:space="preserve"> v systémovej cirkulácii po perorálnej dávke </w:t>
      </w:r>
      <w:proofErr w:type="spellStart"/>
      <w:r w:rsidRPr="00823BDC">
        <w:rPr>
          <w:snapToGrid w:val="0"/>
          <w:szCs w:val="22"/>
        </w:rPr>
        <w:t>simvastatínu</w:t>
      </w:r>
      <w:proofErr w:type="spellEnd"/>
      <w:r w:rsidRPr="00823BDC">
        <w:rPr>
          <w:snapToGrid w:val="0"/>
          <w:szCs w:val="22"/>
        </w:rPr>
        <w:t xml:space="preserve"> bola menej ako 5 % dávky, čo zodpovedá rozsiahle</w:t>
      </w:r>
      <w:r w:rsidR="003257C9" w:rsidRPr="00823BDC">
        <w:rPr>
          <w:snapToGrid w:val="0"/>
          <w:szCs w:val="22"/>
        </w:rPr>
        <w:t>mu</w:t>
      </w:r>
      <w:r w:rsidRPr="00823BDC">
        <w:rPr>
          <w:snapToGrid w:val="0"/>
          <w:szCs w:val="22"/>
        </w:rPr>
        <w:t xml:space="preserve"> </w:t>
      </w:r>
      <w:r w:rsidR="003257C9" w:rsidRPr="00823BDC">
        <w:rPr>
          <w:snapToGrid w:val="0"/>
          <w:szCs w:val="22"/>
        </w:rPr>
        <w:t>metabolizmu</w:t>
      </w:r>
      <w:r w:rsidRPr="00823BDC">
        <w:rPr>
          <w:snapToGrid w:val="0"/>
          <w:szCs w:val="22"/>
        </w:rPr>
        <w:t xml:space="preserve"> p</w:t>
      </w:r>
      <w:r w:rsidR="003257C9" w:rsidRPr="00823BDC">
        <w:rPr>
          <w:snapToGrid w:val="0"/>
          <w:szCs w:val="22"/>
        </w:rPr>
        <w:t>o</w:t>
      </w:r>
      <w:r w:rsidRPr="00823BDC">
        <w:rPr>
          <w:snapToGrid w:val="0"/>
          <w:szCs w:val="22"/>
        </w:rPr>
        <w:t xml:space="preserve"> prvom prechode pečeňou. Hlavné metabolity </w:t>
      </w:r>
      <w:proofErr w:type="spellStart"/>
      <w:r w:rsidRPr="00823BDC">
        <w:rPr>
          <w:snapToGrid w:val="0"/>
          <w:szCs w:val="22"/>
        </w:rPr>
        <w:t>simvastatínu</w:t>
      </w:r>
      <w:proofErr w:type="spellEnd"/>
      <w:r w:rsidRPr="00823BDC">
        <w:rPr>
          <w:snapToGrid w:val="0"/>
          <w:szCs w:val="22"/>
        </w:rPr>
        <w:t xml:space="preserve"> prítomné v ľudskej plazme sú β</w:t>
      </w:r>
      <w:r w:rsidRPr="00823BDC">
        <w:rPr>
          <w:snapToGrid w:val="0"/>
          <w:szCs w:val="22"/>
        </w:rPr>
        <w:noBreakHyphen/>
      </w:r>
      <w:proofErr w:type="spellStart"/>
      <w:r w:rsidRPr="00823BDC">
        <w:rPr>
          <w:snapToGrid w:val="0"/>
          <w:szCs w:val="22"/>
        </w:rPr>
        <w:t>hydroxykyselina</w:t>
      </w:r>
      <w:proofErr w:type="spellEnd"/>
      <w:r w:rsidRPr="00823BDC">
        <w:rPr>
          <w:snapToGrid w:val="0"/>
          <w:szCs w:val="22"/>
        </w:rPr>
        <w:t xml:space="preserve"> a </w:t>
      </w:r>
      <w:r w:rsidR="004D10DE" w:rsidRPr="00823BDC">
        <w:rPr>
          <w:snapToGrid w:val="0"/>
          <w:szCs w:val="22"/>
        </w:rPr>
        <w:t xml:space="preserve">4 </w:t>
      </w:r>
      <w:r w:rsidRPr="00823BDC">
        <w:rPr>
          <w:snapToGrid w:val="0"/>
          <w:szCs w:val="22"/>
        </w:rPr>
        <w:t>ďalšie aktívne metabolity.</w:t>
      </w:r>
    </w:p>
    <w:p w14:paraId="7BD21B78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674D1B0" w14:textId="77777777" w:rsidR="00D044EB" w:rsidRPr="00823BDC" w:rsidRDefault="00D044EB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Čo sa týka stavu nalačno, plazmatické profily aktívnych ani celkových inhibítorov neboli ovplyvnené, keď bol </w:t>
      </w:r>
      <w:proofErr w:type="spellStart"/>
      <w:r w:rsidRPr="00823BDC">
        <w:rPr>
          <w:snapToGrid w:val="0"/>
          <w:szCs w:val="22"/>
        </w:rPr>
        <w:t>simvastatín</w:t>
      </w:r>
      <w:proofErr w:type="spellEnd"/>
      <w:r w:rsidRPr="00823BDC">
        <w:rPr>
          <w:snapToGrid w:val="0"/>
          <w:szCs w:val="22"/>
        </w:rPr>
        <w:t xml:space="preserve"> podaný </w:t>
      </w:r>
      <w:r w:rsidR="008B1213" w:rsidRPr="00823BDC">
        <w:rPr>
          <w:snapToGrid w:val="0"/>
          <w:szCs w:val="22"/>
        </w:rPr>
        <w:t>v </w:t>
      </w:r>
      <w:r w:rsidR="0065225E" w:rsidRPr="00823BDC">
        <w:rPr>
          <w:snapToGrid w:val="0"/>
          <w:szCs w:val="22"/>
        </w:rPr>
        <w:t>štúdii</w:t>
      </w:r>
      <w:r w:rsidR="008B1213" w:rsidRPr="00823BDC">
        <w:rPr>
          <w:snapToGrid w:val="0"/>
          <w:szCs w:val="22"/>
        </w:rPr>
        <w:t xml:space="preserve"> </w:t>
      </w:r>
      <w:r w:rsidRPr="00823BDC">
        <w:rPr>
          <w:snapToGrid w:val="0"/>
          <w:szCs w:val="22"/>
        </w:rPr>
        <w:t>bezprostredne pred jedlom.</w:t>
      </w:r>
    </w:p>
    <w:p w14:paraId="0A9D39F6" w14:textId="77777777" w:rsidR="00D044EB" w:rsidRPr="00823BDC" w:rsidRDefault="00D044EB">
      <w:pPr>
        <w:adjustRightInd w:val="0"/>
        <w:snapToGrid w:val="0"/>
        <w:rPr>
          <w:snapToGrid w:val="0"/>
          <w:szCs w:val="22"/>
          <w:u w:val="single"/>
        </w:rPr>
      </w:pPr>
    </w:p>
    <w:p w14:paraId="4CC550DB" w14:textId="77777777" w:rsidR="00F1151A" w:rsidRPr="00823BDC" w:rsidRDefault="00D044EB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Distribúcia</w:t>
      </w:r>
    </w:p>
    <w:p w14:paraId="48BBCE21" w14:textId="77777777" w:rsidR="00D044EB" w:rsidRPr="00823BDC" w:rsidRDefault="00D044EB">
      <w:pPr>
        <w:keepNext/>
        <w:adjustRightInd w:val="0"/>
        <w:snapToGrid w:val="0"/>
        <w:rPr>
          <w:i/>
          <w:szCs w:val="22"/>
        </w:rPr>
      </w:pPr>
      <w:proofErr w:type="spellStart"/>
      <w:r w:rsidRPr="00823BDC">
        <w:rPr>
          <w:i/>
          <w:szCs w:val="22"/>
        </w:rPr>
        <w:t>Ezetimib</w:t>
      </w:r>
      <w:proofErr w:type="spellEnd"/>
    </w:p>
    <w:p w14:paraId="67DFA965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99,7 %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a 88 až 92 % </w:t>
      </w:r>
      <w:proofErr w:type="spellStart"/>
      <w:r w:rsidRPr="00823BDC">
        <w:rPr>
          <w:szCs w:val="22"/>
        </w:rPr>
        <w:t>ezetimib</w:t>
      </w:r>
      <w:r w:rsidRPr="00823BDC">
        <w:rPr>
          <w:szCs w:val="22"/>
        </w:rPr>
        <w:noBreakHyphen/>
        <w:t>glukuronidu</w:t>
      </w:r>
      <w:proofErr w:type="spellEnd"/>
      <w:r w:rsidRPr="00823BDC">
        <w:rPr>
          <w:szCs w:val="22"/>
        </w:rPr>
        <w:t xml:space="preserve"> sa viaže na </w:t>
      </w:r>
      <w:r w:rsidRPr="00823BDC">
        <w:rPr>
          <w:snapToGrid w:val="0"/>
          <w:szCs w:val="22"/>
        </w:rPr>
        <w:t>proteíny ľudskej plazmy</w:t>
      </w:r>
      <w:r w:rsidRPr="00823BDC">
        <w:rPr>
          <w:szCs w:val="22"/>
        </w:rPr>
        <w:t>.</w:t>
      </w:r>
    </w:p>
    <w:p w14:paraId="0A7266A1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61D7E748" w14:textId="77777777" w:rsidR="00D044EB" w:rsidRPr="00823BDC" w:rsidRDefault="00D044EB">
      <w:pPr>
        <w:keepNext/>
        <w:adjustRightInd w:val="0"/>
        <w:snapToGrid w:val="0"/>
        <w:rPr>
          <w:i/>
          <w:szCs w:val="22"/>
        </w:rPr>
      </w:pPr>
      <w:proofErr w:type="spellStart"/>
      <w:r w:rsidRPr="00823BDC">
        <w:rPr>
          <w:i/>
          <w:szCs w:val="22"/>
        </w:rPr>
        <w:t>Simvastatín</w:t>
      </w:r>
      <w:proofErr w:type="spellEnd"/>
    </w:p>
    <w:p w14:paraId="32D0A939" w14:textId="77777777" w:rsidR="00D044EB" w:rsidRPr="00823BDC" w:rsidRDefault="00D044EB">
      <w:pPr>
        <w:adjustRightInd w:val="0"/>
        <w:snapToGrid w:val="0"/>
        <w:rPr>
          <w:snapToGrid w:val="0"/>
          <w:szCs w:val="22"/>
        </w:rPr>
      </w:pPr>
      <w:proofErr w:type="spellStart"/>
      <w:r w:rsidRPr="00823BDC">
        <w:rPr>
          <w:snapToGrid w:val="0"/>
          <w:szCs w:val="22"/>
        </w:rPr>
        <w:t>Simvastatín</w:t>
      </w:r>
      <w:proofErr w:type="spellEnd"/>
      <w:r w:rsidRPr="00823BDC">
        <w:rPr>
          <w:snapToGrid w:val="0"/>
          <w:szCs w:val="22"/>
        </w:rPr>
        <w:t xml:space="preserve"> aj β</w:t>
      </w:r>
      <w:r w:rsidRPr="00823BDC">
        <w:rPr>
          <w:snapToGrid w:val="0"/>
          <w:szCs w:val="22"/>
        </w:rPr>
        <w:noBreakHyphen/>
      </w:r>
      <w:proofErr w:type="spellStart"/>
      <w:r w:rsidRPr="00823BDC">
        <w:rPr>
          <w:snapToGrid w:val="0"/>
          <w:szCs w:val="22"/>
        </w:rPr>
        <w:t>hydroxykyselina</w:t>
      </w:r>
      <w:proofErr w:type="spellEnd"/>
      <w:r w:rsidRPr="00823BDC">
        <w:rPr>
          <w:snapToGrid w:val="0"/>
          <w:szCs w:val="22"/>
        </w:rPr>
        <w:t xml:space="preserve"> sa viažu na proteíny ľudskej plazmy (95 %).</w:t>
      </w:r>
    </w:p>
    <w:p w14:paraId="09F8B10C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24ACDBD3" w14:textId="77777777" w:rsidR="00D044EB" w:rsidRPr="00823BDC" w:rsidRDefault="00D044EB">
      <w:pPr>
        <w:adjustRightInd w:val="0"/>
        <w:snapToGrid w:val="0"/>
        <w:rPr>
          <w:snapToGrid w:val="0"/>
          <w:szCs w:val="22"/>
        </w:rPr>
      </w:pPr>
      <w:proofErr w:type="spellStart"/>
      <w:r w:rsidRPr="00823BDC">
        <w:rPr>
          <w:snapToGrid w:val="0"/>
          <w:szCs w:val="22"/>
        </w:rPr>
        <w:t>Farmakokinetika</w:t>
      </w:r>
      <w:proofErr w:type="spellEnd"/>
      <w:r w:rsidRPr="00823BDC">
        <w:rPr>
          <w:snapToGrid w:val="0"/>
          <w:szCs w:val="22"/>
        </w:rPr>
        <w:t xml:space="preserve"> jednorazových a opakovaných dávok </w:t>
      </w:r>
      <w:proofErr w:type="spellStart"/>
      <w:r w:rsidRPr="00823BDC">
        <w:rPr>
          <w:snapToGrid w:val="0"/>
          <w:szCs w:val="22"/>
        </w:rPr>
        <w:t>simvastatínu</w:t>
      </w:r>
      <w:proofErr w:type="spellEnd"/>
      <w:r w:rsidRPr="00823BDC">
        <w:rPr>
          <w:snapToGrid w:val="0"/>
          <w:szCs w:val="22"/>
        </w:rPr>
        <w:t xml:space="preserve"> ukázala, že po opakovanom podaní nedošlo ku kumulácii lie</w:t>
      </w:r>
      <w:r w:rsidR="008B1213" w:rsidRPr="00823BDC">
        <w:rPr>
          <w:snapToGrid w:val="0"/>
          <w:szCs w:val="22"/>
        </w:rPr>
        <w:t>čiva</w:t>
      </w:r>
      <w:r w:rsidRPr="00823BDC">
        <w:rPr>
          <w:snapToGrid w:val="0"/>
          <w:szCs w:val="22"/>
        </w:rPr>
        <w:t>. Vo</w:t>
      </w:r>
      <w:r w:rsidR="001559A4" w:rsidRPr="00823BDC">
        <w:rPr>
          <w:snapToGrid w:val="0"/>
          <w:szCs w:val="22"/>
        </w:rPr>
        <w:t xml:space="preserve"> </w:t>
      </w:r>
      <w:r w:rsidRPr="00823BDC">
        <w:rPr>
          <w:snapToGrid w:val="0"/>
          <w:szCs w:val="22"/>
        </w:rPr>
        <w:t xml:space="preserve">všetkých vyššie uvedených </w:t>
      </w:r>
      <w:proofErr w:type="spellStart"/>
      <w:r w:rsidRPr="00823BDC">
        <w:rPr>
          <w:snapToGrid w:val="0"/>
          <w:szCs w:val="22"/>
        </w:rPr>
        <w:t>fakmakokinetických</w:t>
      </w:r>
      <w:proofErr w:type="spellEnd"/>
      <w:r w:rsidRPr="00823BDC">
        <w:rPr>
          <w:snapToGrid w:val="0"/>
          <w:szCs w:val="22"/>
        </w:rPr>
        <w:t xml:space="preserve"> štúdiách došlo k maximálnej plazmatickej koncentrácii inhibítorov za 1,3 až 2,4 hodín po podaní dávky.</w:t>
      </w:r>
    </w:p>
    <w:p w14:paraId="1679E58D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5D681907" w14:textId="77777777" w:rsidR="00F1151A" w:rsidRPr="00823BDC" w:rsidRDefault="00D044EB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szCs w:val="22"/>
          <w:u w:val="single"/>
        </w:rPr>
        <w:t>Biotransformácia</w:t>
      </w:r>
      <w:proofErr w:type="spellEnd"/>
    </w:p>
    <w:p w14:paraId="7D951454" w14:textId="77777777" w:rsidR="00D044EB" w:rsidRPr="00823BDC" w:rsidRDefault="00D044EB">
      <w:pPr>
        <w:keepNext/>
        <w:adjustRightInd w:val="0"/>
        <w:snapToGrid w:val="0"/>
        <w:rPr>
          <w:i/>
          <w:szCs w:val="22"/>
        </w:rPr>
      </w:pPr>
      <w:proofErr w:type="spellStart"/>
      <w:r w:rsidRPr="00823BDC">
        <w:rPr>
          <w:i/>
          <w:szCs w:val="22"/>
        </w:rPr>
        <w:t>Ezetimib</w:t>
      </w:r>
      <w:proofErr w:type="spellEnd"/>
    </w:p>
    <w:p w14:paraId="5B39E535" w14:textId="77777777" w:rsidR="00D044EB" w:rsidRPr="00823BDC" w:rsidRDefault="00D044EB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je metabolizovaný </w:t>
      </w:r>
      <w:r w:rsidR="008B1213" w:rsidRPr="00823BDC">
        <w:rPr>
          <w:szCs w:val="22"/>
        </w:rPr>
        <w:t xml:space="preserve">hlavne </w:t>
      </w:r>
      <w:r w:rsidRPr="00823BDC">
        <w:rPr>
          <w:szCs w:val="22"/>
        </w:rPr>
        <w:t xml:space="preserve">v tenkom čreve a v pečeni konjugáciou na </w:t>
      </w:r>
      <w:proofErr w:type="spellStart"/>
      <w:r w:rsidRPr="00823BDC">
        <w:rPr>
          <w:szCs w:val="22"/>
        </w:rPr>
        <w:t>glukuronid</w:t>
      </w:r>
      <w:proofErr w:type="spellEnd"/>
      <w:r w:rsidRPr="00823BDC">
        <w:rPr>
          <w:szCs w:val="22"/>
        </w:rPr>
        <w:t xml:space="preserve"> (reakcia fázy II) s následným vylučovaním do žlče. U všetkých hodnotených druhov sa pozoroval minimálny oxida</w:t>
      </w:r>
      <w:r w:rsidR="0065225E" w:rsidRPr="00823BDC">
        <w:rPr>
          <w:szCs w:val="22"/>
        </w:rPr>
        <w:t>čný</w:t>
      </w:r>
      <w:r w:rsidRPr="00823BDC">
        <w:rPr>
          <w:szCs w:val="22"/>
        </w:rPr>
        <w:t xml:space="preserve"> metabolizmus (reakcia fázy I).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a </w:t>
      </w:r>
      <w:proofErr w:type="spellStart"/>
      <w:r w:rsidRPr="00823BDC">
        <w:rPr>
          <w:szCs w:val="22"/>
        </w:rPr>
        <w:t>ezetimib-glukuronid</w:t>
      </w:r>
      <w:proofErr w:type="spellEnd"/>
      <w:r w:rsidRPr="00823BDC">
        <w:rPr>
          <w:szCs w:val="22"/>
        </w:rPr>
        <w:t xml:space="preserve"> sú hlavné od liečiva odvodené </w:t>
      </w:r>
      <w:r w:rsidR="0065225E" w:rsidRPr="00823BDC">
        <w:rPr>
          <w:szCs w:val="22"/>
        </w:rPr>
        <w:t xml:space="preserve">zlúčeniny merateľné </w:t>
      </w:r>
      <w:r w:rsidRPr="00823BDC">
        <w:rPr>
          <w:szCs w:val="22"/>
        </w:rPr>
        <w:t xml:space="preserve">v plazme, pričom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tvor</w:t>
      </w:r>
      <w:r w:rsidR="0065225E" w:rsidRPr="00823BDC">
        <w:rPr>
          <w:szCs w:val="22"/>
        </w:rPr>
        <w:t>í</w:t>
      </w:r>
      <w:r w:rsidRPr="00823BDC">
        <w:rPr>
          <w:szCs w:val="22"/>
        </w:rPr>
        <w:t xml:space="preserve"> </w:t>
      </w:r>
      <w:r w:rsidR="00D36D77" w:rsidRPr="00823BDC">
        <w:rPr>
          <w:szCs w:val="22"/>
        </w:rPr>
        <w:t xml:space="preserve">približne </w:t>
      </w:r>
      <w:r w:rsidRPr="00823BDC">
        <w:rPr>
          <w:szCs w:val="22"/>
        </w:rPr>
        <w:t>10 až 20 % a </w:t>
      </w:r>
      <w:proofErr w:type="spellStart"/>
      <w:r w:rsidRPr="00823BDC">
        <w:rPr>
          <w:szCs w:val="22"/>
        </w:rPr>
        <w:t>ezetimib</w:t>
      </w:r>
      <w:r w:rsidRPr="00823BDC">
        <w:rPr>
          <w:szCs w:val="22"/>
        </w:rPr>
        <w:noBreakHyphen/>
        <w:t>glukuronid</w:t>
      </w:r>
      <w:proofErr w:type="spellEnd"/>
      <w:r w:rsidRPr="00823BDC">
        <w:rPr>
          <w:szCs w:val="22"/>
        </w:rPr>
        <w:t xml:space="preserve"> </w:t>
      </w:r>
      <w:r w:rsidR="00D36D77" w:rsidRPr="00823BDC">
        <w:rPr>
          <w:szCs w:val="22"/>
        </w:rPr>
        <w:t xml:space="preserve">približne </w:t>
      </w:r>
      <w:r w:rsidRPr="00823BDC">
        <w:rPr>
          <w:szCs w:val="22"/>
        </w:rPr>
        <w:t xml:space="preserve">80 až 90 % celkového liečiva v plazme.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aj </w:t>
      </w:r>
      <w:proofErr w:type="spellStart"/>
      <w:r w:rsidRPr="00823BDC">
        <w:rPr>
          <w:szCs w:val="22"/>
        </w:rPr>
        <w:t>ezetimib-glukuronid</w:t>
      </w:r>
      <w:proofErr w:type="spellEnd"/>
      <w:r w:rsidRPr="00823BDC">
        <w:rPr>
          <w:szCs w:val="22"/>
        </w:rPr>
        <w:t xml:space="preserve"> sú pomaly eliminované z plazmy s dôkazom </w:t>
      </w:r>
      <w:r w:rsidR="0065225E" w:rsidRPr="00823BDC">
        <w:rPr>
          <w:szCs w:val="22"/>
        </w:rPr>
        <w:t xml:space="preserve">významnej </w:t>
      </w:r>
      <w:proofErr w:type="spellStart"/>
      <w:r w:rsidRPr="00823BDC">
        <w:rPr>
          <w:szCs w:val="22"/>
        </w:rPr>
        <w:t>enterohepatálnej</w:t>
      </w:r>
      <w:proofErr w:type="spellEnd"/>
      <w:r w:rsidRPr="00823BDC">
        <w:rPr>
          <w:szCs w:val="22"/>
        </w:rPr>
        <w:t xml:space="preserve"> </w:t>
      </w:r>
      <w:proofErr w:type="spellStart"/>
      <w:r w:rsidR="0065225E" w:rsidRPr="00823BDC">
        <w:rPr>
          <w:szCs w:val="22"/>
        </w:rPr>
        <w:t>re</w:t>
      </w:r>
      <w:r w:rsidRPr="00823BDC">
        <w:rPr>
          <w:szCs w:val="22"/>
        </w:rPr>
        <w:t>cirkulácie</w:t>
      </w:r>
      <w:proofErr w:type="spellEnd"/>
      <w:r w:rsidRPr="00823BDC">
        <w:rPr>
          <w:szCs w:val="22"/>
        </w:rPr>
        <w:t xml:space="preserve">. </w:t>
      </w:r>
      <w:r w:rsidR="00A971CA" w:rsidRPr="00823BDC">
        <w:rPr>
          <w:szCs w:val="22"/>
        </w:rPr>
        <w:t>Biologický p</w:t>
      </w:r>
      <w:r w:rsidRPr="00823BDC">
        <w:rPr>
          <w:szCs w:val="22"/>
        </w:rPr>
        <w:t xml:space="preserve">olčas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a </w:t>
      </w:r>
      <w:proofErr w:type="spellStart"/>
      <w:r w:rsidRPr="00823BDC">
        <w:rPr>
          <w:szCs w:val="22"/>
        </w:rPr>
        <w:t>ezetimib</w:t>
      </w:r>
      <w:r w:rsidRPr="00823BDC">
        <w:rPr>
          <w:szCs w:val="22"/>
        </w:rPr>
        <w:noBreakHyphen/>
        <w:t>glukuronidu</w:t>
      </w:r>
      <w:proofErr w:type="spellEnd"/>
      <w:r w:rsidRPr="00823BDC">
        <w:rPr>
          <w:szCs w:val="22"/>
        </w:rPr>
        <w:t xml:space="preserve"> je približne 22 hodín.</w:t>
      </w:r>
    </w:p>
    <w:p w14:paraId="571B047C" w14:textId="77777777" w:rsidR="00D044EB" w:rsidRPr="00823BDC" w:rsidRDefault="00D044EB">
      <w:pPr>
        <w:adjustRightInd w:val="0"/>
        <w:snapToGrid w:val="0"/>
        <w:rPr>
          <w:i/>
          <w:szCs w:val="22"/>
        </w:rPr>
      </w:pPr>
    </w:p>
    <w:p w14:paraId="4287E7E8" w14:textId="77777777" w:rsidR="00D044EB" w:rsidRPr="00823BDC" w:rsidRDefault="00D044EB">
      <w:pPr>
        <w:keepNext/>
        <w:adjustRightInd w:val="0"/>
        <w:snapToGrid w:val="0"/>
        <w:rPr>
          <w:i/>
          <w:szCs w:val="22"/>
        </w:rPr>
      </w:pPr>
      <w:proofErr w:type="spellStart"/>
      <w:r w:rsidRPr="00823BDC">
        <w:rPr>
          <w:i/>
          <w:szCs w:val="22"/>
        </w:rPr>
        <w:t>Simvastatín</w:t>
      </w:r>
      <w:proofErr w:type="spellEnd"/>
    </w:p>
    <w:p w14:paraId="72D88778" w14:textId="217A653C" w:rsidR="00D044EB" w:rsidRPr="00823BDC" w:rsidRDefault="00D044EB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je </w:t>
      </w:r>
      <w:proofErr w:type="spellStart"/>
      <w:r w:rsidRPr="00823BDC">
        <w:rPr>
          <w:szCs w:val="22"/>
        </w:rPr>
        <w:t>inaktívny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laktón</w:t>
      </w:r>
      <w:proofErr w:type="spellEnd"/>
      <w:r w:rsidRPr="00823BDC">
        <w:rPr>
          <w:szCs w:val="22"/>
        </w:rPr>
        <w:t xml:space="preserve">, ktorý sa </w:t>
      </w:r>
      <w:r w:rsidRPr="00823BDC">
        <w:rPr>
          <w:i/>
          <w:iCs/>
          <w:szCs w:val="22"/>
        </w:rPr>
        <w:t xml:space="preserve">in </w:t>
      </w:r>
      <w:proofErr w:type="spellStart"/>
      <w:r w:rsidRPr="00823BDC">
        <w:rPr>
          <w:i/>
          <w:iCs/>
          <w:szCs w:val="22"/>
        </w:rPr>
        <w:t>vivo</w:t>
      </w:r>
      <w:proofErr w:type="spellEnd"/>
      <w:r w:rsidRPr="00823BDC">
        <w:rPr>
          <w:szCs w:val="22"/>
        </w:rPr>
        <w:t xml:space="preserve"> rýchlo hydrolyzuje na príslušnú β</w:t>
      </w:r>
      <w:r w:rsidRPr="00823BDC">
        <w:rPr>
          <w:szCs w:val="22"/>
        </w:rPr>
        <w:noBreakHyphen/>
      </w:r>
      <w:proofErr w:type="spellStart"/>
      <w:r w:rsidRPr="00823BDC">
        <w:rPr>
          <w:szCs w:val="22"/>
        </w:rPr>
        <w:t>hydroxykyselinu</w:t>
      </w:r>
      <w:proofErr w:type="spellEnd"/>
      <w:r w:rsidRPr="00823BDC">
        <w:rPr>
          <w:szCs w:val="22"/>
        </w:rPr>
        <w:t xml:space="preserve">, silný inhibítor </w:t>
      </w:r>
      <w:r w:rsidR="00B726B5">
        <w:rPr>
          <w:szCs w:val="22"/>
        </w:rPr>
        <w:t>HMG-</w:t>
      </w:r>
      <w:proofErr w:type="spellStart"/>
      <w:r w:rsidR="00B726B5">
        <w:rPr>
          <w:szCs w:val="22"/>
        </w:rPr>
        <w:t>CoA</w:t>
      </w:r>
      <w:proofErr w:type="spellEnd"/>
      <w:r w:rsidR="00BD097F" w:rsidRPr="00823BDC">
        <w:rPr>
          <w:szCs w:val="22"/>
        </w:rPr>
        <w:t>-</w:t>
      </w:r>
      <w:proofErr w:type="spellStart"/>
      <w:r w:rsidRPr="00823BDC">
        <w:rPr>
          <w:szCs w:val="22"/>
        </w:rPr>
        <w:t>reduktázy</w:t>
      </w:r>
      <w:proofErr w:type="spellEnd"/>
      <w:r w:rsidRPr="00823BDC">
        <w:rPr>
          <w:szCs w:val="22"/>
        </w:rPr>
        <w:t>. Hydrolýza prebieha najmä v pečeni; rýchlosť hydrolýzy v ľudskej plazme je veľmi pomalá.</w:t>
      </w:r>
    </w:p>
    <w:p w14:paraId="77D1FEC7" w14:textId="77777777" w:rsidR="00D044EB" w:rsidRPr="00823BDC" w:rsidRDefault="00D044EB">
      <w:pPr>
        <w:adjustRightInd w:val="0"/>
        <w:snapToGrid w:val="0"/>
        <w:rPr>
          <w:snapToGrid w:val="0"/>
          <w:szCs w:val="22"/>
        </w:rPr>
      </w:pPr>
    </w:p>
    <w:p w14:paraId="4E27FF9E" w14:textId="77777777" w:rsidR="00D044EB" w:rsidRPr="00823BDC" w:rsidRDefault="00D044EB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U človeka sa </w:t>
      </w:r>
      <w:proofErr w:type="spellStart"/>
      <w:r w:rsidRPr="00823BDC">
        <w:rPr>
          <w:snapToGrid w:val="0"/>
          <w:szCs w:val="22"/>
        </w:rPr>
        <w:t>simvastatín</w:t>
      </w:r>
      <w:proofErr w:type="spellEnd"/>
      <w:r w:rsidRPr="00823BDC">
        <w:rPr>
          <w:snapToGrid w:val="0"/>
          <w:szCs w:val="22"/>
        </w:rPr>
        <w:t xml:space="preserve"> dobre absorbuje a podlieha rozsiahlej extrakcii pri prvom prechode pečeňou. Extrakcia v pečeni závisí od prietoku krvi pečeňou. Pečeň je jeho </w:t>
      </w:r>
      <w:r w:rsidR="0065225E" w:rsidRPr="00823BDC">
        <w:rPr>
          <w:snapToGrid w:val="0"/>
          <w:szCs w:val="22"/>
        </w:rPr>
        <w:t xml:space="preserve">hlavným </w:t>
      </w:r>
      <w:r w:rsidRPr="00823BDC">
        <w:rPr>
          <w:snapToGrid w:val="0"/>
          <w:szCs w:val="22"/>
        </w:rPr>
        <w:t xml:space="preserve">miestom účinku s následným vylučovaním </w:t>
      </w:r>
      <w:r w:rsidR="0065225E" w:rsidRPr="00823BDC">
        <w:rPr>
          <w:snapToGrid w:val="0"/>
          <w:szCs w:val="22"/>
        </w:rPr>
        <w:t xml:space="preserve">určitých množstiev </w:t>
      </w:r>
      <w:r w:rsidRPr="00823BDC">
        <w:rPr>
          <w:snapToGrid w:val="0"/>
          <w:szCs w:val="22"/>
        </w:rPr>
        <w:t xml:space="preserve">liečiva do žlče. V dôsledku toho je </w:t>
      </w:r>
      <w:r w:rsidR="0065225E" w:rsidRPr="00823BDC">
        <w:rPr>
          <w:snapToGrid w:val="0"/>
          <w:szCs w:val="22"/>
        </w:rPr>
        <w:t xml:space="preserve">systémová biologická </w:t>
      </w:r>
      <w:r w:rsidRPr="00823BDC">
        <w:rPr>
          <w:snapToGrid w:val="0"/>
          <w:szCs w:val="22"/>
        </w:rPr>
        <w:t xml:space="preserve">dostupnosť liečiva </w:t>
      </w:r>
      <w:r w:rsidR="0065225E" w:rsidRPr="00823BDC">
        <w:rPr>
          <w:snapToGrid w:val="0"/>
          <w:szCs w:val="22"/>
        </w:rPr>
        <w:t xml:space="preserve">v </w:t>
      </w:r>
      <w:r w:rsidRPr="00823BDC">
        <w:rPr>
          <w:snapToGrid w:val="0"/>
          <w:szCs w:val="22"/>
        </w:rPr>
        <w:t>cirkuláci</w:t>
      </w:r>
      <w:r w:rsidR="0065225E" w:rsidRPr="00823BDC">
        <w:rPr>
          <w:snapToGrid w:val="0"/>
          <w:szCs w:val="22"/>
        </w:rPr>
        <w:t>i</w:t>
      </w:r>
      <w:r w:rsidRPr="00823BDC">
        <w:rPr>
          <w:snapToGrid w:val="0"/>
          <w:szCs w:val="22"/>
        </w:rPr>
        <w:t xml:space="preserve"> nízka.</w:t>
      </w:r>
    </w:p>
    <w:p w14:paraId="6F863CD1" w14:textId="77777777" w:rsidR="00D044EB" w:rsidRPr="00823BDC" w:rsidRDefault="00D044EB">
      <w:pPr>
        <w:adjustRightInd w:val="0"/>
        <w:snapToGrid w:val="0"/>
        <w:rPr>
          <w:i/>
          <w:szCs w:val="22"/>
        </w:rPr>
      </w:pPr>
    </w:p>
    <w:p w14:paraId="0BD817C3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napToGrid w:val="0"/>
          <w:szCs w:val="22"/>
        </w:rPr>
        <w:t>Po intravenóznej injekcii metabolitu β</w:t>
      </w:r>
      <w:r w:rsidRPr="00823BDC">
        <w:rPr>
          <w:snapToGrid w:val="0"/>
          <w:szCs w:val="22"/>
        </w:rPr>
        <w:noBreakHyphen/>
      </w:r>
      <w:proofErr w:type="spellStart"/>
      <w:r w:rsidRPr="00823BDC">
        <w:rPr>
          <w:snapToGrid w:val="0"/>
          <w:szCs w:val="22"/>
        </w:rPr>
        <w:t>hydroxykyseliny</w:t>
      </w:r>
      <w:proofErr w:type="spellEnd"/>
      <w:r w:rsidRPr="00823BDC">
        <w:rPr>
          <w:snapToGrid w:val="0"/>
          <w:szCs w:val="22"/>
        </w:rPr>
        <w:t xml:space="preserve"> bol jeho priemerný </w:t>
      </w:r>
      <w:r w:rsidR="00A971CA" w:rsidRPr="00823BDC">
        <w:rPr>
          <w:snapToGrid w:val="0"/>
          <w:szCs w:val="22"/>
        </w:rPr>
        <w:t xml:space="preserve">biologický </w:t>
      </w:r>
      <w:r w:rsidRPr="00823BDC">
        <w:rPr>
          <w:snapToGrid w:val="0"/>
          <w:szCs w:val="22"/>
        </w:rPr>
        <w:t>polčas 1,9 hodiny.</w:t>
      </w:r>
    </w:p>
    <w:p w14:paraId="7C1454CD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30628D2" w14:textId="77777777" w:rsidR="00F1151A" w:rsidRPr="00823BDC" w:rsidRDefault="00D044EB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Eliminácia</w:t>
      </w:r>
    </w:p>
    <w:p w14:paraId="0E58CCF2" w14:textId="77777777" w:rsidR="00D044EB" w:rsidRPr="00823BDC" w:rsidRDefault="00D044EB">
      <w:pPr>
        <w:keepNext/>
        <w:adjustRightInd w:val="0"/>
        <w:snapToGrid w:val="0"/>
        <w:rPr>
          <w:i/>
          <w:szCs w:val="22"/>
        </w:rPr>
      </w:pPr>
      <w:proofErr w:type="spellStart"/>
      <w:r w:rsidRPr="00823BDC">
        <w:rPr>
          <w:i/>
          <w:szCs w:val="22"/>
        </w:rPr>
        <w:t>Ezetimib</w:t>
      </w:r>
      <w:proofErr w:type="spellEnd"/>
    </w:p>
    <w:p w14:paraId="7FBB0C6B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Po perorálnom podaní </w:t>
      </w:r>
      <w:r w:rsidR="00A173A5" w:rsidRPr="00A6540D">
        <w:rPr>
          <w:szCs w:val="22"/>
        </w:rPr>
        <w:t>[</w:t>
      </w:r>
      <w:r w:rsidRPr="00CD10F1">
        <w:rPr>
          <w:szCs w:val="22"/>
          <w:vertAlign w:val="superscript"/>
        </w:rPr>
        <w:t>14</w:t>
      </w:r>
      <w:r w:rsidRPr="00CD10F1">
        <w:rPr>
          <w:szCs w:val="22"/>
        </w:rPr>
        <w:t>C</w:t>
      </w:r>
      <w:r w:rsidR="00A173A5" w:rsidRPr="00A6540D">
        <w:rPr>
          <w:szCs w:val="22"/>
        </w:rPr>
        <w:t>]</w:t>
      </w:r>
      <w:r w:rsidRPr="00CD10F1">
        <w:rPr>
          <w:szCs w:val="22"/>
        </w:rPr>
        <w:noBreakHyphen/>
      </w:r>
      <w:proofErr w:type="spellStart"/>
      <w:r w:rsidRPr="00CD10F1">
        <w:rPr>
          <w:szCs w:val="22"/>
        </w:rPr>
        <w:t>ezetimibu</w:t>
      </w:r>
      <w:proofErr w:type="spellEnd"/>
      <w:r w:rsidRPr="00CD10F1">
        <w:rPr>
          <w:szCs w:val="22"/>
        </w:rPr>
        <w:t xml:space="preserve"> (20 mg) </w:t>
      </w:r>
      <w:r w:rsidR="0019401E" w:rsidRPr="00CD10F1">
        <w:rPr>
          <w:szCs w:val="22"/>
        </w:rPr>
        <w:t>ľuďom</w:t>
      </w:r>
      <w:r w:rsidRPr="002377B8">
        <w:rPr>
          <w:szCs w:val="22"/>
        </w:rPr>
        <w:t xml:space="preserve"> tvoril celkový </w:t>
      </w:r>
      <w:proofErr w:type="spellStart"/>
      <w:r w:rsidRPr="002377B8">
        <w:rPr>
          <w:szCs w:val="22"/>
        </w:rPr>
        <w:t>ezetimib</w:t>
      </w:r>
      <w:proofErr w:type="spellEnd"/>
      <w:r w:rsidRPr="002377B8">
        <w:rPr>
          <w:szCs w:val="22"/>
        </w:rPr>
        <w:t xml:space="preserve"> približne 93 % celkov</w:t>
      </w:r>
      <w:r w:rsidR="0065225E" w:rsidRPr="00BD6413">
        <w:rPr>
          <w:szCs w:val="22"/>
        </w:rPr>
        <w:t>ého</w:t>
      </w:r>
      <w:r w:rsidRPr="00A843D5">
        <w:rPr>
          <w:szCs w:val="22"/>
        </w:rPr>
        <w:t xml:space="preserve"> </w:t>
      </w:r>
      <w:r w:rsidR="0065225E" w:rsidRPr="00A843D5">
        <w:rPr>
          <w:szCs w:val="22"/>
        </w:rPr>
        <w:t xml:space="preserve">rádioaktívne značeného liečiva </w:t>
      </w:r>
      <w:r w:rsidRPr="00842458">
        <w:rPr>
          <w:szCs w:val="22"/>
        </w:rPr>
        <w:t>v plazme. Počas 10-dňového obdobia zberu sa izolovalo približne 78 % podan</w:t>
      </w:r>
      <w:r w:rsidR="0065225E" w:rsidRPr="00AA7838">
        <w:rPr>
          <w:szCs w:val="22"/>
        </w:rPr>
        <w:t>ého</w:t>
      </w:r>
      <w:r w:rsidRPr="00AA7838">
        <w:rPr>
          <w:szCs w:val="22"/>
        </w:rPr>
        <w:t xml:space="preserve"> </w:t>
      </w:r>
      <w:r w:rsidR="0065225E" w:rsidRPr="00AA7838">
        <w:rPr>
          <w:szCs w:val="22"/>
        </w:rPr>
        <w:t xml:space="preserve">rádioaktívne značeného liečiva </w:t>
      </w:r>
      <w:r w:rsidRPr="00AA7838">
        <w:rPr>
          <w:szCs w:val="22"/>
        </w:rPr>
        <w:t xml:space="preserve">v stolici a 11 % v moči. Po 48 hodinách neboli v plazme </w:t>
      </w:r>
      <w:r w:rsidR="0065225E" w:rsidRPr="00373B08">
        <w:rPr>
          <w:szCs w:val="22"/>
        </w:rPr>
        <w:t xml:space="preserve">merateľné </w:t>
      </w:r>
      <w:r w:rsidRPr="00373B08">
        <w:rPr>
          <w:szCs w:val="22"/>
        </w:rPr>
        <w:t>hladiny rád</w:t>
      </w:r>
      <w:r w:rsidRPr="00823BDC">
        <w:rPr>
          <w:szCs w:val="22"/>
        </w:rPr>
        <w:t>ioakt</w:t>
      </w:r>
      <w:r w:rsidR="0065225E" w:rsidRPr="00823BDC">
        <w:rPr>
          <w:szCs w:val="22"/>
        </w:rPr>
        <w:t>ívne značeného liečiva</w:t>
      </w:r>
      <w:r w:rsidRPr="00823BDC">
        <w:rPr>
          <w:szCs w:val="22"/>
        </w:rPr>
        <w:t>.</w:t>
      </w:r>
    </w:p>
    <w:p w14:paraId="45D86107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190F22A3" w14:textId="77777777" w:rsidR="00D044EB" w:rsidRPr="00823BDC" w:rsidRDefault="00D044EB">
      <w:pPr>
        <w:keepNext/>
        <w:adjustRightInd w:val="0"/>
        <w:snapToGrid w:val="0"/>
        <w:rPr>
          <w:i/>
          <w:szCs w:val="22"/>
        </w:rPr>
      </w:pPr>
      <w:proofErr w:type="spellStart"/>
      <w:r w:rsidRPr="00823BDC">
        <w:rPr>
          <w:i/>
          <w:szCs w:val="22"/>
        </w:rPr>
        <w:t>Simvastatín</w:t>
      </w:r>
      <w:proofErr w:type="spellEnd"/>
    </w:p>
    <w:p w14:paraId="74B07990" w14:textId="77777777" w:rsidR="00834F7D" w:rsidRPr="00823BDC" w:rsidRDefault="00834F7D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Kyselina </w:t>
      </w:r>
      <w:proofErr w:type="spellStart"/>
      <w:r w:rsidRPr="00823BDC">
        <w:rPr>
          <w:snapToGrid w:val="0"/>
          <w:szCs w:val="22"/>
        </w:rPr>
        <w:t>simvastatínová</w:t>
      </w:r>
      <w:proofErr w:type="spellEnd"/>
      <w:r w:rsidRPr="00823BDC">
        <w:rPr>
          <w:snapToGrid w:val="0"/>
          <w:szCs w:val="22"/>
        </w:rPr>
        <w:t xml:space="preserve"> je aktívne vychytávaná do </w:t>
      </w:r>
      <w:proofErr w:type="spellStart"/>
      <w:r w:rsidRPr="00823BDC">
        <w:rPr>
          <w:snapToGrid w:val="0"/>
          <w:szCs w:val="22"/>
        </w:rPr>
        <w:t>hepatocytov</w:t>
      </w:r>
      <w:proofErr w:type="spellEnd"/>
      <w:r w:rsidRPr="00823BDC">
        <w:rPr>
          <w:snapToGrid w:val="0"/>
          <w:szCs w:val="22"/>
        </w:rPr>
        <w:t xml:space="preserve"> transportérom OATP1B1.</w:t>
      </w:r>
    </w:p>
    <w:p w14:paraId="31348BEA" w14:textId="77777777" w:rsidR="00834F7D" w:rsidRPr="00823BDC" w:rsidRDefault="00834F7D">
      <w:pPr>
        <w:pStyle w:val="CPCLH3"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Cs w:val="22"/>
        </w:rPr>
      </w:pPr>
    </w:p>
    <w:p w14:paraId="47E85A90" w14:textId="77777777" w:rsidR="00DB25E6" w:rsidRPr="00823BDC" w:rsidRDefault="00DB25E6">
      <w:pPr>
        <w:pStyle w:val="CPCLH3"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Cs w:val="22"/>
        </w:rPr>
      </w:pPr>
      <w:proofErr w:type="spellStart"/>
      <w:r w:rsidRPr="00823BDC">
        <w:rPr>
          <w:rFonts w:ascii="Times New Roman" w:hAnsi="Times New Roman"/>
          <w:szCs w:val="22"/>
        </w:rPr>
        <w:t>Simvastatín</w:t>
      </w:r>
      <w:proofErr w:type="spellEnd"/>
      <w:r w:rsidRPr="00823BDC">
        <w:rPr>
          <w:rFonts w:ascii="Times New Roman" w:hAnsi="Times New Roman"/>
          <w:szCs w:val="22"/>
        </w:rPr>
        <w:t xml:space="preserve"> je substrátom </w:t>
      </w:r>
      <w:proofErr w:type="spellStart"/>
      <w:r w:rsidRPr="00823BDC">
        <w:rPr>
          <w:rFonts w:ascii="Times New Roman" w:hAnsi="Times New Roman"/>
          <w:szCs w:val="22"/>
        </w:rPr>
        <w:t>efluxného</w:t>
      </w:r>
      <w:proofErr w:type="spellEnd"/>
      <w:r w:rsidRPr="00823BDC">
        <w:rPr>
          <w:rFonts w:ascii="Times New Roman" w:hAnsi="Times New Roman"/>
          <w:szCs w:val="22"/>
        </w:rPr>
        <w:t xml:space="preserve"> transportéra BCRP.</w:t>
      </w:r>
    </w:p>
    <w:p w14:paraId="37E715E3" w14:textId="77777777" w:rsidR="00DB25E6" w:rsidRPr="00823BDC" w:rsidRDefault="00DB25E6">
      <w:pPr>
        <w:pStyle w:val="CPCLH3"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Cs w:val="22"/>
        </w:rPr>
      </w:pPr>
    </w:p>
    <w:p w14:paraId="373F7B8F" w14:textId="77777777" w:rsidR="00D044EB" w:rsidRPr="00823BDC" w:rsidRDefault="00D044EB">
      <w:pPr>
        <w:pStyle w:val="CPCLH3"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</w:tabs>
        <w:adjustRightInd w:val="0"/>
        <w:snapToGrid w:val="0"/>
        <w:jc w:val="left"/>
        <w:rPr>
          <w:rFonts w:ascii="Times New Roman" w:hAnsi="Times New Roman"/>
          <w:szCs w:val="22"/>
        </w:rPr>
      </w:pPr>
      <w:r w:rsidRPr="00823BDC">
        <w:rPr>
          <w:rFonts w:ascii="Times New Roman" w:hAnsi="Times New Roman"/>
          <w:szCs w:val="22"/>
        </w:rPr>
        <w:lastRenderedPageBreak/>
        <w:t>Po peroráln</w:t>
      </w:r>
      <w:r w:rsidR="002A3D2D" w:rsidRPr="00823BDC">
        <w:rPr>
          <w:rFonts w:ascii="Times New Roman" w:hAnsi="Times New Roman"/>
          <w:szCs w:val="22"/>
        </w:rPr>
        <w:t>om</w:t>
      </w:r>
      <w:r w:rsidRPr="00823BDC">
        <w:rPr>
          <w:rFonts w:ascii="Times New Roman" w:hAnsi="Times New Roman"/>
          <w:szCs w:val="22"/>
        </w:rPr>
        <w:t xml:space="preserve"> </w:t>
      </w:r>
      <w:r w:rsidR="002A3D2D" w:rsidRPr="00823BDC">
        <w:rPr>
          <w:rFonts w:ascii="Times New Roman" w:hAnsi="Times New Roman"/>
          <w:szCs w:val="22"/>
        </w:rPr>
        <w:t>podaní</w:t>
      </w:r>
      <w:r w:rsidRPr="00823BDC">
        <w:rPr>
          <w:rFonts w:ascii="Times New Roman" w:hAnsi="Times New Roman"/>
          <w:szCs w:val="22"/>
        </w:rPr>
        <w:t xml:space="preserve"> rádioaktívne</w:t>
      </w:r>
      <w:r w:rsidR="002A3D2D" w:rsidRPr="00823BDC">
        <w:rPr>
          <w:rFonts w:ascii="Times New Roman" w:hAnsi="Times New Roman"/>
          <w:szCs w:val="22"/>
        </w:rPr>
        <w:t xml:space="preserve"> zn</w:t>
      </w:r>
      <w:r w:rsidR="0065225E" w:rsidRPr="00823BDC">
        <w:rPr>
          <w:rFonts w:ascii="Times New Roman" w:hAnsi="Times New Roman"/>
          <w:szCs w:val="22"/>
        </w:rPr>
        <w:t>ačeného</w:t>
      </w:r>
      <w:r w:rsidRPr="00823BDC">
        <w:rPr>
          <w:rFonts w:ascii="Times New Roman" w:hAnsi="Times New Roman"/>
          <w:szCs w:val="22"/>
        </w:rPr>
        <w:t xml:space="preserve"> </w:t>
      </w:r>
      <w:proofErr w:type="spellStart"/>
      <w:r w:rsidRPr="00823BDC">
        <w:rPr>
          <w:rFonts w:ascii="Times New Roman" w:hAnsi="Times New Roman"/>
          <w:szCs w:val="22"/>
        </w:rPr>
        <w:t>simvastatínu</w:t>
      </w:r>
      <w:proofErr w:type="spellEnd"/>
      <w:r w:rsidRPr="00823BDC">
        <w:rPr>
          <w:rFonts w:ascii="Times New Roman" w:hAnsi="Times New Roman"/>
          <w:szCs w:val="22"/>
        </w:rPr>
        <w:t xml:space="preserve"> človeku bolo 13 % rádioakt</w:t>
      </w:r>
      <w:r w:rsidR="002A3D2D" w:rsidRPr="00823BDC">
        <w:rPr>
          <w:rFonts w:ascii="Times New Roman" w:hAnsi="Times New Roman"/>
          <w:szCs w:val="22"/>
        </w:rPr>
        <w:t>ívne značeného liečiva</w:t>
      </w:r>
      <w:r w:rsidRPr="00823BDC">
        <w:rPr>
          <w:rFonts w:ascii="Times New Roman" w:hAnsi="Times New Roman"/>
          <w:szCs w:val="22"/>
        </w:rPr>
        <w:t xml:space="preserve"> vylúčen</w:t>
      </w:r>
      <w:r w:rsidR="002A3D2D" w:rsidRPr="00823BDC">
        <w:rPr>
          <w:rFonts w:ascii="Times New Roman" w:hAnsi="Times New Roman"/>
          <w:szCs w:val="22"/>
        </w:rPr>
        <w:t>ého</w:t>
      </w:r>
      <w:r w:rsidRPr="00823BDC">
        <w:rPr>
          <w:rFonts w:ascii="Times New Roman" w:hAnsi="Times New Roman"/>
          <w:szCs w:val="22"/>
        </w:rPr>
        <w:t xml:space="preserve"> v moči a 60 % v stolici v priebehu 96 hodín. Množstvo izolované v stolici predstavuje </w:t>
      </w:r>
      <w:r w:rsidR="002A3D2D" w:rsidRPr="00823BDC">
        <w:rPr>
          <w:rFonts w:ascii="Times New Roman" w:hAnsi="Times New Roman"/>
          <w:szCs w:val="22"/>
        </w:rPr>
        <w:t xml:space="preserve">podiel </w:t>
      </w:r>
      <w:r w:rsidRPr="00823BDC">
        <w:rPr>
          <w:rFonts w:ascii="Times New Roman" w:hAnsi="Times New Roman"/>
          <w:szCs w:val="22"/>
        </w:rPr>
        <w:t>absorbovaného liečiva vylúčeného žlčou ako aj neabsorbované liečivo. Po intravenóznom podaní metabolitu β</w:t>
      </w:r>
      <w:r w:rsidRPr="00823BDC">
        <w:rPr>
          <w:rFonts w:ascii="Times New Roman" w:hAnsi="Times New Roman"/>
          <w:szCs w:val="22"/>
        </w:rPr>
        <w:noBreakHyphen/>
      </w:r>
      <w:proofErr w:type="spellStart"/>
      <w:r w:rsidRPr="00823BDC">
        <w:rPr>
          <w:rFonts w:ascii="Times New Roman" w:hAnsi="Times New Roman"/>
          <w:szCs w:val="22"/>
        </w:rPr>
        <w:t>hydroxykyseliny</w:t>
      </w:r>
      <w:proofErr w:type="spellEnd"/>
      <w:r w:rsidRPr="00823BDC">
        <w:rPr>
          <w:rFonts w:ascii="Times New Roman" w:hAnsi="Times New Roman"/>
          <w:szCs w:val="22"/>
        </w:rPr>
        <w:t xml:space="preserve"> bolo v priemere iba </w:t>
      </w:r>
      <w:r w:rsidRPr="00823BDC">
        <w:rPr>
          <w:rFonts w:ascii="Times New Roman" w:hAnsi="Times New Roman"/>
          <w:snapToGrid w:val="0"/>
          <w:szCs w:val="22"/>
        </w:rPr>
        <w:t>0,3 % i. v. dávky vylúčenej v moči vo</w:t>
      </w:r>
      <w:r w:rsidR="00B14EF8" w:rsidRPr="00823BDC">
        <w:rPr>
          <w:rFonts w:ascii="Times New Roman" w:hAnsi="Times New Roman"/>
          <w:snapToGrid w:val="0"/>
          <w:szCs w:val="22"/>
        </w:rPr>
        <w:t xml:space="preserve"> </w:t>
      </w:r>
      <w:r w:rsidRPr="00823BDC">
        <w:rPr>
          <w:rFonts w:ascii="Times New Roman" w:hAnsi="Times New Roman"/>
          <w:snapToGrid w:val="0"/>
          <w:szCs w:val="22"/>
        </w:rPr>
        <w:t>forme inhibítorov.</w:t>
      </w:r>
    </w:p>
    <w:p w14:paraId="1973EB7A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0F1D6896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 xml:space="preserve">Osobitné </w:t>
      </w:r>
      <w:r w:rsidR="006F1191" w:rsidRPr="00823BDC">
        <w:rPr>
          <w:szCs w:val="22"/>
          <w:u w:val="single"/>
        </w:rPr>
        <w:t>skupiny pacientov</w:t>
      </w:r>
    </w:p>
    <w:p w14:paraId="7641FDFB" w14:textId="77777777" w:rsidR="00D044EB" w:rsidRPr="00823BDC" w:rsidRDefault="00F1151A">
      <w:pPr>
        <w:keepNext/>
        <w:adjustRightInd w:val="0"/>
        <w:snapToGrid w:val="0"/>
        <w:rPr>
          <w:szCs w:val="22"/>
        </w:rPr>
      </w:pPr>
      <w:r w:rsidRPr="00823BDC">
        <w:rPr>
          <w:i/>
          <w:szCs w:val="22"/>
        </w:rPr>
        <w:t>Pediatrick</w:t>
      </w:r>
      <w:r w:rsidR="004A5A12" w:rsidRPr="00823BDC">
        <w:rPr>
          <w:i/>
          <w:szCs w:val="22"/>
        </w:rPr>
        <w:t>á populácia</w:t>
      </w:r>
    </w:p>
    <w:p w14:paraId="5CB98EED" w14:textId="3026754F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Absorpcia a metabolizmus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u detí a </w:t>
      </w:r>
      <w:r w:rsidR="00456914" w:rsidRPr="00823BDC">
        <w:rPr>
          <w:szCs w:val="22"/>
        </w:rPr>
        <w:t>dospievajúcich</w:t>
      </w:r>
      <w:r w:rsidRPr="00823BDC">
        <w:rPr>
          <w:szCs w:val="22"/>
        </w:rPr>
        <w:t xml:space="preserve"> (10 až 18</w:t>
      </w:r>
      <w:r w:rsidR="00B14EF8" w:rsidRPr="00823BDC">
        <w:rPr>
          <w:szCs w:val="22"/>
        </w:rPr>
        <w:t xml:space="preserve"> </w:t>
      </w:r>
      <w:r w:rsidRPr="00823BDC">
        <w:rPr>
          <w:szCs w:val="22"/>
        </w:rPr>
        <w:t xml:space="preserve">rokov) sú podobné ako u dospelých. </w:t>
      </w:r>
      <w:r w:rsidR="00A2275B" w:rsidRPr="00823BDC">
        <w:rPr>
          <w:szCs w:val="22"/>
        </w:rPr>
        <w:t>Na základe údajov o</w:t>
      </w:r>
      <w:r w:rsidRPr="00823BDC">
        <w:rPr>
          <w:szCs w:val="22"/>
        </w:rPr>
        <w:t> celkov</w:t>
      </w:r>
      <w:r w:rsidR="00A2275B" w:rsidRPr="00823BDC">
        <w:rPr>
          <w:szCs w:val="22"/>
        </w:rPr>
        <w:t>om</w:t>
      </w:r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ezetimib</w:t>
      </w:r>
      <w:r w:rsidR="00A2275B" w:rsidRPr="00823BDC">
        <w:rPr>
          <w:szCs w:val="22"/>
        </w:rPr>
        <w:t>e</w:t>
      </w:r>
      <w:proofErr w:type="spellEnd"/>
      <w:r w:rsidRPr="00823BDC">
        <w:rPr>
          <w:szCs w:val="22"/>
        </w:rPr>
        <w:t xml:space="preserve">, medzi </w:t>
      </w:r>
      <w:r w:rsidR="00456914" w:rsidRPr="00823BDC">
        <w:rPr>
          <w:szCs w:val="22"/>
        </w:rPr>
        <w:t xml:space="preserve">dospievajúcimi </w:t>
      </w:r>
      <w:r w:rsidRPr="00823BDC">
        <w:rPr>
          <w:szCs w:val="22"/>
        </w:rPr>
        <w:t xml:space="preserve">a dospelými nie sú žiadne </w:t>
      </w:r>
      <w:proofErr w:type="spellStart"/>
      <w:r w:rsidRPr="00823BDC">
        <w:rPr>
          <w:szCs w:val="22"/>
        </w:rPr>
        <w:t>farmakokinetické</w:t>
      </w:r>
      <w:proofErr w:type="spellEnd"/>
      <w:r w:rsidRPr="00823BDC">
        <w:rPr>
          <w:szCs w:val="22"/>
        </w:rPr>
        <w:t xml:space="preserve"> rozdiely. </w:t>
      </w:r>
      <w:proofErr w:type="spellStart"/>
      <w:r w:rsidRPr="00823BDC">
        <w:rPr>
          <w:szCs w:val="22"/>
        </w:rPr>
        <w:t>Farmakokinetické</w:t>
      </w:r>
      <w:proofErr w:type="spellEnd"/>
      <w:r w:rsidRPr="00823BDC">
        <w:rPr>
          <w:szCs w:val="22"/>
        </w:rPr>
        <w:t xml:space="preserve"> údaje pre pediatrickú populáciu vo</w:t>
      </w:r>
      <w:r w:rsidR="00063C7B" w:rsidRPr="00823BDC">
        <w:rPr>
          <w:szCs w:val="22"/>
        </w:rPr>
        <w:t xml:space="preserve"> </w:t>
      </w:r>
      <w:r w:rsidRPr="00823BDC">
        <w:rPr>
          <w:szCs w:val="22"/>
        </w:rPr>
        <w:t xml:space="preserve">veku </w:t>
      </w:r>
      <w:r w:rsidR="00A2275B" w:rsidRPr="00823BDC">
        <w:rPr>
          <w:szCs w:val="22"/>
        </w:rPr>
        <w:t>do</w:t>
      </w:r>
      <w:r w:rsidR="007B6A18" w:rsidRPr="00823BDC">
        <w:rPr>
          <w:szCs w:val="22"/>
        </w:rPr>
        <w:t> </w:t>
      </w:r>
      <w:r w:rsidRPr="00823BDC">
        <w:rPr>
          <w:szCs w:val="22"/>
        </w:rPr>
        <w:t>10</w:t>
      </w:r>
      <w:r w:rsidR="00063C7B" w:rsidRPr="00823BDC">
        <w:rPr>
          <w:szCs w:val="22"/>
        </w:rPr>
        <w:t xml:space="preserve"> </w:t>
      </w:r>
      <w:r w:rsidRPr="00823BDC">
        <w:rPr>
          <w:szCs w:val="22"/>
        </w:rPr>
        <w:t>rokov nie sú k dispozícii. Klinické skúsenosti u </w:t>
      </w:r>
      <w:r w:rsidR="007B6A18" w:rsidRPr="00823BDC">
        <w:rPr>
          <w:szCs w:val="22"/>
        </w:rPr>
        <w:t xml:space="preserve">detských </w:t>
      </w:r>
      <w:r w:rsidR="00C84706" w:rsidRPr="00823BDC">
        <w:rPr>
          <w:szCs w:val="22"/>
        </w:rPr>
        <w:t>a</w:t>
      </w:r>
      <w:r w:rsidR="00B14EF8" w:rsidRPr="00823BDC">
        <w:rPr>
          <w:szCs w:val="22"/>
        </w:rPr>
        <w:t> </w:t>
      </w:r>
      <w:r w:rsidR="00C84706" w:rsidRPr="00823BDC">
        <w:rPr>
          <w:szCs w:val="22"/>
        </w:rPr>
        <w:t>dospievajúcich</w:t>
      </w:r>
      <w:r w:rsidRPr="00823BDC">
        <w:rPr>
          <w:szCs w:val="22"/>
        </w:rPr>
        <w:t xml:space="preserve"> pacientov </w:t>
      </w:r>
      <w:r w:rsidR="00735B33" w:rsidRPr="00823BDC">
        <w:rPr>
          <w:szCs w:val="22"/>
        </w:rPr>
        <w:t>zahŕňajú</w:t>
      </w:r>
      <w:r w:rsidRPr="00823BDC">
        <w:rPr>
          <w:szCs w:val="22"/>
        </w:rPr>
        <w:t xml:space="preserve"> pacientov s </w:t>
      </w:r>
      <w:proofErr w:type="spellStart"/>
      <w:r w:rsidRPr="00823BDC">
        <w:rPr>
          <w:szCs w:val="22"/>
        </w:rPr>
        <w:t>HoFH</w:t>
      </w:r>
      <w:proofErr w:type="spellEnd"/>
      <w:r w:rsidR="00C84706" w:rsidRPr="00823BDC">
        <w:rPr>
          <w:szCs w:val="22"/>
        </w:rPr>
        <w:t xml:space="preserve">, </w:t>
      </w:r>
      <w:proofErr w:type="spellStart"/>
      <w:r w:rsidR="00C84706" w:rsidRPr="00823BDC">
        <w:rPr>
          <w:szCs w:val="22"/>
        </w:rPr>
        <w:t>HeFH</w:t>
      </w:r>
      <w:proofErr w:type="spellEnd"/>
      <w:r w:rsidR="00C84706" w:rsidRPr="00823BDC">
        <w:rPr>
          <w:szCs w:val="22"/>
        </w:rPr>
        <w:t xml:space="preserve"> </w:t>
      </w:r>
      <w:r w:rsidRPr="00823BDC">
        <w:rPr>
          <w:szCs w:val="22"/>
        </w:rPr>
        <w:t xml:space="preserve">alebo </w:t>
      </w:r>
      <w:proofErr w:type="spellStart"/>
      <w:r w:rsidRPr="00823BDC">
        <w:rPr>
          <w:szCs w:val="22"/>
        </w:rPr>
        <w:t>sitosterolémiou</w:t>
      </w:r>
      <w:proofErr w:type="spellEnd"/>
      <w:r w:rsidRPr="00823BDC">
        <w:rPr>
          <w:szCs w:val="22"/>
        </w:rPr>
        <w:t xml:space="preserve"> (</w:t>
      </w:r>
      <w:r w:rsidR="002470B5" w:rsidRPr="00823BDC">
        <w:rPr>
          <w:szCs w:val="22"/>
        </w:rPr>
        <w:t>p</w:t>
      </w:r>
      <w:r w:rsidRPr="00823BDC">
        <w:rPr>
          <w:szCs w:val="22"/>
        </w:rPr>
        <w:t>ozri časť 4.2)</w:t>
      </w:r>
      <w:r w:rsidR="002470B5" w:rsidRPr="00823BDC">
        <w:rPr>
          <w:szCs w:val="22"/>
        </w:rPr>
        <w:t>.</w:t>
      </w:r>
    </w:p>
    <w:p w14:paraId="55AD06F8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69F12F02" w14:textId="77777777" w:rsidR="00D044EB" w:rsidRPr="00823BDC" w:rsidRDefault="00F1151A">
      <w:pPr>
        <w:keepNext/>
        <w:adjustRightInd w:val="0"/>
        <w:snapToGrid w:val="0"/>
        <w:rPr>
          <w:i/>
          <w:szCs w:val="22"/>
        </w:rPr>
      </w:pPr>
      <w:r w:rsidRPr="00823BDC">
        <w:rPr>
          <w:i/>
          <w:szCs w:val="22"/>
        </w:rPr>
        <w:t>Starš</w:t>
      </w:r>
      <w:r w:rsidR="00A2275B" w:rsidRPr="00823BDC">
        <w:rPr>
          <w:i/>
          <w:szCs w:val="22"/>
        </w:rPr>
        <w:t>í pacienti</w:t>
      </w:r>
    </w:p>
    <w:p w14:paraId="64A5548A" w14:textId="776575F5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Plazmatické koncentrácie celkového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sú u starších pacientov (</w:t>
      </w:r>
      <w:r w:rsidR="00A2275B" w:rsidRPr="00823BDC">
        <w:rPr>
          <w:szCs w:val="22"/>
        </w:rPr>
        <w:t>nad</w:t>
      </w:r>
      <w:r w:rsidR="0094157B" w:rsidRPr="00823BDC">
        <w:rPr>
          <w:szCs w:val="22"/>
        </w:rPr>
        <w:t> </w:t>
      </w:r>
      <w:r w:rsidRPr="00823BDC">
        <w:rPr>
          <w:szCs w:val="22"/>
        </w:rPr>
        <w:t>65</w:t>
      </w:r>
      <w:r w:rsidR="00886F3D" w:rsidRPr="00823BDC">
        <w:rPr>
          <w:szCs w:val="22"/>
        </w:rPr>
        <w:t xml:space="preserve"> </w:t>
      </w:r>
      <w:r w:rsidRPr="00823BDC">
        <w:rPr>
          <w:szCs w:val="22"/>
        </w:rPr>
        <w:t>rokov) približne 2</w:t>
      </w:r>
      <w:r w:rsidRPr="00823BDC">
        <w:rPr>
          <w:szCs w:val="22"/>
        </w:rPr>
        <w:noBreakHyphen/>
        <w:t>násobne vyššie ako u mladých pacientov (18 až 45</w:t>
      </w:r>
      <w:r w:rsidR="00B14EF8" w:rsidRPr="00823BDC">
        <w:rPr>
          <w:szCs w:val="22"/>
        </w:rPr>
        <w:t xml:space="preserve"> </w:t>
      </w:r>
      <w:r w:rsidRPr="00823BDC">
        <w:rPr>
          <w:szCs w:val="22"/>
        </w:rPr>
        <w:t>rokov). Zníženie LDL</w:t>
      </w:r>
      <w:r w:rsidRPr="00823BDC">
        <w:rPr>
          <w:szCs w:val="22"/>
        </w:rPr>
        <w:noBreakHyphen/>
        <w:t>C a bezpečnostný profil sú u starších a mladších</w:t>
      </w:r>
      <w:r w:rsidR="00E2480F" w:rsidRPr="00823BDC">
        <w:rPr>
          <w:szCs w:val="22"/>
        </w:rPr>
        <w:t xml:space="preserve"> </w:t>
      </w:r>
      <w:r w:rsidR="00944083" w:rsidRPr="00823BDC">
        <w:rPr>
          <w:szCs w:val="22"/>
        </w:rPr>
        <w:t xml:space="preserve">osôb </w:t>
      </w:r>
      <w:r w:rsidRPr="00823BDC">
        <w:rPr>
          <w:szCs w:val="22"/>
        </w:rPr>
        <w:t xml:space="preserve">liečených </w:t>
      </w:r>
      <w:proofErr w:type="spellStart"/>
      <w:r w:rsidRPr="00823BDC">
        <w:rPr>
          <w:szCs w:val="22"/>
        </w:rPr>
        <w:t>ezetimibom</w:t>
      </w:r>
      <w:proofErr w:type="spellEnd"/>
      <w:r w:rsidRPr="00823BDC">
        <w:rPr>
          <w:szCs w:val="22"/>
        </w:rPr>
        <w:t xml:space="preserve"> porovnateľné (</w:t>
      </w:r>
      <w:r w:rsidR="002470B5" w:rsidRPr="00823BDC">
        <w:rPr>
          <w:szCs w:val="22"/>
        </w:rPr>
        <w:t>p</w:t>
      </w:r>
      <w:r w:rsidRPr="00823BDC">
        <w:rPr>
          <w:szCs w:val="22"/>
        </w:rPr>
        <w:t>ozri časť 4.2)</w:t>
      </w:r>
      <w:r w:rsidR="002470B5" w:rsidRPr="00823BDC">
        <w:rPr>
          <w:szCs w:val="22"/>
        </w:rPr>
        <w:t>.</w:t>
      </w:r>
    </w:p>
    <w:p w14:paraId="35A912CB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242B55D" w14:textId="77777777" w:rsidR="00D044EB" w:rsidRPr="00823BDC" w:rsidRDefault="004A5A12">
      <w:pPr>
        <w:keepNext/>
        <w:adjustRightInd w:val="0"/>
        <w:snapToGrid w:val="0"/>
        <w:rPr>
          <w:i/>
          <w:szCs w:val="22"/>
        </w:rPr>
      </w:pPr>
      <w:r w:rsidRPr="00823BDC">
        <w:rPr>
          <w:i/>
          <w:szCs w:val="22"/>
        </w:rPr>
        <w:t xml:space="preserve">Porucha funkcie </w:t>
      </w:r>
      <w:r w:rsidR="00F57D50" w:rsidRPr="00823BDC">
        <w:rPr>
          <w:i/>
          <w:szCs w:val="22"/>
        </w:rPr>
        <w:t>pečene</w:t>
      </w:r>
    </w:p>
    <w:p w14:paraId="44346C6E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Po jednorazovej dávke </w:t>
      </w:r>
      <w:r w:rsidR="00A2275B" w:rsidRPr="00823BDC">
        <w:rPr>
          <w:szCs w:val="22"/>
        </w:rPr>
        <w:t xml:space="preserve">10 mg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sa priemerná AUC celkového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zvýšila približne 1,7</w:t>
      </w:r>
      <w:r w:rsidRPr="00823BDC">
        <w:rPr>
          <w:szCs w:val="22"/>
        </w:rPr>
        <w:noBreakHyphen/>
        <w:t xml:space="preserve">násobne u pacientov s miernou </w:t>
      </w:r>
      <w:r w:rsidR="004A5A12" w:rsidRPr="00823BDC">
        <w:rPr>
          <w:szCs w:val="22"/>
        </w:rPr>
        <w:t xml:space="preserve">poruchou funkcie </w:t>
      </w:r>
      <w:r w:rsidR="0035538F" w:rsidRPr="00823BDC">
        <w:rPr>
          <w:szCs w:val="22"/>
        </w:rPr>
        <w:t xml:space="preserve">pečene </w:t>
      </w:r>
      <w:r w:rsidRPr="00823BDC">
        <w:rPr>
          <w:szCs w:val="22"/>
        </w:rPr>
        <w:t>(</w:t>
      </w:r>
      <w:proofErr w:type="spellStart"/>
      <w:r w:rsidRPr="00823BDC">
        <w:rPr>
          <w:szCs w:val="22"/>
        </w:rPr>
        <w:t>Child</w:t>
      </w:r>
      <w:r w:rsidR="0035538F" w:rsidRPr="00823BDC">
        <w:rPr>
          <w:szCs w:val="22"/>
        </w:rPr>
        <w:t>ovo</w:t>
      </w:r>
      <w:r w:rsidRPr="00823BDC">
        <w:rPr>
          <w:szCs w:val="22"/>
        </w:rPr>
        <w:t>-Pughovo</w:t>
      </w:r>
      <w:proofErr w:type="spellEnd"/>
      <w:r w:rsidRPr="00823BDC">
        <w:rPr>
          <w:szCs w:val="22"/>
        </w:rPr>
        <w:t xml:space="preserve"> skóre 5 alebo 6) v porovnaní so</w:t>
      </w:r>
      <w:r w:rsidR="004A5A12" w:rsidRPr="00823BDC">
        <w:rPr>
          <w:szCs w:val="22"/>
        </w:rPr>
        <w:t xml:space="preserve"> </w:t>
      </w:r>
      <w:r w:rsidRPr="00823BDC">
        <w:rPr>
          <w:szCs w:val="22"/>
        </w:rPr>
        <w:t xml:space="preserve">zdravými </w:t>
      </w:r>
      <w:r w:rsidR="00944083" w:rsidRPr="00823BDC">
        <w:rPr>
          <w:szCs w:val="22"/>
        </w:rPr>
        <w:t>osobami</w:t>
      </w:r>
      <w:r w:rsidRPr="00823BDC">
        <w:rPr>
          <w:szCs w:val="22"/>
        </w:rPr>
        <w:t>. V 14</w:t>
      </w:r>
      <w:r w:rsidRPr="00823BDC">
        <w:rPr>
          <w:szCs w:val="22"/>
        </w:rPr>
        <w:noBreakHyphen/>
        <w:t>dňovej štúdii opakovaných dávok (10 mg denne) u pacientov so</w:t>
      </w:r>
      <w:r w:rsidR="004A5A12" w:rsidRPr="00823BDC">
        <w:rPr>
          <w:szCs w:val="22"/>
        </w:rPr>
        <w:t xml:space="preserve"> </w:t>
      </w:r>
      <w:r w:rsidRPr="00823BDC">
        <w:rPr>
          <w:szCs w:val="22"/>
        </w:rPr>
        <w:t xml:space="preserve">stredne </w:t>
      </w:r>
      <w:r w:rsidR="008611F2" w:rsidRPr="00823BDC">
        <w:rPr>
          <w:szCs w:val="22"/>
        </w:rPr>
        <w:t>ťažkou</w:t>
      </w:r>
      <w:r w:rsidR="006F1191" w:rsidRPr="00823BDC">
        <w:rPr>
          <w:szCs w:val="22"/>
        </w:rPr>
        <w:t xml:space="preserve"> </w:t>
      </w:r>
      <w:r w:rsidR="004A5A12" w:rsidRPr="00823BDC">
        <w:rPr>
          <w:szCs w:val="22"/>
        </w:rPr>
        <w:t xml:space="preserve">poruchou funkcie </w:t>
      </w:r>
      <w:r w:rsidR="0035538F" w:rsidRPr="00823BDC">
        <w:rPr>
          <w:szCs w:val="22"/>
        </w:rPr>
        <w:t xml:space="preserve">pečene </w:t>
      </w:r>
      <w:r w:rsidRPr="00823BDC">
        <w:rPr>
          <w:szCs w:val="22"/>
        </w:rPr>
        <w:t>(</w:t>
      </w:r>
      <w:proofErr w:type="spellStart"/>
      <w:r w:rsidRPr="00823BDC">
        <w:rPr>
          <w:szCs w:val="22"/>
        </w:rPr>
        <w:t>Child</w:t>
      </w:r>
      <w:r w:rsidR="0035538F" w:rsidRPr="00823BDC">
        <w:rPr>
          <w:szCs w:val="22"/>
        </w:rPr>
        <w:t>ovo</w:t>
      </w:r>
      <w:r w:rsidRPr="00823BDC">
        <w:rPr>
          <w:szCs w:val="22"/>
        </w:rPr>
        <w:t>-Pughovo</w:t>
      </w:r>
      <w:proofErr w:type="spellEnd"/>
      <w:r w:rsidRPr="00823BDC">
        <w:rPr>
          <w:szCs w:val="22"/>
        </w:rPr>
        <w:t xml:space="preserve"> skóre 7</w:t>
      </w:r>
      <w:r w:rsidR="00886F3D" w:rsidRPr="00823BDC">
        <w:rPr>
          <w:szCs w:val="22"/>
        </w:rPr>
        <w:t xml:space="preserve"> </w:t>
      </w:r>
      <w:r w:rsidRPr="00823BDC">
        <w:rPr>
          <w:szCs w:val="22"/>
        </w:rPr>
        <w:t xml:space="preserve">až 9) bola priemerná AUC celkového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zvýšená približne 4</w:t>
      </w:r>
      <w:r w:rsidRPr="00823BDC">
        <w:rPr>
          <w:szCs w:val="22"/>
        </w:rPr>
        <w:noBreakHyphen/>
        <w:t>násobne 1. a 14. deň v porovnaní so</w:t>
      </w:r>
      <w:r w:rsidR="00B14EF8" w:rsidRPr="00823BDC">
        <w:rPr>
          <w:szCs w:val="22"/>
        </w:rPr>
        <w:t xml:space="preserve"> </w:t>
      </w:r>
      <w:r w:rsidRPr="00823BDC">
        <w:rPr>
          <w:szCs w:val="22"/>
        </w:rPr>
        <w:t xml:space="preserve">zdravými </w:t>
      </w:r>
      <w:r w:rsidR="00944083" w:rsidRPr="00823BDC">
        <w:rPr>
          <w:szCs w:val="22"/>
        </w:rPr>
        <w:t>osobami</w:t>
      </w:r>
      <w:r w:rsidRPr="00823BDC">
        <w:rPr>
          <w:szCs w:val="22"/>
        </w:rPr>
        <w:t xml:space="preserve">. U pacientov s miernou </w:t>
      </w:r>
      <w:r w:rsidR="004A5A12" w:rsidRPr="00823BDC">
        <w:rPr>
          <w:szCs w:val="22"/>
        </w:rPr>
        <w:t xml:space="preserve">poruchou funkcie </w:t>
      </w:r>
      <w:r w:rsidR="0035538F" w:rsidRPr="00823BDC">
        <w:rPr>
          <w:szCs w:val="22"/>
        </w:rPr>
        <w:t xml:space="preserve">pečene </w:t>
      </w:r>
      <w:r w:rsidRPr="00823BDC">
        <w:rPr>
          <w:szCs w:val="22"/>
        </w:rPr>
        <w:t xml:space="preserve">nie je potrebná úprava dávkovania. Vzhľadom na neznáme účinky zvýšenej expozície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u pacientov so</w:t>
      </w:r>
      <w:r w:rsidR="00B14EF8" w:rsidRPr="00823BDC">
        <w:rPr>
          <w:szCs w:val="22"/>
        </w:rPr>
        <w:t xml:space="preserve"> </w:t>
      </w:r>
      <w:r w:rsidRPr="00823BDC">
        <w:rPr>
          <w:szCs w:val="22"/>
        </w:rPr>
        <w:t xml:space="preserve">stredne </w:t>
      </w:r>
      <w:r w:rsidR="008611F2" w:rsidRPr="00823BDC">
        <w:rPr>
          <w:szCs w:val="22"/>
        </w:rPr>
        <w:t>ťažkou</w:t>
      </w:r>
      <w:r w:rsidR="0035538F" w:rsidRPr="00823BDC">
        <w:rPr>
          <w:szCs w:val="22"/>
        </w:rPr>
        <w:t xml:space="preserve"> </w:t>
      </w:r>
      <w:r w:rsidRPr="00823BDC">
        <w:rPr>
          <w:szCs w:val="22"/>
        </w:rPr>
        <w:t>a</w:t>
      </w:r>
      <w:r w:rsidR="00914947" w:rsidRPr="00823BDC">
        <w:rPr>
          <w:szCs w:val="22"/>
        </w:rPr>
        <w:t xml:space="preserve">lebo </w:t>
      </w:r>
      <w:r w:rsidR="008611F2" w:rsidRPr="00823BDC">
        <w:rPr>
          <w:szCs w:val="22"/>
        </w:rPr>
        <w:t>ťažkou</w:t>
      </w:r>
      <w:r w:rsidRPr="00823BDC">
        <w:rPr>
          <w:szCs w:val="22"/>
        </w:rPr>
        <w:t xml:space="preserve"> </w:t>
      </w:r>
      <w:r w:rsidR="00914947" w:rsidRPr="00823BDC">
        <w:rPr>
          <w:szCs w:val="22"/>
        </w:rPr>
        <w:t xml:space="preserve">poruchou funkcie pečene </w:t>
      </w:r>
      <w:r w:rsidRPr="00823BDC">
        <w:rPr>
          <w:szCs w:val="22"/>
        </w:rPr>
        <w:t>(</w:t>
      </w:r>
      <w:proofErr w:type="spellStart"/>
      <w:r w:rsidRPr="00823BDC">
        <w:rPr>
          <w:szCs w:val="22"/>
        </w:rPr>
        <w:t>Child</w:t>
      </w:r>
      <w:r w:rsidR="0035538F" w:rsidRPr="00823BDC">
        <w:rPr>
          <w:szCs w:val="22"/>
        </w:rPr>
        <w:t>ovo</w:t>
      </w:r>
      <w:r w:rsidRPr="00823BDC">
        <w:rPr>
          <w:szCs w:val="22"/>
        </w:rPr>
        <w:t>-Pughovo</w:t>
      </w:r>
      <w:proofErr w:type="spellEnd"/>
      <w:r w:rsidRPr="00823BDC">
        <w:rPr>
          <w:szCs w:val="22"/>
        </w:rPr>
        <w:t xml:space="preserve"> skóre &gt;</w:t>
      </w:r>
      <w:r w:rsidR="0094157B" w:rsidRPr="00823BDC">
        <w:rPr>
          <w:szCs w:val="22"/>
        </w:rPr>
        <w:t> </w:t>
      </w:r>
      <w:r w:rsidRPr="00823BDC">
        <w:rPr>
          <w:szCs w:val="22"/>
        </w:rPr>
        <w:t xml:space="preserve">9) sa u týchto pacientov </w:t>
      </w:r>
      <w:proofErr w:type="spellStart"/>
      <w:r w:rsidR="00914947" w:rsidRPr="00823BDC">
        <w:rPr>
          <w:szCs w:val="22"/>
        </w:rPr>
        <w:t>ezetimib</w:t>
      </w:r>
      <w:proofErr w:type="spellEnd"/>
      <w:r w:rsidR="00914947" w:rsidRPr="00823BDC">
        <w:rPr>
          <w:szCs w:val="22"/>
        </w:rPr>
        <w:t xml:space="preserve"> </w:t>
      </w:r>
      <w:r w:rsidRPr="00823BDC">
        <w:rPr>
          <w:szCs w:val="22"/>
        </w:rPr>
        <w:t>neodporúča (pozri časti 4.2 a 4.4).</w:t>
      </w:r>
    </w:p>
    <w:p w14:paraId="2A3081EB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21F4D290" w14:textId="77777777" w:rsidR="00D044EB" w:rsidRPr="00823BDC" w:rsidRDefault="004A5A12">
      <w:pPr>
        <w:keepNext/>
        <w:adjustRightInd w:val="0"/>
        <w:snapToGrid w:val="0"/>
        <w:rPr>
          <w:i/>
          <w:szCs w:val="22"/>
        </w:rPr>
      </w:pPr>
      <w:r w:rsidRPr="00823BDC">
        <w:rPr>
          <w:i/>
          <w:szCs w:val="22"/>
        </w:rPr>
        <w:t>Porucha funkcie obličiek</w:t>
      </w:r>
    </w:p>
    <w:p w14:paraId="483EAF03" w14:textId="77777777" w:rsidR="00D044EB" w:rsidRPr="00823BDC" w:rsidRDefault="00D044EB">
      <w:pPr>
        <w:keepNext/>
        <w:adjustRightInd w:val="0"/>
        <w:snapToGrid w:val="0"/>
        <w:rPr>
          <w:i/>
          <w:szCs w:val="22"/>
        </w:rPr>
      </w:pPr>
      <w:proofErr w:type="spellStart"/>
      <w:r w:rsidRPr="00823BDC">
        <w:rPr>
          <w:i/>
          <w:szCs w:val="22"/>
        </w:rPr>
        <w:t>Ezetimib</w:t>
      </w:r>
      <w:proofErr w:type="spellEnd"/>
    </w:p>
    <w:p w14:paraId="27CCD19F" w14:textId="1010AEA4" w:rsidR="00D044EB" w:rsidRPr="00373B08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Po jednorazovej dávke </w:t>
      </w:r>
      <w:r w:rsidR="00A2275B" w:rsidRPr="00823BDC">
        <w:rPr>
          <w:szCs w:val="22"/>
        </w:rPr>
        <w:t xml:space="preserve">10 mg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sa priemerná AUC celkového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zvýšila približne 1,5</w:t>
      </w:r>
      <w:r w:rsidRPr="00823BDC">
        <w:rPr>
          <w:szCs w:val="22"/>
        </w:rPr>
        <w:noBreakHyphen/>
        <w:t xml:space="preserve">násobne </w:t>
      </w:r>
      <w:r w:rsidR="008A3BCD" w:rsidRPr="00823BDC">
        <w:rPr>
          <w:szCs w:val="22"/>
        </w:rPr>
        <w:t>u pacientov s</w:t>
      </w:r>
      <w:r w:rsidR="008611F2" w:rsidRPr="00823BDC">
        <w:rPr>
          <w:szCs w:val="22"/>
        </w:rPr>
        <w:t> ťažkým</w:t>
      </w:r>
      <w:r w:rsidR="008A3BCD" w:rsidRPr="00823BDC">
        <w:rPr>
          <w:szCs w:val="22"/>
        </w:rPr>
        <w:t xml:space="preserve"> </w:t>
      </w:r>
      <w:proofErr w:type="spellStart"/>
      <w:r w:rsidR="008A3BCD" w:rsidRPr="00823BDC">
        <w:rPr>
          <w:szCs w:val="22"/>
        </w:rPr>
        <w:t>renálnym</w:t>
      </w:r>
      <w:proofErr w:type="spellEnd"/>
      <w:r w:rsidR="008A3BCD" w:rsidRPr="00823BDC">
        <w:rPr>
          <w:szCs w:val="22"/>
        </w:rPr>
        <w:t xml:space="preserve"> ochorením (n = 8; priemerný </w:t>
      </w:r>
      <w:proofErr w:type="spellStart"/>
      <w:r w:rsidR="008A3BCD" w:rsidRPr="00823BDC">
        <w:rPr>
          <w:szCs w:val="22"/>
        </w:rPr>
        <w:t>klírens</w:t>
      </w:r>
      <w:proofErr w:type="spellEnd"/>
      <w:r w:rsidR="008A3BCD" w:rsidRPr="00823BDC">
        <w:rPr>
          <w:szCs w:val="22"/>
        </w:rPr>
        <w:t xml:space="preserve"> kreatinínu (</w:t>
      </w:r>
      <w:proofErr w:type="spellStart"/>
      <w:r w:rsidR="00A173A5" w:rsidRPr="00A6540D">
        <w:rPr>
          <w:szCs w:val="22"/>
        </w:rPr>
        <w:t>Cl</w:t>
      </w:r>
      <w:r w:rsidR="00A173A5" w:rsidRPr="00A6540D">
        <w:rPr>
          <w:szCs w:val="22"/>
          <w:vertAlign w:val="subscript"/>
        </w:rPr>
        <w:t>Cr</w:t>
      </w:r>
      <w:proofErr w:type="spellEnd"/>
      <w:r w:rsidR="008A3BCD" w:rsidRPr="00CD10F1">
        <w:rPr>
          <w:szCs w:val="22"/>
        </w:rPr>
        <w:t xml:space="preserve"> ≤ 30 ml/min) </w:t>
      </w:r>
      <w:r w:rsidRPr="00BD6413">
        <w:rPr>
          <w:szCs w:val="22"/>
        </w:rPr>
        <w:t>v porovnaní so</w:t>
      </w:r>
      <w:r w:rsidR="004A5A12" w:rsidRPr="00A843D5">
        <w:rPr>
          <w:szCs w:val="22"/>
        </w:rPr>
        <w:t xml:space="preserve"> </w:t>
      </w:r>
      <w:r w:rsidRPr="00A843D5">
        <w:rPr>
          <w:szCs w:val="22"/>
        </w:rPr>
        <w:t xml:space="preserve">zdravými </w:t>
      </w:r>
      <w:r w:rsidR="00944083" w:rsidRPr="00A843D5">
        <w:rPr>
          <w:szCs w:val="22"/>
        </w:rPr>
        <w:t xml:space="preserve">osobami </w:t>
      </w:r>
      <w:r w:rsidRPr="00AA7838">
        <w:rPr>
          <w:szCs w:val="22"/>
        </w:rPr>
        <w:t>(n = 9) (</w:t>
      </w:r>
      <w:r w:rsidR="002470B5" w:rsidRPr="00AA7838">
        <w:rPr>
          <w:szCs w:val="22"/>
        </w:rPr>
        <w:t>p</w:t>
      </w:r>
      <w:r w:rsidRPr="00095F7D">
        <w:rPr>
          <w:szCs w:val="22"/>
        </w:rPr>
        <w:t>ozri časť 4.2)</w:t>
      </w:r>
      <w:r w:rsidR="002470B5" w:rsidRPr="00373B08">
        <w:rPr>
          <w:szCs w:val="22"/>
        </w:rPr>
        <w:t>.</w:t>
      </w:r>
    </w:p>
    <w:p w14:paraId="779277D5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90C13A0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Ďalší pacient v tejto štúdii (po transplantácii obličky, ktorý dostával </w:t>
      </w:r>
      <w:r w:rsidR="00A2275B" w:rsidRPr="00823BDC">
        <w:rPr>
          <w:szCs w:val="22"/>
        </w:rPr>
        <w:t xml:space="preserve">ďalšie lieky </w:t>
      </w:r>
      <w:r w:rsidRPr="00823BDC">
        <w:rPr>
          <w:szCs w:val="22"/>
        </w:rPr>
        <w:t xml:space="preserve">vrátane </w:t>
      </w:r>
      <w:proofErr w:type="spellStart"/>
      <w:r w:rsidRPr="00823BDC">
        <w:rPr>
          <w:szCs w:val="22"/>
        </w:rPr>
        <w:t>cyklosporínu</w:t>
      </w:r>
      <w:proofErr w:type="spellEnd"/>
      <w:r w:rsidRPr="00823BDC">
        <w:rPr>
          <w:szCs w:val="22"/>
        </w:rPr>
        <w:t>) mal 12</w:t>
      </w:r>
      <w:r w:rsidRPr="00823BDC">
        <w:rPr>
          <w:szCs w:val="22"/>
        </w:rPr>
        <w:noBreakHyphen/>
        <w:t xml:space="preserve">násobne väčšiu expozíciu celkovému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>.</w:t>
      </w:r>
    </w:p>
    <w:p w14:paraId="6F59B4AB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5F74F244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  <w:proofErr w:type="spellStart"/>
      <w:r w:rsidRPr="00823BDC">
        <w:rPr>
          <w:i/>
          <w:szCs w:val="22"/>
        </w:rPr>
        <w:t>Simvastatín</w:t>
      </w:r>
      <w:proofErr w:type="spellEnd"/>
    </w:p>
    <w:p w14:paraId="247EF525" w14:textId="181EC9B5" w:rsidR="00D044EB" w:rsidRPr="00823BDC" w:rsidRDefault="00D044EB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>V štúdii pacientov s</w:t>
      </w:r>
      <w:r w:rsidR="008611F2" w:rsidRPr="00823BDC">
        <w:rPr>
          <w:snapToGrid w:val="0"/>
          <w:szCs w:val="22"/>
        </w:rPr>
        <w:t> ťažk</w:t>
      </w:r>
      <w:r w:rsidR="0035538F" w:rsidRPr="00823BDC">
        <w:rPr>
          <w:snapToGrid w:val="0"/>
          <w:szCs w:val="22"/>
        </w:rPr>
        <w:t>ou</w:t>
      </w:r>
      <w:r w:rsidRPr="00823BDC">
        <w:rPr>
          <w:snapToGrid w:val="0"/>
          <w:szCs w:val="22"/>
        </w:rPr>
        <w:t xml:space="preserve"> </w:t>
      </w:r>
      <w:r w:rsidR="004A5A12" w:rsidRPr="00823BDC">
        <w:rPr>
          <w:snapToGrid w:val="0"/>
          <w:szCs w:val="22"/>
        </w:rPr>
        <w:t>poruchou funkcie obličiek</w:t>
      </w:r>
      <w:r w:rsidRPr="00823BDC">
        <w:rPr>
          <w:snapToGrid w:val="0"/>
          <w:szCs w:val="22"/>
        </w:rPr>
        <w:t xml:space="preserve"> (</w:t>
      </w:r>
      <w:proofErr w:type="spellStart"/>
      <w:r w:rsidRPr="00823BDC">
        <w:rPr>
          <w:snapToGrid w:val="0"/>
          <w:szCs w:val="22"/>
        </w:rPr>
        <w:t>klírens</w:t>
      </w:r>
      <w:proofErr w:type="spellEnd"/>
      <w:r w:rsidRPr="00823BDC">
        <w:rPr>
          <w:snapToGrid w:val="0"/>
          <w:szCs w:val="22"/>
        </w:rPr>
        <w:t xml:space="preserve"> kreatinínu</w:t>
      </w:r>
      <w:r w:rsidR="00636C11" w:rsidRPr="00823BDC">
        <w:rPr>
          <w:snapToGrid w:val="0"/>
          <w:szCs w:val="22"/>
        </w:rPr>
        <w:t> </w:t>
      </w:r>
      <w:r w:rsidRPr="00823BDC">
        <w:rPr>
          <w:snapToGrid w:val="0"/>
          <w:szCs w:val="22"/>
        </w:rPr>
        <w:t>&lt;</w:t>
      </w:r>
      <w:r w:rsidR="00636C11" w:rsidRPr="00823BDC">
        <w:rPr>
          <w:snapToGrid w:val="0"/>
          <w:szCs w:val="22"/>
        </w:rPr>
        <w:t> </w:t>
      </w:r>
      <w:r w:rsidRPr="00823BDC">
        <w:rPr>
          <w:snapToGrid w:val="0"/>
          <w:szCs w:val="22"/>
        </w:rPr>
        <w:t xml:space="preserve">30 ml/min) boli plazmatické koncentrácie celkových inhibítorov po jednorazovej dávke príbuzného inhibítora </w:t>
      </w:r>
      <w:r w:rsidR="00B726B5">
        <w:rPr>
          <w:snapToGrid w:val="0"/>
          <w:szCs w:val="22"/>
        </w:rPr>
        <w:t>HMG-</w:t>
      </w:r>
      <w:proofErr w:type="spellStart"/>
      <w:r w:rsidR="00B726B5">
        <w:rPr>
          <w:snapToGrid w:val="0"/>
          <w:szCs w:val="22"/>
        </w:rPr>
        <w:t>CoA</w:t>
      </w:r>
      <w:proofErr w:type="spellEnd"/>
      <w:r w:rsidR="00BD097F" w:rsidRPr="00823BDC">
        <w:rPr>
          <w:snapToGrid w:val="0"/>
          <w:szCs w:val="22"/>
        </w:rPr>
        <w:t>-</w:t>
      </w:r>
      <w:proofErr w:type="spellStart"/>
      <w:r w:rsidRPr="00823BDC">
        <w:rPr>
          <w:snapToGrid w:val="0"/>
          <w:szCs w:val="22"/>
        </w:rPr>
        <w:t>reduktázy</w:t>
      </w:r>
      <w:proofErr w:type="spellEnd"/>
      <w:r w:rsidRPr="00823BDC">
        <w:rPr>
          <w:snapToGrid w:val="0"/>
          <w:szCs w:val="22"/>
        </w:rPr>
        <w:t xml:space="preserve"> približne </w:t>
      </w:r>
      <w:r w:rsidR="00A173A5" w:rsidRPr="00823BDC">
        <w:rPr>
          <w:snapToGrid w:val="0"/>
          <w:szCs w:val="22"/>
        </w:rPr>
        <w:t xml:space="preserve">2-násobne </w:t>
      </w:r>
      <w:r w:rsidRPr="00823BDC">
        <w:rPr>
          <w:snapToGrid w:val="0"/>
          <w:szCs w:val="22"/>
        </w:rPr>
        <w:t>vyššie ako u zdravých dobrovoľníkov.</w:t>
      </w:r>
    </w:p>
    <w:p w14:paraId="358F4922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54F57C23" w14:textId="77777777" w:rsidR="00D044EB" w:rsidRPr="00823BDC" w:rsidRDefault="00D044EB">
      <w:pPr>
        <w:keepNext/>
        <w:adjustRightInd w:val="0"/>
        <w:snapToGrid w:val="0"/>
        <w:rPr>
          <w:i/>
          <w:szCs w:val="22"/>
        </w:rPr>
      </w:pPr>
      <w:r w:rsidRPr="00823BDC">
        <w:rPr>
          <w:i/>
          <w:szCs w:val="22"/>
        </w:rPr>
        <w:t>Pohlavie</w:t>
      </w:r>
    </w:p>
    <w:p w14:paraId="68A81BEF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Plazmatické koncentrácie celkového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sú mierme vyššie (približne 20 %) u žien ako u mužov. Zníženie LDL</w:t>
      </w:r>
      <w:r w:rsidRPr="00823BDC">
        <w:rPr>
          <w:szCs w:val="22"/>
        </w:rPr>
        <w:noBreakHyphen/>
        <w:t xml:space="preserve">C a bezpečnostný profil sú u mužov a žien liečených </w:t>
      </w:r>
      <w:proofErr w:type="spellStart"/>
      <w:r w:rsidRPr="00823BDC">
        <w:rPr>
          <w:szCs w:val="22"/>
        </w:rPr>
        <w:t>ezetimibom</w:t>
      </w:r>
      <w:proofErr w:type="spellEnd"/>
      <w:r w:rsidRPr="00823BDC">
        <w:rPr>
          <w:szCs w:val="22"/>
        </w:rPr>
        <w:t xml:space="preserve"> porovnateľné.</w:t>
      </w:r>
    </w:p>
    <w:p w14:paraId="14449C22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272684F1" w14:textId="77777777" w:rsidR="00834F7D" w:rsidRPr="00823BDC" w:rsidRDefault="00834F7D">
      <w:pPr>
        <w:adjustRightInd w:val="0"/>
        <w:snapToGrid w:val="0"/>
        <w:rPr>
          <w:i/>
          <w:spacing w:val="-1"/>
          <w:szCs w:val="22"/>
        </w:rPr>
      </w:pPr>
      <w:r w:rsidRPr="00823BDC">
        <w:rPr>
          <w:i/>
          <w:snapToGrid w:val="0"/>
          <w:szCs w:val="22"/>
        </w:rPr>
        <w:t xml:space="preserve">Polymorfizmus </w:t>
      </w:r>
      <w:r w:rsidR="00BA7578" w:rsidRPr="00823BDC">
        <w:rPr>
          <w:i/>
          <w:spacing w:val="-1"/>
          <w:szCs w:val="22"/>
        </w:rPr>
        <w:t>SLCO1B1</w:t>
      </w:r>
    </w:p>
    <w:p w14:paraId="0BC6DB0F" w14:textId="77777777" w:rsidR="00834F7D" w:rsidRPr="00823BDC" w:rsidRDefault="00834F7D">
      <w:pPr>
        <w:adjustRightInd w:val="0"/>
        <w:snapToGrid w:val="0"/>
        <w:rPr>
          <w:szCs w:val="22"/>
        </w:rPr>
      </w:pPr>
      <w:r w:rsidRPr="00823BDC">
        <w:rPr>
          <w:szCs w:val="22"/>
        </w:rPr>
        <w:t>Nositelia alely c</w:t>
      </w:r>
      <w:r w:rsidRPr="00823BDC">
        <w:rPr>
          <w:spacing w:val="-1"/>
          <w:szCs w:val="22"/>
        </w:rPr>
        <w:t>.</w:t>
      </w:r>
      <w:r w:rsidRPr="00823BDC">
        <w:rPr>
          <w:spacing w:val="1"/>
          <w:szCs w:val="22"/>
        </w:rPr>
        <w:t>521</w:t>
      </w:r>
      <w:r w:rsidRPr="00823BDC">
        <w:rPr>
          <w:szCs w:val="22"/>
        </w:rPr>
        <w:t>T</w:t>
      </w:r>
      <w:r w:rsidR="0022225F" w:rsidRPr="00823BDC">
        <w:rPr>
          <w:szCs w:val="22"/>
        </w:rPr>
        <w:t xml:space="preserve"> </w:t>
      </w:r>
      <w:r w:rsidRPr="00823BDC">
        <w:rPr>
          <w:spacing w:val="-1"/>
          <w:szCs w:val="22"/>
        </w:rPr>
        <w:t>&gt;</w:t>
      </w:r>
      <w:r w:rsidR="0022225F" w:rsidRPr="00823BDC">
        <w:rPr>
          <w:spacing w:val="-1"/>
          <w:szCs w:val="22"/>
        </w:rPr>
        <w:t xml:space="preserve"> </w:t>
      </w:r>
      <w:r w:rsidRPr="00823BDC">
        <w:rPr>
          <w:szCs w:val="22"/>
        </w:rPr>
        <w:t xml:space="preserve">C génu </w:t>
      </w:r>
      <w:r w:rsidRPr="00823BDC">
        <w:rPr>
          <w:spacing w:val="-1"/>
          <w:szCs w:val="22"/>
        </w:rPr>
        <w:t>S</w:t>
      </w:r>
      <w:r w:rsidRPr="00823BDC">
        <w:rPr>
          <w:spacing w:val="1"/>
          <w:szCs w:val="22"/>
        </w:rPr>
        <w:t>L</w:t>
      </w:r>
      <w:r w:rsidRPr="00823BDC">
        <w:rPr>
          <w:spacing w:val="-1"/>
          <w:szCs w:val="22"/>
        </w:rPr>
        <w:t>C</w:t>
      </w:r>
      <w:r w:rsidRPr="00823BDC">
        <w:rPr>
          <w:szCs w:val="22"/>
        </w:rPr>
        <w:t>O</w:t>
      </w:r>
      <w:r w:rsidRPr="00823BDC">
        <w:rPr>
          <w:spacing w:val="1"/>
          <w:szCs w:val="22"/>
        </w:rPr>
        <w:t>1</w:t>
      </w:r>
      <w:r w:rsidRPr="00823BDC">
        <w:rPr>
          <w:spacing w:val="-1"/>
          <w:szCs w:val="22"/>
        </w:rPr>
        <w:t>B</w:t>
      </w:r>
      <w:r w:rsidRPr="00823BDC">
        <w:rPr>
          <w:szCs w:val="22"/>
        </w:rPr>
        <w:t>1 majú nižšiu aktivitu O</w:t>
      </w:r>
      <w:r w:rsidRPr="00823BDC">
        <w:rPr>
          <w:spacing w:val="-1"/>
          <w:szCs w:val="22"/>
        </w:rPr>
        <w:t>A</w:t>
      </w:r>
      <w:r w:rsidRPr="00823BDC">
        <w:rPr>
          <w:szCs w:val="22"/>
        </w:rPr>
        <w:t>T</w:t>
      </w:r>
      <w:r w:rsidRPr="00823BDC">
        <w:rPr>
          <w:spacing w:val="-1"/>
          <w:szCs w:val="22"/>
        </w:rPr>
        <w:t>P</w:t>
      </w:r>
      <w:r w:rsidRPr="00823BDC">
        <w:rPr>
          <w:spacing w:val="1"/>
          <w:szCs w:val="22"/>
        </w:rPr>
        <w:t>1</w:t>
      </w:r>
      <w:r w:rsidRPr="00823BDC">
        <w:rPr>
          <w:spacing w:val="-1"/>
          <w:szCs w:val="22"/>
        </w:rPr>
        <w:t>B</w:t>
      </w:r>
      <w:r w:rsidRPr="00823BDC">
        <w:rPr>
          <w:szCs w:val="22"/>
        </w:rPr>
        <w:t xml:space="preserve">1. Priemerná expozícia (AUC) hlavného aktívneho metabolitu, kyseliny </w:t>
      </w:r>
      <w:proofErr w:type="spellStart"/>
      <w:r w:rsidRPr="00823BDC">
        <w:rPr>
          <w:szCs w:val="22"/>
        </w:rPr>
        <w:t>simvastatínovej</w:t>
      </w:r>
      <w:proofErr w:type="spellEnd"/>
      <w:r w:rsidRPr="00823BDC">
        <w:rPr>
          <w:szCs w:val="22"/>
        </w:rPr>
        <w:t xml:space="preserve">, je </w:t>
      </w:r>
      <w:r w:rsidR="008432EF" w:rsidRPr="00823BDC">
        <w:rPr>
          <w:szCs w:val="22"/>
        </w:rPr>
        <w:t xml:space="preserve">120 % </w:t>
      </w:r>
      <w:r w:rsidRPr="00823BDC">
        <w:rPr>
          <w:szCs w:val="22"/>
        </w:rPr>
        <w:t>u </w:t>
      </w:r>
      <w:proofErr w:type="spellStart"/>
      <w:r w:rsidRPr="00823BDC">
        <w:rPr>
          <w:szCs w:val="22"/>
        </w:rPr>
        <w:t>heterozygotných</w:t>
      </w:r>
      <w:proofErr w:type="spellEnd"/>
      <w:r w:rsidRPr="00823BDC">
        <w:rPr>
          <w:szCs w:val="22"/>
        </w:rPr>
        <w:t xml:space="preserve"> nositeľov alely C </w:t>
      </w:r>
      <w:r w:rsidR="008432EF" w:rsidRPr="00823BDC">
        <w:rPr>
          <w:szCs w:val="22"/>
        </w:rPr>
        <w:t xml:space="preserve">(CT) </w:t>
      </w:r>
      <w:r w:rsidRPr="00823BDC">
        <w:rPr>
          <w:szCs w:val="22"/>
        </w:rPr>
        <w:t>a</w:t>
      </w:r>
      <w:r w:rsidR="008432EF" w:rsidRPr="00823BDC">
        <w:rPr>
          <w:szCs w:val="22"/>
        </w:rPr>
        <w:t xml:space="preserve"> 221 % </w:t>
      </w:r>
      <w:r w:rsidRPr="00823BDC">
        <w:rPr>
          <w:szCs w:val="22"/>
        </w:rPr>
        <w:t>u homozygotných nositeľov (CC) v porovnaní s pacientmi, ktorí majú najčastejš</w:t>
      </w:r>
      <w:r w:rsidR="008432EF" w:rsidRPr="00823BDC">
        <w:rPr>
          <w:szCs w:val="22"/>
        </w:rPr>
        <w:t>í</w:t>
      </w:r>
      <w:r w:rsidRPr="00823BDC">
        <w:rPr>
          <w:szCs w:val="22"/>
        </w:rPr>
        <w:t xml:space="preserve"> genotyp (TT). </w:t>
      </w:r>
      <w:r w:rsidR="009F44F6" w:rsidRPr="00823BDC">
        <w:rPr>
          <w:szCs w:val="22"/>
        </w:rPr>
        <w:t>F</w:t>
      </w:r>
      <w:r w:rsidRPr="00823BDC">
        <w:rPr>
          <w:szCs w:val="22"/>
        </w:rPr>
        <w:t>rekvenci</w:t>
      </w:r>
      <w:r w:rsidR="009F44F6" w:rsidRPr="00823BDC">
        <w:rPr>
          <w:szCs w:val="22"/>
        </w:rPr>
        <w:t>a</w:t>
      </w:r>
      <w:r w:rsidRPr="00823BDC">
        <w:rPr>
          <w:szCs w:val="22"/>
        </w:rPr>
        <w:t xml:space="preserve"> výskytu </w:t>
      </w:r>
      <w:r w:rsidR="009F44F6" w:rsidRPr="00823BDC">
        <w:rPr>
          <w:szCs w:val="22"/>
        </w:rPr>
        <w:t xml:space="preserve">alely C v európskej populácii je </w:t>
      </w:r>
      <w:r w:rsidRPr="00823BDC">
        <w:rPr>
          <w:szCs w:val="22"/>
        </w:rPr>
        <w:t>18 %</w:t>
      </w:r>
      <w:r w:rsidR="009F44F6" w:rsidRPr="00823BDC">
        <w:rPr>
          <w:szCs w:val="22"/>
        </w:rPr>
        <w:t>.</w:t>
      </w:r>
      <w:r w:rsidRPr="00823BDC">
        <w:rPr>
          <w:szCs w:val="22"/>
        </w:rPr>
        <w:t xml:space="preserve"> U pacientov s polymorfizmom</w:t>
      </w:r>
      <w:r w:rsidRPr="00823BDC">
        <w:rPr>
          <w:spacing w:val="-1"/>
          <w:szCs w:val="22"/>
        </w:rPr>
        <w:t xml:space="preserve"> S</w:t>
      </w:r>
      <w:r w:rsidRPr="00823BDC">
        <w:rPr>
          <w:spacing w:val="1"/>
          <w:szCs w:val="22"/>
        </w:rPr>
        <w:t>L</w:t>
      </w:r>
      <w:r w:rsidRPr="00823BDC">
        <w:rPr>
          <w:spacing w:val="-1"/>
          <w:szCs w:val="22"/>
        </w:rPr>
        <w:t>C</w:t>
      </w:r>
      <w:r w:rsidRPr="00823BDC">
        <w:rPr>
          <w:szCs w:val="22"/>
        </w:rPr>
        <w:t>O</w:t>
      </w:r>
      <w:r w:rsidRPr="00823BDC">
        <w:rPr>
          <w:spacing w:val="1"/>
          <w:szCs w:val="22"/>
        </w:rPr>
        <w:t>1</w:t>
      </w:r>
      <w:r w:rsidRPr="00823BDC">
        <w:rPr>
          <w:spacing w:val="-1"/>
          <w:szCs w:val="22"/>
        </w:rPr>
        <w:t>B</w:t>
      </w:r>
      <w:r w:rsidRPr="00823BDC">
        <w:rPr>
          <w:szCs w:val="22"/>
        </w:rPr>
        <w:t>1 je riziko zvýšenej expozície kyselin</w:t>
      </w:r>
      <w:r w:rsidR="00A2275B" w:rsidRPr="00823BDC">
        <w:rPr>
          <w:szCs w:val="22"/>
        </w:rPr>
        <w:t>e</w:t>
      </w:r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simvastatínovej</w:t>
      </w:r>
      <w:proofErr w:type="spellEnd"/>
      <w:r w:rsidRPr="00823BDC">
        <w:rPr>
          <w:szCs w:val="22"/>
        </w:rPr>
        <w:t xml:space="preserve">, čo môže viesť k zvýšenému riziku </w:t>
      </w:r>
      <w:proofErr w:type="spellStart"/>
      <w:r w:rsidRPr="00823BDC">
        <w:rPr>
          <w:szCs w:val="22"/>
        </w:rPr>
        <w:t>rabdomyolýzy</w:t>
      </w:r>
      <w:proofErr w:type="spellEnd"/>
      <w:r w:rsidRPr="00823BDC">
        <w:rPr>
          <w:szCs w:val="22"/>
        </w:rPr>
        <w:t xml:space="preserve"> (pozri časť 4.4).</w:t>
      </w:r>
    </w:p>
    <w:p w14:paraId="66CE8931" w14:textId="77777777" w:rsidR="00834F7D" w:rsidRPr="00823BDC" w:rsidRDefault="00834F7D">
      <w:pPr>
        <w:adjustRightInd w:val="0"/>
        <w:snapToGrid w:val="0"/>
        <w:rPr>
          <w:szCs w:val="22"/>
        </w:rPr>
      </w:pPr>
    </w:p>
    <w:p w14:paraId="1C72063A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lastRenderedPageBreak/>
        <w:t>5.3</w:t>
      </w:r>
      <w:r w:rsidRPr="00823BDC">
        <w:rPr>
          <w:b/>
          <w:szCs w:val="22"/>
        </w:rPr>
        <w:tab/>
        <w:t>Predklinické údaje o bezpečnosti</w:t>
      </w:r>
    </w:p>
    <w:p w14:paraId="5D65A859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1FF850E6" w14:textId="77777777" w:rsidR="00D044EB" w:rsidRPr="00823BDC" w:rsidRDefault="00A2275B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szCs w:val="22"/>
          <w:u w:val="single"/>
        </w:rPr>
        <w:t>E</w:t>
      </w:r>
      <w:r w:rsidR="00A00E9D" w:rsidRPr="00823BDC">
        <w:rPr>
          <w:szCs w:val="22"/>
          <w:u w:val="single"/>
        </w:rPr>
        <w:t>zetimib</w:t>
      </w:r>
      <w:proofErr w:type="spellEnd"/>
      <w:r w:rsidR="00A00E9D" w:rsidRPr="00823BDC">
        <w:rPr>
          <w:szCs w:val="22"/>
          <w:u w:val="single"/>
        </w:rPr>
        <w:t>/</w:t>
      </w:r>
      <w:proofErr w:type="spellStart"/>
      <w:r w:rsidR="00A00E9D" w:rsidRPr="00823BDC">
        <w:rPr>
          <w:szCs w:val="22"/>
          <w:u w:val="single"/>
        </w:rPr>
        <w:t>simvastatín</w:t>
      </w:r>
      <w:proofErr w:type="spellEnd"/>
    </w:p>
    <w:p w14:paraId="144456FB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V štúdiách sú</w:t>
      </w:r>
      <w:r w:rsidR="00081701" w:rsidRPr="00823BDC">
        <w:rPr>
          <w:szCs w:val="22"/>
        </w:rPr>
        <w:t>bežného</w:t>
      </w:r>
      <w:r w:rsidRPr="00823BDC">
        <w:rPr>
          <w:szCs w:val="22"/>
        </w:rPr>
        <w:t xml:space="preserve"> podávania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a 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boli pozorované toxické účinky v podstate tie isté, aké sú typicky spojené so </w:t>
      </w:r>
      <w:proofErr w:type="spellStart"/>
      <w:r w:rsidRPr="00823BDC">
        <w:rPr>
          <w:szCs w:val="22"/>
        </w:rPr>
        <w:t>statínmi</w:t>
      </w:r>
      <w:proofErr w:type="spellEnd"/>
      <w:r w:rsidRPr="00823BDC">
        <w:rPr>
          <w:szCs w:val="22"/>
        </w:rPr>
        <w:t xml:space="preserve">. Niektoré z toxických účinkov boli výraznejšie ako účinky pozorované počas liečby samotnými </w:t>
      </w:r>
      <w:proofErr w:type="spellStart"/>
      <w:r w:rsidRPr="00823BDC">
        <w:rPr>
          <w:szCs w:val="22"/>
        </w:rPr>
        <w:t>statínmi</w:t>
      </w:r>
      <w:proofErr w:type="spellEnd"/>
      <w:r w:rsidRPr="00823BDC">
        <w:rPr>
          <w:szCs w:val="22"/>
        </w:rPr>
        <w:t xml:space="preserve">. Toto sa pripisuje </w:t>
      </w:r>
      <w:proofErr w:type="spellStart"/>
      <w:r w:rsidRPr="00823BDC">
        <w:rPr>
          <w:szCs w:val="22"/>
        </w:rPr>
        <w:t>farmakokinetickým</w:t>
      </w:r>
      <w:proofErr w:type="spellEnd"/>
      <w:r w:rsidRPr="00823BDC">
        <w:rPr>
          <w:szCs w:val="22"/>
        </w:rPr>
        <w:t xml:space="preserve"> a/alebo </w:t>
      </w:r>
      <w:proofErr w:type="spellStart"/>
      <w:r w:rsidRPr="00823BDC">
        <w:rPr>
          <w:szCs w:val="22"/>
        </w:rPr>
        <w:t>farmakodynamickým</w:t>
      </w:r>
      <w:proofErr w:type="spellEnd"/>
      <w:r w:rsidRPr="00823BDC">
        <w:rPr>
          <w:szCs w:val="22"/>
        </w:rPr>
        <w:t xml:space="preserve"> interakciám po sú</w:t>
      </w:r>
      <w:r w:rsidR="00081701" w:rsidRPr="00823BDC">
        <w:rPr>
          <w:szCs w:val="22"/>
        </w:rPr>
        <w:t>bežnom</w:t>
      </w:r>
      <w:r w:rsidRPr="00823BDC">
        <w:rPr>
          <w:szCs w:val="22"/>
        </w:rPr>
        <w:t xml:space="preserve"> podaní. V klinických štúdiách sa takéto interakcie nevyskytli. </w:t>
      </w:r>
      <w:proofErr w:type="spellStart"/>
      <w:r w:rsidRPr="00823BDC">
        <w:rPr>
          <w:szCs w:val="22"/>
        </w:rPr>
        <w:t>Myopatie</w:t>
      </w:r>
      <w:proofErr w:type="spellEnd"/>
      <w:r w:rsidRPr="00823BDC">
        <w:rPr>
          <w:szCs w:val="22"/>
        </w:rPr>
        <w:t xml:space="preserve"> sa objavili u potkanov až po expozícii dávkam, ktoré boli niekoľkokrát vyššie, ako je terapeutická dávka pre ľudí (približne 20</w:t>
      </w:r>
      <w:r w:rsidRPr="00823BDC">
        <w:rPr>
          <w:szCs w:val="22"/>
        </w:rPr>
        <w:noBreakHyphen/>
        <w:t xml:space="preserve">násobok hodnoty AUC pre 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 a 1 800</w:t>
      </w:r>
      <w:r w:rsidRPr="00823BDC">
        <w:rPr>
          <w:szCs w:val="22"/>
        </w:rPr>
        <w:noBreakHyphen/>
        <w:t>násobok hodnoty AUC pre aktívny metabolit). Nezistilo sa, že by sú</w:t>
      </w:r>
      <w:r w:rsidR="00081701" w:rsidRPr="00823BDC">
        <w:rPr>
          <w:szCs w:val="22"/>
        </w:rPr>
        <w:t>bežné</w:t>
      </w:r>
      <w:r w:rsidRPr="00823BDC">
        <w:rPr>
          <w:szCs w:val="22"/>
        </w:rPr>
        <w:t xml:space="preserve"> podávanie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ovplyvnilo </w:t>
      </w:r>
      <w:proofErr w:type="spellStart"/>
      <w:r w:rsidRPr="00823BDC">
        <w:rPr>
          <w:szCs w:val="22"/>
        </w:rPr>
        <w:t>myotoxický</w:t>
      </w:r>
      <w:proofErr w:type="spellEnd"/>
      <w:r w:rsidRPr="00823BDC">
        <w:rPr>
          <w:szCs w:val="22"/>
        </w:rPr>
        <w:t xml:space="preserve"> potenciál 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>.</w:t>
      </w:r>
    </w:p>
    <w:p w14:paraId="1CC9A358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7E8C175E" w14:textId="75F233A9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U psov, ktorým sa súbežne podával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a </w:t>
      </w:r>
      <w:proofErr w:type="spellStart"/>
      <w:r w:rsidRPr="00823BDC">
        <w:rPr>
          <w:szCs w:val="22"/>
        </w:rPr>
        <w:t>statíny</w:t>
      </w:r>
      <w:proofErr w:type="spellEnd"/>
      <w:r w:rsidRPr="00823BDC">
        <w:rPr>
          <w:szCs w:val="22"/>
        </w:rPr>
        <w:t>, sa pri nízkych expozíciách (≤</w:t>
      </w:r>
      <w:r w:rsidR="0094157B" w:rsidRPr="00823BDC">
        <w:rPr>
          <w:szCs w:val="22"/>
        </w:rPr>
        <w:t> </w:t>
      </w:r>
      <w:r w:rsidRPr="00823BDC">
        <w:rPr>
          <w:szCs w:val="22"/>
        </w:rPr>
        <w:t>1</w:t>
      </w:r>
      <w:r w:rsidRPr="00823BDC">
        <w:rPr>
          <w:szCs w:val="22"/>
        </w:rPr>
        <w:noBreakHyphen/>
        <w:t xml:space="preserve">násobok AUC u ľudí) pozorovali niektoré účinky na pečeň. Zistil sa výrazný vzostup pečeňových enzýmov (ALT, AST) bez prítomnosti nekrózy tkaniva. U psov, ktorým sa súbežne podával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a </w:t>
      </w:r>
      <w:proofErr w:type="spellStart"/>
      <w:r w:rsidRPr="00823BDC">
        <w:rPr>
          <w:szCs w:val="22"/>
        </w:rPr>
        <w:t>simvastatín</w:t>
      </w:r>
      <w:proofErr w:type="spellEnd"/>
      <w:r w:rsidRPr="00823BDC">
        <w:rPr>
          <w:szCs w:val="22"/>
        </w:rPr>
        <w:t xml:space="preserve">, sa pozorovali </w:t>
      </w:r>
      <w:proofErr w:type="spellStart"/>
      <w:r w:rsidRPr="00823BDC">
        <w:rPr>
          <w:szCs w:val="22"/>
        </w:rPr>
        <w:t>histopatologické</w:t>
      </w:r>
      <w:proofErr w:type="spellEnd"/>
      <w:r w:rsidRPr="00823BDC">
        <w:rPr>
          <w:szCs w:val="22"/>
        </w:rPr>
        <w:t xml:space="preserve"> pečeňové nálezy (</w:t>
      </w:r>
      <w:proofErr w:type="spellStart"/>
      <w:r w:rsidRPr="00823BDC">
        <w:rPr>
          <w:szCs w:val="22"/>
        </w:rPr>
        <w:t>hyperplázia</w:t>
      </w:r>
      <w:proofErr w:type="spellEnd"/>
      <w:r w:rsidRPr="00823BDC">
        <w:rPr>
          <w:szCs w:val="22"/>
        </w:rPr>
        <w:t xml:space="preserve"> žlčovodu, kumulácia pigmentu, infiltrácia </w:t>
      </w:r>
      <w:proofErr w:type="spellStart"/>
      <w:r w:rsidRPr="00823BDC">
        <w:rPr>
          <w:szCs w:val="22"/>
        </w:rPr>
        <w:t>mononukleárnymi</w:t>
      </w:r>
      <w:proofErr w:type="spellEnd"/>
      <w:r w:rsidRPr="00823BDC">
        <w:rPr>
          <w:szCs w:val="22"/>
        </w:rPr>
        <w:t xml:space="preserve"> bunkami a malé </w:t>
      </w:r>
      <w:proofErr w:type="spellStart"/>
      <w:r w:rsidRPr="00823BDC">
        <w:rPr>
          <w:szCs w:val="22"/>
        </w:rPr>
        <w:t>hepatocyty</w:t>
      </w:r>
      <w:proofErr w:type="spellEnd"/>
      <w:r w:rsidRPr="00823BDC">
        <w:rPr>
          <w:szCs w:val="22"/>
        </w:rPr>
        <w:t xml:space="preserve">). Pri dlhšom podávaní v trvaní do 14 mesiacov tieto zmeny </w:t>
      </w:r>
      <w:proofErr w:type="spellStart"/>
      <w:r w:rsidRPr="00823BDC">
        <w:rPr>
          <w:szCs w:val="22"/>
        </w:rPr>
        <w:t>neprogredovali</w:t>
      </w:r>
      <w:proofErr w:type="spellEnd"/>
      <w:r w:rsidRPr="00823BDC">
        <w:rPr>
          <w:szCs w:val="22"/>
        </w:rPr>
        <w:t xml:space="preserve">. Po </w:t>
      </w:r>
      <w:r w:rsidR="00D85531" w:rsidRPr="00823BDC">
        <w:rPr>
          <w:szCs w:val="22"/>
        </w:rPr>
        <w:t xml:space="preserve">prerušení </w:t>
      </w:r>
      <w:r w:rsidRPr="00823BDC">
        <w:rPr>
          <w:szCs w:val="22"/>
        </w:rPr>
        <w:t xml:space="preserve">podávania sa pozorovala celková úprava pečeňových nálezov. Tieto zistenia zodpovedali zisteniam opísaným pri inhibítoroch </w:t>
      </w:r>
      <w:r w:rsidR="00B726B5">
        <w:rPr>
          <w:szCs w:val="22"/>
        </w:rPr>
        <w:t>HMG-</w:t>
      </w:r>
      <w:proofErr w:type="spellStart"/>
      <w:r w:rsidR="00B726B5">
        <w:rPr>
          <w:szCs w:val="22"/>
        </w:rPr>
        <w:t>CoA</w:t>
      </w:r>
      <w:proofErr w:type="spellEnd"/>
      <w:r w:rsidR="00BD097F" w:rsidRPr="00823BDC">
        <w:rPr>
          <w:szCs w:val="22"/>
        </w:rPr>
        <w:t>-</w:t>
      </w:r>
      <w:proofErr w:type="spellStart"/>
      <w:r w:rsidRPr="00823BDC">
        <w:rPr>
          <w:szCs w:val="22"/>
        </w:rPr>
        <w:t>reduktázy</w:t>
      </w:r>
      <w:proofErr w:type="spellEnd"/>
      <w:r w:rsidRPr="00823BDC">
        <w:rPr>
          <w:szCs w:val="22"/>
        </w:rPr>
        <w:t xml:space="preserve"> alebo sa prisúdili veľmi nízkym hladinám cholesterolu dosiahnutým u ovplyvnených psov.</w:t>
      </w:r>
    </w:p>
    <w:p w14:paraId="5F697E63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6D2284F0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Sú</w:t>
      </w:r>
      <w:r w:rsidR="00F57D50" w:rsidRPr="00823BDC">
        <w:rPr>
          <w:szCs w:val="22"/>
        </w:rPr>
        <w:t>bežné</w:t>
      </w:r>
      <w:r w:rsidRPr="00823BDC">
        <w:rPr>
          <w:szCs w:val="22"/>
        </w:rPr>
        <w:t xml:space="preserve"> podávanie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a </w:t>
      </w:r>
      <w:proofErr w:type="spellStart"/>
      <w:r w:rsidRPr="00823BDC">
        <w:rPr>
          <w:szCs w:val="22"/>
        </w:rPr>
        <w:t>simvastatínu</w:t>
      </w:r>
      <w:proofErr w:type="spellEnd"/>
      <w:r w:rsidRPr="00823BDC">
        <w:rPr>
          <w:szCs w:val="22"/>
        </w:rPr>
        <w:t xml:space="preserve"> nebolo u potkanov teratogénne. U </w:t>
      </w:r>
      <w:r w:rsidR="00A2275B" w:rsidRPr="00823BDC">
        <w:rPr>
          <w:szCs w:val="22"/>
        </w:rPr>
        <w:t xml:space="preserve">brezivých </w:t>
      </w:r>
      <w:r w:rsidRPr="00823BDC">
        <w:rPr>
          <w:szCs w:val="22"/>
        </w:rPr>
        <w:t>králikov sa pozoroval malý počet deformít skeletu (spojené kaudálne stavce, znížený počet kaudálnych stavcov).</w:t>
      </w:r>
    </w:p>
    <w:p w14:paraId="6052D762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651DAF87" w14:textId="67B4E29D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V</w:t>
      </w:r>
      <w:r w:rsidR="003031BE" w:rsidRPr="00823BDC">
        <w:rPr>
          <w:szCs w:val="22"/>
        </w:rPr>
        <w:t> </w:t>
      </w:r>
      <w:r w:rsidRPr="00823BDC">
        <w:rPr>
          <w:szCs w:val="22"/>
        </w:rPr>
        <w:t xml:space="preserve">sérii </w:t>
      </w:r>
      <w:r w:rsidR="00A2275B" w:rsidRPr="00823BDC">
        <w:rPr>
          <w:szCs w:val="22"/>
        </w:rPr>
        <w:t xml:space="preserve">testov </w:t>
      </w:r>
      <w:r w:rsidRPr="00823BDC">
        <w:rPr>
          <w:i/>
          <w:szCs w:val="22"/>
        </w:rPr>
        <w:t xml:space="preserve">in </w:t>
      </w:r>
      <w:proofErr w:type="spellStart"/>
      <w:r w:rsidRPr="00823BDC">
        <w:rPr>
          <w:i/>
          <w:szCs w:val="22"/>
        </w:rPr>
        <w:t>vivo</w:t>
      </w:r>
      <w:proofErr w:type="spellEnd"/>
      <w:r w:rsidRPr="00823BDC">
        <w:rPr>
          <w:szCs w:val="22"/>
        </w:rPr>
        <w:t xml:space="preserve"> a </w:t>
      </w:r>
      <w:r w:rsidRPr="00823BDC">
        <w:rPr>
          <w:i/>
          <w:szCs w:val="22"/>
        </w:rPr>
        <w:t xml:space="preserve">in vitro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podávaný samostatne alebo sú</w:t>
      </w:r>
      <w:r w:rsidR="00081701" w:rsidRPr="00823BDC">
        <w:rPr>
          <w:szCs w:val="22"/>
        </w:rPr>
        <w:t>bežne</w:t>
      </w:r>
      <w:r w:rsidRPr="00823BDC">
        <w:rPr>
          <w:szCs w:val="22"/>
        </w:rPr>
        <w:t xml:space="preserve"> so</w:t>
      </w:r>
      <w:r w:rsidR="00E672C0"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simvastatínom</w:t>
      </w:r>
      <w:proofErr w:type="spellEnd"/>
      <w:r w:rsidRPr="00823BDC">
        <w:rPr>
          <w:szCs w:val="22"/>
        </w:rPr>
        <w:t xml:space="preserve"> nemal žiadny </w:t>
      </w:r>
      <w:proofErr w:type="spellStart"/>
      <w:r w:rsidRPr="00823BDC">
        <w:rPr>
          <w:szCs w:val="22"/>
        </w:rPr>
        <w:t>genotoxický</w:t>
      </w:r>
      <w:proofErr w:type="spellEnd"/>
      <w:r w:rsidRPr="00823BDC">
        <w:rPr>
          <w:szCs w:val="22"/>
        </w:rPr>
        <w:t xml:space="preserve"> potenciál.</w:t>
      </w:r>
    </w:p>
    <w:p w14:paraId="3EE3C195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42864E6A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szCs w:val="22"/>
          <w:u w:val="single"/>
        </w:rPr>
        <w:t>Ezetimib</w:t>
      </w:r>
      <w:proofErr w:type="spellEnd"/>
    </w:p>
    <w:p w14:paraId="357B17D1" w14:textId="0D34F49D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Štúdie chronickej toxicity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na zvieratách neidentifikovali žiadne cieľové orgány pre toxické účinky. U</w:t>
      </w:r>
      <w:r w:rsidR="003031BE" w:rsidRPr="00823BDC">
        <w:rPr>
          <w:szCs w:val="22"/>
        </w:rPr>
        <w:t> </w:t>
      </w:r>
      <w:r w:rsidRPr="00823BDC">
        <w:rPr>
          <w:szCs w:val="22"/>
        </w:rPr>
        <w:t xml:space="preserve">psov liečených </w:t>
      </w:r>
      <w:r w:rsidR="00A173A5" w:rsidRPr="00823BDC">
        <w:rPr>
          <w:szCs w:val="22"/>
        </w:rPr>
        <w:t xml:space="preserve">4 </w:t>
      </w:r>
      <w:r w:rsidRPr="00823BDC">
        <w:rPr>
          <w:szCs w:val="22"/>
        </w:rPr>
        <w:t xml:space="preserve">týždne </w:t>
      </w:r>
      <w:proofErr w:type="spellStart"/>
      <w:r w:rsidRPr="00823BDC">
        <w:rPr>
          <w:szCs w:val="22"/>
        </w:rPr>
        <w:t>ezetimibom</w:t>
      </w:r>
      <w:proofErr w:type="spellEnd"/>
      <w:r w:rsidRPr="00823BDC">
        <w:rPr>
          <w:szCs w:val="22"/>
        </w:rPr>
        <w:t xml:space="preserve"> (≥</w:t>
      </w:r>
      <w:r w:rsidR="0094157B" w:rsidRPr="00823BDC">
        <w:rPr>
          <w:szCs w:val="22"/>
        </w:rPr>
        <w:t> </w:t>
      </w:r>
      <w:r w:rsidRPr="00823BDC">
        <w:rPr>
          <w:szCs w:val="22"/>
        </w:rPr>
        <w:t>0,03 mg/kg/deň) sa koncentrácia cholesterolu v žlčníkovej žlči zvýšila 2,5</w:t>
      </w:r>
      <w:r w:rsidR="00A2275B" w:rsidRPr="00823BDC">
        <w:rPr>
          <w:szCs w:val="22"/>
        </w:rPr>
        <w:t>-</w:t>
      </w:r>
      <w:r w:rsidRPr="00823BDC">
        <w:rPr>
          <w:szCs w:val="22"/>
        </w:rPr>
        <w:t xml:space="preserve"> až 3,5-násobne. V </w:t>
      </w:r>
      <w:r w:rsidR="00A173A5" w:rsidRPr="00823BDC">
        <w:rPr>
          <w:szCs w:val="22"/>
        </w:rPr>
        <w:t xml:space="preserve">1-ročnej </w:t>
      </w:r>
      <w:r w:rsidRPr="00823BDC">
        <w:rPr>
          <w:szCs w:val="22"/>
        </w:rPr>
        <w:t xml:space="preserve">štúdii na psoch, ktorým sa podávali dávky do 300 mg/kg/deň, sa však nepozorovalo zvýšenie </w:t>
      </w:r>
      <w:proofErr w:type="spellStart"/>
      <w:r w:rsidRPr="00823BDC">
        <w:rPr>
          <w:szCs w:val="22"/>
        </w:rPr>
        <w:t>incidencie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cholelitiázy</w:t>
      </w:r>
      <w:proofErr w:type="spellEnd"/>
      <w:r w:rsidRPr="00823BDC">
        <w:rPr>
          <w:szCs w:val="22"/>
        </w:rPr>
        <w:t xml:space="preserve"> alebo iné </w:t>
      </w:r>
      <w:proofErr w:type="spellStart"/>
      <w:r w:rsidRPr="00823BDC">
        <w:rPr>
          <w:szCs w:val="22"/>
        </w:rPr>
        <w:t>hepatobiliárne</w:t>
      </w:r>
      <w:proofErr w:type="spellEnd"/>
      <w:r w:rsidRPr="00823BDC">
        <w:rPr>
          <w:szCs w:val="22"/>
        </w:rPr>
        <w:t xml:space="preserve"> účinky. Významnosť týchto údajov pre ľudí nie je známa. Riziko </w:t>
      </w:r>
      <w:proofErr w:type="spellStart"/>
      <w:r w:rsidRPr="00823BDC">
        <w:rPr>
          <w:szCs w:val="22"/>
        </w:rPr>
        <w:t>litogenity</w:t>
      </w:r>
      <w:proofErr w:type="spellEnd"/>
      <w:r w:rsidRPr="00823BDC">
        <w:rPr>
          <w:szCs w:val="22"/>
        </w:rPr>
        <w:t xml:space="preserve"> spojené s terapeutickým užívaním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nemožno vylúčiť.</w:t>
      </w:r>
    </w:p>
    <w:p w14:paraId="4E4D8890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0F7CDBC6" w14:textId="77777777" w:rsidR="00D044EB" w:rsidRPr="00823BDC" w:rsidRDefault="00D044EB">
      <w:pPr>
        <w:pStyle w:val="Body"/>
        <w:adjustRightInd w:val="0"/>
        <w:snapToGrid w:val="0"/>
        <w:ind w:firstLine="0"/>
        <w:rPr>
          <w:szCs w:val="22"/>
        </w:rPr>
      </w:pPr>
      <w:r w:rsidRPr="00823BDC">
        <w:rPr>
          <w:szCs w:val="22"/>
        </w:rPr>
        <w:t xml:space="preserve">Dlhodobé testy </w:t>
      </w:r>
      <w:proofErr w:type="spellStart"/>
      <w:r w:rsidRPr="00823BDC">
        <w:rPr>
          <w:szCs w:val="22"/>
        </w:rPr>
        <w:t>karcinogenicity</w:t>
      </w:r>
      <w:proofErr w:type="spellEnd"/>
      <w:r w:rsidRPr="00823BDC">
        <w:rPr>
          <w:szCs w:val="22"/>
        </w:rPr>
        <w:t xml:space="preserve"> </w:t>
      </w:r>
      <w:proofErr w:type="spellStart"/>
      <w:r w:rsidRPr="00823BDC">
        <w:rPr>
          <w:szCs w:val="22"/>
        </w:rPr>
        <w:t>ezetimibu</w:t>
      </w:r>
      <w:proofErr w:type="spellEnd"/>
      <w:r w:rsidRPr="00823BDC">
        <w:rPr>
          <w:szCs w:val="22"/>
        </w:rPr>
        <w:t xml:space="preserve"> boli negatívne.</w:t>
      </w:r>
    </w:p>
    <w:p w14:paraId="4407FE24" w14:textId="77777777" w:rsidR="00D044EB" w:rsidRPr="00823BDC" w:rsidRDefault="00D044EB">
      <w:pPr>
        <w:pStyle w:val="Body"/>
        <w:adjustRightInd w:val="0"/>
        <w:snapToGrid w:val="0"/>
        <w:ind w:firstLine="0"/>
        <w:rPr>
          <w:szCs w:val="22"/>
        </w:rPr>
      </w:pPr>
    </w:p>
    <w:p w14:paraId="01AD824C" w14:textId="77777777" w:rsidR="00D044EB" w:rsidRPr="00823BDC" w:rsidRDefault="00D044EB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nemal žiadny účinok na </w:t>
      </w:r>
      <w:proofErr w:type="spellStart"/>
      <w:r w:rsidRPr="00823BDC">
        <w:rPr>
          <w:szCs w:val="22"/>
        </w:rPr>
        <w:t>fertilitu</w:t>
      </w:r>
      <w:proofErr w:type="spellEnd"/>
      <w:r w:rsidRPr="00823BDC">
        <w:rPr>
          <w:szCs w:val="22"/>
        </w:rPr>
        <w:t xml:space="preserve"> samcov a samíc potkanov, ani sa nezistilo, že by bol teratogénny u potkanov alebo králikov a nemal vplyv ani na prenatálny a </w:t>
      </w:r>
      <w:proofErr w:type="spellStart"/>
      <w:r w:rsidRPr="00823BDC">
        <w:rPr>
          <w:szCs w:val="22"/>
        </w:rPr>
        <w:t>postnatálny</w:t>
      </w:r>
      <w:proofErr w:type="spellEnd"/>
      <w:r w:rsidRPr="00823BDC">
        <w:rPr>
          <w:szCs w:val="22"/>
        </w:rPr>
        <w:t xml:space="preserve"> výv</w:t>
      </w:r>
      <w:r w:rsidR="00A2275B" w:rsidRPr="00823BDC">
        <w:rPr>
          <w:szCs w:val="22"/>
        </w:rPr>
        <w:t>in</w:t>
      </w:r>
      <w:r w:rsidRPr="00823BDC">
        <w:rPr>
          <w:szCs w:val="22"/>
        </w:rPr>
        <w:t xml:space="preserve">. </w:t>
      </w:r>
      <w:proofErr w:type="spellStart"/>
      <w:r w:rsidRPr="00823BDC">
        <w:rPr>
          <w:szCs w:val="22"/>
        </w:rPr>
        <w:t>Ezetimib</w:t>
      </w:r>
      <w:proofErr w:type="spellEnd"/>
      <w:r w:rsidRPr="00823BDC">
        <w:rPr>
          <w:szCs w:val="22"/>
        </w:rPr>
        <w:t xml:space="preserve"> prechádzal cez placentárnu bariéru u</w:t>
      </w:r>
      <w:r w:rsidR="00D914AD" w:rsidRPr="00823BDC">
        <w:rPr>
          <w:szCs w:val="22"/>
        </w:rPr>
        <w:t> </w:t>
      </w:r>
      <w:r w:rsidR="00A2275B" w:rsidRPr="00823BDC">
        <w:rPr>
          <w:szCs w:val="22"/>
        </w:rPr>
        <w:t>brezivých</w:t>
      </w:r>
      <w:r w:rsidRPr="00823BDC">
        <w:rPr>
          <w:szCs w:val="22"/>
        </w:rPr>
        <w:t xml:space="preserve"> potkanov a králikov, ktorým boli podané </w:t>
      </w:r>
      <w:r w:rsidR="00A2275B" w:rsidRPr="00823BDC">
        <w:rPr>
          <w:szCs w:val="22"/>
        </w:rPr>
        <w:t xml:space="preserve">opakované </w:t>
      </w:r>
      <w:r w:rsidRPr="00823BDC">
        <w:rPr>
          <w:szCs w:val="22"/>
        </w:rPr>
        <w:t>dávky 1</w:t>
      </w:r>
      <w:r w:rsidR="00A2275B" w:rsidRPr="00823BDC">
        <w:rPr>
          <w:szCs w:val="22"/>
        </w:rPr>
        <w:t xml:space="preserve"> </w:t>
      </w:r>
      <w:r w:rsidRPr="00823BDC">
        <w:rPr>
          <w:szCs w:val="22"/>
        </w:rPr>
        <w:t>000 mg/kg/deň.</w:t>
      </w:r>
    </w:p>
    <w:p w14:paraId="786C6191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70E7EE36" w14:textId="77777777" w:rsidR="00D044EB" w:rsidRPr="00823BDC" w:rsidRDefault="00D044EB">
      <w:pPr>
        <w:keepNext/>
        <w:adjustRightInd w:val="0"/>
        <w:snapToGrid w:val="0"/>
        <w:rPr>
          <w:szCs w:val="22"/>
          <w:u w:val="single"/>
        </w:rPr>
      </w:pPr>
      <w:proofErr w:type="spellStart"/>
      <w:r w:rsidRPr="00823BDC">
        <w:rPr>
          <w:szCs w:val="22"/>
          <w:u w:val="single"/>
        </w:rPr>
        <w:t>Simvastatín</w:t>
      </w:r>
      <w:proofErr w:type="spellEnd"/>
    </w:p>
    <w:p w14:paraId="0CAA8C2D" w14:textId="77777777" w:rsidR="00D044EB" w:rsidRPr="00823BDC" w:rsidRDefault="00D044EB">
      <w:pPr>
        <w:adjustRightInd w:val="0"/>
        <w:snapToGrid w:val="0"/>
        <w:rPr>
          <w:snapToGrid w:val="0"/>
          <w:szCs w:val="22"/>
          <w:lang w:eastAsia="nl-NL"/>
        </w:rPr>
      </w:pPr>
      <w:r w:rsidRPr="00823BDC">
        <w:rPr>
          <w:snapToGrid w:val="0"/>
          <w:szCs w:val="22"/>
          <w:lang w:eastAsia="nl-NL"/>
        </w:rPr>
        <w:t xml:space="preserve">Na základe obvyklých štúdií na zvieratách týkajúcich sa </w:t>
      </w:r>
      <w:proofErr w:type="spellStart"/>
      <w:r w:rsidRPr="00823BDC">
        <w:rPr>
          <w:snapToGrid w:val="0"/>
          <w:szCs w:val="22"/>
          <w:lang w:eastAsia="nl-NL"/>
        </w:rPr>
        <w:t>farmakodynamiky</w:t>
      </w:r>
      <w:proofErr w:type="spellEnd"/>
      <w:r w:rsidRPr="00823BDC">
        <w:rPr>
          <w:snapToGrid w:val="0"/>
          <w:szCs w:val="22"/>
          <w:lang w:eastAsia="nl-NL"/>
        </w:rPr>
        <w:t xml:space="preserve">, toxicity po opakovanom podaní, </w:t>
      </w:r>
      <w:proofErr w:type="spellStart"/>
      <w:r w:rsidRPr="00823BDC">
        <w:rPr>
          <w:snapToGrid w:val="0"/>
          <w:szCs w:val="22"/>
          <w:lang w:eastAsia="nl-NL"/>
        </w:rPr>
        <w:t>genotoxicity</w:t>
      </w:r>
      <w:proofErr w:type="spellEnd"/>
      <w:r w:rsidRPr="00823BDC">
        <w:rPr>
          <w:snapToGrid w:val="0"/>
          <w:szCs w:val="22"/>
          <w:lang w:eastAsia="nl-NL"/>
        </w:rPr>
        <w:t xml:space="preserve"> a </w:t>
      </w:r>
      <w:proofErr w:type="spellStart"/>
      <w:r w:rsidRPr="00823BDC">
        <w:rPr>
          <w:snapToGrid w:val="0"/>
          <w:szCs w:val="22"/>
          <w:lang w:eastAsia="nl-NL"/>
        </w:rPr>
        <w:t>karcinogenicity</w:t>
      </w:r>
      <w:proofErr w:type="spellEnd"/>
      <w:r w:rsidRPr="00823BDC">
        <w:rPr>
          <w:snapToGrid w:val="0"/>
          <w:szCs w:val="22"/>
          <w:lang w:eastAsia="nl-NL"/>
        </w:rPr>
        <w:t xml:space="preserve"> </w:t>
      </w:r>
      <w:r w:rsidR="0073466A" w:rsidRPr="00823BDC">
        <w:rPr>
          <w:snapToGrid w:val="0"/>
          <w:szCs w:val="22"/>
          <w:lang w:eastAsia="nl-NL"/>
        </w:rPr>
        <w:t>sa neodhalilo</w:t>
      </w:r>
      <w:r w:rsidRPr="00823BDC">
        <w:rPr>
          <w:snapToGrid w:val="0"/>
          <w:szCs w:val="22"/>
          <w:lang w:eastAsia="nl-NL"/>
        </w:rPr>
        <w:t xml:space="preserve"> žiadne iné rizik</w:t>
      </w:r>
      <w:r w:rsidR="0073466A" w:rsidRPr="00823BDC">
        <w:rPr>
          <w:snapToGrid w:val="0"/>
          <w:szCs w:val="22"/>
          <w:lang w:eastAsia="nl-NL"/>
        </w:rPr>
        <w:t>o</w:t>
      </w:r>
      <w:r w:rsidRPr="00823BDC">
        <w:rPr>
          <w:snapToGrid w:val="0"/>
          <w:szCs w:val="22"/>
          <w:lang w:eastAsia="nl-NL"/>
        </w:rPr>
        <w:t xml:space="preserve"> pre pacienta, než aké sa d</w:t>
      </w:r>
      <w:r w:rsidR="0073466A" w:rsidRPr="00823BDC">
        <w:rPr>
          <w:snapToGrid w:val="0"/>
          <w:szCs w:val="22"/>
          <w:lang w:eastAsia="nl-NL"/>
        </w:rPr>
        <w:t>á</w:t>
      </w:r>
      <w:r w:rsidRPr="00823BDC">
        <w:rPr>
          <w:snapToGrid w:val="0"/>
          <w:szCs w:val="22"/>
          <w:lang w:eastAsia="nl-NL"/>
        </w:rPr>
        <w:t xml:space="preserve"> </w:t>
      </w:r>
      <w:r w:rsidR="0073466A" w:rsidRPr="00823BDC">
        <w:rPr>
          <w:snapToGrid w:val="0"/>
          <w:szCs w:val="22"/>
          <w:lang w:eastAsia="nl-NL"/>
        </w:rPr>
        <w:t>predpokladať</w:t>
      </w:r>
      <w:r w:rsidRPr="00823BDC">
        <w:rPr>
          <w:snapToGrid w:val="0"/>
          <w:szCs w:val="22"/>
          <w:lang w:eastAsia="nl-NL"/>
        </w:rPr>
        <w:t xml:space="preserve"> v súvislosti s farmakologickým mechanizmom</w:t>
      </w:r>
      <w:r w:rsidR="007944B0" w:rsidRPr="00823BDC">
        <w:rPr>
          <w:snapToGrid w:val="0"/>
          <w:szCs w:val="22"/>
          <w:lang w:eastAsia="nl-NL"/>
        </w:rPr>
        <w:t xml:space="preserve"> účinku</w:t>
      </w:r>
      <w:r w:rsidRPr="00823BDC">
        <w:rPr>
          <w:snapToGrid w:val="0"/>
          <w:szCs w:val="22"/>
          <w:lang w:eastAsia="nl-NL"/>
        </w:rPr>
        <w:t xml:space="preserve">. Pri maximálne tolerovaných dávkach u potkanov aj králikov </w:t>
      </w:r>
      <w:proofErr w:type="spellStart"/>
      <w:r w:rsidRPr="00823BDC">
        <w:rPr>
          <w:snapToGrid w:val="0"/>
          <w:szCs w:val="22"/>
          <w:lang w:eastAsia="nl-NL"/>
        </w:rPr>
        <w:t>simvastatín</w:t>
      </w:r>
      <w:proofErr w:type="spellEnd"/>
      <w:r w:rsidRPr="00823BDC">
        <w:rPr>
          <w:snapToGrid w:val="0"/>
          <w:szCs w:val="22"/>
          <w:lang w:eastAsia="nl-NL"/>
        </w:rPr>
        <w:t xml:space="preserve"> nespôsobil žiadne fetálne </w:t>
      </w:r>
      <w:proofErr w:type="spellStart"/>
      <w:r w:rsidRPr="00823BDC">
        <w:rPr>
          <w:snapToGrid w:val="0"/>
          <w:szCs w:val="22"/>
          <w:lang w:eastAsia="nl-NL"/>
        </w:rPr>
        <w:t>malformácie</w:t>
      </w:r>
      <w:proofErr w:type="spellEnd"/>
      <w:r w:rsidRPr="00823BDC">
        <w:rPr>
          <w:snapToGrid w:val="0"/>
          <w:szCs w:val="22"/>
          <w:lang w:eastAsia="nl-NL"/>
        </w:rPr>
        <w:t xml:space="preserve"> a nemal žiadne účinky na </w:t>
      </w:r>
      <w:proofErr w:type="spellStart"/>
      <w:r w:rsidRPr="00823BDC">
        <w:rPr>
          <w:snapToGrid w:val="0"/>
          <w:szCs w:val="22"/>
          <w:lang w:eastAsia="nl-NL"/>
        </w:rPr>
        <w:t>fertilitu</w:t>
      </w:r>
      <w:proofErr w:type="spellEnd"/>
      <w:r w:rsidRPr="00823BDC">
        <w:rPr>
          <w:snapToGrid w:val="0"/>
          <w:szCs w:val="22"/>
          <w:lang w:eastAsia="nl-NL"/>
        </w:rPr>
        <w:t xml:space="preserve">, reprodukčnú funkciu alebo </w:t>
      </w:r>
      <w:proofErr w:type="spellStart"/>
      <w:r w:rsidRPr="00823BDC">
        <w:rPr>
          <w:snapToGrid w:val="0"/>
          <w:szCs w:val="22"/>
          <w:lang w:eastAsia="nl-NL"/>
        </w:rPr>
        <w:t>neonatálny</w:t>
      </w:r>
      <w:proofErr w:type="spellEnd"/>
      <w:r w:rsidRPr="00823BDC">
        <w:rPr>
          <w:snapToGrid w:val="0"/>
          <w:szCs w:val="22"/>
          <w:lang w:eastAsia="nl-NL"/>
        </w:rPr>
        <w:t xml:space="preserve"> výv</w:t>
      </w:r>
      <w:r w:rsidR="0073466A" w:rsidRPr="00823BDC">
        <w:rPr>
          <w:snapToGrid w:val="0"/>
          <w:szCs w:val="22"/>
          <w:lang w:eastAsia="nl-NL"/>
        </w:rPr>
        <w:t>in</w:t>
      </w:r>
      <w:r w:rsidRPr="00823BDC">
        <w:rPr>
          <w:snapToGrid w:val="0"/>
          <w:szCs w:val="22"/>
          <w:lang w:eastAsia="nl-NL"/>
        </w:rPr>
        <w:t>.</w:t>
      </w:r>
    </w:p>
    <w:p w14:paraId="05D045E3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2215B709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61B9622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6.</w:t>
      </w:r>
      <w:r w:rsidRPr="00823BDC">
        <w:rPr>
          <w:b/>
          <w:szCs w:val="22"/>
        </w:rPr>
        <w:tab/>
        <w:t>FARMACEUTICKÉ INFORMÁCIE</w:t>
      </w:r>
    </w:p>
    <w:p w14:paraId="5B5B633A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5BFA8FD8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6.1</w:t>
      </w:r>
      <w:r w:rsidRPr="00823BDC">
        <w:rPr>
          <w:b/>
          <w:szCs w:val="22"/>
        </w:rPr>
        <w:tab/>
        <w:t>Zoznam pomocných látok</w:t>
      </w:r>
    </w:p>
    <w:p w14:paraId="366D4143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186D817B" w14:textId="4398D79E" w:rsidR="00A00E9D" w:rsidRPr="00823BDC" w:rsidRDefault="00A00E9D">
      <w:pPr>
        <w:adjustRightInd w:val="0"/>
        <w:snapToGrid w:val="0"/>
        <w:rPr>
          <w:szCs w:val="22"/>
          <w:u w:val="single"/>
        </w:rPr>
      </w:pPr>
      <w:r w:rsidRPr="00823BDC">
        <w:rPr>
          <w:szCs w:val="22"/>
          <w:u w:val="single"/>
        </w:rPr>
        <w:t>Jadro tablety</w:t>
      </w:r>
    </w:p>
    <w:p w14:paraId="3C0D12DE" w14:textId="77777777" w:rsidR="00A00E9D" w:rsidRPr="00823BDC" w:rsidRDefault="00A00E9D">
      <w:pPr>
        <w:adjustRightInd w:val="0"/>
        <w:snapToGrid w:val="0"/>
        <w:rPr>
          <w:szCs w:val="22"/>
        </w:rPr>
      </w:pPr>
      <w:r w:rsidRPr="00823BDC">
        <w:rPr>
          <w:szCs w:val="22"/>
        </w:rPr>
        <w:t>monohydrát laktózy</w:t>
      </w:r>
    </w:p>
    <w:p w14:paraId="5C99978D" w14:textId="77777777" w:rsidR="00A00E9D" w:rsidRPr="00823BDC" w:rsidRDefault="00A00E9D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lastRenderedPageBreak/>
        <w:t>hypromelóza</w:t>
      </w:r>
      <w:proofErr w:type="spellEnd"/>
    </w:p>
    <w:p w14:paraId="0B57F250" w14:textId="77777777" w:rsidR="00A00E9D" w:rsidRPr="00823BDC" w:rsidRDefault="00A00E9D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sodná soľ </w:t>
      </w:r>
      <w:proofErr w:type="spellStart"/>
      <w:r w:rsidRPr="00823BDC">
        <w:rPr>
          <w:szCs w:val="22"/>
        </w:rPr>
        <w:t>kroskarmelózy</w:t>
      </w:r>
      <w:proofErr w:type="spellEnd"/>
    </w:p>
    <w:p w14:paraId="47F7A4BA" w14:textId="77777777" w:rsidR="00A00E9D" w:rsidRPr="00823BDC" w:rsidRDefault="00A00E9D">
      <w:pPr>
        <w:adjustRightInd w:val="0"/>
        <w:snapToGrid w:val="0"/>
        <w:rPr>
          <w:szCs w:val="22"/>
        </w:rPr>
      </w:pPr>
      <w:r w:rsidRPr="00823BDC">
        <w:rPr>
          <w:szCs w:val="22"/>
        </w:rPr>
        <w:t>mikrokryštalická celulóza</w:t>
      </w:r>
    </w:p>
    <w:p w14:paraId="02776038" w14:textId="77777777" w:rsidR="00A00E9D" w:rsidRPr="00823BDC" w:rsidRDefault="00A00E9D">
      <w:pPr>
        <w:adjustRightInd w:val="0"/>
        <w:snapToGrid w:val="0"/>
        <w:rPr>
          <w:szCs w:val="22"/>
        </w:rPr>
      </w:pPr>
      <w:r w:rsidRPr="00823BDC">
        <w:rPr>
          <w:szCs w:val="22"/>
        </w:rPr>
        <w:t>kyselina askorbová</w:t>
      </w:r>
    </w:p>
    <w:p w14:paraId="38B3065B" w14:textId="77777777" w:rsidR="00A00E9D" w:rsidRPr="00823BDC" w:rsidRDefault="00A00E9D">
      <w:pPr>
        <w:adjustRightInd w:val="0"/>
        <w:snapToGrid w:val="0"/>
        <w:rPr>
          <w:szCs w:val="22"/>
        </w:rPr>
      </w:pPr>
      <w:r w:rsidRPr="00823BDC">
        <w:rPr>
          <w:szCs w:val="22"/>
        </w:rPr>
        <w:t>kyselina citrónová bezvodá</w:t>
      </w:r>
    </w:p>
    <w:p w14:paraId="4707ABE0" w14:textId="5994A529" w:rsidR="00D044EB" w:rsidRPr="00823BDC" w:rsidRDefault="00DE6FC2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b</w:t>
      </w:r>
      <w:r w:rsidR="00D044EB" w:rsidRPr="00823BDC">
        <w:rPr>
          <w:szCs w:val="22"/>
        </w:rPr>
        <w:t>utylhydroxyanizol</w:t>
      </w:r>
      <w:proofErr w:type="spellEnd"/>
    </w:p>
    <w:p w14:paraId="0C59808D" w14:textId="77777777" w:rsidR="00A00E9D" w:rsidRPr="00CD10F1" w:rsidRDefault="00A00E9D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propylgalát</w:t>
      </w:r>
      <w:proofErr w:type="spellEnd"/>
    </w:p>
    <w:p w14:paraId="60A56255" w14:textId="3690EACA" w:rsidR="00D044EB" w:rsidRPr="00842458" w:rsidRDefault="00DE6FC2">
      <w:pPr>
        <w:adjustRightInd w:val="0"/>
        <w:snapToGrid w:val="0"/>
        <w:rPr>
          <w:szCs w:val="22"/>
        </w:rPr>
      </w:pPr>
      <w:proofErr w:type="spellStart"/>
      <w:r w:rsidRPr="00A843D5">
        <w:rPr>
          <w:szCs w:val="22"/>
        </w:rPr>
        <w:t>s</w:t>
      </w:r>
      <w:r w:rsidR="00D31D0D" w:rsidRPr="00A843D5">
        <w:rPr>
          <w:szCs w:val="22"/>
        </w:rPr>
        <w:t>tear</w:t>
      </w:r>
      <w:r w:rsidR="00F6459A">
        <w:rPr>
          <w:szCs w:val="22"/>
        </w:rPr>
        <w:t>át</w:t>
      </w:r>
      <w:proofErr w:type="spellEnd"/>
      <w:r w:rsidR="00886F3D" w:rsidRPr="00D81F49">
        <w:rPr>
          <w:szCs w:val="22"/>
        </w:rPr>
        <w:t xml:space="preserve"> </w:t>
      </w:r>
      <w:proofErr w:type="spellStart"/>
      <w:r w:rsidR="00886F3D" w:rsidRPr="00D81F49">
        <w:rPr>
          <w:szCs w:val="22"/>
        </w:rPr>
        <w:t>horečnatý</w:t>
      </w:r>
      <w:proofErr w:type="spellEnd"/>
    </w:p>
    <w:p w14:paraId="43BA5129" w14:textId="77777777" w:rsidR="00D044EB" w:rsidRPr="00AA7838" w:rsidRDefault="00D044EB">
      <w:pPr>
        <w:adjustRightInd w:val="0"/>
        <w:snapToGrid w:val="0"/>
        <w:rPr>
          <w:szCs w:val="22"/>
        </w:rPr>
      </w:pPr>
    </w:p>
    <w:p w14:paraId="5DC87C84" w14:textId="708C1980" w:rsidR="00A00E9D" w:rsidRPr="00AA7838" w:rsidRDefault="00A00E9D">
      <w:pPr>
        <w:adjustRightInd w:val="0"/>
        <w:snapToGrid w:val="0"/>
        <w:rPr>
          <w:szCs w:val="22"/>
          <w:u w:val="single"/>
        </w:rPr>
      </w:pPr>
      <w:r w:rsidRPr="00AA7838">
        <w:rPr>
          <w:szCs w:val="22"/>
          <w:u w:val="single"/>
        </w:rPr>
        <w:t>Pigmentová zmes</w:t>
      </w:r>
    </w:p>
    <w:p w14:paraId="6F5DBFFF" w14:textId="77777777" w:rsidR="00A00E9D" w:rsidRPr="00373B08" w:rsidRDefault="00A00E9D">
      <w:pPr>
        <w:adjustRightInd w:val="0"/>
        <w:snapToGrid w:val="0"/>
        <w:rPr>
          <w:szCs w:val="22"/>
        </w:rPr>
      </w:pPr>
      <w:r w:rsidRPr="00373B08">
        <w:rPr>
          <w:szCs w:val="22"/>
        </w:rPr>
        <w:t>monohydrát laktózy</w:t>
      </w:r>
    </w:p>
    <w:p w14:paraId="7A9B96FD" w14:textId="77777777" w:rsidR="00A00E9D" w:rsidRPr="00823BDC" w:rsidRDefault="0073466A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žltý </w:t>
      </w:r>
      <w:r w:rsidR="00A00E9D" w:rsidRPr="00823BDC">
        <w:rPr>
          <w:szCs w:val="22"/>
        </w:rPr>
        <w:t>oxid železitý (E172)</w:t>
      </w:r>
    </w:p>
    <w:p w14:paraId="3DFC63C4" w14:textId="77777777" w:rsidR="00A00E9D" w:rsidRPr="00823BDC" w:rsidRDefault="0073466A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červený </w:t>
      </w:r>
      <w:r w:rsidR="00A00E9D" w:rsidRPr="00823BDC">
        <w:rPr>
          <w:szCs w:val="22"/>
        </w:rPr>
        <w:t>oxid železitý (E172)</w:t>
      </w:r>
    </w:p>
    <w:p w14:paraId="168C39C9" w14:textId="77777777" w:rsidR="00A00E9D" w:rsidRPr="00823BDC" w:rsidRDefault="0073466A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čierny </w:t>
      </w:r>
      <w:r w:rsidR="00A00E9D" w:rsidRPr="00823BDC">
        <w:rPr>
          <w:szCs w:val="22"/>
        </w:rPr>
        <w:t>oxid železitý (E172)</w:t>
      </w:r>
    </w:p>
    <w:p w14:paraId="1C9196DC" w14:textId="77777777" w:rsidR="00A00E9D" w:rsidRPr="00823BDC" w:rsidRDefault="00A00E9D">
      <w:pPr>
        <w:adjustRightInd w:val="0"/>
        <w:snapToGrid w:val="0"/>
        <w:rPr>
          <w:szCs w:val="22"/>
        </w:rPr>
      </w:pPr>
    </w:p>
    <w:p w14:paraId="18552A4D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6.2</w:t>
      </w:r>
      <w:r w:rsidRPr="00823BDC">
        <w:rPr>
          <w:b/>
          <w:szCs w:val="22"/>
        </w:rPr>
        <w:tab/>
        <w:t>Inkompatibility</w:t>
      </w:r>
    </w:p>
    <w:p w14:paraId="16447E2D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5CA952A5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Neaplikovateľné.</w:t>
      </w:r>
    </w:p>
    <w:p w14:paraId="66D47D06" w14:textId="77777777" w:rsidR="00D044EB" w:rsidRPr="00823BDC" w:rsidRDefault="00D044EB">
      <w:pPr>
        <w:pStyle w:val="Body"/>
        <w:adjustRightInd w:val="0"/>
        <w:snapToGrid w:val="0"/>
        <w:ind w:firstLine="0"/>
        <w:rPr>
          <w:szCs w:val="22"/>
        </w:rPr>
      </w:pPr>
    </w:p>
    <w:p w14:paraId="00CD3D67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6.3</w:t>
      </w:r>
      <w:r w:rsidRPr="00823BDC">
        <w:rPr>
          <w:b/>
          <w:szCs w:val="22"/>
        </w:rPr>
        <w:tab/>
        <w:t>Čas použiteľnosti</w:t>
      </w:r>
    </w:p>
    <w:p w14:paraId="5CB9534F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4CBDF510" w14:textId="4349201E" w:rsidR="00D044EB" w:rsidRPr="00823BDC" w:rsidRDefault="00D044EB">
      <w:pPr>
        <w:adjustRightInd w:val="0"/>
        <w:snapToGrid w:val="0"/>
        <w:rPr>
          <w:snapToGrid w:val="0"/>
          <w:szCs w:val="22"/>
        </w:rPr>
      </w:pPr>
      <w:r w:rsidRPr="00823BDC">
        <w:rPr>
          <w:szCs w:val="22"/>
        </w:rPr>
        <w:t>2 roky</w:t>
      </w:r>
    </w:p>
    <w:p w14:paraId="2E6F3351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7B106F5B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6.4</w:t>
      </w:r>
      <w:r w:rsidRPr="00823BDC">
        <w:rPr>
          <w:b/>
          <w:szCs w:val="22"/>
        </w:rPr>
        <w:tab/>
        <w:t>Špeciálne upozornenia na uchovávanie</w:t>
      </w:r>
    </w:p>
    <w:p w14:paraId="408CFA75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7B7132D7" w14:textId="77777777" w:rsidR="00D044EB" w:rsidRPr="00CD10F1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Uchovávajte pri teplote neprevyšujúcej </w:t>
      </w:r>
      <w:r w:rsidR="00063276" w:rsidRPr="00823BDC">
        <w:rPr>
          <w:szCs w:val="22"/>
        </w:rPr>
        <w:t>25</w:t>
      </w:r>
      <w:r w:rsidR="00E672C0" w:rsidRPr="00823BDC">
        <w:rPr>
          <w:szCs w:val="22"/>
        </w:rPr>
        <w:t> </w:t>
      </w:r>
      <w:r w:rsidRPr="00CD10F1">
        <w:rPr>
          <w:szCs w:val="22"/>
        </w:rPr>
        <w:sym w:font="Symbol" w:char="F0B0"/>
      </w:r>
      <w:r w:rsidRPr="00CD10F1">
        <w:rPr>
          <w:szCs w:val="22"/>
        </w:rPr>
        <w:t>C.</w:t>
      </w:r>
    </w:p>
    <w:p w14:paraId="40B8683A" w14:textId="77777777" w:rsidR="00D044EB" w:rsidRPr="00A843D5" w:rsidRDefault="00D044EB">
      <w:pPr>
        <w:adjustRightInd w:val="0"/>
        <w:snapToGrid w:val="0"/>
        <w:rPr>
          <w:szCs w:val="22"/>
        </w:rPr>
      </w:pPr>
    </w:p>
    <w:p w14:paraId="7D83584D" w14:textId="77777777" w:rsidR="00D044EB" w:rsidRPr="00AA7838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AA7838">
        <w:rPr>
          <w:b/>
          <w:szCs w:val="22"/>
        </w:rPr>
        <w:t>6.5</w:t>
      </w:r>
      <w:r w:rsidRPr="00AA7838">
        <w:rPr>
          <w:b/>
          <w:szCs w:val="22"/>
        </w:rPr>
        <w:tab/>
        <w:t>Druh obalu a obsah balenia</w:t>
      </w:r>
    </w:p>
    <w:p w14:paraId="32DF7D02" w14:textId="77777777" w:rsidR="00D044EB" w:rsidRPr="00373B08" w:rsidRDefault="00D044EB">
      <w:pPr>
        <w:keepNext/>
        <w:adjustRightInd w:val="0"/>
        <w:snapToGrid w:val="0"/>
        <w:rPr>
          <w:szCs w:val="22"/>
        </w:rPr>
      </w:pPr>
    </w:p>
    <w:p w14:paraId="42CB7318" w14:textId="77777777" w:rsidR="00674477" w:rsidRPr="00823BDC" w:rsidRDefault="00063276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>OPA/AL</w:t>
      </w:r>
      <w:r w:rsidR="00B7265C" w:rsidRPr="00823BDC">
        <w:rPr>
          <w:snapToGrid w:val="0"/>
          <w:szCs w:val="22"/>
        </w:rPr>
        <w:t>U</w:t>
      </w:r>
      <w:r w:rsidRPr="00823BDC">
        <w:rPr>
          <w:snapToGrid w:val="0"/>
          <w:szCs w:val="22"/>
        </w:rPr>
        <w:t>/PVC-AL</w:t>
      </w:r>
      <w:r w:rsidR="00B7265C" w:rsidRPr="00823BDC">
        <w:rPr>
          <w:snapToGrid w:val="0"/>
          <w:szCs w:val="22"/>
        </w:rPr>
        <w:t>U</w:t>
      </w:r>
      <w:r w:rsidRPr="00823BDC">
        <w:rPr>
          <w:snapToGrid w:val="0"/>
          <w:szCs w:val="22"/>
        </w:rPr>
        <w:t xml:space="preserve"> </w:t>
      </w:r>
      <w:proofErr w:type="spellStart"/>
      <w:r w:rsidRPr="00823BDC">
        <w:rPr>
          <w:snapToGrid w:val="0"/>
          <w:szCs w:val="22"/>
        </w:rPr>
        <w:t>blister</w:t>
      </w:r>
      <w:proofErr w:type="spellEnd"/>
    </w:p>
    <w:p w14:paraId="120B307F" w14:textId="77777777" w:rsidR="00063276" w:rsidRPr="00823BDC" w:rsidRDefault="00063276">
      <w:pPr>
        <w:adjustRightInd w:val="0"/>
        <w:snapToGrid w:val="0"/>
        <w:rPr>
          <w:snapToGrid w:val="0"/>
          <w:szCs w:val="22"/>
        </w:rPr>
      </w:pPr>
    </w:p>
    <w:p w14:paraId="52502445" w14:textId="77777777" w:rsidR="009C325F" w:rsidRPr="00823BDC" w:rsidRDefault="00063276">
      <w:pPr>
        <w:adjustRightInd w:val="0"/>
        <w:snapToGrid w:val="0"/>
        <w:rPr>
          <w:snapToGrid w:val="0"/>
          <w:szCs w:val="22"/>
        </w:rPr>
      </w:pPr>
      <w:r w:rsidRPr="00823BDC">
        <w:rPr>
          <w:snapToGrid w:val="0"/>
          <w:szCs w:val="22"/>
        </w:rPr>
        <w:t xml:space="preserve">Veľkosť balenia: </w:t>
      </w:r>
    </w:p>
    <w:p w14:paraId="678C4461" w14:textId="77777777" w:rsidR="009C325F" w:rsidRPr="00823BDC" w:rsidRDefault="009C325F">
      <w:pPr>
        <w:adjustRightInd w:val="0"/>
        <w:snapToGrid w:val="0"/>
        <w:rPr>
          <w:snapToGrid w:val="0"/>
          <w:szCs w:val="22"/>
        </w:rPr>
      </w:pPr>
    </w:p>
    <w:p w14:paraId="0B282ADD" w14:textId="4028F8AC" w:rsidR="00063276" w:rsidRPr="00CD10F1" w:rsidRDefault="009C325F">
      <w:pPr>
        <w:adjustRightInd w:val="0"/>
        <w:snapToGrid w:val="0"/>
        <w:rPr>
          <w:snapToGrid w:val="0"/>
          <w:szCs w:val="22"/>
        </w:rPr>
      </w:pPr>
      <w:r w:rsidRPr="00BF2152">
        <w:rPr>
          <w:szCs w:val="22"/>
        </w:rPr>
        <w:t>10 mg/10 mg: 10</w:t>
      </w:r>
      <w:r w:rsidRPr="00A6540D">
        <w:rPr>
          <w:szCs w:val="22"/>
          <w:highlight w:val="lightGray"/>
        </w:rPr>
        <w:t xml:space="preserve">, </w:t>
      </w:r>
      <w:r w:rsidR="00063276" w:rsidRPr="00A6540D">
        <w:rPr>
          <w:snapToGrid w:val="0"/>
          <w:szCs w:val="22"/>
          <w:highlight w:val="lightGray"/>
        </w:rPr>
        <w:t xml:space="preserve">30, </w:t>
      </w:r>
      <w:r w:rsidR="0025416F" w:rsidRPr="00A6540D">
        <w:rPr>
          <w:snapToGrid w:val="0"/>
          <w:szCs w:val="22"/>
          <w:highlight w:val="lightGray"/>
        </w:rPr>
        <w:t xml:space="preserve">50, </w:t>
      </w:r>
      <w:r w:rsidR="00063276" w:rsidRPr="00A6540D">
        <w:rPr>
          <w:snapToGrid w:val="0"/>
          <w:szCs w:val="22"/>
          <w:highlight w:val="lightGray"/>
        </w:rPr>
        <w:t>100 a 300</w:t>
      </w:r>
      <w:r w:rsidR="00063276" w:rsidRPr="00CD10F1">
        <w:rPr>
          <w:snapToGrid w:val="0"/>
          <w:szCs w:val="22"/>
        </w:rPr>
        <w:t xml:space="preserve"> tabliet</w:t>
      </w:r>
      <w:r w:rsidR="00BF2152">
        <w:rPr>
          <w:snapToGrid w:val="0"/>
          <w:szCs w:val="22"/>
        </w:rPr>
        <w:t>.</w:t>
      </w:r>
    </w:p>
    <w:p w14:paraId="1F0109CC" w14:textId="6761F79D" w:rsidR="00063276" w:rsidRPr="00CD10F1" w:rsidRDefault="009C325F">
      <w:pPr>
        <w:adjustRightInd w:val="0"/>
        <w:snapToGrid w:val="0"/>
        <w:rPr>
          <w:snapToGrid w:val="0"/>
          <w:szCs w:val="22"/>
        </w:rPr>
      </w:pPr>
      <w:r w:rsidRPr="00A6540D">
        <w:rPr>
          <w:szCs w:val="22"/>
          <w:highlight w:val="lightGray"/>
        </w:rPr>
        <w:t>10 mg/20 mg</w:t>
      </w:r>
      <w:r w:rsidRPr="00823BDC">
        <w:rPr>
          <w:color w:val="000000"/>
          <w:szCs w:val="22"/>
          <w:highlight w:val="lightGray"/>
          <w:lang w:val="da-DK"/>
        </w:rPr>
        <w:t xml:space="preserve">; </w:t>
      </w:r>
      <w:r w:rsidRPr="00A6540D">
        <w:rPr>
          <w:szCs w:val="22"/>
          <w:highlight w:val="lightGray"/>
        </w:rPr>
        <w:t>10 mg/40 mg</w:t>
      </w:r>
      <w:r w:rsidRPr="00823BDC">
        <w:rPr>
          <w:color w:val="000000"/>
          <w:szCs w:val="22"/>
          <w:highlight w:val="lightGray"/>
          <w:lang w:val="da-DK"/>
        </w:rPr>
        <w:t>;</w:t>
      </w:r>
      <w:r w:rsidRPr="00A6540D">
        <w:rPr>
          <w:szCs w:val="22"/>
          <w:highlight w:val="lightGray"/>
        </w:rPr>
        <w:t xml:space="preserve"> 10 mg/80 mg: 30, 50, 100 a 300 tabliet</w:t>
      </w:r>
      <w:r w:rsidR="00996125" w:rsidRPr="00A6540D">
        <w:rPr>
          <w:szCs w:val="22"/>
          <w:highlight w:val="lightGray"/>
        </w:rPr>
        <w:t>.</w:t>
      </w:r>
      <w:r w:rsidRPr="00CD10F1">
        <w:rPr>
          <w:szCs w:val="22"/>
        </w:rPr>
        <w:t xml:space="preserve"> </w:t>
      </w:r>
    </w:p>
    <w:p w14:paraId="05E1A2B7" w14:textId="77777777" w:rsidR="009C325F" w:rsidRPr="00A843D5" w:rsidRDefault="009C325F">
      <w:pPr>
        <w:adjustRightInd w:val="0"/>
        <w:snapToGrid w:val="0"/>
        <w:rPr>
          <w:snapToGrid w:val="0"/>
          <w:szCs w:val="22"/>
        </w:rPr>
      </w:pPr>
    </w:p>
    <w:p w14:paraId="3C2C0486" w14:textId="77777777" w:rsidR="00D044EB" w:rsidRPr="00AA7838" w:rsidRDefault="00C71EC2">
      <w:pPr>
        <w:adjustRightInd w:val="0"/>
        <w:snapToGrid w:val="0"/>
        <w:rPr>
          <w:snapToGrid w:val="0"/>
          <w:szCs w:val="22"/>
        </w:rPr>
      </w:pPr>
      <w:r w:rsidRPr="00AA7838">
        <w:rPr>
          <w:snapToGrid w:val="0"/>
          <w:szCs w:val="22"/>
        </w:rPr>
        <w:t>Na trh nemusia byť uvedené</w:t>
      </w:r>
      <w:r w:rsidR="00D044EB" w:rsidRPr="00AA7838">
        <w:rPr>
          <w:snapToGrid w:val="0"/>
          <w:szCs w:val="22"/>
        </w:rPr>
        <w:t xml:space="preserve"> všetky veľkosti balenia.</w:t>
      </w:r>
    </w:p>
    <w:p w14:paraId="7FB64B70" w14:textId="77777777" w:rsidR="00D044EB" w:rsidRPr="00373B08" w:rsidRDefault="00D044EB">
      <w:pPr>
        <w:adjustRightInd w:val="0"/>
        <w:snapToGrid w:val="0"/>
        <w:rPr>
          <w:szCs w:val="22"/>
        </w:rPr>
      </w:pPr>
    </w:p>
    <w:p w14:paraId="0F7901D3" w14:textId="77777777" w:rsidR="00D044EB" w:rsidRPr="00BF2152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szCs w:val="22"/>
        </w:rPr>
      </w:pPr>
      <w:r w:rsidRPr="00BF2152">
        <w:rPr>
          <w:b/>
          <w:szCs w:val="22"/>
        </w:rPr>
        <w:t>6.6</w:t>
      </w:r>
      <w:r w:rsidRPr="00BF2152">
        <w:rPr>
          <w:b/>
          <w:szCs w:val="22"/>
        </w:rPr>
        <w:tab/>
        <w:t>Špeciálne opatrenia na likvidáciu</w:t>
      </w:r>
    </w:p>
    <w:p w14:paraId="3047B220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4989517D" w14:textId="77777777" w:rsidR="00D044EB" w:rsidRPr="00823BDC" w:rsidRDefault="00D044EB">
      <w:pPr>
        <w:adjustRightInd w:val="0"/>
        <w:snapToGrid w:val="0"/>
        <w:rPr>
          <w:szCs w:val="22"/>
        </w:rPr>
      </w:pPr>
      <w:r w:rsidRPr="00823BDC">
        <w:rPr>
          <w:szCs w:val="22"/>
        </w:rPr>
        <w:t>Žiadne zvláštne požiadavky.</w:t>
      </w:r>
    </w:p>
    <w:p w14:paraId="3407F669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084F75B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78123665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7.</w:t>
      </w:r>
      <w:r w:rsidRPr="00823BDC">
        <w:rPr>
          <w:b/>
          <w:szCs w:val="22"/>
        </w:rPr>
        <w:tab/>
        <w:t>DRŽITEĽ ROZHODNUTIA O</w:t>
      </w:r>
      <w:r w:rsidR="0054384D" w:rsidRPr="00823BDC">
        <w:rPr>
          <w:b/>
          <w:szCs w:val="22"/>
        </w:rPr>
        <w:t> </w:t>
      </w:r>
      <w:r w:rsidRPr="00823BDC">
        <w:rPr>
          <w:b/>
          <w:szCs w:val="22"/>
        </w:rPr>
        <w:t>REGISTRÁCII</w:t>
      </w:r>
    </w:p>
    <w:p w14:paraId="6DBDC6D0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2480F8CC" w14:textId="77777777" w:rsidR="00063276" w:rsidRPr="00823BDC" w:rsidRDefault="00063276">
      <w:pPr>
        <w:ind w:left="567" w:hanging="567"/>
        <w:rPr>
          <w:rFonts w:eastAsia="Calibri"/>
          <w:noProof/>
          <w:szCs w:val="22"/>
          <w:lang w:eastAsia="sk-SK"/>
        </w:rPr>
      </w:pPr>
      <w:r w:rsidRPr="00823BDC">
        <w:rPr>
          <w:rFonts w:eastAsia="Calibri"/>
          <w:noProof/>
          <w:szCs w:val="22"/>
          <w:lang w:eastAsia="sk-SK"/>
        </w:rPr>
        <w:t>Zentiva, k.s.</w:t>
      </w:r>
    </w:p>
    <w:p w14:paraId="02D57EDB" w14:textId="77777777" w:rsidR="00063276" w:rsidRPr="00823BDC" w:rsidRDefault="00063276">
      <w:pPr>
        <w:ind w:left="567" w:hanging="567"/>
        <w:rPr>
          <w:rFonts w:eastAsia="Calibri"/>
          <w:noProof/>
          <w:szCs w:val="22"/>
          <w:lang w:eastAsia="sk-SK"/>
        </w:rPr>
      </w:pPr>
      <w:r w:rsidRPr="00823BDC">
        <w:rPr>
          <w:rFonts w:eastAsia="Calibri"/>
          <w:noProof/>
          <w:szCs w:val="22"/>
          <w:lang w:eastAsia="sk-SK"/>
        </w:rPr>
        <w:t>U kabelovny 130</w:t>
      </w:r>
    </w:p>
    <w:p w14:paraId="53705BBE" w14:textId="77777777" w:rsidR="00063276" w:rsidRPr="00823BDC" w:rsidRDefault="00063276">
      <w:pPr>
        <w:ind w:left="567" w:hanging="567"/>
        <w:rPr>
          <w:rFonts w:eastAsia="Calibri"/>
          <w:noProof/>
          <w:szCs w:val="22"/>
          <w:lang w:eastAsia="sk-SK"/>
        </w:rPr>
      </w:pPr>
      <w:r w:rsidRPr="00823BDC">
        <w:rPr>
          <w:rFonts w:eastAsia="Calibri"/>
          <w:noProof/>
          <w:szCs w:val="22"/>
          <w:lang w:eastAsia="sk-SK"/>
        </w:rPr>
        <w:t>102 37 Praha 10 - Dolní Měcholupy</w:t>
      </w:r>
    </w:p>
    <w:p w14:paraId="187C6D1B" w14:textId="77777777" w:rsidR="005956D1" w:rsidRPr="00823BDC" w:rsidRDefault="00063276">
      <w:pPr>
        <w:ind w:left="567" w:hanging="567"/>
        <w:rPr>
          <w:rFonts w:eastAsia="Calibri"/>
          <w:noProof/>
          <w:szCs w:val="22"/>
          <w:lang w:eastAsia="sk-SK"/>
        </w:rPr>
      </w:pPr>
      <w:r w:rsidRPr="00823BDC">
        <w:rPr>
          <w:rFonts w:eastAsia="Calibri"/>
          <w:noProof/>
          <w:szCs w:val="22"/>
          <w:lang w:eastAsia="sk-SK"/>
        </w:rPr>
        <w:t>Česká republika</w:t>
      </w:r>
    </w:p>
    <w:p w14:paraId="7872708F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5955104A" w14:textId="77777777" w:rsidR="00572FDF" w:rsidRPr="00823BDC" w:rsidRDefault="00572FDF">
      <w:pPr>
        <w:adjustRightInd w:val="0"/>
        <w:snapToGrid w:val="0"/>
        <w:rPr>
          <w:szCs w:val="22"/>
        </w:rPr>
      </w:pPr>
    </w:p>
    <w:p w14:paraId="2F5EC7EB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8.</w:t>
      </w:r>
      <w:r w:rsidRPr="00823BDC">
        <w:rPr>
          <w:b/>
          <w:szCs w:val="22"/>
        </w:rPr>
        <w:tab/>
        <w:t>REGISTRAČNÉ ČÍSLA</w:t>
      </w:r>
    </w:p>
    <w:p w14:paraId="62283E76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3CF128A2" w14:textId="77777777" w:rsidR="001F0E65" w:rsidRPr="00823BDC" w:rsidRDefault="001F0E65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Pr="00823BDC">
        <w:rPr>
          <w:szCs w:val="22"/>
        </w:rPr>
        <w:t xml:space="preserve"> 10 mg/10 mg: 31/0078/19-S</w:t>
      </w:r>
    </w:p>
    <w:p w14:paraId="0AB09AAF" w14:textId="77777777" w:rsidR="001F0E65" w:rsidRPr="00823BDC" w:rsidRDefault="001F0E65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Pr="00823BDC">
        <w:rPr>
          <w:szCs w:val="22"/>
        </w:rPr>
        <w:t xml:space="preserve"> 10 mg/20 mg: 31/0079/19-S</w:t>
      </w:r>
    </w:p>
    <w:p w14:paraId="342AD828" w14:textId="77777777" w:rsidR="001F0E65" w:rsidRPr="00823BDC" w:rsidRDefault="001F0E65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t>Cornusan</w:t>
      </w:r>
      <w:proofErr w:type="spellEnd"/>
      <w:r w:rsidRPr="00823BDC">
        <w:rPr>
          <w:szCs w:val="22"/>
        </w:rPr>
        <w:t xml:space="preserve"> 10 mg/40 mg: 31/0080/19-S</w:t>
      </w:r>
    </w:p>
    <w:p w14:paraId="6AB3534A" w14:textId="77777777" w:rsidR="001F0E65" w:rsidRPr="00823BDC" w:rsidRDefault="001F0E65">
      <w:pPr>
        <w:adjustRightInd w:val="0"/>
        <w:snapToGrid w:val="0"/>
        <w:rPr>
          <w:szCs w:val="22"/>
        </w:rPr>
      </w:pPr>
      <w:proofErr w:type="spellStart"/>
      <w:r w:rsidRPr="00823BDC">
        <w:rPr>
          <w:szCs w:val="22"/>
        </w:rPr>
        <w:lastRenderedPageBreak/>
        <w:t>Cornusan</w:t>
      </w:r>
      <w:proofErr w:type="spellEnd"/>
      <w:r w:rsidRPr="00823BDC">
        <w:rPr>
          <w:szCs w:val="22"/>
        </w:rPr>
        <w:t xml:space="preserve"> 10 mg/80 mg: 31/0081/19-S</w:t>
      </w:r>
    </w:p>
    <w:p w14:paraId="7C8F3923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1D8FEC34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35653D5D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9.</w:t>
      </w:r>
      <w:r w:rsidRPr="00823BDC">
        <w:rPr>
          <w:b/>
          <w:szCs w:val="22"/>
        </w:rPr>
        <w:tab/>
        <w:t>DÁTUM PRVEJ REGISTRÁCIE/PREDĹŽENIA REGISTRÁCIE</w:t>
      </w:r>
    </w:p>
    <w:p w14:paraId="07EFF4A7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1B89524F" w14:textId="77777777" w:rsidR="00D044EB" w:rsidRPr="00823BDC" w:rsidRDefault="00FF2767">
      <w:pPr>
        <w:adjustRightInd w:val="0"/>
        <w:snapToGrid w:val="0"/>
        <w:rPr>
          <w:szCs w:val="22"/>
        </w:rPr>
      </w:pPr>
      <w:r w:rsidRPr="00823BDC">
        <w:rPr>
          <w:szCs w:val="22"/>
        </w:rPr>
        <w:t xml:space="preserve">Dátum prvej registrácie: </w:t>
      </w:r>
      <w:r w:rsidR="009311E9" w:rsidRPr="00823BDC">
        <w:rPr>
          <w:szCs w:val="22"/>
        </w:rPr>
        <w:t>14.03.2019</w:t>
      </w:r>
    </w:p>
    <w:p w14:paraId="7E27578B" w14:textId="77777777" w:rsidR="00063276" w:rsidRPr="00823BDC" w:rsidRDefault="00063276">
      <w:pPr>
        <w:adjustRightInd w:val="0"/>
        <w:snapToGrid w:val="0"/>
        <w:rPr>
          <w:szCs w:val="22"/>
        </w:rPr>
      </w:pPr>
    </w:p>
    <w:p w14:paraId="46566E33" w14:textId="77777777" w:rsidR="00D044EB" w:rsidRPr="00823BDC" w:rsidRDefault="00D044EB">
      <w:pPr>
        <w:adjustRightInd w:val="0"/>
        <w:snapToGrid w:val="0"/>
        <w:rPr>
          <w:szCs w:val="22"/>
        </w:rPr>
      </w:pPr>
    </w:p>
    <w:p w14:paraId="7CCE7A5B" w14:textId="77777777" w:rsidR="00D044EB" w:rsidRPr="00823BDC" w:rsidRDefault="00D044EB">
      <w:pPr>
        <w:pStyle w:val="Hlavika"/>
        <w:keepNext/>
        <w:keepLines w:val="0"/>
        <w:tabs>
          <w:tab w:val="clear" w:pos="4320"/>
          <w:tab w:val="clear" w:pos="8640"/>
        </w:tabs>
        <w:adjustRightInd w:val="0"/>
        <w:snapToGrid w:val="0"/>
        <w:rPr>
          <w:b/>
          <w:szCs w:val="22"/>
        </w:rPr>
      </w:pPr>
      <w:r w:rsidRPr="00823BDC">
        <w:rPr>
          <w:b/>
          <w:szCs w:val="22"/>
        </w:rPr>
        <w:t>10.</w:t>
      </w:r>
      <w:r w:rsidRPr="00823BDC">
        <w:rPr>
          <w:b/>
          <w:szCs w:val="22"/>
        </w:rPr>
        <w:tab/>
        <w:t>DÁTUM REVÍZIE TEXTU</w:t>
      </w:r>
    </w:p>
    <w:p w14:paraId="1839017A" w14:textId="77777777" w:rsidR="00D044EB" w:rsidRPr="00823BDC" w:rsidRDefault="00D044EB">
      <w:pPr>
        <w:keepNext/>
        <w:adjustRightInd w:val="0"/>
        <w:snapToGrid w:val="0"/>
        <w:rPr>
          <w:szCs w:val="22"/>
        </w:rPr>
      </w:pPr>
    </w:p>
    <w:p w14:paraId="5DFA6814" w14:textId="34651E46" w:rsidR="00A86CCB" w:rsidRPr="00823BDC" w:rsidRDefault="00823BDC">
      <w:pPr>
        <w:keepNext/>
        <w:adjustRightInd w:val="0"/>
        <w:snapToGrid w:val="0"/>
        <w:rPr>
          <w:szCs w:val="22"/>
        </w:rPr>
      </w:pPr>
      <w:r>
        <w:rPr>
          <w:szCs w:val="22"/>
        </w:rPr>
        <w:t>12/2020</w:t>
      </w:r>
    </w:p>
    <w:sectPr w:rsidR="00A86CCB" w:rsidRPr="00823BDC" w:rsidSect="0053588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711C1" w14:textId="77777777" w:rsidR="001D33A1" w:rsidRDefault="001D33A1">
      <w:r>
        <w:separator/>
      </w:r>
    </w:p>
  </w:endnote>
  <w:endnote w:type="continuationSeparator" w:id="0">
    <w:p w14:paraId="05B1EBD1" w14:textId="77777777" w:rsidR="001D33A1" w:rsidRDefault="001D33A1">
      <w:r>
        <w:continuationSeparator/>
      </w:r>
    </w:p>
  </w:endnote>
  <w:endnote w:type="continuationNotice" w:id="1">
    <w:p w14:paraId="297EC6CF" w14:textId="77777777" w:rsidR="001D33A1" w:rsidRDefault="001D3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FC89D" w14:textId="77777777" w:rsidR="001D33A1" w:rsidRDefault="001D33A1" w:rsidP="005261A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20</w:t>
    </w:r>
    <w:r>
      <w:rPr>
        <w:rStyle w:val="slostrany"/>
      </w:rPr>
      <w:fldChar w:fldCharType="end"/>
    </w:r>
  </w:p>
  <w:p w14:paraId="080017A4" w14:textId="77777777" w:rsidR="001D33A1" w:rsidRDefault="001D33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6135" w14:textId="77777777" w:rsidR="001D33A1" w:rsidRPr="00A6540D" w:rsidRDefault="001D33A1" w:rsidP="00535885">
    <w:pPr>
      <w:pStyle w:val="Pta"/>
      <w:jc w:val="center"/>
      <w:rPr>
        <w:sz w:val="18"/>
        <w:szCs w:val="16"/>
      </w:rPr>
    </w:pPr>
    <w:r w:rsidRPr="00A6540D">
      <w:rPr>
        <w:sz w:val="18"/>
        <w:szCs w:val="16"/>
      </w:rPr>
      <w:fldChar w:fldCharType="begin"/>
    </w:r>
    <w:r w:rsidRPr="00A6540D">
      <w:rPr>
        <w:sz w:val="18"/>
        <w:szCs w:val="16"/>
      </w:rPr>
      <w:instrText>PAGE   \* MERGEFORMAT</w:instrText>
    </w:r>
    <w:r w:rsidRPr="00A6540D">
      <w:rPr>
        <w:sz w:val="18"/>
        <w:szCs w:val="16"/>
      </w:rPr>
      <w:fldChar w:fldCharType="separate"/>
    </w:r>
    <w:r>
      <w:rPr>
        <w:noProof/>
        <w:sz w:val="18"/>
        <w:szCs w:val="16"/>
      </w:rPr>
      <w:t>34</w:t>
    </w:r>
    <w:r w:rsidRPr="00A6540D">
      <w:rPr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DE6B5" w14:textId="77777777" w:rsidR="001D33A1" w:rsidRPr="000625F1" w:rsidRDefault="001D33A1" w:rsidP="000625F1">
    <w:pPr>
      <w:pStyle w:val="Pta"/>
      <w:tabs>
        <w:tab w:val="clear" w:pos="4320"/>
        <w:tab w:val="clear" w:pos="8640"/>
        <w:tab w:val="right" w:pos="9072"/>
      </w:tabs>
      <w:jc w:val="center"/>
      <w:rPr>
        <w:sz w:val="18"/>
        <w:szCs w:val="18"/>
      </w:rPr>
    </w:pPr>
    <w:r w:rsidRPr="000625F1">
      <w:rPr>
        <w:rStyle w:val="slostrany"/>
        <w:sz w:val="18"/>
        <w:szCs w:val="18"/>
      </w:rPr>
      <w:fldChar w:fldCharType="begin"/>
    </w:r>
    <w:r w:rsidRPr="000625F1">
      <w:rPr>
        <w:rStyle w:val="slostrany"/>
        <w:sz w:val="18"/>
        <w:szCs w:val="18"/>
      </w:rPr>
      <w:instrText xml:space="preserve"> PAGE </w:instrText>
    </w:r>
    <w:r w:rsidRPr="000625F1">
      <w:rPr>
        <w:rStyle w:val="slostrany"/>
        <w:sz w:val="18"/>
        <w:szCs w:val="18"/>
      </w:rPr>
      <w:fldChar w:fldCharType="separate"/>
    </w:r>
    <w:r>
      <w:rPr>
        <w:rStyle w:val="slostrany"/>
        <w:noProof/>
        <w:sz w:val="18"/>
        <w:szCs w:val="18"/>
      </w:rPr>
      <w:t>1</w:t>
    </w:r>
    <w:r w:rsidRPr="000625F1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022D8" w14:textId="77777777" w:rsidR="001D33A1" w:rsidRDefault="001D33A1">
      <w:r>
        <w:separator/>
      </w:r>
    </w:p>
  </w:footnote>
  <w:footnote w:type="continuationSeparator" w:id="0">
    <w:p w14:paraId="5CFDC827" w14:textId="77777777" w:rsidR="001D33A1" w:rsidRDefault="001D33A1">
      <w:r>
        <w:continuationSeparator/>
      </w:r>
    </w:p>
  </w:footnote>
  <w:footnote w:type="continuationNotice" w:id="1">
    <w:p w14:paraId="52108F29" w14:textId="77777777" w:rsidR="001D33A1" w:rsidRDefault="001D33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D86C" w14:textId="0DA5E5B4" w:rsidR="001D33A1" w:rsidRPr="00FD0792" w:rsidRDefault="001D33A1" w:rsidP="0025416F">
    <w:pPr>
      <w:pStyle w:val="Bodytext"/>
      <w:tabs>
        <w:tab w:val="left" w:pos="8222"/>
      </w:tabs>
      <w:spacing w:after="0" w:line="240" w:lineRule="auto"/>
      <w:ind w:left="0"/>
      <w:rPr>
        <w:rFonts w:ascii="Times New Roman" w:hAnsi="Times New Roman"/>
        <w:strike w:val="0"/>
        <w:sz w:val="18"/>
        <w:szCs w:val="18"/>
      </w:rPr>
    </w:pPr>
    <w:r w:rsidRPr="00A6540D">
      <w:rPr>
        <w:rFonts w:ascii="Times New Roman" w:hAnsi="Times New Roman"/>
        <w:strike w:val="0"/>
        <w:sz w:val="18"/>
        <w:szCs w:val="18"/>
      </w:rPr>
      <w:t>Príloha č. 1 k notifikácii o zmene, ev. č.</w:t>
    </w:r>
    <w:r w:rsidRPr="00FD0792">
      <w:rPr>
        <w:rFonts w:ascii="Times New Roman" w:hAnsi="Times New Roman"/>
        <w:strike w:val="0"/>
        <w:sz w:val="18"/>
        <w:szCs w:val="18"/>
      </w:rPr>
      <w:t>:</w:t>
    </w:r>
    <w:r w:rsidRPr="00A6540D">
      <w:rPr>
        <w:rFonts w:ascii="Times New Roman" w:hAnsi="Times New Roman"/>
        <w:strike w:val="0"/>
        <w:sz w:val="18"/>
        <w:szCs w:val="18"/>
      </w:rPr>
      <w:t xml:space="preserve"> 2019/07212-Z1B, 2020/01151-Z1B </w:t>
    </w:r>
  </w:p>
  <w:p w14:paraId="3324D95E" w14:textId="7402CCB0" w:rsidR="001D33A1" w:rsidRPr="00FD0792" w:rsidRDefault="001D33A1" w:rsidP="0025416F">
    <w:pPr>
      <w:pStyle w:val="Bodytext"/>
      <w:tabs>
        <w:tab w:val="left" w:pos="8222"/>
      </w:tabs>
      <w:spacing w:after="0" w:line="240" w:lineRule="auto"/>
      <w:ind w:left="0"/>
      <w:rPr>
        <w:rFonts w:ascii="Times New Roman" w:hAnsi="Times New Roman"/>
        <w:strike w:val="0"/>
        <w:sz w:val="18"/>
        <w:szCs w:val="18"/>
      </w:rPr>
    </w:pPr>
    <w:r w:rsidRPr="00FD0792">
      <w:rPr>
        <w:rFonts w:ascii="Times New Roman" w:hAnsi="Times New Roman"/>
        <w:strike w:val="0"/>
        <w:sz w:val="18"/>
        <w:szCs w:val="18"/>
      </w:rPr>
      <w:t xml:space="preserve">Príloha č. 2 k notifikácii o zmene, ev. č.: </w:t>
    </w:r>
    <w:r w:rsidRPr="00A6540D">
      <w:rPr>
        <w:rFonts w:ascii="Times New Roman" w:hAnsi="Times New Roman"/>
        <w:strike w:val="0"/>
        <w:sz w:val="18"/>
        <w:szCs w:val="18"/>
      </w:rPr>
      <w:t>2019/01359-Z1A</w:t>
    </w:r>
    <w:r w:rsidRPr="00FD0792">
      <w:rPr>
        <w:rFonts w:ascii="Times New Roman" w:hAnsi="Times New Roman"/>
        <w:strike w:val="0"/>
        <w:sz w:val="18"/>
        <w:szCs w:val="18"/>
      </w:rPr>
      <w:t>, 2019/02093-Z1B</w:t>
    </w:r>
  </w:p>
  <w:p w14:paraId="32D5FAE8" w14:textId="77777777" w:rsidR="001D33A1" w:rsidRPr="00FD0792" w:rsidRDefault="001D33A1" w:rsidP="00D044EB">
    <w:pPr>
      <w:pStyle w:val="Hlavika"/>
      <w:keepLines w:val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36957" w14:textId="77777777" w:rsidR="001D33A1" w:rsidRDefault="001D33A1" w:rsidP="000625F1">
    <w:pPr>
      <w:adjustRightInd w:val="0"/>
      <w:snapToGrid w:val="0"/>
      <w:rPr>
        <w:sz w:val="18"/>
        <w:szCs w:val="18"/>
      </w:rPr>
    </w:pPr>
    <w:r w:rsidRPr="004F145B">
      <w:rPr>
        <w:sz w:val="18"/>
        <w:szCs w:val="18"/>
      </w:rPr>
      <w:t>Schválený text k</w:t>
    </w:r>
    <w:r>
      <w:rPr>
        <w:sz w:val="18"/>
        <w:szCs w:val="18"/>
      </w:rPr>
      <w:t> </w:t>
    </w:r>
    <w:r w:rsidRPr="004F145B">
      <w:rPr>
        <w:sz w:val="18"/>
        <w:szCs w:val="18"/>
      </w:rPr>
      <w:t xml:space="preserve">rozhodnutiu o zmene, ev. č.: </w:t>
    </w:r>
    <w:r w:rsidRPr="005532E9">
      <w:rPr>
        <w:sz w:val="18"/>
        <w:szCs w:val="18"/>
      </w:rPr>
      <w:t>2017/03565</w:t>
    </w:r>
  </w:p>
  <w:p w14:paraId="6ADD08D1" w14:textId="77777777" w:rsidR="001D33A1" w:rsidRPr="004F145B" w:rsidRDefault="001D33A1" w:rsidP="000625F1">
    <w:pPr>
      <w:adjustRightInd w:val="0"/>
      <w:snapToGrid w:val="0"/>
      <w:rPr>
        <w:sz w:val="18"/>
        <w:szCs w:val="18"/>
      </w:rPr>
    </w:pPr>
    <w:r w:rsidRPr="005532E9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5532E9">
      <w:rPr>
        <w:sz w:val="18"/>
        <w:szCs w:val="18"/>
      </w:rPr>
      <w:t xml:space="preserve"> k</w:t>
    </w:r>
    <w:r>
      <w:rPr>
        <w:sz w:val="18"/>
        <w:szCs w:val="18"/>
      </w:rPr>
      <w:t> </w:t>
    </w:r>
    <w:r w:rsidRPr="005532E9">
      <w:rPr>
        <w:sz w:val="18"/>
        <w:szCs w:val="18"/>
      </w:rPr>
      <w:t>notifikácii o</w:t>
    </w:r>
    <w:r>
      <w:rPr>
        <w:sz w:val="18"/>
        <w:szCs w:val="18"/>
      </w:rPr>
      <w:t> </w:t>
    </w:r>
    <w:r w:rsidRPr="005532E9">
      <w:rPr>
        <w:sz w:val="18"/>
        <w:szCs w:val="18"/>
      </w:rPr>
      <w:t>zmene, ev. č.:2017/06827</w:t>
    </w:r>
  </w:p>
  <w:p w14:paraId="3CA82E71" w14:textId="77777777" w:rsidR="001D33A1" w:rsidRPr="00AF4DC4" w:rsidRDefault="001D33A1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25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851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F8213C"/>
    <w:multiLevelType w:val="hybridMultilevel"/>
    <w:tmpl w:val="637AC2B0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918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E71810"/>
    <w:multiLevelType w:val="hybridMultilevel"/>
    <w:tmpl w:val="C332086C"/>
    <w:lvl w:ilvl="0" w:tplc="975E7FDC">
      <w:start w:val="1"/>
      <w:numFmt w:val="bullet"/>
      <w:lvlText w:val=""/>
      <w:lvlJc w:val="left"/>
      <w:pPr>
        <w:tabs>
          <w:tab w:val="num" w:pos="967"/>
        </w:tabs>
        <w:ind w:left="9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73"/>
        </w:tabs>
        <w:ind w:left="12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93"/>
        </w:tabs>
        <w:ind w:left="19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13"/>
        </w:tabs>
        <w:ind w:left="27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33"/>
        </w:tabs>
        <w:ind w:left="34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53"/>
        </w:tabs>
        <w:ind w:left="41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73"/>
        </w:tabs>
        <w:ind w:left="48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93"/>
        </w:tabs>
        <w:ind w:left="55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13"/>
        </w:tabs>
        <w:ind w:left="6313" w:hanging="360"/>
      </w:pPr>
      <w:rPr>
        <w:rFonts w:ascii="Wingdings" w:hAnsi="Wingdings" w:hint="default"/>
      </w:rPr>
    </w:lvl>
  </w:abstractNum>
  <w:abstractNum w:abstractNumId="5" w15:restartNumberingAfterBreak="0">
    <w:nsid w:val="0AAB70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63360D"/>
    <w:multiLevelType w:val="hybridMultilevel"/>
    <w:tmpl w:val="B2A4C1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E1FB5"/>
    <w:multiLevelType w:val="hybridMultilevel"/>
    <w:tmpl w:val="17A2FAF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531AEC"/>
    <w:multiLevelType w:val="hybridMultilevel"/>
    <w:tmpl w:val="2586F266"/>
    <w:lvl w:ilvl="0" w:tplc="0816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57C42C6"/>
    <w:multiLevelType w:val="hybridMultilevel"/>
    <w:tmpl w:val="B8CAD5CE"/>
    <w:lvl w:ilvl="0" w:tplc="6D8AC5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C144376"/>
    <w:multiLevelType w:val="hybridMultilevel"/>
    <w:tmpl w:val="7C2E84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0E0023"/>
    <w:multiLevelType w:val="hybridMultilevel"/>
    <w:tmpl w:val="3E60603E"/>
    <w:lvl w:ilvl="0" w:tplc="6C2415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40551"/>
    <w:multiLevelType w:val="hybridMultilevel"/>
    <w:tmpl w:val="A588E5C2"/>
    <w:lvl w:ilvl="0" w:tplc="041B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659B9"/>
    <w:multiLevelType w:val="hybridMultilevel"/>
    <w:tmpl w:val="A25650E4"/>
    <w:lvl w:ilvl="0" w:tplc="975E7FD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97F0D97"/>
    <w:multiLevelType w:val="hybridMultilevel"/>
    <w:tmpl w:val="2C8EAE88"/>
    <w:lvl w:ilvl="0" w:tplc="FA88D3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82382"/>
    <w:multiLevelType w:val="singleLevel"/>
    <w:tmpl w:val="09C66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D7F726D"/>
    <w:multiLevelType w:val="hybridMultilevel"/>
    <w:tmpl w:val="3A7045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140A80"/>
    <w:multiLevelType w:val="hybridMultilevel"/>
    <w:tmpl w:val="F05CC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20A64"/>
    <w:multiLevelType w:val="hybridMultilevel"/>
    <w:tmpl w:val="7EB699C0"/>
    <w:lvl w:ilvl="0" w:tplc="975E7FD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B4194"/>
    <w:multiLevelType w:val="hybridMultilevel"/>
    <w:tmpl w:val="1C52C1CE"/>
    <w:lvl w:ilvl="0" w:tplc="975E7FD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95E41"/>
    <w:multiLevelType w:val="hybridMultilevel"/>
    <w:tmpl w:val="68C483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A0BF8"/>
    <w:multiLevelType w:val="hybridMultilevel"/>
    <w:tmpl w:val="AD542278"/>
    <w:lvl w:ilvl="0" w:tplc="6C2415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37D82"/>
    <w:multiLevelType w:val="hybridMultilevel"/>
    <w:tmpl w:val="83E6A3EE"/>
    <w:lvl w:ilvl="0" w:tplc="975E7FD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92231"/>
    <w:multiLevelType w:val="hybridMultilevel"/>
    <w:tmpl w:val="E0A25CE8"/>
    <w:lvl w:ilvl="0" w:tplc="975E7FDC">
      <w:start w:val="1"/>
      <w:numFmt w:val="bullet"/>
      <w:lvlText w:val=""/>
      <w:lvlJc w:val="left"/>
      <w:pPr>
        <w:tabs>
          <w:tab w:val="num" w:pos="-167"/>
        </w:tabs>
        <w:ind w:left="-1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9"/>
        </w:tabs>
        <w:ind w:left="1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859"/>
        </w:tabs>
        <w:ind w:left="8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579"/>
        </w:tabs>
        <w:ind w:left="15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299"/>
        </w:tabs>
        <w:ind w:left="22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019"/>
        </w:tabs>
        <w:ind w:left="30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739"/>
        </w:tabs>
        <w:ind w:left="37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459"/>
        </w:tabs>
        <w:ind w:left="44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179"/>
        </w:tabs>
        <w:ind w:left="5179" w:hanging="360"/>
      </w:pPr>
      <w:rPr>
        <w:rFonts w:ascii="Wingdings" w:hAnsi="Wingdings" w:hint="default"/>
      </w:rPr>
    </w:lvl>
  </w:abstractNum>
  <w:abstractNum w:abstractNumId="24" w15:restartNumberingAfterBreak="0">
    <w:nsid w:val="6034009C"/>
    <w:multiLevelType w:val="hybridMultilevel"/>
    <w:tmpl w:val="1A4AE1E8"/>
    <w:lvl w:ilvl="0" w:tplc="975E7FD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435C1"/>
    <w:multiLevelType w:val="hybridMultilevel"/>
    <w:tmpl w:val="B17A0112"/>
    <w:lvl w:ilvl="0" w:tplc="B7F26E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B1D81"/>
    <w:multiLevelType w:val="hybridMultilevel"/>
    <w:tmpl w:val="25A81F7E"/>
    <w:lvl w:ilvl="0" w:tplc="975E7FD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0B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7"/>
  </w:num>
  <w:num w:numId="3">
    <w:abstractNumId w:val="16"/>
  </w:num>
  <w:num w:numId="4">
    <w:abstractNumId w:val="17"/>
  </w:num>
  <w:num w:numId="5">
    <w:abstractNumId w:val="25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15"/>
  </w:num>
  <w:num w:numId="12">
    <w:abstractNumId w:val="3"/>
  </w:num>
  <w:num w:numId="13">
    <w:abstractNumId w:val="1"/>
  </w:num>
  <w:num w:numId="14">
    <w:abstractNumId w:val="19"/>
  </w:num>
  <w:num w:numId="15">
    <w:abstractNumId w:val="26"/>
  </w:num>
  <w:num w:numId="16">
    <w:abstractNumId w:val="23"/>
  </w:num>
  <w:num w:numId="17">
    <w:abstractNumId w:val="4"/>
  </w:num>
  <w:num w:numId="18">
    <w:abstractNumId w:val="18"/>
  </w:num>
  <w:num w:numId="19">
    <w:abstractNumId w:val="24"/>
  </w:num>
  <w:num w:numId="20">
    <w:abstractNumId w:val="13"/>
  </w:num>
  <w:num w:numId="21">
    <w:abstractNumId w:val="22"/>
  </w:num>
  <w:num w:numId="22">
    <w:abstractNumId w:val="12"/>
  </w:num>
  <w:num w:numId="23">
    <w:abstractNumId w:val="14"/>
  </w:num>
  <w:num w:numId="24">
    <w:abstractNumId w:val="21"/>
  </w:num>
  <w:num w:numId="25">
    <w:abstractNumId w:val="11"/>
  </w:num>
  <w:num w:numId="26">
    <w:abstractNumId w:val="7"/>
  </w:num>
  <w:num w:numId="27">
    <w:abstractNumId w:val="2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EB"/>
    <w:rsid w:val="00000B41"/>
    <w:rsid w:val="00002E2E"/>
    <w:rsid w:val="00007247"/>
    <w:rsid w:val="00007AF6"/>
    <w:rsid w:val="000119FC"/>
    <w:rsid w:val="00011C6C"/>
    <w:rsid w:val="0001499E"/>
    <w:rsid w:val="00017D90"/>
    <w:rsid w:val="00022094"/>
    <w:rsid w:val="000228EC"/>
    <w:rsid w:val="000236E0"/>
    <w:rsid w:val="00030BFB"/>
    <w:rsid w:val="00031037"/>
    <w:rsid w:val="00031AB9"/>
    <w:rsid w:val="00032BDE"/>
    <w:rsid w:val="00033A64"/>
    <w:rsid w:val="00033D69"/>
    <w:rsid w:val="000363DA"/>
    <w:rsid w:val="00036F81"/>
    <w:rsid w:val="00040242"/>
    <w:rsid w:val="00040998"/>
    <w:rsid w:val="00046373"/>
    <w:rsid w:val="00046DA6"/>
    <w:rsid w:val="0004794E"/>
    <w:rsid w:val="00047F58"/>
    <w:rsid w:val="00050951"/>
    <w:rsid w:val="00050A4B"/>
    <w:rsid w:val="000517F5"/>
    <w:rsid w:val="00051A80"/>
    <w:rsid w:val="0005347E"/>
    <w:rsid w:val="0005648A"/>
    <w:rsid w:val="00056662"/>
    <w:rsid w:val="00056799"/>
    <w:rsid w:val="000573F9"/>
    <w:rsid w:val="0005768A"/>
    <w:rsid w:val="00061939"/>
    <w:rsid w:val="00061B51"/>
    <w:rsid w:val="00061BD6"/>
    <w:rsid w:val="000625F1"/>
    <w:rsid w:val="00063202"/>
    <w:rsid w:val="00063276"/>
    <w:rsid w:val="00063C7B"/>
    <w:rsid w:val="0006459D"/>
    <w:rsid w:val="00065EA6"/>
    <w:rsid w:val="00066B8C"/>
    <w:rsid w:val="000678F2"/>
    <w:rsid w:val="000710E9"/>
    <w:rsid w:val="00072CD0"/>
    <w:rsid w:val="000746D3"/>
    <w:rsid w:val="00076C0D"/>
    <w:rsid w:val="00080F71"/>
    <w:rsid w:val="000810E2"/>
    <w:rsid w:val="00081701"/>
    <w:rsid w:val="00082D0B"/>
    <w:rsid w:val="0008467F"/>
    <w:rsid w:val="00086794"/>
    <w:rsid w:val="00091F47"/>
    <w:rsid w:val="00095F7D"/>
    <w:rsid w:val="00097BFE"/>
    <w:rsid w:val="000A10C6"/>
    <w:rsid w:val="000A1A5A"/>
    <w:rsid w:val="000A1FC1"/>
    <w:rsid w:val="000A25EB"/>
    <w:rsid w:val="000A3DB7"/>
    <w:rsid w:val="000A4715"/>
    <w:rsid w:val="000A4ED9"/>
    <w:rsid w:val="000A6AAC"/>
    <w:rsid w:val="000A770D"/>
    <w:rsid w:val="000B0D90"/>
    <w:rsid w:val="000B1763"/>
    <w:rsid w:val="000B17AB"/>
    <w:rsid w:val="000B2EFD"/>
    <w:rsid w:val="000B3C11"/>
    <w:rsid w:val="000B55FA"/>
    <w:rsid w:val="000B5B1B"/>
    <w:rsid w:val="000B7A23"/>
    <w:rsid w:val="000B7C7B"/>
    <w:rsid w:val="000C4116"/>
    <w:rsid w:val="000C4369"/>
    <w:rsid w:val="000C65F9"/>
    <w:rsid w:val="000C6AA9"/>
    <w:rsid w:val="000C7BD4"/>
    <w:rsid w:val="000D0608"/>
    <w:rsid w:val="000D4F00"/>
    <w:rsid w:val="000D54C8"/>
    <w:rsid w:val="000D6224"/>
    <w:rsid w:val="000D664C"/>
    <w:rsid w:val="000E0867"/>
    <w:rsid w:val="000E2387"/>
    <w:rsid w:val="000E52CE"/>
    <w:rsid w:val="000E5F3E"/>
    <w:rsid w:val="000E6C63"/>
    <w:rsid w:val="000F19E9"/>
    <w:rsid w:val="000F6A9C"/>
    <w:rsid w:val="001028E0"/>
    <w:rsid w:val="00107829"/>
    <w:rsid w:val="0011035D"/>
    <w:rsid w:val="00111863"/>
    <w:rsid w:val="00116E36"/>
    <w:rsid w:val="001170F4"/>
    <w:rsid w:val="00120ED1"/>
    <w:rsid w:val="00120FA7"/>
    <w:rsid w:val="00121348"/>
    <w:rsid w:val="00121633"/>
    <w:rsid w:val="0012175F"/>
    <w:rsid w:val="00121D00"/>
    <w:rsid w:val="001227F4"/>
    <w:rsid w:val="00123E2F"/>
    <w:rsid w:val="0012418F"/>
    <w:rsid w:val="00124258"/>
    <w:rsid w:val="00130D67"/>
    <w:rsid w:val="00134F0F"/>
    <w:rsid w:val="00135C4D"/>
    <w:rsid w:val="0014106B"/>
    <w:rsid w:val="00141645"/>
    <w:rsid w:val="00144EA3"/>
    <w:rsid w:val="001459C4"/>
    <w:rsid w:val="0014669B"/>
    <w:rsid w:val="001469CF"/>
    <w:rsid w:val="00151B44"/>
    <w:rsid w:val="001559A4"/>
    <w:rsid w:val="00155A81"/>
    <w:rsid w:val="00155EE5"/>
    <w:rsid w:val="0015757D"/>
    <w:rsid w:val="0015789B"/>
    <w:rsid w:val="00157DE4"/>
    <w:rsid w:val="00163922"/>
    <w:rsid w:val="0016556E"/>
    <w:rsid w:val="00165EED"/>
    <w:rsid w:val="00166F1B"/>
    <w:rsid w:val="00170044"/>
    <w:rsid w:val="00170AAA"/>
    <w:rsid w:val="00170D57"/>
    <w:rsid w:val="00171900"/>
    <w:rsid w:val="00173BBF"/>
    <w:rsid w:val="001748AB"/>
    <w:rsid w:val="001762F4"/>
    <w:rsid w:val="00181872"/>
    <w:rsid w:val="00182D7A"/>
    <w:rsid w:val="00183907"/>
    <w:rsid w:val="00184A5D"/>
    <w:rsid w:val="00186395"/>
    <w:rsid w:val="001872AC"/>
    <w:rsid w:val="00190BC0"/>
    <w:rsid w:val="00190DC7"/>
    <w:rsid w:val="00191407"/>
    <w:rsid w:val="00191648"/>
    <w:rsid w:val="00192E4F"/>
    <w:rsid w:val="0019401E"/>
    <w:rsid w:val="00196D5F"/>
    <w:rsid w:val="001A7F8C"/>
    <w:rsid w:val="001B544C"/>
    <w:rsid w:val="001B5E64"/>
    <w:rsid w:val="001B7D04"/>
    <w:rsid w:val="001C35DB"/>
    <w:rsid w:val="001C5C2C"/>
    <w:rsid w:val="001C7E56"/>
    <w:rsid w:val="001D2572"/>
    <w:rsid w:val="001D33A1"/>
    <w:rsid w:val="001D3BA1"/>
    <w:rsid w:val="001D6DB4"/>
    <w:rsid w:val="001D6EC8"/>
    <w:rsid w:val="001D77FC"/>
    <w:rsid w:val="001E1A3C"/>
    <w:rsid w:val="001E2C16"/>
    <w:rsid w:val="001E6FCC"/>
    <w:rsid w:val="001F0C1A"/>
    <w:rsid w:val="001F0E65"/>
    <w:rsid w:val="001F3E48"/>
    <w:rsid w:val="001F49BF"/>
    <w:rsid w:val="001F4D1C"/>
    <w:rsid w:val="001F5EB4"/>
    <w:rsid w:val="00200360"/>
    <w:rsid w:val="00204360"/>
    <w:rsid w:val="00204576"/>
    <w:rsid w:val="002066F6"/>
    <w:rsid w:val="002115EF"/>
    <w:rsid w:val="00211DFC"/>
    <w:rsid w:val="00211F4C"/>
    <w:rsid w:val="0021330D"/>
    <w:rsid w:val="00214855"/>
    <w:rsid w:val="002166B9"/>
    <w:rsid w:val="00221E1F"/>
    <w:rsid w:val="0022219A"/>
    <w:rsid w:val="0022225F"/>
    <w:rsid w:val="00223553"/>
    <w:rsid w:val="002257E7"/>
    <w:rsid w:val="002369AE"/>
    <w:rsid w:val="002376D1"/>
    <w:rsid w:val="002377B8"/>
    <w:rsid w:val="0023792B"/>
    <w:rsid w:val="00237FEF"/>
    <w:rsid w:val="00242476"/>
    <w:rsid w:val="00242B2E"/>
    <w:rsid w:val="0024514D"/>
    <w:rsid w:val="00246F6E"/>
    <w:rsid w:val="002470B5"/>
    <w:rsid w:val="002470D1"/>
    <w:rsid w:val="00252A55"/>
    <w:rsid w:val="0025416F"/>
    <w:rsid w:val="00260E5E"/>
    <w:rsid w:val="002654A0"/>
    <w:rsid w:val="002659E6"/>
    <w:rsid w:val="0026675D"/>
    <w:rsid w:val="0026767E"/>
    <w:rsid w:val="00267D34"/>
    <w:rsid w:val="002707E7"/>
    <w:rsid w:val="00271925"/>
    <w:rsid w:val="0027286C"/>
    <w:rsid w:val="00272CA6"/>
    <w:rsid w:val="00273B9A"/>
    <w:rsid w:val="00275F09"/>
    <w:rsid w:val="002768C9"/>
    <w:rsid w:val="002846D8"/>
    <w:rsid w:val="0028567B"/>
    <w:rsid w:val="00290D48"/>
    <w:rsid w:val="00292746"/>
    <w:rsid w:val="002A0E14"/>
    <w:rsid w:val="002A1767"/>
    <w:rsid w:val="002A1FF7"/>
    <w:rsid w:val="002A3D2D"/>
    <w:rsid w:val="002B0228"/>
    <w:rsid w:val="002B0F3C"/>
    <w:rsid w:val="002B2B21"/>
    <w:rsid w:val="002B4FC0"/>
    <w:rsid w:val="002B598F"/>
    <w:rsid w:val="002C1E66"/>
    <w:rsid w:val="002C290A"/>
    <w:rsid w:val="002C36D7"/>
    <w:rsid w:val="002D10EA"/>
    <w:rsid w:val="002D5840"/>
    <w:rsid w:val="002D79C8"/>
    <w:rsid w:val="002D7F93"/>
    <w:rsid w:val="002E3FB5"/>
    <w:rsid w:val="002E6A25"/>
    <w:rsid w:val="002E6E20"/>
    <w:rsid w:val="002E7A78"/>
    <w:rsid w:val="002F26A0"/>
    <w:rsid w:val="002F3B68"/>
    <w:rsid w:val="002F475C"/>
    <w:rsid w:val="002F71DF"/>
    <w:rsid w:val="002F7F5C"/>
    <w:rsid w:val="00300BB0"/>
    <w:rsid w:val="00301955"/>
    <w:rsid w:val="003031BE"/>
    <w:rsid w:val="00310627"/>
    <w:rsid w:val="003121CB"/>
    <w:rsid w:val="003133B6"/>
    <w:rsid w:val="00314158"/>
    <w:rsid w:val="00314567"/>
    <w:rsid w:val="003149CD"/>
    <w:rsid w:val="00315AA1"/>
    <w:rsid w:val="00317E56"/>
    <w:rsid w:val="003224C2"/>
    <w:rsid w:val="00322E8F"/>
    <w:rsid w:val="00323F77"/>
    <w:rsid w:val="003257C9"/>
    <w:rsid w:val="00326FEB"/>
    <w:rsid w:val="003315BF"/>
    <w:rsid w:val="003335CD"/>
    <w:rsid w:val="00334566"/>
    <w:rsid w:val="00336472"/>
    <w:rsid w:val="00336647"/>
    <w:rsid w:val="0034066B"/>
    <w:rsid w:val="003413F8"/>
    <w:rsid w:val="00341A9E"/>
    <w:rsid w:val="003425F8"/>
    <w:rsid w:val="003441C6"/>
    <w:rsid w:val="003449B7"/>
    <w:rsid w:val="00346821"/>
    <w:rsid w:val="00346F0B"/>
    <w:rsid w:val="00350CAC"/>
    <w:rsid w:val="00351205"/>
    <w:rsid w:val="0035223F"/>
    <w:rsid w:val="00352D74"/>
    <w:rsid w:val="003541EF"/>
    <w:rsid w:val="0035538F"/>
    <w:rsid w:val="00355B52"/>
    <w:rsid w:val="00355EBB"/>
    <w:rsid w:val="003621FA"/>
    <w:rsid w:val="00362CDA"/>
    <w:rsid w:val="00366C55"/>
    <w:rsid w:val="00367B5B"/>
    <w:rsid w:val="00372F07"/>
    <w:rsid w:val="00373B08"/>
    <w:rsid w:val="0037711B"/>
    <w:rsid w:val="003800BF"/>
    <w:rsid w:val="00380923"/>
    <w:rsid w:val="00380F93"/>
    <w:rsid w:val="00381587"/>
    <w:rsid w:val="003820CB"/>
    <w:rsid w:val="00386A28"/>
    <w:rsid w:val="00387B0F"/>
    <w:rsid w:val="00387D0E"/>
    <w:rsid w:val="00391FEB"/>
    <w:rsid w:val="00392DDE"/>
    <w:rsid w:val="0039643C"/>
    <w:rsid w:val="0039731A"/>
    <w:rsid w:val="003A00CC"/>
    <w:rsid w:val="003B064E"/>
    <w:rsid w:val="003B561A"/>
    <w:rsid w:val="003B5F7A"/>
    <w:rsid w:val="003C1ECF"/>
    <w:rsid w:val="003C2C2B"/>
    <w:rsid w:val="003C4165"/>
    <w:rsid w:val="003D0A0C"/>
    <w:rsid w:val="003D0AC0"/>
    <w:rsid w:val="003D47C0"/>
    <w:rsid w:val="003D75A7"/>
    <w:rsid w:val="003D7E04"/>
    <w:rsid w:val="003E09C8"/>
    <w:rsid w:val="003E32D8"/>
    <w:rsid w:val="003E3C21"/>
    <w:rsid w:val="003E66DB"/>
    <w:rsid w:val="003E7CD6"/>
    <w:rsid w:val="003F09E5"/>
    <w:rsid w:val="003F2250"/>
    <w:rsid w:val="003F3036"/>
    <w:rsid w:val="003F53D0"/>
    <w:rsid w:val="003F7BE0"/>
    <w:rsid w:val="00400DF4"/>
    <w:rsid w:val="00402A27"/>
    <w:rsid w:val="00406D9F"/>
    <w:rsid w:val="00410AF4"/>
    <w:rsid w:val="00410B0D"/>
    <w:rsid w:val="00414212"/>
    <w:rsid w:val="004151C3"/>
    <w:rsid w:val="00415E4C"/>
    <w:rsid w:val="004161A4"/>
    <w:rsid w:val="0041765A"/>
    <w:rsid w:val="0041794A"/>
    <w:rsid w:val="00417CD5"/>
    <w:rsid w:val="004201C0"/>
    <w:rsid w:val="00425514"/>
    <w:rsid w:val="00431182"/>
    <w:rsid w:val="0044052E"/>
    <w:rsid w:val="004422C2"/>
    <w:rsid w:val="00443890"/>
    <w:rsid w:val="00444BE7"/>
    <w:rsid w:val="00445A1C"/>
    <w:rsid w:val="00445F6E"/>
    <w:rsid w:val="00446920"/>
    <w:rsid w:val="00446B95"/>
    <w:rsid w:val="00447F8C"/>
    <w:rsid w:val="0045152E"/>
    <w:rsid w:val="00452106"/>
    <w:rsid w:val="00453F84"/>
    <w:rsid w:val="00456914"/>
    <w:rsid w:val="00457AF6"/>
    <w:rsid w:val="00457F7C"/>
    <w:rsid w:val="004660F6"/>
    <w:rsid w:val="0046623C"/>
    <w:rsid w:val="00472C74"/>
    <w:rsid w:val="00474494"/>
    <w:rsid w:val="0047638B"/>
    <w:rsid w:val="00477AC4"/>
    <w:rsid w:val="004827CA"/>
    <w:rsid w:val="00482B66"/>
    <w:rsid w:val="0048414D"/>
    <w:rsid w:val="00485ACF"/>
    <w:rsid w:val="00485AF6"/>
    <w:rsid w:val="004869C2"/>
    <w:rsid w:val="004936EE"/>
    <w:rsid w:val="0049493F"/>
    <w:rsid w:val="004A03F1"/>
    <w:rsid w:val="004A223E"/>
    <w:rsid w:val="004A2631"/>
    <w:rsid w:val="004A293D"/>
    <w:rsid w:val="004A3795"/>
    <w:rsid w:val="004A5A12"/>
    <w:rsid w:val="004A7B9F"/>
    <w:rsid w:val="004B10D2"/>
    <w:rsid w:val="004B33C8"/>
    <w:rsid w:val="004B3FE7"/>
    <w:rsid w:val="004B5A79"/>
    <w:rsid w:val="004B5DEB"/>
    <w:rsid w:val="004B639E"/>
    <w:rsid w:val="004B6480"/>
    <w:rsid w:val="004B7BA5"/>
    <w:rsid w:val="004B7C32"/>
    <w:rsid w:val="004C4656"/>
    <w:rsid w:val="004C4DEF"/>
    <w:rsid w:val="004C4F2E"/>
    <w:rsid w:val="004D0004"/>
    <w:rsid w:val="004D074C"/>
    <w:rsid w:val="004D0EB5"/>
    <w:rsid w:val="004D102D"/>
    <w:rsid w:val="004D10DE"/>
    <w:rsid w:val="004D1666"/>
    <w:rsid w:val="004D448F"/>
    <w:rsid w:val="004D5092"/>
    <w:rsid w:val="004E1CB4"/>
    <w:rsid w:val="004E548B"/>
    <w:rsid w:val="004E5C91"/>
    <w:rsid w:val="004E68F8"/>
    <w:rsid w:val="004E78EA"/>
    <w:rsid w:val="004E7A3C"/>
    <w:rsid w:val="004F145B"/>
    <w:rsid w:val="004F384C"/>
    <w:rsid w:val="004F563D"/>
    <w:rsid w:val="004F5993"/>
    <w:rsid w:val="004F627E"/>
    <w:rsid w:val="005047ED"/>
    <w:rsid w:val="00504DF6"/>
    <w:rsid w:val="00504F8B"/>
    <w:rsid w:val="00507512"/>
    <w:rsid w:val="00507957"/>
    <w:rsid w:val="005116EA"/>
    <w:rsid w:val="00511E62"/>
    <w:rsid w:val="00512D18"/>
    <w:rsid w:val="00512D42"/>
    <w:rsid w:val="005141A8"/>
    <w:rsid w:val="00514823"/>
    <w:rsid w:val="00515322"/>
    <w:rsid w:val="005156F0"/>
    <w:rsid w:val="00515C17"/>
    <w:rsid w:val="00516B93"/>
    <w:rsid w:val="0051713C"/>
    <w:rsid w:val="00520B7D"/>
    <w:rsid w:val="005215D3"/>
    <w:rsid w:val="00524B24"/>
    <w:rsid w:val="00524CFE"/>
    <w:rsid w:val="00524FCD"/>
    <w:rsid w:val="005261AE"/>
    <w:rsid w:val="0052667F"/>
    <w:rsid w:val="005269BB"/>
    <w:rsid w:val="005269C0"/>
    <w:rsid w:val="00530542"/>
    <w:rsid w:val="00530574"/>
    <w:rsid w:val="00532821"/>
    <w:rsid w:val="005332CD"/>
    <w:rsid w:val="00534C7D"/>
    <w:rsid w:val="00535045"/>
    <w:rsid w:val="00535885"/>
    <w:rsid w:val="00536585"/>
    <w:rsid w:val="0054098C"/>
    <w:rsid w:val="00542009"/>
    <w:rsid w:val="005421E9"/>
    <w:rsid w:val="0054384D"/>
    <w:rsid w:val="00543E58"/>
    <w:rsid w:val="005456E1"/>
    <w:rsid w:val="00545EDC"/>
    <w:rsid w:val="00547D15"/>
    <w:rsid w:val="0055192A"/>
    <w:rsid w:val="005532E9"/>
    <w:rsid w:val="005567D6"/>
    <w:rsid w:val="00557D74"/>
    <w:rsid w:val="00557FE8"/>
    <w:rsid w:val="005609E8"/>
    <w:rsid w:val="00560DC5"/>
    <w:rsid w:val="00560FFE"/>
    <w:rsid w:val="0056142F"/>
    <w:rsid w:val="00561E4E"/>
    <w:rsid w:val="00561E5C"/>
    <w:rsid w:val="00563160"/>
    <w:rsid w:val="00566251"/>
    <w:rsid w:val="00567A7A"/>
    <w:rsid w:val="00567F23"/>
    <w:rsid w:val="00571F76"/>
    <w:rsid w:val="00572086"/>
    <w:rsid w:val="00572784"/>
    <w:rsid w:val="0057278C"/>
    <w:rsid w:val="00572FDF"/>
    <w:rsid w:val="005762E8"/>
    <w:rsid w:val="00576DE6"/>
    <w:rsid w:val="00583124"/>
    <w:rsid w:val="00583CA9"/>
    <w:rsid w:val="00584EF2"/>
    <w:rsid w:val="0058583A"/>
    <w:rsid w:val="005874E3"/>
    <w:rsid w:val="0059044F"/>
    <w:rsid w:val="0059059E"/>
    <w:rsid w:val="005956D1"/>
    <w:rsid w:val="005957EF"/>
    <w:rsid w:val="00596406"/>
    <w:rsid w:val="005965C0"/>
    <w:rsid w:val="0059755B"/>
    <w:rsid w:val="005977A3"/>
    <w:rsid w:val="005A07E7"/>
    <w:rsid w:val="005A1FB7"/>
    <w:rsid w:val="005A2CE8"/>
    <w:rsid w:val="005A3E3E"/>
    <w:rsid w:val="005B0071"/>
    <w:rsid w:val="005B0824"/>
    <w:rsid w:val="005B34A5"/>
    <w:rsid w:val="005B3DFE"/>
    <w:rsid w:val="005C0DD9"/>
    <w:rsid w:val="005C22C9"/>
    <w:rsid w:val="005C3625"/>
    <w:rsid w:val="005C66BE"/>
    <w:rsid w:val="005D2F04"/>
    <w:rsid w:val="005D32AA"/>
    <w:rsid w:val="005D3457"/>
    <w:rsid w:val="005D4CC3"/>
    <w:rsid w:val="005D6F04"/>
    <w:rsid w:val="005E4142"/>
    <w:rsid w:val="005E46D4"/>
    <w:rsid w:val="005E596D"/>
    <w:rsid w:val="005E6EED"/>
    <w:rsid w:val="005F0A1A"/>
    <w:rsid w:val="005F2F78"/>
    <w:rsid w:val="005F47D4"/>
    <w:rsid w:val="005F512E"/>
    <w:rsid w:val="005F5D16"/>
    <w:rsid w:val="006019BB"/>
    <w:rsid w:val="006041D2"/>
    <w:rsid w:val="00605C7D"/>
    <w:rsid w:val="0061145B"/>
    <w:rsid w:val="00612891"/>
    <w:rsid w:val="00612DA7"/>
    <w:rsid w:val="006147B2"/>
    <w:rsid w:val="00615024"/>
    <w:rsid w:val="00616171"/>
    <w:rsid w:val="0061716D"/>
    <w:rsid w:val="0062116B"/>
    <w:rsid w:val="006215A4"/>
    <w:rsid w:val="0062220E"/>
    <w:rsid w:val="00625100"/>
    <w:rsid w:val="00625A11"/>
    <w:rsid w:val="0063013A"/>
    <w:rsid w:val="006308A8"/>
    <w:rsid w:val="00630BF7"/>
    <w:rsid w:val="0063281E"/>
    <w:rsid w:val="00635913"/>
    <w:rsid w:val="00636C11"/>
    <w:rsid w:val="00636FBE"/>
    <w:rsid w:val="00642381"/>
    <w:rsid w:val="00642DD6"/>
    <w:rsid w:val="0064358C"/>
    <w:rsid w:val="006446B8"/>
    <w:rsid w:val="006457EF"/>
    <w:rsid w:val="006464AA"/>
    <w:rsid w:val="006470B9"/>
    <w:rsid w:val="0064763C"/>
    <w:rsid w:val="0065225E"/>
    <w:rsid w:val="0065392B"/>
    <w:rsid w:val="00654D4F"/>
    <w:rsid w:val="006561D1"/>
    <w:rsid w:val="00657DA7"/>
    <w:rsid w:val="006602ED"/>
    <w:rsid w:val="006613D8"/>
    <w:rsid w:val="006648D7"/>
    <w:rsid w:val="006671F5"/>
    <w:rsid w:val="006707FD"/>
    <w:rsid w:val="00671AD5"/>
    <w:rsid w:val="00674477"/>
    <w:rsid w:val="00677E72"/>
    <w:rsid w:val="006824B9"/>
    <w:rsid w:val="00682F61"/>
    <w:rsid w:val="006855DE"/>
    <w:rsid w:val="00691215"/>
    <w:rsid w:val="00691F58"/>
    <w:rsid w:val="006963EE"/>
    <w:rsid w:val="00696947"/>
    <w:rsid w:val="006A0965"/>
    <w:rsid w:val="006A1BC6"/>
    <w:rsid w:val="006A2F21"/>
    <w:rsid w:val="006A3BB9"/>
    <w:rsid w:val="006A6AF5"/>
    <w:rsid w:val="006A75B2"/>
    <w:rsid w:val="006A7B88"/>
    <w:rsid w:val="006B01BF"/>
    <w:rsid w:val="006B3BE6"/>
    <w:rsid w:val="006B4A27"/>
    <w:rsid w:val="006B676E"/>
    <w:rsid w:val="006B7629"/>
    <w:rsid w:val="006C07DB"/>
    <w:rsid w:val="006C558F"/>
    <w:rsid w:val="006C6254"/>
    <w:rsid w:val="006C6280"/>
    <w:rsid w:val="006D0993"/>
    <w:rsid w:val="006D2120"/>
    <w:rsid w:val="006D23EE"/>
    <w:rsid w:val="006D303C"/>
    <w:rsid w:val="006D69A4"/>
    <w:rsid w:val="006D799B"/>
    <w:rsid w:val="006E1FE3"/>
    <w:rsid w:val="006E2EA5"/>
    <w:rsid w:val="006E2F59"/>
    <w:rsid w:val="006E3804"/>
    <w:rsid w:val="006E4EA6"/>
    <w:rsid w:val="006E55C8"/>
    <w:rsid w:val="006F1191"/>
    <w:rsid w:val="006F2CD5"/>
    <w:rsid w:val="006F3D34"/>
    <w:rsid w:val="006F3F73"/>
    <w:rsid w:val="00700FC2"/>
    <w:rsid w:val="007028D0"/>
    <w:rsid w:val="00704788"/>
    <w:rsid w:val="00704D65"/>
    <w:rsid w:val="00706060"/>
    <w:rsid w:val="007064C7"/>
    <w:rsid w:val="007127BA"/>
    <w:rsid w:val="00712DBC"/>
    <w:rsid w:val="00714069"/>
    <w:rsid w:val="00720807"/>
    <w:rsid w:val="00721E1D"/>
    <w:rsid w:val="00722881"/>
    <w:rsid w:val="00722DC6"/>
    <w:rsid w:val="00723264"/>
    <w:rsid w:val="00723E73"/>
    <w:rsid w:val="00725B96"/>
    <w:rsid w:val="00725C47"/>
    <w:rsid w:val="00726B3A"/>
    <w:rsid w:val="00726C51"/>
    <w:rsid w:val="00727BB7"/>
    <w:rsid w:val="00731162"/>
    <w:rsid w:val="00732D95"/>
    <w:rsid w:val="00733A06"/>
    <w:rsid w:val="00734347"/>
    <w:rsid w:val="0073466A"/>
    <w:rsid w:val="00735B33"/>
    <w:rsid w:val="007374E7"/>
    <w:rsid w:val="00737970"/>
    <w:rsid w:val="007446C8"/>
    <w:rsid w:val="00746382"/>
    <w:rsid w:val="007479ED"/>
    <w:rsid w:val="00750224"/>
    <w:rsid w:val="0075666E"/>
    <w:rsid w:val="00757232"/>
    <w:rsid w:val="007602B6"/>
    <w:rsid w:val="0076136C"/>
    <w:rsid w:val="00761C19"/>
    <w:rsid w:val="007624F6"/>
    <w:rsid w:val="00763765"/>
    <w:rsid w:val="00763817"/>
    <w:rsid w:val="0076744B"/>
    <w:rsid w:val="00767F98"/>
    <w:rsid w:val="00770B13"/>
    <w:rsid w:val="0078073F"/>
    <w:rsid w:val="00780919"/>
    <w:rsid w:val="00780B74"/>
    <w:rsid w:val="00780EB2"/>
    <w:rsid w:val="00784746"/>
    <w:rsid w:val="00784A15"/>
    <w:rsid w:val="00784AB3"/>
    <w:rsid w:val="00786412"/>
    <w:rsid w:val="00787881"/>
    <w:rsid w:val="007900F4"/>
    <w:rsid w:val="00790DC3"/>
    <w:rsid w:val="0079156C"/>
    <w:rsid w:val="00791D32"/>
    <w:rsid w:val="0079314F"/>
    <w:rsid w:val="00793FBE"/>
    <w:rsid w:val="007944B0"/>
    <w:rsid w:val="007962DC"/>
    <w:rsid w:val="007978F5"/>
    <w:rsid w:val="007A26FC"/>
    <w:rsid w:val="007A47DF"/>
    <w:rsid w:val="007B0852"/>
    <w:rsid w:val="007B2247"/>
    <w:rsid w:val="007B2E7B"/>
    <w:rsid w:val="007B6A18"/>
    <w:rsid w:val="007B6D5C"/>
    <w:rsid w:val="007C1011"/>
    <w:rsid w:val="007C1C22"/>
    <w:rsid w:val="007C1F4B"/>
    <w:rsid w:val="007C3FA4"/>
    <w:rsid w:val="007C46B6"/>
    <w:rsid w:val="007D308B"/>
    <w:rsid w:val="007D57A6"/>
    <w:rsid w:val="007D633F"/>
    <w:rsid w:val="007D6D07"/>
    <w:rsid w:val="007E12B5"/>
    <w:rsid w:val="007E2DE1"/>
    <w:rsid w:val="007E3F00"/>
    <w:rsid w:val="007E4227"/>
    <w:rsid w:val="007E4791"/>
    <w:rsid w:val="007F02B8"/>
    <w:rsid w:val="007F05D2"/>
    <w:rsid w:val="007F0D7E"/>
    <w:rsid w:val="007F1B6B"/>
    <w:rsid w:val="007F1B90"/>
    <w:rsid w:val="007F4AB0"/>
    <w:rsid w:val="007F5FF7"/>
    <w:rsid w:val="007F692D"/>
    <w:rsid w:val="007F730F"/>
    <w:rsid w:val="0080003C"/>
    <w:rsid w:val="00803363"/>
    <w:rsid w:val="00803F98"/>
    <w:rsid w:val="008079A7"/>
    <w:rsid w:val="00812579"/>
    <w:rsid w:val="008126A4"/>
    <w:rsid w:val="00813856"/>
    <w:rsid w:val="00814172"/>
    <w:rsid w:val="00816F8F"/>
    <w:rsid w:val="0082315A"/>
    <w:rsid w:val="00823BDC"/>
    <w:rsid w:val="00825ABD"/>
    <w:rsid w:val="00827587"/>
    <w:rsid w:val="008278F8"/>
    <w:rsid w:val="00834B7C"/>
    <w:rsid w:val="00834F7D"/>
    <w:rsid w:val="00835188"/>
    <w:rsid w:val="00835F33"/>
    <w:rsid w:val="0083736D"/>
    <w:rsid w:val="00840FE0"/>
    <w:rsid w:val="00841EB1"/>
    <w:rsid w:val="00842458"/>
    <w:rsid w:val="008432EF"/>
    <w:rsid w:val="00850C86"/>
    <w:rsid w:val="00850F69"/>
    <w:rsid w:val="0085110F"/>
    <w:rsid w:val="00851720"/>
    <w:rsid w:val="00852336"/>
    <w:rsid w:val="00852C70"/>
    <w:rsid w:val="008556DA"/>
    <w:rsid w:val="00855FF9"/>
    <w:rsid w:val="008566E3"/>
    <w:rsid w:val="00856D28"/>
    <w:rsid w:val="008579BE"/>
    <w:rsid w:val="008604A0"/>
    <w:rsid w:val="008611F2"/>
    <w:rsid w:val="00862D66"/>
    <w:rsid w:val="00863845"/>
    <w:rsid w:val="00864F69"/>
    <w:rsid w:val="0086683F"/>
    <w:rsid w:val="00866DDC"/>
    <w:rsid w:val="00873EE1"/>
    <w:rsid w:val="008800D2"/>
    <w:rsid w:val="00883028"/>
    <w:rsid w:val="0088522F"/>
    <w:rsid w:val="0088609C"/>
    <w:rsid w:val="00886F3D"/>
    <w:rsid w:val="00892C24"/>
    <w:rsid w:val="008969AF"/>
    <w:rsid w:val="00897D27"/>
    <w:rsid w:val="008A3107"/>
    <w:rsid w:val="008A3BCD"/>
    <w:rsid w:val="008A5937"/>
    <w:rsid w:val="008A761A"/>
    <w:rsid w:val="008A7E84"/>
    <w:rsid w:val="008B0915"/>
    <w:rsid w:val="008B1213"/>
    <w:rsid w:val="008B47E2"/>
    <w:rsid w:val="008B620F"/>
    <w:rsid w:val="008B6F4B"/>
    <w:rsid w:val="008C1C6A"/>
    <w:rsid w:val="008C5836"/>
    <w:rsid w:val="008D22D3"/>
    <w:rsid w:val="008D7B54"/>
    <w:rsid w:val="008E040C"/>
    <w:rsid w:val="008E15F2"/>
    <w:rsid w:val="008E23D0"/>
    <w:rsid w:val="008E2569"/>
    <w:rsid w:val="008E3AC8"/>
    <w:rsid w:val="008F0AF0"/>
    <w:rsid w:val="008F15B1"/>
    <w:rsid w:val="008F2959"/>
    <w:rsid w:val="008F2CE1"/>
    <w:rsid w:val="008F62AA"/>
    <w:rsid w:val="008F671D"/>
    <w:rsid w:val="008F6DF4"/>
    <w:rsid w:val="00900A82"/>
    <w:rsid w:val="0090280C"/>
    <w:rsid w:val="00906C00"/>
    <w:rsid w:val="00906ED2"/>
    <w:rsid w:val="00911BCA"/>
    <w:rsid w:val="00912A33"/>
    <w:rsid w:val="00912E15"/>
    <w:rsid w:val="00914947"/>
    <w:rsid w:val="00917530"/>
    <w:rsid w:val="00917826"/>
    <w:rsid w:val="009178DF"/>
    <w:rsid w:val="009209CE"/>
    <w:rsid w:val="00920ABD"/>
    <w:rsid w:val="0092110F"/>
    <w:rsid w:val="0092198A"/>
    <w:rsid w:val="009222DD"/>
    <w:rsid w:val="00922C13"/>
    <w:rsid w:val="00924879"/>
    <w:rsid w:val="00924B12"/>
    <w:rsid w:val="00925B43"/>
    <w:rsid w:val="0092715C"/>
    <w:rsid w:val="009311E9"/>
    <w:rsid w:val="00932186"/>
    <w:rsid w:val="00932EFA"/>
    <w:rsid w:val="009330E3"/>
    <w:rsid w:val="00936BC4"/>
    <w:rsid w:val="009378A1"/>
    <w:rsid w:val="0094157B"/>
    <w:rsid w:val="00941614"/>
    <w:rsid w:val="00941C9C"/>
    <w:rsid w:val="00943466"/>
    <w:rsid w:val="00944083"/>
    <w:rsid w:val="00944E0E"/>
    <w:rsid w:val="00951C80"/>
    <w:rsid w:val="009537C1"/>
    <w:rsid w:val="00953D89"/>
    <w:rsid w:val="00954A9F"/>
    <w:rsid w:val="00957118"/>
    <w:rsid w:val="00962818"/>
    <w:rsid w:val="009629B1"/>
    <w:rsid w:val="00964645"/>
    <w:rsid w:val="00972F7F"/>
    <w:rsid w:val="00974836"/>
    <w:rsid w:val="00976191"/>
    <w:rsid w:val="009778E3"/>
    <w:rsid w:val="00980971"/>
    <w:rsid w:val="00980C51"/>
    <w:rsid w:val="00981392"/>
    <w:rsid w:val="00982DE7"/>
    <w:rsid w:val="009836A0"/>
    <w:rsid w:val="00985102"/>
    <w:rsid w:val="009913C5"/>
    <w:rsid w:val="00996125"/>
    <w:rsid w:val="009977EC"/>
    <w:rsid w:val="009A1433"/>
    <w:rsid w:val="009A1532"/>
    <w:rsid w:val="009A2619"/>
    <w:rsid w:val="009A2698"/>
    <w:rsid w:val="009A2D2D"/>
    <w:rsid w:val="009A331B"/>
    <w:rsid w:val="009A3759"/>
    <w:rsid w:val="009A46CD"/>
    <w:rsid w:val="009A796F"/>
    <w:rsid w:val="009B07E0"/>
    <w:rsid w:val="009B1E85"/>
    <w:rsid w:val="009B342B"/>
    <w:rsid w:val="009B4993"/>
    <w:rsid w:val="009B51F7"/>
    <w:rsid w:val="009B652D"/>
    <w:rsid w:val="009B72C0"/>
    <w:rsid w:val="009C0FE8"/>
    <w:rsid w:val="009C1391"/>
    <w:rsid w:val="009C2547"/>
    <w:rsid w:val="009C325F"/>
    <w:rsid w:val="009C528B"/>
    <w:rsid w:val="009C5F32"/>
    <w:rsid w:val="009D058C"/>
    <w:rsid w:val="009D2647"/>
    <w:rsid w:val="009D4FF8"/>
    <w:rsid w:val="009D6048"/>
    <w:rsid w:val="009E2BAB"/>
    <w:rsid w:val="009E2D49"/>
    <w:rsid w:val="009E2F49"/>
    <w:rsid w:val="009E3C1C"/>
    <w:rsid w:val="009E761C"/>
    <w:rsid w:val="009E78FF"/>
    <w:rsid w:val="009F0888"/>
    <w:rsid w:val="009F1723"/>
    <w:rsid w:val="009F44F6"/>
    <w:rsid w:val="009F5843"/>
    <w:rsid w:val="00A00E9D"/>
    <w:rsid w:val="00A02E44"/>
    <w:rsid w:val="00A03049"/>
    <w:rsid w:val="00A032BB"/>
    <w:rsid w:val="00A04E02"/>
    <w:rsid w:val="00A07B6E"/>
    <w:rsid w:val="00A1245F"/>
    <w:rsid w:val="00A1491E"/>
    <w:rsid w:val="00A173A5"/>
    <w:rsid w:val="00A20A38"/>
    <w:rsid w:val="00A2275B"/>
    <w:rsid w:val="00A235D5"/>
    <w:rsid w:val="00A23848"/>
    <w:rsid w:val="00A2475C"/>
    <w:rsid w:val="00A26693"/>
    <w:rsid w:val="00A27A31"/>
    <w:rsid w:val="00A300AD"/>
    <w:rsid w:val="00A3342C"/>
    <w:rsid w:val="00A37F17"/>
    <w:rsid w:val="00A4113A"/>
    <w:rsid w:val="00A42A7B"/>
    <w:rsid w:val="00A42B63"/>
    <w:rsid w:val="00A43AEE"/>
    <w:rsid w:val="00A43EAA"/>
    <w:rsid w:val="00A452B2"/>
    <w:rsid w:val="00A458AC"/>
    <w:rsid w:val="00A45D43"/>
    <w:rsid w:val="00A478EA"/>
    <w:rsid w:val="00A608AE"/>
    <w:rsid w:val="00A62AF5"/>
    <w:rsid w:val="00A6373C"/>
    <w:rsid w:val="00A6540D"/>
    <w:rsid w:val="00A654C9"/>
    <w:rsid w:val="00A678C4"/>
    <w:rsid w:val="00A7090A"/>
    <w:rsid w:val="00A712AF"/>
    <w:rsid w:val="00A72DB6"/>
    <w:rsid w:val="00A738FD"/>
    <w:rsid w:val="00A74151"/>
    <w:rsid w:val="00A775E3"/>
    <w:rsid w:val="00A81176"/>
    <w:rsid w:val="00A81780"/>
    <w:rsid w:val="00A82797"/>
    <w:rsid w:val="00A83626"/>
    <w:rsid w:val="00A839CD"/>
    <w:rsid w:val="00A84323"/>
    <w:rsid w:val="00A843D5"/>
    <w:rsid w:val="00A84927"/>
    <w:rsid w:val="00A858E1"/>
    <w:rsid w:val="00A863F4"/>
    <w:rsid w:val="00A86CCB"/>
    <w:rsid w:val="00A86E4A"/>
    <w:rsid w:val="00A87342"/>
    <w:rsid w:val="00A90F03"/>
    <w:rsid w:val="00A91D63"/>
    <w:rsid w:val="00A91DFD"/>
    <w:rsid w:val="00A92239"/>
    <w:rsid w:val="00A931E8"/>
    <w:rsid w:val="00A9369F"/>
    <w:rsid w:val="00A9396D"/>
    <w:rsid w:val="00A94094"/>
    <w:rsid w:val="00A96960"/>
    <w:rsid w:val="00A96EB1"/>
    <w:rsid w:val="00A971CA"/>
    <w:rsid w:val="00AA0E91"/>
    <w:rsid w:val="00AA1EAD"/>
    <w:rsid w:val="00AA2091"/>
    <w:rsid w:val="00AA5528"/>
    <w:rsid w:val="00AA627C"/>
    <w:rsid w:val="00AA6D4F"/>
    <w:rsid w:val="00AA7838"/>
    <w:rsid w:val="00AA7981"/>
    <w:rsid w:val="00AA7F56"/>
    <w:rsid w:val="00AB14EA"/>
    <w:rsid w:val="00AB434D"/>
    <w:rsid w:val="00AB7616"/>
    <w:rsid w:val="00AC1692"/>
    <w:rsid w:val="00AC2175"/>
    <w:rsid w:val="00AC5325"/>
    <w:rsid w:val="00AC743B"/>
    <w:rsid w:val="00AC7C24"/>
    <w:rsid w:val="00AD0060"/>
    <w:rsid w:val="00AD02A1"/>
    <w:rsid w:val="00AD0948"/>
    <w:rsid w:val="00AD0BB3"/>
    <w:rsid w:val="00AD550C"/>
    <w:rsid w:val="00AD57D2"/>
    <w:rsid w:val="00AD6A1D"/>
    <w:rsid w:val="00AD776D"/>
    <w:rsid w:val="00AE1AE8"/>
    <w:rsid w:val="00AE212B"/>
    <w:rsid w:val="00AE3783"/>
    <w:rsid w:val="00AE57B1"/>
    <w:rsid w:val="00AF4DC4"/>
    <w:rsid w:val="00AF56C0"/>
    <w:rsid w:val="00AF5C2D"/>
    <w:rsid w:val="00B013FE"/>
    <w:rsid w:val="00B01668"/>
    <w:rsid w:val="00B02E24"/>
    <w:rsid w:val="00B06D27"/>
    <w:rsid w:val="00B06DC8"/>
    <w:rsid w:val="00B07F19"/>
    <w:rsid w:val="00B1120B"/>
    <w:rsid w:val="00B12676"/>
    <w:rsid w:val="00B12A7F"/>
    <w:rsid w:val="00B1314A"/>
    <w:rsid w:val="00B14EF8"/>
    <w:rsid w:val="00B2325A"/>
    <w:rsid w:val="00B233D9"/>
    <w:rsid w:val="00B34499"/>
    <w:rsid w:val="00B40348"/>
    <w:rsid w:val="00B410D3"/>
    <w:rsid w:val="00B42191"/>
    <w:rsid w:val="00B42BC0"/>
    <w:rsid w:val="00B43F72"/>
    <w:rsid w:val="00B45C90"/>
    <w:rsid w:val="00B46157"/>
    <w:rsid w:val="00B47AF7"/>
    <w:rsid w:val="00B50787"/>
    <w:rsid w:val="00B5260D"/>
    <w:rsid w:val="00B531B1"/>
    <w:rsid w:val="00B54664"/>
    <w:rsid w:val="00B557E6"/>
    <w:rsid w:val="00B56B05"/>
    <w:rsid w:val="00B65737"/>
    <w:rsid w:val="00B66081"/>
    <w:rsid w:val="00B72455"/>
    <w:rsid w:val="00B7265C"/>
    <w:rsid w:val="00B726B5"/>
    <w:rsid w:val="00B72DAF"/>
    <w:rsid w:val="00B73F18"/>
    <w:rsid w:val="00B74E2B"/>
    <w:rsid w:val="00B75FC9"/>
    <w:rsid w:val="00B772BC"/>
    <w:rsid w:val="00B80511"/>
    <w:rsid w:val="00B80E8B"/>
    <w:rsid w:val="00B821F6"/>
    <w:rsid w:val="00B84696"/>
    <w:rsid w:val="00B8473D"/>
    <w:rsid w:val="00B86D2C"/>
    <w:rsid w:val="00B90AAA"/>
    <w:rsid w:val="00B93137"/>
    <w:rsid w:val="00B96C7F"/>
    <w:rsid w:val="00B979BF"/>
    <w:rsid w:val="00B97DB1"/>
    <w:rsid w:val="00BA30AB"/>
    <w:rsid w:val="00BA47D2"/>
    <w:rsid w:val="00BA4CEB"/>
    <w:rsid w:val="00BA7578"/>
    <w:rsid w:val="00BA778E"/>
    <w:rsid w:val="00BB1D80"/>
    <w:rsid w:val="00BB6136"/>
    <w:rsid w:val="00BB764F"/>
    <w:rsid w:val="00BC0749"/>
    <w:rsid w:val="00BC0B98"/>
    <w:rsid w:val="00BC3DE9"/>
    <w:rsid w:val="00BC4759"/>
    <w:rsid w:val="00BD097F"/>
    <w:rsid w:val="00BD0BF3"/>
    <w:rsid w:val="00BD33BE"/>
    <w:rsid w:val="00BD5CA7"/>
    <w:rsid w:val="00BD6413"/>
    <w:rsid w:val="00BE079B"/>
    <w:rsid w:val="00BE0B2D"/>
    <w:rsid w:val="00BE15B6"/>
    <w:rsid w:val="00BE4C29"/>
    <w:rsid w:val="00BF2152"/>
    <w:rsid w:val="00BF231C"/>
    <w:rsid w:val="00BF381B"/>
    <w:rsid w:val="00BF4857"/>
    <w:rsid w:val="00BF4D43"/>
    <w:rsid w:val="00BF4D94"/>
    <w:rsid w:val="00BF66F9"/>
    <w:rsid w:val="00C01354"/>
    <w:rsid w:val="00C04570"/>
    <w:rsid w:val="00C07A74"/>
    <w:rsid w:val="00C102B7"/>
    <w:rsid w:val="00C114BC"/>
    <w:rsid w:val="00C127E0"/>
    <w:rsid w:val="00C16A33"/>
    <w:rsid w:val="00C174FB"/>
    <w:rsid w:val="00C17785"/>
    <w:rsid w:val="00C21C34"/>
    <w:rsid w:val="00C23969"/>
    <w:rsid w:val="00C24371"/>
    <w:rsid w:val="00C26453"/>
    <w:rsid w:val="00C26B32"/>
    <w:rsid w:val="00C3018F"/>
    <w:rsid w:val="00C346CC"/>
    <w:rsid w:val="00C36020"/>
    <w:rsid w:val="00C41DF8"/>
    <w:rsid w:val="00C44212"/>
    <w:rsid w:val="00C47C59"/>
    <w:rsid w:val="00C517B5"/>
    <w:rsid w:val="00C530FB"/>
    <w:rsid w:val="00C5474A"/>
    <w:rsid w:val="00C555FD"/>
    <w:rsid w:val="00C57B26"/>
    <w:rsid w:val="00C62A5E"/>
    <w:rsid w:val="00C62C11"/>
    <w:rsid w:val="00C6422C"/>
    <w:rsid w:val="00C66741"/>
    <w:rsid w:val="00C66DD4"/>
    <w:rsid w:val="00C67891"/>
    <w:rsid w:val="00C67FB1"/>
    <w:rsid w:val="00C70757"/>
    <w:rsid w:val="00C71EC2"/>
    <w:rsid w:val="00C7267B"/>
    <w:rsid w:val="00C74F84"/>
    <w:rsid w:val="00C74FD5"/>
    <w:rsid w:val="00C762B7"/>
    <w:rsid w:val="00C77229"/>
    <w:rsid w:val="00C77A34"/>
    <w:rsid w:val="00C80DB7"/>
    <w:rsid w:val="00C84706"/>
    <w:rsid w:val="00C853A9"/>
    <w:rsid w:val="00C9232F"/>
    <w:rsid w:val="00C925CF"/>
    <w:rsid w:val="00C92C2A"/>
    <w:rsid w:val="00C92EF2"/>
    <w:rsid w:val="00C97130"/>
    <w:rsid w:val="00CA0737"/>
    <w:rsid w:val="00CA0F1A"/>
    <w:rsid w:val="00CA22A6"/>
    <w:rsid w:val="00CA3941"/>
    <w:rsid w:val="00CA4D30"/>
    <w:rsid w:val="00CA5BD3"/>
    <w:rsid w:val="00CA6767"/>
    <w:rsid w:val="00CB6863"/>
    <w:rsid w:val="00CC1009"/>
    <w:rsid w:val="00CC4204"/>
    <w:rsid w:val="00CC629F"/>
    <w:rsid w:val="00CC63CC"/>
    <w:rsid w:val="00CC6945"/>
    <w:rsid w:val="00CC7922"/>
    <w:rsid w:val="00CC7F97"/>
    <w:rsid w:val="00CD10F1"/>
    <w:rsid w:val="00CD1CA1"/>
    <w:rsid w:val="00CE1815"/>
    <w:rsid w:val="00CE2355"/>
    <w:rsid w:val="00CE32DC"/>
    <w:rsid w:val="00CE4361"/>
    <w:rsid w:val="00CE4B5D"/>
    <w:rsid w:val="00CE6149"/>
    <w:rsid w:val="00CF1950"/>
    <w:rsid w:val="00CF1B26"/>
    <w:rsid w:val="00CF390A"/>
    <w:rsid w:val="00CF5DCC"/>
    <w:rsid w:val="00CF744E"/>
    <w:rsid w:val="00CF7A01"/>
    <w:rsid w:val="00D006D8"/>
    <w:rsid w:val="00D0105E"/>
    <w:rsid w:val="00D02C54"/>
    <w:rsid w:val="00D044EB"/>
    <w:rsid w:val="00D04FDA"/>
    <w:rsid w:val="00D062B2"/>
    <w:rsid w:val="00D109C1"/>
    <w:rsid w:val="00D13FF4"/>
    <w:rsid w:val="00D14986"/>
    <w:rsid w:val="00D20B8A"/>
    <w:rsid w:val="00D2548F"/>
    <w:rsid w:val="00D26413"/>
    <w:rsid w:val="00D302F5"/>
    <w:rsid w:val="00D31D0D"/>
    <w:rsid w:val="00D35CBB"/>
    <w:rsid w:val="00D360EC"/>
    <w:rsid w:val="00D36135"/>
    <w:rsid w:val="00D3664F"/>
    <w:rsid w:val="00D369FA"/>
    <w:rsid w:val="00D36D77"/>
    <w:rsid w:val="00D41BCF"/>
    <w:rsid w:val="00D41C77"/>
    <w:rsid w:val="00D45884"/>
    <w:rsid w:val="00D47402"/>
    <w:rsid w:val="00D4747F"/>
    <w:rsid w:val="00D50A44"/>
    <w:rsid w:val="00D52D7D"/>
    <w:rsid w:val="00D53B60"/>
    <w:rsid w:val="00D613E7"/>
    <w:rsid w:val="00D624D2"/>
    <w:rsid w:val="00D62E2D"/>
    <w:rsid w:val="00D70651"/>
    <w:rsid w:val="00D730BB"/>
    <w:rsid w:val="00D80E6F"/>
    <w:rsid w:val="00D80FDC"/>
    <w:rsid w:val="00D81F49"/>
    <w:rsid w:val="00D83224"/>
    <w:rsid w:val="00D85034"/>
    <w:rsid w:val="00D85531"/>
    <w:rsid w:val="00D86BF0"/>
    <w:rsid w:val="00D90A88"/>
    <w:rsid w:val="00D90FE0"/>
    <w:rsid w:val="00D914AD"/>
    <w:rsid w:val="00D9239F"/>
    <w:rsid w:val="00D93656"/>
    <w:rsid w:val="00D94EE3"/>
    <w:rsid w:val="00DA2FBA"/>
    <w:rsid w:val="00DA3278"/>
    <w:rsid w:val="00DA3C14"/>
    <w:rsid w:val="00DA447A"/>
    <w:rsid w:val="00DA61DF"/>
    <w:rsid w:val="00DB0FEF"/>
    <w:rsid w:val="00DB25E6"/>
    <w:rsid w:val="00DB58A5"/>
    <w:rsid w:val="00DB59CB"/>
    <w:rsid w:val="00DB63A3"/>
    <w:rsid w:val="00DC1266"/>
    <w:rsid w:val="00DC2D9C"/>
    <w:rsid w:val="00DC4B35"/>
    <w:rsid w:val="00DD1791"/>
    <w:rsid w:val="00DD4293"/>
    <w:rsid w:val="00DD46F5"/>
    <w:rsid w:val="00DD5B66"/>
    <w:rsid w:val="00DD73E5"/>
    <w:rsid w:val="00DE09A1"/>
    <w:rsid w:val="00DE0EF6"/>
    <w:rsid w:val="00DE11EF"/>
    <w:rsid w:val="00DE19B2"/>
    <w:rsid w:val="00DE2CCF"/>
    <w:rsid w:val="00DE3556"/>
    <w:rsid w:val="00DE46BF"/>
    <w:rsid w:val="00DE6FC2"/>
    <w:rsid w:val="00DE730F"/>
    <w:rsid w:val="00DF3BF9"/>
    <w:rsid w:val="00DF5682"/>
    <w:rsid w:val="00DF5998"/>
    <w:rsid w:val="00DF6546"/>
    <w:rsid w:val="00DF7443"/>
    <w:rsid w:val="00DF7ADF"/>
    <w:rsid w:val="00E01323"/>
    <w:rsid w:val="00E02D95"/>
    <w:rsid w:val="00E03D9B"/>
    <w:rsid w:val="00E0593B"/>
    <w:rsid w:val="00E12834"/>
    <w:rsid w:val="00E1444D"/>
    <w:rsid w:val="00E17A98"/>
    <w:rsid w:val="00E20F5A"/>
    <w:rsid w:val="00E21F0F"/>
    <w:rsid w:val="00E2480F"/>
    <w:rsid w:val="00E31D4D"/>
    <w:rsid w:val="00E320B7"/>
    <w:rsid w:val="00E344BF"/>
    <w:rsid w:val="00E34FAC"/>
    <w:rsid w:val="00E415FA"/>
    <w:rsid w:val="00E41F95"/>
    <w:rsid w:val="00E44154"/>
    <w:rsid w:val="00E44B96"/>
    <w:rsid w:val="00E453E6"/>
    <w:rsid w:val="00E473B8"/>
    <w:rsid w:val="00E474BE"/>
    <w:rsid w:val="00E512AC"/>
    <w:rsid w:val="00E536E8"/>
    <w:rsid w:val="00E57461"/>
    <w:rsid w:val="00E605CE"/>
    <w:rsid w:val="00E619DA"/>
    <w:rsid w:val="00E61F40"/>
    <w:rsid w:val="00E62E34"/>
    <w:rsid w:val="00E62FE2"/>
    <w:rsid w:val="00E64ACC"/>
    <w:rsid w:val="00E65A4C"/>
    <w:rsid w:val="00E672C0"/>
    <w:rsid w:val="00E672D9"/>
    <w:rsid w:val="00E67445"/>
    <w:rsid w:val="00E6771B"/>
    <w:rsid w:val="00E6799C"/>
    <w:rsid w:val="00E67E9B"/>
    <w:rsid w:val="00E7101B"/>
    <w:rsid w:val="00E7249C"/>
    <w:rsid w:val="00E74B1B"/>
    <w:rsid w:val="00E76063"/>
    <w:rsid w:val="00E8000F"/>
    <w:rsid w:val="00E815D8"/>
    <w:rsid w:val="00E82E5A"/>
    <w:rsid w:val="00E86B7F"/>
    <w:rsid w:val="00E901CE"/>
    <w:rsid w:val="00E90477"/>
    <w:rsid w:val="00E91347"/>
    <w:rsid w:val="00E935FE"/>
    <w:rsid w:val="00E97420"/>
    <w:rsid w:val="00E9778A"/>
    <w:rsid w:val="00EA1A48"/>
    <w:rsid w:val="00EA31A9"/>
    <w:rsid w:val="00EB4ED0"/>
    <w:rsid w:val="00EC0A48"/>
    <w:rsid w:val="00EC160B"/>
    <w:rsid w:val="00EC352A"/>
    <w:rsid w:val="00EC47C1"/>
    <w:rsid w:val="00EC4B2A"/>
    <w:rsid w:val="00EC79D6"/>
    <w:rsid w:val="00ED210F"/>
    <w:rsid w:val="00ED3773"/>
    <w:rsid w:val="00ED7DAB"/>
    <w:rsid w:val="00EE19BC"/>
    <w:rsid w:val="00EE2C59"/>
    <w:rsid w:val="00EE417B"/>
    <w:rsid w:val="00EE50DB"/>
    <w:rsid w:val="00EE65A5"/>
    <w:rsid w:val="00EE6A30"/>
    <w:rsid w:val="00EE70D0"/>
    <w:rsid w:val="00EF164E"/>
    <w:rsid w:val="00EF39DF"/>
    <w:rsid w:val="00EF6BF9"/>
    <w:rsid w:val="00EF76D0"/>
    <w:rsid w:val="00F004C3"/>
    <w:rsid w:val="00F00679"/>
    <w:rsid w:val="00F011B9"/>
    <w:rsid w:val="00F0180C"/>
    <w:rsid w:val="00F033D8"/>
    <w:rsid w:val="00F0379B"/>
    <w:rsid w:val="00F05FAB"/>
    <w:rsid w:val="00F064AC"/>
    <w:rsid w:val="00F07629"/>
    <w:rsid w:val="00F10FD8"/>
    <w:rsid w:val="00F1151A"/>
    <w:rsid w:val="00F1224E"/>
    <w:rsid w:val="00F1321B"/>
    <w:rsid w:val="00F1330A"/>
    <w:rsid w:val="00F13767"/>
    <w:rsid w:val="00F14D35"/>
    <w:rsid w:val="00F15213"/>
    <w:rsid w:val="00F16F26"/>
    <w:rsid w:val="00F17018"/>
    <w:rsid w:val="00F171E0"/>
    <w:rsid w:val="00F172EB"/>
    <w:rsid w:val="00F235BA"/>
    <w:rsid w:val="00F24D63"/>
    <w:rsid w:val="00F24D6A"/>
    <w:rsid w:val="00F26AD4"/>
    <w:rsid w:val="00F26B0A"/>
    <w:rsid w:val="00F26D46"/>
    <w:rsid w:val="00F27E17"/>
    <w:rsid w:val="00F27FAF"/>
    <w:rsid w:val="00F31E92"/>
    <w:rsid w:val="00F32BA6"/>
    <w:rsid w:val="00F32BE0"/>
    <w:rsid w:val="00F37B6B"/>
    <w:rsid w:val="00F401A9"/>
    <w:rsid w:val="00F4373F"/>
    <w:rsid w:val="00F45E66"/>
    <w:rsid w:val="00F47744"/>
    <w:rsid w:val="00F51F96"/>
    <w:rsid w:val="00F55F9C"/>
    <w:rsid w:val="00F574C0"/>
    <w:rsid w:val="00F575A3"/>
    <w:rsid w:val="00F57D50"/>
    <w:rsid w:val="00F621A6"/>
    <w:rsid w:val="00F6459A"/>
    <w:rsid w:val="00F6488C"/>
    <w:rsid w:val="00F66452"/>
    <w:rsid w:val="00F66B5A"/>
    <w:rsid w:val="00F67076"/>
    <w:rsid w:val="00F671EC"/>
    <w:rsid w:val="00F67830"/>
    <w:rsid w:val="00F67EA6"/>
    <w:rsid w:val="00F701A2"/>
    <w:rsid w:val="00F70441"/>
    <w:rsid w:val="00F7113F"/>
    <w:rsid w:val="00F719CE"/>
    <w:rsid w:val="00F72343"/>
    <w:rsid w:val="00F7371E"/>
    <w:rsid w:val="00F76737"/>
    <w:rsid w:val="00F77A60"/>
    <w:rsid w:val="00F80423"/>
    <w:rsid w:val="00F83FFD"/>
    <w:rsid w:val="00F8774C"/>
    <w:rsid w:val="00F92FE1"/>
    <w:rsid w:val="00F94B6C"/>
    <w:rsid w:val="00F979F4"/>
    <w:rsid w:val="00FA05E4"/>
    <w:rsid w:val="00FA1EBF"/>
    <w:rsid w:val="00FA32A6"/>
    <w:rsid w:val="00FA3BCD"/>
    <w:rsid w:val="00FA405E"/>
    <w:rsid w:val="00FA4309"/>
    <w:rsid w:val="00FA6562"/>
    <w:rsid w:val="00FA6887"/>
    <w:rsid w:val="00FB0DB8"/>
    <w:rsid w:val="00FB2702"/>
    <w:rsid w:val="00FB4EE6"/>
    <w:rsid w:val="00FB5076"/>
    <w:rsid w:val="00FB52D7"/>
    <w:rsid w:val="00FB7E90"/>
    <w:rsid w:val="00FC2FD2"/>
    <w:rsid w:val="00FC3397"/>
    <w:rsid w:val="00FC5D0C"/>
    <w:rsid w:val="00FC60A6"/>
    <w:rsid w:val="00FC6477"/>
    <w:rsid w:val="00FD0607"/>
    <w:rsid w:val="00FD0792"/>
    <w:rsid w:val="00FD1F0B"/>
    <w:rsid w:val="00FD2FBD"/>
    <w:rsid w:val="00FD3ACA"/>
    <w:rsid w:val="00FD5A33"/>
    <w:rsid w:val="00FD6B99"/>
    <w:rsid w:val="00FD7A16"/>
    <w:rsid w:val="00FD7D9C"/>
    <w:rsid w:val="00FE179C"/>
    <w:rsid w:val="00FE1FC3"/>
    <w:rsid w:val="00FE38E3"/>
    <w:rsid w:val="00FE438D"/>
    <w:rsid w:val="00FE5619"/>
    <w:rsid w:val="00FE59B2"/>
    <w:rsid w:val="00FF2581"/>
    <w:rsid w:val="00FF2767"/>
    <w:rsid w:val="00FF32C6"/>
    <w:rsid w:val="00FF6459"/>
    <w:rsid w:val="00FF7646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6C99D13"/>
  <w15:chartTrackingRefBased/>
  <w15:docId w15:val="{3AF4B9F7-384F-404D-9382-F966A8F0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3FBE"/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D044EB"/>
    <w:pPr>
      <w:outlineLvl w:val="0"/>
    </w:pPr>
    <w:rPr>
      <w:b/>
      <w:color w:val="0000FF"/>
      <w:sz w:val="26"/>
    </w:rPr>
  </w:style>
  <w:style w:type="paragraph" w:styleId="Nadpis2">
    <w:name w:val="heading 2"/>
    <w:basedOn w:val="Normlny"/>
    <w:next w:val="Normlny"/>
    <w:qFormat/>
    <w:rsid w:val="00D044EB"/>
    <w:pPr>
      <w:spacing w:before="120"/>
      <w:outlineLvl w:val="1"/>
    </w:pPr>
    <w:rPr>
      <w:b/>
      <w:color w:val="FF00FF"/>
      <w:sz w:val="40"/>
    </w:rPr>
  </w:style>
  <w:style w:type="paragraph" w:styleId="Nadpis3">
    <w:name w:val="heading 3"/>
    <w:basedOn w:val="Normlny"/>
    <w:next w:val="Normlnysozarkami"/>
    <w:qFormat/>
    <w:rsid w:val="00D044EB"/>
    <w:pPr>
      <w:ind w:left="360"/>
      <w:outlineLvl w:val="2"/>
    </w:pPr>
    <w:rPr>
      <w:b/>
      <w:color w:val="FF00FF"/>
      <w:sz w:val="40"/>
    </w:rPr>
  </w:style>
  <w:style w:type="paragraph" w:styleId="Nadpis4">
    <w:name w:val="heading 4"/>
    <w:basedOn w:val="Normlny"/>
    <w:next w:val="Normlnysozarkami"/>
    <w:qFormat/>
    <w:rsid w:val="00D044EB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y"/>
    <w:next w:val="Normlnysozarkami"/>
    <w:qFormat/>
    <w:rsid w:val="00D044EB"/>
    <w:pPr>
      <w:ind w:left="720"/>
      <w:outlineLvl w:val="4"/>
    </w:pPr>
    <w:rPr>
      <w:b/>
    </w:rPr>
  </w:style>
  <w:style w:type="paragraph" w:styleId="Nadpis6">
    <w:name w:val="heading 6"/>
    <w:basedOn w:val="Normlny"/>
    <w:next w:val="Normlnysozarkami"/>
    <w:qFormat/>
    <w:rsid w:val="00D044EB"/>
    <w:pPr>
      <w:ind w:left="720"/>
      <w:outlineLvl w:val="5"/>
    </w:pPr>
    <w:rPr>
      <w:u w:val="single"/>
    </w:rPr>
  </w:style>
  <w:style w:type="paragraph" w:styleId="Nadpis7">
    <w:name w:val="heading 7"/>
    <w:basedOn w:val="Normlny"/>
    <w:next w:val="Normlnysozarkami"/>
    <w:qFormat/>
    <w:rsid w:val="00D044EB"/>
    <w:pPr>
      <w:ind w:left="720"/>
      <w:outlineLvl w:val="6"/>
    </w:pPr>
    <w:rPr>
      <w:i/>
    </w:rPr>
  </w:style>
  <w:style w:type="paragraph" w:styleId="Nadpis8">
    <w:name w:val="heading 8"/>
    <w:basedOn w:val="Normlny"/>
    <w:next w:val="Normlnysozarkami"/>
    <w:qFormat/>
    <w:rsid w:val="00D044EB"/>
    <w:pPr>
      <w:ind w:left="720"/>
      <w:outlineLvl w:val="7"/>
    </w:pPr>
    <w:rPr>
      <w:i/>
    </w:rPr>
  </w:style>
  <w:style w:type="paragraph" w:styleId="Nadpis9">
    <w:name w:val="heading 9"/>
    <w:basedOn w:val="Normlny"/>
    <w:next w:val="Normlnysozarkami"/>
    <w:qFormat/>
    <w:rsid w:val="00D044EB"/>
    <w:pPr>
      <w:ind w:left="720"/>
      <w:outlineLvl w:val="8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D044EB"/>
    <w:pPr>
      <w:ind w:left="720"/>
    </w:pPr>
    <w:rPr>
      <w:color w:val="FF00FF"/>
      <w:sz w:val="40"/>
    </w:rPr>
  </w:style>
  <w:style w:type="paragraph" w:customStyle="1" w:styleId="Anomaly">
    <w:name w:val="Anomaly"/>
    <w:basedOn w:val="Normlny"/>
    <w:next w:val="Normlny"/>
    <w:rsid w:val="00D044EB"/>
    <w:rPr>
      <w:b/>
      <w:i/>
      <w:color w:val="FF00FF"/>
      <w:sz w:val="40"/>
    </w:rPr>
  </w:style>
  <w:style w:type="paragraph" w:customStyle="1" w:styleId="Body">
    <w:name w:val="Body"/>
    <w:basedOn w:val="Normlny"/>
    <w:rsid w:val="00D044EB"/>
    <w:pPr>
      <w:ind w:firstLine="288"/>
    </w:pPr>
  </w:style>
  <w:style w:type="paragraph" w:customStyle="1" w:styleId="Body2xhangingindent">
    <w:name w:val="Body: 2x hanging indent"/>
    <w:basedOn w:val="Body"/>
    <w:next w:val="Body"/>
    <w:rsid w:val="00D044EB"/>
    <w:pPr>
      <w:ind w:left="576" w:hanging="288"/>
    </w:pPr>
  </w:style>
  <w:style w:type="paragraph" w:customStyle="1" w:styleId="Body3xhangingindent">
    <w:name w:val="Body: 3x hanging indent"/>
    <w:basedOn w:val="Body"/>
    <w:next w:val="Body"/>
    <w:rsid w:val="00D044EB"/>
    <w:pPr>
      <w:ind w:left="864" w:hanging="288"/>
    </w:pPr>
  </w:style>
  <w:style w:type="paragraph" w:customStyle="1" w:styleId="Bodycentered">
    <w:name w:val="Body: centered"/>
    <w:basedOn w:val="Body"/>
    <w:next w:val="Body"/>
    <w:rsid w:val="00D044EB"/>
    <w:pPr>
      <w:ind w:firstLine="0"/>
      <w:jc w:val="center"/>
    </w:pPr>
  </w:style>
  <w:style w:type="paragraph" w:customStyle="1" w:styleId="Bodyhangingindent">
    <w:name w:val="Body: hanging indent"/>
    <w:basedOn w:val="Body"/>
    <w:next w:val="Body"/>
    <w:rsid w:val="00D044EB"/>
    <w:pPr>
      <w:ind w:left="288" w:hanging="288"/>
    </w:pPr>
  </w:style>
  <w:style w:type="paragraph" w:customStyle="1" w:styleId="Bodyindent">
    <w:name w:val="Body: indent"/>
    <w:basedOn w:val="Body"/>
    <w:next w:val="Body"/>
    <w:rsid w:val="00D044EB"/>
    <w:pPr>
      <w:ind w:left="288"/>
    </w:pPr>
  </w:style>
  <w:style w:type="paragraph" w:customStyle="1" w:styleId="Bodynotab">
    <w:name w:val="Body: no tab"/>
    <w:basedOn w:val="Body"/>
    <w:next w:val="Body"/>
    <w:rsid w:val="00D044EB"/>
    <w:pPr>
      <w:ind w:firstLine="0"/>
    </w:pPr>
  </w:style>
  <w:style w:type="paragraph" w:customStyle="1" w:styleId="Bodynotab2xindent">
    <w:name w:val="Body: no tab. 2x indent"/>
    <w:basedOn w:val="Body"/>
    <w:next w:val="Body"/>
    <w:rsid w:val="00D044EB"/>
    <w:pPr>
      <w:ind w:left="576" w:firstLine="0"/>
    </w:pPr>
  </w:style>
  <w:style w:type="paragraph" w:customStyle="1" w:styleId="Bodynotabindent">
    <w:name w:val="Body: no tab. indent"/>
    <w:basedOn w:val="Body"/>
    <w:next w:val="Body"/>
    <w:rsid w:val="00D044EB"/>
    <w:pPr>
      <w:ind w:left="288" w:firstLine="0"/>
    </w:pPr>
  </w:style>
  <w:style w:type="paragraph" w:customStyle="1" w:styleId="Boxedtextbody">
    <w:name w:val="Boxed text: body"/>
    <w:basedOn w:val="Body"/>
    <w:next w:val="Body"/>
    <w:rsid w:val="00D044EB"/>
    <w:pPr>
      <w:keepLines/>
    </w:pPr>
  </w:style>
  <w:style w:type="paragraph" w:customStyle="1" w:styleId="Boxedtextbodynotab">
    <w:name w:val="Boxed text: body. no tab"/>
    <w:basedOn w:val="Bodynotab"/>
    <w:next w:val="Body"/>
    <w:rsid w:val="00D044EB"/>
    <w:pPr>
      <w:keepLines/>
    </w:pPr>
  </w:style>
  <w:style w:type="paragraph" w:customStyle="1" w:styleId="Boxedtextcentered">
    <w:name w:val="Boxed text: centered"/>
    <w:basedOn w:val="Normlny"/>
    <w:next w:val="Body"/>
    <w:rsid w:val="00D044EB"/>
    <w:pPr>
      <w:keepLines/>
      <w:jc w:val="center"/>
    </w:pPr>
    <w:rPr>
      <w:sz w:val="24"/>
    </w:rPr>
  </w:style>
  <w:style w:type="paragraph" w:customStyle="1" w:styleId="Boxedtextheading">
    <w:name w:val="Boxed text: heading"/>
    <w:basedOn w:val="Normlny"/>
    <w:next w:val="Boxedtextbody"/>
    <w:rsid w:val="00D044EB"/>
    <w:pPr>
      <w:keepNext/>
      <w:keepLines/>
      <w:spacing w:before="120" w:after="120"/>
    </w:pPr>
    <w:rPr>
      <w:b/>
      <w:caps/>
    </w:rPr>
  </w:style>
  <w:style w:type="paragraph" w:customStyle="1" w:styleId="CPCLH2">
    <w:name w:val="CPCLH2"/>
    <w:basedOn w:val="Normlny"/>
    <w:rsid w:val="00D044E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  <w:u w:val="single"/>
    </w:rPr>
  </w:style>
  <w:style w:type="paragraph" w:customStyle="1" w:styleId="CPCLH3">
    <w:name w:val="CPCLH3"/>
    <w:basedOn w:val="Normlny"/>
    <w:rsid w:val="00D044E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  <w:jc w:val="both"/>
    </w:pPr>
    <w:rPr>
      <w:rFonts w:ascii="Univers (W1)" w:hAnsi="Univers (W1)"/>
    </w:rPr>
  </w:style>
  <w:style w:type="paragraph" w:customStyle="1" w:styleId="CPCLH4">
    <w:name w:val="CPCLH4"/>
    <w:basedOn w:val="Normlny"/>
    <w:rsid w:val="00D044E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  <w:jc w:val="both"/>
    </w:pPr>
    <w:rPr>
      <w:rFonts w:ascii="Courier New" w:hAnsi="Courier New"/>
    </w:rPr>
  </w:style>
  <w:style w:type="paragraph" w:customStyle="1" w:styleId="DosageForm">
    <w:name w:val="Dosage Form"/>
    <w:basedOn w:val="Normlny"/>
    <w:next w:val="Normlny"/>
    <w:rsid w:val="00D044EB"/>
    <w:pPr>
      <w:keepNext/>
      <w:keepLines/>
    </w:pPr>
    <w:rPr>
      <w:sz w:val="24"/>
    </w:rPr>
  </w:style>
  <w:style w:type="paragraph" w:customStyle="1" w:styleId="ExtraSpace">
    <w:name w:val="Extra Space"/>
    <w:basedOn w:val="Normlny"/>
    <w:next w:val="Body"/>
    <w:rsid w:val="00D044EB"/>
    <w:pPr>
      <w:spacing w:line="120" w:lineRule="exact"/>
    </w:pPr>
    <w:rPr>
      <w:color w:val="00FF00"/>
    </w:rPr>
  </w:style>
  <w:style w:type="paragraph" w:styleId="Pta">
    <w:name w:val="footer"/>
    <w:basedOn w:val="Normlny"/>
    <w:link w:val="PtaChar"/>
    <w:uiPriority w:val="99"/>
    <w:rsid w:val="00D044EB"/>
    <w:pPr>
      <w:tabs>
        <w:tab w:val="center" w:pos="4320"/>
        <w:tab w:val="right" w:pos="8640"/>
      </w:tabs>
    </w:pPr>
  </w:style>
  <w:style w:type="paragraph" w:customStyle="1" w:styleId="Footnote">
    <w:name w:val="Footnote"/>
    <w:basedOn w:val="Normlny"/>
    <w:next w:val="Body"/>
    <w:rsid w:val="00D044EB"/>
    <w:pPr>
      <w:keepLines/>
      <w:tabs>
        <w:tab w:val="right" w:pos="317"/>
        <w:tab w:val="left" w:pos="346"/>
      </w:tabs>
      <w:ind w:left="346" w:hanging="346"/>
    </w:pPr>
    <w:rPr>
      <w:sz w:val="14"/>
    </w:rPr>
  </w:style>
  <w:style w:type="paragraph" w:customStyle="1" w:styleId="GenericName">
    <w:name w:val="Generic Name"/>
    <w:basedOn w:val="Normlny"/>
    <w:next w:val="Body"/>
    <w:rsid w:val="00D044EB"/>
    <w:pPr>
      <w:keepNext/>
      <w:keepLines/>
    </w:pPr>
    <w:rPr>
      <w:b/>
      <w:sz w:val="24"/>
    </w:rPr>
  </w:style>
  <w:style w:type="paragraph" w:styleId="Hlavika">
    <w:name w:val="header"/>
    <w:basedOn w:val="Normlny"/>
    <w:rsid w:val="00D044EB"/>
    <w:pPr>
      <w:keepLines/>
      <w:tabs>
        <w:tab w:val="center" w:pos="4320"/>
        <w:tab w:val="right" w:pos="8640"/>
      </w:tabs>
    </w:pPr>
  </w:style>
  <w:style w:type="paragraph" w:customStyle="1" w:styleId="List2xhangingindent">
    <w:name w:val="List: 2x hanging indent"/>
    <w:basedOn w:val="Normlny"/>
    <w:next w:val="Body"/>
    <w:rsid w:val="00D044EB"/>
    <w:pPr>
      <w:ind w:left="576" w:hanging="288"/>
    </w:pPr>
  </w:style>
  <w:style w:type="paragraph" w:customStyle="1" w:styleId="List3xhangingindent">
    <w:name w:val="List: 3x hanging indent"/>
    <w:basedOn w:val="Normlny"/>
    <w:next w:val="Body"/>
    <w:rsid w:val="00D044EB"/>
    <w:pPr>
      <w:ind w:left="864" w:hanging="288"/>
    </w:pPr>
  </w:style>
  <w:style w:type="paragraph" w:customStyle="1" w:styleId="Listhangingindent">
    <w:name w:val="List: hanging indent"/>
    <w:basedOn w:val="Normlny"/>
    <w:next w:val="Body"/>
    <w:rsid w:val="00D044EB"/>
    <w:pPr>
      <w:ind w:left="288" w:hanging="288"/>
    </w:pPr>
  </w:style>
  <w:style w:type="paragraph" w:customStyle="1" w:styleId="Listnotab">
    <w:name w:val="List: no tab"/>
    <w:basedOn w:val="Normlny"/>
    <w:next w:val="Body"/>
    <w:rsid w:val="00D044EB"/>
  </w:style>
  <w:style w:type="paragraph" w:customStyle="1" w:styleId="Listnotab2xindent">
    <w:name w:val="List: no tab. 2x indent"/>
    <w:basedOn w:val="Normlny"/>
    <w:next w:val="Body"/>
    <w:rsid w:val="00D044EB"/>
    <w:pPr>
      <w:ind w:left="576"/>
    </w:pPr>
  </w:style>
  <w:style w:type="paragraph" w:customStyle="1" w:styleId="Listnotabindent">
    <w:name w:val="List: no tab. indent"/>
    <w:basedOn w:val="Normlny"/>
    <w:next w:val="Body"/>
    <w:rsid w:val="00D044EB"/>
    <w:pPr>
      <w:ind w:left="288"/>
    </w:pPr>
  </w:style>
  <w:style w:type="paragraph" w:customStyle="1" w:styleId="ReferenceText">
    <w:name w:val="Reference Text"/>
    <w:basedOn w:val="Normlny"/>
    <w:rsid w:val="00D044EB"/>
    <w:pPr>
      <w:tabs>
        <w:tab w:val="right" w:pos="230"/>
        <w:tab w:val="left" w:pos="288"/>
      </w:tabs>
      <w:spacing w:after="120"/>
      <w:ind w:left="288" w:hanging="288"/>
      <w:jc w:val="both"/>
    </w:pPr>
    <w:rPr>
      <w:sz w:val="16"/>
    </w:rPr>
  </w:style>
  <w:style w:type="paragraph" w:customStyle="1" w:styleId="SectionHeadings">
    <w:name w:val="Section Headings"/>
    <w:basedOn w:val="Normlny"/>
    <w:next w:val="Body"/>
    <w:rsid w:val="00D044EB"/>
    <w:pPr>
      <w:keepNext/>
      <w:keepLines/>
      <w:spacing w:before="240" w:after="120"/>
    </w:pPr>
    <w:rPr>
      <w:b/>
      <w:caps/>
    </w:rPr>
  </w:style>
  <w:style w:type="paragraph" w:customStyle="1" w:styleId="SeparationLine">
    <w:name w:val="Separation Line"/>
    <w:basedOn w:val="Normlny"/>
    <w:next w:val="Normlny"/>
    <w:rsid w:val="00D044EB"/>
    <w:pPr>
      <w:pBdr>
        <w:top w:val="single" w:sz="6" w:space="1" w:color="auto"/>
      </w:pBdr>
    </w:pPr>
  </w:style>
  <w:style w:type="paragraph" w:customStyle="1" w:styleId="SubSectionHeadings">
    <w:name w:val="Sub Section Headings"/>
    <w:basedOn w:val="Normlny"/>
    <w:next w:val="Body"/>
    <w:rsid w:val="00D044EB"/>
    <w:pPr>
      <w:keepNext/>
      <w:keepLines/>
    </w:pPr>
    <w:rPr>
      <w:i/>
    </w:rPr>
  </w:style>
  <w:style w:type="paragraph" w:customStyle="1" w:styleId="SubSubSectionheading">
    <w:name w:val="SubSub Section heading"/>
    <w:basedOn w:val="Normlny"/>
    <w:next w:val="Body"/>
    <w:rsid w:val="00D044EB"/>
    <w:pPr>
      <w:keepNext/>
      <w:keepLines/>
    </w:pPr>
    <w:rPr>
      <w:i/>
    </w:rPr>
  </w:style>
  <w:style w:type="paragraph" w:customStyle="1" w:styleId="Tablebody">
    <w:name w:val="Table: body"/>
    <w:basedOn w:val="Body"/>
    <w:rsid w:val="00D044EB"/>
    <w:pPr>
      <w:keepNext/>
      <w:keepLines/>
      <w:jc w:val="both"/>
    </w:pPr>
    <w:rPr>
      <w:sz w:val="14"/>
    </w:rPr>
  </w:style>
  <w:style w:type="paragraph" w:customStyle="1" w:styleId="Tablebodynotab">
    <w:name w:val="Table: body. no tab"/>
    <w:basedOn w:val="Bodynotab"/>
    <w:rsid w:val="00D044EB"/>
    <w:pPr>
      <w:keepNext/>
      <w:keepLines/>
      <w:jc w:val="both"/>
    </w:pPr>
    <w:rPr>
      <w:sz w:val="14"/>
    </w:rPr>
  </w:style>
  <w:style w:type="paragraph" w:customStyle="1" w:styleId="Tablecentered">
    <w:name w:val="Table: centered"/>
    <w:basedOn w:val="Bodycentered"/>
    <w:rsid w:val="00D044EB"/>
    <w:pPr>
      <w:keepNext/>
      <w:keepLines/>
    </w:pPr>
    <w:rPr>
      <w:sz w:val="14"/>
    </w:rPr>
  </w:style>
  <w:style w:type="paragraph" w:customStyle="1" w:styleId="Tablelist2xhanging">
    <w:name w:val="Table: list. 2x hanging"/>
    <w:basedOn w:val="Listnotab2xindent"/>
    <w:rsid w:val="00D044EB"/>
    <w:pPr>
      <w:keepNext/>
      <w:keepLines/>
      <w:ind w:hanging="288"/>
    </w:pPr>
    <w:rPr>
      <w:sz w:val="14"/>
    </w:rPr>
  </w:style>
  <w:style w:type="paragraph" w:customStyle="1" w:styleId="Tablelist3xhanging">
    <w:name w:val="Table: list. 3x hanging"/>
    <w:basedOn w:val="List3xhangingindent"/>
    <w:rsid w:val="00D044EB"/>
    <w:pPr>
      <w:keepNext/>
      <w:keepLines/>
    </w:pPr>
    <w:rPr>
      <w:sz w:val="14"/>
    </w:rPr>
  </w:style>
  <w:style w:type="paragraph" w:customStyle="1" w:styleId="Tablelisthangingind">
    <w:name w:val="Table: list. hanging ind"/>
    <w:basedOn w:val="Listhangingindent"/>
    <w:rsid w:val="00D044EB"/>
    <w:pPr>
      <w:keepNext/>
      <w:keepLines/>
    </w:pPr>
    <w:rPr>
      <w:sz w:val="14"/>
    </w:rPr>
  </w:style>
  <w:style w:type="paragraph" w:customStyle="1" w:styleId="Tablenormal">
    <w:name w:val="Table: normal"/>
    <w:basedOn w:val="Normlny"/>
    <w:rsid w:val="00D044EB"/>
    <w:pPr>
      <w:keepNext/>
      <w:keepLines/>
    </w:pPr>
    <w:rPr>
      <w:sz w:val="14"/>
    </w:rPr>
  </w:style>
  <w:style w:type="paragraph" w:customStyle="1" w:styleId="Tablenormalindent">
    <w:name w:val="Table: normal. indent"/>
    <w:basedOn w:val="Bodyindent"/>
    <w:rsid w:val="00D044EB"/>
    <w:pPr>
      <w:keepNext/>
      <w:keepLines/>
      <w:ind w:firstLine="0"/>
    </w:pPr>
    <w:rPr>
      <w:sz w:val="14"/>
    </w:rPr>
  </w:style>
  <w:style w:type="paragraph" w:customStyle="1" w:styleId="Tablebodyhanginginden">
    <w:name w:val="Table:body.hanging inden"/>
    <w:basedOn w:val="Bodyhangingindent"/>
    <w:rsid w:val="00D044EB"/>
    <w:pPr>
      <w:keepNext/>
      <w:keepLines/>
      <w:jc w:val="both"/>
    </w:pPr>
    <w:rPr>
      <w:sz w:val="14"/>
    </w:rPr>
  </w:style>
  <w:style w:type="paragraph" w:customStyle="1" w:styleId="TradeName">
    <w:name w:val="Trade Name"/>
    <w:basedOn w:val="Normlny"/>
    <w:next w:val="GenericName"/>
    <w:rsid w:val="00D044EB"/>
    <w:pPr>
      <w:keepNext/>
      <w:keepLines/>
    </w:pPr>
    <w:rPr>
      <w:b/>
      <w:caps/>
      <w:sz w:val="30"/>
    </w:rPr>
  </w:style>
  <w:style w:type="paragraph" w:customStyle="1" w:styleId="Turnedtext">
    <w:name w:val="Turned text"/>
    <w:basedOn w:val="Normlny"/>
    <w:next w:val="Body"/>
    <w:rsid w:val="00D044EB"/>
    <w:pPr>
      <w:keepLines/>
      <w:jc w:val="center"/>
    </w:pPr>
  </w:style>
  <w:style w:type="table" w:styleId="Mriekatabuky">
    <w:name w:val="Table Grid"/>
    <w:basedOn w:val="Normlnatabuka"/>
    <w:rsid w:val="00D044E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D044EB"/>
  </w:style>
  <w:style w:type="paragraph" w:styleId="Zkladntext">
    <w:name w:val="Body Text"/>
    <w:basedOn w:val="Normlny"/>
    <w:rsid w:val="00D044EB"/>
    <w:rPr>
      <w:b/>
      <w:bCs/>
      <w:sz w:val="24"/>
      <w:lang w:val="en-GB" w:eastAsia="fi-FI"/>
    </w:rPr>
  </w:style>
  <w:style w:type="paragraph" w:styleId="Zkladntext2">
    <w:name w:val="Body Text 2"/>
    <w:basedOn w:val="Normlny"/>
    <w:rsid w:val="00D044EB"/>
    <w:pPr>
      <w:spacing w:after="120" w:line="480" w:lineRule="auto"/>
      <w:jc w:val="both"/>
    </w:pPr>
  </w:style>
  <w:style w:type="paragraph" w:customStyle="1" w:styleId="Faksoverskrift">
    <w:name w:val="Faksoverskrift"/>
    <w:basedOn w:val="Normlny"/>
    <w:rsid w:val="00D044EB"/>
    <w:pPr>
      <w:tabs>
        <w:tab w:val="left" w:pos="357"/>
      </w:tabs>
      <w:overflowPunct w:val="0"/>
      <w:autoSpaceDE w:val="0"/>
      <w:autoSpaceDN w:val="0"/>
      <w:adjustRightInd w:val="0"/>
      <w:spacing w:before="480" w:after="240"/>
      <w:textAlignment w:val="baseline"/>
    </w:pPr>
    <w:rPr>
      <w:b/>
      <w:sz w:val="24"/>
      <w:lang w:val="nb-NO" w:eastAsia="nb-NO"/>
    </w:rPr>
  </w:style>
  <w:style w:type="paragraph" w:customStyle="1" w:styleId="KopcursiefnietinTOC">
    <w:name w:val="Kop cursief niet in TOC"/>
    <w:basedOn w:val="Normlny"/>
    <w:next w:val="Normlny"/>
    <w:rsid w:val="00D044EB"/>
    <w:pPr>
      <w:keepNext/>
      <w:spacing w:before="240" w:after="60"/>
    </w:pPr>
    <w:rPr>
      <w:i/>
      <w:lang w:val="en-GB" w:eastAsia="nl-NL"/>
    </w:rPr>
  </w:style>
  <w:style w:type="paragraph" w:styleId="Zarkazkladnhotextu">
    <w:name w:val="Body Text Indent"/>
    <w:basedOn w:val="Normlny"/>
    <w:rsid w:val="00D044EB"/>
    <w:pPr>
      <w:spacing w:after="120"/>
      <w:ind w:left="360"/>
      <w:jc w:val="both"/>
    </w:pPr>
  </w:style>
  <w:style w:type="paragraph" w:styleId="Zkladntext3">
    <w:name w:val="Body Text 3"/>
    <w:basedOn w:val="Normlny"/>
    <w:rsid w:val="00D044EB"/>
    <w:pPr>
      <w:spacing w:after="120"/>
      <w:jc w:val="both"/>
    </w:pPr>
    <w:rPr>
      <w:sz w:val="16"/>
      <w:szCs w:val="16"/>
    </w:rPr>
  </w:style>
  <w:style w:type="paragraph" w:customStyle="1" w:styleId="SPC2">
    <w:name w:val="SPC2"/>
    <w:basedOn w:val="Normlny"/>
    <w:rsid w:val="00D044EB"/>
    <w:pPr>
      <w:spacing w:before="360" w:after="120"/>
    </w:pPr>
    <w:rPr>
      <w:b/>
      <w:sz w:val="24"/>
      <w:lang w:val="de-DE" w:eastAsia="de-DE"/>
    </w:rPr>
  </w:style>
  <w:style w:type="character" w:styleId="Hypertextovprepojenie">
    <w:name w:val="Hyperlink"/>
    <w:rsid w:val="00D044EB"/>
    <w:rPr>
      <w:color w:val="0000FF"/>
      <w:u w:val="single"/>
    </w:rPr>
  </w:style>
  <w:style w:type="character" w:styleId="Vrazn">
    <w:name w:val="Strong"/>
    <w:qFormat/>
    <w:rsid w:val="00D044EB"/>
    <w:rPr>
      <w:b/>
      <w:bCs/>
    </w:rPr>
  </w:style>
  <w:style w:type="paragraph" w:customStyle="1" w:styleId="knZulassung02">
    <w:name w:val="knZulassung02"/>
    <w:basedOn w:val="Normlny"/>
    <w:rsid w:val="00D044EB"/>
    <w:pPr>
      <w:ind w:left="1843" w:right="284"/>
    </w:pPr>
    <w:rPr>
      <w:rFonts w:ascii="Courier" w:hAnsi="Courier"/>
      <w:sz w:val="24"/>
      <w:lang w:val="de-DE"/>
    </w:rPr>
  </w:style>
  <w:style w:type="paragraph" w:customStyle="1" w:styleId="knZulassung01">
    <w:name w:val="knZulassung01"/>
    <w:basedOn w:val="Normlny"/>
    <w:rsid w:val="00D044EB"/>
    <w:pPr>
      <w:tabs>
        <w:tab w:val="left" w:pos="567"/>
      </w:tabs>
      <w:ind w:left="1843" w:right="284" w:hanging="1843"/>
    </w:pPr>
    <w:rPr>
      <w:rFonts w:ascii="Courier" w:hAnsi="Courier"/>
      <w:sz w:val="24"/>
      <w:lang w:val="de-DE"/>
    </w:rPr>
  </w:style>
  <w:style w:type="character" w:styleId="PouitHypertextovPrepojenie">
    <w:name w:val="FollowedHyperlink"/>
    <w:rsid w:val="00D044EB"/>
    <w:rPr>
      <w:color w:val="606420"/>
      <w:u w:val="single"/>
    </w:rPr>
  </w:style>
  <w:style w:type="paragraph" w:styleId="Textbubliny">
    <w:name w:val="Balloon Text"/>
    <w:basedOn w:val="Normlny"/>
    <w:semiHidden/>
    <w:rsid w:val="00A81176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rsid w:val="00031037"/>
    <w:rPr>
      <w:sz w:val="16"/>
      <w:szCs w:val="16"/>
    </w:rPr>
  </w:style>
  <w:style w:type="paragraph" w:styleId="Textkomentra">
    <w:name w:val="annotation text"/>
    <w:basedOn w:val="Normlny"/>
    <w:semiHidden/>
    <w:rsid w:val="00031037"/>
  </w:style>
  <w:style w:type="paragraph" w:styleId="Predmetkomentra">
    <w:name w:val="annotation subject"/>
    <w:basedOn w:val="Textkomentra"/>
    <w:next w:val="Textkomentra"/>
    <w:semiHidden/>
    <w:rsid w:val="00031037"/>
    <w:rPr>
      <w:b/>
      <w:bCs/>
    </w:rPr>
  </w:style>
  <w:style w:type="character" w:styleId="Odkaznapoznmkupodiarou">
    <w:name w:val="footnote reference"/>
    <w:semiHidden/>
    <w:rsid w:val="008B47E2"/>
    <w:rPr>
      <w:color w:val="FF00FF"/>
      <w:position w:val="6"/>
      <w:sz w:val="16"/>
    </w:rPr>
  </w:style>
  <w:style w:type="paragraph" w:styleId="Revzia">
    <w:name w:val="Revision"/>
    <w:hidden/>
    <w:uiPriority w:val="99"/>
    <w:semiHidden/>
    <w:rsid w:val="003E7CD6"/>
    <w:rPr>
      <w:sz w:val="22"/>
      <w:lang w:eastAsia="en-US"/>
    </w:rPr>
  </w:style>
  <w:style w:type="character" w:customStyle="1" w:styleId="PtaChar">
    <w:name w:val="Päta Char"/>
    <w:link w:val="Pta"/>
    <w:uiPriority w:val="99"/>
    <w:rsid w:val="00BD33BE"/>
    <w:rPr>
      <w:sz w:val="22"/>
      <w:lang w:eastAsia="en-US"/>
    </w:rPr>
  </w:style>
  <w:style w:type="paragraph" w:customStyle="1" w:styleId="Bodytext">
    <w:name w:val="Bodytext"/>
    <w:basedOn w:val="Normlny"/>
    <w:rsid w:val="0025416F"/>
    <w:pPr>
      <w:spacing w:after="200" w:line="360" w:lineRule="exact"/>
      <w:ind w:left="851"/>
    </w:pPr>
    <w:rPr>
      <w:rFonts w:ascii="Arial" w:hAnsi="Arial"/>
      <w:strike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1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593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9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2606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2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4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78875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7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2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854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2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442ED-0ECA-4F46-A8F0-D5FC53C10D5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931490C-8923-46AD-93D6-E472414D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13330</Words>
  <Characters>84235</Characters>
  <Application>Microsoft Office Word</Application>
  <DocSecurity>0</DocSecurity>
  <Lines>701</Lines>
  <Paragraphs>194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Zentiva</Company>
  <LinksUpToDate>false</LinksUpToDate>
  <CharactersWithSpaces>97371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margita.hranaiova</dc:creator>
  <cp:keywords/>
  <dc:description/>
  <cp:lastModifiedBy>Smolarova, Lubomira /SK</cp:lastModifiedBy>
  <cp:revision>3</cp:revision>
  <cp:lastPrinted>2019-03-06T09:18:00Z</cp:lastPrinted>
  <dcterms:created xsi:type="dcterms:W3CDTF">2020-12-16T11:30:00Z</dcterms:created>
  <dcterms:modified xsi:type="dcterms:W3CDTF">2020-12-17T08:19:00Z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83ec4c37-b28f-42f7-8a40-4ed882527016</vt:lpwstr>
  </property>
  <property fmtid="{D5CDD505-2E9C-101B-9397-08002B2CF9AE}" pid="4" name="bjSaver">
    <vt:lpwstr>fYEwLh6VjDLGs0iKMvkseaIjACeQWDev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6" name="bjDocumentLabelXML-0">
    <vt:lpwstr>nternal/label"&gt;&lt;element uid="9920fcc9-9f43-4d43-9e3e-b98a219cfd55" value="" /&gt;&lt;/sisl&gt;</vt:lpwstr>
  </property>
  <property fmtid="{D5CDD505-2E9C-101B-9397-08002B2CF9AE}" pid="7" name="bjDocumentSecurityLabel">
    <vt:lpwstr>Not Classified</vt:lpwstr>
  </property>
</Properties>
</file>