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A4119" w14:textId="77777777" w:rsidR="00B24275" w:rsidRPr="00F0734E" w:rsidRDefault="00B24275" w:rsidP="00F0734E">
      <w:pPr>
        <w:autoSpaceDE w:val="0"/>
        <w:autoSpaceDN w:val="0"/>
        <w:adjustRightInd w:val="0"/>
        <w:rPr>
          <w:sz w:val="22"/>
          <w:szCs w:val="22"/>
          <w:lang w:val="sk-SK"/>
        </w:rPr>
      </w:pPr>
    </w:p>
    <w:p w14:paraId="244049B4" w14:textId="77777777" w:rsidR="00B24275" w:rsidRPr="00F0734E" w:rsidRDefault="00B24275" w:rsidP="00F0734E">
      <w:pPr>
        <w:pStyle w:val="Nadpis1"/>
        <w:rPr>
          <w:lang w:val="sk-SK"/>
        </w:rPr>
      </w:pPr>
      <w:r w:rsidRPr="00F0734E">
        <w:rPr>
          <w:lang w:val="sk-SK"/>
        </w:rPr>
        <w:t>SÚHRN CHARAKTERISTICKÝCH VLASTNOSTÍ LIEKU</w:t>
      </w:r>
    </w:p>
    <w:p w14:paraId="51584E43" w14:textId="77777777" w:rsidR="00B24275" w:rsidRPr="00665466" w:rsidRDefault="00B24275" w:rsidP="00665466">
      <w:pPr>
        <w:autoSpaceDE w:val="0"/>
        <w:autoSpaceDN w:val="0"/>
        <w:adjustRightInd w:val="0"/>
        <w:rPr>
          <w:bCs/>
          <w:sz w:val="22"/>
          <w:szCs w:val="22"/>
          <w:lang w:val="sk-SK"/>
        </w:rPr>
      </w:pPr>
    </w:p>
    <w:p w14:paraId="43BF524E" w14:textId="77777777" w:rsidR="00B24275" w:rsidRPr="00665466" w:rsidRDefault="00B24275" w:rsidP="00665466">
      <w:pPr>
        <w:autoSpaceDE w:val="0"/>
        <w:autoSpaceDN w:val="0"/>
        <w:adjustRightInd w:val="0"/>
        <w:rPr>
          <w:bCs/>
          <w:sz w:val="22"/>
          <w:szCs w:val="22"/>
          <w:lang w:val="sk-SK"/>
        </w:rPr>
      </w:pPr>
    </w:p>
    <w:p w14:paraId="1DC55EBE" w14:textId="1DE92CC3"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1.</w:t>
      </w:r>
      <w:r w:rsidR="008E1905" w:rsidRPr="00665466">
        <w:rPr>
          <w:b/>
          <w:bCs/>
          <w:sz w:val="22"/>
          <w:szCs w:val="22"/>
          <w:lang w:val="sk-SK"/>
        </w:rPr>
        <w:tab/>
      </w:r>
      <w:r w:rsidRPr="00665466">
        <w:rPr>
          <w:b/>
          <w:bCs/>
          <w:sz w:val="22"/>
          <w:szCs w:val="22"/>
          <w:lang w:val="sk-SK"/>
        </w:rPr>
        <w:t>NÁZOV LIEKU</w:t>
      </w:r>
    </w:p>
    <w:p w14:paraId="37D061C9" w14:textId="77777777" w:rsidR="00B24275" w:rsidRPr="00665466" w:rsidRDefault="00B24275" w:rsidP="00665466">
      <w:pPr>
        <w:keepNext/>
        <w:autoSpaceDE w:val="0"/>
        <w:autoSpaceDN w:val="0"/>
        <w:adjustRightInd w:val="0"/>
        <w:rPr>
          <w:sz w:val="22"/>
          <w:szCs w:val="22"/>
          <w:lang w:val="sk-SK"/>
        </w:rPr>
      </w:pPr>
    </w:p>
    <w:p w14:paraId="50442FCA"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Paretin 20 mg</w:t>
      </w:r>
    </w:p>
    <w:p w14:paraId="62EA3511" w14:textId="77777777" w:rsidR="00B24275" w:rsidRPr="00665466" w:rsidRDefault="00E718A4" w:rsidP="00665466">
      <w:pPr>
        <w:autoSpaceDE w:val="0"/>
        <w:autoSpaceDN w:val="0"/>
        <w:adjustRightInd w:val="0"/>
        <w:rPr>
          <w:bCs/>
          <w:sz w:val="22"/>
          <w:szCs w:val="22"/>
          <w:lang w:val="sk-SK"/>
        </w:rPr>
      </w:pPr>
      <w:r w:rsidRPr="00665466">
        <w:rPr>
          <w:bCs/>
          <w:sz w:val="22"/>
          <w:szCs w:val="22"/>
          <w:lang w:val="sk-SK"/>
        </w:rPr>
        <w:t xml:space="preserve">filmom </w:t>
      </w:r>
      <w:r w:rsidR="008E1905" w:rsidRPr="00665466">
        <w:rPr>
          <w:bCs/>
          <w:sz w:val="22"/>
          <w:szCs w:val="22"/>
          <w:lang w:val="sk-SK"/>
        </w:rPr>
        <w:t>obalené tablety</w:t>
      </w:r>
    </w:p>
    <w:p w14:paraId="4E02C177" w14:textId="77777777" w:rsidR="008E1905" w:rsidRPr="00665466" w:rsidRDefault="008E1905" w:rsidP="00665466">
      <w:pPr>
        <w:autoSpaceDE w:val="0"/>
        <w:autoSpaceDN w:val="0"/>
        <w:adjustRightInd w:val="0"/>
        <w:rPr>
          <w:bCs/>
          <w:sz w:val="22"/>
          <w:szCs w:val="22"/>
          <w:lang w:val="sk-SK"/>
        </w:rPr>
      </w:pPr>
    </w:p>
    <w:p w14:paraId="5AC4C879" w14:textId="77777777" w:rsidR="00B24275" w:rsidRPr="00665466" w:rsidRDefault="00B24275" w:rsidP="00665466">
      <w:pPr>
        <w:autoSpaceDE w:val="0"/>
        <w:autoSpaceDN w:val="0"/>
        <w:adjustRightInd w:val="0"/>
        <w:rPr>
          <w:bCs/>
          <w:sz w:val="22"/>
          <w:szCs w:val="22"/>
          <w:lang w:val="sk-SK"/>
        </w:rPr>
      </w:pPr>
    </w:p>
    <w:p w14:paraId="4A4BA66B" w14:textId="1566F415"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2.</w:t>
      </w:r>
      <w:r w:rsidR="008E1905" w:rsidRPr="00665466">
        <w:rPr>
          <w:b/>
          <w:bCs/>
          <w:sz w:val="22"/>
          <w:szCs w:val="22"/>
          <w:lang w:val="sk-SK"/>
        </w:rPr>
        <w:tab/>
      </w:r>
      <w:r w:rsidRPr="00665466">
        <w:rPr>
          <w:b/>
          <w:bCs/>
          <w:sz w:val="22"/>
          <w:szCs w:val="22"/>
          <w:lang w:val="sk-SK"/>
        </w:rPr>
        <w:t>KVALITATÍVNE A KVANTITATÍVNE ZLOŽENIE</w:t>
      </w:r>
    </w:p>
    <w:p w14:paraId="533C3641" w14:textId="77777777" w:rsidR="00B24275" w:rsidRPr="00665466" w:rsidRDefault="00B24275" w:rsidP="00665466">
      <w:pPr>
        <w:keepNext/>
        <w:autoSpaceDE w:val="0"/>
        <w:autoSpaceDN w:val="0"/>
        <w:adjustRightInd w:val="0"/>
        <w:rPr>
          <w:sz w:val="22"/>
          <w:szCs w:val="22"/>
          <w:lang w:val="sk-SK"/>
        </w:rPr>
      </w:pPr>
    </w:p>
    <w:p w14:paraId="47FA3E38" w14:textId="29AE88CC" w:rsidR="00B24275" w:rsidRPr="00665466" w:rsidRDefault="00E718A4" w:rsidP="00665466">
      <w:pPr>
        <w:autoSpaceDE w:val="0"/>
        <w:autoSpaceDN w:val="0"/>
        <w:adjustRightInd w:val="0"/>
        <w:rPr>
          <w:sz w:val="22"/>
          <w:szCs w:val="22"/>
          <w:lang w:val="sk-SK"/>
        </w:rPr>
      </w:pPr>
      <w:r w:rsidRPr="00665466">
        <w:rPr>
          <w:sz w:val="22"/>
          <w:szCs w:val="22"/>
          <w:lang w:val="sk-SK"/>
        </w:rPr>
        <w:t xml:space="preserve">Jedna </w:t>
      </w:r>
      <w:r w:rsidR="00B24275" w:rsidRPr="00665466">
        <w:rPr>
          <w:sz w:val="22"/>
          <w:szCs w:val="22"/>
          <w:lang w:val="sk-SK"/>
        </w:rPr>
        <w:t>filmom obalená tableta obsahuje 22,22 mg paroxetíniumchloridu, čo zodpovedá 20 mg paroxetínu.</w:t>
      </w:r>
    </w:p>
    <w:p w14:paraId="6631C5AE" w14:textId="77777777" w:rsidR="00B24275" w:rsidRPr="00665466" w:rsidRDefault="00B24275" w:rsidP="00665466">
      <w:pPr>
        <w:autoSpaceDE w:val="0"/>
        <w:autoSpaceDN w:val="0"/>
        <w:adjustRightInd w:val="0"/>
        <w:rPr>
          <w:sz w:val="22"/>
          <w:szCs w:val="22"/>
          <w:lang w:val="sk-SK"/>
        </w:rPr>
      </w:pPr>
    </w:p>
    <w:p w14:paraId="1E798E29" w14:textId="77777777" w:rsidR="008E1905" w:rsidRPr="00665466" w:rsidRDefault="008E1905" w:rsidP="00665466">
      <w:pPr>
        <w:autoSpaceDE w:val="0"/>
        <w:autoSpaceDN w:val="0"/>
        <w:adjustRightInd w:val="0"/>
        <w:rPr>
          <w:sz w:val="22"/>
          <w:szCs w:val="22"/>
          <w:lang w:val="sk-SK"/>
        </w:rPr>
      </w:pPr>
      <w:r w:rsidRPr="00665466">
        <w:rPr>
          <w:sz w:val="22"/>
          <w:szCs w:val="22"/>
          <w:lang w:val="sk-SK"/>
        </w:rPr>
        <w:t>Úplný zoznam pomocných látok, pozri časť 6.1.</w:t>
      </w:r>
    </w:p>
    <w:p w14:paraId="384F8E97" w14:textId="77777777" w:rsidR="008E1905" w:rsidRPr="00665466" w:rsidRDefault="008E1905" w:rsidP="00665466">
      <w:pPr>
        <w:autoSpaceDE w:val="0"/>
        <w:autoSpaceDN w:val="0"/>
        <w:adjustRightInd w:val="0"/>
        <w:rPr>
          <w:sz w:val="22"/>
          <w:szCs w:val="22"/>
          <w:lang w:val="sk-SK"/>
        </w:rPr>
      </w:pPr>
    </w:p>
    <w:p w14:paraId="5F1E0C92" w14:textId="77777777" w:rsidR="00B24275" w:rsidRPr="00665466" w:rsidRDefault="00B24275" w:rsidP="00665466">
      <w:pPr>
        <w:autoSpaceDE w:val="0"/>
        <w:autoSpaceDN w:val="0"/>
        <w:adjustRightInd w:val="0"/>
        <w:rPr>
          <w:sz w:val="22"/>
          <w:szCs w:val="22"/>
          <w:lang w:val="sk-SK"/>
        </w:rPr>
      </w:pPr>
    </w:p>
    <w:p w14:paraId="1ED53574" w14:textId="27C2B24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3.</w:t>
      </w:r>
      <w:r w:rsidR="008E1905" w:rsidRPr="00665466">
        <w:rPr>
          <w:b/>
          <w:bCs/>
          <w:sz w:val="22"/>
          <w:szCs w:val="22"/>
          <w:lang w:val="sk-SK"/>
        </w:rPr>
        <w:tab/>
      </w:r>
      <w:r w:rsidRPr="00665466">
        <w:rPr>
          <w:b/>
          <w:bCs/>
          <w:sz w:val="22"/>
          <w:szCs w:val="22"/>
          <w:lang w:val="sk-SK"/>
        </w:rPr>
        <w:t>LIEKOVÁ FORMA</w:t>
      </w:r>
    </w:p>
    <w:p w14:paraId="747052A4" w14:textId="77777777" w:rsidR="00B24275" w:rsidRPr="00665466" w:rsidRDefault="00B24275" w:rsidP="00665466">
      <w:pPr>
        <w:keepNext/>
        <w:tabs>
          <w:tab w:val="left" w:pos="567"/>
        </w:tabs>
        <w:autoSpaceDE w:val="0"/>
        <w:autoSpaceDN w:val="0"/>
        <w:adjustRightInd w:val="0"/>
        <w:rPr>
          <w:sz w:val="22"/>
          <w:szCs w:val="22"/>
          <w:lang w:val="sk-SK"/>
        </w:rPr>
      </w:pPr>
    </w:p>
    <w:p w14:paraId="141F63ED" w14:textId="77777777" w:rsidR="00B24275" w:rsidRPr="00665466" w:rsidRDefault="00B24275" w:rsidP="00665466">
      <w:pPr>
        <w:autoSpaceDE w:val="0"/>
        <w:autoSpaceDN w:val="0"/>
        <w:adjustRightInd w:val="0"/>
        <w:rPr>
          <w:sz w:val="22"/>
          <w:szCs w:val="22"/>
          <w:lang w:val="sk-SK"/>
        </w:rPr>
      </w:pPr>
      <w:r w:rsidRPr="00665466">
        <w:rPr>
          <w:sz w:val="22"/>
          <w:szCs w:val="22"/>
          <w:lang w:val="sk-SK"/>
        </w:rPr>
        <w:t>Filmom obalená tableta.</w:t>
      </w:r>
    </w:p>
    <w:p w14:paraId="134948CD" w14:textId="77777777" w:rsidR="00B24275" w:rsidRPr="00665466" w:rsidRDefault="00B24275" w:rsidP="00665466">
      <w:pPr>
        <w:autoSpaceDE w:val="0"/>
        <w:autoSpaceDN w:val="0"/>
        <w:adjustRightInd w:val="0"/>
        <w:rPr>
          <w:sz w:val="22"/>
          <w:szCs w:val="22"/>
          <w:lang w:val="sk-SK"/>
        </w:rPr>
      </w:pPr>
    </w:p>
    <w:p w14:paraId="7D7AA1CF" w14:textId="77777777" w:rsidR="00B24275" w:rsidRPr="00665466" w:rsidRDefault="00B24275" w:rsidP="00665466">
      <w:pPr>
        <w:autoSpaceDE w:val="0"/>
        <w:autoSpaceDN w:val="0"/>
        <w:adjustRightInd w:val="0"/>
        <w:rPr>
          <w:sz w:val="22"/>
          <w:szCs w:val="22"/>
          <w:lang w:val="sk-SK"/>
        </w:rPr>
      </w:pPr>
      <w:r w:rsidRPr="00665466">
        <w:rPr>
          <w:sz w:val="22"/>
          <w:szCs w:val="22"/>
          <w:lang w:val="sk-SK"/>
        </w:rPr>
        <w:t>Biele</w:t>
      </w:r>
      <w:r w:rsidR="00CF38B6" w:rsidRPr="00665466">
        <w:rPr>
          <w:sz w:val="22"/>
          <w:szCs w:val="22"/>
          <w:lang w:val="sk-SK"/>
        </w:rPr>
        <w:t>,</w:t>
      </w:r>
      <w:r w:rsidRPr="00665466">
        <w:rPr>
          <w:sz w:val="22"/>
          <w:szCs w:val="22"/>
          <w:lang w:val="sk-SK"/>
        </w:rPr>
        <w:t xml:space="preserve"> okrúhle</w:t>
      </w:r>
      <w:r w:rsidR="00CF38B6" w:rsidRPr="00665466">
        <w:rPr>
          <w:sz w:val="22"/>
          <w:szCs w:val="22"/>
          <w:lang w:val="sk-SK"/>
        </w:rPr>
        <w:t>,</w:t>
      </w:r>
      <w:r w:rsidRPr="00665466">
        <w:rPr>
          <w:sz w:val="22"/>
          <w:szCs w:val="22"/>
          <w:lang w:val="sk-SK"/>
        </w:rPr>
        <w:t xml:space="preserve"> filmom obalené tablety na jednej strane označené písmenom </w:t>
      </w:r>
      <w:r w:rsidR="00942B63" w:rsidRPr="00665466">
        <w:rPr>
          <w:sz w:val="22"/>
          <w:szCs w:val="22"/>
          <w:lang w:val="sk-SK"/>
        </w:rPr>
        <w:t>“</w:t>
      </w:r>
      <w:r w:rsidRPr="00665466">
        <w:rPr>
          <w:sz w:val="22"/>
          <w:szCs w:val="22"/>
          <w:lang w:val="sk-SK"/>
        </w:rPr>
        <w:t>G</w:t>
      </w:r>
      <w:r w:rsidR="00942B63" w:rsidRPr="00665466">
        <w:rPr>
          <w:sz w:val="22"/>
          <w:szCs w:val="22"/>
          <w:lang w:val="sk-SK"/>
        </w:rPr>
        <w:t>”</w:t>
      </w:r>
      <w:r w:rsidRPr="00665466">
        <w:rPr>
          <w:sz w:val="22"/>
          <w:szCs w:val="22"/>
          <w:lang w:val="sk-SK"/>
        </w:rPr>
        <w:t xml:space="preserve"> a na druhej strane </w:t>
      </w:r>
      <w:r w:rsidR="00942B63" w:rsidRPr="00665466">
        <w:rPr>
          <w:sz w:val="22"/>
          <w:szCs w:val="22"/>
          <w:lang w:val="sk-SK"/>
        </w:rPr>
        <w:t xml:space="preserve">s deliacou ryhou a </w:t>
      </w:r>
      <w:r w:rsidRPr="00665466">
        <w:rPr>
          <w:sz w:val="22"/>
          <w:szCs w:val="22"/>
          <w:lang w:val="sk-SK"/>
        </w:rPr>
        <w:t>označen</w:t>
      </w:r>
      <w:r w:rsidR="00942B63" w:rsidRPr="00665466">
        <w:rPr>
          <w:sz w:val="22"/>
          <w:szCs w:val="22"/>
          <w:lang w:val="sk-SK"/>
        </w:rPr>
        <w:t>ím</w:t>
      </w:r>
      <w:r w:rsidRPr="00665466">
        <w:rPr>
          <w:sz w:val="22"/>
          <w:szCs w:val="22"/>
          <w:lang w:val="sk-SK"/>
        </w:rPr>
        <w:t xml:space="preserve"> </w:t>
      </w:r>
      <w:r w:rsidR="00942B63" w:rsidRPr="00665466">
        <w:rPr>
          <w:sz w:val="22"/>
          <w:szCs w:val="22"/>
          <w:lang w:val="sk-SK"/>
        </w:rPr>
        <w:t>“</w:t>
      </w:r>
      <w:r w:rsidRPr="00665466">
        <w:rPr>
          <w:sz w:val="22"/>
          <w:szCs w:val="22"/>
          <w:lang w:val="sk-SK"/>
        </w:rPr>
        <w:t>P2</w:t>
      </w:r>
      <w:r w:rsidR="00942B63" w:rsidRPr="00665466">
        <w:rPr>
          <w:sz w:val="22"/>
          <w:szCs w:val="22"/>
          <w:lang w:val="sk-SK"/>
        </w:rPr>
        <w:t>”</w:t>
      </w:r>
      <w:r w:rsidR="001B2833" w:rsidRPr="00665466">
        <w:rPr>
          <w:sz w:val="22"/>
          <w:szCs w:val="22"/>
          <w:lang w:val="sk-SK"/>
        </w:rPr>
        <w:t>, priemer približne 8 mm</w:t>
      </w:r>
      <w:r w:rsidRPr="00665466">
        <w:rPr>
          <w:sz w:val="22"/>
          <w:szCs w:val="22"/>
          <w:lang w:val="sk-SK"/>
        </w:rPr>
        <w:t>.</w:t>
      </w:r>
    </w:p>
    <w:p w14:paraId="649E6B06" w14:textId="77777777" w:rsidR="001B2833" w:rsidRPr="00665466" w:rsidRDefault="001B2833" w:rsidP="00665466">
      <w:pPr>
        <w:autoSpaceDE w:val="0"/>
        <w:autoSpaceDN w:val="0"/>
        <w:adjustRightInd w:val="0"/>
        <w:rPr>
          <w:sz w:val="22"/>
          <w:szCs w:val="22"/>
          <w:lang w:val="sk-SK"/>
        </w:rPr>
      </w:pPr>
    </w:p>
    <w:p w14:paraId="2C7CA384" w14:textId="733F3D04" w:rsidR="008E1905" w:rsidRPr="00665466" w:rsidRDefault="008E1905" w:rsidP="00665466">
      <w:pPr>
        <w:autoSpaceDE w:val="0"/>
        <w:autoSpaceDN w:val="0"/>
        <w:adjustRightInd w:val="0"/>
        <w:rPr>
          <w:sz w:val="22"/>
          <w:szCs w:val="22"/>
          <w:lang w:val="sk-SK"/>
        </w:rPr>
      </w:pPr>
      <w:r w:rsidRPr="00665466">
        <w:rPr>
          <w:sz w:val="22"/>
          <w:szCs w:val="22"/>
          <w:lang w:val="sk-SK"/>
        </w:rPr>
        <w:t xml:space="preserve">Deliaca ryha iba pomáha </w:t>
      </w:r>
      <w:r w:rsidR="00447413" w:rsidRPr="00665466">
        <w:rPr>
          <w:sz w:val="22"/>
          <w:szCs w:val="22"/>
          <w:lang w:val="sk-SK"/>
        </w:rPr>
        <w:t>rozlomiť tabletu, aby sa dala ľahšie prehltnúť</w:t>
      </w:r>
      <w:r w:rsidRPr="00665466">
        <w:rPr>
          <w:sz w:val="22"/>
          <w:szCs w:val="22"/>
          <w:lang w:val="sk-SK"/>
        </w:rPr>
        <w:t xml:space="preserve"> a neslúži </w:t>
      </w:r>
      <w:r w:rsidR="007D54DF" w:rsidRPr="00665466">
        <w:rPr>
          <w:sz w:val="22"/>
          <w:szCs w:val="22"/>
          <w:lang w:val="sk-SK"/>
        </w:rPr>
        <w:t xml:space="preserve">na </w:t>
      </w:r>
      <w:r w:rsidRPr="00665466">
        <w:rPr>
          <w:sz w:val="22"/>
          <w:szCs w:val="22"/>
          <w:lang w:val="sk-SK"/>
        </w:rPr>
        <w:t>rozdelenie na rovnaké dávky.</w:t>
      </w:r>
    </w:p>
    <w:p w14:paraId="4499CCBB" w14:textId="77777777" w:rsidR="00B24275" w:rsidRPr="00665466" w:rsidRDefault="00B24275" w:rsidP="00665466">
      <w:pPr>
        <w:autoSpaceDE w:val="0"/>
        <w:autoSpaceDN w:val="0"/>
        <w:adjustRightInd w:val="0"/>
        <w:rPr>
          <w:sz w:val="22"/>
          <w:szCs w:val="22"/>
          <w:lang w:val="sk-SK"/>
        </w:rPr>
      </w:pPr>
    </w:p>
    <w:p w14:paraId="5B4FEA3D" w14:textId="77777777" w:rsidR="00B24275" w:rsidRPr="00665466" w:rsidRDefault="00B24275" w:rsidP="00665466">
      <w:pPr>
        <w:autoSpaceDE w:val="0"/>
        <w:autoSpaceDN w:val="0"/>
        <w:adjustRightInd w:val="0"/>
        <w:rPr>
          <w:sz w:val="22"/>
          <w:szCs w:val="22"/>
          <w:lang w:val="sk-SK"/>
        </w:rPr>
      </w:pPr>
    </w:p>
    <w:p w14:paraId="23DA0ADE" w14:textId="5C14A4C2"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w:t>
      </w:r>
      <w:r w:rsidR="008E1905" w:rsidRPr="00665466">
        <w:rPr>
          <w:b/>
          <w:bCs/>
          <w:sz w:val="22"/>
          <w:szCs w:val="22"/>
          <w:lang w:val="sk-SK"/>
        </w:rPr>
        <w:tab/>
      </w:r>
      <w:r w:rsidRPr="00665466">
        <w:rPr>
          <w:b/>
          <w:bCs/>
          <w:sz w:val="22"/>
          <w:szCs w:val="22"/>
          <w:lang w:val="sk-SK"/>
        </w:rPr>
        <w:t>KLINICKÉ ÚDAJE</w:t>
      </w:r>
    </w:p>
    <w:p w14:paraId="7EDF9EEB" w14:textId="77777777" w:rsidR="00B24275" w:rsidRPr="00665466" w:rsidRDefault="00B24275" w:rsidP="00665466">
      <w:pPr>
        <w:keepNext/>
        <w:tabs>
          <w:tab w:val="left" w:pos="567"/>
        </w:tabs>
        <w:autoSpaceDE w:val="0"/>
        <w:autoSpaceDN w:val="0"/>
        <w:adjustRightInd w:val="0"/>
        <w:rPr>
          <w:bCs/>
          <w:sz w:val="22"/>
          <w:szCs w:val="22"/>
          <w:lang w:val="sk-SK"/>
        </w:rPr>
      </w:pPr>
    </w:p>
    <w:p w14:paraId="63E08705" w14:textId="1F018C4E"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4.1</w:t>
      </w:r>
      <w:r w:rsidR="008E1905" w:rsidRPr="00665466">
        <w:rPr>
          <w:b/>
          <w:bCs/>
          <w:sz w:val="22"/>
          <w:szCs w:val="22"/>
          <w:lang w:val="sk-SK"/>
        </w:rPr>
        <w:tab/>
      </w:r>
      <w:r w:rsidRPr="00665466">
        <w:rPr>
          <w:b/>
          <w:bCs/>
          <w:sz w:val="22"/>
          <w:szCs w:val="22"/>
          <w:lang w:val="sk-SK"/>
        </w:rPr>
        <w:t>Terapeutické indikácie</w:t>
      </w:r>
    </w:p>
    <w:p w14:paraId="37A8A927" w14:textId="77777777" w:rsidR="00B24275" w:rsidRPr="00665466" w:rsidRDefault="00B24275" w:rsidP="00665466">
      <w:pPr>
        <w:keepNext/>
        <w:tabs>
          <w:tab w:val="left" w:pos="567"/>
        </w:tabs>
        <w:autoSpaceDE w:val="0"/>
        <w:autoSpaceDN w:val="0"/>
        <w:adjustRightInd w:val="0"/>
        <w:rPr>
          <w:sz w:val="22"/>
          <w:szCs w:val="22"/>
          <w:lang w:val="sk-SK"/>
        </w:rPr>
      </w:pPr>
    </w:p>
    <w:p w14:paraId="5C6E0AF1" w14:textId="19706068" w:rsidR="00B24275" w:rsidRPr="00665466" w:rsidRDefault="001B2833" w:rsidP="00665466">
      <w:pPr>
        <w:autoSpaceDE w:val="0"/>
        <w:autoSpaceDN w:val="0"/>
        <w:adjustRightInd w:val="0"/>
        <w:rPr>
          <w:sz w:val="22"/>
          <w:szCs w:val="22"/>
          <w:lang w:val="sk-SK"/>
        </w:rPr>
      </w:pPr>
      <w:r w:rsidRPr="00665466">
        <w:rPr>
          <w:sz w:val="22"/>
          <w:szCs w:val="22"/>
          <w:lang w:val="sk-SK"/>
        </w:rPr>
        <w:t xml:space="preserve">Paroxetín je indikovaný </w:t>
      </w:r>
      <w:r w:rsidR="00002552" w:rsidRPr="00665466">
        <w:rPr>
          <w:sz w:val="22"/>
          <w:szCs w:val="22"/>
          <w:lang w:val="sk-SK"/>
        </w:rPr>
        <w:t xml:space="preserve">dospelým </w:t>
      </w:r>
      <w:r w:rsidRPr="00665466">
        <w:rPr>
          <w:sz w:val="22"/>
          <w:szCs w:val="22"/>
          <w:lang w:val="sk-SK"/>
        </w:rPr>
        <w:t>(vrátane starších ľudí) na liečbu</w:t>
      </w:r>
      <w:r w:rsidR="00702FDF" w:rsidRPr="00665466">
        <w:rPr>
          <w:sz w:val="22"/>
          <w:szCs w:val="22"/>
          <w:lang w:val="sk-SK"/>
        </w:rPr>
        <w:t xml:space="preserve">: </w:t>
      </w:r>
    </w:p>
    <w:p w14:paraId="04A6AE39" w14:textId="6DE72382" w:rsidR="00B24275" w:rsidRPr="00665466" w:rsidRDefault="008061EF"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Epizódy veľkej depresie</w:t>
      </w:r>
    </w:p>
    <w:p w14:paraId="09767F0D"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Obsedantno-kompulzívnej poruchy</w:t>
      </w:r>
    </w:p>
    <w:p w14:paraId="21F4CDFF"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Panickej poruchy s agorafóbiou a bez nej</w:t>
      </w:r>
    </w:p>
    <w:p w14:paraId="478F72EC"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 xml:space="preserve">Sociálnej </w:t>
      </w:r>
      <w:r w:rsidR="001B2833" w:rsidRPr="00665466">
        <w:rPr>
          <w:sz w:val="22"/>
          <w:szCs w:val="22"/>
          <w:lang w:val="sk-SK"/>
        </w:rPr>
        <w:t>úzkostnej poruchy</w:t>
      </w:r>
      <w:r w:rsidRPr="00665466">
        <w:rPr>
          <w:sz w:val="22"/>
          <w:szCs w:val="22"/>
          <w:lang w:val="sk-SK"/>
        </w:rPr>
        <w:t>/</w:t>
      </w:r>
      <w:r w:rsidR="002A1BF4" w:rsidRPr="00665466">
        <w:rPr>
          <w:sz w:val="22"/>
          <w:szCs w:val="22"/>
          <w:lang w:val="sk-SK"/>
        </w:rPr>
        <w:t>s</w:t>
      </w:r>
      <w:r w:rsidRPr="00665466">
        <w:rPr>
          <w:sz w:val="22"/>
          <w:szCs w:val="22"/>
          <w:lang w:val="sk-SK"/>
        </w:rPr>
        <w:t>ociálnej fóbie</w:t>
      </w:r>
    </w:p>
    <w:p w14:paraId="6538A5EB"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Generalizovanej úzkostnej poruchy</w:t>
      </w:r>
    </w:p>
    <w:p w14:paraId="49420E93" w14:textId="77777777" w:rsidR="00B24275" w:rsidRPr="00665466" w:rsidRDefault="00B24275" w:rsidP="00665466">
      <w:pPr>
        <w:numPr>
          <w:ilvl w:val="0"/>
          <w:numId w:val="3"/>
        </w:numPr>
        <w:tabs>
          <w:tab w:val="clear" w:pos="720"/>
          <w:tab w:val="num" w:pos="540"/>
        </w:tabs>
        <w:autoSpaceDE w:val="0"/>
        <w:autoSpaceDN w:val="0"/>
        <w:adjustRightInd w:val="0"/>
        <w:ind w:left="567" w:hanging="567"/>
        <w:rPr>
          <w:sz w:val="22"/>
          <w:szCs w:val="22"/>
          <w:lang w:val="sk-SK"/>
        </w:rPr>
      </w:pPr>
      <w:r w:rsidRPr="00665466">
        <w:rPr>
          <w:sz w:val="22"/>
          <w:szCs w:val="22"/>
          <w:lang w:val="sk-SK"/>
        </w:rPr>
        <w:t>Posttraumatickej stresovej poruchy</w:t>
      </w:r>
    </w:p>
    <w:p w14:paraId="0635EDF4" w14:textId="77777777" w:rsidR="00B24275" w:rsidRPr="00665466" w:rsidRDefault="00B24275" w:rsidP="00665466">
      <w:pPr>
        <w:autoSpaceDE w:val="0"/>
        <w:autoSpaceDN w:val="0"/>
        <w:adjustRightInd w:val="0"/>
        <w:rPr>
          <w:bCs/>
          <w:sz w:val="22"/>
          <w:szCs w:val="22"/>
          <w:lang w:val="sk-SK"/>
        </w:rPr>
      </w:pPr>
    </w:p>
    <w:p w14:paraId="5DF6673B" w14:textId="3BE925A0"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4.2</w:t>
      </w:r>
      <w:r w:rsidR="008E1905" w:rsidRPr="00665466">
        <w:rPr>
          <w:b/>
          <w:bCs/>
          <w:sz w:val="22"/>
          <w:szCs w:val="22"/>
          <w:lang w:val="sk-SK"/>
        </w:rPr>
        <w:tab/>
      </w:r>
      <w:r w:rsidRPr="00665466">
        <w:rPr>
          <w:b/>
          <w:bCs/>
          <w:sz w:val="22"/>
          <w:szCs w:val="22"/>
          <w:lang w:val="sk-SK"/>
        </w:rPr>
        <w:t>Dávkovanie a spôsob pod</w:t>
      </w:r>
      <w:r w:rsidR="008F1191" w:rsidRPr="00665466">
        <w:rPr>
          <w:b/>
          <w:bCs/>
          <w:sz w:val="22"/>
          <w:szCs w:val="22"/>
          <w:lang w:val="sk-SK"/>
        </w:rPr>
        <w:t>áv</w:t>
      </w:r>
      <w:r w:rsidRPr="00665466">
        <w:rPr>
          <w:b/>
          <w:bCs/>
          <w:sz w:val="22"/>
          <w:szCs w:val="22"/>
          <w:lang w:val="sk-SK"/>
        </w:rPr>
        <w:t>ania</w:t>
      </w:r>
    </w:p>
    <w:p w14:paraId="50E3281C" w14:textId="77777777" w:rsidR="00B24275" w:rsidRPr="00665466" w:rsidRDefault="00B24275" w:rsidP="00665466">
      <w:pPr>
        <w:keepNext/>
        <w:tabs>
          <w:tab w:val="left" w:pos="567"/>
        </w:tabs>
        <w:autoSpaceDE w:val="0"/>
        <w:autoSpaceDN w:val="0"/>
        <w:adjustRightInd w:val="0"/>
        <w:rPr>
          <w:sz w:val="22"/>
          <w:szCs w:val="22"/>
          <w:lang w:val="sk-SK"/>
        </w:rPr>
      </w:pPr>
    </w:p>
    <w:p w14:paraId="3586A6AB" w14:textId="77777777" w:rsidR="00F85F1B" w:rsidRPr="00665466" w:rsidRDefault="00F85F1B" w:rsidP="00665466">
      <w:pPr>
        <w:keepNext/>
        <w:tabs>
          <w:tab w:val="left" w:pos="567"/>
        </w:tabs>
        <w:autoSpaceDE w:val="0"/>
        <w:autoSpaceDN w:val="0"/>
        <w:adjustRightInd w:val="0"/>
        <w:rPr>
          <w:sz w:val="22"/>
          <w:szCs w:val="22"/>
          <w:lang w:val="sk-SK"/>
        </w:rPr>
      </w:pPr>
      <w:r w:rsidRPr="00665466">
        <w:rPr>
          <w:sz w:val="22"/>
          <w:szCs w:val="22"/>
          <w:u w:val="single"/>
          <w:lang w:val="sk-SK"/>
        </w:rPr>
        <w:t>Dávkovanie</w:t>
      </w:r>
    </w:p>
    <w:p w14:paraId="3511D51A" w14:textId="18CCAAB6" w:rsidR="00B24275" w:rsidRPr="00665466" w:rsidRDefault="00B24275" w:rsidP="00665466">
      <w:pPr>
        <w:autoSpaceDE w:val="0"/>
        <w:autoSpaceDN w:val="0"/>
        <w:adjustRightInd w:val="0"/>
        <w:rPr>
          <w:sz w:val="22"/>
          <w:szCs w:val="22"/>
          <w:lang w:val="sk-SK"/>
        </w:rPr>
      </w:pPr>
    </w:p>
    <w:p w14:paraId="0829235C"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Epizóda veľkej depresie</w:t>
      </w:r>
    </w:p>
    <w:p w14:paraId="47B2C0B5" w14:textId="77777777" w:rsidR="00002552" w:rsidRPr="00665466" w:rsidRDefault="00B24275" w:rsidP="00665466">
      <w:pPr>
        <w:autoSpaceDE w:val="0"/>
        <w:autoSpaceDN w:val="0"/>
        <w:adjustRightInd w:val="0"/>
        <w:rPr>
          <w:sz w:val="22"/>
          <w:szCs w:val="22"/>
          <w:lang w:val="sk-SK"/>
        </w:rPr>
      </w:pPr>
      <w:r w:rsidRPr="00665466">
        <w:rPr>
          <w:sz w:val="22"/>
          <w:szCs w:val="22"/>
          <w:lang w:val="sk-SK"/>
        </w:rPr>
        <w:t>Odporúčaná dávka je 20 mg denne. Zlepšenie stavu sa u pacientov zač</w:t>
      </w:r>
      <w:r w:rsidR="00702FDF" w:rsidRPr="00665466">
        <w:rPr>
          <w:sz w:val="22"/>
          <w:szCs w:val="22"/>
          <w:lang w:val="sk-SK"/>
        </w:rPr>
        <w:t>í</w:t>
      </w:r>
      <w:r w:rsidRPr="00665466">
        <w:rPr>
          <w:sz w:val="22"/>
          <w:szCs w:val="22"/>
          <w:lang w:val="sk-SK"/>
        </w:rPr>
        <w:t>n</w:t>
      </w:r>
      <w:r w:rsidR="00702FDF" w:rsidRPr="00665466">
        <w:rPr>
          <w:sz w:val="22"/>
          <w:szCs w:val="22"/>
          <w:lang w:val="sk-SK"/>
        </w:rPr>
        <w:t>a</w:t>
      </w:r>
      <w:r w:rsidRPr="00665466">
        <w:rPr>
          <w:sz w:val="22"/>
          <w:szCs w:val="22"/>
          <w:lang w:val="sk-SK"/>
        </w:rPr>
        <w:t xml:space="preserve"> </w:t>
      </w:r>
      <w:r w:rsidR="007D54DF" w:rsidRPr="00665466">
        <w:rPr>
          <w:sz w:val="22"/>
          <w:szCs w:val="22"/>
          <w:lang w:val="sk-SK"/>
        </w:rPr>
        <w:t xml:space="preserve">prejavovať </w:t>
      </w:r>
      <w:r w:rsidRPr="00665466">
        <w:rPr>
          <w:sz w:val="22"/>
          <w:szCs w:val="22"/>
          <w:lang w:val="sk-SK"/>
        </w:rPr>
        <w:t>zvyčajne už po</w:t>
      </w:r>
      <w:r w:rsidR="00E003BE" w:rsidRPr="00665466">
        <w:rPr>
          <w:sz w:val="22"/>
          <w:szCs w:val="22"/>
          <w:lang w:val="sk-SK"/>
        </w:rPr>
        <w:t> </w:t>
      </w:r>
      <w:r w:rsidRPr="00665466">
        <w:rPr>
          <w:sz w:val="22"/>
          <w:szCs w:val="22"/>
          <w:lang w:val="sk-SK"/>
        </w:rPr>
        <w:t xml:space="preserve">prvom týždni liečby, ale </w:t>
      </w:r>
      <w:r w:rsidR="00CA3C90" w:rsidRPr="00665466">
        <w:rPr>
          <w:sz w:val="22"/>
          <w:szCs w:val="22"/>
          <w:lang w:val="sk-SK"/>
        </w:rPr>
        <w:t>evidentnejš</w:t>
      </w:r>
      <w:r w:rsidR="00E003BE" w:rsidRPr="00665466">
        <w:rPr>
          <w:sz w:val="22"/>
          <w:szCs w:val="22"/>
          <w:lang w:val="sk-SK"/>
        </w:rPr>
        <w:t>i</w:t>
      </w:r>
      <w:r w:rsidR="00CA3C90" w:rsidRPr="00665466">
        <w:rPr>
          <w:sz w:val="22"/>
          <w:szCs w:val="22"/>
          <w:lang w:val="sk-SK"/>
        </w:rPr>
        <w:t xml:space="preserve">e </w:t>
      </w:r>
      <w:r w:rsidRPr="00665466">
        <w:rPr>
          <w:sz w:val="22"/>
          <w:szCs w:val="22"/>
          <w:lang w:val="sk-SK"/>
        </w:rPr>
        <w:t xml:space="preserve">môže </w:t>
      </w:r>
      <w:r w:rsidR="00702FDF" w:rsidRPr="00665466">
        <w:rPr>
          <w:sz w:val="22"/>
          <w:szCs w:val="22"/>
          <w:lang w:val="sk-SK"/>
        </w:rPr>
        <w:t xml:space="preserve">byť </w:t>
      </w:r>
      <w:r w:rsidRPr="00665466">
        <w:rPr>
          <w:sz w:val="22"/>
          <w:szCs w:val="22"/>
          <w:lang w:val="sk-SK"/>
        </w:rPr>
        <w:t>až od druhého týždňa liečby.</w:t>
      </w:r>
    </w:p>
    <w:p w14:paraId="2F97BD57" w14:textId="7EBDC99A" w:rsidR="00702FDF" w:rsidRPr="00665466" w:rsidRDefault="00702FDF" w:rsidP="00665466">
      <w:pPr>
        <w:autoSpaceDE w:val="0"/>
        <w:autoSpaceDN w:val="0"/>
        <w:adjustRightInd w:val="0"/>
        <w:rPr>
          <w:sz w:val="22"/>
          <w:szCs w:val="22"/>
          <w:lang w:val="sk-SK"/>
        </w:rPr>
      </w:pPr>
    </w:p>
    <w:p w14:paraId="6B47876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C13CE4" w:rsidRPr="00665466">
        <w:rPr>
          <w:sz w:val="22"/>
          <w:szCs w:val="22"/>
          <w:lang w:val="sk-SK"/>
        </w:rPr>
        <w:t>pri</w:t>
      </w:r>
      <w:r w:rsidRPr="00665466">
        <w:rPr>
          <w:sz w:val="22"/>
          <w:szCs w:val="22"/>
          <w:lang w:val="sk-SK"/>
        </w:rPr>
        <w:t xml:space="preserve"> všetkých antidepresívnych lieko</w:t>
      </w:r>
      <w:r w:rsidR="00C13CE4" w:rsidRPr="00665466">
        <w:rPr>
          <w:sz w:val="22"/>
          <w:szCs w:val="22"/>
          <w:lang w:val="sk-SK"/>
        </w:rPr>
        <w:t>ch</w:t>
      </w:r>
      <w:r w:rsidR="00702FDF" w:rsidRPr="00665466">
        <w:rPr>
          <w:sz w:val="22"/>
          <w:szCs w:val="22"/>
          <w:lang w:val="sk-SK"/>
        </w:rPr>
        <w:t>,</w:t>
      </w:r>
      <w:r w:rsidRPr="00665466">
        <w:rPr>
          <w:sz w:val="22"/>
          <w:szCs w:val="22"/>
          <w:lang w:val="sk-SK"/>
        </w:rPr>
        <w:t xml:space="preserve"> dávkovanie</w:t>
      </w:r>
      <w:r w:rsidR="00702FDF" w:rsidRPr="00665466">
        <w:rPr>
          <w:sz w:val="22"/>
          <w:szCs w:val="22"/>
          <w:lang w:val="sk-SK"/>
        </w:rPr>
        <w:t xml:space="preserve"> sa</w:t>
      </w:r>
      <w:r w:rsidRPr="00665466">
        <w:rPr>
          <w:sz w:val="22"/>
          <w:szCs w:val="22"/>
          <w:lang w:val="sk-SK"/>
        </w:rPr>
        <w:t xml:space="preserve"> musí podľa potreby hodnotiť a upravovať počas 3 až 4 týždňov od začiatku liečby a potom následne, ak to bude považované za klinicky vhodné. U</w:t>
      </w:r>
      <w:r w:rsidR="00702FDF" w:rsidRPr="00665466">
        <w:rPr>
          <w:sz w:val="22"/>
          <w:szCs w:val="22"/>
          <w:lang w:val="sk-SK"/>
        </w:rPr>
        <w:t> </w:t>
      </w:r>
      <w:r w:rsidRPr="00665466">
        <w:rPr>
          <w:sz w:val="22"/>
          <w:szCs w:val="22"/>
          <w:lang w:val="sk-SK"/>
        </w:rPr>
        <w:t xml:space="preserve">niektorých pacientov s nedostatočnou odpoveďou na 20 mg sa táto dávka môže podľa odpovede pacienta postupne zvyšovať </w:t>
      </w:r>
      <w:r w:rsidR="00D80E2F" w:rsidRPr="00665466">
        <w:rPr>
          <w:sz w:val="22"/>
          <w:szCs w:val="22"/>
          <w:lang w:val="sk-SK"/>
        </w:rPr>
        <w:t>p</w:t>
      </w:r>
      <w:r w:rsidRPr="00665466">
        <w:rPr>
          <w:sz w:val="22"/>
          <w:szCs w:val="22"/>
          <w:lang w:val="sk-SK"/>
        </w:rPr>
        <w:t>o 10 mg až na maximálnych 50 mg denne.</w:t>
      </w:r>
    </w:p>
    <w:p w14:paraId="32232BC0" w14:textId="77777777" w:rsidR="00B24275" w:rsidRPr="00665466" w:rsidRDefault="00B24275" w:rsidP="00665466">
      <w:pPr>
        <w:autoSpaceDE w:val="0"/>
        <w:autoSpaceDN w:val="0"/>
        <w:adjustRightInd w:val="0"/>
        <w:rPr>
          <w:sz w:val="22"/>
          <w:szCs w:val="22"/>
          <w:lang w:val="sk-SK"/>
        </w:rPr>
      </w:pPr>
    </w:p>
    <w:p w14:paraId="0A5245C9" w14:textId="77777777" w:rsidR="00B24275" w:rsidRPr="00665466" w:rsidRDefault="00B24275" w:rsidP="00665466">
      <w:pPr>
        <w:autoSpaceDE w:val="0"/>
        <w:autoSpaceDN w:val="0"/>
        <w:adjustRightInd w:val="0"/>
        <w:rPr>
          <w:sz w:val="22"/>
          <w:szCs w:val="22"/>
          <w:lang w:val="sk-SK"/>
        </w:rPr>
      </w:pPr>
      <w:r w:rsidRPr="00665466">
        <w:rPr>
          <w:sz w:val="22"/>
          <w:szCs w:val="22"/>
          <w:lang w:val="sk-SK"/>
        </w:rPr>
        <w:lastRenderedPageBreak/>
        <w:t>Pacienti s depresiou sa majú liečiť počas dostatočne dlhej doby</w:t>
      </w:r>
      <w:r w:rsidR="00C13CE4" w:rsidRPr="00665466">
        <w:rPr>
          <w:sz w:val="22"/>
          <w:szCs w:val="22"/>
          <w:lang w:val="sk-SK"/>
        </w:rPr>
        <w:t>,</w:t>
      </w:r>
      <w:r w:rsidRPr="00665466">
        <w:rPr>
          <w:sz w:val="22"/>
          <w:szCs w:val="22"/>
          <w:lang w:val="sk-SK"/>
        </w:rPr>
        <w:t xml:space="preserve"> najmenej 6 mesiacov, aby sa zaistilo, že u nich nepretrvávajú žiadne symptómy.</w:t>
      </w:r>
    </w:p>
    <w:p w14:paraId="114BEC1D" w14:textId="77777777" w:rsidR="00B24275" w:rsidRPr="00665466" w:rsidRDefault="00B24275" w:rsidP="00665466">
      <w:pPr>
        <w:autoSpaceDE w:val="0"/>
        <w:autoSpaceDN w:val="0"/>
        <w:adjustRightInd w:val="0"/>
        <w:rPr>
          <w:sz w:val="22"/>
          <w:szCs w:val="22"/>
          <w:lang w:val="sk-SK"/>
        </w:rPr>
      </w:pPr>
    </w:p>
    <w:p w14:paraId="28ADE1F0"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Obsedantno-kompulzívna porucha (OCD)</w:t>
      </w:r>
    </w:p>
    <w:p w14:paraId="6758EC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40 mg denne. Pacienti majú začať s 20 mg/deň a táto dávka sa môže postupne zvyšovať </w:t>
      </w:r>
      <w:r w:rsidR="00D80E2F" w:rsidRPr="00665466">
        <w:rPr>
          <w:sz w:val="22"/>
          <w:szCs w:val="22"/>
          <w:lang w:val="sk-SK"/>
        </w:rPr>
        <w:t>p</w:t>
      </w:r>
      <w:r w:rsidRPr="00665466">
        <w:rPr>
          <w:sz w:val="22"/>
          <w:szCs w:val="22"/>
          <w:lang w:val="sk-SK"/>
        </w:rPr>
        <w:t xml:space="preserve">o 10 mg na odporúčanú dávku. V prípade, že po niekoľkých týždňoch na odporúčanej dávke </w:t>
      </w:r>
      <w:r w:rsidR="00702FDF" w:rsidRPr="00665466">
        <w:rPr>
          <w:sz w:val="22"/>
          <w:szCs w:val="22"/>
          <w:lang w:val="sk-SK"/>
        </w:rPr>
        <w:t>ne</w:t>
      </w:r>
      <w:r w:rsidRPr="00665466">
        <w:rPr>
          <w:sz w:val="22"/>
          <w:szCs w:val="22"/>
          <w:lang w:val="sk-SK"/>
        </w:rPr>
        <w:t>bude pozorovaná dostatočná odpoveď, pre niektorých pacientov môže byť prínosné postupné zvýšenie ich dávky až na maximálnych 60 mg/deň.</w:t>
      </w:r>
    </w:p>
    <w:p w14:paraId="5971E1D1" w14:textId="77777777" w:rsidR="00702FDF" w:rsidRPr="00665466" w:rsidRDefault="00702FDF" w:rsidP="00665466">
      <w:pPr>
        <w:autoSpaceDE w:val="0"/>
        <w:autoSpaceDN w:val="0"/>
        <w:adjustRightInd w:val="0"/>
        <w:rPr>
          <w:sz w:val="22"/>
          <w:szCs w:val="22"/>
          <w:lang w:val="sk-SK"/>
        </w:rPr>
      </w:pPr>
    </w:p>
    <w:p w14:paraId="00F0E3D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Pacienti s OCD sa majú liečiť počas dostatočne dlhej doby, aby sa zaistilo, že u nich nepretrvávajú žiadne symptómy. Táto doba môže </w:t>
      </w:r>
      <w:r w:rsidR="00702FDF" w:rsidRPr="00665466">
        <w:rPr>
          <w:sz w:val="22"/>
          <w:szCs w:val="22"/>
          <w:lang w:val="sk-SK"/>
        </w:rPr>
        <w:t>trvať niekoľko mesiacov</w:t>
      </w:r>
      <w:r w:rsidRPr="00665466">
        <w:rPr>
          <w:sz w:val="22"/>
          <w:szCs w:val="22"/>
          <w:lang w:val="sk-SK"/>
        </w:rPr>
        <w:t xml:space="preserve"> alebo aj dlhši</w:t>
      </w:r>
      <w:r w:rsidR="00702FDF" w:rsidRPr="00665466">
        <w:rPr>
          <w:sz w:val="22"/>
          <w:szCs w:val="22"/>
          <w:lang w:val="sk-SK"/>
        </w:rPr>
        <w:t>e</w:t>
      </w:r>
      <w:r w:rsidRPr="00665466">
        <w:rPr>
          <w:sz w:val="22"/>
          <w:szCs w:val="22"/>
          <w:lang w:val="sk-SK"/>
        </w:rPr>
        <w:t xml:space="preserve"> (pozri časť 5.1).</w:t>
      </w:r>
    </w:p>
    <w:p w14:paraId="3460C169" w14:textId="77777777" w:rsidR="00B24275" w:rsidRPr="00665466" w:rsidRDefault="00B24275" w:rsidP="00665466">
      <w:pPr>
        <w:autoSpaceDE w:val="0"/>
        <w:autoSpaceDN w:val="0"/>
        <w:adjustRightInd w:val="0"/>
        <w:rPr>
          <w:b/>
          <w:bCs/>
          <w:sz w:val="22"/>
          <w:szCs w:val="22"/>
          <w:lang w:val="sk-SK"/>
        </w:rPr>
      </w:pPr>
    </w:p>
    <w:p w14:paraId="7EE8B5FA" w14:textId="77777777" w:rsidR="006B1687"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Panická porucha</w:t>
      </w:r>
    </w:p>
    <w:p w14:paraId="796AE8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40 mg denne. Pacienti majú začať s 10 mg/deň a táto dávka sa má podľa odpovede pacienta postupne zvyšovať </w:t>
      </w:r>
      <w:r w:rsidR="00D80E2F" w:rsidRPr="00665466">
        <w:rPr>
          <w:sz w:val="22"/>
          <w:szCs w:val="22"/>
          <w:lang w:val="sk-SK"/>
        </w:rPr>
        <w:t>p</w:t>
      </w:r>
      <w:r w:rsidRPr="00665466">
        <w:rPr>
          <w:sz w:val="22"/>
          <w:szCs w:val="22"/>
          <w:lang w:val="sk-SK"/>
        </w:rPr>
        <w:t xml:space="preserve">o 10 mg až na odporúčanú dávku. Nízka </w:t>
      </w:r>
      <w:r w:rsidR="008061EF" w:rsidRPr="00665466">
        <w:rPr>
          <w:sz w:val="22"/>
          <w:szCs w:val="22"/>
          <w:lang w:val="sk-SK"/>
        </w:rPr>
        <w:t>za</w:t>
      </w:r>
      <w:r w:rsidRPr="00665466">
        <w:rPr>
          <w:sz w:val="22"/>
          <w:szCs w:val="22"/>
          <w:lang w:val="sk-SK"/>
        </w:rPr>
        <w:t>čiatočná dávka sa odporúča preto, aby sa minimalizovalo potenciálne zhoršenie symptomatológie panického syndrómu, k</w:t>
      </w:r>
      <w:r w:rsidR="00702FDF" w:rsidRPr="00665466">
        <w:rPr>
          <w:sz w:val="22"/>
          <w:szCs w:val="22"/>
          <w:lang w:val="sk-SK"/>
        </w:rPr>
        <w:t> </w:t>
      </w:r>
      <w:r w:rsidRPr="00665466">
        <w:rPr>
          <w:sz w:val="22"/>
          <w:szCs w:val="22"/>
          <w:lang w:val="sk-SK"/>
        </w:rPr>
        <w:t xml:space="preserve">čomu zvyčajne dochádza v skorých štádiách liečby tejto poruchy. V prípade, že po niekoľkých týždňoch na odporúčanej dávke </w:t>
      </w:r>
      <w:r w:rsidR="00702FDF" w:rsidRPr="00665466">
        <w:rPr>
          <w:sz w:val="22"/>
          <w:szCs w:val="22"/>
          <w:lang w:val="sk-SK"/>
        </w:rPr>
        <w:t>ne</w:t>
      </w:r>
      <w:r w:rsidRPr="00665466">
        <w:rPr>
          <w:sz w:val="22"/>
          <w:szCs w:val="22"/>
          <w:lang w:val="sk-SK"/>
        </w:rPr>
        <w:t>bude pozorovaná dostatočná odpoveď, pre niektorých pacientov môže byť prínosné postupné zvýšenie ich dávky až na maximálnych 60 mg/deň.</w:t>
      </w:r>
    </w:p>
    <w:p w14:paraId="156810CA" w14:textId="77777777" w:rsidR="00702FDF" w:rsidRPr="00665466" w:rsidRDefault="00702FDF" w:rsidP="00665466">
      <w:pPr>
        <w:autoSpaceDE w:val="0"/>
        <w:autoSpaceDN w:val="0"/>
        <w:adjustRightInd w:val="0"/>
        <w:rPr>
          <w:sz w:val="22"/>
          <w:szCs w:val="22"/>
          <w:lang w:val="sk-SK"/>
        </w:rPr>
      </w:pPr>
    </w:p>
    <w:p w14:paraId="5458C54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Pacienti s panickou poruchou sa majú liečiť počas dostatočne dlhej doby, aby sa zaistilo, že u nich nepretrvávajú žiadne symptómy. Táto doba môže </w:t>
      </w:r>
      <w:r w:rsidR="00BB351E" w:rsidRPr="00665466">
        <w:rPr>
          <w:sz w:val="22"/>
          <w:szCs w:val="22"/>
          <w:lang w:val="sk-SK"/>
        </w:rPr>
        <w:t>trvať niekoľko mesiacov</w:t>
      </w:r>
      <w:r w:rsidRPr="00665466">
        <w:rPr>
          <w:sz w:val="22"/>
          <w:szCs w:val="22"/>
          <w:lang w:val="sk-SK"/>
        </w:rPr>
        <w:t xml:space="preserve"> alebo aj dlhši</w:t>
      </w:r>
      <w:r w:rsidR="00BB351E" w:rsidRPr="00665466">
        <w:rPr>
          <w:sz w:val="22"/>
          <w:szCs w:val="22"/>
          <w:lang w:val="sk-SK"/>
        </w:rPr>
        <w:t>e</w:t>
      </w:r>
      <w:r w:rsidRPr="00665466">
        <w:rPr>
          <w:sz w:val="22"/>
          <w:szCs w:val="22"/>
          <w:lang w:val="sk-SK"/>
        </w:rPr>
        <w:t xml:space="preserve"> (pozri časť 5.1).</w:t>
      </w:r>
    </w:p>
    <w:p w14:paraId="6C9477CD" w14:textId="77777777" w:rsidR="00B24275" w:rsidRPr="00665466" w:rsidRDefault="00B24275" w:rsidP="00665466">
      <w:pPr>
        <w:autoSpaceDE w:val="0"/>
        <w:autoSpaceDN w:val="0"/>
        <w:adjustRightInd w:val="0"/>
        <w:rPr>
          <w:b/>
          <w:bCs/>
          <w:sz w:val="22"/>
          <w:szCs w:val="22"/>
          <w:lang w:val="sk-SK"/>
        </w:rPr>
      </w:pPr>
    </w:p>
    <w:p w14:paraId="16C4D2DC"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Sociálna úzkosť/sociálna fóbia</w:t>
      </w:r>
    </w:p>
    <w:p w14:paraId="20FB4C7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na odporúčanej dávke </w:t>
      </w:r>
      <w:r w:rsidR="000623B0" w:rsidRPr="00665466">
        <w:rPr>
          <w:sz w:val="22"/>
          <w:szCs w:val="22"/>
          <w:lang w:val="sk-SK"/>
        </w:rPr>
        <w:t>ne</w:t>
      </w:r>
      <w:r w:rsidRPr="00665466">
        <w:rPr>
          <w:sz w:val="22"/>
          <w:szCs w:val="22"/>
          <w:lang w:val="sk-SK"/>
        </w:rPr>
        <w:t xml:space="preserve">bude pozorovaná dostatočná odpoveď,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w:t>
      </w:r>
      <w:r w:rsidR="000623B0" w:rsidRPr="00665466">
        <w:rPr>
          <w:sz w:val="22"/>
          <w:szCs w:val="22"/>
          <w:lang w:val="sk-SK"/>
        </w:rPr>
        <w:t xml:space="preserve"> </w:t>
      </w:r>
      <w:r w:rsidRPr="00665466">
        <w:rPr>
          <w:sz w:val="22"/>
          <w:szCs w:val="22"/>
          <w:lang w:val="sk-SK"/>
        </w:rPr>
        <w:t>Dlhodobé používanie sa musí pravidelne vyhodnocovať (pozri časť 5.1).</w:t>
      </w:r>
    </w:p>
    <w:p w14:paraId="63B1570E" w14:textId="77777777" w:rsidR="00B24275" w:rsidRPr="00665466" w:rsidRDefault="00B24275" w:rsidP="00665466">
      <w:pPr>
        <w:autoSpaceDE w:val="0"/>
        <w:autoSpaceDN w:val="0"/>
        <w:adjustRightInd w:val="0"/>
        <w:rPr>
          <w:b/>
          <w:bCs/>
          <w:sz w:val="22"/>
          <w:szCs w:val="22"/>
          <w:lang w:val="sk-SK"/>
        </w:rPr>
      </w:pPr>
    </w:p>
    <w:p w14:paraId="2565AE85"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Generalizovaná úzkostná porucha</w:t>
      </w:r>
    </w:p>
    <w:p w14:paraId="12D1E3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w:t>
      </w:r>
      <w:r w:rsidR="000623B0" w:rsidRPr="00665466">
        <w:rPr>
          <w:sz w:val="22"/>
          <w:szCs w:val="22"/>
          <w:lang w:val="sk-SK"/>
        </w:rPr>
        <w:t>ne</w:t>
      </w:r>
      <w:r w:rsidRPr="00665466">
        <w:rPr>
          <w:sz w:val="22"/>
          <w:szCs w:val="22"/>
          <w:lang w:val="sk-SK"/>
        </w:rPr>
        <w:t xml:space="preserve">bude pozorovaná dostatočná odpoveď na odporúčanú dávku,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 Dlhodobé používanie sa musí pravidelne vyhodnocovať (pozri časť 5.1).</w:t>
      </w:r>
    </w:p>
    <w:p w14:paraId="190D716F" w14:textId="77777777" w:rsidR="00B24275" w:rsidRPr="00665466" w:rsidRDefault="00B24275" w:rsidP="00665466">
      <w:pPr>
        <w:autoSpaceDE w:val="0"/>
        <w:autoSpaceDN w:val="0"/>
        <w:adjustRightInd w:val="0"/>
        <w:rPr>
          <w:b/>
          <w:bCs/>
          <w:sz w:val="22"/>
          <w:szCs w:val="22"/>
          <w:lang w:val="sk-SK"/>
        </w:rPr>
      </w:pPr>
    </w:p>
    <w:p w14:paraId="33C57DB3"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Posttraumatická stresová porucha</w:t>
      </w:r>
    </w:p>
    <w:p w14:paraId="1271F79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Odporúčaná dávka je 20 mg denne. V prípade, že po niekoľkých týždňoch na odporúčanú dávku </w:t>
      </w:r>
      <w:r w:rsidR="006B1687" w:rsidRPr="00665466">
        <w:rPr>
          <w:sz w:val="22"/>
          <w:szCs w:val="22"/>
          <w:lang w:val="sk-SK"/>
        </w:rPr>
        <w:t>ne</w:t>
      </w:r>
      <w:r w:rsidRPr="00665466">
        <w:rPr>
          <w:sz w:val="22"/>
          <w:szCs w:val="22"/>
          <w:lang w:val="sk-SK"/>
        </w:rPr>
        <w:t xml:space="preserve">bude pozorovaná dostatočná odpoveď, pre niektorých pacientov môže byť prínosné postupné zvyšovanie ich dávky </w:t>
      </w:r>
      <w:r w:rsidR="00D80E2F" w:rsidRPr="00665466">
        <w:rPr>
          <w:sz w:val="22"/>
          <w:szCs w:val="22"/>
          <w:lang w:val="sk-SK"/>
        </w:rPr>
        <w:t>p</w:t>
      </w:r>
      <w:r w:rsidRPr="00665466">
        <w:rPr>
          <w:sz w:val="22"/>
          <w:szCs w:val="22"/>
          <w:lang w:val="sk-SK"/>
        </w:rPr>
        <w:t>o 10 mg, až na maximálnych 50 mg/deň. Dlhodobé používanie sa musí pravidelne vyhodnocovať (pozri časť 5.1).</w:t>
      </w:r>
    </w:p>
    <w:p w14:paraId="3933CA66" w14:textId="77777777" w:rsidR="006B1687" w:rsidRPr="00665466" w:rsidRDefault="006B1687" w:rsidP="00665466">
      <w:pPr>
        <w:autoSpaceDE w:val="0"/>
        <w:autoSpaceDN w:val="0"/>
        <w:adjustRightInd w:val="0"/>
        <w:rPr>
          <w:b/>
          <w:bCs/>
          <w:sz w:val="22"/>
          <w:szCs w:val="22"/>
          <w:lang w:val="sk-SK"/>
        </w:rPr>
      </w:pPr>
    </w:p>
    <w:p w14:paraId="12E87889" w14:textId="77777777" w:rsidR="00B24275" w:rsidRPr="00665466" w:rsidRDefault="00447219" w:rsidP="00665466">
      <w:pPr>
        <w:keepNext/>
        <w:tabs>
          <w:tab w:val="left" w:pos="567"/>
        </w:tabs>
        <w:autoSpaceDE w:val="0"/>
        <w:autoSpaceDN w:val="0"/>
        <w:adjustRightInd w:val="0"/>
        <w:rPr>
          <w:b/>
          <w:bCs/>
          <w:sz w:val="22"/>
          <w:szCs w:val="22"/>
          <w:u w:val="single"/>
          <w:lang w:val="sk-SK"/>
        </w:rPr>
      </w:pPr>
      <w:r w:rsidRPr="00665466">
        <w:rPr>
          <w:b/>
          <w:bCs/>
          <w:sz w:val="22"/>
          <w:szCs w:val="22"/>
          <w:u w:val="single"/>
          <w:lang w:val="sk-SK"/>
        </w:rPr>
        <w:t>Všeobecné informácie:</w:t>
      </w:r>
    </w:p>
    <w:p w14:paraId="7B64CC33" w14:textId="77777777" w:rsidR="00B24275" w:rsidRPr="00665466" w:rsidRDefault="00B24275" w:rsidP="00665466">
      <w:pPr>
        <w:keepNext/>
        <w:tabs>
          <w:tab w:val="left" w:pos="567"/>
        </w:tabs>
        <w:autoSpaceDE w:val="0"/>
        <w:autoSpaceDN w:val="0"/>
        <w:adjustRightInd w:val="0"/>
        <w:rPr>
          <w:b/>
          <w:bCs/>
          <w:sz w:val="22"/>
          <w:szCs w:val="22"/>
          <w:lang w:val="sk-SK"/>
        </w:rPr>
      </w:pPr>
    </w:p>
    <w:p w14:paraId="64FAB5B7" w14:textId="4F758A4D" w:rsidR="00B24275" w:rsidRPr="00665466" w:rsidRDefault="00447219" w:rsidP="00665466">
      <w:pPr>
        <w:keepNext/>
        <w:tabs>
          <w:tab w:val="left" w:pos="567"/>
        </w:tabs>
        <w:autoSpaceDE w:val="0"/>
        <w:autoSpaceDN w:val="0"/>
        <w:adjustRightInd w:val="0"/>
        <w:rPr>
          <w:b/>
          <w:bCs/>
          <w:sz w:val="22"/>
          <w:szCs w:val="22"/>
          <w:lang w:val="sk-SK"/>
        </w:rPr>
      </w:pPr>
      <w:r w:rsidRPr="00665466">
        <w:rPr>
          <w:b/>
          <w:bCs/>
          <w:sz w:val="22"/>
          <w:szCs w:val="22"/>
          <w:lang w:val="sk-SK"/>
        </w:rPr>
        <w:t xml:space="preserve">Abstinenčné </w:t>
      </w:r>
      <w:r w:rsidR="001D74F9" w:rsidRPr="00665466">
        <w:rPr>
          <w:b/>
          <w:bCs/>
          <w:sz w:val="22"/>
          <w:szCs w:val="22"/>
          <w:lang w:val="sk-SK"/>
        </w:rPr>
        <w:t xml:space="preserve">príznaky </w:t>
      </w:r>
      <w:r w:rsidRPr="00665466">
        <w:rPr>
          <w:b/>
          <w:bCs/>
          <w:sz w:val="22"/>
          <w:szCs w:val="22"/>
          <w:lang w:val="sk-SK"/>
        </w:rPr>
        <w:t>pozorované po prerušení podávania paroxetínu</w:t>
      </w:r>
    </w:p>
    <w:p w14:paraId="011A0A9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Náhlemu prerušeniu užívania sa </w:t>
      </w:r>
      <w:r w:rsidR="006B1687" w:rsidRPr="00665466">
        <w:rPr>
          <w:sz w:val="22"/>
          <w:szCs w:val="22"/>
          <w:lang w:val="sk-SK"/>
        </w:rPr>
        <w:t xml:space="preserve">má </w:t>
      </w:r>
      <w:r w:rsidRPr="00665466">
        <w:rPr>
          <w:sz w:val="22"/>
          <w:szCs w:val="22"/>
          <w:lang w:val="sk-SK"/>
        </w:rPr>
        <w:t>zabrániť (pozri čas</w:t>
      </w:r>
      <w:r w:rsidR="001B2833" w:rsidRPr="00665466">
        <w:rPr>
          <w:sz w:val="22"/>
          <w:szCs w:val="22"/>
          <w:lang w:val="sk-SK"/>
        </w:rPr>
        <w:t>ti</w:t>
      </w:r>
      <w:r w:rsidRPr="00665466">
        <w:rPr>
          <w:sz w:val="22"/>
          <w:szCs w:val="22"/>
          <w:lang w:val="sk-SK"/>
        </w:rPr>
        <w:t xml:space="preserve"> 4.4 a 4.8). Režim postupného znižovania dávky uplatnený v klinických štúdiách spočíval v znižovaní dennej dávky o 10 mg v týždenných intervaloch. Ak sa po znížení dávky alebo po prerušení liečby objavia neznesiteľné symptómy, môže sa zvážiť pokračovanie v liečbe s</w:t>
      </w:r>
      <w:r w:rsidR="006B1687" w:rsidRPr="00665466">
        <w:rPr>
          <w:sz w:val="22"/>
          <w:szCs w:val="22"/>
          <w:lang w:val="sk-SK"/>
        </w:rPr>
        <w:t> </w:t>
      </w:r>
      <w:r w:rsidRPr="00665466">
        <w:rPr>
          <w:sz w:val="22"/>
          <w:szCs w:val="22"/>
          <w:lang w:val="sk-SK"/>
        </w:rPr>
        <w:t>predtým predpísanou dávkou. Následne môže lekár pokračovať v znižovaní dávky, ale s pozvoľnejšou rýchlosťou.</w:t>
      </w:r>
    </w:p>
    <w:p w14:paraId="5F1620C5" w14:textId="77777777" w:rsidR="00B24275" w:rsidRPr="00665466" w:rsidRDefault="00B24275" w:rsidP="00665466">
      <w:pPr>
        <w:autoSpaceDE w:val="0"/>
        <w:autoSpaceDN w:val="0"/>
        <w:adjustRightInd w:val="0"/>
        <w:rPr>
          <w:sz w:val="22"/>
          <w:szCs w:val="22"/>
          <w:lang w:val="sk-SK"/>
        </w:rPr>
      </w:pPr>
    </w:p>
    <w:p w14:paraId="6EF40972" w14:textId="77777777" w:rsidR="00B24275" w:rsidRPr="00665466" w:rsidRDefault="00C13CE4" w:rsidP="00665466">
      <w:pPr>
        <w:keepNext/>
        <w:tabs>
          <w:tab w:val="left" w:pos="567"/>
        </w:tabs>
        <w:autoSpaceDE w:val="0"/>
        <w:autoSpaceDN w:val="0"/>
        <w:adjustRightInd w:val="0"/>
        <w:rPr>
          <w:b/>
          <w:bCs/>
          <w:sz w:val="22"/>
          <w:szCs w:val="22"/>
          <w:u w:val="single"/>
          <w:lang w:val="sk-SK"/>
        </w:rPr>
      </w:pPr>
      <w:r w:rsidRPr="00665466">
        <w:rPr>
          <w:b/>
          <w:bCs/>
          <w:sz w:val="22"/>
          <w:szCs w:val="22"/>
          <w:u w:val="single"/>
          <w:lang w:val="sk-SK"/>
        </w:rPr>
        <w:lastRenderedPageBreak/>
        <w:t xml:space="preserve">Osobitné </w:t>
      </w:r>
      <w:r w:rsidR="00B24275" w:rsidRPr="00665466">
        <w:rPr>
          <w:b/>
          <w:bCs/>
          <w:sz w:val="22"/>
          <w:szCs w:val="22"/>
          <w:u w:val="single"/>
          <w:lang w:val="sk-SK"/>
        </w:rPr>
        <w:t>skupiny pacientov:</w:t>
      </w:r>
    </w:p>
    <w:p w14:paraId="231B4497" w14:textId="77777777" w:rsidR="00B24275" w:rsidRPr="00665466" w:rsidRDefault="00B24275" w:rsidP="00665466">
      <w:pPr>
        <w:keepNext/>
        <w:tabs>
          <w:tab w:val="left" w:pos="567"/>
        </w:tabs>
        <w:autoSpaceDE w:val="0"/>
        <w:autoSpaceDN w:val="0"/>
        <w:adjustRightInd w:val="0"/>
        <w:rPr>
          <w:sz w:val="22"/>
          <w:szCs w:val="22"/>
          <w:lang w:val="sk-SK"/>
        </w:rPr>
      </w:pPr>
    </w:p>
    <w:p w14:paraId="6823172A" w14:textId="347859A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Starší</w:t>
      </w:r>
      <w:r w:rsidR="001D74F9" w:rsidRPr="00665466">
        <w:rPr>
          <w:b/>
          <w:bCs/>
          <w:sz w:val="22"/>
          <w:szCs w:val="22"/>
          <w:lang w:val="sk-SK"/>
        </w:rPr>
        <w:t xml:space="preserve"> pacienti</w:t>
      </w:r>
    </w:p>
    <w:p w14:paraId="253C9CF2" w14:textId="33A01152" w:rsidR="00B24275" w:rsidRPr="00665466" w:rsidRDefault="00B24275" w:rsidP="00665466">
      <w:pPr>
        <w:autoSpaceDE w:val="0"/>
        <w:autoSpaceDN w:val="0"/>
        <w:adjustRightInd w:val="0"/>
        <w:rPr>
          <w:sz w:val="22"/>
          <w:szCs w:val="22"/>
          <w:lang w:val="sk-SK"/>
        </w:rPr>
      </w:pPr>
      <w:r w:rsidRPr="00665466">
        <w:rPr>
          <w:sz w:val="22"/>
          <w:szCs w:val="22"/>
          <w:lang w:val="sk-SK"/>
        </w:rPr>
        <w:t xml:space="preserve">U starších </w:t>
      </w:r>
      <w:r w:rsidR="001D74F9" w:rsidRPr="00665466">
        <w:rPr>
          <w:sz w:val="22"/>
          <w:szCs w:val="22"/>
          <w:lang w:val="sk-SK"/>
        </w:rPr>
        <w:t xml:space="preserve">pacientov </w:t>
      </w:r>
      <w:r w:rsidRPr="00665466">
        <w:rPr>
          <w:sz w:val="22"/>
          <w:szCs w:val="22"/>
          <w:lang w:val="sk-SK"/>
        </w:rPr>
        <w:t xml:space="preserve">sa vyskytujú zvýšené plazmatické koncentrácie paroxetínu, dosiahnuté hodnoty však nevybočujú z rozmedzia hodnôt pozorovaných v mladších vekových skupinách. Dávkovanie sa má začať </w:t>
      </w:r>
      <w:r w:rsidR="00C30A60" w:rsidRPr="00665466">
        <w:rPr>
          <w:sz w:val="22"/>
          <w:szCs w:val="22"/>
          <w:lang w:val="sk-SK"/>
        </w:rPr>
        <w:t xml:space="preserve">začiatočnou </w:t>
      </w:r>
      <w:r w:rsidRPr="00665466">
        <w:rPr>
          <w:sz w:val="22"/>
          <w:szCs w:val="22"/>
          <w:lang w:val="sk-SK"/>
        </w:rPr>
        <w:t>dávkou pre dospelých. U niektorých pacientov môže byť zvyšovanie dávky užitočné, ale nemá sa presiahnuť maximálna dávka 40 mg denne.</w:t>
      </w:r>
    </w:p>
    <w:p w14:paraId="215DBEF7" w14:textId="77777777" w:rsidR="00B24275" w:rsidRPr="00665466" w:rsidRDefault="00B24275" w:rsidP="00665466">
      <w:pPr>
        <w:autoSpaceDE w:val="0"/>
        <w:autoSpaceDN w:val="0"/>
        <w:adjustRightInd w:val="0"/>
        <w:rPr>
          <w:sz w:val="22"/>
          <w:szCs w:val="22"/>
          <w:lang w:val="sk-SK"/>
        </w:rPr>
      </w:pPr>
    </w:p>
    <w:p w14:paraId="2473D569" w14:textId="77777777" w:rsidR="008F77DC" w:rsidRPr="00665466" w:rsidRDefault="00B24275" w:rsidP="00665466">
      <w:pPr>
        <w:keepNext/>
        <w:tabs>
          <w:tab w:val="left" w:pos="567"/>
        </w:tabs>
        <w:autoSpaceDE w:val="0"/>
        <w:autoSpaceDN w:val="0"/>
        <w:adjustRightInd w:val="0"/>
        <w:rPr>
          <w:b/>
          <w:i/>
          <w:sz w:val="22"/>
          <w:szCs w:val="22"/>
          <w:lang w:val="sk-SK"/>
        </w:rPr>
      </w:pPr>
      <w:r w:rsidRPr="00665466">
        <w:rPr>
          <w:b/>
          <w:bCs/>
          <w:sz w:val="22"/>
          <w:szCs w:val="22"/>
          <w:lang w:val="sk-SK"/>
        </w:rPr>
        <w:t xml:space="preserve">Deti a </w:t>
      </w:r>
      <w:r w:rsidR="00447413" w:rsidRPr="00665466">
        <w:rPr>
          <w:b/>
          <w:bCs/>
          <w:sz w:val="22"/>
          <w:szCs w:val="22"/>
          <w:lang w:val="sk-SK"/>
        </w:rPr>
        <w:t xml:space="preserve">dospievajúci </w:t>
      </w:r>
      <w:r w:rsidR="008F77DC" w:rsidRPr="00665466">
        <w:rPr>
          <w:b/>
          <w:sz w:val="22"/>
          <w:szCs w:val="22"/>
          <w:lang w:val="sk-SK"/>
        </w:rPr>
        <w:t>(7-17 roční)</w:t>
      </w:r>
    </w:p>
    <w:p w14:paraId="0ACEE22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sa nesmie používať na liečbu detí a </w:t>
      </w:r>
      <w:r w:rsidR="008F77DC" w:rsidRPr="00665466">
        <w:rPr>
          <w:sz w:val="22"/>
          <w:szCs w:val="22"/>
          <w:lang w:val="sk-SK"/>
        </w:rPr>
        <w:t>dospievajúcich</w:t>
      </w:r>
      <w:r w:rsidRPr="00665466">
        <w:rPr>
          <w:sz w:val="22"/>
          <w:szCs w:val="22"/>
          <w:lang w:val="sk-SK"/>
        </w:rPr>
        <w:t>, pretože kontrolované klinické štúdie zistili, že paroxetín sa spája so zvýšeným rizikom samovražedného správania a nepriateľstva. V týchto štúdiách okrem toho nebola dostatočne potvrdená účinnosť (pozri čas</w:t>
      </w:r>
      <w:r w:rsidR="001B2833" w:rsidRPr="00665466">
        <w:rPr>
          <w:sz w:val="22"/>
          <w:szCs w:val="22"/>
          <w:lang w:val="sk-SK"/>
        </w:rPr>
        <w:t>ti</w:t>
      </w:r>
      <w:r w:rsidRPr="00665466">
        <w:rPr>
          <w:sz w:val="22"/>
          <w:szCs w:val="22"/>
          <w:lang w:val="sk-SK"/>
        </w:rPr>
        <w:t xml:space="preserve"> 4.4 a 4.8).</w:t>
      </w:r>
    </w:p>
    <w:p w14:paraId="3DC6D72C" w14:textId="77777777" w:rsidR="00B24275" w:rsidRPr="00665466" w:rsidRDefault="00B24275" w:rsidP="00665466">
      <w:pPr>
        <w:autoSpaceDE w:val="0"/>
        <w:autoSpaceDN w:val="0"/>
        <w:adjustRightInd w:val="0"/>
        <w:rPr>
          <w:sz w:val="22"/>
          <w:szCs w:val="22"/>
          <w:lang w:val="sk-SK"/>
        </w:rPr>
      </w:pPr>
    </w:p>
    <w:p w14:paraId="10398722"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Deti mladšie ako 7 rokov</w:t>
      </w:r>
    </w:p>
    <w:p w14:paraId="0A01D62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 detí mladších ako 7 rokov nebolo použitie paroxetínu skúmané. Paroxetín sa nemá používať, pretože </w:t>
      </w:r>
      <w:r w:rsidR="00C66ED7" w:rsidRPr="00665466">
        <w:rPr>
          <w:sz w:val="22"/>
          <w:szCs w:val="22"/>
          <w:lang w:val="sk-SK"/>
        </w:rPr>
        <w:t xml:space="preserve">bezpečnosť a účinnosť </w:t>
      </w:r>
      <w:r w:rsidRPr="00665466">
        <w:rPr>
          <w:sz w:val="22"/>
          <w:szCs w:val="22"/>
          <w:lang w:val="sk-SK"/>
        </w:rPr>
        <w:t>v</w:t>
      </w:r>
      <w:r w:rsidR="00C66ED7" w:rsidRPr="00665466">
        <w:rPr>
          <w:sz w:val="22"/>
          <w:szCs w:val="22"/>
          <w:lang w:val="sk-SK"/>
        </w:rPr>
        <w:t> </w:t>
      </w:r>
      <w:r w:rsidRPr="00665466">
        <w:rPr>
          <w:sz w:val="22"/>
          <w:szCs w:val="22"/>
          <w:lang w:val="sk-SK"/>
        </w:rPr>
        <w:t>tejto vekovej skupine nebola potvrdená.</w:t>
      </w:r>
    </w:p>
    <w:p w14:paraId="038175DB" w14:textId="77777777" w:rsidR="00B24275" w:rsidRPr="00665466" w:rsidRDefault="00B24275" w:rsidP="00665466">
      <w:pPr>
        <w:autoSpaceDE w:val="0"/>
        <w:autoSpaceDN w:val="0"/>
        <w:adjustRightInd w:val="0"/>
        <w:rPr>
          <w:sz w:val="22"/>
          <w:szCs w:val="22"/>
          <w:lang w:val="sk-SK"/>
        </w:rPr>
      </w:pPr>
    </w:p>
    <w:p w14:paraId="18930450"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Porucha funkcie obličiek/pečene</w:t>
      </w:r>
    </w:p>
    <w:p w14:paraId="5B193BEA"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pacientov s ťažkou poruchou funkcie obličiek (klírens kreatinínu menej ako 30 ml/min) alebo u</w:t>
      </w:r>
      <w:r w:rsidR="00433409" w:rsidRPr="00665466">
        <w:rPr>
          <w:sz w:val="22"/>
          <w:szCs w:val="22"/>
          <w:lang w:val="sk-SK"/>
        </w:rPr>
        <w:t> </w:t>
      </w:r>
      <w:r w:rsidRPr="00665466">
        <w:rPr>
          <w:sz w:val="22"/>
          <w:szCs w:val="22"/>
          <w:lang w:val="sk-SK"/>
        </w:rPr>
        <w:t xml:space="preserve">pacientov s poruchou funkcie pečene dochádza k zvýšeným plazmatickým koncentráciám paroxetínu. Dávkovanie sa </w:t>
      </w:r>
      <w:r w:rsidR="00433409" w:rsidRPr="00665466">
        <w:rPr>
          <w:sz w:val="22"/>
          <w:szCs w:val="22"/>
          <w:lang w:val="sk-SK"/>
        </w:rPr>
        <w:t>má preto</w:t>
      </w:r>
      <w:r w:rsidRPr="00665466">
        <w:rPr>
          <w:sz w:val="22"/>
          <w:szCs w:val="22"/>
          <w:lang w:val="sk-SK"/>
        </w:rPr>
        <w:t xml:space="preserve"> obmedziť na nižšie dávky.</w:t>
      </w:r>
    </w:p>
    <w:p w14:paraId="721C6B74" w14:textId="77777777" w:rsidR="00F85F1B" w:rsidRPr="00665466" w:rsidRDefault="00F85F1B" w:rsidP="00665466">
      <w:pPr>
        <w:autoSpaceDE w:val="0"/>
        <w:autoSpaceDN w:val="0"/>
        <w:adjustRightInd w:val="0"/>
        <w:rPr>
          <w:sz w:val="22"/>
          <w:szCs w:val="22"/>
          <w:lang w:val="sk-SK"/>
        </w:rPr>
      </w:pPr>
    </w:p>
    <w:p w14:paraId="47532D1D" w14:textId="77777777" w:rsidR="00F85F1B" w:rsidRPr="00665466" w:rsidRDefault="00F85F1B" w:rsidP="00665466">
      <w:pPr>
        <w:keepNext/>
        <w:tabs>
          <w:tab w:val="left" w:pos="567"/>
        </w:tabs>
        <w:autoSpaceDE w:val="0"/>
        <w:autoSpaceDN w:val="0"/>
        <w:adjustRightInd w:val="0"/>
        <w:rPr>
          <w:sz w:val="22"/>
          <w:szCs w:val="22"/>
          <w:lang w:val="sk-SK"/>
        </w:rPr>
      </w:pPr>
      <w:r w:rsidRPr="00665466">
        <w:rPr>
          <w:sz w:val="22"/>
          <w:szCs w:val="22"/>
          <w:u w:val="single"/>
          <w:lang w:val="sk-SK"/>
        </w:rPr>
        <w:t>Spôsob podávania</w:t>
      </w:r>
    </w:p>
    <w:p w14:paraId="5CF681A2" w14:textId="206E9B5E" w:rsidR="00F85F1B" w:rsidRPr="00665466" w:rsidRDefault="00F85F1B" w:rsidP="00665466">
      <w:pPr>
        <w:autoSpaceDE w:val="0"/>
        <w:autoSpaceDN w:val="0"/>
        <w:adjustRightInd w:val="0"/>
        <w:rPr>
          <w:sz w:val="22"/>
          <w:szCs w:val="22"/>
          <w:lang w:val="sk-SK"/>
        </w:rPr>
      </w:pPr>
      <w:r w:rsidRPr="00665466">
        <w:rPr>
          <w:sz w:val="22"/>
          <w:szCs w:val="22"/>
          <w:lang w:val="sk-SK"/>
        </w:rPr>
        <w:t>Paroxetín sa odporúča podávať jedenkrát denne ráno spolu s jedlom.</w:t>
      </w:r>
    </w:p>
    <w:p w14:paraId="77D8045B" w14:textId="77777777" w:rsidR="00F85F1B" w:rsidRPr="00665466" w:rsidRDefault="00F85F1B" w:rsidP="00665466">
      <w:pPr>
        <w:autoSpaceDE w:val="0"/>
        <w:autoSpaceDN w:val="0"/>
        <w:adjustRightInd w:val="0"/>
        <w:rPr>
          <w:sz w:val="22"/>
          <w:szCs w:val="22"/>
          <w:lang w:val="sk-SK"/>
        </w:rPr>
      </w:pPr>
      <w:r w:rsidRPr="00665466">
        <w:rPr>
          <w:sz w:val="22"/>
          <w:szCs w:val="22"/>
          <w:lang w:val="sk-SK"/>
        </w:rPr>
        <w:t>Tabletu je lepšie prehltnúť ako žuvať.</w:t>
      </w:r>
    </w:p>
    <w:p w14:paraId="77403A30" w14:textId="77777777" w:rsidR="00B24275" w:rsidRPr="00665466" w:rsidRDefault="00B24275" w:rsidP="00665466">
      <w:pPr>
        <w:autoSpaceDE w:val="0"/>
        <w:autoSpaceDN w:val="0"/>
        <w:adjustRightInd w:val="0"/>
        <w:rPr>
          <w:bCs/>
          <w:sz w:val="22"/>
          <w:szCs w:val="22"/>
          <w:lang w:val="sk-SK"/>
        </w:rPr>
      </w:pPr>
    </w:p>
    <w:p w14:paraId="760539F9" w14:textId="4E4B37B8"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4.3</w:t>
      </w:r>
      <w:r w:rsidR="00495392" w:rsidRPr="00665466">
        <w:rPr>
          <w:b/>
          <w:bCs/>
          <w:sz w:val="22"/>
          <w:szCs w:val="22"/>
          <w:lang w:val="sk-SK"/>
        </w:rPr>
        <w:tab/>
      </w:r>
      <w:r w:rsidRPr="00665466">
        <w:rPr>
          <w:b/>
          <w:bCs/>
          <w:sz w:val="22"/>
          <w:szCs w:val="22"/>
          <w:lang w:val="sk-SK"/>
        </w:rPr>
        <w:t>Kontraindikácie</w:t>
      </w:r>
    </w:p>
    <w:p w14:paraId="418DED15" w14:textId="77777777" w:rsidR="00B24275" w:rsidRPr="00665466" w:rsidRDefault="00B24275" w:rsidP="00665466">
      <w:pPr>
        <w:keepNext/>
        <w:tabs>
          <w:tab w:val="left" w:pos="567"/>
        </w:tabs>
        <w:autoSpaceDE w:val="0"/>
        <w:autoSpaceDN w:val="0"/>
        <w:adjustRightInd w:val="0"/>
        <w:rPr>
          <w:sz w:val="22"/>
          <w:szCs w:val="22"/>
          <w:lang w:val="sk-SK"/>
        </w:rPr>
      </w:pPr>
    </w:p>
    <w:p w14:paraId="7CCD208F" w14:textId="77777777" w:rsidR="00B24275" w:rsidRPr="00665466" w:rsidRDefault="008F1191" w:rsidP="00665466">
      <w:pPr>
        <w:autoSpaceDE w:val="0"/>
        <w:autoSpaceDN w:val="0"/>
        <w:adjustRightInd w:val="0"/>
        <w:rPr>
          <w:sz w:val="22"/>
          <w:szCs w:val="22"/>
          <w:lang w:val="sk-SK"/>
        </w:rPr>
      </w:pPr>
      <w:r w:rsidRPr="00665466">
        <w:rPr>
          <w:sz w:val="22"/>
          <w:szCs w:val="22"/>
          <w:lang w:val="sk-SK"/>
        </w:rPr>
        <w:t>P</w:t>
      </w:r>
      <w:r w:rsidR="00B24275" w:rsidRPr="00665466">
        <w:rPr>
          <w:sz w:val="22"/>
          <w:szCs w:val="22"/>
          <w:lang w:val="sk-SK"/>
        </w:rPr>
        <w:t xml:space="preserve">recitlivenosť na </w:t>
      </w:r>
      <w:r w:rsidRPr="00665466">
        <w:rPr>
          <w:sz w:val="22"/>
          <w:szCs w:val="22"/>
          <w:lang w:val="sk-SK"/>
        </w:rPr>
        <w:t>liečivo</w:t>
      </w:r>
      <w:r w:rsidR="00B24275" w:rsidRPr="00665466">
        <w:rPr>
          <w:sz w:val="22"/>
          <w:szCs w:val="22"/>
          <w:lang w:val="sk-SK"/>
        </w:rPr>
        <w:t xml:space="preserve"> alebo na </w:t>
      </w:r>
      <w:r w:rsidR="005007AE" w:rsidRPr="00665466">
        <w:rPr>
          <w:sz w:val="22"/>
          <w:szCs w:val="22"/>
          <w:lang w:val="sk-SK"/>
        </w:rPr>
        <w:t xml:space="preserve">ktorúkoľvek </w:t>
      </w:r>
      <w:r w:rsidR="00B24275" w:rsidRPr="00665466">
        <w:rPr>
          <w:sz w:val="22"/>
          <w:szCs w:val="22"/>
          <w:lang w:val="sk-SK"/>
        </w:rPr>
        <w:t>z pomocných látok</w:t>
      </w:r>
      <w:r w:rsidR="00447413" w:rsidRPr="00665466">
        <w:rPr>
          <w:sz w:val="22"/>
          <w:szCs w:val="22"/>
          <w:lang w:val="sk-SK"/>
        </w:rPr>
        <w:t xml:space="preserve"> uvedených v časti 6.1</w:t>
      </w:r>
      <w:r w:rsidR="00B24275" w:rsidRPr="00665466">
        <w:rPr>
          <w:sz w:val="22"/>
          <w:szCs w:val="22"/>
          <w:lang w:val="sk-SK"/>
        </w:rPr>
        <w:t>.</w:t>
      </w:r>
    </w:p>
    <w:p w14:paraId="6466F74C" w14:textId="77777777" w:rsidR="00B24275" w:rsidRPr="00665466" w:rsidRDefault="00B24275" w:rsidP="00665466">
      <w:pPr>
        <w:autoSpaceDE w:val="0"/>
        <w:autoSpaceDN w:val="0"/>
        <w:adjustRightInd w:val="0"/>
        <w:rPr>
          <w:sz w:val="22"/>
          <w:szCs w:val="22"/>
          <w:lang w:val="sk-SK"/>
        </w:rPr>
      </w:pPr>
    </w:p>
    <w:p w14:paraId="5D2A076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je kontraindikovaný v kombinácii s inhibítormi monoaminooxidázy (IMAO). </w:t>
      </w:r>
    </w:p>
    <w:p w14:paraId="306C0B96" w14:textId="77777777" w:rsidR="005007AE" w:rsidRPr="00665466" w:rsidRDefault="005007AE" w:rsidP="00665466">
      <w:pPr>
        <w:autoSpaceDE w:val="0"/>
        <w:autoSpaceDN w:val="0"/>
        <w:adjustRightInd w:val="0"/>
        <w:rPr>
          <w:sz w:val="22"/>
          <w:szCs w:val="22"/>
          <w:lang w:val="sk-SK"/>
        </w:rPr>
      </w:pPr>
      <w:r w:rsidRPr="00665466">
        <w:rPr>
          <w:sz w:val="22"/>
          <w:szCs w:val="22"/>
          <w:lang w:val="sk-SK"/>
        </w:rPr>
        <w:t xml:space="preserve">Vo výnimočných prípadoch sa môže v kombinácii s paroxetínom podávať linezolid (antibiotikum, ktoré je reverzibilným neselektívnym IMAO) pod podmienkou, že je zabezpečené dôkladné sledovanie symptómov </w:t>
      </w:r>
      <w:r w:rsidR="002A1BF4" w:rsidRPr="00665466">
        <w:rPr>
          <w:sz w:val="22"/>
          <w:szCs w:val="22"/>
          <w:lang w:val="sk-SK"/>
        </w:rPr>
        <w:t>sér</w:t>
      </w:r>
      <w:r w:rsidRPr="00665466">
        <w:rPr>
          <w:sz w:val="22"/>
          <w:szCs w:val="22"/>
          <w:lang w:val="sk-SK"/>
        </w:rPr>
        <w:t>otonínového syndrómu a kontrolovanie krvného tlaku (pozri časť 4.5).</w:t>
      </w:r>
    </w:p>
    <w:p w14:paraId="3C05404D" w14:textId="77777777" w:rsidR="001B2833" w:rsidRPr="00665466" w:rsidRDefault="001B2833" w:rsidP="00665466">
      <w:pPr>
        <w:autoSpaceDE w:val="0"/>
        <w:autoSpaceDN w:val="0"/>
        <w:adjustRightInd w:val="0"/>
        <w:rPr>
          <w:sz w:val="22"/>
          <w:szCs w:val="22"/>
          <w:lang w:val="sk-SK"/>
        </w:rPr>
      </w:pPr>
    </w:p>
    <w:p w14:paraId="30809667" w14:textId="77777777" w:rsidR="00B24275" w:rsidRPr="00665466" w:rsidRDefault="00B24275" w:rsidP="00665466">
      <w:pPr>
        <w:keepNext/>
        <w:tabs>
          <w:tab w:val="left" w:pos="567"/>
        </w:tabs>
        <w:autoSpaceDE w:val="0"/>
        <w:autoSpaceDN w:val="0"/>
        <w:adjustRightInd w:val="0"/>
        <w:rPr>
          <w:sz w:val="22"/>
          <w:szCs w:val="22"/>
          <w:lang w:val="sk-SK"/>
        </w:rPr>
      </w:pPr>
      <w:r w:rsidRPr="00665466">
        <w:rPr>
          <w:sz w:val="22"/>
          <w:szCs w:val="22"/>
          <w:lang w:val="sk-SK"/>
        </w:rPr>
        <w:t>Liečba paroxetínom sa môže začať:</w:t>
      </w:r>
    </w:p>
    <w:p w14:paraId="5016AB62" w14:textId="77777777" w:rsidR="001B2833" w:rsidRPr="00665466" w:rsidRDefault="001B2833" w:rsidP="00665466">
      <w:pPr>
        <w:keepNext/>
        <w:tabs>
          <w:tab w:val="left" w:pos="567"/>
        </w:tabs>
        <w:autoSpaceDE w:val="0"/>
        <w:autoSpaceDN w:val="0"/>
        <w:adjustRightInd w:val="0"/>
        <w:rPr>
          <w:sz w:val="22"/>
          <w:szCs w:val="22"/>
          <w:lang w:val="sk-SK"/>
        </w:rPr>
      </w:pPr>
    </w:p>
    <w:p w14:paraId="10B9B0C3" w14:textId="77777777" w:rsidR="00B24275" w:rsidRPr="00665466" w:rsidRDefault="00B24275" w:rsidP="00665466">
      <w:pPr>
        <w:numPr>
          <w:ilvl w:val="0"/>
          <w:numId w:val="5"/>
        </w:numPr>
        <w:tabs>
          <w:tab w:val="clear" w:pos="720"/>
          <w:tab w:val="num" w:pos="567"/>
        </w:tabs>
        <w:autoSpaceDE w:val="0"/>
        <w:autoSpaceDN w:val="0"/>
        <w:adjustRightInd w:val="0"/>
        <w:ind w:left="567" w:hanging="567"/>
        <w:rPr>
          <w:sz w:val="22"/>
          <w:szCs w:val="22"/>
          <w:lang w:val="sk-SK"/>
        </w:rPr>
      </w:pPr>
      <w:r w:rsidRPr="00665466">
        <w:rPr>
          <w:sz w:val="22"/>
          <w:szCs w:val="22"/>
          <w:lang w:val="sk-SK"/>
        </w:rPr>
        <w:t>po dvoch týždňoch po prerušení podávania ireverzibilného IMAO, alebo</w:t>
      </w:r>
    </w:p>
    <w:p w14:paraId="3EBEDA5E" w14:textId="77777777" w:rsidR="00B24275" w:rsidRPr="00665466" w:rsidRDefault="00B24275" w:rsidP="00665466">
      <w:pPr>
        <w:numPr>
          <w:ilvl w:val="0"/>
          <w:numId w:val="5"/>
        </w:numPr>
        <w:tabs>
          <w:tab w:val="clear" w:pos="720"/>
          <w:tab w:val="num" w:pos="567"/>
        </w:tabs>
        <w:autoSpaceDE w:val="0"/>
        <w:autoSpaceDN w:val="0"/>
        <w:adjustRightInd w:val="0"/>
        <w:ind w:left="567" w:hanging="567"/>
        <w:rPr>
          <w:sz w:val="22"/>
          <w:szCs w:val="22"/>
          <w:lang w:val="sk-SK"/>
        </w:rPr>
      </w:pPr>
      <w:r w:rsidRPr="00665466">
        <w:rPr>
          <w:sz w:val="22"/>
          <w:szCs w:val="22"/>
          <w:lang w:val="sk-SK"/>
        </w:rPr>
        <w:t xml:space="preserve">najmenej po 24 hodinách po prerušení podávania reverzibilného IMAO </w:t>
      </w:r>
      <w:r w:rsidR="00F4484B" w:rsidRPr="00665466">
        <w:rPr>
          <w:sz w:val="22"/>
          <w:szCs w:val="22"/>
          <w:lang w:val="sk-SK"/>
        </w:rPr>
        <w:t>[</w:t>
      </w:r>
      <w:r w:rsidRPr="00665466">
        <w:rPr>
          <w:sz w:val="22"/>
          <w:szCs w:val="22"/>
          <w:lang w:val="sk-SK"/>
        </w:rPr>
        <w:t>napr. moklobemidu</w:t>
      </w:r>
      <w:r w:rsidR="00F4484B" w:rsidRPr="00665466">
        <w:rPr>
          <w:sz w:val="22"/>
          <w:szCs w:val="22"/>
          <w:lang w:val="sk-SK"/>
        </w:rPr>
        <w:t xml:space="preserve">, linezolidu, metyltioníniumchloridu (metylénová modrá; látka podávaná predoperačne kvôli zobrazovaniu, </w:t>
      </w:r>
      <w:r w:rsidR="002A1BF4" w:rsidRPr="00665466">
        <w:rPr>
          <w:sz w:val="22"/>
          <w:szCs w:val="22"/>
          <w:lang w:val="sk-SK"/>
        </w:rPr>
        <w:t xml:space="preserve">ktorá </w:t>
      </w:r>
      <w:r w:rsidR="00F4484B" w:rsidRPr="00665466">
        <w:rPr>
          <w:sz w:val="22"/>
          <w:szCs w:val="22"/>
          <w:lang w:val="sk-SK"/>
        </w:rPr>
        <w:t>je reverzibilným neselektívnym IMAO)]</w:t>
      </w:r>
      <w:r w:rsidRPr="00665466">
        <w:rPr>
          <w:sz w:val="22"/>
          <w:szCs w:val="22"/>
          <w:lang w:val="sk-SK"/>
        </w:rPr>
        <w:t>.</w:t>
      </w:r>
    </w:p>
    <w:p w14:paraId="3ACC2476" w14:textId="77777777" w:rsidR="002A1BF4" w:rsidRPr="00665466" w:rsidRDefault="002A1BF4" w:rsidP="00665466">
      <w:pPr>
        <w:autoSpaceDE w:val="0"/>
        <w:autoSpaceDN w:val="0"/>
        <w:adjustRightInd w:val="0"/>
        <w:rPr>
          <w:sz w:val="22"/>
          <w:szCs w:val="22"/>
          <w:lang w:val="sk-SK"/>
        </w:rPr>
      </w:pPr>
    </w:p>
    <w:p w14:paraId="449F9450"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Medzi prerušením liečby paroxetínom a začatím liečby akýmkoľvek IMAO musí uplynúť najmenej jeden týždeň.</w:t>
      </w:r>
    </w:p>
    <w:p w14:paraId="3909ABE9" w14:textId="77777777" w:rsidR="00B24275" w:rsidRPr="00665466" w:rsidRDefault="00B24275" w:rsidP="00665466">
      <w:pPr>
        <w:autoSpaceDE w:val="0"/>
        <w:autoSpaceDN w:val="0"/>
        <w:adjustRightInd w:val="0"/>
        <w:rPr>
          <w:sz w:val="22"/>
          <w:szCs w:val="22"/>
          <w:lang w:val="sk-SK"/>
        </w:rPr>
      </w:pPr>
    </w:p>
    <w:p w14:paraId="4314E43C"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sa </w:t>
      </w:r>
      <w:r w:rsidR="005007AE" w:rsidRPr="00665466">
        <w:rPr>
          <w:sz w:val="22"/>
          <w:szCs w:val="22"/>
          <w:lang w:val="sk-SK"/>
        </w:rPr>
        <w:t>ne</w:t>
      </w:r>
      <w:r w:rsidR="002A1BF4" w:rsidRPr="00665466">
        <w:rPr>
          <w:sz w:val="22"/>
          <w:szCs w:val="22"/>
          <w:lang w:val="sk-SK"/>
        </w:rPr>
        <w:t>s</w:t>
      </w:r>
      <w:r w:rsidR="005007AE" w:rsidRPr="00665466">
        <w:rPr>
          <w:sz w:val="22"/>
          <w:szCs w:val="22"/>
          <w:lang w:val="sk-SK"/>
        </w:rPr>
        <w:t>m</w:t>
      </w:r>
      <w:r w:rsidR="002A1BF4" w:rsidRPr="00665466">
        <w:rPr>
          <w:sz w:val="22"/>
          <w:szCs w:val="22"/>
          <w:lang w:val="sk-SK"/>
        </w:rPr>
        <w:t>ie</w:t>
      </w:r>
      <w:r w:rsidR="005007AE" w:rsidRPr="00665466">
        <w:rPr>
          <w:sz w:val="22"/>
          <w:szCs w:val="22"/>
          <w:lang w:val="sk-SK"/>
        </w:rPr>
        <w:t xml:space="preserve"> </w:t>
      </w:r>
      <w:r w:rsidRPr="00665466">
        <w:rPr>
          <w:sz w:val="22"/>
          <w:szCs w:val="22"/>
          <w:lang w:val="sk-SK"/>
        </w:rPr>
        <w:t xml:space="preserve">používať v kombinácii s tioridazínom, pretože, tak ako iné lieky, ktoré inhibujú pečeňový </w:t>
      </w:r>
      <w:r w:rsidR="00D80E2F" w:rsidRPr="00665466">
        <w:rPr>
          <w:sz w:val="22"/>
          <w:szCs w:val="22"/>
          <w:lang w:val="sk-SK"/>
        </w:rPr>
        <w:t>izo</w:t>
      </w:r>
      <w:r w:rsidRPr="00665466">
        <w:rPr>
          <w:sz w:val="22"/>
          <w:szCs w:val="22"/>
          <w:lang w:val="sk-SK"/>
        </w:rPr>
        <w:t>enzým</w:t>
      </w:r>
      <w:r w:rsidR="00D80E2F" w:rsidRPr="00665466">
        <w:rPr>
          <w:sz w:val="22"/>
          <w:szCs w:val="22"/>
          <w:lang w:val="sk-SK"/>
        </w:rPr>
        <w:t xml:space="preserve"> 2D6 cytochrómu</w:t>
      </w:r>
      <w:r w:rsidRPr="00665466">
        <w:rPr>
          <w:sz w:val="22"/>
          <w:szCs w:val="22"/>
          <w:lang w:val="sk-SK"/>
        </w:rPr>
        <w:t xml:space="preserve"> CYP</w:t>
      </w:r>
      <w:r w:rsidR="005007AE" w:rsidRPr="00665466">
        <w:rPr>
          <w:sz w:val="22"/>
          <w:szCs w:val="22"/>
          <w:lang w:val="sk-SK"/>
        </w:rPr>
        <w:t> </w:t>
      </w:r>
      <w:r w:rsidRPr="00665466">
        <w:rPr>
          <w:sz w:val="22"/>
          <w:szCs w:val="22"/>
          <w:lang w:val="sk-SK"/>
        </w:rPr>
        <w:t>450, paroxetín môže zvýšiť plazmatické hladiny tioridazínu (pozri časť 4.5). Podávanie samostatného tioridazínu môže viesť k predĺženiu QTc intervalu v</w:t>
      </w:r>
      <w:r w:rsidR="00E56981" w:rsidRPr="00665466">
        <w:rPr>
          <w:sz w:val="22"/>
          <w:szCs w:val="22"/>
          <w:lang w:val="sk-SK"/>
        </w:rPr>
        <w:t> </w:t>
      </w:r>
      <w:r w:rsidRPr="00665466">
        <w:rPr>
          <w:sz w:val="22"/>
          <w:szCs w:val="22"/>
          <w:lang w:val="sk-SK"/>
        </w:rPr>
        <w:t xml:space="preserve">spojení so závažnou komorovou arytmiou, ako je </w:t>
      </w:r>
      <w:r w:rsidRPr="00665466">
        <w:rPr>
          <w:i/>
          <w:sz w:val="22"/>
          <w:szCs w:val="22"/>
          <w:lang w:val="sk-SK"/>
        </w:rPr>
        <w:t>torsades de pointes</w:t>
      </w:r>
      <w:r w:rsidRPr="00665466">
        <w:rPr>
          <w:sz w:val="22"/>
          <w:szCs w:val="22"/>
          <w:lang w:val="sk-SK"/>
        </w:rPr>
        <w:t xml:space="preserve"> a náhlou smrťou.</w:t>
      </w:r>
    </w:p>
    <w:p w14:paraId="13849C6E" w14:textId="77777777" w:rsidR="00B24275" w:rsidRPr="00665466" w:rsidRDefault="00B24275" w:rsidP="00665466">
      <w:pPr>
        <w:autoSpaceDE w:val="0"/>
        <w:autoSpaceDN w:val="0"/>
        <w:adjustRightInd w:val="0"/>
        <w:rPr>
          <w:b/>
          <w:bCs/>
          <w:sz w:val="22"/>
          <w:szCs w:val="22"/>
          <w:lang w:val="sk-SK"/>
        </w:rPr>
      </w:pPr>
    </w:p>
    <w:p w14:paraId="6171D823" w14:textId="77777777" w:rsidR="00F95EF9" w:rsidRPr="00665466" w:rsidRDefault="00F95EF9" w:rsidP="00665466">
      <w:pPr>
        <w:pStyle w:val="Zarkazkladnhotextu"/>
        <w:widowControl w:val="0"/>
        <w:spacing w:after="0"/>
        <w:ind w:left="0"/>
        <w:rPr>
          <w:sz w:val="22"/>
          <w:szCs w:val="22"/>
          <w:lang w:val="sk-SK"/>
        </w:rPr>
      </w:pPr>
      <w:r w:rsidRPr="00665466">
        <w:rPr>
          <w:sz w:val="22"/>
          <w:szCs w:val="22"/>
          <w:lang w:val="sk-SK"/>
        </w:rPr>
        <w:t>Paroxetín sa ne</w:t>
      </w:r>
      <w:r w:rsidR="002A1BF4" w:rsidRPr="00665466">
        <w:rPr>
          <w:sz w:val="22"/>
          <w:szCs w:val="22"/>
          <w:lang w:val="sk-SK"/>
        </w:rPr>
        <w:t>s</w:t>
      </w:r>
      <w:r w:rsidRPr="00665466">
        <w:rPr>
          <w:sz w:val="22"/>
          <w:szCs w:val="22"/>
          <w:lang w:val="sk-SK"/>
        </w:rPr>
        <w:t>m</w:t>
      </w:r>
      <w:r w:rsidR="002A1BF4" w:rsidRPr="00665466">
        <w:rPr>
          <w:sz w:val="22"/>
          <w:szCs w:val="22"/>
          <w:lang w:val="sk-SK"/>
        </w:rPr>
        <w:t>ie</w:t>
      </w:r>
      <w:r w:rsidRPr="00665466">
        <w:rPr>
          <w:sz w:val="22"/>
          <w:szCs w:val="22"/>
          <w:lang w:val="sk-SK"/>
        </w:rPr>
        <w:t xml:space="preserve"> používať v kombinácii s pimozidom (pozri časť 4.5).</w:t>
      </w:r>
    </w:p>
    <w:p w14:paraId="677DAF0C" w14:textId="77777777" w:rsidR="00F95EF9" w:rsidRPr="00665466" w:rsidRDefault="00F95EF9" w:rsidP="00665466">
      <w:pPr>
        <w:autoSpaceDE w:val="0"/>
        <w:autoSpaceDN w:val="0"/>
        <w:adjustRightInd w:val="0"/>
        <w:rPr>
          <w:bCs/>
          <w:sz w:val="22"/>
          <w:szCs w:val="22"/>
          <w:lang w:val="sk-SK"/>
        </w:rPr>
      </w:pPr>
    </w:p>
    <w:p w14:paraId="5BB1549F" w14:textId="36A56E21"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lastRenderedPageBreak/>
        <w:t>4.4</w:t>
      </w:r>
      <w:r w:rsidR="00495392" w:rsidRPr="00665466">
        <w:rPr>
          <w:b/>
          <w:bCs/>
          <w:sz w:val="22"/>
          <w:szCs w:val="22"/>
          <w:lang w:val="sk-SK"/>
        </w:rPr>
        <w:tab/>
      </w:r>
      <w:r w:rsidRPr="00665466">
        <w:rPr>
          <w:b/>
          <w:bCs/>
          <w:sz w:val="22"/>
          <w:szCs w:val="22"/>
          <w:lang w:val="sk-SK"/>
        </w:rPr>
        <w:t>Osobitné upozornenia a opatrenia pri používaní</w:t>
      </w:r>
    </w:p>
    <w:p w14:paraId="3D083BDE" w14:textId="77777777" w:rsidR="00B24275" w:rsidRPr="00665466" w:rsidRDefault="00B24275" w:rsidP="00665466">
      <w:pPr>
        <w:keepNext/>
        <w:tabs>
          <w:tab w:val="left" w:pos="567"/>
        </w:tabs>
        <w:autoSpaceDE w:val="0"/>
        <w:autoSpaceDN w:val="0"/>
        <w:adjustRightInd w:val="0"/>
        <w:rPr>
          <w:sz w:val="22"/>
          <w:szCs w:val="22"/>
          <w:lang w:val="sk-SK"/>
        </w:rPr>
      </w:pPr>
    </w:p>
    <w:p w14:paraId="7FED80E5" w14:textId="77777777" w:rsidR="00B24275" w:rsidRPr="00665466" w:rsidRDefault="00B24275" w:rsidP="00665466">
      <w:pPr>
        <w:autoSpaceDE w:val="0"/>
        <w:autoSpaceDN w:val="0"/>
        <w:adjustRightInd w:val="0"/>
        <w:rPr>
          <w:sz w:val="22"/>
          <w:szCs w:val="22"/>
          <w:lang w:val="sk-SK"/>
        </w:rPr>
      </w:pPr>
      <w:r w:rsidRPr="00665466">
        <w:rPr>
          <w:sz w:val="22"/>
          <w:szCs w:val="22"/>
          <w:lang w:val="sk-SK"/>
        </w:rPr>
        <w:t>Liečba paroxetínom sa má začať opatrne až po dvoch týždňoch po ukončení liečby ireverzibilným IMAO alebo po 24 hodinách po ukončení liečby reverzibilným inhibítorom MAO. Dávky paroxetínu sa majú postupne zvyšovať až dovtedy, kým sa nedosiahne optimálna odpoveď (pozri čas</w:t>
      </w:r>
      <w:r w:rsidR="001B2833" w:rsidRPr="00665466">
        <w:rPr>
          <w:sz w:val="22"/>
          <w:szCs w:val="22"/>
          <w:lang w:val="sk-SK"/>
        </w:rPr>
        <w:t>ti</w:t>
      </w:r>
      <w:r w:rsidRPr="00665466">
        <w:rPr>
          <w:sz w:val="22"/>
          <w:szCs w:val="22"/>
          <w:lang w:val="sk-SK"/>
        </w:rPr>
        <w:t xml:space="preserve"> 4.3 a 4.5).</w:t>
      </w:r>
    </w:p>
    <w:p w14:paraId="5576DBCF" w14:textId="77777777" w:rsidR="00B24275" w:rsidRPr="00665466" w:rsidRDefault="00B24275" w:rsidP="00665466">
      <w:pPr>
        <w:autoSpaceDE w:val="0"/>
        <w:autoSpaceDN w:val="0"/>
        <w:adjustRightInd w:val="0"/>
        <w:rPr>
          <w:bCs/>
          <w:sz w:val="22"/>
          <w:szCs w:val="22"/>
          <w:u w:val="single"/>
          <w:lang w:val="sk-SK"/>
        </w:rPr>
      </w:pPr>
    </w:p>
    <w:p w14:paraId="4BDB6F89" w14:textId="037EAB21" w:rsidR="00B24275" w:rsidRPr="00665466" w:rsidRDefault="00F85F1B"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Pediatrická populácia</w:t>
      </w:r>
    </w:p>
    <w:p w14:paraId="3C52C4B8" w14:textId="77777777" w:rsidR="00B24275" w:rsidRPr="00665466" w:rsidRDefault="00B24275" w:rsidP="00665466">
      <w:pPr>
        <w:pStyle w:val="Zkladntext"/>
        <w:rPr>
          <w:lang w:val="sk-SK"/>
        </w:rPr>
      </w:pPr>
      <w:r w:rsidRPr="00665466">
        <w:rPr>
          <w:lang w:val="sk-SK"/>
        </w:rPr>
        <w:t>Paretin 20 mg sa nesmie používať na liečbu detí a dospelých mladších ako 18 rokov. Samovražedné správanie (pokusy o samovraždu a samovražedné myšlienky) a hostilita (predovšetkým agresi</w:t>
      </w:r>
      <w:r w:rsidR="002A1BF4" w:rsidRPr="00665466">
        <w:rPr>
          <w:lang w:val="sk-SK"/>
        </w:rPr>
        <w:t>vit</w:t>
      </w:r>
      <w:r w:rsidRPr="00665466">
        <w:rPr>
          <w:lang w:val="sk-SK"/>
        </w:rPr>
        <w:t xml:space="preserve">a, </w:t>
      </w:r>
      <w:r w:rsidR="002A1BF4" w:rsidRPr="00665466">
        <w:rPr>
          <w:lang w:val="sk-SK"/>
        </w:rPr>
        <w:t xml:space="preserve">nepriateľské </w:t>
      </w:r>
      <w:r w:rsidRPr="00665466">
        <w:rPr>
          <w:lang w:val="sk-SK"/>
        </w:rPr>
        <w:t>správanie</w:t>
      </w:r>
      <w:r w:rsidR="00A23E2B" w:rsidRPr="00665466">
        <w:rPr>
          <w:lang w:val="sk-SK"/>
        </w:rPr>
        <w:t xml:space="preserve"> </w:t>
      </w:r>
      <w:r w:rsidR="002A1BF4" w:rsidRPr="00665466">
        <w:rPr>
          <w:lang w:val="sk-SK"/>
        </w:rPr>
        <w:t>a zlosť</w:t>
      </w:r>
      <w:r w:rsidRPr="00665466">
        <w:rPr>
          <w:lang w:val="sk-SK"/>
        </w:rPr>
        <w:t xml:space="preserve">) boli v klinických štúdiách častejšie pozorované medzi deťmi a dospievajúcimi liečenými antidepresívami, než u pacientov, ktorí </w:t>
      </w:r>
      <w:r w:rsidR="00D84064" w:rsidRPr="00665466">
        <w:rPr>
          <w:lang w:val="sk-SK"/>
        </w:rPr>
        <w:t>dostávali placebo</w:t>
      </w:r>
      <w:r w:rsidRPr="00665466">
        <w:rPr>
          <w:lang w:val="sk-SK"/>
        </w:rPr>
        <w:t>. Ak sa rozhodnutie o</w:t>
      </w:r>
      <w:r w:rsidR="002A1BF4" w:rsidRPr="00665466">
        <w:rPr>
          <w:lang w:val="sk-SK"/>
        </w:rPr>
        <w:t> </w:t>
      </w:r>
      <w:r w:rsidRPr="00665466">
        <w:rPr>
          <w:lang w:val="sk-SK"/>
        </w:rPr>
        <w:t>liečbe</w:t>
      </w:r>
      <w:r w:rsidR="002A1BF4" w:rsidRPr="00665466">
        <w:rPr>
          <w:lang w:val="sk-SK"/>
        </w:rPr>
        <w:t>,</w:t>
      </w:r>
      <w:r w:rsidRPr="00665466">
        <w:rPr>
          <w:lang w:val="sk-SK"/>
        </w:rPr>
        <w:t xml:space="preserve"> založené na objektívnej potrebe predsa len urobí, pacient </w:t>
      </w:r>
      <w:r w:rsidR="00E56981" w:rsidRPr="00665466">
        <w:rPr>
          <w:lang w:val="sk-SK"/>
        </w:rPr>
        <w:t>má</w:t>
      </w:r>
      <w:r w:rsidRPr="00665466">
        <w:rPr>
          <w:lang w:val="sk-SK"/>
        </w:rPr>
        <w:t xml:space="preserve"> byť starostlivo sledovaný kvôli výskytu samovražedných symptómov. Navyše, chýbajú dlhodobé údaje o bezpečnosti u detí a dospievajúcich týkajúce sa rastu, dospievania a kognitívneho a behaviorálneho vývoja. </w:t>
      </w:r>
    </w:p>
    <w:p w14:paraId="4E519A8A" w14:textId="77777777" w:rsidR="00B24275" w:rsidRPr="00665466" w:rsidRDefault="00B24275" w:rsidP="00665466">
      <w:pPr>
        <w:autoSpaceDE w:val="0"/>
        <w:autoSpaceDN w:val="0"/>
        <w:adjustRightInd w:val="0"/>
        <w:rPr>
          <w:bCs/>
          <w:sz w:val="22"/>
          <w:szCs w:val="22"/>
          <w:u w:val="single"/>
          <w:lang w:val="sk-SK"/>
        </w:rPr>
      </w:pPr>
    </w:p>
    <w:p w14:paraId="2BA275DA"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Samovražda/samovražedné myšlienky alebo klinické zhoršenie</w:t>
      </w:r>
    </w:p>
    <w:p w14:paraId="128FFE3F" w14:textId="77777777" w:rsidR="00B24275" w:rsidRPr="00665466" w:rsidRDefault="00B24275" w:rsidP="00665466">
      <w:pPr>
        <w:rPr>
          <w:rFonts w:eastAsia="Arial"/>
          <w:color w:val="000000"/>
          <w:sz w:val="22"/>
          <w:szCs w:val="22"/>
          <w:lang w:val="sk-SK"/>
        </w:rPr>
      </w:pPr>
      <w:r w:rsidRPr="00665466">
        <w:rPr>
          <w:color w:val="000000"/>
          <w:sz w:val="22"/>
          <w:szCs w:val="22"/>
          <w:lang w:val="sk-SK"/>
        </w:rPr>
        <w:t xml:space="preserve">Depresia sa dáva do súvislosti so zvýšeným rizikom samovražedných myšlienok, sebapoškodením a samovraždou (udalosti spojené so samovraždou). Toto riziko pretrváva až do nástupu zjavnej remisie. </w:t>
      </w:r>
      <w:r w:rsidRPr="00665466">
        <w:rPr>
          <w:rFonts w:eastAsia="Arial"/>
          <w:color w:val="000000"/>
          <w:sz w:val="22"/>
          <w:szCs w:val="22"/>
          <w:lang w:val="sk-SK"/>
        </w:rPr>
        <w:t>Nakoľko sa zlepšenie nemusí ukázať počas prvých niekoľkých alebo viacerých týždňoch liečby, pacienti musia byť starostlivo monitorovaní, až kým nenastane zlepšenie. Vo všeobecnosti klinické skúsenosti ukazujú, že riziko samovraždy sa môže zvýšiť v skorých štádiách zotavovania.</w:t>
      </w:r>
    </w:p>
    <w:p w14:paraId="39196664" w14:textId="77777777" w:rsidR="00B24275" w:rsidRPr="00665466" w:rsidRDefault="00B24275" w:rsidP="00665466">
      <w:pPr>
        <w:autoSpaceDE w:val="0"/>
        <w:autoSpaceDN w:val="0"/>
        <w:adjustRightInd w:val="0"/>
        <w:rPr>
          <w:sz w:val="22"/>
          <w:szCs w:val="22"/>
          <w:lang w:val="sk-SK"/>
        </w:rPr>
      </w:pPr>
    </w:p>
    <w:p w14:paraId="1E79EA50" w14:textId="77777777" w:rsidR="00B24275" w:rsidRPr="00665466" w:rsidRDefault="00B24275" w:rsidP="00665466">
      <w:pPr>
        <w:rPr>
          <w:rFonts w:eastAsia="Arial"/>
          <w:color w:val="000000"/>
          <w:sz w:val="22"/>
          <w:szCs w:val="22"/>
          <w:lang w:val="sk-SK"/>
        </w:rPr>
      </w:pPr>
      <w:r w:rsidRPr="00665466">
        <w:rPr>
          <w:rFonts w:eastAsia="Arial"/>
          <w:color w:val="000000"/>
          <w:sz w:val="22"/>
          <w:szCs w:val="22"/>
          <w:lang w:val="sk-SK"/>
        </w:rPr>
        <w:t>Iné psychiatrické stavy, na liečbu ktorých bol</w:t>
      </w:r>
      <w:r w:rsidRPr="00665466">
        <w:rPr>
          <w:sz w:val="22"/>
          <w:szCs w:val="22"/>
          <w:lang w:val="sk-SK"/>
        </w:rPr>
        <w:t xml:space="preserve"> paroxetín </w:t>
      </w:r>
      <w:r w:rsidRPr="00665466">
        <w:rPr>
          <w:rFonts w:eastAsia="Arial"/>
          <w:color w:val="000000"/>
          <w:sz w:val="22"/>
          <w:szCs w:val="22"/>
          <w:lang w:val="sk-SK"/>
        </w:rPr>
        <w:t>predpísaný, môžu byť tiež spojené so zvýšeným rizikom suicidálneho</w:t>
      </w:r>
      <w:r w:rsidRPr="00665466">
        <w:rPr>
          <w:sz w:val="22"/>
          <w:szCs w:val="22"/>
          <w:lang w:val="sk-SK"/>
        </w:rPr>
        <w:t xml:space="preserve"> správania. </w:t>
      </w:r>
      <w:r w:rsidRPr="00665466">
        <w:rPr>
          <w:rFonts w:eastAsia="Arial"/>
          <w:color w:val="000000"/>
          <w:sz w:val="22"/>
          <w:szCs w:val="22"/>
          <w:lang w:val="sk-SK"/>
        </w:rPr>
        <w:t>Okrem toho tieto stavy môžu byť spojené s veľkou depresívnou poruchou. Rovnaké opatrenia dodržiavané pri liečbe pacientov s veľkou depresívnou poruchou majú byť dodrž</w:t>
      </w:r>
      <w:r w:rsidR="00114D53" w:rsidRPr="00665466">
        <w:rPr>
          <w:rFonts w:eastAsia="Arial"/>
          <w:color w:val="000000"/>
          <w:sz w:val="22"/>
          <w:szCs w:val="22"/>
          <w:lang w:val="sk-SK"/>
        </w:rPr>
        <w:t>ia</w:t>
      </w:r>
      <w:r w:rsidRPr="00665466">
        <w:rPr>
          <w:rFonts w:eastAsia="Arial"/>
          <w:color w:val="000000"/>
          <w:sz w:val="22"/>
          <w:szCs w:val="22"/>
          <w:lang w:val="sk-SK"/>
        </w:rPr>
        <w:t>vané aj pri liečbe pacientov s inými psychiatrickými poruchami.</w:t>
      </w:r>
    </w:p>
    <w:p w14:paraId="461ECCB0" w14:textId="77777777" w:rsidR="00B24275" w:rsidRPr="00665466" w:rsidRDefault="00B24275" w:rsidP="00665466">
      <w:pPr>
        <w:autoSpaceDE w:val="0"/>
        <w:autoSpaceDN w:val="0"/>
        <w:adjustRightInd w:val="0"/>
        <w:rPr>
          <w:sz w:val="22"/>
          <w:szCs w:val="22"/>
          <w:lang w:val="sk-SK"/>
        </w:rPr>
      </w:pPr>
    </w:p>
    <w:p w14:paraId="269F5CAC" w14:textId="2D77BAE0" w:rsidR="002A1BF4" w:rsidRPr="00665466" w:rsidRDefault="00B24275" w:rsidP="00665466">
      <w:pPr>
        <w:rPr>
          <w:rFonts w:eastAsia="Arial"/>
          <w:color w:val="000000"/>
          <w:sz w:val="22"/>
          <w:szCs w:val="22"/>
          <w:lang w:val="sk-SK"/>
        </w:rPr>
      </w:pPr>
      <w:r w:rsidRPr="00665466">
        <w:rPr>
          <w:rFonts w:eastAsia="Arial"/>
          <w:color w:val="000000"/>
          <w:sz w:val="22"/>
          <w:szCs w:val="22"/>
          <w:lang w:val="sk-SK"/>
        </w:rPr>
        <w:t>Pacienti s</w:t>
      </w:r>
      <w:r w:rsidR="00D80E2F" w:rsidRPr="00665466">
        <w:rPr>
          <w:rFonts w:eastAsia="Arial"/>
          <w:color w:val="000000"/>
          <w:sz w:val="22"/>
          <w:szCs w:val="22"/>
          <w:lang w:val="sk-SK"/>
        </w:rPr>
        <w:t>o</w:t>
      </w:r>
      <w:r w:rsidRPr="00665466">
        <w:rPr>
          <w:rFonts w:eastAsia="Arial"/>
          <w:color w:val="000000"/>
          <w:sz w:val="22"/>
          <w:szCs w:val="22"/>
          <w:lang w:val="sk-SK"/>
        </w:rPr>
        <w:t xml:space="preserve"> suicidálny</w:t>
      </w:r>
      <w:r w:rsidR="00D80E2F" w:rsidRPr="00665466">
        <w:rPr>
          <w:rFonts w:eastAsia="Arial"/>
          <w:color w:val="000000"/>
          <w:sz w:val="22"/>
          <w:szCs w:val="22"/>
          <w:lang w:val="sk-SK"/>
        </w:rPr>
        <w:t>mi</w:t>
      </w:r>
      <w:r w:rsidRPr="00665466">
        <w:rPr>
          <w:rFonts w:eastAsia="Arial"/>
          <w:color w:val="000000"/>
          <w:sz w:val="22"/>
          <w:szCs w:val="22"/>
          <w:lang w:val="sk-SK"/>
        </w:rPr>
        <w:t xml:space="preserve"> príhod</w:t>
      </w:r>
      <w:r w:rsidR="00D80E2F" w:rsidRPr="00665466">
        <w:rPr>
          <w:rFonts w:eastAsia="Arial"/>
          <w:color w:val="000000"/>
          <w:sz w:val="22"/>
          <w:szCs w:val="22"/>
          <w:lang w:val="sk-SK"/>
        </w:rPr>
        <w:t>ami</w:t>
      </w:r>
      <w:r w:rsidRPr="00665466">
        <w:rPr>
          <w:rFonts w:eastAsia="Arial"/>
          <w:color w:val="000000"/>
          <w:sz w:val="22"/>
          <w:szCs w:val="22"/>
          <w:lang w:val="sk-SK"/>
        </w:rPr>
        <w:t xml:space="preserve"> alebo významnými prejavmi samovražedných myšlienok</w:t>
      </w:r>
      <w:r w:rsidR="00D80E2F" w:rsidRPr="00665466">
        <w:rPr>
          <w:rFonts w:eastAsia="Arial"/>
          <w:color w:val="000000"/>
          <w:sz w:val="22"/>
          <w:szCs w:val="22"/>
          <w:lang w:val="sk-SK"/>
        </w:rPr>
        <w:t xml:space="preserve"> v anamnéze</w:t>
      </w:r>
      <w:r w:rsidRPr="00665466">
        <w:rPr>
          <w:rFonts w:eastAsia="Arial"/>
          <w:color w:val="000000"/>
          <w:sz w:val="22"/>
          <w:szCs w:val="22"/>
          <w:lang w:val="sk-SK"/>
        </w:rPr>
        <w:t xml:space="preserve"> pred začatím liečby, majú väčšie riziko samovražedných myšlienok alebo samovražedných pokusov, a preto majú byť starostlivo sledovaní počas liečby.</w:t>
      </w:r>
    </w:p>
    <w:p w14:paraId="4AB2F911" w14:textId="6548EB74" w:rsidR="00B24275" w:rsidRPr="00665466" w:rsidRDefault="00B24275" w:rsidP="00665466">
      <w:pPr>
        <w:rPr>
          <w:sz w:val="22"/>
          <w:szCs w:val="22"/>
          <w:lang w:val="sk-SK"/>
        </w:rPr>
      </w:pPr>
      <w:r w:rsidRPr="00665466">
        <w:rPr>
          <w:sz w:val="22"/>
          <w:szCs w:val="22"/>
          <w:lang w:val="sk-SK"/>
        </w:rPr>
        <w:t>Meta-analýza placebom kontrolovaných klinických štúdií antidepresívnych liekov u dospelých pacientov so psychiatrickými poruchami ukázala zvýšené riziko samovražedného správania s antidepresívami v porovnaní s placebom u pacientov mladších ako 25 rokov</w:t>
      </w:r>
      <w:r w:rsidR="00F95EF9" w:rsidRPr="00665466">
        <w:rPr>
          <w:sz w:val="22"/>
          <w:szCs w:val="22"/>
          <w:lang w:val="sk-SK"/>
        </w:rPr>
        <w:t xml:space="preserve"> (pozri tiež časť 5.1)</w:t>
      </w:r>
      <w:r w:rsidRPr="00665466">
        <w:rPr>
          <w:sz w:val="22"/>
          <w:szCs w:val="22"/>
          <w:lang w:val="sk-SK"/>
        </w:rPr>
        <w:t>.</w:t>
      </w:r>
    </w:p>
    <w:p w14:paraId="4F09DF0F" w14:textId="77777777" w:rsidR="00F95EF9" w:rsidRPr="00665466" w:rsidRDefault="00F95EF9" w:rsidP="00665466">
      <w:pPr>
        <w:rPr>
          <w:sz w:val="22"/>
          <w:szCs w:val="22"/>
          <w:lang w:val="sk-SK"/>
        </w:rPr>
      </w:pPr>
    </w:p>
    <w:p w14:paraId="48BF3324"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Pacientov, obzvlášť s vysokým rizikom suicidálnych myšlienok, je potrebné, hlavne na začiatku liečby a po zmene dávkovania, starostlivo monitorovať. Pacienti (a ich opatrovatelia) musia byť upozornení na</w:t>
      </w:r>
      <w:r w:rsidR="00F95EF9" w:rsidRPr="00665466">
        <w:rPr>
          <w:sz w:val="22"/>
          <w:szCs w:val="22"/>
          <w:lang w:val="sk-SK"/>
        </w:rPr>
        <w:t> </w:t>
      </w:r>
      <w:r w:rsidRPr="00665466">
        <w:rPr>
          <w:sz w:val="22"/>
          <w:szCs w:val="22"/>
          <w:lang w:val="sk-SK"/>
        </w:rPr>
        <w:t>potrebu sledovania výskytu klinického zhoršenia, samovražedného správania alebo myšlienok a neobyčajných zmien v správaní a vyhľadať lekársku pomoc hneď, ako sa tieto príznaky objavia.</w:t>
      </w:r>
    </w:p>
    <w:p w14:paraId="6A19CD1C" w14:textId="77777777" w:rsidR="0071048C" w:rsidRPr="00665466" w:rsidRDefault="0071048C" w:rsidP="00665466">
      <w:pPr>
        <w:autoSpaceDE w:val="0"/>
        <w:autoSpaceDN w:val="0"/>
        <w:adjustRightInd w:val="0"/>
        <w:rPr>
          <w:bCs/>
          <w:sz w:val="22"/>
          <w:szCs w:val="22"/>
          <w:u w:val="single"/>
          <w:lang w:val="sk-SK"/>
        </w:rPr>
      </w:pPr>
    </w:p>
    <w:p w14:paraId="7ADE8DA0"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Akatízia</w:t>
      </w:r>
      <w:r w:rsidR="00E56981" w:rsidRPr="00665466">
        <w:rPr>
          <w:bCs/>
          <w:sz w:val="22"/>
          <w:szCs w:val="22"/>
          <w:u w:val="single"/>
          <w:lang w:val="sk-SK"/>
        </w:rPr>
        <w:t>/psychomotorický nepokoj</w:t>
      </w:r>
    </w:p>
    <w:p w14:paraId="46EC26E4"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Použitie paroxetínu bolo spojené s rozvojom akatízie, ktorá je charakterizovaná vnútorným pocitom nepokoja a psychomotorickou agitovanosťou, ako je neschopnosť sedieť alebo stáť </w:t>
      </w:r>
      <w:r w:rsidR="00373B7B" w:rsidRPr="00665466">
        <w:rPr>
          <w:sz w:val="22"/>
          <w:szCs w:val="22"/>
          <w:lang w:val="sk-SK"/>
        </w:rPr>
        <w:t>pokojne</w:t>
      </w:r>
      <w:r w:rsidR="002A1BF4" w:rsidRPr="00665466">
        <w:rPr>
          <w:sz w:val="22"/>
          <w:szCs w:val="22"/>
          <w:lang w:val="sk-SK"/>
        </w:rPr>
        <w:t>,</w:t>
      </w:r>
      <w:r w:rsidRPr="00665466">
        <w:rPr>
          <w:sz w:val="22"/>
          <w:szCs w:val="22"/>
          <w:lang w:val="sk-SK"/>
        </w:rPr>
        <w:t xml:space="preserve"> zvyčajne spojené so subjektívnou tiesňou. Akatízia sa s najväčšou pravdepodobnosťou vyskytuje počas prvých niekoľkých týždňov liečby. U pacientov, u ktorých dôjde k týmto symptómom, môže byť zvyšovanie dávky škodlivé.</w:t>
      </w:r>
    </w:p>
    <w:p w14:paraId="6C9CC4BA" w14:textId="77777777" w:rsidR="00B24275" w:rsidRPr="00665466" w:rsidRDefault="00B24275" w:rsidP="00665466">
      <w:pPr>
        <w:autoSpaceDE w:val="0"/>
        <w:autoSpaceDN w:val="0"/>
        <w:adjustRightInd w:val="0"/>
        <w:rPr>
          <w:bCs/>
          <w:sz w:val="22"/>
          <w:szCs w:val="22"/>
          <w:u w:val="single"/>
          <w:lang w:val="sk-SK"/>
        </w:rPr>
      </w:pPr>
    </w:p>
    <w:p w14:paraId="0F48294C" w14:textId="778D96C7" w:rsidR="00B655F6" w:rsidRPr="00665466" w:rsidRDefault="002A1BF4"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Sér</w:t>
      </w:r>
      <w:r w:rsidR="00B24275" w:rsidRPr="00665466">
        <w:rPr>
          <w:bCs/>
          <w:sz w:val="22"/>
          <w:szCs w:val="22"/>
          <w:u w:val="single"/>
          <w:lang w:val="sk-SK"/>
        </w:rPr>
        <w:t>otonínový syndróm/</w:t>
      </w:r>
      <w:r w:rsidRPr="00665466">
        <w:rPr>
          <w:bCs/>
          <w:sz w:val="22"/>
          <w:szCs w:val="22"/>
          <w:u w:val="single"/>
          <w:lang w:val="sk-SK"/>
        </w:rPr>
        <w:t>n</w:t>
      </w:r>
      <w:r w:rsidR="00B24275" w:rsidRPr="00665466">
        <w:rPr>
          <w:bCs/>
          <w:sz w:val="22"/>
          <w:szCs w:val="22"/>
          <w:u w:val="single"/>
          <w:lang w:val="sk-SK"/>
        </w:rPr>
        <w:t>euroleptický</w:t>
      </w:r>
      <w:r w:rsidR="00F95EF9" w:rsidRPr="00665466">
        <w:rPr>
          <w:bCs/>
          <w:sz w:val="22"/>
          <w:szCs w:val="22"/>
          <w:u w:val="single"/>
          <w:lang w:val="sk-SK"/>
        </w:rPr>
        <w:t xml:space="preserve"> malígny</w:t>
      </w:r>
      <w:r w:rsidR="00B24275" w:rsidRPr="00665466">
        <w:rPr>
          <w:bCs/>
          <w:sz w:val="22"/>
          <w:szCs w:val="22"/>
          <w:u w:val="single"/>
          <w:lang w:val="sk-SK"/>
        </w:rPr>
        <w:t xml:space="preserve"> syndróm</w:t>
      </w:r>
    </w:p>
    <w:p w14:paraId="679827A0" w14:textId="1A2E04BB" w:rsidR="00B655F6" w:rsidRPr="00B655F6" w:rsidRDefault="00B655F6" w:rsidP="00B655F6">
      <w:pPr>
        <w:autoSpaceDE w:val="0"/>
        <w:autoSpaceDN w:val="0"/>
        <w:adjustRightInd w:val="0"/>
        <w:rPr>
          <w:sz w:val="22"/>
          <w:szCs w:val="22"/>
          <w:lang w:val="sk-SK"/>
        </w:rPr>
      </w:pPr>
      <w:r w:rsidRPr="00B655F6">
        <w:rPr>
          <w:sz w:val="22"/>
          <w:szCs w:val="22"/>
          <w:lang w:val="sk-SK"/>
        </w:rPr>
        <w:t xml:space="preserve">Súbežné podávanie </w:t>
      </w:r>
      <w:r>
        <w:rPr>
          <w:sz w:val="22"/>
          <w:szCs w:val="22"/>
          <w:lang w:val="sk-SK"/>
        </w:rPr>
        <w:t>Paretínu</w:t>
      </w:r>
      <w:r w:rsidRPr="00B655F6">
        <w:rPr>
          <w:sz w:val="22"/>
          <w:szCs w:val="22"/>
          <w:lang w:val="sk-SK"/>
        </w:rPr>
        <w:t xml:space="preserve"> a</w:t>
      </w:r>
      <w:r w:rsidR="00810D1D">
        <w:rPr>
          <w:sz w:val="22"/>
          <w:szCs w:val="22"/>
          <w:lang w:val="sk-SK"/>
        </w:rPr>
        <w:t>lebo</w:t>
      </w:r>
      <w:r w:rsidRPr="00B655F6">
        <w:rPr>
          <w:sz w:val="22"/>
          <w:szCs w:val="22"/>
          <w:lang w:val="sk-SK"/>
        </w:rPr>
        <w:t xml:space="preserve"> iných sérotonergných liekov</w:t>
      </w:r>
      <w:r w:rsidR="00810D1D">
        <w:rPr>
          <w:sz w:val="22"/>
          <w:szCs w:val="22"/>
          <w:lang w:val="sk-SK"/>
        </w:rPr>
        <w:t xml:space="preserve"> s </w:t>
      </w:r>
      <w:r w:rsidR="007B7A2E">
        <w:rPr>
          <w:sz w:val="22"/>
          <w:szCs w:val="22"/>
          <w:lang w:val="sk-SK"/>
        </w:rPr>
        <w:t>buprenorfín</w:t>
      </w:r>
      <w:r w:rsidR="00810D1D">
        <w:rPr>
          <w:sz w:val="22"/>
          <w:szCs w:val="22"/>
          <w:lang w:val="sk-SK"/>
        </w:rPr>
        <w:t xml:space="preserve">om </w:t>
      </w:r>
      <w:r w:rsidRPr="00B655F6">
        <w:rPr>
          <w:sz w:val="22"/>
          <w:szCs w:val="22"/>
          <w:lang w:val="sk-SK"/>
        </w:rPr>
        <w:t>môže viesť k</w:t>
      </w:r>
      <w:r>
        <w:rPr>
          <w:sz w:val="22"/>
          <w:szCs w:val="22"/>
          <w:lang w:val="sk-SK"/>
        </w:rPr>
        <w:t> </w:t>
      </w:r>
      <w:r w:rsidRPr="00B655F6">
        <w:rPr>
          <w:sz w:val="22"/>
          <w:szCs w:val="22"/>
          <w:lang w:val="sk-SK"/>
        </w:rPr>
        <w:t>sérotonínovému syndrómu, potenciálne život ohrozujúcemu stavu (pozri časť 4.5)</w:t>
      </w:r>
      <w:r w:rsidR="001331CF" w:rsidRPr="001331CF">
        <w:rPr>
          <w:sz w:val="22"/>
          <w:szCs w:val="22"/>
          <w:lang w:val="sk-SK"/>
        </w:rPr>
        <w:t xml:space="preserve"> </w:t>
      </w:r>
      <w:r w:rsidR="001331CF" w:rsidRPr="00665466">
        <w:rPr>
          <w:sz w:val="22"/>
          <w:szCs w:val="22"/>
          <w:lang w:val="sk-SK"/>
        </w:rPr>
        <w:t>alebo príznakov podobných neuroleptickému malígnemu syndrómu</w:t>
      </w:r>
      <w:r w:rsidR="001331CF">
        <w:rPr>
          <w:sz w:val="22"/>
          <w:szCs w:val="22"/>
          <w:lang w:val="sk-SK"/>
        </w:rPr>
        <w:t>.</w:t>
      </w:r>
    </w:p>
    <w:p w14:paraId="53351465" w14:textId="77777777" w:rsidR="00B655F6" w:rsidRPr="00B655F6" w:rsidRDefault="00B655F6" w:rsidP="00B655F6">
      <w:pPr>
        <w:autoSpaceDE w:val="0"/>
        <w:autoSpaceDN w:val="0"/>
        <w:adjustRightInd w:val="0"/>
        <w:rPr>
          <w:sz w:val="22"/>
          <w:szCs w:val="22"/>
          <w:lang w:val="sk-SK"/>
        </w:rPr>
      </w:pPr>
      <w:r w:rsidRPr="00B655F6">
        <w:rPr>
          <w:sz w:val="22"/>
          <w:szCs w:val="22"/>
          <w:lang w:val="sk-SK"/>
        </w:rPr>
        <w:t>Ak je súbežná liečba inými sérotonergnými liekmi klinicky opodstatnená, odporúča sa pozorné sledovanie pacienta, najmä na začiatku liečby a pri zvyšovaní dávky.</w:t>
      </w:r>
    </w:p>
    <w:p w14:paraId="365C366B" w14:textId="77777777" w:rsidR="00B655F6" w:rsidRPr="00B655F6" w:rsidRDefault="00B655F6" w:rsidP="00B655F6">
      <w:pPr>
        <w:autoSpaceDE w:val="0"/>
        <w:autoSpaceDN w:val="0"/>
        <w:adjustRightInd w:val="0"/>
        <w:rPr>
          <w:sz w:val="22"/>
          <w:szCs w:val="22"/>
          <w:lang w:val="sk-SK"/>
        </w:rPr>
      </w:pPr>
      <w:r w:rsidRPr="00B655F6">
        <w:rPr>
          <w:sz w:val="22"/>
          <w:szCs w:val="22"/>
          <w:lang w:val="sk-SK"/>
        </w:rPr>
        <w:lastRenderedPageBreak/>
        <w:t>Symptómy sérotonínového syndrómu môžu zahŕňať zmeny duševného stavu, autonómnu nestabilitu, neuromuskulárne abnormality a/alebo gastrointestinálne symptómy.</w:t>
      </w:r>
    </w:p>
    <w:p w14:paraId="1BAB57DC" w14:textId="77777777" w:rsidR="007B7A2E" w:rsidRDefault="00B655F6" w:rsidP="00B655F6">
      <w:pPr>
        <w:autoSpaceDE w:val="0"/>
        <w:autoSpaceDN w:val="0"/>
        <w:adjustRightInd w:val="0"/>
        <w:rPr>
          <w:sz w:val="22"/>
          <w:szCs w:val="22"/>
          <w:lang w:val="sk-SK"/>
        </w:rPr>
      </w:pPr>
      <w:r w:rsidRPr="00B655F6">
        <w:rPr>
          <w:sz w:val="22"/>
          <w:szCs w:val="22"/>
          <w:lang w:val="sk-SK"/>
        </w:rPr>
        <w:t>Ak existuje podozrenie na sérotonínový syndróm, je potrebné zvážiť zníženie dávky alebo prerušenie liečby v</w:t>
      </w:r>
      <w:r w:rsidR="000C381C">
        <w:rPr>
          <w:sz w:val="22"/>
          <w:szCs w:val="22"/>
          <w:lang w:val="sk-SK"/>
        </w:rPr>
        <w:t> </w:t>
      </w:r>
      <w:r w:rsidRPr="00B655F6">
        <w:rPr>
          <w:sz w:val="22"/>
          <w:szCs w:val="22"/>
          <w:lang w:val="sk-SK"/>
        </w:rPr>
        <w:t>závislosti od závažnosti symptómov.</w:t>
      </w:r>
    </w:p>
    <w:p w14:paraId="6875E5FA" w14:textId="3BC0C789" w:rsidR="00995892" w:rsidRDefault="00995892" w:rsidP="00B655F6">
      <w:pPr>
        <w:autoSpaceDE w:val="0"/>
        <w:autoSpaceDN w:val="0"/>
        <w:adjustRightInd w:val="0"/>
        <w:rPr>
          <w:sz w:val="22"/>
          <w:szCs w:val="22"/>
          <w:lang w:val="sk-SK"/>
        </w:rPr>
      </w:pPr>
    </w:p>
    <w:p w14:paraId="49EA4479" w14:textId="0E04A88D" w:rsidR="00B24275" w:rsidRPr="00665466" w:rsidRDefault="00B24275" w:rsidP="00B655F6">
      <w:pPr>
        <w:autoSpaceDE w:val="0"/>
        <w:autoSpaceDN w:val="0"/>
        <w:adjustRightInd w:val="0"/>
        <w:rPr>
          <w:sz w:val="22"/>
          <w:szCs w:val="22"/>
          <w:lang w:val="sk-SK"/>
        </w:rPr>
      </w:pPr>
      <w:r w:rsidRPr="00665466">
        <w:rPr>
          <w:sz w:val="22"/>
          <w:szCs w:val="22"/>
          <w:lang w:val="sk-SK"/>
        </w:rPr>
        <w:t xml:space="preserve">Paroxetín sa nesmie používať v kombinácii s prekurzormi </w:t>
      </w:r>
      <w:r w:rsidR="002A1BF4" w:rsidRPr="00665466">
        <w:rPr>
          <w:sz w:val="22"/>
          <w:szCs w:val="22"/>
          <w:lang w:val="sk-SK"/>
        </w:rPr>
        <w:t>sér</w:t>
      </w:r>
      <w:r w:rsidRPr="00665466">
        <w:rPr>
          <w:sz w:val="22"/>
          <w:szCs w:val="22"/>
          <w:lang w:val="sk-SK"/>
        </w:rPr>
        <w:t>otonínu (ako je L-tryptofán, oxitript</w:t>
      </w:r>
      <w:r w:rsidR="00270F6D" w:rsidRPr="00665466">
        <w:rPr>
          <w:sz w:val="22"/>
          <w:szCs w:val="22"/>
          <w:lang w:val="sk-SK"/>
        </w:rPr>
        <w:t>á</w:t>
      </w:r>
      <w:r w:rsidRPr="00665466">
        <w:rPr>
          <w:sz w:val="22"/>
          <w:szCs w:val="22"/>
          <w:lang w:val="sk-SK"/>
        </w:rPr>
        <w:t xml:space="preserve">n) z dôvodu rizika </w:t>
      </w:r>
      <w:r w:rsidR="002A1BF4" w:rsidRPr="00665466">
        <w:rPr>
          <w:sz w:val="22"/>
          <w:szCs w:val="22"/>
          <w:lang w:val="sk-SK"/>
        </w:rPr>
        <w:t>sér</w:t>
      </w:r>
      <w:r w:rsidRPr="00665466">
        <w:rPr>
          <w:sz w:val="22"/>
          <w:szCs w:val="22"/>
          <w:lang w:val="sk-SK"/>
        </w:rPr>
        <w:t>otonergného syndrómu (pozri časti 4.3 a 4.5).</w:t>
      </w:r>
    </w:p>
    <w:p w14:paraId="3B51AB3A" w14:textId="77777777" w:rsidR="00B24275" w:rsidRPr="00665466" w:rsidRDefault="00B24275" w:rsidP="00665466">
      <w:pPr>
        <w:autoSpaceDE w:val="0"/>
        <w:autoSpaceDN w:val="0"/>
        <w:adjustRightInd w:val="0"/>
        <w:rPr>
          <w:bCs/>
          <w:sz w:val="22"/>
          <w:szCs w:val="22"/>
          <w:u w:val="single"/>
          <w:lang w:val="sk-SK"/>
        </w:rPr>
      </w:pPr>
    </w:p>
    <w:p w14:paraId="47229EA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Mánia</w:t>
      </w:r>
    </w:p>
    <w:p w14:paraId="162DF4B8" w14:textId="397DB74E"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všetkých antidepresív</w:t>
      </w:r>
      <w:r w:rsidR="00270F6D" w:rsidRPr="00665466">
        <w:rPr>
          <w:sz w:val="22"/>
          <w:szCs w:val="22"/>
          <w:lang w:val="sk-SK"/>
        </w:rPr>
        <w:t>ach</w:t>
      </w:r>
      <w:r w:rsidR="00E56981" w:rsidRPr="00665466">
        <w:rPr>
          <w:sz w:val="22"/>
          <w:szCs w:val="22"/>
          <w:lang w:val="sk-SK"/>
        </w:rPr>
        <w:t>,</w:t>
      </w:r>
      <w:r w:rsidRPr="00665466">
        <w:rPr>
          <w:sz w:val="22"/>
          <w:szCs w:val="22"/>
          <w:lang w:val="sk-SK"/>
        </w:rPr>
        <w:t xml:space="preserve"> paroxetín</w:t>
      </w:r>
      <w:r w:rsidR="00E56981" w:rsidRPr="00665466">
        <w:rPr>
          <w:sz w:val="22"/>
          <w:szCs w:val="22"/>
          <w:lang w:val="sk-SK"/>
        </w:rPr>
        <w:t xml:space="preserve"> sa</w:t>
      </w:r>
      <w:r w:rsidRPr="00665466">
        <w:rPr>
          <w:sz w:val="22"/>
          <w:szCs w:val="22"/>
          <w:lang w:val="sk-SK"/>
        </w:rPr>
        <w:t xml:space="preserve"> musí používať opatrne u pacientov s mániou </w:t>
      </w:r>
      <w:r w:rsidR="003056CE" w:rsidRPr="00665466">
        <w:rPr>
          <w:sz w:val="22"/>
          <w:szCs w:val="22"/>
          <w:lang w:val="sk-SK"/>
        </w:rPr>
        <w:t>v </w:t>
      </w:r>
      <w:r w:rsidRPr="00665466">
        <w:rPr>
          <w:sz w:val="22"/>
          <w:szCs w:val="22"/>
          <w:lang w:val="sk-SK"/>
        </w:rPr>
        <w:t xml:space="preserve">anamnéze. Podávanie paroxetínu sa musí prerušiť u </w:t>
      </w:r>
      <w:r w:rsidR="00BB3BC5" w:rsidRPr="00665466">
        <w:rPr>
          <w:sz w:val="22"/>
          <w:szCs w:val="22"/>
          <w:lang w:val="sk-SK"/>
        </w:rPr>
        <w:t xml:space="preserve">každého </w:t>
      </w:r>
      <w:r w:rsidRPr="00665466">
        <w:rPr>
          <w:sz w:val="22"/>
          <w:szCs w:val="22"/>
          <w:lang w:val="sk-SK"/>
        </w:rPr>
        <w:t>pacienta, u ktorého sa začne mánická fáza.</w:t>
      </w:r>
    </w:p>
    <w:p w14:paraId="7C11EE36" w14:textId="77777777" w:rsidR="00B24275" w:rsidRPr="00665466" w:rsidRDefault="00B24275" w:rsidP="00665466">
      <w:pPr>
        <w:autoSpaceDE w:val="0"/>
        <w:autoSpaceDN w:val="0"/>
        <w:adjustRightInd w:val="0"/>
        <w:rPr>
          <w:bCs/>
          <w:sz w:val="22"/>
          <w:szCs w:val="22"/>
          <w:u w:val="single"/>
          <w:lang w:val="sk-SK"/>
        </w:rPr>
      </w:pPr>
    </w:p>
    <w:p w14:paraId="56EC96BC" w14:textId="111BE59F"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Porucha funkcie obličiek/pečene</w:t>
      </w:r>
    </w:p>
    <w:p w14:paraId="4D5F93B8" w14:textId="77777777" w:rsidR="00B24275" w:rsidRPr="00665466" w:rsidRDefault="00B24275" w:rsidP="00665466">
      <w:pPr>
        <w:autoSpaceDE w:val="0"/>
        <w:autoSpaceDN w:val="0"/>
        <w:adjustRightInd w:val="0"/>
        <w:rPr>
          <w:sz w:val="22"/>
          <w:szCs w:val="22"/>
          <w:lang w:val="sk-SK"/>
        </w:rPr>
      </w:pPr>
      <w:r w:rsidRPr="00665466">
        <w:rPr>
          <w:sz w:val="22"/>
          <w:szCs w:val="22"/>
          <w:lang w:val="sk-SK"/>
        </w:rPr>
        <w:t>Opatrnosť sa odporúča u pacientov s ťažkou poruchou funkcie obličiek alebo u pacientov s poruchou funkcie pečene (pozri časť 4.2).</w:t>
      </w:r>
    </w:p>
    <w:p w14:paraId="66B2E97C" w14:textId="77777777" w:rsidR="00B24275" w:rsidRPr="00665466" w:rsidRDefault="00B24275" w:rsidP="00665466">
      <w:pPr>
        <w:autoSpaceDE w:val="0"/>
        <w:autoSpaceDN w:val="0"/>
        <w:adjustRightInd w:val="0"/>
        <w:rPr>
          <w:bCs/>
          <w:sz w:val="22"/>
          <w:szCs w:val="22"/>
          <w:u w:val="single"/>
          <w:lang w:val="sk-SK"/>
        </w:rPr>
      </w:pPr>
    </w:p>
    <w:p w14:paraId="78B42C9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Diabetes</w:t>
      </w:r>
    </w:p>
    <w:p w14:paraId="33205276"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 pacientov s diabetom môže liečba SSRI ovplyvniť kompenzáciu diabetu. </w:t>
      </w:r>
      <w:r w:rsidR="001509BA" w:rsidRPr="00665466">
        <w:rPr>
          <w:sz w:val="22"/>
          <w:szCs w:val="22"/>
          <w:lang w:val="sk-SK"/>
        </w:rPr>
        <w:t>Môže byť</w:t>
      </w:r>
      <w:r w:rsidRPr="00665466">
        <w:rPr>
          <w:sz w:val="22"/>
          <w:szCs w:val="22"/>
          <w:lang w:val="sk-SK"/>
        </w:rPr>
        <w:t xml:space="preserve"> potrebné upraviť dávkovanie inzulínu a/alebo perorálnych hypoglykemík.</w:t>
      </w:r>
      <w:r w:rsidR="00176140" w:rsidRPr="00665466">
        <w:rPr>
          <w:sz w:val="22"/>
          <w:szCs w:val="22"/>
          <w:lang w:val="sk-SK"/>
        </w:rPr>
        <w:t xml:space="preserve"> Štúdie navyše naznačili, že súčasné užívanie paroxetínu a pravastatínu môže mať za následok zvýšenie hladiny glukózy v krvi (pozri časť 4.5).</w:t>
      </w:r>
    </w:p>
    <w:p w14:paraId="7A084105" w14:textId="77777777" w:rsidR="00B24275" w:rsidRPr="00665466" w:rsidRDefault="00B24275" w:rsidP="00665466">
      <w:pPr>
        <w:autoSpaceDE w:val="0"/>
        <w:autoSpaceDN w:val="0"/>
        <w:adjustRightInd w:val="0"/>
        <w:rPr>
          <w:bCs/>
          <w:sz w:val="22"/>
          <w:szCs w:val="22"/>
          <w:u w:val="single"/>
          <w:lang w:val="sk-SK"/>
        </w:rPr>
      </w:pPr>
    </w:p>
    <w:p w14:paraId="29B359F3"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Epilepsia</w:t>
      </w:r>
    </w:p>
    <w:p w14:paraId="608E7FF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ostatných antidepresív</w:t>
      </w:r>
      <w:r w:rsidR="00270F6D" w:rsidRPr="00665466">
        <w:rPr>
          <w:sz w:val="22"/>
          <w:szCs w:val="22"/>
          <w:lang w:val="sk-SK"/>
        </w:rPr>
        <w:t>ach</w:t>
      </w:r>
      <w:r w:rsidR="00E56981" w:rsidRPr="00665466">
        <w:rPr>
          <w:sz w:val="22"/>
          <w:szCs w:val="22"/>
          <w:lang w:val="sk-SK"/>
        </w:rPr>
        <w:t>,</w:t>
      </w:r>
      <w:r w:rsidRPr="00665466">
        <w:rPr>
          <w:sz w:val="22"/>
          <w:szCs w:val="22"/>
          <w:lang w:val="sk-SK"/>
        </w:rPr>
        <w:t xml:space="preserve"> paroxetín</w:t>
      </w:r>
      <w:r w:rsidR="00E56981" w:rsidRPr="00665466">
        <w:rPr>
          <w:sz w:val="22"/>
          <w:szCs w:val="22"/>
          <w:lang w:val="sk-SK"/>
        </w:rPr>
        <w:t xml:space="preserve"> sa</w:t>
      </w:r>
      <w:r w:rsidRPr="00665466">
        <w:rPr>
          <w:sz w:val="22"/>
          <w:szCs w:val="22"/>
          <w:lang w:val="sk-SK"/>
        </w:rPr>
        <w:t xml:space="preserve"> musí používať opatrne u pacientov s epilepsiou.</w:t>
      </w:r>
    </w:p>
    <w:p w14:paraId="55CF1106" w14:textId="77777777" w:rsidR="00B24275" w:rsidRPr="00665466" w:rsidRDefault="00B24275" w:rsidP="00665466">
      <w:pPr>
        <w:autoSpaceDE w:val="0"/>
        <w:autoSpaceDN w:val="0"/>
        <w:adjustRightInd w:val="0"/>
        <w:rPr>
          <w:bCs/>
          <w:sz w:val="22"/>
          <w:szCs w:val="22"/>
          <w:u w:val="single"/>
          <w:lang w:val="sk-SK"/>
        </w:rPr>
      </w:pPr>
    </w:p>
    <w:p w14:paraId="03CCF02B" w14:textId="77777777" w:rsidR="00E003BE" w:rsidRPr="00665466" w:rsidRDefault="000F2B31"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Z</w:t>
      </w:r>
      <w:r w:rsidR="00B24275" w:rsidRPr="00665466">
        <w:rPr>
          <w:bCs/>
          <w:sz w:val="22"/>
          <w:szCs w:val="22"/>
          <w:u w:val="single"/>
          <w:lang w:val="sk-SK"/>
        </w:rPr>
        <w:t>áchvaty</w:t>
      </w:r>
      <w:r w:rsidR="00BB3BC5" w:rsidRPr="00665466">
        <w:rPr>
          <w:bCs/>
          <w:sz w:val="22"/>
          <w:szCs w:val="22"/>
          <w:u w:val="single"/>
          <w:lang w:val="sk-SK"/>
        </w:rPr>
        <w:t xml:space="preserve"> </w:t>
      </w:r>
      <w:r w:rsidRPr="00665466">
        <w:rPr>
          <w:bCs/>
          <w:sz w:val="22"/>
          <w:szCs w:val="22"/>
          <w:u w:val="single"/>
          <w:lang w:val="sk-SK"/>
        </w:rPr>
        <w:t>kŕčov</w:t>
      </w:r>
    </w:p>
    <w:p w14:paraId="6826650E" w14:textId="77777777" w:rsidR="00B24275" w:rsidRPr="00665466" w:rsidRDefault="00B24275" w:rsidP="00665466">
      <w:pPr>
        <w:autoSpaceDE w:val="0"/>
        <w:autoSpaceDN w:val="0"/>
        <w:adjustRightInd w:val="0"/>
        <w:rPr>
          <w:sz w:val="22"/>
          <w:szCs w:val="22"/>
          <w:lang w:val="sk-SK"/>
        </w:rPr>
      </w:pPr>
      <w:r w:rsidRPr="00665466">
        <w:rPr>
          <w:sz w:val="22"/>
          <w:szCs w:val="22"/>
          <w:lang w:val="sk-SK"/>
        </w:rPr>
        <w:t>Celkový výskyt záchvatov</w:t>
      </w:r>
      <w:r w:rsidR="000F2B31" w:rsidRPr="00665466">
        <w:rPr>
          <w:sz w:val="22"/>
          <w:szCs w:val="22"/>
          <w:lang w:val="sk-SK"/>
        </w:rPr>
        <w:t xml:space="preserve"> kŕčov</w:t>
      </w:r>
      <w:r w:rsidRPr="00665466">
        <w:rPr>
          <w:sz w:val="22"/>
          <w:szCs w:val="22"/>
          <w:lang w:val="sk-SK"/>
        </w:rPr>
        <w:t xml:space="preserve"> je u pacientov liečených paroxetínom menej ako 0,1</w:t>
      </w:r>
      <w:r w:rsidR="00373B7B" w:rsidRPr="00665466">
        <w:rPr>
          <w:sz w:val="22"/>
          <w:szCs w:val="22"/>
          <w:lang w:val="sk-SK"/>
        </w:rPr>
        <w:t> </w:t>
      </w:r>
      <w:r w:rsidRPr="00665466">
        <w:rPr>
          <w:sz w:val="22"/>
          <w:szCs w:val="22"/>
          <w:lang w:val="sk-SK"/>
        </w:rPr>
        <w:t>%. Podávanie lieku sa musí prerušiť, ak u akéhokoľvek pacienta nastane záchvat.</w:t>
      </w:r>
    </w:p>
    <w:p w14:paraId="23FFB636" w14:textId="77777777" w:rsidR="00B24275" w:rsidRPr="00665466" w:rsidRDefault="00B24275" w:rsidP="00665466">
      <w:pPr>
        <w:autoSpaceDE w:val="0"/>
        <w:autoSpaceDN w:val="0"/>
        <w:adjustRightInd w:val="0"/>
        <w:rPr>
          <w:bCs/>
          <w:sz w:val="22"/>
          <w:szCs w:val="22"/>
          <w:u w:val="single"/>
          <w:lang w:val="sk-SK"/>
        </w:rPr>
      </w:pPr>
    </w:p>
    <w:p w14:paraId="23FDED37"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Elektrokonvulzívna liečba (ECT)</w:t>
      </w:r>
    </w:p>
    <w:p w14:paraId="5F822847" w14:textId="77777777" w:rsidR="00B24275" w:rsidRPr="00665466" w:rsidRDefault="00B24275" w:rsidP="00665466">
      <w:pPr>
        <w:autoSpaceDE w:val="0"/>
        <w:autoSpaceDN w:val="0"/>
        <w:adjustRightInd w:val="0"/>
        <w:rPr>
          <w:sz w:val="22"/>
          <w:szCs w:val="22"/>
          <w:lang w:val="sk-SK"/>
        </w:rPr>
      </w:pPr>
      <w:r w:rsidRPr="00665466">
        <w:rPr>
          <w:sz w:val="22"/>
          <w:szCs w:val="22"/>
          <w:lang w:val="sk-SK"/>
        </w:rPr>
        <w:t>Existuje málo klinických skúseností so súčasným podávaním paroxetínu s ECT.</w:t>
      </w:r>
    </w:p>
    <w:p w14:paraId="1F5008B5" w14:textId="77777777" w:rsidR="00B24275" w:rsidRPr="00665466" w:rsidRDefault="00B24275" w:rsidP="00665466">
      <w:pPr>
        <w:autoSpaceDE w:val="0"/>
        <w:autoSpaceDN w:val="0"/>
        <w:adjustRightInd w:val="0"/>
        <w:rPr>
          <w:bCs/>
          <w:sz w:val="22"/>
          <w:szCs w:val="22"/>
          <w:u w:val="single"/>
          <w:lang w:val="sk-SK"/>
        </w:rPr>
      </w:pPr>
    </w:p>
    <w:p w14:paraId="5C6AC438"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Glaukóm</w:t>
      </w:r>
    </w:p>
    <w:p w14:paraId="06F6889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70F6D" w:rsidRPr="00665466">
        <w:rPr>
          <w:sz w:val="22"/>
          <w:szCs w:val="22"/>
          <w:lang w:val="sk-SK"/>
        </w:rPr>
        <w:t>pri</w:t>
      </w:r>
      <w:r w:rsidRPr="00665466">
        <w:rPr>
          <w:sz w:val="22"/>
          <w:szCs w:val="22"/>
          <w:lang w:val="sk-SK"/>
        </w:rPr>
        <w:t xml:space="preserve"> ostatných SSRI, paroxetín môže spôsobiť mydriázu, preto sa musí používať s</w:t>
      </w:r>
      <w:r w:rsidR="00E56981" w:rsidRPr="00665466">
        <w:rPr>
          <w:sz w:val="22"/>
          <w:szCs w:val="22"/>
          <w:lang w:val="sk-SK"/>
        </w:rPr>
        <w:t> </w:t>
      </w:r>
      <w:r w:rsidRPr="00665466">
        <w:rPr>
          <w:sz w:val="22"/>
          <w:szCs w:val="22"/>
          <w:lang w:val="sk-SK"/>
        </w:rPr>
        <w:t>opatrnosťou u</w:t>
      </w:r>
      <w:r w:rsidR="005E26D1" w:rsidRPr="00665466">
        <w:rPr>
          <w:sz w:val="22"/>
          <w:szCs w:val="22"/>
          <w:lang w:val="sk-SK"/>
        </w:rPr>
        <w:t> </w:t>
      </w:r>
      <w:r w:rsidRPr="00665466">
        <w:rPr>
          <w:sz w:val="22"/>
          <w:szCs w:val="22"/>
          <w:lang w:val="sk-SK"/>
        </w:rPr>
        <w:t>pacientov</w:t>
      </w:r>
      <w:r w:rsidR="00C30A60" w:rsidRPr="00665466">
        <w:rPr>
          <w:sz w:val="22"/>
          <w:szCs w:val="22"/>
          <w:lang w:val="sk-SK"/>
        </w:rPr>
        <w:t xml:space="preserve"> s</w:t>
      </w:r>
      <w:r w:rsidRPr="00665466">
        <w:rPr>
          <w:sz w:val="22"/>
          <w:szCs w:val="22"/>
          <w:lang w:val="sk-SK"/>
        </w:rPr>
        <w:t xml:space="preserve"> glaukómom so zatvoreným uhlom alebo s glaukómom v anamnéze.</w:t>
      </w:r>
    </w:p>
    <w:p w14:paraId="3AE2C014" w14:textId="77777777" w:rsidR="000F2B31" w:rsidRPr="00665466" w:rsidRDefault="000F2B31" w:rsidP="00665466">
      <w:pPr>
        <w:autoSpaceDE w:val="0"/>
        <w:autoSpaceDN w:val="0"/>
        <w:adjustRightInd w:val="0"/>
        <w:rPr>
          <w:bCs/>
          <w:sz w:val="22"/>
          <w:szCs w:val="22"/>
          <w:u w:val="single"/>
          <w:lang w:val="sk-SK"/>
        </w:rPr>
      </w:pPr>
    </w:p>
    <w:p w14:paraId="27EF941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Ochorenia srdca</w:t>
      </w:r>
    </w:p>
    <w:p w14:paraId="2D10DB26"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pacientov s ochoreniami srdca sa majú dodržiavať zvyčajné opatrenia.</w:t>
      </w:r>
    </w:p>
    <w:p w14:paraId="7AB3FB65" w14:textId="77777777" w:rsidR="00270F6D" w:rsidRPr="00665466" w:rsidRDefault="00270F6D" w:rsidP="00665466">
      <w:pPr>
        <w:autoSpaceDE w:val="0"/>
        <w:autoSpaceDN w:val="0"/>
        <w:adjustRightInd w:val="0"/>
        <w:rPr>
          <w:bCs/>
          <w:sz w:val="22"/>
          <w:szCs w:val="22"/>
          <w:u w:val="single"/>
          <w:lang w:val="sk-SK"/>
        </w:rPr>
      </w:pPr>
    </w:p>
    <w:p w14:paraId="65C0538A"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Hyponatriémia</w:t>
      </w:r>
    </w:p>
    <w:p w14:paraId="1E51CD18" w14:textId="77777777" w:rsidR="00B24275" w:rsidRPr="00665466" w:rsidRDefault="00B24275" w:rsidP="00665466">
      <w:pPr>
        <w:autoSpaceDE w:val="0"/>
        <w:autoSpaceDN w:val="0"/>
        <w:adjustRightInd w:val="0"/>
        <w:rPr>
          <w:sz w:val="22"/>
          <w:szCs w:val="22"/>
          <w:lang w:val="sk-SK"/>
        </w:rPr>
      </w:pPr>
      <w:r w:rsidRPr="00665466">
        <w:rPr>
          <w:sz w:val="22"/>
          <w:szCs w:val="22"/>
          <w:lang w:val="sk-SK"/>
        </w:rPr>
        <w:t>Hyponatriémia bola hlásená zriedkavo, najmä u starších ľudí. Opatrnosť je potrebná aj u pacientov vystavených riziku hyponatriémie, napr. z dôvodu súčasne podávaných liekov a cirhózy. Hyponatriémia zvyčajne vymizne po prerušení liečby paroxetínom.</w:t>
      </w:r>
    </w:p>
    <w:p w14:paraId="4335E424" w14:textId="77777777" w:rsidR="000858CF" w:rsidRPr="00665466" w:rsidRDefault="000858CF" w:rsidP="00665466">
      <w:pPr>
        <w:autoSpaceDE w:val="0"/>
        <w:autoSpaceDN w:val="0"/>
        <w:adjustRightInd w:val="0"/>
        <w:rPr>
          <w:bCs/>
          <w:sz w:val="22"/>
          <w:szCs w:val="22"/>
          <w:u w:val="single"/>
          <w:lang w:val="sk-SK"/>
        </w:rPr>
      </w:pPr>
    </w:p>
    <w:p w14:paraId="057E0B6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Krvácanie</w:t>
      </w:r>
    </w:p>
    <w:p w14:paraId="4F891FFA" w14:textId="4798D419" w:rsidR="00B24275" w:rsidRPr="00665466" w:rsidRDefault="00B24275" w:rsidP="00665466">
      <w:pPr>
        <w:autoSpaceDE w:val="0"/>
        <w:autoSpaceDN w:val="0"/>
        <w:adjustRightInd w:val="0"/>
        <w:rPr>
          <w:sz w:val="22"/>
          <w:szCs w:val="22"/>
          <w:lang w:val="sk-SK"/>
        </w:rPr>
      </w:pPr>
      <w:r w:rsidRPr="00665466">
        <w:rPr>
          <w:sz w:val="22"/>
          <w:szCs w:val="22"/>
          <w:lang w:val="sk-SK"/>
        </w:rPr>
        <w:t xml:space="preserve">U </w:t>
      </w:r>
      <w:r w:rsidR="00270F6D" w:rsidRPr="00665466">
        <w:rPr>
          <w:sz w:val="22"/>
          <w:szCs w:val="22"/>
          <w:lang w:val="sk-SK"/>
        </w:rPr>
        <w:t xml:space="preserve">pacientov liečených </w:t>
      </w:r>
      <w:r w:rsidRPr="00665466">
        <w:rPr>
          <w:sz w:val="22"/>
          <w:szCs w:val="22"/>
          <w:lang w:val="sk-SK"/>
        </w:rPr>
        <w:t xml:space="preserve">SSRI boli hlásené prípady krvácania do kože, ako sú ekchymóza a purpura. Hlásené boli ďalšie prejavy krvácania, napr. gastrointestinálne </w:t>
      </w:r>
      <w:r w:rsidR="00DD7711" w:rsidRPr="00665466">
        <w:rPr>
          <w:sz w:val="22"/>
          <w:szCs w:val="22"/>
          <w:lang w:val="sk-SK"/>
        </w:rPr>
        <w:t>a gynekologické krvácanie</w:t>
      </w:r>
      <w:r w:rsidRPr="00665466">
        <w:rPr>
          <w:sz w:val="22"/>
          <w:szCs w:val="22"/>
          <w:lang w:val="sk-SK"/>
        </w:rPr>
        <w:t>.</w:t>
      </w:r>
    </w:p>
    <w:p w14:paraId="5A9C8951" w14:textId="4D0D8E16" w:rsidR="00B24275" w:rsidRPr="00665466" w:rsidRDefault="00B24275" w:rsidP="00665466">
      <w:pPr>
        <w:autoSpaceDE w:val="0"/>
        <w:autoSpaceDN w:val="0"/>
        <w:adjustRightInd w:val="0"/>
        <w:rPr>
          <w:sz w:val="22"/>
          <w:szCs w:val="22"/>
          <w:lang w:val="sk-SK"/>
        </w:rPr>
      </w:pPr>
      <w:r w:rsidRPr="00665466">
        <w:rPr>
          <w:sz w:val="22"/>
          <w:szCs w:val="22"/>
          <w:lang w:val="sk-SK"/>
        </w:rPr>
        <w:t xml:space="preserve">Starší </w:t>
      </w:r>
      <w:r w:rsidR="00DD7711" w:rsidRPr="00665466">
        <w:rPr>
          <w:sz w:val="22"/>
          <w:szCs w:val="22"/>
          <w:lang w:val="sk-SK"/>
        </w:rPr>
        <w:t xml:space="preserve">pacienti </w:t>
      </w:r>
      <w:r w:rsidRPr="00665466">
        <w:rPr>
          <w:sz w:val="22"/>
          <w:szCs w:val="22"/>
          <w:lang w:val="sk-SK"/>
        </w:rPr>
        <w:t>môžu byť vystavení zvýšenému riziku</w:t>
      </w:r>
      <w:r w:rsidR="00270F6D" w:rsidRPr="00665466">
        <w:rPr>
          <w:sz w:val="22"/>
          <w:szCs w:val="22"/>
          <w:lang w:val="sk-SK"/>
        </w:rPr>
        <w:t xml:space="preserve"> krvácania</w:t>
      </w:r>
      <w:r w:rsidR="00A529CB" w:rsidRPr="00665466">
        <w:rPr>
          <w:sz w:val="22"/>
          <w:szCs w:val="22"/>
          <w:lang w:val="sk-SK"/>
        </w:rPr>
        <w:t xml:space="preserve"> nesúvisiace s menštruačným krvácaním</w:t>
      </w:r>
      <w:r w:rsidRPr="00665466">
        <w:rPr>
          <w:sz w:val="22"/>
          <w:szCs w:val="22"/>
          <w:lang w:val="sk-SK"/>
        </w:rPr>
        <w:t>.</w:t>
      </w:r>
    </w:p>
    <w:p w14:paraId="424CDDEA" w14:textId="77777777" w:rsidR="00B24275" w:rsidRPr="00665466" w:rsidRDefault="00B24275" w:rsidP="00665466">
      <w:pPr>
        <w:autoSpaceDE w:val="0"/>
        <w:autoSpaceDN w:val="0"/>
        <w:adjustRightInd w:val="0"/>
        <w:rPr>
          <w:sz w:val="22"/>
          <w:szCs w:val="22"/>
          <w:lang w:val="sk-SK"/>
        </w:rPr>
      </w:pPr>
    </w:p>
    <w:p w14:paraId="19EA2CA8" w14:textId="4EEC2AC3" w:rsidR="00B24275" w:rsidRDefault="00B24275" w:rsidP="00665466">
      <w:pPr>
        <w:autoSpaceDE w:val="0"/>
        <w:autoSpaceDN w:val="0"/>
        <w:adjustRightInd w:val="0"/>
        <w:rPr>
          <w:sz w:val="22"/>
          <w:szCs w:val="22"/>
          <w:lang w:val="sk-SK"/>
        </w:rPr>
      </w:pPr>
      <w:r w:rsidRPr="00665466">
        <w:rPr>
          <w:sz w:val="22"/>
          <w:szCs w:val="22"/>
          <w:lang w:val="sk-SK"/>
        </w:rPr>
        <w:t>Opatrnosť sa odporúča u pacientov užívajúcich SSRI súčasne s perorálnymi antikoagulanciami, s liekmi, o ktorých je známe, že ovplyvňujú funkciu krvných doštičiek alebo s ďalšími liekmi, ktoré môžu zvýšiť riziko krvácania (napr. s atypickými antipsychotikami, ako sú klozapín, fenotiazíny, väčšina TCA, kyselina acetylsalicylová, NSAID, inhibítory COX-2), ako aj u pacientov, ktorí majú v anamnéze poruchy krvácania alebo stavy, ktoré ich môžu predisponovať ku krvácaniu</w:t>
      </w:r>
      <w:r w:rsidR="00DD7711" w:rsidRPr="00665466">
        <w:rPr>
          <w:sz w:val="22"/>
          <w:szCs w:val="22"/>
          <w:lang w:val="sk-SK"/>
        </w:rPr>
        <w:t xml:space="preserve"> (pozri časť 4.8)</w:t>
      </w:r>
      <w:r w:rsidRPr="00665466">
        <w:rPr>
          <w:sz w:val="22"/>
          <w:szCs w:val="22"/>
          <w:lang w:val="sk-SK"/>
        </w:rPr>
        <w:t>.</w:t>
      </w:r>
    </w:p>
    <w:p w14:paraId="55315ECB" w14:textId="0C8312F9" w:rsidR="00DF3E95" w:rsidRPr="00665466" w:rsidRDefault="00DF3E95" w:rsidP="00665466">
      <w:pPr>
        <w:autoSpaceDE w:val="0"/>
        <w:autoSpaceDN w:val="0"/>
        <w:adjustRightInd w:val="0"/>
        <w:rPr>
          <w:sz w:val="22"/>
          <w:szCs w:val="22"/>
          <w:lang w:val="sk-SK"/>
        </w:rPr>
      </w:pPr>
      <w:r w:rsidRPr="00DF3E95">
        <w:rPr>
          <w:sz w:val="22"/>
          <w:szCs w:val="22"/>
          <w:lang w:val="sk-SK"/>
        </w:rPr>
        <w:lastRenderedPageBreak/>
        <w:t>Selektívne inhibítory spätného vychytávania sérotonínu (selective serotonin reuptake inhibitors, SSRI)/inhibítory spätného vychytávania sérotonínu a noradrenalínu (serotonin–norepinephrine reuptake inhibitors, SNRI) môžu zvyšovať riziko popôrodného krvácania (pozri časti 4.6, 4.8).</w:t>
      </w:r>
    </w:p>
    <w:p w14:paraId="47BFE9EB" w14:textId="77777777" w:rsidR="00B24275" w:rsidRPr="00665466" w:rsidRDefault="00B24275" w:rsidP="00665466">
      <w:pPr>
        <w:autoSpaceDE w:val="0"/>
        <w:autoSpaceDN w:val="0"/>
        <w:adjustRightInd w:val="0"/>
        <w:rPr>
          <w:sz w:val="22"/>
          <w:szCs w:val="22"/>
          <w:u w:val="single"/>
          <w:lang w:val="sk-SK"/>
        </w:rPr>
      </w:pPr>
    </w:p>
    <w:p w14:paraId="287DC1C0" w14:textId="77777777" w:rsidR="000F2B31" w:rsidRPr="00665466" w:rsidRDefault="000F2B31" w:rsidP="00665466">
      <w:pPr>
        <w:keepNext/>
        <w:tabs>
          <w:tab w:val="left" w:pos="567"/>
        </w:tabs>
        <w:autoSpaceDE w:val="0"/>
        <w:autoSpaceDN w:val="0"/>
        <w:adjustRightInd w:val="0"/>
        <w:rPr>
          <w:sz w:val="22"/>
          <w:szCs w:val="22"/>
          <w:u w:val="single"/>
          <w:lang w:val="sk-SK"/>
        </w:rPr>
      </w:pPr>
      <w:r w:rsidRPr="00665466">
        <w:rPr>
          <w:sz w:val="22"/>
          <w:szCs w:val="22"/>
          <w:u w:val="single"/>
          <w:lang w:val="sk-SK"/>
        </w:rPr>
        <w:t>Interakcia s tamoxifénom</w:t>
      </w:r>
    </w:p>
    <w:p w14:paraId="7B7EB35F" w14:textId="1C10B504" w:rsidR="000F2B31" w:rsidRPr="00665466" w:rsidRDefault="003A2210" w:rsidP="00665466">
      <w:pPr>
        <w:autoSpaceDE w:val="0"/>
        <w:autoSpaceDN w:val="0"/>
        <w:adjustRightInd w:val="0"/>
        <w:rPr>
          <w:sz w:val="22"/>
          <w:szCs w:val="22"/>
          <w:lang w:val="sk-SK"/>
        </w:rPr>
      </w:pPr>
      <w:r w:rsidRPr="00665466">
        <w:rPr>
          <w:sz w:val="22"/>
          <w:szCs w:val="22"/>
          <w:lang w:val="sk-SK"/>
        </w:rPr>
        <w:t>Paroxetín, silný inhibítor CYP 2D6, môže viesť k zníženým koncentráciám endoxifénu, jeden z najvýznamnejších aktívnych metabolitov tamoxifénu. Z toho dôvodu je potrebné vždy, keď je to možné, vyhnúť sa podávaniu paroxetínu počas liečby tamoxifénom (pozri časť 4.5).</w:t>
      </w:r>
    </w:p>
    <w:p w14:paraId="46B42E6F" w14:textId="77777777" w:rsidR="000F2B31" w:rsidRPr="00665466" w:rsidRDefault="000F2B31" w:rsidP="00665466">
      <w:pPr>
        <w:autoSpaceDE w:val="0"/>
        <w:autoSpaceDN w:val="0"/>
        <w:adjustRightInd w:val="0"/>
        <w:rPr>
          <w:sz w:val="22"/>
          <w:szCs w:val="22"/>
          <w:lang w:val="sk-SK"/>
        </w:rPr>
      </w:pPr>
    </w:p>
    <w:p w14:paraId="096639F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Abstinenčné symptómy pozorované po prerušení liečby paroxetínom</w:t>
      </w:r>
    </w:p>
    <w:p w14:paraId="31CA397B" w14:textId="47FD17D2" w:rsidR="00B24275" w:rsidRPr="00665466" w:rsidRDefault="00B24275" w:rsidP="00665466">
      <w:pPr>
        <w:autoSpaceDE w:val="0"/>
        <w:autoSpaceDN w:val="0"/>
        <w:adjustRightInd w:val="0"/>
        <w:rPr>
          <w:sz w:val="22"/>
          <w:szCs w:val="22"/>
          <w:lang w:val="sk-SK"/>
        </w:rPr>
      </w:pPr>
      <w:r w:rsidRPr="00665466">
        <w:rPr>
          <w:sz w:val="22"/>
          <w:szCs w:val="22"/>
          <w:lang w:val="sk-SK"/>
        </w:rPr>
        <w:t>Abstinenčné symptómy sú po prerušení liečby časté, najmä ak je prerušenie náhle (pozri časť 4.8). V klinických štúdiách sa nežiaduce účinky po prerušení liečby vyskytli u 30</w:t>
      </w:r>
      <w:r w:rsidR="00373B7B" w:rsidRPr="00665466">
        <w:rPr>
          <w:sz w:val="22"/>
          <w:szCs w:val="22"/>
          <w:lang w:val="sk-SK"/>
        </w:rPr>
        <w:t> </w:t>
      </w:r>
      <w:r w:rsidRPr="00665466">
        <w:rPr>
          <w:sz w:val="22"/>
          <w:szCs w:val="22"/>
          <w:lang w:val="sk-SK"/>
        </w:rPr>
        <w:t>% pacientov liečených paroxetínom oproti 20</w:t>
      </w:r>
      <w:r w:rsidR="00373B7B" w:rsidRPr="00665466">
        <w:rPr>
          <w:sz w:val="22"/>
          <w:szCs w:val="22"/>
          <w:lang w:val="sk-SK"/>
        </w:rPr>
        <w:t> </w:t>
      </w:r>
      <w:r w:rsidRPr="00665466">
        <w:rPr>
          <w:sz w:val="22"/>
          <w:szCs w:val="22"/>
          <w:lang w:val="sk-SK"/>
        </w:rPr>
        <w:t xml:space="preserve">% pacientov </w:t>
      </w:r>
      <w:r w:rsidR="00373B7B" w:rsidRPr="00665466">
        <w:rPr>
          <w:sz w:val="22"/>
          <w:szCs w:val="22"/>
          <w:lang w:val="sk-SK"/>
        </w:rPr>
        <w:t xml:space="preserve">užívajúcich </w:t>
      </w:r>
      <w:r w:rsidRPr="00665466">
        <w:rPr>
          <w:sz w:val="22"/>
          <w:szCs w:val="22"/>
          <w:lang w:val="sk-SK"/>
        </w:rPr>
        <w:t xml:space="preserve">placebo. Výskyt abstinenčných symptómov nie je rovnaký ako </w:t>
      </w:r>
      <w:r w:rsidR="00113321" w:rsidRPr="00665466">
        <w:rPr>
          <w:sz w:val="22"/>
          <w:szCs w:val="22"/>
          <w:lang w:val="sk-SK"/>
        </w:rPr>
        <w:t>pri</w:t>
      </w:r>
      <w:r w:rsidRPr="00665466">
        <w:rPr>
          <w:sz w:val="22"/>
          <w:szCs w:val="22"/>
          <w:lang w:val="sk-SK"/>
        </w:rPr>
        <w:t xml:space="preserve"> lieku, ktorý </w:t>
      </w:r>
      <w:r w:rsidR="00E56981" w:rsidRPr="00665466">
        <w:rPr>
          <w:sz w:val="22"/>
          <w:szCs w:val="22"/>
          <w:lang w:val="sk-SK"/>
        </w:rPr>
        <w:t xml:space="preserve">vyvoláva </w:t>
      </w:r>
      <w:r w:rsidRPr="00665466">
        <w:rPr>
          <w:sz w:val="22"/>
          <w:szCs w:val="22"/>
          <w:lang w:val="sk-SK"/>
        </w:rPr>
        <w:t>návyk alebo závislosť.</w:t>
      </w:r>
    </w:p>
    <w:p w14:paraId="360BF67B" w14:textId="77777777" w:rsidR="00113321" w:rsidRPr="00665466" w:rsidRDefault="00113321" w:rsidP="00665466">
      <w:pPr>
        <w:autoSpaceDE w:val="0"/>
        <w:autoSpaceDN w:val="0"/>
        <w:adjustRightInd w:val="0"/>
        <w:rPr>
          <w:sz w:val="22"/>
          <w:szCs w:val="22"/>
          <w:lang w:val="sk-SK"/>
        </w:rPr>
      </w:pPr>
    </w:p>
    <w:p w14:paraId="03FB9B83" w14:textId="5387A410" w:rsidR="00B24275" w:rsidRPr="00665466" w:rsidRDefault="00B24275" w:rsidP="00665466">
      <w:pPr>
        <w:autoSpaceDE w:val="0"/>
        <w:autoSpaceDN w:val="0"/>
        <w:adjustRightInd w:val="0"/>
        <w:rPr>
          <w:sz w:val="22"/>
          <w:szCs w:val="22"/>
          <w:lang w:val="sk-SK"/>
        </w:rPr>
      </w:pPr>
      <w:r w:rsidRPr="00665466">
        <w:rPr>
          <w:sz w:val="22"/>
          <w:szCs w:val="22"/>
          <w:lang w:val="sk-SK"/>
        </w:rPr>
        <w:t>Riziko abstinenčných symptómov môže závisieť od niekoľkých faktorov, vrátane dĺžky trvania a dávky použitej v liečbe a rýchlosti znižovania dávky.</w:t>
      </w:r>
    </w:p>
    <w:p w14:paraId="6689A75C" w14:textId="77777777" w:rsidR="008F1191" w:rsidRPr="00665466" w:rsidRDefault="008F1191" w:rsidP="00665466">
      <w:pPr>
        <w:autoSpaceDE w:val="0"/>
        <w:autoSpaceDN w:val="0"/>
        <w:adjustRightInd w:val="0"/>
        <w:rPr>
          <w:sz w:val="22"/>
          <w:szCs w:val="22"/>
          <w:lang w:val="sk-SK"/>
        </w:rPr>
      </w:pPr>
    </w:p>
    <w:p w14:paraId="49E66C28" w14:textId="15ADCC50" w:rsidR="00B24275" w:rsidRPr="00665466" w:rsidRDefault="00B24275" w:rsidP="00665466">
      <w:pPr>
        <w:autoSpaceDE w:val="0"/>
        <w:autoSpaceDN w:val="0"/>
        <w:adjustRightInd w:val="0"/>
        <w:rPr>
          <w:sz w:val="22"/>
          <w:szCs w:val="22"/>
          <w:lang w:val="sk-SK"/>
        </w:rPr>
      </w:pPr>
      <w:r w:rsidRPr="00665466">
        <w:rPr>
          <w:sz w:val="22"/>
          <w:szCs w:val="22"/>
          <w:lang w:val="sk-SK"/>
        </w:rPr>
        <w:t>Hlásené boli závrat, zmyslové poruchy (vrátane parestézie</w:t>
      </w:r>
      <w:r w:rsidR="000F2B31" w:rsidRPr="00665466">
        <w:rPr>
          <w:sz w:val="22"/>
          <w:szCs w:val="22"/>
          <w:lang w:val="sk-SK"/>
        </w:rPr>
        <w:t xml:space="preserve">, </w:t>
      </w:r>
      <w:r w:rsidRPr="00665466">
        <w:rPr>
          <w:sz w:val="22"/>
          <w:szCs w:val="22"/>
          <w:lang w:val="sk-SK"/>
        </w:rPr>
        <w:t>pocitov elektrických šokov</w:t>
      </w:r>
      <w:r w:rsidR="000F2B31" w:rsidRPr="00665466">
        <w:rPr>
          <w:sz w:val="22"/>
          <w:szCs w:val="22"/>
          <w:lang w:val="sk-SK"/>
        </w:rPr>
        <w:t xml:space="preserve"> a tinnitu</w:t>
      </w:r>
      <w:r w:rsidRPr="00665466">
        <w:rPr>
          <w:sz w:val="22"/>
          <w:szCs w:val="22"/>
          <w:lang w:val="sk-SK"/>
        </w:rPr>
        <w:t>), poruchy spánku (vrátane intenzívnych snov), agitovanosť alebo úzkosť, nauzea, tremor, zmätenosť, potenie, bolesť hlavy, hnačka, palpitácie, emocionálna nestabilita, podráždenosť a zrakové poruchy. Tieto symptómy sú zvyčajne miernej až stredne ťažkej, u niektorých pacientov však môžu byť ťažkej intenzity. Zvyčajne sa vyskytnú počas prvých niekoľkých dní po prerušení liečby, ale takéto symptómy boli veľmi zriedkavo hlásené u pacientov, ktorí dávku vynechali nevedomky.</w:t>
      </w:r>
    </w:p>
    <w:p w14:paraId="27D01E6A" w14:textId="26367CB6" w:rsidR="00B24275" w:rsidRPr="00665466" w:rsidRDefault="00B24275" w:rsidP="00665466">
      <w:pPr>
        <w:autoSpaceDE w:val="0"/>
        <w:autoSpaceDN w:val="0"/>
        <w:adjustRightInd w:val="0"/>
        <w:rPr>
          <w:sz w:val="22"/>
          <w:szCs w:val="22"/>
          <w:lang w:val="sk-SK"/>
        </w:rPr>
      </w:pPr>
      <w:r w:rsidRPr="00665466">
        <w:rPr>
          <w:sz w:val="22"/>
          <w:szCs w:val="22"/>
          <w:lang w:val="sk-SK"/>
        </w:rPr>
        <w:t>Tieto symptómy sú prechodné a zvyčajne sa vyriešia do 2 týždňov, aj keď u niektorých jedincov môžu trvať dlhšie (2</w:t>
      </w:r>
      <w:r w:rsidR="00373B7B" w:rsidRPr="00665466">
        <w:rPr>
          <w:sz w:val="22"/>
          <w:szCs w:val="22"/>
          <w:lang w:val="sk-SK"/>
        </w:rPr>
        <w:t> </w:t>
      </w:r>
      <w:r w:rsidRPr="00665466">
        <w:rPr>
          <w:sz w:val="22"/>
          <w:szCs w:val="22"/>
          <w:lang w:val="sk-SK"/>
        </w:rPr>
        <w:t>-</w:t>
      </w:r>
      <w:r w:rsidR="00373B7B" w:rsidRPr="00665466">
        <w:rPr>
          <w:sz w:val="22"/>
          <w:szCs w:val="22"/>
          <w:lang w:val="sk-SK"/>
        </w:rPr>
        <w:t> </w:t>
      </w:r>
      <w:r w:rsidRPr="00665466">
        <w:rPr>
          <w:sz w:val="22"/>
          <w:szCs w:val="22"/>
          <w:lang w:val="sk-SK"/>
        </w:rPr>
        <w:t>3 mesiace a</w:t>
      </w:r>
      <w:r w:rsidR="003A2210" w:rsidRPr="00665466">
        <w:rPr>
          <w:sz w:val="22"/>
          <w:szCs w:val="22"/>
          <w:lang w:val="sk-SK"/>
        </w:rPr>
        <w:t>lebo</w:t>
      </w:r>
      <w:r w:rsidRPr="00665466">
        <w:rPr>
          <w:sz w:val="22"/>
          <w:szCs w:val="22"/>
          <w:lang w:val="sk-SK"/>
        </w:rPr>
        <w:t xml:space="preserve"> viac). Z tohto dôvodu sa pri prerušení liečby odporúča, aby sa dávka paroxetínu znižovala postupne počas doby niekoľkých týždňov alebo mesiacov podľa potrieb pacienta (pozri časť 4.2).</w:t>
      </w:r>
    </w:p>
    <w:p w14:paraId="762B80DA" w14:textId="47E0858C" w:rsidR="0071048C" w:rsidRPr="00665466" w:rsidRDefault="0071048C" w:rsidP="00665466">
      <w:pPr>
        <w:autoSpaceDE w:val="0"/>
        <w:autoSpaceDN w:val="0"/>
        <w:adjustRightInd w:val="0"/>
        <w:rPr>
          <w:bCs/>
          <w:sz w:val="22"/>
          <w:szCs w:val="22"/>
          <w:lang w:val="sk-SK"/>
        </w:rPr>
      </w:pPr>
    </w:p>
    <w:p w14:paraId="762E2ACA" w14:textId="0CE47018" w:rsidR="00B91CA7" w:rsidRPr="00400476" w:rsidRDefault="00B91CA7" w:rsidP="00665466">
      <w:pPr>
        <w:keepNext/>
        <w:autoSpaceDE w:val="0"/>
        <w:autoSpaceDN w:val="0"/>
        <w:adjustRightInd w:val="0"/>
        <w:rPr>
          <w:bCs/>
          <w:sz w:val="22"/>
          <w:szCs w:val="22"/>
          <w:u w:val="single"/>
          <w:lang w:val="sk-SK"/>
        </w:rPr>
      </w:pPr>
      <w:r w:rsidRPr="00400476">
        <w:rPr>
          <w:bCs/>
          <w:sz w:val="22"/>
          <w:szCs w:val="22"/>
          <w:u w:val="single"/>
          <w:lang w:val="sk-SK"/>
        </w:rPr>
        <w:t>Sexuálna dysfunkcia</w:t>
      </w:r>
    </w:p>
    <w:p w14:paraId="0B702002" w14:textId="69C91422" w:rsidR="00B91CA7" w:rsidRPr="00665466" w:rsidRDefault="00B91CA7" w:rsidP="00665466">
      <w:pPr>
        <w:autoSpaceDE w:val="0"/>
        <w:autoSpaceDN w:val="0"/>
        <w:adjustRightInd w:val="0"/>
        <w:rPr>
          <w:bCs/>
          <w:sz w:val="22"/>
          <w:szCs w:val="22"/>
          <w:lang w:val="sk-SK"/>
        </w:rPr>
      </w:pPr>
      <w:r w:rsidRPr="00665466">
        <w:rPr>
          <w:bCs/>
          <w:sz w:val="22"/>
          <w:szCs w:val="22"/>
          <w:lang w:val="sk-SK"/>
        </w:rPr>
        <w:t>Selektívne inhibítory spätného vychytávania sérotonínu (selective serotonin reuptake inhibitors, SSRI)/inhibítory spätného vychytávania sérotonínu a noradrenalínu (serotonin norepinephrine reuptake inhibitors, SNRI) môžu vyvolať príznaky sexuálnej dysfunkcie (pozri časť</w:t>
      </w:r>
      <w:r w:rsidR="00FF2B79" w:rsidRPr="00665466">
        <w:rPr>
          <w:bCs/>
          <w:sz w:val="22"/>
          <w:szCs w:val="22"/>
          <w:lang w:val="sk-SK"/>
        </w:rPr>
        <w:t> </w:t>
      </w:r>
      <w:r w:rsidRPr="00665466">
        <w:rPr>
          <w:bCs/>
          <w:sz w:val="22"/>
          <w:szCs w:val="22"/>
          <w:lang w:val="sk-SK"/>
        </w:rPr>
        <w:t>4.8). Boli prijaté hlásenia o</w:t>
      </w:r>
      <w:r w:rsidR="00FF2B79" w:rsidRPr="00665466">
        <w:rPr>
          <w:bCs/>
          <w:sz w:val="22"/>
          <w:szCs w:val="22"/>
          <w:lang w:val="sk-SK"/>
        </w:rPr>
        <w:t> </w:t>
      </w:r>
      <w:r w:rsidRPr="00665466">
        <w:rPr>
          <w:bCs/>
          <w:sz w:val="22"/>
          <w:szCs w:val="22"/>
          <w:lang w:val="sk-SK"/>
        </w:rPr>
        <w:t>dlhodobej sexuálnej dysfunkcii, pričom príznaky pokračovali aj napriek ukončeniu liečby SSRI/SNRI.</w:t>
      </w:r>
    </w:p>
    <w:p w14:paraId="41793E0F" w14:textId="77777777" w:rsidR="00116294" w:rsidRPr="00665466" w:rsidRDefault="00116294" w:rsidP="00665466">
      <w:pPr>
        <w:autoSpaceDE w:val="0"/>
        <w:autoSpaceDN w:val="0"/>
        <w:adjustRightInd w:val="0"/>
        <w:rPr>
          <w:sz w:val="22"/>
          <w:szCs w:val="22"/>
          <w:lang w:val="sk-SK" w:eastAsia="sk-SK"/>
        </w:rPr>
      </w:pPr>
    </w:p>
    <w:p w14:paraId="576D0CF5" w14:textId="2925438C" w:rsidR="00EB7823" w:rsidRPr="00400476" w:rsidRDefault="00EB7823" w:rsidP="00665466">
      <w:pPr>
        <w:keepNext/>
        <w:autoSpaceDE w:val="0"/>
        <w:autoSpaceDN w:val="0"/>
        <w:adjustRightInd w:val="0"/>
        <w:rPr>
          <w:bCs/>
          <w:sz w:val="22"/>
          <w:szCs w:val="22"/>
          <w:u w:val="single"/>
          <w:lang w:val="sk-SK"/>
        </w:rPr>
      </w:pPr>
      <w:r w:rsidRPr="00400476">
        <w:rPr>
          <w:bCs/>
          <w:sz w:val="22"/>
          <w:szCs w:val="22"/>
          <w:u w:val="single"/>
          <w:lang w:val="sk-SK"/>
        </w:rPr>
        <w:t>Paretin 20 mg obsahuje sodík</w:t>
      </w:r>
    </w:p>
    <w:p w14:paraId="42B6EC87" w14:textId="05697F1D" w:rsidR="00B91CA7" w:rsidRPr="00665466" w:rsidRDefault="00116294" w:rsidP="00665466">
      <w:pPr>
        <w:autoSpaceDE w:val="0"/>
        <w:autoSpaceDN w:val="0"/>
        <w:adjustRightInd w:val="0"/>
        <w:rPr>
          <w:bCs/>
          <w:sz w:val="22"/>
          <w:szCs w:val="22"/>
          <w:lang w:val="sk-SK"/>
        </w:rPr>
      </w:pPr>
      <w:r w:rsidRPr="00665466">
        <w:rPr>
          <w:bCs/>
          <w:sz w:val="22"/>
          <w:szCs w:val="22"/>
          <w:lang w:val="sk-SK"/>
        </w:rPr>
        <w:t>Tento liek obsahuje menej ako 1</w:t>
      </w:r>
      <w:r w:rsidR="00EB7823" w:rsidRPr="00665466">
        <w:rPr>
          <w:bCs/>
          <w:sz w:val="22"/>
          <w:szCs w:val="22"/>
          <w:lang w:val="sk-SK"/>
        </w:rPr>
        <w:t> </w:t>
      </w:r>
      <w:r w:rsidRPr="00665466">
        <w:rPr>
          <w:bCs/>
          <w:sz w:val="22"/>
          <w:szCs w:val="22"/>
          <w:lang w:val="sk-SK"/>
        </w:rPr>
        <w:t>mmol sodíka</w:t>
      </w:r>
      <w:r w:rsidR="00EB7823" w:rsidRPr="00665466">
        <w:rPr>
          <w:bCs/>
          <w:sz w:val="22"/>
          <w:szCs w:val="22"/>
          <w:lang w:val="sk-SK"/>
        </w:rPr>
        <w:t xml:space="preserve"> </w:t>
      </w:r>
      <w:r w:rsidRPr="00665466">
        <w:rPr>
          <w:bCs/>
          <w:sz w:val="22"/>
          <w:szCs w:val="22"/>
          <w:lang w:val="sk-SK"/>
        </w:rPr>
        <w:t>(23</w:t>
      </w:r>
      <w:r w:rsidR="00EB7823" w:rsidRPr="00665466">
        <w:rPr>
          <w:bCs/>
          <w:sz w:val="22"/>
          <w:szCs w:val="22"/>
          <w:lang w:val="sk-SK"/>
        </w:rPr>
        <w:t> </w:t>
      </w:r>
      <w:r w:rsidRPr="00665466">
        <w:rPr>
          <w:bCs/>
          <w:sz w:val="22"/>
          <w:szCs w:val="22"/>
          <w:lang w:val="sk-SK"/>
        </w:rPr>
        <w:t>mg) v</w:t>
      </w:r>
      <w:r w:rsidR="00EB7823" w:rsidRPr="00665466">
        <w:rPr>
          <w:bCs/>
          <w:sz w:val="22"/>
          <w:szCs w:val="22"/>
          <w:lang w:val="sk-SK"/>
        </w:rPr>
        <w:t> jednej filmom obalenej table</w:t>
      </w:r>
      <w:r w:rsidRPr="00665466">
        <w:rPr>
          <w:bCs/>
          <w:sz w:val="22"/>
          <w:szCs w:val="22"/>
          <w:lang w:val="sk-SK"/>
        </w:rPr>
        <w:t>, t.j. v</w:t>
      </w:r>
      <w:r w:rsidR="00EB7823" w:rsidRPr="00665466">
        <w:rPr>
          <w:bCs/>
          <w:sz w:val="22"/>
          <w:szCs w:val="22"/>
          <w:lang w:val="sk-SK"/>
        </w:rPr>
        <w:t> </w:t>
      </w:r>
      <w:r w:rsidRPr="00665466">
        <w:rPr>
          <w:bCs/>
          <w:sz w:val="22"/>
          <w:szCs w:val="22"/>
          <w:lang w:val="sk-SK"/>
        </w:rPr>
        <w:t>podstate zanedbateľné množstvo</w:t>
      </w:r>
      <w:r w:rsidR="00EB7823" w:rsidRPr="00665466">
        <w:rPr>
          <w:bCs/>
          <w:sz w:val="22"/>
          <w:szCs w:val="22"/>
          <w:lang w:val="sk-SK"/>
        </w:rPr>
        <w:t xml:space="preserve"> </w:t>
      </w:r>
      <w:r w:rsidRPr="00665466">
        <w:rPr>
          <w:bCs/>
          <w:sz w:val="22"/>
          <w:szCs w:val="22"/>
          <w:lang w:val="sk-SK"/>
        </w:rPr>
        <w:t>sodíka.</w:t>
      </w:r>
    </w:p>
    <w:p w14:paraId="2E2E5929" w14:textId="77777777" w:rsidR="00EB7823" w:rsidRPr="00665466" w:rsidRDefault="00EB7823" w:rsidP="00665466">
      <w:pPr>
        <w:autoSpaceDE w:val="0"/>
        <w:autoSpaceDN w:val="0"/>
        <w:adjustRightInd w:val="0"/>
        <w:rPr>
          <w:bCs/>
          <w:sz w:val="22"/>
          <w:szCs w:val="22"/>
          <w:lang w:val="sk-SK"/>
        </w:rPr>
      </w:pPr>
    </w:p>
    <w:p w14:paraId="7DFB1BCF" w14:textId="135B21FE"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4.5</w:t>
      </w:r>
      <w:r w:rsidR="00495392" w:rsidRPr="00665466">
        <w:rPr>
          <w:b/>
          <w:bCs/>
          <w:sz w:val="22"/>
          <w:szCs w:val="22"/>
          <w:lang w:val="sk-SK"/>
        </w:rPr>
        <w:tab/>
      </w:r>
      <w:r w:rsidRPr="00665466">
        <w:rPr>
          <w:b/>
          <w:bCs/>
          <w:sz w:val="22"/>
          <w:szCs w:val="22"/>
          <w:lang w:val="sk-SK"/>
        </w:rPr>
        <w:t>Liekové a iné interakcie</w:t>
      </w:r>
    </w:p>
    <w:p w14:paraId="2566D4B4" w14:textId="77777777" w:rsidR="00B24275" w:rsidRPr="00665466" w:rsidRDefault="00B24275" w:rsidP="00665466">
      <w:pPr>
        <w:keepNext/>
        <w:tabs>
          <w:tab w:val="left" w:pos="567"/>
        </w:tabs>
        <w:autoSpaceDE w:val="0"/>
        <w:autoSpaceDN w:val="0"/>
        <w:adjustRightInd w:val="0"/>
        <w:rPr>
          <w:bCs/>
          <w:sz w:val="22"/>
          <w:szCs w:val="22"/>
          <w:u w:val="single"/>
          <w:lang w:val="sk-SK"/>
        </w:rPr>
      </w:pPr>
    </w:p>
    <w:p w14:paraId="74FAC4A5" w14:textId="77777777" w:rsidR="0071048C" w:rsidRPr="00665466" w:rsidRDefault="002A1BF4"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Sér</w:t>
      </w:r>
      <w:r w:rsidR="00B24275" w:rsidRPr="00665466">
        <w:rPr>
          <w:bCs/>
          <w:sz w:val="22"/>
          <w:szCs w:val="22"/>
          <w:u w:val="single"/>
          <w:lang w:val="sk-SK"/>
        </w:rPr>
        <w:t>otonergné lieky</w:t>
      </w:r>
    </w:p>
    <w:p w14:paraId="5356E42D" w14:textId="02B5AC4F" w:rsidR="005F6FD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113321" w:rsidRPr="00665466">
        <w:rPr>
          <w:sz w:val="22"/>
          <w:szCs w:val="22"/>
          <w:lang w:val="sk-SK"/>
        </w:rPr>
        <w:t>pri</w:t>
      </w:r>
      <w:r w:rsidRPr="00665466">
        <w:rPr>
          <w:sz w:val="22"/>
          <w:szCs w:val="22"/>
          <w:lang w:val="sk-SK"/>
        </w:rPr>
        <w:t xml:space="preserve"> ostatných SSRI, súčasné podávanie so </w:t>
      </w:r>
      <w:r w:rsidR="002A1BF4" w:rsidRPr="00665466">
        <w:rPr>
          <w:sz w:val="22"/>
          <w:szCs w:val="22"/>
          <w:lang w:val="sk-SK"/>
        </w:rPr>
        <w:t>sér</w:t>
      </w:r>
      <w:r w:rsidRPr="00665466">
        <w:rPr>
          <w:sz w:val="22"/>
          <w:szCs w:val="22"/>
          <w:lang w:val="sk-SK"/>
        </w:rPr>
        <w:t>otonergnými liekmi môže viesť k výskytu účinkov súvisiacich s 5-HT (</w:t>
      </w:r>
      <w:r w:rsidR="002A1BF4" w:rsidRPr="00665466">
        <w:rPr>
          <w:sz w:val="22"/>
          <w:szCs w:val="22"/>
          <w:lang w:val="sk-SK"/>
        </w:rPr>
        <w:t>sér</w:t>
      </w:r>
      <w:r w:rsidRPr="00665466">
        <w:rPr>
          <w:sz w:val="22"/>
          <w:szCs w:val="22"/>
          <w:lang w:val="sk-SK"/>
        </w:rPr>
        <w:t xml:space="preserve">otonínový syndróm: pozri časť 4.4). Opatrnosť a pozornejšie klinické sledovanie sa odporúča vtedy, ak sú tieto </w:t>
      </w:r>
      <w:r w:rsidR="002A1BF4" w:rsidRPr="00665466">
        <w:rPr>
          <w:sz w:val="22"/>
          <w:szCs w:val="22"/>
          <w:lang w:val="sk-SK"/>
        </w:rPr>
        <w:t>sér</w:t>
      </w:r>
      <w:r w:rsidR="00A70C1F" w:rsidRPr="00665466">
        <w:rPr>
          <w:sz w:val="22"/>
          <w:szCs w:val="22"/>
          <w:lang w:val="sk-SK"/>
        </w:rPr>
        <w:t xml:space="preserve">otonergné </w:t>
      </w:r>
      <w:r w:rsidRPr="00665466">
        <w:rPr>
          <w:sz w:val="22"/>
          <w:szCs w:val="22"/>
          <w:lang w:val="sk-SK"/>
        </w:rPr>
        <w:t xml:space="preserve">lieky </w:t>
      </w:r>
      <w:r w:rsidR="00A70C1F" w:rsidRPr="00665466">
        <w:rPr>
          <w:sz w:val="22"/>
          <w:szCs w:val="22"/>
          <w:lang w:val="sk-SK"/>
        </w:rPr>
        <w:t>[</w:t>
      </w:r>
      <w:r w:rsidR="005F6FD5" w:rsidRPr="00665466">
        <w:rPr>
          <w:sz w:val="22"/>
          <w:szCs w:val="22"/>
          <w:lang w:val="sk-SK"/>
        </w:rPr>
        <w:t>ako je L</w:t>
      </w:r>
      <w:r w:rsidR="005F6FD5" w:rsidRPr="00665466">
        <w:rPr>
          <w:sz w:val="22"/>
          <w:szCs w:val="22"/>
          <w:lang w:val="sk-SK"/>
        </w:rPr>
        <w:noBreakHyphen/>
        <w:t>tryptofán, triptány,</w:t>
      </w:r>
      <w:r w:rsidR="00010B81">
        <w:rPr>
          <w:sz w:val="22"/>
          <w:szCs w:val="22"/>
          <w:lang w:val="sk-SK"/>
        </w:rPr>
        <w:t xml:space="preserve"> buprenorfín</w:t>
      </w:r>
      <w:r w:rsidR="00CE4FB6">
        <w:rPr>
          <w:sz w:val="22"/>
          <w:szCs w:val="22"/>
          <w:lang w:val="sk-SK"/>
        </w:rPr>
        <w:t xml:space="preserve">, </w:t>
      </w:r>
      <w:r w:rsidR="005F6FD5" w:rsidRPr="00665466">
        <w:rPr>
          <w:sz w:val="22"/>
          <w:szCs w:val="22"/>
          <w:lang w:val="sk-SK"/>
        </w:rPr>
        <w:t xml:space="preserve">tramadol, linezolid, </w:t>
      </w:r>
      <w:r w:rsidR="00A70C1F" w:rsidRPr="00665466">
        <w:rPr>
          <w:sz w:val="22"/>
          <w:szCs w:val="22"/>
          <w:lang w:val="sk-SK"/>
        </w:rPr>
        <w:t xml:space="preserve">metyltionínium chlorid (metylénová modrá), </w:t>
      </w:r>
      <w:r w:rsidR="005F6FD5" w:rsidRPr="00665466">
        <w:rPr>
          <w:sz w:val="22"/>
          <w:szCs w:val="22"/>
          <w:lang w:val="sk-SK"/>
        </w:rPr>
        <w:t xml:space="preserve">SSRI, lítium, petidín a prípravky obsahujúce ľubovník bodkovaný – </w:t>
      </w:r>
      <w:r w:rsidR="005F6FD5" w:rsidRPr="00665466">
        <w:rPr>
          <w:i/>
          <w:sz w:val="22"/>
          <w:szCs w:val="22"/>
          <w:lang w:val="sk-SK"/>
        </w:rPr>
        <w:t>Hypericum perforatum</w:t>
      </w:r>
      <w:r w:rsidR="00A70C1F" w:rsidRPr="00665466">
        <w:rPr>
          <w:sz w:val="22"/>
          <w:szCs w:val="22"/>
          <w:lang w:val="sk-SK"/>
        </w:rPr>
        <w:t>]</w:t>
      </w:r>
      <w:r w:rsidR="005F6FD5" w:rsidRPr="00665466">
        <w:rPr>
          <w:sz w:val="22"/>
          <w:szCs w:val="22"/>
          <w:lang w:val="sk-SK"/>
        </w:rPr>
        <w:t xml:space="preserve"> </w:t>
      </w:r>
      <w:r w:rsidRPr="00665466">
        <w:rPr>
          <w:sz w:val="22"/>
          <w:szCs w:val="22"/>
          <w:lang w:val="sk-SK"/>
        </w:rPr>
        <w:t>kombinované s</w:t>
      </w:r>
      <w:r w:rsidR="00A70C1F" w:rsidRPr="00665466">
        <w:rPr>
          <w:sz w:val="22"/>
          <w:szCs w:val="22"/>
          <w:lang w:val="sk-SK"/>
        </w:rPr>
        <w:t> </w:t>
      </w:r>
      <w:r w:rsidRPr="00665466">
        <w:rPr>
          <w:sz w:val="22"/>
          <w:szCs w:val="22"/>
          <w:lang w:val="sk-SK"/>
        </w:rPr>
        <w:t>paroxetínom.</w:t>
      </w:r>
      <w:r w:rsidR="005F6FD5" w:rsidRPr="00665466">
        <w:rPr>
          <w:sz w:val="22"/>
          <w:szCs w:val="22"/>
          <w:lang w:val="sk-SK"/>
        </w:rPr>
        <w:t xml:space="preserve"> Opatrnosť </w:t>
      </w:r>
      <w:r w:rsidR="004A13FB" w:rsidRPr="00665466">
        <w:rPr>
          <w:sz w:val="22"/>
          <w:szCs w:val="22"/>
          <w:lang w:val="sk-SK"/>
        </w:rPr>
        <w:t>sa odporúča</w:t>
      </w:r>
      <w:r w:rsidR="005F6FD5" w:rsidRPr="00665466">
        <w:rPr>
          <w:sz w:val="22"/>
          <w:szCs w:val="22"/>
          <w:lang w:val="sk-SK"/>
        </w:rPr>
        <w:t xml:space="preserve"> aj pri</w:t>
      </w:r>
      <w:r w:rsidR="004A13FB" w:rsidRPr="00665466">
        <w:rPr>
          <w:sz w:val="22"/>
          <w:szCs w:val="22"/>
          <w:lang w:val="sk-SK"/>
        </w:rPr>
        <w:t> </w:t>
      </w:r>
      <w:r w:rsidR="005F6FD5" w:rsidRPr="00665466">
        <w:rPr>
          <w:sz w:val="22"/>
          <w:szCs w:val="22"/>
          <w:lang w:val="sk-SK"/>
        </w:rPr>
        <w:t>fentanyle</w:t>
      </w:r>
      <w:r w:rsidR="00CD0E60" w:rsidRPr="00665466">
        <w:rPr>
          <w:sz w:val="22"/>
          <w:szCs w:val="22"/>
          <w:lang w:val="sk-SK"/>
        </w:rPr>
        <w:t>, ktorý sa používa v celkovej</w:t>
      </w:r>
      <w:r w:rsidR="005F6FD5" w:rsidRPr="00665466">
        <w:rPr>
          <w:sz w:val="22"/>
          <w:szCs w:val="22"/>
          <w:lang w:val="sk-SK"/>
        </w:rPr>
        <w:t xml:space="preserve"> anestézii alebo v liečbe chronickej bolesti. Súbežné použitie paroxetínu a IMAO je kontraindikované kvôli riziku </w:t>
      </w:r>
      <w:r w:rsidR="002A1BF4" w:rsidRPr="00665466">
        <w:rPr>
          <w:sz w:val="22"/>
          <w:szCs w:val="22"/>
          <w:lang w:val="sk-SK"/>
        </w:rPr>
        <w:t>sér</w:t>
      </w:r>
      <w:r w:rsidR="005F6FD5" w:rsidRPr="00665466">
        <w:rPr>
          <w:sz w:val="22"/>
          <w:szCs w:val="22"/>
          <w:lang w:val="sk-SK"/>
        </w:rPr>
        <w:t>otonínového syndrómu (pozri časť 4.3).</w:t>
      </w:r>
    </w:p>
    <w:p w14:paraId="477C8477" w14:textId="77777777" w:rsidR="00B24275" w:rsidRPr="00665466" w:rsidRDefault="00B24275" w:rsidP="00665466">
      <w:pPr>
        <w:autoSpaceDE w:val="0"/>
        <w:autoSpaceDN w:val="0"/>
        <w:adjustRightInd w:val="0"/>
        <w:rPr>
          <w:sz w:val="22"/>
          <w:szCs w:val="22"/>
          <w:u w:val="single"/>
          <w:lang w:val="sk-SK"/>
        </w:rPr>
      </w:pPr>
    </w:p>
    <w:p w14:paraId="0EF29536" w14:textId="77777777" w:rsidR="004A13FB" w:rsidRPr="00665466" w:rsidRDefault="004A13FB" w:rsidP="00665466">
      <w:pPr>
        <w:keepNext/>
        <w:tabs>
          <w:tab w:val="left" w:pos="567"/>
        </w:tabs>
        <w:autoSpaceDE w:val="0"/>
        <w:autoSpaceDN w:val="0"/>
        <w:adjustRightInd w:val="0"/>
        <w:rPr>
          <w:sz w:val="22"/>
          <w:szCs w:val="22"/>
          <w:u w:val="single"/>
          <w:lang w:val="sk-SK"/>
        </w:rPr>
      </w:pPr>
      <w:r w:rsidRPr="00665466">
        <w:rPr>
          <w:sz w:val="22"/>
          <w:szCs w:val="22"/>
          <w:u w:val="single"/>
          <w:lang w:val="sk-SK"/>
        </w:rPr>
        <w:t>Pimozid</w:t>
      </w:r>
    </w:p>
    <w:p w14:paraId="0B52F324" w14:textId="77777777" w:rsidR="004A13FB" w:rsidRPr="00665466" w:rsidRDefault="004A13FB" w:rsidP="00665466">
      <w:pPr>
        <w:rPr>
          <w:sz w:val="22"/>
          <w:szCs w:val="22"/>
          <w:lang w:val="sk-SK"/>
        </w:rPr>
      </w:pPr>
      <w:r w:rsidRPr="00665466">
        <w:rPr>
          <w:sz w:val="22"/>
          <w:szCs w:val="22"/>
          <w:lang w:val="sk-SK"/>
        </w:rPr>
        <w:t>V štúdii jednorazovej nízkej dávky pimozidu (2 mg) podávanej súbežne so 60 mg paroxetínu sa preukázalo priemerne 2,5</w:t>
      </w:r>
      <w:r w:rsidRPr="00665466">
        <w:rPr>
          <w:sz w:val="22"/>
          <w:szCs w:val="22"/>
          <w:lang w:val="sk-SK"/>
        </w:rPr>
        <w:noBreakHyphen/>
        <w:t xml:space="preserve">násobné zvýšenie hladín pimozidu. Je to možné vysvetliť známymi </w:t>
      </w:r>
      <w:r w:rsidRPr="00665466">
        <w:rPr>
          <w:sz w:val="22"/>
          <w:szCs w:val="22"/>
          <w:lang w:val="sk-SK"/>
        </w:rPr>
        <w:lastRenderedPageBreak/>
        <w:t xml:space="preserve">vlastnosťami paroxetínu inhibovať CYP 2D6. Vzhľadom </w:t>
      </w:r>
      <w:r w:rsidR="00C30A60" w:rsidRPr="00665466">
        <w:rPr>
          <w:sz w:val="22"/>
          <w:szCs w:val="22"/>
          <w:lang w:val="sk-SK"/>
        </w:rPr>
        <w:t>na</w:t>
      </w:r>
      <w:r w:rsidRPr="00665466">
        <w:rPr>
          <w:sz w:val="22"/>
          <w:szCs w:val="22"/>
          <w:lang w:val="sk-SK"/>
        </w:rPr>
        <w:t xml:space="preserve"> úzk</w:t>
      </w:r>
      <w:r w:rsidR="00C30A60" w:rsidRPr="00665466">
        <w:rPr>
          <w:sz w:val="22"/>
          <w:szCs w:val="22"/>
          <w:lang w:val="sk-SK"/>
        </w:rPr>
        <w:t>y</w:t>
      </w:r>
      <w:r w:rsidRPr="00665466">
        <w:rPr>
          <w:sz w:val="22"/>
          <w:szCs w:val="22"/>
          <w:lang w:val="sk-SK"/>
        </w:rPr>
        <w:t xml:space="preserve"> terapeutick</w:t>
      </w:r>
      <w:r w:rsidR="00C30A60" w:rsidRPr="00665466">
        <w:rPr>
          <w:sz w:val="22"/>
          <w:szCs w:val="22"/>
          <w:lang w:val="sk-SK"/>
        </w:rPr>
        <w:t xml:space="preserve">ý </w:t>
      </w:r>
      <w:r w:rsidRPr="00665466">
        <w:rPr>
          <w:sz w:val="22"/>
          <w:szCs w:val="22"/>
          <w:lang w:val="sk-SK"/>
        </w:rPr>
        <w:t>index pimozidu a jeho známej schopnosti predĺžiť QT interval je súbežné použitie pimozidu a paroxetínu kontraindikované (pozri časť 4.3).</w:t>
      </w:r>
    </w:p>
    <w:p w14:paraId="08465A3D" w14:textId="77777777" w:rsidR="00B24275" w:rsidRPr="00665466" w:rsidRDefault="00B24275" w:rsidP="00665466">
      <w:pPr>
        <w:autoSpaceDE w:val="0"/>
        <w:autoSpaceDN w:val="0"/>
        <w:adjustRightInd w:val="0"/>
        <w:rPr>
          <w:bCs/>
          <w:sz w:val="22"/>
          <w:szCs w:val="22"/>
          <w:u w:val="single"/>
          <w:lang w:val="sk-SK"/>
        </w:rPr>
      </w:pPr>
    </w:p>
    <w:p w14:paraId="0E008571"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Enzýmy metabolizujúce lieky</w:t>
      </w:r>
    </w:p>
    <w:p w14:paraId="450C0B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Metabolizmus a farmakokinetiku paroxetínu môže ovplyvniť indukcia alebo inhibícia enzýmov metabolizujúcich lieky.</w:t>
      </w:r>
    </w:p>
    <w:p w14:paraId="7A13CAF9" w14:textId="77777777" w:rsidR="00B24275" w:rsidRPr="00665466" w:rsidRDefault="00B24275" w:rsidP="00665466">
      <w:pPr>
        <w:autoSpaceDE w:val="0"/>
        <w:autoSpaceDN w:val="0"/>
        <w:adjustRightInd w:val="0"/>
        <w:rPr>
          <w:sz w:val="22"/>
          <w:szCs w:val="22"/>
          <w:lang w:val="sk-SK"/>
        </w:rPr>
      </w:pPr>
      <w:r w:rsidRPr="00665466">
        <w:rPr>
          <w:sz w:val="22"/>
          <w:szCs w:val="22"/>
          <w:lang w:val="sk-SK"/>
        </w:rPr>
        <w:t>Keď sa</w:t>
      </w:r>
      <w:r w:rsidR="00362A2D" w:rsidRPr="00665466">
        <w:rPr>
          <w:sz w:val="22"/>
          <w:szCs w:val="22"/>
          <w:lang w:val="sk-SK"/>
        </w:rPr>
        <w:t xml:space="preserve"> má</w:t>
      </w:r>
      <w:r w:rsidRPr="00665466">
        <w:rPr>
          <w:sz w:val="22"/>
          <w:szCs w:val="22"/>
          <w:lang w:val="sk-SK"/>
        </w:rPr>
        <w:t xml:space="preserve"> paroxetín podávať súčasne so známym inhibítorom enzýmov metabolizujúcich lieky, musí sa zvážiť používanie nižších dávok.</w:t>
      </w:r>
    </w:p>
    <w:p w14:paraId="645EB86D" w14:textId="77777777" w:rsidR="00B24275" w:rsidRPr="00665466" w:rsidRDefault="00B24275" w:rsidP="00665466">
      <w:pPr>
        <w:autoSpaceDE w:val="0"/>
        <w:autoSpaceDN w:val="0"/>
        <w:adjustRightInd w:val="0"/>
        <w:rPr>
          <w:sz w:val="22"/>
          <w:szCs w:val="22"/>
          <w:lang w:val="sk-SK"/>
        </w:rPr>
      </w:pPr>
      <w:r w:rsidRPr="00665466">
        <w:rPr>
          <w:sz w:val="22"/>
          <w:szCs w:val="22"/>
          <w:lang w:val="sk-SK"/>
        </w:rPr>
        <w:t>Keď sa má liek podávať súčasne so známymi induktormi enzýmov metabolizujúcich lieky (napr. karbamazepínom, rifampicínom, fenobarbitalom, fenytoínom) nie je potrebná žiadna úprava úvodného dávkovania. Akákoľvek následná úprava dávkovania</w:t>
      </w:r>
      <w:r w:rsidR="00A70C1F" w:rsidRPr="00665466">
        <w:rPr>
          <w:sz w:val="22"/>
          <w:szCs w:val="22"/>
          <w:lang w:val="sk-SK"/>
        </w:rPr>
        <w:t xml:space="preserve"> paroxetínu (či už po začiatku alebo po ukončení podávania induktora enzýmov)</w:t>
      </w:r>
      <w:r w:rsidRPr="00665466">
        <w:rPr>
          <w:sz w:val="22"/>
          <w:szCs w:val="22"/>
          <w:lang w:val="sk-SK"/>
        </w:rPr>
        <w:t xml:space="preserve"> sa má riadiť klinickým účinkom (znášanlivosť a účinnosť).</w:t>
      </w:r>
    </w:p>
    <w:p w14:paraId="20D6251C" w14:textId="77777777" w:rsidR="00B24275" w:rsidRPr="00665466" w:rsidRDefault="00B24275" w:rsidP="00665466">
      <w:pPr>
        <w:autoSpaceDE w:val="0"/>
        <w:autoSpaceDN w:val="0"/>
        <w:adjustRightInd w:val="0"/>
        <w:rPr>
          <w:bCs/>
          <w:sz w:val="22"/>
          <w:szCs w:val="22"/>
          <w:u w:val="single"/>
          <w:lang w:val="sk-SK"/>
        </w:rPr>
      </w:pPr>
    </w:p>
    <w:p w14:paraId="525A7225" w14:textId="77777777" w:rsidR="00F85F1B" w:rsidRPr="00665466" w:rsidRDefault="00F85F1B"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Neuromuskulárne blokátory</w:t>
      </w:r>
    </w:p>
    <w:p w14:paraId="72D9E083" w14:textId="5D7D4608" w:rsidR="001D74F9" w:rsidRPr="00665466" w:rsidRDefault="00515BCC" w:rsidP="00665466">
      <w:pPr>
        <w:autoSpaceDE w:val="0"/>
        <w:autoSpaceDN w:val="0"/>
        <w:adjustRightInd w:val="0"/>
        <w:rPr>
          <w:sz w:val="22"/>
          <w:szCs w:val="22"/>
          <w:lang w:val="sk-SK"/>
        </w:rPr>
      </w:pPr>
      <w:r w:rsidRPr="00665466">
        <w:rPr>
          <w:sz w:val="22"/>
          <w:szCs w:val="22"/>
          <w:lang w:val="sk-SK"/>
        </w:rPr>
        <w:t>SSRI môžu znižovať aktivitu cholínesterázy v plazme a viesť k predĺženiu neuromuskulárnej blokády vyvolanej mivakúriom a suxametóniom.</w:t>
      </w:r>
    </w:p>
    <w:p w14:paraId="72DB9741" w14:textId="42930DE0" w:rsidR="00F85F1B" w:rsidRPr="00F0734E" w:rsidRDefault="00F85F1B" w:rsidP="00665466">
      <w:pPr>
        <w:autoSpaceDE w:val="0"/>
        <w:autoSpaceDN w:val="0"/>
        <w:adjustRightInd w:val="0"/>
        <w:rPr>
          <w:bCs/>
          <w:sz w:val="22"/>
          <w:szCs w:val="22"/>
          <w:u w:val="single"/>
          <w:lang w:val="sk-SK"/>
        </w:rPr>
      </w:pPr>
    </w:p>
    <w:p w14:paraId="6D4696A4" w14:textId="1E88111C" w:rsidR="00113321" w:rsidRPr="00F0734E" w:rsidRDefault="004A13FB" w:rsidP="00665466">
      <w:pPr>
        <w:keepNext/>
        <w:tabs>
          <w:tab w:val="left" w:pos="567"/>
        </w:tabs>
        <w:autoSpaceDE w:val="0"/>
        <w:autoSpaceDN w:val="0"/>
        <w:adjustRightInd w:val="0"/>
        <w:rPr>
          <w:sz w:val="22"/>
          <w:szCs w:val="22"/>
          <w:lang w:val="sk-SK"/>
        </w:rPr>
      </w:pPr>
      <w:r w:rsidRPr="00F0734E">
        <w:rPr>
          <w:sz w:val="22"/>
          <w:szCs w:val="22"/>
          <w:u w:val="single"/>
          <w:lang w:val="sk-SK"/>
        </w:rPr>
        <w:t>Fosamprenavir/ritonavir</w:t>
      </w:r>
    </w:p>
    <w:p w14:paraId="480DFF7F" w14:textId="77777777" w:rsidR="004A13FB" w:rsidRPr="00665466" w:rsidRDefault="004A13FB" w:rsidP="00665466">
      <w:pPr>
        <w:widowControl w:val="0"/>
        <w:rPr>
          <w:sz w:val="22"/>
          <w:szCs w:val="22"/>
          <w:lang w:val="sk-SK"/>
        </w:rPr>
      </w:pPr>
      <w:r w:rsidRPr="00665466">
        <w:rPr>
          <w:sz w:val="22"/>
          <w:szCs w:val="22"/>
          <w:lang w:val="sk-SK"/>
        </w:rPr>
        <w:t>Súbežné podávanie fosamprenaviru/ritonaviru 700 /100 mg dvakrát denne s paroxetínom 20 mg denne zdravým dobrovoľníkom počas 10 dní významne znížilo plazmatické hladiny paroxetínu približne o 55 %. Plazmatické hladiny fosamprenaviru/ritonaviru boli počas súbežného podávania paroxetínu podobné referenčným hodnotám iných štúdií, čo svedčí o tom, že paroxetín nemal významný vplyv na metabolizmus fosamprenaviru/ritonaviru. Nie sú k dispozícii údaje o účinkoch dlhodobého súbežného podávania paroxetínu a fosamprenaviru/ritonaviru trvajúceho viac ako 10 dní.</w:t>
      </w:r>
    </w:p>
    <w:p w14:paraId="5C0F96F5" w14:textId="77777777" w:rsidR="004A13FB" w:rsidRPr="00665466" w:rsidRDefault="004A13FB" w:rsidP="00665466">
      <w:pPr>
        <w:autoSpaceDE w:val="0"/>
        <w:autoSpaceDN w:val="0"/>
        <w:adjustRightInd w:val="0"/>
        <w:rPr>
          <w:bCs/>
          <w:sz w:val="22"/>
          <w:szCs w:val="22"/>
          <w:u w:val="single"/>
          <w:lang w:val="sk-SK"/>
        </w:rPr>
      </w:pPr>
    </w:p>
    <w:p w14:paraId="5D1F1D74" w14:textId="650524A1" w:rsidR="00113321"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Procyklidín</w:t>
      </w:r>
    </w:p>
    <w:p w14:paraId="0DB9CCED" w14:textId="77777777" w:rsidR="00B24275" w:rsidRPr="00665466" w:rsidRDefault="00B24275" w:rsidP="00665466">
      <w:pPr>
        <w:autoSpaceDE w:val="0"/>
        <w:autoSpaceDN w:val="0"/>
        <w:adjustRightInd w:val="0"/>
        <w:rPr>
          <w:sz w:val="22"/>
          <w:szCs w:val="22"/>
          <w:lang w:val="sk-SK"/>
        </w:rPr>
      </w:pPr>
      <w:r w:rsidRPr="00665466">
        <w:rPr>
          <w:sz w:val="22"/>
          <w:szCs w:val="22"/>
          <w:lang w:val="sk-SK"/>
        </w:rPr>
        <w:t>Každodenné podávanie paroxetínu významne zvyšuje plazmatické hladiny procyklidínu. Pokiaľ sa spozorujú anticholinergné účinky, dávka procyklidínu sa musí znížiť.</w:t>
      </w:r>
    </w:p>
    <w:p w14:paraId="2BF75526" w14:textId="77777777" w:rsidR="00B24275" w:rsidRPr="00665466" w:rsidRDefault="00B24275" w:rsidP="00665466">
      <w:pPr>
        <w:autoSpaceDE w:val="0"/>
        <w:autoSpaceDN w:val="0"/>
        <w:adjustRightInd w:val="0"/>
        <w:rPr>
          <w:bCs/>
          <w:sz w:val="22"/>
          <w:szCs w:val="22"/>
          <w:u w:val="single"/>
          <w:lang w:val="sk-SK"/>
        </w:rPr>
      </w:pPr>
    </w:p>
    <w:p w14:paraId="4A8A5D5C" w14:textId="115B1CF1" w:rsidR="00113321"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Antikonvulzíva</w:t>
      </w:r>
    </w:p>
    <w:p w14:paraId="392C61FF" w14:textId="77777777" w:rsidR="00B24275" w:rsidRPr="00665466" w:rsidRDefault="00B24275" w:rsidP="00665466">
      <w:pPr>
        <w:autoSpaceDE w:val="0"/>
        <w:autoSpaceDN w:val="0"/>
        <w:adjustRightInd w:val="0"/>
        <w:rPr>
          <w:sz w:val="22"/>
          <w:szCs w:val="22"/>
          <w:lang w:val="sk-SK"/>
        </w:rPr>
      </w:pPr>
      <w:r w:rsidRPr="00665466">
        <w:rPr>
          <w:sz w:val="22"/>
          <w:szCs w:val="22"/>
          <w:lang w:val="sk-SK"/>
        </w:rPr>
        <w:t>karbamazepín, fenytoín, valproát sodný. Nezdá sa, že by súčasné podávanie malo nejaký účinok na farmakokinetický/dynamický profil u epileptických pacientov.</w:t>
      </w:r>
    </w:p>
    <w:p w14:paraId="76B849BA" w14:textId="77777777" w:rsidR="00B24275" w:rsidRPr="00665466" w:rsidRDefault="00B24275" w:rsidP="00665466">
      <w:pPr>
        <w:autoSpaceDE w:val="0"/>
        <w:autoSpaceDN w:val="0"/>
        <w:adjustRightInd w:val="0"/>
        <w:rPr>
          <w:bCs/>
          <w:sz w:val="22"/>
          <w:szCs w:val="22"/>
          <w:u w:val="single"/>
          <w:lang w:val="sk-SK"/>
        </w:rPr>
      </w:pPr>
    </w:p>
    <w:p w14:paraId="16F15976"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Inhibičný </w:t>
      </w:r>
      <w:r w:rsidR="00A70C1F" w:rsidRPr="00665466">
        <w:rPr>
          <w:bCs/>
          <w:sz w:val="22"/>
          <w:szCs w:val="22"/>
          <w:u w:val="single"/>
          <w:lang w:val="sk-SK"/>
        </w:rPr>
        <w:t xml:space="preserve">účinok </w:t>
      </w:r>
      <w:r w:rsidRPr="00665466">
        <w:rPr>
          <w:bCs/>
          <w:sz w:val="22"/>
          <w:szCs w:val="22"/>
          <w:u w:val="single"/>
          <w:lang w:val="sk-SK"/>
        </w:rPr>
        <w:t>paroxetínu voči CYP</w:t>
      </w:r>
      <w:r w:rsidR="006C4CF8" w:rsidRPr="00665466">
        <w:rPr>
          <w:bCs/>
          <w:sz w:val="22"/>
          <w:szCs w:val="22"/>
          <w:u w:val="single"/>
          <w:lang w:val="sk-SK"/>
        </w:rPr>
        <w:t> </w:t>
      </w:r>
      <w:r w:rsidRPr="00665466">
        <w:rPr>
          <w:bCs/>
          <w:sz w:val="22"/>
          <w:szCs w:val="22"/>
          <w:u w:val="single"/>
          <w:lang w:val="sk-SK"/>
        </w:rPr>
        <w:t>2D6</w:t>
      </w:r>
    </w:p>
    <w:p w14:paraId="4401C5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A70C1F" w:rsidRPr="00665466">
        <w:rPr>
          <w:sz w:val="22"/>
          <w:szCs w:val="22"/>
          <w:lang w:val="sk-SK"/>
        </w:rPr>
        <w:t xml:space="preserve">iné </w:t>
      </w:r>
      <w:r w:rsidRPr="00665466">
        <w:rPr>
          <w:sz w:val="22"/>
          <w:szCs w:val="22"/>
          <w:lang w:val="sk-SK"/>
        </w:rPr>
        <w:t>antidepresíva, vrátane ostatných SSRI, paroxetín inhibuje pečeňový enzým CYP</w:t>
      </w:r>
      <w:r w:rsidR="006C4CF8" w:rsidRPr="00665466">
        <w:rPr>
          <w:sz w:val="22"/>
          <w:szCs w:val="22"/>
          <w:lang w:val="sk-SK"/>
        </w:rPr>
        <w:t> </w:t>
      </w:r>
      <w:r w:rsidRPr="00665466">
        <w:rPr>
          <w:sz w:val="22"/>
          <w:szCs w:val="22"/>
          <w:lang w:val="sk-SK"/>
        </w:rPr>
        <w:t>2D6 cytochrómu P450. Inhibícia CYP</w:t>
      </w:r>
      <w:r w:rsidR="006C4CF8" w:rsidRPr="00665466">
        <w:rPr>
          <w:sz w:val="22"/>
          <w:szCs w:val="22"/>
          <w:lang w:val="sk-SK"/>
        </w:rPr>
        <w:t> </w:t>
      </w:r>
      <w:r w:rsidRPr="00665466">
        <w:rPr>
          <w:sz w:val="22"/>
          <w:szCs w:val="22"/>
          <w:lang w:val="sk-SK"/>
        </w:rPr>
        <w:t>2D6 môže viesť k zvýšeným plazmatickým koncentráciám súčasne podávaných liekov, ktoré sú metabolizované týmto enzýmom. Patria medzi ne niektoré tricyklické antidepresíva (napr. klomipramín, nortriptylín a desipramín), fenotiazínové neuroleptiká (napr. perfenazín a tioridazín, pozri časť 4.3), risperid</w:t>
      </w:r>
      <w:r w:rsidR="006C4CF8" w:rsidRPr="00665466">
        <w:rPr>
          <w:sz w:val="22"/>
          <w:szCs w:val="22"/>
          <w:lang w:val="sk-SK"/>
        </w:rPr>
        <w:t>ó</w:t>
      </w:r>
      <w:r w:rsidRPr="00665466">
        <w:rPr>
          <w:sz w:val="22"/>
          <w:szCs w:val="22"/>
          <w:lang w:val="sk-SK"/>
        </w:rPr>
        <w:t xml:space="preserve">n, </w:t>
      </w:r>
      <w:r w:rsidR="00A70C1F" w:rsidRPr="00665466">
        <w:rPr>
          <w:sz w:val="22"/>
          <w:szCs w:val="22"/>
          <w:lang w:val="sk-SK"/>
        </w:rPr>
        <w:t xml:space="preserve">atomoxetín, </w:t>
      </w:r>
      <w:r w:rsidRPr="00665466">
        <w:rPr>
          <w:sz w:val="22"/>
          <w:szCs w:val="22"/>
          <w:lang w:val="sk-SK"/>
        </w:rPr>
        <w:t xml:space="preserve">niektoré antiarytmiká typu </w:t>
      </w:r>
      <w:r w:rsidR="00373B7B" w:rsidRPr="00665466">
        <w:rPr>
          <w:sz w:val="22"/>
          <w:szCs w:val="22"/>
          <w:lang w:val="sk-SK"/>
        </w:rPr>
        <w:t>I</w:t>
      </w:r>
      <w:r w:rsidRPr="00665466">
        <w:rPr>
          <w:sz w:val="22"/>
          <w:szCs w:val="22"/>
          <w:lang w:val="sk-SK"/>
        </w:rPr>
        <w:t>c (napr. propafen</w:t>
      </w:r>
      <w:r w:rsidR="006C4CF8" w:rsidRPr="00665466">
        <w:rPr>
          <w:sz w:val="22"/>
          <w:szCs w:val="22"/>
          <w:lang w:val="sk-SK"/>
        </w:rPr>
        <w:t>ó</w:t>
      </w:r>
      <w:r w:rsidRPr="00665466">
        <w:rPr>
          <w:sz w:val="22"/>
          <w:szCs w:val="22"/>
          <w:lang w:val="sk-SK"/>
        </w:rPr>
        <w:t>n a flekainid) a metoprolol. Neodporúča sa používať paroxetín v kombinácii s metoprololom, keď sa podáva pri srdcovej nedostatočnosti, a to z dôvodu jeho úzkeho terapeutického indexu pri tejto indikácii.</w:t>
      </w:r>
    </w:p>
    <w:p w14:paraId="12F464D9" w14:textId="77777777" w:rsidR="00B24275" w:rsidRPr="00665466" w:rsidRDefault="00B24275" w:rsidP="00665466">
      <w:pPr>
        <w:autoSpaceDE w:val="0"/>
        <w:autoSpaceDN w:val="0"/>
        <w:adjustRightInd w:val="0"/>
        <w:rPr>
          <w:b/>
          <w:bCs/>
          <w:sz w:val="22"/>
          <w:szCs w:val="22"/>
          <w:lang w:val="sk-SK"/>
        </w:rPr>
      </w:pPr>
    </w:p>
    <w:p w14:paraId="44CD94DA" w14:textId="6F7204F7" w:rsidR="004A13FB" w:rsidRPr="00665466" w:rsidRDefault="00A70C1F" w:rsidP="00665466">
      <w:pPr>
        <w:autoSpaceDE w:val="0"/>
        <w:autoSpaceDN w:val="0"/>
        <w:adjustRightInd w:val="0"/>
        <w:rPr>
          <w:bCs/>
          <w:sz w:val="22"/>
          <w:szCs w:val="22"/>
          <w:lang w:val="sk-SK"/>
        </w:rPr>
      </w:pPr>
      <w:r w:rsidRPr="00665466">
        <w:rPr>
          <w:bCs/>
          <w:sz w:val="22"/>
          <w:szCs w:val="22"/>
          <w:lang w:val="sk-SK"/>
        </w:rPr>
        <w:t>V literatúre sa zaznamenala farmakokinetická interakcia medzi inhibítormi CYP 2D6 a tamoxifénom, vykazujúca 65-75 % zníženie plazmatických hladín jednej z aktívnejších foriem tamoxifénu, t.j. endoxifénu. Pri súbežnom použití niektorých SSRI antidepresív sa v niekoľkých štúdiách zaznamenala znížená účinnosť tamoxifénu. Nakoľko nie je možné vylúčiť znížený účinok tamoxifénu, je potrebné vyhnúť sa súbežnému podávaniu so silnými inhibítormi CYP 2D6 (vrátane paroxetínu) vždy, pokiaľ je to možné (pozri časť 4.4).</w:t>
      </w:r>
    </w:p>
    <w:p w14:paraId="1DD435A1" w14:textId="77777777" w:rsidR="00F87D3E" w:rsidRPr="00665466" w:rsidRDefault="00F87D3E" w:rsidP="00665466">
      <w:pPr>
        <w:autoSpaceDE w:val="0"/>
        <w:autoSpaceDN w:val="0"/>
        <w:adjustRightInd w:val="0"/>
        <w:rPr>
          <w:bCs/>
          <w:sz w:val="22"/>
          <w:szCs w:val="22"/>
          <w:u w:val="single"/>
          <w:lang w:val="sk-SK"/>
        </w:rPr>
      </w:pPr>
    </w:p>
    <w:p w14:paraId="711A316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Alkohol</w:t>
      </w:r>
    </w:p>
    <w:p w14:paraId="14E7684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F87D3E" w:rsidRPr="00665466">
        <w:rPr>
          <w:sz w:val="22"/>
          <w:szCs w:val="22"/>
          <w:lang w:val="sk-SK"/>
        </w:rPr>
        <w:t xml:space="preserve">pri </w:t>
      </w:r>
      <w:r w:rsidRPr="00665466">
        <w:rPr>
          <w:sz w:val="22"/>
          <w:szCs w:val="22"/>
          <w:lang w:val="sk-SK"/>
        </w:rPr>
        <w:t>ostatných psychotropných lieko</w:t>
      </w:r>
      <w:r w:rsidR="00F87D3E" w:rsidRPr="00665466">
        <w:rPr>
          <w:sz w:val="22"/>
          <w:szCs w:val="22"/>
          <w:lang w:val="sk-SK"/>
        </w:rPr>
        <w:t>ch</w:t>
      </w:r>
      <w:r w:rsidR="006C4CF8" w:rsidRPr="00665466">
        <w:rPr>
          <w:sz w:val="22"/>
          <w:szCs w:val="22"/>
          <w:lang w:val="sk-SK"/>
        </w:rPr>
        <w:t>,</w:t>
      </w:r>
      <w:r w:rsidRPr="00665466">
        <w:rPr>
          <w:sz w:val="22"/>
          <w:szCs w:val="22"/>
          <w:lang w:val="sk-SK"/>
        </w:rPr>
        <w:t xml:space="preserve"> </w:t>
      </w:r>
      <w:r w:rsidR="006C4CF8" w:rsidRPr="00665466">
        <w:rPr>
          <w:sz w:val="22"/>
          <w:szCs w:val="22"/>
          <w:lang w:val="sk-SK"/>
        </w:rPr>
        <w:t>pacientov je potrebné</w:t>
      </w:r>
      <w:r w:rsidRPr="00665466">
        <w:rPr>
          <w:sz w:val="22"/>
          <w:szCs w:val="22"/>
          <w:lang w:val="sk-SK"/>
        </w:rPr>
        <w:t xml:space="preserve"> upozorniť, aby sa počas užívania paroxetínu vyhli konzumácii alkoholu.</w:t>
      </w:r>
    </w:p>
    <w:p w14:paraId="0C978C6A" w14:textId="77777777" w:rsidR="00B24275" w:rsidRPr="00665466" w:rsidRDefault="00B24275" w:rsidP="00665466">
      <w:pPr>
        <w:autoSpaceDE w:val="0"/>
        <w:autoSpaceDN w:val="0"/>
        <w:adjustRightInd w:val="0"/>
        <w:rPr>
          <w:bCs/>
          <w:sz w:val="22"/>
          <w:szCs w:val="22"/>
          <w:u w:val="single"/>
          <w:lang w:val="sk-SK"/>
        </w:rPr>
      </w:pPr>
    </w:p>
    <w:p w14:paraId="2CF26938"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Perorálne antikoagulanciá</w:t>
      </w:r>
    </w:p>
    <w:p w14:paraId="6ABB5159" w14:textId="77777777" w:rsidR="00B24275" w:rsidRPr="00665466" w:rsidRDefault="00B24275" w:rsidP="00665466">
      <w:pPr>
        <w:autoSpaceDE w:val="0"/>
        <w:autoSpaceDN w:val="0"/>
        <w:adjustRightInd w:val="0"/>
        <w:rPr>
          <w:sz w:val="22"/>
          <w:szCs w:val="22"/>
          <w:lang w:val="sk-SK"/>
        </w:rPr>
      </w:pPr>
      <w:r w:rsidRPr="00665466">
        <w:rPr>
          <w:sz w:val="22"/>
          <w:szCs w:val="22"/>
          <w:lang w:val="sk-SK"/>
        </w:rPr>
        <w:t>Môže sa vyskytnúť farmakodynamická interakcia medzi paroxetínom a perorálnymi antikoagulanciami. Súčasné použitie paroxetínu a perorálnych antikoagulancií môže viesť k zvýšenej antikoagulačnej aktivite a riziku krvácania. Paroxetín sa preto musí používať opatrne u pacientov, ktorí sú liečení perorálnymi antikoagulanciami (pozri časť 4.4).</w:t>
      </w:r>
    </w:p>
    <w:p w14:paraId="2F2CB287" w14:textId="77777777" w:rsidR="00B24275" w:rsidRPr="00665466" w:rsidRDefault="00B24275" w:rsidP="00665466">
      <w:pPr>
        <w:autoSpaceDE w:val="0"/>
        <w:autoSpaceDN w:val="0"/>
        <w:adjustRightInd w:val="0"/>
        <w:rPr>
          <w:bCs/>
          <w:sz w:val="22"/>
          <w:szCs w:val="22"/>
          <w:u w:val="single"/>
          <w:lang w:val="sk-SK"/>
        </w:rPr>
      </w:pPr>
    </w:p>
    <w:p w14:paraId="60C9ADCC"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NSAID a kyselina acetylsalicylová a ďalšie antikoagulačné lieky</w:t>
      </w:r>
    </w:p>
    <w:p w14:paraId="341D5343" w14:textId="04357983" w:rsidR="00B24275" w:rsidRPr="00665466" w:rsidRDefault="00B24275" w:rsidP="00665466">
      <w:pPr>
        <w:autoSpaceDE w:val="0"/>
        <w:autoSpaceDN w:val="0"/>
        <w:adjustRightInd w:val="0"/>
        <w:rPr>
          <w:sz w:val="22"/>
          <w:szCs w:val="22"/>
          <w:lang w:val="sk-SK"/>
        </w:rPr>
      </w:pPr>
      <w:r w:rsidRPr="00665466">
        <w:rPr>
          <w:sz w:val="22"/>
          <w:szCs w:val="22"/>
          <w:lang w:val="sk-SK"/>
        </w:rPr>
        <w:t>Môže sa vyskytnúť farmakodynamická interakcia medzi paroxetínom a NSAID/kyselinou acetylsalicylovou.</w:t>
      </w:r>
    </w:p>
    <w:p w14:paraId="640FF73F" w14:textId="4F72DA3B" w:rsidR="00176140" w:rsidRPr="00665466" w:rsidRDefault="00B24275" w:rsidP="00665466">
      <w:pPr>
        <w:autoSpaceDE w:val="0"/>
        <w:autoSpaceDN w:val="0"/>
        <w:adjustRightInd w:val="0"/>
        <w:rPr>
          <w:sz w:val="22"/>
          <w:szCs w:val="22"/>
          <w:lang w:val="sk-SK"/>
        </w:rPr>
      </w:pPr>
      <w:r w:rsidRPr="00665466">
        <w:rPr>
          <w:sz w:val="22"/>
          <w:szCs w:val="22"/>
          <w:lang w:val="sk-SK"/>
        </w:rPr>
        <w:t>Sú</w:t>
      </w:r>
      <w:r w:rsidR="00BA34B8" w:rsidRPr="00665466">
        <w:rPr>
          <w:sz w:val="22"/>
          <w:szCs w:val="22"/>
          <w:lang w:val="sk-SK"/>
        </w:rPr>
        <w:t>bežné</w:t>
      </w:r>
      <w:r w:rsidRPr="00665466">
        <w:rPr>
          <w:sz w:val="22"/>
          <w:szCs w:val="22"/>
          <w:lang w:val="sk-SK"/>
        </w:rPr>
        <w:t xml:space="preserve"> použitie paroxetínu a NSAID/kyseliny acetylsalicylovej môže viesť k zvýšenému riziku krvácania (pozri časť 4.4).</w:t>
      </w:r>
    </w:p>
    <w:p w14:paraId="538D17C8" w14:textId="77777777" w:rsidR="00176140" w:rsidRPr="00665466" w:rsidRDefault="00176140" w:rsidP="00665466">
      <w:pPr>
        <w:autoSpaceDE w:val="0"/>
        <w:autoSpaceDN w:val="0"/>
        <w:adjustRightInd w:val="0"/>
        <w:rPr>
          <w:sz w:val="22"/>
          <w:szCs w:val="22"/>
          <w:lang w:val="sk-SK"/>
        </w:rPr>
      </w:pPr>
    </w:p>
    <w:p w14:paraId="66D64313" w14:textId="13E97432" w:rsidR="00B24275" w:rsidRPr="00665466" w:rsidRDefault="00B24275" w:rsidP="00665466">
      <w:pPr>
        <w:autoSpaceDE w:val="0"/>
        <w:autoSpaceDN w:val="0"/>
        <w:adjustRightInd w:val="0"/>
        <w:rPr>
          <w:sz w:val="22"/>
          <w:szCs w:val="22"/>
          <w:lang w:val="sk-SK"/>
        </w:rPr>
      </w:pPr>
      <w:r w:rsidRPr="00665466">
        <w:rPr>
          <w:sz w:val="22"/>
          <w:szCs w:val="22"/>
          <w:lang w:val="sk-SK"/>
        </w:rPr>
        <w:t>Opatrnosť sa odporúča u</w:t>
      </w:r>
      <w:r w:rsidR="006C4CF8" w:rsidRPr="00665466">
        <w:rPr>
          <w:sz w:val="22"/>
          <w:szCs w:val="22"/>
          <w:lang w:val="sk-SK"/>
        </w:rPr>
        <w:t> </w:t>
      </w:r>
      <w:r w:rsidRPr="00665466">
        <w:rPr>
          <w:sz w:val="22"/>
          <w:szCs w:val="22"/>
          <w:lang w:val="sk-SK"/>
        </w:rPr>
        <w:t>pacientov užívajúcich SSRI súčasne s perorálnymi antikoagulanciami, s</w:t>
      </w:r>
      <w:r w:rsidR="00D32470" w:rsidRPr="00665466">
        <w:rPr>
          <w:sz w:val="22"/>
          <w:szCs w:val="22"/>
          <w:lang w:val="sk-SK"/>
        </w:rPr>
        <w:t> </w:t>
      </w:r>
      <w:r w:rsidRPr="00665466">
        <w:rPr>
          <w:sz w:val="22"/>
          <w:szCs w:val="22"/>
          <w:lang w:val="sk-SK"/>
        </w:rPr>
        <w:t>liekmi, o</w:t>
      </w:r>
      <w:r w:rsidR="00D32470" w:rsidRPr="00665466">
        <w:rPr>
          <w:sz w:val="22"/>
          <w:szCs w:val="22"/>
          <w:lang w:val="sk-SK"/>
        </w:rPr>
        <w:t> </w:t>
      </w:r>
      <w:r w:rsidRPr="00665466">
        <w:rPr>
          <w:sz w:val="22"/>
          <w:szCs w:val="22"/>
          <w:lang w:val="sk-SK"/>
        </w:rPr>
        <w:t xml:space="preserve">ktorých je známe, že ovplyvňujú funkciu krvných doštičiek alebo s ďalšími liekmi, ktoré môžu zvýšiť riziko krvácania (napr. </w:t>
      </w:r>
      <w:r w:rsidR="006C4CF8" w:rsidRPr="00665466">
        <w:rPr>
          <w:sz w:val="22"/>
          <w:szCs w:val="22"/>
          <w:lang w:val="sk-SK"/>
        </w:rPr>
        <w:t>s </w:t>
      </w:r>
      <w:r w:rsidRPr="00665466">
        <w:rPr>
          <w:sz w:val="22"/>
          <w:szCs w:val="22"/>
          <w:lang w:val="sk-SK"/>
        </w:rPr>
        <w:t>atypickými antipsychotikami ako sú klozapín, fenotiazíny, väčšina TCA, kyselina acetylsalicylová, NSAID, inhibítory COX-2), ako aj u pacientov, ktorí majú v anamnéze poruchy krvácania alebo stavy, ktoré ich môžu predisponovať ku krvácaniu.</w:t>
      </w:r>
    </w:p>
    <w:p w14:paraId="44D80D90" w14:textId="77777777" w:rsidR="00B24275" w:rsidRPr="00665466" w:rsidRDefault="00B24275" w:rsidP="00665466">
      <w:pPr>
        <w:autoSpaceDE w:val="0"/>
        <w:autoSpaceDN w:val="0"/>
        <w:adjustRightInd w:val="0"/>
        <w:rPr>
          <w:bCs/>
          <w:sz w:val="22"/>
          <w:szCs w:val="22"/>
          <w:u w:val="single"/>
          <w:lang w:val="sk-SK"/>
        </w:rPr>
      </w:pPr>
    </w:p>
    <w:p w14:paraId="2F8D291A" w14:textId="77777777" w:rsidR="00176140" w:rsidRPr="00665466" w:rsidRDefault="00176140"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Pravastatín</w:t>
      </w:r>
    </w:p>
    <w:p w14:paraId="556E917A" w14:textId="625CB1E7" w:rsidR="00176140" w:rsidRPr="00665466" w:rsidRDefault="007E0282" w:rsidP="00665466">
      <w:pPr>
        <w:autoSpaceDE w:val="0"/>
        <w:autoSpaceDN w:val="0"/>
        <w:adjustRightInd w:val="0"/>
        <w:rPr>
          <w:bCs/>
          <w:sz w:val="22"/>
          <w:szCs w:val="22"/>
          <w:lang w:val="sk-SK"/>
        </w:rPr>
      </w:pPr>
      <w:r w:rsidRPr="00665466">
        <w:rPr>
          <w:bCs/>
          <w:sz w:val="22"/>
          <w:szCs w:val="22"/>
          <w:lang w:val="sk-SK"/>
        </w:rPr>
        <w:t xml:space="preserve">Interakcie medzi paroxetínom a pravastatínom boli pozorované v štúdiách, ktoré naznačili, </w:t>
      </w:r>
      <w:r w:rsidRPr="00665466">
        <w:rPr>
          <w:sz w:val="22"/>
          <w:szCs w:val="22"/>
          <w:lang w:val="sk-SK"/>
        </w:rPr>
        <w:t>že sú</w:t>
      </w:r>
      <w:r w:rsidR="00BA34B8" w:rsidRPr="00665466">
        <w:rPr>
          <w:sz w:val="22"/>
          <w:szCs w:val="22"/>
          <w:lang w:val="sk-SK"/>
        </w:rPr>
        <w:t>bež</w:t>
      </w:r>
      <w:r w:rsidRPr="00665466">
        <w:rPr>
          <w:sz w:val="22"/>
          <w:szCs w:val="22"/>
          <w:lang w:val="sk-SK"/>
        </w:rPr>
        <w:t>né užívanie paroxetínu a pravastatínu môže mať za následok zvýšenie hladiny glukózy v krvi. Pacienti s diabetes mellitus, ktorí užívajú paroxetín aj pravastatín, môžu vyžadovať úpravu dávkovania perorálnych antidiabetík a/alebo inzulínu (pozri časť 4.</w:t>
      </w:r>
      <w:r w:rsidR="00BA34B8" w:rsidRPr="00665466">
        <w:rPr>
          <w:sz w:val="22"/>
          <w:szCs w:val="22"/>
          <w:lang w:val="sk-SK"/>
        </w:rPr>
        <w:t>4</w:t>
      </w:r>
      <w:r w:rsidRPr="00665466">
        <w:rPr>
          <w:sz w:val="22"/>
          <w:szCs w:val="22"/>
          <w:lang w:val="sk-SK"/>
        </w:rPr>
        <w:t>).</w:t>
      </w:r>
    </w:p>
    <w:p w14:paraId="0DCFD6A8" w14:textId="77777777" w:rsidR="00176140" w:rsidRPr="00665466" w:rsidRDefault="00176140" w:rsidP="00665466">
      <w:pPr>
        <w:autoSpaceDE w:val="0"/>
        <w:autoSpaceDN w:val="0"/>
        <w:adjustRightInd w:val="0"/>
        <w:rPr>
          <w:bCs/>
          <w:sz w:val="22"/>
          <w:szCs w:val="22"/>
          <w:lang w:val="sk-SK"/>
        </w:rPr>
      </w:pPr>
    </w:p>
    <w:p w14:paraId="0A07D623" w14:textId="41D91D61" w:rsidR="00C7015B" w:rsidRPr="00665466" w:rsidRDefault="00B24275" w:rsidP="00665466">
      <w:pPr>
        <w:keepNext/>
        <w:tabs>
          <w:tab w:val="left" w:pos="567"/>
        </w:tabs>
        <w:autoSpaceDE w:val="0"/>
        <w:autoSpaceDN w:val="0"/>
        <w:adjustRightInd w:val="0"/>
        <w:rPr>
          <w:sz w:val="22"/>
          <w:szCs w:val="22"/>
          <w:lang w:val="sk-SK"/>
        </w:rPr>
      </w:pPr>
      <w:r w:rsidRPr="00665466">
        <w:rPr>
          <w:b/>
          <w:bCs/>
          <w:sz w:val="22"/>
          <w:szCs w:val="22"/>
          <w:lang w:val="sk-SK"/>
        </w:rPr>
        <w:t>4.6</w:t>
      </w:r>
      <w:r w:rsidR="00495392" w:rsidRPr="00665466">
        <w:rPr>
          <w:b/>
          <w:bCs/>
          <w:sz w:val="22"/>
          <w:szCs w:val="22"/>
          <w:lang w:val="sk-SK"/>
        </w:rPr>
        <w:tab/>
      </w:r>
      <w:r w:rsidR="00447413" w:rsidRPr="00665466">
        <w:rPr>
          <w:b/>
          <w:bCs/>
          <w:sz w:val="22"/>
          <w:szCs w:val="22"/>
          <w:lang w:val="sk-SK"/>
        </w:rPr>
        <w:t>Fertilita, g</w:t>
      </w:r>
      <w:r w:rsidRPr="00665466">
        <w:rPr>
          <w:b/>
          <w:bCs/>
          <w:sz w:val="22"/>
          <w:szCs w:val="22"/>
          <w:lang w:val="sk-SK"/>
        </w:rPr>
        <w:t>ravidita a laktácia</w:t>
      </w:r>
    </w:p>
    <w:p w14:paraId="2FF7667F" w14:textId="668E3F29" w:rsidR="000C32A7" w:rsidRPr="00665466" w:rsidRDefault="000C32A7" w:rsidP="00665466">
      <w:pPr>
        <w:autoSpaceDE w:val="0"/>
        <w:autoSpaceDN w:val="0"/>
        <w:adjustRightInd w:val="0"/>
        <w:rPr>
          <w:bCs/>
          <w:sz w:val="22"/>
          <w:szCs w:val="22"/>
          <w:u w:val="single"/>
          <w:lang w:val="sk-SK"/>
        </w:rPr>
      </w:pPr>
    </w:p>
    <w:p w14:paraId="4123F2F9"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Gravidita</w:t>
      </w:r>
    </w:p>
    <w:p w14:paraId="1B2D1652" w14:textId="7A1A0266" w:rsidR="00CD0E60" w:rsidRPr="00665466" w:rsidRDefault="00CD0E60" w:rsidP="00665466">
      <w:pPr>
        <w:rPr>
          <w:sz w:val="22"/>
          <w:szCs w:val="22"/>
          <w:lang w:val="sk-SK"/>
        </w:rPr>
      </w:pPr>
      <w:r w:rsidRPr="00665466">
        <w:rPr>
          <w:sz w:val="22"/>
          <w:szCs w:val="22"/>
          <w:lang w:val="sk-SK"/>
        </w:rPr>
        <w:t>Niektoré epidemiologické štúdie poukazujú na zvýšené riziko kongenitálnych malformácií, obzvlášť kardiovaskulárnych (napr. defekt komorovej a predsieňovej priehradky) spojené s používaním paroxetínu počas prvého trimestra. Mechanizmus nie je známy. Údaje svedčia o tom, že riziko, že sa dieťa narodí s kardiovaskulárnym defektom po expozícii matky paroxetínu, je menšie ako 2/100 v porovnaní s očakávaným výskytom takýchto defektov približne 1/100 vo všeobecnej populácii.</w:t>
      </w:r>
    </w:p>
    <w:p w14:paraId="2BBE15CA" w14:textId="77777777" w:rsidR="00CD0E60" w:rsidRPr="00665466" w:rsidRDefault="00CD0E60" w:rsidP="00665466">
      <w:pPr>
        <w:rPr>
          <w:sz w:val="22"/>
          <w:szCs w:val="22"/>
          <w:lang w:val="sk-SK"/>
        </w:rPr>
      </w:pPr>
    </w:p>
    <w:p w14:paraId="3656C398"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w:t>
      </w:r>
      <w:r w:rsidR="0026619E" w:rsidRPr="00665466">
        <w:rPr>
          <w:sz w:val="22"/>
          <w:szCs w:val="22"/>
          <w:lang w:val="sk-SK"/>
        </w:rPr>
        <w:t>sa má</w:t>
      </w:r>
      <w:r w:rsidRPr="00665466">
        <w:rPr>
          <w:sz w:val="22"/>
          <w:szCs w:val="22"/>
          <w:lang w:val="sk-SK"/>
        </w:rPr>
        <w:t xml:space="preserve"> </w:t>
      </w:r>
      <w:r w:rsidR="0026619E" w:rsidRPr="00665466">
        <w:rPr>
          <w:sz w:val="22"/>
          <w:szCs w:val="22"/>
          <w:lang w:val="sk-SK"/>
        </w:rPr>
        <w:t>užívať</w:t>
      </w:r>
      <w:r w:rsidRPr="00665466">
        <w:rPr>
          <w:sz w:val="22"/>
          <w:szCs w:val="22"/>
          <w:lang w:val="sk-SK"/>
        </w:rPr>
        <w:t xml:space="preserve"> </w:t>
      </w:r>
      <w:r w:rsidR="00CD0E60" w:rsidRPr="00665466">
        <w:rPr>
          <w:sz w:val="22"/>
          <w:szCs w:val="22"/>
          <w:lang w:val="sk-SK"/>
        </w:rPr>
        <w:t>počas gravidity len v nevyhnutných prípadoch</w:t>
      </w:r>
      <w:r w:rsidRPr="00665466">
        <w:rPr>
          <w:sz w:val="22"/>
          <w:szCs w:val="22"/>
          <w:lang w:val="sk-SK"/>
        </w:rPr>
        <w:t xml:space="preserve">. </w:t>
      </w:r>
      <w:r w:rsidR="00E63137" w:rsidRPr="00665466">
        <w:rPr>
          <w:sz w:val="22"/>
          <w:szCs w:val="22"/>
          <w:lang w:val="sk-SK"/>
        </w:rPr>
        <w:t>Ošetrujúci lekár má zvážiť možnosť alternatívnej liečby u tehotných žien alebo u žien, ktoré plánujú otehotnieť.</w:t>
      </w:r>
      <w:r w:rsidRPr="00665466">
        <w:rPr>
          <w:sz w:val="22"/>
          <w:szCs w:val="22"/>
          <w:lang w:val="sk-SK"/>
        </w:rPr>
        <w:t xml:space="preserve"> Náhlemu prerušeniu liečby počas gravidity sa má zabrániť (pozri časť</w:t>
      </w:r>
      <w:r w:rsidRPr="00665466">
        <w:rPr>
          <w:b/>
          <w:bCs/>
          <w:sz w:val="22"/>
          <w:szCs w:val="22"/>
          <w:lang w:val="sk-SK"/>
        </w:rPr>
        <w:t xml:space="preserve"> </w:t>
      </w:r>
      <w:r w:rsidRPr="00665466">
        <w:rPr>
          <w:sz w:val="22"/>
          <w:szCs w:val="22"/>
          <w:lang w:val="sk-SK"/>
        </w:rPr>
        <w:t>4.2).</w:t>
      </w:r>
    </w:p>
    <w:p w14:paraId="399A768F" w14:textId="77777777" w:rsidR="00B24275" w:rsidRPr="00665466" w:rsidRDefault="00B24275" w:rsidP="00665466">
      <w:pPr>
        <w:autoSpaceDE w:val="0"/>
        <w:autoSpaceDN w:val="0"/>
        <w:adjustRightInd w:val="0"/>
        <w:rPr>
          <w:sz w:val="22"/>
          <w:szCs w:val="22"/>
          <w:lang w:val="sk-SK"/>
        </w:rPr>
      </w:pPr>
    </w:p>
    <w:p w14:paraId="75C32BB4" w14:textId="77777777" w:rsidR="00B24275" w:rsidRPr="00665466" w:rsidRDefault="00B24275" w:rsidP="00665466">
      <w:pPr>
        <w:autoSpaceDE w:val="0"/>
        <w:autoSpaceDN w:val="0"/>
        <w:adjustRightInd w:val="0"/>
        <w:rPr>
          <w:sz w:val="22"/>
          <w:szCs w:val="22"/>
          <w:lang w:val="sk-SK"/>
        </w:rPr>
      </w:pPr>
      <w:r w:rsidRPr="00665466">
        <w:rPr>
          <w:sz w:val="22"/>
          <w:szCs w:val="22"/>
          <w:lang w:val="sk-SK"/>
        </w:rPr>
        <w:t>Novorodenci sa musia pozorovať, ak ich matky pokračovali v užívaní paroxetínu v neskorších štádiách gravidity, hlavne v treťom trimestri.</w:t>
      </w:r>
    </w:p>
    <w:p w14:paraId="5B709DD6" w14:textId="77777777" w:rsidR="00B24275" w:rsidRPr="00665466" w:rsidRDefault="00B24275" w:rsidP="00665466">
      <w:pPr>
        <w:autoSpaceDE w:val="0"/>
        <w:autoSpaceDN w:val="0"/>
        <w:adjustRightInd w:val="0"/>
        <w:rPr>
          <w:sz w:val="22"/>
          <w:szCs w:val="22"/>
          <w:lang w:val="sk-SK"/>
        </w:rPr>
      </w:pPr>
    </w:p>
    <w:p w14:paraId="0A6407EB" w14:textId="77777777" w:rsidR="00B24275" w:rsidRPr="00665466" w:rsidRDefault="00B24275" w:rsidP="00665466">
      <w:pPr>
        <w:autoSpaceDE w:val="0"/>
        <w:autoSpaceDN w:val="0"/>
        <w:adjustRightInd w:val="0"/>
        <w:rPr>
          <w:sz w:val="22"/>
          <w:szCs w:val="22"/>
          <w:lang w:val="sk-SK"/>
        </w:rPr>
      </w:pPr>
      <w:r w:rsidRPr="00665466">
        <w:rPr>
          <w:sz w:val="22"/>
          <w:szCs w:val="22"/>
          <w:lang w:val="sk-SK"/>
        </w:rPr>
        <w:t>Nasledujúce symptómy sa môžu vyskytnúť u novorodenca, ktorého matka užívala paroxetín v</w:t>
      </w:r>
      <w:r w:rsidR="00E63137" w:rsidRPr="00665466">
        <w:rPr>
          <w:sz w:val="22"/>
          <w:szCs w:val="22"/>
          <w:lang w:val="sk-SK"/>
        </w:rPr>
        <w:t> </w:t>
      </w:r>
      <w:r w:rsidRPr="00665466">
        <w:rPr>
          <w:sz w:val="22"/>
          <w:szCs w:val="22"/>
          <w:lang w:val="sk-SK"/>
        </w:rPr>
        <w:t>neskorších štádiách gravidity: respiračná tieseň, cyanóza, apnoe, záchvaty</w:t>
      </w:r>
      <w:r w:rsidR="006A33BB" w:rsidRPr="00665466">
        <w:rPr>
          <w:sz w:val="22"/>
          <w:szCs w:val="22"/>
          <w:lang w:val="sk-SK"/>
        </w:rPr>
        <w:t xml:space="preserve"> kŕčov</w:t>
      </w:r>
      <w:r w:rsidRPr="00665466">
        <w:rPr>
          <w:sz w:val="22"/>
          <w:szCs w:val="22"/>
          <w:lang w:val="sk-SK"/>
        </w:rPr>
        <w:t xml:space="preserve">, kolísanie teploty, porucha príjmu potravy, dávenie, hypoglykémia, hypotónia, hypertónia, hyperreflexia, tremor, nervozita, podráždenosť, letargia, nepretržitý plač, somnolencia a ťažkosti so spánkom. Tieto symptómy môžu byť buď dôsledkom </w:t>
      </w:r>
      <w:r w:rsidR="002A1BF4" w:rsidRPr="00665466">
        <w:rPr>
          <w:sz w:val="22"/>
          <w:szCs w:val="22"/>
          <w:lang w:val="sk-SK"/>
        </w:rPr>
        <w:t>sér</w:t>
      </w:r>
      <w:r w:rsidRPr="00665466">
        <w:rPr>
          <w:sz w:val="22"/>
          <w:szCs w:val="22"/>
          <w:lang w:val="sk-SK"/>
        </w:rPr>
        <w:t>otonergných účinkov alebo abstinenčných symptómov. Vo väčšine prípadov komplikácie začnú okamžite alebo krátko (&lt; 24 hodín) po pôrode.</w:t>
      </w:r>
    </w:p>
    <w:p w14:paraId="3A90686F" w14:textId="77777777" w:rsidR="00B24275" w:rsidRPr="00665466" w:rsidRDefault="00B24275" w:rsidP="00665466">
      <w:pPr>
        <w:autoSpaceDE w:val="0"/>
        <w:autoSpaceDN w:val="0"/>
        <w:adjustRightInd w:val="0"/>
        <w:rPr>
          <w:sz w:val="22"/>
          <w:szCs w:val="22"/>
          <w:lang w:val="sk-SK"/>
        </w:rPr>
      </w:pPr>
    </w:p>
    <w:p w14:paraId="51034EA7" w14:textId="63E3A194" w:rsidR="00CD0E60" w:rsidRDefault="00CD0E60" w:rsidP="00665466">
      <w:pPr>
        <w:autoSpaceDE w:val="0"/>
        <w:autoSpaceDN w:val="0"/>
        <w:adjustRightInd w:val="0"/>
        <w:rPr>
          <w:sz w:val="22"/>
          <w:szCs w:val="22"/>
          <w:lang w:val="sk-SK"/>
        </w:rPr>
      </w:pPr>
      <w:r w:rsidRPr="00665466">
        <w:rPr>
          <w:sz w:val="22"/>
          <w:szCs w:val="22"/>
          <w:lang w:val="sk-SK"/>
        </w:rPr>
        <w:t xml:space="preserve">Epidemiologické </w:t>
      </w:r>
      <w:r w:rsidR="00CB2566" w:rsidRPr="00665466">
        <w:rPr>
          <w:sz w:val="22"/>
          <w:szCs w:val="22"/>
          <w:lang w:val="sk-SK"/>
        </w:rPr>
        <w:t>štúdie naznačujú</w:t>
      </w:r>
      <w:r w:rsidRPr="00665466">
        <w:rPr>
          <w:sz w:val="22"/>
          <w:szCs w:val="22"/>
          <w:lang w:val="sk-SK"/>
        </w:rPr>
        <w:t xml:space="preserve">, že použitie SSRI </w:t>
      </w:r>
      <w:r w:rsidR="00CB2566" w:rsidRPr="00665466">
        <w:rPr>
          <w:sz w:val="22"/>
          <w:szCs w:val="22"/>
          <w:lang w:val="sk-SK"/>
        </w:rPr>
        <w:t>počas tehotenstva</w:t>
      </w:r>
      <w:r w:rsidRPr="00665466">
        <w:rPr>
          <w:sz w:val="22"/>
          <w:szCs w:val="22"/>
          <w:lang w:val="sk-SK"/>
        </w:rPr>
        <w:t xml:space="preserve">, </w:t>
      </w:r>
      <w:r w:rsidR="00CB2566" w:rsidRPr="00665466">
        <w:rPr>
          <w:sz w:val="22"/>
          <w:szCs w:val="22"/>
          <w:lang w:val="sk-SK"/>
        </w:rPr>
        <w:t>najmä počas pokročilého tehotenstva</w:t>
      </w:r>
      <w:r w:rsidRPr="00665466">
        <w:rPr>
          <w:sz w:val="22"/>
          <w:szCs w:val="22"/>
          <w:lang w:val="sk-SK"/>
        </w:rPr>
        <w:t xml:space="preserve">, môže </w:t>
      </w:r>
      <w:r w:rsidR="00CB2566" w:rsidRPr="00665466">
        <w:rPr>
          <w:sz w:val="22"/>
          <w:szCs w:val="22"/>
          <w:lang w:val="sk-SK"/>
        </w:rPr>
        <w:t>zvýšiť riziko vzniku</w:t>
      </w:r>
      <w:r w:rsidRPr="00665466">
        <w:rPr>
          <w:sz w:val="22"/>
          <w:szCs w:val="22"/>
          <w:lang w:val="sk-SK"/>
        </w:rPr>
        <w:t xml:space="preserve"> </w:t>
      </w:r>
      <w:r w:rsidR="00CB2566" w:rsidRPr="00665466">
        <w:rPr>
          <w:sz w:val="22"/>
          <w:szCs w:val="22"/>
          <w:lang w:val="sk-SK"/>
        </w:rPr>
        <w:t>perzistujúcej</w:t>
      </w:r>
      <w:r w:rsidRPr="00665466">
        <w:rPr>
          <w:sz w:val="22"/>
          <w:szCs w:val="22"/>
          <w:lang w:val="sk-SK"/>
        </w:rPr>
        <w:t xml:space="preserve"> pľúcnej hypertenzie novorodenc</w:t>
      </w:r>
      <w:r w:rsidR="00CB2566" w:rsidRPr="00665466">
        <w:rPr>
          <w:sz w:val="22"/>
          <w:szCs w:val="22"/>
          <w:lang w:val="sk-SK"/>
        </w:rPr>
        <w:t>ov</w:t>
      </w:r>
      <w:r w:rsidRPr="00665466">
        <w:rPr>
          <w:sz w:val="22"/>
          <w:szCs w:val="22"/>
          <w:lang w:val="sk-SK"/>
        </w:rPr>
        <w:t xml:space="preserve"> (PPHN). Pozorované riziko bolo približne 5 prípadov na 1</w:t>
      </w:r>
      <w:r w:rsidR="00206F30" w:rsidRPr="00665466">
        <w:rPr>
          <w:sz w:val="22"/>
          <w:szCs w:val="22"/>
          <w:lang w:val="sk-SK"/>
        </w:rPr>
        <w:t> </w:t>
      </w:r>
      <w:r w:rsidRPr="00665466">
        <w:rPr>
          <w:sz w:val="22"/>
          <w:szCs w:val="22"/>
          <w:lang w:val="sk-SK"/>
        </w:rPr>
        <w:t xml:space="preserve">000 tehotenstiev. </w:t>
      </w:r>
      <w:r w:rsidR="00CB2566" w:rsidRPr="00665466">
        <w:rPr>
          <w:sz w:val="22"/>
          <w:szCs w:val="22"/>
          <w:lang w:val="sk-SK"/>
        </w:rPr>
        <w:t>V bežnej</w:t>
      </w:r>
      <w:r w:rsidRPr="00665466">
        <w:rPr>
          <w:sz w:val="22"/>
          <w:szCs w:val="22"/>
          <w:lang w:val="sk-SK"/>
        </w:rPr>
        <w:t xml:space="preserve"> populácii sa vyskyt</w:t>
      </w:r>
      <w:r w:rsidR="00CB2566" w:rsidRPr="00665466">
        <w:rPr>
          <w:sz w:val="22"/>
          <w:szCs w:val="22"/>
          <w:lang w:val="sk-SK"/>
        </w:rPr>
        <w:t>uje 1 až 2 </w:t>
      </w:r>
      <w:r w:rsidRPr="00665466">
        <w:rPr>
          <w:sz w:val="22"/>
          <w:szCs w:val="22"/>
          <w:lang w:val="sk-SK"/>
        </w:rPr>
        <w:t>prípady PPHN na 1</w:t>
      </w:r>
      <w:r w:rsidR="00CB2566" w:rsidRPr="00665466">
        <w:rPr>
          <w:sz w:val="22"/>
          <w:szCs w:val="22"/>
          <w:lang w:val="sk-SK"/>
        </w:rPr>
        <w:t> </w:t>
      </w:r>
      <w:r w:rsidRPr="00665466">
        <w:rPr>
          <w:sz w:val="22"/>
          <w:szCs w:val="22"/>
          <w:lang w:val="sk-SK"/>
        </w:rPr>
        <w:t>000 tehotenstiev.</w:t>
      </w:r>
    </w:p>
    <w:p w14:paraId="2EBA8BCD" w14:textId="77777777" w:rsidR="00DF3E95" w:rsidRPr="00665466" w:rsidRDefault="00DF3E95" w:rsidP="00665466">
      <w:pPr>
        <w:autoSpaceDE w:val="0"/>
        <w:autoSpaceDN w:val="0"/>
        <w:adjustRightInd w:val="0"/>
        <w:rPr>
          <w:sz w:val="22"/>
          <w:szCs w:val="22"/>
          <w:lang w:val="sk-SK"/>
        </w:rPr>
      </w:pPr>
    </w:p>
    <w:p w14:paraId="06ED3ED4" w14:textId="3725B1AA" w:rsidR="00CD0E60" w:rsidRDefault="00DF3E95" w:rsidP="00665466">
      <w:pPr>
        <w:autoSpaceDE w:val="0"/>
        <w:autoSpaceDN w:val="0"/>
        <w:adjustRightInd w:val="0"/>
        <w:rPr>
          <w:sz w:val="22"/>
          <w:szCs w:val="22"/>
          <w:lang w:val="sk-SK"/>
        </w:rPr>
      </w:pPr>
      <w:r w:rsidRPr="00DF3E95">
        <w:rPr>
          <w:sz w:val="22"/>
          <w:szCs w:val="22"/>
          <w:lang w:val="sk-SK"/>
        </w:rPr>
        <w:lastRenderedPageBreak/>
        <w:t>Údaje z</w:t>
      </w:r>
      <w:r>
        <w:rPr>
          <w:sz w:val="22"/>
          <w:szCs w:val="22"/>
          <w:lang w:val="sk-SK"/>
        </w:rPr>
        <w:t> </w:t>
      </w:r>
      <w:r w:rsidRPr="00DF3E95">
        <w:rPr>
          <w:sz w:val="22"/>
          <w:szCs w:val="22"/>
          <w:lang w:val="sk-SK"/>
        </w:rPr>
        <w:t>pozorovaní naznačujú zvýšené riziko (menej ako dvojnásobné) popôrodného krvácania po vystavení SSRI/SNRI v</w:t>
      </w:r>
      <w:r>
        <w:rPr>
          <w:sz w:val="22"/>
          <w:szCs w:val="22"/>
          <w:lang w:val="sk-SK"/>
        </w:rPr>
        <w:t> </w:t>
      </w:r>
      <w:r w:rsidRPr="00DF3E95">
        <w:rPr>
          <w:sz w:val="22"/>
          <w:szCs w:val="22"/>
          <w:lang w:val="sk-SK"/>
        </w:rPr>
        <w:t>priebehu jedného mesiaca pred pôrodom (pozri časti 4.4, 4.8).</w:t>
      </w:r>
    </w:p>
    <w:p w14:paraId="7CFAB31E" w14:textId="77777777" w:rsidR="00DF3E95" w:rsidRPr="00665466" w:rsidRDefault="00DF3E95" w:rsidP="00665466">
      <w:pPr>
        <w:autoSpaceDE w:val="0"/>
        <w:autoSpaceDN w:val="0"/>
        <w:adjustRightInd w:val="0"/>
        <w:rPr>
          <w:sz w:val="22"/>
          <w:szCs w:val="22"/>
          <w:lang w:val="sk-SK"/>
        </w:rPr>
      </w:pPr>
    </w:p>
    <w:p w14:paraId="568FFC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Štúdie na zvieratách preukázali reprodukčnú toxicitu, ale nepreukázali priame škodlivé účinky na</w:t>
      </w:r>
      <w:r w:rsidR="00E63137" w:rsidRPr="00665466">
        <w:rPr>
          <w:sz w:val="22"/>
          <w:szCs w:val="22"/>
          <w:lang w:val="sk-SK"/>
        </w:rPr>
        <w:t> </w:t>
      </w:r>
      <w:r w:rsidRPr="00665466">
        <w:rPr>
          <w:sz w:val="22"/>
          <w:szCs w:val="22"/>
          <w:lang w:val="sk-SK"/>
        </w:rPr>
        <w:t>graviditu, embryonálny/fetálny vývoj, pôrod alebo postnatálny vývoj (pozri časť 5.3).</w:t>
      </w:r>
    </w:p>
    <w:p w14:paraId="6CD83CCE" w14:textId="77777777" w:rsidR="00B24275" w:rsidRPr="00665466" w:rsidRDefault="00B24275" w:rsidP="00665466">
      <w:pPr>
        <w:autoSpaceDE w:val="0"/>
        <w:autoSpaceDN w:val="0"/>
        <w:adjustRightInd w:val="0"/>
        <w:rPr>
          <w:b/>
          <w:bCs/>
          <w:sz w:val="22"/>
          <w:szCs w:val="22"/>
          <w:lang w:val="sk-SK"/>
        </w:rPr>
      </w:pPr>
    </w:p>
    <w:p w14:paraId="3EA1A2A6" w14:textId="36FEEDF7" w:rsidR="00B24275" w:rsidRPr="00665466" w:rsidRDefault="003056CE"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Dojčenie</w:t>
      </w:r>
    </w:p>
    <w:p w14:paraId="59E97EDD" w14:textId="6CFBDC6B" w:rsidR="00B24275" w:rsidRPr="00665466" w:rsidRDefault="00B24275" w:rsidP="00665466">
      <w:pPr>
        <w:autoSpaceDE w:val="0"/>
        <w:autoSpaceDN w:val="0"/>
        <w:adjustRightInd w:val="0"/>
        <w:rPr>
          <w:sz w:val="22"/>
          <w:szCs w:val="22"/>
          <w:lang w:val="sk-SK"/>
        </w:rPr>
      </w:pPr>
      <w:r w:rsidRPr="00665466">
        <w:rPr>
          <w:sz w:val="22"/>
          <w:szCs w:val="22"/>
          <w:lang w:val="sk-SK"/>
        </w:rPr>
        <w:t xml:space="preserve">Malé množstvá paroxetínu sa vylučujú do materského mlieka. V publikovaných štúdiách boli sérové koncentrácie u dojčených detí </w:t>
      </w:r>
      <w:r w:rsidR="00677ECD" w:rsidRPr="00665466">
        <w:rPr>
          <w:sz w:val="22"/>
          <w:szCs w:val="22"/>
          <w:lang w:val="sk-SK"/>
        </w:rPr>
        <w:t>nedetekovateľné</w:t>
      </w:r>
      <w:r w:rsidRPr="00665466">
        <w:rPr>
          <w:sz w:val="22"/>
          <w:szCs w:val="22"/>
          <w:lang w:val="sk-SK"/>
        </w:rPr>
        <w:t xml:space="preserve"> (&lt;</w:t>
      </w:r>
      <w:r w:rsidR="00523B6C" w:rsidRPr="00665466">
        <w:rPr>
          <w:sz w:val="22"/>
          <w:szCs w:val="22"/>
          <w:lang w:val="sk-SK"/>
        </w:rPr>
        <w:t> </w:t>
      </w:r>
      <w:r w:rsidRPr="00665466">
        <w:rPr>
          <w:sz w:val="22"/>
          <w:szCs w:val="22"/>
          <w:lang w:val="sk-SK"/>
        </w:rPr>
        <w:t>2</w:t>
      </w:r>
      <w:r w:rsidR="00523B6C" w:rsidRPr="00665466">
        <w:rPr>
          <w:sz w:val="22"/>
          <w:szCs w:val="22"/>
          <w:lang w:val="sk-SK"/>
        </w:rPr>
        <w:t> </w:t>
      </w:r>
      <w:r w:rsidRPr="00665466">
        <w:rPr>
          <w:sz w:val="22"/>
          <w:szCs w:val="22"/>
          <w:lang w:val="sk-SK"/>
        </w:rPr>
        <w:t>ng/ml) alebo veľmi nízke (&lt;</w:t>
      </w:r>
      <w:r w:rsidR="00523B6C" w:rsidRPr="00665466">
        <w:rPr>
          <w:sz w:val="22"/>
          <w:szCs w:val="22"/>
          <w:lang w:val="sk-SK"/>
        </w:rPr>
        <w:t> </w:t>
      </w:r>
      <w:r w:rsidRPr="00665466">
        <w:rPr>
          <w:sz w:val="22"/>
          <w:szCs w:val="22"/>
          <w:lang w:val="sk-SK"/>
        </w:rPr>
        <w:t>4</w:t>
      </w:r>
      <w:r w:rsidR="00523B6C" w:rsidRPr="00665466">
        <w:rPr>
          <w:sz w:val="22"/>
          <w:szCs w:val="22"/>
          <w:lang w:val="sk-SK"/>
        </w:rPr>
        <w:t> </w:t>
      </w:r>
      <w:r w:rsidRPr="00665466">
        <w:rPr>
          <w:sz w:val="22"/>
          <w:szCs w:val="22"/>
          <w:lang w:val="sk-SK"/>
        </w:rPr>
        <w:t>ng/ml)</w:t>
      </w:r>
      <w:r w:rsidR="009555D8" w:rsidRPr="00665466">
        <w:rPr>
          <w:sz w:val="22"/>
          <w:szCs w:val="22"/>
          <w:lang w:val="sk-SK"/>
        </w:rPr>
        <w:t xml:space="preserve"> a u </w:t>
      </w:r>
      <w:r w:rsidRPr="00665466">
        <w:rPr>
          <w:sz w:val="22"/>
          <w:szCs w:val="22"/>
          <w:lang w:val="sk-SK"/>
        </w:rPr>
        <w:t xml:space="preserve">týchto dojčiat neboli pozorované žiadne známky účinkov lieku. </w:t>
      </w:r>
      <w:r w:rsidR="009555D8" w:rsidRPr="00665466">
        <w:rPr>
          <w:sz w:val="22"/>
          <w:szCs w:val="22"/>
          <w:lang w:val="sk-SK"/>
        </w:rPr>
        <w:t>Keďže sa nepredpokladajú žiadne účinky, možno dojčenie zvážiť.</w:t>
      </w:r>
    </w:p>
    <w:p w14:paraId="4B16B5FA" w14:textId="77777777" w:rsidR="001D74F9" w:rsidRPr="00665466" w:rsidRDefault="001D74F9" w:rsidP="00665466">
      <w:pPr>
        <w:autoSpaceDE w:val="0"/>
        <w:autoSpaceDN w:val="0"/>
        <w:adjustRightInd w:val="0"/>
        <w:rPr>
          <w:sz w:val="22"/>
          <w:szCs w:val="22"/>
          <w:lang w:val="sk-SK"/>
        </w:rPr>
      </w:pPr>
    </w:p>
    <w:p w14:paraId="41500ED0" w14:textId="77777777" w:rsidR="00BA34B8" w:rsidRPr="00665466" w:rsidRDefault="00BA34B8"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Fertilita</w:t>
      </w:r>
    </w:p>
    <w:p w14:paraId="375516FB" w14:textId="77777777" w:rsidR="00BA34B8" w:rsidRPr="00665466" w:rsidRDefault="00BA34B8" w:rsidP="00665466">
      <w:pPr>
        <w:rPr>
          <w:sz w:val="22"/>
          <w:szCs w:val="22"/>
          <w:lang w:val="sk-SK"/>
        </w:rPr>
      </w:pPr>
      <w:r w:rsidRPr="00665466">
        <w:rPr>
          <w:sz w:val="22"/>
          <w:szCs w:val="22"/>
          <w:lang w:val="sk-SK"/>
        </w:rPr>
        <w:t xml:space="preserve">Štúdie na zvieratách preukázali, že paroxetín môže ovplyvniť kvalitu spermií (pozri časť 5.3). Údaje získané z ľudského materiálu </w:t>
      </w:r>
      <w:r w:rsidRPr="00665466">
        <w:rPr>
          <w:i/>
          <w:sz w:val="22"/>
          <w:szCs w:val="22"/>
          <w:lang w:val="sk-SK"/>
        </w:rPr>
        <w:t>in vitro</w:t>
      </w:r>
      <w:r w:rsidRPr="00665466">
        <w:rPr>
          <w:sz w:val="22"/>
          <w:szCs w:val="22"/>
          <w:lang w:val="sk-SK"/>
        </w:rPr>
        <w:t xml:space="preserve"> môžu naznačovať určitý vplyv na kvalitu spermií, avšak spontánne hlásenia u niektorých SSRI (vrátane paroxetínu) u ľudí preukázali, že vplyv na kvalitu spermií sa zdá byť reverzibilný. Vplyv na fertilitu ľudí sa zatiaľ nepozoroval.</w:t>
      </w:r>
    </w:p>
    <w:p w14:paraId="565F77B8" w14:textId="77777777" w:rsidR="00BA34B8" w:rsidRPr="00665466" w:rsidRDefault="00BA34B8" w:rsidP="00665466">
      <w:pPr>
        <w:autoSpaceDE w:val="0"/>
        <w:autoSpaceDN w:val="0"/>
        <w:adjustRightInd w:val="0"/>
        <w:rPr>
          <w:sz w:val="22"/>
          <w:szCs w:val="22"/>
          <w:lang w:val="sk-SK"/>
        </w:rPr>
      </w:pPr>
    </w:p>
    <w:p w14:paraId="2EB68BE2" w14:textId="2A7E2802"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4.7</w:t>
      </w:r>
      <w:r w:rsidR="00495392" w:rsidRPr="00665466">
        <w:rPr>
          <w:b/>
          <w:bCs/>
          <w:sz w:val="22"/>
          <w:szCs w:val="22"/>
          <w:lang w:val="sk-SK"/>
        </w:rPr>
        <w:tab/>
      </w:r>
      <w:r w:rsidRPr="00665466">
        <w:rPr>
          <w:b/>
          <w:bCs/>
          <w:sz w:val="22"/>
          <w:szCs w:val="22"/>
          <w:lang w:val="sk-SK"/>
        </w:rPr>
        <w:t>Ovplyvnenie schopnosti viesť vozidlá a obsluhovať stroje</w:t>
      </w:r>
    </w:p>
    <w:p w14:paraId="2C211C31" w14:textId="77777777" w:rsidR="00B24275" w:rsidRPr="00665466" w:rsidRDefault="00B24275" w:rsidP="00665466">
      <w:pPr>
        <w:keepNext/>
        <w:tabs>
          <w:tab w:val="left" w:pos="567"/>
        </w:tabs>
        <w:autoSpaceDE w:val="0"/>
        <w:autoSpaceDN w:val="0"/>
        <w:adjustRightInd w:val="0"/>
        <w:rPr>
          <w:sz w:val="22"/>
          <w:szCs w:val="22"/>
          <w:lang w:val="sk-SK"/>
        </w:rPr>
      </w:pPr>
    </w:p>
    <w:p w14:paraId="0D435B6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Klinické skúsenosti ukázali, že liečba paroxetínom nie je spojená s poškodením kognitívnej alebo psychomotorickej funkcie. Tak ako </w:t>
      </w:r>
      <w:r w:rsidR="00616AC3" w:rsidRPr="00665466">
        <w:rPr>
          <w:sz w:val="22"/>
          <w:szCs w:val="22"/>
          <w:lang w:val="sk-SK"/>
        </w:rPr>
        <w:t xml:space="preserve">pri </w:t>
      </w:r>
      <w:r w:rsidRPr="00665466">
        <w:rPr>
          <w:sz w:val="22"/>
          <w:szCs w:val="22"/>
          <w:lang w:val="sk-SK"/>
        </w:rPr>
        <w:t>všetkých lieko</w:t>
      </w:r>
      <w:r w:rsidR="00616AC3" w:rsidRPr="00665466">
        <w:rPr>
          <w:sz w:val="22"/>
          <w:szCs w:val="22"/>
          <w:lang w:val="sk-SK"/>
        </w:rPr>
        <w:t>ch</w:t>
      </w:r>
      <w:r w:rsidRPr="00665466">
        <w:rPr>
          <w:sz w:val="22"/>
          <w:szCs w:val="22"/>
          <w:lang w:val="sk-SK"/>
        </w:rPr>
        <w:t xml:space="preserve"> pôsobiacich na psychiku, pacienti musia byť obozretní, pokiaľ ide o ich schopnosť viesť vozidlá alebo obsluhovať stroje.</w:t>
      </w:r>
    </w:p>
    <w:p w14:paraId="6C15F221" w14:textId="77777777" w:rsidR="000C32A7" w:rsidRPr="00665466" w:rsidRDefault="000C32A7" w:rsidP="00665466">
      <w:pPr>
        <w:autoSpaceDE w:val="0"/>
        <w:autoSpaceDN w:val="0"/>
        <w:adjustRightInd w:val="0"/>
        <w:rPr>
          <w:sz w:val="22"/>
          <w:szCs w:val="22"/>
          <w:lang w:val="sk-SK"/>
        </w:rPr>
      </w:pPr>
    </w:p>
    <w:p w14:paraId="20F6BDEC" w14:textId="77777777" w:rsidR="00B24275" w:rsidRPr="00665466" w:rsidRDefault="00B24275" w:rsidP="00665466">
      <w:pPr>
        <w:autoSpaceDE w:val="0"/>
        <w:autoSpaceDN w:val="0"/>
        <w:adjustRightInd w:val="0"/>
        <w:rPr>
          <w:sz w:val="22"/>
          <w:szCs w:val="22"/>
          <w:lang w:val="sk-SK"/>
        </w:rPr>
      </w:pPr>
      <w:r w:rsidRPr="00665466">
        <w:rPr>
          <w:sz w:val="22"/>
          <w:szCs w:val="22"/>
          <w:lang w:val="sk-SK"/>
        </w:rPr>
        <w:t>Aj keď paroxetín nezvyšuje vplyv alkoholu na mentálne a motorické zručnosti, súčasné používanie paroxetínu a alkoholu sa neodporúča.</w:t>
      </w:r>
    </w:p>
    <w:p w14:paraId="34E0C9CC" w14:textId="77777777" w:rsidR="00B24275" w:rsidRPr="00665466" w:rsidRDefault="00B24275" w:rsidP="00665466">
      <w:pPr>
        <w:autoSpaceDE w:val="0"/>
        <w:autoSpaceDN w:val="0"/>
        <w:adjustRightInd w:val="0"/>
        <w:rPr>
          <w:bCs/>
          <w:sz w:val="22"/>
          <w:szCs w:val="22"/>
          <w:lang w:val="sk-SK"/>
        </w:rPr>
      </w:pPr>
    </w:p>
    <w:p w14:paraId="2EAA6064" w14:textId="44D18C0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4.8</w:t>
      </w:r>
      <w:r w:rsidR="00495392" w:rsidRPr="00665466">
        <w:rPr>
          <w:b/>
          <w:bCs/>
          <w:sz w:val="22"/>
          <w:szCs w:val="22"/>
          <w:lang w:val="sk-SK"/>
        </w:rPr>
        <w:tab/>
      </w:r>
      <w:r w:rsidRPr="00665466">
        <w:rPr>
          <w:b/>
          <w:bCs/>
          <w:sz w:val="22"/>
          <w:szCs w:val="22"/>
          <w:lang w:val="sk-SK"/>
        </w:rPr>
        <w:t>Nežiaduce účinky</w:t>
      </w:r>
    </w:p>
    <w:p w14:paraId="5940A887" w14:textId="77777777" w:rsidR="00B24275" w:rsidRPr="00665466" w:rsidRDefault="00B24275" w:rsidP="00665466">
      <w:pPr>
        <w:keepNext/>
        <w:tabs>
          <w:tab w:val="left" w:pos="567"/>
        </w:tabs>
        <w:autoSpaceDE w:val="0"/>
        <w:autoSpaceDN w:val="0"/>
        <w:adjustRightInd w:val="0"/>
        <w:rPr>
          <w:sz w:val="22"/>
          <w:szCs w:val="22"/>
          <w:lang w:val="sk-SK"/>
        </w:rPr>
      </w:pPr>
    </w:p>
    <w:p w14:paraId="208E38D5" w14:textId="77777777" w:rsidR="00B24275" w:rsidRPr="00665466" w:rsidRDefault="00B24275" w:rsidP="00665466">
      <w:pPr>
        <w:tabs>
          <w:tab w:val="left" w:pos="567"/>
        </w:tabs>
        <w:autoSpaceDE w:val="0"/>
        <w:autoSpaceDN w:val="0"/>
        <w:adjustRightInd w:val="0"/>
        <w:rPr>
          <w:sz w:val="22"/>
          <w:szCs w:val="22"/>
          <w:lang w:val="sk-SK"/>
        </w:rPr>
      </w:pPr>
      <w:r w:rsidRPr="00665466">
        <w:rPr>
          <w:sz w:val="22"/>
          <w:szCs w:val="22"/>
          <w:lang w:val="sk-SK"/>
        </w:rPr>
        <w:t xml:space="preserve">S pokračujúcou liečbou sa môže intenzita a frekvencia niektorých z nižšie uvedených nežiaducich reakcií </w:t>
      </w:r>
      <w:r w:rsidR="00EC42BC" w:rsidRPr="00665466">
        <w:rPr>
          <w:sz w:val="22"/>
          <w:szCs w:val="22"/>
          <w:lang w:val="sk-SK"/>
        </w:rPr>
        <w:t xml:space="preserve">na liek </w:t>
      </w:r>
      <w:r w:rsidRPr="00665466">
        <w:rPr>
          <w:sz w:val="22"/>
          <w:szCs w:val="22"/>
          <w:lang w:val="sk-SK"/>
        </w:rPr>
        <w:t xml:space="preserve">znižovať a zvyčajne nevedú k ukončeniu liečby. Nežiaduce reakcie </w:t>
      </w:r>
      <w:r w:rsidR="00964158" w:rsidRPr="00665466">
        <w:rPr>
          <w:sz w:val="22"/>
          <w:szCs w:val="22"/>
          <w:lang w:val="sk-SK"/>
        </w:rPr>
        <w:t xml:space="preserve">na liek </w:t>
      </w:r>
      <w:r w:rsidRPr="00665466">
        <w:rPr>
          <w:sz w:val="22"/>
          <w:szCs w:val="22"/>
          <w:lang w:val="sk-SK"/>
        </w:rPr>
        <w:t>sú uvedené nižšie podľa tried orgánových systémov a frekvencie</w:t>
      </w:r>
      <w:r w:rsidR="000B16F3" w:rsidRPr="00665466">
        <w:rPr>
          <w:sz w:val="22"/>
          <w:szCs w:val="22"/>
          <w:lang w:val="sk-SK"/>
        </w:rPr>
        <w:t xml:space="preserve"> výskytu</w:t>
      </w:r>
      <w:r w:rsidRPr="00665466">
        <w:rPr>
          <w:sz w:val="22"/>
          <w:szCs w:val="22"/>
          <w:lang w:val="sk-SK"/>
        </w:rPr>
        <w:t>. Frekvencie sú definované ako : veľmi časté (≥</w:t>
      </w:r>
      <w:r w:rsidR="000B16F3" w:rsidRPr="00665466">
        <w:rPr>
          <w:sz w:val="22"/>
          <w:szCs w:val="22"/>
          <w:lang w:val="sk-SK"/>
        </w:rPr>
        <w:t> </w:t>
      </w:r>
      <w:r w:rsidRPr="00665466">
        <w:rPr>
          <w:sz w:val="22"/>
          <w:szCs w:val="22"/>
          <w:lang w:val="sk-SK"/>
        </w:rPr>
        <w:t>1/10), časté (≥</w:t>
      </w:r>
      <w:r w:rsidR="000B16F3" w:rsidRPr="00665466">
        <w:rPr>
          <w:sz w:val="22"/>
          <w:szCs w:val="22"/>
          <w:lang w:val="sk-SK"/>
        </w:rPr>
        <w:t> </w:t>
      </w:r>
      <w:r w:rsidRPr="00665466">
        <w:rPr>
          <w:sz w:val="22"/>
          <w:szCs w:val="22"/>
          <w:lang w:val="sk-SK"/>
        </w:rPr>
        <w:t>1/100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1/10), menej časté (≥</w:t>
      </w:r>
      <w:r w:rsidR="000B16F3" w:rsidRPr="00665466">
        <w:rPr>
          <w:sz w:val="22"/>
          <w:szCs w:val="22"/>
          <w:lang w:val="sk-SK"/>
        </w:rPr>
        <w:t> </w:t>
      </w:r>
      <w:r w:rsidRPr="00665466">
        <w:rPr>
          <w:sz w:val="22"/>
          <w:szCs w:val="22"/>
          <w:lang w:val="sk-SK"/>
        </w:rPr>
        <w:t>1/1</w:t>
      </w:r>
      <w:r w:rsidR="000B16F3" w:rsidRPr="00665466">
        <w:rPr>
          <w:sz w:val="22"/>
          <w:szCs w:val="22"/>
          <w:lang w:val="sk-SK"/>
        </w:rPr>
        <w:t> </w:t>
      </w:r>
      <w:r w:rsidRPr="00665466">
        <w:rPr>
          <w:sz w:val="22"/>
          <w:szCs w:val="22"/>
          <w:lang w:val="sk-SK"/>
        </w:rPr>
        <w:t>000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1/100), zriedkavé (≥</w:t>
      </w:r>
      <w:r w:rsidR="000B16F3" w:rsidRPr="00665466">
        <w:rPr>
          <w:sz w:val="22"/>
          <w:szCs w:val="22"/>
          <w:lang w:val="sk-SK"/>
        </w:rPr>
        <w:t> </w:t>
      </w:r>
      <w:r w:rsidRPr="00665466">
        <w:rPr>
          <w:sz w:val="22"/>
          <w:szCs w:val="22"/>
          <w:lang w:val="sk-SK"/>
        </w:rPr>
        <w:t>1/10</w:t>
      </w:r>
      <w:r w:rsidR="000B16F3" w:rsidRPr="00665466">
        <w:rPr>
          <w:sz w:val="22"/>
          <w:szCs w:val="22"/>
          <w:lang w:val="sk-SK"/>
        </w:rPr>
        <w:t> </w:t>
      </w:r>
      <w:r w:rsidRPr="00665466">
        <w:rPr>
          <w:sz w:val="22"/>
          <w:szCs w:val="22"/>
          <w:lang w:val="sk-SK"/>
        </w:rPr>
        <w:t>000</w:t>
      </w:r>
      <w:r w:rsidR="00373B7B" w:rsidRPr="00665466">
        <w:rPr>
          <w:sz w:val="22"/>
          <w:szCs w:val="22"/>
          <w:lang w:val="sk-SK"/>
        </w:rPr>
        <w:t xml:space="preserve"> až</w:t>
      </w:r>
      <w:r w:rsidRPr="00665466">
        <w:rPr>
          <w:sz w:val="22"/>
          <w:szCs w:val="22"/>
          <w:lang w:val="sk-SK"/>
        </w:rPr>
        <w:t xml:space="preserve"> &lt;</w:t>
      </w:r>
      <w:r w:rsidR="000B16F3" w:rsidRPr="00665466">
        <w:rPr>
          <w:sz w:val="22"/>
          <w:szCs w:val="22"/>
          <w:lang w:val="sk-SK"/>
        </w:rPr>
        <w:t> </w:t>
      </w:r>
      <w:r w:rsidRPr="00665466">
        <w:rPr>
          <w:sz w:val="22"/>
          <w:szCs w:val="22"/>
          <w:lang w:val="sk-SK"/>
        </w:rPr>
        <w:t>1/1</w:t>
      </w:r>
      <w:r w:rsidR="000B16F3" w:rsidRPr="00665466">
        <w:rPr>
          <w:sz w:val="22"/>
          <w:szCs w:val="22"/>
          <w:lang w:val="sk-SK"/>
        </w:rPr>
        <w:t> </w:t>
      </w:r>
      <w:r w:rsidRPr="00665466">
        <w:rPr>
          <w:sz w:val="22"/>
          <w:szCs w:val="22"/>
          <w:lang w:val="sk-SK"/>
        </w:rPr>
        <w:t>000), veľmi zriedkavé (&lt;</w:t>
      </w:r>
      <w:r w:rsidR="000B16F3" w:rsidRPr="00665466">
        <w:rPr>
          <w:sz w:val="22"/>
          <w:szCs w:val="22"/>
          <w:lang w:val="sk-SK"/>
        </w:rPr>
        <w:t> </w:t>
      </w:r>
      <w:r w:rsidRPr="00665466">
        <w:rPr>
          <w:sz w:val="22"/>
          <w:szCs w:val="22"/>
          <w:lang w:val="sk-SK"/>
        </w:rPr>
        <w:t>1/10</w:t>
      </w:r>
      <w:r w:rsidR="000B16F3" w:rsidRPr="00665466">
        <w:rPr>
          <w:sz w:val="22"/>
          <w:szCs w:val="22"/>
          <w:lang w:val="sk-SK"/>
        </w:rPr>
        <w:t> </w:t>
      </w:r>
      <w:r w:rsidRPr="00665466">
        <w:rPr>
          <w:sz w:val="22"/>
          <w:szCs w:val="22"/>
          <w:lang w:val="sk-SK"/>
        </w:rPr>
        <w:t>000)</w:t>
      </w:r>
      <w:r w:rsidR="009555D8" w:rsidRPr="00665466">
        <w:rPr>
          <w:sz w:val="22"/>
          <w:szCs w:val="22"/>
          <w:lang w:val="sk-SK"/>
        </w:rPr>
        <w:t xml:space="preserve"> a</w:t>
      </w:r>
      <w:r w:rsidRPr="00665466">
        <w:rPr>
          <w:sz w:val="22"/>
          <w:szCs w:val="22"/>
          <w:lang w:val="sk-SK"/>
        </w:rPr>
        <w:t xml:space="preserve"> </w:t>
      </w:r>
      <w:r w:rsidR="009555D8" w:rsidRPr="00665466">
        <w:rPr>
          <w:sz w:val="22"/>
          <w:szCs w:val="22"/>
          <w:lang w:val="sk-SK"/>
        </w:rPr>
        <w:t>neznáme (častosť nemožno odhadnúť z dostupných údajov)</w:t>
      </w:r>
      <w:r w:rsidRPr="00665466">
        <w:rPr>
          <w:sz w:val="22"/>
          <w:szCs w:val="22"/>
          <w:lang w:val="sk-SK"/>
        </w:rPr>
        <w:t>.</w:t>
      </w:r>
    </w:p>
    <w:p w14:paraId="0B270B8A" w14:textId="77777777" w:rsidR="00B24275" w:rsidRPr="00665466" w:rsidRDefault="00B24275" w:rsidP="00665466">
      <w:pPr>
        <w:autoSpaceDE w:val="0"/>
        <w:autoSpaceDN w:val="0"/>
        <w:adjustRightInd w:val="0"/>
        <w:rPr>
          <w:bCs/>
          <w:sz w:val="22"/>
          <w:szCs w:val="22"/>
          <w:u w:val="single"/>
          <w:lang w:val="sk-SK"/>
        </w:rPr>
      </w:pPr>
    </w:p>
    <w:p w14:paraId="73F25D89"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krvi a lymfatického systému</w:t>
      </w:r>
    </w:p>
    <w:p w14:paraId="33FB37A6" w14:textId="35F59DF8" w:rsidR="00B24275" w:rsidRPr="00665466" w:rsidRDefault="00B24275" w:rsidP="00665466">
      <w:pPr>
        <w:autoSpaceDE w:val="0"/>
        <w:autoSpaceDN w:val="0"/>
        <w:adjustRightInd w:val="0"/>
        <w:rPr>
          <w:sz w:val="22"/>
          <w:szCs w:val="22"/>
          <w:lang w:val="sk-SK"/>
        </w:rPr>
      </w:pPr>
      <w:r w:rsidRPr="00665466">
        <w:rPr>
          <w:sz w:val="22"/>
          <w:szCs w:val="22"/>
          <w:lang w:val="sk-SK"/>
        </w:rPr>
        <w:t>Menej časté: abnormálne krvácanie, predovšetkým do kože a slizníc (</w:t>
      </w:r>
      <w:r w:rsidR="00A529CB" w:rsidRPr="00665466">
        <w:rPr>
          <w:sz w:val="22"/>
          <w:szCs w:val="22"/>
          <w:lang w:val="sk-SK"/>
        </w:rPr>
        <w:t xml:space="preserve">vrátane </w:t>
      </w:r>
      <w:r w:rsidRPr="00665466">
        <w:rPr>
          <w:sz w:val="22"/>
          <w:szCs w:val="22"/>
          <w:lang w:val="sk-SK"/>
        </w:rPr>
        <w:t>ekchymózy</w:t>
      </w:r>
      <w:r w:rsidR="00A529CB" w:rsidRPr="00665466">
        <w:rPr>
          <w:sz w:val="22"/>
          <w:szCs w:val="22"/>
          <w:lang w:val="sk-SK"/>
        </w:rPr>
        <w:t xml:space="preserve"> a gynekologického krvácania</w:t>
      </w:r>
      <w:r w:rsidRPr="00665466">
        <w:rPr>
          <w:sz w:val="22"/>
          <w:szCs w:val="22"/>
          <w:lang w:val="sk-SK"/>
        </w:rPr>
        <w:t>).</w:t>
      </w:r>
    </w:p>
    <w:p w14:paraId="47929DE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trombocytopénia.</w:t>
      </w:r>
    </w:p>
    <w:p w14:paraId="5EC10634" w14:textId="77777777" w:rsidR="00B24275" w:rsidRPr="00665466" w:rsidRDefault="00B24275" w:rsidP="00665466">
      <w:pPr>
        <w:autoSpaceDE w:val="0"/>
        <w:autoSpaceDN w:val="0"/>
        <w:adjustRightInd w:val="0"/>
        <w:rPr>
          <w:bCs/>
          <w:sz w:val="22"/>
          <w:szCs w:val="22"/>
          <w:u w:val="single"/>
          <w:lang w:val="sk-SK"/>
        </w:rPr>
      </w:pPr>
    </w:p>
    <w:p w14:paraId="2E17DDD2"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imunitného systému</w:t>
      </w:r>
    </w:p>
    <w:p w14:paraId="64A58E77"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9555D8" w:rsidRPr="00665466">
        <w:rPr>
          <w:sz w:val="22"/>
          <w:szCs w:val="22"/>
          <w:lang w:val="sk-SK"/>
        </w:rPr>
        <w:t xml:space="preserve">závažné a potenciálne smrteľné </w:t>
      </w:r>
      <w:r w:rsidRPr="00665466">
        <w:rPr>
          <w:sz w:val="22"/>
          <w:szCs w:val="22"/>
          <w:lang w:val="sk-SK"/>
        </w:rPr>
        <w:t>alergické reakcie (</w:t>
      </w:r>
      <w:r w:rsidR="009555D8" w:rsidRPr="00665466">
        <w:rPr>
          <w:sz w:val="22"/>
          <w:szCs w:val="22"/>
          <w:lang w:val="sk-SK"/>
        </w:rPr>
        <w:t xml:space="preserve">vrátane anafylaktických reakcií </w:t>
      </w:r>
      <w:r w:rsidRPr="00665466">
        <w:rPr>
          <w:sz w:val="22"/>
          <w:szCs w:val="22"/>
          <w:lang w:val="sk-SK"/>
        </w:rPr>
        <w:t>a angioedém</w:t>
      </w:r>
      <w:r w:rsidR="009555D8" w:rsidRPr="00665466">
        <w:rPr>
          <w:sz w:val="22"/>
          <w:szCs w:val="22"/>
          <w:lang w:val="sk-SK"/>
        </w:rPr>
        <w:t>u</w:t>
      </w:r>
      <w:r w:rsidRPr="00665466">
        <w:rPr>
          <w:sz w:val="22"/>
          <w:szCs w:val="22"/>
          <w:lang w:val="sk-SK"/>
        </w:rPr>
        <w:t>).</w:t>
      </w:r>
    </w:p>
    <w:p w14:paraId="3E574884" w14:textId="77777777" w:rsidR="00B24275" w:rsidRPr="00665466" w:rsidRDefault="00B24275" w:rsidP="00665466">
      <w:pPr>
        <w:autoSpaceDE w:val="0"/>
        <w:autoSpaceDN w:val="0"/>
        <w:adjustRightInd w:val="0"/>
        <w:rPr>
          <w:sz w:val="22"/>
          <w:szCs w:val="22"/>
          <w:u w:val="single"/>
          <w:lang w:val="sk-SK"/>
        </w:rPr>
      </w:pPr>
    </w:p>
    <w:p w14:paraId="3585CF43"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endokrinného systému</w:t>
      </w:r>
    </w:p>
    <w:p w14:paraId="696D18F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syndróm neprimeranej sekrécie antidiuretického hormónu (SIADH).</w:t>
      </w:r>
    </w:p>
    <w:p w14:paraId="19640E48" w14:textId="77777777" w:rsidR="00B24275" w:rsidRPr="00665466" w:rsidRDefault="00B24275" w:rsidP="00665466">
      <w:pPr>
        <w:autoSpaceDE w:val="0"/>
        <w:autoSpaceDN w:val="0"/>
        <w:adjustRightInd w:val="0"/>
        <w:rPr>
          <w:bCs/>
          <w:sz w:val="22"/>
          <w:szCs w:val="22"/>
          <w:u w:val="single"/>
          <w:lang w:val="sk-SK"/>
        </w:rPr>
      </w:pPr>
    </w:p>
    <w:p w14:paraId="2E84A35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metabolizmu a výživy</w:t>
      </w:r>
    </w:p>
    <w:p w14:paraId="317C245E"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w:t>
      </w:r>
      <w:r w:rsidR="009A0A66" w:rsidRPr="00665466">
        <w:rPr>
          <w:sz w:val="22"/>
          <w:szCs w:val="22"/>
          <w:lang w:val="sk-SK"/>
        </w:rPr>
        <w:t xml:space="preserve">zvýšené hladiny cholesterolu, </w:t>
      </w:r>
      <w:r w:rsidRPr="00665466">
        <w:rPr>
          <w:sz w:val="22"/>
          <w:szCs w:val="22"/>
          <w:lang w:val="sk-SK"/>
        </w:rPr>
        <w:t>znížená chuť do jedla</w:t>
      </w:r>
      <w:r w:rsidR="009A0A66" w:rsidRPr="00665466">
        <w:rPr>
          <w:sz w:val="22"/>
          <w:szCs w:val="22"/>
          <w:lang w:val="sk-SK"/>
        </w:rPr>
        <w:t>.</w:t>
      </w:r>
    </w:p>
    <w:p w14:paraId="028BEE1D" w14:textId="77777777" w:rsidR="009555D8" w:rsidRPr="00665466" w:rsidRDefault="009555D8" w:rsidP="00665466">
      <w:pPr>
        <w:autoSpaceDE w:val="0"/>
        <w:autoSpaceDN w:val="0"/>
        <w:adjustRightInd w:val="0"/>
        <w:rPr>
          <w:sz w:val="22"/>
          <w:szCs w:val="22"/>
          <w:lang w:val="sk-SK"/>
        </w:rPr>
      </w:pPr>
      <w:r w:rsidRPr="00665466">
        <w:rPr>
          <w:sz w:val="22"/>
          <w:szCs w:val="22"/>
          <w:lang w:val="sk-SK"/>
        </w:rPr>
        <w:t>Menej časté: u diabetických pacientov bola hlásená zmenená kontrola glykémie (pozri časť 4.4)</w:t>
      </w:r>
    </w:p>
    <w:p w14:paraId="4D3A7858"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hyponatriémia.</w:t>
      </w:r>
    </w:p>
    <w:p w14:paraId="5727AF72" w14:textId="77777777" w:rsidR="00B24275" w:rsidRPr="00665466" w:rsidRDefault="00B24275" w:rsidP="00665466">
      <w:pPr>
        <w:autoSpaceDE w:val="0"/>
        <w:autoSpaceDN w:val="0"/>
        <w:adjustRightInd w:val="0"/>
        <w:rPr>
          <w:sz w:val="22"/>
          <w:szCs w:val="22"/>
          <w:lang w:val="sk-SK"/>
        </w:rPr>
      </w:pPr>
      <w:r w:rsidRPr="00665466">
        <w:rPr>
          <w:sz w:val="22"/>
          <w:szCs w:val="22"/>
          <w:lang w:val="sk-SK"/>
        </w:rPr>
        <w:t>Hyponatriémia bola hlásená predovšetkým u starších pacientov a niekedy je dôsledkom syndrómu neprimeranej sekrécie antidiuretického hormónu (SIADH).</w:t>
      </w:r>
    </w:p>
    <w:p w14:paraId="28829357" w14:textId="77777777" w:rsidR="00B24275" w:rsidRPr="00665466" w:rsidRDefault="00B24275" w:rsidP="00665466">
      <w:pPr>
        <w:autoSpaceDE w:val="0"/>
        <w:autoSpaceDN w:val="0"/>
        <w:adjustRightInd w:val="0"/>
        <w:rPr>
          <w:bCs/>
          <w:sz w:val="22"/>
          <w:szCs w:val="22"/>
          <w:u w:val="single"/>
          <w:lang w:val="sk-SK"/>
        </w:rPr>
      </w:pPr>
    </w:p>
    <w:p w14:paraId="345B2BCD"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Psychické poruchy</w:t>
      </w:r>
    </w:p>
    <w:p w14:paraId="28AC1DFB"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somnolencia, insomnia</w:t>
      </w:r>
      <w:r w:rsidR="00A10BE0" w:rsidRPr="00665466">
        <w:rPr>
          <w:sz w:val="22"/>
          <w:szCs w:val="22"/>
          <w:lang w:val="sk-SK"/>
        </w:rPr>
        <w:t>, agitovanosť</w:t>
      </w:r>
      <w:r w:rsidR="009A0A66" w:rsidRPr="00665466">
        <w:rPr>
          <w:sz w:val="22"/>
          <w:szCs w:val="22"/>
          <w:lang w:val="sk-SK"/>
        </w:rPr>
        <w:t>, nezvyčajné sny (vrátane nočných m</w:t>
      </w:r>
      <w:r w:rsidR="00E32D23" w:rsidRPr="00665466">
        <w:rPr>
          <w:sz w:val="22"/>
          <w:szCs w:val="22"/>
          <w:lang w:val="sk-SK"/>
        </w:rPr>
        <w:t>ô</w:t>
      </w:r>
      <w:r w:rsidR="009A0A66" w:rsidRPr="00665466">
        <w:rPr>
          <w:sz w:val="22"/>
          <w:szCs w:val="22"/>
          <w:lang w:val="sk-SK"/>
        </w:rPr>
        <w:t>r)</w:t>
      </w:r>
      <w:r w:rsidRPr="00665466">
        <w:rPr>
          <w:sz w:val="22"/>
          <w:szCs w:val="22"/>
          <w:lang w:val="sk-SK"/>
        </w:rPr>
        <w:t>.</w:t>
      </w:r>
    </w:p>
    <w:p w14:paraId="6E06FD19"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zmätenosť, halucinácie.</w:t>
      </w:r>
    </w:p>
    <w:p w14:paraId="1D289CE6" w14:textId="6FBC54F8" w:rsidR="00B24275" w:rsidRPr="00665466" w:rsidRDefault="00B24275" w:rsidP="00665466">
      <w:pPr>
        <w:autoSpaceDE w:val="0"/>
        <w:autoSpaceDN w:val="0"/>
        <w:adjustRightInd w:val="0"/>
        <w:rPr>
          <w:sz w:val="22"/>
          <w:szCs w:val="22"/>
          <w:lang w:val="sk-SK"/>
        </w:rPr>
      </w:pPr>
      <w:r w:rsidRPr="00665466">
        <w:rPr>
          <w:sz w:val="22"/>
          <w:szCs w:val="22"/>
          <w:lang w:val="sk-SK"/>
        </w:rPr>
        <w:t>Zriedkavé: manické reakcie, úzkosť, depersonalizácia, záchvaty paniky, akatízia (pozri časť 4.4.).</w:t>
      </w:r>
    </w:p>
    <w:p w14:paraId="3A17DDED" w14:textId="27149160" w:rsidR="009A0A66" w:rsidRPr="00F0734E" w:rsidRDefault="00B24275" w:rsidP="00665466">
      <w:pPr>
        <w:autoSpaceDE w:val="0"/>
        <w:autoSpaceDN w:val="0"/>
        <w:adjustRightInd w:val="0"/>
        <w:rPr>
          <w:sz w:val="22"/>
          <w:szCs w:val="22"/>
          <w:lang w:val="sk-SK"/>
        </w:rPr>
      </w:pPr>
      <w:r w:rsidRPr="00665466">
        <w:rPr>
          <w:sz w:val="22"/>
          <w:szCs w:val="22"/>
          <w:lang w:val="sk-SK"/>
        </w:rPr>
        <w:t xml:space="preserve">Neznáme: </w:t>
      </w:r>
      <w:r w:rsidR="00FD575C" w:rsidRPr="00665466">
        <w:rPr>
          <w:color w:val="000000"/>
          <w:sz w:val="22"/>
          <w:szCs w:val="22"/>
          <w:lang w:val="sk-SK"/>
        </w:rPr>
        <w:t xml:space="preserve">bruxizmus, </w:t>
      </w:r>
      <w:r w:rsidR="000C32A7" w:rsidRPr="00F0734E">
        <w:rPr>
          <w:sz w:val="22"/>
          <w:szCs w:val="22"/>
          <w:lang w:val="sk-SK"/>
        </w:rPr>
        <w:t xml:space="preserve">agresivita, </w:t>
      </w:r>
      <w:r w:rsidRPr="00F0734E">
        <w:rPr>
          <w:sz w:val="22"/>
          <w:szCs w:val="22"/>
          <w:lang w:val="sk-SK"/>
        </w:rPr>
        <w:t>suicidálne myšlienky a suicidálne správanie</w:t>
      </w:r>
      <w:r w:rsidR="00A10BE0" w:rsidRPr="00F0734E">
        <w:rPr>
          <w:sz w:val="22"/>
          <w:szCs w:val="22"/>
          <w:lang w:val="sk-SK"/>
        </w:rPr>
        <w:t>.</w:t>
      </w:r>
    </w:p>
    <w:p w14:paraId="40A993AE" w14:textId="77777777" w:rsidR="009A0A66" w:rsidRPr="00665466" w:rsidRDefault="009A0A66" w:rsidP="00665466">
      <w:pPr>
        <w:autoSpaceDE w:val="0"/>
        <w:autoSpaceDN w:val="0"/>
        <w:adjustRightInd w:val="0"/>
        <w:rPr>
          <w:sz w:val="22"/>
          <w:szCs w:val="22"/>
          <w:lang w:val="sk-SK"/>
        </w:rPr>
      </w:pPr>
    </w:p>
    <w:p w14:paraId="44935819" w14:textId="66F807BD" w:rsidR="00B24275" w:rsidRPr="00665466" w:rsidRDefault="000C32A7" w:rsidP="00665466">
      <w:pPr>
        <w:keepNext/>
        <w:tabs>
          <w:tab w:val="left" w:pos="567"/>
        </w:tabs>
        <w:autoSpaceDE w:val="0"/>
        <w:autoSpaceDN w:val="0"/>
        <w:adjustRightInd w:val="0"/>
        <w:rPr>
          <w:sz w:val="22"/>
          <w:szCs w:val="22"/>
          <w:lang w:val="sk-SK"/>
        </w:rPr>
      </w:pPr>
      <w:r w:rsidRPr="00665466">
        <w:rPr>
          <w:sz w:val="22"/>
          <w:szCs w:val="22"/>
          <w:lang w:val="sk-SK"/>
        </w:rPr>
        <w:t xml:space="preserve">Prípady agresivity boli pozorované po uvedení lieku na trh. </w:t>
      </w:r>
      <w:r w:rsidR="00B24275" w:rsidRPr="00665466">
        <w:rPr>
          <w:sz w:val="22"/>
          <w:szCs w:val="22"/>
          <w:lang w:val="sk-SK"/>
        </w:rPr>
        <w:t>Prípady suicidálnych myšlienok a suicidálneho správania boli hlásené počas liečby alebo skoro po ukončení liečby paroxetínom (pozri časť</w:t>
      </w:r>
      <w:r w:rsidR="0081782C" w:rsidRPr="00665466">
        <w:rPr>
          <w:sz w:val="22"/>
          <w:szCs w:val="22"/>
          <w:lang w:val="sk-SK"/>
        </w:rPr>
        <w:t> </w:t>
      </w:r>
      <w:r w:rsidR="00B24275" w:rsidRPr="00665466">
        <w:rPr>
          <w:sz w:val="22"/>
          <w:szCs w:val="22"/>
          <w:lang w:val="sk-SK"/>
        </w:rPr>
        <w:t>4.4).</w:t>
      </w:r>
    </w:p>
    <w:p w14:paraId="63A78169" w14:textId="77777777" w:rsidR="00B24275" w:rsidRPr="00665466" w:rsidRDefault="00B24275" w:rsidP="00665466">
      <w:pPr>
        <w:autoSpaceDE w:val="0"/>
        <w:autoSpaceDN w:val="0"/>
        <w:adjustRightInd w:val="0"/>
        <w:rPr>
          <w:bCs/>
          <w:sz w:val="22"/>
          <w:szCs w:val="22"/>
          <w:lang w:val="sk-SK"/>
        </w:rPr>
      </w:pPr>
    </w:p>
    <w:p w14:paraId="2C1C7A2E" w14:textId="77777777" w:rsidR="00A10BE0" w:rsidRPr="00665466" w:rsidRDefault="00A10BE0" w:rsidP="00665466">
      <w:pPr>
        <w:autoSpaceDE w:val="0"/>
        <w:autoSpaceDN w:val="0"/>
        <w:adjustRightInd w:val="0"/>
        <w:rPr>
          <w:sz w:val="22"/>
          <w:szCs w:val="22"/>
          <w:lang w:val="sk-SK"/>
        </w:rPr>
      </w:pPr>
      <w:r w:rsidRPr="00665466">
        <w:rPr>
          <w:sz w:val="22"/>
          <w:szCs w:val="22"/>
          <w:lang w:val="sk-SK"/>
        </w:rPr>
        <w:t>Tieto symptómy môžu byť aj dôsledkom základného ochorenia.</w:t>
      </w:r>
    </w:p>
    <w:p w14:paraId="5B87F2CD" w14:textId="77777777" w:rsidR="00A10BE0" w:rsidRPr="00665466" w:rsidRDefault="00A10BE0" w:rsidP="00665466">
      <w:pPr>
        <w:autoSpaceDE w:val="0"/>
        <w:autoSpaceDN w:val="0"/>
        <w:adjustRightInd w:val="0"/>
        <w:rPr>
          <w:bCs/>
          <w:sz w:val="22"/>
          <w:szCs w:val="22"/>
          <w:u w:val="single"/>
          <w:lang w:val="sk-SK"/>
        </w:rPr>
      </w:pPr>
    </w:p>
    <w:p w14:paraId="097A963E"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nervového systému</w:t>
      </w:r>
    </w:p>
    <w:p w14:paraId="3EE26DFD"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závraty, tremor</w:t>
      </w:r>
      <w:r w:rsidR="009A0A66" w:rsidRPr="00665466">
        <w:rPr>
          <w:sz w:val="22"/>
          <w:szCs w:val="22"/>
          <w:lang w:val="sk-SK"/>
        </w:rPr>
        <w:t>, bolesti hlavy</w:t>
      </w:r>
      <w:r w:rsidR="005F10AC" w:rsidRPr="00665466">
        <w:rPr>
          <w:sz w:val="22"/>
          <w:szCs w:val="22"/>
          <w:lang w:val="sk-SK"/>
        </w:rPr>
        <w:t>, porucha koncentrácie</w:t>
      </w:r>
      <w:r w:rsidRPr="00665466">
        <w:rPr>
          <w:sz w:val="22"/>
          <w:szCs w:val="22"/>
          <w:lang w:val="sk-SK"/>
        </w:rPr>
        <w:t>.</w:t>
      </w:r>
    </w:p>
    <w:p w14:paraId="0FA255DC"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extrapyram</w:t>
      </w:r>
      <w:r w:rsidR="00850AB5" w:rsidRPr="00665466">
        <w:rPr>
          <w:sz w:val="22"/>
          <w:szCs w:val="22"/>
          <w:lang w:val="sk-SK"/>
        </w:rPr>
        <w:t>í</w:t>
      </w:r>
      <w:r w:rsidRPr="00665466">
        <w:rPr>
          <w:sz w:val="22"/>
          <w:szCs w:val="22"/>
          <w:lang w:val="sk-SK"/>
        </w:rPr>
        <w:t>d</w:t>
      </w:r>
      <w:r w:rsidR="00850AB5" w:rsidRPr="00665466">
        <w:rPr>
          <w:sz w:val="22"/>
          <w:szCs w:val="22"/>
          <w:lang w:val="sk-SK"/>
        </w:rPr>
        <w:t>ové</w:t>
      </w:r>
      <w:r w:rsidRPr="00665466">
        <w:rPr>
          <w:sz w:val="22"/>
          <w:szCs w:val="22"/>
          <w:lang w:val="sk-SK"/>
        </w:rPr>
        <w:t xml:space="preserve"> poruchy.</w:t>
      </w:r>
    </w:p>
    <w:p w14:paraId="61C48F51"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kŕče</w:t>
      </w:r>
      <w:r w:rsidR="009A0A66" w:rsidRPr="00665466">
        <w:rPr>
          <w:sz w:val="22"/>
          <w:szCs w:val="22"/>
          <w:lang w:val="sk-SK"/>
        </w:rPr>
        <w:t>, syndróm nepokojných nôh (RLS)</w:t>
      </w:r>
      <w:r w:rsidRPr="00665466">
        <w:rPr>
          <w:sz w:val="22"/>
          <w:szCs w:val="22"/>
          <w:lang w:val="sk-SK"/>
        </w:rPr>
        <w:t>.</w:t>
      </w:r>
    </w:p>
    <w:p w14:paraId="4CBB11AF"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2A1BF4" w:rsidRPr="00665466">
        <w:rPr>
          <w:sz w:val="22"/>
          <w:szCs w:val="22"/>
          <w:lang w:val="sk-SK"/>
        </w:rPr>
        <w:t>sér</w:t>
      </w:r>
      <w:r w:rsidRPr="00665466">
        <w:rPr>
          <w:sz w:val="22"/>
          <w:szCs w:val="22"/>
          <w:lang w:val="sk-SK"/>
        </w:rPr>
        <w:t>otonínový syndróm (symptómy môžu zahŕňať agitovanosť, zmätenosť, diaforézu, halucinácie, hyperreflexiu, myoklóniu, tras, tachykardiu a tremor).</w:t>
      </w:r>
    </w:p>
    <w:p w14:paraId="3FA238B2" w14:textId="77777777" w:rsidR="00D30EE9" w:rsidRPr="00665466" w:rsidRDefault="00D30EE9" w:rsidP="00665466">
      <w:pPr>
        <w:autoSpaceDE w:val="0"/>
        <w:autoSpaceDN w:val="0"/>
        <w:adjustRightInd w:val="0"/>
        <w:rPr>
          <w:sz w:val="22"/>
          <w:szCs w:val="22"/>
          <w:lang w:val="sk-SK"/>
        </w:rPr>
      </w:pPr>
    </w:p>
    <w:p w14:paraId="4D65E180" w14:textId="77777777" w:rsidR="00B24275" w:rsidRPr="00665466" w:rsidRDefault="00B24275" w:rsidP="00665466">
      <w:pPr>
        <w:autoSpaceDE w:val="0"/>
        <w:autoSpaceDN w:val="0"/>
        <w:adjustRightInd w:val="0"/>
        <w:rPr>
          <w:sz w:val="22"/>
          <w:szCs w:val="22"/>
          <w:lang w:val="sk-SK"/>
        </w:rPr>
      </w:pPr>
      <w:r w:rsidRPr="00665466">
        <w:rPr>
          <w:sz w:val="22"/>
          <w:szCs w:val="22"/>
          <w:lang w:val="sk-SK"/>
        </w:rPr>
        <w:t>Hlásenia o extrapyram</w:t>
      </w:r>
      <w:r w:rsidR="00923EB9" w:rsidRPr="00665466">
        <w:rPr>
          <w:sz w:val="22"/>
          <w:szCs w:val="22"/>
          <w:lang w:val="sk-SK"/>
        </w:rPr>
        <w:t>í</w:t>
      </w:r>
      <w:r w:rsidRPr="00665466">
        <w:rPr>
          <w:sz w:val="22"/>
          <w:szCs w:val="22"/>
          <w:lang w:val="sk-SK"/>
        </w:rPr>
        <w:t>d</w:t>
      </w:r>
      <w:r w:rsidR="00923EB9" w:rsidRPr="00665466">
        <w:rPr>
          <w:sz w:val="22"/>
          <w:szCs w:val="22"/>
          <w:lang w:val="sk-SK"/>
        </w:rPr>
        <w:t>ov</w:t>
      </w:r>
      <w:r w:rsidRPr="00665466">
        <w:rPr>
          <w:sz w:val="22"/>
          <w:szCs w:val="22"/>
          <w:lang w:val="sk-SK"/>
        </w:rPr>
        <w:t>ej poruche zahŕňajúcej orofaciálnu dystóniu boli získané od pacientov niekedy so základnými pohybovými poruchami alebo u tých, ktorí používali neuroleptický liek.</w:t>
      </w:r>
    </w:p>
    <w:p w14:paraId="5888C75C" w14:textId="77777777" w:rsidR="00B24275" w:rsidRPr="00665466" w:rsidRDefault="00B24275" w:rsidP="00665466">
      <w:pPr>
        <w:autoSpaceDE w:val="0"/>
        <w:autoSpaceDN w:val="0"/>
        <w:adjustRightInd w:val="0"/>
        <w:rPr>
          <w:sz w:val="22"/>
          <w:szCs w:val="22"/>
          <w:u w:val="single"/>
          <w:lang w:val="sk-SK"/>
        </w:rPr>
      </w:pPr>
    </w:p>
    <w:p w14:paraId="125508CA" w14:textId="77777777" w:rsidR="00B24275" w:rsidRPr="00665466" w:rsidRDefault="000B16F3" w:rsidP="00665466">
      <w:pPr>
        <w:pStyle w:val="Nadpis2"/>
        <w:rPr>
          <w:b w:val="0"/>
          <w:u w:val="single"/>
          <w:lang w:val="sk-SK"/>
        </w:rPr>
      </w:pPr>
      <w:r w:rsidRPr="00665466">
        <w:rPr>
          <w:b w:val="0"/>
          <w:u w:val="single"/>
          <w:lang w:val="sk-SK"/>
        </w:rPr>
        <w:t xml:space="preserve">Poruchy </w:t>
      </w:r>
      <w:r w:rsidR="00B24275" w:rsidRPr="00665466">
        <w:rPr>
          <w:b w:val="0"/>
          <w:u w:val="single"/>
          <w:lang w:val="sk-SK"/>
        </w:rPr>
        <w:t>oka</w:t>
      </w:r>
    </w:p>
    <w:p w14:paraId="633EE43A"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rozmazané videnie.</w:t>
      </w:r>
    </w:p>
    <w:p w14:paraId="7EC683C5" w14:textId="0A4AB8A0" w:rsidR="009A0A66" w:rsidRPr="00665466" w:rsidRDefault="009A0A66" w:rsidP="00665466">
      <w:pPr>
        <w:autoSpaceDE w:val="0"/>
        <w:autoSpaceDN w:val="0"/>
        <w:adjustRightInd w:val="0"/>
        <w:rPr>
          <w:sz w:val="22"/>
          <w:szCs w:val="22"/>
          <w:lang w:val="sk-SK"/>
        </w:rPr>
      </w:pPr>
      <w:r w:rsidRPr="00665466">
        <w:rPr>
          <w:sz w:val="22"/>
          <w:szCs w:val="22"/>
          <w:lang w:val="sk-SK"/>
        </w:rPr>
        <w:t>Menej časté: mydriáza (pozri časť 4.4).</w:t>
      </w:r>
    </w:p>
    <w:p w14:paraId="20BA22B1"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akútny glaukóm.</w:t>
      </w:r>
    </w:p>
    <w:p w14:paraId="1FD1992C" w14:textId="77777777" w:rsidR="00B24275" w:rsidRPr="00665466" w:rsidRDefault="00B24275" w:rsidP="00665466">
      <w:pPr>
        <w:autoSpaceDE w:val="0"/>
        <w:autoSpaceDN w:val="0"/>
        <w:adjustRightInd w:val="0"/>
        <w:rPr>
          <w:bCs/>
          <w:sz w:val="22"/>
          <w:szCs w:val="22"/>
          <w:u w:val="single"/>
          <w:lang w:val="sk-SK"/>
        </w:rPr>
      </w:pPr>
    </w:p>
    <w:p w14:paraId="46EE01A7" w14:textId="77777777" w:rsidR="00A10BE0" w:rsidRPr="00665466" w:rsidRDefault="00A10BE0"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ucha a labyrintu</w:t>
      </w:r>
    </w:p>
    <w:p w14:paraId="33C24740" w14:textId="77777777" w:rsidR="00A10BE0" w:rsidRPr="00665466" w:rsidRDefault="00D30EE9" w:rsidP="00665466">
      <w:pPr>
        <w:autoSpaceDE w:val="0"/>
        <w:autoSpaceDN w:val="0"/>
        <w:adjustRightInd w:val="0"/>
        <w:rPr>
          <w:bCs/>
          <w:sz w:val="22"/>
          <w:szCs w:val="22"/>
          <w:lang w:val="sk-SK"/>
        </w:rPr>
      </w:pPr>
      <w:r w:rsidRPr="00665466">
        <w:rPr>
          <w:bCs/>
          <w:sz w:val="22"/>
          <w:szCs w:val="22"/>
          <w:lang w:val="sk-SK"/>
        </w:rPr>
        <w:t>N</w:t>
      </w:r>
      <w:r w:rsidR="00A10BE0" w:rsidRPr="00665466">
        <w:rPr>
          <w:bCs/>
          <w:sz w:val="22"/>
          <w:szCs w:val="22"/>
          <w:lang w:val="sk-SK"/>
        </w:rPr>
        <w:t>eznám</w:t>
      </w:r>
      <w:r w:rsidRPr="00665466">
        <w:rPr>
          <w:bCs/>
          <w:sz w:val="22"/>
          <w:szCs w:val="22"/>
          <w:lang w:val="sk-SK"/>
        </w:rPr>
        <w:t>e</w:t>
      </w:r>
      <w:r w:rsidR="00A10BE0" w:rsidRPr="00665466">
        <w:rPr>
          <w:bCs/>
          <w:sz w:val="22"/>
          <w:szCs w:val="22"/>
          <w:lang w:val="sk-SK"/>
        </w:rPr>
        <w:t>: ti</w:t>
      </w:r>
      <w:r w:rsidR="006B4696" w:rsidRPr="00665466">
        <w:rPr>
          <w:bCs/>
          <w:sz w:val="22"/>
          <w:szCs w:val="22"/>
          <w:lang w:val="sk-SK"/>
        </w:rPr>
        <w:t>n</w:t>
      </w:r>
      <w:r w:rsidR="00A10BE0" w:rsidRPr="00665466">
        <w:rPr>
          <w:bCs/>
          <w:sz w:val="22"/>
          <w:szCs w:val="22"/>
          <w:lang w:val="sk-SK"/>
        </w:rPr>
        <w:t>nitus.</w:t>
      </w:r>
    </w:p>
    <w:p w14:paraId="3F342516" w14:textId="77777777" w:rsidR="00A10BE0" w:rsidRPr="00665466" w:rsidRDefault="00A10BE0" w:rsidP="00665466">
      <w:pPr>
        <w:autoSpaceDE w:val="0"/>
        <w:autoSpaceDN w:val="0"/>
        <w:adjustRightInd w:val="0"/>
        <w:rPr>
          <w:bCs/>
          <w:sz w:val="22"/>
          <w:szCs w:val="22"/>
          <w:u w:val="single"/>
          <w:lang w:val="sk-SK"/>
        </w:rPr>
      </w:pPr>
    </w:p>
    <w:p w14:paraId="4E7F97BB"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srdca a srdcovej činnosti</w:t>
      </w:r>
    </w:p>
    <w:p w14:paraId="0FECB981"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sínusová tachykardia.</w:t>
      </w:r>
    </w:p>
    <w:p w14:paraId="079531CE" w14:textId="2C703722" w:rsidR="00B24275" w:rsidRPr="00665466" w:rsidRDefault="00B24275" w:rsidP="00665466">
      <w:pPr>
        <w:autoSpaceDE w:val="0"/>
        <w:autoSpaceDN w:val="0"/>
        <w:adjustRightInd w:val="0"/>
        <w:rPr>
          <w:sz w:val="22"/>
          <w:szCs w:val="22"/>
          <w:lang w:val="sk-SK"/>
        </w:rPr>
      </w:pPr>
      <w:r w:rsidRPr="00665466">
        <w:rPr>
          <w:sz w:val="22"/>
          <w:szCs w:val="22"/>
          <w:lang w:val="sk-SK"/>
        </w:rPr>
        <w:t>Zriedkavé: bradykardia</w:t>
      </w:r>
      <w:r w:rsidR="005E05B4">
        <w:rPr>
          <w:sz w:val="22"/>
          <w:szCs w:val="22"/>
          <w:lang w:val="sk-SK"/>
        </w:rPr>
        <w:t>.</w:t>
      </w:r>
    </w:p>
    <w:p w14:paraId="01A45833" w14:textId="77777777" w:rsidR="00B24275" w:rsidRPr="00665466" w:rsidRDefault="00B24275" w:rsidP="00665466">
      <w:pPr>
        <w:autoSpaceDE w:val="0"/>
        <w:autoSpaceDN w:val="0"/>
        <w:adjustRightInd w:val="0"/>
        <w:rPr>
          <w:bCs/>
          <w:sz w:val="22"/>
          <w:szCs w:val="22"/>
          <w:u w:val="single"/>
          <w:lang w:val="sk-SK"/>
        </w:rPr>
      </w:pPr>
    </w:p>
    <w:p w14:paraId="18D83E06"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ciev</w:t>
      </w:r>
    </w:p>
    <w:p w14:paraId="3AD02713"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prechodné zvýšenie alebo zníženie krvného tlaku</w:t>
      </w:r>
      <w:r w:rsidR="009A0A66" w:rsidRPr="00665466">
        <w:rPr>
          <w:sz w:val="22"/>
          <w:szCs w:val="22"/>
          <w:lang w:val="sk-SK"/>
        </w:rPr>
        <w:t>, posturálna hypotenzia</w:t>
      </w:r>
      <w:r w:rsidRPr="00665466">
        <w:rPr>
          <w:sz w:val="22"/>
          <w:szCs w:val="22"/>
          <w:lang w:val="sk-SK"/>
        </w:rPr>
        <w:t>.</w:t>
      </w:r>
    </w:p>
    <w:p w14:paraId="5E77E066" w14:textId="77777777" w:rsidR="00B24275" w:rsidRPr="00665466" w:rsidRDefault="00B24275" w:rsidP="00665466">
      <w:pPr>
        <w:autoSpaceDE w:val="0"/>
        <w:autoSpaceDN w:val="0"/>
        <w:adjustRightInd w:val="0"/>
        <w:rPr>
          <w:sz w:val="22"/>
          <w:szCs w:val="22"/>
          <w:lang w:val="sk-SK"/>
        </w:rPr>
      </w:pPr>
      <w:r w:rsidRPr="00665466">
        <w:rPr>
          <w:sz w:val="22"/>
          <w:szCs w:val="22"/>
          <w:lang w:val="sk-SK"/>
        </w:rPr>
        <w:t>Po liečbe paroxetínom bolo hlásené prechodné zvýšenie alebo zníženie krvného tlaku, zvyčajne u</w:t>
      </w:r>
      <w:r w:rsidR="00A10BE0" w:rsidRPr="00665466">
        <w:rPr>
          <w:sz w:val="22"/>
          <w:szCs w:val="22"/>
          <w:lang w:val="sk-SK"/>
        </w:rPr>
        <w:t> </w:t>
      </w:r>
      <w:r w:rsidRPr="00665466">
        <w:rPr>
          <w:sz w:val="22"/>
          <w:szCs w:val="22"/>
          <w:lang w:val="sk-SK"/>
        </w:rPr>
        <w:t>pacientov, u ktorých už existovala hypertenzia alebo úzkosť.</w:t>
      </w:r>
    </w:p>
    <w:p w14:paraId="37E89F24" w14:textId="77777777" w:rsidR="00B24275" w:rsidRPr="00665466" w:rsidRDefault="00B24275" w:rsidP="00665466">
      <w:pPr>
        <w:autoSpaceDE w:val="0"/>
        <w:autoSpaceDN w:val="0"/>
        <w:adjustRightInd w:val="0"/>
        <w:rPr>
          <w:bCs/>
          <w:sz w:val="22"/>
          <w:szCs w:val="22"/>
          <w:u w:val="single"/>
          <w:lang w:val="sk-SK"/>
        </w:rPr>
      </w:pPr>
    </w:p>
    <w:p w14:paraId="722E0C1B" w14:textId="77777777" w:rsidR="00B24275" w:rsidRPr="00665466" w:rsidRDefault="000B16F3" w:rsidP="00665466">
      <w:pPr>
        <w:keepNext/>
        <w:tabs>
          <w:tab w:val="left" w:pos="567"/>
        </w:tabs>
        <w:autoSpaceDE w:val="0"/>
        <w:autoSpaceDN w:val="0"/>
        <w:adjustRightInd w:val="0"/>
        <w:rPr>
          <w:b/>
          <w:bCs/>
          <w:sz w:val="22"/>
          <w:szCs w:val="22"/>
          <w:lang w:val="sk-SK"/>
        </w:rPr>
      </w:pPr>
      <w:r w:rsidRPr="00665466">
        <w:rPr>
          <w:bCs/>
          <w:sz w:val="22"/>
          <w:szCs w:val="22"/>
          <w:u w:val="single"/>
          <w:lang w:val="sk-SK"/>
        </w:rPr>
        <w:t xml:space="preserve">Poruchy </w:t>
      </w:r>
      <w:r w:rsidR="00B24275" w:rsidRPr="00665466">
        <w:rPr>
          <w:bCs/>
          <w:sz w:val="22"/>
          <w:szCs w:val="22"/>
          <w:u w:val="single"/>
          <w:lang w:val="sk-SK"/>
        </w:rPr>
        <w:t>dýchacej sústavy, hrudníka a mediastína</w:t>
      </w:r>
    </w:p>
    <w:p w14:paraId="6B935474"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zívanie.</w:t>
      </w:r>
    </w:p>
    <w:p w14:paraId="0E1BCEAB" w14:textId="77777777" w:rsidR="00B24275" w:rsidRPr="00665466" w:rsidRDefault="00B24275" w:rsidP="00665466">
      <w:pPr>
        <w:autoSpaceDE w:val="0"/>
        <w:autoSpaceDN w:val="0"/>
        <w:adjustRightInd w:val="0"/>
        <w:rPr>
          <w:bCs/>
          <w:sz w:val="22"/>
          <w:szCs w:val="22"/>
          <w:u w:val="single"/>
          <w:lang w:val="sk-SK"/>
        </w:rPr>
      </w:pPr>
    </w:p>
    <w:p w14:paraId="5BD43895"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Poruchy gastrointestinálneho traktu</w:t>
      </w:r>
    </w:p>
    <w:p w14:paraId="778B8A63"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časté: nauzea.</w:t>
      </w:r>
    </w:p>
    <w:p w14:paraId="3F48E52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Časté: zápcha, hnačka, </w:t>
      </w:r>
      <w:r w:rsidR="009A0A66" w:rsidRPr="00665466">
        <w:rPr>
          <w:sz w:val="22"/>
          <w:szCs w:val="22"/>
          <w:lang w:val="sk-SK"/>
        </w:rPr>
        <w:t xml:space="preserve">vracanie, </w:t>
      </w:r>
      <w:r w:rsidRPr="00665466">
        <w:rPr>
          <w:sz w:val="22"/>
          <w:szCs w:val="22"/>
          <w:lang w:val="sk-SK"/>
        </w:rPr>
        <w:t>sucho v ústach.</w:t>
      </w:r>
    </w:p>
    <w:p w14:paraId="6A8B3C37" w14:textId="77777777" w:rsidR="00B24275" w:rsidRDefault="00B24275" w:rsidP="00665466">
      <w:pPr>
        <w:autoSpaceDE w:val="0"/>
        <w:autoSpaceDN w:val="0"/>
        <w:adjustRightInd w:val="0"/>
        <w:rPr>
          <w:sz w:val="22"/>
          <w:szCs w:val="22"/>
          <w:lang w:val="sk-SK"/>
        </w:rPr>
      </w:pPr>
      <w:r w:rsidRPr="00665466">
        <w:rPr>
          <w:sz w:val="22"/>
          <w:szCs w:val="22"/>
          <w:lang w:val="sk-SK"/>
        </w:rPr>
        <w:t>Veľmi zriedkavé: gastrointestinálne krvácanie.</w:t>
      </w:r>
    </w:p>
    <w:p w14:paraId="3E31B0EE" w14:textId="03DEB8AA" w:rsidR="0043702F" w:rsidRPr="00665466" w:rsidRDefault="0043702F" w:rsidP="00665466">
      <w:pPr>
        <w:autoSpaceDE w:val="0"/>
        <w:autoSpaceDN w:val="0"/>
        <w:adjustRightInd w:val="0"/>
        <w:rPr>
          <w:sz w:val="22"/>
          <w:szCs w:val="22"/>
          <w:lang w:val="sk-SK"/>
        </w:rPr>
      </w:pPr>
      <w:r>
        <w:rPr>
          <w:sz w:val="22"/>
          <w:szCs w:val="22"/>
          <w:lang w:val="sk-SK"/>
        </w:rPr>
        <w:t xml:space="preserve">Neznáme: mikroskopická kolitída. </w:t>
      </w:r>
    </w:p>
    <w:p w14:paraId="7A91F546" w14:textId="77777777" w:rsidR="00B24275" w:rsidRPr="00665466" w:rsidRDefault="00B24275" w:rsidP="00665466">
      <w:pPr>
        <w:autoSpaceDE w:val="0"/>
        <w:autoSpaceDN w:val="0"/>
        <w:adjustRightInd w:val="0"/>
        <w:rPr>
          <w:bCs/>
          <w:sz w:val="22"/>
          <w:szCs w:val="22"/>
          <w:u w:val="single"/>
          <w:lang w:val="sk-SK"/>
        </w:rPr>
      </w:pPr>
    </w:p>
    <w:p w14:paraId="4C7B82D4"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pečene a žlčových ciest</w:t>
      </w:r>
    </w:p>
    <w:p w14:paraId="3956D75B" w14:textId="77777777" w:rsidR="00B24275" w:rsidRPr="00665466" w:rsidRDefault="00B24275" w:rsidP="00665466">
      <w:pPr>
        <w:autoSpaceDE w:val="0"/>
        <w:autoSpaceDN w:val="0"/>
        <w:adjustRightInd w:val="0"/>
        <w:rPr>
          <w:sz w:val="22"/>
          <w:szCs w:val="22"/>
          <w:lang w:val="sk-SK"/>
        </w:rPr>
      </w:pPr>
      <w:r w:rsidRPr="00665466">
        <w:rPr>
          <w:sz w:val="22"/>
          <w:szCs w:val="22"/>
          <w:lang w:val="sk-SK"/>
        </w:rPr>
        <w:t>Zriedkavé: vzostup hladiny pečeňových enzýmov.</w:t>
      </w:r>
    </w:p>
    <w:p w14:paraId="53909DD1"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poruchy pečene (ako je hepatitída, niekedy spojená so žltačkou a/alebo zlyhaním pečene).</w:t>
      </w:r>
    </w:p>
    <w:p w14:paraId="6E033A02" w14:textId="77777777" w:rsidR="00B24275" w:rsidRPr="00665466" w:rsidRDefault="00B24275" w:rsidP="00665466">
      <w:pPr>
        <w:autoSpaceDE w:val="0"/>
        <w:autoSpaceDN w:val="0"/>
        <w:adjustRightInd w:val="0"/>
        <w:rPr>
          <w:sz w:val="22"/>
          <w:szCs w:val="22"/>
          <w:lang w:val="sk-SK"/>
        </w:rPr>
      </w:pPr>
      <w:r w:rsidRPr="00665466">
        <w:rPr>
          <w:sz w:val="22"/>
          <w:szCs w:val="22"/>
          <w:lang w:val="sk-SK"/>
        </w:rPr>
        <w:lastRenderedPageBreak/>
        <w:t>Hlásený bol vzostup hladiny pečeňových enzýmov. Veľmi zriedkavo boli získané aj postmarketingové hlásenia o poruchách pečene (ako je hepatitída, niekedy spojená so žltačkou a/alebo zlyhaním pečene). Prerušenie podávania paroxetínu sa musí zvážiť vtedy, ak sú výsledky funkčných testov pečene dlhodobo zvýšené.</w:t>
      </w:r>
    </w:p>
    <w:p w14:paraId="0CD54BD3" w14:textId="77777777" w:rsidR="00B24275" w:rsidRPr="00665466" w:rsidRDefault="00B24275" w:rsidP="00665466">
      <w:pPr>
        <w:autoSpaceDE w:val="0"/>
        <w:autoSpaceDN w:val="0"/>
        <w:adjustRightInd w:val="0"/>
        <w:rPr>
          <w:bCs/>
          <w:sz w:val="22"/>
          <w:szCs w:val="22"/>
          <w:u w:val="single"/>
          <w:lang w:val="sk-SK"/>
        </w:rPr>
      </w:pPr>
    </w:p>
    <w:p w14:paraId="6DCAA31C" w14:textId="77777777" w:rsidR="00B24275"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Poruchy kože a podkožného tkaniva</w:t>
      </w:r>
    </w:p>
    <w:p w14:paraId="11E051A0"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potenie.</w:t>
      </w:r>
    </w:p>
    <w:p w14:paraId="65A822B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Menej časté: </w:t>
      </w:r>
      <w:r w:rsidR="009A0A66" w:rsidRPr="00665466">
        <w:rPr>
          <w:sz w:val="22"/>
          <w:szCs w:val="22"/>
          <w:lang w:val="sk-SK"/>
        </w:rPr>
        <w:t>kožné vyrážky</w:t>
      </w:r>
      <w:r w:rsidRPr="00665466">
        <w:rPr>
          <w:sz w:val="22"/>
          <w:szCs w:val="22"/>
          <w:lang w:val="sk-SK"/>
        </w:rPr>
        <w:t>, pruritus.</w:t>
      </w:r>
    </w:p>
    <w:p w14:paraId="7E47C9A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Veľmi zriedkavé: </w:t>
      </w:r>
      <w:r w:rsidR="005F10AC" w:rsidRPr="00665466">
        <w:rPr>
          <w:sz w:val="22"/>
          <w:szCs w:val="22"/>
          <w:lang w:val="sk-SK"/>
        </w:rPr>
        <w:t xml:space="preserve">závažné kožné nežiaduce reakcie (vrátane multiformného erytému, Stevensovho-Johnsonovho syndrómu a toxickej epidermálnej nekrolýzy), </w:t>
      </w:r>
      <w:r w:rsidR="00D30EE9" w:rsidRPr="00665466">
        <w:rPr>
          <w:sz w:val="22"/>
          <w:szCs w:val="22"/>
          <w:lang w:val="sk-SK"/>
        </w:rPr>
        <w:t xml:space="preserve">urtikária, </w:t>
      </w:r>
      <w:r w:rsidRPr="00665466">
        <w:rPr>
          <w:sz w:val="22"/>
          <w:szCs w:val="22"/>
          <w:lang w:val="sk-SK"/>
        </w:rPr>
        <w:t>fotosenzitívne reakcie.</w:t>
      </w:r>
    </w:p>
    <w:p w14:paraId="230FCDFB" w14:textId="77777777" w:rsidR="00E003BE" w:rsidRPr="00665466" w:rsidRDefault="00E003BE" w:rsidP="00665466">
      <w:pPr>
        <w:autoSpaceDE w:val="0"/>
        <w:autoSpaceDN w:val="0"/>
        <w:adjustRightInd w:val="0"/>
        <w:rPr>
          <w:bCs/>
          <w:sz w:val="22"/>
          <w:szCs w:val="22"/>
          <w:u w:val="single"/>
          <w:lang w:val="sk-SK"/>
        </w:rPr>
      </w:pPr>
    </w:p>
    <w:p w14:paraId="305DE695" w14:textId="7E1B6479" w:rsidR="00CE79F5" w:rsidRPr="00665466" w:rsidRDefault="004341F4" w:rsidP="00665466">
      <w:pPr>
        <w:autoSpaceDE w:val="0"/>
        <w:autoSpaceDN w:val="0"/>
        <w:adjustRightInd w:val="0"/>
        <w:rPr>
          <w:bCs/>
          <w:sz w:val="22"/>
          <w:szCs w:val="22"/>
          <w:u w:val="single"/>
          <w:lang w:val="sk-SK"/>
        </w:rPr>
      </w:pPr>
      <w:r w:rsidRPr="00665466">
        <w:rPr>
          <w:bCs/>
          <w:sz w:val="22"/>
          <w:szCs w:val="22"/>
          <w:u w:val="single"/>
          <w:lang w:val="sk-SK"/>
        </w:rPr>
        <w:t>Poruchy kostrovej a svalovej sústavy a spojivového tkaniva</w:t>
      </w:r>
    </w:p>
    <w:p w14:paraId="159C515D" w14:textId="77777777" w:rsidR="00410ED6" w:rsidRPr="00F0734E" w:rsidRDefault="00410ED6" w:rsidP="00665466">
      <w:pPr>
        <w:autoSpaceDE w:val="0"/>
        <w:autoSpaceDN w:val="0"/>
        <w:adjustRightInd w:val="0"/>
        <w:rPr>
          <w:bCs/>
          <w:sz w:val="22"/>
          <w:szCs w:val="22"/>
          <w:lang w:val="sk-SK"/>
        </w:rPr>
      </w:pPr>
      <w:r w:rsidRPr="00F0734E">
        <w:rPr>
          <w:bCs/>
          <w:sz w:val="22"/>
          <w:szCs w:val="22"/>
          <w:lang w:val="sk-SK"/>
        </w:rPr>
        <w:t>Zriedkavé: artralgia, myalgia</w:t>
      </w:r>
    </w:p>
    <w:p w14:paraId="28EA222C" w14:textId="77777777" w:rsidR="00410ED6" w:rsidRPr="00665466" w:rsidRDefault="00410ED6" w:rsidP="00665466">
      <w:pPr>
        <w:autoSpaceDE w:val="0"/>
        <w:autoSpaceDN w:val="0"/>
        <w:adjustRightInd w:val="0"/>
        <w:rPr>
          <w:b/>
          <w:bCs/>
          <w:sz w:val="22"/>
          <w:szCs w:val="22"/>
          <w:lang w:val="sk-SK"/>
        </w:rPr>
      </w:pPr>
    </w:p>
    <w:p w14:paraId="392DAD1B" w14:textId="5B9916FF" w:rsidR="00410ED6" w:rsidRPr="00665466" w:rsidRDefault="00410ED6" w:rsidP="00665466">
      <w:pPr>
        <w:rPr>
          <w:bCs/>
          <w:sz w:val="22"/>
          <w:szCs w:val="22"/>
          <w:lang w:val="sk-SK"/>
        </w:rPr>
      </w:pPr>
      <w:r w:rsidRPr="00665466">
        <w:rPr>
          <w:bCs/>
          <w:sz w:val="22"/>
          <w:szCs w:val="22"/>
          <w:lang w:val="sk-SK"/>
        </w:rPr>
        <w:t>Epidemiologické štúdie vykonané hlavne na pacientoch vo veku 50 rokov a starších poukázali na zvýšené riziko zlomenín kostí u pacientov, ktorí užívajú SSRI a tricyklické antidepresíva (TCA). Mechanizmus vedúci k tomuto riziku nie je známy.</w:t>
      </w:r>
    </w:p>
    <w:p w14:paraId="2856A459" w14:textId="77777777" w:rsidR="00410ED6" w:rsidRPr="00665466" w:rsidRDefault="00410ED6" w:rsidP="00665466">
      <w:pPr>
        <w:autoSpaceDE w:val="0"/>
        <w:autoSpaceDN w:val="0"/>
        <w:adjustRightInd w:val="0"/>
        <w:rPr>
          <w:bCs/>
          <w:sz w:val="22"/>
          <w:szCs w:val="22"/>
          <w:u w:val="single"/>
          <w:lang w:val="sk-SK"/>
        </w:rPr>
      </w:pPr>
    </w:p>
    <w:p w14:paraId="1EEBC55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obličiek a </w:t>
      </w:r>
      <w:r w:rsidR="000B16F3" w:rsidRPr="00665466">
        <w:rPr>
          <w:bCs/>
          <w:sz w:val="22"/>
          <w:szCs w:val="22"/>
          <w:u w:val="single"/>
          <w:lang w:val="sk-SK"/>
        </w:rPr>
        <w:t>močových ciest</w:t>
      </w:r>
    </w:p>
    <w:p w14:paraId="55FF9B96"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zadržiavanie moču</w:t>
      </w:r>
      <w:r w:rsidR="00AF48C1" w:rsidRPr="00665466">
        <w:rPr>
          <w:sz w:val="22"/>
          <w:szCs w:val="22"/>
          <w:lang w:val="sk-SK"/>
        </w:rPr>
        <w:t>, inkontinencia moču</w:t>
      </w:r>
      <w:r w:rsidRPr="00665466">
        <w:rPr>
          <w:sz w:val="22"/>
          <w:szCs w:val="22"/>
          <w:lang w:val="sk-SK"/>
        </w:rPr>
        <w:t>.</w:t>
      </w:r>
    </w:p>
    <w:p w14:paraId="4A00ADAC" w14:textId="77777777" w:rsidR="00B24275" w:rsidRPr="00665466" w:rsidRDefault="00B24275" w:rsidP="00665466">
      <w:pPr>
        <w:autoSpaceDE w:val="0"/>
        <w:autoSpaceDN w:val="0"/>
        <w:adjustRightInd w:val="0"/>
        <w:rPr>
          <w:bCs/>
          <w:sz w:val="22"/>
          <w:szCs w:val="22"/>
          <w:u w:val="single"/>
          <w:lang w:val="sk-SK"/>
        </w:rPr>
      </w:pPr>
    </w:p>
    <w:p w14:paraId="171373B5" w14:textId="77777777" w:rsidR="00B24275" w:rsidRPr="00665466" w:rsidRDefault="000B16F3"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Poruchy </w:t>
      </w:r>
      <w:r w:rsidR="00B24275" w:rsidRPr="00665466">
        <w:rPr>
          <w:bCs/>
          <w:sz w:val="22"/>
          <w:szCs w:val="22"/>
          <w:u w:val="single"/>
          <w:lang w:val="sk-SK"/>
        </w:rPr>
        <w:t>reprodukčného systému a prsníkov</w:t>
      </w:r>
    </w:p>
    <w:p w14:paraId="604AA086"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časté: sexuálna dysfunkcia.</w:t>
      </w:r>
    </w:p>
    <w:p w14:paraId="29FD103E" w14:textId="1B1414C6" w:rsidR="00B24275" w:rsidRPr="00665466" w:rsidRDefault="00B24275" w:rsidP="00665466">
      <w:pPr>
        <w:autoSpaceDE w:val="0"/>
        <w:autoSpaceDN w:val="0"/>
        <w:adjustRightInd w:val="0"/>
        <w:rPr>
          <w:sz w:val="22"/>
          <w:szCs w:val="22"/>
          <w:lang w:val="sk-SK"/>
        </w:rPr>
      </w:pPr>
      <w:r w:rsidRPr="00665466">
        <w:rPr>
          <w:sz w:val="22"/>
          <w:szCs w:val="22"/>
          <w:lang w:val="sk-SK"/>
        </w:rPr>
        <w:t>Zriedkavé: hyperprolaktinémia/galaktorea</w:t>
      </w:r>
      <w:r w:rsidR="00E12F0D" w:rsidRPr="00665466">
        <w:rPr>
          <w:sz w:val="22"/>
          <w:szCs w:val="22"/>
          <w:lang w:val="sk-SK"/>
        </w:rPr>
        <w:t xml:space="preserve">, menštruačné poruchy (vrátane menorágie, </w:t>
      </w:r>
      <w:r w:rsidR="004341F4" w:rsidRPr="00665466">
        <w:rPr>
          <w:sz w:val="22"/>
          <w:szCs w:val="22"/>
          <w:lang w:val="sk-SK"/>
        </w:rPr>
        <w:t>m</w:t>
      </w:r>
      <w:r w:rsidR="00E12F0D" w:rsidRPr="00665466">
        <w:rPr>
          <w:sz w:val="22"/>
          <w:szCs w:val="22"/>
          <w:lang w:val="sk-SK"/>
        </w:rPr>
        <w:t>etrorágie, amenorey, oneskorenej menštruácie a nepravidelnej menštruácie)</w:t>
      </w:r>
      <w:r w:rsidRPr="00665466">
        <w:rPr>
          <w:sz w:val="22"/>
          <w:szCs w:val="22"/>
          <w:lang w:val="sk-SK"/>
        </w:rPr>
        <w:t>.</w:t>
      </w:r>
    </w:p>
    <w:p w14:paraId="6C64F303" w14:textId="3C1DA385" w:rsidR="00B24275" w:rsidRDefault="00B24275" w:rsidP="00665466">
      <w:pPr>
        <w:autoSpaceDE w:val="0"/>
        <w:autoSpaceDN w:val="0"/>
        <w:adjustRightInd w:val="0"/>
        <w:rPr>
          <w:sz w:val="22"/>
          <w:szCs w:val="22"/>
          <w:lang w:val="sk-SK"/>
        </w:rPr>
      </w:pPr>
      <w:r w:rsidRPr="00665466">
        <w:rPr>
          <w:sz w:val="22"/>
          <w:szCs w:val="22"/>
          <w:lang w:val="sk-SK"/>
        </w:rPr>
        <w:t>Veľmi zriedkavé: priapizmus.</w:t>
      </w:r>
    </w:p>
    <w:p w14:paraId="5816FA36" w14:textId="56B6BDCD" w:rsidR="00DF3E95" w:rsidRPr="00665466" w:rsidRDefault="00DF3E95" w:rsidP="00665466">
      <w:pPr>
        <w:autoSpaceDE w:val="0"/>
        <w:autoSpaceDN w:val="0"/>
        <w:adjustRightInd w:val="0"/>
        <w:rPr>
          <w:sz w:val="22"/>
          <w:szCs w:val="22"/>
          <w:lang w:val="sk-SK"/>
        </w:rPr>
      </w:pPr>
      <w:r>
        <w:rPr>
          <w:sz w:val="22"/>
          <w:szCs w:val="22"/>
          <w:lang w:val="sk-SK"/>
        </w:rPr>
        <w:t xml:space="preserve">Neznáme: popôrodne krvácanie - </w:t>
      </w:r>
      <w:r w:rsidRPr="00DF3E95">
        <w:rPr>
          <w:sz w:val="22"/>
          <w:szCs w:val="22"/>
          <w:lang w:val="sk-SK"/>
        </w:rPr>
        <w:t>Táto udalosť bola hlásená pre terapeutickú skupinu SSRI/SNRI (pozri časti 4.4, 4.6).</w:t>
      </w:r>
    </w:p>
    <w:p w14:paraId="77CBA7C8" w14:textId="77777777" w:rsidR="00B24275" w:rsidRPr="00665466" w:rsidRDefault="00B24275" w:rsidP="00665466">
      <w:pPr>
        <w:autoSpaceDE w:val="0"/>
        <w:autoSpaceDN w:val="0"/>
        <w:adjustRightInd w:val="0"/>
        <w:rPr>
          <w:bCs/>
          <w:sz w:val="22"/>
          <w:szCs w:val="22"/>
          <w:u w:val="single"/>
          <w:lang w:val="sk-SK"/>
        </w:rPr>
      </w:pPr>
    </w:p>
    <w:p w14:paraId="5AF0A0DC" w14:textId="77777777" w:rsidR="00B24275" w:rsidRPr="00665466" w:rsidRDefault="00B24275" w:rsidP="00665466">
      <w:pPr>
        <w:autoSpaceDE w:val="0"/>
        <w:autoSpaceDN w:val="0"/>
        <w:adjustRightInd w:val="0"/>
        <w:rPr>
          <w:bCs/>
          <w:sz w:val="22"/>
          <w:szCs w:val="22"/>
          <w:u w:val="single"/>
          <w:lang w:val="sk-SK"/>
        </w:rPr>
      </w:pPr>
      <w:r w:rsidRPr="00665466">
        <w:rPr>
          <w:bCs/>
          <w:sz w:val="22"/>
          <w:szCs w:val="22"/>
          <w:u w:val="single"/>
          <w:lang w:val="sk-SK"/>
        </w:rPr>
        <w:t xml:space="preserve">Celkové </w:t>
      </w:r>
      <w:r w:rsidR="000B16F3" w:rsidRPr="00665466">
        <w:rPr>
          <w:bCs/>
          <w:sz w:val="22"/>
          <w:szCs w:val="22"/>
          <w:u w:val="single"/>
          <w:lang w:val="sk-SK"/>
        </w:rPr>
        <w:t xml:space="preserve">poruchy </w:t>
      </w:r>
      <w:r w:rsidRPr="00665466">
        <w:rPr>
          <w:bCs/>
          <w:sz w:val="22"/>
          <w:szCs w:val="22"/>
          <w:u w:val="single"/>
          <w:lang w:val="sk-SK"/>
        </w:rPr>
        <w:t>a reakcie v mieste podania</w:t>
      </w:r>
    </w:p>
    <w:p w14:paraId="5C5805D7"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asténia, prírastok telesnej hmotnosti.</w:t>
      </w:r>
    </w:p>
    <w:p w14:paraId="37E4F4D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Veľmi zriedkavé: periférny edém.</w:t>
      </w:r>
    </w:p>
    <w:p w14:paraId="659230AD" w14:textId="77777777" w:rsidR="00B24275" w:rsidRPr="00665466" w:rsidRDefault="00B24275" w:rsidP="00665466">
      <w:pPr>
        <w:autoSpaceDE w:val="0"/>
        <w:autoSpaceDN w:val="0"/>
        <w:adjustRightInd w:val="0"/>
        <w:rPr>
          <w:bCs/>
          <w:sz w:val="22"/>
          <w:szCs w:val="22"/>
          <w:u w:val="single"/>
          <w:lang w:val="sk-SK"/>
        </w:rPr>
      </w:pPr>
    </w:p>
    <w:p w14:paraId="346242C0" w14:textId="77777777" w:rsidR="00B24275" w:rsidRPr="00665466" w:rsidRDefault="00447219" w:rsidP="00665466">
      <w:pPr>
        <w:keepNext/>
        <w:tabs>
          <w:tab w:val="left" w:pos="567"/>
        </w:tabs>
        <w:autoSpaceDE w:val="0"/>
        <w:autoSpaceDN w:val="0"/>
        <w:adjustRightInd w:val="0"/>
        <w:rPr>
          <w:b/>
          <w:bCs/>
          <w:sz w:val="22"/>
          <w:szCs w:val="22"/>
          <w:lang w:val="sk-SK"/>
        </w:rPr>
      </w:pPr>
      <w:r w:rsidRPr="00665466">
        <w:rPr>
          <w:bCs/>
          <w:sz w:val="22"/>
          <w:szCs w:val="22"/>
          <w:u w:val="single"/>
          <w:lang w:val="sk-SK"/>
        </w:rPr>
        <w:t>Abstinenčné symptómy pozorované po prerušení liečby paroxetínom</w:t>
      </w:r>
    </w:p>
    <w:p w14:paraId="38A79ACA" w14:textId="77777777" w:rsidR="00410ED6" w:rsidRPr="00665466" w:rsidRDefault="00410ED6" w:rsidP="00665466">
      <w:pPr>
        <w:autoSpaceDE w:val="0"/>
        <w:autoSpaceDN w:val="0"/>
        <w:adjustRightInd w:val="0"/>
        <w:rPr>
          <w:sz w:val="22"/>
          <w:szCs w:val="22"/>
          <w:lang w:val="sk-SK"/>
        </w:rPr>
      </w:pPr>
    </w:p>
    <w:p w14:paraId="10EA0576" w14:textId="77777777" w:rsidR="00B24275" w:rsidRPr="00665466" w:rsidRDefault="00B24275" w:rsidP="00665466">
      <w:pPr>
        <w:autoSpaceDE w:val="0"/>
        <w:autoSpaceDN w:val="0"/>
        <w:adjustRightInd w:val="0"/>
        <w:rPr>
          <w:sz w:val="22"/>
          <w:szCs w:val="22"/>
          <w:lang w:val="sk-SK"/>
        </w:rPr>
      </w:pPr>
      <w:r w:rsidRPr="00665466">
        <w:rPr>
          <w:sz w:val="22"/>
          <w:szCs w:val="22"/>
          <w:lang w:val="sk-SK"/>
        </w:rPr>
        <w:t>Časté: závrat, zmyslové poruchy, poruchy spánku, úzkosť, bolesť hlavy.</w:t>
      </w:r>
    </w:p>
    <w:p w14:paraId="7CE03DAE" w14:textId="77777777" w:rsidR="00410ED6" w:rsidRPr="00665466" w:rsidRDefault="00410ED6" w:rsidP="00665466">
      <w:pPr>
        <w:autoSpaceDE w:val="0"/>
        <w:autoSpaceDN w:val="0"/>
        <w:adjustRightInd w:val="0"/>
        <w:rPr>
          <w:sz w:val="22"/>
          <w:szCs w:val="22"/>
          <w:lang w:val="sk-SK"/>
        </w:rPr>
      </w:pPr>
    </w:p>
    <w:p w14:paraId="41AB36CB"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Menej časté: agitovanosť, nauzea, tremor, zmätenosť, potenie, emocionálna nestabilita, zrakové poruchy, palpitácie, hnačka, podráždenosť.</w:t>
      </w:r>
    </w:p>
    <w:p w14:paraId="6061E9E1" w14:textId="77777777" w:rsidR="00410ED6" w:rsidRPr="00665466" w:rsidRDefault="00410ED6" w:rsidP="00665466">
      <w:pPr>
        <w:autoSpaceDE w:val="0"/>
        <w:autoSpaceDN w:val="0"/>
        <w:adjustRightInd w:val="0"/>
        <w:rPr>
          <w:sz w:val="22"/>
          <w:szCs w:val="22"/>
          <w:lang w:val="sk-SK"/>
        </w:rPr>
      </w:pPr>
    </w:p>
    <w:p w14:paraId="2756384D" w14:textId="7BEA6CA4" w:rsidR="00B24275" w:rsidRPr="00665466" w:rsidRDefault="00B24275" w:rsidP="00665466">
      <w:pPr>
        <w:autoSpaceDE w:val="0"/>
        <w:autoSpaceDN w:val="0"/>
        <w:adjustRightInd w:val="0"/>
        <w:rPr>
          <w:sz w:val="22"/>
          <w:szCs w:val="22"/>
          <w:lang w:val="sk-SK"/>
        </w:rPr>
      </w:pPr>
      <w:r w:rsidRPr="00665466">
        <w:rPr>
          <w:sz w:val="22"/>
          <w:szCs w:val="22"/>
          <w:lang w:val="sk-SK"/>
        </w:rPr>
        <w:t>Prerušenie podávania paroxetínu (najmä ak je náhle) často vedie k abstinenčným symptómom. Hlásené boli závrat, zmyslové poruchy (vrátane parestézie</w:t>
      </w:r>
      <w:r w:rsidR="00AF48C1" w:rsidRPr="00665466">
        <w:rPr>
          <w:sz w:val="22"/>
          <w:szCs w:val="22"/>
          <w:lang w:val="sk-SK"/>
        </w:rPr>
        <w:t xml:space="preserve">, </w:t>
      </w:r>
      <w:r w:rsidRPr="00665466">
        <w:rPr>
          <w:sz w:val="22"/>
          <w:szCs w:val="22"/>
          <w:lang w:val="sk-SK"/>
        </w:rPr>
        <w:t>pocitov elektrických šokov</w:t>
      </w:r>
      <w:r w:rsidR="00AF48C1" w:rsidRPr="00665466">
        <w:rPr>
          <w:sz w:val="22"/>
          <w:szCs w:val="22"/>
          <w:lang w:val="sk-SK"/>
        </w:rPr>
        <w:t xml:space="preserve"> a</w:t>
      </w:r>
      <w:r w:rsidR="00CE79F5" w:rsidRPr="00665466">
        <w:rPr>
          <w:sz w:val="22"/>
          <w:szCs w:val="22"/>
          <w:lang w:val="sk-SK"/>
        </w:rPr>
        <w:t> </w:t>
      </w:r>
      <w:r w:rsidR="00AF48C1" w:rsidRPr="00665466">
        <w:rPr>
          <w:sz w:val="22"/>
          <w:szCs w:val="22"/>
          <w:lang w:val="sk-SK"/>
        </w:rPr>
        <w:t>tin</w:t>
      </w:r>
      <w:r w:rsidR="00206F30" w:rsidRPr="00665466">
        <w:rPr>
          <w:sz w:val="22"/>
          <w:szCs w:val="22"/>
          <w:lang w:val="sk-SK"/>
        </w:rPr>
        <w:t>n</w:t>
      </w:r>
      <w:r w:rsidR="00AF48C1" w:rsidRPr="00665466">
        <w:rPr>
          <w:sz w:val="22"/>
          <w:szCs w:val="22"/>
          <w:lang w:val="sk-SK"/>
        </w:rPr>
        <w:t>itu</w:t>
      </w:r>
      <w:r w:rsidRPr="00665466">
        <w:rPr>
          <w:sz w:val="22"/>
          <w:szCs w:val="22"/>
          <w:lang w:val="sk-SK"/>
        </w:rPr>
        <w:t>), poruchy spánku (vrátane intenzívnych snov), agitovanosť alebo úzkosť, nauzea, tremor, zmätenosť, potenie, bolesť hlavy, hnačka, palpitácie, emocionálna nestabilita, podráždenosť a zrakové poruchy.</w:t>
      </w:r>
    </w:p>
    <w:p w14:paraId="31BABA77" w14:textId="77777777" w:rsidR="00410ED6" w:rsidRPr="00665466" w:rsidRDefault="00410ED6" w:rsidP="00665466">
      <w:pPr>
        <w:autoSpaceDE w:val="0"/>
        <w:autoSpaceDN w:val="0"/>
        <w:adjustRightInd w:val="0"/>
        <w:rPr>
          <w:sz w:val="22"/>
          <w:szCs w:val="22"/>
          <w:lang w:val="sk-SK"/>
        </w:rPr>
      </w:pPr>
    </w:p>
    <w:p w14:paraId="63902E8F" w14:textId="7AD01006" w:rsidR="00B24275" w:rsidRPr="00665466" w:rsidRDefault="00B24275" w:rsidP="00665466">
      <w:pPr>
        <w:autoSpaceDE w:val="0"/>
        <w:autoSpaceDN w:val="0"/>
        <w:adjustRightInd w:val="0"/>
        <w:rPr>
          <w:sz w:val="22"/>
          <w:szCs w:val="22"/>
          <w:lang w:val="sk-SK"/>
        </w:rPr>
      </w:pPr>
      <w:r w:rsidRPr="00665466">
        <w:rPr>
          <w:sz w:val="22"/>
          <w:szCs w:val="22"/>
          <w:lang w:val="sk-SK"/>
        </w:rPr>
        <w:t>Tieto symptómy sú zvyčajne miernej až stredne ťažkej intenzity a</w:t>
      </w:r>
      <w:r w:rsidR="00CE79F5" w:rsidRPr="00665466">
        <w:rPr>
          <w:sz w:val="22"/>
          <w:szCs w:val="22"/>
          <w:lang w:val="sk-SK"/>
        </w:rPr>
        <w:t> </w:t>
      </w:r>
      <w:r w:rsidRPr="00665466">
        <w:rPr>
          <w:sz w:val="22"/>
          <w:szCs w:val="22"/>
          <w:lang w:val="sk-SK"/>
        </w:rPr>
        <w:t>prechodné, ale u</w:t>
      </w:r>
      <w:r w:rsidR="00CE79F5" w:rsidRPr="00665466">
        <w:rPr>
          <w:sz w:val="22"/>
          <w:szCs w:val="22"/>
          <w:lang w:val="sk-SK"/>
        </w:rPr>
        <w:t> </w:t>
      </w:r>
      <w:r w:rsidRPr="00665466">
        <w:rPr>
          <w:sz w:val="22"/>
          <w:szCs w:val="22"/>
          <w:lang w:val="sk-SK"/>
        </w:rPr>
        <w:t>niektorých pacientov môžu byť ťažké a/alebo dlhodobo trvajúce. Z tohto dôvodu sa odporúča postupné znižovanie dávky, ak liečba paroxetínom už nie je potrebná (pozri čas</w:t>
      </w:r>
      <w:r w:rsidR="00410ED6" w:rsidRPr="00665466">
        <w:rPr>
          <w:sz w:val="22"/>
          <w:szCs w:val="22"/>
          <w:lang w:val="sk-SK"/>
        </w:rPr>
        <w:t>ti</w:t>
      </w:r>
      <w:r w:rsidRPr="00665466">
        <w:rPr>
          <w:sz w:val="22"/>
          <w:szCs w:val="22"/>
          <w:lang w:val="sk-SK"/>
        </w:rPr>
        <w:t xml:space="preserve"> 4.2 a 4.4).</w:t>
      </w:r>
    </w:p>
    <w:p w14:paraId="2D572128" w14:textId="77777777" w:rsidR="00B24275" w:rsidRPr="00665466" w:rsidRDefault="00B24275" w:rsidP="00665466">
      <w:pPr>
        <w:autoSpaceDE w:val="0"/>
        <w:autoSpaceDN w:val="0"/>
        <w:adjustRightInd w:val="0"/>
        <w:rPr>
          <w:bCs/>
          <w:sz w:val="22"/>
          <w:szCs w:val="22"/>
          <w:u w:val="single"/>
          <w:lang w:val="sk-SK"/>
        </w:rPr>
      </w:pPr>
    </w:p>
    <w:p w14:paraId="029FC304" w14:textId="77777777" w:rsidR="00B24275" w:rsidRPr="00665466" w:rsidRDefault="00447219"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Nežiaduce účinky získané z pediatrických klinických skúšaní</w:t>
      </w:r>
    </w:p>
    <w:p w14:paraId="46092EDE" w14:textId="77777777" w:rsidR="005F10AC" w:rsidRPr="00665466" w:rsidRDefault="005F10AC" w:rsidP="00665466">
      <w:pPr>
        <w:pStyle w:val="Zkladntext3"/>
        <w:spacing w:after="0"/>
        <w:rPr>
          <w:sz w:val="22"/>
          <w:szCs w:val="22"/>
          <w:lang w:val="sk-SK"/>
        </w:rPr>
      </w:pPr>
      <w:r w:rsidRPr="00665466">
        <w:rPr>
          <w:sz w:val="22"/>
          <w:szCs w:val="22"/>
          <w:lang w:val="sk-SK"/>
        </w:rPr>
        <w:t>Boli pozorované nasledujúce nežiaduce účinky:</w:t>
      </w:r>
    </w:p>
    <w:p w14:paraId="6957E040" w14:textId="77777777" w:rsidR="00410ED6" w:rsidRPr="00665466" w:rsidRDefault="00410ED6" w:rsidP="00665466">
      <w:pPr>
        <w:pStyle w:val="Zkladntext3"/>
        <w:spacing w:after="0"/>
        <w:rPr>
          <w:sz w:val="22"/>
          <w:szCs w:val="22"/>
          <w:lang w:val="sk-SK"/>
        </w:rPr>
      </w:pPr>
    </w:p>
    <w:p w14:paraId="6B42F3C7" w14:textId="7690C12A" w:rsidR="005F10AC" w:rsidRPr="00665466" w:rsidRDefault="005F10AC" w:rsidP="00665466">
      <w:pPr>
        <w:pStyle w:val="Zkladntext3"/>
        <w:spacing w:after="0"/>
        <w:rPr>
          <w:sz w:val="22"/>
          <w:szCs w:val="22"/>
          <w:lang w:val="sk-SK"/>
        </w:rPr>
      </w:pPr>
      <w:r w:rsidRPr="00665466">
        <w:rPr>
          <w:sz w:val="22"/>
          <w:szCs w:val="22"/>
          <w:lang w:val="sk-SK"/>
        </w:rPr>
        <w:lastRenderedPageBreak/>
        <w:t>Zvýšená miera správania spojeného so samovraždou (zahŕňajúca pokusy o samovraždu a samovražedné myšlienky), sebapoškodzujúce správani</w:t>
      </w:r>
      <w:r w:rsidR="007175C7" w:rsidRPr="00665466">
        <w:rPr>
          <w:sz w:val="22"/>
          <w:szCs w:val="22"/>
          <w:lang w:val="sk-SK"/>
        </w:rPr>
        <w:t>e</w:t>
      </w:r>
      <w:r w:rsidRPr="00665466">
        <w:rPr>
          <w:sz w:val="22"/>
          <w:szCs w:val="22"/>
          <w:lang w:val="sk-SK"/>
        </w:rPr>
        <w:t xml:space="preserve"> a zvýšená miera nepriateľstva. Samovražedné myšlienky a pokusy o samovražd</w:t>
      </w:r>
      <w:r w:rsidR="00923EB9" w:rsidRPr="00665466">
        <w:rPr>
          <w:sz w:val="22"/>
          <w:szCs w:val="22"/>
          <w:lang w:val="sk-SK"/>
        </w:rPr>
        <w:t>u</w:t>
      </w:r>
      <w:r w:rsidRPr="00665466">
        <w:rPr>
          <w:sz w:val="22"/>
          <w:szCs w:val="22"/>
          <w:lang w:val="sk-SK"/>
        </w:rPr>
        <w:t xml:space="preserve"> boli pozorované hlavne v klinických skúšaniach u dospievajúcich s </w:t>
      </w:r>
      <w:r w:rsidR="00D968DE" w:rsidRPr="00665466">
        <w:rPr>
          <w:sz w:val="22"/>
          <w:szCs w:val="22"/>
          <w:lang w:val="sk-SK"/>
        </w:rPr>
        <w:t xml:space="preserve">veľkou </w:t>
      </w:r>
      <w:r w:rsidRPr="00665466">
        <w:rPr>
          <w:sz w:val="22"/>
          <w:szCs w:val="22"/>
          <w:lang w:val="sk-SK"/>
        </w:rPr>
        <w:t>depresívnou poruchou. Zvýšená miera nepriateľstva sa vyskytovala hlavne u detí s obsedantno-kompulzívnou poruchou a najmä u mladších detí vo veku do 12 rokov.</w:t>
      </w:r>
    </w:p>
    <w:p w14:paraId="028F1527" w14:textId="77777777" w:rsidR="00410ED6" w:rsidRPr="00665466" w:rsidRDefault="00410ED6" w:rsidP="00665466">
      <w:pPr>
        <w:pStyle w:val="Zkladntext3"/>
        <w:spacing w:after="0"/>
        <w:rPr>
          <w:sz w:val="22"/>
          <w:szCs w:val="22"/>
          <w:lang w:val="sk-SK"/>
        </w:rPr>
      </w:pPr>
    </w:p>
    <w:p w14:paraId="462B3662" w14:textId="77777777" w:rsidR="005F10AC" w:rsidRPr="00665466" w:rsidRDefault="005F10AC" w:rsidP="00665466">
      <w:pPr>
        <w:pStyle w:val="Zkladntext3"/>
        <w:spacing w:after="0"/>
        <w:rPr>
          <w:sz w:val="22"/>
          <w:szCs w:val="22"/>
          <w:lang w:val="sk-SK"/>
        </w:rPr>
      </w:pPr>
      <w:r w:rsidRPr="00665466">
        <w:rPr>
          <w:sz w:val="22"/>
          <w:szCs w:val="22"/>
          <w:lang w:val="sk-SK"/>
        </w:rPr>
        <w:t>Ďalšie nežiaduce udalosti, ktoré boli pozorované: znížená chuť do jedla, tremor, potenie, hyperkinéza, agitovanosť, emocionálna labilita (vrátane plaču a zmien nálady), nežiaduce účinky spojené s krvácaním, predovšetkým kože a slizníc.</w:t>
      </w:r>
    </w:p>
    <w:p w14:paraId="02D236CF" w14:textId="77777777" w:rsidR="00410ED6" w:rsidRPr="00665466" w:rsidRDefault="00410ED6" w:rsidP="00665466">
      <w:pPr>
        <w:pStyle w:val="Zkladntext3"/>
        <w:spacing w:after="0"/>
        <w:rPr>
          <w:sz w:val="22"/>
          <w:szCs w:val="22"/>
          <w:lang w:val="sk-SK"/>
        </w:rPr>
      </w:pPr>
    </w:p>
    <w:p w14:paraId="558D4836" w14:textId="2A4F51FC" w:rsidR="005F10AC" w:rsidRPr="00665466" w:rsidRDefault="005F10AC" w:rsidP="00665466">
      <w:pPr>
        <w:pStyle w:val="Zkladntext3"/>
        <w:spacing w:after="0"/>
        <w:rPr>
          <w:sz w:val="22"/>
          <w:szCs w:val="22"/>
          <w:lang w:val="sk-SK"/>
        </w:rPr>
      </w:pPr>
      <w:r w:rsidRPr="00665466">
        <w:rPr>
          <w:sz w:val="22"/>
          <w:szCs w:val="22"/>
          <w:lang w:val="sk-SK"/>
        </w:rPr>
        <w:t xml:space="preserve">Účinky, ktoré sa pozorovali po prerušení/znižovaní dávky paroxetínu sú: emocionálna labilita (vrátane plaču a zmien nálady, sebapoškodzovania, samovražedných myšlienok a pokusov o samovraždu), nervozita, závrat, nauzea a bolesť brucha (pozri časť 4.4 Osobitné </w:t>
      </w:r>
      <w:r w:rsidR="00AB7DA6" w:rsidRPr="00665466">
        <w:rPr>
          <w:sz w:val="22"/>
          <w:szCs w:val="22"/>
          <w:lang w:val="sk-SK"/>
        </w:rPr>
        <w:t xml:space="preserve">upozornenia a </w:t>
      </w:r>
      <w:r w:rsidRPr="00665466">
        <w:rPr>
          <w:sz w:val="22"/>
          <w:szCs w:val="22"/>
          <w:lang w:val="sk-SK"/>
        </w:rPr>
        <w:t>opatrenia pri používaní).</w:t>
      </w:r>
    </w:p>
    <w:p w14:paraId="2818357C" w14:textId="77777777" w:rsidR="00410ED6" w:rsidRPr="00665466" w:rsidRDefault="00410ED6" w:rsidP="00665466">
      <w:pPr>
        <w:pStyle w:val="Zkladntext3"/>
        <w:spacing w:after="0"/>
        <w:rPr>
          <w:sz w:val="22"/>
          <w:szCs w:val="22"/>
          <w:lang w:val="sk-SK"/>
        </w:rPr>
      </w:pPr>
    </w:p>
    <w:p w14:paraId="43C895D0" w14:textId="77777777" w:rsidR="005F10AC" w:rsidRPr="00665466" w:rsidRDefault="00D968DE" w:rsidP="00665466">
      <w:pPr>
        <w:pStyle w:val="Zkladntext3"/>
        <w:spacing w:after="0"/>
        <w:rPr>
          <w:sz w:val="22"/>
          <w:szCs w:val="22"/>
          <w:lang w:val="sk-SK"/>
        </w:rPr>
      </w:pPr>
      <w:r w:rsidRPr="00665466">
        <w:rPr>
          <w:sz w:val="22"/>
          <w:szCs w:val="22"/>
          <w:lang w:val="sk-SK"/>
        </w:rPr>
        <w:t>Pre viac informácii o pediatrických klinických skúšaniach p</w:t>
      </w:r>
      <w:r w:rsidR="005F10AC" w:rsidRPr="00665466">
        <w:rPr>
          <w:sz w:val="22"/>
          <w:szCs w:val="22"/>
          <w:lang w:val="sk-SK"/>
        </w:rPr>
        <w:t>ozri časť 5.1</w:t>
      </w:r>
      <w:r w:rsidRPr="00665466">
        <w:rPr>
          <w:sz w:val="22"/>
          <w:szCs w:val="22"/>
          <w:lang w:val="sk-SK"/>
        </w:rPr>
        <w:t>.</w:t>
      </w:r>
    </w:p>
    <w:p w14:paraId="01281625" w14:textId="77777777" w:rsidR="00410ED6" w:rsidRPr="00665466" w:rsidRDefault="00410ED6" w:rsidP="00665466">
      <w:pPr>
        <w:suppressLineNumbers/>
        <w:autoSpaceDE w:val="0"/>
        <w:autoSpaceDN w:val="0"/>
        <w:adjustRightInd w:val="0"/>
        <w:rPr>
          <w:sz w:val="22"/>
          <w:szCs w:val="22"/>
          <w:u w:val="single"/>
          <w:lang w:val="sk-SK"/>
        </w:rPr>
      </w:pPr>
    </w:p>
    <w:p w14:paraId="79E64B26" w14:textId="77777777" w:rsidR="00410ED6" w:rsidRPr="00665466" w:rsidRDefault="00410ED6" w:rsidP="00665466">
      <w:pPr>
        <w:suppressLineNumbers/>
        <w:autoSpaceDE w:val="0"/>
        <w:autoSpaceDN w:val="0"/>
        <w:adjustRightInd w:val="0"/>
        <w:rPr>
          <w:sz w:val="22"/>
          <w:szCs w:val="22"/>
          <w:u w:val="single"/>
          <w:lang w:val="sk-SK"/>
        </w:rPr>
      </w:pPr>
      <w:r w:rsidRPr="00665466">
        <w:rPr>
          <w:sz w:val="22"/>
          <w:szCs w:val="22"/>
          <w:u w:val="single"/>
          <w:lang w:val="sk-SK"/>
        </w:rPr>
        <w:t>Hlásenie podozrení na nežiaduce reakcie</w:t>
      </w:r>
    </w:p>
    <w:p w14:paraId="12DDFC7A" w14:textId="0B2AF90B" w:rsidR="001F0188" w:rsidRPr="00665466" w:rsidRDefault="00410ED6" w:rsidP="00665466">
      <w:pPr>
        <w:autoSpaceDE w:val="0"/>
        <w:autoSpaceDN w:val="0"/>
        <w:adjustRightInd w:val="0"/>
        <w:rPr>
          <w:sz w:val="22"/>
          <w:szCs w:val="22"/>
          <w:lang w:val="sk-SK"/>
        </w:rPr>
      </w:pPr>
      <w:r w:rsidRPr="00665466">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F0188" w:rsidRPr="00665466">
        <w:rPr>
          <w:sz w:val="22"/>
          <w:szCs w:val="22"/>
          <w:lang w:val="sk-SK"/>
        </w:rPr>
        <w:t>na </w:t>
      </w:r>
      <w:r w:rsidR="001F0188" w:rsidRPr="00665466">
        <w:rPr>
          <w:sz w:val="22"/>
          <w:szCs w:val="22"/>
          <w:highlight w:val="lightGray"/>
          <w:lang w:val="sk-SK"/>
        </w:rPr>
        <w:t>národné centrum hlásenia uvedené v </w:t>
      </w:r>
      <w:hyperlink r:id="rId7">
        <w:r w:rsidR="001F0188" w:rsidRPr="00665466">
          <w:rPr>
            <w:rStyle w:val="Hypertextovprepojenie"/>
            <w:sz w:val="22"/>
            <w:szCs w:val="22"/>
            <w:highlight w:val="lightGray"/>
            <w:lang w:val="sk-SK"/>
          </w:rPr>
          <w:t>Prílohe V</w:t>
        </w:r>
      </w:hyperlink>
      <w:r w:rsidR="001F0188" w:rsidRPr="00665466">
        <w:rPr>
          <w:sz w:val="22"/>
          <w:szCs w:val="22"/>
          <w:lang w:val="sk-SK"/>
        </w:rPr>
        <w:t>.</w:t>
      </w:r>
    </w:p>
    <w:p w14:paraId="455336CD" w14:textId="77777777" w:rsidR="0071048C" w:rsidRPr="00F0734E" w:rsidRDefault="0071048C" w:rsidP="00665466">
      <w:pPr>
        <w:autoSpaceDE w:val="0"/>
        <w:autoSpaceDN w:val="0"/>
        <w:adjustRightInd w:val="0"/>
        <w:rPr>
          <w:sz w:val="22"/>
          <w:szCs w:val="22"/>
          <w:lang w:val="sk-SK"/>
        </w:rPr>
      </w:pPr>
    </w:p>
    <w:p w14:paraId="246A22D4" w14:textId="7E94C1AE" w:rsidR="00B24275" w:rsidRPr="00665466" w:rsidRDefault="00B24275" w:rsidP="00665466">
      <w:pPr>
        <w:keepNext/>
        <w:tabs>
          <w:tab w:val="left" w:pos="567"/>
        </w:tabs>
        <w:autoSpaceDE w:val="0"/>
        <w:autoSpaceDN w:val="0"/>
        <w:adjustRightInd w:val="0"/>
        <w:rPr>
          <w:b/>
          <w:bCs/>
          <w:sz w:val="22"/>
          <w:szCs w:val="22"/>
          <w:lang w:val="sk-SK"/>
        </w:rPr>
      </w:pPr>
      <w:r w:rsidRPr="00F0734E">
        <w:rPr>
          <w:b/>
          <w:bCs/>
          <w:sz w:val="22"/>
          <w:szCs w:val="22"/>
          <w:lang w:val="sk-SK"/>
        </w:rPr>
        <w:t>4.9</w:t>
      </w:r>
      <w:r w:rsidR="00495392" w:rsidRPr="00F0734E">
        <w:rPr>
          <w:b/>
          <w:bCs/>
          <w:sz w:val="22"/>
          <w:szCs w:val="22"/>
          <w:lang w:val="sk-SK"/>
        </w:rPr>
        <w:tab/>
      </w:r>
      <w:r w:rsidRPr="00F0734E">
        <w:rPr>
          <w:b/>
          <w:bCs/>
          <w:sz w:val="22"/>
          <w:szCs w:val="22"/>
          <w:lang w:val="sk-SK"/>
        </w:rPr>
        <w:t>Predávkovanie</w:t>
      </w:r>
    </w:p>
    <w:p w14:paraId="16C6D604" w14:textId="77777777" w:rsidR="00B24275" w:rsidRPr="00665466" w:rsidRDefault="00B24275" w:rsidP="00665466">
      <w:pPr>
        <w:keepNext/>
        <w:tabs>
          <w:tab w:val="left" w:pos="567"/>
        </w:tabs>
        <w:autoSpaceDE w:val="0"/>
        <w:autoSpaceDN w:val="0"/>
        <w:adjustRightInd w:val="0"/>
        <w:rPr>
          <w:bCs/>
          <w:sz w:val="22"/>
          <w:szCs w:val="22"/>
          <w:u w:val="single"/>
          <w:lang w:val="sk-SK"/>
        </w:rPr>
      </w:pPr>
    </w:p>
    <w:p w14:paraId="650D175D" w14:textId="2BD73057" w:rsidR="00B24275" w:rsidRPr="00665466" w:rsidRDefault="00B24275" w:rsidP="00665466">
      <w:pPr>
        <w:keepNext/>
        <w:tabs>
          <w:tab w:val="left" w:pos="567"/>
        </w:tabs>
        <w:autoSpaceDE w:val="0"/>
        <w:autoSpaceDN w:val="0"/>
        <w:adjustRightInd w:val="0"/>
        <w:rPr>
          <w:b/>
          <w:bCs/>
          <w:sz w:val="22"/>
          <w:szCs w:val="22"/>
          <w:lang w:val="sk-SK"/>
        </w:rPr>
      </w:pPr>
      <w:r w:rsidRPr="00665466">
        <w:rPr>
          <w:bCs/>
          <w:sz w:val="22"/>
          <w:szCs w:val="22"/>
          <w:u w:val="single"/>
          <w:lang w:val="sk-SK"/>
        </w:rPr>
        <w:t>Symptómy</w:t>
      </w:r>
    </w:p>
    <w:p w14:paraId="424648AA" w14:textId="79664475" w:rsidR="00410ED6" w:rsidRPr="00665466" w:rsidRDefault="00B24275" w:rsidP="00665466">
      <w:pPr>
        <w:autoSpaceDE w:val="0"/>
        <w:autoSpaceDN w:val="0"/>
        <w:adjustRightInd w:val="0"/>
        <w:rPr>
          <w:sz w:val="22"/>
          <w:szCs w:val="22"/>
          <w:lang w:val="sk-SK"/>
        </w:rPr>
      </w:pPr>
      <w:r w:rsidRPr="00665466">
        <w:rPr>
          <w:sz w:val="22"/>
          <w:szCs w:val="22"/>
          <w:lang w:val="sk-SK"/>
        </w:rPr>
        <w:t>Z dostupných informácií o predávkovaní paroxetínom je zrejmé jeho široké rozmedzie bezpečnosti.</w:t>
      </w:r>
    </w:p>
    <w:p w14:paraId="1D5E8198" w14:textId="77777777" w:rsidR="00410ED6" w:rsidRPr="00665466" w:rsidRDefault="00410ED6" w:rsidP="00665466">
      <w:pPr>
        <w:autoSpaceDE w:val="0"/>
        <w:autoSpaceDN w:val="0"/>
        <w:adjustRightInd w:val="0"/>
        <w:rPr>
          <w:sz w:val="22"/>
          <w:szCs w:val="22"/>
          <w:lang w:val="sk-SK"/>
        </w:rPr>
      </w:pPr>
    </w:p>
    <w:p w14:paraId="4D9E63E8" w14:textId="77777777" w:rsidR="00B24275" w:rsidRPr="00665466" w:rsidRDefault="00B24275" w:rsidP="00665466">
      <w:pPr>
        <w:autoSpaceDE w:val="0"/>
        <w:autoSpaceDN w:val="0"/>
        <w:adjustRightInd w:val="0"/>
        <w:rPr>
          <w:sz w:val="22"/>
          <w:szCs w:val="22"/>
          <w:lang w:val="sk-SK"/>
        </w:rPr>
      </w:pPr>
      <w:r w:rsidRPr="00665466">
        <w:rPr>
          <w:sz w:val="22"/>
          <w:szCs w:val="22"/>
          <w:lang w:val="sk-SK"/>
        </w:rPr>
        <w:t>Skúsenosti s predávkovaním paroxetínom ukázali, že okrem symptómov uvedených v časti 4.8, boli hlásené horúčka</w:t>
      </w:r>
      <w:r w:rsidR="004F5DDC" w:rsidRPr="00665466">
        <w:rPr>
          <w:sz w:val="22"/>
          <w:szCs w:val="22"/>
          <w:lang w:val="sk-SK"/>
        </w:rPr>
        <w:t xml:space="preserve"> a </w:t>
      </w:r>
      <w:r w:rsidRPr="00665466">
        <w:rPr>
          <w:sz w:val="22"/>
          <w:szCs w:val="22"/>
          <w:lang w:val="sk-SK"/>
        </w:rPr>
        <w:t>mimovoľné svalové kontrakcie. Pacienti sa zvyčajne uzdravili bez</w:t>
      </w:r>
      <w:r w:rsidR="00AB5AF2" w:rsidRPr="00665466">
        <w:rPr>
          <w:sz w:val="22"/>
          <w:szCs w:val="22"/>
          <w:lang w:val="sk-SK"/>
        </w:rPr>
        <w:t> </w:t>
      </w:r>
      <w:r w:rsidRPr="00665466">
        <w:rPr>
          <w:sz w:val="22"/>
          <w:szCs w:val="22"/>
          <w:lang w:val="sk-SK"/>
        </w:rPr>
        <w:t>závažných následkov, a to aj v prípadoch, keď užili samostatné dávky až do 2</w:t>
      </w:r>
      <w:r w:rsidR="00AB5AF2" w:rsidRPr="00665466">
        <w:rPr>
          <w:sz w:val="22"/>
          <w:szCs w:val="22"/>
          <w:lang w:val="sk-SK"/>
        </w:rPr>
        <w:t> </w:t>
      </w:r>
      <w:r w:rsidRPr="00665466">
        <w:rPr>
          <w:sz w:val="22"/>
          <w:szCs w:val="22"/>
          <w:lang w:val="sk-SK"/>
        </w:rPr>
        <w:t xml:space="preserve">000 mg. Príležitostne boli hlásené nežiaduce účinky ako kóma alebo zmeny </w:t>
      </w:r>
      <w:r w:rsidR="00AF48C1" w:rsidRPr="00665466">
        <w:rPr>
          <w:sz w:val="22"/>
          <w:szCs w:val="22"/>
          <w:lang w:val="sk-SK"/>
        </w:rPr>
        <w:t xml:space="preserve">na </w:t>
      </w:r>
      <w:r w:rsidRPr="00665466">
        <w:rPr>
          <w:sz w:val="22"/>
          <w:szCs w:val="22"/>
          <w:lang w:val="sk-SK"/>
        </w:rPr>
        <w:t>EKG</w:t>
      </w:r>
      <w:r w:rsidR="00D968DE" w:rsidRPr="00665466">
        <w:rPr>
          <w:sz w:val="22"/>
          <w:szCs w:val="22"/>
          <w:lang w:val="sk-SK"/>
        </w:rPr>
        <w:t>,</w:t>
      </w:r>
      <w:r w:rsidRPr="00665466">
        <w:rPr>
          <w:sz w:val="22"/>
          <w:szCs w:val="22"/>
          <w:lang w:val="sk-SK"/>
        </w:rPr>
        <w:t xml:space="preserve"> veľmi zriedkavo s fatálnym výsledkom, ale zvyčajne vtedy, keď bol paroxetín užitý spolu s ďalšími psychotropnými liekmi, s alkoholom alebo bez neho.</w:t>
      </w:r>
    </w:p>
    <w:p w14:paraId="506BA441" w14:textId="77777777" w:rsidR="00B24275" w:rsidRPr="00665466" w:rsidRDefault="00B24275" w:rsidP="00665466">
      <w:pPr>
        <w:autoSpaceDE w:val="0"/>
        <w:autoSpaceDN w:val="0"/>
        <w:adjustRightInd w:val="0"/>
        <w:rPr>
          <w:bCs/>
          <w:sz w:val="22"/>
          <w:szCs w:val="22"/>
          <w:u w:val="single"/>
          <w:lang w:val="sk-SK"/>
        </w:rPr>
      </w:pPr>
    </w:p>
    <w:p w14:paraId="4C893DC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Liečba</w:t>
      </w:r>
    </w:p>
    <w:p w14:paraId="48151321" w14:textId="77777777" w:rsidR="00B24275" w:rsidRPr="00665466" w:rsidRDefault="00B24275" w:rsidP="00665466">
      <w:pPr>
        <w:autoSpaceDE w:val="0"/>
        <w:autoSpaceDN w:val="0"/>
        <w:adjustRightInd w:val="0"/>
        <w:rPr>
          <w:sz w:val="22"/>
          <w:szCs w:val="22"/>
          <w:lang w:val="sk-SK"/>
        </w:rPr>
      </w:pPr>
      <w:r w:rsidRPr="00665466">
        <w:rPr>
          <w:sz w:val="22"/>
          <w:szCs w:val="22"/>
          <w:lang w:val="sk-SK"/>
        </w:rPr>
        <w:t>Špecifické antidotum nie je známe.</w:t>
      </w:r>
    </w:p>
    <w:p w14:paraId="6B8BA629" w14:textId="635D27F3" w:rsidR="00B24275" w:rsidRPr="00665466" w:rsidRDefault="00B24275" w:rsidP="00665466">
      <w:pPr>
        <w:autoSpaceDE w:val="0"/>
        <w:autoSpaceDN w:val="0"/>
        <w:adjustRightInd w:val="0"/>
        <w:rPr>
          <w:sz w:val="22"/>
          <w:szCs w:val="22"/>
          <w:lang w:val="sk-SK"/>
        </w:rPr>
      </w:pPr>
      <w:r w:rsidRPr="00665466">
        <w:rPr>
          <w:sz w:val="22"/>
          <w:szCs w:val="22"/>
          <w:lang w:val="sk-SK"/>
        </w:rPr>
        <w:t xml:space="preserve">Liečba má pozostávať zo všeobecných opatrení, ktoré sa dodržiavajú v liečbe predávkovania akýmkoľvek antidepresívom. </w:t>
      </w:r>
      <w:r w:rsidR="00355559" w:rsidRPr="00665466">
        <w:rPr>
          <w:sz w:val="22"/>
          <w:szCs w:val="22"/>
          <w:lang w:val="sk-SK"/>
        </w:rPr>
        <w:t xml:space="preserve">Je možné zvážiť podanie </w:t>
      </w:r>
      <w:r w:rsidRPr="00665466">
        <w:rPr>
          <w:sz w:val="22"/>
          <w:szCs w:val="22"/>
          <w:lang w:val="sk-SK"/>
        </w:rPr>
        <w:t xml:space="preserve">20 až 30 g </w:t>
      </w:r>
      <w:r w:rsidR="00206F30" w:rsidRPr="00665466">
        <w:rPr>
          <w:sz w:val="22"/>
          <w:szCs w:val="22"/>
          <w:lang w:val="sk-SK"/>
        </w:rPr>
        <w:t xml:space="preserve">aktívneho </w:t>
      </w:r>
      <w:r w:rsidRPr="00665466">
        <w:rPr>
          <w:sz w:val="22"/>
          <w:szCs w:val="22"/>
          <w:lang w:val="sk-SK"/>
        </w:rPr>
        <w:t>uhlia</w:t>
      </w:r>
      <w:r w:rsidR="00355559" w:rsidRPr="00665466">
        <w:rPr>
          <w:sz w:val="22"/>
          <w:szCs w:val="22"/>
          <w:lang w:val="sk-SK"/>
        </w:rPr>
        <w:t>, pokiaľ možno v priebehu niekoľkých hodín po predávkovaní, aby sa znížila absorpcia paroxetínu</w:t>
      </w:r>
      <w:r w:rsidRPr="00665466">
        <w:rPr>
          <w:sz w:val="22"/>
          <w:szCs w:val="22"/>
          <w:lang w:val="sk-SK"/>
        </w:rPr>
        <w:t xml:space="preserve">. </w:t>
      </w:r>
      <w:r w:rsidR="00355559" w:rsidRPr="00665466">
        <w:rPr>
          <w:sz w:val="22"/>
          <w:szCs w:val="22"/>
          <w:lang w:val="sk-SK"/>
        </w:rPr>
        <w:t>Starostlivosť</w:t>
      </w:r>
      <w:r w:rsidR="00222621" w:rsidRPr="00665466">
        <w:rPr>
          <w:sz w:val="22"/>
          <w:szCs w:val="22"/>
          <w:lang w:val="sk-SK"/>
        </w:rPr>
        <w:t xml:space="preserve"> o</w:t>
      </w:r>
      <w:r w:rsidR="00355559" w:rsidRPr="00665466">
        <w:rPr>
          <w:sz w:val="22"/>
          <w:szCs w:val="22"/>
          <w:lang w:val="sk-SK"/>
        </w:rPr>
        <w:t xml:space="preserve"> pacienta má byť v súlade s klinickou potrebou.</w:t>
      </w:r>
    </w:p>
    <w:p w14:paraId="6772768B" w14:textId="77777777" w:rsidR="00B24275" w:rsidRPr="00665466" w:rsidRDefault="00B24275" w:rsidP="00665466">
      <w:pPr>
        <w:autoSpaceDE w:val="0"/>
        <w:autoSpaceDN w:val="0"/>
        <w:adjustRightInd w:val="0"/>
        <w:rPr>
          <w:bCs/>
          <w:sz w:val="22"/>
          <w:szCs w:val="22"/>
          <w:lang w:val="sk-SK"/>
        </w:rPr>
      </w:pPr>
    </w:p>
    <w:p w14:paraId="2D3A91E2" w14:textId="77777777" w:rsidR="00B24275" w:rsidRPr="00665466" w:rsidRDefault="00B24275" w:rsidP="00665466">
      <w:pPr>
        <w:autoSpaceDE w:val="0"/>
        <w:autoSpaceDN w:val="0"/>
        <w:adjustRightInd w:val="0"/>
        <w:rPr>
          <w:bCs/>
          <w:sz w:val="22"/>
          <w:szCs w:val="22"/>
          <w:lang w:val="sk-SK"/>
        </w:rPr>
      </w:pPr>
    </w:p>
    <w:p w14:paraId="3AFB4758" w14:textId="07D28167"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w:t>
      </w:r>
      <w:r w:rsidR="00495392" w:rsidRPr="00665466">
        <w:rPr>
          <w:b/>
          <w:bCs/>
          <w:sz w:val="22"/>
          <w:szCs w:val="22"/>
          <w:lang w:val="sk-SK"/>
        </w:rPr>
        <w:tab/>
      </w:r>
      <w:r w:rsidRPr="00665466">
        <w:rPr>
          <w:b/>
          <w:bCs/>
          <w:sz w:val="22"/>
          <w:szCs w:val="22"/>
          <w:lang w:val="sk-SK"/>
        </w:rPr>
        <w:t>FARMAKOLOGICKÉ VLASTNOSTI</w:t>
      </w:r>
    </w:p>
    <w:p w14:paraId="54ECD64E" w14:textId="77777777" w:rsidR="00B24275" w:rsidRPr="00665466" w:rsidRDefault="00B24275" w:rsidP="00665466">
      <w:pPr>
        <w:keepNext/>
        <w:tabs>
          <w:tab w:val="left" w:pos="567"/>
        </w:tabs>
        <w:autoSpaceDE w:val="0"/>
        <w:autoSpaceDN w:val="0"/>
        <w:adjustRightInd w:val="0"/>
        <w:rPr>
          <w:bCs/>
          <w:sz w:val="22"/>
          <w:szCs w:val="22"/>
          <w:lang w:val="sk-SK"/>
        </w:rPr>
      </w:pPr>
    </w:p>
    <w:p w14:paraId="1CE65849" w14:textId="31BB0404"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5.1</w:t>
      </w:r>
      <w:r w:rsidR="00495392" w:rsidRPr="00665466">
        <w:rPr>
          <w:b/>
          <w:bCs/>
          <w:sz w:val="22"/>
          <w:szCs w:val="22"/>
          <w:lang w:val="sk-SK"/>
        </w:rPr>
        <w:tab/>
      </w:r>
      <w:r w:rsidRPr="00665466">
        <w:rPr>
          <w:b/>
          <w:bCs/>
          <w:sz w:val="22"/>
          <w:szCs w:val="22"/>
          <w:lang w:val="sk-SK"/>
        </w:rPr>
        <w:t>Farmakodynamické vlastnosti</w:t>
      </w:r>
    </w:p>
    <w:p w14:paraId="4BD5BC37" w14:textId="77777777" w:rsidR="00B24275" w:rsidRPr="00665466" w:rsidRDefault="00B24275" w:rsidP="00665466">
      <w:pPr>
        <w:keepNext/>
        <w:tabs>
          <w:tab w:val="left" w:pos="567"/>
        </w:tabs>
        <w:autoSpaceDE w:val="0"/>
        <w:autoSpaceDN w:val="0"/>
        <w:adjustRightInd w:val="0"/>
        <w:rPr>
          <w:sz w:val="22"/>
          <w:szCs w:val="22"/>
          <w:lang w:val="sk-SK"/>
        </w:rPr>
      </w:pPr>
    </w:p>
    <w:p w14:paraId="2D3E2813" w14:textId="41E35E3A" w:rsidR="00B24275" w:rsidRPr="00665466" w:rsidRDefault="00B24275" w:rsidP="00665466">
      <w:pPr>
        <w:autoSpaceDE w:val="0"/>
        <w:autoSpaceDN w:val="0"/>
        <w:adjustRightInd w:val="0"/>
        <w:rPr>
          <w:sz w:val="22"/>
          <w:szCs w:val="22"/>
          <w:lang w:val="sk-SK"/>
        </w:rPr>
      </w:pPr>
      <w:r w:rsidRPr="00665466">
        <w:rPr>
          <w:sz w:val="22"/>
          <w:szCs w:val="22"/>
          <w:lang w:val="sk-SK"/>
        </w:rPr>
        <w:t xml:space="preserve">Farmakoterapeutická skupina: Antidepresíva – selektívne inhibítory spätného vychytávania </w:t>
      </w:r>
      <w:r w:rsidR="002A1BF4" w:rsidRPr="00665466">
        <w:rPr>
          <w:sz w:val="22"/>
          <w:szCs w:val="22"/>
          <w:lang w:val="sk-SK"/>
        </w:rPr>
        <w:t>sér</w:t>
      </w:r>
      <w:r w:rsidRPr="00665466">
        <w:rPr>
          <w:sz w:val="22"/>
          <w:szCs w:val="22"/>
          <w:lang w:val="sk-SK"/>
        </w:rPr>
        <w:t>otonínu</w:t>
      </w:r>
      <w:r w:rsidR="00002552" w:rsidRPr="00665466">
        <w:rPr>
          <w:sz w:val="22"/>
          <w:szCs w:val="22"/>
          <w:lang w:val="sk-SK"/>
        </w:rPr>
        <w:t xml:space="preserve">, </w:t>
      </w:r>
      <w:r w:rsidRPr="00665466">
        <w:rPr>
          <w:sz w:val="22"/>
          <w:szCs w:val="22"/>
          <w:lang w:val="sk-SK"/>
        </w:rPr>
        <w:t>ATC kód: N06AB05.</w:t>
      </w:r>
    </w:p>
    <w:p w14:paraId="449436C5" w14:textId="77777777" w:rsidR="00B24275" w:rsidRPr="00665466" w:rsidRDefault="00B24275" w:rsidP="00665466">
      <w:pPr>
        <w:autoSpaceDE w:val="0"/>
        <w:autoSpaceDN w:val="0"/>
        <w:adjustRightInd w:val="0"/>
        <w:rPr>
          <w:b/>
          <w:bCs/>
          <w:sz w:val="22"/>
          <w:szCs w:val="22"/>
          <w:lang w:val="sk-SK"/>
        </w:rPr>
      </w:pPr>
    </w:p>
    <w:p w14:paraId="0506038E" w14:textId="77777777" w:rsidR="00B24275" w:rsidRPr="00665466" w:rsidRDefault="00410ED6"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Mechanizmus </w:t>
      </w:r>
      <w:r w:rsidR="00B24275" w:rsidRPr="00665466">
        <w:rPr>
          <w:bCs/>
          <w:sz w:val="22"/>
          <w:szCs w:val="22"/>
          <w:u w:val="single"/>
          <w:lang w:val="sk-SK"/>
        </w:rPr>
        <w:t>účinku</w:t>
      </w:r>
    </w:p>
    <w:p w14:paraId="52C305D9" w14:textId="631CFCF6" w:rsidR="00B24275" w:rsidRPr="00665466" w:rsidRDefault="00B24275" w:rsidP="00665466">
      <w:pPr>
        <w:autoSpaceDE w:val="0"/>
        <w:autoSpaceDN w:val="0"/>
        <w:adjustRightInd w:val="0"/>
        <w:rPr>
          <w:sz w:val="22"/>
          <w:szCs w:val="22"/>
          <w:lang w:val="sk-SK"/>
        </w:rPr>
      </w:pPr>
      <w:r w:rsidRPr="00665466">
        <w:rPr>
          <w:sz w:val="22"/>
          <w:szCs w:val="22"/>
          <w:lang w:val="sk-SK"/>
        </w:rPr>
        <w:t xml:space="preserve">Paroxetín je účinný selektívny inhibítor spätného vychytávania 5-hydroxytryptamínu (5-HT, </w:t>
      </w:r>
      <w:r w:rsidR="002A1BF4" w:rsidRPr="00665466">
        <w:rPr>
          <w:sz w:val="22"/>
          <w:szCs w:val="22"/>
          <w:lang w:val="sk-SK"/>
        </w:rPr>
        <w:t>sér</w:t>
      </w:r>
      <w:r w:rsidRPr="00665466">
        <w:rPr>
          <w:sz w:val="22"/>
          <w:szCs w:val="22"/>
          <w:lang w:val="sk-SK"/>
        </w:rPr>
        <w:t xml:space="preserve">otonínu) </w:t>
      </w:r>
      <w:r w:rsidR="00002552" w:rsidRPr="00665466">
        <w:rPr>
          <w:sz w:val="22"/>
          <w:szCs w:val="22"/>
          <w:lang w:val="sk-SK"/>
        </w:rPr>
        <w:t>a </w:t>
      </w:r>
      <w:r w:rsidRPr="00665466">
        <w:rPr>
          <w:sz w:val="22"/>
          <w:szCs w:val="22"/>
          <w:lang w:val="sk-SK"/>
        </w:rPr>
        <w:t>predpokladá sa, že jeho antidepresívny účinok a účinnosť v liečbe OCD, sociálnej úzkosti/sociálnej fóbie, generalizovanej úzkostnej poruchy, posttraumatickej stresovej poruchy a panickej poruchy súvisí práve so špecifickou inhibíciou spätného vychytávania 5-HT na synaptických membránach mozgových neurónov.</w:t>
      </w:r>
    </w:p>
    <w:p w14:paraId="1EC43691" w14:textId="77777777" w:rsidR="00410ED6" w:rsidRPr="00665466" w:rsidRDefault="00410ED6" w:rsidP="00665466">
      <w:pPr>
        <w:autoSpaceDE w:val="0"/>
        <w:autoSpaceDN w:val="0"/>
        <w:adjustRightInd w:val="0"/>
        <w:rPr>
          <w:sz w:val="22"/>
          <w:szCs w:val="22"/>
          <w:lang w:val="sk-SK"/>
        </w:rPr>
      </w:pPr>
    </w:p>
    <w:p w14:paraId="686E1F42" w14:textId="6A214A52" w:rsidR="00410ED6" w:rsidRPr="00665466" w:rsidRDefault="00B24275" w:rsidP="00665466">
      <w:pPr>
        <w:autoSpaceDE w:val="0"/>
        <w:autoSpaceDN w:val="0"/>
        <w:adjustRightInd w:val="0"/>
        <w:rPr>
          <w:sz w:val="22"/>
          <w:szCs w:val="22"/>
          <w:lang w:val="sk-SK"/>
        </w:rPr>
      </w:pPr>
      <w:r w:rsidRPr="00665466">
        <w:rPr>
          <w:sz w:val="22"/>
          <w:szCs w:val="22"/>
          <w:lang w:val="sk-SK"/>
        </w:rPr>
        <w:t>Paroxetín nie je chemicky príbuzný s tricyklickými alebo tetracyklickými antidepresívami, ani s väčšinou dostupných antidepresív.</w:t>
      </w:r>
    </w:p>
    <w:p w14:paraId="63B204DC" w14:textId="77777777" w:rsidR="00410ED6" w:rsidRPr="00665466" w:rsidRDefault="00410ED6" w:rsidP="00665466">
      <w:pPr>
        <w:autoSpaceDE w:val="0"/>
        <w:autoSpaceDN w:val="0"/>
        <w:adjustRightInd w:val="0"/>
        <w:rPr>
          <w:sz w:val="22"/>
          <w:szCs w:val="22"/>
          <w:lang w:val="sk-SK"/>
        </w:rPr>
      </w:pPr>
    </w:p>
    <w:p w14:paraId="3F715C9D"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má nízku afinitu k muskarínovým cholinergným receptorom a štúdie na zvieratách zistili iba slabé anticholinergné vlastnosti.</w:t>
      </w:r>
    </w:p>
    <w:p w14:paraId="7AFAD410" w14:textId="77777777" w:rsidR="00410ED6" w:rsidRPr="00665466" w:rsidRDefault="00410ED6" w:rsidP="00665466">
      <w:pPr>
        <w:autoSpaceDE w:val="0"/>
        <w:autoSpaceDN w:val="0"/>
        <w:adjustRightInd w:val="0"/>
        <w:rPr>
          <w:sz w:val="22"/>
          <w:szCs w:val="22"/>
          <w:lang w:val="sk-SK"/>
        </w:rPr>
      </w:pPr>
    </w:p>
    <w:p w14:paraId="03A672A3"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 súlade s týmto selektívnym účinkom štúdie </w:t>
      </w:r>
      <w:r w:rsidRPr="00665466">
        <w:rPr>
          <w:i/>
          <w:iCs/>
          <w:sz w:val="22"/>
          <w:szCs w:val="22"/>
          <w:lang w:val="sk-SK"/>
        </w:rPr>
        <w:t xml:space="preserve">in vitro </w:t>
      </w:r>
      <w:r w:rsidRPr="00665466">
        <w:rPr>
          <w:sz w:val="22"/>
          <w:szCs w:val="22"/>
          <w:lang w:val="sk-SK"/>
        </w:rPr>
        <w:t>ukazujú, že paroxetín má na rozdiel od tricyklických antidepresív nízku afinitu k alfa1-, alfa2- a beta-adrenergným receptorom a ďalej k dopamínovým (D2), rôznym 5-HT1, 5-HT2 a histamínovým (H1) receptorom. Tomu, že neexistujú interakcie s</w:t>
      </w:r>
      <w:r w:rsidR="00AF48C1" w:rsidRPr="00665466">
        <w:rPr>
          <w:sz w:val="22"/>
          <w:szCs w:val="22"/>
          <w:lang w:val="sk-SK"/>
        </w:rPr>
        <w:t> </w:t>
      </w:r>
      <w:r w:rsidRPr="00665466">
        <w:rPr>
          <w:sz w:val="22"/>
          <w:szCs w:val="22"/>
          <w:lang w:val="sk-SK"/>
        </w:rPr>
        <w:t xml:space="preserve">postsynaptickými receptormi </w:t>
      </w:r>
      <w:r w:rsidRPr="00665466">
        <w:rPr>
          <w:i/>
          <w:iCs/>
          <w:sz w:val="22"/>
          <w:szCs w:val="22"/>
          <w:lang w:val="sk-SK"/>
        </w:rPr>
        <w:t xml:space="preserve">in vitro </w:t>
      </w:r>
      <w:r w:rsidRPr="00665466">
        <w:rPr>
          <w:sz w:val="22"/>
          <w:szCs w:val="22"/>
          <w:lang w:val="sk-SK"/>
        </w:rPr>
        <w:t xml:space="preserve">zodpovedajú i výsledky štúdií </w:t>
      </w:r>
      <w:r w:rsidRPr="00665466">
        <w:rPr>
          <w:i/>
          <w:iCs/>
          <w:sz w:val="22"/>
          <w:szCs w:val="22"/>
          <w:lang w:val="sk-SK"/>
        </w:rPr>
        <w:t>in vivo</w:t>
      </w:r>
      <w:r w:rsidRPr="00665466">
        <w:rPr>
          <w:sz w:val="22"/>
          <w:szCs w:val="22"/>
          <w:lang w:val="sk-SK"/>
        </w:rPr>
        <w:t>, pri ktorých nedochádza k útlmu CNS ani k hypotenzívnemu účinku.</w:t>
      </w:r>
    </w:p>
    <w:p w14:paraId="23887E68" w14:textId="77777777" w:rsidR="00B24275" w:rsidRPr="00665466" w:rsidRDefault="00B24275" w:rsidP="00665466">
      <w:pPr>
        <w:autoSpaceDE w:val="0"/>
        <w:autoSpaceDN w:val="0"/>
        <w:adjustRightInd w:val="0"/>
        <w:rPr>
          <w:b/>
          <w:bCs/>
          <w:sz w:val="22"/>
          <w:szCs w:val="22"/>
          <w:lang w:val="sk-SK"/>
        </w:rPr>
      </w:pPr>
    </w:p>
    <w:p w14:paraId="46660F2F"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Farmakodynamické účinky</w:t>
      </w:r>
    </w:p>
    <w:p w14:paraId="546148C7"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neovplyvňuje psychomotorické funkcie a nepotencuje depresívny účinok etanolu.</w:t>
      </w:r>
    </w:p>
    <w:p w14:paraId="3331D7CE" w14:textId="77777777" w:rsidR="00410ED6" w:rsidRPr="00665466" w:rsidRDefault="00410ED6" w:rsidP="00665466">
      <w:pPr>
        <w:autoSpaceDE w:val="0"/>
        <w:autoSpaceDN w:val="0"/>
        <w:adjustRightInd w:val="0"/>
        <w:rPr>
          <w:sz w:val="22"/>
          <w:szCs w:val="22"/>
          <w:lang w:val="sk-SK"/>
        </w:rPr>
      </w:pPr>
    </w:p>
    <w:p w14:paraId="1A30C7B0"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Tak ako </w:t>
      </w:r>
      <w:r w:rsidR="00222621" w:rsidRPr="00665466">
        <w:rPr>
          <w:sz w:val="22"/>
          <w:szCs w:val="22"/>
          <w:lang w:val="sk-SK"/>
        </w:rPr>
        <w:t>pri</w:t>
      </w:r>
      <w:r w:rsidRPr="00665466">
        <w:rPr>
          <w:sz w:val="22"/>
          <w:szCs w:val="22"/>
          <w:lang w:val="sk-SK"/>
        </w:rPr>
        <w:t xml:space="preserve"> ostatných selektívnych inhibítoro</w:t>
      </w:r>
      <w:r w:rsidR="00222621" w:rsidRPr="00665466">
        <w:rPr>
          <w:sz w:val="22"/>
          <w:szCs w:val="22"/>
          <w:lang w:val="sk-SK"/>
        </w:rPr>
        <w:t>ch</w:t>
      </w:r>
      <w:r w:rsidRPr="00665466">
        <w:rPr>
          <w:sz w:val="22"/>
          <w:szCs w:val="22"/>
          <w:lang w:val="sk-SK"/>
        </w:rPr>
        <w:t xml:space="preserve"> spätného vychytávania 5-HT, paroxetín spôsobuje príznaky nadmernej stimulácie 5-HT receptorov, keď sa podá zvieratám, ktorým boli predtým podané iné inhibítory monoaminooxidázy (MAO) alebo tryptofán.</w:t>
      </w:r>
    </w:p>
    <w:p w14:paraId="5C697A36" w14:textId="77777777" w:rsidR="00410ED6" w:rsidRPr="00665466" w:rsidRDefault="00410ED6" w:rsidP="00665466">
      <w:pPr>
        <w:autoSpaceDE w:val="0"/>
        <w:autoSpaceDN w:val="0"/>
        <w:adjustRightInd w:val="0"/>
        <w:rPr>
          <w:sz w:val="22"/>
          <w:szCs w:val="22"/>
          <w:lang w:val="sk-SK"/>
        </w:rPr>
      </w:pPr>
    </w:p>
    <w:p w14:paraId="55824A33" w14:textId="1A2D2DA4" w:rsidR="00410ED6" w:rsidRPr="00665466" w:rsidRDefault="00B24275" w:rsidP="00665466">
      <w:pPr>
        <w:autoSpaceDE w:val="0"/>
        <w:autoSpaceDN w:val="0"/>
        <w:adjustRightInd w:val="0"/>
        <w:rPr>
          <w:sz w:val="22"/>
          <w:szCs w:val="22"/>
          <w:lang w:val="sk-SK"/>
        </w:rPr>
      </w:pPr>
      <w:r w:rsidRPr="00665466">
        <w:rPr>
          <w:sz w:val="22"/>
          <w:szCs w:val="22"/>
          <w:lang w:val="sk-SK"/>
        </w:rPr>
        <w:t>Behaviorálne a EEG štúdie naznačujú, že paroxetín má v dávke, ktorá zvyčajne prevyšuje dávky potrebné pre inhibíciu spätného vychytávania 5-HT, slabý stimulačný účinok. Stimulácia nie je amfetamínovej povahy.</w:t>
      </w:r>
    </w:p>
    <w:p w14:paraId="0265658A" w14:textId="77777777" w:rsidR="00410ED6" w:rsidRPr="00665466" w:rsidRDefault="00410ED6" w:rsidP="00665466">
      <w:pPr>
        <w:autoSpaceDE w:val="0"/>
        <w:autoSpaceDN w:val="0"/>
        <w:adjustRightInd w:val="0"/>
        <w:rPr>
          <w:sz w:val="22"/>
          <w:szCs w:val="22"/>
          <w:lang w:val="sk-SK"/>
        </w:rPr>
      </w:pPr>
    </w:p>
    <w:p w14:paraId="06F51EE7" w14:textId="77777777" w:rsidR="00B24275" w:rsidRPr="00665466" w:rsidRDefault="00B24275" w:rsidP="00665466">
      <w:pPr>
        <w:autoSpaceDE w:val="0"/>
        <w:autoSpaceDN w:val="0"/>
        <w:adjustRightInd w:val="0"/>
        <w:rPr>
          <w:sz w:val="22"/>
          <w:szCs w:val="22"/>
          <w:lang w:val="sk-SK"/>
        </w:rPr>
      </w:pPr>
      <w:r w:rsidRPr="00665466">
        <w:rPr>
          <w:sz w:val="22"/>
          <w:szCs w:val="22"/>
          <w:lang w:val="sk-SK"/>
        </w:rPr>
        <w:t>Na základe štúdií na zvieratách sa preukázalo, že paroxetín je dobre tolerovaný kardiovaskulárnym systémom. Paroxetín nevyvoláva po podaní zdravým dobrovoľníkom žiadne klinicky významné zmeny krvného tlaku, tepovej frekvencie ani EKG.</w:t>
      </w:r>
    </w:p>
    <w:p w14:paraId="04AF2724" w14:textId="77777777" w:rsidR="00410ED6" w:rsidRPr="00665466" w:rsidRDefault="00410ED6" w:rsidP="00665466">
      <w:pPr>
        <w:autoSpaceDE w:val="0"/>
        <w:autoSpaceDN w:val="0"/>
        <w:adjustRightInd w:val="0"/>
        <w:rPr>
          <w:sz w:val="22"/>
          <w:szCs w:val="22"/>
          <w:lang w:val="sk-SK"/>
        </w:rPr>
      </w:pPr>
    </w:p>
    <w:p w14:paraId="4E7D426C" w14:textId="77777777" w:rsidR="00B24275" w:rsidRPr="00665466" w:rsidRDefault="00B24275" w:rsidP="00665466">
      <w:pPr>
        <w:autoSpaceDE w:val="0"/>
        <w:autoSpaceDN w:val="0"/>
        <w:adjustRightInd w:val="0"/>
        <w:rPr>
          <w:sz w:val="22"/>
          <w:szCs w:val="22"/>
          <w:lang w:val="sk-SK"/>
        </w:rPr>
      </w:pPr>
      <w:r w:rsidRPr="00665466">
        <w:rPr>
          <w:sz w:val="22"/>
          <w:szCs w:val="22"/>
          <w:lang w:val="sk-SK"/>
        </w:rPr>
        <w:t>Štúdie svedčia o tom, že paroxetín má na rozdiel od antidepresív, ktoré inhibujú spätné vychytávanie noradrenalínu, omnoho menšiu tendenciu inhibovať antihypertenzívne účinky guanetidínu.</w:t>
      </w:r>
    </w:p>
    <w:p w14:paraId="3669F637" w14:textId="77777777" w:rsidR="00B24275" w:rsidRPr="00665466" w:rsidRDefault="00B24275" w:rsidP="00665466">
      <w:pPr>
        <w:autoSpaceDE w:val="0"/>
        <w:autoSpaceDN w:val="0"/>
        <w:adjustRightInd w:val="0"/>
        <w:rPr>
          <w:sz w:val="22"/>
          <w:szCs w:val="22"/>
          <w:lang w:val="sk-SK"/>
        </w:rPr>
      </w:pPr>
      <w:r w:rsidRPr="00665466">
        <w:rPr>
          <w:sz w:val="22"/>
          <w:szCs w:val="22"/>
          <w:lang w:val="sk-SK"/>
        </w:rPr>
        <w:t>V liečbe depresívnych porúch je účinnosť paroxetínu porovnateľná so štandardnými antidepresívami.</w:t>
      </w:r>
    </w:p>
    <w:p w14:paraId="1A176BC8" w14:textId="77777777" w:rsidR="00B24275" w:rsidRPr="00665466" w:rsidRDefault="00B24275" w:rsidP="00665466">
      <w:pPr>
        <w:autoSpaceDE w:val="0"/>
        <w:autoSpaceDN w:val="0"/>
        <w:adjustRightInd w:val="0"/>
        <w:rPr>
          <w:sz w:val="22"/>
          <w:szCs w:val="22"/>
          <w:lang w:val="sk-SK"/>
        </w:rPr>
      </w:pPr>
      <w:r w:rsidRPr="00665466">
        <w:rPr>
          <w:sz w:val="22"/>
          <w:szCs w:val="22"/>
          <w:lang w:val="sk-SK"/>
        </w:rPr>
        <w:t>Existujú určité dôkazy o tom, že paroxetín môže byť terapeuticky úspešný i u pacientov, ktorí na liečbu štandardnými antidepresívami nereagujú.</w:t>
      </w:r>
    </w:p>
    <w:p w14:paraId="0F8E9C4B" w14:textId="77777777" w:rsidR="00410ED6" w:rsidRPr="00665466" w:rsidRDefault="00410ED6" w:rsidP="00665466">
      <w:pPr>
        <w:autoSpaceDE w:val="0"/>
        <w:autoSpaceDN w:val="0"/>
        <w:adjustRightInd w:val="0"/>
        <w:rPr>
          <w:sz w:val="22"/>
          <w:szCs w:val="22"/>
          <w:lang w:val="sk-SK"/>
        </w:rPr>
      </w:pPr>
    </w:p>
    <w:p w14:paraId="6D0EAB68" w14:textId="77777777" w:rsidR="00B24275" w:rsidRPr="00665466" w:rsidRDefault="00B24275" w:rsidP="00665466">
      <w:pPr>
        <w:autoSpaceDE w:val="0"/>
        <w:autoSpaceDN w:val="0"/>
        <w:adjustRightInd w:val="0"/>
        <w:rPr>
          <w:sz w:val="22"/>
          <w:szCs w:val="22"/>
          <w:lang w:val="sk-SK"/>
        </w:rPr>
      </w:pPr>
      <w:r w:rsidRPr="00665466">
        <w:rPr>
          <w:sz w:val="22"/>
          <w:szCs w:val="22"/>
          <w:lang w:val="sk-SK"/>
        </w:rPr>
        <w:t>Ranné užívanie paroxetínu nemá negatívny vplyv na kvalitu ani na dĺžku spánku. Okrem toho je pravdepodobné, že pri reagovaní na liečbu pacienti spozorujú zlepšenie spánku.</w:t>
      </w:r>
    </w:p>
    <w:p w14:paraId="66D29D87" w14:textId="77777777" w:rsidR="00B24275" w:rsidRPr="00665466" w:rsidRDefault="00B24275" w:rsidP="00665466">
      <w:pPr>
        <w:autoSpaceDE w:val="0"/>
        <w:autoSpaceDN w:val="0"/>
        <w:adjustRightInd w:val="0"/>
        <w:rPr>
          <w:bCs/>
          <w:sz w:val="22"/>
          <w:szCs w:val="22"/>
          <w:lang w:val="sk-SK"/>
        </w:rPr>
      </w:pPr>
    </w:p>
    <w:p w14:paraId="38F241D9" w14:textId="77777777" w:rsidR="00410ED6" w:rsidRPr="00665466" w:rsidRDefault="00410ED6"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Analýza samovražedných sklonov u dospelých</w:t>
      </w:r>
    </w:p>
    <w:p w14:paraId="40D4FAB2" w14:textId="523CBE19" w:rsidR="00410ED6" w:rsidRPr="00665466" w:rsidRDefault="00880CF0" w:rsidP="00665466">
      <w:pPr>
        <w:autoSpaceDE w:val="0"/>
        <w:autoSpaceDN w:val="0"/>
        <w:adjustRightInd w:val="0"/>
        <w:rPr>
          <w:bCs/>
          <w:sz w:val="22"/>
          <w:szCs w:val="22"/>
          <w:lang w:val="sk-SK"/>
        </w:rPr>
      </w:pPr>
      <w:r w:rsidRPr="00665466">
        <w:rPr>
          <w:bCs/>
          <w:sz w:val="22"/>
          <w:szCs w:val="22"/>
          <w:lang w:val="sk-SK"/>
        </w:rPr>
        <w:t>Analýza placebom kontrolovaných skúšok so zameraním na paroxetín u dospelých so psychiatrickými poruchami preukázala vyššiu častosť výskytu samovražedného správania u mladých dospelých (vo veku 18 – 24 rokov), ktorí boli liečení paroxetínom</w:t>
      </w:r>
      <w:r w:rsidR="0097426B" w:rsidRPr="00665466">
        <w:rPr>
          <w:bCs/>
          <w:sz w:val="22"/>
          <w:szCs w:val="22"/>
          <w:lang w:val="sk-SK"/>
        </w:rPr>
        <w:t>,</w:t>
      </w:r>
      <w:r w:rsidRPr="00665466">
        <w:rPr>
          <w:bCs/>
          <w:sz w:val="22"/>
          <w:szCs w:val="22"/>
          <w:lang w:val="sk-SK"/>
        </w:rPr>
        <w:t xml:space="preserve"> v porovnaní s placebom (2,19</w:t>
      </w:r>
      <w:r w:rsidR="00222621" w:rsidRPr="00665466">
        <w:rPr>
          <w:bCs/>
          <w:sz w:val="22"/>
          <w:szCs w:val="22"/>
          <w:lang w:val="sk-SK"/>
        </w:rPr>
        <w:t xml:space="preserve"> </w:t>
      </w:r>
      <w:r w:rsidRPr="00665466">
        <w:rPr>
          <w:bCs/>
          <w:sz w:val="22"/>
          <w:szCs w:val="22"/>
          <w:lang w:val="sk-SK"/>
        </w:rPr>
        <w:t>% verzus 0,92</w:t>
      </w:r>
      <w:r w:rsidR="00222621" w:rsidRPr="00665466">
        <w:rPr>
          <w:bCs/>
          <w:sz w:val="22"/>
          <w:szCs w:val="22"/>
          <w:lang w:val="sk-SK"/>
        </w:rPr>
        <w:t xml:space="preserve"> </w:t>
      </w:r>
      <w:r w:rsidRPr="00665466">
        <w:rPr>
          <w:bCs/>
          <w:sz w:val="22"/>
          <w:szCs w:val="22"/>
          <w:lang w:val="sk-SK"/>
        </w:rPr>
        <w:t>%). V</w:t>
      </w:r>
      <w:r w:rsidR="0097426B" w:rsidRPr="00665466">
        <w:rPr>
          <w:bCs/>
          <w:sz w:val="22"/>
          <w:szCs w:val="22"/>
          <w:lang w:val="sk-SK"/>
        </w:rPr>
        <w:t>o vyšších</w:t>
      </w:r>
      <w:r w:rsidRPr="00665466">
        <w:rPr>
          <w:bCs/>
          <w:sz w:val="22"/>
          <w:szCs w:val="22"/>
          <w:lang w:val="sk-SK"/>
        </w:rPr>
        <w:t xml:space="preserve"> vekových skupinách nebol pozorovaný takýto nárast. U dospelých s ťažkou depresívnou poruchou (všetky</w:t>
      </w:r>
      <w:r w:rsidR="0097426B" w:rsidRPr="00665466">
        <w:rPr>
          <w:bCs/>
          <w:sz w:val="22"/>
          <w:szCs w:val="22"/>
          <w:lang w:val="sk-SK"/>
        </w:rPr>
        <w:t xml:space="preserve"> </w:t>
      </w:r>
      <w:r w:rsidRPr="00665466">
        <w:rPr>
          <w:bCs/>
          <w:sz w:val="22"/>
          <w:szCs w:val="22"/>
          <w:lang w:val="sk-SK"/>
        </w:rPr>
        <w:t xml:space="preserve">vekové </w:t>
      </w:r>
      <w:r w:rsidR="0097426B" w:rsidRPr="00665466">
        <w:rPr>
          <w:bCs/>
          <w:sz w:val="22"/>
          <w:szCs w:val="22"/>
          <w:lang w:val="sk-SK"/>
        </w:rPr>
        <w:t>skupiny</w:t>
      </w:r>
      <w:r w:rsidRPr="00665466">
        <w:rPr>
          <w:bCs/>
          <w:sz w:val="22"/>
          <w:szCs w:val="22"/>
          <w:lang w:val="sk-SK"/>
        </w:rPr>
        <w:t xml:space="preserve">) došlo k zvýšeniu </w:t>
      </w:r>
      <w:r w:rsidR="0097426B" w:rsidRPr="00665466">
        <w:rPr>
          <w:bCs/>
          <w:sz w:val="22"/>
          <w:szCs w:val="22"/>
          <w:lang w:val="sk-SK"/>
        </w:rPr>
        <w:t>častosti výskytu</w:t>
      </w:r>
      <w:r w:rsidRPr="00665466">
        <w:rPr>
          <w:bCs/>
          <w:sz w:val="22"/>
          <w:szCs w:val="22"/>
          <w:lang w:val="sk-SK"/>
        </w:rPr>
        <w:t xml:space="preserve"> samovražedného správania u pacientov liečených paroxetínom</w:t>
      </w:r>
      <w:r w:rsidR="0097426B" w:rsidRPr="00665466">
        <w:rPr>
          <w:bCs/>
          <w:sz w:val="22"/>
          <w:szCs w:val="22"/>
          <w:lang w:val="sk-SK"/>
        </w:rPr>
        <w:t>,</w:t>
      </w:r>
      <w:r w:rsidRPr="00665466">
        <w:rPr>
          <w:bCs/>
          <w:sz w:val="22"/>
          <w:szCs w:val="22"/>
          <w:lang w:val="sk-SK"/>
        </w:rPr>
        <w:t xml:space="preserve"> v porovnaní s placebom (0,32</w:t>
      </w:r>
      <w:r w:rsidR="00222621" w:rsidRPr="00665466">
        <w:rPr>
          <w:bCs/>
          <w:sz w:val="22"/>
          <w:szCs w:val="22"/>
          <w:lang w:val="sk-SK"/>
        </w:rPr>
        <w:t xml:space="preserve"> </w:t>
      </w:r>
      <w:r w:rsidRPr="00665466">
        <w:rPr>
          <w:bCs/>
          <w:sz w:val="22"/>
          <w:szCs w:val="22"/>
          <w:lang w:val="sk-SK"/>
        </w:rPr>
        <w:t>% verzus 0,05</w:t>
      </w:r>
      <w:r w:rsidR="00222621" w:rsidRPr="00665466">
        <w:rPr>
          <w:bCs/>
          <w:sz w:val="22"/>
          <w:szCs w:val="22"/>
          <w:lang w:val="sk-SK"/>
        </w:rPr>
        <w:t xml:space="preserve"> </w:t>
      </w:r>
      <w:r w:rsidRPr="00665466">
        <w:rPr>
          <w:bCs/>
          <w:sz w:val="22"/>
          <w:szCs w:val="22"/>
          <w:lang w:val="sk-SK"/>
        </w:rPr>
        <w:t>%</w:t>
      </w:r>
      <w:r w:rsidR="0097426B" w:rsidRPr="00665466">
        <w:rPr>
          <w:bCs/>
          <w:sz w:val="22"/>
          <w:szCs w:val="22"/>
          <w:lang w:val="sk-SK"/>
        </w:rPr>
        <w:t>).</w:t>
      </w:r>
      <w:r w:rsidRPr="00665466">
        <w:rPr>
          <w:bCs/>
          <w:sz w:val="22"/>
          <w:szCs w:val="22"/>
          <w:lang w:val="sk-SK"/>
        </w:rPr>
        <w:t xml:space="preserve"> </w:t>
      </w:r>
      <w:r w:rsidR="0097426B" w:rsidRPr="00665466">
        <w:rPr>
          <w:bCs/>
          <w:sz w:val="22"/>
          <w:szCs w:val="22"/>
          <w:lang w:val="sk-SK"/>
        </w:rPr>
        <w:t>Vo v</w:t>
      </w:r>
      <w:r w:rsidRPr="00665466">
        <w:rPr>
          <w:bCs/>
          <w:sz w:val="22"/>
          <w:szCs w:val="22"/>
          <w:lang w:val="sk-SK"/>
        </w:rPr>
        <w:t>šetk</w:t>
      </w:r>
      <w:r w:rsidR="0097426B" w:rsidRPr="00665466">
        <w:rPr>
          <w:bCs/>
          <w:sz w:val="22"/>
          <w:szCs w:val="22"/>
          <w:lang w:val="sk-SK"/>
        </w:rPr>
        <w:t>ých prípadoch</w:t>
      </w:r>
      <w:r w:rsidRPr="00665466">
        <w:rPr>
          <w:bCs/>
          <w:sz w:val="22"/>
          <w:szCs w:val="22"/>
          <w:lang w:val="sk-SK"/>
        </w:rPr>
        <w:t xml:space="preserve"> </w:t>
      </w:r>
      <w:r w:rsidR="0097426B" w:rsidRPr="00665466">
        <w:rPr>
          <w:bCs/>
          <w:sz w:val="22"/>
          <w:szCs w:val="22"/>
          <w:lang w:val="sk-SK"/>
        </w:rPr>
        <w:t>išlo o</w:t>
      </w:r>
      <w:r w:rsidRPr="00665466">
        <w:rPr>
          <w:bCs/>
          <w:sz w:val="22"/>
          <w:szCs w:val="22"/>
          <w:lang w:val="sk-SK"/>
        </w:rPr>
        <w:t xml:space="preserve"> pokusy o samovraždu. Avšak väčšina z týchto </w:t>
      </w:r>
      <w:r w:rsidR="0097426B" w:rsidRPr="00665466">
        <w:rPr>
          <w:bCs/>
          <w:sz w:val="22"/>
          <w:szCs w:val="22"/>
          <w:lang w:val="sk-SK"/>
        </w:rPr>
        <w:t>pokusov pri</w:t>
      </w:r>
      <w:r w:rsidRPr="00665466">
        <w:rPr>
          <w:bCs/>
          <w:sz w:val="22"/>
          <w:szCs w:val="22"/>
          <w:lang w:val="sk-SK"/>
        </w:rPr>
        <w:t> paroxet</w:t>
      </w:r>
      <w:r w:rsidR="0097426B" w:rsidRPr="00665466">
        <w:rPr>
          <w:bCs/>
          <w:sz w:val="22"/>
          <w:szCs w:val="22"/>
          <w:lang w:val="sk-SK"/>
        </w:rPr>
        <w:t>íne</w:t>
      </w:r>
      <w:r w:rsidRPr="00665466">
        <w:rPr>
          <w:bCs/>
          <w:sz w:val="22"/>
          <w:szCs w:val="22"/>
          <w:lang w:val="sk-SK"/>
        </w:rPr>
        <w:t xml:space="preserve"> (8 z 11) bola u mladších dospelých (pozri aj časť 4.4).</w:t>
      </w:r>
    </w:p>
    <w:p w14:paraId="45A268D6" w14:textId="77777777" w:rsidR="00410ED6" w:rsidRPr="00665466" w:rsidRDefault="00410ED6" w:rsidP="00665466">
      <w:pPr>
        <w:autoSpaceDE w:val="0"/>
        <w:autoSpaceDN w:val="0"/>
        <w:adjustRightInd w:val="0"/>
        <w:rPr>
          <w:bCs/>
          <w:sz w:val="22"/>
          <w:szCs w:val="22"/>
          <w:u w:val="single"/>
          <w:lang w:val="sk-SK"/>
        </w:rPr>
      </w:pPr>
    </w:p>
    <w:p w14:paraId="029CC259"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Odpoveď na dávku</w:t>
      </w:r>
    </w:p>
    <w:p w14:paraId="52D87353" w14:textId="77777777" w:rsidR="00B24275" w:rsidRPr="00665466" w:rsidRDefault="00B24275" w:rsidP="00665466">
      <w:pPr>
        <w:autoSpaceDE w:val="0"/>
        <w:autoSpaceDN w:val="0"/>
        <w:adjustRightInd w:val="0"/>
        <w:rPr>
          <w:sz w:val="22"/>
          <w:szCs w:val="22"/>
          <w:lang w:val="sk-SK"/>
        </w:rPr>
      </w:pPr>
      <w:r w:rsidRPr="00665466">
        <w:rPr>
          <w:sz w:val="22"/>
          <w:szCs w:val="22"/>
          <w:lang w:val="sk-SK"/>
        </w:rPr>
        <w:t>V štúdiách fixnej dávky je krivka závislosti odpovede na dávku plochá, čo svedčí o tom, že z hľadiska účinnosti neexistuje výhoda použitia vyšších ako odporúčaných dávok. Existujú však niektoré klinické údaje, ktoré svedčia o tom, že pre niektorých pacientov môže byť prínosná titrácia dávky smerom nahor.</w:t>
      </w:r>
    </w:p>
    <w:p w14:paraId="54CD0A53" w14:textId="77777777" w:rsidR="00B24275" w:rsidRPr="00665466" w:rsidRDefault="00B24275" w:rsidP="00665466">
      <w:pPr>
        <w:autoSpaceDE w:val="0"/>
        <w:autoSpaceDN w:val="0"/>
        <w:adjustRightInd w:val="0"/>
        <w:rPr>
          <w:bCs/>
          <w:sz w:val="22"/>
          <w:szCs w:val="22"/>
          <w:u w:val="single"/>
          <w:lang w:val="sk-SK"/>
        </w:rPr>
      </w:pPr>
    </w:p>
    <w:p w14:paraId="5911F475"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lastRenderedPageBreak/>
        <w:t>Dlhodobá účinnosť</w:t>
      </w:r>
    </w:p>
    <w:p w14:paraId="20DC1255"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Dlhodobá účinnosť paroxetínu </w:t>
      </w:r>
      <w:r w:rsidR="00D968DE" w:rsidRPr="00665466">
        <w:rPr>
          <w:sz w:val="22"/>
          <w:szCs w:val="22"/>
          <w:lang w:val="sk-SK"/>
        </w:rPr>
        <w:t>pri</w:t>
      </w:r>
      <w:r w:rsidRPr="00665466">
        <w:rPr>
          <w:sz w:val="22"/>
          <w:szCs w:val="22"/>
          <w:lang w:val="sk-SK"/>
        </w:rPr>
        <w:t xml:space="preserve"> depresi</w:t>
      </w:r>
      <w:r w:rsidR="00D968DE" w:rsidRPr="00665466">
        <w:rPr>
          <w:sz w:val="22"/>
          <w:szCs w:val="22"/>
          <w:lang w:val="sk-SK"/>
        </w:rPr>
        <w:t>i</w:t>
      </w:r>
      <w:r w:rsidRPr="00665466">
        <w:rPr>
          <w:sz w:val="22"/>
          <w:szCs w:val="22"/>
          <w:lang w:val="sk-SK"/>
        </w:rPr>
        <w:t xml:space="preserve"> bola preukázaná v 52-týždňovej štúdii udržiavacej dávky s</w:t>
      </w:r>
      <w:r w:rsidR="00AF48C1" w:rsidRPr="00665466">
        <w:rPr>
          <w:sz w:val="22"/>
          <w:szCs w:val="22"/>
          <w:lang w:val="sk-SK"/>
        </w:rPr>
        <w:t> </w:t>
      </w:r>
      <w:r w:rsidRPr="00665466">
        <w:rPr>
          <w:sz w:val="22"/>
          <w:szCs w:val="22"/>
          <w:lang w:val="sk-SK"/>
        </w:rPr>
        <w:t>koncepciou prevencie relapsu: relaps malo 12</w:t>
      </w:r>
      <w:r w:rsidR="00563A10" w:rsidRPr="00665466">
        <w:rPr>
          <w:sz w:val="22"/>
          <w:szCs w:val="22"/>
          <w:lang w:val="sk-SK"/>
        </w:rPr>
        <w:t> </w:t>
      </w:r>
      <w:r w:rsidRPr="00665466">
        <w:rPr>
          <w:sz w:val="22"/>
          <w:szCs w:val="22"/>
          <w:lang w:val="sk-SK"/>
        </w:rPr>
        <w:t>% pacientov užívajúcich paroxetín (20</w:t>
      </w:r>
      <w:r w:rsidR="00563A10" w:rsidRPr="00665466">
        <w:rPr>
          <w:sz w:val="22"/>
          <w:szCs w:val="22"/>
          <w:lang w:val="sk-SK"/>
        </w:rPr>
        <w:t> </w:t>
      </w:r>
      <w:r w:rsidRPr="00665466">
        <w:rPr>
          <w:sz w:val="22"/>
          <w:szCs w:val="22"/>
          <w:lang w:val="sk-SK"/>
        </w:rPr>
        <w:t>-</w:t>
      </w:r>
      <w:r w:rsidR="00563A10" w:rsidRPr="00665466">
        <w:rPr>
          <w:sz w:val="22"/>
          <w:szCs w:val="22"/>
          <w:lang w:val="sk-SK"/>
        </w:rPr>
        <w:t> </w:t>
      </w:r>
      <w:r w:rsidRPr="00665466">
        <w:rPr>
          <w:sz w:val="22"/>
          <w:szCs w:val="22"/>
          <w:lang w:val="sk-SK"/>
        </w:rPr>
        <w:t>40 mg denne) oproti 28</w:t>
      </w:r>
      <w:r w:rsidR="00563A10" w:rsidRPr="00665466">
        <w:rPr>
          <w:sz w:val="22"/>
          <w:szCs w:val="22"/>
          <w:lang w:val="sk-SK"/>
        </w:rPr>
        <w:t> </w:t>
      </w:r>
      <w:r w:rsidRPr="00665466">
        <w:rPr>
          <w:sz w:val="22"/>
          <w:szCs w:val="22"/>
          <w:lang w:val="sk-SK"/>
        </w:rPr>
        <w:t>% pacientov užívajúcich placebo.</w:t>
      </w:r>
    </w:p>
    <w:p w14:paraId="35B81AF3" w14:textId="77777777" w:rsidR="00B24275" w:rsidRPr="00665466" w:rsidRDefault="00B24275" w:rsidP="00665466">
      <w:pPr>
        <w:autoSpaceDE w:val="0"/>
        <w:autoSpaceDN w:val="0"/>
        <w:adjustRightInd w:val="0"/>
        <w:rPr>
          <w:sz w:val="22"/>
          <w:szCs w:val="22"/>
          <w:lang w:val="sk-SK"/>
        </w:rPr>
      </w:pPr>
    </w:p>
    <w:p w14:paraId="72EEAE79" w14:textId="77777777" w:rsidR="00B24275" w:rsidRPr="00665466" w:rsidRDefault="00B24275" w:rsidP="00665466">
      <w:pPr>
        <w:autoSpaceDE w:val="0"/>
        <w:autoSpaceDN w:val="0"/>
        <w:adjustRightInd w:val="0"/>
        <w:rPr>
          <w:sz w:val="22"/>
          <w:szCs w:val="22"/>
          <w:lang w:val="sk-SK"/>
        </w:rPr>
      </w:pPr>
      <w:r w:rsidRPr="00665466">
        <w:rPr>
          <w:sz w:val="22"/>
          <w:szCs w:val="22"/>
          <w:lang w:val="sk-SK"/>
        </w:rPr>
        <w:t>Dlhodobá účinnosť paroxetínu v liečbe obsedantno-kompulzívnej poruchy bola preskúmaná v troch 24</w:t>
      </w:r>
      <w:r w:rsidR="00AF48C1" w:rsidRPr="00665466">
        <w:rPr>
          <w:sz w:val="22"/>
          <w:szCs w:val="22"/>
          <w:lang w:val="sk-SK"/>
        </w:rPr>
        <w:noBreakHyphen/>
      </w:r>
      <w:r w:rsidRPr="00665466">
        <w:rPr>
          <w:sz w:val="22"/>
          <w:szCs w:val="22"/>
          <w:lang w:val="sk-SK"/>
        </w:rPr>
        <w:t>týždňových štúdiách udržiavacej dávky s koncepciou prevencie relapsu. Jedna z troch štúdií dosiahla významný rozdiel v podiele jedincov s relapsom medzi paroxetínom (38</w:t>
      </w:r>
      <w:r w:rsidR="00563A10" w:rsidRPr="00665466">
        <w:rPr>
          <w:sz w:val="22"/>
          <w:szCs w:val="22"/>
          <w:lang w:val="sk-SK"/>
        </w:rPr>
        <w:t> </w:t>
      </w:r>
      <w:r w:rsidRPr="00665466">
        <w:rPr>
          <w:sz w:val="22"/>
          <w:szCs w:val="22"/>
          <w:lang w:val="sk-SK"/>
        </w:rPr>
        <w:t>%) a placebom (59</w:t>
      </w:r>
      <w:r w:rsidR="00563A10" w:rsidRPr="00665466">
        <w:rPr>
          <w:sz w:val="22"/>
          <w:szCs w:val="22"/>
          <w:lang w:val="sk-SK"/>
        </w:rPr>
        <w:t> </w:t>
      </w:r>
      <w:r w:rsidRPr="00665466">
        <w:rPr>
          <w:sz w:val="22"/>
          <w:szCs w:val="22"/>
          <w:lang w:val="sk-SK"/>
        </w:rPr>
        <w:t>%).</w:t>
      </w:r>
    </w:p>
    <w:p w14:paraId="49A83BC3" w14:textId="77777777" w:rsidR="00B24275" w:rsidRPr="00665466" w:rsidRDefault="00B24275" w:rsidP="00665466">
      <w:pPr>
        <w:autoSpaceDE w:val="0"/>
        <w:autoSpaceDN w:val="0"/>
        <w:adjustRightInd w:val="0"/>
        <w:rPr>
          <w:sz w:val="22"/>
          <w:szCs w:val="22"/>
          <w:lang w:val="sk-SK"/>
        </w:rPr>
      </w:pPr>
    </w:p>
    <w:p w14:paraId="56097F94" w14:textId="77777777" w:rsidR="00B24275" w:rsidRPr="00665466" w:rsidRDefault="00B24275" w:rsidP="00665466">
      <w:pPr>
        <w:autoSpaceDE w:val="0"/>
        <w:autoSpaceDN w:val="0"/>
        <w:adjustRightInd w:val="0"/>
        <w:rPr>
          <w:sz w:val="22"/>
          <w:szCs w:val="22"/>
          <w:lang w:val="sk-SK"/>
        </w:rPr>
      </w:pPr>
      <w:r w:rsidRPr="00665466">
        <w:rPr>
          <w:sz w:val="22"/>
          <w:szCs w:val="22"/>
          <w:lang w:val="sk-SK"/>
        </w:rPr>
        <w:t>Dlhodobá účinnosť paroxetínu v liečbe panickej poruchy bola preukázaná v 24-týždňovej štúdii udržiavacej dávky s koncepciou prevencie relapsu: relaps malo 5</w:t>
      </w:r>
      <w:r w:rsidR="00206F30" w:rsidRPr="00665466">
        <w:rPr>
          <w:sz w:val="22"/>
          <w:szCs w:val="22"/>
          <w:lang w:val="sk-SK"/>
        </w:rPr>
        <w:t> </w:t>
      </w:r>
      <w:r w:rsidRPr="00665466">
        <w:rPr>
          <w:sz w:val="22"/>
          <w:szCs w:val="22"/>
          <w:lang w:val="sk-SK"/>
        </w:rPr>
        <w:t>% pacientov užívajúcich paroxetín (10</w:t>
      </w:r>
      <w:r w:rsidR="00563A10" w:rsidRPr="00665466">
        <w:rPr>
          <w:sz w:val="22"/>
          <w:szCs w:val="22"/>
          <w:lang w:val="sk-SK"/>
        </w:rPr>
        <w:t> </w:t>
      </w:r>
      <w:r w:rsidR="00AF48C1" w:rsidRPr="00665466">
        <w:rPr>
          <w:sz w:val="22"/>
          <w:szCs w:val="22"/>
          <w:lang w:val="sk-SK"/>
        </w:rPr>
        <w:noBreakHyphen/>
      </w:r>
      <w:r w:rsidR="00563A10" w:rsidRPr="00665466">
        <w:rPr>
          <w:sz w:val="22"/>
          <w:szCs w:val="22"/>
          <w:lang w:val="sk-SK"/>
        </w:rPr>
        <w:t> </w:t>
      </w:r>
      <w:r w:rsidRPr="00665466">
        <w:rPr>
          <w:sz w:val="22"/>
          <w:szCs w:val="22"/>
          <w:lang w:val="sk-SK"/>
        </w:rPr>
        <w:t>40 mg denne) oproti 30</w:t>
      </w:r>
      <w:r w:rsidR="00563A10" w:rsidRPr="00665466">
        <w:rPr>
          <w:sz w:val="22"/>
          <w:szCs w:val="22"/>
          <w:lang w:val="sk-SK"/>
        </w:rPr>
        <w:t> </w:t>
      </w:r>
      <w:r w:rsidRPr="00665466">
        <w:rPr>
          <w:sz w:val="22"/>
          <w:szCs w:val="22"/>
          <w:lang w:val="sk-SK"/>
        </w:rPr>
        <w:t>% pacientov užívajúcich placebo. Táto bola podporená 36-týždňovou štúdiou udržiavacej dávky.</w:t>
      </w:r>
    </w:p>
    <w:p w14:paraId="45704581" w14:textId="77777777" w:rsidR="00B24275" w:rsidRPr="00665466" w:rsidRDefault="00B24275" w:rsidP="00665466">
      <w:pPr>
        <w:autoSpaceDE w:val="0"/>
        <w:autoSpaceDN w:val="0"/>
        <w:adjustRightInd w:val="0"/>
        <w:rPr>
          <w:sz w:val="22"/>
          <w:szCs w:val="22"/>
          <w:lang w:val="sk-SK"/>
        </w:rPr>
      </w:pPr>
    </w:p>
    <w:p w14:paraId="7F273F8D" w14:textId="77777777" w:rsidR="00B24275" w:rsidRPr="00665466" w:rsidRDefault="00B24275" w:rsidP="00665466">
      <w:pPr>
        <w:autoSpaceDE w:val="0"/>
        <w:autoSpaceDN w:val="0"/>
        <w:adjustRightInd w:val="0"/>
        <w:rPr>
          <w:sz w:val="22"/>
          <w:szCs w:val="22"/>
          <w:lang w:val="sk-SK"/>
        </w:rPr>
      </w:pPr>
      <w:r w:rsidRPr="00665466">
        <w:rPr>
          <w:sz w:val="22"/>
          <w:szCs w:val="22"/>
          <w:lang w:val="sk-SK"/>
        </w:rPr>
        <w:t>Dlhodobá účinnosť paroxetínu v liečbe sociálnej úzkosti a generalizovanej úzkostnej poruchy a posttraumatickej stresovej poruchy nebola dostatočne preukázaná.</w:t>
      </w:r>
    </w:p>
    <w:p w14:paraId="1FBDEE53" w14:textId="77777777" w:rsidR="007175C7" w:rsidRPr="00665466" w:rsidRDefault="007175C7" w:rsidP="00665466">
      <w:pPr>
        <w:autoSpaceDE w:val="0"/>
        <w:autoSpaceDN w:val="0"/>
        <w:adjustRightInd w:val="0"/>
        <w:rPr>
          <w:sz w:val="22"/>
          <w:szCs w:val="22"/>
          <w:u w:val="single"/>
          <w:lang w:val="sk-SK"/>
        </w:rPr>
      </w:pPr>
    </w:p>
    <w:p w14:paraId="546CA16B" w14:textId="77777777" w:rsidR="007175C7" w:rsidRPr="00665466" w:rsidRDefault="007175C7" w:rsidP="00665466">
      <w:pPr>
        <w:keepNext/>
        <w:tabs>
          <w:tab w:val="left" w:pos="567"/>
        </w:tabs>
        <w:autoSpaceDE w:val="0"/>
        <w:autoSpaceDN w:val="0"/>
        <w:adjustRightInd w:val="0"/>
        <w:rPr>
          <w:sz w:val="22"/>
          <w:szCs w:val="22"/>
          <w:u w:val="single"/>
          <w:lang w:val="sk-SK"/>
        </w:rPr>
      </w:pPr>
      <w:r w:rsidRPr="00665466">
        <w:rPr>
          <w:sz w:val="22"/>
          <w:szCs w:val="22"/>
          <w:u w:val="single"/>
          <w:lang w:val="sk-SK"/>
        </w:rPr>
        <w:t xml:space="preserve">Nežiaduce </w:t>
      </w:r>
      <w:r w:rsidR="00D968DE" w:rsidRPr="00665466">
        <w:rPr>
          <w:sz w:val="22"/>
          <w:szCs w:val="22"/>
          <w:u w:val="single"/>
          <w:lang w:val="sk-SK"/>
        </w:rPr>
        <w:t xml:space="preserve">účinky </w:t>
      </w:r>
      <w:r w:rsidRPr="00665466">
        <w:rPr>
          <w:sz w:val="22"/>
          <w:szCs w:val="22"/>
          <w:u w:val="single"/>
          <w:lang w:val="sk-SK"/>
        </w:rPr>
        <w:t>získané z pediatrických klinických skúšaní</w:t>
      </w:r>
    </w:p>
    <w:p w14:paraId="667979B5" w14:textId="77777777" w:rsidR="007175C7" w:rsidRPr="00665466" w:rsidRDefault="007175C7" w:rsidP="00665466">
      <w:pPr>
        <w:pStyle w:val="Zkladntext3"/>
        <w:spacing w:after="0"/>
        <w:rPr>
          <w:sz w:val="22"/>
          <w:szCs w:val="22"/>
          <w:lang w:val="sk-SK"/>
        </w:rPr>
      </w:pPr>
      <w:r w:rsidRPr="00665466">
        <w:rPr>
          <w:sz w:val="22"/>
          <w:szCs w:val="22"/>
          <w:lang w:val="sk-SK"/>
        </w:rPr>
        <w:t>V krátkodobých (do 10</w:t>
      </w:r>
      <w:r w:rsidRPr="00665466">
        <w:rPr>
          <w:sz w:val="22"/>
          <w:szCs w:val="22"/>
          <w:lang w:val="sk-SK"/>
        </w:rPr>
        <w:noBreakHyphen/>
        <w:t xml:space="preserve">12 týždňov) pediatrických klinických skúšaniach u detí a dospievajúcich boli u pacientov liečených paroxetínom pozorované nasledujúce nežiaduce </w:t>
      </w:r>
      <w:r w:rsidR="00D968DE" w:rsidRPr="00665466">
        <w:rPr>
          <w:sz w:val="22"/>
          <w:szCs w:val="22"/>
          <w:lang w:val="sk-SK"/>
        </w:rPr>
        <w:t xml:space="preserve">účinky </w:t>
      </w:r>
      <w:r w:rsidRPr="00665466">
        <w:rPr>
          <w:sz w:val="22"/>
          <w:szCs w:val="22"/>
          <w:lang w:val="sk-SK"/>
        </w:rPr>
        <w:t>s frekvenciou najmenej u 2 % pacientov a výskytom v pomere najmenej dvojnásobnom voči placebu: zvýšená miera správania spojeného so samovraždou (zahŕňajúca pokusy o samovraždu a samovražedné myšlienky), sebapoškodzujúce správanie a zvýšená miera nepriateľstva. Samovražedné myšlienky a pokusy o samovraždy boli pozorované hlavne v klinických skúšaniach u dospievajúcich s</w:t>
      </w:r>
      <w:r w:rsidR="0007286C" w:rsidRPr="00665466">
        <w:rPr>
          <w:sz w:val="22"/>
          <w:szCs w:val="22"/>
          <w:lang w:val="sk-SK"/>
        </w:rPr>
        <w:t> </w:t>
      </w:r>
      <w:r w:rsidR="00D968DE" w:rsidRPr="00665466">
        <w:rPr>
          <w:sz w:val="22"/>
          <w:szCs w:val="22"/>
          <w:lang w:val="sk-SK"/>
        </w:rPr>
        <w:t xml:space="preserve">veľkou </w:t>
      </w:r>
      <w:r w:rsidRPr="00665466">
        <w:rPr>
          <w:sz w:val="22"/>
          <w:szCs w:val="22"/>
          <w:lang w:val="sk-SK"/>
        </w:rPr>
        <w:t xml:space="preserve">depresívnou poruchou. Zvýšená miera nepriateľstva sa vyskytovala hlavne u detí s obsedantno-kompulzívnou poruchou a najmä u mladších detí vo veku do 12 rokov. Ďalšie nežiaduce </w:t>
      </w:r>
      <w:r w:rsidR="00D968DE" w:rsidRPr="00665466">
        <w:rPr>
          <w:sz w:val="22"/>
          <w:szCs w:val="22"/>
          <w:lang w:val="sk-SK"/>
        </w:rPr>
        <w:t>účinky</w:t>
      </w:r>
      <w:r w:rsidRPr="00665466">
        <w:rPr>
          <w:sz w:val="22"/>
          <w:szCs w:val="22"/>
          <w:lang w:val="sk-SK"/>
        </w:rPr>
        <w:t>, k</w:t>
      </w:r>
      <w:r w:rsidR="0007286C" w:rsidRPr="00665466">
        <w:rPr>
          <w:sz w:val="22"/>
          <w:szCs w:val="22"/>
          <w:lang w:val="sk-SK"/>
        </w:rPr>
        <w:t>toré boli častejšie pozorované v</w:t>
      </w:r>
      <w:r w:rsidRPr="00665466">
        <w:rPr>
          <w:sz w:val="22"/>
          <w:szCs w:val="22"/>
          <w:lang w:val="sk-SK"/>
        </w:rPr>
        <w:t> skupine užívajúcej paroxetín ako u skupiny s placebom, boli</w:t>
      </w:r>
      <w:r w:rsidR="0007286C" w:rsidRPr="00665466">
        <w:rPr>
          <w:sz w:val="22"/>
          <w:szCs w:val="22"/>
          <w:lang w:val="sk-SK"/>
        </w:rPr>
        <w:t>:</w:t>
      </w:r>
      <w:r w:rsidRPr="00665466">
        <w:rPr>
          <w:sz w:val="22"/>
          <w:szCs w:val="22"/>
          <w:lang w:val="sk-SK"/>
        </w:rPr>
        <w:t xml:space="preserve"> znížená chuť do jedla, tremor, potenie, hyperkinéza, agitovanosť, emocionálna labilita (vrátane plaču a zmien nálady).</w:t>
      </w:r>
    </w:p>
    <w:p w14:paraId="5D3F0DE9" w14:textId="77777777" w:rsidR="007175C7" w:rsidRPr="00665466" w:rsidRDefault="007175C7" w:rsidP="00665466">
      <w:pPr>
        <w:pStyle w:val="Zkladntext3"/>
        <w:spacing w:after="0"/>
        <w:rPr>
          <w:sz w:val="22"/>
          <w:szCs w:val="22"/>
          <w:lang w:val="sk-SK"/>
        </w:rPr>
      </w:pPr>
    </w:p>
    <w:p w14:paraId="570598D5" w14:textId="77777777" w:rsidR="007175C7" w:rsidRPr="00665466" w:rsidRDefault="007175C7" w:rsidP="00665466">
      <w:pPr>
        <w:rPr>
          <w:sz w:val="22"/>
          <w:szCs w:val="22"/>
          <w:lang w:val="sk-SK"/>
        </w:rPr>
      </w:pPr>
      <w:r w:rsidRPr="00665466">
        <w:rPr>
          <w:sz w:val="22"/>
          <w:szCs w:val="22"/>
          <w:lang w:val="sk-SK"/>
        </w:rPr>
        <w:t>V štúdiách s režimom postupného znižovania dávky boli počas fázy znižovania dávky alebo po prerušení podávania paroxetínu hlásené nasledujúce symptómy s frekvenciou najmenej u 2 % pacientov a výskytom v pomere najmenej dvojnásobnom voči placebu: emocionálna labilita (vrátane plaču, zmien nálady, sebapoškodzovania, samovražedných myšlienok a pokusov o samovraždu), nervozita, závrat, nauzea a bolesť brucha (pozri časť 4.4).</w:t>
      </w:r>
    </w:p>
    <w:p w14:paraId="0CC50085" w14:textId="77777777" w:rsidR="007175C7" w:rsidRPr="00665466" w:rsidRDefault="007175C7" w:rsidP="00665466">
      <w:pPr>
        <w:rPr>
          <w:sz w:val="22"/>
          <w:szCs w:val="22"/>
          <w:lang w:val="sk-SK"/>
        </w:rPr>
      </w:pPr>
    </w:p>
    <w:p w14:paraId="7CB19952" w14:textId="77777777" w:rsidR="007175C7" w:rsidRPr="00665466" w:rsidRDefault="007175C7" w:rsidP="00665466">
      <w:pPr>
        <w:rPr>
          <w:sz w:val="22"/>
          <w:szCs w:val="22"/>
          <w:lang w:val="sk-SK"/>
        </w:rPr>
      </w:pPr>
      <w:r w:rsidRPr="00665466">
        <w:rPr>
          <w:sz w:val="22"/>
          <w:szCs w:val="22"/>
          <w:lang w:val="sk-SK"/>
        </w:rPr>
        <w:t xml:space="preserve">V piatich paralelných </w:t>
      </w:r>
      <w:r w:rsidR="00AB5AF2" w:rsidRPr="00665466">
        <w:rPr>
          <w:sz w:val="22"/>
          <w:szCs w:val="22"/>
          <w:lang w:val="sk-SK"/>
        </w:rPr>
        <w:t>skupinových štúdiách</w:t>
      </w:r>
      <w:r w:rsidRPr="00665466">
        <w:rPr>
          <w:sz w:val="22"/>
          <w:szCs w:val="22"/>
          <w:lang w:val="sk-SK"/>
        </w:rPr>
        <w:t>, s trvaním liečby 8 týždňov až 8 mesiacov, boli u pacientov liečených paroxetínom pozorované nežiaduce účinky spojené s</w:t>
      </w:r>
      <w:r w:rsidR="00AB5AF2" w:rsidRPr="00665466">
        <w:rPr>
          <w:sz w:val="22"/>
          <w:szCs w:val="22"/>
          <w:lang w:val="sk-SK"/>
        </w:rPr>
        <w:t> </w:t>
      </w:r>
      <w:r w:rsidRPr="00665466">
        <w:rPr>
          <w:sz w:val="22"/>
          <w:szCs w:val="22"/>
          <w:lang w:val="sk-SK"/>
        </w:rPr>
        <w:t>krvácaním</w:t>
      </w:r>
      <w:r w:rsidR="00AB5AF2" w:rsidRPr="00665466">
        <w:rPr>
          <w:sz w:val="22"/>
          <w:szCs w:val="22"/>
          <w:lang w:val="sk-SK"/>
        </w:rPr>
        <w:t>,</w:t>
      </w:r>
      <w:r w:rsidRPr="00665466">
        <w:rPr>
          <w:sz w:val="22"/>
          <w:szCs w:val="22"/>
          <w:lang w:val="sk-SK"/>
        </w:rPr>
        <w:t xml:space="preserve"> predovšetkým </w:t>
      </w:r>
      <w:r w:rsidR="00AB5AF2" w:rsidRPr="00665466">
        <w:rPr>
          <w:sz w:val="22"/>
          <w:szCs w:val="22"/>
          <w:lang w:val="sk-SK"/>
        </w:rPr>
        <w:t xml:space="preserve">krvácaním </w:t>
      </w:r>
      <w:r w:rsidRPr="00665466">
        <w:rPr>
          <w:sz w:val="22"/>
          <w:szCs w:val="22"/>
          <w:lang w:val="sk-SK"/>
        </w:rPr>
        <w:t>kože a slizníc, s frekvenciou 1,74 % v porovnaní s </w:t>
      </w:r>
      <w:r w:rsidR="00AB5AF2" w:rsidRPr="00665466">
        <w:rPr>
          <w:sz w:val="22"/>
          <w:szCs w:val="22"/>
          <w:lang w:val="sk-SK"/>
        </w:rPr>
        <w:t xml:space="preserve">0,74 % pozorovanými u pacientov, ktorí dostávali </w:t>
      </w:r>
      <w:r w:rsidRPr="00665466">
        <w:rPr>
          <w:sz w:val="22"/>
          <w:szCs w:val="22"/>
          <w:lang w:val="sk-SK"/>
        </w:rPr>
        <w:t>placebo.</w:t>
      </w:r>
    </w:p>
    <w:p w14:paraId="4453E908" w14:textId="77777777" w:rsidR="000858CF" w:rsidRPr="00665466" w:rsidRDefault="000858CF" w:rsidP="00665466">
      <w:pPr>
        <w:autoSpaceDE w:val="0"/>
        <w:autoSpaceDN w:val="0"/>
        <w:adjustRightInd w:val="0"/>
        <w:rPr>
          <w:bCs/>
          <w:sz w:val="22"/>
          <w:szCs w:val="22"/>
          <w:lang w:val="sk-SK"/>
        </w:rPr>
      </w:pPr>
    </w:p>
    <w:p w14:paraId="621FB6B0" w14:textId="7F55B6E5"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5.2</w:t>
      </w:r>
      <w:r w:rsidR="00495392" w:rsidRPr="00665466">
        <w:rPr>
          <w:b/>
          <w:bCs/>
          <w:sz w:val="22"/>
          <w:szCs w:val="22"/>
          <w:lang w:val="sk-SK"/>
        </w:rPr>
        <w:tab/>
      </w:r>
      <w:r w:rsidRPr="00665466">
        <w:rPr>
          <w:b/>
          <w:bCs/>
          <w:sz w:val="22"/>
          <w:szCs w:val="22"/>
          <w:lang w:val="sk-SK"/>
        </w:rPr>
        <w:t>Farmakokinetické vlastnosti</w:t>
      </w:r>
    </w:p>
    <w:p w14:paraId="75B07585" w14:textId="77777777" w:rsidR="00B24275" w:rsidRPr="00665466" w:rsidRDefault="00B24275" w:rsidP="00665466">
      <w:pPr>
        <w:keepNext/>
        <w:tabs>
          <w:tab w:val="left" w:pos="567"/>
        </w:tabs>
        <w:autoSpaceDE w:val="0"/>
        <w:autoSpaceDN w:val="0"/>
        <w:adjustRightInd w:val="0"/>
        <w:rPr>
          <w:bCs/>
          <w:sz w:val="22"/>
          <w:szCs w:val="22"/>
          <w:lang w:val="sk-SK"/>
        </w:rPr>
      </w:pPr>
    </w:p>
    <w:p w14:paraId="0D996BA0" w14:textId="77777777" w:rsidR="00B24275" w:rsidRPr="00665466" w:rsidRDefault="00B2427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Absorpcia</w:t>
      </w:r>
    </w:p>
    <w:p w14:paraId="51C299CA"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sa po perorálnom podaní dobre vstrebáva a podlieha metabolizmu</w:t>
      </w:r>
      <w:r w:rsidR="00AF48C1" w:rsidRPr="00665466">
        <w:rPr>
          <w:sz w:val="22"/>
          <w:szCs w:val="22"/>
          <w:lang w:val="sk-SK"/>
        </w:rPr>
        <w:t xml:space="preserve"> po prvom prechode pečeňou (“first-pass”)</w:t>
      </w:r>
      <w:r w:rsidRPr="00665466">
        <w:rPr>
          <w:sz w:val="22"/>
          <w:szCs w:val="22"/>
          <w:lang w:val="sk-SK"/>
        </w:rPr>
        <w:t>. V dôsledku first-pass metabolizmu je množstvo paroxetínu v systémovej cirkulácii menšie ako množstvo, ktoré sa vstrebe z gastrointestinálneho traktu. Ak sa pri podaní vyšších jednorazových dávok alebo po opakovanom podaní zvýši telesná záťaž, dochádza k čiastočnej saturácii first-pass účinku a k zníženiu plazmatického klírensu. To má za následok disproporčné zvýšenia plazmatických koncentrácií paroxetínu, a z tohto dôvodu nie sú farmakokinetické parametre konštantné, čo vedie k</w:t>
      </w:r>
      <w:r w:rsidR="00CA5BD1" w:rsidRPr="00665466">
        <w:rPr>
          <w:sz w:val="22"/>
          <w:szCs w:val="22"/>
          <w:lang w:val="sk-SK"/>
        </w:rPr>
        <w:t> </w:t>
      </w:r>
      <w:r w:rsidRPr="00665466">
        <w:rPr>
          <w:sz w:val="22"/>
          <w:szCs w:val="22"/>
          <w:lang w:val="sk-SK"/>
        </w:rPr>
        <w:t>nelineárnej kinetike. Nelinearita je však zvyčajne malá a obmedzuje sa na tých jedincov, ktorí dosiahnu nízke plazmatické hladiny pri nízkych dávkach.</w:t>
      </w:r>
    </w:p>
    <w:p w14:paraId="3192AADB" w14:textId="77777777" w:rsidR="00173C61" w:rsidRPr="00665466" w:rsidRDefault="00173C61" w:rsidP="00665466">
      <w:pPr>
        <w:autoSpaceDE w:val="0"/>
        <w:autoSpaceDN w:val="0"/>
        <w:adjustRightInd w:val="0"/>
        <w:rPr>
          <w:sz w:val="22"/>
          <w:szCs w:val="22"/>
          <w:lang w:val="sk-SK"/>
        </w:rPr>
      </w:pPr>
    </w:p>
    <w:p w14:paraId="62B1708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Ustálené systémové hladiny sa dosiahnu po 7 až 14 dňoch od začatia liečby liekmi s okamžitým alebo </w:t>
      </w:r>
      <w:r w:rsidR="00B42645" w:rsidRPr="00665466">
        <w:rPr>
          <w:sz w:val="22"/>
          <w:szCs w:val="22"/>
          <w:lang w:val="sk-SK"/>
        </w:rPr>
        <w:t>riade</w:t>
      </w:r>
      <w:r w:rsidRPr="00665466">
        <w:rPr>
          <w:sz w:val="22"/>
          <w:szCs w:val="22"/>
          <w:lang w:val="sk-SK"/>
        </w:rPr>
        <w:t>ným uvoľňovaním a nezdá sa, že by sa farmakokinetické parametre počas dlhodobej liečby menili.</w:t>
      </w:r>
    </w:p>
    <w:p w14:paraId="4C376E4B" w14:textId="77777777" w:rsidR="00B24275" w:rsidRPr="00665466" w:rsidRDefault="00B24275" w:rsidP="00665466">
      <w:pPr>
        <w:autoSpaceDE w:val="0"/>
        <w:autoSpaceDN w:val="0"/>
        <w:adjustRightInd w:val="0"/>
        <w:rPr>
          <w:bCs/>
          <w:sz w:val="22"/>
          <w:szCs w:val="22"/>
          <w:lang w:val="sk-SK"/>
        </w:rPr>
      </w:pPr>
    </w:p>
    <w:p w14:paraId="058F1F5F" w14:textId="77777777" w:rsidR="00B24275" w:rsidRPr="00F0734E" w:rsidRDefault="00B24275"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Distribúcia</w:t>
      </w:r>
    </w:p>
    <w:p w14:paraId="5EB3371B" w14:textId="77777777" w:rsidR="00B24275" w:rsidRPr="00665466" w:rsidRDefault="00B24275" w:rsidP="00665466">
      <w:pPr>
        <w:autoSpaceDE w:val="0"/>
        <w:autoSpaceDN w:val="0"/>
        <w:adjustRightInd w:val="0"/>
        <w:rPr>
          <w:sz w:val="22"/>
          <w:szCs w:val="22"/>
          <w:lang w:val="sk-SK"/>
        </w:rPr>
      </w:pPr>
      <w:r w:rsidRPr="00665466">
        <w:rPr>
          <w:sz w:val="22"/>
          <w:szCs w:val="22"/>
          <w:lang w:val="sk-SK"/>
        </w:rPr>
        <w:t>Paroxetín je v rozsiahlej miere distribuovaný do tkanív a farmakokinetické výpočty svedčia o tom, že v</w:t>
      </w:r>
      <w:r w:rsidR="00CA5BD1" w:rsidRPr="00665466">
        <w:rPr>
          <w:sz w:val="22"/>
          <w:szCs w:val="22"/>
          <w:lang w:val="sk-SK"/>
        </w:rPr>
        <w:t> </w:t>
      </w:r>
      <w:r w:rsidRPr="00665466">
        <w:rPr>
          <w:sz w:val="22"/>
          <w:szCs w:val="22"/>
          <w:lang w:val="sk-SK"/>
        </w:rPr>
        <w:t>plazme zostáva len 1</w:t>
      </w:r>
      <w:r w:rsidR="00A8500B" w:rsidRPr="00665466">
        <w:rPr>
          <w:sz w:val="22"/>
          <w:szCs w:val="22"/>
          <w:lang w:val="sk-SK"/>
        </w:rPr>
        <w:t xml:space="preserve"> </w:t>
      </w:r>
      <w:r w:rsidRPr="00665466">
        <w:rPr>
          <w:sz w:val="22"/>
          <w:szCs w:val="22"/>
          <w:lang w:val="sk-SK"/>
        </w:rPr>
        <w:t>%</w:t>
      </w:r>
      <w:r w:rsidR="00CA5BD1" w:rsidRPr="00665466">
        <w:rPr>
          <w:sz w:val="22"/>
          <w:szCs w:val="22"/>
          <w:lang w:val="sk-SK"/>
        </w:rPr>
        <w:t xml:space="preserve"> z</w:t>
      </w:r>
      <w:r w:rsidRPr="00665466">
        <w:rPr>
          <w:sz w:val="22"/>
          <w:szCs w:val="22"/>
          <w:lang w:val="sk-SK"/>
        </w:rPr>
        <w:t xml:space="preserve"> celkového množstva paroxetínu.</w:t>
      </w:r>
    </w:p>
    <w:p w14:paraId="1C55FE79" w14:textId="77777777" w:rsidR="00173C61" w:rsidRPr="00665466" w:rsidRDefault="00173C61" w:rsidP="00665466">
      <w:pPr>
        <w:autoSpaceDE w:val="0"/>
        <w:autoSpaceDN w:val="0"/>
        <w:adjustRightInd w:val="0"/>
        <w:rPr>
          <w:sz w:val="22"/>
          <w:szCs w:val="22"/>
          <w:lang w:val="sk-SK"/>
        </w:rPr>
      </w:pPr>
    </w:p>
    <w:p w14:paraId="2A101E82" w14:textId="77777777" w:rsidR="00B24275" w:rsidRPr="00665466" w:rsidRDefault="00B24275" w:rsidP="00665466">
      <w:pPr>
        <w:autoSpaceDE w:val="0"/>
        <w:autoSpaceDN w:val="0"/>
        <w:adjustRightInd w:val="0"/>
        <w:rPr>
          <w:sz w:val="22"/>
          <w:szCs w:val="22"/>
          <w:lang w:val="sk-SK"/>
        </w:rPr>
      </w:pPr>
      <w:r w:rsidRPr="00665466">
        <w:rPr>
          <w:sz w:val="22"/>
          <w:szCs w:val="22"/>
          <w:lang w:val="sk-SK"/>
        </w:rPr>
        <w:t>Pri terapeutických koncentráciách sa asi 95 % prítomného paroxetínu viaže na proteíny.</w:t>
      </w:r>
    </w:p>
    <w:p w14:paraId="476F1DB2" w14:textId="77777777" w:rsidR="00173C61" w:rsidRPr="00665466" w:rsidRDefault="00173C61" w:rsidP="00665466">
      <w:pPr>
        <w:autoSpaceDE w:val="0"/>
        <w:autoSpaceDN w:val="0"/>
        <w:adjustRightInd w:val="0"/>
        <w:rPr>
          <w:sz w:val="22"/>
          <w:szCs w:val="22"/>
          <w:lang w:val="sk-SK"/>
        </w:rPr>
      </w:pPr>
    </w:p>
    <w:p w14:paraId="0CD2FF8C" w14:textId="77777777" w:rsidR="00B24275" w:rsidRPr="00665466" w:rsidRDefault="00B24275" w:rsidP="00665466">
      <w:pPr>
        <w:autoSpaceDE w:val="0"/>
        <w:autoSpaceDN w:val="0"/>
        <w:adjustRightInd w:val="0"/>
        <w:rPr>
          <w:sz w:val="22"/>
          <w:szCs w:val="22"/>
          <w:lang w:val="sk-SK"/>
        </w:rPr>
      </w:pPr>
      <w:r w:rsidRPr="00665466">
        <w:rPr>
          <w:sz w:val="22"/>
          <w:szCs w:val="22"/>
          <w:lang w:val="sk-SK"/>
        </w:rPr>
        <w:t>Plazmatické koncentrácie paroxetínu nekorelujú s klinickým účinkom (nežiaduce účinky a účinnosť).</w:t>
      </w:r>
    </w:p>
    <w:p w14:paraId="15A25516" w14:textId="77777777" w:rsidR="00B24275" w:rsidRPr="00665466" w:rsidRDefault="00B24275" w:rsidP="00665466">
      <w:pPr>
        <w:autoSpaceDE w:val="0"/>
        <w:autoSpaceDN w:val="0"/>
        <w:adjustRightInd w:val="0"/>
        <w:rPr>
          <w:sz w:val="22"/>
          <w:szCs w:val="22"/>
          <w:lang w:val="sk-SK"/>
        </w:rPr>
      </w:pPr>
      <w:r w:rsidRPr="00665466">
        <w:rPr>
          <w:sz w:val="22"/>
          <w:szCs w:val="22"/>
          <w:lang w:val="sk-SK"/>
        </w:rPr>
        <w:t>Malé množstvo paroxetínu prechádza do ľudského materského mlieka a do plodov laboratórnych zvierat.</w:t>
      </w:r>
    </w:p>
    <w:p w14:paraId="0FA6DB73" w14:textId="77777777" w:rsidR="00B24275" w:rsidRPr="00665466" w:rsidRDefault="00B24275" w:rsidP="00665466">
      <w:pPr>
        <w:autoSpaceDE w:val="0"/>
        <w:autoSpaceDN w:val="0"/>
        <w:adjustRightInd w:val="0"/>
        <w:rPr>
          <w:bCs/>
          <w:sz w:val="22"/>
          <w:szCs w:val="22"/>
          <w:lang w:val="sk-SK"/>
        </w:rPr>
      </w:pPr>
    </w:p>
    <w:p w14:paraId="0F3D95EF" w14:textId="77777777" w:rsidR="00B24275" w:rsidRPr="00F0734E" w:rsidRDefault="0071048C"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Biotransformácia</w:t>
      </w:r>
    </w:p>
    <w:p w14:paraId="48ADAC6B" w14:textId="77777777" w:rsidR="00B24275" w:rsidRPr="00665466" w:rsidRDefault="00B24275" w:rsidP="00665466">
      <w:pPr>
        <w:autoSpaceDE w:val="0"/>
        <w:autoSpaceDN w:val="0"/>
        <w:adjustRightInd w:val="0"/>
        <w:rPr>
          <w:sz w:val="22"/>
          <w:szCs w:val="22"/>
          <w:lang w:val="sk-SK"/>
        </w:rPr>
      </w:pPr>
      <w:r w:rsidRPr="00665466">
        <w:rPr>
          <w:sz w:val="22"/>
          <w:szCs w:val="22"/>
          <w:lang w:val="sk-SK"/>
        </w:rPr>
        <w:t>Hlavnými metabolitmi paroxetínu sú polárne a konjugované produkty oxidácie a metylácie, ktoré sú ľahko vylučované. Vzhľadom na ich relatívnu farmakologickú neúčinnosť, nie je veľmi pravdepodobné, že by prispievali k terapeutickému účinku paroxetínu.</w:t>
      </w:r>
    </w:p>
    <w:p w14:paraId="49BC605C" w14:textId="77777777" w:rsidR="00B24275" w:rsidRPr="00665466" w:rsidRDefault="00B24275" w:rsidP="00665466">
      <w:pPr>
        <w:autoSpaceDE w:val="0"/>
        <w:autoSpaceDN w:val="0"/>
        <w:adjustRightInd w:val="0"/>
        <w:rPr>
          <w:sz w:val="22"/>
          <w:szCs w:val="22"/>
          <w:lang w:val="sk-SK"/>
        </w:rPr>
      </w:pPr>
    </w:p>
    <w:p w14:paraId="5AC97AF1" w14:textId="77777777" w:rsidR="00B24275" w:rsidRPr="00665466" w:rsidRDefault="00B24275" w:rsidP="00665466">
      <w:pPr>
        <w:autoSpaceDE w:val="0"/>
        <w:autoSpaceDN w:val="0"/>
        <w:adjustRightInd w:val="0"/>
        <w:rPr>
          <w:sz w:val="22"/>
          <w:szCs w:val="22"/>
          <w:lang w:val="sk-SK"/>
        </w:rPr>
      </w:pPr>
      <w:r w:rsidRPr="00665466">
        <w:rPr>
          <w:sz w:val="22"/>
          <w:szCs w:val="22"/>
          <w:lang w:val="sk-SK"/>
        </w:rPr>
        <w:t>Metabolizmus neovplyvňuje selektívny účinok paroxetínu na spätné vychytávanie 5-HT v neurónoch.</w:t>
      </w:r>
    </w:p>
    <w:p w14:paraId="7E7E615D" w14:textId="77777777" w:rsidR="00B24275" w:rsidRPr="00665466" w:rsidRDefault="00B24275" w:rsidP="00665466">
      <w:pPr>
        <w:autoSpaceDE w:val="0"/>
        <w:autoSpaceDN w:val="0"/>
        <w:adjustRightInd w:val="0"/>
        <w:rPr>
          <w:bCs/>
          <w:sz w:val="22"/>
          <w:szCs w:val="22"/>
          <w:lang w:val="sk-SK"/>
        </w:rPr>
      </w:pPr>
    </w:p>
    <w:p w14:paraId="516A299D" w14:textId="77777777" w:rsidR="00B24275" w:rsidRPr="00F0734E" w:rsidRDefault="00B24275" w:rsidP="00665466">
      <w:pPr>
        <w:keepNext/>
        <w:tabs>
          <w:tab w:val="left" w:pos="567"/>
        </w:tabs>
        <w:autoSpaceDE w:val="0"/>
        <w:autoSpaceDN w:val="0"/>
        <w:adjustRightInd w:val="0"/>
        <w:rPr>
          <w:bCs/>
          <w:sz w:val="22"/>
          <w:szCs w:val="22"/>
          <w:u w:val="single"/>
          <w:lang w:val="sk-SK"/>
        </w:rPr>
      </w:pPr>
      <w:r w:rsidRPr="00F0734E">
        <w:rPr>
          <w:bCs/>
          <w:sz w:val="22"/>
          <w:szCs w:val="22"/>
          <w:u w:val="single"/>
          <w:lang w:val="sk-SK"/>
        </w:rPr>
        <w:t>Eliminácia</w:t>
      </w:r>
    </w:p>
    <w:p w14:paraId="70CB5D8D" w14:textId="77777777" w:rsidR="00B24275" w:rsidRPr="00665466" w:rsidRDefault="00B24275" w:rsidP="00665466">
      <w:pPr>
        <w:autoSpaceDE w:val="0"/>
        <w:autoSpaceDN w:val="0"/>
        <w:adjustRightInd w:val="0"/>
        <w:rPr>
          <w:sz w:val="22"/>
          <w:szCs w:val="22"/>
          <w:lang w:val="sk-SK"/>
        </w:rPr>
      </w:pPr>
      <w:r w:rsidRPr="00665466">
        <w:rPr>
          <w:sz w:val="22"/>
          <w:szCs w:val="22"/>
          <w:lang w:val="sk-SK"/>
        </w:rPr>
        <w:t>Asi 64</w:t>
      </w:r>
      <w:r w:rsidR="00563A10" w:rsidRPr="00665466">
        <w:rPr>
          <w:sz w:val="22"/>
          <w:szCs w:val="22"/>
          <w:lang w:val="sk-SK"/>
        </w:rPr>
        <w:t> </w:t>
      </w:r>
      <w:r w:rsidRPr="00665466">
        <w:rPr>
          <w:sz w:val="22"/>
          <w:szCs w:val="22"/>
          <w:lang w:val="sk-SK"/>
        </w:rPr>
        <w:t>% podanej dávky paroxetínu sa vylučuje močom vo forme metabolitov, v nezmenenej forme sa zvyčajne vylúči menej ako 2</w:t>
      </w:r>
      <w:r w:rsidR="00563A10" w:rsidRPr="00665466">
        <w:rPr>
          <w:sz w:val="22"/>
          <w:szCs w:val="22"/>
          <w:lang w:val="sk-SK"/>
        </w:rPr>
        <w:t> </w:t>
      </w:r>
      <w:r w:rsidRPr="00665466">
        <w:rPr>
          <w:sz w:val="22"/>
          <w:szCs w:val="22"/>
          <w:lang w:val="sk-SK"/>
        </w:rPr>
        <w:t>%. Približne 36</w:t>
      </w:r>
      <w:r w:rsidR="00563A10" w:rsidRPr="00665466">
        <w:rPr>
          <w:sz w:val="22"/>
          <w:szCs w:val="22"/>
          <w:lang w:val="sk-SK"/>
        </w:rPr>
        <w:t> </w:t>
      </w:r>
      <w:r w:rsidRPr="00665466">
        <w:rPr>
          <w:sz w:val="22"/>
          <w:szCs w:val="22"/>
          <w:lang w:val="sk-SK"/>
        </w:rPr>
        <w:t>% podanej dávky sa vylučuje stolicou, pravdepodobne prostredníctvom žlče, z toho menej ako 1</w:t>
      </w:r>
      <w:r w:rsidR="00563A10" w:rsidRPr="00665466">
        <w:rPr>
          <w:sz w:val="22"/>
          <w:szCs w:val="22"/>
          <w:lang w:val="sk-SK"/>
        </w:rPr>
        <w:t> </w:t>
      </w:r>
      <w:r w:rsidRPr="00665466">
        <w:rPr>
          <w:sz w:val="22"/>
          <w:szCs w:val="22"/>
          <w:lang w:val="sk-SK"/>
        </w:rPr>
        <w:t>% pripadá na nezmenený paroxetín. Paroxetín sa teda vylučuje prevažne vo forme metabolitov.</w:t>
      </w:r>
    </w:p>
    <w:p w14:paraId="44D0CB2E" w14:textId="77777777" w:rsidR="00173C61" w:rsidRPr="00665466" w:rsidRDefault="00173C61" w:rsidP="00665466">
      <w:pPr>
        <w:autoSpaceDE w:val="0"/>
        <w:autoSpaceDN w:val="0"/>
        <w:adjustRightInd w:val="0"/>
        <w:rPr>
          <w:sz w:val="22"/>
          <w:szCs w:val="22"/>
          <w:lang w:val="sk-SK"/>
        </w:rPr>
      </w:pPr>
    </w:p>
    <w:p w14:paraId="190F7F5A" w14:textId="77777777" w:rsidR="00B24275" w:rsidRPr="00665466" w:rsidRDefault="00B24275" w:rsidP="00665466">
      <w:pPr>
        <w:autoSpaceDE w:val="0"/>
        <w:autoSpaceDN w:val="0"/>
        <w:adjustRightInd w:val="0"/>
        <w:rPr>
          <w:sz w:val="22"/>
          <w:szCs w:val="22"/>
          <w:lang w:val="sk-SK"/>
        </w:rPr>
      </w:pPr>
      <w:r w:rsidRPr="00665466">
        <w:rPr>
          <w:sz w:val="22"/>
          <w:szCs w:val="22"/>
          <w:lang w:val="sk-SK"/>
        </w:rPr>
        <w:t>Vylučovanie metabolitov je dvojfázové</w:t>
      </w:r>
      <w:r w:rsidR="00CA5BD1" w:rsidRPr="00665466">
        <w:rPr>
          <w:sz w:val="22"/>
          <w:szCs w:val="22"/>
          <w:lang w:val="sk-SK"/>
        </w:rPr>
        <w:t>; p</w:t>
      </w:r>
      <w:r w:rsidRPr="00665466">
        <w:rPr>
          <w:sz w:val="22"/>
          <w:szCs w:val="22"/>
          <w:lang w:val="sk-SK"/>
        </w:rPr>
        <w:t xml:space="preserve">rimárne je výsledkom first-pass metabolizmu a sekundárne je ovplyvnené systémovou elimináciou paroxetínu. </w:t>
      </w:r>
    </w:p>
    <w:p w14:paraId="029558CB" w14:textId="77777777" w:rsidR="00B24275" w:rsidRPr="00665466" w:rsidRDefault="00B24275" w:rsidP="00665466">
      <w:pPr>
        <w:autoSpaceDE w:val="0"/>
        <w:autoSpaceDN w:val="0"/>
        <w:adjustRightInd w:val="0"/>
        <w:rPr>
          <w:sz w:val="22"/>
          <w:szCs w:val="22"/>
          <w:lang w:val="sk-SK"/>
        </w:rPr>
      </w:pPr>
      <w:r w:rsidRPr="00665466">
        <w:rPr>
          <w:sz w:val="22"/>
          <w:szCs w:val="22"/>
          <w:lang w:val="sk-SK"/>
        </w:rPr>
        <w:t>Polčas vylučovania je premenlivý, zvyčajne býva asi 1 deň.</w:t>
      </w:r>
    </w:p>
    <w:p w14:paraId="367C26F5" w14:textId="77777777" w:rsidR="00B24275" w:rsidRPr="00665466" w:rsidRDefault="00B24275" w:rsidP="00665466">
      <w:pPr>
        <w:autoSpaceDE w:val="0"/>
        <w:autoSpaceDN w:val="0"/>
        <w:adjustRightInd w:val="0"/>
        <w:rPr>
          <w:bCs/>
          <w:sz w:val="22"/>
          <w:szCs w:val="22"/>
          <w:u w:val="single"/>
          <w:lang w:val="sk-SK"/>
        </w:rPr>
      </w:pPr>
    </w:p>
    <w:p w14:paraId="53EF5C39" w14:textId="77777777" w:rsidR="00B24275" w:rsidRPr="00665466" w:rsidRDefault="00B42645" w:rsidP="00665466">
      <w:pPr>
        <w:keepNext/>
        <w:tabs>
          <w:tab w:val="left" w:pos="567"/>
        </w:tabs>
        <w:autoSpaceDE w:val="0"/>
        <w:autoSpaceDN w:val="0"/>
        <w:adjustRightInd w:val="0"/>
        <w:rPr>
          <w:bCs/>
          <w:sz w:val="22"/>
          <w:szCs w:val="22"/>
          <w:u w:val="single"/>
          <w:lang w:val="sk-SK"/>
        </w:rPr>
      </w:pPr>
      <w:r w:rsidRPr="00665466">
        <w:rPr>
          <w:bCs/>
          <w:sz w:val="22"/>
          <w:szCs w:val="22"/>
          <w:u w:val="single"/>
          <w:lang w:val="sk-SK"/>
        </w:rPr>
        <w:t xml:space="preserve">Osobitné </w:t>
      </w:r>
      <w:r w:rsidR="00B24275" w:rsidRPr="00665466">
        <w:rPr>
          <w:bCs/>
          <w:sz w:val="22"/>
          <w:szCs w:val="22"/>
          <w:u w:val="single"/>
          <w:lang w:val="sk-SK"/>
        </w:rPr>
        <w:t>skupiny pacientov</w:t>
      </w:r>
    </w:p>
    <w:p w14:paraId="20B1D1AC" w14:textId="77777777" w:rsidR="00B24275" w:rsidRPr="00665466" w:rsidRDefault="00B24275" w:rsidP="00665466">
      <w:pPr>
        <w:keepNext/>
        <w:tabs>
          <w:tab w:val="left" w:pos="567"/>
        </w:tabs>
        <w:autoSpaceDE w:val="0"/>
        <w:autoSpaceDN w:val="0"/>
        <w:adjustRightInd w:val="0"/>
        <w:rPr>
          <w:bCs/>
          <w:iCs/>
          <w:sz w:val="22"/>
          <w:szCs w:val="22"/>
          <w:lang w:val="sk-SK"/>
        </w:rPr>
      </w:pPr>
    </w:p>
    <w:p w14:paraId="60C57A97" w14:textId="1B03A899" w:rsidR="00B24275" w:rsidRPr="00665466" w:rsidRDefault="00B24275" w:rsidP="00665466">
      <w:pPr>
        <w:keepNext/>
        <w:tabs>
          <w:tab w:val="left" w:pos="567"/>
        </w:tabs>
        <w:autoSpaceDE w:val="0"/>
        <w:autoSpaceDN w:val="0"/>
        <w:adjustRightInd w:val="0"/>
        <w:rPr>
          <w:bCs/>
          <w:iCs/>
          <w:sz w:val="22"/>
          <w:szCs w:val="22"/>
          <w:u w:val="single"/>
          <w:lang w:val="sk-SK"/>
        </w:rPr>
      </w:pPr>
      <w:r w:rsidRPr="00665466">
        <w:rPr>
          <w:bCs/>
          <w:iCs/>
          <w:sz w:val="22"/>
          <w:szCs w:val="22"/>
          <w:u w:val="single"/>
          <w:lang w:val="sk-SK"/>
        </w:rPr>
        <w:t>Starší pacienti a porucha funkcie obličiek/pečene</w:t>
      </w:r>
    </w:p>
    <w:p w14:paraId="12FCDB29" w14:textId="77777777" w:rsidR="00B24275" w:rsidRPr="00665466" w:rsidRDefault="00B24275" w:rsidP="00665466">
      <w:pPr>
        <w:autoSpaceDE w:val="0"/>
        <w:autoSpaceDN w:val="0"/>
        <w:adjustRightInd w:val="0"/>
        <w:rPr>
          <w:sz w:val="22"/>
          <w:szCs w:val="22"/>
          <w:lang w:val="sk-SK"/>
        </w:rPr>
      </w:pPr>
      <w:r w:rsidRPr="00665466">
        <w:rPr>
          <w:sz w:val="22"/>
          <w:szCs w:val="22"/>
          <w:lang w:val="sk-SK"/>
        </w:rPr>
        <w:t>U starších ľudí a u jedincov s ťažkou poruchou funkcie obličiek alebo u jedincov s poruchou funkcie pečene dochádza k zvýšeniu plazmatických koncentrácií paroxetínu, ale dosiahnuté hodnoty nevybočujú z</w:t>
      </w:r>
      <w:r w:rsidR="00CA5BD1" w:rsidRPr="00665466">
        <w:rPr>
          <w:sz w:val="22"/>
          <w:szCs w:val="22"/>
          <w:lang w:val="sk-SK"/>
        </w:rPr>
        <w:t> </w:t>
      </w:r>
      <w:r w:rsidRPr="00665466">
        <w:rPr>
          <w:sz w:val="22"/>
          <w:szCs w:val="22"/>
          <w:lang w:val="sk-SK"/>
        </w:rPr>
        <w:t>rozmedzia hodnôt pozorovaných u zdravých dospelých jedincov.</w:t>
      </w:r>
    </w:p>
    <w:p w14:paraId="09706161" w14:textId="77777777" w:rsidR="0071048C" w:rsidRPr="00665466" w:rsidRDefault="0071048C" w:rsidP="00665466">
      <w:pPr>
        <w:autoSpaceDE w:val="0"/>
        <w:autoSpaceDN w:val="0"/>
        <w:adjustRightInd w:val="0"/>
        <w:rPr>
          <w:bCs/>
          <w:sz w:val="22"/>
          <w:szCs w:val="22"/>
          <w:lang w:val="sk-SK"/>
        </w:rPr>
      </w:pPr>
    </w:p>
    <w:p w14:paraId="37548388" w14:textId="16566C0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5.3</w:t>
      </w:r>
      <w:r w:rsidR="00495392" w:rsidRPr="00665466">
        <w:rPr>
          <w:b/>
          <w:bCs/>
          <w:sz w:val="22"/>
          <w:szCs w:val="22"/>
          <w:lang w:val="sk-SK"/>
        </w:rPr>
        <w:tab/>
      </w:r>
      <w:r w:rsidRPr="00665466">
        <w:rPr>
          <w:b/>
          <w:bCs/>
          <w:sz w:val="22"/>
          <w:szCs w:val="22"/>
          <w:lang w:val="sk-SK"/>
        </w:rPr>
        <w:t>Predklinické údaje o bezpečnosti</w:t>
      </w:r>
    </w:p>
    <w:p w14:paraId="4046C236" w14:textId="77777777" w:rsidR="00B24275" w:rsidRPr="00665466" w:rsidRDefault="00B24275" w:rsidP="00665466">
      <w:pPr>
        <w:keepNext/>
        <w:tabs>
          <w:tab w:val="left" w:pos="567"/>
        </w:tabs>
        <w:autoSpaceDE w:val="0"/>
        <w:autoSpaceDN w:val="0"/>
        <w:adjustRightInd w:val="0"/>
        <w:rPr>
          <w:sz w:val="22"/>
          <w:szCs w:val="22"/>
          <w:lang w:val="sk-SK"/>
        </w:rPr>
      </w:pPr>
    </w:p>
    <w:p w14:paraId="7595683B"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Uskutočnili sa toxikologické štúdie na opiciach rodu </w:t>
      </w:r>
      <w:r w:rsidR="008E6437" w:rsidRPr="00665466">
        <w:rPr>
          <w:sz w:val="22"/>
          <w:szCs w:val="22"/>
          <w:lang w:val="sk-SK"/>
        </w:rPr>
        <w:t xml:space="preserve">makak - druh </w:t>
      </w:r>
      <w:r w:rsidR="00563A10" w:rsidRPr="00665466">
        <w:rPr>
          <w:sz w:val="22"/>
          <w:szCs w:val="22"/>
          <w:lang w:val="sk-SK"/>
        </w:rPr>
        <w:t xml:space="preserve">rézus </w:t>
      </w:r>
      <w:r w:rsidRPr="00665466">
        <w:rPr>
          <w:sz w:val="22"/>
          <w:szCs w:val="22"/>
          <w:lang w:val="sk-SK"/>
        </w:rPr>
        <w:t>a bielych potkanoch. U oboch sú metabolické procesy podobné ako u ľudí. Podľa očakávaní bola po podávaní paroxetínu potkano</w:t>
      </w:r>
      <w:r w:rsidR="00A23E2B" w:rsidRPr="00665466">
        <w:rPr>
          <w:sz w:val="22"/>
          <w:szCs w:val="22"/>
          <w:lang w:val="sk-SK"/>
        </w:rPr>
        <w:t>m</w:t>
      </w:r>
      <w:r w:rsidRPr="00665466">
        <w:rPr>
          <w:sz w:val="22"/>
          <w:szCs w:val="22"/>
          <w:lang w:val="sk-SK"/>
        </w:rPr>
        <w:t>, podobne ako po</w:t>
      </w:r>
      <w:r w:rsidR="00CA5BD1" w:rsidRPr="00665466">
        <w:rPr>
          <w:sz w:val="22"/>
          <w:szCs w:val="22"/>
          <w:lang w:val="sk-SK"/>
        </w:rPr>
        <w:t> </w:t>
      </w:r>
      <w:r w:rsidRPr="00665466">
        <w:rPr>
          <w:sz w:val="22"/>
          <w:szCs w:val="22"/>
          <w:lang w:val="sk-SK"/>
        </w:rPr>
        <w:t>podávaní ostatných lipofilných amínov vrátane tricyklických antidepresív, zistená fosfolipidóza.</w:t>
      </w:r>
      <w:r w:rsidR="00CA5BD1" w:rsidRPr="00665466">
        <w:rPr>
          <w:sz w:val="22"/>
          <w:szCs w:val="22"/>
          <w:lang w:val="sk-SK"/>
        </w:rPr>
        <w:t xml:space="preserve"> </w:t>
      </w:r>
      <w:r w:rsidRPr="00665466">
        <w:rPr>
          <w:sz w:val="22"/>
          <w:szCs w:val="22"/>
          <w:lang w:val="sk-SK"/>
        </w:rPr>
        <w:t>Fosfolipidóza sa nezistila v štúdiách na primátoch ani pri podávaní paroxetínu po dobu až jedného roka v</w:t>
      </w:r>
      <w:r w:rsidR="00CA5BD1" w:rsidRPr="00665466">
        <w:rPr>
          <w:sz w:val="22"/>
          <w:szCs w:val="22"/>
          <w:lang w:val="sk-SK"/>
        </w:rPr>
        <w:t> </w:t>
      </w:r>
      <w:r w:rsidRPr="00665466">
        <w:rPr>
          <w:sz w:val="22"/>
          <w:szCs w:val="22"/>
          <w:lang w:val="sk-SK"/>
        </w:rPr>
        <w:t>dávkach 6-násobne prevyšujúcich odporúčané klinicky účinné dávkovanie.</w:t>
      </w:r>
    </w:p>
    <w:p w14:paraId="7FCC9EBC" w14:textId="77777777" w:rsidR="00910CA8" w:rsidRPr="00665466" w:rsidRDefault="00910CA8" w:rsidP="00665466">
      <w:pPr>
        <w:autoSpaceDE w:val="0"/>
        <w:autoSpaceDN w:val="0"/>
        <w:adjustRightInd w:val="0"/>
        <w:rPr>
          <w:sz w:val="22"/>
          <w:szCs w:val="22"/>
          <w:lang w:val="sk-SK"/>
        </w:rPr>
      </w:pPr>
    </w:p>
    <w:p w14:paraId="67F28383" w14:textId="77777777" w:rsidR="00B24275" w:rsidRPr="00665466" w:rsidRDefault="00B24275" w:rsidP="00665466">
      <w:pPr>
        <w:autoSpaceDE w:val="0"/>
        <w:autoSpaceDN w:val="0"/>
        <w:adjustRightInd w:val="0"/>
        <w:rPr>
          <w:sz w:val="22"/>
          <w:szCs w:val="22"/>
          <w:lang w:val="sk-SK"/>
        </w:rPr>
      </w:pPr>
      <w:r w:rsidRPr="00665466">
        <w:rPr>
          <w:sz w:val="22"/>
          <w:szCs w:val="22"/>
          <w:lang w:val="sk-SK"/>
        </w:rPr>
        <w:t>Karcinogenéza: Paroxetín nepreukazoval v dvojročných štúdiách na myšiach a potkanoch žiadny karcinogénny účinok.</w:t>
      </w:r>
    </w:p>
    <w:p w14:paraId="5DAC241C" w14:textId="77777777" w:rsidR="00910CA8" w:rsidRPr="00665466" w:rsidRDefault="00910CA8" w:rsidP="00665466">
      <w:pPr>
        <w:autoSpaceDE w:val="0"/>
        <w:autoSpaceDN w:val="0"/>
        <w:adjustRightInd w:val="0"/>
        <w:rPr>
          <w:sz w:val="22"/>
          <w:szCs w:val="22"/>
          <w:lang w:val="sk-SK"/>
        </w:rPr>
      </w:pPr>
    </w:p>
    <w:p w14:paraId="2FF2391D"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Genotoxicita: V celom rade testov </w:t>
      </w:r>
      <w:r w:rsidRPr="00665466">
        <w:rPr>
          <w:i/>
          <w:iCs/>
          <w:sz w:val="22"/>
          <w:szCs w:val="22"/>
          <w:lang w:val="sk-SK"/>
        </w:rPr>
        <w:t xml:space="preserve">in vitro </w:t>
      </w:r>
      <w:r w:rsidRPr="00665466">
        <w:rPr>
          <w:sz w:val="22"/>
          <w:szCs w:val="22"/>
          <w:lang w:val="sk-SK"/>
        </w:rPr>
        <w:t xml:space="preserve">ani </w:t>
      </w:r>
      <w:r w:rsidRPr="00665466">
        <w:rPr>
          <w:i/>
          <w:iCs/>
          <w:sz w:val="22"/>
          <w:szCs w:val="22"/>
          <w:lang w:val="sk-SK"/>
        </w:rPr>
        <w:t xml:space="preserve">in vivo </w:t>
      </w:r>
      <w:r w:rsidRPr="00665466">
        <w:rPr>
          <w:sz w:val="22"/>
          <w:szCs w:val="22"/>
          <w:lang w:val="sk-SK"/>
        </w:rPr>
        <w:t>sa nezistila genotoxicita.</w:t>
      </w:r>
    </w:p>
    <w:p w14:paraId="7A85D96F" w14:textId="77777777" w:rsidR="00910CA8" w:rsidRPr="00665466" w:rsidRDefault="00910CA8" w:rsidP="00665466">
      <w:pPr>
        <w:autoSpaceDE w:val="0"/>
        <w:autoSpaceDN w:val="0"/>
        <w:adjustRightInd w:val="0"/>
        <w:rPr>
          <w:sz w:val="22"/>
          <w:szCs w:val="22"/>
          <w:lang w:val="sk-SK"/>
        </w:rPr>
      </w:pPr>
    </w:p>
    <w:p w14:paraId="7BF37799"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Štúdie reprodukčnej toxicity </w:t>
      </w:r>
      <w:r w:rsidR="00A23E2B" w:rsidRPr="00665466">
        <w:rPr>
          <w:sz w:val="22"/>
          <w:szCs w:val="22"/>
          <w:lang w:val="sk-SK"/>
        </w:rPr>
        <w:t xml:space="preserve">na potkanoch </w:t>
      </w:r>
      <w:r w:rsidRPr="00665466">
        <w:rPr>
          <w:sz w:val="22"/>
          <w:szCs w:val="22"/>
          <w:lang w:val="sk-SK"/>
        </w:rPr>
        <w:t>preukázali, že paroxetín ovplyvňuje fertilitu u samíc aj samcov</w:t>
      </w:r>
      <w:r w:rsidR="00910CA8" w:rsidRPr="00665466">
        <w:rPr>
          <w:sz w:val="22"/>
          <w:szCs w:val="22"/>
          <w:lang w:val="sk-SK"/>
        </w:rPr>
        <w:t xml:space="preserve"> tým, že znižuje index fertilit</w:t>
      </w:r>
      <w:r w:rsidR="0071048C" w:rsidRPr="00665466">
        <w:rPr>
          <w:sz w:val="22"/>
          <w:szCs w:val="22"/>
          <w:lang w:val="sk-SK"/>
        </w:rPr>
        <w:t>y</w:t>
      </w:r>
      <w:r w:rsidR="00910CA8" w:rsidRPr="00665466">
        <w:rPr>
          <w:sz w:val="22"/>
          <w:szCs w:val="22"/>
          <w:lang w:val="sk-SK"/>
        </w:rPr>
        <w:t xml:space="preserve"> a mieru </w:t>
      </w:r>
      <w:r w:rsidR="0071048C" w:rsidRPr="00665466">
        <w:rPr>
          <w:sz w:val="22"/>
          <w:szCs w:val="22"/>
          <w:lang w:val="sk-SK"/>
        </w:rPr>
        <w:t>pôrodnosti</w:t>
      </w:r>
      <w:r w:rsidRPr="00665466">
        <w:rPr>
          <w:sz w:val="22"/>
          <w:szCs w:val="22"/>
          <w:lang w:val="sk-SK"/>
        </w:rPr>
        <w:t xml:space="preserve">. U potkanov bola pozorovaná zvýšená mortalita mláďat a oneskorená osifikácia. Tieto </w:t>
      </w:r>
      <w:r w:rsidR="00A23E2B" w:rsidRPr="00665466">
        <w:rPr>
          <w:sz w:val="22"/>
          <w:szCs w:val="22"/>
          <w:lang w:val="sk-SK"/>
        </w:rPr>
        <w:t>posledné</w:t>
      </w:r>
      <w:r w:rsidR="0071048C" w:rsidRPr="00665466">
        <w:rPr>
          <w:sz w:val="22"/>
          <w:szCs w:val="22"/>
          <w:lang w:val="sk-SK"/>
        </w:rPr>
        <w:t xml:space="preserve"> menované </w:t>
      </w:r>
      <w:r w:rsidRPr="00665466">
        <w:rPr>
          <w:sz w:val="22"/>
          <w:szCs w:val="22"/>
          <w:lang w:val="sk-SK"/>
        </w:rPr>
        <w:t>účinky pravdepodobne súviseli s</w:t>
      </w:r>
      <w:r w:rsidR="0071048C" w:rsidRPr="00665466">
        <w:rPr>
          <w:sz w:val="22"/>
          <w:szCs w:val="22"/>
          <w:lang w:val="sk-SK"/>
        </w:rPr>
        <w:t xml:space="preserve"> materskou toxicitou </w:t>
      </w:r>
      <w:r w:rsidRPr="00665466">
        <w:rPr>
          <w:sz w:val="22"/>
          <w:szCs w:val="22"/>
          <w:lang w:val="sk-SK"/>
        </w:rPr>
        <w:t>a nepovažujú sa za</w:t>
      </w:r>
      <w:r w:rsidR="00CE35D8" w:rsidRPr="00665466">
        <w:rPr>
          <w:sz w:val="22"/>
          <w:szCs w:val="22"/>
          <w:lang w:val="sk-SK"/>
        </w:rPr>
        <w:t> </w:t>
      </w:r>
      <w:r w:rsidRPr="00665466">
        <w:rPr>
          <w:sz w:val="22"/>
          <w:szCs w:val="22"/>
          <w:lang w:val="sk-SK"/>
        </w:rPr>
        <w:t>priamy účinok na plod</w:t>
      </w:r>
      <w:r w:rsidR="0071048C" w:rsidRPr="00665466">
        <w:rPr>
          <w:sz w:val="22"/>
          <w:szCs w:val="22"/>
          <w:lang w:val="sk-SK"/>
        </w:rPr>
        <w:t>/</w:t>
      </w:r>
      <w:r w:rsidRPr="00665466">
        <w:rPr>
          <w:sz w:val="22"/>
          <w:szCs w:val="22"/>
          <w:lang w:val="sk-SK"/>
        </w:rPr>
        <w:t>novorodenca.</w:t>
      </w:r>
    </w:p>
    <w:p w14:paraId="46402796" w14:textId="77777777" w:rsidR="00910CA8" w:rsidRPr="00665466" w:rsidRDefault="00910CA8" w:rsidP="00665466">
      <w:pPr>
        <w:autoSpaceDE w:val="0"/>
        <w:autoSpaceDN w:val="0"/>
        <w:adjustRightInd w:val="0"/>
        <w:rPr>
          <w:bCs/>
          <w:sz w:val="22"/>
          <w:szCs w:val="22"/>
          <w:lang w:val="sk-SK"/>
        </w:rPr>
      </w:pPr>
    </w:p>
    <w:p w14:paraId="263B7AD6" w14:textId="77777777" w:rsidR="008E6437" w:rsidRPr="00665466" w:rsidRDefault="008E6437" w:rsidP="00665466">
      <w:pPr>
        <w:autoSpaceDE w:val="0"/>
        <w:autoSpaceDN w:val="0"/>
        <w:adjustRightInd w:val="0"/>
        <w:rPr>
          <w:bCs/>
          <w:sz w:val="22"/>
          <w:szCs w:val="22"/>
          <w:lang w:val="sk-SK"/>
        </w:rPr>
      </w:pPr>
    </w:p>
    <w:p w14:paraId="52E4394F" w14:textId="0C7AED5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lastRenderedPageBreak/>
        <w:t>6.</w:t>
      </w:r>
      <w:r w:rsidR="00495392" w:rsidRPr="00665466">
        <w:rPr>
          <w:b/>
          <w:bCs/>
          <w:sz w:val="22"/>
          <w:szCs w:val="22"/>
          <w:lang w:val="sk-SK"/>
        </w:rPr>
        <w:tab/>
      </w:r>
      <w:r w:rsidRPr="00665466">
        <w:rPr>
          <w:b/>
          <w:bCs/>
          <w:sz w:val="22"/>
          <w:szCs w:val="22"/>
          <w:lang w:val="sk-SK"/>
        </w:rPr>
        <w:t>FARMACEUTICKÉ INFORMÁCIE</w:t>
      </w:r>
    </w:p>
    <w:p w14:paraId="1877762D" w14:textId="77777777" w:rsidR="00B24275" w:rsidRPr="00665466" w:rsidRDefault="00B24275" w:rsidP="00665466">
      <w:pPr>
        <w:keepNext/>
        <w:tabs>
          <w:tab w:val="left" w:pos="567"/>
        </w:tabs>
        <w:autoSpaceDE w:val="0"/>
        <w:autoSpaceDN w:val="0"/>
        <w:adjustRightInd w:val="0"/>
        <w:rPr>
          <w:bCs/>
          <w:sz w:val="22"/>
          <w:szCs w:val="22"/>
          <w:lang w:val="sk-SK"/>
        </w:rPr>
      </w:pPr>
    </w:p>
    <w:p w14:paraId="39FD5418" w14:textId="62EFB6D6"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6.1</w:t>
      </w:r>
      <w:r w:rsidR="00495392" w:rsidRPr="00665466">
        <w:rPr>
          <w:b/>
          <w:bCs/>
          <w:sz w:val="22"/>
          <w:szCs w:val="22"/>
          <w:lang w:val="sk-SK"/>
        </w:rPr>
        <w:tab/>
      </w:r>
      <w:r w:rsidRPr="00665466">
        <w:rPr>
          <w:b/>
          <w:bCs/>
          <w:sz w:val="22"/>
          <w:szCs w:val="22"/>
          <w:lang w:val="sk-SK"/>
        </w:rPr>
        <w:t>Zoznam pomocných látok</w:t>
      </w:r>
    </w:p>
    <w:p w14:paraId="468FFBF4" w14:textId="77777777" w:rsidR="00B24275" w:rsidRPr="00665466" w:rsidRDefault="00B24275" w:rsidP="00665466">
      <w:pPr>
        <w:keepNext/>
        <w:tabs>
          <w:tab w:val="left" w:pos="567"/>
        </w:tabs>
        <w:autoSpaceDE w:val="0"/>
        <w:autoSpaceDN w:val="0"/>
        <w:adjustRightInd w:val="0"/>
        <w:rPr>
          <w:sz w:val="22"/>
          <w:szCs w:val="22"/>
          <w:lang w:val="sk-SK"/>
        </w:rPr>
      </w:pPr>
    </w:p>
    <w:p w14:paraId="1CC19450" w14:textId="77777777" w:rsidR="00CE35D8" w:rsidRPr="00665466" w:rsidRDefault="00CE35D8" w:rsidP="00665466">
      <w:pPr>
        <w:keepNext/>
        <w:tabs>
          <w:tab w:val="left" w:pos="567"/>
        </w:tabs>
        <w:autoSpaceDE w:val="0"/>
        <w:autoSpaceDN w:val="0"/>
        <w:adjustRightInd w:val="0"/>
        <w:rPr>
          <w:sz w:val="22"/>
          <w:szCs w:val="22"/>
          <w:u w:val="single"/>
          <w:lang w:val="sk-SK"/>
        </w:rPr>
      </w:pPr>
      <w:r w:rsidRPr="00665466">
        <w:rPr>
          <w:sz w:val="22"/>
          <w:szCs w:val="22"/>
          <w:u w:val="single"/>
          <w:lang w:val="sk-SK"/>
        </w:rPr>
        <w:t>Jadro tablety:</w:t>
      </w:r>
    </w:p>
    <w:p w14:paraId="49637E47" w14:textId="5E65B7F8" w:rsidR="0026413B" w:rsidRPr="00665466" w:rsidRDefault="00B24275" w:rsidP="00665466">
      <w:pPr>
        <w:autoSpaceDE w:val="0"/>
        <w:autoSpaceDN w:val="0"/>
        <w:adjustRightInd w:val="0"/>
        <w:rPr>
          <w:sz w:val="22"/>
          <w:szCs w:val="22"/>
          <w:lang w:val="sk-SK"/>
        </w:rPr>
      </w:pPr>
      <w:r w:rsidRPr="00665466">
        <w:rPr>
          <w:sz w:val="22"/>
          <w:szCs w:val="22"/>
          <w:lang w:val="sk-SK"/>
        </w:rPr>
        <w:t>hydrogénfosforečnan vápenatý</w:t>
      </w:r>
      <w:r w:rsidR="001F0188" w:rsidRPr="00665466">
        <w:rPr>
          <w:sz w:val="22"/>
          <w:szCs w:val="22"/>
          <w:lang w:val="sk-SK"/>
        </w:rPr>
        <w:t>, bezvodý</w:t>
      </w:r>
    </w:p>
    <w:p w14:paraId="08F052FF" w14:textId="2B4BFFE4" w:rsidR="0026413B" w:rsidRPr="00665466" w:rsidRDefault="00B24275" w:rsidP="00665466">
      <w:pPr>
        <w:autoSpaceDE w:val="0"/>
        <w:autoSpaceDN w:val="0"/>
        <w:adjustRightInd w:val="0"/>
        <w:rPr>
          <w:sz w:val="22"/>
          <w:szCs w:val="22"/>
          <w:lang w:val="sk-SK"/>
        </w:rPr>
      </w:pPr>
      <w:r w:rsidRPr="00665466">
        <w:rPr>
          <w:sz w:val="22"/>
          <w:szCs w:val="22"/>
          <w:lang w:val="sk-SK"/>
        </w:rPr>
        <w:t>koloidný oxid kremičitý</w:t>
      </w:r>
    </w:p>
    <w:p w14:paraId="06ACB504" w14:textId="2D44B093" w:rsidR="001F0188" w:rsidRPr="00665466" w:rsidRDefault="001F0188" w:rsidP="00665466">
      <w:pPr>
        <w:autoSpaceDE w:val="0"/>
        <w:autoSpaceDN w:val="0"/>
        <w:adjustRightInd w:val="0"/>
        <w:rPr>
          <w:sz w:val="22"/>
          <w:szCs w:val="22"/>
          <w:lang w:val="sk-SK"/>
        </w:rPr>
      </w:pPr>
      <w:r w:rsidRPr="00665466">
        <w:rPr>
          <w:sz w:val="22"/>
          <w:szCs w:val="22"/>
          <w:lang w:val="sk-SK"/>
        </w:rPr>
        <w:t>stear</w:t>
      </w:r>
      <w:r w:rsidR="00400476">
        <w:rPr>
          <w:sz w:val="22"/>
          <w:szCs w:val="22"/>
          <w:lang w:val="sk-SK"/>
        </w:rPr>
        <w:t>át</w:t>
      </w:r>
      <w:r w:rsidRPr="00665466">
        <w:rPr>
          <w:sz w:val="22"/>
          <w:szCs w:val="22"/>
          <w:lang w:val="sk-SK"/>
        </w:rPr>
        <w:t xml:space="preserve"> horečnatý</w:t>
      </w:r>
    </w:p>
    <w:p w14:paraId="32575755" w14:textId="062C1D41" w:rsidR="00CE35D8" w:rsidRPr="00F0734E" w:rsidRDefault="00CE35D8" w:rsidP="00665466">
      <w:pPr>
        <w:autoSpaceDE w:val="0"/>
        <w:autoSpaceDN w:val="0"/>
        <w:adjustRightInd w:val="0"/>
        <w:rPr>
          <w:sz w:val="22"/>
          <w:szCs w:val="22"/>
          <w:lang w:val="sk-SK"/>
        </w:rPr>
      </w:pPr>
      <w:r w:rsidRPr="00F0734E">
        <w:rPr>
          <w:sz w:val="22"/>
          <w:szCs w:val="22"/>
          <w:lang w:val="sk-SK"/>
        </w:rPr>
        <w:t>sodná soľ karboxymetylškrobu</w:t>
      </w:r>
    </w:p>
    <w:p w14:paraId="5BBE2A99" w14:textId="77777777" w:rsidR="00CE35D8" w:rsidRPr="00665466" w:rsidRDefault="00CE35D8" w:rsidP="00665466">
      <w:pPr>
        <w:autoSpaceDE w:val="0"/>
        <w:autoSpaceDN w:val="0"/>
        <w:adjustRightInd w:val="0"/>
        <w:rPr>
          <w:sz w:val="22"/>
          <w:szCs w:val="22"/>
          <w:lang w:val="sk-SK"/>
        </w:rPr>
      </w:pPr>
    </w:p>
    <w:p w14:paraId="29751DCE" w14:textId="77777777" w:rsidR="00CE35D8" w:rsidRPr="00665466" w:rsidRDefault="00CE35D8" w:rsidP="00665466">
      <w:pPr>
        <w:keepNext/>
        <w:tabs>
          <w:tab w:val="left" w:pos="567"/>
        </w:tabs>
        <w:autoSpaceDE w:val="0"/>
        <w:autoSpaceDN w:val="0"/>
        <w:adjustRightInd w:val="0"/>
        <w:rPr>
          <w:sz w:val="22"/>
          <w:szCs w:val="22"/>
          <w:u w:val="single"/>
          <w:lang w:val="sk-SK"/>
        </w:rPr>
      </w:pPr>
      <w:r w:rsidRPr="00665466">
        <w:rPr>
          <w:sz w:val="22"/>
          <w:szCs w:val="22"/>
          <w:u w:val="single"/>
          <w:lang w:val="sk-SK"/>
        </w:rPr>
        <w:t>Obal tablety:</w:t>
      </w:r>
    </w:p>
    <w:p w14:paraId="0D0522BC" w14:textId="0AD8FA46" w:rsidR="0026413B" w:rsidRPr="00665466" w:rsidRDefault="00002552" w:rsidP="00665466">
      <w:pPr>
        <w:autoSpaceDE w:val="0"/>
        <w:autoSpaceDN w:val="0"/>
        <w:adjustRightInd w:val="0"/>
        <w:rPr>
          <w:sz w:val="22"/>
          <w:szCs w:val="22"/>
          <w:lang w:val="sk-SK"/>
        </w:rPr>
      </w:pPr>
      <w:r w:rsidRPr="00665466">
        <w:rPr>
          <w:sz w:val="22"/>
          <w:szCs w:val="22"/>
          <w:lang w:val="sk-SK"/>
        </w:rPr>
        <w:t>mastenec</w:t>
      </w:r>
    </w:p>
    <w:p w14:paraId="191230EF" w14:textId="1F7F0663" w:rsidR="0026413B" w:rsidRPr="00665466" w:rsidRDefault="00B24275" w:rsidP="00665466">
      <w:pPr>
        <w:autoSpaceDE w:val="0"/>
        <w:autoSpaceDN w:val="0"/>
        <w:adjustRightInd w:val="0"/>
        <w:rPr>
          <w:sz w:val="22"/>
          <w:szCs w:val="22"/>
          <w:lang w:val="sk-SK"/>
        </w:rPr>
      </w:pPr>
      <w:r w:rsidRPr="00665466">
        <w:rPr>
          <w:sz w:val="22"/>
          <w:szCs w:val="22"/>
          <w:lang w:val="sk-SK"/>
        </w:rPr>
        <w:t>oxid titaničitý</w:t>
      </w:r>
      <w:r w:rsidR="00CE35D8" w:rsidRPr="00665466">
        <w:rPr>
          <w:sz w:val="22"/>
          <w:szCs w:val="22"/>
          <w:lang w:val="sk-SK"/>
        </w:rPr>
        <w:t xml:space="preserve"> (E 171)</w:t>
      </w:r>
    </w:p>
    <w:p w14:paraId="69EC01DC" w14:textId="6724B8F0" w:rsidR="00B24275" w:rsidRPr="00665466" w:rsidRDefault="00B24275" w:rsidP="00665466">
      <w:pPr>
        <w:autoSpaceDE w:val="0"/>
        <w:autoSpaceDN w:val="0"/>
        <w:adjustRightInd w:val="0"/>
        <w:rPr>
          <w:sz w:val="22"/>
          <w:szCs w:val="22"/>
          <w:lang w:val="sk-SK"/>
        </w:rPr>
      </w:pPr>
      <w:r w:rsidRPr="00665466">
        <w:rPr>
          <w:sz w:val="22"/>
          <w:szCs w:val="22"/>
          <w:lang w:val="sk-SK"/>
        </w:rPr>
        <w:t>metakrylátový kopolymér</w:t>
      </w:r>
    </w:p>
    <w:p w14:paraId="1E10483D" w14:textId="77777777" w:rsidR="00B24275" w:rsidRPr="00665466" w:rsidRDefault="00B24275" w:rsidP="00665466">
      <w:pPr>
        <w:autoSpaceDE w:val="0"/>
        <w:autoSpaceDN w:val="0"/>
        <w:adjustRightInd w:val="0"/>
        <w:rPr>
          <w:bCs/>
          <w:sz w:val="22"/>
          <w:szCs w:val="22"/>
          <w:lang w:val="sk-SK"/>
        </w:rPr>
      </w:pPr>
    </w:p>
    <w:p w14:paraId="71B0148A" w14:textId="06D7B924"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6.2</w:t>
      </w:r>
      <w:r w:rsidR="00495392" w:rsidRPr="00665466">
        <w:rPr>
          <w:b/>
          <w:bCs/>
          <w:sz w:val="22"/>
          <w:szCs w:val="22"/>
          <w:lang w:val="sk-SK"/>
        </w:rPr>
        <w:tab/>
      </w:r>
      <w:r w:rsidRPr="00665466">
        <w:rPr>
          <w:b/>
          <w:bCs/>
          <w:sz w:val="22"/>
          <w:szCs w:val="22"/>
          <w:lang w:val="sk-SK"/>
        </w:rPr>
        <w:t>Inkompatibility</w:t>
      </w:r>
    </w:p>
    <w:p w14:paraId="0B10DDCF" w14:textId="77777777" w:rsidR="00B24275" w:rsidRPr="00665466" w:rsidRDefault="00B24275" w:rsidP="00665466">
      <w:pPr>
        <w:keepNext/>
        <w:tabs>
          <w:tab w:val="left" w:pos="567"/>
        </w:tabs>
        <w:autoSpaceDE w:val="0"/>
        <w:autoSpaceDN w:val="0"/>
        <w:adjustRightInd w:val="0"/>
        <w:rPr>
          <w:sz w:val="22"/>
          <w:szCs w:val="22"/>
          <w:lang w:val="sk-SK"/>
        </w:rPr>
      </w:pPr>
    </w:p>
    <w:p w14:paraId="211A026D" w14:textId="77777777" w:rsidR="00B24275" w:rsidRPr="00665466" w:rsidRDefault="00B24275" w:rsidP="00665466">
      <w:pPr>
        <w:autoSpaceDE w:val="0"/>
        <w:autoSpaceDN w:val="0"/>
        <w:adjustRightInd w:val="0"/>
        <w:rPr>
          <w:sz w:val="22"/>
          <w:szCs w:val="22"/>
          <w:lang w:val="sk-SK"/>
        </w:rPr>
      </w:pPr>
      <w:r w:rsidRPr="00665466">
        <w:rPr>
          <w:sz w:val="22"/>
          <w:szCs w:val="22"/>
          <w:lang w:val="sk-SK"/>
        </w:rPr>
        <w:t>Neaplikovateľné.</w:t>
      </w:r>
    </w:p>
    <w:p w14:paraId="7DDBDA39" w14:textId="77777777" w:rsidR="00B24275" w:rsidRPr="00665466" w:rsidRDefault="00B24275" w:rsidP="00665466">
      <w:pPr>
        <w:autoSpaceDE w:val="0"/>
        <w:autoSpaceDN w:val="0"/>
        <w:adjustRightInd w:val="0"/>
        <w:rPr>
          <w:sz w:val="22"/>
          <w:szCs w:val="22"/>
          <w:lang w:val="sk-SK"/>
        </w:rPr>
      </w:pPr>
    </w:p>
    <w:p w14:paraId="764FB99C" w14:textId="1CE6476A"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6.3</w:t>
      </w:r>
      <w:r w:rsidR="00495392" w:rsidRPr="00665466">
        <w:rPr>
          <w:b/>
          <w:bCs/>
          <w:sz w:val="22"/>
          <w:szCs w:val="22"/>
          <w:lang w:val="sk-SK"/>
        </w:rPr>
        <w:tab/>
      </w:r>
      <w:r w:rsidRPr="00665466">
        <w:rPr>
          <w:b/>
          <w:bCs/>
          <w:sz w:val="22"/>
          <w:szCs w:val="22"/>
          <w:lang w:val="sk-SK"/>
        </w:rPr>
        <w:t>Čas použiteľnosti</w:t>
      </w:r>
    </w:p>
    <w:p w14:paraId="6B908E14" w14:textId="77777777" w:rsidR="00B24275" w:rsidRPr="00665466" w:rsidRDefault="00B24275" w:rsidP="00665466">
      <w:pPr>
        <w:keepNext/>
        <w:tabs>
          <w:tab w:val="left" w:pos="567"/>
        </w:tabs>
        <w:autoSpaceDE w:val="0"/>
        <w:autoSpaceDN w:val="0"/>
        <w:adjustRightInd w:val="0"/>
        <w:rPr>
          <w:sz w:val="22"/>
          <w:szCs w:val="22"/>
          <w:lang w:val="sk-SK"/>
        </w:rPr>
      </w:pPr>
    </w:p>
    <w:p w14:paraId="23A79193" w14:textId="77777777" w:rsidR="00B24275" w:rsidRPr="00665466" w:rsidRDefault="00B24275" w:rsidP="00665466">
      <w:pPr>
        <w:autoSpaceDE w:val="0"/>
        <w:autoSpaceDN w:val="0"/>
        <w:adjustRightInd w:val="0"/>
        <w:rPr>
          <w:sz w:val="22"/>
          <w:szCs w:val="22"/>
          <w:lang w:val="sk-SK"/>
        </w:rPr>
      </w:pPr>
      <w:r w:rsidRPr="00665466">
        <w:rPr>
          <w:sz w:val="22"/>
          <w:szCs w:val="22"/>
          <w:lang w:val="sk-SK"/>
        </w:rPr>
        <w:t>24 mesiacov</w:t>
      </w:r>
      <w:r w:rsidR="00CE35D8" w:rsidRPr="00665466">
        <w:rPr>
          <w:sz w:val="22"/>
          <w:szCs w:val="22"/>
          <w:lang w:val="sk-SK"/>
        </w:rPr>
        <w:t>.</w:t>
      </w:r>
    </w:p>
    <w:p w14:paraId="6E887510" w14:textId="77777777" w:rsidR="00B24275" w:rsidRPr="00665466" w:rsidRDefault="00B24275" w:rsidP="00665466">
      <w:pPr>
        <w:autoSpaceDE w:val="0"/>
        <w:autoSpaceDN w:val="0"/>
        <w:adjustRightInd w:val="0"/>
        <w:rPr>
          <w:bCs/>
          <w:sz w:val="22"/>
          <w:szCs w:val="22"/>
          <w:lang w:val="sk-SK"/>
        </w:rPr>
      </w:pPr>
    </w:p>
    <w:p w14:paraId="03FFDDA7" w14:textId="494E5CDD"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6.4</w:t>
      </w:r>
      <w:r w:rsidR="00495392" w:rsidRPr="00665466">
        <w:rPr>
          <w:b/>
          <w:bCs/>
          <w:sz w:val="22"/>
          <w:szCs w:val="22"/>
          <w:lang w:val="sk-SK"/>
        </w:rPr>
        <w:tab/>
      </w:r>
      <w:r w:rsidRPr="00665466">
        <w:rPr>
          <w:b/>
          <w:bCs/>
          <w:sz w:val="22"/>
          <w:szCs w:val="22"/>
          <w:lang w:val="sk-SK"/>
        </w:rPr>
        <w:t>Špeciálne upozornenia na uchovávanie</w:t>
      </w:r>
    </w:p>
    <w:p w14:paraId="09E70672" w14:textId="77777777" w:rsidR="00B24275" w:rsidRPr="00665466" w:rsidRDefault="00B24275" w:rsidP="00665466">
      <w:pPr>
        <w:keepNext/>
        <w:tabs>
          <w:tab w:val="left" w:pos="567"/>
        </w:tabs>
        <w:autoSpaceDE w:val="0"/>
        <w:autoSpaceDN w:val="0"/>
        <w:adjustRightInd w:val="0"/>
        <w:rPr>
          <w:sz w:val="22"/>
          <w:szCs w:val="22"/>
          <w:lang w:val="sk-SK"/>
        </w:rPr>
      </w:pPr>
    </w:p>
    <w:p w14:paraId="7EEEEE6B" w14:textId="5E4D5C55" w:rsidR="00B24275" w:rsidRPr="00665466" w:rsidRDefault="00B24275" w:rsidP="00665466">
      <w:pPr>
        <w:autoSpaceDE w:val="0"/>
        <w:autoSpaceDN w:val="0"/>
        <w:adjustRightInd w:val="0"/>
        <w:rPr>
          <w:sz w:val="22"/>
          <w:szCs w:val="22"/>
          <w:lang w:val="sk-SK"/>
        </w:rPr>
      </w:pPr>
      <w:r w:rsidRPr="00665466">
        <w:rPr>
          <w:sz w:val="22"/>
          <w:szCs w:val="22"/>
          <w:lang w:val="sk-SK"/>
        </w:rPr>
        <w:t>Uchováva</w:t>
      </w:r>
      <w:r w:rsidR="00D968DE" w:rsidRPr="00665466">
        <w:rPr>
          <w:sz w:val="22"/>
          <w:szCs w:val="22"/>
          <w:lang w:val="sk-SK"/>
        </w:rPr>
        <w:t>jte</w:t>
      </w:r>
      <w:r w:rsidRPr="00665466">
        <w:rPr>
          <w:sz w:val="22"/>
          <w:szCs w:val="22"/>
          <w:lang w:val="sk-SK"/>
        </w:rPr>
        <w:t xml:space="preserve"> pri teplote neprevyšujúcej 25</w:t>
      </w:r>
      <w:r w:rsidR="00563A10" w:rsidRPr="00665466">
        <w:rPr>
          <w:sz w:val="22"/>
          <w:szCs w:val="22"/>
          <w:lang w:val="sk-SK"/>
        </w:rPr>
        <w:t> </w:t>
      </w:r>
      <w:r w:rsidRPr="00665466">
        <w:rPr>
          <w:sz w:val="22"/>
          <w:szCs w:val="22"/>
          <w:lang w:val="sk-SK"/>
        </w:rPr>
        <w:t>ºC.</w:t>
      </w:r>
    </w:p>
    <w:p w14:paraId="2F3D891D" w14:textId="77777777" w:rsidR="000C32A7" w:rsidRPr="00665466" w:rsidRDefault="000C32A7" w:rsidP="00665466">
      <w:pPr>
        <w:autoSpaceDE w:val="0"/>
        <w:autoSpaceDN w:val="0"/>
        <w:adjustRightInd w:val="0"/>
        <w:rPr>
          <w:sz w:val="22"/>
          <w:szCs w:val="22"/>
          <w:lang w:val="sk-SK"/>
        </w:rPr>
      </w:pPr>
    </w:p>
    <w:p w14:paraId="66C1FC51" w14:textId="77777777" w:rsidR="00CE35D8" w:rsidRPr="00665466" w:rsidRDefault="00CE35D8" w:rsidP="00665466">
      <w:pPr>
        <w:autoSpaceDE w:val="0"/>
        <w:autoSpaceDN w:val="0"/>
        <w:adjustRightInd w:val="0"/>
        <w:rPr>
          <w:sz w:val="22"/>
          <w:szCs w:val="22"/>
          <w:lang w:val="sk-SK"/>
        </w:rPr>
      </w:pPr>
      <w:r w:rsidRPr="00665466">
        <w:rPr>
          <w:sz w:val="22"/>
          <w:szCs w:val="22"/>
          <w:lang w:val="sk-SK"/>
        </w:rPr>
        <w:t>Uchovávajte v pôvodnom obale na ochranu pred svetlom.</w:t>
      </w:r>
    </w:p>
    <w:p w14:paraId="3AF9A703" w14:textId="77777777" w:rsidR="0026413B" w:rsidRPr="00665466" w:rsidRDefault="0026413B" w:rsidP="00665466">
      <w:pPr>
        <w:autoSpaceDE w:val="0"/>
        <w:autoSpaceDN w:val="0"/>
        <w:adjustRightInd w:val="0"/>
        <w:rPr>
          <w:sz w:val="22"/>
          <w:szCs w:val="22"/>
          <w:lang w:val="sk-SK"/>
        </w:rPr>
      </w:pPr>
    </w:p>
    <w:p w14:paraId="1688F409" w14:textId="58DBFEB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6.5</w:t>
      </w:r>
      <w:r w:rsidR="00495392" w:rsidRPr="00665466">
        <w:rPr>
          <w:b/>
          <w:bCs/>
          <w:sz w:val="22"/>
          <w:szCs w:val="22"/>
          <w:lang w:val="sk-SK"/>
        </w:rPr>
        <w:tab/>
      </w:r>
      <w:r w:rsidRPr="00665466">
        <w:rPr>
          <w:b/>
          <w:bCs/>
          <w:sz w:val="22"/>
          <w:szCs w:val="22"/>
          <w:lang w:val="sk-SK"/>
        </w:rPr>
        <w:t>Druh obalu a obsah balenia</w:t>
      </w:r>
    </w:p>
    <w:p w14:paraId="1F06BDDC" w14:textId="77777777" w:rsidR="00B24275" w:rsidRPr="00665466" w:rsidRDefault="00B24275" w:rsidP="00665466">
      <w:pPr>
        <w:keepNext/>
        <w:tabs>
          <w:tab w:val="left" w:pos="567"/>
        </w:tabs>
        <w:autoSpaceDE w:val="0"/>
        <w:autoSpaceDN w:val="0"/>
        <w:adjustRightInd w:val="0"/>
        <w:rPr>
          <w:sz w:val="22"/>
          <w:szCs w:val="22"/>
          <w:lang w:val="sk-SK"/>
        </w:rPr>
      </w:pPr>
    </w:p>
    <w:p w14:paraId="60AE6A6D" w14:textId="5CB60034" w:rsidR="00B24275" w:rsidRPr="00665466" w:rsidRDefault="00B24275" w:rsidP="00665466">
      <w:pPr>
        <w:autoSpaceDE w:val="0"/>
        <w:autoSpaceDN w:val="0"/>
        <w:adjustRightInd w:val="0"/>
        <w:rPr>
          <w:sz w:val="22"/>
          <w:szCs w:val="22"/>
          <w:lang w:val="sk-SK"/>
        </w:rPr>
      </w:pPr>
      <w:r w:rsidRPr="00665466">
        <w:rPr>
          <w:sz w:val="22"/>
          <w:szCs w:val="22"/>
          <w:lang w:val="sk-SK"/>
        </w:rPr>
        <w:t xml:space="preserve">Biela fľaška z polyteylénu </w:t>
      </w:r>
      <w:r w:rsidR="00002552" w:rsidRPr="00665466">
        <w:rPr>
          <w:sz w:val="22"/>
          <w:szCs w:val="22"/>
          <w:lang w:val="sk-SK"/>
        </w:rPr>
        <w:t xml:space="preserve">vysokej hustoty </w:t>
      </w:r>
      <w:r w:rsidRPr="00665466">
        <w:rPr>
          <w:sz w:val="22"/>
          <w:szCs w:val="22"/>
          <w:lang w:val="sk-SK"/>
        </w:rPr>
        <w:t xml:space="preserve">(HDPE) s bielym polypropylénovým </w:t>
      </w:r>
      <w:r w:rsidR="003738C3" w:rsidRPr="00665466">
        <w:rPr>
          <w:sz w:val="22"/>
          <w:szCs w:val="22"/>
          <w:lang w:val="sk-SK"/>
        </w:rPr>
        <w:t xml:space="preserve">detským </w:t>
      </w:r>
      <w:r w:rsidR="00002552" w:rsidRPr="00665466">
        <w:rPr>
          <w:sz w:val="22"/>
          <w:szCs w:val="22"/>
          <w:lang w:val="sk-SK"/>
        </w:rPr>
        <w:t xml:space="preserve">bezpečnostným </w:t>
      </w:r>
      <w:r w:rsidRPr="00665466">
        <w:rPr>
          <w:sz w:val="22"/>
          <w:szCs w:val="22"/>
          <w:lang w:val="sk-SK"/>
        </w:rPr>
        <w:t>uzáverom (PP).</w:t>
      </w:r>
    </w:p>
    <w:p w14:paraId="1E35B8B5" w14:textId="77777777" w:rsidR="00002552" w:rsidRPr="00665466" w:rsidRDefault="00002552" w:rsidP="00665466">
      <w:pPr>
        <w:autoSpaceDE w:val="0"/>
        <w:autoSpaceDN w:val="0"/>
        <w:adjustRightInd w:val="0"/>
        <w:rPr>
          <w:sz w:val="22"/>
          <w:szCs w:val="22"/>
          <w:lang w:val="sk-SK"/>
        </w:rPr>
      </w:pPr>
    </w:p>
    <w:p w14:paraId="0DFBBAD1" w14:textId="77777777" w:rsidR="00B24275" w:rsidRPr="00665466" w:rsidRDefault="00B24275" w:rsidP="00665466">
      <w:pPr>
        <w:autoSpaceDE w:val="0"/>
        <w:autoSpaceDN w:val="0"/>
        <w:adjustRightInd w:val="0"/>
        <w:rPr>
          <w:sz w:val="22"/>
          <w:szCs w:val="22"/>
          <w:lang w:val="sk-SK"/>
        </w:rPr>
      </w:pPr>
      <w:r w:rsidRPr="00665466">
        <w:rPr>
          <w:sz w:val="22"/>
          <w:szCs w:val="22"/>
          <w:lang w:val="sk-SK"/>
        </w:rPr>
        <w:t xml:space="preserve">Veľkosť balenia: 28, 58, 100 </w:t>
      </w:r>
      <w:r w:rsidR="00495392" w:rsidRPr="00665466">
        <w:rPr>
          <w:sz w:val="22"/>
          <w:szCs w:val="22"/>
          <w:lang w:val="sk-SK"/>
        </w:rPr>
        <w:t>filmom obalených tabliet</w:t>
      </w:r>
      <w:r w:rsidRPr="00665466">
        <w:rPr>
          <w:sz w:val="22"/>
          <w:szCs w:val="22"/>
          <w:lang w:val="sk-SK"/>
        </w:rPr>
        <w:t>.</w:t>
      </w:r>
    </w:p>
    <w:p w14:paraId="0D3AAD36" w14:textId="77777777" w:rsidR="00002552" w:rsidRPr="00665466" w:rsidRDefault="00002552" w:rsidP="00665466">
      <w:pPr>
        <w:autoSpaceDE w:val="0"/>
        <w:autoSpaceDN w:val="0"/>
        <w:adjustRightInd w:val="0"/>
        <w:rPr>
          <w:sz w:val="22"/>
          <w:szCs w:val="22"/>
          <w:lang w:val="sk-SK"/>
        </w:rPr>
      </w:pPr>
    </w:p>
    <w:p w14:paraId="1F139675" w14:textId="7A718AA4" w:rsidR="00495392" w:rsidRPr="00665466" w:rsidRDefault="00495392" w:rsidP="00665466">
      <w:pPr>
        <w:autoSpaceDE w:val="0"/>
        <w:autoSpaceDN w:val="0"/>
        <w:adjustRightInd w:val="0"/>
        <w:rPr>
          <w:sz w:val="22"/>
          <w:szCs w:val="22"/>
          <w:lang w:val="sk-SK"/>
        </w:rPr>
      </w:pPr>
      <w:r w:rsidRPr="00665466">
        <w:rPr>
          <w:sz w:val="22"/>
          <w:szCs w:val="22"/>
          <w:lang w:val="sk-SK"/>
        </w:rPr>
        <w:t>N</w:t>
      </w:r>
      <w:r w:rsidR="008F1191" w:rsidRPr="00665466">
        <w:rPr>
          <w:sz w:val="22"/>
          <w:szCs w:val="22"/>
          <w:lang w:val="sk-SK"/>
        </w:rPr>
        <w:t>a trh nemus</w:t>
      </w:r>
      <w:r w:rsidRPr="00665466">
        <w:rPr>
          <w:sz w:val="22"/>
          <w:szCs w:val="22"/>
          <w:lang w:val="sk-SK"/>
        </w:rPr>
        <w:t>i</w:t>
      </w:r>
      <w:r w:rsidR="008F1191" w:rsidRPr="00665466">
        <w:rPr>
          <w:sz w:val="22"/>
          <w:szCs w:val="22"/>
          <w:lang w:val="sk-SK"/>
        </w:rPr>
        <w:t>a byť uvedené</w:t>
      </w:r>
      <w:r w:rsidRPr="00665466">
        <w:rPr>
          <w:sz w:val="22"/>
          <w:szCs w:val="22"/>
          <w:lang w:val="sk-SK"/>
        </w:rPr>
        <w:t xml:space="preserve"> všetky veľkosti balenia.</w:t>
      </w:r>
    </w:p>
    <w:p w14:paraId="4D7FD5ED" w14:textId="77777777" w:rsidR="00B24275" w:rsidRPr="00665466" w:rsidRDefault="00B24275" w:rsidP="00665466">
      <w:pPr>
        <w:autoSpaceDE w:val="0"/>
        <w:autoSpaceDN w:val="0"/>
        <w:adjustRightInd w:val="0"/>
        <w:rPr>
          <w:sz w:val="22"/>
          <w:szCs w:val="22"/>
          <w:lang w:val="sk-SK"/>
        </w:rPr>
      </w:pPr>
    </w:p>
    <w:p w14:paraId="3C3ED39E" w14:textId="768278A5" w:rsidR="00B24275" w:rsidRPr="00665466" w:rsidRDefault="00B24275" w:rsidP="00665466">
      <w:pPr>
        <w:keepNext/>
        <w:tabs>
          <w:tab w:val="left" w:pos="567"/>
        </w:tabs>
        <w:autoSpaceDE w:val="0"/>
        <w:autoSpaceDN w:val="0"/>
        <w:adjustRightInd w:val="0"/>
        <w:rPr>
          <w:b/>
          <w:sz w:val="22"/>
          <w:szCs w:val="22"/>
          <w:lang w:val="sk-SK"/>
        </w:rPr>
      </w:pPr>
      <w:r w:rsidRPr="00665466">
        <w:rPr>
          <w:b/>
          <w:sz w:val="22"/>
          <w:szCs w:val="22"/>
          <w:lang w:val="sk-SK"/>
        </w:rPr>
        <w:t>6.6</w:t>
      </w:r>
      <w:r w:rsidR="00495392" w:rsidRPr="00665466">
        <w:rPr>
          <w:b/>
          <w:sz w:val="22"/>
          <w:szCs w:val="22"/>
          <w:lang w:val="sk-SK"/>
        </w:rPr>
        <w:tab/>
        <w:t>Špeciálne opatrenia na likvidáciu</w:t>
      </w:r>
    </w:p>
    <w:p w14:paraId="51492B2A" w14:textId="77777777" w:rsidR="00B24275" w:rsidRPr="00665466" w:rsidRDefault="00B24275" w:rsidP="00665466">
      <w:pPr>
        <w:keepNext/>
        <w:tabs>
          <w:tab w:val="left" w:pos="567"/>
        </w:tabs>
        <w:autoSpaceDE w:val="0"/>
        <w:autoSpaceDN w:val="0"/>
        <w:adjustRightInd w:val="0"/>
        <w:rPr>
          <w:sz w:val="22"/>
          <w:szCs w:val="22"/>
          <w:lang w:val="sk-SK"/>
        </w:rPr>
      </w:pPr>
    </w:p>
    <w:p w14:paraId="7F09D121" w14:textId="065B543F" w:rsidR="00B24275" w:rsidRPr="00665466" w:rsidRDefault="00B24275" w:rsidP="00665466">
      <w:pPr>
        <w:autoSpaceDE w:val="0"/>
        <w:autoSpaceDN w:val="0"/>
        <w:adjustRightInd w:val="0"/>
        <w:rPr>
          <w:sz w:val="22"/>
          <w:szCs w:val="22"/>
          <w:lang w:val="sk-SK"/>
        </w:rPr>
      </w:pPr>
      <w:r w:rsidRPr="00665466">
        <w:rPr>
          <w:sz w:val="22"/>
          <w:szCs w:val="22"/>
          <w:lang w:val="sk-SK"/>
        </w:rPr>
        <w:t>Žiadne zvláštne požiadavky</w:t>
      </w:r>
      <w:r w:rsidR="00447413" w:rsidRPr="00665466">
        <w:rPr>
          <w:sz w:val="22"/>
          <w:szCs w:val="22"/>
          <w:lang w:val="sk-SK"/>
        </w:rPr>
        <w:t xml:space="preserve"> na likvidáciu</w:t>
      </w:r>
      <w:r w:rsidRPr="00665466">
        <w:rPr>
          <w:sz w:val="22"/>
          <w:szCs w:val="22"/>
          <w:lang w:val="sk-SK"/>
        </w:rPr>
        <w:t>.</w:t>
      </w:r>
    </w:p>
    <w:p w14:paraId="09C8F27B" w14:textId="77777777" w:rsidR="00447413" w:rsidRPr="00665466" w:rsidRDefault="003738C3" w:rsidP="00665466">
      <w:pPr>
        <w:autoSpaceDE w:val="0"/>
        <w:autoSpaceDN w:val="0"/>
        <w:adjustRightInd w:val="0"/>
        <w:rPr>
          <w:sz w:val="22"/>
          <w:szCs w:val="22"/>
          <w:lang w:val="sk-SK"/>
        </w:rPr>
      </w:pPr>
      <w:r w:rsidRPr="00665466">
        <w:rPr>
          <w:sz w:val="22"/>
          <w:szCs w:val="22"/>
          <w:lang w:val="sk-SK"/>
        </w:rPr>
        <w:t>Všetok nepoužitý liek alebo odpad vzniknutý z lieku sa má zlikvidovať v súlade s národnými požiadavkami</w:t>
      </w:r>
    </w:p>
    <w:p w14:paraId="7D0B1B5E" w14:textId="77777777" w:rsidR="003738C3" w:rsidRPr="00F0734E" w:rsidRDefault="003738C3" w:rsidP="00665466">
      <w:pPr>
        <w:autoSpaceDE w:val="0"/>
        <w:autoSpaceDN w:val="0"/>
        <w:adjustRightInd w:val="0"/>
        <w:rPr>
          <w:sz w:val="22"/>
          <w:szCs w:val="22"/>
          <w:lang w:val="sk-SK"/>
        </w:rPr>
      </w:pPr>
    </w:p>
    <w:p w14:paraId="2E25D851" w14:textId="77777777" w:rsidR="00B24275" w:rsidRPr="00665466" w:rsidRDefault="00B24275" w:rsidP="00665466">
      <w:pPr>
        <w:autoSpaceDE w:val="0"/>
        <w:autoSpaceDN w:val="0"/>
        <w:adjustRightInd w:val="0"/>
        <w:rPr>
          <w:sz w:val="22"/>
          <w:szCs w:val="22"/>
          <w:lang w:val="sk-SK"/>
        </w:rPr>
      </w:pPr>
    </w:p>
    <w:p w14:paraId="7CE855F1" w14:textId="517ED1BC"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7.</w:t>
      </w:r>
      <w:r w:rsidR="00495392" w:rsidRPr="00665466">
        <w:rPr>
          <w:b/>
          <w:bCs/>
          <w:sz w:val="22"/>
          <w:szCs w:val="22"/>
          <w:lang w:val="sk-SK"/>
        </w:rPr>
        <w:tab/>
      </w:r>
      <w:r w:rsidRPr="00665466">
        <w:rPr>
          <w:b/>
          <w:bCs/>
          <w:sz w:val="22"/>
          <w:szCs w:val="22"/>
          <w:lang w:val="sk-SK"/>
        </w:rPr>
        <w:t>DRŽITEĽ ROZHODNUTIA O REGISTRÁCII</w:t>
      </w:r>
    </w:p>
    <w:p w14:paraId="7835F96E" w14:textId="77777777" w:rsidR="00B24275" w:rsidRPr="00665466" w:rsidRDefault="00B24275" w:rsidP="00665466">
      <w:pPr>
        <w:keepNext/>
        <w:tabs>
          <w:tab w:val="left" w:pos="567"/>
        </w:tabs>
        <w:autoSpaceDE w:val="0"/>
        <w:autoSpaceDN w:val="0"/>
        <w:adjustRightInd w:val="0"/>
        <w:rPr>
          <w:sz w:val="22"/>
          <w:szCs w:val="22"/>
          <w:lang w:val="sk-SK"/>
        </w:rPr>
      </w:pPr>
    </w:p>
    <w:p w14:paraId="49AEECF8" w14:textId="77777777" w:rsidR="00FD575C" w:rsidRPr="00665466" w:rsidRDefault="00FD575C" w:rsidP="00665466">
      <w:pPr>
        <w:tabs>
          <w:tab w:val="left" w:pos="2198"/>
        </w:tabs>
        <w:ind w:left="480" w:hanging="480"/>
        <w:rPr>
          <w:sz w:val="22"/>
          <w:szCs w:val="22"/>
          <w:lang w:val="sk-SK"/>
        </w:rPr>
      </w:pPr>
      <w:r w:rsidRPr="00665466">
        <w:rPr>
          <w:sz w:val="22"/>
          <w:szCs w:val="22"/>
          <w:lang w:val="sk-SK"/>
        </w:rPr>
        <w:t>Mylan Ireland Limited</w:t>
      </w:r>
    </w:p>
    <w:p w14:paraId="56C5B13F" w14:textId="77777777" w:rsidR="00FD575C" w:rsidRPr="00665466" w:rsidRDefault="00FD575C" w:rsidP="00665466">
      <w:pPr>
        <w:tabs>
          <w:tab w:val="left" w:pos="2198"/>
        </w:tabs>
        <w:ind w:left="480" w:hanging="480"/>
        <w:rPr>
          <w:sz w:val="22"/>
          <w:szCs w:val="22"/>
          <w:lang w:val="sk-SK"/>
        </w:rPr>
      </w:pPr>
      <w:r w:rsidRPr="00665466">
        <w:rPr>
          <w:sz w:val="22"/>
          <w:szCs w:val="22"/>
          <w:lang w:val="sk-SK"/>
        </w:rPr>
        <w:t>Unit 35/36 Grange Parade</w:t>
      </w:r>
    </w:p>
    <w:p w14:paraId="792D9ED7" w14:textId="77777777" w:rsidR="00FD575C" w:rsidRPr="00665466" w:rsidRDefault="00FD575C" w:rsidP="00665466">
      <w:pPr>
        <w:tabs>
          <w:tab w:val="left" w:pos="2198"/>
        </w:tabs>
        <w:ind w:left="480" w:hanging="480"/>
        <w:rPr>
          <w:sz w:val="22"/>
          <w:szCs w:val="22"/>
          <w:lang w:val="sk-SK"/>
        </w:rPr>
      </w:pPr>
      <w:r w:rsidRPr="00665466">
        <w:rPr>
          <w:sz w:val="22"/>
          <w:szCs w:val="22"/>
          <w:lang w:val="sk-SK"/>
        </w:rPr>
        <w:t>Baldoyle Industrial Estate</w:t>
      </w:r>
    </w:p>
    <w:p w14:paraId="66339FF4" w14:textId="77777777" w:rsidR="00FD575C" w:rsidRPr="00665466" w:rsidRDefault="00FD575C" w:rsidP="00665466">
      <w:pPr>
        <w:tabs>
          <w:tab w:val="left" w:pos="2198"/>
        </w:tabs>
        <w:ind w:left="480" w:hanging="480"/>
        <w:rPr>
          <w:sz w:val="22"/>
          <w:szCs w:val="22"/>
          <w:lang w:val="sk-SK"/>
        </w:rPr>
      </w:pPr>
      <w:r w:rsidRPr="00665466">
        <w:rPr>
          <w:sz w:val="22"/>
          <w:szCs w:val="22"/>
          <w:lang w:val="sk-SK"/>
        </w:rPr>
        <w:t>Dublin 13</w:t>
      </w:r>
    </w:p>
    <w:p w14:paraId="658C4B99" w14:textId="77777777" w:rsidR="00FD575C" w:rsidRPr="00665466" w:rsidRDefault="00FD575C" w:rsidP="00665466">
      <w:pPr>
        <w:tabs>
          <w:tab w:val="left" w:pos="2198"/>
        </w:tabs>
        <w:ind w:left="480" w:hanging="480"/>
        <w:rPr>
          <w:sz w:val="22"/>
          <w:szCs w:val="22"/>
          <w:lang w:val="sk-SK"/>
        </w:rPr>
      </w:pPr>
      <w:r w:rsidRPr="00665466">
        <w:rPr>
          <w:sz w:val="22"/>
          <w:szCs w:val="22"/>
          <w:lang w:val="sk-SK"/>
        </w:rPr>
        <w:t>Írsko</w:t>
      </w:r>
    </w:p>
    <w:p w14:paraId="26B77444" w14:textId="77777777" w:rsidR="00B24275" w:rsidRPr="00F0734E" w:rsidRDefault="00B24275" w:rsidP="00665466">
      <w:pPr>
        <w:autoSpaceDE w:val="0"/>
        <w:autoSpaceDN w:val="0"/>
        <w:adjustRightInd w:val="0"/>
        <w:rPr>
          <w:sz w:val="22"/>
          <w:szCs w:val="22"/>
          <w:lang w:val="sk-SK"/>
        </w:rPr>
      </w:pPr>
    </w:p>
    <w:p w14:paraId="66F42759" w14:textId="77777777" w:rsidR="00B24275" w:rsidRPr="00665466" w:rsidRDefault="00B24275" w:rsidP="00665466">
      <w:pPr>
        <w:autoSpaceDE w:val="0"/>
        <w:autoSpaceDN w:val="0"/>
        <w:adjustRightInd w:val="0"/>
        <w:rPr>
          <w:sz w:val="22"/>
          <w:szCs w:val="22"/>
          <w:lang w:val="sk-SK"/>
        </w:rPr>
      </w:pPr>
    </w:p>
    <w:p w14:paraId="3F966895" w14:textId="1AF8E02F"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8.</w:t>
      </w:r>
      <w:r w:rsidR="00495392" w:rsidRPr="00665466">
        <w:rPr>
          <w:b/>
          <w:bCs/>
          <w:sz w:val="22"/>
          <w:szCs w:val="22"/>
          <w:lang w:val="sk-SK"/>
        </w:rPr>
        <w:tab/>
      </w:r>
      <w:r w:rsidRPr="00665466">
        <w:rPr>
          <w:b/>
          <w:bCs/>
          <w:sz w:val="22"/>
          <w:szCs w:val="22"/>
          <w:lang w:val="sk-SK"/>
        </w:rPr>
        <w:t>REGISTRAČNÉ ČÍSLO</w:t>
      </w:r>
    </w:p>
    <w:p w14:paraId="08370183" w14:textId="77777777" w:rsidR="00B24275" w:rsidRPr="00665466" w:rsidRDefault="00B24275" w:rsidP="00665466">
      <w:pPr>
        <w:keepNext/>
        <w:tabs>
          <w:tab w:val="left" w:pos="567"/>
        </w:tabs>
        <w:autoSpaceDE w:val="0"/>
        <w:autoSpaceDN w:val="0"/>
        <w:adjustRightInd w:val="0"/>
        <w:rPr>
          <w:sz w:val="22"/>
          <w:szCs w:val="22"/>
          <w:lang w:val="sk-SK"/>
        </w:rPr>
      </w:pPr>
    </w:p>
    <w:p w14:paraId="4141A8DA" w14:textId="77777777" w:rsidR="00B24275" w:rsidRPr="00665466" w:rsidRDefault="00B24275" w:rsidP="00665466">
      <w:pPr>
        <w:autoSpaceDE w:val="0"/>
        <w:autoSpaceDN w:val="0"/>
        <w:adjustRightInd w:val="0"/>
        <w:rPr>
          <w:sz w:val="22"/>
          <w:szCs w:val="22"/>
          <w:lang w:val="sk-SK"/>
        </w:rPr>
      </w:pPr>
      <w:r w:rsidRPr="00665466">
        <w:rPr>
          <w:sz w:val="22"/>
          <w:szCs w:val="22"/>
          <w:lang w:val="sk-SK"/>
        </w:rPr>
        <w:t>30/0099/04-S</w:t>
      </w:r>
    </w:p>
    <w:p w14:paraId="0EF777C2" w14:textId="77777777" w:rsidR="00B24275" w:rsidRPr="00665466" w:rsidRDefault="00B24275" w:rsidP="00665466">
      <w:pPr>
        <w:autoSpaceDE w:val="0"/>
        <w:autoSpaceDN w:val="0"/>
        <w:adjustRightInd w:val="0"/>
        <w:rPr>
          <w:sz w:val="22"/>
          <w:szCs w:val="22"/>
          <w:lang w:val="sk-SK"/>
        </w:rPr>
      </w:pPr>
    </w:p>
    <w:p w14:paraId="46BA08AB" w14:textId="77777777" w:rsidR="00B24275" w:rsidRPr="00665466" w:rsidRDefault="00B24275" w:rsidP="00665466">
      <w:pPr>
        <w:autoSpaceDE w:val="0"/>
        <w:autoSpaceDN w:val="0"/>
        <w:adjustRightInd w:val="0"/>
        <w:rPr>
          <w:sz w:val="22"/>
          <w:szCs w:val="22"/>
          <w:lang w:val="sk-SK"/>
        </w:rPr>
      </w:pPr>
    </w:p>
    <w:p w14:paraId="69EB74FD" w14:textId="58BD29CA"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9.</w:t>
      </w:r>
      <w:r w:rsidR="00495392" w:rsidRPr="00665466">
        <w:rPr>
          <w:b/>
          <w:bCs/>
          <w:sz w:val="22"/>
          <w:szCs w:val="22"/>
          <w:lang w:val="sk-SK"/>
        </w:rPr>
        <w:tab/>
      </w:r>
      <w:r w:rsidRPr="00665466">
        <w:rPr>
          <w:b/>
          <w:bCs/>
          <w:sz w:val="22"/>
          <w:szCs w:val="22"/>
          <w:lang w:val="sk-SK"/>
        </w:rPr>
        <w:t>DÁTUM PRVEJ REGISTRÁCIE/PREDĹŽENIA REGISTRÁCIE</w:t>
      </w:r>
    </w:p>
    <w:p w14:paraId="08F40B32" w14:textId="77777777" w:rsidR="00B24275" w:rsidRPr="00665466" w:rsidRDefault="00B24275" w:rsidP="00665466">
      <w:pPr>
        <w:keepNext/>
        <w:tabs>
          <w:tab w:val="left" w:pos="567"/>
        </w:tabs>
        <w:autoSpaceDE w:val="0"/>
        <w:autoSpaceDN w:val="0"/>
        <w:adjustRightInd w:val="0"/>
        <w:rPr>
          <w:sz w:val="22"/>
          <w:szCs w:val="22"/>
          <w:lang w:val="sk-SK"/>
        </w:rPr>
      </w:pPr>
    </w:p>
    <w:p w14:paraId="155E2541" w14:textId="6BF9057E" w:rsidR="00B24275" w:rsidRPr="00665466" w:rsidRDefault="00D968DE" w:rsidP="00665466">
      <w:pPr>
        <w:autoSpaceDE w:val="0"/>
        <w:autoSpaceDN w:val="0"/>
        <w:adjustRightInd w:val="0"/>
        <w:rPr>
          <w:sz w:val="22"/>
          <w:szCs w:val="22"/>
          <w:lang w:val="sk-SK"/>
        </w:rPr>
      </w:pPr>
      <w:r w:rsidRPr="00665466">
        <w:rPr>
          <w:sz w:val="22"/>
          <w:szCs w:val="22"/>
          <w:lang w:val="sk-SK"/>
        </w:rPr>
        <w:t>Dátum prvej registrácie:</w:t>
      </w:r>
      <w:r w:rsidR="001D0567" w:rsidRPr="00665466">
        <w:rPr>
          <w:sz w:val="22"/>
          <w:szCs w:val="22"/>
          <w:lang w:val="sk-SK"/>
        </w:rPr>
        <w:t xml:space="preserve"> </w:t>
      </w:r>
      <w:r w:rsidR="00B24275" w:rsidRPr="00665466">
        <w:rPr>
          <w:sz w:val="22"/>
          <w:szCs w:val="22"/>
          <w:lang w:val="sk-SK"/>
        </w:rPr>
        <w:t>23.</w:t>
      </w:r>
      <w:r w:rsidR="00A23E2B" w:rsidRPr="00665466">
        <w:rPr>
          <w:sz w:val="22"/>
          <w:szCs w:val="22"/>
          <w:lang w:val="sk-SK"/>
        </w:rPr>
        <w:t xml:space="preserve"> apríla </w:t>
      </w:r>
      <w:r w:rsidR="00B24275" w:rsidRPr="00665466">
        <w:rPr>
          <w:sz w:val="22"/>
          <w:szCs w:val="22"/>
          <w:lang w:val="sk-SK"/>
        </w:rPr>
        <w:t>2004</w:t>
      </w:r>
    </w:p>
    <w:p w14:paraId="57C7E8E8" w14:textId="4B54AE2E" w:rsidR="008E6437" w:rsidRPr="00665466" w:rsidRDefault="001D0567" w:rsidP="00665466">
      <w:pPr>
        <w:autoSpaceDE w:val="0"/>
        <w:autoSpaceDN w:val="0"/>
        <w:adjustRightInd w:val="0"/>
        <w:rPr>
          <w:b/>
          <w:bCs/>
          <w:sz w:val="22"/>
          <w:szCs w:val="22"/>
          <w:lang w:val="sk-SK"/>
        </w:rPr>
      </w:pPr>
      <w:r w:rsidRPr="00665466">
        <w:rPr>
          <w:sz w:val="22"/>
          <w:szCs w:val="22"/>
          <w:lang w:val="sk-SK"/>
        </w:rPr>
        <w:t xml:space="preserve">Dátum </w:t>
      </w:r>
      <w:r w:rsidR="003F516F" w:rsidRPr="00665466">
        <w:rPr>
          <w:sz w:val="22"/>
          <w:szCs w:val="22"/>
          <w:lang w:val="sk-SK"/>
        </w:rPr>
        <w:t xml:space="preserve">posledného </w:t>
      </w:r>
      <w:r w:rsidRPr="00665466">
        <w:rPr>
          <w:sz w:val="22"/>
          <w:szCs w:val="22"/>
          <w:lang w:val="sk-SK"/>
        </w:rPr>
        <w:t>predĺženia: 30.</w:t>
      </w:r>
      <w:r w:rsidR="00A23E2B" w:rsidRPr="00665466">
        <w:rPr>
          <w:sz w:val="22"/>
          <w:szCs w:val="22"/>
          <w:lang w:val="sk-SK"/>
        </w:rPr>
        <w:t xml:space="preserve"> novembra </w:t>
      </w:r>
      <w:r w:rsidRPr="00665466">
        <w:rPr>
          <w:sz w:val="22"/>
          <w:szCs w:val="22"/>
          <w:lang w:val="sk-SK"/>
        </w:rPr>
        <w:t>2009</w:t>
      </w:r>
    </w:p>
    <w:p w14:paraId="2B3EF243" w14:textId="77777777" w:rsidR="0026413B" w:rsidRPr="00665466" w:rsidRDefault="0026413B" w:rsidP="00665466">
      <w:pPr>
        <w:autoSpaceDE w:val="0"/>
        <w:autoSpaceDN w:val="0"/>
        <w:adjustRightInd w:val="0"/>
        <w:rPr>
          <w:b/>
          <w:bCs/>
          <w:sz w:val="22"/>
          <w:szCs w:val="22"/>
          <w:lang w:val="sk-SK"/>
        </w:rPr>
      </w:pPr>
    </w:p>
    <w:p w14:paraId="28E0AFFC" w14:textId="77777777" w:rsidR="00A23E2B" w:rsidRPr="00665466" w:rsidRDefault="00A23E2B" w:rsidP="00665466">
      <w:pPr>
        <w:autoSpaceDE w:val="0"/>
        <w:autoSpaceDN w:val="0"/>
        <w:adjustRightInd w:val="0"/>
        <w:rPr>
          <w:b/>
          <w:bCs/>
          <w:sz w:val="22"/>
          <w:szCs w:val="22"/>
          <w:lang w:val="sk-SK"/>
        </w:rPr>
      </w:pPr>
    </w:p>
    <w:p w14:paraId="4ECC2080" w14:textId="0AAAFAD9" w:rsidR="00B24275" w:rsidRPr="00665466" w:rsidRDefault="00B24275" w:rsidP="00665466">
      <w:pPr>
        <w:keepNext/>
        <w:tabs>
          <w:tab w:val="left" w:pos="567"/>
        </w:tabs>
        <w:autoSpaceDE w:val="0"/>
        <w:autoSpaceDN w:val="0"/>
        <w:adjustRightInd w:val="0"/>
        <w:rPr>
          <w:b/>
          <w:bCs/>
          <w:sz w:val="22"/>
          <w:szCs w:val="22"/>
          <w:lang w:val="sk-SK"/>
        </w:rPr>
      </w:pPr>
      <w:r w:rsidRPr="00665466">
        <w:rPr>
          <w:b/>
          <w:bCs/>
          <w:sz w:val="22"/>
          <w:szCs w:val="22"/>
          <w:lang w:val="sk-SK"/>
        </w:rPr>
        <w:t>10.</w:t>
      </w:r>
      <w:r w:rsidR="00495392" w:rsidRPr="00665466">
        <w:rPr>
          <w:b/>
          <w:bCs/>
          <w:sz w:val="22"/>
          <w:szCs w:val="22"/>
          <w:lang w:val="sk-SK"/>
        </w:rPr>
        <w:tab/>
      </w:r>
      <w:r w:rsidRPr="00665466">
        <w:rPr>
          <w:b/>
          <w:bCs/>
          <w:sz w:val="22"/>
          <w:szCs w:val="22"/>
          <w:lang w:val="sk-SK"/>
        </w:rPr>
        <w:t>DÁTUM REVÍZIE TEXTU</w:t>
      </w:r>
    </w:p>
    <w:p w14:paraId="0807B30F" w14:textId="77777777" w:rsidR="00B24275" w:rsidRPr="00665466" w:rsidRDefault="00B24275" w:rsidP="00665466">
      <w:pPr>
        <w:keepNext/>
        <w:tabs>
          <w:tab w:val="left" w:pos="567"/>
        </w:tabs>
        <w:autoSpaceDE w:val="0"/>
        <w:autoSpaceDN w:val="0"/>
        <w:adjustRightInd w:val="0"/>
        <w:rPr>
          <w:sz w:val="22"/>
          <w:szCs w:val="22"/>
          <w:lang w:val="sk-SK"/>
        </w:rPr>
      </w:pPr>
    </w:p>
    <w:p w14:paraId="125F0C6E" w14:textId="3F36BAD7" w:rsidR="0043702F" w:rsidRDefault="00400476" w:rsidP="00665466">
      <w:pPr>
        <w:autoSpaceDE w:val="0"/>
        <w:autoSpaceDN w:val="0"/>
        <w:adjustRightInd w:val="0"/>
        <w:rPr>
          <w:sz w:val="22"/>
          <w:szCs w:val="22"/>
          <w:lang w:val="sk-SK"/>
        </w:rPr>
      </w:pPr>
      <w:r>
        <w:rPr>
          <w:sz w:val="22"/>
          <w:szCs w:val="22"/>
          <w:lang w:val="sk-SK"/>
        </w:rPr>
        <w:t>01/2021</w:t>
      </w:r>
      <w:bookmarkStart w:id="0" w:name="_GoBack"/>
      <w:bookmarkEnd w:id="0"/>
    </w:p>
    <w:p w14:paraId="2A6CF0C9" w14:textId="32E059AE" w:rsidR="00B24275" w:rsidRPr="00F0734E" w:rsidRDefault="00B24275" w:rsidP="00665466">
      <w:pPr>
        <w:autoSpaceDE w:val="0"/>
        <w:autoSpaceDN w:val="0"/>
        <w:adjustRightInd w:val="0"/>
        <w:rPr>
          <w:sz w:val="22"/>
          <w:szCs w:val="22"/>
          <w:lang w:val="sk-SK"/>
        </w:rPr>
      </w:pPr>
    </w:p>
    <w:sectPr w:rsidR="00B24275" w:rsidRPr="00F0734E" w:rsidSect="00665466">
      <w:headerReference w:type="default" r:id="rId8"/>
      <w:footerReference w:type="even" r:id="rId9"/>
      <w:footerReference w:type="default" r:id="rId10"/>
      <w:headerReference w:type="first" r:id="rId11"/>
      <w:pgSz w:w="12240" w:h="15840" w:code="1"/>
      <w:pgMar w:top="1134" w:right="1418" w:bottom="1134" w:left="1418" w:header="737" w:footer="737" w:gutter="0"/>
      <w:cols w:space="708"/>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071629" w16cid:durableId="239D54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C8845" w14:textId="77777777" w:rsidR="0024261A" w:rsidRDefault="0024261A">
      <w:r>
        <w:separator/>
      </w:r>
    </w:p>
  </w:endnote>
  <w:endnote w:type="continuationSeparator" w:id="0">
    <w:p w14:paraId="6A1DB839" w14:textId="77777777" w:rsidR="0024261A" w:rsidRDefault="0024261A">
      <w:r>
        <w:continuationSeparator/>
      </w:r>
    </w:p>
  </w:endnote>
  <w:endnote w:type="continuationNotice" w:id="1">
    <w:p w14:paraId="2E561A33" w14:textId="77777777" w:rsidR="0024261A" w:rsidRDefault="00242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571A" w14:textId="6D4FA0EC" w:rsidR="007B7A2E" w:rsidRDefault="007B7A2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4B5D5018" w14:textId="77777777" w:rsidR="007B7A2E" w:rsidRDefault="007B7A2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548843"/>
      <w:docPartObj>
        <w:docPartGallery w:val="Page Numbers (Bottom of Page)"/>
        <w:docPartUnique/>
      </w:docPartObj>
    </w:sdtPr>
    <w:sdtEndPr>
      <w:rPr>
        <w:sz w:val="18"/>
        <w:szCs w:val="18"/>
      </w:rPr>
    </w:sdtEndPr>
    <w:sdtContent>
      <w:p w14:paraId="70FE643A" w14:textId="4D33E729" w:rsidR="00400476" w:rsidRPr="00400476" w:rsidRDefault="00400476">
        <w:pPr>
          <w:pStyle w:val="Pta"/>
          <w:jc w:val="center"/>
          <w:rPr>
            <w:sz w:val="18"/>
            <w:szCs w:val="18"/>
          </w:rPr>
        </w:pPr>
        <w:r w:rsidRPr="00400476">
          <w:rPr>
            <w:sz w:val="18"/>
            <w:szCs w:val="18"/>
          </w:rPr>
          <w:fldChar w:fldCharType="begin"/>
        </w:r>
        <w:r w:rsidRPr="00400476">
          <w:rPr>
            <w:sz w:val="18"/>
            <w:szCs w:val="18"/>
          </w:rPr>
          <w:instrText>PAGE   \* MERGEFORMAT</w:instrText>
        </w:r>
        <w:r w:rsidRPr="00400476">
          <w:rPr>
            <w:sz w:val="18"/>
            <w:szCs w:val="18"/>
          </w:rPr>
          <w:fldChar w:fldCharType="separate"/>
        </w:r>
        <w:r w:rsidRPr="00400476">
          <w:rPr>
            <w:noProof/>
            <w:sz w:val="18"/>
            <w:szCs w:val="18"/>
            <w:lang w:val="sk-SK"/>
          </w:rPr>
          <w:t>8</w:t>
        </w:r>
        <w:r w:rsidRPr="00400476">
          <w:rPr>
            <w:sz w:val="18"/>
            <w:szCs w:val="18"/>
          </w:rPr>
          <w:fldChar w:fldCharType="end"/>
        </w:r>
      </w:p>
    </w:sdtContent>
  </w:sdt>
  <w:p w14:paraId="53296B73" w14:textId="77777777" w:rsidR="007B7A2E" w:rsidRPr="00400476" w:rsidRDefault="007B7A2E">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ABA9F" w14:textId="77777777" w:rsidR="0024261A" w:rsidRDefault="0024261A">
      <w:r>
        <w:separator/>
      </w:r>
    </w:p>
  </w:footnote>
  <w:footnote w:type="continuationSeparator" w:id="0">
    <w:p w14:paraId="012374C3" w14:textId="77777777" w:rsidR="0024261A" w:rsidRDefault="0024261A">
      <w:r>
        <w:continuationSeparator/>
      </w:r>
    </w:p>
  </w:footnote>
  <w:footnote w:type="continuationNotice" w:id="1">
    <w:p w14:paraId="4F546AEB" w14:textId="77777777" w:rsidR="0024261A" w:rsidRDefault="002426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E8D30" w14:textId="31AA8FDD" w:rsidR="007B7A2E" w:rsidRDefault="007B7A2E" w:rsidP="00665466">
    <w:pPr>
      <w:pStyle w:val="Zkladntext"/>
    </w:pPr>
    <w:r w:rsidRPr="00910CA8">
      <w:rPr>
        <w:sz w:val="18"/>
        <w:lang w:val="sk-SK"/>
      </w:rPr>
      <w:t xml:space="preserve">Príloha č. 1 k </w:t>
    </w:r>
    <w:r w:rsidRPr="006C0CC1">
      <w:rPr>
        <w:sz w:val="18"/>
        <w:lang w:val="sk-SK"/>
      </w:rPr>
      <w:t xml:space="preserve">notifikácii </w:t>
    </w:r>
    <w:r>
      <w:rPr>
        <w:sz w:val="18"/>
        <w:lang w:val="sk-SK"/>
      </w:rPr>
      <w:t>o </w:t>
    </w:r>
    <w:r w:rsidRPr="006C0CC1">
      <w:rPr>
        <w:sz w:val="18"/>
        <w:lang w:val="sk-SK"/>
      </w:rPr>
      <w:t>zmen</w:t>
    </w:r>
    <w:r>
      <w:rPr>
        <w:sz w:val="18"/>
        <w:lang w:val="sk-SK"/>
      </w:rPr>
      <w:t xml:space="preserve">e, ev.č. </w:t>
    </w:r>
    <w:r w:rsidR="00400476">
      <w:rPr>
        <w:bCs/>
        <w:sz w:val="18"/>
        <w:szCs w:val="18"/>
      </w:rPr>
      <w:t>2020/06813-ZIA, 2020/04438-ZIB</w:t>
    </w:r>
    <w:r w:rsidR="00400476" w:rsidDel="00293DA2">
      <w:rPr>
        <w:sz w:val="18"/>
        <w:lang w:val="sk-SK"/>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09B50" w14:textId="79B98D88" w:rsidR="007B7A2E" w:rsidRPr="006C0CC1" w:rsidRDefault="007B7A2E" w:rsidP="00BB74E6">
    <w:pPr>
      <w:pStyle w:val="Zkladntext"/>
      <w:rPr>
        <w:sz w:val="18"/>
        <w:lang w:val="sk-SK"/>
      </w:rPr>
    </w:pPr>
    <w:r w:rsidRPr="00910CA8">
      <w:rPr>
        <w:sz w:val="18"/>
        <w:lang w:val="sk-SK"/>
      </w:rPr>
      <w:t xml:space="preserve">Príloha č. 1 k </w:t>
    </w:r>
    <w:r w:rsidRPr="006C0CC1">
      <w:rPr>
        <w:sz w:val="18"/>
        <w:lang w:val="sk-SK"/>
      </w:rPr>
      <w:t xml:space="preserve">notifikácii </w:t>
    </w:r>
    <w:r>
      <w:rPr>
        <w:sz w:val="18"/>
        <w:lang w:val="sk-SK"/>
      </w:rPr>
      <w:t xml:space="preserve">o </w:t>
    </w:r>
    <w:r w:rsidRPr="006C0CC1">
      <w:rPr>
        <w:sz w:val="18"/>
        <w:lang w:val="sk-SK"/>
      </w:rPr>
      <w:t>zmen</w:t>
    </w:r>
    <w:r>
      <w:rPr>
        <w:sz w:val="18"/>
        <w:lang w:val="sk-SK"/>
      </w:rPr>
      <w:t>e</w:t>
    </w:r>
    <w:r w:rsidRPr="006C0CC1">
      <w:rPr>
        <w:sz w:val="18"/>
        <w:lang w:val="sk-SK"/>
      </w:rPr>
      <w:t xml:space="preserve"> v registrácii, ev. č. </w:t>
    </w:r>
    <w:r>
      <w:rPr>
        <w:sz w:val="18"/>
        <w:lang w:val="sk-SK"/>
      </w:rPr>
      <w:t>2015</w:t>
    </w:r>
  </w:p>
  <w:p w14:paraId="12331485" w14:textId="77777777" w:rsidR="007B7A2E" w:rsidRDefault="007B7A2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61F94"/>
    <w:multiLevelType w:val="hybridMultilevel"/>
    <w:tmpl w:val="979CE5C0"/>
    <w:lvl w:ilvl="0" w:tplc="A1F4A22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A5F40"/>
    <w:multiLevelType w:val="hybridMultilevel"/>
    <w:tmpl w:val="A5C4CF1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14DC1"/>
    <w:multiLevelType w:val="hybridMultilevel"/>
    <w:tmpl w:val="ACC0CB28"/>
    <w:lvl w:ilvl="0" w:tplc="3AC4BAF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401E0"/>
    <w:multiLevelType w:val="hybridMultilevel"/>
    <w:tmpl w:val="52A4EB7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F7B2C"/>
    <w:multiLevelType w:val="hybridMultilevel"/>
    <w:tmpl w:val="23280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383C47"/>
    <w:multiLevelType w:val="hybridMultilevel"/>
    <w:tmpl w:val="85D25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97"/>
    <w:rsid w:val="00002552"/>
    <w:rsid w:val="0000478E"/>
    <w:rsid w:val="00010B81"/>
    <w:rsid w:val="000310BC"/>
    <w:rsid w:val="00055D75"/>
    <w:rsid w:val="000623B0"/>
    <w:rsid w:val="0007286C"/>
    <w:rsid w:val="000858CF"/>
    <w:rsid w:val="000A4FD9"/>
    <w:rsid w:val="000B16F3"/>
    <w:rsid w:val="000C32A7"/>
    <w:rsid w:val="000C381C"/>
    <w:rsid w:val="000F2B31"/>
    <w:rsid w:val="00113321"/>
    <w:rsid w:val="00114D53"/>
    <w:rsid w:val="00116294"/>
    <w:rsid w:val="00121712"/>
    <w:rsid w:val="001331CF"/>
    <w:rsid w:val="0014385E"/>
    <w:rsid w:val="001509BA"/>
    <w:rsid w:val="0016787E"/>
    <w:rsid w:val="00173C61"/>
    <w:rsid w:val="00176140"/>
    <w:rsid w:val="001A6F24"/>
    <w:rsid w:val="001B2833"/>
    <w:rsid w:val="001D0567"/>
    <w:rsid w:val="001D74F9"/>
    <w:rsid w:val="001E2069"/>
    <w:rsid w:val="001E2E5A"/>
    <w:rsid w:val="001F0188"/>
    <w:rsid w:val="00206F30"/>
    <w:rsid w:val="00222621"/>
    <w:rsid w:val="00236FD8"/>
    <w:rsid w:val="0024207C"/>
    <w:rsid w:val="0024261A"/>
    <w:rsid w:val="0026413B"/>
    <w:rsid w:val="0026619E"/>
    <w:rsid w:val="00270F6D"/>
    <w:rsid w:val="00271063"/>
    <w:rsid w:val="00280812"/>
    <w:rsid w:val="00283D5C"/>
    <w:rsid w:val="00293DA2"/>
    <w:rsid w:val="002A1BF4"/>
    <w:rsid w:val="002B533C"/>
    <w:rsid w:val="003056CE"/>
    <w:rsid w:val="00312284"/>
    <w:rsid w:val="00312F25"/>
    <w:rsid w:val="00315583"/>
    <w:rsid w:val="003513FA"/>
    <w:rsid w:val="00355559"/>
    <w:rsid w:val="00355A51"/>
    <w:rsid w:val="00362A2D"/>
    <w:rsid w:val="003738C3"/>
    <w:rsid w:val="00373B7B"/>
    <w:rsid w:val="0037500E"/>
    <w:rsid w:val="00384459"/>
    <w:rsid w:val="003A2210"/>
    <w:rsid w:val="003D1338"/>
    <w:rsid w:val="003F516F"/>
    <w:rsid w:val="00400476"/>
    <w:rsid w:val="00403449"/>
    <w:rsid w:val="004069B2"/>
    <w:rsid w:val="00410ED6"/>
    <w:rsid w:val="00412B6B"/>
    <w:rsid w:val="00433409"/>
    <w:rsid w:val="004341F4"/>
    <w:rsid w:val="004357B7"/>
    <w:rsid w:val="0043702F"/>
    <w:rsid w:val="00447219"/>
    <w:rsid w:val="00447413"/>
    <w:rsid w:val="004904D1"/>
    <w:rsid w:val="0049275D"/>
    <w:rsid w:val="00495392"/>
    <w:rsid w:val="00496322"/>
    <w:rsid w:val="004A13FB"/>
    <w:rsid w:val="004A68C6"/>
    <w:rsid w:val="004C654D"/>
    <w:rsid w:val="004E0E39"/>
    <w:rsid w:val="004E2085"/>
    <w:rsid w:val="004E2BB7"/>
    <w:rsid w:val="004F5CE5"/>
    <w:rsid w:val="004F5DDC"/>
    <w:rsid w:val="005007AE"/>
    <w:rsid w:val="0051542B"/>
    <w:rsid w:val="00515BCC"/>
    <w:rsid w:val="0052277E"/>
    <w:rsid w:val="00523B6C"/>
    <w:rsid w:val="00526579"/>
    <w:rsid w:val="005426E9"/>
    <w:rsid w:val="00554E84"/>
    <w:rsid w:val="00563A10"/>
    <w:rsid w:val="00567359"/>
    <w:rsid w:val="005B2DEE"/>
    <w:rsid w:val="005C12B0"/>
    <w:rsid w:val="005C6FA7"/>
    <w:rsid w:val="005E05B4"/>
    <w:rsid w:val="005E26D1"/>
    <w:rsid w:val="005E6C39"/>
    <w:rsid w:val="005F10AC"/>
    <w:rsid w:val="005F6FD5"/>
    <w:rsid w:val="00607460"/>
    <w:rsid w:val="00616AC3"/>
    <w:rsid w:val="006174A3"/>
    <w:rsid w:val="00622A68"/>
    <w:rsid w:val="00643A35"/>
    <w:rsid w:val="00645C4C"/>
    <w:rsid w:val="0066001F"/>
    <w:rsid w:val="00665466"/>
    <w:rsid w:val="00666D1D"/>
    <w:rsid w:val="006766D3"/>
    <w:rsid w:val="00677ECD"/>
    <w:rsid w:val="006901A7"/>
    <w:rsid w:val="00694C32"/>
    <w:rsid w:val="006A33BB"/>
    <w:rsid w:val="006B1687"/>
    <w:rsid w:val="006B4696"/>
    <w:rsid w:val="006C0CC1"/>
    <w:rsid w:val="006C4CF8"/>
    <w:rsid w:val="006C5338"/>
    <w:rsid w:val="006D3A3B"/>
    <w:rsid w:val="006D5CB2"/>
    <w:rsid w:val="006F5789"/>
    <w:rsid w:val="006F73D7"/>
    <w:rsid w:val="007000E5"/>
    <w:rsid w:val="00702FDF"/>
    <w:rsid w:val="007032FC"/>
    <w:rsid w:val="0071048C"/>
    <w:rsid w:val="007175C7"/>
    <w:rsid w:val="00723C20"/>
    <w:rsid w:val="007416A8"/>
    <w:rsid w:val="00742DB0"/>
    <w:rsid w:val="00790969"/>
    <w:rsid w:val="007B7A2E"/>
    <w:rsid w:val="007C0102"/>
    <w:rsid w:val="007C7124"/>
    <w:rsid w:val="007D54DF"/>
    <w:rsid w:val="007D5B0D"/>
    <w:rsid w:val="007E0282"/>
    <w:rsid w:val="007E4FF2"/>
    <w:rsid w:val="008061EF"/>
    <w:rsid w:val="00810D1D"/>
    <w:rsid w:val="0081782C"/>
    <w:rsid w:val="008276BD"/>
    <w:rsid w:val="00850AB5"/>
    <w:rsid w:val="00852CA4"/>
    <w:rsid w:val="00880CF0"/>
    <w:rsid w:val="0089299A"/>
    <w:rsid w:val="008E1905"/>
    <w:rsid w:val="008E6437"/>
    <w:rsid w:val="008F1191"/>
    <w:rsid w:val="008F77DC"/>
    <w:rsid w:val="00902381"/>
    <w:rsid w:val="00910CA8"/>
    <w:rsid w:val="00913FE4"/>
    <w:rsid w:val="00923EB9"/>
    <w:rsid w:val="00927077"/>
    <w:rsid w:val="00942B63"/>
    <w:rsid w:val="00945A99"/>
    <w:rsid w:val="009555D8"/>
    <w:rsid w:val="0096176D"/>
    <w:rsid w:val="00964158"/>
    <w:rsid w:val="009739D8"/>
    <w:rsid w:val="0097426B"/>
    <w:rsid w:val="009947F7"/>
    <w:rsid w:val="00995892"/>
    <w:rsid w:val="009A0A66"/>
    <w:rsid w:val="009C436D"/>
    <w:rsid w:val="00A10BE0"/>
    <w:rsid w:val="00A13852"/>
    <w:rsid w:val="00A21E7F"/>
    <w:rsid w:val="00A23E2B"/>
    <w:rsid w:val="00A42AF8"/>
    <w:rsid w:val="00A529CB"/>
    <w:rsid w:val="00A5454A"/>
    <w:rsid w:val="00A660AE"/>
    <w:rsid w:val="00A70C1F"/>
    <w:rsid w:val="00A83A67"/>
    <w:rsid w:val="00A8500B"/>
    <w:rsid w:val="00A95C56"/>
    <w:rsid w:val="00AB5AF2"/>
    <w:rsid w:val="00AB6D76"/>
    <w:rsid w:val="00AB7DA6"/>
    <w:rsid w:val="00AC7DD2"/>
    <w:rsid w:val="00AD5BC7"/>
    <w:rsid w:val="00AE115E"/>
    <w:rsid w:val="00AE5897"/>
    <w:rsid w:val="00AF48C1"/>
    <w:rsid w:val="00B04DCA"/>
    <w:rsid w:val="00B24275"/>
    <w:rsid w:val="00B31097"/>
    <w:rsid w:val="00B3232C"/>
    <w:rsid w:val="00B34D01"/>
    <w:rsid w:val="00B3618B"/>
    <w:rsid w:val="00B42645"/>
    <w:rsid w:val="00B4505B"/>
    <w:rsid w:val="00B452F3"/>
    <w:rsid w:val="00B45504"/>
    <w:rsid w:val="00B655F6"/>
    <w:rsid w:val="00B832D0"/>
    <w:rsid w:val="00B91CA7"/>
    <w:rsid w:val="00BA34B8"/>
    <w:rsid w:val="00BB351E"/>
    <w:rsid w:val="00BB3BC5"/>
    <w:rsid w:val="00BB74E6"/>
    <w:rsid w:val="00BD6115"/>
    <w:rsid w:val="00C06D77"/>
    <w:rsid w:val="00C077FE"/>
    <w:rsid w:val="00C1355A"/>
    <w:rsid w:val="00C13CE4"/>
    <w:rsid w:val="00C30A60"/>
    <w:rsid w:val="00C34E74"/>
    <w:rsid w:val="00C441DD"/>
    <w:rsid w:val="00C607C1"/>
    <w:rsid w:val="00C66ED7"/>
    <w:rsid w:val="00C7015B"/>
    <w:rsid w:val="00C92924"/>
    <w:rsid w:val="00CA3C90"/>
    <w:rsid w:val="00CA5BD1"/>
    <w:rsid w:val="00CB1B9F"/>
    <w:rsid w:val="00CB2566"/>
    <w:rsid w:val="00CD04D6"/>
    <w:rsid w:val="00CD0E60"/>
    <w:rsid w:val="00CE35D8"/>
    <w:rsid w:val="00CE4FB6"/>
    <w:rsid w:val="00CE79F5"/>
    <w:rsid w:val="00CF38B6"/>
    <w:rsid w:val="00CF62B2"/>
    <w:rsid w:val="00D10D1F"/>
    <w:rsid w:val="00D11A00"/>
    <w:rsid w:val="00D30EE9"/>
    <w:rsid w:val="00D32470"/>
    <w:rsid w:val="00D80E2F"/>
    <w:rsid w:val="00D84064"/>
    <w:rsid w:val="00D968DE"/>
    <w:rsid w:val="00DA70DB"/>
    <w:rsid w:val="00DB517C"/>
    <w:rsid w:val="00DB72D0"/>
    <w:rsid w:val="00DD7711"/>
    <w:rsid w:val="00DF1CD1"/>
    <w:rsid w:val="00DF3E95"/>
    <w:rsid w:val="00E003BE"/>
    <w:rsid w:val="00E11814"/>
    <w:rsid w:val="00E12F0D"/>
    <w:rsid w:val="00E32D23"/>
    <w:rsid w:val="00E36293"/>
    <w:rsid w:val="00E42123"/>
    <w:rsid w:val="00E424D2"/>
    <w:rsid w:val="00E42D97"/>
    <w:rsid w:val="00E52219"/>
    <w:rsid w:val="00E56981"/>
    <w:rsid w:val="00E63137"/>
    <w:rsid w:val="00E718A4"/>
    <w:rsid w:val="00EA463E"/>
    <w:rsid w:val="00EA6070"/>
    <w:rsid w:val="00EB7823"/>
    <w:rsid w:val="00EC42BC"/>
    <w:rsid w:val="00EC60A8"/>
    <w:rsid w:val="00ED559F"/>
    <w:rsid w:val="00F02960"/>
    <w:rsid w:val="00F0734E"/>
    <w:rsid w:val="00F10CAF"/>
    <w:rsid w:val="00F15150"/>
    <w:rsid w:val="00F4484B"/>
    <w:rsid w:val="00F6331E"/>
    <w:rsid w:val="00F85F1B"/>
    <w:rsid w:val="00F87D3E"/>
    <w:rsid w:val="00F95EF9"/>
    <w:rsid w:val="00FB1D91"/>
    <w:rsid w:val="00FC6438"/>
    <w:rsid w:val="00FD575C"/>
    <w:rsid w:val="00FD6610"/>
    <w:rsid w:val="00FF2B7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7C228"/>
  <w15:docId w15:val="{3967077E-BA1B-48A4-8C5E-733DBB71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autoSpaceDE w:val="0"/>
      <w:autoSpaceDN w:val="0"/>
      <w:adjustRightInd w:val="0"/>
      <w:outlineLvl w:val="1"/>
    </w:pPr>
    <w:rPr>
      <w:b/>
      <w:bCs/>
      <w:sz w:val="22"/>
      <w:szCs w:val="22"/>
    </w:rPr>
  </w:style>
  <w:style w:type="paragraph" w:styleId="Nadpis3">
    <w:name w:val="heading 3"/>
    <w:basedOn w:val="Normlny"/>
    <w:next w:val="Normlny"/>
    <w:qFormat/>
    <w:rsid w:val="004A13FB"/>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
    <w:name w:val="Body Text"/>
    <w:basedOn w:val="Normlny"/>
    <w:pPr>
      <w:autoSpaceDE w:val="0"/>
      <w:autoSpaceDN w:val="0"/>
      <w:adjustRightInd w:val="0"/>
    </w:pPr>
    <w:rPr>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rsid w:val="00942B63"/>
    <w:pPr>
      <w:tabs>
        <w:tab w:val="center" w:pos="4536"/>
        <w:tab w:val="right" w:pos="9072"/>
      </w:tabs>
    </w:pPr>
  </w:style>
  <w:style w:type="paragraph" w:styleId="Zarkazkladnhotextu">
    <w:name w:val="Body Text Indent"/>
    <w:basedOn w:val="Normlny"/>
    <w:rsid w:val="00F95EF9"/>
    <w:pPr>
      <w:spacing w:after="120"/>
      <w:ind w:left="283"/>
    </w:pPr>
  </w:style>
  <w:style w:type="character" w:styleId="Odkaznakomentr">
    <w:name w:val="annotation reference"/>
    <w:semiHidden/>
    <w:rsid w:val="003A2210"/>
    <w:rPr>
      <w:sz w:val="16"/>
      <w:szCs w:val="16"/>
    </w:rPr>
  </w:style>
  <w:style w:type="paragraph" w:styleId="Textkomentra">
    <w:name w:val="annotation text"/>
    <w:basedOn w:val="Normlny"/>
    <w:semiHidden/>
    <w:rsid w:val="003A2210"/>
    <w:rPr>
      <w:sz w:val="20"/>
      <w:szCs w:val="20"/>
    </w:rPr>
  </w:style>
  <w:style w:type="paragraph" w:styleId="Predmetkomentra">
    <w:name w:val="annotation subject"/>
    <w:basedOn w:val="Textkomentra"/>
    <w:next w:val="Textkomentra"/>
    <w:semiHidden/>
    <w:rsid w:val="003A2210"/>
    <w:rPr>
      <w:b/>
      <w:bCs/>
    </w:rPr>
  </w:style>
  <w:style w:type="paragraph" w:styleId="Zkladntext3">
    <w:name w:val="Body Text 3"/>
    <w:basedOn w:val="Normlny"/>
    <w:rsid w:val="005F10AC"/>
    <w:pPr>
      <w:spacing w:after="120"/>
    </w:pPr>
    <w:rPr>
      <w:sz w:val="16"/>
      <w:szCs w:val="16"/>
    </w:rPr>
  </w:style>
  <w:style w:type="character" w:styleId="Hypertextovprepojenie">
    <w:name w:val="Hyperlink"/>
    <w:rsid w:val="00410ED6"/>
    <w:rPr>
      <w:color w:val="0000FF"/>
      <w:u w:val="single"/>
    </w:rPr>
  </w:style>
  <w:style w:type="paragraph" w:styleId="Revzia">
    <w:name w:val="Revision"/>
    <w:hidden/>
    <w:uiPriority w:val="99"/>
    <w:semiHidden/>
    <w:rsid w:val="001D74F9"/>
    <w:rPr>
      <w:sz w:val="24"/>
      <w:szCs w:val="24"/>
      <w:lang w:val="en-US" w:eastAsia="en-US"/>
    </w:rPr>
  </w:style>
  <w:style w:type="paragraph" w:customStyle="1" w:styleId="Default">
    <w:name w:val="Default"/>
    <w:rsid w:val="00B91CA7"/>
    <w:pPr>
      <w:autoSpaceDE w:val="0"/>
      <w:autoSpaceDN w:val="0"/>
      <w:adjustRightInd w:val="0"/>
    </w:pPr>
    <w:rPr>
      <w:rFonts w:ascii="Verdana" w:hAnsi="Verdana" w:cs="Verdana"/>
      <w:color w:val="000000"/>
      <w:sz w:val="24"/>
      <w:szCs w:val="24"/>
    </w:rPr>
  </w:style>
  <w:style w:type="character" w:customStyle="1" w:styleId="PtaChar">
    <w:name w:val="Päta Char"/>
    <w:basedOn w:val="Predvolenpsmoodseku"/>
    <w:link w:val="Pta"/>
    <w:uiPriority w:val="99"/>
    <w:rsid w:val="0040047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6792</Words>
  <Characters>38721</Characters>
  <Application>Microsoft Office Word</Application>
  <DocSecurity>0</DocSecurity>
  <Lines>322</Lines>
  <Paragraphs>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SmPC</vt:lpstr>
      <vt:lpstr>SmPC</vt:lpstr>
    </vt:vector>
  </TitlesOfParts>
  <Company>MYLAN</Company>
  <LinksUpToDate>false</LinksUpToDate>
  <CharactersWithSpaces>45423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dc:title>
  <dc:subject>Paretin 20mg</dc:subject>
  <dc:creator>m322003</dc:creator>
  <dc:description>update as per CSP 07/2011 &amp; PhVWP 03/2012</dc:description>
  <cp:lastModifiedBy>zuzana molnarova</cp:lastModifiedBy>
  <cp:revision>2</cp:revision>
  <cp:lastPrinted>2015-03-12T06:58:00Z</cp:lastPrinted>
  <dcterms:created xsi:type="dcterms:W3CDTF">2021-01-11T14:37:00Z</dcterms:created>
  <dcterms:modified xsi:type="dcterms:W3CDTF">2021-01-11T14:37:00Z</dcterms:modified>
</cp:coreProperties>
</file>