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E9" w:rsidRPr="005F4B00" w:rsidRDefault="00710DE9">
      <w:pPr>
        <w:pStyle w:val="Nadpis7"/>
        <w:rPr>
          <w:sz w:val="22"/>
          <w:szCs w:val="22"/>
        </w:rPr>
      </w:pPr>
      <w:bookmarkStart w:id="0" w:name="_GoBack"/>
      <w:bookmarkEnd w:id="0"/>
      <w:r w:rsidRPr="005F4B00">
        <w:rPr>
          <w:sz w:val="22"/>
          <w:szCs w:val="22"/>
        </w:rPr>
        <w:t>Súhrn charakteristických vlastností lieku</w:t>
      </w:r>
    </w:p>
    <w:p w:rsidR="00710DE9" w:rsidRPr="00E8427A" w:rsidRDefault="00710DE9">
      <w:pPr>
        <w:suppressAutoHyphens/>
        <w:autoSpaceDE w:val="0"/>
        <w:autoSpaceDN w:val="0"/>
        <w:adjustRightInd w:val="0"/>
        <w:rPr>
          <w:rFonts w:ascii="Times New Roman" w:hAnsi="Times New Roman"/>
          <w:caps/>
          <w:sz w:val="22"/>
          <w:szCs w:val="22"/>
          <w:lang w:val="sk-SK"/>
        </w:rPr>
      </w:pPr>
    </w:p>
    <w:p w:rsidR="00710DE9" w:rsidRPr="00E8427A" w:rsidRDefault="00710DE9">
      <w:pPr>
        <w:suppressAutoHyphens/>
        <w:autoSpaceDE w:val="0"/>
        <w:autoSpaceDN w:val="0"/>
        <w:adjustRightInd w:val="0"/>
        <w:rPr>
          <w:rFonts w:ascii="Times New Roman" w:hAnsi="Times New Roman"/>
          <w:caps/>
          <w:sz w:val="22"/>
          <w:szCs w:val="22"/>
          <w:lang w:val="sk-SK"/>
        </w:rPr>
      </w:pPr>
    </w:p>
    <w:p w:rsidR="00710DE9" w:rsidRPr="005F4B00" w:rsidRDefault="00710DE9">
      <w:pPr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710DE9" w:rsidRPr="00E8427A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20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40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tvrdé gastrorezistentné kapsuly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KVALITATÍVNE A KVANTITATÍVNE ZLOŽENIE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20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kapsuly: </w:t>
      </w:r>
      <w:r w:rsidR="00185559" w:rsidRPr="005F4B00">
        <w:rPr>
          <w:rFonts w:ascii="Times New Roman" w:hAnsi="Times New Roman"/>
          <w:sz w:val="22"/>
          <w:szCs w:val="22"/>
          <w:lang w:val="sk-SK"/>
        </w:rPr>
        <w:t>J</w:t>
      </w:r>
      <w:r w:rsidRPr="005F4B00">
        <w:rPr>
          <w:rFonts w:ascii="Times New Roman" w:hAnsi="Times New Roman"/>
          <w:sz w:val="22"/>
          <w:szCs w:val="22"/>
          <w:lang w:val="sk-SK"/>
        </w:rPr>
        <w:t>edna kapsula obsahuje 20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omeprazolu.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40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kapsuly: </w:t>
      </w:r>
      <w:r w:rsidR="00185559" w:rsidRPr="005F4B00">
        <w:rPr>
          <w:rFonts w:ascii="Times New Roman" w:hAnsi="Times New Roman"/>
          <w:sz w:val="22"/>
          <w:szCs w:val="22"/>
          <w:lang w:val="sk-SK"/>
        </w:rPr>
        <w:t>J</w:t>
      </w:r>
      <w:r w:rsidRPr="005F4B00">
        <w:rPr>
          <w:rFonts w:ascii="Times New Roman" w:hAnsi="Times New Roman"/>
          <w:sz w:val="22"/>
          <w:szCs w:val="22"/>
          <w:lang w:val="sk-SK"/>
        </w:rPr>
        <w:t>edna kapsula obsahuje 40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omeprazolu.</w:t>
      </w:r>
    </w:p>
    <w:p w:rsidR="007A219A" w:rsidRDefault="007A219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E8427A">
        <w:rPr>
          <w:rFonts w:ascii="Times New Roman" w:hAnsi="Times New Roman"/>
          <w:sz w:val="22"/>
          <w:szCs w:val="22"/>
          <w:u w:val="single"/>
          <w:lang w:val="sk-SK"/>
        </w:rPr>
        <w:t>Pomocná látka</w:t>
      </w:r>
      <w:r w:rsidR="007A219A" w:rsidRPr="00E8427A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="007A219A" w:rsidRPr="00F92D67">
        <w:rPr>
          <w:rFonts w:ascii="Times New Roman" w:hAnsi="Times New Roman"/>
          <w:sz w:val="22"/>
          <w:szCs w:val="22"/>
          <w:u w:val="single"/>
          <w:lang w:val="sk-SK"/>
        </w:rPr>
        <w:t>so známym účinkom</w:t>
      </w:r>
      <w:r w:rsidRPr="005F4B00">
        <w:rPr>
          <w:rFonts w:ascii="Times New Roman" w:hAnsi="Times New Roman"/>
          <w:sz w:val="22"/>
          <w:szCs w:val="22"/>
          <w:lang w:val="sk-SK"/>
        </w:rPr>
        <w:t>:</w:t>
      </w:r>
    </w:p>
    <w:p w:rsidR="00710DE9" w:rsidRPr="005F4B00" w:rsidRDefault="00185559" w:rsidP="00185559">
      <w:pPr>
        <w:numPr>
          <w:ilvl w:val="0"/>
          <w:numId w:val="19"/>
        </w:numPr>
        <w:tabs>
          <w:tab w:val="clear" w:pos="927"/>
          <w:tab w:val="left" w:pos="-1440"/>
          <w:tab w:val="left" w:pos="-720"/>
          <w:tab w:val="num" w:pos="284"/>
        </w:tabs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Jedna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20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kapsula obsahuje 102 až 116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sacharózy.</w:t>
      </w:r>
    </w:p>
    <w:p w:rsidR="00710DE9" w:rsidRPr="005F4B00" w:rsidRDefault="00185559" w:rsidP="00185559">
      <w:pPr>
        <w:numPr>
          <w:ilvl w:val="0"/>
          <w:numId w:val="19"/>
        </w:numPr>
        <w:tabs>
          <w:tab w:val="clear" w:pos="927"/>
          <w:tab w:val="left" w:pos="-1440"/>
          <w:tab w:val="left" w:pos="-720"/>
          <w:tab w:val="num" w:pos="284"/>
        </w:tabs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Jedna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40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kapsula obsahuje 203 až 233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sacharózy.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Tvrdá gastrorezistentná kapsula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20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kapsuly: nepriehľadné </w:t>
      </w:r>
      <w:r w:rsidR="005F4B00">
        <w:rPr>
          <w:rFonts w:ascii="Times New Roman" w:hAnsi="Times New Roman"/>
          <w:sz w:val="22"/>
          <w:szCs w:val="22"/>
          <w:lang w:val="sk-SK"/>
        </w:rPr>
        <w:t xml:space="preserve">biele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kapsuly </w:t>
      </w:r>
      <w:r w:rsidR="007A219A">
        <w:rPr>
          <w:rFonts w:ascii="Times New Roman" w:hAnsi="Times New Roman"/>
          <w:sz w:val="22"/>
          <w:szCs w:val="22"/>
          <w:lang w:val="sk-SK"/>
        </w:rPr>
        <w:t xml:space="preserve">s vytlačeným „OM 20“ </w:t>
      </w:r>
      <w:r w:rsidRPr="005F4B00">
        <w:rPr>
          <w:rFonts w:ascii="Times New Roman" w:hAnsi="Times New Roman"/>
          <w:sz w:val="22"/>
          <w:szCs w:val="22"/>
          <w:lang w:val="sk-SK"/>
        </w:rPr>
        <w:t>obsahujúce sivobiele až krémovobiele mikrogranuly guľovitého tvaru.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40</w:t>
      </w:r>
      <w:r w:rsidR="00185559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kapsuly: nepriehľadné biele kapsuly </w:t>
      </w:r>
      <w:r w:rsidR="007A219A">
        <w:rPr>
          <w:rFonts w:ascii="Times New Roman" w:hAnsi="Times New Roman"/>
          <w:sz w:val="22"/>
          <w:szCs w:val="22"/>
          <w:lang w:val="sk-SK"/>
        </w:rPr>
        <w:t xml:space="preserve">s vytlačeným „OM 40“ </w:t>
      </w:r>
      <w:r w:rsidRPr="005F4B00">
        <w:rPr>
          <w:rFonts w:ascii="Times New Roman" w:hAnsi="Times New Roman"/>
          <w:sz w:val="22"/>
          <w:szCs w:val="22"/>
          <w:lang w:val="sk-SK"/>
        </w:rPr>
        <w:t>obsahujúce sivobiele až krémovobiele mikrogranuly guľovitého tvaru.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KLINICKÉ ÚDAJE</w:t>
      </w:r>
    </w:p>
    <w:p w:rsidR="00710DE9" w:rsidRPr="005F4B00" w:rsidRDefault="00710DE9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tvrdé gastrorezistentné kapsuly sú indikované: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rPr>
          <w:szCs w:val="22"/>
        </w:rPr>
      </w:pPr>
      <w:r w:rsidRPr="005F4B00">
        <w:rPr>
          <w:szCs w:val="22"/>
        </w:rPr>
        <w:t>Dospel</w:t>
      </w:r>
      <w:r w:rsidR="00A613CC">
        <w:rPr>
          <w:szCs w:val="22"/>
        </w:rPr>
        <w:t>ým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Liečba dvanástnikových vredov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Prevencia relapsu dvanástnikových vredov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Liečba žalúdkových vredov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Prevencia relapsu žalúdkových vredov</w:t>
      </w:r>
    </w:p>
    <w:p w:rsidR="00710DE9" w:rsidRPr="005F4B00" w:rsidRDefault="00710DE9" w:rsidP="00E8427A">
      <w:pPr>
        <w:tabs>
          <w:tab w:val="left" w:pos="-1440"/>
          <w:tab w:val="left" w:pos="-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Eradikácia </w:t>
      </w:r>
      <w:r w:rsidRPr="00E8427A">
        <w:rPr>
          <w:rFonts w:ascii="Times New Roman" w:hAnsi="Times New Roman"/>
          <w:i/>
          <w:sz w:val="22"/>
          <w:szCs w:val="22"/>
          <w:lang w:val="sk-SK"/>
        </w:rPr>
        <w:t>Helicobacter pylori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E8427A">
        <w:rPr>
          <w:rFonts w:ascii="Times New Roman" w:hAnsi="Times New Roman"/>
          <w:i/>
          <w:sz w:val="22"/>
          <w:szCs w:val="22"/>
          <w:lang w:val="sk-SK"/>
        </w:rPr>
        <w:t>H. pylori</w:t>
      </w:r>
      <w:r w:rsidRPr="005F4B00">
        <w:rPr>
          <w:rFonts w:ascii="Times New Roman" w:hAnsi="Times New Roman"/>
          <w:sz w:val="22"/>
          <w:szCs w:val="22"/>
          <w:lang w:val="sk-SK"/>
        </w:rPr>
        <w:t>) pri peptickej vredovej chorobe v kombinácii s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vhodnými antibiotikami</w:t>
      </w:r>
    </w:p>
    <w:p w:rsidR="00710DE9" w:rsidRPr="005F4B00" w:rsidRDefault="00710DE9" w:rsidP="00E8427A">
      <w:pPr>
        <w:tabs>
          <w:tab w:val="left" w:pos="-1440"/>
          <w:tab w:val="left" w:pos="-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Liečba vredov žalúdka a dvanástnika vyskytujúcich sa v súvislosti s užívaním </w:t>
      </w:r>
      <w:r w:rsidR="00A613CC" w:rsidRPr="00E8427A">
        <w:rPr>
          <w:rFonts w:ascii="Times New Roman" w:hAnsi="Times New Roman"/>
          <w:noProof/>
          <w:sz w:val="22"/>
          <w:szCs w:val="22"/>
        </w:rPr>
        <w:t>nesteroidový</w:t>
      </w:r>
      <w:r w:rsidR="00A613CC">
        <w:rPr>
          <w:rFonts w:ascii="Times New Roman" w:hAnsi="Times New Roman"/>
          <w:noProof/>
          <w:sz w:val="22"/>
          <w:szCs w:val="22"/>
        </w:rPr>
        <w:t>ch</w:t>
      </w:r>
      <w:r w:rsidR="00A613CC" w:rsidRPr="00E8427A">
        <w:rPr>
          <w:rFonts w:ascii="Times New Roman" w:hAnsi="Times New Roman"/>
          <w:noProof/>
          <w:sz w:val="22"/>
          <w:szCs w:val="22"/>
        </w:rPr>
        <w:t xml:space="preserve"> antiflogist</w:t>
      </w:r>
      <w:r w:rsidR="00A613CC">
        <w:rPr>
          <w:rFonts w:ascii="Times New Roman" w:hAnsi="Times New Roman"/>
          <w:noProof/>
          <w:sz w:val="22"/>
          <w:szCs w:val="22"/>
        </w:rPr>
        <w:t>ík</w:t>
      </w:r>
      <w:r w:rsidR="00A613CC" w:rsidRPr="00F92D67">
        <w:rPr>
          <w:rFonts w:ascii="Times New Roman" w:hAnsi="Times New Roman"/>
          <w:noProof/>
          <w:sz w:val="22"/>
          <w:szCs w:val="22"/>
        </w:rPr>
        <w:t xml:space="preserve"> (</w:t>
      </w:r>
      <w:r w:rsidR="00A613CC" w:rsidRPr="00E8427A">
        <w:rPr>
          <w:rFonts w:ascii="Times New Roman" w:hAnsi="Times New Roman"/>
          <w:bCs/>
          <w:noProof/>
          <w:sz w:val="22"/>
          <w:szCs w:val="22"/>
        </w:rPr>
        <w:t>nonsteroidal anti-inflammatory drugs,</w:t>
      </w:r>
      <w:r w:rsidR="00A613CC" w:rsidRP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6416E">
        <w:rPr>
          <w:rFonts w:ascii="Times New Roman" w:hAnsi="Times New Roman"/>
          <w:sz w:val="22"/>
          <w:szCs w:val="22"/>
          <w:lang w:val="sk-SK"/>
        </w:rPr>
        <w:t>NSAID</w:t>
      </w:r>
      <w:r w:rsidR="00A613CC" w:rsidRPr="00F6416E">
        <w:rPr>
          <w:rFonts w:ascii="Times New Roman" w:hAnsi="Times New Roman"/>
          <w:sz w:val="22"/>
          <w:szCs w:val="22"/>
          <w:lang w:val="sk-SK"/>
        </w:rPr>
        <w:t>)</w:t>
      </w:r>
    </w:p>
    <w:p w:rsidR="00710DE9" w:rsidRPr="005F4B00" w:rsidRDefault="00710DE9" w:rsidP="00E8427A">
      <w:pPr>
        <w:tabs>
          <w:tab w:val="left" w:pos="-1440"/>
          <w:tab w:val="left" w:pos="-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Prevencia vredov žalúdka a dvanástnika vyskytujúcich sa v súvislosti s užívaním NSAID u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rizikových pacientov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Liečba refluxnej ezofagitídy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Dlhodobá liečba pacientov s vyhojenou refluxnou ezofagitídou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Liečba symptomatickej gastroezofag</w:t>
      </w:r>
      <w:r w:rsidR="00A613CC">
        <w:rPr>
          <w:rFonts w:ascii="Times New Roman" w:hAnsi="Times New Roman"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sz w:val="22"/>
          <w:szCs w:val="22"/>
          <w:lang w:val="sk-SK"/>
        </w:rPr>
        <w:t>álnej refluxnej choroby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•</w:t>
      </w:r>
      <w:r w:rsidR="007A219A">
        <w:rPr>
          <w:rFonts w:ascii="Times New Roman" w:hAnsi="Times New Roman"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sz w:val="22"/>
          <w:szCs w:val="22"/>
          <w:lang w:val="sk-SK"/>
        </w:rPr>
        <w:t>Liečba Zollingerovho-Ellisonovho syndrómu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C37CD4" w:rsidRDefault="00A2394C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Pediatrick</w:t>
      </w:r>
      <w:r w:rsidR="00A613CC">
        <w:rPr>
          <w:rFonts w:ascii="Times New Roman" w:hAnsi="Times New Roman"/>
          <w:sz w:val="22"/>
          <w:szCs w:val="22"/>
          <w:u w:val="single"/>
          <w:lang w:val="sk-SK"/>
        </w:rPr>
        <w:t>ej</w:t>
      </w: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 populáci</w:t>
      </w:r>
      <w:r w:rsidR="00A613CC">
        <w:rPr>
          <w:rFonts w:ascii="Times New Roman" w:hAnsi="Times New Roman"/>
          <w:sz w:val="22"/>
          <w:szCs w:val="22"/>
          <w:u w:val="single"/>
          <w:lang w:val="sk-SK"/>
        </w:rPr>
        <w:t>i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lastRenderedPageBreak/>
        <w:t>Deti staršie ako 1 rok a s hmotnosťou ≥ 10</w:t>
      </w:r>
      <w:r w:rsidR="00A613CC">
        <w:rPr>
          <w:rFonts w:ascii="Times New Roman" w:hAnsi="Times New Roman"/>
          <w:i/>
          <w:iCs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kg</w:t>
      </w:r>
    </w:p>
    <w:p w:rsidR="00710DE9" w:rsidRPr="005F4B00" w:rsidRDefault="00710DE9" w:rsidP="00301DDB">
      <w:pPr>
        <w:widowControl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Liečba refluxnej ezofagitídy</w:t>
      </w:r>
    </w:p>
    <w:p w:rsidR="00710DE9" w:rsidRPr="005F4B00" w:rsidRDefault="00710DE9" w:rsidP="00301DDB">
      <w:pPr>
        <w:widowControl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Symptomatická liečba pyrózy a regurgitácie kyseliny pri gastroezofag</w:t>
      </w:r>
      <w:r w:rsidR="00A613CC">
        <w:rPr>
          <w:rFonts w:ascii="Times New Roman" w:hAnsi="Times New Roman"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sz w:val="22"/>
          <w:szCs w:val="22"/>
          <w:lang w:val="sk-SK"/>
        </w:rPr>
        <w:t>álnej refluxnej chorobe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Deti staršie ako 4 roky a </w:t>
      </w:r>
      <w:r w:rsidR="00A2394C">
        <w:rPr>
          <w:rFonts w:ascii="Times New Roman" w:hAnsi="Times New Roman"/>
          <w:i/>
          <w:iCs/>
          <w:sz w:val="22"/>
          <w:szCs w:val="22"/>
          <w:lang w:val="sk-SK"/>
        </w:rPr>
        <w:t>dospievajúci</w:t>
      </w:r>
    </w:p>
    <w:p w:rsidR="00710DE9" w:rsidRPr="005F4B00" w:rsidRDefault="00710DE9" w:rsidP="00301DDB">
      <w:pPr>
        <w:numPr>
          <w:ilvl w:val="0"/>
          <w:numId w:val="22"/>
        </w:numPr>
        <w:tabs>
          <w:tab w:val="left" w:pos="-1440"/>
          <w:tab w:val="left" w:pos="-720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Liečba dvanástnikového vredu spôsobeného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v kombinácii s antibiotikami</w:t>
      </w:r>
    </w:p>
    <w:p w:rsidR="00710DE9" w:rsidRPr="005F4B00" w:rsidRDefault="00710DE9" w:rsidP="00E8427A">
      <w:pPr>
        <w:pStyle w:val="Zkladntext"/>
        <w:widowControl/>
        <w:tabs>
          <w:tab w:val="clear" w:pos="-1440"/>
          <w:tab w:val="clear" w:pos="-720"/>
          <w:tab w:val="left" w:pos="993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A613CC" w:rsidRDefault="00710DE9" w:rsidP="00E8427A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spacing w:after="120"/>
        <w:rPr>
          <w:szCs w:val="22"/>
        </w:rPr>
      </w:pPr>
      <w:r w:rsidRPr="005F4B00">
        <w:rPr>
          <w:szCs w:val="22"/>
        </w:rPr>
        <w:t>Dávkovanie</w:t>
      </w:r>
    </w:p>
    <w:p w:rsidR="00710DE9" w:rsidRPr="00E8427A" w:rsidRDefault="00A613CC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i/>
          <w:iCs/>
          <w:szCs w:val="22"/>
          <w:u w:val="none"/>
        </w:rPr>
      </w:pPr>
      <w:r w:rsidRPr="00E8427A">
        <w:rPr>
          <w:b/>
          <w:szCs w:val="22"/>
          <w:u w:val="none"/>
        </w:rPr>
        <w:t>Dospelí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dvanástnikových vredov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Odporúčané dávkovanie u pacientov s aktívnym vredom dvanástnika je 20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Omeprazolu STADA 1-krát denne. U väčšiny pacientov dôjde k vyhojeniu v priebehu 2 týždňov. U tých pacientov, kde po iniciálnej liečebnej kúre nenastalo úplné vyhojenie, k nemu spravidla dôjde po ďalšej dvojtýždňovej liečebnej kúre. Pacientom, u ktorých dvanástnikový vred na liečbu reaguje nedostatočne, sa odporúča podávať Omeprazol STADA 4</w:t>
      </w:r>
      <w:r w:rsidR="00A613CC">
        <w:rPr>
          <w:rFonts w:ascii="Times New Roman" w:hAnsi="Times New Roman"/>
          <w:sz w:val="22"/>
          <w:szCs w:val="22"/>
          <w:lang w:val="sk-SK"/>
        </w:rPr>
        <w:t>0 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denne. Vyhojenie sa zvyčajne dosiahne v priebehu 4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týždňov.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Prevencia relapsu dvanástnikových vredov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V prevencii relapsu dvanástnikového vredu u pacientov negatívnych na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alebo v prípadoch,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kedy eradikácia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nie je možná, sa odporúča Omeprazol STADA 20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denne. U niektorých pacientov môže postačovať denná dávka 10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</w:t>
      </w:r>
      <w:r w:rsidR="00A613CC">
        <w:rPr>
          <w:rFonts w:ascii="Times New Roman" w:hAnsi="Times New Roman"/>
          <w:sz w:val="22"/>
          <w:szCs w:val="22"/>
          <w:lang w:val="sk-SK"/>
        </w:rPr>
        <w:t xml:space="preserve"> omeprazolu</w:t>
      </w:r>
      <w:r w:rsidRPr="005F4B00">
        <w:rPr>
          <w:rFonts w:ascii="Times New Roman" w:hAnsi="Times New Roman"/>
          <w:sz w:val="22"/>
          <w:szCs w:val="22"/>
          <w:lang w:val="sk-SK"/>
        </w:rPr>
        <w:t>. V prípade zlyhania liečby možno dávku zvýšiť na 40</w:t>
      </w:r>
      <w:r w:rsidR="00A613CC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žalúdkových vredov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Odporúčaná dávka je Omeprazolu STADA 20 mg </w:t>
      </w:r>
      <w:r w:rsidR="00F6416E">
        <w:rPr>
          <w:rFonts w:ascii="Times New Roman" w:hAnsi="Times New Roman"/>
          <w:sz w:val="22"/>
          <w:szCs w:val="22"/>
          <w:lang w:val="sk-SK"/>
        </w:rPr>
        <w:t>1-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krát denne. U väčšiny pacientov dôjde k vyhojeniu vredu v priebehu 4 týždňov. U tých pacientov, u ktorých po iniciálnej </w:t>
      </w:r>
      <w:r w:rsidR="00F116FD" w:rsidRPr="005F4B00">
        <w:rPr>
          <w:rFonts w:ascii="Times New Roman" w:hAnsi="Times New Roman"/>
          <w:sz w:val="22"/>
          <w:szCs w:val="22"/>
          <w:lang w:val="sk-SK"/>
        </w:rPr>
        <w:t>lieč</w:t>
      </w:r>
      <w:r w:rsidR="00F116FD">
        <w:rPr>
          <w:rFonts w:ascii="Times New Roman" w:hAnsi="Times New Roman"/>
          <w:sz w:val="22"/>
          <w:szCs w:val="22"/>
          <w:lang w:val="sk-SK"/>
        </w:rPr>
        <w:t>e</w:t>
      </w:r>
      <w:r w:rsidR="00F116FD" w:rsidRPr="005F4B00">
        <w:rPr>
          <w:rFonts w:ascii="Times New Roman" w:hAnsi="Times New Roman"/>
          <w:sz w:val="22"/>
          <w:szCs w:val="22"/>
          <w:lang w:val="sk-SK"/>
        </w:rPr>
        <w:t>b</w:t>
      </w:r>
      <w:r w:rsidR="00F116FD">
        <w:rPr>
          <w:rFonts w:ascii="Times New Roman" w:hAnsi="Times New Roman"/>
          <w:sz w:val="22"/>
          <w:szCs w:val="22"/>
          <w:lang w:val="sk-SK"/>
        </w:rPr>
        <w:t>nej</w:t>
      </w:r>
      <w:r w:rsidR="00F116FD"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kúre nedôjde k úplnému vyhojeniu, nastáva vyhojenie vredu zvyčajne v priebehu ďalších 4 týždňov liečby. U pacientov, u ktorých žalúdkový vred reaguje na liečbu nedostatočne, sa odporúča Omeprazol STADA 40 mg 1-krát denne a vyhojenie sa zvyčajne dosiahne v priebehu 8 týždňov.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Prevencia relapsu žalúdkových vredov</w:t>
      </w:r>
    </w:p>
    <w:p w:rsidR="00710DE9" w:rsidRPr="005F4B00" w:rsidRDefault="00F116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prevenci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relapsu u pacientov, u ktorých žalúdkový vred reaguje na liečbu nedostatočne, sa odporúča Omeprazol STADA 20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1-krát denne. V prípade potreby sa môže dávka zvýšiť na Omeprazol STADA 40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g 1-krát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Eradikácia H. pylori pri peptickej vredovej chorobe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Pri výbere antibiotík na eradikáciu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je potrebné zohľadňovať individuálnu znášanlivosť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liečiva u pacienta a má sa uskutočňovať v súlade so stavom rezistencie a odporúčaniami liečby na</w:t>
      </w:r>
      <w:r w:rsidR="00F116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národnej, regionálnej a miestnej úrovni.</w:t>
      </w:r>
    </w:p>
    <w:p w:rsidR="00710DE9" w:rsidRPr="005F4B00" w:rsidRDefault="00710DE9">
      <w:pPr>
        <w:widowControl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20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+ klaritromycín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+ amoxicilín 1000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mg, každý 2-krát denne počas 1 týždňa alebo</w:t>
      </w:r>
    </w:p>
    <w:p w:rsidR="00710DE9" w:rsidRPr="005F4B00" w:rsidRDefault="00710DE9">
      <w:pPr>
        <w:widowControl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Omeprazolu STADA 20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+ klaritromycín 250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(alt</w:t>
      </w:r>
      <w:r w:rsidR="00F116FD">
        <w:rPr>
          <w:rFonts w:ascii="Times New Roman" w:hAnsi="Times New Roman"/>
          <w:sz w:val="22"/>
          <w:szCs w:val="22"/>
          <w:lang w:val="sk-SK"/>
        </w:rPr>
        <w:t>ernatívne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mg) + metronidazol 400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(alebo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alebo tinidazol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mg), každý 2-krát denne počas 1 týždňa alebo</w:t>
      </w:r>
    </w:p>
    <w:p w:rsidR="00710DE9" w:rsidRPr="005F4B00" w:rsidRDefault="00710DE9">
      <w:pPr>
        <w:widowControl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Omeprazolu STADA 40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 s amoxicilínom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a metronidazolom 400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(alebo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alebo tinidazol 500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mg), </w:t>
      </w:r>
      <w:r w:rsidR="00F116FD">
        <w:rPr>
          <w:rFonts w:ascii="Times New Roman" w:hAnsi="Times New Roman"/>
          <w:sz w:val="22"/>
          <w:szCs w:val="22"/>
          <w:lang w:val="sk-SK"/>
        </w:rPr>
        <w:t>každý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3-krát denne počas 1 týždňa.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Ak je pacient ešte stále pozitívny na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H. pylori,</w:t>
      </w:r>
      <w:r w:rsidRPr="00E8427A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liečbu v každom režime možno zopakovať.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keepNext/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vredov žalúdka, dvanástnika v súvislosti s užívaním NSAID</w:t>
      </w:r>
    </w:p>
    <w:p w:rsidR="00710DE9" w:rsidRPr="005F4B00" w:rsidRDefault="00F116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liečb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vredov žalúdka, dvanástnika je odporúčaná dávka Omeprazolu STADA 20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mg </w:t>
      </w:r>
      <w:r>
        <w:rPr>
          <w:rFonts w:ascii="Times New Roman" w:hAnsi="Times New Roman"/>
          <w:sz w:val="22"/>
          <w:szCs w:val="22"/>
          <w:lang w:val="sk-SK"/>
        </w:rPr>
        <w:t>1-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krát denne. U väčšiny pacientov dôjde k vyhojeniu vredu v priebehu 4 týždňov. U tých pacientov, u ktorých nedošlo k úplnému vyhojeniu po iniciálnej lieč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b</w:t>
      </w:r>
      <w:r>
        <w:rPr>
          <w:rFonts w:ascii="Times New Roman" w:hAnsi="Times New Roman"/>
          <w:sz w:val="22"/>
          <w:szCs w:val="22"/>
          <w:lang w:val="sk-SK"/>
        </w:rPr>
        <w:t>nej</w:t>
      </w:r>
      <w:r w:rsidRPr="00F116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kúre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, dochádza k vyhojeniu vredu zvyčajne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priebehu ďalších 4 týždňov liečby.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Prevencia vredov žalúdka</w:t>
      </w:r>
      <w:r w:rsidR="00F116FD">
        <w:rPr>
          <w:rFonts w:ascii="Times New Roman" w:hAnsi="Times New Roman"/>
          <w:i/>
          <w:iCs/>
          <w:sz w:val="22"/>
          <w:szCs w:val="22"/>
          <w:lang w:val="sk-SK"/>
        </w:rPr>
        <w:t xml:space="preserve"> a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 dvanástnika vyskytujúcich sa v súvislosti s užívaním NSAID u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rizikových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pacientov</w:t>
      </w:r>
    </w:p>
    <w:p w:rsidR="00710DE9" w:rsidRPr="005F4B00" w:rsidRDefault="00F116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prevenci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vredov žalúdka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 dvanástnika vyskytujúcich sa v súvislosti s užívaním NSAID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u rizikových pacientov (vek &gt;60 rokov, s vredmi žalúdka a/alebo vredmi dvanástnika, s krvácaním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hornej časti </w:t>
      </w:r>
      <w:r>
        <w:rPr>
          <w:rFonts w:ascii="Times New Roman" w:hAnsi="Times New Roman"/>
          <w:sz w:val="22"/>
          <w:szCs w:val="22"/>
          <w:lang w:val="sk-SK"/>
        </w:rPr>
        <w:t>gastrointestinálneho traktu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v anamnéze) je odporúčanou dávkou Omeprazol STADA 20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mg 1-krát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refluxnej ezofagitídy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Odporúčaná dávka Omeprazolu STADA je 20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denne. U väčšiny pacientov sa vyhojenie dosiahne v priebehu 4 týždňov liečby. U tých pacientov, u ktorých po iniciálnej liečebnej kúre nedošlo k úplnému vyhojeniu, dochádza k nemu zvyčajne v priebehu ďalších 4 týždňov liečby.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 pacientov s ťažkou ezofagitídou sa odporúča Omeprazol STADA 40</w:t>
      </w:r>
      <w:r w:rsidR="00F116FD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 a vyhojenie sa zvyčajne dosiahne v priebehu 8 týždňov.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Dlhodobá liečba pacientov s vyhojenou refluxnou ezofagitídou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Počas dlhodobej liečby pacientov s vyhojenou refluxnou ezofagitídou je odporúčanou dávkou</w:t>
      </w:r>
      <w:r w:rsidR="00D41A82"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</w:t>
      </w:r>
      <w:r w:rsidR="00D41A82">
        <w:rPr>
          <w:rFonts w:ascii="Times New Roman" w:hAnsi="Times New Roman"/>
          <w:sz w:val="22"/>
          <w:szCs w:val="22"/>
          <w:lang w:val="sk-SK"/>
        </w:rPr>
        <w:t>o</w:t>
      </w:r>
      <w:r w:rsidR="00D41A82" w:rsidRPr="005F4B00">
        <w:rPr>
          <w:rFonts w:ascii="Times New Roman" w:hAnsi="Times New Roman"/>
          <w:sz w:val="22"/>
          <w:szCs w:val="22"/>
          <w:lang w:val="sk-SK"/>
        </w:rPr>
        <w:t>meprazol</w:t>
      </w:r>
      <w:r w:rsidR="00D41A82">
        <w:rPr>
          <w:rFonts w:ascii="Times New Roman" w:hAnsi="Times New Roman"/>
          <w:sz w:val="22"/>
          <w:szCs w:val="22"/>
          <w:lang w:val="sk-SK"/>
        </w:rPr>
        <w:t>u</w:t>
      </w:r>
      <w:r w:rsidR="00D41A82"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1-krát denne. V prípade potreby možno dávku zvýšiť na Omeprazol STADA 20 až 40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1-krát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symptomatickej gastroezofag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álnej refluxnej choroby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Odporúčaná dávka je Omeprazol STADA 20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denne. Pacienti môžu dostatočne reagovať na dávku 10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denne, a preto úpravu dávky je potrebné zvažovať individuálne.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Ak sa po 4 týždňoch liečby Omeprazolom STADA 20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 nedosiahne kontrola príznakov, odporúča sa ďalšie vyšetrenie.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Zollingerovho-Ellisonovho syndrómu</w:t>
      </w:r>
    </w:p>
    <w:p w:rsidR="00710DE9" w:rsidRPr="005F4B00" w:rsidRDefault="00710DE9" w:rsidP="00F92D67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 pacientov so Zollinerovým-Ellisonovým syndrómom sa má dávkovanie nastaviť individuálne a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liečba má pokračovať tak dlho, ako je klinicky považovaná za potrebnú. Odporúčaná iniciálna dávka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je 60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omeprazolu </w:t>
      </w:r>
      <w:r w:rsidRPr="005F4B00">
        <w:rPr>
          <w:rFonts w:ascii="Times New Roman" w:hAnsi="Times New Roman"/>
          <w:sz w:val="22"/>
          <w:szCs w:val="22"/>
          <w:lang w:val="sk-SK"/>
        </w:rPr>
        <w:t>denne. Všetci pacienti s ťažkou formou ochorenia a nedostatočnou reakciou na iné spôsoby liečby boli dostatočne kontrolovaní a viac ako 90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pacientov bolo na udržiavacích dávkach Omeprazolu STADA 20 –120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denne. Pri denných dávkach Omeprazolu STADA prevyšujúcich 80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je potrebné túto dávku rozdeliť a podávať 2-krát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E8427A" w:rsidRDefault="00135CE8">
      <w:pPr>
        <w:widowControl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E8427A">
        <w:rPr>
          <w:rFonts w:ascii="Times New Roman" w:hAnsi="Times New Roman"/>
          <w:b/>
          <w:sz w:val="22"/>
          <w:szCs w:val="22"/>
        </w:rPr>
        <w:t>Pediatrická populácia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u w:val="single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Deti staršie ako 1 rok a s hmotnosťou ≥ 10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kg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refluxnej ezofagitídy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Symptomatická liečba pyrózy a regurgitácie žalúdkovej kyseliny pri gastroezofag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álnej refluxnej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chorobe</w:t>
      </w:r>
    </w:p>
    <w:p w:rsidR="00710DE9" w:rsidRPr="005F4B00" w:rsidRDefault="00710DE9" w:rsidP="00E8427A">
      <w:pPr>
        <w:widowControl/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Odporúčané dávkovanie je nasledovné: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5245"/>
      </w:tblGrid>
      <w:tr w:rsidR="00710DE9" w:rsidRPr="005F4B00">
        <w:tc>
          <w:tcPr>
            <w:tcW w:w="1488" w:type="dxa"/>
          </w:tcPr>
          <w:p w:rsidR="00710DE9" w:rsidRPr="005F4B00" w:rsidRDefault="00710DE9" w:rsidP="00E8427A">
            <w:pPr>
              <w:widowControl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Vek</w:t>
            </w:r>
          </w:p>
        </w:tc>
        <w:tc>
          <w:tcPr>
            <w:tcW w:w="1559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Hmotnosť</w:t>
            </w:r>
          </w:p>
        </w:tc>
        <w:tc>
          <w:tcPr>
            <w:tcW w:w="524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Dávka</w:t>
            </w:r>
          </w:p>
        </w:tc>
      </w:tr>
      <w:tr w:rsidR="00710DE9" w:rsidRPr="005F4B00">
        <w:tc>
          <w:tcPr>
            <w:tcW w:w="1488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≥ 1 rok</w:t>
            </w:r>
          </w:p>
        </w:tc>
        <w:tc>
          <w:tcPr>
            <w:tcW w:w="1559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10-20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kg</w:t>
            </w:r>
          </w:p>
        </w:tc>
        <w:tc>
          <w:tcPr>
            <w:tcW w:w="5245" w:type="dxa"/>
          </w:tcPr>
          <w:p w:rsidR="00710DE9" w:rsidRPr="005F4B00" w:rsidRDefault="00710DE9" w:rsidP="005F232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10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 jedenkrát denne. Dávku možno v prípade potreby zvýšiť na 20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 jedenkrát denne</w:t>
            </w:r>
          </w:p>
        </w:tc>
      </w:tr>
      <w:tr w:rsidR="00710DE9" w:rsidRPr="005F4B00">
        <w:tc>
          <w:tcPr>
            <w:tcW w:w="1488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≥ 2 roky</w:t>
            </w:r>
          </w:p>
        </w:tc>
        <w:tc>
          <w:tcPr>
            <w:tcW w:w="1559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&gt;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20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kg</w:t>
            </w:r>
          </w:p>
        </w:tc>
        <w:tc>
          <w:tcPr>
            <w:tcW w:w="5245" w:type="dxa"/>
          </w:tcPr>
          <w:p w:rsidR="00710DE9" w:rsidRPr="005F4B00" w:rsidRDefault="00710DE9" w:rsidP="005F232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20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g jedenkrát denne. Dávku možno v prípade potreby zvýšiť na 40</w:t>
            </w:r>
            <w:r w:rsidR="00D41A8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 jedenkrát denne</w:t>
            </w:r>
          </w:p>
        </w:tc>
      </w:tr>
    </w:tbl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Refluxná ezofagitída</w:t>
      </w:r>
      <w:r w:rsidRPr="00E8427A">
        <w:rPr>
          <w:rFonts w:ascii="Times New Roman" w:hAnsi="Times New Roman"/>
          <w:bCs/>
          <w:i/>
          <w:iCs/>
          <w:sz w:val="22"/>
          <w:szCs w:val="22"/>
          <w:lang w:val="sk-SK"/>
        </w:rPr>
        <w:t>:</w:t>
      </w:r>
      <w:r w:rsidRPr="00E8427A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Trvanie liečby predstavuje 4 až 8 týždňov.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Symptomatická liečba pyrózy a regurgitácie žalúdkovej kyseliny pri gastroezofag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álnej refluxnej</w:t>
      </w:r>
      <w:r w:rsidR="00D41A82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chorobe:</w:t>
      </w:r>
      <w:r w:rsidRPr="00E8427A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Trvanie liečby predstavuje 2 až 4 týždne. Ak sa po 2 až 4 týždňoch nedosiahne kontrola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príznakov, pacient si vyžaduje ďalšie vyšetrenie.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u w:val="single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Deti staršie ako 4 roky a dospievajúci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Liečba dvanástnikového vredu spôsobeného H. pylori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>Pri výbere vhodnej kombinovanej liečby je potrebné zohľadňovať platné národné, regionálne a</w:t>
      </w:r>
      <w:r w:rsidR="00D41A82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miestne odporúčania v súvislosti s bakteriálnou rezistenciou, trvanie liečby (najčastejšie 7 dní, ale</w:t>
      </w:r>
      <w:r w:rsidR="00D41A8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niekedy až do 14 dní) a náležité použitie antibakteriálnych látok.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Liečba má prebiehať pod dohľadom odborníka.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widowControl/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Odporúčané dávkovania sú nasledovné: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378"/>
      </w:tblGrid>
      <w:tr w:rsidR="00710DE9" w:rsidRPr="005F4B00">
        <w:tc>
          <w:tcPr>
            <w:tcW w:w="2197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Hmotnosť</w:t>
            </w:r>
          </w:p>
        </w:tc>
        <w:tc>
          <w:tcPr>
            <w:tcW w:w="6378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Dávkovanie</w:t>
            </w:r>
          </w:p>
        </w:tc>
      </w:tr>
      <w:tr w:rsidR="00710DE9" w:rsidRPr="005F4B00">
        <w:tc>
          <w:tcPr>
            <w:tcW w:w="2197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15-30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kg</w:t>
            </w:r>
          </w:p>
        </w:tc>
        <w:tc>
          <w:tcPr>
            <w:tcW w:w="6378" w:type="dxa"/>
          </w:tcPr>
          <w:p w:rsidR="00710DE9" w:rsidRPr="005F4B00" w:rsidRDefault="00710DE9" w:rsidP="005F232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Kombinácia s dvoma antibiotikami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4F4904" w:rsidRPr="005F4B00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meprazol 10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mg, amoxicilín 25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mg/kg telesnej hmotnosti a klaritromycín 7,5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mg/kg telesnej hmotnosti sa spolu podáva 2-krát denne počas 1 týždňa.</w:t>
            </w:r>
          </w:p>
        </w:tc>
      </w:tr>
      <w:tr w:rsidR="00710DE9" w:rsidRPr="005F4B00">
        <w:tc>
          <w:tcPr>
            <w:tcW w:w="2197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31-40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kg</w:t>
            </w:r>
          </w:p>
        </w:tc>
        <w:tc>
          <w:tcPr>
            <w:tcW w:w="6378" w:type="dxa"/>
          </w:tcPr>
          <w:p w:rsidR="00710DE9" w:rsidRPr="005F4B00" w:rsidRDefault="00710DE9" w:rsidP="005F232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Kombinácia s dvoma antibiotikami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Omeprazol STADA 20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mg, amoxicilín 750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 a klaritromycín 7,5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mg/kg telesnej hmotnosti sa spolu podáva 2-krát denne počas 1 týždňa.</w:t>
            </w:r>
          </w:p>
        </w:tc>
      </w:tr>
      <w:tr w:rsidR="00710DE9" w:rsidRPr="005F4B00">
        <w:tc>
          <w:tcPr>
            <w:tcW w:w="2197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&gt;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40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kg</w:t>
            </w:r>
          </w:p>
        </w:tc>
        <w:tc>
          <w:tcPr>
            <w:tcW w:w="6378" w:type="dxa"/>
          </w:tcPr>
          <w:p w:rsidR="00710DE9" w:rsidRPr="005F4B00" w:rsidRDefault="00710DE9" w:rsidP="005F232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Kombinácia s dvoma antibiotikami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Omeprazol STADA 20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mg, amoxicilín 1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g a klaritromycín 500</w:t>
            </w:r>
            <w:r w:rsidR="004F490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mg sa spolu podáva 2-krát denne počas 1 týždňa.</w:t>
            </w:r>
          </w:p>
        </w:tc>
      </w:tr>
    </w:tbl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847CE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b/>
          <w:szCs w:val="22"/>
          <w:u w:val="none"/>
        </w:rPr>
      </w:pPr>
      <w:r w:rsidRPr="00847CE0">
        <w:rPr>
          <w:b/>
          <w:szCs w:val="22"/>
          <w:u w:val="none"/>
        </w:rPr>
        <w:t>Osobitné skupiny pacientov</w:t>
      </w:r>
    </w:p>
    <w:p w:rsidR="00710DE9" w:rsidRPr="005F4B00" w:rsidRDefault="00C37CD4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Porucha </w:t>
      </w:r>
      <w:r w:rsidR="00710DE9" w:rsidRPr="005F4B00">
        <w:rPr>
          <w:rFonts w:ascii="Times New Roman" w:hAnsi="Times New Roman"/>
          <w:i/>
          <w:iCs/>
          <w:sz w:val="22"/>
          <w:szCs w:val="22"/>
          <w:lang w:val="sk-SK"/>
        </w:rPr>
        <w:t>funkcie obličiek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 pacientov s poruchou funkcie obličiek nie je potrebné upravovať dávkovanie (pozri časť 5.2).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C37CD4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Porucha </w:t>
      </w:r>
      <w:r w:rsidR="00710DE9" w:rsidRPr="005F4B00">
        <w:rPr>
          <w:rFonts w:ascii="Times New Roman" w:hAnsi="Times New Roman"/>
          <w:i/>
          <w:iCs/>
          <w:sz w:val="22"/>
          <w:szCs w:val="22"/>
          <w:lang w:val="sk-SK"/>
        </w:rPr>
        <w:t>funkcie pečene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U pacientov s </w:t>
      </w:r>
      <w:r w:rsidR="00C37CD4">
        <w:rPr>
          <w:rFonts w:ascii="Times New Roman" w:hAnsi="Times New Roman"/>
          <w:sz w:val="22"/>
          <w:szCs w:val="22"/>
          <w:lang w:val="sk-SK"/>
        </w:rPr>
        <w:t xml:space="preserve">poruchou funkcie </w:t>
      </w:r>
      <w:r w:rsidRPr="005F4B00">
        <w:rPr>
          <w:rFonts w:ascii="Times New Roman" w:hAnsi="Times New Roman"/>
          <w:sz w:val="22"/>
          <w:szCs w:val="22"/>
          <w:lang w:val="sk-SK"/>
        </w:rPr>
        <w:t>pečene môže postačovať denná dávka 10-20</w:t>
      </w:r>
      <w:r w:rsidR="004F490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(pozri časť 5.2).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Starší pacienti (vek &gt;</w:t>
      </w:r>
      <w:r w:rsidR="004F4904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65 rokov)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 starších pacientov nie je potrebné upravovať dávkovanie (pozri časť 5.2).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4F4904" w:rsidRPr="00E8427A" w:rsidRDefault="004F4904" w:rsidP="00847CE0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E8427A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kapsuly sa odporúča užívať ráno, prednostne bez jedla, prehltnúť ich celé a zapiť s pol</w:t>
      </w:r>
      <w:r w:rsidR="004F4904">
        <w:rPr>
          <w:rFonts w:ascii="Times New Roman" w:hAnsi="Times New Roman"/>
          <w:sz w:val="22"/>
          <w:szCs w:val="22"/>
          <w:lang w:val="sk-SK"/>
        </w:rPr>
        <w:t>ovicou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pohár</w:t>
      </w:r>
      <w:r w:rsidR="004F4904">
        <w:rPr>
          <w:rFonts w:ascii="Times New Roman" w:hAnsi="Times New Roman"/>
          <w:sz w:val="22"/>
          <w:szCs w:val="22"/>
          <w:lang w:val="sk-SK"/>
        </w:rPr>
        <w:t>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vody. Kapsuly sa nesmú žuvať ani drviť.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U pacientov s ťažkosťami s prehĺtaním a u detí, ktoré dokážu piť alebo prehltnúť polotuhé jedlo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Pacienti môžu kapsulu otvoriť a obsah prehltnúť s pol</w:t>
      </w:r>
      <w:r w:rsidR="004F4904">
        <w:rPr>
          <w:rFonts w:ascii="Times New Roman" w:hAnsi="Times New Roman"/>
          <w:sz w:val="22"/>
          <w:szCs w:val="22"/>
          <w:lang w:val="sk-SK"/>
        </w:rPr>
        <w:t>ovicou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pohár</w:t>
      </w:r>
      <w:r w:rsidR="004F4904">
        <w:rPr>
          <w:rFonts w:ascii="Times New Roman" w:hAnsi="Times New Roman"/>
          <w:sz w:val="22"/>
          <w:szCs w:val="22"/>
          <w:lang w:val="sk-SK"/>
        </w:rPr>
        <w:t>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vody alebo po zmiešaní obsahu s</w:t>
      </w:r>
      <w:r w:rsidR="004F490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mierne kyslou tekutinou, akou je napr. ovocný džús, jablková šťava alebo nesýtená voda. Pacienti</w:t>
      </w:r>
      <w:r w:rsidR="004F490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majú byť poučení, že sa disperzia má užiť okamžite (alebo v priebehu 30</w:t>
      </w:r>
      <w:r w:rsidR="004F490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min</w:t>
      </w:r>
      <w:r w:rsidR="004F4904">
        <w:rPr>
          <w:rFonts w:ascii="Times New Roman" w:hAnsi="Times New Roman"/>
          <w:sz w:val="22"/>
          <w:szCs w:val="22"/>
          <w:lang w:val="sk-SK"/>
        </w:rPr>
        <w:t>út</w:t>
      </w:r>
      <w:r w:rsidRPr="005F4B00">
        <w:rPr>
          <w:rFonts w:ascii="Times New Roman" w:hAnsi="Times New Roman"/>
          <w:sz w:val="22"/>
          <w:szCs w:val="22"/>
          <w:lang w:val="sk-SK"/>
        </w:rPr>
        <w:t>)</w:t>
      </w:r>
      <w:r w:rsidR="004F4904">
        <w:rPr>
          <w:rFonts w:ascii="Times New Roman" w:hAnsi="Times New Roman"/>
          <w:sz w:val="22"/>
          <w:szCs w:val="22"/>
          <w:lang w:val="sk-SK"/>
        </w:rPr>
        <w:t>,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4904">
        <w:rPr>
          <w:rFonts w:ascii="Times New Roman" w:hAnsi="Times New Roman"/>
          <w:sz w:val="22"/>
          <w:szCs w:val="22"/>
          <w:lang w:val="sk-SK"/>
        </w:rPr>
        <w:t>v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ždy </w:t>
      </w:r>
      <w:r w:rsidR="004F4904">
        <w:rPr>
          <w:rFonts w:ascii="Times New Roman" w:hAnsi="Times New Roman"/>
          <w:sz w:val="22"/>
          <w:szCs w:val="22"/>
          <w:lang w:val="sk-SK"/>
        </w:rPr>
        <w:t>sa má po</w:t>
      </w:r>
      <w:r w:rsidRPr="005F4B00">
        <w:rPr>
          <w:rFonts w:ascii="Times New Roman" w:hAnsi="Times New Roman"/>
          <w:sz w:val="22"/>
          <w:szCs w:val="22"/>
          <w:lang w:val="sk-SK"/>
        </w:rPr>
        <w:t>mieša</w:t>
      </w:r>
      <w:r w:rsidR="004F4904">
        <w:rPr>
          <w:rFonts w:ascii="Times New Roman" w:hAnsi="Times New Roman"/>
          <w:sz w:val="22"/>
          <w:szCs w:val="22"/>
          <w:lang w:val="sk-SK"/>
        </w:rPr>
        <w:t>ť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tesne</w:t>
      </w:r>
      <w:r w:rsidR="004F490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pred vypitím</w:t>
      </w:r>
      <w:r w:rsidR="004F4904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4904">
        <w:rPr>
          <w:rFonts w:ascii="Times New Roman" w:hAnsi="Times New Roman"/>
          <w:sz w:val="22"/>
          <w:szCs w:val="22"/>
          <w:lang w:val="sk-SK"/>
        </w:rPr>
        <w:t>z</w:t>
      </w:r>
      <w:r w:rsidRPr="005F4B00">
        <w:rPr>
          <w:rFonts w:ascii="Times New Roman" w:hAnsi="Times New Roman"/>
          <w:sz w:val="22"/>
          <w:szCs w:val="22"/>
          <w:lang w:val="sk-SK"/>
        </w:rPr>
        <w:t>api</w:t>
      </w:r>
      <w:r w:rsidR="004F4904">
        <w:rPr>
          <w:rFonts w:ascii="Times New Roman" w:hAnsi="Times New Roman"/>
          <w:sz w:val="22"/>
          <w:szCs w:val="22"/>
          <w:lang w:val="sk-SK"/>
        </w:rPr>
        <w:t>ť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s pol</w:t>
      </w:r>
      <w:r w:rsidR="004F4904">
        <w:rPr>
          <w:rFonts w:ascii="Times New Roman" w:hAnsi="Times New Roman"/>
          <w:sz w:val="22"/>
          <w:szCs w:val="22"/>
          <w:lang w:val="sk-SK"/>
        </w:rPr>
        <w:t>ovicou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pohár</w:t>
      </w:r>
      <w:r w:rsidR="004F4904">
        <w:rPr>
          <w:rFonts w:ascii="Times New Roman" w:hAnsi="Times New Roman"/>
          <w:sz w:val="22"/>
          <w:szCs w:val="22"/>
          <w:lang w:val="sk-SK"/>
        </w:rPr>
        <w:t>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vody.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Alternatívne môžu pacienti nechať kapsulu rozpustiť v ústach (cmúľať) a prehltnúť granuly s</w:t>
      </w:r>
      <w:r w:rsidR="004F490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pol</w:t>
      </w:r>
      <w:r w:rsidR="004F4904">
        <w:rPr>
          <w:rFonts w:ascii="Times New Roman" w:hAnsi="Times New Roman"/>
          <w:sz w:val="22"/>
          <w:szCs w:val="22"/>
          <w:lang w:val="sk-SK"/>
        </w:rPr>
        <w:t xml:space="preserve">ovicou </w:t>
      </w:r>
      <w:r w:rsidRPr="005F4B00">
        <w:rPr>
          <w:rFonts w:ascii="Times New Roman" w:hAnsi="Times New Roman"/>
          <w:sz w:val="22"/>
          <w:szCs w:val="22"/>
          <w:lang w:val="sk-SK"/>
        </w:rPr>
        <w:t>pohár</w:t>
      </w:r>
      <w:r w:rsidR="004F4904">
        <w:rPr>
          <w:rFonts w:ascii="Times New Roman" w:hAnsi="Times New Roman"/>
          <w:sz w:val="22"/>
          <w:szCs w:val="22"/>
          <w:lang w:val="sk-SK"/>
        </w:rPr>
        <w:t>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vody. Granuly s gastrorezistentným obalom je potrebné prehltnúť bez žuvania.</w:t>
      </w:r>
    </w:p>
    <w:p w:rsidR="00710DE9" w:rsidRPr="00E8427A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Precitlivenosť </w:t>
      </w:r>
      <w:r w:rsidR="00977CC6" w:rsidRPr="005F4B00">
        <w:rPr>
          <w:rFonts w:ascii="Times New Roman" w:hAnsi="Times New Roman"/>
          <w:sz w:val="22"/>
          <w:szCs w:val="22"/>
          <w:lang w:val="sk-SK"/>
        </w:rPr>
        <w:t>na liečivo</w:t>
      </w:r>
      <w:r w:rsidRPr="005F4B00">
        <w:rPr>
          <w:rFonts w:ascii="Times New Roman" w:hAnsi="Times New Roman"/>
          <w:sz w:val="22"/>
          <w:szCs w:val="22"/>
          <w:lang w:val="sk-SK"/>
        </w:rPr>
        <w:t>, substituované benzimidazoly alebo na ktorúkoľvek z pomocných látok</w:t>
      </w:r>
      <w:r w:rsidR="007A219A">
        <w:rPr>
          <w:rFonts w:ascii="Times New Roman" w:hAnsi="Times New Roman"/>
          <w:sz w:val="22"/>
          <w:szCs w:val="22"/>
          <w:lang w:val="sk-SK"/>
        </w:rPr>
        <w:t xml:space="preserve"> uvedených v časti 6.1</w:t>
      </w:r>
      <w:r w:rsidRPr="005F4B00">
        <w:rPr>
          <w:rFonts w:ascii="Times New Roman" w:hAnsi="Times New Roman"/>
          <w:sz w:val="22"/>
          <w:szCs w:val="22"/>
          <w:lang w:val="sk-SK"/>
        </w:rPr>
        <w:t>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sa rovnako ako iné inhibítory protónovej pumpy (</w:t>
      </w:r>
      <w:r w:rsidR="002C023E" w:rsidRPr="00E8427A">
        <w:rPr>
          <w:rFonts w:ascii="Times New Roman" w:hAnsi="Times New Roman"/>
          <w:color w:val="000000"/>
          <w:sz w:val="22"/>
          <w:szCs w:val="22"/>
        </w:rPr>
        <w:t xml:space="preserve">proton pump inhibitors, </w:t>
      </w:r>
      <w:r w:rsidRPr="00F92D67">
        <w:rPr>
          <w:rFonts w:ascii="Times New Roman" w:hAnsi="Times New Roman"/>
          <w:sz w:val="22"/>
          <w:szCs w:val="22"/>
          <w:lang w:val="sk-SK"/>
        </w:rPr>
        <w:t>PPI) nemá podávať súbežne s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nelfinavirom (pozri časť 4.5).</w:t>
      </w: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Osobitné upozornenia a opatrenia pri používaní</w:t>
      </w: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 prípade akýchkoľvek alarmujúcich príznakov (napr. značná neúmyselná strata na hmotnosti,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opakované vracanie, dysfágia, hemateméza alebo meléna) a pri podozrení alebo zistení žalúdkového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vredu sa má vylúčiť malignita, pretože liečba môže zmierňovať symptómy a oddialiť stanovenie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diagnózy.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Súbežné užívanie atazanaviru s inhibítormi protónovej pumpy sa neodporúča (pozri časť 4.5). Ak sa kombinácii atazanaviru s inhibítormi protónovej pumpy nedá vyhnúť, odporúča sa starostlivé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monitorovanie (napr. vírusová záťaž) v kombinácii so zvýšením dávky atazanaviru na 400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so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100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ritonaviru; 20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omeprazolu sa nemá prekročiť.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Omeprazol, 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rovnako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ako iné lieky blokujúce </w:t>
      </w:r>
      <w:r w:rsidR="002C023E">
        <w:rPr>
          <w:rFonts w:ascii="Times New Roman" w:hAnsi="Times New Roman"/>
          <w:sz w:val="22"/>
          <w:szCs w:val="22"/>
          <w:lang w:val="sk-SK"/>
        </w:rPr>
        <w:t>kyselinu</w:t>
      </w:r>
      <w:r w:rsidRPr="005F4B00">
        <w:rPr>
          <w:rFonts w:ascii="Times New Roman" w:hAnsi="Times New Roman"/>
          <w:sz w:val="22"/>
          <w:szCs w:val="22"/>
          <w:lang w:val="sk-SK"/>
        </w:rPr>
        <w:t>, môže redukovať absorpciu vitamínu B</w:t>
      </w:r>
      <w:r w:rsidRPr="00E8427A">
        <w:rPr>
          <w:rFonts w:ascii="Times New Roman" w:hAnsi="Times New Roman"/>
          <w:sz w:val="22"/>
          <w:szCs w:val="22"/>
          <w:vertAlign w:val="subscript"/>
          <w:lang w:val="sk-SK"/>
        </w:rPr>
        <w:t>12</w:t>
      </w:r>
      <w:r w:rsidR="002C023E">
        <w:rPr>
          <w:rFonts w:ascii="Times New Roman" w:hAnsi="Times New Roman"/>
          <w:sz w:val="22"/>
          <w:szCs w:val="22"/>
          <w:vertAlign w:val="subscript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(kyanokobalamín</w:t>
      </w:r>
      <w:r w:rsidR="002C023E">
        <w:rPr>
          <w:rFonts w:ascii="Times New Roman" w:hAnsi="Times New Roman"/>
          <w:sz w:val="22"/>
          <w:szCs w:val="22"/>
          <w:lang w:val="sk-SK"/>
        </w:rPr>
        <w:t>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) </w:t>
      </w:r>
      <w:r w:rsidR="002C023E">
        <w:rPr>
          <w:rFonts w:ascii="Times New Roman" w:hAnsi="Times New Roman"/>
          <w:sz w:val="22"/>
          <w:szCs w:val="22"/>
          <w:lang w:val="sk-SK"/>
        </w:rPr>
        <w:t>kvôli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hypo- alebo achlórhydri</w:t>
      </w:r>
      <w:r w:rsidR="002C023E">
        <w:rPr>
          <w:rFonts w:ascii="Times New Roman" w:hAnsi="Times New Roman"/>
          <w:sz w:val="22"/>
          <w:szCs w:val="22"/>
          <w:lang w:val="sk-SK"/>
        </w:rPr>
        <w:t>i</w:t>
      </w:r>
      <w:r w:rsidRPr="005F4B00">
        <w:rPr>
          <w:rFonts w:ascii="Times New Roman" w:hAnsi="Times New Roman"/>
          <w:sz w:val="22"/>
          <w:szCs w:val="22"/>
          <w:lang w:val="sk-SK"/>
        </w:rPr>
        <w:t>. To sa má zohľadniť pri dlhodobej liečbe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pacientov so zníženou zásobou vitamínu B</w:t>
      </w:r>
      <w:r w:rsidRPr="00E8427A">
        <w:rPr>
          <w:rFonts w:ascii="Times New Roman" w:hAnsi="Times New Roman"/>
          <w:sz w:val="22"/>
          <w:szCs w:val="22"/>
          <w:vertAlign w:val="subscript"/>
          <w:lang w:val="sk-SK"/>
        </w:rPr>
        <w:t>12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alebo s rizikovými faktormi pre zníženie absorpcie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vitamínu B</w:t>
      </w:r>
      <w:r w:rsidR="002C023E" w:rsidRPr="00E8427A">
        <w:rPr>
          <w:rFonts w:ascii="Times New Roman" w:hAnsi="Times New Roman"/>
          <w:sz w:val="22"/>
          <w:szCs w:val="22"/>
          <w:vertAlign w:val="subscript"/>
          <w:lang w:val="sk-SK"/>
        </w:rPr>
        <w:t>12</w:t>
      </w:r>
      <w:r w:rsidRPr="005F4B00">
        <w:rPr>
          <w:rFonts w:ascii="Times New Roman" w:hAnsi="Times New Roman"/>
          <w:sz w:val="22"/>
          <w:szCs w:val="22"/>
          <w:lang w:val="sk-SK"/>
        </w:rPr>
        <w:t>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7F3E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je inhibítorom CYP2C19. Má sa zvážiť potenciál interakcií s liekmi metabolizovanými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prostredníctvom CYP2C19 na začiatku alebo na konci liečby omeprazolom. Pozorovala sa interakcia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m</w:t>
      </w:r>
      <w:r w:rsidRPr="007F3ED4">
        <w:rPr>
          <w:rFonts w:ascii="Times New Roman" w:hAnsi="Times New Roman"/>
          <w:sz w:val="22"/>
          <w:szCs w:val="22"/>
          <w:lang w:val="sk-SK"/>
        </w:rPr>
        <w:t>edzi klopidogrelom a omeprazolom (pozri časť 4.5). Klinická závažnosť tejto interakcie je neurčitá.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3ED4">
        <w:rPr>
          <w:rFonts w:ascii="Times New Roman" w:hAnsi="Times New Roman"/>
          <w:sz w:val="22"/>
          <w:szCs w:val="22"/>
          <w:lang w:val="sk-SK"/>
        </w:rPr>
        <w:t>Preventívne sa súbežnému použitiu omeprazolu a klopidogrelu má zabrániť.</w:t>
      </w:r>
    </w:p>
    <w:p w:rsidR="00710DE9" w:rsidRPr="007F3E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>Niektoré deti s chronickými ochoreniami si môžu vyžadovať dlhodobú liečbu, hoci sa to neodporúča.</w:t>
      </w:r>
    </w:p>
    <w:p w:rsidR="007A219A" w:rsidRPr="007F3ED4" w:rsidRDefault="007A219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7F3E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>Liečba inhibítormi protónovej pumpy môže mať za následok mierne zvýšené riziko</w:t>
      </w:r>
    </w:p>
    <w:p w:rsidR="00710DE9" w:rsidRPr="007F3E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 xml:space="preserve">gastrointestinálnych infekcií vyvolaných napr. </w:t>
      </w:r>
      <w:r w:rsidR="002C023E">
        <w:rPr>
          <w:rFonts w:ascii="Times New Roman" w:hAnsi="Times New Roman"/>
          <w:sz w:val="22"/>
          <w:szCs w:val="22"/>
          <w:lang w:val="sk-SK"/>
        </w:rPr>
        <w:t xml:space="preserve">druhmi rodu </w:t>
      </w:r>
      <w:r w:rsidRPr="007F3ED4">
        <w:rPr>
          <w:rFonts w:ascii="Times New Roman" w:hAnsi="Times New Roman"/>
          <w:i/>
          <w:iCs/>
          <w:sz w:val="22"/>
          <w:szCs w:val="22"/>
          <w:lang w:val="sk-SK"/>
        </w:rPr>
        <w:t>Salmonell</w:t>
      </w:r>
      <w:r w:rsidR="002C023E">
        <w:rPr>
          <w:rFonts w:ascii="Times New Roman" w:hAnsi="Times New Roman"/>
          <w:i/>
          <w:iCs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7F3ED4">
        <w:rPr>
          <w:rFonts w:ascii="Times New Roman" w:hAnsi="Times New Roman"/>
          <w:i/>
          <w:iCs/>
          <w:sz w:val="22"/>
          <w:szCs w:val="22"/>
          <w:lang w:val="sk-SK"/>
        </w:rPr>
        <w:t>Campylobacter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(pozri časť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7F3ED4">
        <w:rPr>
          <w:rFonts w:ascii="Times New Roman" w:hAnsi="Times New Roman"/>
          <w:sz w:val="22"/>
          <w:szCs w:val="22"/>
          <w:lang w:val="sk-SK"/>
        </w:rPr>
        <w:t>5.1).</w:t>
      </w:r>
    </w:p>
    <w:p w:rsidR="00710DE9" w:rsidRPr="007F3E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7F3ED4" w:rsidRDefault="00710DE9">
      <w:pPr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>Počas každej dlhodobej liečby, najmä ak trvá dlhšie ako 1 rok, majú byť pacienti pravidelne sledovaní.</w:t>
      </w:r>
    </w:p>
    <w:p w:rsidR="00B17B32" w:rsidRPr="007F3ED4" w:rsidRDefault="00B17B32">
      <w:pPr>
        <w:rPr>
          <w:rFonts w:ascii="Times New Roman" w:hAnsi="Times New Roman"/>
          <w:sz w:val="22"/>
          <w:szCs w:val="22"/>
          <w:lang w:val="sk-SK"/>
        </w:rPr>
      </w:pPr>
    </w:p>
    <w:p w:rsidR="00B17B32" w:rsidRPr="007F3ED4" w:rsidRDefault="00B17B32" w:rsidP="00B17B32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i/>
          <w:sz w:val="22"/>
          <w:szCs w:val="22"/>
          <w:lang w:val="sk-SK"/>
        </w:rPr>
        <w:t xml:space="preserve">Riziko </w:t>
      </w:r>
      <w:r w:rsidR="002C023E">
        <w:rPr>
          <w:rFonts w:ascii="Times New Roman" w:hAnsi="Times New Roman"/>
          <w:i/>
          <w:sz w:val="22"/>
          <w:szCs w:val="22"/>
          <w:lang w:val="sk-SK"/>
        </w:rPr>
        <w:t>fraktúr v bedrovej oblasti</w:t>
      </w:r>
      <w:r w:rsidRPr="007F3ED4">
        <w:rPr>
          <w:rFonts w:ascii="Times New Roman" w:hAnsi="Times New Roman"/>
          <w:i/>
          <w:sz w:val="22"/>
          <w:szCs w:val="22"/>
          <w:lang w:val="sk-SK"/>
        </w:rPr>
        <w:t>, zápäst</w:t>
      </w:r>
      <w:r>
        <w:rPr>
          <w:rFonts w:ascii="Times New Roman" w:hAnsi="Times New Roman"/>
          <w:i/>
          <w:sz w:val="22"/>
          <w:szCs w:val="22"/>
          <w:lang w:val="sk-SK"/>
        </w:rPr>
        <w:t>ia</w:t>
      </w:r>
      <w:r w:rsidRPr="007F3ED4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> stavcov chrbtice</w:t>
      </w:r>
    </w:p>
    <w:p w:rsidR="00B17B32" w:rsidRPr="007F3ED4" w:rsidRDefault="00B17B32" w:rsidP="007F3ED4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>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inhibítor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protónov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pumpy, </w:t>
      </w:r>
      <w:r>
        <w:rPr>
          <w:rFonts w:ascii="Times New Roman" w:hAnsi="Times New Roman"/>
          <w:sz w:val="22"/>
          <w:szCs w:val="22"/>
          <w:lang w:val="sk-SK"/>
        </w:rPr>
        <w:t>najmä ak sa podávajú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vysokých dávkach a</w:t>
      </w:r>
      <w:r>
        <w:rPr>
          <w:rFonts w:ascii="Times New Roman" w:hAnsi="Times New Roman"/>
          <w:sz w:val="22"/>
          <w:szCs w:val="22"/>
          <w:lang w:val="sk-SK"/>
        </w:rPr>
        <w:t> dlhý čas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(&gt;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7F3ED4">
        <w:rPr>
          <w:rFonts w:ascii="Times New Roman" w:hAnsi="Times New Roman"/>
          <w:sz w:val="22"/>
          <w:szCs w:val="22"/>
          <w:lang w:val="sk-SK"/>
        </w:rPr>
        <w:t>1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7F3ED4">
        <w:rPr>
          <w:rFonts w:ascii="Times New Roman" w:hAnsi="Times New Roman"/>
          <w:sz w:val="22"/>
          <w:szCs w:val="22"/>
          <w:lang w:val="sk-SK"/>
        </w:rPr>
        <w:t>rok), m</w:t>
      </w:r>
      <w:r>
        <w:rPr>
          <w:rFonts w:ascii="Times New Roman" w:hAnsi="Times New Roman"/>
          <w:sz w:val="22"/>
          <w:szCs w:val="22"/>
          <w:lang w:val="sk-SK"/>
        </w:rPr>
        <w:t>ô</w:t>
      </w:r>
      <w:r w:rsidRPr="007F3ED4">
        <w:rPr>
          <w:rFonts w:ascii="Times New Roman" w:hAnsi="Times New Roman"/>
          <w:sz w:val="22"/>
          <w:szCs w:val="22"/>
          <w:lang w:val="sk-SK"/>
        </w:rPr>
        <w:t>že v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7F3ED4">
        <w:rPr>
          <w:rFonts w:ascii="Times New Roman" w:hAnsi="Times New Roman"/>
          <w:sz w:val="22"/>
          <w:szCs w:val="22"/>
          <w:lang w:val="sk-SK"/>
        </w:rPr>
        <w:t>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k m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7F3ED4">
        <w:rPr>
          <w:rFonts w:ascii="Times New Roman" w:hAnsi="Times New Roman"/>
          <w:sz w:val="22"/>
          <w:szCs w:val="22"/>
          <w:lang w:val="sk-SK"/>
        </w:rPr>
        <w:t>rn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>mu zvýšen</w:t>
      </w:r>
      <w:r>
        <w:rPr>
          <w:rFonts w:ascii="Times New Roman" w:hAnsi="Times New Roman"/>
          <w:sz w:val="22"/>
          <w:szCs w:val="22"/>
          <w:lang w:val="sk-SK"/>
        </w:rPr>
        <w:t>iu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rizika </w:t>
      </w:r>
      <w:r w:rsidR="002C023E">
        <w:rPr>
          <w:rFonts w:ascii="Times New Roman" w:hAnsi="Times New Roman"/>
          <w:sz w:val="22"/>
          <w:szCs w:val="22"/>
          <w:lang w:val="sk-SK"/>
        </w:rPr>
        <w:t>fraktúr v bedrovej oblasti</w:t>
      </w:r>
      <w:r w:rsidRPr="007F3ED4">
        <w:rPr>
          <w:rFonts w:ascii="Times New Roman" w:hAnsi="Times New Roman"/>
          <w:sz w:val="22"/>
          <w:szCs w:val="22"/>
          <w:lang w:val="sk-SK"/>
        </w:rPr>
        <w:t>, záp</w:t>
      </w:r>
      <w:r>
        <w:rPr>
          <w:rFonts w:ascii="Times New Roman" w:hAnsi="Times New Roman"/>
          <w:sz w:val="22"/>
          <w:szCs w:val="22"/>
          <w:lang w:val="sk-SK"/>
        </w:rPr>
        <w:t>ä</w:t>
      </w:r>
      <w:r w:rsidRPr="007F3ED4">
        <w:rPr>
          <w:rFonts w:ascii="Times New Roman" w:hAnsi="Times New Roman"/>
          <w:sz w:val="22"/>
          <w:szCs w:val="22"/>
          <w:lang w:val="sk-SK"/>
        </w:rPr>
        <w:t>st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sz w:val="22"/>
          <w:szCs w:val="22"/>
          <w:lang w:val="sk-SK"/>
        </w:rPr>
        <w:t> stavcov chrbtice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, a to </w:t>
      </w:r>
      <w:r>
        <w:rPr>
          <w:rFonts w:ascii="Times New Roman" w:hAnsi="Times New Roman"/>
          <w:sz w:val="22"/>
          <w:szCs w:val="22"/>
          <w:lang w:val="sk-SK"/>
        </w:rPr>
        <w:t>predovšetkým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u st</w:t>
      </w:r>
      <w:r>
        <w:rPr>
          <w:rFonts w:ascii="Times New Roman" w:hAnsi="Times New Roman"/>
          <w:sz w:val="22"/>
          <w:szCs w:val="22"/>
          <w:lang w:val="sk-SK"/>
        </w:rPr>
        <w:t>ar</w:t>
      </w:r>
      <w:r w:rsidRPr="007F3ED4">
        <w:rPr>
          <w:rFonts w:ascii="Times New Roman" w:hAnsi="Times New Roman"/>
          <w:sz w:val="22"/>
          <w:szCs w:val="22"/>
          <w:lang w:val="sk-SK"/>
        </w:rPr>
        <w:t>ších os</w:t>
      </w:r>
      <w:r>
        <w:rPr>
          <w:rFonts w:ascii="Times New Roman" w:hAnsi="Times New Roman"/>
          <w:sz w:val="22"/>
          <w:szCs w:val="22"/>
          <w:lang w:val="sk-SK"/>
        </w:rPr>
        <w:t>ô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b </w:t>
      </w:r>
      <w:r>
        <w:rPr>
          <w:rFonts w:ascii="Times New Roman" w:hAnsi="Times New Roman"/>
          <w:sz w:val="22"/>
          <w:szCs w:val="22"/>
          <w:lang w:val="sk-SK"/>
        </w:rPr>
        <w:t>al</w:t>
      </w:r>
      <w:r w:rsidRPr="007F3ED4">
        <w:rPr>
          <w:rFonts w:ascii="Times New Roman" w:hAnsi="Times New Roman"/>
          <w:sz w:val="22"/>
          <w:szCs w:val="22"/>
          <w:lang w:val="sk-SK"/>
        </w:rPr>
        <w:t>ebo v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7F3ED4">
        <w:rPr>
          <w:rFonts w:ascii="Times New Roman" w:hAnsi="Times New Roman"/>
          <w:sz w:val="22"/>
          <w:szCs w:val="22"/>
          <w:lang w:val="sk-SK"/>
        </w:rPr>
        <w:t>ípad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súbežne sa vyskytujúcich ďalších známych rizikových faktorov pre vznik zlomenín. Na základe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observačn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ch </w:t>
      </w:r>
      <w:r>
        <w:rPr>
          <w:rFonts w:ascii="Times New Roman" w:hAnsi="Times New Roman"/>
          <w:sz w:val="22"/>
          <w:szCs w:val="22"/>
          <w:lang w:val="sk-SK"/>
        </w:rPr>
        <w:t>š</w:t>
      </w:r>
      <w:r w:rsidRPr="007F3ED4">
        <w:rPr>
          <w:rFonts w:ascii="Times New Roman" w:hAnsi="Times New Roman"/>
          <w:sz w:val="22"/>
          <w:szCs w:val="22"/>
          <w:lang w:val="sk-SK"/>
        </w:rPr>
        <w:t>t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7F3ED4">
        <w:rPr>
          <w:rFonts w:ascii="Times New Roman" w:hAnsi="Times New Roman"/>
          <w:sz w:val="22"/>
          <w:szCs w:val="22"/>
          <w:lang w:val="sk-SK"/>
        </w:rPr>
        <w:t>d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>í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7F3ED4">
        <w:rPr>
          <w:rFonts w:ascii="Times New Roman" w:hAnsi="Times New Roman"/>
          <w:sz w:val="22"/>
          <w:szCs w:val="22"/>
          <w:lang w:val="sk-SK"/>
        </w:rPr>
        <w:t>edpokl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>dá, že inh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>bítory prot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Pr="007F3ED4">
        <w:rPr>
          <w:rFonts w:ascii="Times New Roman" w:hAnsi="Times New Roman"/>
          <w:sz w:val="22"/>
          <w:szCs w:val="22"/>
          <w:lang w:val="sk-SK"/>
        </w:rPr>
        <w:t>nov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pumpy m</w:t>
      </w:r>
      <w:r>
        <w:rPr>
          <w:rFonts w:ascii="Times New Roman" w:hAnsi="Times New Roman"/>
          <w:sz w:val="22"/>
          <w:szCs w:val="22"/>
          <w:lang w:val="sk-SK"/>
        </w:rPr>
        <w:t>ôžu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celkové riziko vzniku frakt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7F3ED4">
        <w:rPr>
          <w:rFonts w:ascii="Times New Roman" w:hAnsi="Times New Roman"/>
          <w:sz w:val="22"/>
          <w:szCs w:val="22"/>
          <w:lang w:val="sk-SK"/>
        </w:rPr>
        <w:t>r zvýšiť o 10–40</w:t>
      </w:r>
      <w:r w:rsidR="002C023E">
        <w:rPr>
          <w:rFonts w:ascii="Times New Roman" w:hAnsi="Times New Roman"/>
          <w:sz w:val="22"/>
          <w:szCs w:val="22"/>
          <w:lang w:val="sk-SK"/>
        </w:rPr>
        <w:t> </w:t>
      </w:r>
      <w:r w:rsidRPr="007F3ED4">
        <w:rPr>
          <w:rFonts w:ascii="Times New Roman" w:hAnsi="Times New Roman"/>
          <w:sz w:val="22"/>
          <w:szCs w:val="22"/>
          <w:lang w:val="sk-SK"/>
        </w:rPr>
        <w:t>%. Je možné, že na tomto zvýšení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č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7F3ED4">
        <w:rPr>
          <w:rFonts w:ascii="Times New Roman" w:hAnsi="Times New Roman"/>
          <w:sz w:val="22"/>
          <w:szCs w:val="22"/>
          <w:lang w:val="sk-SK"/>
        </w:rPr>
        <w:t>st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>čn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podieľajú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iné rizikové faktory. Pacienti, u kt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>rých je zvýšené riziko vzniku osteoporózy, m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2C023E">
        <w:rPr>
          <w:rFonts w:ascii="Times New Roman" w:hAnsi="Times New Roman"/>
          <w:sz w:val="22"/>
          <w:szCs w:val="22"/>
          <w:lang w:val="sk-SK"/>
        </w:rPr>
        <w:t>jú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b</w:t>
      </w:r>
      <w:r>
        <w:rPr>
          <w:rFonts w:ascii="Times New Roman" w:hAnsi="Times New Roman"/>
          <w:sz w:val="22"/>
          <w:szCs w:val="22"/>
          <w:lang w:val="sk-SK"/>
        </w:rPr>
        <w:t>yť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l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7F3ED4">
        <w:rPr>
          <w:rFonts w:ascii="Times New Roman" w:hAnsi="Times New Roman"/>
          <w:sz w:val="22"/>
          <w:szCs w:val="22"/>
          <w:lang w:val="sk-SK"/>
        </w:rPr>
        <w:t>čen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 s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7F3ED4">
        <w:rPr>
          <w:rFonts w:ascii="Times New Roman" w:hAnsi="Times New Roman"/>
          <w:sz w:val="22"/>
          <w:szCs w:val="22"/>
          <w:lang w:val="sk-SK"/>
        </w:rPr>
        <w:t>lad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s platnými </w:t>
      </w:r>
      <w:r>
        <w:rPr>
          <w:rFonts w:ascii="Times New Roman" w:hAnsi="Times New Roman"/>
          <w:sz w:val="22"/>
          <w:szCs w:val="22"/>
          <w:lang w:val="sk-SK"/>
        </w:rPr>
        <w:t>odporučenými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klinickými postup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 m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2C023E">
        <w:rPr>
          <w:rFonts w:ascii="Times New Roman" w:hAnsi="Times New Roman"/>
          <w:sz w:val="22"/>
          <w:szCs w:val="22"/>
          <w:lang w:val="sk-SK"/>
        </w:rPr>
        <w:t>jú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m</w:t>
      </w:r>
      <w:r>
        <w:rPr>
          <w:rFonts w:ascii="Times New Roman" w:hAnsi="Times New Roman"/>
          <w:sz w:val="22"/>
          <w:szCs w:val="22"/>
          <w:lang w:val="sk-SK"/>
        </w:rPr>
        <w:t>ať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dostat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>čný p</w:t>
      </w:r>
      <w:r>
        <w:rPr>
          <w:rFonts w:ascii="Times New Roman" w:hAnsi="Times New Roman"/>
          <w:sz w:val="22"/>
          <w:szCs w:val="22"/>
          <w:lang w:val="sk-SK"/>
        </w:rPr>
        <w:t>rí</w:t>
      </w:r>
      <w:r w:rsidRPr="007F3ED4">
        <w:rPr>
          <w:rFonts w:ascii="Times New Roman" w:hAnsi="Times New Roman"/>
          <w:sz w:val="22"/>
          <w:szCs w:val="22"/>
          <w:lang w:val="sk-SK"/>
        </w:rPr>
        <w:t>sun vitam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nu D a </w:t>
      </w:r>
      <w:r w:rsidR="00DB188B">
        <w:rPr>
          <w:rFonts w:ascii="Times New Roman" w:hAnsi="Times New Roman"/>
          <w:sz w:val="22"/>
          <w:szCs w:val="22"/>
          <w:lang w:val="sk-SK"/>
        </w:rPr>
        <w:t>vápnika</w:t>
      </w:r>
      <w:r w:rsidRPr="007F3ED4">
        <w:rPr>
          <w:rFonts w:ascii="Times New Roman" w:hAnsi="Times New Roman"/>
          <w:sz w:val="22"/>
          <w:szCs w:val="22"/>
          <w:lang w:val="sk-SK"/>
        </w:rPr>
        <w:t>.</w:t>
      </w:r>
    </w:p>
    <w:p w:rsidR="00B17B32" w:rsidRPr="007F3ED4" w:rsidRDefault="00B17B32" w:rsidP="00B17B32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</w:p>
    <w:p w:rsidR="00B17B32" w:rsidRPr="007F3ED4" w:rsidRDefault="00B17B32" w:rsidP="00B17B32">
      <w:pPr>
        <w:pStyle w:val="Text"/>
        <w:tabs>
          <w:tab w:val="clear" w:pos="568"/>
        </w:tabs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7F3ED4">
        <w:rPr>
          <w:rFonts w:ascii="Times New Roman" w:hAnsi="Times New Roman"/>
          <w:i/>
          <w:sz w:val="22"/>
          <w:szCs w:val="22"/>
          <w:lang w:val="sk-SK"/>
        </w:rPr>
        <w:t>Hypomagnez</w:t>
      </w:r>
      <w:r w:rsidR="00DB188B">
        <w:rPr>
          <w:rFonts w:ascii="Times New Roman" w:hAnsi="Times New Roman"/>
          <w:i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i/>
          <w:sz w:val="22"/>
          <w:szCs w:val="22"/>
          <w:lang w:val="sk-SK"/>
        </w:rPr>
        <w:t>émi</w:t>
      </w:r>
      <w:r>
        <w:rPr>
          <w:rFonts w:ascii="Times New Roman" w:hAnsi="Times New Roman"/>
          <w:i/>
          <w:sz w:val="22"/>
          <w:szCs w:val="22"/>
          <w:lang w:val="sk-SK"/>
        </w:rPr>
        <w:t>a</w:t>
      </w:r>
    </w:p>
    <w:p w:rsidR="00B17B32" w:rsidRPr="007F3ED4" w:rsidRDefault="00B17B32" w:rsidP="00B17B32">
      <w:pPr>
        <w:pStyle w:val="Text"/>
        <w:tabs>
          <w:tab w:val="clear" w:pos="568"/>
          <w:tab w:val="left" w:pos="708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7F3ED4">
        <w:rPr>
          <w:rFonts w:ascii="Times New Roman" w:hAnsi="Times New Roman"/>
          <w:sz w:val="22"/>
          <w:szCs w:val="22"/>
          <w:lang w:val="sk-SK"/>
        </w:rPr>
        <w:t>U pacient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>, kt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>rým b</w:t>
      </w:r>
      <w:r>
        <w:rPr>
          <w:rFonts w:ascii="Times New Roman" w:hAnsi="Times New Roman"/>
          <w:sz w:val="22"/>
          <w:szCs w:val="22"/>
          <w:lang w:val="sk-SK"/>
        </w:rPr>
        <w:t>oli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inhib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7F3ED4">
        <w:rPr>
          <w:rFonts w:ascii="Times New Roman" w:hAnsi="Times New Roman"/>
          <w:sz w:val="22"/>
          <w:szCs w:val="22"/>
          <w:lang w:val="sk-SK"/>
        </w:rPr>
        <w:t>tory prot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Pr="007F3ED4">
        <w:rPr>
          <w:rFonts w:ascii="Times New Roman" w:hAnsi="Times New Roman"/>
          <w:sz w:val="22"/>
          <w:szCs w:val="22"/>
          <w:lang w:val="sk-SK"/>
        </w:rPr>
        <w:t>nov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pumpy, ako je omeprazol, 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po</w:t>
      </w:r>
      <w:r>
        <w:rPr>
          <w:rFonts w:ascii="Times New Roman" w:hAnsi="Times New Roman"/>
          <w:sz w:val="22"/>
          <w:szCs w:val="22"/>
          <w:lang w:val="sk-SK"/>
        </w:rPr>
        <w:t>čas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lang w:val="sk-SK"/>
        </w:rPr>
        <w:t>iac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ako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troch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m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>s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7F3ED4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(v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lang w:val="sk-SK"/>
        </w:rPr>
        <w:t>äčšine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7F3ED4">
        <w:rPr>
          <w:rFonts w:ascii="Times New Roman" w:hAnsi="Times New Roman"/>
          <w:sz w:val="22"/>
          <w:szCs w:val="22"/>
          <w:lang w:val="sk-SK"/>
        </w:rPr>
        <w:t>ípad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l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7F3ED4">
        <w:rPr>
          <w:rFonts w:ascii="Times New Roman" w:hAnsi="Times New Roman"/>
          <w:sz w:val="22"/>
          <w:szCs w:val="22"/>
          <w:lang w:val="sk-SK"/>
        </w:rPr>
        <w:t>čba trvala jeden rok), b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7F3ED4">
        <w:rPr>
          <w:rFonts w:ascii="Times New Roman" w:hAnsi="Times New Roman"/>
          <w:sz w:val="22"/>
          <w:szCs w:val="22"/>
          <w:lang w:val="sk-SK"/>
        </w:rPr>
        <w:t>l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hlá</w:t>
      </w:r>
      <w:r>
        <w:rPr>
          <w:rFonts w:ascii="Times New Roman" w:hAnsi="Times New Roman"/>
          <w:sz w:val="22"/>
          <w:szCs w:val="22"/>
          <w:lang w:val="sk-SK"/>
        </w:rPr>
        <w:t>s</w:t>
      </w:r>
      <w:r w:rsidRPr="007F3ED4">
        <w:rPr>
          <w:rFonts w:ascii="Times New Roman" w:hAnsi="Times New Roman"/>
          <w:sz w:val="22"/>
          <w:szCs w:val="22"/>
          <w:lang w:val="sk-SK"/>
        </w:rPr>
        <w:t>en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ípady </w:t>
      </w:r>
      <w:r>
        <w:rPr>
          <w:rFonts w:ascii="Times New Roman" w:hAnsi="Times New Roman"/>
          <w:sz w:val="22"/>
          <w:szCs w:val="22"/>
          <w:lang w:val="sk-SK"/>
        </w:rPr>
        <w:t>ťažkej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hypomagnez</w:t>
      </w:r>
      <w:r w:rsidR="00DB188B"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>émie. Hypomagnez</w:t>
      </w:r>
      <w:r w:rsidR="00DB188B"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>émi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m</w:t>
      </w:r>
      <w:r>
        <w:rPr>
          <w:rFonts w:ascii="Times New Roman" w:hAnsi="Times New Roman"/>
          <w:sz w:val="22"/>
          <w:szCs w:val="22"/>
          <w:lang w:val="sk-SK"/>
        </w:rPr>
        <w:t>ô</w:t>
      </w:r>
      <w:r w:rsidRPr="007F3ED4">
        <w:rPr>
          <w:rFonts w:ascii="Times New Roman" w:hAnsi="Times New Roman"/>
          <w:sz w:val="22"/>
          <w:szCs w:val="22"/>
          <w:lang w:val="sk-SK"/>
        </w:rPr>
        <w:t>že manifestova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závažnými sympt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Pr="007F3ED4">
        <w:rPr>
          <w:rFonts w:ascii="Times New Roman" w:hAnsi="Times New Roman"/>
          <w:sz w:val="22"/>
          <w:szCs w:val="22"/>
          <w:lang w:val="sk-SK"/>
        </w:rPr>
        <w:t>m</w:t>
      </w:r>
      <w:r>
        <w:rPr>
          <w:rFonts w:ascii="Times New Roman" w:hAnsi="Times New Roman"/>
          <w:sz w:val="22"/>
          <w:szCs w:val="22"/>
          <w:lang w:val="sk-SK"/>
        </w:rPr>
        <w:t>ami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ako je únava, tet</w:t>
      </w:r>
      <w:r w:rsidR="00C82D18">
        <w:rPr>
          <w:rFonts w:ascii="Times New Roman" w:hAnsi="Times New Roman"/>
          <w:sz w:val="22"/>
          <w:szCs w:val="22"/>
          <w:lang w:val="sk-SK"/>
        </w:rPr>
        <w:t>á</w:t>
      </w:r>
      <w:r w:rsidRPr="007F3ED4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>a,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del</w:t>
      </w:r>
      <w:r w:rsidR="00DB188B">
        <w:rPr>
          <w:rFonts w:ascii="Times New Roman" w:hAnsi="Times New Roman"/>
          <w:sz w:val="22"/>
          <w:szCs w:val="22"/>
          <w:lang w:val="sk-SK"/>
        </w:rPr>
        <w:t>í</w:t>
      </w:r>
      <w:r w:rsidRPr="007F3ED4">
        <w:rPr>
          <w:rFonts w:ascii="Times New Roman" w:hAnsi="Times New Roman"/>
          <w:sz w:val="22"/>
          <w:szCs w:val="22"/>
          <w:lang w:val="sk-SK"/>
        </w:rPr>
        <w:t>rium, k</w:t>
      </w:r>
      <w:r>
        <w:rPr>
          <w:rFonts w:ascii="Times New Roman" w:hAnsi="Times New Roman"/>
          <w:sz w:val="22"/>
          <w:szCs w:val="22"/>
          <w:lang w:val="sk-SK"/>
        </w:rPr>
        <w:t>ŕ</w:t>
      </w:r>
      <w:r w:rsidRPr="007F3ED4">
        <w:rPr>
          <w:rFonts w:ascii="Times New Roman" w:hAnsi="Times New Roman"/>
          <w:sz w:val="22"/>
          <w:szCs w:val="22"/>
          <w:lang w:val="sk-SK"/>
        </w:rPr>
        <w:t>če, závra</w:t>
      </w:r>
      <w:r>
        <w:rPr>
          <w:rFonts w:ascii="Times New Roman" w:hAnsi="Times New Roman"/>
          <w:sz w:val="22"/>
          <w:szCs w:val="22"/>
          <w:lang w:val="sk-SK"/>
        </w:rPr>
        <w:t>ty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 ventrikulárn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arytmi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, ale </w:t>
      </w:r>
      <w:r w:rsidR="00C82D18">
        <w:rPr>
          <w:rFonts w:ascii="Times New Roman" w:hAnsi="Times New Roman"/>
          <w:sz w:val="22"/>
          <w:szCs w:val="22"/>
          <w:lang w:val="sk-SK"/>
        </w:rPr>
        <w:t>tiež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m</w:t>
      </w:r>
      <w:r w:rsidR="00C82D18">
        <w:rPr>
          <w:rFonts w:ascii="Times New Roman" w:hAnsi="Times New Roman"/>
          <w:sz w:val="22"/>
          <w:szCs w:val="22"/>
          <w:lang w:val="sk-SK"/>
        </w:rPr>
        <w:t>ô</w:t>
      </w:r>
      <w:r w:rsidRPr="007F3ED4">
        <w:rPr>
          <w:rFonts w:ascii="Times New Roman" w:hAnsi="Times New Roman"/>
          <w:sz w:val="22"/>
          <w:szCs w:val="22"/>
          <w:lang w:val="sk-SK"/>
        </w:rPr>
        <w:t>že vznikn</w:t>
      </w:r>
      <w:r w:rsidR="00C82D18">
        <w:rPr>
          <w:rFonts w:ascii="Times New Roman" w:hAnsi="Times New Roman"/>
          <w:sz w:val="22"/>
          <w:szCs w:val="22"/>
          <w:lang w:val="sk-SK"/>
        </w:rPr>
        <w:t>úť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nepozorovan</w:t>
      </w:r>
      <w:r w:rsidR="00C82D18">
        <w:rPr>
          <w:rFonts w:ascii="Times New Roman" w:hAnsi="Times New Roman"/>
          <w:sz w:val="22"/>
          <w:szCs w:val="22"/>
          <w:lang w:val="sk-SK"/>
        </w:rPr>
        <w:t>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 b</w:t>
      </w:r>
      <w:r w:rsidR="00C82D18">
        <w:rPr>
          <w:rFonts w:ascii="Times New Roman" w:hAnsi="Times New Roman"/>
          <w:sz w:val="22"/>
          <w:szCs w:val="22"/>
          <w:lang w:val="sk-SK"/>
        </w:rPr>
        <w:t>yť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B188B">
        <w:rPr>
          <w:rFonts w:ascii="Times New Roman" w:hAnsi="Times New Roman"/>
          <w:sz w:val="22"/>
          <w:szCs w:val="22"/>
          <w:lang w:val="sk-SK"/>
        </w:rPr>
        <w:t>prehliadnut</w:t>
      </w:r>
      <w:r w:rsidR="00C82D18">
        <w:rPr>
          <w:rFonts w:ascii="Times New Roman" w:hAnsi="Times New Roman"/>
          <w:sz w:val="22"/>
          <w:szCs w:val="22"/>
          <w:lang w:val="sk-SK"/>
        </w:rPr>
        <w:t>á</w:t>
      </w:r>
      <w:r w:rsidRPr="007F3ED4">
        <w:rPr>
          <w:rFonts w:ascii="Times New Roman" w:hAnsi="Times New Roman"/>
          <w:sz w:val="22"/>
          <w:szCs w:val="22"/>
          <w:lang w:val="sk-SK"/>
        </w:rPr>
        <w:t>. U v</w:t>
      </w:r>
      <w:r w:rsidR="00C82D18">
        <w:rPr>
          <w:rFonts w:ascii="Times New Roman" w:hAnsi="Times New Roman"/>
          <w:sz w:val="22"/>
          <w:szCs w:val="22"/>
          <w:lang w:val="sk-SK"/>
        </w:rPr>
        <w:t>äčšin</w:t>
      </w:r>
      <w:r w:rsidRPr="007F3ED4">
        <w:rPr>
          <w:rFonts w:ascii="Times New Roman" w:hAnsi="Times New Roman"/>
          <w:sz w:val="22"/>
          <w:szCs w:val="22"/>
          <w:lang w:val="sk-SK"/>
        </w:rPr>
        <w:t>y pacient</w:t>
      </w:r>
      <w:r w:rsidR="00C82D18"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, u </w:t>
      </w:r>
      <w:r w:rsidR="00C82D18">
        <w:rPr>
          <w:rFonts w:ascii="Times New Roman" w:hAnsi="Times New Roman"/>
          <w:sz w:val="22"/>
          <w:szCs w:val="22"/>
          <w:lang w:val="sk-SK"/>
        </w:rPr>
        <w:t>ktorých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hypomagnez</w:t>
      </w:r>
      <w:r w:rsidR="00DB188B">
        <w:rPr>
          <w:rFonts w:ascii="Times New Roman" w:hAnsi="Times New Roman"/>
          <w:sz w:val="22"/>
          <w:szCs w:val="22"/>
          <w:lang w:val="sk-SK"/>
        </w:rPr>
        <w:t>i</w:t>
      </w:r>
      <w:r w:rsidRPr="007F3ED4">
        <w:rPr>
          <w:rFonts w:ascii="Times New Roman" w:hAnsi="Times New Roman"/>
          <w:sz w:val="22"/>
          <w:szCs w:val="22"/>
          <w:lang w:val="sk-SK"/>
        </w:rPr>
        <w:t>émi</w:t>
      </w:r>
      <w:r w:rsidR="00C82D18">
        <w:rPr>
          <w:rFonts w:ascii="Times New Roman" w:hAnsi="Times New Roman"/>
          <w:sz w:val="22"/>
          <w:szCs w:val="22"/>
          <w:lang w:val="sk-SK"/>
        </w:rPr>
        <w:t>a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vznikla, došlo k </w:t>
      </w:r>
      <w:r w:rsidR="00C82D18" w:rsidRPr="007F3ED4">
        <w:rPr>
          <w:rFonts w:ascii="Times New Roman" w:hAnsi="Times New Roman"/>
          <w:sz w:val="22"/>
          <w:szCs w:val="22"/>
          <w:lang w:val="sk-SK"/>
        </w:rPr>
        <w:t>úprave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2D18" w:rsidRPr="007F3ED4">
        <w:rPr>
          <w:rFonts w:ascii="Times New Roman" w:hAnsi="Times New Roman"/>
          <w:sz w:val="22"/>
          <w:szCs w:val="22"/>
          <w:lang w:val="sk-SK"/>
        </w:rPr>
        <w:t>hladín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magnézia po jeho </w:t>
      </w:r>
      <w:r w:rsidR="00DB188B">
        <w:rPr>
          <w:rFonts w:ascii="Times New Roman" w:hAnsi="Times New Roman"/>
          <w:sz w:val="22"/>
          <w:szCs w:val="22"/>
          <w:lang w:val="sk-SK"/>
        </w:rPr>
        <w:t>doplnení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a </w:t>
      </w:r>
      <w:r w:rsidR="00C82D18" w:rsidRPr="007F3ED4">
        <w:rPr>
          <w:rFonts w:ascii="Times New Roman" w:hAnsi="Times New Roman"/>
          <w:sz w:val="22"/>
          <w:szCs w:val="22"/>
          <w:lang w:val="sk-SK"/>
        </w:rPr>
        <w:t>vysadení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2D18" w:rsidRPr="007F3ED4">
        <w:rPr>
          <w:rFonts w:ascii="Times New Roman" w:hAnsi="Times New Roman"/>
          <w:sz w:val="22"/>
          <w:szCs w:val="22"/>
          <w:lang w:val="sk-SK"/>
        </w:rPr>
        <w:t>inhibítor</w:t>
      </w:r>
      <w:r w:rsidR="00C82D18">
        <w:rPr>
          <w:rFonts w:ascii="Times New Roman" w:hAnsi="Times New Roman"/>
          <w:sz w:val="22"/>
          <w:szCs w:val="22"/>
          <w:lang w:val="sk-SK"/>
        </w:rPr>
        <w:t>ov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2D18" w:rsidRPr="007F3ED4">
        <w:rPr>
          <w:rFonts w:ascii="Times New Roman" w:hAnsi="Times New Roman"/>
          <w:sz w:val="22"/>
          <w:szCs w:val="22"/>
          <w:lang w:val="sk-SK"/>
        </w:rPr>
        <w:t>protónov</w:t>
      </w:r>
      <w:r w:rsidR="00C82D18">
        <w:rPr>
          <w:rFonts w:ascii="Times New Roman" w:hAnsi="Times New Roman"/>
          <w:sz w:val="22"/>
          <w:szCs w:val="22"/>
          <w:lang w:val="sk-SK"/>
        </w:rPr>
        <w:t>ej</w:t>
      </w:r>
      <w:r w:rsidRPr="007F3ED4">
        <w:rPr>
          <w:rFonts w:ascii="Times New Roman" w:hAnsi="Times New Roman"/>
          <w:sz w:val="22"/>
          <w:szCs w:val="22"/>
          <w:lang w:val="sk-SK"/>
        </w:rPr>
        <w:t xml:space="preserve"> pumpy.</w:t>
      </w:r>
    </w:p>
    <w:p w:rsidR="00B17B32" w:rsidRPr="00C24BB6" w:rsidRDefault="00C82D18" w:rsidP="00C24BB6">
      <w:pPr>
        <w:pStyle w:val="Text"/>
        <w:tabs>
          <w:tab w:val="clear" w:pos="568"/>
        </w:tabs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 sa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, aby l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ár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pacient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m, u </w:t>
      </w:r>
      <w:r>
        <w:rPr>
          <w:rFonts w:ascii="Times New Roman" w:hAnsi="Times New Roman"/>
          <w:sz w:val="22"/>
          <w:szCs w:val="22"/>
          <w:lang w:val="sk-SK"/>
        </w:rPr>
        <w:t>ktorých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edpokl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dá, že b</w:t>
      </w:r>
      <w:r>
        <w:rPr>
          <w:rFonts w:ascii="Times New Roman" w:hAnsi="Times New Roman"/>
          <w:sz w:val="22"/>
          <w:szCs w:val="22"/>
          <w:lang w:val="sk-SK"/>
        </w:rPr>
        <w:t>udú dlhodobo liečení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inhib</w:t>
      </w:r>
      <w:r w:rsidR="00DB188B">
        <w:rPr>
          <w:rFonts w:ascii="Times New Roman" w:hAnsi="Times New Roman"/>
          <w:sz w:val="22"/>
          <w:szCs w:val="22"/>
          <w:lang w:val="sk-SK"/>
        </w:rPr>
        <w:t>í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tor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prot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nov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pumpy, </w:t>
      </w:r>
      <w:r>
        <w:rPr>
          <w:rFonts w:ascii="Times New Roman" w:hAnsi="Times New Roman"/>
          <w:sz w:val="22"/>
          <w:szCs w:val="22"/>
          <w:lang w:val="sk-SK"/>
        </w:rPr>
        <w:t>alebo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kt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rým </w:t>
      </w:r>
      <w:r>
        <w:rPr>
          <w:rFonts w:ascii="Times New Roman" w:hAnsi="Times New Roman"/>
          <w:sz w:val="22"/>
          <w:szCs w:val="22"/>
          <w:lang w:val="sk-SK"/>
        </w:rPr>
        <w:t>sú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inhib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tory prot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nové pumpy 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spolu s digox</w:t>
      </w:r>
      <w:r w:rsidR="00DB188B">
        <w:rPr>
          <w:rFonts w:ascii="Times New Roman" w:hAnsi="Times New Roman"/>
          <w:sz w:val="22"/>
          <w:szCs w:val="22"/>
          <w:lang w:val="sk-SK"/>
        </w:rPr>
        <w:t>í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m </w:t>
      </w:r>
      <w:r>
        <w:rPr>
          <w:rFonts w:ascii="Times New Roman" w:hAnsi="Times New Roman"/>
          <w:sz w:val="22"/>
          <w:szCs w:val="22"/>
          <w:lang w:val="sk-SK"/>
        </w:rPr>
        <w:t>al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ebo </w:t>
      </w:r>
      <w:r>
        <w:rPr>
          <w:rFonts w:ascii="Times New Roman" w:hAnsi="Times New Roman"/>
          <w:sz w:val="22"/>
          <w:szCs w:val="22"/>
          <w:lang w:val="sk-SK"/>
        </w:rPr>
        <w:t>liekmi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, kt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r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m</w:t>
      </w:r>
      <w:r>
        <w:rPr>
          <w:rFonts w:ascii="Times New Roman" w:hAnsi="Times New Roman"/>
          <w:sz w:val="22"/>
          <w:szCs w:val="22"/>
          <w:lang w:val="sk-SK"/>
        </w:rPr>
        <w:t>ôžu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lang w:val="sk-SK"/>
        </w:rPr>
        <w:t>iesť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k hypomagnez</w:t>
      </w:r>
      <w:r w:rsidR="00DB188B">
        <w:rPr>
          <w:rFonts w:ascii="Times New Roman" w:hAnsi="Times New Roman"/>
          <w:sz w:val="22"/>
          <w:szCs w:val="22"/>
          <w:lang w:val="sk-SK"/>
        </w:rPr>
        <w:t>i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émii (nap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>. diuretik</w:t>
      </w:r>
      <w:r w:rsidR="00DB188B">
        <w:rPr>
          <w:rFonts w:ascii="Times New Roman" w:hAnsi="Times New Roman"/>
          <w:sz w:val="22"/>
          <w:szCs w:val="22"/>
          <w:lang w:val="sk-SK"/>
        </w:rPr>
        <w:t>á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), nechal </w:t>
      </w:r>
      <w:r w:rsidRPr="007F3ED4">
        <w:rPr>
          <w:rFonts w:ascii="Times New Roman" w:hAnsi="Times New Roman"/>
          <w:sz w:val="22"/>
          <w:szCs w:val="22"/>
          <w:lang w:val="sk-SK"/>
        </w:rPr>
        <w:t>vyšetriť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hladiny magnézia </w:t>
      </w:r>
      <w:r w:rsidRPr="007F3ED4">
        <w:rPr>
          <w:rFonts w:ascii="Times New Roman" w:hAnsi="Times New Roman"/>
          <w:sz w:val="22"/>
          <w:szCs w:val="22"/>
          <w:lang w:val="sk-SK"/>
        </w:rPr>
        <w:t>pred</w:t>
      </w:r>
      <w:r w:rsidR="00B17B32" w:rsidRPr="007F3ED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24BB6">
        <w:rPr>
          <w:rFonts w:ascii="Times New Roman" w:hAnsi="Times New Roman"/>
          <w:sz w:val="22"/>
          <w:szCs w:val="22"/>
          <w:lang w:val="sk-SK"/>
        </w:rPr>
        <w:t>začatím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 podáv</w:t>
      </w:r>
      <w:r w:rsidRPr="00C24BB6">
        <w:rPr>
          <w:rFonts w:ascii="Times New Roman" w:hAnsi="Times New Roman"/>
          <w:sz w:val="22"/>
          <w:szCs w:val="22"/>
          <w:lang w:val="sk-SK"/>
        </w:rPr>
        <w:t>a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>n</w:t>
      </w:r>
      <w:r w:rsidRPr="00C24BB6">
        <w:rPr>
          <w:rFonts w:ascii="Times New Roman" w:hAnsi="Times New Roman"/>
          <w:sz w:val="22"/>
          <w:szCs w:val="22"/>
          <w:lang w:val="sk-SK"/>
        </w:rPr>
        <w:t>ia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 inhib</w:t>
      </w:r>
      <w:r w:rsidR="00DB188B">
        <w:rPr>
          <w:rFonts w:ascii="Times New Roman" w:hAnsi="Times New Roman"/>
          <w:sz w:val="22"/>
          <w:szCs w:val="22"/>
          <w:lang w:val="sk-SK"/>
        </w:rPr>
        <w:t>í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>tor</w:t>
      </w:r>
      <w:r w:rsidRPr="00C24BB6">
        <w:rPr>
          <w:rFonts w:ascii="Times New Roman" w:hAnsi="Times New Roman"/>
          <w:sz w:val="22"/>
          <w:szCs w:val="22"/>
          <w:lang w:val="sk-SK"/>
        </w:rPr>
        <w:t>ov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 prot</w:t>
      </w:r>
      <w:r w:rsidRPr="00C24BB6">
        <w:rPr>
          <w:rFonts w:ascii="Times New Roman" w:hAnsi="Times New Roman"/>
          <w:sz w:val="22"/>
          <w:szCs w:val="22"/>
          <w:lang w:val="sk-SK"/>
        </w:rPr>
        <w:t>ó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>nov</w:t>
      </w:r>
      <w:r w:rsidRPr="00C24BB6">
        <w:rPr>
          <w:rFonts w:ascii="Times New Roman" w:hAnsi="Times New Roman"/>
          <w:sz w:val="22"/>
          <w:szCs w:val="22"/>
          <w:lang w:val="sk-SK"/>
        </w:rPr>
        <w:t>ej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 pumpy a pot</w:t>
      </w:r>
      <w:r w:rsidRPr="00C24BB6">
        <w:rPr>
          <w:rFonts w:ascii="Times New Roman" w:hAnsi="Times New Roman"/>
          <w:sz w:val="22"/>
          <w:szCs w:val="22"/>
          <w:lang w:val="sk-SK"/>
        </w:rPr>
        <w:t>om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 v pravidelných interval</w:t>
      </w:r>
      <w:r w:rsidRPr="00C24BB6">
        <w:rPr>
          <w:rFonts w:ascii="Times New Roman" w:hAnsi="Times New Roman"/>
          <w:sz w:val="22"/>
          <w:szCs w:val="22"/>
          <w:lang w:val="sk-SK"/>
        </w:rPr>
        <w:t>o</w:t>
      </w:r>
      <w:r w:rsidR="00B17B32" w:rsidRPr="00C24BB6">
        <w:rPr>
          <w:rFonts w:ascii="Times New Roman" w:hAnsi="Times New Roman"/>
          <w:sz w:val="22"/>
          <w:szCs w:val="22"/>
          <w:lang w:val="sk-SK"/>
        </w:rPr>
        <w:t xml:space="preserve">ch </w:t>
      </w:r>
      <w:r w:rsidRPr="00C24BB6">
        <w:rPr>
          <w:rFonts w:ascii="Times New Roman" w:hAnsi="Times New Roman"/>
          <w:sz w:val="22"/>
          <w:szCs w:val="22"/>
          <w:lang w:val="sk-SK"/>
        </w:rPr>
        <w:t>počas ich podávania</w:t>
      </w:r>
      <w:r w:rsidR="007A219A" w:rsidRPr="00C24BB6">
        <w:rPr>
          <w:rFonts w:ascii="Times New Roman" w:hAnsi="Times New Roman"/>
          <w:sz w:val="22"/>
          <w:szCs w:val="22"/>
          <w:lang w:val="sk-SK"/>
        </w:rPr>
        <w:t>.</w:t>
      </w:r>
    </w:p>
    <w:p w:rsidR="00135CE8" w:rsidRPr="00C24BB6" w:rsidRDefault="00135CE8" w:rsidP="00C24BB6">
      <w:pPr>
        <w:pStyle w:val="Default"/>
        <w:rPr>
          <w:rFonts w:ascii="Times New Roman" w:hAnsi="Times New Roman" w:cs="Times New Roman"/>
          <w:i/>
          <w:sz w:val="22"/>
          <w:szCs w:val="22"/>
        </w:rPr>
      </w:pPr>
    </w:p>
    <w:p w:rsidR="00135CE8" w:rsidRPr="00C24BB6" w:rsidRDefault="00135CE8" w:rsidP="00C24BB6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C24BB6">
        <w:rPr>
          <w:rFonts w:ascii="Times New Roman" w:hAnsi="Times New Roman" w:cs="Times New Roman"/>
          <w:i/>
          <w:sz w:val="22"/>
          <w:szCs w:val="22"/>
        </w:rPr>
        <w:t>Subakútny kožný lupus erythematosus (</w:t>
      </w:r>
      <w:r w:rsidR="00DB188B" w:rsidRPr="00C24BB6">
        <w:rPr>
          <w:rFonts w:ascii="Times New Roman" w:hAnsi="Times New Roman" w:cs="Times New Roman"/>
          <w:i/>
          <w:sz w:val="22"/>
          <w:szCs w:val="22"/>
        </w:rPr>
        <w:t>subacute cutaneous lupus erythematosus</w:t>
      </w:r>
      <w:r w:rsidR="00DB188B">
        <w:rPr>
          <w:rFonts w:ascii="Times New Roman" w:hAnsi="Times New Roman" w:cs="Times New Roman"/>
          <w:i/>
          <w:sz w:val="22"/>
          <w:szCs w:val="22"/>
        </w:rPr>
        <w:t>,</w:t>
      </w:r>
      <w:r w:rsidR="00DB188B" w:rsidRPr="00C24B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24BB6">
        <w:rPr>
          <w:rFonts w:ascii="Times New Roman" w:hAnsi="Times New Roman" w:cs="Times New Roman"/>
          <w:i/>
          <w:sz w:val="22"/>
          <w:szCs w:val="22"/>
        </w:rPr>
        <w:t>SCLE)</w:t>
      </w:r>
    </w:p>
    <w:p w:rsidR="00135CE8" w:rsidRPr="00C24BB6" w:rsidRDefault="00135CE8" w:rsidP="00C24BB6">
      <w:pPr>
        <w:pStyle w:val="Text"/>
        <w:tabs>
          <w:tab w:val="clear" w:pos="568"/>
        </w:tabs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C24BB6">
        <w:rPr>
          <w:rFonts w:ascii="Times New Roman" w:hAnsi="Times New Roman"/>
          <w:sz w:val="22"/>
          <w:szCs w:val="22"/>
          <w:lang w:val="sk-SK"/>
        </w:rPr>
        <w:t xml:space="preserve">Inhibítory protónovej pumpy súvisia s veľmi zriedkavými prípadmi SCLE. Ak sa vyskytnú lézie, najmä v oblastiach kože vystavených slnku, a ak sú sprevádzané artralgiou, pacient má ihneď vyhľadať lekársku pomoc a zdravotnícky pracovník má zvážiť vysadenie </w:t>
      </w:r>
      <w:r w:rsidR="000F6F55">
        <w:rPr>
          <w:rFonts w:ascii="Times New Roman" w:hAnsi="Times New Roman"/>
          <w:sz w:val="22"/>
          <w:szCs w:val="22"/>
          <w:lang w:val="sk-SK"/>
        </w:rPr>
        <w:t>Omeprazolu STADA</w:t>
      </w:r>
      <w:r w:rsidRPr="00C24BB6">
        <w:rPr>
          <w:rFonts w:ascii="Times New Roman" w:hAnsi="Times New Roman"/>
          <w:sz w:val="22"/>
          <w:szCs w:val="22"/>
          <w:lang w:val="sk-SK"/>
        </w:rPr>
        <w:t>. SCLE po predchádzajúcej liečbe inhibítorom protónovej pumpy môže zvýšiť riziko SCLE pri použití iných inhibítorov protónovej pumpy.</w:t>
      </w:r>
    </w:p>
    <w:p w:rsidR="004C36F9" w:rsidRPr="00C24BB6" w:rsidRDefault="004C36F9" w:rsidP="00C24BB6">
      <w:pPr>
        <w:pStyle w:val="Text"/>
        <w:tabs>
          <w:tab w:val="clear" w:pos="568"/>
        </w:tabs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84693" w:rsidRPr="00393DF1" w:rsidRDefault="00784693" w:rsidP="00C24BB6">
      <w:pPr>
        <w:pStyle w:val="Text"/>
        <w:tabs>
          <w:tab w:val="clear" w:pos="568"/>
        </w:tabs>
        <w:spacing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393DF1">
        <w:rPr>
          <w:rFonts w:ascii="Times New Roman" w:hAnsi="Times New Roman"/>
          <w:i/>
          <w:sz w:val="22"/>
          <w:szCs w:val="22"/>
          <w:lang w:val="sk-SK"/>
        </w:rPr>
        <w:t>Interferencia s laboratórnymi testami</w:t>
      </w:r>
    </w:p>
    <w:p w:rsidR="00DB188B" w:rsidRPr="00E8427A" w:rsidRDefault="00393DF1" w:rsidP="00E8427A">
      <w:pPr>
        <w:rPr>
          <w:rFonts w:ascii="Times New Roman" w:hAnsi="Times New Roman"/>
          <w:sz w:val="22"/>
          <w:szCs w:val="22"/>
        </w:rPr>
      </w:pPr>
      <w:r w:rsidRPr="005F700E">
        <w:rPr>
          <w:rFonts w:ascii="Times New Roman" w:hAnsi="Times New Roman"/>
          <w:sz w:val="22"/>
          <w:szCs w:val="22"/>
        </w:rPr>
        <w:t xml:space="preserve">Zvýšená hladina chromogranínu A (CgA) môže interferovať s vyšetreniami na neuroendokrinné nádory. Aby sa zabránilo tejto interferencii, liečba </w:t>
      </w:r>
      <w:r>
        <w:rPr>
          <w:rFonts w:ascii="Times New Roman" w:hAnsi="Times New Roman"/>
          <w:sz w:val="22"/>
          <w:szCs w:val="22"/>
        </w:rPr>
        <w:t xml:space="preserve">omeprazolom </w:t>
      </w:r>
      <w:r w:rsidRPr="005F700E">
        <w:rPr>
          <w:rFonts w:ascii="Times New Roman" w:hAnsi="Times New Roman"/>
          <w:sz w:val="22"/>
          <w:szCs w:val="22"/>
        </w:rPr>
        <w:t xml:space="preserve">sa má zastaviť aspoň na 5 dní pred </w:t>
      </w:r>
      <w:r w:rsidRPr="005F700E">
        <w:rPr>
          <w:rFonts w:ascii="Times New Roman" w:hAnsi="Times New Roman"/>
          <w:sz w:val="22"/>
          <w:szCs w:val="22"/>
        </w:rPr>
        <w:lastRenderedPageBreak/>
        <w:t>vykonaním meraní CgA (pozri časť 5.1). Ak sa hladina CgA a gastrínu nevráti po prvom meraní k</w:t>
      </w:r>
      <w:r w:rsidR="00DB188B">
        <w:rPr>
          <w:rFonts w:ascii="Times New Roman" w:hAnsi="Times New Roman"/>
          <w:sz w:val="22"/>
          <w:szCs w:val="22"/>
        </w:rPr>
        <w:t> </w:t>
      </w:r>
      <w:r w:rsidRPr="005F700E">
        <w:rPr>
          <w:rFonts w:ascii="Times New Roman" w:hAnsi="Times New Roman"/>
          <w:sz w:val="22"/>
          <w:szCs w:val="22"/>
        </w:rPr>
        <w:t>referenčnému rozsahu, merania sa majú zopakovať 14 dní po ukončení liečby inhibítorom protónovej pumpy.</w:t>
      </w:r>
    </w:p>
    <w:p w:rsidR="007A219A" w:rsidRPr="00393DF1" w:rsidRDefault="007A219A" w:rsidP="007F3ED4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</w:p>
    <w:p w:rsidR="00333B01" w:rsidRPr="00847CE0" w:rsidRDefault="00333B01" w:rsidP="00301DDB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333B01">
        <w:rPr>
          <w:rFonts w:ascii="Times New Roman" w:hAnsi="Times New Roman"/>
          <w:sz w:val="22"/>
          <w:szCs w:val="22"/>
          <w:u w:val="single"/>
          <w:lang w:val="sk-SK"/>
        </w:rPr>
        <w:t>Pomocné látky</w:t>
      </w:r>
    </w:p>
    <w:p w:rsidR="007A219A" w:rsidRPr="00333B01" w:rsidRDefault="007A219A" w:rsidP="00301DDB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33B01">
        <w:rPr>
          <w:rFonts w:ascii="Times New Roman" w:hAnsi="Times New Roman"/>
          <w:sz w:val="22"/>
          <w:szCs w:val="22"/>
          <w:lang w:val="sk-SK"/>
        </w:rPr>
        <w:t xml:space="preserve">Omeprazol STADA tvrdé gastrorezistentné kapsuly obsahujú laktózu. Pacienti so zriedkavými </w:t>
      </w:r>
      <w:r w:rsidR="00DB188B" w:rsidRPr="00333B01">
        <w:rPr>
          <w:rFonts w:ascii="Times New Roman" w:hAnsi="Times New Roman"/>
          <w:sz w:val="22"/>
          <w:szCs w:val="22"/>
          <w:lang w:val="sk-SK"/>
        </w:rPr>
        <w:t>dedičnými</w:t>
      </w:r>
      <w:r w:rsidRPr="00333B01">
        <w:rPr>
          <w:rFonts w:ascii="Times New Roman" w:hAnsi="Times New Roman"/>
          <w:sz w:val="22"/>
          <w:szCs w:val="22"/>
          <w:lang w:val="sk-SK"/>
        </w:rPr>
        <w:t xml:space="preserve"> problémami galaktózovej intolerancie, </w:t>
      </w:r>
      <w:r w:rsidR="00DB188B" w:rsidRPr="00333B01">
        <w:rPr>
          <w:rFonts w:ascii="Times New Roman" w:hAnsi="Times New Roman"/>
          <w:sz w:val="22"/>
          <w:szCs w:val="22"/>
          <w:lang w:val="sk-SK"/>
        </w:rPr>
        <w:t>celkovým</w:t>
      </w:r>
      <w:r w:rsidRPr="00333B01">
        <w:rPr>
          <w:rFonts w:ascii="Times New Roman" w:hAnsi="Times New Roman"/>
          <w:sz w:val="22"/>
          <w:szCs w:val="22"/>
          <w:lang w:val="sk-SK"/>
        </w:rPr>
        <w:t xml:space="preserve"> deficit</w:t>
      </w:r>
      <w:r w:rsidR="00DB188B" w:rsidRPr="00333B01">
        <w:rPr>
          <w:rFonts w:ascii="Times New Roman" w:hAnsi="Times New Roman"/>
          <w:sz w:val="22"/>
          <w:szCs w:val="22"/>
          <w:lang w:val="sk-SK"/>
        </w:rPr>
        <w:t>om</w:t>
      </w:r>
      <w:r w:rsidRPr="00333B01">
        <w:rPr>
          <w:rFonts w:ascii="Times New Roman" w:hAnsi="Times New Roman"/>
          <w:sz w:val="22"/>
          <w:szCs w:val="22"/>
          <w:lang w:val="sk-SK"/>
        </w:rPr>
        <w:t xml:space="preserve"> laktázy alebo glukózo-galaktózov</w:t>
      </w:r>
      <w:r w:rsidR="00DB188B" w:rsidRPr="00333B01">
        <w:rPr>
          <w:rFonts w:ascii="Times New Roman" w:hAnsi="Times New Roman"/>
          <w:sz w:val="22"/>
          <w:szCs w:val="22"/>
          <w:lang w:val="sk-SK"/>
        </w:rPr>
        <w:t>ou</w:t>
      </w:r>
      <w:r w:rsidRPr="00333B01">
        <w:rPr>
          <w:rFonts w:ascii="Times New Roman" w:hAnsi="Times New Roman"/>
          <w:sz w:val="22"/>
          <w:szCs w:val="22"/>
          <w:lang w:val="sk-SK"/>
        </w:rPr>
        <w:t xml:space="preserve"> malabsorpci</w:t>
      </w:r>
      <w:r w:rsidR="00DB188B" w:rsidRPr="00333B01">
        <w:rPr>
          <w:rFonts w:ascii="Times New Roman" w:hAnsi="Times New Roman"/>
          <w:sz w:val="22"/>
          <w:szCs w:val="22"/>
          <w:lang w:val="sk-SK"/>
        </w:rPr>
        <w:t>ou</w:t>
      </w:r>
      <w:r w:rsidRPr="00333B01">
        <w:rPr>
          <w:rFonts w:ascii="Times New Roman" w:hAnsi="Times New Roman"/>
          <w:sz w:val="22"/>
          <w:szCs w:val="22"/>
          <w:lang w:val="sk-SK"/>
        </w:rPr>
        <w:t xml:space="preserve"> nesmú užívať tento liek.</w:t>
      </w:r>
    </w:p>
    <w:p w:rsidR="00710DE9" w:rsidRPr="00333B01" w:rsidRDefault="00710DE9" w:rsidP="00E8427A">
      <w:pPr>
        <w:rPr>
          <w:rFonts w:ascii="Times New Roman" w:hAnsi="Times New Roman"/>
          <w:sz w:val="22"/>
          <w:szCs w:val="22"/>
          <w:lang w:val="sk-SK"/>
        </w:rPr>
      </w:pPr>
    </w:p>
    <w:p w:rsidR="00333B01" w:rsidRPr="00847CE0" w:rsidRDefault="00333B01" w:rsidP="00333B01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 w:eastAsia="en-GB"/>
        </w:rPr>
      </w:pPr>
      <w:r w:rsidRPr="00847CE0">
        <w:rPr>
          <w:rFonts w:ascii="Times New Roman" w:hAnsi="Times New Roman"/>
          <w:sz w:val="22"/>
          <w:szCs w:val="22"/>
          <w:lang w:val="sk-SK"/>
        </w:rPr>
        <w:t xml:space="preserve">Tento liek obsahuje menej ako 1 mmol sodíka (23 mg) v </w:t>
      </w:r>
      <w:r>
        <w:rPr>
          <w:rFonts w:ascii="Times New Roman" w:hAnsi="Times New Roman"/>
          <w:sz w:val="22"/>
          <w:szCs w:val="22"/>
          <w:lang w:val="sk-SK"/>
        </w:rPr>
        <w:t>kapsule</w:t>
      </w:r>
      <w:r w:rsidRPr="00847CE0">
        <w:rPr>
          <w:rFonts w:ascii="Times New Roman" w:hAnsi="Times New Roman"/>
          <w:sz w:val="22"/>
          <w:szCs w:val="22"/>
          <w:lang w:val="sk-SK"/>
        </w:rPr>
        <w:t>, t.j. v podstate zanedbate</w:t>
      </w:r>
      <w:r w:rsidRPr="00847CE0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847CE0">
        <w:rPr>
          <w:rFonts w:ascii="Times New Roman" w:hAnsi="Times New Roman"/>
          <w:sz w:val="22"/>
          <w:szCs w:val="22"/>
          <w:lang w:val="sk-SK"/>
        </w:rPr>
        <w:t>né množstvo sodíka.</w:t>
      </w:r>
    </w:p>
    <w:p w:rsidR="00333B01" w:rsidRPr="005F4B00" w:rsidRDefault="00333B01" w:rsidP="00E8427A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Účinky omeprazolu na farmakokinetiku iných liečiv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u w:val="single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Liečivá s absorpciou závislou od pH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Znížená vnútrožalúdková acidita počas liečby omeprazolom m</w:t>
      </w:r>
      <w:r w:rsidR="00DB188B">
        <w:rPr>
          <w:rFonts w:ascii="Times New Roman" w:hAnsi="Times New Roman"/>
          <w:sz w:val="22"/>
          <w:szCs w:val="22"/>
          <w:lang w:val="sk-SK"/>
        </w:rPr>
        <w:t>ôže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zvýšiť alebo znížiť absorpciu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liečiv s absorpciou závislou od pH žalúdka.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Nelfinavir, atazanavir</w:t>
      </w:r>
    </w:p>
    <w:p w:rsidR="00710DE9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 prípade súbežného podávania s omeprazolom sú plazmatické hladiny nelfinaviru a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atazanaviru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znížené.</w:t>
      </w:r>
    </w:p>
    <w:p w:rsidR="00DB188B" w:rsidRPr="005F4B00" w:rsidRDefault="00DB188B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Súbežné podávanie omeprazolu s nelfinavirom je kontraindikované (pozri časť 4.3). Súbežné podávanie omeprazolu (40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jedenkrát denne) redukovalo priemernú expozíciu nelfinaviru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približne o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40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a priemerná expozícia farmakologicky aktívneho metabolitu M8 bola redukovaná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približne o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75</w:t>
      </w:r>
      <w:r w:rsidR="00DB188B">
        <w:rPr>
          <w:rFonts w:ascii="Times New Roman" w:hAnsi="Times New Roman"/>
          <w:sz w:val="22"/>
          <w:szCs w:val="22"/>
          <w:lang w:val="sk-SK"/>
        </w:rPr>
        <w:noBreakHyphen/>
      </w:r>
      <w:r w:rsidRPr="005F4B00">
        <w:rPr>
          <w:rFonts w:ascii="Times New Roman" w:hAnsi="Times New Roman"/>
          <w:sz w:val="22"/>
          <w:szCs w:val="22"/>
          <w:lang w:val="sk-SK"/>
        </w:rPr>
        <w:t>90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 Interakcia môže mať za následok CYP2C19 inhibíciu.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Súbežné podávanie omeprazolu s atazanavirom sa neodporúča (pozri časť 4.4). Súbežné podávanie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omeprazolu (40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jedenkrát denne) a atazanaviru 300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mg/ritonaviru 100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zdravým dobrovoľníkom viedlo k 75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zníženiu expozície atazanaviru. Zvýšenie dávky atazanaviru na 400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nekompenzovalo pôsobenie omeprazolu na expozíciu atazanaviru. Súbežné podávanie omeprazolu (20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jedenkrát denne) s atazanavirom 400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mg/ritonavirom 100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zdravým dobrovoľníkom viedlo k zníženiu expozície atazanaviru priemerne o 30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v porovnaní s atazanavirom 300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mg/ritonavirom 100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jedenkrát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Digoxín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Pri súbežnej liečbe omeprazolom (20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denne) a digoxínom sa u zdravých osôb biologická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dostupnosť zvýšila o 10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 Toxicita digoxínu bola hlásená zriedkavo. Avšak je potrebné uplatňovať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opatrnosť pri podávaní vysokých dávok starším pacientom. Terapeutické liekové monitorovanie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digoxínu sa má preto zosilniť.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keepNext/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Klopidogrel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 skrížených klinických štúdiách sa samotný klopidogrel (300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záťažová dávka nasledujúca po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75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mg/deň) s omeprazolom (80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v rovnakom čase ako klopidogrel) podávali 5 dní. Expozícia na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aktívny metabolit klopidogrelu bola znížená o 46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(Deň 1) a 42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(Deň 5), keď sa klopidogrel a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omeprazol podávali sú</w:t>
      </w:r>
      <w:r w:rsidR="00DB188B">
        <w:rPr>
          <w:rFonts w:ascii="Times New Roman" w:hAnsi="Times New Roman"/>
          <w:sz w:val="22"/>
          <w:szCs w:val="22"/>
          <w:lang w:val="sk-SK"/>
        </w:rPr>
        <w:t>bež</w:t>
      </w:r>
      <w:r w:rsidRPr="005F4B00">
        <w:rPr>
          <w:rFonts w:ascii="Times New Roman" w:hAnsi="Times New Roman"/>
          <w:sz w:val="22"/>
          <w:szCs w:val="22"/>
          <w:lang w:val="sk-SK"/>
        </w:rPr>
        <w:t>ne. Priemer inhibície trombocytovej agregácie (</w:t>
      </w:r>
      <w:r w:rsidR="000A54E0" w:rsidRPr="00E8427A">
        <w:rPr>
          <w:rFonts w:ascii="Times New Roman" w:hAnsi="Times New Roman"/>
          <w:color w:val="000000"/>
          <w:sz w:val="22"/>
          <w:szCs w:val="22"/>
        </w:rPr>
        <w:t>inhibition of platelet aggregation,</w:t>
      </w:r>
      <w:r w:rsidR="000A54E0" w:rsidRP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6416E">
        <w:rPr>
          <w:rFonts w:ascii="Times New Roman" w:hAnsi="Times New Roman"/>
          <w:sz w:val="22"/>
          <w:szCs w:val="22"/>
          <w:lang w:val="sk-SK"/>
        </w:rPr>
        <w:t xml:space="preserve">IPA) </w:t>
      </w:r>
      <w:r w:rsidRPr="005F4B00">
        <w:rPr>
          <w:rFonts w:ascii="Times New Roman" w:hAnsi="Times New Roman"/>
          <w:sz w:val="22"/>
          <w:szCs w:val="22"/>
          <w:lang w:val="sk-SK"/>
        </w:rPr>
        <w:t>bol znížený o 47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(24</w:t>
      </w:r>
      <w:r w:rsidR="00DB188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hodín) a 30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(Deň 5), keď sa klopidogrel a omeprazol podávali sú</w:t>
      </w:r>
      <w:r w:rsidR="000A54E0">
        <w:rPr>
          <w:rFonts w:ascii="Times New Roman" w:hAnsi="Times New Roman"/>
          <w:sz w:val="22"/>
          <w:szCs w:val="22"/>
          <w:lang w:val="sk-SK"/>
        </w:rPr>
        <w:t>bež</w:t>
      </w:r>
      <w:r w:rsidRPr="005F4B00">
        <w:rPr>
          <w:rFonts w:ascii="Times New Roman" w:hAnsi="Times New Roman"/>
          <w:sz w:val="22"/>
          <w:szCs w:val="22"/>
          <w:lang w:val="sk-SK"/>
        </w:rPr>
        <w:t>ne. V inej štúdii sa preukázalo,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že ak sa klopidogrel a omeprazol podávajú v rôznom čase, nezabráni sa ich interakcii ako je to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pravdepodobné inhibičným účinkom omeprazolu na CYP2C19. V observačných a klinických štúdiách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sa zistili inkonzistentné údaje na klinickú implikáciu tejto </w:t>
      </w:r>
      <w:r w:rsidR="000A54E0">
        <w:rPr>
          <w:rFonts w:ascii="Times New Roman" w:hAnsi="Times New Roman"/>
          <w:sz w:val="22"/>
          <w:szCs w:val="22"/>
          <w:lang w:val="sk-SK"/>
        </w:rPr>
        <w:t>farmakokinetickej</w:t>
      </w:r>
      <w:r w:rsidRPr="005F4B00">
        <w:rPr>
          <w:rFonts w:ascii="Times New Roman" w:hAnsi="Times New Roman"/>
          <w:sz w:val="22"/>
          <w:szCs w:val="22"/>
          <w:lang w:val="sk-SK"/>
        </w:rPr>
        <w:t>/</w:t>
      </w:r>
      <w:r w:rsidR="000A54E0">
        <w:rPr>
          <w:rFonts w:ascii="Times New Roman" w:hAnsi="Times New Roman"/>
          <w:sz w:val="22"/>
          <w:szCs w:val="22"/>
          <w:lang w:val="sk-SK"/>
        </w:rPr>
        <w:t>farmakodynamickej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interakcie z hľadiska veľkých</w:t>
      </w:r>
      <w:r w:rsidR="00DB188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kardiovaskulárnych príhod.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Iné liečivá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>Absorpcia posakonazolu, erlotinibu, ketokonazolu a itrakonazolu je signifikantne redukovaná a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tak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klinická účinnosť môže byť oslabená. Súbežnému použitiu s posakonazolom a erlotinibom 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="000A54E0" w:rsidRPr="005F4B00">
        <w:rPr>
          <w:rFonts w:ascii="Times New Roman" w:hAnsi="Times New Roman"/>
          <w:sz w:val="22"/>
          <w:szCs w:val="22"/>
          <w:lang w:val="sk-SK"/>
        </w:rPr>
        <w:t>sa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vyhnúť.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E8427A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i/>
          <w:szCs w:val="22"/>
        </w:rPr>
      </w:pPr>
      <w:r w:rsidRPr="00E8427A">
        <w:rPr>
          <w:i/>
          <w:szCs w:val="22"/>
        </w:rPr>
        <w:t>Liečivá metabolizované CYP2C19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je mierny inhibítor CYP2C19, hlavný enzým metabolizujúci omeprazol. Preto môže byť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metabolizmus súbežne podávaných liečiv, ktoré sú tiež metabolizované prostredníctvom CYP2C19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spomalený a systémová expozícia týmto liečivám sa môže zvýšiť. Príkladom sú lieky ako R-warfarín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a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iné antagonisty vitamínu K, cilostazol, diazepam a fenytoín.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Cilostazol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podávaný zdravým dobrovoľníkom v dávkach 40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v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skrížen</w:t>
      </w:r>
      <w:r w:rsidR="00F6416E">
        <w:rPr>
          <w:rFonts w:ascii="Times New Roman" w:hAnsi="Times New Roman"/>
          <w:sz w:val="22"/>
          <w:szCs w:val="22"/>
          <w:lang w:val="sk-SK"/>
        </w:rPr>
        <w:t>ej štúdii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zvyšoval C</w:t>
      </w:r>
      <w:r w:rsidRPr="00E8427A">
        <w:rPr>
          <w:rFonts w:ascii="Times New Roman" w:hAnsi="Times New Roman"/>
          <w:sz w:val="22"/>
          <w:szCs w:val="22"/>
          <w:vertAlign w:val="subscript"/>
          <w:lang w:val="sk-SK"/>
        </w:rPr>
        <w:t>max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cilostazolu o 18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a AUC cilostazolu o 26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%, v prípade jedného z jeho aktívnych metabolitov to bolo o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29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a 69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Fenytoín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 prvých dvoch týždňov od začiatku liečby omeprazolom sa odporúča monitorovať plazmatické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koncentrácie fenytoínu a ak dôjde k úprave dávky fenytoínu, je potrebné, aby sa po skončení liečby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omeprazolom monitoring zopakoval a dávka sa znovu upravila.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Neznámy mechanizmus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Sakvinavir</w:t>
      </w:r>
    </w:p>
    <w:p w:rsidR="00710DE9" w:rsidRPr="005F4B00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Súbežné podávanie omeprazolu so sakvinavirom/ritonavirom viedlo k zvýšeniu plazmatických hladín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priemerne o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70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pre sakvinavir</w:t>
      </w:r>
      <w:r w:rsidR="000A54E0">
        <w:rPr>
          <w:rFonts w:ascii="Times New Roman" w:hAnsi="Times New Roman"/>
          <w:sz w:val="22"/>
          <w:szCs w:val="22"/>
          <w:lang w:val="sk-SK"/>
        </w:rPr>
        <w:t>,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spojený s dobrou tolerabilitou u HIV-infikovaných pacientov.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Takrolimus</w:t>
      </w:r>
    </w:p>
    <w:p w:rsidR="00710DE9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Pri súbežnom podávaní omeprazolu s takrolimom boli hlásené zvýšené hladiny takrolimu v sére. Má sa posilniť účinné monitorovanie koncentrácií takrolimu podobne ako aj renálnej funkcie (klírens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kreatinínu) a dávka takrolimu sa má upraviť, ak je to potrebné.</w:t>
      </w:r>
    </w:p>
    <w:p w:rsidR="00E15D0F" w:rsidRDefault="00E15D0F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84693" w:rsidRPr="00BA0B20" w:rsidRDefault="00784693" w:rsidP="00784693">
      <w:pPr>
        <w:widowControl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/>
        </w:rPr>
      </w:pPr>
      <w:r w:rsidRPr="00BA0B20">
        <w:rPr>
          <w:rFonts w:ascii="Times New Roman" w:hAnsi="Times New Roman"/>
          <w:i/>
          <w:sz w:val="22"/>
          <w:szCs w:val="22"/>
          <w:lang w:val="sk-SK"/>
        </w:rPr>
        <w:t>Metotrexát</w:t>
      </w:r>
    </w:p>
    <w:p w:rsidR="00784693" w:rsidRPr="005F4B00" w:rsidRDefault="00784693" w:rsidP="00784693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súbežnom podávaní s inhibítormi protónovej pumpy sa u niektorých pacientov sa hlásil vzostup hladín metotrexátu v krvi. Pri podávaní vysokých dávok metotrexátu m</w:t>
      </w:r>
      <w:r w:rsidR="000A54E0">
        <w:rPr>
          <w:rFonts w:ascii="Times New Roman" w:hAnsi="Times New Roman"/>
          <w:sz w:val="22"/>
          <w:szCs w:val="22"/>
          <w:lang w:val="sk-SK"/>
        </w:rPr>
        <w:t>ôže byť potrebné</w:t>
      </w:r>
      <w:r>
        <w:rPr>
          <w:rFonts w:ascii="Times New Roman" w:hAnsi="Times New Roman"/>
          <w:sz w:val="22"/>
          <w:szCs w:val="22"/>
          <w:lang w:val="sk-SK"/>
        </w:rPr>
        <w:t xml:space="preserve"> zvážiť dočasné vysadenie omeprazolu.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F92D67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Účinky iných liečiv na farmakokinetiku omeprazolu</w:t>
      </w:r>
    </w:p>
    <w:p w:rsidR="00710DE9" w:rsidRPr="005F4B00" w:rsidRDefault="00710DE9" w:rsidP="00E8427A">
      <w:pPr>
        <w:keepNext/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keepNext/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u w:val="single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Inhibítory CYP2C19 a/alebo CYP3A4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Nakoľko sa omeprazol metabolizuje prostredníctvom CYP2C19 a CYP3A4, liečivá, o ktorých je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známe, že inhibujú CYP2C19 alebo CYP3A4 (ako je napr. klaritromycín a vorikonazol) môžu viesť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zvýšeniu hladín omeprazolu v sére spomalením metabolizmu omeprazolu. Súbežné podávanie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vorikonazolu malo za následok vyššiu ako dvojnásobnú expozíciu omeprazolu. Pretože vysoké dávky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omeprazolu boli dobre znášané, vo všeobecnosti sa úprava dávky omeprazolu nevyžaduje. Úpravu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dávkovania je však potrebné zv</w:t>
      </w:r>
      <w:r w:rsidR="000A54E0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>ž</w:t>
      </w:r>
      <w:r w:rsidR="000A54E0">
        <w:rPr>
          <w:rFonts w:ascii="Times New Roman" w:hAnsi="Times New Roman"/>
          <w:sz w:val="22"/>
          <w:szCs w:val="22"/>
          <w:lang w:val="sk-SK"/>
        </w:rPr>
        <w:t>iť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u pacientov </w:t>
      </w:r>
      <w:r w:rsidR="000A54E0">
        <w:rPr>
          <w:rFonts w:ascii="Times New Roman" w:hAnsi="Times New Roman"/>
          <w:sz w:val="22"/>
          <w:szCs w:val="22"/>
          <w:lang w:val="sk-SK"/>
        </w:rPr>
        <w:t>s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ťažkým poškodením pečene a v prípade indikácie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dlhodobej liečby.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u w:val="single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u w:val="single"/>
          <w:lang w:val="sk-SK"/>
        </w:rPr>
        <w:t>Induktory CYP2C19 a/alebo CYP3A4</w:t>
      </w:r>
    </w:p>
    <w:p w:rsidR="00710DE9" w:rsidRPr="005F4B00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Liečivá, o ktorých je známe, že indukujú CYP2C19 alebo CYP3A4 alebo obidva (akými sú napr.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rifampicín alebo výťažky z </w:t>
      </w:r>
      <w:r w:rsidRPr="00E8427A">
        <w:rPr>
          <w:rFonts w:ascii="Times New Roman" w:hAnsi="Times New Roman"/>
          <w:iCs/>
          <w:sz w:val="22"/>
          <w:szCs w:val="22"/>
          <w:lang w:val="sk-SK"/>
        </w:rPr>
        <w:t>ľubovníka bodkovaného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0A54E0" w:rsidRPr="00E8427A">
        <w:rPr>
          <w:rFonts w:ascii="Times New Roman" w:hAnsi="Times New Roman"/>
          <w:i/>
          <w:sz w:val="22"/>
          <w:szCs w:val="22"/>
          <w:lang w:val="sk-SK"/>
        </w:rPr>
        <w:t>Hypericum perforatum</w:t>
      </w:r>
      <w:r w:rsidR="000A54E0">
        <w:rPr>
          <w:rFonts w:ascii="Times New Roman" w:hAnsi="Times New Roman"/>
          <w:sz w:val="22"/>
          <w:szCs w:val="22"/>
          <w:lang w:val="sk-SK"/>
        </w:rPr>
        <w:t>)</w:t>
      </w:r>
      <w:r w:rsidRPr="005F4B00">
        <w:rPr>
          <w:rFonts w:ascii="Times New Roman" w:hAnsi="Times New Roman"/>
          <w:sz w:val="22"/>
          <w:szCs w:val="22"/>
          <w:lang w:val="sk-SK"/>
        </w:rPr>
        <w:t>) môžu spôsobovať zníženie hladín omeprazolu v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sére prostredníctvom zrýchlenia metabolizmu omeprazolu.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bCs/>
          <w:sz w:val="22"/>
          <w:szCs w:val="22"/>
          <w:lang w:val="sk-SK"/>
        </w:rPr>
        <w:t>4.6</w:t>
      </w:r>
      <w:r w:rsidRPr="005F4B00">
        <w:rPr>
          <w:rFonts w:ascii="Times New Roman" w:hAnsi="Times New Roman"/>
          <w:b/>
          <w:bCs/>
          <w:sz w:val="22"/>
          <w:szCs w:val="22"/>
          <w:lang w:val="sk-SK"/>
        </w:rPr>
        <w:tab/>
        <w:t>Fertilita, gravidita a laktácia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944AA" w:rsidRPr="00301DDB" w:rsidRDefault="005944A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>Výsledky troch prospektívnych epidemiologických štúdií (viac než 1 000 prípadov expozície lieku)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ukázali, že omeprazol nemá žiadne negatívne pôsobenie v gravidite, ani na zdravie plodu/novorodenca. Omeprazol sa môže užívať v gravidite.</w:t>
      </w:r>
    </w:p>
    <w:p w:rsidR="00710DE9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134F6" w:rsidRDefault="00135CE8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710DE9" w:rsidRPr="005F4B00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sa vylučuje do materského mlieka, avšak nie je pravdepodobné, že má vplyv na dieťa, ak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sa podáva v terapeutických dávkach.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Je nepravdepodobné, že </w:t>
      </w:r>
      <w:r w:rsidR="005944AA">
        <w:rPr>
          <w:rFonts w:ascii="Times New Roman" w:hAnsi="Times New Roman"/>
          <w:sz w:val="22"/>
          <w:szCs w:val="22"/>
          <w:lang w:val="sk-SK"/>
        </w:rPr>
        <w:t>o</w:t>
      </w:r>
      <w:r w:rsidRPr="005F4B00">
        <w:rPr>
          <w:rFonts w:ascii="Times New Roman" w:hAnsi="Times New Roman"/>
          <w:sz w:val="22"/>
          <w:szCs w:val="22"/>
          <w:lang w:val="sk-SK"/>
        </w:rPr>
        <w:t>meprazol ovplyvň</w:t>
      </w:r>
      <w:r w:rsidR="000A54E0">
        <w:rPr>
          <w:rFonts w:ascii="Times New Roman" w:hAnsi="Times New Roman"/>
          <w:sz w:val="22"/>
          <w:szCs w:val="22"/>
          <w:lang w:val="sk-SK"/>
        </w:rPr>
        <w:t>uje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schopnosť viesť vozidlá a obsluhovať stroje. Môžu sa vyskytnúť nežiaduce reakcie ako sú závrat a</w:t>
      </w:r>
      <w:r w:rsidR="000A54E0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poruchy</w:t>
      </w:r>
      <w:r w:rsidR="000A54E0">
        <w:rPr>
          <w:rFonts w:ascii="Times New Roman" w:hAnsi="Times New Roman"/>
          <w:sz w:val="22"/>
          <w:szCs w:val="22"/>
          <w:lang w:val="sk-SK"/>
        </w:rPr>
        <w:t xml:space="preserve"> videnia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(pozri časť 4.8). Ak sa prejavia, pacienti nemajú viesť vozidlá alebo obsluhovať stroje.</w:t>
      </w: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710DE9" w:rsidRPr="00E8427A" w:rsidRDefault="00710DE9">
      <w:pPr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Najčastejšími nežiaducimi účinkami (1 až 10</w:t>
      </w:r>
      <w:r w:rsidR="008F41D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pacientov) sú bolesť hlavy, zápcha, hnačka, plynatosť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a nevoľnosť/vracanie.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V programe klinických skúšaní 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s omeprazolom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a po 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uvedení </w:t>
      </w:r>
      <w:r w:rsidR="008F41DB">
        <w:rPr>
          <w:rFonts w:ascii="Times New Roman" w:hAnsi="Times New Roman"/>
          <w:sz w:val="22"/>
          <w:szCs w:val="22"/>
          <w:lang w:val="sk-SK"/>
        </w:rPr>
        <w:t>na trh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sa identifikovali alebo považovali za suspektné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nežiaduce účinky uvedené nižšie. Ani jeden z nich nebol závislý od dávky. Nežiaduce účinky sú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klasifikované podľa frekvencie ich výskytu a podľa tried orgánových systémov (SOC). Kategórie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frekvencie výskytu sú definované nasledovne: veľmi časté (≥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1/10), časté (≥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1/100 až &lt;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1/10), menej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časté (≥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1/1 000 až &lt;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1/100), zriedkavé (≥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1/10 000 až &lt;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1/1 000), veľmi zriedkavé (&lt;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1/10 000),</w:t>
      </w:r>
      <w:r w:rsidR="008F41D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neznáme (z dostupných údajov).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954"/>
      </w:tblGrid>
      <w:tr w:rsidR="00710DE9" w:rsidRPr="005F4B00" w:rsidTr="00E8427A">
        <w:trPr>
          <w:trHeight w:val="259"/>
        </w:trPr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SOC/frekvencia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Nežiaduci účinok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Leukopénia, trombocytopénia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Agranulocytóza, pancytopénia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Hypersenzitívne reakcie, napr. horúčka, angioedém a</w:t>
            </w:r>
            <w:r w:rsidR="008F41DB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anafylaktická reakcia/šok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Hyponatr</w:t>
            </w:r>
            <w:r w:rsidR="008F41DB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émia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F511B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Hypomagnez</w:t>
            </w:r>
            <w:r w:rsidR="008F41DB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émia</w:t>
            </w:r>
            <w:r w:rsidR="00F511B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(pozri časť 4.4)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Nespavosť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Agitácia, zmätenosť, depresia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Agresivita, halucinácie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Bolesť hlavy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Závrat, parestézi</w:t>
            </w:r>
            <w:r w:rsidR="008F41DB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, ospalosť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Poruchy chuti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oka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Zahmlené videnie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ucha a labyrintu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Vertigo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Bronchospazmus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Bolesť brucha, zápcha, hnačka, flatulencia,</w:t>
            </w:r>
            <w:r w:rsidR="00DB798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DB798D" w:rsidRPr="005F4B00">
              <w:rPr>
                <w:rFonts w:ascii="Times New Roman" w:hAnsi="Times New Roman"/>
                <w:sz w:val="22"/>
                <w:szCs w:val="22"/>
                <w:lang w:val="sk-SK"/>
              </w:rPr>
              <w:t>nevoľnosť/vracanie</w:t>
            </w:r>
            <w:r w:rsidR="00DB798D">
              <w:rPr>
                <w:rFonts w:ascii="Times New Roman" w:hAnsi="Times New Roman"/>
                <w:sz w:val="22"/>
                <w:szCs w:val="22"/>
                <w:lang w:val="sk-SK"/>
              </w:rPr>
              <w:t>, glandulárne polypy fundu (benígne)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Suchosť v ústach, stomatitída , gastrointestinálna kandidóza</w:t>
            </w:r>
          </w:p>
        </w:tc>
      </w:tr>
      <w:tr w:rsidR="00E15D0F" w:rsidRPr="005F4B00">
        <w:tc>
          <w:tcPr>
            <w:tcW w:w="2905" w:type="dxa"/>
          </w:tcPr>
          <w:p w:rsidR="00E15D0F" w:rsidRPr="005F4B00" w:rsidRDefault="00E15D0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Neznáme:</w:t>
            </w:r>
          </w:p>
        </w:tc>
        <w:tc>
          <w:tcPr>
            <w:tcW w:w="5954" w:type="dxa"/>
          </w:tcPr>
          <w:p w:rsidR="00E15D0F" w:rsidRPr="005F4B00" w:rsidRDefault="00E15D0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Mikroskopická kolitída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Zvýšenie hodnôt pečeňových enzýmov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Hepatitída so žltačkou alebo bez žltačky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Zlyhávanie pečene, encefalopatia u pacientov s predchádzajúcim ochorením pečene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Dermatitída, svrbenie, vyrážka, žihľavka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Alopécia, fotosenzitivita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Multiformný erytém, Stevensov-Johnsonov syndróm, toxická epidermálna nekrolýza </w:t>
            </w:r>
            <w:r w:rsidRPr="00F92D67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8F41DB" w:rsidRPr="00E8427A">
              <w:rPr>
                <w:rFonts w:ascii="Times New Roman" w:hAnsi="Times New Roman"/>
                <w:color w:val="000000"/>
                <w:sz w:val="22"/>
                <w:szCs w:val="22"/>
              </w:rPr>
              <w:t>toxic epidermal necrolysis,</w:t>
            </w:r>
            <w:r w:rsidR="008F41DB" w:rsidRPr="00F92D6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F92D67">
              <w:rPr>
                <w:rFonts w:ascii="Times New Roman" w:hAnsi="Times New Roman"/>
                <w:sz w:val="22"/>
                <w:szCs w:val="22"/>
                <w:lang w:val="sk-SK"/>
              </w:rPr>
              <w:t>TEN)</w:t>
            </w:r>
          </w:p>
        </w:tc>
      </w:tr>
      <w:tr w:rsidR="00135CE8" w:rsidRPr="005F4B00">
        <w:tc>
          <w:tcPr>
            <w:tcW w:w="2905" w:type="dxa"/>
          </w:tcPr>
          <w:p w:rsidR="00135CE8" w:rsidRPr="005F4B00" w:rsidRDefault="00135CE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5954" w:type="dxa"/>
          </w:tcPr>
          <w:p w:rsidR="00135CE8" w:rsidRPr="00C24BB6" w:rsidRDefault="00135CE8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24BB6">
              <w:rPr>
                <w:rFonts w:ascii="Times New Roman" w:hAnsi="Times New Roman"/>
                <w:sz w:val="22"/>
                <w:szCs w:val="22"/>
              </w:rPr>
              <w:t>Subakútny kožný lupus erythematosus (pozri časť 4.4)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F511BD" w:rsidRPr="005F4B00">
        <w:tc>
          <w:tcPr>
            <w:tcW w:w="2905" w:type="dxa"/>
          </w:tcPr>
          <w:p w:rsidR="00F511BD" w:rsidRPr="005F4B00" w:rsidRDefault="00F511B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F511BD" w:rsidRPr="005F4B00" w:rsidRDefault="00F511BD" w:rsidP="00F92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Fraktúry </w:t>
            </w:r>
            <w:r w:rsidR="008F41DB">
              <w:rPr>
                <w:rFonts w:ascii="Times New Roman" w:hAnsi="Times New Roman"/>
                <w:sz w:val="22"/>
                <w:szCs w:val="22"/>
                <w:lang w:val="sk-SK"/>
              </w:rPr>
              <w:t>v bedrovej oblasti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, zápästia alebo stavcov chrbtice (pozri časť 4.4)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5954" w:type="dxa"/>
          </w:tcPr>
          <w:p w:rsidR="00710DE9" w:rsidRPr="005F4B00" w:rsidRDefault="008F41D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Artralgia, myalgia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Svalová slabosť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Intersticiálna nefritída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Gynekomastia</w:t>
            </w:r>
          </w:p>
        </w:tc>
      </w:tr>
      <w:tr w:rsidR="00710DE9" w:rsidRPr="005F4B00">
        <w:trPr>
          <w:cantSplit/>
        </w:trPr>
        <w:tc>
          <w:tcPr>
            <w:tcW w:w="8859" w:type="dxa"/>
            <w:gridSpan w:val="2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954" w:type="dxa"/>
          </w:tcPr>
          <w:p w:rsidR="00710DE9" w:rsidRPr="005F4B00" w:rsidRDefault="008F41D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Malátnosť</w:t>
            </w:r>
            <w:r w:rsidR="00710DE9" w:rsidRPr="005F4B00">
              <w:rPr>
                <w:rFonts w:ascii="Times New Roman" w:hAnsi="Times New Roman"/>
                <w:sz w:val="22"/>
                <w:szCs w:val="22"/>
                <w:lang w:val="sk-SK"/>
              </w:rPr>
              <w:t>, periférny edém</w:t>
            </w:r>
          </w:p>
        </w:tc>
      </w:tr>
      <w:tr w:rsidR="00710DE9" w:rsidRPr="005F4B00">
        <w:tc>
          <w:tcPr>
            <w:tcW w:w="2905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954" w:type="dxa"/>
          </w:tcPr>
          <w:p w:rsidR="00710DE9" w:rsidRPr="005F4B00" w:rsidRDefault="00710D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F4B00">
              <w:rPr>
                <w:rFonts w:ascii="Times New Roman" w:hAnsi="Times New Roman"/>
                <w:sz w:val="22"/>
                <w:szCs w:val="22"/>
                <w:lang w:val="sk-SK"/>
              </w:rPr>
              <w:t>Zvýšené potenie</w:t>
            </w:r>
          </w:p>
        </w:tc>
      </w:tr>
    </w:tbl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01DDB" w:rsidRPr="00301DDB" w:rsidRDefault="00A2394C">
      <w:pPr>
        <w:widowControl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301DDB">
        <w:rPr>
          <w:rFonts w:ascii="Times New Roman" w:hAnsi="Times New Roman"/>
          <w:i/>
          <w:sz w:val="22"/>
          <w:szCs w:val="22"/>
        </w:rPr>
        <w:t>Pediatrická populácia</w:t>
      </w:r>
    </w:p>
    <w:p w:rsidR="00710DE9" w:rsidRPr="0034187C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Bezpečnosť omeprazolu bola hodnotená u celkového počtu 310 detí vo veku 0 – 16 rokov s ochorením v súvislosti s hyperaciditou. Sú dostupné obmedzené údaje o bezpečnosti od 46 detí s ťažkou erozívnou ezofagitídou, ktoré dostávali udržiavaciu liečbu omeprazolom v rámci klinick</w:t>
      </w:r>
      <w:r w:rsidR="00F6416E">
        <w:rPr>
          <w:rFonts w:ascii="Times New Roman" w:hAnsi="Times New Roman"/>
          <w:sz w:val="22"/>
          <w:szCs w:val="22"/>
          <w:lang w:val="sk-SK"/>
        </w:rPr>
        <w:t>ých štúdií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až 749 dní. Profil nežiaducich účinkov bol vo všeobecnosti rovnaký ako u dospelých, a to pri</w:t>
      </w:r>
      <w:r w:rsidR="004D49D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4187C">
        <w:rPr>
          <w:rFonts w:ascii="Times New Roman" w:hAnsi="Times New Roman"/>
          <w:sz w:val="22"/>
          <w:szCs w:val="22"/>
          <w:lang w:val="sk-SK"/>
        </w:rPr>
        <w:t>krátkodobej aj dlhodobej liečbe. Nie sú dostupné žiadne dlhodobé údaje, pokiaľ ide o účinky liečby</w:t>
      </w:r>
      <w:r w:rsidR="004D49D4" w:rsidRPr="0034187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4187C">
        <w:rPr>
          <w:rFonts w:ascii="Times New Roman" w:hAnsi="Times New Roman"/>
          <w:sz w:val="22"/>
          <w:szCs w:val="22"/>
          <w:lang w:val="sk-SK"/>
        </w:rPr>
        <w:t>omeprazolom týkajúce sa puberty a rastu.</w:t>
      </w:r>
    </w:p>
    <w:p w:rsidR="00E15D0F" w:rsidRPr="0034187C" w:rsidRDefault="00E15D0F">
      <w:pPr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34187C" w:rsidRPr="0034187C" w:rsidRDefault="0034187C" w:rsidP="0034187C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</w:rPr>
      </w:pPr>
      <w:r w:rsidRPr="0034187C">
        <w:rPr>
          <w:rFonts w:ascii="Times New Roman" w:hAnsi="Times New Roman"/>
          <w:sz w:val="22"/>
          <w:u w:val="single"/>
        </w:rPr>
        <w:t>Hlásenie podozrení na nežiaduce reakcie</w:t>
      </w:r>
    </w:p>
    <w:p w:rsidR="0034187C" w:rsidRPr="0034187C" w:rsidRDefault="0034187C" w:rsidP="00341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34187C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4187C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7" w:history="1">
        <w:r w:rsidRPr="0034187C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34187C">
        <w:rPr>
          <w:rStyle w:val="Hypertextovprepojenie"/>
          <w:rFonts w:ascii="Times New Roman" w:hAnsi="Times New Roman"/>
          <w:sz w:val="22"/>
        </w:rPr>
        <w:t>.</w:t>
      </w:r>
    </w:p>
    <w:p w:rsidR="00710DE9" w:rsidRPr="0034187C" w:rsidRDefault="00710DE9">
      <w:pPr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710DE9" w:rsidRPr="0034187C" w:rsidRDefault="00710DE9" w:rsidP="00E8427A">
      <w:pPr>
        <w:keepNext/>
        <w:widowControl/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34187C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34187C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710DE9" w:rsidRPr="0034187C" w:rsidRDefault="00710DE9" w:rsidP="00E8427A">
      <w:pPr>
        <w:keepNext/>
        <w:widowControl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4187C">
        <w:rPr>
          <w:rFonts w:ascii="Times New Roman" w:hAnsi="Times New Roman"/>
          <w:sz w:val="22"/>
          <w:szCs w:val="22"/>
          <w:lang w:val="sk-SK"/>
        </w:rPr>
        <w:t>Údaje o účinkoch predávkovania omeprazolom u ľudí sú obmedzené. V literatúre boli opísané dávky</w:t>
      </w:r>
      <w:r w:rsidR="004D49D4" w:rsidRPr="0034187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4187C">
        <w:rPr>
          <w:rFonts w:ascii="Times New Roman" w:hAnsi="Times New Roman"/>
          <w:sz w:val="22"/>
          <w:szCs w:val="22"/>
          <w:lang w:val="sk-SK"/>
        </w:rPr>
        <w:t>až do 560</w:t>
      </w:r>
      <w:r w:rsidR="004D49D4" w:rsidRPr="0034187C">
        <w:rPr>
          <w:rFonts w:ascii="Times New Roman" w:hAnsi="Times New Roman"/>
          <w:sz w:val="22"/>
          <w:szCs w:val="22"/>
          <w:lang w:val="sk-SK"/>
        </w:rPr>
        <w:t> </w:t>
      </w:r>
      <w:r w:rsidRPr="0034187C">
        <w:rPr>
          <w:rFonts w:ascii="Times New Roman" w:hAnsi="Times New Roman"/>
          <w:sz w:val="22"/>
          <w:szCs w:val="22"/>
          <w:lang w:val="sk-SK"/>
        </w:rPr>
        <w:t>mg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a v ojedinelých prípadoch sa vyskytli hlásenia, keď perorálne dávky dosahovali až</w:t>
      </w:r>
      <w:r w:rsidR="004D49D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2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400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omeprazolu (120-násobok odporúčanej klinickej dávky). V hláseniach o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predávkovaní</w:t>
      </w:r>
      <w:r w:rsidR="004D49D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omeprazolom sa vyskytli: nauzea, vracanie, závrat, bolesť brucha, hnačka a bolesť hlavy. Ojedinele</w:t>
      </w:r>
      <w:r w:rsidR="004D49D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bola hlásená aj apatia, depresia a zmätenosť.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84693" w:rsidP="00E15D0F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ríznaky </w:t>
      </w:r>
      <w:r>
        <w:rPr>
          <w:rFonts w:ascii="Times New Roman" w:hAnsi="Times New Roman"/>
          <w:sz w:val="22"/>
          <w:szCs w:val="22"/>
          <w:lang w:val="sk-SK"/>
        </w:rPr>
        <w:t xml:space="preserve">opísané v súvislosti s predávkovaním omeprazolom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boli prechodné a nebol hlásený žiadny závažný klinický dôsledok. Pri zvýšených</w:t>
      </w:r>
      <w:r w:rsidR="00E15D0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dávkach zostala rýchlosť eliminácie nezmenená (kinetika 1.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 xml:space="preserve">poriadku). Ak je potrebná liečba, </w:t>
      </w:r>
      <w:r w:rsidR="00E15D0F">
        <w:rPr>
          <w:rFonts w:ascii="Times New Roman" w:hAnsi="Times New Roman"/>
          <w:sz w:val="22"/>
          <w:szCs w:val="22"/>
          <w:lang w:val="sk-SK"/>
        </w:rPr>
        <w:t xml:space="preserve">ide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o symptomatickú liečbu.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F92D67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F92D67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4D49D4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 xml:space="preserve">Farmakoterapeutická skupina: </w:t>
      </w:r>
      <w:r w:rsidR="00E8427A">
        <w:rPr>
          <w:rFonts w:ascii="Times New Roman" w:hAnsi="Times New Roman"/>
          <w:sz w:val="22"/>
          <w:szCs w:val="22"/>
          <w:lang w:val="sk-SK"/>
        </w:rPr>
        <w:t xml:space="preserve">Liečivá pri poruchách acidity, </w:t>
      </w:r>
      <w:r w:rsidRPr="005F4B00">
        <w:rPr>
          <w:rFonts w:ascii="Times New Roman" w:hAnsi="Times New Roman"/>
          <w:sz w:val="22"/>
          <w:szCs w:val="22"/>
          <w:lang w:val="sk-SK"/>
        </w:rPr>
        <w:t>inhibítory protónovej pumpy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ATC kód: A02BC01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Mechanizmus účinku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Omeprazol, racemická zmes dvoch enantiomérov znižuje sekréciu žalúdkovej kyseliny vysoko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cieleným mechanizmom účinku. Je špecifickým inhibítorom kyselinovej pumpy v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parietálnych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bunkách. Pôsobí rýchlo a pri dávkovaní jedenkrát denne zabezpečuje kontrolu reverzibilnou inhibíciou sekrécie žalúdkovej kyseliny.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je slabá zásada; koncentruje a konvertuje sa na aktívnu formu v silne kyslom prostredí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vnútrobunkových kanálikov parietálnej bunky, kde inhibuje enzým H</w:t>
      </w:r>
      <w:r w:rsidRPr="00301DDB">
        <w:rPr>
          <w:rFonts w:ascii="Times New Roman" w:hAnsi="Times New Roman"/>
          <w:sz w:val="22"/>
          <w:szCs w:val="22"/>
          <w:vertAlign w:val="superscript"/>
          <w:lang w:val="sk-SK"/>
        </w:rPr>
        <w:t>+</w:t>
      </w:r>
      <w:r w:rsidR="00F92D67">
        <w:rPr>
          <w:rFonts w:ascii="Times New Roman" w:hAnsi="Times New Roman"/>
          <w:sz w:val="22"/>
          <w:szCs w:val="22"/>
          <w:vertAlign w:val="superscript"/>
          <w:lang w:val="sk-SK"/>
        </w:rPr>
        <w:t>/</w:t>
      </w:r>
      <w:r w:rsidRPr="005F4B00">
        <w:rPr>
          <w:rFonts w:ascii="Times New Roman" w:hAnsi="Times New Roman"/>
          <w:sz w:val="22"/>
          <w:szCs w:val="22"/>
          <w:lang w:val="sk-SK"/>
        </w:rPr>
        <w:t>K</w:t>
      </w:r>
      <w:r w:rsidRPr="00301DDB">
        <w:rPr>
          <w:rFonts w:ascii="Times New Roman" w:hAnsi="Times New Roman"/>
          <w:sz w:val="22"/>
          <w:szCs w:val="22"/>
          <w:vertAlign w:val="superscript"/>
          <w:lang w:val="sk-SK"/>
        </w:rPr>
        <w:t>+</w:t>
      </w:r>
      <w:r w:rsidRPr="005F4B00">
        <w:rPr>
          <w:rFonts w:ascii="Times New Roman" w:hAnsi="Times New Roman"/>
          <w:sz w:val="22"/>
          <w:szCs w:val="22"/>
          <w:lang w:val="sk-SK"/>
        </w:rPr>
        <w:t>-ATPázu – kyselinovú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pumpu. Tento účinok na posledný krok procesu tvorby žalúdkovej kyseliny je závislý od dávky a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zabezpečuje vysoko účinnú inhibíciu bazálnej ako aj stimulovanej sekrécie kyseliny bez ohľadu na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druh stimulu.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Farmakodynamické účinky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Všetky pozorované farmakodynamické účinky možno vysvetliť pôsobením omeprazolu na sekréciu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kyseliny.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Účinok na sekréciu žalúdkovej kyseliny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Po perorálnom podávaní omeprazolu </w:t>
      </w:r>
      <w:r w:rsidR="00F92D67">
        <w:rPr>
          <w:rFonts w:ascii="Times New Roman" w:hAnsi="Times New Roman"/>
          <w:sz w:val="22"/>
          <w:szCs w:val="22"/>
          <w:lang w:val="sk-SK"/>
        </w:rPr>
        <w:t>jeden</w:t>
      </w:r>
      <w:r w:rsidRPr="005F4B00">
        <w:rPr>
          <w:rFonts w:ascii="Times New Roman" w:hAnsi="Times New Roman"/>
          <w:sz w:val="22"/>
          <w:szCs w:val="22"/>
          <w:lang w:val="sk-SK"/>
        </w:rPr>
        <w:t>krát denne sa dosiahne rýchla a účinná inhibícia sekrécie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žalúdkovej kyseliny počas dňa i noci s maximálnym účinkom do 4 dní liečby. U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pacientov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s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dvanástnikovým vredom, ktorí dostávali omeprazol 20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mg </w:t>
      </w:r>
      <w:r w:rsidR="00F92D67">
        <w:rPr>
          <w:rFonts w:ascii="Times New Roman" w:hAnsi="Times New Roman"/>
          <w:sz w:val="22"/>
          <w:szCs w:val="22"/>
          <w:lang w:val="sk-SK"/>
        </w:rPr>
        <w:t>jeden</w:t>
      </w:r>
      <w:r w:rsidRPr="005F4B00">
        <w:rPr>
          <w:rFonts w:ascii="Times New Roman" w:hAnsi="Times New Roman"/>
          <w:sz w:val="22"/>
          <w:szCs w:val="22"/>
          <w:lang w:val="sk-SK"/>
        </w:rPr>
        <w:t>krát denne sa udržiaval priemerný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pokles acidity v žalúdku najmenej 80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počas 24 hodín, s priemerným poklesom maxima tvorby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kyseliny približne 70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po stimulácii pentagastrínom 24 hodín po podaní dávky.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 pacientov s dvanástnikovým vredom sa pri perorálnom podávaní omprazolu 20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 denne udržiava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 žalúdku pH ≥</w:t>
      </w:r>
      <w:r w:rsidR="005944A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3 priemerne 17 hodín z 24 hodín.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Ako dôsledok zníženej sekrécie kyseliny a acidity v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žalúdku</w:t>
      </w:r>
      <w:r w:rsidR="00F92D67">
        <w:rPr>
          <w:rFonts w:ascii="Times New Roman" w:hAnsi="Times New Roman"/>
          <w:sz w:val="22"/>
          <w:szCs w:val="22"/>
          <w:lang w:val="sk-SK"/>
        </w:rPr>
        <w:t>,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omeprazol v závisloti od dávky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znižuje/normalizuje vystavenie ezofágu žalúdkovej kyseline u pacientov s gastroezofag</w:t>
      </w:r>
      <w:r w:rsidR="00F92D67">
        <w:rPr>
          <w:rFonts w:ascii="Times New Roman" w:hAnsi="Times New Roman"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sz w:val="22"/>
          <w:szCs w:val="22"/>
          <w:lang w:val="sk-SK"/>
        </w:rPr>
        <w:t>álnou refluxnou chorobou. Inhibícia sekrécie žalúdkovej kyseliny súvisí s plochou pod krivkou závislosti plazmatickej koncentrácie a času (AUC) omeprazolu a nie s aktuálnou koncentráciou v plazme v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danom čase.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Počas liečby omeprazolom sa nepozorovala žiadna tachyfylaxia.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Účinok na H. pylori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súvisí s peptickou vredovou chorobou, ktorá zahŕňa vredovú chorobu dvanástnika a žalúdka.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je hlavným faktorom pri vzniku gastritídy.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spolu s žalúdkovou kyselinou sú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hlavnými faktormi, podieľajúcimi sa na vzniku peptickej vredovej choroby.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je hlavným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faktorom pri vzniku atrofickej gastritídy, ktorá súvisí so zvýšeným rizikom vzniku rakoviny žalúdka.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Eradikácia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>omeprazolom a antibiotikami je spojená s vysokou mierou úspešnosti hojenia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a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dlhodobou remisiou peptických vredov.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Pri skúmaní duálnej liečby sa zistilo, že je menej účinná ako trojkombinovaná liečba. Môže sa zvážiť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v prípade známej hypersensitivity vylučujúcej použitie </w:t>
      </w:r>
      <w:r w:rsidR="00F92D67">
        <w:rPr>
          <w:rFonts w:ascii="Times New Roman" w:hAnsi="Times New Roman"/>
          <w:sz w:val="22"/>
          <w:szCs w:val="22"/>
          <w:lang w:val="sk-SK"/>
        </w:rPr>
        <w:t>akejkoľvek</w:t>
      </w:r>
      <w:r w:rsidR="00F92D67"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trojkombinovanej liečby.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Iné účinky omeprazolu v dôsledku inhibície kyseliny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Počas dlhodobej liečby sa zaznamenal mierne zvýšený počet hlásení týkajúci sa výskytu žalúdkových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glandulárnych cýst. Tieto zmeny sú fyziologickým dôsledkom výraznej inhibície sekrécie žalúdkovej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kyseliny, sú benígne a javia sa ako reverzibilné.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393DF1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Znížená acidita žalúdka, vzniknutá akokoľvek, vrátane inhibítor</w:t>
      </w:r>
      <w:r w:rsidR="00F92D67">
        <w:rPr>
          <w:rFonts w:ascii="Times New Roman" w:hAnsi="Times New Roman"/>
          <w:sz w:val="22"/>
          <w:szCs w:val="22"/>
          <w:lang w:val="sk-SK"/>
        </w:rPr>
        <w:t>ov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protónovej pumpy, vedie k</w:t>
      </w:r>
      <w:r w:rsidR="00F92D67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zvýšeniu počtu baktérií, ktoré sú normálne prítomné v gastrointestinálnom trakte. Terapia liekmi,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3DF1">
        <w:rPr>
          <w:rFonts w:ascii="Times New Roman" w:hAnsi="Times New Roman"/>
          <w:sz w:val="22"/>
          <w:szCs w:val="22"/>
          <w:lang w:val="sk-SK"/>
        </w:rPr>
        <w:lastRenderedPageBreak/>
        <w:t>ktoré potláčajú tvorbu žalúdkovej kyseliny môže mať za následok mierne zvýšené riziko</w:t>
      </w:r>
      <w:r w:rsidR="00F92D6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3DF1">
        <w:rPr>
          <w:rFonts w:ascii="Times New Roman" w:hAnsi="Times New Roman"/>
          <w:sz w:val="22"/>
          <w:szCs w:val="22"/>
          <w:lang w:val="sk-SK"/>
        </w:rPr>
        <w:t>gastrointestinálnych infekcií vyvolaných napr</w:t>
      </w:r>
      <w:r w:rsidRPr="00030E5B">
        <w:rPr>
          <w:rFonts w:ascii="Times New Roman" w:hAnsi="Times New Roman"/>
          <w:sz w:val="22"/>
          <w:szCs w:val="22"/>
          <w:lang w:val="sk-SK"/>
        </w:rPr>
        <w:t>.</w:t>
      </w:r>
      <w:r w:rsidR="00F92D67" w:rsidRPr="00E8427A">
        <w:rPr>
          <w:rFonts w:ascii="Times New Roman" w:hAnsi="Times New Roman"/>
          <w:noProof/>
          <w:sz w:val="22"/>
          <w:szCs w:val="22"/>
        </w:rPr>
        <w:t xml:space="preserve"> druhmi rodu</w:t>
      </w:r>
      <w:r w:rsidRPr="00393DF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3DF1">
        <w:rPr>
          <w:rFonts w:ascii="Times New Roman" w:hAnsi="Times New Roman"/>
          <w:i/>
          <w:iCs/>
          <w:sz w:val="22"/>
          <w:szCs w:val="22"/>
          <w:lang w:val="sk-SK"/>
        </w:rPr>
        <w:t>Salmonell</w:t>
      </w:r>
      <w:r w:rsidR="00F92D67">
        <w:rPr>
          <w:rFonts w:ascii="Times New Roman" w:hAnsi="Times New Roman"/>
          <w:i/>
          <w:iCs/>
          <w:sz w:val="22"/>
          <w:szCs w:val="22"/>
          <w:lang w:val="sk-SK"/>
        </w:rPr>
        <w:t>a</w:t>
      </w:r>
      <w:r w:rsidRPr="00393DF1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393DF1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393DF1">
        <w:rPr>
          <w:rFonts w:ascii="Times New Roman" w:hAnsi="Times New Roman"/>
          <w:i/>
          <w:iCs/>
          <w:sz w:val="22"/>
          <w:szCs w:val="22"/>
          <w:lang w:val="sk-SK"/>
        </w:rPr>
        <w:t>Campylobacter</w:t>
      </w:r>
      <w:r w:rsidRPr="00393DF1">
        <w:rPr>
          <w:rFonts w:ascii="Times New Roman" w:hAnsi="Times New Roman"/>
          <w:sz w:val="22"/>
          <w:szCs w:val="22"/>
          <w:lang w:val="sk-SK"/>
        </w:rPr>
        <w:t>.</w:t>
      </w:r>
    </w:p>
    <w:p w:rsidR="00710DE9" w:rsidRPr="00393DF1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93DF1" w:rsidRDefault="00393DF1" w:rsidP="00393D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700E">
        <w:rPr>
          <w:rFonts w:ascii="Times New Roman" w:hAnsi="Times New Roman" w:cs="Times New Roman"/>
          <w:sz w:val="22"/>
          <w:szCs w:val="22"/>
        </w:rPr>
        <w:t>Počas liečby antisekrečnými liekmi sa zvyšuje sérová hladina gastrínu ako odpoveď na zníženú sekréciu kyseliny. Zvýši sa tiež hladina CgA v dôsledku zníženej kyslosti žalúdka. Zvýšená hladina CgA môže interferovať s vyšetreniami na neuroendokrinné nádory.</w:t>
      </w:r>
    </w:p>
    <w:p w:rsidR="00E15D0F" w:rsidRPr="005F4B00" w:rsidRDefault="00393DF1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700E">
        <w:rPr>
          <w:rFonts w:ascii="Times New Roman" w:hAnsi="Times New Roman"/>
          <w:sz w:val="22"/>
          <w:szCs w:val="22"/>
        </w:rPr>
        <w:t>Z dostupných uverejnených dôkazov vyplýva, že inhibítory protónovej pumpy sa majú vysadiť 5 dní až 2 týždne pred meraniami hladiny CgA. To má umožniť, aby sa hladiny CgA, ktoré m</w:t>
      </w:r>
      <w:r w:rsidR="00030E5B">
        <w:rPr>
          <w:rFonts w:ascii="Times New Roman" w:hAnsi="Times New Roman"/>
          <w:sz w:val="22"/>
          <w:szCs w:val="22"/>
        </w:rPr>
        <w:t>ôžu</w:t>
      </w:r>
      <w:r w:rsidRPr="005F700E">
        <w:rPr>
          <w:rFonts w:ascii="Times New Roman" w:hAnsi="Times New Roman"/>
          <w:sz w:val="22"/>
          <w:szCs w:val="22"/>
        </w:rPr>
        <w:t xml:space="preserve"> byť po liečbe PPI umelo zvýšené, vrátili do referenčného rozsahu.</w:t>
      </w:r>
    </w:p>
    <w:p w:rsidR="00030E5B" w:rsidRDefault="00030E5B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301DDB" w:rsidRPr="00E8427A" w:rsidRDefault="00A2394C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E8427A">
        <w:rPr>
          <w:rFonts w:ascii="Times New Roman" w:hAnsi="Times New Roman"/>
          <w:sz w:val="22"/>
          <w:szCs w:val="22"/>
          <w:u w:val="single"/>
        </w:rPr>
        <w:t>Pediatrická populácia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V nekontrolovan</w:t>
      </w:r>
      <w:r w:rsidR="00030E5B">
        <w:rPr>
          <w:rFonts w:ascii="Times New Roman" w:hAnsi="Times New Roman"/>
          <w:sz w:val="22"/>
          <w:szCs w:val="22"/>
          <w:lang w:val="sk-SK"/>
        </w:rPr>
        <w:t>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klinick</w:t>
      </w:r>
      <w:r w:rsidR="00030E5B">
        <w:rPr>
          <w:rFonts w:ascii="Times New Roman" w:hAnsi="Times New Roman"/>
          <w:sz w:val="22"/>
          <w:szCs w:val="22"/>
          <w:lang w:val="sk-SK"/>
        </w:rPr>
        <w:t>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0E5B">
        <w:rPr>
          <w:rFonts w:ascii="Times New Roman" w:hAnsi="Times New Roman"/>
          <w:sz w:val="22"/>
          <w:szCs w:val="22"/>
          <w:lang w:val="sk-SK"/>
        </w:rPr>
        <w:t>štúdii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u detí (vo veku 1-16 rokov) s ťažkou refluxnou ezofagitídou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 v dávkach 0,7-1,4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mg/kg zlepšil stupeň ezofagitídy v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90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prípadov a spôsobil významné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zníženie príznakov refluxu. V jednoducho zaslepen</w:t>
      </w:r>
      <w:r w:rsidR="00030E5B">
        <w:rPr>
          <w:rFonts w:ascii="Times New Roman" w:hAnsi="Times New Roman"/>
          <w:sz w:val="22"/>
          <w:szCs w:val="22"/>
          <w:lang w:val="sk-SK"/>
        </w:rPr>
        <w:t>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klinick</w:t>
      </w:r>
      <w:r w:rsidR="00030E5B">
        <w:rPr>
          <w:rFonts w:ascii="Times New Roman" w:hAnsi="Times New Roman"/>
          <w:sz w:val="22"/>
          <w:szCs w:val="22"/>
          <w:lang w:val="sk-SK"/>
        </w:rPr>
        <w:t>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0E5B">
        <w:rPr>
          <w:rFonts w:ascii="Times New Roman" w:hAnsi="Times New Roman"/>
          <w:sz w:val="22"/>
          <w:szCs w:val="22"/>
          <w:lang w:val="sk-SK"/>
        </w:rPr>
        <w:t>štúdii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boli deti vo veku 0-24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mesiacov s klinicky diagnostikovanou gastroezofag</w:t>
      </w:r>
      <w:r w:rsidR="00030E5B">
        <w:rPr>
          <w:rFonts w:ascii="Times New Roman" w:hAnsi="Times New Roman"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sz w:val="22"/>
          <w:szCs w:val="22"/>
          <w:lang w:val="sk-SK"/>
        </w:rPr>
        <w:t>álnou refluxnou chorobou liečené omeprazolom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v dávkach 0,5; 1,0 alebo 1,5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mg/kg. Výskyt epizód vracania/regurgitácie sa po 8 týždňoch liečby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znížil o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50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%, bez ohľadu na dávku lieku.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Eradikácia H. pylori u detí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Randomizovan</w:t>
      </w:r>
      <w:r w:rsidR="00F6416E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>, dvojito zaslepen</w:t>
      </w:r>
      <w:r w:rsidR="00F6416E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klinick</w:t>
      </w:r>
      <w:r w:rsidR="00F6416E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6416E">
        <w:rPr>
          <w:rFonts w:ascii="Times New Roman" w:hAnsi="Times New Roman"/>
          <w:sz w:val="22"/>
          <w:szCs w:val="22"/>
          <w:lang w:val="sk-SK"/>
        </w:rPr>
        <w:t>štúdia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(Héliot) potvrdil</w:t>
      </w:r>
      <w:r w:rsidR="00F6416E">
        <w:rPr>
          <w:rFonts w:ascii="Times New Roman" w:hAnsi="Times New Roman"/>
          <w:sz w:val="22"/>
          <w:szCs w:val="22"/>
          <w:lang w:val="sk-SK"/>
        </w:rPr>
        <w:t>a</w:t>
      </w:r>
      <w:r w:rsidRPr="005F4B00">
        <w:rPr>
          <w:rFonts w:ascii="Times New Roman" w:hAnsi="Times New Roman"/>
          <w:sz w:val="22"/>
          <w:szCs w:val="22"/>
          <w:lang w:val="sk-SK"/>
        </w:rPr>
        <w:t>, že omeprazol v kombinácii s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dvoma antibiotikami (amoxicilínom a klaritromycínom) bol bezpečný a účinný v liečbe infekcie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spôsobenej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 pylori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u detí s gastritídou vo veku 4 rokov a starších: miera eradikácie </w:t>
      </w: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 xml:space="preserve">H.pylori </w:t>
      </w:r>
      <w:r w:rsidRPr="005F4B00">
        <w:rPr>
          <w:rFonts w:ascii="Times New Roman" w:hAnsi="Times New Roman"/>
          <w:sz w:val="22"/>
          <w:szCs w:val="22"/>
          <w:lang w:val="sk-SK"/>
        </w:rPr>
        <w:t>: 74,2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(23/31 pacientov) liečených kombináciou omeprazol+amoxicilín+klaritromycín versus 9,4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(3/32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pacientov) liečených kombináciou amoxicilín+klaritromycín. Klinický prínos liečby súvisiaci s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dyspeptickými symptómami však preukázaný nebol. T</w:t>
      </w:r>
      <w:r w:rsidR="00F6416E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>to klinick</w:t>
      </w:r>
      <w:r w:rsidR="00F6416E">
        <w:rPr>
          <w:rFonts w:ascii="Times New Roman" w:hAnsi="Times New Roman"/>
          <w:sz w:val="22"/>
          <w:szCs w:val="22"/>
          <w:lang w:val="sk-SK"/>
        </w:rPr>
        <w:t>á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6416E">
        <w:rPr>
          <w:rFonts w:ascii="Times New Roman" w:hAnsi="Times New Roman"/>
          <w:sz w:val="22"/>
          <w:szCs w:val="22"/>
          <w:lang w:val="sk-SK"/>
        </w:rPr>
        <w:t>štúdia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neprináša žiadne údaje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týkajúce sa detí mladších ako 4 roky.</w:t>
      </w: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numPr>
          <w:ilvl w:val="1"/>
          <w:numId w:val="16"/>
        </w:numPr>
        <w:tabs>
          <w:tab w:val="clear" w:pos="720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Farmakokinetické vlastnosti</w:t>
      </w:r>
    </w:p>
    <w:p w:rsidR="00710DE9" w:rsidRPr="00E8427A" w:rsidRDefault="00710DE9">
      <w:pPr>
        <w:suppressAutoHyphens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Absorpcia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a horečnatá soľ omeprazolu sú acidolabilné, preto sa perorálne podávajú vo forme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gastrorezistentných granúl v kapsulách alebo tabletách. Absorpcia omeprazolu je rýchla, najvyššie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hladiny v plazme sa dosahujú približne po 1 až 2 hodinách po podaní dávky. K absorpcii omeprazolu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dochádza v tenkom čreve a zvyčajne je ukončená v priebehu 3 až 6 hodín. Súbežný príjem potravy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</w:t>
      </w:r>
      <w:r w:rsidR="00030E5B">
        <w:rPr>
          <w:rFonts w:ascii="Times New Roman" w:hAnsi="Times New Roman"/>
          <w:sz w:val="22"/>
          <w:szCs w:val="22"/>
          <w:lang w:val="sk-SK"/>
        </w:rPr>
        <w:t>e</w:t>
      </w:r>
      <w:r w:rsidRPr="005F4B00">
        <w:rPr>
          <w:rFonts w:ascii="Times New Roman" w:hAnsi="Times New Roman"/>
          <w:sz w:val="22"/>
          <w:szCs w:val="22"/>
          <w:lang w:val="sk-SK"/>
        </w:rPr>
        <w:t>má na biologickú dostupnosť žiadny vplyv. Systémová dostupnosť (biologická dostupnosť)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omeprazolu po perorálnom podaní jednorazovej dávky </w:t>
      </w:r>
      <w:r w:rsidR="00030E5B">
        <w:rPr>
          <w:rFonts w:ascii="Times New Roman" w:hAnsi="Times New Roman"/>
          <w:sz w:val="22"/>
          <w:szCs w:val="22"/>
          <w:lang w:val="sk-SK"/>
        </w:rPr>
        <w:t>omeprazolu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je približne 40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 Po opakovanom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podávaní jedenkrát denne sa biologická dostupnosť zvyšuje na približne 60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Distribúcia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Zdanlivý distribučný objem u zdravých osôb je približne 0,3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l/kg telesnej hmotnosti. Väzba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omeprazolu na plazmatické proteíny je približne 97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%.</w:t>
      </w:r>
    </w:p>
    <w:p w:rsidR="00710DE9" w:rsidRPr="00301DDB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01DDB" w:rsidRPr="00301DDB" w:rsidRDefault="005944A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301DDB">
        <w:rPr>
          <w:rFonts w:ascii="Times New Roman" w:hAnsi="Times New Roman"/>
          <w:sz w:val="22"/>
          <w:szCs w:val="22"/>
          <w:u w:val="single"/>
        </w:rPr>
        <w:t>Biotransformácia</w:t>
      </w:r>
    </w:p>
    <w:p w:rsidR="00710DE9" w:rsidRPr="00301DDB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1DDB">
        <w:rPr>
          <w:rFonts w:ascii="Times New Roman" w:hAnsi="Times New Roman"/>
          <w:sz w:val="22"/>
          <w:szCs w:val="22"/>
          <w:lang w:val="sk-SK"/>
        </w:rPr>
        <w:t>Omeprazol sa úplne metabolizuje systémom cytochrómu P450 (CYP). Prevažná časť metabolizmu je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závislá na polymorfne exprimovanom CYP2C19, ktorý je zodpovedný za tvorbu hydroxyomeprazolu,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hlavného metabolitu v plazme. Zostávajúca časť je závislá od ďalšej špecifickej izoformy, CYP3A4,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ktorá je zodpovedná za tvorbu sulfónu omeprazolu. Ako dôsledok vysokej afinity omeprazolu voči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CYP2C19 prichádza do úvahy možnosť kompetitívnej inhibície a metabolických liekových interakcií s ďalšími substrátmi pre CYP2C19. Kvôli nízkej afinite voči CYP3A4 však omeprazol nemá žiadny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potenciál inhibovať metabolizmus iných substrátov pre CYP3A4. Okrem toho omeprazolu chýba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inhibičný účinok na hlavné CYP enzýmy.</w:t>
      </w:r>
    </w:p>
    <w:p w:rsidR="00710DE9" w:rsidRPr="00301DDB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301DDB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1DDB">
        <w:rPr>
          <w:rFonts w:ascii="Times New Roman" w:hAnsi="Times New Roman"/>
          <w:sz w:val="22"/>
          <w:szCs w:val="22"/>
          <w:lang w:val="sk-SK"/>
        </w:rPr>
        <w:t>Približne 3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301DDB">
        <w:rPr>
          <w:rFonts w:ascii="Times New Roman" w:hAnsi="Times New Roman"/>
          <w:sz w:val="22"/>
          <w:szCs w:val="22"/>
          <w:lang w:val="sk-SK"/>
        </w:rPr>
        <w:t>% belošskej populácie a 15 až 20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301DDB">
        <w:rPr>
          <w:rFonts w:ascii="Times New Roman" w:hAnsi="Times New Roman"/>
          <w:sz w:val="22"/>
          <w:szCs w:val="22"/>
          <w:lang w:val="sk-SK"/>
        </w:rPr>
        <w:t>% populácie aziatov chýba funkčný enzým CYP2C19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a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301DDB">
        <w:rPr>
          <w:rFonts w:ascii="Times New Roman" w:hAnsi="Times New Roman"/>
          <w:sz w:val="22"/>
          <w:szCs w:val="22"/>
          <w:lang w:val="sk-SK"/>
        </w:rPr>
        <w:t>nazývajú sa slabými metabolizérmi. U týchto osôb je metabolizmus pravdepodobne katalyzovaný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hlavne CYP3A4. Po opakovanom podaní omeprazolu v dávke 20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301DDB">
        <w:rPr>
          <w:rFonts w:ascii="Times New Roman" w:hAnsi="Times New Roman"/>
          <w:sz w:val="22"/>
          <w:szCs w:val="22"/>
          <w:lang w:val="sk-SK"/>
        </w:rPr>
        <w:t>mg jedenkrát denne bola u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301DDB">
        <w:rPr>
          <w:rFonts w:ascii="Times New Roman" w:hAnsi="Times New Roman"/>
          <w:sz w:val="22"/>
          <w:szCs w:val="22"/>
          <w:lang w:val="sk-SK"/>
        </w:rPr>
        <w:t>slabých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metabolizérov priemerná plocha pod krivkou časovej závislosti plazmatických koncentrácií približne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lastRenderedPageBreak/>
        <w:t>5- až 10-násobne väčšia ako u osôb s funkčným enzýmom CYP2C19 (silní metabolizéri). Priemerné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maximálne koncentrácie v plazme boli tiež 3- až 5-násobne vyššie. Tieto zistenia nemajú vplyv na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dávkovanie omeprazolu.</w:t>
      </w:r>
    </w:p>
    <w:p w:rsidR="00710DE9" w:rsidRPr="00301DDB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01DDB" w:rsidRPr="00301DDB" w:rsidRDefault="005944A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301DDB">
        <w:rPr>
          <w:rFonts w:ascii="Times New Roman" w:hAnsi="Times New Roman"/>
          <w:sz w:val="22"/>
          <w:szCs w:val="22"/>
          <w:u w:val="single"/>
        </w:rPr>
        <w:t>Eliminácia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1DDB">
        <w:rPr>
          <w:rFonts w:ascii="Times New Roman" w:hAnsi="Times New Roman"/>
          <w:sz w:val="22"/>
          <w:szCs w:val="22"/>
          <w:lang w:val="sk-SK"/>
        </w:rPr>
        <w:t>Plazmatický eliminačný polčas omeprazolu je zvyčajne kratší ako 1 hodina po jednorazovej ako aj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01DDB">
        <w:rPr>
          <w:rFonts w:ascii="Times New Roman" w:hAnsi="Times New Roman"/>
          <w:sz w:val="22"/>
          <w:szCs w:val="22"/>
          <w:lang w:val="sk-SK"/>
        </w:rPr>
        <w:t>opakovanej perorálnej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dávke jedenkrát denne. Omeprazol sa medzi jednotlivými dávkami úplne vylúči z plazmy, pri podávaní </w:t>
      </w:r>
      <w:r w:rsidR="00030E5B">
        <w:rPr>
          <w:rFonts w:ascii="Times New Roman" w:hAnsi="Times New Roman"/>
          <w:sz w:val="22"/>
          <w:szCs w:val="22"/>
          <w:lang w:val="sk-SK"/>
        </w:rPr>
        <w:t>jedenkrát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denne sa žiadna tendencia ku kumulácii neprejavuje.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Takmer 80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% perorálne podanej dávky omeprazolu sa vylúči vo forme metabolitov do moču, zvyšok do stolice, primárne pochádzajúci zo sekrécie v žlči.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AUC omeprazolu sa zvyšuje s opakovaným podávaním. Toto zvýšenie závisí od dávky a výsledkom je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nelineárny vzťah dávka-AUC po opakovanom podávaní. Táto časová a dávková závislosť je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dôsledkom zníženia metabolizmu prvého prechodu a systémového klírensu, pravdepodobne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spôsobených inhibíciou enzýmu CYP2C19 omeprazolom a/alebo jeho metabolitmi (napr. sulfónovým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metabolitom). Nezistil sa žiadny účinok metabolitov omeprazolu na sekréciu žalúdkovej kyseliny.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pStyle w:val="Nadpis9"/>
        <w:widowControl/>
        <w:tabs>
          <w:tab w:val="clear" w:pos="-1440"/>
          <w:tab w:val="clear" w:pos="-720"/>
        </w:tabs>
        <w:autoSpaceDE w:val="0"/>
        <w:autoSpaceDN w:val="0"/>
        <w:adjustRightInd w:val="0"/>
        <w:rPr>
          <w:szCs w:val="22"/>
        </w:rPr>
      </w:pPr>
      <w:r w:rsidRPr="005F4B00">
        <w:rPr>
          <w:szCs w:val="22"/>
        </w:rPr>
        <w:t>Osobitné skupiny pacientov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Porucha funkcie pečene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Metabolizmus u pacientov s dysfunkciou pečene je zhoršený, výsledkom čoho je zvýšenie AUC.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U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omeprazolu sa neprejavila žiadna tendencia kumulácie pri dávkovaní jedenkrát denne.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Porucha funkcie obličiek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Farmakokinetika omeprazolu, vrátane systémovej biologickej dostupnosti a miery eliminácie ostáva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u</w:t>
      </w:r>
      <w:r w:rsidR="00030E5B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pacientov so zníženou renálnou funkciou nezmenená.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5F4B00">
        <w:rPr>
          <w:rFonts w:ascii="Times New Roman" w:hAnsi="Times New Roman"/>
          <w:i/>
          <w:iCs/>
          <w:sz w:val="22"/>
          <w:szCs w:val="22"/>
          <w:lang w:val="sk-SK"/>
        </w:rPr>
        <w:t>Starší pacienti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Miera metabolizmu omeprazolu je o niečo znížená u pacientov vo vyššom veku (75 až 79-ročných).</w:t>
      </w:r>
    </w:p>
    <w:p w:rsidR="00710DE9" w:rsidRPr="005F4B00" w:rsidRDefault="00710DE9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10DE9" w:rsidRPr="005F4B00" w:rsidRDefault="00A2394C" w:rsidP="00E8427A">
      <w:pPr>
        <w:keepNext/>
        <w:widowControl/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Pediatrická populácia</w:t>
      </w:r>
    </w:p>
    <w:p w:rsidR="00710DE9" w:rsidRPr="005F4B00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Počas liečby odporúčanými dávkami u detí vo veku od 1 roku boli plazmatické koncentrácie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porovnateľné s plazmatickými koncentráciami u dospelých. U detí mladších ako 6 mesiacov je klírens</w:t>
      </w:r>
      <w:r w:rsidR="00030E5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omeprazolu nízky, kvôli nízkej schopnosti metabolizovať omeprazol.</w:t>
      </w:r>
    </w:p>
    <w:p w:rsidR="00710DE9" w:rsidRPr="00E8427A" w:rsidRDefault="00710DE9">
      <w:pPr>
        <w:suppressAutoHyphens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  <w:tab w:val="left" w:pos="709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V </w:t>
      </w:r>
      <w:r w:rsidR="00030E5B">
        <w:rPr>
          <w:rFonts w:ascii="Times New Roman" w:hAnsi="Times New Roman"/>
          <w:sz w:val="22"/>
          <w:szCs w:val="22"/>
          <w:lang w:val="sk-SK"/>
        </w:rPr>
        <w:t>štúdiách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na potkanoch liečených omeprazolom, ktoré trvali po celý ich život, bola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pozorovaná hyperplázia ECL-buniek v žalúdku a karcinoidy. Tieto zmeny sú následkom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pretrvávajúcej hypergastrinémie, ktorá vzniká sekundárne po inhibícii kyseliny. K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podobným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zisteniam sa dospelo po liečbe antagonistami H2-receptora, inhibítormi protónovej pumpy a</w:t>
      </w:r>
      <w:r w:rsidR="00F6416E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po</w:t>
      </w:r>
      <w:r w:rsidR="00F64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F4B00">
        <w:rPr>
          <w:rFonts w:ascii="Times New Roman" w:hAnsi="Times New Roman"/>
          <w:sz w:val="22"/>
          <w:szCs w:val="22"/>
          <w:lang w:val="sk-SK"/>
        </w:rPr>
        <w:t>parciálnej fundektómii. Tieto zmeny teda nie sú výsledkom priameho účinku žiadneho z liečiv.</w:t>
      </w:r>
    </w:p>
    <w:p w:rsidR="00710DE9" w:rsidRDefault="00710DE9" w:rsidP="00E8427A">
      <w:pPr>
        <w:rPr>
          <w:rFonts w:ascii="Times New Roman" w:hAnsi="Times New Roman"/>
          <w:sz w:val="22"/>
          <w:szCs w:val="22"/>
          <w:lang w:val="sk-SK"/>
        </w:rPr>
      </w:pPr>
    </w:p>
    <w:p w:rsidR="005F4B00" w:rsidRPr="005F4B00" w:rsidRDefault="005F4B00" w:rsidP="00E8427A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F6416E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F6416E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710DE9" w:rsidRPr="005F4B00" w:rsidRDefault="00710DE9" w:rsidP="00E8427A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10DE9" w:rsidRPr="00301DDB" w:rsidRDefault="00710DE9">
      <w:pPr>
        <w:pStyle w:val="Zarkazkladnhotextu3"/>
        <w:ind w:left="0"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301DDB">
        <w:rPr>
          <w:rFonts w:ascii="Times New Roman" w:hAnsi="Times New Roman"/>
          <w:i/>
          <w:sz w:val="22"/>
          <w:szCs w:val="22"/>
          <w:u w:val="single"/>
          <w:lang w:val="sk-SK"/>
        </w:rPr>
        <w:t>Obsah kapsúl</w:t>
      </w:r>
      <w:r w:rsidRPr="00E8427A"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zrnený cukor (</w:t>
      </w:r>
      <w:r w:rsidR="005F2328">
        <w:rPr>
          <w:rFonts w:ascii="Times New Roman" w:hAnsi="Times New Roman"/>
          <w:sz w:val="22"/>
          <w:szCs w:val="22"/>
          <w:lang w:val="sk-SK"/>
        </w:rPr>
        <w:t>zložený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 z kukuričného škrobu a sacharózy)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nátriumlaurylsulfát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bezvodý hydrogenfosforečnan sodný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manitol (E421)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hypromelóza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makrogol 6000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mastenec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>polysorbát 80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oxid titaničitý (E171)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kopolymér kyseliny metakrylovej a etylakrylátu</w:t>
      </w:r>
    </w:p>
    <w:p w:rsidR="00710DE9" w:rsidRPr="005F4B00" w:rsidRDefault="00710DE9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10DE9" w:rsidRPr="00301DDB" w:rsidRDefault="00710DE9">
      <w:pPr>
        <w:pStyle w:val="Zarkazkladnhotextu3"/>
        <w:ind w:left="0"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301DDB">
        <w:rPr>
          <w:rFonts w:ascii="Times New Roman" w:hAnsi="Times New Roman"/>
          <w:i/>
          <w:sz w:val="22"/>
          <w:szCs w:val="22"/>
          <w:u w:val="single"/>
          <w:lang w:val="sk-SK"/>
        </w:rPr>
        <w:t>Obal kapsuly</w:t>
      </w:r>
      <w:r w:rsidRPr="00E8427A"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želatína</w:t>
      </w:r>
    </w:p>
    <w:p w:rsidR="00710DE9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oxid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titaničitý (E171)</w:t>
      </w:r>
    </w:p>
    <w:p w:rsidR="005F4B00" w:rsidRDefault="005F4B00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5F4B00" w:rsidRPr="00301DDB" w:rsidRDefault="005F4B00">
      <w:pPr>
        <w:pStyle w:val="Zarkazkladnhotextu3"/>
        <w:ind w:left="0"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301DDB">
        <w:rPr>
          <w:rFonts w:ascii="Times New Roman" w:hAnsi="Times New Roman"/>
          <w:i/>
          <w:sz w:val="22"/>
          <w:szCs w:val="22"/>
          <w:u w:val="single"/>
          <w:lang w:val="sk-SK"/>
        </w:rPr>
        <w:t>Čierny atrament na obal kapsuly</w:t>
      </w:r>
      <w:r w:rsidRPr="00E8427A"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šelak</w:t>
      </w:r>
    </w:p>
    <w:p w:rsid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čierny oxid železitý</w:t>
      </w:r>
    </w:p>
    <w:p w:rsid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propylénglykol</w:t>
      </w:r>
    </w:p>
    <w:p w:rsidR="005F4B00" w:rsidRPr="005F4B00" w:rsidRDefault="00C37CD4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roztok amoniaku</w:t>
      </w:r>
    </w:p>
    <w:p w:rsidR="00710DE9" w:rsidRPr="005F4B00" w:rsidRDefault="00710DE9" w:rsidP="00E8427A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6C0304" w:rsidP="006C030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OPA/ALU/PVC/ALU blister: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3 roky</w:t>
      </w:r>
    </w:p>
    <w:p w:rsidR="00710DE9" w:rsidRDefault="006C0304" w:rsidP="006C030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HDPE fľaša:</w:t>
      </w:r>
      <w:r>
        <w:rPr>
          <w:rFonts w:ascii="Times New Roman" w:hAnsi="Times New Roman"/>
          <w:sz w:val="22"/>
          <w:szCs w:val="22"/>
          <w:lang w:val="sk-SK"/>
        </w:rPr>
        <w:t xml:space="preserve"> 4 roky</w:t>
      </w:r>
    </w:p>
    <w:p w:rsidR="006C0304" w:rsidRDefault="006C0304" w:rsidP="006C030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6C0304" w:rsidRDefault="006C0304" w:rsidP="006C030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HDPE fľaša: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49D4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o prvom otv</w:t>
      </w:r>
      <w:r w:rsidR="00D134F6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rení</w:t>
      </w:r>
    </w:p>
    <w:p w:rsidR="006C0304" w:rsidRDefault="006C0304" w:rsidP="006C030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Omeprazol STADA </w:t>
      </w:r>
      <w:r>
        <w:rPr>
          <w:rFonts w:ascii="Times New Roman" w:hAnsi="Times New Roman"/>
          <w:sz w:val="22"/>
          <w:szCs w:val="22"/>
          <w:lang w:val="sk-SK"/>
        </w:rPr>
        <w:t>20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mg</w:t>
      </w:r>
      <w:r w:rsidRPr="005F4B00">
        <w:rPr>
          <w:rFonts w:ascii="Times New Roman" w:hAnsi="Times New Roman"/>
          <w:sz w:val="22"/>
          <w:szCs w:val="22"/>
          <w:lang w:val="sk-SK"/>
        </w:rPr>
        <w:t>:</w:t>
      </w:r>
      <w:r>
        <w:rPr>
          <w:rFonts w:ascii="Times New Roman" w:hAnsi="Times New Roman"/>
          <w:sz w:val="22"/>
          <w:szCs w:val="22"/>
          <w:lang w:val="sk-SK"/>
        </w:rPr>
        <w:t xml:space="preserve"> 105 dní</w:t>
      </w:r>
    </w:p>
    <w:p w:rsidR="004D49D4" w:rsidRDefault="004D49D4" w:rsidP="004D49D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 xml:space="preserve">Omeprazol STADA </w:t>
      </w:r>
      <w:r>
        <w:rPr>
          <w:rFonts w:ascii="Times New Roman" w:hAnsi="Times New Roman"/>
          <w:sz w:val="22"/>
          <w:szCs w:val="22"/>
          <w:lang w:val="sk-SK"/>
        </w:rPr>
        <w:t>40 mg</w:t>
      </w:r>
      <w:r w:rsidRPr="005F4B00">
        <w:rPr>
          <w:rFonts w:ascii="Times New Roman" w:hAnsi="Times New Roman"/>
          <w:sz w:val="22"/>
          <w:szCs w:val="22"/>
          <w:lang w:val="sk-SK"/>
        </w:rPr>
        <w:t>:</w:t>
      </w:r>
      <w:r>
        <w:rPr>
          <w:rFonts w:ascii="Times New Roman" w:hAnsi="Times New Roman"/>
          <w:sz w:val="22"/>
          <w:szCs w:val="22"/>
          <w:lang w:val="sk-SK"/>
        </w:rPr>
        <w:t xml:space="preserve"> 100 dní</w:t>
      </w:r>
    </w:p>
    <w:p w:rsidR="006C0304" w:rsidRPr="005F4B00" w:rsidRDefault="006C0304" w:rsidP="006C030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 w:rsidP="00E8427A">
      <w:pPr>
        <w:keepNext/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710DE9" w:rsidRPr="005F4B00" w:rsidRDefault="00710DE9" w:rsidP="00E8427A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Uchovávajte pri teplote do 25</w:t>
      </w:r>
      <w:r w:rsidR="004D49D4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°C.</w:t>
      </w: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OPA/ALU/PVC-ALU blister: Uchovávajte v pôvodnom obale na ochranu pred vlhkosťou.</w:t>
      </w:r>
    </w:p>
    <w:p w:rsidR="00710DE9" w:rsidRPr="005F4B00" w:rsidRDefault="00710DE9">
      <w:pPr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HDPE fľaša: Uchovávajte fľašu pevne uzatvorenú na ochranu pred vlhkosťou.</w:t>
      </w:r>
    </w:p>
    <w:p w:rsidR="00710DE9" w:rsidRPr="005F4B00" w:rsidRDefault="00710DE9" w:rsidP="00E8427A">
      <w:pPr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Druh obalu a obsah balenia</w:t>
      </w:r>
    </w:p>
    <w:p w:rsidR="00710DE9" w:rsidRPr="00E8427A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4D49D4" w:rsidRPr="00E8427A" w:rsidRDefault="004D49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E8427A">
        <w:rPr>
          <w:rFonts w:ascii="Times New Roman" w:hAnsi="Times New Roman"/>
          <w:sz w:val="22"/>
          <w:szCs w:val="22"/>
          <w:u w:val="single"/>
          <w:lang w:val="sk-SK"/>
        </w:rPr>
        <w:t>Omeprazol STADA 20 mg</w:t>
      </w:r>
    </w:p>
    <w:p w:rsidR="00710DE9" w:rsidRPr="005F4B00" w:rsidRDefault="00710DE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OPA/ALU/PVC/ALU blister:</w:t>
      </w:r>
    </w:p>
    <w:p w:rsidR="00710DE9" w:rsidRPr="005F4B00" w:rsidRDefault="00710DE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7, 14, 15, 28, 30, 50, 56, 60, 90, 98, 100, 140, 280 a 500 kapsúl</w:t>
      </w:r>
    </w:p>
    <w:p w:rsidR="00710DE9" w:rsidRPr="005F4B00" w:rsidRDefault="00710DE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HDPE fľaša so silikagélovým vysúšadlom v polypropylénovom viečku:</w:t>
      </w:r>
    </w:p>
    <w:p w:rsidR="00710DE9" w:rsidRPr="005F4B00" w:rsidRDefault="00710DE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5, 7, 14, 15, 28, 30, 50, 56, 60, 90</w:t>
      </w:r>
      <w:r w:rsidR="00C24BB6">
        <w:rPr>
          <w:rFonts w:ascii="Times New Roman" w:hAnsi="Times New Roman"/>
          <w:sz w:val="22"/>
          <w:szCs w:val="22"/>
          <w:lang w:val="sk-SK"/>
        </w:rPr>
        <w:t>, </w:t>
      </w:r>
      <w:r w:rsidRPr="005F4B00">
        <w:rPr>
          <w:rFonts w:ascii="Times New Roman" w:hAnsi="Times New Roman"/>
          <w:sz w:val="22"/>
          <w:szCs w:val="22"/>
          <w:lang w:val="sk-SK"/>
        </w:rPr>
        <w:t>100</w:t>
      </w:r>
      <w:r w:rsidR="00C24BB6">
        <w:rPr>
          <w:rFonts w:ascii="Times New Roman" w:hAnsi="Times New Roman"/>
          <w:sz w:val="22"/>
          <w:szCs w:val="22"/>
          <w:lang w:val="sk-SK"/>
        </w:rPr>
        <w:t xml:space="preserve"> a 105 </w:t>
      </w:r>
      <w:r w:rsidRPr="005F4B00">
        <w:rPr>
          <w:rFonts w:ascii="Times New Roman" w:hAnsi="Times New Roman"/>
          <w:sz w:val="22"/>
          <w:szCs w:val="22"/>
          <w:lang w:val="sk-SK"/>
        </w:rPr>
        <w:t>kapsúl</w:t>
      </w:r>
    </w:p>
    <w:p w:rsidR="004D49D4" w:rsidRDefault="004D49D4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E8427A" w:rsidRDefault="004D49D4">
      <w:pPr>
        <w:tabs>
          <w:tab w:val="left" w:pos="-1440"/>
          <w:tab w:val="left" w:pos="-720"/>
        </w:tabs>
        <w:rPr>
          <w:rFonts w:ascii="Times New Roman" w:eastAsia="SimSun" w:hAnsi="Times New Roman"/>
          <w:snapToGrid w:val="0"/>
          <w:sz w:val="22"/>
          <w:szCs w:val="22"/>
          <w:u w:val="single"/>
          <w:lang w:val="sk-SK"/>
        </w:rPr>
      </w:pPr>
      <w:r w:rsidRPr="00E8427A">
        <w:rPr>
          <w:rFonts w:ascii="Times New Roman" w:hAnsi="Times New Roman"/>
          <w:sz w:val="22"/>
          <w:szCs w:val="22"/>
          <w:u w:val="single"/>
          <w:lang w:val="sk-SK"/>
        </w:rPr>
        <w:t>Omeprazol STADA 40 mg</w:t>
      </w:r>
    </w:p>
    <w:p w:rsidR="004D49D4" w:rsidRPr="005F4B00" w:rsidRDefault="004D49D4" w:rsidP="004D49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OPA/ALU/PVC/ALU blister:</w:t>
      </w:r>
    </w:p>
    <w:p w:rsidR="004D49D4" w:rsidRPr="005F4B00" w:rsidRDefault="004D49D4" w:rsidP="004D49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7, 14, 15, 28, 30, 50, 56, 60, 90, 98, 100, 140, 280 a 500 kapsúl</w:t>
      </w:r>
    </w:p>
    <w:p w:rsidR="004D49D4" w:rsidRPr="005F4B00" w:rsidRDefault="004D49D4" w:rsidP="004D49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HDPE fľaša so silikagélovým vysúšadlom v polypropylénovom viečku:</w:t>
      </w:r>
    </w:p>
    <w:p w:rsidR="004D49D4" w:rsidRPr="005F4B00" w:rsidRDefault="004D49D4" w:rsidP="004D49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5, 7, 14, 15, 28, 30, 50, 56, 60, 90</w:t>
      </w:r>
      <w:r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5F4B00">
        <w:rPr>
          <w:rFonts w:ascii="Times New Roman" w:hAnsi="Times New Roman"/>
          <w:sz w:val="22"/>
          <w:szCs w:val="22"/>
          <w:lang w:val="sk-SK"/>
        </w:rPr>
        <w:t>100 kapsúl</w:t>
      </w:r>
    </w:p>
    <w:p w:rsidR="004D49D4" w:rsidRPr="005F4B00" w:rsidRDefault="004D49D4">
      <w:pPr>
        <w:tabs>
          <w:tab w:val="left" w:pos="-1440"/>
          <w:tab w:val="left" w:pos="-720"/>
        </w:tabs>
        <w:rPr>
          <w:rFonts w:ascii="Times New Roman" w:eastAsia="SimSun" w:hAnsi="Times New Roman"/>
          <w:snapToGrid w:val="0"/>
          <w:sz w:val="22"/>
          <w:szCs w:val="22"/>
          <w:lang w:val="sk-SK"/>
        </w:rPr>
      </w:pPr>
    </w:p>
    <w:p w:rsidR="00710DE9" w:rsidRPr="005F4B00" w:rsidRDefault="00977CC6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a trh </w:t>
      </w:r>
      <w:r w:rsidR="00A2394C">
        <w:rPr>
          <w:rFonts w:ascii="Times New Roman" w:hAnsi="Times New Roman"/>
          <w:sz w:val="22"/>
          <w:szCs w:val="22"/>
          <w:lang w:val="sk-SK"/>
        </w:rPr>
        <w:t>ne</w:t>
      </w:r>
      <w:r w:rsidRPr="005F4B00">
        <w:rPr>
          <w:rFonts w:ascii="Times New Roman" w:hAnsi="Times New Roman"/>
          <w:sz w:val="22"/>
          <w:szCs w:val="22"/>
          <w:lang w:val="sk-SK"/>
        </w:rPr>
        <w:t xml:space="preserve">musia byť uvedené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všetky veľkosti balenia.</w:t>
      </w:r>
    </w:p>
    <w:p w:rsidR="00710DE9" w:rsidRPr="005F4B00" w:rsidRDefault="00710DE9" w:rsidP="00E8427A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  <w:tab w:val="left" w:pos="0"/>
        </w:tabs>
        <w:ind w:left="720" w:hanging="720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lastRenderedPageBreak/>
        <w:t>STADA Arzneimittel AG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Stadastrasse 2-18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61118 Bad Vilbel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Nemecko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trike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trike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REGISTRAČNÉ ČÍSLA</w:t>
      </w: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20</w:t>
      </w:r>
      <w:r w:rsidR="00283798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mg: 09/0278/09-S</w:t>
      </w:r>
    </w:p>
    <w:p w:rsidR="00710DE9" w:rsidRPr="005F4B00" w:rsidRDefault="00710DE9">
      <w:pPr>
        <w:pStyle w:val="WfxFaxNum"/>
        <w:tabs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F4B00">
        <w:rPr>
          <w:rFonts w:ascii="Times New Roman" w:hAnsi="Times New Roman"/>
          <w:sz w:val="22"/>
          <w:szCs w:val="22"/>
          <w:lang w:val="sk-SK"/>
        </w:rPr>
        <w:t>Omeprazol STADA 40</w:t>
      </w:r>
      <w:r w:rsidR="00283798">
        <w:rPr>
          <w:rFonts w:ascii="Times New Roman" w:hAnsi="Times New Roman"/>
          <w:sz w:val="22"/>
          <w:szCs w:val="22"/>
          <w:lang w:val="sk-SK"/>
        </w:rPr>
        <w:t> </w:t>
      </w:r>
      <w:r w:rsidRPr="005F4B00">
        <w:rPr>
          <w:rFonts w:ascii="Times New Roman" w:hAnsi="Times New Roman"/>
          <w:sz w:val="22"/>
          <w:szCs w:val="22"/>
          <w:lang w:val="sk-SK"/>
        </w:rPr>
        <w:t>mg: 09/0279/09-S</w:t>
      </w:r>
    </w:p>
    <w:p w:rsidR="00710DE9" w:rsidRPr="00E8427A" w:rsidRDefault="00710DE9">
      <w:pPr>
        <w:pStyle w:val="WfxFaxNum"/>
        <w:tabs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710DE9" w:rsidRPr="00E8427A" w:rsidRDefault="00710DE9">
      <w:pPr>
        <w:pStyle w:val="WfxFaxNum"/>
        <w:tabs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567"/>
        </w:tabs>
        <w:suppressAutoHyphens/>
        <w:ind w:left="567" w:right="-143" w:hanging="567"/>
        <w:rPr>
          <w:rFonts w:ascii="Times New Roman" w:hAnsi="Times New Roman"/>
          <w:b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  <w:t>DÁTUM PRVEJ REGISTRÁCIE/PREDĹŽENIA REGISTRÁCIE</w:t>
      </w:r>
    </w:p>
    <w:p w:rsidR="00710DE9" w:rsidRPr="00E8427A" w:rsidRDefault="00710DE9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524784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23.</w:t>
      </w:r>
      <w:r>
        <w:rPr>
          <w:rFonts w:ascii="Times New Roman" w:hAnsi="Times New Roman"/>
          <w:sz w:val="22"/>
          <w:szCs w:val="22"/>
          <w:lang w:val="sk-SK"/>
        </w:rPr>
        <w:t xml:space="preserve"> júna </w:t>
      </w:r>
      <w:r w:rsidR="00710DE9" w:rsidRPr="005F4B00">
        <w:rPr>
          <w:rFonts w:ascii="Times New Roman" w:hAnsi="Times New Roman"/>
          <w:sz w:val="22"/>
          <w:szCs w:val="22"/>
          <w:lang w:val="sk-SK"/>
        </w:rPr>
        <w:t>2009</w:t>
      </w:r>
    </w:p>
    <w:p w:rsidR="00710DE9" w:rsidRDefault="00524784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283798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>
        <w:rPr>
          <w:rFonts w:ascii="Times New Roman" w:hAnsi="Times New Roman"/>
          <w:sz w:val="22"/>
          <w:szCs w:val="22"/>
          <w:lang w:val="sk-SK"/>
        </w:rPr>
        <w:t>:</w:t>
      </w:r>
      <w:r w:rsidR="00784693">
        <w:rPr>
          <w:rFonts w:ascii="Times New Roman" w:hAnsi="Times New Roman"/>
          <w:sz w:val="22"/>
          <w:szCs w:val="22"/>
          <w:lang w:val="sk-SK"/>
        </w:rPr>
        <w:t xml:space="preserve"> 24. septembra 2013</w:t>
      </w:r>
    </w:p>
    <w:p w:rsidR="00524784" w:rsidRPr="005F4B00" w:rsidRDefault="00524784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E8427A" w:rsidRDefault="00710DE9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10DE9" w:rsidRPr="005F4B00" w:rsidRDefault="00710DE9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5F4B00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5F4B00">
        <w:rPr>
          <w:rFonts w:ascii="Times New Roman" w:hAnsi="Times New Roman"/>
          <w:b/>
          <w:sz w:val="22"/>
          <w:szCs w:val="22"/>
          <w:lang w:val="sk-SK"/>
        </w:rPr>
        <w:tab/>
      </w:r>
      <w:r w:rsidRPr="005F4B00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:rsidR="00710DE9" w:rsidRPr="00E8427A" w:rsidRDefault="00710DE9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caps/>
          <w:sz w:val="22"/>
          <w:szCs w:val="22"/>
          <w:lang w:val="sk-SK"/>
        </w:rPr>
      </w:pPr>
    </w:p>
    <w:p w:rsidR="00710DE9" w:rsidRPr="005F4B00" w:rsidRDefault="00566DD6">
      <w:pPr>
        <w:tabs>
          <w:tab w:val="left" w:pos="567"/>
        </w:tabs>
        <w:suppressAutoHyphens/>
        <w:ind w:left="567" w:hanging="567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01/2021</w:t>
      </w:r>
    </w:p>
    <w:sectPr w:rsidR="00710DE9" w:rsidRPr="005F4B00" w:rsidSect="00E842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6" w:h="16838" w:code="9"/>
      <w:pgMar w:top="1528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6C" w:rsidRDefault="00591A6C">
      <w:pPr>
        <w:spacing w:line="20" w:lineRule="exact"/>
        <w:rPr>
          <w:szCs w:val="24"/>
        </w:rPr>
      </w:pPr>
    </w:p>
  </w:endnote>
  <w:endnote w:type="continuationSeparator" w:id="0">
    <w:p w:rsidR="00591A6C" w:rsidRDefault="00591A6C">
      <w:pPr>
        <w:rPr>
          <w:szCs w:val="24"/>
        </w:rPr>
      </w:pPr>
      <w:r>
        <w:rPr>
          <w:szCs w:val="24"/>
        </w:rPr>
        <w:t xml:space="preserve"> </w:t>
      </w:r>
    </w:p>
  </w:endnote>
  <w:endnote w:type="continuationNotice" w:id="1">
    <w:p w:rsidR="00591A6C" w:rsidRDefault="00591A6C">
      <w:pPr>
        <w:rPr>
          <w:szCs w:val="24"/>
        </w:rPr>
      </w:pPr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8B" w:rsidRDefault="00DB188B">
    <w:pPr>
      <w:pStyle w:val="Pta"/>
      <w:framePr w:wrap="around" w:vAnchor="text" w:hAnchor="margin" w:xAlign="center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end"/>
    </w:r>
  </w:p>
  <w:p w:rsidR="00DB188B" w:rsidRDefault="00DB188B">
    <w:pPr>
      <w:pStyle w:val="Pta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8B" w:rsidRPr="00E8427A" w:rsidRDefault="00DB188B" w:rsidP="00E8427A">
    <w:pPr>
      <w:pStyle w:val="Pta"/>
      <w:jc w:val="center"/>
      <w:rPr>
        <w:rFonts w:ascii="Times New Roman" w:hAnsi="Times New Roman"/>
        <w:sz w:val="18"/>
        <w:szCs w:val="18"/>
      </w:rPr>
    </w:pPr>
    <w:r w:rsidRPr="00F92D67">
      <w:rPr>
        <w:rFonts w:ascii="Times New Roman" w:hAnsi="Times New Roman"/>
        <w:sz w:val="18"/>
        <w:szCs w:val="18"/>
      </w:rPr>
      <w:fldChar w:fldCharType="begin"/>
    </w:r>
    <w:r w:rsidRPr="00E8427A">
      <w:rPr>
        <w:rFonts w:ascii="Times New Roman" w:hAnsi="Times New Roman"/>
        <w:sz w:val="18"/>
        <w:szCs w:val="18"/>
      </w:rPr>
      <w:instrText>PAGE   \* MERGEFORMAT</w:instrText>
    </w:r>
    <w:r w:rsidRPr="00F92D67">
      <w:rPr>
        <w:rFonts w:ascii="Times New Roman" w:hAnsi="Times New Roman"/>
        <w:sz w:val="18"/>
        <w:szCs w:val="18"/>
      </w:rPr>
      <w:fldChar w:fldCharType="separate"/>
    </w:r>
    <w:r w:rsidR="00847CE0" w:rsidRPr="00847CE0">
      <w:rPr>
        <w:rFonts w:ascii="Times New Roman" w:hAnsi="Times New Roman"/>
        <w:noProof/>
        <w:sz w:val="18"/>
        <w:szCs w:val="18"/>
        <w:lang w:val="sk-SK"/>
      </w:rPr>
      <w:t>2</w:t>
    </w:r>
    <w:r w:rsidRPr="00F92D67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8B" w:rsidRPr="00E8427A" w:rsidRDefault="00DB188B" w:rsidP="00E8427A">
    <w:pPr>
      <w:pStyle w:val="Pta"/>
      <w:jc w:val="center"/>
      <w:rPr>
        <w:rFonts w:ascii="Times New Roman" w:hAnsi="Times New Roman"/>
        <w:sz w:val="18"/>
        <w:szCs w:val="18"/>
      </w:rPr>
    </w:pPr>
    <w:r w:rsidRPr="00E8427A">
      <w:rPr>
        <w:rFonts w:ascii="Times New Roman" w:hAnsi="Times New Roman"/>
        <w:sz w:val="18"/>
        <w:szCs w:val="18"/>
      </w:rPr>
      <w:fldChar w:fldCharType="begin"/>
    </w:r>
    <w:r w:rsidRPr="00E8427A">
      <w:rPr>
        <w:rFonts w:ascii="Times New Roman" w:hAnsi="Times New Roman"/>
        <w:sz w:val="18"/>
        <w:szCs w:val="18"/>
      </w:rPr>
      <w:instrText>PAGE   \* MERGEFORMAT</w:instrText>
    </w:r>
    <w:r w:rsidRPr="00E8427A">
      <w:rPr>
        <w:rFonts w:ascii="Times New Roman" w:hAnsi="Times New Roman"/>
        <w:sz w:val="18"/>
        <w:szCs w:val="18"/>
      </w:rPr>
      <w:fldChar w:fldCharType="separate"/>
    </w:r>
    <w:r w:rsidRPr="00F116FD">
      <w:rPr>
        <w:rFonts w:ascii="Times New Roman" w:hAnsi="Times New Roman"/>
        <w:noProof/>
        <w:sz w:val="18"/>
        <w:szCs w:val="18"/>
        <w:lang w:val="sk-SK"/>
      </w:rPr>
      <w:t>1</w:t>
    </w:r>
    <w:r w:rsidRPr="00E8427A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6C" w:rsidRDefault="00591A6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591A6C" w:rsidRDefault="00591A6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7C" w:rsidRPr="00E8427A" w:rsidRDefault="0034187C">
    <w:pPr>
      <w:pStyle w:val="Hlavika"/>
      <w:rPr>
        <w:rFonts w:ascii="Times New Roman" w:hAnsi="Times New Roman"/>
        <w:sz w:val="18"/>
        <w:szCs w:val="18"/>
        <w:lang w:val="pt-PT"/>
      </w:rPr>
    </w:pPr>
    <w:r w:rsidRPr="00F116FD">
      <w:rPr>
        <w:rFonts w:ascii="Times New Roman" w:hAnsi="Times New Roman"/>
        <w:sz w:val="18"/>
        <w:szCs w:val="18"/>
      </w:rPr>
      <w:t>Príloha č. 1 k notifikácii o zmene, ev. č.:</w:t>
    </w:r>
    <w:r w:rsidRPr="00F92D67">
      <w:rPr>
        <w:rFonts w:ascii="Times New Roman" w:hAnsi="Times New Roman"/>
        <w:sz w:val="18"/>
        <w:szCs w:val="18"/>
      </w:rPr>
      <w:t xml:space="preserve"> 20</w:t>
    </w:r>
    <w:r>
      <w:rPr>
        <w:rFonts w:ascii="Times New Roman" w:hAnsi="Times New Roman"/>
        <w:sz w:val="18"/>
        <w:szCs w:val="18"/>
      </w:rPr>
      <w:t>20/</w:t>
    </w:r>
    <w:r w:rsidR="003C3456">
      <w:rPr>
        <w:rFonts w:ascii="Times New Roman" w:hAnsi="Times New Roman"/>
        <w:sz w:val="18"/>
        <w:szCs w:val="18"/>
      </w:rPr>
      <w:t>06465-Z1B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8B" w:rsidRPr="00185559" w:rsidRDefault="00DB188B" w:rsidP="006C0304">
    <w:pPr>
      <w:pStyle w:val="Hlavika"/>
      <w:rPr>
        <w:rFonts w:ascii="Times New Roman" w:hAnsi="Times New Roman"/>
        <w:sz w:val="18"/>
        <w:szCs w:val="18"/>
      </w:rPr>
    </w:pPr>
    <w:r w:rsidRPr="00185559">
      <w:rPr>
        <w:rFonts w:ascii="Times New Roman" w:hAnsi="Times New Roman"/>
        <w:sz w:val="18"/>
        <w:szCs w:val="18"/>
      </w:rPr>
      <w:t>Príloha č. 1 k notifikácii o zmene, ev. č.:</w:t>
    </w:r>
    <w:r>
      <w:rPr>
        <w:rFonts w:ascii="Times New Roman" w:hAnsi="Times New Roman"/>
        <w:sz w:val="18"/>
        <w:szCs w:val="18"/>
      </w:rPr>
      <w:t xml:space="preserve"> </w:t>
    </w:r>
    <w:r w:rsidRPr="007F0565">
      <w:rPr>
        <w:rFonts w:ascii="Times New Roman" w:hAnsi="Times New Roman"/>
        <w:sz w:val="18"/>
        <w:szCs w:val="18"/>
      </w:rPr>
      <w:t>2016/04319-Z1B</w:t>
    </w:r>
    <w:r>
      <w:rPr>
        <w:rFonts w:ascii="Times New Roman" w:hAnsi="Times New Roman"/>
        <w:sz w:val="18"/>
        <w:szCs w:val="18"/>
      </w:rPr>
      <w:t xml:space="preserve">, </w:t>
    </w:r>
    <w:r w:rsidRPr="00F54DDB">
      <w:rPr>
        <w:rFonts w:ascii="Times New Roman" w:hAnsi="Times New Roman"/>
        <w:sz w:val="18"/>
        <w:szCs w:val="18"/>
      </w:rPr>
      <w:t>2016/05538-Z1B</w:t>
    </w:r>
    <w:r>
      <w:rPr>
        <w:rFonts w:ascii="Times New Roman" w:hAnsi="Times New Roman"/>
        <w:sz w:val="18"/>
        <w:szCs w:val="18"/>
      </w:rPr>
      <w:t xml:space="preserve">, </w:t>
    </w:r>
    <w:r w:rsidRPr="002147EF">
      <w:rPr>
        <w:rFonts w:ascii="Times New Roman" w:hAnsi="Times New Roman"/>
        <w:sz w:val="18"/>
        <w:szCs w:val="18"/>
        <w:lang w:val="sk-SK"/>
      </w:rPr>
      <w:t>2017/01053-Z1B</w:t>
    </w:r>
  </w:p>
  <w:p w:rsidR="00DB188B" w:rsidRPr="00C24BB6" w:rsidRDefault="00DB188B">
    <w:pPr>
      <w:pStyle w:val="Hlavika"/>
      <w:rPr>
        <w:rFonts w:ascii="Times New Roman" w:hAnsi="Times New Roman"/>
        <w:sz w:val="18"/>
        <w:szCs w:val="18"/>
      </w:rPr>
    </w:pPr>
    <w:r w:rsidRPr="00185559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185559">
      <w:rPr>
        <w:rFonts w:ascii="Times New Roman" w:hAnsi="Times New Roman"/>
        <w:sz w:val="18"/>
        <w:szCs w:val="18"/>
      </w:rPr>
      <w:t xml:space="preserve"> k notifikácii o zmene, ev. č.: 2016/03208-Z1B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CC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D6CDA"/>
    <w:multiLevelType w:val="singleLevel"/>
    <w:tmpl w:val="56C8CE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</w:abstractNum>
  <w:abstractNum w:abstractNumId="2">
    <w:nsid w:val="06203A5F"/>
    <w:multiLevelType w:val="multilevel"/>
    <w:tmpl w:val="148C9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D1D4171"/>
    <w:multiLevelType w:val="hybridMultilevel"/>
    <w:tmpl w:val="AEBA837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472EEC"/>
    <w:multiLevelType w:val="multilevel"/>
    <w:tmpl w:val="B6CA010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0C4452C"/>
    <w:multiLevelType w:val="multilevel"/>
    <w:tmpl w:val="9CAE35B6"/>
    <w:lvl w:ilvl="0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6">
    <w:nsid w:val="285928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48361E"/>
    <w:multiLevelType w:val="singleLevel"/>
    <w:tmpl w:val="D9201FE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2E512444"/>
    <w:multiLevelType w:val="singleLevel"/>
    <w:tmpl w:val="1E18DB0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2F795F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2D5437"/>
    <w:multiLevelType w:val="hybridMultilevel"/>
    <w:tmpl w:val="284C31F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ED23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81530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B33714"/>
    <w:multiLevelType w:val="hybridMultilevel"/>
    <w:tmpl w:val="09401942"/>
    <w:lvl w:ilvl="0" w:tplc="D4066556">
      <w:start w:val="1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25C5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5770C7C"/>
    <w:multiLevelType w:val="hybridMultilevel"/>
    <w:tmpl w:val="2D0A2C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67549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0E39EF"/>
    <w:multiLevelType w:val="singleLevel"/>
    <w:tmpl w:val="755E1E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8">
    <w:nsid w:val="5E813DAB"/>
    <w:multiLevelType w:val="hybridMultilevel"/>
    <w:tmpl w:val="7A34ABA8"/>
    <w:lvl w:ilvl="0" w:tplc="0C0A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9">
    <w:nsid w:val="66EC3447"/>
    <w:multiLevelType w:val="hybridMultilevel"/>
    <w:tmpl w:val="9CAE35B6"/>
    <w:lvl w:ilvl="0" w:tplc="61765EE8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0">
    <w:nsid w:val="72DC3265"/>
    <w:multiLevelType w:val="hybridMultilevel"/>
    <w:tmpl w:val="00B6B91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787573D1"/>
    <w:multiLevelType w:val="singleLevel"/>
    <w:tmpl w:val="C87CC42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12"/>
  </w:num>
  <w:num w:numId="5">
    <w:abstractNumId w:val="6"/>
  </w:num>
  <w:num w:numId="6">
    <w:abstractNumId w:val="14"/>
  </w:num>
  <w:num w:numId="7">
    <w:abstractNumId w:val="0"/>
  </w:num>
  <w:num w:numId="8">
    <w:abstractNumId w:val="8"/>
  </w:num>
  <w:num w:numId="9">
    <w:abstractNumId w:val="1"/>
  </w:num>
  <w:num w:numId="10">
    <w:abstractNumId w:val="19"/>
  </w:num>
  <w:num w:numId="11">
    <w:abstractNumId w:val="5"/>
  </w:num>
  <w:num w:numId="12">
    <w:abstractNumId w:val="18"/>
  </w:num>
  <w:num w:numId="13">
    <w:abstractNumId w:val="11"/>
  </w:num>
  <w:num w:numId="14">
    <w:abstractNumId w:val="9"/>
  </w:num>
  <w:num w:numId="15">
    <w:abstractNumId w:val="21"/>
  </w:num>
  <w:num w:numId="16">
    <w:abstractNumId w:val="4"/>
  </w:num>
  <w:num w:numId="17">
    <w:abstractNumId w:val="2"/>
  </w:num>
  <w:num w:numId="18">
    <w:abstractNumId w:val="15"/>
  </w:num>
  <w:num w:numId="19">
    <w:abstractNumId w:val="20"/>
  </w:num>
  <w:num w:numId="20">
    <w:abstractNumId w:val="3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67"/>
  <w:hyphenationZone w:val="70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00"/>
    <w:rsid w:val="00010F9A"/>
    <w:rsid w:val="00030E5B"/>
    <w:rsid w:val="00052662"/>
    <w:rsid w:val="00065B7D"/>
    <w:rsid w:val="00080B95"/>
    <w:rsid w:val="000A54E0"/>
    <w:rsid w:val="000C40B7"/>
    <w:rsid w:val="000F6F55"/>
    <w:rsid w:val="00135CE8"/>
    <w:rsid w:val="00185559"/>
    <w:rsid w:val="00283798"/>
    <w:rsid w:val="002B74EF"/>
    <w:rsid w:val="002C0096"/>
    <w:rsid w:val="002C023E"/>
    <w:rsid w:val="00301DDB"/>
    <w:rsid w:val="00333B01"/>
    <w:rsid w:val="00333C6F"/>
    <w:rsid w:val="0034187C"/>
    <w:rsid w:val="003544E2"/>
    <w:rsid w:val="00393DF1"/>
    <w:rsid w:val="003C3456"/>
    <w:rsid w:val="00497E6F"/>
    <w:rsid w:val="004B0CAC"/>
    <w:rsid w:val="004C36F9"/>
    <w:rsid w:val="004D49D4"/>
    <w:rsid w:val="004F4904"/>
    <w:rsid w:val="00524784"/>
    <w:rsid w:val="00563C13"/>
    <w:rsid w:val="00566DD6"/>
    <w:rsid w:val="00591A6C"/>
    <w:rsid w:val="005944AA"/>
    <w:rsid w:val="005F2328"/>
    <w:rsid w:val="005F4B00"/>
    <w:rsid w:val="006A0E7C"/>
    <w:rsid w:val="006C0304"/>
    <w:rsid w:val="00710DE9"/>
    <w:rsid w:val="00731D00"/>
    <w:rsid w:val="00772004"/>
    <w:rsid w:val="00784693"/>
    <w:rsid w:val="007A219A"/>
    <w:rsid w:val="007F3ED4"/>
    <w:rsid w:val="00847CE0"/>
    <w:rsid w:val="008C5546"/>
    <w:rsid w:val="008F41DB"/>
    <w:rsid w:val="00902701"/>
    <w:rsid w:val="00903AFC"/>
    <w:rsid w:val="0091223A"/>
    <w:rsid w:val="009350B1"/>
    <w:rsid w:val="00943108"/>
    <w:rsid w:val="00977CC6"/>
    <w:rsid w:val="009D24C6"/>
    <w:rsid w:val="00A2394C"/>
    <w:rsid w:val="00A405D8"/>
    <w:rsid w:val="00A613CC"/>
    <w:rsid w:val="00B1192B"/>
    <w:rsid w:val="00B17B32"/>
    <w:rsid w:val="00B73CF2"/>
    <w:rsid w:val="00BB5806"/>
    <w:rsid w:val="00C24BB6"/>
    <w:rsid w:val="00C37CD4"/>
    <w:rsid w:val="00C44AEA"/>
    <w:rsid w:val="00C82D18"/>
    <w:rsid w:val="00D134F6"/>
    <w:rsid w:val="00D41A82"/>
    <w:rsid w:val="00D8787F"/>
    <w:rsid w:val="00DA3AB7"/>
    <w:rsid w:val="00DB188B"/>
    <w:rsid w:val="00DB798D"/>
    <w:rsid w:val="00E065B6"/>
    <w:rsid w:val="00E15D0F"/>
    <w:rsid w:val="00E726DC"/>
    <w:rsid w:val="00E733DC"/>
    <w:rsid w:val="00E8427A"/>
    <w:rsid w:val="00EF3D7D"/>
    <w:rsid w:val="00F01522"/>
    <w:rsid w:val="00F116FD"/>
    <w:rsid w:val="00F16F0E"/>
    <w:rsid w:val="00F474B8"/>
    <w:rsid w:val="00F511BD"/>
    <w:rsid w:val="00F6416E"/>
    <w:rsid w:val="00F92D67"/>
    <w:rsid w:val="00FB4F93"/>
    <w:rsid w:val="00FC1B56"/>
    <w:rsid w:val="00FD2339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D30DE6-98FD-4819-8516-B6D6BE7E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ascii="Courier" w:hAnsi="Courier"/>
      <w:sz w:val="24"/>
      <w:lang w:val="nl-NL"/>
    </w:rPr>
  </w:style>
  <w:style w:type="paragraph" w:styleId="Nadpis1">
    <w:name w:val="heading 1"/>
    <w:basedOn w:val="Normlny"/>
    <w:next w:val="Normlny"/>
    <w:qFormat/>
    <w:pPr>
      <w:keepNext/>
      <w:tabs>
        <w:tab w:val="left" w:pos="-1440"/>
        <w:tab w:val="left" w:pos="-720"/>
      </w:tabs>
      <w:ind w:left="720"/>
      <w:outlineLvl w:val="0"/>
    </w:pPr>
    <w:rPr>
      <w:rFonts w:ascii="Arial" w:hAnsi="Arial"/>
      <w:i/>
      <w:sz w:val="20"/>
    </w:rPr>
  </w:style>
  <w:style w:type="paragraph" w:styleId="Nadpis2">
    <w:name w:val="heading 2"/>
    <w:basedOn w:val="Normlny"/>
    <w:next w:val="Normlny"/>
    <w:qFormat/>
    <w:pPr>
      <w:keepNext/>
      <w:tabs>
        <w:tab w:val="left" w:pos="-1440"/>
        <w:tab w:val="left" w:pos="-720"/>
      </w:tabs>
      <w:ind w:left="720"/>
      <w:outlineLvl w:val="1"/>
    </w:pPr>
    <w:rPr>
      <w:rFonts w:ascii="Arial" w:hAnsi="Arial"/>
      <w:sz w:val="20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-1440"/>
        <w:tab w:val="left" w:pos="-720"/>
      </w:tabs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y"/>
    <w:next w:val="Normlny"/>
    <w:qFormat/>
    <w:pPr>
      <w:keepNext/>
      <w:tabs>
        <w:tab w:val="left" w:pos="-1440"/>
        <w:tab w:val="left" w:pos="-720"/>
      </w:tabs>
      <w:outlineLvl w:val="3"/>
    </w:pPr>
    <w:rPr>
      <w:rFonts w:ascii="Arial" w:hAnsi="Arial"/>
      <w:sz w:val="20"/>
      <w:u w:val="single"/>
    </w:rPr>
  </w:style>
  <w:style w:type="paragraph" w:styleId="Nadpis5">
    <w:name w:val="heading 5"/>
    <w:basedOn w:val="Normlny"/>
    <w:next w:val="Normlny"/>
    <w:qFormat/>
    <w:pPr>
      <w:keepNext/>
      <w:tabs>
        <w:tab w:val="left" w:pos="-1440"/>
        <w:tab w:val="left" w:pos="-720"/>
      </w:tabs>
      <w:ind w:left="709"/>
      <w:jc w:val="both"/>
      <w:outlineLvl w:val="4"/>
    </w:pPr>
    <w:rPr>
      <w:rFonts w:ascii="Arial" w:hAnsi="Arial"/>
      <w:sz w:val="20"/>
      <w:u w:val="single"/>
    </w:rPr>
  </w:style>
  <w:style w:type="paragraph" w:styleId="Nadpis6">
    <w:name w:val="heading 6"/>
    <w:basedOn w:val="Normlny"/>
    <w:next w:val="Normlny"/>
    <w:qFormat/>
    <w:pPr>
      <w:keepNext/>
      <w:ind w:left="709" w:firstLine="11"/>
      <w:outlineLvl w:val="5"/>
    </w:pPr>
    <w:rPr>
      <w:rFonts w:ascii="Arial" w:hAnsi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suppressAutoHyphens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caps/>
      <w:lang w:val="sk-SK"/>
    </w:rPr>
  </w:style>
  <w:style w:type="paragraph" w:styleId="Nadpis8">
    <w:name w:val="heading 8"/>
    <w:basedOn w:val="Normlny"/>
    <w:next w:val="Normlny"/>
    <w:qFormat/>
    <w:pPr>
      <w:keepNext/>
      <w:ind w:left="567"/>
      <w:outlineLvl w:val="7"/>
    </w:pPr>
    <w:rPr>
      <w:rFonts w:ascii="Times New Roman" w:hAnsi="Times New Roman"/>
      <w:b/>
      <w:bCs/>
      <w:iCs/>
      <w:color w:val="000000"/>
      <w:sz w:val="22"/>
      <w:szCs w:val="22"/>
      <w:lang w:val="en-GB"/>
    </w:rPr>
  </w:style>
  <w:style w:type="paragraph" w:styleId="Nadpis9">
    <w:name w:val="heading 9"/>
    <w:basedOn w:val="Normlny"/>
    <w:next w:val="Normlny"/>
    <w:qFormat/>
    <w:pPr>
      <w:keepNext/>
      <w:tabs>
        <w:tab w:val="left" w:pos="-1440"/>
        <w:tab w:val="left" w:pos="-720"/>
      </w:tabs>
      <w:outlineLvl w:val="8"/>
    </w:pPr>
    <w:rPr>
      <w:rFonts w:ascii="Times New Roman" w:hAnsi="Times New Roman"/>
      <w:sz w:val="22"/>
      <w:szCs w:val="24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semiHidden/>
  </w:style>
  <w:style w:type="character" w:styleId="Odkaznavysvetlivku">
    <w:name w:val="endnote reference"/>
    <w:semiHidden/>
    <w:rPr>
      <w:rFonts w:cs="Times New Roman"/>
      <w:vertAlign w:val="superscript"/>
    </w:rPr>
  </w:style>
  <w:style w:type="paragraph" w:styleId="Textpoznmkypodiarou">
    <w:name w:val="footnote text"/>
    <w:basedOn w:val="Normlny"/>
    <w:semiHidden/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rPr>
      <w:rFonts w:cs="Times New Roman"/>
    </w:rPr>
  </w:style>
  <w:style w:type="character" w:customStyle="1" w:styleId="Bibliografie1">
    <w:name w:val="Bibliografie1"/>
    <w:rPr>
      <w:rFonts w:cs="Times New Roman"/>
    </w:rPr>
  </w:style>
  <w:style w:type="character" w:customStyle="1" w:styleId="Dokument5">
    <w:name w:val="Dokument 5"/>
    <w:rPr>
      <w:rFonts w:cs="Times New Roman"/>
    </w:rPr>
  </w:style>
  <w:style w:type="character" w:customStyle="1" w:styleId="Dokument6">
    <w:name w:val="Dokument 6"/>
    <w:rPr>
      <w:rFonts w:cs="Times New Roman"/>
    </w:rPr>
  </w:style>
  <w:style w:type="character" w:customStyle="1" w:styleId="Dokument4">
    <w:name w:val="Dokument 4"/>
    <w:rPr>
      <w:rFonts w:cs="Times New Roman"/>
      <w:b/>
      <w:i/>
      <w:sz w:val="24"/>
    </w:rPr>
  </w:style>
  <w:style w:type="character" w:customStyle="1" w:styleId="Alineanummer2">
    <w:name w:val="Alineanummer 2"/>
    <w:rPr>
      <w:rFonts w:cs="Times New Roman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customStyle="1" w:styleId="Alineanummer3">
    <w:name w:val="Alineanummer 3"/>
    <w:rPr>
      <w:rFonts w:cs="Times New Roman"/>
    </w:rPr>
  </w:style>
  <w:style w:type="character" w:customStyle="1" w:styleId="Alineanummer4">
    <w:name w:val="Alineanummer 4"/>
    <w:rPr>
      <w:rFonts w:cs="Times New Roman"/>
    </w:rPr>
  </w:style>
  <w:style w:type="character" w:customStyle="1" w:styleId="Alineanummer5">
    <w:name w:val="Alineanummer 5"/>
    <w:rPr>
      <w:rFonts w:cs="Times New Roman"/>
    </w:rPr>
  </w:style>
  <w:style w:type="character" w:customStyle="1" w:styleId="Alineanummer6">
    <w:name w:val="Alineanummer 6"/>
    <w:rPr>
      <w:rFonts w:cs="Times New Roman"/>
    </w:rPr>
  </w:style>
  <w:style w:type="character" w:customStyle="1" w:styleId="Dokument2">
    <w:name w:val="Dokument 2"/>
    <w:rPr>
      <w:rFonts w:ascii="Courier" w:hAnsi="Courier" w:cs="Times New Roman"/>
      <w:sz w:val="24"/>
      <w:lang w:val="en-US"/>
    </w:rPr>
  </w:style>
  <w:style w:type="character" w:customStyle="1" w:styleId="Alineanummer7">
    <w:name w:val="Alineanummer 7"/>
    <w:rPr>
      <w:rFonts w:cs="Times New Roman"/>
    </w:rPr>
  </w:style>
  <w:style w:type="character" w:customStyle="1" w:styleId="Alineanummer8">
    <w:name w:val="Alineanummer 8"/>
    <w:rPr>
      <w:rFonts w:cs="Times New Roman"/>
    </w:rPr>
  </w:style>
  <w:style w:type="character" w:customStyle="1" w:styleId="Techninit">
    <w:name w:val="Techn init"/>
    <w:rPr>
      <w:rFonts w:ascii="Courier" w:hAnsi="Courier" w:cs="Times New Roman"/>
      <w:sz w:val="24"/>
      <w:lang w:val="en-US"/>
    </w:rPr>
  </w:style>
  <w:style w:type="character" w:customStyle="1" w:styleId="Dokuinit">
    <w:name w:val="Doku init"/>
    <w:rPr>
      <w:rFonts w:cs="Times New Roman"/>
    </w:rPr>
  </w:style>
  <w:style w:type="character" w:customStyle="1" w:styleId="Dokument3">
    <w:name w:val="Dokument 3"/>
    <w:rPr>
      <w:rFonts w:ascii="Courier" w:hAnsi="Courier" w:cs="Times New Roman"/>
      <w:sz w:val="24"/>
      <w:lang w:val="en-US"/>
    </w:rPr>
  </w:style>
  <w:style w:type="character" w:customStyle="1" w:styleId="Dokument7">
    <w:name w:val="Dokument 7"/>
    <w:rPr>
      <w:rFonts w:cs="Times New Roman"/>
    </w:rPr>
  </w:style>
  <w:style w:type="character" w:customStyle="1" w:styleId="Dokument8">
    <w:name w:val="Dokument 8"/>
    <w:rPr>
      <w:rFonts w:cs="Times New Roman"/>
    </w:rPr>
  </w:style>
  <w:style w:type="character" w:customStyle="1" w:styleId="Technisch1">
    <w:name w:val="Technisch 1"/>
    <w:rPr>
      <w:rFonts w:ascii="Courier" w:hAnsi="Courier" w:cs="Times New Roman"/>
      <w:sz w:val="24"/>
      <w:lang w:val="en-US"/>
    </w:rPr>
  </w:style>
  <w:style w:type="character" w:customStyle="1" w:styleId="Technisch2">
    <w:name w:val="Technisch 2"/>
    <w:rPr>
      <w:rFonts w:ascii="Courier" w:hAnsi="Courier" w:cs="Times New Roman"/>
      <w:sz w:val="24"/>
      <w:lang w:val="en-US"/>
    </w:rPr>
  </w:style>
  <w:style w:type="character" w:customStyle="1" w:styleId="Technisch3">
    <w:name w:val="Technisch 3"/>
    <w:rPr>
      <w:rFonts w:ascii="Courier" w:hAnsi="Courier" w:cs="Times New Roman"/>
      <w:sz w:val="24"/>
      <w:lang w:val="en-US"/>
    </w:rPr>
  </w:style>
  <w:style w:type="character" w:customStyle="1" w:styleId="Technisch5">
    <w:name w:val="Technisch 5"/>
    <w:rPr>
      <w:rFonts w:cs="Times New Roman"/>
    </w:rPr>
  </w:style>
  <w:style w:type="character" w:customStyle="1" w:styleId="Technisch6">
    <w:name w:val="Technisch 6"/>
    <w:rPr>
      <w:rFonts w:cs="Times New Roman"/>
    </w:rPr>
  </w:style>
  <w:style w:type="character" w:customStyle="1" w:styleId="Technisch7">
    <w:name w:val="Technisch 7"/>
    <w:rPr>
      <w:rFonts w:cs="Times New Roman"/>
    </w:rPr>
  </w:style>
  <w:style w:type="character" w:customStyle="1" w:styleId="Technisch4">
    <w:name w:val="Technisch 4"/>
    <w:rPr>
      <w:rFonts w:cs="Times New Roman"/>
    </w:rPr>
  </w:style>
  <w:style w:type="character" w:customStyle="1" w:styleId="Technisch8">
    <w:name w:val="Technisch 8"/>
    <w:rPr>
      <w:rFonts w:cs="Times New Roman"/>
    </w:rPr>
  </w:style>
  <w:style w:type="character" w:customStyle="1" w:styleId="1">
    <w:name w:val="1"/>
    <w:rPr>
      <w:rFonts w:ascii="Courier" w:hAnsi="Courier" w:cs="Times New Roman"/>
      <w:sz w:val="24"/>
      <w:lang w:val="en-US"/>
    </w:rPr>
  </w:style>
  <w:style w:type="paragraph" w:customStyle="1" w:styleId="inhopg1">
    <w:name w:val="inhopg 1"/>
    <w:basedOn w:val="Normlny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lny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lny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lny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lny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lny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lny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lny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lny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Register2">
    <w:name w:val="index 2"/>
    <w:basedOn w:val="Normlny"/>
    <w:next w:val="Normlny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lny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lny"/>
  </w:style>
  <w:style w:type="character" w:customStyle="1" w:styleId="EquationCaption">
    <w:name w:val="_Equation Caption"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tabs>
        <w:tab w:val="left" w:pos="-1440"/>
        <w:tab w:val="left" w:pos="-720"/>
        <w:tab w:val="left" w:pos="0"/>
      </w:tabs>
      <w:ind w:left="720" w:hanging="720"/>
    </w:pPr>
    <w:rPr>
      <w:rFonts w:ascii="Univers" w:hAnsi="Univers"/>
      <w:sz w:val="20"/>
    </w:rPr>
  </w:style>
  <w:style w:type="paragraph" w:styleId="Zarkazkladnhotextu2">
    <w:name w:val="Body Text Indent 2"/>
    <w:basedOn w:val="Normlny"/>
    <w:semiHidden/>
    <w:pPr>
      <w:tabs>
        <w:tab w:val="left" w:pos="-1440"/>
        <w:tab w:val="left" w:pos="-720"/>
        <w:tab w:val="left" w:pos="709"/>
      </w:tabs>
      <w:ind w:left="709" w:hanging="709"/>
    </w:pPr>
    <w:rPr>
      <w:rFonts w:ascii="Univers" w:hAnsi="Univers"/>
      <w:sz w:val="20"/>
    </w:rPr>
  </w:style>
  <w:style w:type="paragraph" w:styleId="Zarkazkladnhotextu3">
    <w:name w:val="Body Text Indent 3"/>
    <w:basedOn w:val="Normlny"/>
    <w:semiHidden/>
    <w:pPr>
      <w:tabs>
        <w:tab w:val="left" w:pos="-1440"/>
        <w:tab w:val="left" w:pos="-720"/>
      </w:tabs>
      <w:ind w:left="709"/>
    </w:pPr>
    <w:rPr>
      <w:rFonts w:ascii="Univers" w:hAnsi="Univers"/>
      <w:sz w:val="20"/>
    </w:rPr>
  </w:style>
  <w:style w:type="paragraph" w:styleId="Zkladntext">
    <w:name w:val="Body Text"/>
    <w:basedOn w:val="Normlny"/>
    <w:semiHidden/>
    <w:pPr>
      <w:tabs>
        <w:tab w:val="left" w:pos="-1440"/>
        <w:tab w:val="left" w:pos="-720"/>
      </w:tabs>
    </w:pPr>
    <w:rPr>
      <w:rFonts w:ascii="Arial" w:hAnsi="Arial"/>
      <w:sz w:val="20"/>
    </w:rPr>
  </w:style>
  <w:style w:type="paragraph" w:styleId="Textbubliny">
    <w:name w:val="Balloon Text"/>
    <w:basedOn w:val="Normlny"/>
    <w:semiHidden/>
    <w:rPr>
      <w:rFonts w:ascii="Times New Roman" w:hAnsi="Times New Roman"/>
      <w:sz w:val="16"/>
      <w:szCs w:val="16"/>
    </w:rPr>
  </w:style>
  <w:style w:type="paragraph" w:customStyle="1" w:styleId="WfxFaxNum">
    <w:name w:val="WfxFaxNum"/>
    <w:basedOn w:val="Normlny"/>
    <w:pPr>
      <w:widowControl/>
    </w:pPr>
    <w:rPr>
      <w:rFonts w:ascii="Arial Narrow" w:hAnsi="Arial Narrow"/>
      <w:sz w:val="20"/>
      <w:lang w:val="es-ES_tradnl"/>
    </w:rPr>
  </w:style>
  <w:style w:type="paragraph" w:customStyle="1" w:styleId="Standard">
    <w:name w:val="Standard"/>
    <w:basedOn w:val="Normlny"/>
    <w:next w:val="Normlny"/>
    <w:pPr>
      <w:widowControl/>
      <w:autoSpaceDE w:val="0"/>
      <w:autoSpaceDN w:val="0"/>
      <w:adjustRightInd w:val="0"/>
    </w:pPr>
    <w:rPr>
      <w:rFonts w:ascii="Times New Roman" w:hAnsi="Times New Roman"/>
      <w:szCs w:val="24"/>
      <w:lang w:val="es-ES" w:eastAsia="es-ES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CM15">
    <w:name w:val="CM15"/>
    <w:basedOn w:val="Normlny"/>
    <w:next w:val="Normlny"/>
    <w:pPr>
      <w:autoSpaceDE w:val="0"/>
      <w:autoSpaceDN w:val="0"/>
      <w:adjustRightInd w:val="0"/>
      <w:spacing w:after="253"/>
    </w:pPr>
    <w:rPr>
      <w:rFonts w:ascii="Times New Roman" w:hAnsi="Times New Roman"/>
      <w:snapToGrid w:val="0"/>
      <w:szCs w:val="24"/>
      <w:lang w:val="sk-SK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semiHidden/>
    <w:unhideWhenUsed/>
    <w:rPr>
      <w:sz w:val="20"/>
    </w:rPr>
  </w:style>
  <w:style w:type="character" w:customStyle="1" w:styleId="TextkomentraChar">
    <w:name w:val="Text komentára Char"/>
    <w:semiHidden/>
    <w:rPr>
      <w:rFonts w:ascii="Courier" w:hAnsi="Courier"/>
      <w:lang w:val="nl-NL"/>
    </w:rPr>
  </w:style>
  <w:style w:type="paragraph" w:styleId="Predmetkomentra">
    <w:name w:val="annotation subject"/>
    <w:basedOn w:val="Textkomentra"/>
    <w:next w:val="Textkomentra"/>
    <w:semiHidden/>
    <w:unhideWhenUsed/>
    <w:rPr>
      <w:b/>
      <w:bCs/>
    </w:rPr>
  </w:style>
  <w:style w:type="character" w:customStyle="1" w:styleId="PredmetkomentraChar">
    <w:name w:val="Predmet komentára Char"/>
    <w:semiHidden/>
    <w:rPr>
      <w:rFonts w:ascii="Courier" w:hAnsi="Courier"/>
      <w:b/>
      <w:bCs/>
      <w:lang w:val="nl-NL"/>
    </w:rPr>
  </w:style>
  <w:style w:type="character" w:styleId="Hypertextovprepojenie">
    <w:name w:val="Hyperlink"/>
    <w:semiHidden/>
    <w:unhideWhenUsed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5F4B00"/>
    <w:rPr>
      <w:rFonts w:ascii="Courier" w:hAnsi="Courier"/>
      <w:sz w:val="24"/>
      <w:lang w:val="nl-NL"/>
    </w:rPr>
  </w:style>
  <w:style w:type="paragraph" w:customStyle="1" w:styleId="Text">
    <w:name w:val="Text"/>
    <w:link w:val="TextChar1"/>
    <w:rsid w:val="00B17B32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paragraph" w:customStyle="1" w:styleId="Default">
    <w:name w:val="Default"/>
    <w:rsid w:val="00135CE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Char1">
    <w:name w:val="Text Char1"/>
    <w:link w:val="Text"/>
    <w:locked/>
    <w:rsid w:val="00E726DC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5470</Words>
  <Characters>31185</Characters>
  <Application>Microsoft Office Word</Application>
  <DocSecurity>0</DocSecurity>
  <Lines>259</Lines>
  <Paragraphs>73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36582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R-Pharmaservices</dc:creator>
  <cp:lastModifiedBy>Malychová, Daniela</cp:lastModifiedBy>
  <cp:revision>3</cp:revision>
  <cp:lastPrinted>2009-04-29T10:17:00Z</cp:lastPrinted>
  <dcterms:created xsi:type="dcterms:W3CDTF">2021-01-13T08:52:00Z</dcterms:created>
  <dcterms:modified xsi:type="dcterms:W3CDTF">2021-01-13T08:52:00Z</dcterms:modified>
</cp:coreProperties>
</file>