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EB3" w:rsidRPr="00561EB3" w:rsidRDefault="00FF0F4F" w:rsidP="00561EB3">
      <w:pPr>
        <w:widowControl w:val="0"/>
        <w:rPr>
          <w:sz w:val="18"/>
          <w:szCs w:val="18"/>
          <w:lang w:val="sk-SK"/>
        </w:rPr>
      </w:pPr>
      <w:r>
        <w:rPr>
          <w:noProof/>
          <w:sz w:val="18"/>
          <w:szCs w:val="18"/>
          <w:lang w:val="pt-PT"/>
        </w:rPr>
        <w:t>Príloha č.2 k notifikácii o zmene, ev.č.: 2020/06426-ZIA</w:t>
      </w:r>
    </w:p>
    <w:p w:rsidR="00561EB3" w:rsidRPr="00561EB3" w:rsidRDefault="00561EB3" w:rsidP="00825CF6">
      <w:pPr>
        <w:widowControl w:val="0"/>
        <w:jc w:val="center"/>
        <w:rPr>
          <w:b/>
          <w:lang w:val="sk-SK"/>
        </w:rPr>
      </w:pPr>
    </w:p>
    <w:p w:rsidR="001D29E6" w:rsidRPr="005F6F71" w:rsidRDefault="007965AF" w:rsidP="00825CF6">
      <w:pPr>
        <w:widowControl w:val="0"/>
        <w:jc w:val="center"/>
        <w:rPr>
          <w:b/>
          <w:lang w:val="sk-SK"/>
        </w:rPr>
      </w:pPr>
      <w:r w:rsidRPr="005F6F71">
        <w:rPr>
          <w:b/>
          <w:lang w:val="sk-SK"/>
        </w:rPr>
        <w:t>SÚHRN CHARAKTERISTICKÝCH VLASTNOSTÍ LIEKU</w:t>
      </w:r>
    </w:p>
    <w:p w:rsidR="005A3204" w:rsidRPr="005F6F71" w:rsidRDefault="005A3204" w:rsidP="00825CF6">
      <w:pPr>
        <w:widowControl w:val="0"/>
        <w:jc w:val="center"/>
        <w:rPr>
          <w:bCs/>
          <w:iCs/>
          <w:noProof/>
          <w:lang w:val="sk-SK"/>
        </w:rPr>
      </w:pPr>
    </w:p>
    <w:p w:rsidR="00C45C2C" w:rsidRPr="005F6F71" w:rsidRDefault="00C45C2C" w:rsidP="00825CF6">
      <w:pPr>
        <w:widowControl w:val="0"/>
        <w:rPr>
          <w:szCs w:val="22"/>
          <w:lang w:val="sk-SK"/>
        </w:rPr>
      </w:pPr>
    </w:p>
    <w:p w:rsidR="001D29E6" w:rsidRPr="005F6F71" w:rsidRDefault="001D29E6" w:rsidP="000C1913">
      <w:pPr>
        <w:widowControl w:val="0"/>
        <w:rPr>
          <w:lang w:val="sk-SK"/>
        </w:rPr>
      </w:pPr>
      <w:r w:rsidRPr="005F6F71">
        <w:rPr>
          <w:b/>
          <w:bCs/>
          <w:iCs/>
          <w:noProof/>
          <w:lang w:val="sk-SK"/>
        </w:rPr>
        <w:t>1</w:t>
      </w:r>
      <w:r w:rsidRPr="005F6F71">
        <w:rPr>
          <w:bCs/>
          <w:iCs/>
          <w:noProof/>
          <w:lang w:val="sk-SK"/>
        </w:rPr>
        <w:t>.</w:t>
      </w:r>
      <w:r w:rsidRPr="005F6F71">
        <w:rPr>
          <w:bCs/>
          <w:iCs/>
          <w:noProof/>
          <w:lang w:val="sk-SK"/>
        </w:rPr>
        <w:tab/>
      </w:r>
      <w:r w:rsidR="007965AF" w:rsidRPr="005F6F71">
        <w:rPr>
          <w:b/>
          <w:lang w:val="sk-SK"/>
        </w:rPr>
        <w:t>NÁZOV LIEKU</w:t>
      </w:r>
    </w:p>
    <w:p w:rsidR="001D29E6" w:rsidRPr="005F6F71" w:rsidRDefault="001D29E6" w:rsidP="000C1913">
      <w:pPr>
        <w:rPr>
          <w:iCs/>
          <w:lang w:val="sk-SK"/>
        </w:rPr>
      </w:pPr>
    </w:p>
    <w:p w:rsidR="001D29E6" w:rsidRPr="005F6F71" w:rsidRDefault="00DF6DB6" w:rsidP="000C1913">
      <w:pPr>
        <w:rPr>
          <w:noProof/>
          <w:lang w:val="sk-SK"/>
        </w:rPr>
      </w:pPr>
      <w:proofErr w:type="spellStart"/>
      <w:r w:rsidRPr="005F6F71">
        <w:rPr>
          <w:lang w:val="sk-SK"/>
        </w:rPr>
        <w:t>Nocdurna</w:t>
      </w:r>
      <w:proofErr w:type="spellEnd"/>
      <w:r w:rsidR="00456A38" w:rsidRPr="005F6F71">
        <w:rPr>
          <w:lang w:val="sk-SK"/>
        </w:rPr>
        <w:t xml:space="preserve"> 25 </w:t>
      </w:r>
      <w:proofErr w:type="spellStart"/>
      <w:r w:rsidR="007965AF" w:rsidRPr="005F6F71">
        <w:rPr>
          <w:lang w:val="sk-SK"/>
        </w:rPr>
        <w:t>mikrogramov</w:t>
      </w:r>
      <w:proofErr w:type="spellEnd"/>
      <w:r w:rsidR="007965AF" w:rsidRPr="005F6F71">
        <w:rPr>
          <w:lang w:val="sk-SK"/>
        </w:rPr>
        <w:t xml:space="preserve"> </w:t>
      </w:r>
    </w:p>
    <w:p w:rsidR="00456A38" w:rsidRDefault="00DF6DB6" w:rsidP="00456A38">
      <w:pPr>
        <w:tabs>
          <w:tab w:val="clear" w:pos="567"/>
        </w:tabs>
        <w:spacing w:line="240" w:lineRule="auto"/>
        <w:rPr>
          <w:noProof/>
          <w:lang w:val="sk-SK"/>
        </w:rPr>
      </w:pPr>
      <w:r w:rsidRPr="005F6F71">
        <w:rPr>
          <w:noProof/>
          <w:lang w:val="sk-SK"/>
        </w:rPr>
        <w:t>Nocdurna</w:t>
      </w:r>
      <w:r w:rsidR="00456A38" w:rsidRPr="005F6F71">
        <w:rPr>
          <w:noProof/>
          <w:lang w:val="sk-SK"/>
        </w:rPr>
        <w:t xml:space="preserve"> 50 </w:t>
      </w:r>
      <w:r w:rsidR="007965AF" w:rsidRPr="005F6F71">
        <w:rPr>
          <w:noProof/>
          <w:lang w:val="sk-SK"/>
        </w:rPr>
        <w:t xml:space="preserve">mikrogramov </w:t>
      </w:r>
    </w:p>
    <w:p w:rsidR="00C020E7" w:rsidRPr="005F6F71" w:rsidRDefault="00C020E7" w:rsidP="00456A38">
      <w:pPr>
        <w:tabs>
          <w:tab w:val="clear" w:pos="567"/>
        </w:tabs>
        <w:spacing w:line="240" w:lineRule="auto"/>
        <w:rPr>
          <w:noProof/>
          <w:lang w:val="sk-SK"/>
        </w:rPr>
      </w:pPr>
      <w:r>
        <w:rPr>
          <w:noProof/>
          <w:lang w:val="sk-SK"/>
        </w:rPr>
        <w:t>perorálny lyofilizát</w:t>
      </w:r>
    </w:p>
    <w:p w:rsidR="00456A38" w:rsidRPr="005F6F71" w:rsidRDefault="00456A38" w:rsidP="000C1913">
      <w:pPr>
        <w:rPr>
          <w:lang w:val="sk-SK"/>
        </w:rPr>
      </w:pPr>
    </w:p>
    <w:p w:rsidR="001D29E6" w:rsidRPr="005F6F71" w:rsidRDefault="001D29E6" w:rsidP="000C1913">
      <w:pPr>
        <w:widowControl w:val="0"/>
        <w:rPr>
          <w:lang w:val="sk-SK"/>
        </w:rPr>
      </w:pPr>
    </w:p>
    <w:p w:rsidR="001D29E6" w:rsidRPr="005F6F71" w:rsidRDefault="001D29E6" w:rsidP="000C1913">
      <w:pPr>
        <w:widowControl w:val="0"/>
        <w:rPr>
          <w:lang w:val="sk-SK"/>
        </w:rPr>
      </w:pPr>
      <w:r w:rsidRPr="005F6F71">
        <w:rPr>
          <w:b/>
          <w:lang w:val="sk-SK"/>
        </w:rPr>
        <w:t>2.</w:t>
      </w:r>
      <w:r w:rsidRPr="005F6F71">
        <w:rPr>
          <w:b/>
          <w:lang w:val="sk-SK"/>
        </w:rPr>
        <w:tab/>
      </w:r>
      <w:r w:rsidR="007965AF" w:rsidRPr="005F6F71">
        <w:rPr>
          <w:b/>
          <w:lang w:val="sk-SK"/>
        </w:rPr>
        <w:t>KVALITATÍVNE A KVANTITATÍVNE ZLOŽENIE</w:t>
      </w:r>
    </w:p>
    <w:p w:rsidR="001D29E6" w:rsidRPr="005F6F71" w:rsidRDefault="001D29E6" w:rsidP="000C1913">
      <w:pPr>
        <w:rPr>
          <w:lang w:val="sk-SK"/>
        </w:rPr>
      </w:pPr>
    </w:p>
    <w:p w:rsidR="0021151E" w:rsidRPr="005F6F71" w:rsidRDefault="007965AF" w:rsidP="00CF3623">
      <w:pPr>
        <w:pStyle w:val="Zkladntext"/>
        <w:rPr>
          <w:i w:val="0"/>
          <w:color w:val="auto"/>
          <w:sz w:val="24"/>
          <w:lang w:val="sk-SK"/>
        </w:rPr>
      </w:pPr>
      <w:r w:rsidRPr="005F6F71">
        <w:rPr>
          <w:i w:val="0"/>
          <w:color w:val="auto"/>
          <w:lang w:val="sk-SK"/>
        </w:rPr>
        <w:t xml:space="preserve">Každý perorálny </w:t>
      </w:r>
      <w:proofErr w:type="spellStart"/>
      <w:r w:rsidRPr="005F6F71">
        <w:rPr>
          <w:i w:val="0"/>
          <w:color w:val="auto"/>
          <w:lang w:val="sk-SK"/>
        </w:rPr>
        <w:t>lyofilizát</w:t>
      </w:r>
      <w:proofErr w:type="spellEnd"/>
      <w:r w:rsidRPr="005F6F71">
        <w:rPr>
          <w:i w:val="0"/>
          <w:color w:val="auto"/>
          <w:lang w:val="sk-SK"/>
        </w:rPr>
        <w:t xml:space="preserve"> obsahuje </w:t>
      </w:r>
      <w:proofErr w:type="spellStart"/>
      <w:r w:rsidRPr="005F6F71">
        <w:rPr>
          <w:i w:val="0"/>
          <w:color w:val="auto"/>
          <w:lang w:val="sk-SK"/>
        </w:rPr>
        <w:t>dezmopresín</w:t>
      </w:r>
      <w:proofErr w:type="spellEnd"/>
      <w:r w:rsidRPr="005F6F71">
        <w:rPr>
          <w:i w:val="0"/>
          <w:color w:val="auto"/>
          <w:lang w:val="sk-SK"/>
        </w:rPr>
        <w:t xml:space="preserve"> </w:t>
      </w:r>
      <w:proofErr w:type="spellStart"/>
      <w:r w:rsidRPr="005F6F71">
        <w:rPr>
          <w:i w:val="0"/>
          <w:color w:val="auto"/>
          <w:lang w:val="sk-SK"/>
        </w:rPr>
        <w:t>acetát</w:t>
      </w:r>
      <w:proofErr w:type="spellEnd"/>
      <w:r w:rsidRPr="005F6F71">
        <w:rPr>
          <w:i w:val="0"/>
          <w:color w:val="auto"/>
          <w:lang w:val="sk-SK"/>
        </w:rPr>
        <w:t xml:space="preserve"> zodpovedajúci 25 alebo 50 </w:t>
      </w:r>
      <w:proofErr w:type="spellStart"/>
      <w:r w:rsidRPr="005F6F71">
        <w:rPr>
          <w:i w:val="0"/>
          <w:color w:val="auto"/>
          <w:lang w:val="sk-SK"/>
        </w:rPr>
        <w:t>mikrogramom</w:t>
      </w:r>
      <w:proofErr w:type="spellEnd"/>
      <w:r w:rsidRPr="005F6F71">
        <w:rPr>
          <w:i w:val="0"/>
          <w:color w:val="auto"/>
          <w:lang w:val="sk-SK"/>
        </w:rPr>
        <w:t xml:space="preserve"> </w:t>
      </w:r>
      <w:proofErr w:type="spellStart"/>
      <w:r w:rsidRPr="005F6F71">
        <w:rPr>
          <w:i w:val="0"/>
          <w:color w:val="auto"/>
          <w:lang w:val="sk-SK"/>
        </w:rPr>
        <w:t>dezmopresínu</w:t>
      </w:r>
      <w:proofErr w:type="spellEnd"/>
      <w:r w:rsidR="00BA49E2" w:rsidRPr="005F6F71">
        <w:rPr>
          <w:i w:val="0"/>
          <w:color w:val="auto"/>
          <w:lang w:val="sk-SK"/>
        </w:rPr>
        <w:t>.</w:t>
      </w:r>
    </w:p>
    <w:p w:rsidR="00D46432" w:rsidRPr="005F6F71" w:rsidRDefault="00D46432" w:rsidP="0021151E">
      <w:pPr>
        <w:rPr>
          <w:lang w:val="sk-SK"/>
        </w:rPr>
      </w:pPr>
    </w:p>
    <w:p w:rsidR="007965AF" w:rsidRPr="005F6F71" w:rsidRDefault="007965AF" w:rsidP="0021151E">
      <w:pPr>
        <w:rPr>
          <w:lang w:val="sk-SK"/>
        </w:rPr>
      </w:pPr>
      <w:r w:rsidRPr="005F6F71">
        <w:rPr>
          <w:lang w:val="sk-SK"/>
        </w:rPr>
        <w:t xml:space="preserve">Úplný zoznam pomocných látok, pozri </w:t>
      </w:r>
      <w:r w:rsidR="00561EB3" w:rsidRPr="005F6F71">
        <w:rPr>
          <w:lang w:val="sk-SK"/>
        </w:rPr>
        <w:t>časť</w:t>
      </w:r>
      <w:r w:rsidRPr="005F6F71">
        <w:rPr>
          <w:lang w:val="sk-SK"/>
        </w:rPr>
        <w:t xml:space="preserve"> 6.1.</w:t>
      </w:r>
    </w:p>
    <w:p w:rsidR="00D67367" w:rsidRPr="005F6F71" w:rsidRDefault="00D67367" w:rsidP="0021151E">
      <w:pPr>
        <w:rPr>
          <w:lang w:val="sk-SK"/>
        </w:rPr>
      </w:pPr>
    </w:p>
    <w:p w:rsidR="001D29E6" w:rsidRPr="005F6F71" w:rsidRDefault="001D29E6" w:rsidP="000C1913">
      <w:pPr>
        <w:rPr>
          <w:lang w:val="sk-SK"/>
        </w:rPr>
      </w:pPr>
    </w:p>
    <w:p w:rsidR="001D29E6" w:rsidRPr="005F6F71" w:rsidRDefault="001D29E6" w:rsidP="000C1913">
      <w:pPr>
        <w:ind w:left="567" w:hanging="567"/>
        <w:rPr>
          <w:b/>
          <w:caps/>
          <w:lang w:val="sk-SK"/>
        </w:rPr>
      </w:pPr>
      <w:r w:rsidRPr="005F6F71">
        <w:rPr>
          <w:b/>
          <w:lang w:val="sk-SK"/>
        </w:rPr>
        <w:t>3.</w:t>
      </w:r>
      <w:r w:rsidRPr="005F6F71">
        <w:rPr>
          <w:b/>
          <w:lang w:val="sk-SK"/>
        </w:rPr>
        <w:tab/>
      </w:r>
      <w:r w:rsidR="007965AF" w:rsidRPr="005F6F71">
        <w:rPr>
          <w:b/>
          <w:lang w:val="sk-SK"/>
        </w:rPr>
        <w:t>LIEKOVÁ FORMA</w:t>
      </w:r>
    </w:p>
    <w:p w:rsidR="001D29E6" w:rsidRPr="00CF3623" w:rsidRDefault="001D29E6" w:rsidP="000C1913">
      <w:pPr>
        <w:rPr>
          <w:b/>
          <w:lang w:val="sk-SK"/>
        </w:rPr>
      </w:pPr>
    </w:p>
    <w:p w:rsidR="00D46432" w:rsidRPr="005F6F71" w:rsidRDefault="007965AF" w:rsidP="00CF3623">
      <w:pPr>
        <w:rPr>
          <w:lang w:val="sk-SK"/>
        </w:rPr>
      </w:pPr>
      <w:r w:rsidRPr="005F6F71">
        <w:rPr>
          <w:szCs w:val="22"/>
          <w:lang w:val="sk-SK"/>
        </w:rPr>
        <w:t xml:space="preserve">Perorálny </w:t>
      </w:r>
      <w:proofErr w:type="spellStart"/>
      <w:r w:rsidRPr="005F6F71">
        <w:rPr>
          <w:szCs w:val="22"/>
          <w:lang w:val="sk-SK"/>
        </w:rPr>
        <w:t>lyofilizát</w:t>
      </w:r>
      <w:proofErr w:type="spellEnd"/>
      <w:r w:rsidR="00D67367" w:rsidRPr="005F6F71">
        <w:rPr>
          <w:szCs w:val="22"/>
          <w:lang w:val="sk-SK"/>
        </w:rPr>
        <w:t>.</w:t>
      </w:r>
    </w:p>
    <w:p w:rsidR="00D46432" w:rsidRPr="005F6F71" w:rsidRDefault="00D46432" w:rsidP="00791DD2">
      <w:pPr>
        <w:rPr>
          <w:lang w:val="sk-SK"/>
        </w:rPr>
      </w:pPr>
    </w:p>
    <w:p w:rsidR="0021151E" w:rsidRPr="005F6F71" w:rsidRDefault="00DF6DB6" w:rsidP="00CF3623">
      <w:pPr>
        <w:rPr>
          <w:lang w:val="sk-SK"/>
        </w:rPr>
      </w:pPr>
      <w:proofErr w:type="spellStart"/>
      <w:r w:rsidRPr="005F6F71">
        <w:rPr>
          <w:lang w:val="sk-SK"/>
        </w:rPr>
        <w:t>Nocdurna</w:t>
      </w:r>
      <w:proofErr w:type="spellEnd"/>
      <w:r w:rsidRPr="005F6F71">
        <w:rPr>
          <w:lang w:val="sk-SK"/>
        </w:rPr>
        <w:t xml:space="preserve"> </w:t>
      </w:r>
      <w:r w:rsidR="0021151E" w:rsidRPr="005F6F71">
        <w:rPr>
          <w:lang w:val="sk-SK"/>
        </w:rPr>
        <w:t xml:space="preserve">25 </w:t>
      </w:r>
      <w:proofErr w:type="spellStart"/>
      <w:r w:rsidR="003F5353" w:rsidRPr="005F6F71">
        <w:rPr>
          <w:lang w:val="sk-SK"/>
        </w:rPr>
        <w:t>mi</w:t>
      </w:r>
      <w:r w:rsidR="007965AF" w:rsidRPr="005F6F71">
        <w:rPr>
          <w:lang w:val="sk-SK"/>
        </w:rPr>
        <w:t>k</w:t>
      </w:r>
      <w:r w:rsidR="003F5353" w:rsidRPr="005F6F71">
        <w:rPr>
          <w:lang w:val="sk-SK"/>
        </w:rPr>
        <w:t>rogram</w:t>
      </w:r>
      <w:r w:rsidR="007965AF" w:rsidRPr="005F6F71">
        <w:rPr>
          <w:lang w:val="sk-SK"/>
        </w:rPr>
        <w:t>ov</w:t>
      </w:r>
      <w:proofErr w:type="spellEnd"/>
      <w:r w:rsidR="0021151E" w:rsidRPr="005F6F71">
        <w:rPr>
          <w:lang w:val="sk-SK"/>
        </w:rPr>
        <w:t>:</w:t>
      </w:r>
    </w:p>
    <w:p w:rsidR="007965AF" w:rsidRPr="005F6F71" w:rsidRDefault="007965AF" w:rsidP="00CF3623">
      <w:pPr>
        <w:rPr>
          <w:lang w:val="sk-SK"/>
        </w:rPr>
      </w:pPr>
      <w:r w:rsidRPr="005F6F71">
        <w:rPr>
          <w:lang w:val="sk-SK"/>
        </w:rPr>
        <w:t xml:space="preserve">Biely okrúhly perorálny </w:t>
      </w:r>
      <w:proofErr w:type="spellStart"/>
      <w:r w:rsidRPr="005F6F71">
        <w:rPr>
          <w:lang w:val="sk-SK"/>
        </w:rPr>
        <w:t>lyofilizát</w:t>
      </w:r>
      <w:proofErr w:type="spellEnd"/>
      <w:r w:rsidR="00D6542D" w:rsidRPr="005F6F71">
        <w:rPr>
          <w:lang w:val="sk-SK"/>
        </w:rPr>
        <w:t>,</w:t>
      </w:r>
      <w:r w:rsidRPr="005F6F71">
        <w:rPr>
          <w:lang w:val="sk-SK"/>
        </w:rPr>
        <w:t xml:space="preserve"> s priemerom približne 12 mm</w:t>
      </w:r>
      <w:r w:rsidR="00D6542D" w:rsidRPr="005F6F71">
        <w:rPr>
          <w:lang w:val="sk-SK"/>
        </w:rPr>
        <w:t>,</w:t>
      </w:r>
      <w:r w:rsidRPr="005F6F71">
        <w:rPr>
          <w:lang w:val="sk-SK"/>
        </w:rPr>
        <w:t xml:space="preserve"> označený na jednej strane 25.</w:t>
      </w:r>
    </w:p>
    <w:p w:rsidR="0021151E" w:rsidRPr="005F6F71" w:rsidRDefault="0021151E" w:rsidP="00791DD2">
      <w:pPr>
        <w:rPr>
          <w:lang w:val="sk-SK"/>
        </w:rPr>
      </w:pPr>
    </w:p>
    <w:p w:rsidR="0021151E" w:rsidRPr="005F6F71" w:rsidRDefault="00DF6DB6" w:rsidP="00CF3623">
      <w:pPr>
        <w:rPr>
          <w:lang w:val="sk-SK"/>
        </w:rPr>
      </w:pPr>
      <w:proofErr w:type="spellStart"/>
      <w:r w:rsidRPr="005F6F71">
        <w:rPr>
          <w:lang w:val="sk-SK"/>
        </w:rPr>
        <w:t>Nocdurna</w:t>
      </w:r>
      <w:proofErr w:type="spellEnd"/>
      <w:r w:rsidRPr="005F6F71">
        <w:rPr>
          <w:lang w:val="sk-SK"/>
        </w:rPr>
        <w:t xml:space="preserve"> </w:t>
      </w:r>
      <w:r w:rsidR="0021151E" w:rsidRPr="005F6F71">
        <w:rPr>
          <w:lang w:val="sk-SK"/>
        </w:rPr>
        <w:t xml:space="preserve">50 </w:t>
      </w:r>
      <w:proofErr w:type="spellStart"/>
      <w:r w:rsidR="003F5353" w:rsidRPr="005F6F71">
        <w:rPr>
          <w:lang w:val="sk-SK"/>
        </w:rPr>
        <w:t>mi</w:t>
      </w:r>
      <w:r w:rsidR="007965AF" w:rsidRPr="005F6F71">
        <w:rPr>
          <w:lang w:val="sk-SK"/>
        </w:rPr>
        <w:t>k</w:t>
      </w:r>
      <w:r w:rsidR="003F5353" w:rsidRPr="005F6F71">
        <w:rPr>
          <w:lang w:val="sk-SK"/>
        </w:rPr>
        <w:t>rogram</w:t>
      </w:r>
      <w:r w:rsidR="007965AF" w:rsidRPr="005F6F71">
        <w:rPr>
          <w:lang w:val="sk-SK"/>
        </w:rPr>
        <w:t>ov</w:t>
      </w:r>
      <w:proofErr w:type="spellEnd"/>
      <w:r w:rsidR="0021151E" w:rsidRPr="005F6F71">
        <w:rPr>
          <w:lang w:val="sk-SK"/>
        </w:rPr>
        <w:t>:</w:t>
      </w:r>
    </w:p>
    <w:p w:rsidR="007965AF" w:rsidRPr="005F6F71" w:rsidRDefault="007965AF" w:rsidP="00CF3623">
      <w:pPr>
        <w:rPr>
          <w:lang w:val="sk-SK"/>
        </w:rPr>
      </w:pPr>
      <w:r w:rsidRPr="005F6F71">
        <w:rPr>
          <w:lang w:val="sk-SK"/>
        </w:rPr>
        <w:t xml:space="preserve">Biely okrúhly perorálny </w:t>
      </w:r>
      <w:proofErr w:type="spellStart"/>
      <w:r w:rsidRPr="005F6F71">
        <w:rPr>
          <w:lang w:val="sk-SK"/>
        </w:rPr>
        <w:t>lyofilizát</w:t>
      </w:r>
      <w:proofErr w:type="spellEnd"/>
      <w:r w:rsidR="00D6542D" w:rsidRPr="005F6F71">
        <w:rPr>
          <w:lang w:val="sk-SK"/>
        </w:rPr>
        <w:t>,</w:t>
      </w:r>
      <w:r w:rsidRPr="005F6F71">
        <w:rPr>
          <w:lang w:val="sk-SK"/>
        </w:rPr>
        <w:t xml:space="preserve"> s priemerom približne 12 mm</w:t>
      </w:r>
      <w:r w:rsidR="00D6542D" w:rsidRPr="005F6F71">
        <w:rPr>
          <w:lang w:val="sk-SK"/>
        </w:rPr>
        <w:t>,</w:t>
      </w:r>
      <w:r w:rsidRPr="005F6F71">
        <w:rPr>
          <w:lang w:val="sk-SK"/>
        </w:rPr>
        <w:t xml:space="preserve"> označený na jednej strane 50.</w:t>
      </w:r>
    </w:p>
    <w:p w:rsidR="00ED1A6B" w:rsidRPr="005F6F71" w:rsidRDefault="00ED1A6B" w:rsidP="0021151E">
      <w:pPr>
        <w:rPr>
          <w:lang w:val="sk-SK"/>
        </w:rPr>
      </w:pPr>
    </w:p>
    <w:p w:rsidR="001D29E6" w:rsidRPr="005F6F71" w:rsidRDefault="001D29E6" w:rsidP="000C1913">
      <w:pPr>
        <w:rPr>
          <w:lang w:val="sk-SK"/>
        </w:rPr>
      </w:pPr>
    </w:p>
    <w:p w:rsidR="001D29E6" w:rsidRPr="005F6F71" w:rsidRDefault="001D29E6" w:rsidP="000C1913">
      <w:pPr>
        <w:ind w:left="567" w:hanging="567"/>
        <w:rPr>
          <w:caps/>
          <w:lang w:val="sk-SK"/>
        </w:rPr>
      </w:pPr>
      <w:r w:rsidRPr="005F6F71">
        <w:rPr>
          <w:b/>
          <w:caps/>
          <w:lang w:val="sk-SK"/>
        </w:rPr>
        <w:t>4.</w:t>
      </w:r>
      <w:r w:rsidRPr="005F6F71">
        <w:rPr>
          <w:b/>
          <w:caps/>
          <w:lang w:val="sk-SK"/>
        </w:rPr>
        <w:tab/>
      </w:r>
      <w:r w:rsidR="007965AF" w:rsidRPr="005F6F71">
        <w:rPr>
          <w:b/>
          <w:caps/>
          <w:lang w:val="sk-SK"/>
        </w:rPr>
        <w:t>klinické údaje</w:t>
      </w:r>
    </w:p>
    <w:p w:rsidR="001D29E6" w:rsidRPr="005F6F71" w:rsidRDefault="001D29E6" w:rsidP="000C1913">
      <w:pPr>
        <w:rPr>
          <w:lang w:val="sk-SK"/>
        </w:rPr>
      </w:pPr>
    </w:p>
    <w:p w:rsidR="001D29E6" w:rsidRPr="005F6F71" w:rsidRDefault="001D29E6" w:rsidP="000C1913">
      <w:pPr>
        <w:ind w:left="567" w:hanging="567"/>
        <w:rPr>
          <w:lang w:val="sk-SK"/>
        </w:rPr>
      </w:pPr>
      <w:r w:rsidRPr="005F6F71">
        <w:rPr>
          <w:b/>
          <w:lang w:val="sk-SK"/>
        </w:rPr>
        <w:t>4.1</w:t>
      </w:r>
      <w:r w:rsidRPr="005F6F71">
        <w:rPr>
          <w:b/>
          <w:lang w:val="sk-SK"/>
        </w:rPr>
        <w:tab/>
        <w:t>T</w:t>
      </w:r>
      <w:r w:rsidR="007965AF" w:rsidRPr="005F6F71">
        <w:rPr>
          <w:b/>
          <w:lang w:val="sk-SK"/>
        </w:rPr>
        <w:t>erapeutické indikácie</w:t>
      </w:r>
    </w:p>
    <w:p w:rsidR="007965AF" w:rsidRPr="005F6F71" w:rsidRDefault="007965AF" w:rsidP="00791DD2">
      <w:pPr>
        <w:pStyle w:val="Zkladntext"/>
        <w:rPr>
          <w:i w:val="0"/>
          <w:color w:val="auto"/>
          <w:szCs w:val="22"/>
          <w:lang w:val="sk-SK"/>
        </w:rPr>
      </w:pPr>
    </w:p>
    <w:p w:rsidR="007965AF" w:rsidRPr="005F6F71" w:rsidRDefault="007965AF" w:rsidP="00CF3623">
      <w:pPr>
        <w:pStyle w:val="Zkladntext"/>
        <w:rPr>
          <w:i w:val="0"/>
          <w:color w:val="auto"/>
          <w:szCs w:val="22"/>
          <w:lang w:val="sk-SK"/>
        </w:rPr>
      </w:pPr>
      <w:proofErr w:type="spellStart"/>
      <w:r w:rsidRPr="005F6F71">
        <w:rPr>
          <w:i w:val="0"/>
          <w:color w:val="auto"/>
          <w:szCs w:val="22"/>
          <w:lang w:val="sk-SK"/>
        </w:rPr>
        <w:t>Nocdurna</w:t>
      </w:r>
      <w:proofErr w:type="spellEnd"/>
      <w:r w:rsidRPr="005F6F71">
        <w:rPr>
          <w:i w:val="0"/>
          <w:color w:val="auto"/>
          <w:szCs w:val="22"/>
          <w:lang w:val="sk-SK"/>
        </w:rPr>
        <w:t xml:space="preserve"> je indikovaná dospelým na symptomatickú liečbu </w:t>
      </w:r>
      <w:proofErr w:type="spellStart"/>
      <w:r w:rsidRPr="005F6F71">
        <w:rPr>
          <w:i w:val="0"/>
          <w:color w:val="auto"/>
          <w:szCs w:val="22"/>
          <w:lang w:val="sk-SK"/>
        </w:rPr>
        <w:t>noktúrie</w:t>
      </w:r>
      <w:proofErr w:type="spellEnd"/>
      <w:r w:rsidRPr="005F6F71">
        <w:rPr>
          <w:i w:val="0"/>
          <w:color w:val="auto"/>
          <w:szCs w:val="22"/>
          <w:lang w:val="sk-SK"/>
        </w:rPr>
        <w:t xml:space="preserve"> sp</w:t>
      </w:r>
      <w:r w:rsidR="00757EB7" w:rsidRPr="005F6F71">
        <w:rPr>
          <w:i w:val="0"/>
          <w:color w:val="auto"/>
          <w:szCs w:val="22"/>
          <w:lang w:val="sk-SK"/>
        </w:rPr>
        <w:t>ojenú s</w:t>
      </w:r>
      <w:r w:rsidRPr="005F6F71">
        <w:rPr>
          <w:i w:val="0"/>
          <w:color w:val="auto"/>
          <w:szCs w:val="22"/>
          <w:lang w:val="sk-SK"/>
        </w:rPr>
        <w:t xml:space="preserve"> </w:t>
      </w:r>
      <w:proofErr w:type="spellStart"/>
      <w:r w:rsidRPr="005F6F71">
        <w:rPr>
          <w:i w:val="0"/>
          <w:color w:val="auto"/>
          <w:szCs w:val="22"/>
          <w:lang w:val="sk-SK"/>
        </w:rPr>
        <w:t>idiopatickou</w:t>
      </w:r>
      <w:proofErr w:type="spellEnd"/>
      <w:r w:rsidRPr="005F6F71">
        <w:rPr>
          <w:i w:val="0"/>
          <w:color w:val="auto"/>
          <w:szCs w:val="22"/>
          <w:lang w:val="sk-SK"/>
        </w:rPr>
        <w:t xml:space="preserve"> no</w:t>
      </w:r>
      <w:r w:rsidR="00757EB7" w:rsidRPr="005F6F71">
        <w:rPr>
          <w:i w:val="0"/>
          <w:color w:val="auto"/>
          <w:szCs w:val="22"/>
          <w:lang w:val="sk-SK"/>
        </w:rPr>
        <w:t>čnou</w:t>
      </w:r>
      <w:r w:rsidRPr="005F6F71">
        <w:rPr>
          <w:i w:val="0"/>
          <w:color w:val="auto"/>
          <w:szCs w:val="22"/>
          <w:lang w:val="sk-SK"/>
        </w:rPr>
        <w:t xml:space="preserve"> </w:t>
      </w:r>
      <w:proofErr w:type="spellStart"/>
      <w:r w:rsidRPr="005F6F71">
        <w:rPr>
          <w:i w:val="0"/>
          <w:color w:val="auto"/>
          <w:szCs w:val="22"/>
          <w:lang w:val="sk-SK"/>
        </w:rPr>
        <w:t>polyúriou</w:t>
      </w:r>
      <w:proofErr w:type="spellEnd"/>
      <w:r w:rsidRPr="005F6F71">
        <w:rPr>
          <w:i w:val="0"/>
          <w:color w:val="auto"/>
          <w:szCs w:val="22"/>
          <w:lang w:val="sk-SK"/>
        </w:rPr>
        <w:t xml:space="preserve"> (pozri </w:t>
      </w:r>
      <w:r w:rsidR="00111C86" w:rsidRPr="005F6F71">
        <w:rPr>
          <w:i w:val="0"/>
          <w:color w:val="auto"/>
          <w:szCs w:val="22"/>
          <w:lang w:val="sk-SK"/>
        </w:rPr>
        <w:t>č</w:t>
      </w:r>
      <w:r w:rsidRPr="005F6F71">
        <w:rPr>
          <w:i w:val="0"/>
          <w:color w:val="auto"/>
          <w:szCs w:val="22"/>
          <w:lang w:val="sk-SK"/>
        </w:rPr>
        <w:t>as</w:t>
      </w:r>
      <w:r w:rsidR="00111C86" w:rsidRPr="005F6F71">
        <w:rPr>
          <w:i w:val="0"/>
          <w:color w:val="auto"/>
          <w:szCs w:val="22"/>
          <w:lang w:val="sk-SK"/>
        </w:rPr>
        <w:t>ť</w:t>
      </w:r>
      <w:r w:rsidRPr="005F6F71">
        <w:rPr>
          <w:i w:val="0"/>
          <w:color w:val="auto"/>
          <w:szCs w:val="22"/>
          <w:lang w:val="sk-SK"/>
        </w:rPr>
        <w:t xml:space="preserve"> 5.1). </w:t>
      </w:r>
    </w:p>
    <w:p w:rsidR="001D29E6" w:rsidRPr="005F6F71" w:rsidRDefault="001D29E6" w:rsidP="000C1913">
      <w:pPr>
        <w:rPr>
          <w:lang w:val="sk-SK"/>
        </w:rPr>
      </w:pPr>
    </w:p>
    <w:p w:rsidR="001D29E6" w:rsidRPr="005F6F71" w:rsidRDefault="007965AF" w:rsidP="000C1913">
      <w:pPr>
        <w:ind w:left="567" w:hanging="567"/>
        <w:rPr>
          <w:b/>
          <w:lang w:val="sk-SK"/>
        </w:rPr>
      </w:pPr>
      <w:r w:rsidRPr="005F6F71">
        <w:rPr>
          <w:b/>
          <w:lang w:val="sk-SK"/>
        </w:rPr>
        <w:t>4.2</w:t>
      </w:r>
      <w:r w:rsidRPr="005F6F71">
        <w:rPr>
          <w:b/>
          <w:lang w:val="sk-SK"/>
        </w:rPr>
        <w:tab/>
        <w:t>Dávkovanie a spôsob podávania</w:t>
      </w:r>
    </w:p>
    <w:p w:rsidR="00F210D0" w:rsidRPr="005F6F71" w:rsidRDefault="00F210D0" w:rsidP="00791DD2">
      <w:pPr>
        <w:rPr>
          <w:szCs w:val="22"/>
          <w:lang w:val="sk-SK"/>
        </w:rPr>
      </w:pPr>
    </w:p>
    <w:p w:rsidR="00F210D0" w:rsidRPr="005F6F71" w:rsidRDefault="007965AF" w:rsidP="00A9030C">
      <w:pPr>
        <w:tabs>
          <w:tab w:val="clear" w:pos="567"/>
        </w:tabs>
        <w:spacing w:line="240" w:lineRule="auto"/>
        <w:rPr>
          <w:szCs w:val="22"/>
          <w:u w:val="single"/>
          <w:lang w:val="sk-SK"/>
        </w:rPr>
      </w:pPr>
      <w:r w:rsidRPr="005F6F71">
        <w:rPr>
          <w:szCs w:val="22"/>
          <w:u w:val="single"/>
          <w:lang w:val="sk-SK"/>
        </w:rPr>
        <w:t>Dávkovanie</w:t>
      </w:r>
    </w:p>
    <w:p w:rsidR="00F210D0" w:rsidRPr="005F6F71" w:rsidRDefault="007965AF" w:rsidP="00F210D0">
      <w:pPr>
        <w:numPr>
          <w:ilvl w:val="0"/>
          <w:numId w:val="38"/>
        </w:numPr>
        <w:tabs>
          <w:tab w:val="clear" w:pos="567"/>
          <w:tab w:val="clear" w:pos="720"/>
          <w:tab w:val="num" w:pos="180"/>
        </w:tabs>
        <w:spacing w:before="40" w:line="240" w:lineRule="auto"/>
        <w:ind w:left="180" w:hanging="180"/>
        <w:rPr>
          <w:szCs w:val="22"/>
          <w:lang w:val="sk-SK"/>
        </w:rPr>
      </w:pPr>
      <w:r w:rsidRPr="005F6F71">
        <w:rPr>
          <w:szCs w:val="22"/>
          <w:lang w:val="sk-SK"/>
        </w:rPr>
        <w:t>Ženy</w:t>
      </w:r>
      <w:r w:rsidR="00F210D0" w:rsidRPr="005F6F71">
        <w:rPr>
          <w:szCs w:val="22"/>
          <w:lang w:val="sk-SK"/>
        </w:rPr>
        <w:t xml:space="preserve">: 25 </w:t>
      </w:r>
      <w:proofErr w:type="spellStart"/>
      <w:r w:rsidRPr="005F6F71">
        <w:rPr>
          <w:szCs w:val="22"/>
          <w:lang w:val="sk-SK"/>
        </w:rPr>
        <w:t>mik</w:t>
      </w:r>
      <w:r w:rsidR="003F5353" w:rsidRPr="005F6F71">
        <w:rPr>
          <w:szCs w:val="22"/>
          <w:lang w:val="sk-SK"/>
        </w:rPr>
        <w:t>rogram</w:t>
      </w:r>
      <w:r w:rsidRPr="005F6F71">
        <w:rPr>
          <w:szCs w:val="22"/>
          <w:lang w:val="sk-SK"/>
        </w:rPr>
        <w:t>ov</w:t>
      </w:r>
      <w:proofErr w:type="spellEnd"/>
      <w:r w:rsidRPr="005F6F71">
        <w:rPr>
          <w:szCs w:val="22"/>
          <w:lang w:val="sk-SK"/>
        </w:rPr>
        <w:t xml:space="preserve"> denne</w:t>
      </w:r>
      <w:r w:rsidR="00F210D0" w:rsidRPr="005F6F71">
        <w:rPr>
          <w:szCs w:val="22"/>
          <w:lang w:val="sk-SK"/>
        </w:rPr>
        <w:t xml:space="preserve">, </w:t>
      </w:r>
      <w:r w:rsidR="00D00137" w:rsidRPr="005F6F71">
        <w:rPr>
          <w:szCs w:val="22"/>
          <w:lang w:val="sk-SK"/>
        </w:rPr>
        <w:t>jednu hodinu pred spaním</w:t>
      </w:r>
      <w:r w:rsidR="00F210D0" w:rsidRPr="005F6F71">
        <w:rPr>
          <w:szCs w:val="22"/>
          <w:lang w:val="sk-SK"/>
        </w:rPr>
        <w:t xml:space="preserve">, </w:t>
      </w:r>
      <w:r w:rsidR="00D00137" w:rsidRPr="005F6F71">
        <w:rPr>
          <w:szCs w:val="22"/>
          <w:lang w:val="sk-SK"/>
        </w:rPr>
        <w:t xml:space="preserve">podávaných </w:t>
      </w:r>
      <w:proofErr w:type="spellStart"/>
      <w:r w:rsidR="00D00137" w:rsidRPr="005F6F71">
        <w:rPr>
          <w:szCs w:val="22"/>
          <w:lang w:val="sk-SK"/>
        </w:rPr>
        <w:t>sublingválne</w:t>
      </w:r>
      <w:proofErr w:type="spellEnd"/>
      <w:r w:rsidR="00D00137" w:rsidRPr="005F6F71">
        <w:rPr>
          <w:szCs w:val="22"/>
          <w:lang w:val="sk-SK"/>
        </w:rPr>
        <w:t xml:space="preserve"> bez zapíjania vodou.</w:t>
      </w:r>
    </w:p>
    <w:p w:rsidR="00624D2E" w:rsidRPr="005F6F71" w:rsidRDefault="00F210D0" w:rsidP="00CF3623">
      <w:pPr>
        <w:numPr>
          <w:ilvl w:val="0"/>
          <w:numId w:val="38"/>
        </w:numPr>
        <w:tabs>
          <w:tab w:val="clear" w:pos="567"/>
          <w:tab w:val="clear" w:pos="720"/>
          <w:tab w:val="num" w:pos="180"/>
        </w:tabs>
        <w:spacing w:line="240" w:lineRule="auto"/>
        <w:ind w:left="180" w:hanging="180"/>
        <w:rPr>
          <w:szCs w:val="22"/>
          <w:lang w:val="sk-SK"/>
        </w:rPr>
      </w:pPr>
      <w:r w:rsidRPr="005F6F71">
        <w:rPr>
          <w:szCs w:val="22"/>
          <w:lang w:val="sk-SK"/>
        </w:rPr>
        <w:t>M</w:t>
      </w:r>
      <w:r w:rsidR="00D00137" w:rsidRPr="005F6F71">
        <w:rPr>
          <w:szCs w:val="22"/>
          <w:lang w:val="sk-SK"/>
        </w:rPr>
        <w:t>uži</w:t>
      </w:r>
      <w:r w:rsidRPr="005F6F71">
        <w:rPr>
          <w:szCs w:val="22"/>
          <w:lang w:val="sk-SK"/>
        </w:rPr>
        <w:t xml:space="preserve">: 50 </w:t>
      </w:r>
      <w:proofErr w:type="spellStart"/>
      <w:r w:rsidR="003F5353" w:rsidRPr="005F6F71">
        <w:rPr>
          <w:szCs w:val="22"/>
          <w:lang w:val="sk-SK"/>
        </w:rPr>
        <w:t>mi</w:t>
      </w:r>
      <w:r w:rsidR="00D00137" w:rsidRPr="005F6F71">
        <w:rPr>
          <w:szCs w:val="22"/>
          <w:lang w:val="sk-SK"/>
        </w:rPr>
        <w:t>k</w:t>
      </w:r>
      <w:r w:rsidR="003F5353" w:rsidRPr="005F6F71">
        <w:rPr>
          <w:szCs w:val="22"/>
          <w:lang w:val="sk-SK"/>
        </w:rPr>
        <w:t>rogram</w:t>
      </w:r>
      <w:r w:rsidR="00D00137" w:rsidRPr="005F6F71">
        <w:rPr>
          <w:szCs w:val="22"/>
          <w:lang w:val="sk-SK"/>
        </w:rPr>
        <w:t>ov</w:t>
      </w:r>
      <w:proofErr w:type="spellEnd"/>
      <w:r w:rsidR="00D00137" w:rsidRPr="005F6F71">
        <w:rPr>
          <w:szCs w:val="22"/>
          <w:lang w:val="sk-SK"/>
        </w:rPr>
        <w:t xml:space="preserve"> denne</w:t>
      </w:r>
      <w:r w:rsidRPr="005F6F71">
        <w:rPr>
          <w:szCs w:val="22"/>
          <w:lang w:val="sk-SK"/>
        </w:rPr>
        <w:t xml:space="preserve">, </w:t>
      </w:r>
      <w:r w:rsidR="00D00137" w:rsidRPr="005F6F71">
        <w:rPr>
          <w:szCs w:val="22"/>
          <w:lang w:val="sk-SK"/>
        </w:rPr>
        <w:t>jednu hodinu pred spaním</w:t>
      </w:r>
      <w:r w:rsidRPr="005F6F71">
        <w:rPr>
          <w:szCs w:val="22"/>
          <w:lang w:val="sk-SK"/>
        </w:rPr>
        <w:t xml:space="preserve">, </w:t>
      </w:r>
      <w:r w:rsidR="00D00137" w:rsidRPr="005F6F71">
        <w:rPr>
          <w:szCs w:val="22"/>
          <w:lang w:val="sk-SK"/>
        </w:rPr>
        <w:t xml:space="preserve">podávaných </w:t>
      </w:r>
      <w:proofErr w:type="spellStart"/>
      <w:r w:rsidR="00111C86" w:rsidRPr="005F6F71">
        <w:rPr>
          <w:szCs w:val="22"/>
          <w:lang w:val="sk-SK"/>
        </w:rPr>
        <w:t>sublingválne</w:t>
      </w:r>
      <w:proofErr w:type="spellEnd"/>
      <w:r w:rsidR="00D00137" w:rsidRPr="005F6F71">
        <w:rPr>
          <w:szCs w:val="22"/>
          <w:lang w:val="sk-SK"/>
        </w:rPr>
        <w:t xml:space="preserve"> bez zapíjania vodou.</w:t>
      </w:r>
    </w:p>
    <w:p w:rsidR="00A9030C" w:rsidRPr="005F6F71" w:rsidRDefault="00A9030C" w:rsidP="00791DD2">
      <w:pPr>
        <w:rPr>
          <w:bCs/>
          <w:szCs w:val="22"/>
          <w:lang w:val="sk-SK"/>
        </w:rPr>
      </w:pPr>
    </w:p>
    <w:p w:rsidR="008202CD" w:rsidRPr="005F6F71" w:rsidRDefault="00E61DF2" w:rsidP="00CF3623">
      <w:pPr>
        <w:rPr>
          <w:bCs/>
          <w:szCs w:val="22"/>
          <w:lang w:val="sk-SK"/>
        </w:rPr>
      </w:pPr>
      <w:r w:rsidRPr="005F6F71">
        <w:rPr>
          <w:bCs/>
          <w:szCs w:val="22"/>
          <w:lang w:val="sk-SK"/>
        </w:rPr>
        <w:t>U pacientov ≥ 65 rokov sa zvyšovanie dávky tohto lieku neodporúča</w:t>
      </w:r>
      <w:r w:rsidR="00EB3BF6" w:rsidRPr="005F6F71">
        <w:rPr>
          <w:bCs/>
          <w:szCs w:val="22"/>
          <w:lang w:val="sk-SK"/>
        </w:rPr>
        <w:t>.</w:t>
      </w:r>
    </w:p>
    <w:p w:rsidR="008202CD" w:rsidRPr="005F6F71" w:rsidRDefault="00D00137" w:rsidP="00CF3623">
      <w:pPr>
        <w:rPr>
          <w:bCs/>
          <w:szCs w:val="22"/>
          <w:lang w:val="sk-SK"/>
        </w:rPr>
      </w:pPr>
      <w:r w:rsidRPr="005F6F71">
        <w:rPr>
          <w:bCs/>
          <w:szCs w:val="22"/>
          <w:lang w:val="sk-SK"/>
        </w:rPr>
        <w:t>Ak sa uvažuje o zvýšení dávky u pacientov do 65 rokov z dôvodu nedostat</w:t>
      </w:r>
      <w:r w:rsidR="00111C86" w:rsidRPr="005F6F71">
        <w:rPr>
          <w:bCs/>
          <w:szCs w:val="22"/>
          <w:lang w:val="sk-SK"/>
        </w:rPr>
        <w:t>o</w:t>
      </w:r>
      <w:r w:rsidRPr="005F6F71">
        <w:rPr>
          <w:bCs/>
          <w:szCs w:val="22"/>
          <w:lang w:val="sk-SK"/>
        </w:rPr>
        <w:t xml:space="preserve">čnej odpovede na </w:t>
      </w:r>
      <w:proofErr w:type="spellStart"/>
      <w:r w:rsidRPr="005F6F71">
        <w:rPr>
          <w:bCs/>
          <w:szCs w:val="22"/>
          <w:lang w:val="sk-SK"/>
        </w:rPr>
        <w:t>Nocdurnu</w:t>
      </w:r>
      <w:proofErr w:type="spellEnd"/>
      <w:r w:rsidRPr="005F6F71">
        <w:rPr>
          <w:bCs/>
          <w:szCs w:val="22"/>
          <w:lang w:val="sk-SK"/>
        </w:rPr>
        <w:t xml:space="preserve">, je potrebné použiť iné lieky </w:t>
      </w:r>
      <w:r w:rsidR="00653EC9" w:rsidRPr="005F6F71">
        <w:rPr>
          <w:bCs/>
          <w:szCs w:val="22"/>
          <w:lang w:val="sk-SK"/>
        </w:rPr>
        <w:t xml:space="preserve">obsahujúce </w:t>
      </w:r>
      <w:proofErr w:type="spellStart"/>
      <w:r w:rsidR="00653EC9" w:rsidRPr="005F6F71">
        <w:rPr>
          <w:bCs/>
          <w:szCs w:val="22"/>
          <w:lang w:val="sk-SK"/>
        </w:rPr>
        <w:t>dezmopresín</w:t>
      </w:r>
      <w:proofErr w:type="spellEnd"/>
      <w:r w:rsidR="00653EC9" w:rsidRPr="005F6F71">
        <w:rPr>
          <w:bCs/>
          <w:szCs w:val="22"/>
          <w:lang w:val="sk-SK"/>
        </w:rPr>
        <w:t xml:space="preserve"> </w:t>
      </w:r>
      <w:r w:rsidRPr="005F6F71">
        <w:rPr>
          <w:bCs/>
          <w:szCs w:val="22"/>
          <w:lang w:val="sk-SK"/>
        </w:rPr>
        <w:t>peroráln</w:t>
      </w:r>
      <w:r w:rsidR="00653EC9" w:rsidRPr="005F6F71">
        <w:rPr>
          <w:bCs/>
          <w:szCs w:val="22"/>
          <w:lang w:val="sk-SK"/>
        </w:rPr>
        <w:t>y</w:t>
      </w:r>
      <w:r w:rsidRPr="005F6F71">
        <w:rPr>
          <w:bCs/>
          <w:szCs w:val="22"/>
          <w:lang w:val="sk-SK"/>
        </w:rPr>
        <w:t xml:space="preserve"> </w:t>
      </w:r>
      <w:proofErr w:type="spellStart"/>
      <w:r w:rsidRPr="005F6F71">
        <w:rPr>
          <w:bCs/>
          <w:szCs w:val="22"/>
          <w:lang w:val="sk-SK"/>
        </w:rPr>
        <w:t>lyofilizát</w:t>
      </w:r>
      <w:proofErr w:type="spellEnd"/>
      <w:r w:rsidR="001856EC" w:rsidRPr="005F6F71">
        <w:rPr>
          <w:bCs/>
          <w:szCs w:val="22"/>
          <w:lang w:val="sk-SK"/>
        </w:rPr>
        <w:t xml:space="preserve"> </w:t>
      </w:r>
      <w:r w:rsidR="008202CD" w:rsidRPr="005F6F71">
        <w:rPr>
          <w:bCs/>
          <w:szCs w:val="22"/>
          <w:lang w:val="sk-SK"/>
        </w:rPr>
        <w:t>(</w:t>
      </w:r>
      <w:r w:rsidR="00757EB7" w:rsidRPr="005F6F71">
        <w:rPr>
          <w:bCs/>
          <w:szCs w:val="22"/>
          <w:lang w:val="sk-SK"/>
        </w:rPr>
        <w:t>pozri časti</w:t>
      </w:r>
      <w:r w:rsidR="008202CD" w:rsidRPr="005F6F71">
        <w:rPr>
          <w:bCs/>
          <w:szCs w:val="22"/>
          <w:lang w:val="sk-SK"/>
        </w:rPr>
        <w:t xml:space="preserve"> 4.4, 4.8 a 5.1)</w:t>
      </w:r>
      <w:r w:rsidR="00757EB7" w:rsidRPr="005F6F71">
        <w:rPr>
          <w:bCs/>
          <w:szCs w:val="22"/>
          <w:lang w:val="sk-SK"/>
        </w:rPr>
        <w:t>.</w:t>
      </w:r>
    </w:p>
    <w:p w:rsidR="000E5A02" w:rsidRPr="005F6F71" w:rsidRDefault="000E5A02" w:rsidP="00791DD2">
      <w:pPr>
        <w:rPr>
          <w:bCs/>
          <w:szCs w:val="22"/>
          <w:lang w:val="sk-SK"/>
        </w:rPr>
      </w:pPr>
    </w:p>
    <w:p w:rsidR="0018294D" w:rsidRPr="005F6F71" w:rsidRDefault="00757EB7" w:rsidP="00CF3623">
      <w:pPr>
        <w:rPr>
          <w:bCs/>
          <w:szCs w:val="22"/>
          <w:lang w:val="sk-SK"/>
        </w:rPr>
      </w:pPr>
      <w:r w:rsidRPr="005F6F71">
        <w:rPr>
          <w:bCs/>
          <w:szCs w:val="22"/>
          <w:lang w:val="sk-SK"/>
        </w:rPr>
        <w:t xml:space="preserve">V prípade </w:t>
      </w:r>
      <w:r w:rsidR="000A327A">
        <w:rPr>
          <w:bCs/>
          <w:szCs w:val="22"/>
          <w:lang w:val="sk-SK"/>
        </w:rPr>
        <w:t>prejav</w:t>
      </w:r>
      <w:r w:rsidR="000A327A" w:rsidRPr="005F6F71">
        <w:rPr>
          <w:bCs/>
          <w:szCs w:val="22"/>
          <w:lang w:val="sk-SK"/>
        </w:rPr>
        <w:t xml:space="preserve">ov </w:t>
      </w:r>
      <w:r w:rsidRPr="005F6F71">
        <w:rPr>
          <w:bCs/>
          <w:szCs w:val="22"/>
          <w:lang w:val="sk-SK"/>
        </w:rPr>
        <w:t xml:space="preserve">a príznakov </w:t>
      </w:r>
      <w:proofErr w:type="spellStart"/>
      <w:r w:rsidRPr="005F6F71">
        <w:rPr>
          <w:bCs/>
          <w:szCs w:val="22"/>
          <w:lang w:val="sk-SK"/>
        </w:rPr>
        <w:t>retencie</w:t>
      </w:r>
      <w:proofErr w:type="spellEnd"/>
      <w:r w:rsidRPr="005F6F71">
        <w:rPr>
          <w:bCs/>
          <w:szCs w:val="22"/>
          <w:lang w:val="sk-SK"/>
        </w:rPr>
        <w:t xml:space="preserve"> vody a/alebo </w:t>
      </w:r>
      <w:proofErr w:type="spellStart"/>
      <w:r w:rsidRPr="005F6F71">
        <w:rPr>
          <w:bCs/>
          <w:szCs w:val="22"/>
          <w:lang w:val="sk-SK"/>
        </w:rPr>
        <w:t>hyponatriémie</w:t>
      </w:r>
      <w:proofErr w:type="spellEnd"/>
      <w:r w:rsidRPr="005F6F71">
        <w:rPr>
          <w:bCs/>
          <w:szCs w:val="22"/>
          <w:lang w:val="sk-SK"/>
        </w:rPr>
        <w:t xml:space="preserve"> (bolesť hlavy, nevoľnosť/vracanie, </w:t>
      </w:r>
      <w:r w:rsidR="00111C86" w:rsidRPr="005F6F71">
        <w:rPr>
          <w:bCs/>
          <w:szCs w:val="22"/>
          <w:lang w:val="sk-SK"/>
        </w:rPr>
        <w:t>prírastok hmotnosti</w:t>
      </w:r>
      <w:r w:rsidRPr="005F6F71">
        <w:rPr>
          <w:bCs/>
          <w:szCs w:val="22"/>
          <w:lang w:val="sk-SK"/>
        </w:rPr>
        <w:t xml:space="preserve"> a v závažných prípadoch kŕče) liečba sa musí prerušiť a</w:t>
      </w:r>
      <w:r w:rsidR="00C020E7">
        <w:rPr>
          <w:bCs/>
          <w:szCs w:val="22"/>
          <w:lang w:val="sk-SK"/>
        </w:rPr>
        <w:t> </w:t>
      </w:r>
      <w:r w:rsidRPr="005F6F71">
        <w:rPr>
          <w:bCs/>
          <w:szCs w:val="22"/>
          <w:lang w:val="sk-SK"/>
        </w:rPr>
        <w:t xml:space="preserve">prehodnotiť. Keď sa liečba obnoví, musí sa dodržiavať </w:t>
      </w:r>
      <w:r w:rsidR="00E52BD8" w:rsidRPr="005F6F71">
        <w:rPr>
          <w:bCs/>
          <w:szCs w:val="22"/>
          <w:lang w:val="sk-SK"/>
        </w:rPr>
        <w:t>obmedzenie príjmu tekutín a monitorova</w:t>
      </w:r>
      <w:r w:rsidR="0018294D" w:rsidRPr="005F6F71">
        <w:rPr>
          <w:bCs/>
          <w:szCs w:val="22"/>
          <w:lang w:val="sk-SK"/>
        </w:rPr>
        <w:t>nie</w:t>
      </w:r>
      <w:r w:rsidR="00E52BD8" w:rsidRPr="005F6F71">
        <w:rPr>
          <w:bCs/>
          <w:szCs w:val="22"/>
          <w:lang w:val="sk-SK"/>
        </w:rPr>
        <w:t xml:space="preserve"> hladiny </w:t>
      </w:r>
      <w:r w:rsidR="00E61DF2" w:rsidRPr="005F6F71">
        <w:rPr>
          <w:bCs/>
          <w:szCs w:val="22"/>
          <w:lang w:val="sk-SK"/>
        </w:rPr>
        <w:t xml:space="preserve">sérového </w:t>
      </w:r>
      <w:r w:rsidR="00E52BD8" w:rsidRPr="005F6F71">
        <w:rPr>
          <w:bCs/>
          <w:szCs w:val="22"/>
          <w:lang w:val="sk-SK"/>
        </w:rPr>
        <w:t xml:space="preserve">sodíka </w:t>
      </w:r>
      <w:r w:rsidR="0018294D" w:rsidRPr="005F6F71">
        <w:rPr>
          <w:bCs/>
          <w:szCs w:val="22"/>
          <w:lang w:val="sk-SK"/>
        </w:rPr>
        <w:t xml:space="preserve">(pozri </w:t>
      </w:r>
      <w:r w:rsidR="00A22FDC" w:rsidRPr="005F6F71">
        <w:rPr>
          <w:bCs/>
          <w:szCs w:val="22"/>
          <w:lang w:val="sk-SK"/>
        </w:rPr>
        <w:t>č</w:t>
      </w:r>
      <w:r w:rsidR="0018294D" w:rsidRPr="005F6F71">
        <w:rPr>
          <w:bCs/>
          <w:szCs w:val="22"/>
          <w:lang w:val="sk-SK"/>
        </w:rPr>
        <w:t>as</w:t>
      </w:r>
      <w:r w:rsidR="00A22FDC" w:rsidRPr="005F6F71">
        <w:rPr>
          <w:bCs/>
          <w:szCs w:val="22"/>
          <w:lang w:val="sk-SK"/>
        </w:rPr>
        <w:t>ť</w:t>
      </w:r>
      <w:r w:rsidR="0018294D" w:rsidRPr="005F6F71">
        <w:rPr>
          <w:bCs/>
          <w:szCs w:val="22"/>
          <w:lang w:val="sk-SK"/>
        </w:rPr>
        <w:t xml:space="preserve"> 4.4).</w:t>
      </w:r>
    </w:p>
    <w:p w:rsidR="000E5A02" w:rsidRPr="005F6F71" w:rsidRDefault="000E5A02" w:rsidP="00791DD2">
      <w:pPr>
        <w:rPr>
          <w:bCs/>
          <w:szCs w:val="22"/>
          <w:lang w:val="sk-SK"/>
        </w:rPr>
      </w:pPr>
    </w:p>
    <w:p w:rsidR="000E5A02" w:rsidRPr="005F6F71" w:rsidRDefault="00111C86" w:rsidP="00CF3623">
      <w:pPr>
        <w:rPr>
          <w:szCs w:val="22"/>
          <w:lang w:val="sk-SK"/>
        </w:rPr>
      </w:pPr>
      <w:r w:rsidRPr="005F6F71">
        <w:rPr>
          <w:bCs/>
          <w:szCs w:val="22"/>
          <w:lang w:val="sk-SK"/>
        </w:rPr>
        <w:lastRenderedPageBreak/>
        <w:t>A</w:t>
      </w:r>
      <w:r w:rsidR="0018294D" w:rsidRPr="005F6F71">
        <w:rPr>
          <w:bCs/>
          <w:szCs w:val="22"/>
          <w:lang w:val="sk-SK"/>
        </w:rPr>
        <w:t xml:space="preserve">k hladina </w:t>
      </w:r>
      <w:r w:rsidR="00D6542D" w:rsidRPr="005F6F71">
        <w:rPr>
          <w:bCs/>
          <w:szCs w:val="22"/>
          <w:lang w:val="sk-SK"/>
        </w:rPr>
        <w:t xml:space="preserve">sérového </w:t>
      </w:r>
      <w:r w:rsidR="0018294D" w:rsidRPr="005F6F71">
        <w:rPr>
          <w:bCs/>
          <w:szCs w:val="22"/>
          <w:lang w:val="sk-SK"/>
        </w:rPr>
        <w:t xml:space="preserve">sodíka klesne pod </w:t>
      </w:r>
      <w:r w:rsidRPr="005F6F71">
        <w:rPr>
          <w:bCs/>
          <w:szCs w:val="22"/>
          <w:lang w:val="sk-SK"/>
        </w:rPr>
        <w:t>dolnú hranicu</w:t>
      </w:r>
      <w:r w:rsidR="0018294D" w:rsidRPr="005F6F71">
        <w:rPr>
          <w:bCs/>
          <w:szCs w:val="22"/>
          <w:lang w:val="sk-SK"/>
        </w:rPr>
        <w:t xml:space="preserve"> normálneho rozsahu</w:t>
      </w:r>
      <w:r w:rsidR="000E5A02" w:rsidRPr="005F6F71">
        <w:rPr>
          <w:szCs w:val="22"/>
          <w:lang w:val="sk-SK"/>
        </w:rPr>
        <w:t xml:space="preserve"> (</w:t>
      </w:r>
      <w:r w:rsidR="0018294D" w:rsidRPr="005F6F71">
        <w:rPr>
          <w:szCs w:val="22"/>
          <w:lang w:val="sk-SK"/>
        </w:rPr>
        <w:t>t</w:t>
      </w:r>
      <w:r w:rsidR="000E5A02" w:rsidRPr="005F6F71">
        <w:rPr>
          <w:szCs w:val="22"/>
          <w:lang w:val="sk-SK"/>
        </w:rPr>
        <w:t>.</w:t>
      </w:r>
      <w:r w:rsidR="0018294D" w:rsidRPr="005F6F71">
        <w:rPr>
          <w:szCs w:val="22"/>
          <w:lang w:val="sk-SK"/>
        </w:rPr>
        <w:t xml:space="preserve"> j</w:t>
      </w:r>
      <w:r w:rsidR="000E5A02" w:rsidRPr="005F6F71">
        <w:rPr>
          <w:szCs w:val="22"/>
          <w:lang w:val="sk-SK"/>
        </w:rPr>
        <w:t>.135 </w:t>
      </w:r>
      <w:proofErr w:type="spellStart"/>
      <w:r w:rsidR="000E5A02" w:rsidRPr="005F6F71">
        <w:rPr>
          <w:szCs w:val="22"/>
          <w:lang w:val="sk-SK"/>
        </w:rPr>
        <w:t>mmol</w:t>
      </w:r>
      <w:proofErr w:type="spellEnd"/>
      <w:r w:rsidR="000E5A02" w:rsidRPr="005F6F71">
        <w:rPr>
          <w:szCs w:val="22"/>
          <w:lang w:val="sk-SK"/>
        </w:rPr>
        <w:t>/</w:t>
      </w:r>
      <w:r w:rsidR="0018294D" w:rsidRPr="005F6F71">
        <w:rPr>
          <w:szCs w:val="22"/>
          <w:lang w:val="sk-SK"/>
        </w:rPr>
        <w:t>l</w:t>
      </w:r>
      <w:r w:rsidR="000E5A02" w:rsidRPr="005F6F71">
        <w:rPr>
          <w:szCs w:val="22"/>
          <w:lang w:val="sk-SK"/>
        </w:rPr>
        <w:t>)</w:t>
      </w:r>
      <w:r w:rsidRPr="005F6F71">
        <w:rPr>
          <w:szCs w:val="22"/>
          <w:lang w:val="sk-SK"/>
        </w:rPr>
        <w:t xml:space="preserve">, užívanie </w:t>
      </w:r>
      <w:proofErr w:type="spellStart"/>
      <w:r w:rsidRPr="005F6F71">
        <w:rPr>
          <w:szCs w:val="22"/>
          <w:lang w:val="sk-SK"/>
        </w:rPr>
        <w:t>Nocdurny</w:t>
      </w:r>
      <w:proofErr w:type="spellEnd"/>
      <w:r w:rsidRPr="005F6F71">
        <w:rPr>
          <w:szCs w:val="22"/>
          <w:lang w:val="sk-SK"/>
        </w:rPr>
        <w:t xml:space="preserve"> sa musí ukončiť.</w:t>
      </w:r>
    </w:p>
    <w:p w:rsidR="00FE43CC" w:rsidRPr="005F6F71" w:rsidRDefault="00FE43CC" w:rsidP="00791DD2">
      <w:pPr>
        <w:rPr>
          <w:bCs/>
          <w:szCs w:val="22"/>
          <w:lang w:val="sk-SK"/>
        </w:rPr>
      </w:pPr>
    </w:p>
    <w:p w:rsidR="009C0CD4" w:rsidRPr="005F6F71" w:rsidRDefault="0018294D" w:rsidP="00CF3623">
      <w:pPr>
        <w:rPr>
          <w:szCs w:val="22"/>
          <w:u w:val="single"/>
          <w:lang w:val="sk-SK"/>
        </w:rPr>
      </w:pPr>
      <w:r w:rsidRPr="005F6F71">
        <w:rPr>
          <w:szCs w:val="22"/>
          <w:u w:val="single"/>
          <w:lang w:val="sk-SK"/>
        </w:rPr>
        <w:t>Osobitné skupiny pacientov</w:t>
      </w:r>
    </w:p>
    <w:p w:rsidR="009C0CD4" w:rsidRPr="005F6F71" w:rsidRDefault="0018294D" w:rsidP="009C0CD4">
      <w:pPr>
        <w:spacing w:before="40"/>
        <w:rPr>
          <w:bCs/>
          <w:i/>
          <w:szCs w:val="22"/>
          <w:lang w:val="sk-SK"/>
        </w:rPr>
      </w:pPr>
      <w:r w:rsidRPr="005F6F71">
        <w:rPr>
          <w:bCs/>
          <w:i/>
          <w:szCs w:val="22"/>
          <w:lang w:val="sk-SK"/>
        </w:rPr>
        <w:t>Starší pacienti</w:t>
      </w:r>
      <w:r w:rsidR="009C0CD4" w:rsidRPr="005F6F71">
        <w:rPr>
          <w:bCs/>
          <w:i/>
          <w:szCs w:val="22"/>
          <w:lang w:val="sk-SK"/>
        </w:rPr>
        <w:t xml:space="preserve"> (65 </w:t>
      </w:r>
      <w:r w:rsidRPr="005F6F71">
        <w:rPr>
          <w:bCs/>
          <w:i/>
          <w:szCs w:val="22"/>
          <w:lang w:val="sk-SK"/>
        </w:rPr>
        <w:t>rokov a starší</w:t>
      </w:r>
      <w:r w:rsidR="009C0CD4" w:rsidRPr="005F6F71">
        <w:rPr>
          <w:bCs/>
          <w:i/>
          <w:szCs w:val="22"/>
          <w:lang w:val="sk-SK"/>
        </w:rPr>
        <w:t>)</w:t>
      </w:r>
    </w:p>
    <w:p w:rsidR="00427665" w:rsidRPr="005F6F71" w:rsidRDefault="00427665" w:rsidP="00CF3623">
      <w:pPr>
        <w:rPr>
          <w:szCs w:val="22"/>
          <w:lang w:val="sk-SK"/>
        </w:rPr>
      </w:pPr>
      <w:r w:rsidRPr="005F6F71">
        <w:rPr>
          <w:szCs w:val="22"/>
          <w:lang w:val="sk-SK"/>
        </w:rPr>
        <w:t xml:space="preserve">U starších pacientov je </w:t>
      </w:r>
      <w:r w:rsidR="00111C86" w:rsidRPr="005F6F71">
        <w:rPr>
          <w:szCs w:val="22"/>
          <w:lang w:val="sk-SK"/>
        </w:rPr>
        <w:t xml:space="preserve">pri liečbe </w:t>
      </w:r>
      <w:proofErr w:type="spellStart"/>
      <w:r w:rsidR="00111C86" w:rsidRPr="005F6F71">
        <w:rPr>
          <w:szCs w:val="22"/>
          <w:lang w:val="sk-SK"/>
        </w:rPr>
        <w:t>dezmopresínom</w:t>
      </w:r>
      <w:proofErr w:type="spellEnd"/>
      <w:r w:rsidR="00111C86" w:rsidRPr="005F6F71">
        <w:rPr>
          <w:szCs w:val="22"/>
          <w:lang w:val="sk-SK"/>
        </w:rPr>
        <w:t xml:space="preserve"> </w:t>
      </w:r>
      <w:r w:rsidRPr="005F6F71">
        <w:rPr>
          <w:szCs w:val="22"/>
          <w:lang w:val="sk-SK"/>
        </w:rPr>
        <w:t xml:space="preserve">zvýšené riziko </w:t>
      </w:r>
      <w:proofErr w:type="spellStart"/>
      <w:r w:rsidRPr="005F6F71">
        <w:rPr>
          <w:szCs w:val="22"/>
          <w:lang w:val="sk-SK"/>
        </w:rPr>
        <w:t>hyponatriémie</w:t>
      </w:r>
      <w:proofErr w:type="spellEnd"/>
      <w:r w:rsidR="00E50233">
        <w:rPr>
          <w:szCs w:val="22"/>
          <w:lang w:val="sk-SK"/>
        </w:rPr>
        <w:t xml:space="preserve"> a</w:t>
      </w:r>
      <w:r w:rsidR="00E61DF2" w:rsidRPr="005F6F71">
        <w:rPr>
          <w:szCs w:val="22"/>
          <w:lang w:val="sk-SK"/>
        </w:rPr>
        <w:t xml:space="preserve"> títo pacienti </w:t>
      </w:r>
      <w:r w:rsidR="00C020E7">
        <w:rPr>
          <w:szCs w:val="22"/>
          <w:lang w:val="sk-SK"/>
        </w:rPr>
        <w:t>môžu mať</w:t>
      </w:r>
      <w:r w:rsidR="00E61DF2" w:rsidRPr="005F6F71">
        <w:rPr>
          <w:szCs w:val="22"/>
          <w:lang w:val="sk-SK"/>
        </w:rPr>
        <w:t xml:space="preserve"> </w:t>
      </w:r>
      <w:r w:rsidR="00E50233">
        <w:rPr>
          <w:szCs w:val="22"/>
          <w:lang w:val="sk-SK"/>
        </w:rPr>
        <w:t xml:space="preserve">aj </w:t>
      </w:r>
      <w:r w:rsidR="00E61DF2" w:rsidRPr="005F6F71">
        <w:rPr>
          <w:szCs w:val="22"/>
          <w:lang w:val="sk-SK"/>
        </w:rPr>
        <w:t>zníženú funkciu obličiek</w:t>
      </w:r>
      <w:r w:rsidRPr="005F6F71">
        <w:rPr>
          <w:szCs w:val="22"/>
          <w:lang w:val="sk-SK"/>
        </w:rPr>
        <w:t xml:space="preserve">. </w:t>
      </w:r>
      <w:r w:rsidR="00BB63EB" w:rsidRPr="005F6F71">
        <w:rPr>
          <w:szCs w:val="22"/>
          <w:lang w:val="sk-SK"/>
        </w:rPr>
        <w:t>U</w:t>
      </w:r>
      <w:r w:rsidR="00E50233">
        <w:rPr>
          <w:szCs w:val="22"/>
          <w:lang w:val="sk-SK"/>
        </w:rPr>
        <w:t> </w:t>
      </w:r>
      <w:r w:rsidR="00BB63EB" w:rsidRPr="005F6F71">
        <w:rPr>
          <w:szCs w:val="22"/>
          <w:lang w:val="sk-SK"/>
        </w:rPr>
        <w:t>tejto</w:t>
      </w:r>
      <w:r w:rsidR="00E50233">
        <w:rPr>
          <w:szCs w:val="22"/>
          <w:lang w:val="sk-SK"/>
        </w:rPr>
        <w:t xml:space="preserve"> vekovej </w:t>
      </w:r>
      <w:r w:rsidR="00BB63EB" w:rsidRPr="005F6F71">
        <w:rPr>
          <w:szCs w:val="22"/>
          <w:lang w:val="sk-SK"/>
        </w:rPr>
        <w:t>skupiny je potrebná o</w:t>
      </w:r>
      <w:r w:rsidRPr="005F6F71">
        <w:rPr>
          <w:szCs w:val="22"/>
          <w:lang w:val="sk-SK"/>
        </w:rPr>
        <w:t>patrnosť a</w:t>
      </w:r>
      <w:r w:rsidR="00D6542D" w:rsidRPr="005F6F71">
        <w:rPr>
          <w:szCs w:val="22"/>
          <w:lang w:val="sk-SK"/>
        </w:rPr>
        <w:t> </w:t>
      </w:r>
      <w:r w:rsidRPr="005F6F71">
        <w:rPr>
          <w:szCs w:val="22"/>
          <w:lang w:val="sk-SK"/>
        </w:rPr>
        <w:t xml:space="preserve">denné dávky </w:t>
      </w:r>
      <w:r w:rsidR="00E61DF2" w:rsidRPr="005F6F71">
        <w:rPr>
          <w:szCs w:val="22"/>
          <w:lang w:val="sk-SK"/>
        </w:rPr>
        <w:t xml:space="preserve">vyššie ako </w:t>
      </w:r>
      <w:r w:rsidRPr="005F6F71">
        <w:rPr>
          <w:szCs w:val="22"/>
          <w:lang w:val="sk-SK"/>
        </w:rPr>
        <w:t xml:space="preserve">25 </w:t>
      </w:r>
      <w:proofErr w:type="spellStart"/>
      <w:r w:rsidRPr="005F6F71">
        <w:rPr>
          <w:szCs w:val="22"/>
          <w:lang w:val="sk-SK"/>
        </w:rPr>
        <w:t>mikrogramov</w:t>
      </w:r>
      <w:proofErr w:type="spellEnd"/>
      <w:r w:rsidRPr="005F6F71">
        <w:rPr>
          <w:szCs w:val="22"/>
          <w:lang w:val="sk-SK"/>
        </w:rPr>
        <w:t xml:space="preserve"> u žien a 50 </w:t>
      </w:r>
      <w:proofErr w:type="spellStart"/>
      <w:r w:rsidRPr="005F6F71">
        <w:rPr>
          <w:szCs w:val="22"/>
          <w:lang w:val="sk-SK"/>
        </w:rPr>
        <w:t>mikrogramov</w:t>
      </w:r>
      <w:proofErr w:type="spellEnd"/>
      <w:r w:rsidRPr="005F6F71">
        <w:rPr>
          <w:szCs w:val="22"/>
          <w:lang w:val="sk-SK"/>
        </w:rPr>
        <w:t xml:space="preserve"> u mužov sa ne</w:t>
      </w:r>
      <w:r w:rsidR="00BB63EB" w:rsidRPr="005F6F71">
        <w:rPr>
          <w:szCs w:val="22"/>
          <w:lang w:val="sk-SK"/>
        </w:rPr>
        <w:t>majú</w:t>
      </w:r>
      <w:r w:rsidR="00653EC9" w:rsidRPr="005F6F71">
        <w:rPr>
          <w:szCs w:val="22"/>
          <w:lang w:val="sk-SK"/>
        </w:rPr>
        <w:t xml:space="preserve"> používať. Taktiež u tejto skupiny pacientov je potrebné kontrolovať hladiny sérového sodíka, ktoré sa majú pohybovať v rámci normálneho rozsahu,</w:t>
      </w:r>
      <w:r w:rsidRPr="005F6F71">
        <w:rPr>
          <w:szCs w:val="22"/>
          <w:lang w:val="sk-SK"/>
        </w:rPr>
        <w:t xml:space="preserve"> </w:t>
      </w:r>
      <w:r w:rsidR="00A22FDC" w:rsidRPr="005F6F71">
        <w:rPr>
          <w:szCs w:val="22"/>
          <w:lang w:val="sk-SK"/>
        </w:rPr>
        <w:t xml:space="preserve">pred začiatkom liečby, v prvom týždni liečby (4 – 8 dní po začiatku liečby) a po jednom mesiaci. Liečba </w:t>
      </w:r>
      <w:proofErr w:type="spellStart"/>
      <w:r w:rsidR="00A22FDC" w:rsidRPr="005F6F71">
        <w:rPr>
          <w:szCs w:val="22"/>
          <w:lang w:val="sk-SK"/>
        </w:rPr>
        <w:t>Nocdurnou</w:t>
      </w:r>
      <w:proofErr w:type="spellEnd"/>
      <w:r w:rsidR="00A22FDC" w:rsidRPr="005F6F71">
        <w:rPr>
          <w:szCs w:val="22"/>
          <w:lang w:val="sk-SK"/>
        </w:rPr>
        <w:t xml:space="preserve"> sa musí ukončiť, ak hladina </w:t>
      </w:r>
      <w:r w:rsidR="00D6542D" w:rsidRPr="005F6F71">
        <w:rPr>
          <w:szCs w:val="22"/>
          <w:lang w:val="sk-SK"/>
        </w:rPr>
        <w:t xml:space="preserve">sérového </w:t>
      </w:r>
      <w:r w:rsidR="00A22FDC" w:rsidRPr="005F6F71">
        <w:rPr>
          <w:szCs w:val="22"/>
          <w:lang w:val="sk-SK"/>
        </w:rPr>
        <w:t xml:space="preserve">sodíka klesne pod </w:t>
      </w:r>
      <w:r w:rsidR="00111C86" w:rsidRPr="005F6F71">
        <w:rPr>
          <w:szCs w:val="22"/>
          <w:lang w:val="sk-SK"/>
        </w:rPr>
        <w:t>dolnú hranicu</w:t>
      </w:r>
      <w:r w:rsidR="00A22FDC" w:rsidRPr="005F6F71">
        <w:rPr>
          <w:szCs w:val="22"/>
          <w:lang w:val="sk-SK"/>
        </w:rPr>
        <w:t xml:space="preserve"> normálneho rozsahu (pozri časť 4.4). Pokračovanie v liečbe sa má dôkladne prehodnotiť u starších pacientov, u ktorých sa neprejavil terapeutický účinok po 3 mesiacoch</w:t>
      </w:r>
      <w:r w:rsidR="00D6542D" w:rsidRPr="005F6F71">
        <w:rPr>
          <w:szCs w:val="22"/>
          <w:lang w:val="sk-SK"/>
        </w:rPr>
        <w:t xml:space="preserve"> liečby</w:t>
      </w:r>
      <w:r w:rsidR="00A22FDC" w:rsidRPr="005F6F71">
        <w:rPr>
          <w:szCs w:val="22"/>
          <w:lang w:val="sk-SK"/>
        </w:rPr>
        <w:t xml:space="preserve">. </w:t>
      </w:r>
    </w:p>
    <w:p w:rsidR="009C0CD4" w:rsidRPr="005F6F71" w:rsidRDefault="009C0CD4" w:rsidP="00791DD2">
      <w:pPr>
        <w:rPr>
          <w:szCs w:val="22"/>
          <w:lang w:val="sk-SK"/>
        </w:rPr>
      </w:pPr>
    </w:p>
    <w:p w:rsidR="009C0CD4" w:rsidRPr="005F6F71" w:rsidRDefault="006977FA" w:rsidP="00CF3623">
      <w:pPr>
        <w:rPr>
          <w:bCs/>
          <w:i/>
          <w:szCs w:val="22"/>
          <w:lang w:val="sk-SK"/>
        </w:rPr>
      </w:pPr>
      <w:r w:rsidRPr="005F6F71">
        <w:rPr>
          <w:bCs/>
          <w:i/>
          <w:szCs w:val="22"/>
          <w:lang w:val="sk-SK"/>
        </w:rPr>
        <w:t>Porucha</w:t>
      </w:r>
      <w:r w:rsidR="00A22FDC" w:rsidRPr="005F6F71">
        <w:rPr>
          <w:bCs/>
          <w:i/>
          <w:szCs w:val="22"/>
          <w:lang w:val="sk-SK"/>
        </w:rPr>
        <w:t xml:space="preserve"> funkcie obličiek</w:t>
      </w:r>
    </w:p>
    <w:p w:rsidR="009C0CD4" w:rsidRPr="005F6F71" w:rsidRDefault="009C0CD4" w:rsidP="009C0CD4">
      <w:pPr>
        <w:spacing w:before="40"/>
        <w:rPr>
          <w:bCs/>
          <w:szCs w:val="22"/>
          <w:lang w:val="sk-SK"/>
        </w:rPr>
      </w:pPr>
      <w:proofErr w:type="spellStart"/>
      <w:r w:rsidRPr="005F6F71">
        <w:rPr>
          <w:bCs/>
          <w:szCs w:val="22"/>
          <w:lang w:val="sk-SK"/>
        </w:rPr>
        <w:t>Nocdurna</w:t>
      </w:r>
      <w:proofErr w:type="spellEnd"/>
      <w:r w:rsidRPr="005F6F71">
        <w:rPr>
          <w:bCs/>
          <w:szCs w:val="22"/>
          <w:lang w:val="sk-SK"/>
        </w:rPr>
        <w:t xml:space="preserve"> </w:t>
      </w:r>
      <w:r w:rsidR="00A22FDC" w:rsidRPr="005F6F71">
        <w:rPr>
          <w:bCs/>
          <w:szCs w:val="22"/>
          <w:lang w:val="sk-SK"/>
        </w:rPr>
        <w:t>je kontraindikovaná u pacientov so stredne závažn</w:t>
      </w:r>
      <w:r w:rsidR="00D6542D" w:rsidRPr="005F6F71">
        <w:rPr>
          <w:bCs/>
          <w:szCs w:val="22"/>
          <w:lang w:val="sk-SK"/>
        </w:rPr>
        <w:t>ou</w:t>
      </w:r>
      <w:r w:rsidR="00A22FDC" w:rsidRPr="005F6F71">
        <w:rPr>
          <w:bCs/>
          <w:szCs w:val="22"/>
          <w:lang w:val="sk-SK"/>
        </w:rPr>
        <w:t xml:space="preserve"> a</w:t>
      </w:r>
      <w:r w:rsidR="00111C86" w:rsidRPr="005F6F71">
        <w:rPr>
          <w:bCs/>
          <w:szCs w:val="22"/>
          <w:lang w:val="sk-SK"/>
        </w:rPr>
        <w:t> </w:t>
      </w:r>
      <w:r w:rsidR="00A22FDC" w:rsidRPr="005F6F71">
        <w:rPr>
          <w:bCs/>
          <w:szCs w:val="22"/>
          <w:lang w:val="sk-SK"/>
        </w:rPr>
        <w:t>závažn</w:t>
      </w:r>
      <w:r w:rsidR="00D6542D" w:rsidRPr="005F6F71">
        <w:rPr>
          <w:bCs/>
          <w:szCs w:val="22"/>
          <w:lang w:val="sk-SK"/>
        </w:rPr>
        <w:t>ou</w:t>
      </w:r>
      <w:r w:rsidR="00111C86" w:rsidRPr="005F6F71">
        <w:rPr>
          <w:bCs/>
          <w:szCs w:val="22"/>
          <w:lang w:val="sk-SK"/>
        </w:rPr>
        <w:t xml:space="preserve"> po</w:t>
      </w:r>
      <w:r w:rsidR="00D6542D" w:rsidRPr="005F6F71">
        <w:rPr>
          <w:bCs/>
          <w:szCs w:val="22"/>
          <w:lang w:val="sk-SK"/>
        </w:rPr>
        <w:t>ruchou</w:t>
      </w:r>
      <w:r w:rsidR="00111C86" w:rsidRPr="005F6F71">
        <w:rPr>
          <w:bCs/>
          <w:szCs w:val="22"/>
          <w:lang w:val="sk-SK"/>
        </w:rPr>
        <w:t xml:space="preserve"> funkcie</w:t>
      </w:r>
      <w:r w:rsidR="00A22FDC" w:rsidRPr="005F6F71">
        <w:rPr>
          <w:bCs/>
          <w:szCs w:val="22"/>
          <w:lang w:val="sk-SK"/>
        </w:rPr>
        <w:t xml:space="preserve"> obličiek</w:t>
      </w:r>
      <w:r w:rsidRPr="005F6F71">
        <w:rPr>
          <w:bCs/>
          <w:szCs w:val="22"/>
          <w:lang w:val="sk-SK"/>
        </w:rPr>
        <w:t xml:space="preserve"> (</w:t>
      </w:r>
      <w:r w:rsidR="00A22FDC" w:rsidRPr="005F6F71">
        <w:rPr>
          <w:bCs/>
          <w:szCs w:val="22"/>
          <w:lang w:val="sk-SK"/>
        </w:rPr>
        <w:t>pozri časť</w:t>
      </w:r>
      <w:r w:rsidRPr="005F6F71">
        <w:rPr>
          <w:bCs/>
          <w:szCs w:val="22"/>
          <w:lang w:val="sk-SK"/>
        </w:rPr>
        <w:t xml:space="preserve"> 4.3).</w:t>
      </w:r>
    </w:p>
    <w:p w:rsidR="009C0CD4" w:rsidRPr="005F6F71" w:rsidRDefault="009C0CD4" w:rsidP="00653EC9">
      <w:pPr>
        <w:rPr>
          <w:b/>
          <w:szCs w:val="22"/>
          <w:lang w:val="sk-SK"/>
        </w:rPr>
      </w:pPr>
    </w:p>
    <w:p w:rsidR="009C0CD4" w:rsidRPr="005F6F71" w:rsidRDefault="00A22FDC" w:rsidP="00CF3623">
      <w:pPr>
        <w:rPr>
          <w:bCs/>
          <w:i/>
          <w:szCs w:val="22"/>
          <w:lang w:val="sk-SK"/>
        </w:rPr>
      </w:pPr>
      <w:r w:rsidRPr="005F6F71">
        <w:rPr>
          <w:bCs/>
          <w:i/>
          <w:szCs w:val="22"/>
          <w:lang w:val="sk-SK"/>
        </w:rPr>
        <w:t>Po</w:t>
      </w:r>
      <w:r w:rsidR="006977FA" w:rsidRPr="005F6F71">
        <w:rPr>
          <w:bCs/>
          <w:i/>
          <w:szCs w:val="22"/>
          <w:lang w:val="sk-SK"/>
        </w:rPr>
        <w:t>rucha</w:t>
      </w:r>
      <w:r w:rsidRPr="005F6F71">
        <w:rPr>
          <w:bCs/>
          <w:i/>
          <w:szCs w:val="22"/>
          <w:lang w:val="sk-SK"/>
        </w:rPr>
        <w:t xml:space="preserve"> funkcie pečene</w:t>
      </w:r>
    </w:p>
    <w:p w:rsidR="009C0CD4" w:rsidRPr="005F6F71" w:rsidRDefault="00A22FDC" w:rsidP="009C0CD4">
      <w:pPr>
        <w:spacing w:before="40"/>
        <w:rPr>
          <w:bCs/>
          <w:szCs w:val="22"/>
          <w:lang w:val="sk-SK"/>
        </w:rPr>
      </w:pPr>
      <w:r w:rsidRPr="005F6F71">
        <w:rPr>
          <w:bCs/>
          <w:szCs w:val="22"/>
          <w:lang w:val="sk-SK"/>
        </w:rPr>
        <w:t>U pacientov s </w:t>
      </w:r>
      <w:r w:rsidR="00D6542D" w:rsidRPr="005F6F71">
        <w:rPr>
          <w:bCs/>
          <w:szCs w:val="22"/>
          <w:lang w:val="sk-SK"/>
        </w:rPr>
        <w:t>poruchou</w:t>
      </w:r>
      <w:r w:rsidRPr="005F6F71">
        <w:rPr>
          <w:bCs/>
          <w:szCs w:val="22"/>
          <w:lang w:val="sk-SK"/>
        </w:rPr>
        <w:t xml:space="preserve"> funkcie pečene nie je potrebná úprava dávkovania</w:t>
      </w:r>
      <w:r w:rsidR="009C0CD4" w:rsidRPr="005F6F71">
        <w:rPr>
          <w:bCs/>
          <w:szCs w:val="22"/>
          <w:lang w:val="sk-SK"/>
        </w:rPr>
        <w:t xml:space="preserve"> </w:t>
      </w:r>
      <w:r w:rsidR="000E5A02" w:rsidRPr="005F6F71">
        <w:rPr>
          <w:bCs/>
          <w:szCs w:val="22"/>
          <w:lang w:val="sk-SK"/>
        </w:rPr>
        <w:t>(</w:t>
      </w:r>
      <w:r w:rsidRPr="005F6F71">
        <w:rPr>
          <w:bCs/>
          <w:szCs w:val="22"/>
          <w:lang w:val="sk-SK"/>
        </w:rPr>
        <w:t>pozri časť</w:t>
      </w:r>
      <w:r w:rsidR="000E5A02" w:rsidRPr="005F6F71">
        <w:rPr>
          <w:bCs/>
          <w:szCs w:val="22"/>
          <w:lang w:val="sk-SK"/>
        </w:rPr>
        <w:t xml:space="preserve"> 5.2)</w:t>
      </w:r>
      <w:r w:rsidR="009C0CD4" w:rsidRPr="005F6F71">
        <w:rPr>
          <w:bCs/>
          <w:szCs w:val="22"/>
          <w:lang w:val="sk-SK"/>
        </w:rPr>
        <w:t>.</w:t>
      </w:r>
    </w:p>
    <w:p w:rsidR="009C0CD4" w:rsidRPr="005F6F71" w:rsidRDefault="009C0CD4" w:rsidP="009C0CD4">
      <w:pPr>
        <w:tabs>
          <w:tab w:val="clear" w:pos="567"/>
        </w:tabs>
        <w:spacing w:line="240" w:lineRule="auto"/>
        <w:rPr>
          <w:szCs w:val="22"/>
          <w:u w:val="single"/>
          <w:lang w:val="sk-SK"/>
        </w:rPr>
      </w:pPr>
    </w:p>
    <w:p w:rsidR="009C0CD4" w:rsidRPr="005F6F71" w:rsidRDefault="00EC4BFA" w:rsidP="009C0CD4">
      <w:pPr>
        <w:tabs>
          <w:tab w:val="clear" w:pos="567"/>
        </w:tabs>
        <w:spacing w:line="240" w:lineRule="auto"/>
        <w:rPr>
          <w:bCs/>
          <w:i/>
          <w:iCs/>
          <w:szCs w:val="22"/>
          <w:lang w:val="sk-SK"/>
        </w:rPr>
      </w:pPr>
      <w:r w:rsidRPr="005F6F71">
        <w:rPr>
          <w:bCs/>
          <w:i/>
          <w:iCs/>
          <w:szCs w:val="22"/>
          <w:lang w:val="sk-SK"/>
        </w:rPr>
        <w:t>Pediatrická populácia</w:t>
      </w:r>
    </w:p>
    <w:p w:rsidR="00EC4BFA" w:rsidRPr="005F6F71" w:rsidRDefault="00EC4BFA" w:rsidP="009C0CD4">
      <w:pPr>
        <w:tabs>
          <w:tab w:val="clear" w:pos="567"/>
        </w:tabs>
        <w:spacing w:line="240" w:lineRule="auto"/>
        <w:rPr>
          <w:bCs/>
          <w:iCs/>
          <w:szCs w:val="22"/>
          <w:lang w:val="sk-SK"/>
        </w:rPr>
      </w:pPr>
      <w:proofErr w:type="spellStart"/>
      <w:r w:rsidRPr="005F6F71">
        <w:rPr>
          <w:bCs/>
          <w:iCs/>
          <w:szCs w:val="22"/>
          <w:lang w:val="sk-SK"/>
        </w:rPr>
        <w:t>Nocdurna</w:t>
      </w:r>
      <w:proofErr w:type="spellEnd"/>
      <w:r w:rsidRPr="005F6F71">
        <w:rPr>
          <w:bCs/>
          <w:iCs/>
          <w:szCs w:val="22"/>
          <w:lang w:val="sk-SK"/>
        </w:rPr>
        <w:t xml:space="preserve"> nie je určená na symptomatickú liečbu </w:t>
      </w:r>
      <w:proofErr w:type="spellStart"/>
      <w:r w:rsidRPr="005F6F71">
        <w:rPr>
          <w:bCs/>
          <w:iCs/>
          <w:szCs w:val="22"/>
          <w:lang w:val="sk-SK"/>
        </w:rPr>
        <w:t>noktúrie</w:t>
      </w:r>
      <w:proofErr w:type="spellEnd"/>
      <w:r w:rsidRPr="005F6F71">
        <w:rPr>
          <w:bCs/>
          <w:iCs/>
          <w:szCs w:val="22"/>
          <w:lang w:val="sk-SK"/>
        </w:rPr>
        <w:t xml:space="preserve"> spojenú s </w:t>
      </w:r>
      <w:proofErr w:type="spellStart"/>
      <w:r w:rsidRPr="005F6F71">
        <w:rPr>
          <w:bCs/>
          <w:iCs/>
          <w:szCs w:val="22"/>
          <w:lang w:val="sk-SK"/>
        </w:rPr>
        <w:t>idiopatickou</w:t>
      </w:r>
      <w:proofErr w:type="spellEnd"/>
      <w:r w:rsidRPr="005F6F71">
        <w:rPr>
          <w:bCs/>
          <w:iCs/>
          <w:szCs w:val="22"/>
          <w:lang w:val="sk-SK"/>
        </w:rPr>
        <w:t xml:space="preserve"> nočnou </w:t>
      </w:r>
      <w:proofErr w:type="spellStart"/>
      <w:r w:rsidRPr="005F6F71">
        <w:rPr>
          <w:bCs/>
          <w:iCs/>
          <w:szCs w:val="22"/>
          <w:lang w:val="sk-SK"/>
        </w:rPr>
        <w:t>polyúriou</w:t>
      </w:r>
      <w:proofErr w:type="spellEnd"/>
      <w:r w:rsidRPr="005F6F71">
        <w:rPr>
          <w:bCs/>
          <w:iCs/>
          <w:szCs w:val="22"/>
          <w:lang w:val="sk-SK"/>
        </w:rPr>
        <w:t xml:space="preserve"> v pediatrickej populácii.</w:t>
      </w:r>
    </w:p>
    <w:p w:rsidR="009C0CD4" w:rsidRPr="005F6F71" w:rsidRDefault="009C0CD4" w:rsidP="00791DD2">
      <w:pPr>
        <w:rPr>
          <w:bCs/>
          <w:szCs w:val="22"/>
          <w:lang w:val="sk-SK"/>
        </w:rPr>
      </w:pPr>
    </w:p>
    <w:p w:rsidR="00B54B3A" w:rsidRPr="005F6F71" w:rsidRDefault="00EC4BFA" w:rsidP="00B54B3A">
      <w:pPr>
        <w:rPr>
          <w:u w:val="single"/>
          <w:lang w:val="sk-SK"/>
        </w:rPr>
      </w:pPr>
      <w:r w:rsidRPr="005F6F71">
        <w:rPr>
          <w:u w:val="single"/>
          <w:lang w:val="sk-SK"/>
        </w:rPr>
        <w:t>Spôsob podávania</w:t>
      </w:r>
      <w:r w:rsidR="00B54B3A" w:rsidRPr="005F6F71">
        <w:rPr>
          <w:u w:val="single"/>
          <w:lang w:val="sk-SK"/>
        </w:rPr>
        <w:t xml:space="preserve"> </w:t>
      </w:r>
    </w:p>
    <w:p w:rsidR="00EC4BFA" w:rsidRPr="005F6F71" w:rsidRDefault="00DF6DB6" w:rsidP="00B54B3A">
      <w:pPr>
        <w:rPr>
          <w:lang w:val="sk-SK"/>
        </w:rPr>
      </w:pPr>
      <w:proofErr w:type="spellStart"/>
      <w:r w:rsidRPr="005F6F71">
        <w:rPr>
          <w:lang w:val="sk-SK"/>
        </w:rPr>
        <w:t>Nocdurna</w:t>
      </w:r>
      <w:proofErr w:type="spellEnd"/>
      <w:r w:rsidRPr="005F6F71">
        <w:rPr>
          <w:lang w:val="sk-SK"/>
        </w:rPr>
        <w:t xml:space="preserve"> </w:t>
      </w:r>
      <w:r w:rsidR="00EC4BFA" w:rsidRPr="005F6F71">
        <w:rPr>
          <w:lang w:val="sk-SK"/>
        </w:rPr>
        <w:t>sa vloží pod jazyk, kde sa rozpustí bez potreby zapíjania vodou.</w:t>
      </w:r>
    </w:p>
    <w:p w:rsidR="00624EE1" w:rsidRPr="00AE2699" w:rsidRDefault="00624EE1" w:rsidP="00653EC9">
      <w:pPr>
        <w:rPr>
          <w:bCs/>
          <w:i/>
          <w:szCs w:val="22"/>
          <w:lang w:val="sk-SK"/>
        </w:rPr>
      </w:pPr>
    </w:p>
    <w:p w:rsidR="00942C3E" w:rsidRPr="005F6F71" w:rsidRDefault="00EC4BFA" w:rsidP="00CF3623">
      <w:pPr>
        <w:rPr>
          <w:bCs/>
          <w:szCs w:val="22"/>
          <w:lang w:val="sk-SK"/>
        </w:rPr>
      </w:pPr>
      <w:r w:rsidRPr="005F6F71">
        <w:rPr>
          <w:bCs/>
          <w:szCs w:val="22"/>
          <w:lang w:val="sk-SK"/>
        </w:rPr>
        <w:t xml:space="preserve">Príjem potravy môže znížiť intenzitu a trvanie </w:t>
      </w:r>
      <w:proofErr w:type="spellStart"/>
      <w:r w:rsidRPr="005F6F71">
        <w:rPr>
          <w:bCs/>
          <w:szCs w:val="22"/>
          <w:lang w:val="sk-SK"/>
        </w:rPr>
        <w:t>antidiuretického</w:t>
      </w:r>
      <w:proofErr w:type="spellEnd"/>
      <w:r w:rsidRPr="005F6F71">
        <w:rPr>
          <w:bCs/>
          <w:szCs w:val="22"/>
          <w:lang w:val="sk-SK"/>
        </w:rPr>
        <w:t xml:space="preserve"> účinku nízkych dávok </w:t>
      </w:r>
      <w:proofErr w:type="spellStart"/>
      <w:r w:rsidRPr="005F6F71">
        <w:rPr>
          <w:bCs/>
          <w:szCs w:val="22"/>
          <w:lang w:val="sk-SK"/>
        </w:rPr>
        <w:t>dezmopresínu</w:t>
      </w:r>
      <w:proofErr w:type="spellEnd"/>
      <w:r w:rsidR="00BA49E2" w:rsidRPr="005F6F71">
        <w:rPr>
          <w:bCs/>
          <w:szCs w:val="22"/>
          <w:lang w:val="sk-SK"/>
        </w:rPr>
        <w:t xml:space="preserve"> (</w:t>
      </w:r>
      <w:r w:rsidRPr="005F6F71">
        <w:rPr>
          <w:bCs/>
          <w:szCs w:val="22"/>
          <w:lang w:val="sk-SK"/>
        </w:rPr>
        <w:t>pozri časť</w:t>
      </w:r>
      <w:r w:rsidR="00624EE1" w:rsidRPr="005F6F71">
        <w:rPr>
          <w:bCs/>
          <w:szCs w:val="22"/>
          <w:lang w:val="sk-SK"/>
        </w:rPr>
        <w:t xml:space="preserve"> </w:t>
      </w:r>
      <w:r w:rsidR="000E5A02" w:rsidRPr="005F6F71">
        <w:rPr>
          <w:bCs/>
          <w:szCs w:val="22"/>
          <w:lang w:val="sk-SK"/>
        </w:rPr>
        <w:t>5.2</w:t>
      </w:r>
      <w:r w:rsidR="00C42BAA" w:rsidRPr="005F6F71">
        <w:rPr>
          <w:bCs/>
          <w:szCs w:val="22"/>
          <w:lang w:val="sk-SK"/>
        </w:rPr>
        <w:t>)</w:t>
      </w:r>
      <w:r w:rsidRPr="005F6F71">
        <w:rPr>
          <w:bCs/>
          <w:szCs w:val="22"/>
          <w:lang w:val="sk-SK"/>
        </w:rPr>
        <w:t>.</w:t>
      </w:r>
    </w:p>
    <w:p w:rsidR="001D29E6" w:rsidRPr="005F6F71" w:rsidRDefault="001D29E6" w:rsidP="000C1913">
      <w:pPr>
        <w:rPr>
          <w:lang w:val="sk-SK"/>
        </w:rPr>
      </w:pPr>
    </w:p>
    <w:p w:rsidR="001D29E6" w:rsidRPr="005F6F71" w:rsidRDefault="001D29E6" w:rsidP="000C1913">
      <w:pPr>
        <w:ind w:left="567" w:hanging="567"/>
        <w:rPr>
          <w:lang w:val="sk-SK"/>
        </w:rPr>
      </w:pPr>
      <w:r w:rsidRPr="005F6F71">
        <w:rPr>
          <w:b/>
          <w:lang w:val="sk-SK"/>
        </w:rPr>
        <w:t>4.3</w:t>
      </w:r>
      <w:r w:rsidRPr="005F6F71">
        <w:rPr>
          <w:b/>
          <w:lang w:val="sk-SK"/>
        </w:rPr>
        <w:tab/>
      </w:r>
      <w:r w:rsidR="00EC4BFA" w:rsidRPr="005F6F71">
        <w:rPr>
          <w:b/>
          <w:lang w:val="sk-SK"/>
        </w:rPr>
        <w:t>Kontraindikácie</w:t>
      </w:r>
    </w:p>
    <w:p w:rsidR="001D29E6" w:rsidRPr="00CF3623" w:rsidRDefault="001D29E6" w:rsidP="000C1913">
      <w:pPr>
        <w:rPr>
          <w:b/>
          <w:lang w:val="sk-SK"/>
        </w:rPr>
      </w:pPr>
    </w:p>
    <w:p w:rsidR="00F210D0" w:rsidRPr="005F6F71" w:rsidRDefault="00EC4BFA" w:rsidP="00653EC9">
      <w:pPr>
        <w:numPr>
          <w:ilvl w:val="0"/>
          <w:numId w:val="38"/>
        </w:numPr>
        <w:tabs>
          <w:tab w:val="clear" w:pos="567"/>
          <w:tab w:val="clear" w:pos="720"/>
          <w:tab w:val="num" w:pos="180"/>
        </w:tabs>
        <w:spacing w:line="240" w:lineRule="auto"/>
        <w:ind w:left="180" w:hanging="180"/>
        <w:rPr>
          <w:szCs w:val="22"/>
          <w:lang w:val="sk-SK"/>
        </w:rPr>
      </w:pPr>
      <w:r w:rsidRPr="005F6F71">
        <w:rPr>
          <w:szCs w:val="22"/>
          <w:lang w:val="sk-SK"/>
        </w:rPr>
        <w:t xml:space="preserve">precitlivenosť na liečivo alebo na ktorúkoľvek z pomocných látok uvedených v časti </w:t>
      </w:r>
      <w:r w:rsidR="0060585A" w:rsidRPr="005F6F71">
        <w:rPr>
          <w:szCs w:val="22"/>
          <w:lang w:val="sk-SK"/>
        </w:rPr>
        <w:t>6.1</w:t>
      </w:r>
    </w:p>
    <w:p w:rsidR="00F210D0" w:rsidRPr="005F6F71" w:rsidRDefault="00EC4BFA" w:rsidP="00653EC9">
      <w:pPr>
        <w:numPr>
          <w:ilvl w:val="0"/>
          <w:numId w:val="38"/>
        </w:numPr>
        <w:tabs>
          <w:tab w:val="clear" w:pos="567"/>
          <w:tab w:val="clear" w:pos="720"/>
          <w:tab w:val="num" w:pos="180"/>
        </w:tabs>
        <w:spacing w:line="240" w:lineRule="auto"/>
        <w:ind w:left="180" w:hanging="180"/>
        <w:rPr>
          <w:szCs w:val="22"/>
          <w:lang w:val="sk-SK"/>
        </w:rPr>
      </w:pPr>
      <w:r w:rsidRPr="005F6F71">
        <w:rPr>
          <w:szCs w:val="22"/>
          <w:lang w:val="sk-SK"/>
        </w:rPr>
        <w:t xml:space="preserve">habituálna alebo </w:t>
      </w:r>
      <w:proofErr w:type="spellStart"/>
      <w:r w:rsidRPr="005F6F71">
        <w:rPr>
          <w:szCs w:val="22"/>
          <w:lang w:val="sk-SK"/>
        </w:rPr>
        <w:t>psychogénna</w:t>
      </w:r>
      <w:proofErr w:type="spellEnd"/>
      <w:r w:rsidRPr="005F6F71">
        <w:rPr>
          <w:szCs w:val="22"/>
          <w:lang w:val="sk-SK"/>
        </w:rPr>
        <w:t xml:space="preserve"> </w:t>
      </w:r>
      <w:proofErr w:type="spellStart"/>
      <w:r w:rsidRPr="005F6F71">
        <w:rPr>
          <w:szCs w:val="22"/>
          <w:lang w:val="sk-SK"/>
        </w:rPr>
        <w:t>polydipsia</w:t>
      </w:r>
      <w:proofErr w:type="spellEnd"/>
      <w:r w:rsidRPr="005F6F71">
        <w:rPr>
          <w:szCs w:val="22"/>
          <w:lang w:val="sk-SK"/>
        </w:rPr>
        <w:t xml:space="preserve"> (následkom je vyššia tvorba moču ako 40 ml/kg/24 hodín)</w:t>
      </w:r>
    </w:p>
    <w:p w:rsidR="00F210D0" w:rsidRPr="005F6F71" w:rsidRDefault="00EC4BFA" w:rsidP="00653EC9">
      <w:pPr>
        <w:numPr>
          <w:ilvl w:val="0"/>
          <w:numId w:val="38"/>
        </w:numPr>
        <w:tabs>
          <w:tab w:val="clear" w:pos="567"/>
          <w:tab w:val="clear" w:pos="720"/>
          <w:tab w:val="num" w:pos="180"/>
        </w:tabs>
        <w:spacing w:line="240" w:lineRule="auto"/>
        <w:ind w:left="180" w:hanging="180"/>
        <w:rPr>
          <w:szCs w:val="22"/>
          <w:lang w:val="sk-SK"/>
        </w:rPr>
      </w:pPr>
      <w:r w:rsidRPr="005F6F71">
        <w:rPr>
          <w:szCs w:val="22"/>
          <w:lang w:val="sk-SK"/>
        </w:rPr>
        <w:t xml:space="preserve">známa srdcová </w:t>
      </w:r>
      <w:proofErr w:type="spellStart"/>
      <w:r w:rsidRPr="005F6F71">
        <w:rPr>
          <w:szCs w:val="22"/>
          <w:lang w:val="sk-SK"/>
        </w:rPr>
        <w:t>insuficiencia</w:t>
      </w:r>
      <w:proofErr w:type="spellEnd"/>
      <w:r w:rsidRPr="005F6F71">
        <w:rPr>
          <w:szCs w:val="22"/>
          <w:lang w:val="sk-SK"/>
        </w:rPr>
        <w:t xml:space="preserve"> alebo podozrenie na ňu alebo iné stavy spojené </w:t>
      </w:r>
      <w:r w:rsidR="000869AE" w:rsidRPr="005F6F71">
        <w:rPr>
          <w:szCs w:val="22"/>
          <w:lang w:val="sk-SK"/>
        </w:rPr>
        <w:t>s nadbytko</w:t>
      </w:r>
      <w:r w:rsidR="00111C86" w:rsidRPr="005F6F71">
        <w:rPr>
          <w:szCs w:val="22"/>
          <w:lang w:val="sk-SK"/>
        </w:rPr>
        <w:t>m</w:t>
      </w:r>
      <w:r w:rsidR="000869AE" w:rsidRPr="005F6F71">
        <w:rPr>
          <w:szCs w:val="22"/>
          <w:lang w:val="sk-SK"/>
        </w:rPr>
        <w:t xml:space="preserve"> tekutín, </w:t>
      </w:r>
      <w:r w:rsidR="00D6542D" w:rsidRPr="005F6F71">
        <w:rPr>
          <w:szCs w:val="22"/>
          <w:lang w:val="sk-SK"/>
        </w:rPr>
        <w:t xml:space="preserve">ktoré si </w:t>
      </w:r>
      <w:r w:rsidR="000869AE" w:rsidRPr="005F6F71">
        <w:rPr>
          <w:szCs w:val="22"/>
          <w:lang w:val="sk-SK"/>
        </w:rPr>
        <w:t xml:space="preserve">vyžadujú liečbu diuretikami, vrátane </w:t>
      </w:r>
      <w:r w:rsidR="00111C86" w:rsidRPr="005F6F71">
        <w:rPr>
          <w:szCs w:val="22"/>
          <w:lang w:val="sk-SK"/>
        </w:rPr>
        <w:t>takýchto stavov v anamnéze</w:t>
      </w:r>
    </w:p>
    <w:p w:rsidR="00F210D0" w:rsidRPr="005F6F71" w:rsidRDefault="000869AE" w:rsidP="00653EC9">
      <w:pPr>
        <w:numPr>
          <w:ilvl w:val="0"/>
          <w:numId w:val="38"/>
        </w:numPr>
        <w:tabs>
          <w:tab w:val="clear" w:pos="567"/>
          <w:tab w:val="clear" w:pos="720"/>
          <w:tab w:val="num" w:pos="180"/>
        </w:tabs>
        <w:spacing w:line="240" w:lineRule="auto"/>
        <w:ind w:left="180" w:hanging="180"/>
        <w:rPr>
          <w:szCs w:val="22"/>
          <w:lang w:val="sk-SK"/>
        </w:rPr>
      </w:pPr>
      <w:r w:rsidRPr="005F6F71">
        <w:rPr>
          <w:szCs w:val="22"/>
          <w:lang w:val="sk-SK"/>
        </w:rPr>
        <w:t xml:space="preserve">stredne závažná a závažná </w:t>
      </w:r>
      <w:proofErr w:type="spellStart"/>
      <w:r w:rsidRPr="005F6F71">
        <w:rPr>
          <w:szCs w:val="22"/>
          <w:lang w:val="sk-SK"/>
        </w:rPr>
        <w:t>renálna</w:t>
      </w:r>
      <w:proofErr w:type="spellEnd"/>
      <w:r w:rsidRPr="005F6F71">
        <w:rPr>
          <w:szCs w:val="22"/>
          <w:lang w:val="sk-SK"/>
        </w:rPr>
        <w:t xml:space="preserve"> </w:t>
      </w:r>
      <w:proofErr w:type="spellStart"/>
      <w:r w:rsidRPr="005F6F71">
        <w:rPr>
          <w:szCs w:val="22"/>
          <w:lang w:val="sk-SK"/>
        </w:rPr>
        <w:t>insuficiencia</w:t>
      </w:r>
      <w:proofErr w:type="spellEnd"/>
      <w:r w:rsidR="00F210D0" w:rsidRPr="005F6F71">
        <w:rPr>
          <w:szCs w:val="22"/>
          <w:lang w:val="sk-SK"/>
        </w:rPr>
        <w:t xml:space="preserve"> (</w:t>
      </w:r>
      <w:proofErr w:type="spellStart"/>
      <w:r w:rsidRPr="005F6F71">
        <w:rPr>
          <w:szCs w:val="22"/>
          <w:lang w:val="sk-SK"/>
        </w:rPr>
        <w:t>klírens</w:t>
      </w:r>
      <w:proofErr w:type="spellEnd"/>
      <w:r w:rsidRPr="005F6F71">
        <w:rPr>
          <w:szCs w:val="22"/>
          <w:lang w:val="sk-SK"/>
        </w:rPr>
        <w:t xml:space="preserve"> </w:t>
      </w:r>
      <w:proofErr w:type="spellStart"/>
      <w:r w:rsidRPr="005F6F71">
        <w:rPr>
          <w:szCs w:val="22"/>
          <w:lang w:val="sk-SK"/>
        </w:rPr>
        <w:t>kreatinínu</w:t>
      </w:r>
      <w:proofErr w:type="spellEnd"/>
      <w:r w:rsidRPr="005F6F71">
        <w:rPr>
          <w:szCs w:val="22"/>
          <w:lang w:val="sk-SK"/>
        </w:rPr>
        <w:t xml:space="preserve"> pod</w:t>
      </w:r>
      <w:r w:rsidR="0060585A" w:rsidRPr="005F6F71">
        <w:rPr>
          <w:szCs w:val="22"/>
          <w:lang w:val="sk-SK"/>
        </w:rPr>
        <w:t xml:space="preserve"> 50 ml/min)</w:t>
      </w:r>
    </w:p>
    <w:p w:rsidR="00F210D0" w:rsidRPr="005F6F71" w:rsidRDefault="000869AE" w:rsidP="00653EC9">
      <w:pPr>
        <w:numPr>
          <w:ilvl w:val="0"/>
          <w:numId w:val="38"/>
        </w:numPr>
        <w:tabs>
          <w:tab w:val="clear" w:pos="567"/>
          <w:tab w:val="clear" w:pos="720"/>
          <w:tab w:val="num" w:pos="180"/>
        </w:tabs>
        <w:spacing w:line="240" w:lineRule="auto"/>
        <w:ind w:left="180" w:hanging="180"/>
        <w:rPr>
          <w:szCs w:val="22"/>
          <w:lang w:val="sk-SK"/>
        </w:rPr>
      </w:pPr>
      <w:proofErr w:type="spellStart"/>
      <w:r w:rsidRPr="005F6F71">
        <w:rPr>
          <w:szCs w:val="22"/>
          <w:lang w:val="sk-SK"/>
        </w:rPr>
        <w:t>hyponatriémia</w:t>
      </w:r>
      <w:proofErr w:type="spellEnd"/>
      <w:r w:rsidR="00423097">
        <w:rPr>
          <w:szCs w:val="22"/>
          <w:lang w:val="sk-SK"/>
        </w:rPr>
        <w:t xml:space="preserve"> v anamnéze</w:t>
      </w:r>
    </w:p>
    <w:p w:rsidR="00F210D0" w:rsidRPr="005F6F71" w:rsidRDefault="000869AE" w:rsidP="00653EC9">
      <w:pPr>
        <w:numPr>
          <w:ilvl w:val="0"/>
          <w:numId w:val="38"/>
        </w:numPr>
        <w:tabs>
          <w:tab w:val="clear" w:pos="567"/>
          <w:tab w:val="clear" w:pos="720"/>
          <w:tab w:val="num" w:pos="180"/>
        </w:tabs>
        <w:spacing w:line="240" w:lineRule="auto"/>
        <w:ind w:left="180" w:hanging="180"/>
        <w:rPr>
          <w:szCs w:val="22"/>
          <w:lang w:val="sk-SK"/>
        </w:rPr>
      </w:pPr>
      <w:r w:rsidRPr="005F6F71">
        <w:rPr>
          <w:szCs w:val="22"/>
          <w:lang w:val="sk-SK"/>
        </w:rPr>
        <w:t>syndróm neprimeranej sekrécie ADH</w:t>
      </w:r>
      <w:r w:rsidR="00F210D0" w:rsidRPr="005F6F71">
        <w:rPr>
          <w:szCs w:val="22"/>
          <w:lang w:val="sk-SK"/>
        </w:rPr>
        <w:t xml:space="preserve"> </w:t>
      </w:r>
      <w:r w:rsidR="0060585A" w:rsidRPr="005F6F71">
        <w:rPr>
          <w:szCs w:val="22"/>
          <w:lang w:val="sk-SK"/>
        </w:rPr>
        <w:t>(SIADH)</w:t>
      </w:r>
    </w:p>
    <w:p w:rsidR="00B12108" w:rsidRPr="005F6F71" w:rsidRDefault="00B12108" w:rsidP="000C1913">
      <w:pPr>
        <w:rPr>
          <w:lang w:val="sk-SK"/>
        </w:rPr>
      </w:pPr>
    </w:p>
    <w:p w:rsidR="001D29E6" w:rsidRPr="005F6F71" w:rsidRDefault="000869AE" w:rsidP="000C1913">
      <w:pPr>
        <w:ind w:left="567" w:hanging="567"/>
        <w:rPr>
          <w:b/>
          <w:lang w:val="sk-SK"/>
        </w:rPr>
      </w:pPr>
      <w:r w:rsidRPr="005F6F71">
        <w:rPr>
          <w:b/>
          <w:lang w:val="sk-SK"/>
        </w:rPr>
        <w:t>4.4</w:t>
      </w:r>
      <w:r w:rsidRPr="005F6F71">
        <w:rPr>
          <w:b/>
          <w:lang w:val="sk-SK"/>
        </w:rPr>
        <w:tab/>
        <w:t>Osobitné upozornenia a opatrenia pri používaní</w:t>
      </w:r>
    </w:p>
    <w:p w:rsidR="00B12108" w:rsidRPr="005F6F71" w:rsidRDefault="00B12108" w:rsidP="000C1913">
      <w:pPr>
        <w:ind w:left="567" w:hanging="567"/>
        <w:rPr>
          <w:b/>
          <w:lang w:val="sk-SK"/>
        </w:rPr>
      </w:pPr>
    </w:p>
    <w:p w:rsidR="000869AE" w:rsidRPr="005F6F71" w:rsidRDefault="000869AE" w:rsidP="00CF3623">
      <w:pPr>
        <w:rPr>
          <w:szCs w:val="22"/>
          <w:lang w:val="sk-SK"/>
        </w:rPr>
      </w:pPr>
      <w:r w:rsidRPr="005F6F71">
        <w:rPr>
          <w:szCs w:val="22"/>
          <w:lang w:val="sk-SK"/>
        </w:rPr>
        <w:t xml:space="preserve">Pacienti, najmä starší pacienti, majú pred liečbou </w:t>
      </w:r>
      <w:proofErr w:type="spellStart"/>
      <w:r w:rsidR="006977FA" w:rsidRPr="005F6F71">
        <w:rPr>
          <w:szCs w:val="22"/>
          <w:lang w:val="sk-SK"/>
        </w:rPr>
        <w:t>Nocdurnou</w:t>
      </w:r>
      <w:proofErr w:type="spellEnd"/>
      <w:r w:rsidR="006977FA" w:rsidRPr="005F6F71">
        <w:rPr>
          <w:szCs w:val="22"/>
          <w:lang w:val="sk-SK"/>
        </w:rPr>
        <w:t xml:space="preserve"> </w:t>
      </w:r>
      <w:r w:rsidRPr="005F6F71">
        <w:rPr>
          <w:szCs w:val="22"/>
          <w:lang w:val="sk-SK"/>
        </w:rPr>
        <w:t>podstúpiť klinické vyšetrenie</w:t>
      </w:r>
      <w:r w:rsidR="006977FA" w:rsidRPr="005F6F71">
        <w:rPr>
          <w:szCs w:val="22"/>
          <w:lang w:val="sk-SK"/>
        </w:rPr>
        <w:t xml:space="preserve"> lekárom</w:t>
      </w:r>
      <w:r w:rsidRPr="005F6F71">
        <w:rPr>
          <w:szCs w:val="22"/>
          <w:lang w:val="sk-SK"/>
        </w:rPr>
        <w:t xml:space="preserve">, pretože nočná </w:t>
      </w:r>
      <w:proofErr w:type="spellStart"/>
      <w:r w:rsidRPr="005F6F71">
        <w:rPr>
          <w:szCs w:val="22"/>
          <w:lang w:val="sk-SK"/>
        </w:rPr>
        <w:t>polyúria</w:t>
      </w:r>
      <w:proofErr w:type="spellEnd"/>
      <w:r w:rsidRPr="005F6F71">
        <w:rPr>
          <w:szCs w:val="22"/>
          <w:lang w:val="sk-SK"/>
        </w:rPr>
        <w:t xml:space="preserve"> môže byť príznakom kardiovaskulárnych alebo iných </w:t>
      </w:r>
      <w:r w:rsidR="006977FA" w:rsidRPr="005F6F71">
        <w:rPr>
          <w:szCs w:val="22"/>
          <w:lang w:val="sk-SK"/>
        </w:rPr>
        <w:t>ochorení</w:t>
      </w:r>
      <w:r w:rsidRPr="005F6F71">
        <w:rPr>
          <w:szCs w:val="22"/>
          <w:lang w:val="sk-SK"/>
        </w:rPr>
        <w:t xml:space="preserve"> spojených s </w:t>
      </w:r>
      <w:proofErr w:type="spellStart"/>
      <w:r w:rsidR="006977FA" w:rsidRPr="005F6F71">
        <w:rPr>
          <w:szCs w:val="22"/>
          <w:lang w:val="sk-SK"/>
        </w:rPr>
        <w:t>retenciou</w:t>
      </w:r>
      <w:proofErr w:type="spellEnd"/>
      <w:r w:rsidRPr="005F6F71">
        <w:rPr>
          <w:szCs w:val="22"/>
          <w:lang w:val="sk-SK"/>
        </w:rPr>
        <w:t xml:space="preserve"> tekutín. Ak existuje akékoľvek podozrenie</w:t>
      </w:r>
      <w:r w:rsidR="006977FA" w:rsidRPr="005F6F71">
        <w:rPr>
          <w:szCs w:val="22"/>
          <w:lang w:val="sk-SK"/>
        </w:rPr>
        <w:t xml:space="preserve"> na prítomnosť tak</w:t>
      </w:r>
      <w:r w:rsidR="00AE2699">
        <w:rPr>
          <w:szCs w:val="22"/>
          <w:lang w:val="sk-SK"/>
        </w:rPr>
        <w:t>ýchto</w:t>
      </w:r>
      <w:r w:rsidR="006977FA" w:rsidRPr="005F6F71">
        <w:rPr>
          <w:szCs w:val="22"/>
          <w:lang w:val="sk-SK"/>
        </w:rPr>
        <w:t xml:space="preserve"> ochoren</w:t>
      </w:r>
      <w:r w:rsidR="00AE2699">
        <w:rPr>
          <w:szCs w:val="22"/>
          <w:lang w:val="sk-SK"/>
        </w:rPr>
        <w:t>í</w:t>
      </w:r>
      <w:r w:rsidRPr="005F6F71">
        <w:rPr>
          <w:szCs w:val="22"/>
          <w:lang w:val="sk-SK"/>
        </w:rPr>
        <w:t xml:space="preserve">, liečba </w:t>
      </w:r>
      <w:proofErr w:type="spellStart"/>
      <w:r w:rsidRPr="005F6F71">
        <w:rPr>
          <w:szCs w:val="22"/>
          <w:lang w:val="sk-SK"/>
        </w:rPr>
        <w:t>dezmopresínom</w:t>
      </w:r>
      <w:proofErr w:type="spellEnd"/>
      <w:r w:rsidRPr="005F6F71">
        <w:rPr>
          <w:szCs w:val="22"/>
          <w:lang w:val="sk-SK"/>
        </w:rPr>
        <w:t xml:space="preserve"> sa neodporúča (pozri tiež časť 4.3).</w:t>
      </w:r>
    </w:p>
    <w:p w:rsidR="00B12108" w:rsidRPr="005F6F71" w:rsidRDefault="00B12108" w:rsidP="00791DD2">
      <w:pPr>
        <w:keepNext/>
        <w:rPr>
          <w:szCs w:val="22"/>
          <w:lang w:val="sk-SK"/>
        </w:rPr>
      </w:pPr>
    </w:p>
    <w:p w:rsidR="00494532" w:rsidRPr="005F6F71" w:rsidRDefault="00494532" w:rsidP="00CF3623">
      <w:pPr>
        <w:rPr>
          <w:szCs w:val="22"/>
          <w:lang w:val="sk-SK"/>
        </w:rPr>
      </w:pPr>
      <w:r w:rsidRPr="005F6F71">
        <w:rPr>
          <w:szCs w:val="22"/>
          <w:lang w:val="sk-SK"/>
        </w:rPr>
        <w:t xml:space="preserve">Príjem tekutín </w:t>
      </w:r>
      <w:r w:rsidR="006977FA" w:rsidRPr="005F6F71">
        <w:rPr>
          <w:szCs w:val="22"/>
          <w:lang w:val="sk-SK"/>
        </w:rPr>
        <w:t xml:space="preserve">sa </w:t>
      </w:r>
      <w:r w:rsidRPr="005F6F71">
        <w:rPr>
          <w:szCs w:val="22"/>
          <w:lang w:val="sk-SK"/>
        </w:rPr>
        <w:t>m</w:t>
      </w:r>
      <w:r w:rsidR="00111C86" w:rsidRPr="005F6F71">
        <w:rPr>
          <w:szCs w:val="22"/>
          <w:lang w:val="sk-SK"/>
        </w:rPr>
        <w:t>á</w:t>
      </w:r>
      <w:r w:rsidRPr="005F6F71">
        <w:rPr>
          <w:szCs w:val="22"/>
          <w:lang w:val="sk-SK"/>
        </w:rPr>
        <w:t xml:space="preserve"> obmedz</w:t>
      </w:r>
      <w:r w:rsidR="006977FA" w:rsidRPr="005F6F71">
        <w:rPr>
          <w:szCs w:val="22"/>
          <w:lang w:val="sk-SK"/>
        </w:rPr>
        <w:t>iť</w:t>
      </w:r>
      <w:r w:rsidRPr="005F6F71">
        <w:rPr>
          <w:szCs w:val="22"/>
          <w:lang w:val="sk-SK"/>
        </w:rPr>
        <w:t xml:space="preserve"> na minimum, a to 1 hodinu pred podaním </w:t>
      </w:r>
      <w:proofErr w:type="spellStart"/>
      <w:r w:rsidRPr="005F6F71">
        <w:rPr>
          <w:szCs w:val="22"/>
          <w:lang w:val="sk-SK"/>
        </w:rPr>
        <w:t>dezmopresínu</w:t>
      </w:r>
      <w:proofErr w:type="spellEnd"/>
      <w:r w:rsidRPr="005F6F71">
        <w:rPr>
          <w:szCs w:val="22"/>
          <w:lang w:val="sk-SK"/>
        </w:rPr>
        <w:t xml:space="preserve"> a najmenej 8 hodín po jeho podaní. </w:t>
      </w:r>
    </w:p>
    <w:p w:rsidR="00494532" w:rsidRPr="005F6F71" w:rsidRDefault="00494532" w:rsidP="00CF3623">
      <w:pPr>
        <w:rPr>
          <w:szCs w:val="22"/>
          <w:lang w:val="sk-SK"/>
        </w:rPr>
      </w:pPr>
      <w:r w:rsidRPr="005F6F71">
        <w:rPr>
          <w:szCs w:val="22"/>
          <w:lang w:val="sk-SK"/>
        </w:rPr>
        <w:t>Liečba bez súčasného zníženia príjmu tekutín môže viesť k predĺžen</w:t>
      </w:r>
      <w:r w:rsidR="006977FA" w:rsidRPr="005F6F71">
        <w:rPr>
          <w:szCs w:val="22"/>
          <w:lang w:val="sk-SK"/>
        </w:rPr>
        <w:t>iu</w:t>
      </w:r>
      <w:r w:rsidRPr="005F6F71">
        <w:rPr>
          <w:szCs w:val="22"/>
          <w:lang w:val="sk-SK"/>
        </w:rPr>
        <w:t xml:space="preserve"> </w:t>
      </w:r>
      <w:proofErr w:type="spellStart"/>
      <w:r w:rsidRPr="005F6F71">
        <w:rPr>
          <w:szCs w:val="22"/>
          <w:lang w:val="sk-SK"/>
        </w:rPr>
        <w:t>retenci</w:t>
      </w:r>
      <w:r w:rsidR="006977FA" w:rsidRPr="005F6F71">
        <w:rPr>
          <w:szCs w:val="22"/>
          <w:lang w:val="sk-SK"/>
        </w:rPr>
        <w:t>e</w:t>
      </w:r>
      <w:proofErr w:type="spellEnd"/>
      <w:r w:rsidRPr="005F6F71">
        <w:rPr>
          <w:szCs w:val="22"/>
          <w:lang w:val="sk-SK"/>
        </w:rPr>
        <w:t xml:space="preserve"> tekutín a/alebo </w:t>
      </w:r>
      <w:proofErr w:type="spellStart"/>
      <w:r w:rsidRPr="005F6F71">
        <w:rPr>
          <w:szCs w:val="22"/>
          <w:lang w:val="sk-SK"/>
        </w:rPr>
        <w:t>hyponatriémii</w:t>
      </w:r>
      <w:proofErr w:type="spellEnd"/>
      <w:r w:rsidRPr="005F6F71">
        <w:rPr>
          <w:szCs w:val="22"/>
          <w:lang w:val="sk-SK"/>
        </w:rPr>
        <w:t xml:space="preserve"> so sprievodnými varovnými </w:t>
      </w:r>
      <w:r w:rsidR="00C046C4">
        <w:rPr>
          <w:szCs w:val="22"/>
          <w:lang w:val="sk-SK"/>
        </w:rPr>
        <w:t>prejav</w:t>
      </w:r>
      <w:r w:rsidR="00C046C4" w:rsidRPr="005F6F71">
        <w:rPr>
          <w:szCs w:val="22"/>
          <w:lang w:val="sk-SK"/>
        </w:rPr>
        <w:t xml:space="preserve">mi </w:t>
      </w:r>
      <w:r w:rsidRPr="005F6F71">
        <w:rPr>
          <w:szCs w:val="22"/>
          <w:lang w:val="sk-SK"/>
        </w:rPr>
        <w:t>a príznakmi alebo bez nich (bolesť hlavy, nevoľnosť/vracanie, prírastok hmotnosti a v závažných prípadoch kŕče).</w:t>
      </w:r>
    </w:p>
    <w:p w:rsidR="005F12B4" w:rsidRPr="005F6F71" w:rsidRDefault="005F12B4" w:rsidP="00791DD2">
      <w:pPr>
        <w:rPr>
          <w:szCs w:val="22"/>
          <w:lang w:val="sk-SK"/>
        </w:rPr>
      </w:pPr>
    </w:p>
    <w:p w:rsidR="00494532" w:rsidRPr="005F6F71" w:rsidRDefault="00494532" w:rsidP="00CF3623">
      <w:pPr>
        <w:pStyle w:val="Zkladntext"/>
        <w:rPr>
          <w:i w:val="0"/>
          <w:color w:val="auto"/>
          <w:szCs w:val="22"/>
          <w:lang w:val="sk-SK"/>
        </w:rPr>
      </w:pPr>
      <w:r w:rsidRPr="005F6F71">
        <w:rPr>
          <w:i w:val="0"/>
          <w:color w:val="auto"/>
          <w:szCs w:val="22"/>
          <w:lang w:val="sk-SK"/>
        </w:rPr>
        <w:lastRenderedPageBreak/>
        <w:t xml:space="preserve">U starších pacientov s hladinami </w:t>
      </w:r>
      <w:r w:rsidR="00111C86" w:rsidRPr="005F6F71">
        <w:rPr>
          <w:i w:val="0"/>
          <w:color w:val="auto"/>
          <w:szCs w:val="22"/>
          <w:lang w:val="sk-SK"/>
        </w:rPr>
        <w:t xml:space="preserve">sérového </w:t>
      </w:r>
      <w:r w:rsidRPr="005F6F71">
        <w:rPr>
          <w:i w:val="0"/>
          <w:color w:val="auto"/>
          <w:szCs w:val="22"/>
          <w:lang w:val="sk-SK"/>
        </w:rPr>
        <w:t xml:space="preserve">sodíka </w:t>
      </w:r>
      <w:r w:rsidR="00111C86" w:rsidRPr="005F6F71">
        <w:rPr>
          <w:i w:val="0"/>
          <w:color w:val="auto"/>
          <w:szCs w:val="22"/>
          <w:lang w:val="sk-SK"/>
        </w:rPr>
        <w:t>v</w:t>
      </w:r>
      <w:r w:rsidRPr="005F6F71">
        <w:rPr>
          <w:i w:val="0"/>
          <w:color w:val="auto"/>
          <w:szCs w:val="22"/>
          <w:lang w:val="sk-SK"/>
        </w:rPr>
        <w:t xml:space="preserve"> dolnej hranici normálneho rozsahu je zvýšené riziko </w:t>
      </w:r>
      <w:proofErr w:type="spellStart"/>
      <w:r w:rsidRPr="005F6F71">
        <w:rPr>
          <w:i w:val="0"/>
          <w:color w:val="auto"/>
          <w:szCs w:val="22"/>
          <w:lang w:val="sk-SK"/>
        </w:rPr>
        <w:t>hyponatriémie</w:t>
      </w:r>
      <w:proofErr w:type="spellEnd"/>
      <w:r w:rsidRPr="005F6F71">
        <w:rPr>
          <w:i w:val="0"/>
          <w:color w:val="auto"/>
          <w:szCs w:val="22"/>
          <w:lang w:val="sk-SK"/>
        </w:rPr>
        <w:t xml:space="preserve">. U pacientov vo veku 65 rokov a starších pacientov </w:t>
      </w:r>
      <w:r w:rsidR="006977FA" w:rsidRPr="005F6F71">
        <w:rPr>
          <w:i w:val="0"/>
          <w:color w:val="auto"/>
          <w:szCs w:val="22"/>
          <w:lang w:val="sk-SK"/>
        </w:rPr>
        <w:t>sa má monitorovať koncentrácia sérového sodíka</w:t>
      </w:r>
      <w:r w:rsidRPr="005F6F71">
        <w:rPr>
          <w:i w:val="0"/>
          <w:color w:val="auto"/>
          <w:szCs w:val="22"/>
          <w:lang w:val="sk-SK"/>
        </w:rPr>
        <w:t xml:space="preserve"> pred začiatkom liečby, v prvom týždni liečby (4</w:t>
      </w:r>
      <w:r w:rsidRPr="005F6F71">
        <w:rPr>
          <w:color w:val="auto"/>
          <w:lang w:val="sk-SK"/>
        </w:rPr>
        <w:t xml:space="preserve"> –</w:t>
      </w:r>
      <w:r w:rsidRPr="005F6F71">
        <w:rPr>
          <w:i w:val="0"/>
          <w:color w:val="auto"/>
          <w:lang w:val="sk-SK"/>
        </w:rPr>
        <w:t xml:space="preserve"> 8 dní) a znova po jednom mesiaci po začiatku liečby (pozri </w:t>
      </w:r>
      <w:r w:rsidR="00C11A43" w:rsidRPr="005F6F71">
        <w:rPr>
          <w:i w:val="0"/>
          <w:color w:val="auto"/>
          <w:lang w:val="sk-SK"/>
        </w:rPr>
        <w:t>č</w:t>
      </w:r>
      <w:r w:rsidRPr="005F6F71">
        <w:rPr>
          <w:i w:val="0"/>
          <w:color w:val="auto"/>
          <w:lang w:val="sk-SK"/>
        </w:rPr>
        <w:t>as</w:t>
      </w:r>
      <w:r w:rsidR="00C11A43" w:rsidRPr="005F6F71">
        <w:rPr>
          <w:i w:val="0"/>
          <w:color w:val="auto"/>
          <w:lang w:val="sk-SK"/>
        </w:rPr>
        <w:t>ť</w:t>
      </w:r>
      <w:r w:rsidRPr="005F6F71">
        <w:rPr>
          <w:i w:val="0"/>
          <w:color w:val="auto"/>
          <w:lang w:val="sk-SK"/>
        </w:rPr>
        <w:t xml:space="preserve"> 4.2). </w:t>
      </w:r>
      <w:r w:rsidRPr="005F6F71">
        <w:rPr>
          <w:i w:val="0"/>
          <w:color w:val="auto"/>
          <w:szCs w:val="22"/>
          <w:lang w:val="sk-SK"/>
        </w:rPr>
        <w:t xml:space="preserve"> </w:t>
      </w:r>
    </w:p>
    <w:p w:rsidR="00537643" w:rsidRPr="005F6F71" w:rsidRDefault="00537643" w:rsidP="00791DD2">
      <w:pPr>
        <w:pStyle w:val="Zkladntext"/>
        <w:rPr>
          <w:i w:val="0"/>
          <w:color w:val="auto"/>
          <w:szCs w:val="22"/>
          <w:lang w:val="sk-SK"/>
        </w:rPr>
      </w:pPr>
    </w:p>
    <w:p w:rsidR="00C11A43" w:rsidRPr="005F6F71" w:rsidRDefault="00C11A43" w:rsidP="00CF3623">
      <w:pPr>
        <w:pStyle w:val="Zkladntext"/>
        <w:rPr>
          <w:i w:val="0"/>
          <w:color w:val="auto"/>
          <w:szCs w:val="22"/>
          <w:lang w:val="sk-SK"/>
        </w:rPr>
      </w:pPr>
      <w:r w:rsidRPr="005F6F71">
        <w:rPr>
          <w:i w:val="0"/>
          <w:color w:val="auto"/>
          <w:szCs w:val="22"/>
          <w:lang w:val="sk-SK"/>
        </w:rPr>
        <w:t xml:space="preserve">Dávka </w:t>
      </w:r>
      <w:r w:rsidR="00A928F6" w:rsidRPr="005F6F71">
        <w:rPr>
          <w:i w:val="0"/>
          <w:color w:val="auto"/>
          <w:szCs w:val="22"/>
          <w:lang w:val="sk-SK"/>
        </w:rPr>
        <w:t xml:space="preserve">50 </w:t>
      </w:r>
      <w:proofErr w:type="spellStart"/>
      <w:r w:rsidR="00A928F6" w:rsidRPr="005F6F71">
        <w:rPr>
          <w:i w:val="0"/>
          <w:color w:val="auto"/>
          <w:szCs w:val="22"/>
          <w:lang w:val="sk-SK"/>
        </w:rPr>
        <w:t>mi</w:t>
      </w:r>
      <w:r w:rsidRPr="005F6F71">
        <w:rPr>
          <w:i w:val="0"/>
          <w:color w:val="auto"/>
          <w:szCs w:val="22"/>
          <w:lang w:val="sk-SK"/>
        </w:rPr>
        <w:t>k</w:t>
      </w:r>
      <w:r w:rsidR="00A928F6" w:rsidRPr="005F6F71">
        <w:rPr>
          <w:i w:val="0"/>
          <w:color w:val="auto"/>
          <w:szCs w:val="22"/>
          <w:lang w:val="sk-SK"/>
        </w:rPr>
        <w:t>rogram</w:t>
      </w:r>
      <w:r w:rsidRPr="005F6F71">
        <w:rPr>
          <w:i w:val="0"/>
          <w:color w:val="auto"/>
          <w:szCs w:val="22"/>
          <w:lang w:val="sk-SK"/>
        </w:rPr>
        <w:t>ov</w:t>
      </w:r>
      <w:proofErr w:type="spellEnd"/>
      <w:r w:rsidRPr="005F6F71">
        <w:rPr>
          <w:i w:val="0"/>
          <w:color w:val="auto"/>
          <w:szCs w:val="22"/>
          <w:lang w:val="sk-SK"/>
        </w:rPr>
        <w:t xml:space="preserve"> môže u žien zvýš</w:t>
      </w:r>
      <w:r w:rsidR="006977FA" w:rsidRPr="005F6F71">
        <w:rPr>
          <w:i w:val="0"/>
          <w:color w:val="auto"/>
          <w:szCs w:val="22"/>
          <w:lang w:val="sk-SK"/>
        </w:rPr>
        <w:t>iť</w:t>
      </w:r>
      <w:r w:rsidRPr="005F6F71">
        <w:rPr>
          <w:i w:val="0"/>
          <w:color w:val="auto"/>
          <w:szCs w:val="22"/>
          <w:lang w:val="sk-SK"/>
        </w:rPr>
        <w:t xml:space="preserve"> riziko </w:t>
      </w:r>
      <w:proofErr w:type="spellStart"/>
      <w:r w:rsidRPr="005F6F71">
        <w:rPr>
          <w:i w:val="0"/>
          <w:color w:val="auto"/>
          <w:szCs w:val="22"/>
          <w:lang w:val="sk-SK"/>
        </w:rPr>
        <w:t>hyponatriémie</w:t>
      </w:r>
      <w:proofErr w:type="spellEnd"/>
      <w:r w:rsidRPr="005F6F71">
        <w:rPr>
          <w:i w:val="0"/>
          <w:color w:val="auto"/>
          <w:szCs w:val="22"/>
          <w:lang w:val="sk-SK"/>
        </w:rPr>
        <w:t xml:space="preserve"> v porovnaní s mužmi (pozri časť 5.1)</w:t>
      </w:r>
      <w:r w:rsidR="009C46A3" w:rsidRPr="005F6F71">
        <w:rPr>
          <w:i w:val="0"/>
          <w:color w:val="auto"/>
          <w:szCs w:val="22"/>
          <w:lang w:val="sk-SK"/>
        </w:rPr>
        <w:t>,</w:t>
      </w:r>
      <w:r w:rsidRPr="005F6F71">
        <w:rPr>
          <w:i w:val="0"/>
          <w:color w:val="auto"/>
          <w:szCs w:val="22"/>
          <w:lang w:val="sk-SK"/>
        </w:rPr>
        <w:t xml:space="preserve"> </w:t>
      </w:r>
      <w:r w:rsidR="009C46A3" w:rsidRPr="005F6F71">
        <w:rPr>
          <w:i w:val="0"/>
          <w:color w:val="auto"/>
          <w:szCs w:val="22"/>
          <w:lang w:val="sk-SK"/>
        </w:rPr>
        <w:t>p</w:t>
      </w:r>
      <w:r w:rsidRPr="005F6F71">
        <w:rPr>
          <w:i w:val="0"/>
          <w:color w:val="auto"/>
          <w:szCs w:val="22"/>
          <w:lang w:val="sk-SK"/>
        </w:rPr>
        <w:t>reto je dôležité dodržiavať dávk</w:t>
      </w:r>
      <w:r w:rsidR="006977FA" w:rsidRPr="005F6F71">
        <w:rPr>
          <w:i w:val="0"/>
          <w:color w:val="auto"/>
          <w:szCs w:val="22"/>
          <w:lang w:val="sk-SK"/>
        </w:rPr>
        <w:t>ovanie</w:t>
      </w:r>
      <w:r w:rsidRPr="005F6F71">
        <w:rPr>
          <w:i w:val="0"/>
          <w:color w:val="auto"/>
          <w:szCs w:val="22"/>
          <w:lang w:val="sk-SK"/>
        </w:rPr>
        <w:t xml:space="preserve"> </w:t>
      </w:r>
      <w:r w:rsidR="006977FA" w:rsidRPr="005F6F71">
        <w:rPr>
          <w:i w:val="0"/>
          <w:color w:val="auto"/>
          <w:szCs w:val="22"/>
          <w:lang w:val="sk-SK"/>
        </w:rPr>
        <w:t>podľa pohlavia</w:t>
      </w:r>
      <w:r w:rsidRPr="005F6F71">
        <w:rPr>
          <w:i w:val="0"/>
          <w:color w:val="auto"/>
          <w:szCs w:val="22"/>
          <w:lang w:val="sk-SK"/>
        </w:rPr>
        <w:t>.</w:t>
      </w:r>
    </w:p>
    <w:p w:rsidR="005F12B4" w:rsidRPr="005F6F71" w:rsidRDefault="005F12B4" w:rsidP="009C46A3">
      <w:pPr>
        <w:pStyle w:val="Zkladntext"/>
        <w:rPr>
          <w:szCs w:val="22"/>
          <w:lang w:val="sk-SK"/>
        </w:rPr>
      </w:pPr>
    </w:p>
    <w:p w:rsidR="00C11A43" w:rsidRPr="005F6F71" w:rsidRDefault="00C11A43" w:rsidP="005F12B4">
      <w:pPr>
        <w:tabs>
          <w:tab w:val="clear" w:pos="567"/>
        </w:tabs>
        <w:spacing w:line="240" w:lineRule="auto"/>
        <w:rPr>
          <w:szCs w:val="22"/>
          <w:lang w:val="sk-SK"/>
        </w:rPr>
      </w:pPr>
      <w:r w:rsidRPr="005F6F71">
        <w:rPr>
          <w:szCs w:val="22"/>
          <w:lang w:val="sk-SK"/>
        </w:rPr>
        <w:t xml:space="preserve">Liečba </w:t>
      </w:r>
      <w:proofErr w:type="spellStart"/>
      <w:r w:rsidR="00DF6DB6" w:rsidRPr="005F6F71">
        <w:rPr>
          <w:szCs w:val="22"/>
          <w:lang w:val="sk-SK"/>
        </w:rPr>
        <w:t>Nocdurn</w:t>
      </w:r>
      <w:r w:rsidRPr="005F6F71">
        <w:rPr>
          <w:szCs w:val="22"/>
          <w:lang w:val="sk-SK"/>
        </w:rPr>
        <w:t>ou</w:t>
      </w:r>
      <w:proofErr w:type="spellEnd"/>
      <w:r w:rsidRPr="005F6F71">
        <w:rPr>
          <w:szCs w:val="22"/>
          <w:lang w:val="sk-SK"/>
        </w:rPr>
        <w:t xml:space="preserve"> sa musí ukončiť, ak hladina </w:t>
      </w:r>
      <w:r w:rsidR="00D6542D" w:rsidRPr="005F6F71">
        <w:rPr>
          <w:szCs w:val="22"/>
          <w:lang w:val="sk-SK"/>
        </w:rPr>
        <w:t xml:space="preserve">sérového </w:t>
      </w:r>
      <w:r w:rsidRPr="005F6F71">
        <w:rPr>
          <w:szCs w:val="22"/>
          <w:lang w:val="sk-SK"/>
        </w:rPr>
        <w:t>sodíka klesne pod dolnú hranicu normálneho rozsahu.</w:t>
      </w:r>
    </w:p>
    <w:p w:rsidR="005F12B4" w:rsidRPr="005F6F71" w:rsidRDefault="005F12B4" w:rsidP="009C46A3">
      <w:pPr>
        <w:pStyle w:val="Zkladntext"/>
        <w:rPr>
          <w:lang w:val="sk-SK"/>
        </w:rPr>
      </w:pPr>
    </w:p>
    <w:p w:rsidR="00C11A43" w:rsidRPr="005F6F71" w:rsidRDefault="00561EB3" w:rsidP="00791DD2">
      <w:pPr>
        <w:pStyle w:val="Zkladntext"/>
        <w:rPr>
          <w:i w:val="0"/>
          <w:color w:val="auto"/>
          <w:lang w:val="sk-SK"/>
        </w:rPr>
      </w:pPr>
      <w:proofErr w:type="spellStart"/>
      <w:r w:rsidRPr="005F6F71">
        <w:rPr>
          <w:i w:val="0"/>
          <w:color w:val="auto"/>
          <w:lang w:val="sk-SK"/>
        </w:rPr>
        <w:t>Dezmopresín</w:t>
      </w:r>
      <w:proofErr w:type="spellEnd"/>
      <w:r w:rsidR="00B12108" w:rsidRPr="005F6F71">
        <w:rPr>
          <w:i w:val="0"/>
          <w:color w:val="auto"/>
          <w:lang w:val="sk-SK"/>
        </w:rPr>
        <w:t xml:space="preserve"> </w:t>
      </w:r>
      <w:r w:rsidR="00C11A43" w:rsidRPr="005F6F71">
        <w:rPr>
          <w:i w:val="0"/>
          <w:color w:val="auto"/>
          <w:lang w:val="sk-SK"/>
        </w:rPr>
        <w:t>sa má užívať s opatrnosťou u pacientov s</w:t>
      </w:r>
      <w:r w:rsidR="00286D10" w:rsidRPr="005F6F71">
        <w:rPr>
          <w:i w:val="0"/>
          <w:color w:val="auto"/>
          <w:lang w:val="sk-SK"/>
        </w:rPr>
        <w:t> ochorením, pri ktorom dochádza k poruchám rovnováhy</w:t>
      </w:r>
      <w:r w:rsidR="00C11A43" w:rsidRPr="005F6F71">
        <w:rPr>
          <w:i w:val="0"/>
          <w:color w:val="auto"/>
          <w:lang w:val="sk-SK"/>
        </w:rPr>
        <w:t xml:space="preserve"> tekutín a/alebo elektrolytov.</w:t>
      </w:r>
    </w:p>
    <w:p w:rsidR="00B12108" w:rsidRPr="005F6F71" w:rsidRDefault="00B12108" w:rsidP="009C46A3">
      <w:pPr>
        <w:pStyle w:val="Zkladntext"/>
        <w:rPr>
          <w:i w:val="0"/>
          <w:color w:val="auto"/>
          <w:lang w:val="sk-SK"/>
        </w:rPr>
      </w:pPr>
    </w:p>
    <w:p w:rsidR="00C11A43" w:rsidRPr="005F6F71" w:rsidRDefault="00C11A43" w:rsidP="00791DD2">
      <w:pPr>
        <w:pStyle w:val="Zkladntext"/>
        <w:rPr>
          <w:i w:val="0"/>
          <w:color w:val="auto"/>
          <w:lang w:val="sk-SK"/>
        </w:rPr>
      </w:pPr>
      <w:r w:rsidRPr="005F6F71">
        <w:rPr>
          <w:i w:val="0"/>
          <w:color w:val="auto"/>
          <w:lang w:val="sk-SK"/>
        </w:rPr>
        <w:t xml:space="preserve">Liečbu </w:t>
      </w:r>
      <w:proofErr w:type="spellStart"/>
      <w:r w:rsidRPr="005F6F71">
        <w:rPr>
          <w:i w:val="0"/>
          <w:color w:val="auto"/>
          <w:lang w:val="sk-SK"/>
        </w:rPr>
        <w:t>dezmopresínom</w:t>
      </w:r>
      <w:proofErr w:type="spellEnd"/>
      <w:r w:rsidRPr="005F6F71">
        <w:rPr>
          <w:i w:val="0"/>
          <w:color w:val="auto"/>
          <w:lang w:val="sk-SK"/>
        </w:rPr>
        <w:t xml:space="preserve"> treba prerušiť a prehodnotiť počas akútnych prechodných ochorení, ktoré sa vyznačujú nerovnováhou tekutín a/alebo elektrolytov (ako sú systémové infekcie, horúčka a </w:t>
      </w:r>
      <w:proofErr w:type="spellStart"/>
      <w:r w:rsidRPr="005F6F71">
        <w:rPr>
          <w:i w:val="0"/>
          <w:color w:val="auto"/>
          <w:lang w:val="sk-SK"/>
        </w:rPr>
        <w:t>gastroenteritída</w:t>
      </w:r>
      <w:proofErr w:type="spellEnd"/>
      <w:r w:rsidRPr="005F6F71">
        <w:rPr>
          <w:i w:val="0"/>
          <w:color w:val="auto"/>
          <w:lang w:val="sk-SK"/>
        </w:rPr>
        <w:t>).</w:t>
      </w:r>
    </w:p>
    <w:p w:rsidR="00593EF9" w:rsidRPr="005F6F71" w:rsidRDefault="00593EF9" w:rsidP="00791DD2">
      <w:pPr>
        <w:pStyle w:val="Zkladntext"/>
        <w:rPr>
          <w:i w:val="0"/>
          <w:color w:val="auto"/>
          <w:lang w:val="sk-SK"/>
        </w:rPr>
      </w:pPr>
    </w:p>
    <w:p w:rsidR="00C11A43" w:rsidRPr="005F6F71" w:rsidRDefault="00C11A43" w:rsidP="00B12108">
      <w:pPr>
        <w:tabs>
          <w:tab w:val="clear" w:pos="567"/>
        </w:tabs>
        <w:spacing w:line="240" w:lineRule="auto"/>
        <w:rPr>
          <w:lang w:val="sk-SK"/>
        </w:rPr>
      </w:pPr>
      <w:r w:rsidRPr="005F6F71">
        <w:rPr>
          <w:iCs/>
          <w:lang w:val="sk-SK"/>
        </w:rPr>
        <w:t>V prípade súbežnej liečby liekmi, ktoré môžu stimulovať SIADH</w:t>
      </w:r>
      <w:r w:rsidR="00C62F9F" w:rsidRPr="005F6F71">
        <w:rPr>
          <w:iCs/>
          <w:lang w:val="sk-SK"/>
        </w:rPr>
        <w:t>, t.j.</w:t>
      </w:r>
      <w:r w:rsidRPr="005F6F71">
        <w:rPr>
          <w:i/>
          <w:lang w:val="sk-SK"/>
        </w:rPr>
        <w:t xml:space="preserve"> </w:t>
      </w:r>
      <w:proofErr w:type="spellStart"/>
      <w:r w:rsidRPr="005F6F71">
        <w:rPr>
          <w:lang w:val="sk-SK"/>
        </w:rPr>
        <w:t>tricyklické</w:t>
      </w:r>
      <w:proofErr w:type="spellEnd"/>
      <w:r w:rsidRPr="005F6F71">
        <w:rPr>
          <w:lang w:val="sk-SK"/>
        </w:rPr>
        <w:t xml:space="preserve"> </w:t>
      </w:r>
      <w:proofErr w:type="spellStart"/>
      <w:r w:rsidRPr="005F6F71">
        <w:rPr>
          <w:lang w:val="sk-SK"/>
        </w:rPr>
        <w:t>antidepresíva</w:t>
      </w:r>
      <w:proofErr w:type="spellEnd"/>
      <w:r w:rsidRPr="005F6F71">
        <w:rPr>
          <w:lang w:val="sk-SK"/>
        </w:rPr>
        <w:t xml:space="preserve">, selektívne inhibítory spätného vychytávania </w:t>
      </w:r>
      <w:proofErr w:type="spellStart"/>
      <w:r w:rsidRPr="005F6F71">
        <w:rPr>
          <w:lang w:val="sk-SK"/>
        </w:rPr>
        <w:t>serotonínu</w:t>
      </w:r>
      <w:proofErr w:type="spellEnd"/>
      <w:r w:rsidRPr="005F6F71">
        <w:rPr>
          <w:lang w:val="sk-SK"/>
        </w:rPr>
        <w:t xml:space="preserve">, </w:t>
      </w:r>
      <w:proofErr w:type="spellStart"/>
      <w:r w:rsidRPr="005F6F71">
        <w:rPr>
          <w:lang w:val="sk-SK"/>
        </w:rPr>
        <w:t>chlórpromazín</w:t>
      </w:r>
      <w:proofErr w:type="spellEnd"/>
      <w:r w:rsidRPr="005F6F71">
        <w:rPr>
          <w:lang w:val="sk-SK"/>
        </w:rPr>
        <w:t xml:space="preserve">, </w:t>
      </w:r>
      <w:r w:rsidR="00C62F9F" w:rsidRPr="005F6F71">
        <w:rPr>
          <w:lang w:val="sk-SK"/>
        </w:rPr>
        <w:t xml:space="preserve">diuretiká a </w:t>
      </w:r>
      <w:proofErr w:type="spellStart"/>
      <w:r w:rsidRPr="005F6F71">
        <w:rPr>
          <w:lang w:val="sk-SK"/>
        </w:rPr>
        <w:t>karbamazepín</w:t>
      </w:r>
      <w:proofErr w:type="spellEnd"/>
      <w:r w:rsidRPr="005F6F71">
        <w:rPr>
          <w:lang w:val="sk-SK"/>
        </w:rPr>
        <w:t xml:space="preserve"> a</w:t>
      </w:r>
      <w:r w:rsidR="00C62F9F" w:rsidRPr="005F6F71">
        <w:rPr>
          <w:lang w:val="sk-SK"/>
        </w:rPr>
        <w:t xml:space="preserve"> niektoré </w:t>
      </w:r>
      <w:proofErr w:type="spellStart"/>
      <w:r w:rsidR="00C62F9F" w:rsidRPr="005F6F71">
        <w:rPr>
          <w:lang w:val="sk-SK"/>
        </w:rPr>
        <w:t>antidia</w:t>
      </w:r>
      <w:r w:rsidR="009242C8" w:rsidRPr="005F6F71">
        <w:rPr>
          <w:lang w:val="sk-SK"/>
        </w:rPr>
        <w:t>betiká</w:t>
      </w:r>
      <w:proofErr w:type="spellEnd"/>
      <w:r w:rsidR="009242C8" w:rsidRPr="005F6F71">
        <w:rPr>
          <w:lang w:val="sk-SK"/>
        </w:rPr>
        <w:t xml:space="preserve"> z</w:t>
      </w:r>
      <w:r w:rsidR="00C62F9F" w:rsidRPr="005F6F71">
        <w:rPr>
          <w:lang w:val="sk-SK"/>
        </w:rPr>
        <w:t xml:space="preserve">o skupiny </w:t>
      </w:r>
      <w:proofErr w:type="spellStart"/>
      <w:r w:rsidR="00C62F9F" w:rsidRPr="005F6F71">
        <w:rPr>
          <w:lang w:val="sk-SK"/>
        </w:rPr>
        <w:t>sulfonylurey</w:t>
      </w:r>
      <w:proofErr w:type="spellEnd"/>
      <w:r w:rsidR="00C62F9F" w:rsidRPr="005F6F71">
        <w:rPr>
          <w:lang w:val="sk-SK"/>
        </w:rPr>
        <w:t xml:space="preserve">, najmä </w:t>
      </w:r>
      <w:proofErr w:type="spellStart"/>
      <w:r w:rsidR="00C62F9F" w:rsidRPr="005F6F71">
        <w:rPr>
          <w:lang w:val="sk-SK"/>
        </w:rPr>
        <w:t>chlórpropamid</w:t>
      </w:r>
      <w:proofErr w:type="spellEnd"/>
      <w:r w:rsidR="00C62F9F" w:rsidRPr="005F6F71">
        <w:rPr>
          <w:lang w:val="sk-SK"/>
        </w:rPr>
        <w:t xml:space="preserve"> a </w:t>
      </w:r>
      <w:r w:rsidRPr="005F6F71">
        <w:rPr>
          <w:lang w:val="sk-SK"/>
        </w:rPr>
        <w:t>v</w:t>
      </w:r>
      <w:r w:rsidR="00C62F9F" w:rsidRPr="005F6F71">
        <w:rPr>
          <w:lang w:val="sk-SK"/>
        </w:rPr>
        <w:t xml:space="preserve"> </w:t>
      </w:r>
      <w:r w:rsidRPr="005F6F71">
        <w:rPr>
          <w:lang w:val="sk-SK"/>
        </w:rPr>
        <w:t xml:space="preserve">prípade súbežnej liečby </w:t>
      </w:r>
      <w:proofErr w:type="spellStart"/>
      <w:r w:rsidRPr="005F6F71">
        <w:rPr>
          <w:lang w:val="sk-SK"/>
        </w:rPr>
        <w:t>nesteroidnými</w:t>
      </w:r>
      <w:proofErr w:type="spellEnd"/>
      <w:r w:rsidRPr="005F6F71">
        <w:rPr>
          <w:lang w:val="sk-SK"/>
        </w:rPr>
        <w:t xml:space="preserve"> protizápalovými liekmi (NSAID) sa musia prijať opatrenia, ktorými sa má predísť </w:t>
      </w:r>
      <w:proofErr w:type="spellStart"/>
      <w:r w:rsidRPr="005F6F71">
        <w:rPr>
          <w:lang w:val="sk-SK"/>
        </w:rPr>
        <w:t>hyponatriémii</w:t>
      </w:r>
      <w:proofErr w:type="spellEnd"/>
      <w:r w:rsidRPr="005F6F71">
        <w:rPr>
          <w:lang w:val="sk-SK"/>
        </w:rPr>
        <w:t>, vrátane starostlivosti zameranej na obmedzenie príjmu tekutín a častejšieho monitorovania sérového sodíka.</w:t>
      </w:r>
    </w:p>
    <w:p w:rsidR="00593EF9" w:rsidRPr="005F6F71" w:rsidRDefault="00593EF9" w:rsidP="009C46A3">
      <w:pPr>
        <w:pStyle w:val="Zkladntext"/>
        <w:rPr>
          <w:i w:val="0"/>
          <w:color w:val="auto"/>
          <w:lang w:val="sk-SK"/>
        </w:rPr>
      </w:pPr>
    </w:p>
    <w:p w:rsidR="00C62F9F" w:rsidRPr="005F6F71" w:rsidRDefault="00423097" w:rsidP="00791DD2">
      <w:pPr>
        <w:pStyle w:val="Zkladntext"/>
        <w:rPr>
          <w:i w:val="0"/>
          <w:color w:val="auto"/>
          <w:lang w:val="sk-SK"/>
        </w:rPr>
      </w:pPr>
      <w:r w:rsidRPr="005F6F71">
        <w:rPr>
          <w:i w:val="0"/>
          <w:color w:val="auto"/>
          <w:lang w:val="sk-SK"/>
        </w:rPr>
        <w:t>Osobitn</w:t>
      </w:r>
      <w:r>
        <w:rPr>
          <w:i w:val="0"/>
          <w:color w:val="auto"/>
          <w:lang w:val="sk-SK"/>
        </w:rPr>
        <w:t>á</w:t>
      </w:r>
      <w:r w:rsidRPr="005F6F71">
        <w:rPr>
          <w:i w:val="0"/>
          <w:color w:val="auto"/>
          <w:lang w:val="sk-SK"/>
        </w:rPr>
        <w:t xml:space="preserve"> </w:t>
      </w:r>
      <w:r>
        <w:rPr>
          <w:i w:val="0"/>
          <w:color w:val="auto"/>
          <w:lang w:val="sk-SK"/>
        </w:rPr>
        <w:t>starostlivosť</w:t>
      </w:r>
      <w:r w:rsidRPr="005F6F71">
        <w:rPr>
          <w:i w:val="0"/>
          <w:color w:val="auto"/>
          <w:lang w:val="sk-SK"/>
        </w:rPr>
        <w:t xml:space="preserve"> </w:t>
      </w:r>
      <w:r w:rsidR="00C62F9F" w:rsidRPr="005F6F71">
        <w:rPr>
          <w:i w:val="0"/>
          <w:color w:val="auto"/>
          <w:lang w:val="sk-SK"/>
        </w:rPr>
        <w:t xml:space="preserve">je </w:t>
      </w:r>
      <w:r w:rsidRPr="005F6F71">
        <w:rPr>
          <w:i w:val="0"/>
          <w:color w:val="auto"/>
          <w:lang w:val="sk-SK"/>
        </w:rPr>
        <w:t>potrebn</w:t>
      </w:r>
      <w:r>
        <w:rPr>
          <w:i w:val="0"/>
          <w:color w:val="auto"/>
          <w:lang w:val="sk-SK"/>
        </w:rPr>
        <w:t>á</w:t>
      </w:r>
      <w:r w:rsidRPr="005F6F71">
        <w:rPr>
          <w:i w:val="0"/>
          <w:color w:val="auto"/>
          <w:lang w:val="sk-SK"/>
        </w:rPr>
        <w:t xml:space="preserve"> </w:t>
      </w:r>
      <w:r w:rsidR="00C62F9F" w:rsidRPr="005F6F71">
        <w:rPr>
          <w:i w:val="0"/>
          <w:color w:val="auto"/>
          <w:lang w:val="sk-SK"/>
        </w:rPr>
        <w:t xml:space="preserve">u pacientov užívajúcich </w:t>
      </w:r>
      <w:proofErr w:type="spellStart"/>
      <w:r w:rsidR="00C62F9F" w:rsidRPr="005F6F71">
        <w:rPr>
          <w:i w:val="0"/>
          <w:color w:val="auto"/>
          <w:lang w:val="sk-SK"/>
        </w:rPr>
        <w:t>tiazid</w:t>
      </w:r>
      <w:proofErr w:type="spellEnd"/>
      <w:r w:rsidR="00C62F9F" w:rsidRPr="005F6F71">
        <w:rPr>
          <w:i w:val="0"/>
          <w:color w:val="auto"/>
          <w:lang w:val="sk-SK"/>
        </w:rPr>
        <w:t xml:space="preserve"> alebo slučkové diuretiká na liečbu hypertenzie alebo iných </w:t>
      </w:r>
      <w:r w:rsidR="00286D10" w:rsidRPr="005F6F71">
        <w:rPr>
          <w:i w:val="0"/>
          <w:color w:val="auto"/>
          <w:lang w:val="sk-SK"/>
        </w:rPr>
        <w:t>ochorení</w:t>
      </w:r>
      <w:r w:rsidR="005E0508" w:rsidRPr="005F6F71">
        <w:rPr>
          <w:i w:val="0"/>
          <w:color w:val="auto"/>
          <w:lang w:val="sk-SK"/>
        </w:rPr>
        <w:t>, ktoré nie sú spojené s hromadením tekutín. U týchto pacientov sa vyžaduje monitorovanie hlad</w:t>
      </w:r>
      <w:r w:rsidR="00286D10" w:rsidRPr="005F6F71">
        <w:rPr>
          <w:i w:val="0"/>
          <w:color w:val="auto"/>
          <w:lang w:val="sk-SK"/>
        </w:rPr>
        <w:t>i</w:t>
      </w:r>
      <w:r w:rsidR="005E0508" w:rsidRPr="005F6F71">
        <w:rPr>
          <w:i w:val="0"/>
          <w:color w:val="auto"/>
          <w:lang w:val="sk-SK"/>
        </w:rPr>
        <w:t>n</w:t>
      </w:r>
      <w:r w:rsidR="00286D10" w:rsidRPr="005F6F71">
        <w:rPr>
          <w:i w:val="0"/>
          <w:color w:val="auto"/>
          <w:lang w:val="sk-SK"/>
        </w:rPr>
        <w:t>y</w:t>
      </w:r>
      <w:r w:rsidR="005E0508" w:rsidRPr="005F6F71">
        <w:rPr>
          <w:i w:val="0"/>
          <w:color w:val="auto"/>
          <w:lang w:val="sk-SK"/>
        </w:rPr>
        <w:t xml:space="preserve"> sodíka. Pred začiatkom liečby sa musí vylúčiť závažná dysfunkcia močového mechúra a nepriechodnosť močových ciest. </w:t>
      </w:r>
    </w:p>
    <w:p w:rsidR="00AC3D09" w:rsidRPr="005F6F71" w:rsidRDefault="00AC3D09" w:rsidP="009C46A3">
      <w:pPr>
        <w:pStyle w:val="Zkladntext"/>
        <w:rPr>
          <w:i w:val="0"/>
          <w:color w:val="auto"/>
          <w:lang w:val="sk-SK"/>
        </w:rPr>
      </w:pPr>
    </w:p>
    <w:p w:rsidR="005E0508" w:rsidRPr="005F6F71" w:rsidRDefault="00E50233" w:rsidP="00791DD2">
      <w:pPr>
        <w:pStyle w:val="Zkladntext"/>
        <w:rPr>
          <w:i w:val="0"/>
          <w:color w:val="auto"/>
          <w:lang w:val="sk-SK"/>
        </w:rPr>
      </w:pPr>
      <w:r>
        <w:rPr>
          <w:i w:val="0"/>
          <w:color w:val="auto"/>
          <w:lang w:val="sk-SK"/>
        </w:rPr>
        <w:t>Zvýšená</w:t>
      </w:r>
      <w:r w:rsidR="00286D10" w:rsidRPr="005F6F71">
        <w:rPr>
          <w:i w:val="0"/>
          <w:color w:val="auto"/>
          <w:lang w:val="sk-SK"/>
        </w:rPr>
        <w:t xml:space="preserve"> o</w:t>
      </w:r>
      <w:r w:rsidR="005E0508" w:rsidRPr="005F6F71">
        <w:rPr>
          <w:i w:val="0"/>
          <w:color w:val="auto"/>
          <w:lang w:val="sk-SK"/>
        </w:rPr>
        <w:t xml:space="preserve">patrnosť sa vyžaduje v prípadoch cystickej </w:t>
      </w:r>
      <w:proofErr w:type="spellStart"/>
      <w:r w:rsidR="005E0508" w:rsidRPr="005F6F71">
        <w:rPr>
          <w:i w:val="0"/>
          <w:color w:val="auto"/>
          <w:lang w:val="sk-SK"/>
        </w:rPr>
        <w:t>fibrózy</w:t>
      </w:r>
      <w:proofErr w:type="spellEnd"/>
      <w:r w:rsidR="005E0508" w:rsidRPr="005F6F71">
        <w:rPr>
          <w:i w:val="0"/>
          <w:color w:val="auto"/>
          <w:lang w:val="sk-SK"/>
        </w:rPr>
        <w:t xml:space="preserve">, </w:t>
      </w:r>
      <w:r w:rsidR="00286D10" w:rsidRPr="005F6F71">
        <w:rPr>
          <w:i w:val="0"/>
          <w:color w:val="auto"/>
          <w:lang w:val="sk-SK"/>
        </w:rPr>
        <w:t>ischemickej</w:t>
      </w:r>
      <w:r w:rsidR="005E0508" w:rsidRPr="005F6F71">
        <w:rPr>
          <w:i w:val="0"/>
          <w:color w:val="auto"/>
          <w:lang w:val="sk-SK"/>
        </w:rPr>
        <w:t xml:space="preserve"> choroby srdca, hypertenzie, chronickej choroby obličiek a </w:t>
      </w:r>
      <w:proofErr w:type="spellStart"/>
      <w:r w:rsidR="005E0508" w:rsidRPr="005F6F71">
        <w:rPr>
          <w:i w:val="0"/>
          <w:color w:val="auto"/>
          <w:lang w:val="sk-SK"/>
        </w:rPr>
        <w:t>preeklampsie</w:t>
      </w:r>
      <w:proofErr w:type="spellEnd"/>
      <w:r w:rsidR="005E0508" w:rsidRPr="005F6F71">
        <w:rPr>
          <w:i w:val="0"/>
          <w:color w:val="auto"/>
          <w:lang w:val="sk-SK"/>
        </w:rPr>
        <w:t>.</w:t>
      </w:r>
    </w:p>
    <w:p w:rsidR="00DB5943" w:rsidRPr="005F6F71" w:rsidRDefault="00DB5943" w:rsidP="009C46A3">
      <w:pPr>
        <w:pStyle w:val="Zkladntext"/>
        <w:rPr>
          <w:i w:val="0"/>
          <w:color w:val="auto"/>
          <w:lang w:val="sk-SK"/>
        </w:rPr>
      </w:pPr>
    </w:p>
    <w:p w:rsidR="005E0508" w:rsidRPr="005F6F71" w:rsidRDefault="005E0508" w:rsidP="00791DD2">
      <w:pPr>
        <w:pStyle w:val="Zkladntext"/>
        <w:rPr>
          <w:i w:val="0"/>
          <w:color w:val="auto"/>
          <w:lang w:val="sk-SK"/>
        </w:rPr>
      </w:pPr>
      <w:r w:rsidRPr="005F6F71">
        <w:rPr>
          <w:i w:val="0"/>
          <w:color w:val="auto"/>
          <w:lang w:val="sk-SK"/>
        </w:rPr>
        <w:t>Ak nedošlo k </w:t>
      </w:r>
      <w:r w:rsidR="009C46A3" w:rsidRPr="005F6F71">
        <w:rPr>
          <w:i w:val="0"/>
          <w:color w:val="auto"/>
          <w:lang w:val="sk-SK"/>
        </w:rPr>
        <w:t>zníženiu</w:t>
      </w:r>
      <w:r w:rsidRPr="005F6F71">
        <w:rPr>
          <w:i w:val="0"/>
          <w:color w:val="auto"/>
          <w:lang w:val="sk-SK"/>
        </w:rPr>
        <w:t xml:space="preserve"> nočného močenia po začatí liečby </w:t>
      </w:r>
      <w:proofErr w:type="spellStart"/>
      <w:r w:rsidRPr="005F6F71">
        <w:rPr>
          <w:i w:val="0"/>
          <w:color w:val="auto"/>
          <w:lang w:val="sk-SK"/>
        </w:rPr>
        <w:t>dezmopresínom</w:t>
      </w:r>
      <w:proofErr w:type="spellEnd"/>
      <w:r w:rsidRPr="005F6F71">
        <w:rPr>
          <w:i w:val="0"/>
          <w:color w:val="auto"/>
          <w:lang w:val="sk-SK"/>
        </w:rPr>
        <w:t xml:space="preserve">, treba zvážiť diagnózu </w:t>
      </w:r>
      <w:proofErr w:type="spellStart"/>
      <w:r w:rsidRPr="005F6F71">
        <w:rPr>
          <w:i w:val="0"/>
          <w:color w:val="auto"/>
          <w:lang w:val="sk-SK"/>
        </w:rPr>
        <w:t>nefrogénneho</w:t>
      </w:r>
      <w:proofErr w:type="spellEnd"/>
      <w:r w:rsidRPr="005F6F71">
        <w:rPr>
          <w:i w:val="0"/>
          <w:color w:val="auto"/>
          <w:lang w:val="sk-SK"/>
        </w:rPr>
        <w:t xml:space="preserve"> diabetu </w:t>
      </w:r>
      <w:proofErr w:type="spellStart"/>
      <w:r w:rsidR="00286D10" w:rsidRPr="005F6F71">
        <w:rPr>
          <w:i w:val="0"/>
          <w:color w:val="auto"/>
          <w:lang w:val="sk-SK"/>
        </w:rPr>
        <w:t>i</w:t>
      </w:r>
      <w:r w:rsidRPr="005F6F71">
        <w:rPr>
          <w:i w:val="0"/>
          <w:color w:val="auto"/>
          <w:lang w:val="sk-SK"/>
        </w:rPr>
        <w:t>nsipidus</w:t>
      </w:r>
      <w:proofErr w:type="spellEnd"/>
      <w:r w:rsidRPr="005F6F71">
        <w:rPr>
          <w:i w:val="0"/>
          <w:color w:val="auto"/>
          <w:lang w:val="sk-SK"/>
        </w:rPr>
        <w:t xml:space="preserve">. </w:t>
      </w:r>
    </w:p>
    <w:p w:rsidR="00286D10" w:rsidRPr="005F6F71" w:rsidRDefault="00286D10" w:rsidP="009C46A3">
      <w:pPr>
        <w:pStyle w:val="Zkladntext"/>
        <w:rPr>
          <w:i w:val="0"/>
          <w:color w:val="auto"/>
          <w:lang w:val="sk-SK"/>
        </w:rPr>
      </w:pPr>
    </w:p>
    <w:p w:rsidR="005E0508" w:rsidRPr="005F6F71" w:rsidRDefault="00286D10" w:rsidP="00791DD2">
      <w:pPr>
        <w:pStyle w:val="Zkladntext"/>
        <w:rPr>
          <w:i w:val="0"/>
          <w:color w:val="auto"/>
          <w:lang w:val="sk-SK"/>
        </w:rPr>
      </w:pPr>
      <w:r w:rsidRPr="005F6F71">
        <w:rPr>
          <w:i w:val="0"/>
          <w:color w:val="auto"/>
          <w:lang w:val="sk-SK"/>
        </w:rPr>
        <w:t xml:space="preserve">Osobitná pozornosť sa má venovať pacientom, ktorí užívajú lítium, pretože pri podávaní </w:t>
      </w:r>
      <w:proofErr w:type="spellStart"/>
      <w:r w:rsidRPr="005F6F71">
        <w:rPr>
          <w:i w:val="0"/>
          <w:color w:val="auto"/>
          <w:lang w:val="sk-SK"/>
        </w:rPr>
        <w:t>dezmopresínu</w:t>
      </w:r>
      <w:proofErr w:type="spellEnd"/>
      <w:r w:rsidRPr="005F6F71">
        <w:rPr>
          <w:i w:val="0"/>
          <w:color w:val="auto"/>
          <w:lang w:val="sk-SK"/>
        </w:rPr>
        <w:t xml:space="preserve"> na liečbu </w:t>
      </w:r>
      <w:proofErr w:type="spellStart"/>
      <w:r w:rsidRPr="005F6F71">
        <w:rPr>
          <w:i w:val="0"/>
          <w:color w:val="auto"/>
          <w:lang w:val="sk-SK"/>
        </w:rPr>
        <w:t>noktúrie</w:t>
      </w:r>
      <w:proofErr w:type="spellEnd"/>
      <w:r w:rsidRPr="005F6F71">
        <w:rPr>
          <w:i w:val="0"/>
          <w:color w:val="auto"/>
          <w:lang w:val="sk-SK"/>
        </w:rPr>
        <w:t xml:space="preserve"> môže dôjsť k maskovaniu vzniku skorého štádia </w:t>
      </w:r>
      <w:proofErr w:type="spellStart"/>
      <w:r w:rsidRPr="005F6F71">
        <w:rPr>
          <w:i w:val="0"/>
          <w:color w:val="auto"/>
          <w:lang w:val="sk-SK"/>
        </w:rPr>
        <w:t>nefrogénneho</w:t>
      </w:r>
      <w:proofErr w:type="spellEnd"/>
      <w:r w:rsidRPr="005F6F71">
        <w:rPr>
          <w:i w:val="0"/>
          <w:color w:val="auto"/>
          <w:lang w:val="sk-SK"/>
        </w:rPr>
        <w:t xml:space="preserve"> diabetu </w:t>
      </w:r>
      <w:proofErr w:type="spellStart"/>
      <w:r w:rsidRPr="005F6F71">
        <w:rPr>
          <w:i w:val="0"/>
          <w:color w:val="auto"/>
          <w:lang w:val="sk-SK"/>
        </w:rPr>
        <w:t>insipidus</w:t>
      </w:r>
      <w:proofErr w:type="spellEnd"/>
      <w:r w:rsidRPr="005F6F71">
        <w:rPr>
          <w:i w:val="0"/>
          <w:color w:val="auto"/>
          <w:lang w:val="sk-SK"/>
        </w:rPr>
        <w:t xml:space="preserve"> indukovaného lítiom. </w:t>
      </w:r>
      <w:proofErr w:type="spellStart"/>
      <w:r w:rsidR="005E0508" w:rsidRPr="005F6F71">
        <w:rPr>
          <w:i w:val="0"/>
          <w:color w:val="auto"/>
          <w:lang w:val="sk-SK"/>
        </w:rPr>
        <w:t>Dezmopresín</w:t>
      </w:r>
      <w:proofErr w:type="spellEnd"/>
      <w:r w:rsidR="005E0508" w:rsidRPr="005F6F71">
        <w:rPr>
          <w:i w:val="0"/>
          <w:color w:val="auto"/>
          <w:lang w:val="sk-SK"/>
        </w:rPr>
        <w:t xml:space="preserve"> sa neodporúča u pacientov s podozrením na </w:t>
      </w:r>
      <w:proofErr w:type="spellStart"/>
      <w:r w:rsidR="005E0508" w:rsidRPr="005F6F71">
        <w:rPr>
          <w:i w:val="0"/>
          <w:color w:val="auto"/>
          <w:lang w:val="sk-SK"/>
        </w:rPr>
        <w:t>nefrogénny</w:t>
      </w:r>
      <w:proofErr w:type="spellEnd"/>
      <w:r w:rsidR="005E0508" w:rsidRPr="005F6F71">
        <w:rPr>
          <w:i w:val="0"/>
          <w:color w:val="auto"/>
          <w:lang w:val="sk-SK"/>
        </w:rPr>
        <w:t xml:space="preserve"> diabetes </w:t>
      </w:r>
      <w:proofErr w:type="spellStart"/>
      <w:r w:rsidR="005E0508" w:rsidRPr="005F6F71">
        <w:rPr>
          <w:i w:val="0"/>
          <w:color w:val="auto"/>
          <w:lang w:val="sk-SK"/>
        </w:rPr>
        <w:t>insipidus</w:t>
      </w:r>
      <w:proofErr w:type="spellEnd"/>
      <w:r w:rsidR="005E0508" w:rsidRPr="005F6F71">
        <w:rPr>
          <w:i w:val="0"/>
          <w:color w:val="auto"/>
          <w:lang w:val="sk-SK"/>
        </w:rPr>
        <w:t xml:space="preserve"> </w:t>
      </w:r>
      <w:r w:rsidRPr="005F6F71">
        <w:rPr>
          <w:i w:val="0"/>
          <w:color w:val="auto"/>
          <w:lang w:val="sk-SK"/>
        </w:rPr>
        <w:t>indukovaný</w:t>
      </w:r>
      <w:r w:rsidR="00111C86" w:rsidRPr="005F6F71">
        <w:rPr>
          <w:i w:val="0"/>
          <w:color w:val="auto"/>
          <w:lang w:val="sk-SK"/>
        </w:rPr>
        <w:t xml:space="preserve"> lítiom.</w:t>
      </w:r>
    </w:p>
    <w:p w:rsidR="001D29E6" w:rsidRPr="005F6F71" w:rsidRDefault="001D29E6" w:rsidP="000C1913">
      <w:pPr>
        <w:rPr>
          <w:lang w:val="sk-SK"/>
        </w:rPr>
      </w:pPr>
    </w:p>
    <w:p w:rsidR="001D29E6" w:rsidRPr="005F6F71" w:rsidRDefault="001D29E6" w:rsidP="000C1913">
      <w:pPr>
        <w:ind w:left="567" w:hanging="567"/>
        <w:rPr>
          <w:lang w:val="sk-SK"/>
        </w:rPr>
      </w:pPr>
      <w:r w:rsidRPr="005F6F71">
        <w:rPr>
          <w:b/>
          <w:lang w:val="sk-SK"/>
        </w:rPr>
        <w:t>4.5</w:t>
      </w:r>
      <w:r w:rsidRPr="005F6F71">
        <w:rPr>
          <w:b/>
          <w:lang w:val="sk-SK"/>
        </w:rPr>
        <w:tab/>
      </w:r>
      <w:r w:rsidR="00111C86" w:rsidRPr="005F6F71">
        <w:rPr>
          <w:b/>
          <w:lang w:val="sk-SK"/>
        </w:rPr>
        <w:t>Liekové a iné interakcie</w:t>
      </w:r>
    </w:p>
    <w:p w:rsidR="001D29E6" w:rsidRPr="005F6F71" w:rsidRDefault="001D29E6" w:rsidP="000C1913">
      <w:pPr>
        <w:rPr>
          <w:lang w:val="sk-SK"/>
        </w:rPr>
      </w:pPr>
    </w:p>
    <w:p w:rsidR="000E5A02" w:rsidRPr="005F6F71" w:rsidRDefault="00CD1254" w:rsidP="00791DD2">
      <w:pPr>
        <w:rPr>
          <w:szCs w:val="22"/>
          <w:u w:val="single"/>
          <w:lang w:val="sk-SK"/>
        </w:rPr>
      </w:pPr>
      <w:proofErr w:type="spellStart"/>
      <w:r w:rsidRPr="005F6F71">
        <w:rPr>
          <w:szCs w:val="22"/>
          <w:u w:val="single"/>
          <w:lang w:val="sk-SK"/>
        </w:rPr>
        <w:t>F</w:t>
      </w:r>
      <w:r w:rsidR="000E5A02" w:rsidRPr="005F6F71">
        <w:rPr>
          <w:szCs w:val="22"/>
          <w:u w:val="single"/>
          <w:lang w:val="sk-SK"/>
        </w:rPr>
        <w:t>arma</w:t>
      </w:r>
      <w:r w:rsidR="00111C86" w:rsidRPr="005F6F71">
        <w:rPr>
          <w:szCs w:val="22"/>
          <w:u w:val="single"/>
          <w:lang w:val="sk-SK"/>
        </w:rPr>
        <w:t>kodynamické</w:t>
      </w:r>
      <w:proofErr w:type="spellEnd"/>
      <w:r w:rsidR="00111C86" w:rsidRPr="005F6F71">
        <w:rPr>
          <w:szCs w:val="22"/>
          <w:u w:val="single"/>
          <w:lang w:val="sk-SK"/>
        </w:rPr>
        <w:t xml:space="preserve"> interakcie</w:t>
      </w:r>
    </w:p>
    <w:p w:rsidR="00CD1254" w:rsidRPr="005F6F71" w:rsidRDefault="00CD1254" w:rsidP="00791DD2">
      <w:pPr>
        <w:rPr>
          <w:szCs w:val="22"/>
          <w:lang w:val="sk-SK"/>
        </w:rPr>
      </w:pPr>
      <w:r w:rsidRPr="005F6F71">
        <w:rPr>
          <w:szCs w:val="22"/>
          <w:lang w:val="sk-SK"/>
        </w:rPr>
        <w:t xml:space="preserve">Látky, o ktorých je známe, že indukujú SIADH, môžu zvýšiť riziko </w:t>
      </w:r>
      <w:proofErr w:type="spellStart"/>
      <w:r w:rsidRPr="005F6F71">
        <w:rPr>
          <w:szCs w:val="22"/>
          <w:lang w:val="sk-SK"/>
        </w:rPr>
        <w:t>retencie</w:t>
      </w:r>
      <w:proofErr w:type="spellEnd"/>
      <w:r w:rsidRPr="005F6F71">
        <w:rPr>
          <w:szCs w:val="22"/>
          <w:lang w:val="sk-SK"/>
        </w:rPr>
        <w:t xml:space="preserve"> vody/</w:t>
      </w:r>
      <w:proofErr w:type="spellStart"/>
      <w:r w:rsidRPr="005F6F71">
        <w:rPr>
          <w:szCs w:val="22"/>
          <w:lang w:val="sk-SK"/>
        </w:rPr>
        <w:t>hyponatriémie</w:t>
      </w:r>
      <w:proofErr w:type="spellEnd"/>
      <w:r w:rsidRPr="005F6F71">
        <w:rPr>
          <w:szCs w:val="22"/>
          <w:lang w:val="sk-SK"/>
        </w:rPr>
        <w:t xml:space="preserve">,  (napr. </w:t>
      </w:r>
      <w:proofErr w:type="spellStart"/>
      <w:r w:rsidRPr="005F6F71">
        <w:rPr>
          <w:szCs w:val="22"/>
          <w:lang w:val="sk-SK"/>
        </w:rPr>
        <w:t>tricyklické</w:t>
      </w:r>
      <w:proofErr w:type="spellEnd"/>
      <w:r w:rsidRPr="005F6F71">
        <w:rPr>
          <w:szCs w:val="22"/>
          <w:lang w:val="sk-SK"/>
        </w:rPr>
        <w:t xml:space="preserve"> </w:t>
      </w:r>
      <w:proofErr w:type="spellStart"/>
      <w:r w:rsidRPr="005F6F71">
        <w:rPr>
          <w:szCs w:val="22"/>
          <w:lang w:val="sk-SK"/>
        </w:rPr>
        <w:t>antidepresíva</w:t>
      </w:r>
      <w:proofErr w:type="spellEnd"/>
      <w:r w:rsidRPr="005F6F71">
        <w:rPr>
          <w:szCs w:val="22"/>
          <w:lang w:val="sk-SK"/>
        </w:rPr>
        <w:t xml:space="preserve">, selektívne inhibítory </w:t>
      </w:r>
      <w:proofErr w:type="spellStart"/>
      <w:r w:rsidRPr="005F6F71">
        <w:rPr>
          <w:szCs w:val="22"/>
          <w:lang w:val="sk-SK"/>
        </w:rPr>
        <w:t>reabsorpcie</w:t>
      </w:r>
      <w:proofErr w:type="spellEnd"/>
      <w:r w:rsidRPr="005F6F71">
        <w:rPr>
          <w:szCs w:val="22"/>
          <w:lang w:val="sk-SK"/>
        </w:rPr>
        <w:t xml:space="preserve"> </w:t>
      </w:r>
      <w:proofErr w:type="spellStart"/>
      <w:r w:rsidRPr="005F6F71">
        <w:rPr>
          <w:szCs w:val="22"/>
          <w:lang w:val="sk-SK"/>
        </w:rPr>
        <w:t>serotonínu</w:t>
      </w:r>
      <w:proofErr w:type="spellEnd"/>
      <w:r w:rsidRPr="005F6F71">
        <w:rPr>
          <w:szCs w:val="22"/>
          <w:lang w:val="sk-SK"/>
        </w:rPr>
        <w:t xml:space="preserve">, </w:t>
      </w:r>
      <w:proofErr w:type="spellStart"/>
      <w:r w:rsidRPr="005F6F71">
        <w:rPr>
          <w:szCs w:val="22"/>
          <w:lang w:val="sk-SK"/>
        </w:rPr>
        <w:t>chlórpromazín</w:t>
      </w:r>
      <w:proofErr w:type="spellEnd"/>
      <w:r w:rsidRPr="005F6F71">
        <w:rPr>
          <w:szCs w:val="22"/>
          <w:lang w:val="sk-SK"/>
        </w:rPr>
        <w:t>, diuretiká a </w:t>
      </w:r>
      <w:proofErr w:type="spellStart"/>
      <w:r w:rsidRPr="005F6F71">
        <w:rPr>
          <w:szCs w:val="22"/>
          <w:lang w:val="sk-SK"/>
        </w:rPr>
        <w:t>karbamazepín</w:t>
      </w:r>
      <w:proofErr w:type="spellEnd"/>
      <w:r w:rsidRPr="005F6F71">
        <w:rPr>
          <w:szCs w:val="22"/>
          <w:lang w:val="sk-SK"/>
        </w:rPr>
        <w:t xml:space="preserve"> a tiež niektoré </w:t>
      </w:r>
      <w:proofErr w:type="spellStart"/>
      <w:r w:rsidRPr="005F6F71">
        <w:rPr>
          <w:szCs w:val="22"/>
          <w:lang w:val="sk-SK"/>
        </w:rPr>
        <w:t>antidiabetiká</w:t>
      </w:r>
      <w:proofErr w:type="spellEnd"/>
      <w:r w:rsidRPr="005F6F71">
        <w:rPr>
          <w:szCs w:val="22"/>
          <w:lang w:val="sk-SK"/>
        </w:rPr>
        <w:t xml:space="preserve"> zo skupiny </w:t>
      </w:r>
      <w:proofErr w:type="spellStart"/>
      <w:r w:rsidRPr="005F6F71">
        <w:rPr>
          <w:szCs w:val="22"/>
          <w:lang w:val="sk-SK"/>
        </w:rPr>
        <w:t>sulfonylurey</w:t>
      </w:r>
      <w:proofErr w:type="spellEnd"/>
      <w:r w:rsidRPr="005F6F71">
        <w:rPr>
          <w:szCs w:val="22"/>
          <w:lang w:val="sk-SK"/>
        </w:rPr>
        <w:t xml:space="preserve">, najmä </w:t>
      </w:r>
      <w:proofErr w:type="spellStart"/>
      <w:r w:rsidRPr="005F6F71">
        <w:rPr>
          <w:szCs w:val="22"/>
          <w:lang w:val="sk-SK"/>
        </w:rPr>
        <w:t>chló</w:t>
      </w:r>
      <w:r w:rsidR="00B66B34">
        <w:rPr>
          <w:szCs w:val="22"/>
          <w:lang w:val="sk-SK"/>
        </w:rPr>
        <w:t>r</w:t>
      </w:r>
      <w:r w:rsidRPr="005F6F71">
        <w:rPr>
          <w:szCs w:val="22"/>
          <w:lang w:val="sk-SK"/>
        </w:rPr>
        <w:t>propamid</w:t>
      </w:r>
      <w:proofErr w:type="spellEnd"/>
      <w:r w:rsidRPr="005F6F71">
        <w:rPr>
          <w:szCs w:val="22"/>
          <w:lang w:val="sk-SK"/>
        </w:rPr>
        <w:t xml:space="preserve">) (pozri časť 4.4). </w:t>
      </w:r>
    </w:p>
    <w:p w:rsidR="00CD1254" w:rsidRPr="005F6F71" w:rsidRDefault="00CD1254" w:rsidP="009C46A3">
      <w:pPr>
        <w:rPr>
          <w:szCs w:val="22"/>
          <w:lang w:val="sk-SK"/>
        </w:rPr>
      </w:pPr>
    </w:p>
    <w:p w:rsidR="008676BE" w:rsidRPr="005F6F71" w:rsidRDefault="008676BE" w:rsidP="00791DD2">
      <w:pPr>
        <w:rPr>
          <w:szCs w:val="22"/>
          <w:lang w:val="sk-SK"/>
        </w:rPr>
      </w:pPr>
      <w:r w:rsidRPr="005F6F71">
        <w:rPr>
          <w:szCs w:val="22"/>
          <w:lang w:val="sk-SK"/>
        </w:rPr>
        <w:t>NSAID</w:t>
      </w:r>
      <w:r w:rsidR="00AC3D09" w:rsidRPr="005F6F71">
        <w:rPr>
          <w:szCs w:val="22"/>
          <w:lang w:val="sk-SK"/>
        </w:rPr>
        <w:t xml:space="preserve"> a </w:t>
      </w:r>
      <w:proofErr w:type="spellStart"/>
      <w:r w:rsidR="00AC3D09" w:rsidRPr="005F6F71">
        <w:rPr>
          <w:szCs w:val="22"/>
          <w:lang w:val="sk-SK"/>
        </w:rPr>
        <w:t>oxytoc</w:t>
      </w:r>
      <w:r w:rsidR="00CD1254" w:rsidRPr="005F6F71">
        <w:rPr>
          <w:szCs w:val="22"/>
          <w:lang w:val="sk-SK"/>
        </w:rPr>
        <w:t>í</w:t>
      </w:r>
      <w:r w:rsidR="00AC3D09" w:rsidRPr="005F6F71">
        <w:rPr>
          <w:szCs w:val="22"/>
          <w:lang w:val="sk-SK"/>
        </w:rPr>
        <w:t>n</w:t>
      </w:r>
      <w:proofErr w:type="spellEnd"/>
      <w:r w:rsidRPr="005F6F71">
        <w:rPr>
          <w:szCs w:val="22"/>
          <w:lang w:val="sk-SK"/>
        </w:rPr>
        <w:t xml:space="preserve"> </w:t>
      </w:r>
      <w:r w:rsidR="00CD1254" w:rsidRPr="005F6F71">
        <w:rPr>
          <w:szCs w:val="22"/>
          <w:lang w:val="sk-SK"/>
        </w:rPr>
        <w:t>môžu zosilniť</w:t>
      </w:r>
      <w:r w:rsidR="00AC3D09" w:rsidRPr="005F6F71">
        <w:rPr>
          <w:szCs w:val="22"/>
          <w:lang w:val="sk-SK"/>
        </w:rPr>
        <w:t xml:space="preserve"> </w:t>
      </w:r>
      <w:proofErr w:type="spellStart"/>
      <w:r w:rsidR="00AC3D09" w:rsidRPr="005F6F71">
        <w:rPr>
          <w:szCs w:val="22"/>
          <w:lang w:val="sk-SK"/>
        </w:rPr>
        <w:t>antidiuretic</w:t>
      </w:r>
      <w:r w:rsidR="00CD1254" w:rsidRPr="005F6F71">
        <w:rPr>
          <w:szCs w:val="22"/>
          <w:lang w:val="sk-SK"/>
        </w:rPr>
        <w:t>ký</w:t>
      </w:r>
      <w:proofErr w:type="spellEnd"/>
      <w:r w:rsidR="00CD1254" w:rsidRPr="005F6F71">
        <w:rPr>
          <w:szCs w:val="22"/>
          <w:lang w:val="sk-SK"/>
        </w:rPr>
        <w:t xml:space="preserve"> účinok </w:t>
      </w:r>
      <w:proofErr w:type="spellStart"/>
      <w:r w:rsidR="00CD1254" w:rsidRPr="005F6F71">
        <w:rPr>
          <w:szCs w:val="22"/>
          <w:lang w:val="sk-SK"/>
        </w:rPr>
        <w:t>dezmopresínu</w:t>
      </w:r>
      <w:proofErr w:type="spellEnd"/>
      <w:r w:rsidR="00AC3D09" w:rsidRPr="005F6F71">
        <w:rPr>
          <w:szCs w:val="22"/>
          <w:lang w:val="sk-SK"/>
        </w:rPr>
        <w:t xml:space="preserve"> a</w:t>
      </w:r>
      <w:r w:rsidR="00CD1254" w:rsidRPr="005F6F71">
        <w:rPr>
          <w:szCs w:val="22"/>
          <w:lang w:val="sk-SK"/>
        </w:rPr>
        <w:t xml:space="preserve"> môžu indukovať </w:t>
      </w:r>
      <w:proofErr w:type="spellStart"/>
      <w:r w:rsidR="00CD1254" w:rsidRPr="005F6F71">
        <w:rPr>
          <w:szCs w:val="22"/>
          <w:lang w:val="sk-SK"/>
        </w:rPr>
        <w:t>retenciu</w:t>
      </w:r>
      <w:proofErr w:type="spellEnd"/>
      <w:r w:rsidR="00CD1254" w:rsidRPr="005F6F71">
        <w:rPr>
          <w:szCs w:val="22"/>
          <w:lang w:val="sk-SK"/>
        </w:rPr>
        <w:t xml:space="preserve"> vody/</w:t>
      </w:r>
      <w:proofErr w:type="spellStart"/>
      <w:r w:rsidR="00CD1254" w:rsidRPr="005F6F71">
        <w:rPr>
          <w:szCs w:val="22"/>
          <w:lang w:val="sk-SK"/>
        </w:rPr>
        <w:t>hyponatriémiu</w:t>
      </w:r>
      <w:proofErr w:type="spellEnd"/>
      <w:r w:rsidRPr="005F6F71">
        <w:rPr>
          <w:szCs w:val="22"/>
          <w:lang w:val="sk-SK"/>
        </w:rPr>
        <w:t xml:space="preserve"> (</w:t>
      </w:r>
      <w:r w:rsidR="003027AB" w:rsidRPr="005F6F71">
        <w:rPr>
          <w:szCs w:val="22"/>
          <w:lang w:val="sk-SK"/>
        </w:rPr>
        <w:t>pozri časť</w:t>
      </w:r>
      <w:r w:rsidRPr="005F6F71">
        <w:rPr>
          <w:szCs w:val="22"/>
          <w:lang w:val="sk-SK"/>
        </w:rPr>
        <w:t xml:space="preserve"> 4.4).</w:t>
      </w:r>
    </w:p>
    <w:p w:rsidR="008676BE" w:rsidRPr="005F6F71" w:rsidRDefault="008676BE" w:rsidP="009C46A3">
      <w:pPr>
        <w:rPr>
          <w:szCs w:val="22"/>
          <w:lang w:val="sk-SK"/>
        </w:rPr>
      </w:pPr>
    </w:p>
    <w:p w:rsidR="00AC3D09" w:rsidRPr="005F6F71" w:rsidRDefault="003027AB" w:rsidP="00791DD2">
      <w:pPr>
        <w:rPr>
          <w:szCs w:val="22"/>
          <w:lang w:val="sk-SK"/>
        </w:rPr>
      </w:pPr>
      <w:r w:rsidRPr="005F6F71">
        <w:rPr>
          <w:szCs w:val="22"/>
          <w:lang w:val="sk-SK"/>
        </w:rPr>
        <w:t xml:space="preserve">Lítium môže znížiť </w:t>
      </w:r>
      <w:proofErr w:type="spellStart"/>
      <w:r w:rsidRPr="005F6F71">
        <w:rPr>
          <w:szCs w:val="22"/>
          <w:lang w:val="sk-SK"/>
        </w:rPr>
        <w:t>antidiuretický</w:t>
      </w:r>
      <w:proofErr w:type="spellEnd"/>
      <w:r w:rsidRPr="005F6F71">
        <w:rPr>
          <w:szCs w:val="22"/>
          <w:lang w:val="sk-SK"/>
        </w:rPr>
        <w:t xml:space="preserve"> účinok.</w:t>
      </w:r>
    </w:p>
    <w:p w:rsidR="00AC3D09" w:rsidRPr="005F6F71" w:rsidRDefault="00AC3D09" w:rsidP="009C46A3">
      <w:pPr>
        <w:rPr>
          <w:szCs w:val="22"/>
          <w:lang w:val="sk-SK"/>
        </w:rPr>
      </w:pPr>
    </w:p>
    <w:p w:rsidR="000E5A02" w:rsidRPr="005F6F71" w:rsidRDefault="003027AB" w:rsidP="00791DD2">
      <w:pPr>
        <w:rPr>
          <w:szCs w:val="22"/>
          <w:u w:val="single"/>
          <w:lang w:val="sk-SK"/>
        </w:rPr>
      </w:pPr>
      <w:proofErr w:type="spellStart"/>
      <w:r w:rsidRPr="005F6F71">
        <w:rPr>
          <w:szCs w:val="22"/>
          <w:u w:val="single"/>
          <w:lang w:val="sk-SK"/>
        </w:rPr>
        <w:t>Farmakokinetické</w:t>
      </w:r>
      <w:proofErr w:type="spellEnd"/>
      <w:r w:rsidRPr="005F6F71">
        <w:rPr>
          <w:szCs w:val="22"/>
          <w:u w:val="single"/>
          <w:lang w:val="sk-SK"/>
        </w:rPr>
        <w:t xml:space="preserve"> interakcie</w:t>
      </w:r>
    </w:p>
    <w:p w:rsidR="003027AB" w:rsidRPr="005F6F71" w:rsidRDefault="003027AB" w:rsidP="00791DD2">
      <w:pPr>
        <w:rPr>
          <w:szCs w:val="22"/>
          <w:lang w:val="sk-SK"/>
        </w:rPr>
      </w:pPr>
      <w:r w:rsidRPr="005F6F71">
        <w:rPr>
          <w:szCs w:val="22"/>
          <w:lang w:val="sk-SK"/>
        </w:rPr>
        <w:t xml:space="preserve">Súbežná liečba </w:t>
      </w:r>
      <w:proofErr w:type="spellStart"/>
      <w:r w:rsidRPr="005F6F71">
        <w:rPr>
          <w:szCs w:val="22"/>
          <w:lang w:val="sk-SK"/>
        </w:rPr>
        <w:t>loperamidom</w:t>
      </w:r>
      <w:proofErr w:type="spellEnd"/>
      <w:r w:rsidRPr="005F6F71">
        <w:rPr>
          <w:szCs w:val="22"/>
          <w:lang w:val="sk-SK"/>
        </w:rPr>
        <w:t xml:space="preserve"> môže vyústiť až do trojnásobného zvýšenia plazmatických koncentrácií </w:t>
      </w:r>
      <w:proofErr w:type="spellStart"/>
      <w:r w:rsidRPr="005F6F71">
        <w:rPr>
          <w:szCs w:val="22"/>
          <w:lang w:val="sk-SK"/>
        </w:rPr>
        <w:t>dezmopresínu</w:t>
      </w:r>
      <w:proofErr w:type="spellEnd"/>
      <w:r w:rsidR="00C93D52" w:rsidRPr="005F6F71">
        <w:rPr>
          <w:szCs w:val="22"/>
          <w:lang w:val="sk-SK"/>
        </w:rPr>
        <w:t xml:space="preserve"> po perorálnom podaní</w:t>
      </w:r>
      <w:r w:rsidRPr="005F6F71">
        <w:rPr>
          <w:szCs w:val="22"/>
          <w:lang w:val="sk-SK"/>
        </w:rPr>
        <w:t xml:space="preserve">, čo môže viesť k zvýšeniu rizika </w:t>
      </w:r>
      <w:proofErr w:type="spellStart"/>
      <w:r w:rsidRPr="005F6F71">
        <w:rPr>
          <w:szCs w:val="22"/>
          <w:lang w:val="sk-SK"/>
        </w:rPr>
        <w:t>retencie</w:t>
      </w:r>
      <w:proofErr w:type="spellEnd"/>
      <w:r w:rsidRPr="005F6F71">
        <w:rPr>
          <w:szCs w:val="22"/>
          <w:lang w:val="sk-SK"/>
        </w:rPr>
        <w:t xml:space="preserve"> vody/</w:t>
      </w:r>
      <w:proofErr w:type="spellStart"/>
      <w:r w:rsidRPr="005F6F71">
        <w:rPr>
          <w:szCs w:val="22"/>
          <w:lang w:val="sk-SK"/>
        </w:rPr>
        <w:t>hyponatriémie</w:t>
      </w:r>
      <w:proofErr w:type="spellEnd"/>
      <w:r w:rsidRPr="005F6F71">
        <w:rPr>
          <w:szCs w:val="22"/>
          <w:lang w:val="sk-SK"/>
        </w:rPr>
        <w:t xml:space="preserve">. </w:t>
      </w:r>
      <w:r w:rsidRPr="005F6F71">
        <w:rPr>
          <w:szCs w:val="22"/>
          <w:lang w:val="sk-SK"/>
        </w:rPr>
        <w:lastRenderedPageBreak/>
        <w:t xml:space="preserve">Hoci sa to dosiaľ neskúmalo, aj iné lieky, ktoré spomaľujú </w:t>
      </w:r>
      <w:proofErr w:type="spellStart"/>
      <w:r w:rsidRPr="005F6F71">
        <w:rPr>
          <w:szCs w:val="22"/>
          <w:lang w:val="sk-SK"/>
        </w:rPr>
        <w:t>intestinálnu</w:t>
      </w:r>
      <w:proofErr w:type="spellEnd"/>
      <w:r w:rsidRPr="005F6F71">
        <w:rPr>
          <w:szCs w:val="22"/>
          <w:lang w:val="sk-SK"/>
        </w:rPr>
        <w:t xml:space="preserve"> </w:t>
      </w:r>
      <w:proofErr w:type="spellStart"/>
      <w:r w:rsidRPr="005F6F71">
        <w:rPr>
          <w:szCs w:val="22"/>
          <w:lang w:val="sk-SK"/>
        </w:rPr>
        <w:t>peristaltiku</w:t>
      </w:r>
      <w:proofErr w:type="spellEnd"/>
      <w:r w:rsidRPr="005F6F71">
        <w:rPr>
          <w:szCs w:val="22"/>
          <w:lang w:val="sk-SK"/>
        </w:rPr>
        <w:t xml:space="preserve">, môžu mať rovnaký účinok. </w:t>
      </w:r>
    </w:p>
    <w:p w:rsidR="008676BE" w:rsidRPr="005F6F71" w:rsidRDefault="008676BE" w:rsidP="00C93D52">
      <w:pPr>
        <w:rPr>
          <w:bCs/>
          <w:szCs w:val="22"/>
          <w:lang w:val="sk-SK"/>
        </w:rPr>
      </w:pPr>
    </w:p>
    <w:p w:rsidR="003027AB" w:rsidRPr="005F6F71" w:rsidRDefault="003027AB" w:rsidP="00791DD2">
      <w:pPr>
        <w:rPr>
          <w:szCs w:val="22"/>
          <w:lang w:val="sk-SK"/>
        </w:rPr>
      </w:pPr>
      <w:r w:rsidRPr="005F6F71">
        <w:rPr>
          <w:szCs w:val="22"/>
          <w:lang w:val="sk-SK"/>
        </w:rPr>
        <w:t xml:space="preserve">Štandardné jedlo s 27 % obsahom tuku významne znížilo absorpciu (rýchlosť a rozsah) </w:t>
      </w:r>
      <w:r w:rsidR="00C93D52" w:rsidRPr="005F6F71">
        <w:rPr>
          <w:szCs w:val="22"/>
          <w:lang w:val="sk-SK"/>
        </w:rPr>
        <w:t xml:space="preserve">tabliet </w:t>
      </w:r>
      <w:proofErr w:type="spellStart"/>
      <w:r w:rsidRPr="005F6F71">
        <w:rPr>
          <w:szCs w:val="22"/>
          <w:lang w:val="sk-SK"/>
        </w:rPr>
        <w:t>dezmopresínu</w:t>
      </w:r>
      <w:proofErr w:type="spellEnd"/>
      <w:r w:rsidRPr="005F6F71">
        <w:rPr>
          <w:szCs w:val="22"/>
          <w:lang w:val="sk-SK"/>
        </w:rPr>
        <w:t xml:space="preserve">. </w:t>
      </w:r>
      <w:r w:rsidR="00561EB3" w:rsidRPr="005F6F71">
        <w:rPr>
          <w:szCs w:val="22"/>
          <w:lang w:val="sk-SK"/>
        </w:rPr>
        <w:t xml:space="preserve">Z </w:t>
      </w:r>
      <w:proofErr w:type="spellStart"/>
      <w:r w:rsidR="00561EB3" w:rsidRPr="005F6F71">
        <w:rPr>
          <w:szCs w:val="22"/>
          <w:lang w:val="sk-SK"/>
        </w:rPr>
        <w:t>farmakodynamického</w:t>
      </w:r>
      <w:proofErr w:type="spellEnd"/>
      <w:r w:rsidR="00561EB3" w:rsidRPr="005F6F71">
        <w:rPr>
          <w:szCs w:val="22"/>
          <w:lang w:val="sk-SK"/>
        </w:rPr>
        <w:t xml:space="preserve"> hľadiska sa nepozoroval žiadny </w:t>
      </w:r>
      <w:proofErr w:type="spellStart"/>
      <w:r w:rsidR="00561EB3" w:rsidRPr="005F6F71">
        <w:rPr>
          <w:szCs w:val="22"/>
          <w:lang w:val="sk-SK"/>
        </w:rPr>
        <w:t>signifikantný</w:t>
      </w:r>
      <w:proofErr w:type="spellEnd"/>
      <w:r w:rsidR="00561EB3" w:rsidRPr="005F6F71">
        <w:rPr>
          <w:szCs w:val="22"/>
          <w:lang w:val="sk-SK"/>
        </w:rPr>
        <w:t xml:space="preserve"> účinok (na tvorbu moču alebo </w:t>
      </w:r>
      <w:proofErr w:type="spellStart"/>
      <w:r w:rsidR="00561EB3" w:rsidRPr="005F6F71">
        <w:rPr>
          <w:szCs w:val="22"/>
          <w:lang w:val="sk-SK"/>
        </w:rPr>
        <w:t>osmolalitu</w:t>
      </w:r>
      <w:proofErr w:type="spellEnd"/>
      <w:r w:rsidR="00561EB3" w:rsidRPr="005F6F71">
        <w:rPr>
          <w:szCs w:val="22"/>
          <w:lang w:val="sk-SK"/>
        </w:rPr>
        <w:t>).</w:t>
      </w:r>
    </w:p>
    <w:p w:rsidR="003027AB" w:rsidRPr="005F6F71" w:rsidRDefault="003027AB" w:rsidP="00791DD2">
      <w:pPr>
        <w:rPr>
          <w:szCs w:val="22"/>
          <w:lang w:val="sk-SK"/>
        </w:rPr>
      </w:pPr>
      <w:r w:rsidRPr="005F6F71">
        <w:rPr>
          <w:szCs w:val="22"/>
          <w:lang w:val="sk-SK"/>
        </w:rPr>
        <w:t xml:space="preserve">Príjem potravy môže redukovať intenzitu a trvanie </w:t>
      </w:r>
      <w:proofErr w:type="spellStart"/>
      <w:r w:rsidRPr="005F6F71">
        <w:rPr>
          <w:szCs w:val="22"/>
          <w:lang w:val="sk-SK"/>
        </w:rPr>
        <w:t>antidiuretického</w:t>
      </w:r>
      <w:proofErr w:type="spellEnd"/>
      <w:r w:rsidRPr="005F6F71">
        <w:rPr>
          <w:szCs w:val="22"/>
          <w:lang w:val="sk-SK"/>
        </w:rPr>
        <w:t xml:space="preserve"> účinku </w:t>
      </w:r>
      <w:r w:rsidR="00C93D52" w:rsidRPr="005F6F71">
        <w:rPr>
          <w:szCs w:val="22"/>
          <w:lang w:val="sk-SK"/>
        </w:rPr>
        <w:t xml:space="preserve">pri užívaní </w:t>
      </w:r>
      <w:r w:rsidRPr="005F6F71">
        <w:rPr>
          <w:szCs w:val="22"/>
          <w:lang w:val="sk-SK"/>
        </w:rPr>
        <w:t xml:space="preserve">malých perorálnych dávok tabliet </w:t>
      </w:r>
      <w:proofErr w:type="spellStart"/>
      <w:r w:rsidRPr="005F6F71">
        <w:rPr>
          <w:szCs w:val="22"/>
          <w:lang w:val="sk-SK"/>
        </w:rPr>
        <w:t>dezmopresínu</w:t>
      </w:r>
      <w:proofErr w:type="spellEnd"/>
      <w:r w:rsidRPr="005F6F71">
        <w:rPr>
          <w:szCs w:val="22"/>
          <w:lang w:val="sk-SK"/>
        </w:rPr>
        <w:t>.</w:t>
      </w:r>
    </w:p>
    <w:p w:rsidR="00B54B3A" w:rsidRPr="005F6F71" w:rsidRDefault="00B54B3A" w:rsidP="000C1913">
      <w:pPr>
        <w:rPr>
          <w:lang w:val="sk-SK"/>
        </w:rPr>
      </w:pPr>
    </w:p>
    <w:p w:rsidR="001D29E6" w:rsidRPr="005F6F71" w:rsidRDefault="001D29E6" w:rsidP="000C1913">
      <w:pPr>
        <w:ind w:left="567" w:hanging="567"/>
        <w:rPr>
          <w:lang w:val="sk-SK"/>
        </w:rPr>
      </w:pPr>
      <w:r w:rsidRPr="005F6F71">
        <w:rPr>
          <w:b/>
          <w:lang w:val="sk-SK"/>
        </w:rPr>
        <w:t>4.6</w:t>
      </w:r>
      <w:r w:rsidRPr="005F6F71">
        <w:rPr>
          <w:b/>
          <w:lang w:val="sk-SK"/>
        </w:rPr>
        <w:tab/>
      </w:r>
      <w:proofErr w:type="spellStart"/>
      <w:r w:rsidR="00C53ACC" w:rsidRPr="005F6F71">
        <w:rPr>
          <w:b/>
          <w:lang w:val="sk-SK"/>
        </w:rPr>
        <w:t>Fertilit</w:t>
      </w:r>
      <w:r w:rsidR="003027AB" w:rsidRPr="005F6F71">
        <w:rPr>
          <w:b/>
          <w:lang w:val="sk-SK"/>
        </w:rPr>
        <w:t>a</w:t>
      </w:r>
      <w:proofErr w:type="spellEnd"/>
      <w:r w:rsidR="003027AB" w:rsidRPr="005F6F71">
        <w:rPr>
          <w:b/>
          <w:lang w:val="sk-SK"/>
        </w:rPr>
        <w:t>, gravidita a laktácia</w:t>
      </w:r>
    </w:p>
    <w:p w:rsidR="00C53ACC" w:rsidRPr="005F6F71" w:rsidRDefault="00C53ACC" w:rsidP="000C1913">
      <w:pPr>
        <w:rPr>
          <w:i/>
          <w:lang w:val="sk-SK"/>
        </w:rPr>
      </w:pPr>
    </w:p>
    <w:p w:rsidR="000D6023" w:rsidRPr="005F6F71" w:rsidRDefault="003027AB" w:rsidP="00852DA2">
      <w:pPr>
        <w:tabs>
          <w:tab w:val="clear" w:pos="567"/>
        </w:tabs>
        <w:spacing w:line="240" w:lineRule="auto"/>
        <w:rPr>
          <w:noProof/>
          <w:szCs w:val="22"/>
          <w:u w:val="single"/>
          <w:lang w:val="sk-SK"/>
        </w:rPr>
      </w:pPr>
      <w:r w:rsidRPr="005F6F71">
        <w:rPr>
          <w:noProof/>
          <w:szCs w:val="22"/>
          <w:u w:val="single"/>
          <w:lang w:val="sk-SK"/>
        </w:rPr>
        <w:t>Gravidita</w:t>
      </w:r>
    </w:p>
    <w:p w:rsidR="003027AB" w:rsidRPr="005F6F71" w:rsidRDefault="008756B7" w:rsidP="00852DA2">
      <w:pPr>
        <w:spacing w:before="40"/>
        <w:rPr>
          <w:szCs w:val="22"/>
          <w:lang w:val="sk-SK"/>
        </w:rPr>
      </w:pPr>
      <w:r w:rsidRPr="005F6F71">
        <w:rPr>
          <w:szCs w:val="22"/>
          <w:lang w:val="sk-SK"/>
        </w:rPr>
        <w:t>Pri predpisovaní lieku gravidným ženám sa vyžaduje opatrnosť</w:t>
      </w:r>
      <w:r w:rsidR="003027AB" w:rsidRPr="005F6F71">
        <w:rPr>
          <w:szCs w:val="22"/>
          <w:lang w:val="sk-SK"/>
        </w:rPr>
        <w:t>.</w:t>
      </w:r>
    </w:p>
    <w:p w:rsidR="008756B7" w:rsidRPr="005F6F71" w:rsidRDefault="003027AB" w:rsidP="00791DD2">
      <w:pPr>
        <w:rPr>
          <w:szCs w:val="22"/>
          <w:lang w:val="sk-SK"/>
        </w:rPr>
      </w:pPr>
      <w:r w:rsidRPr="005F6F71">
        <w:rPr>
          <w:szCs w:val="22"/>
          <w:lang w:val="sk-SK"/>
        </w:rPr>
        <w:t xml:space="preserve">Údaje </w:t>
      </w:r>
      <w:r w:rsidR="00C93D52" w:rsidRPr="005F6F71">
        <w:rPr>
          <w:szCs w:val="22"/>
          <w:lang w:val="sk-SK"/>
        </w:rPr>
        <w:t xml:space="preserve">získané </w:t>
      </w:r>
      <w:r w:rsidRPr="005F6F71">
        <w:rPr>
          <w:szCs w:val="22"/>
          <w:lang w:val="sk-SK"/>
        </w:rPr>
        <w:t xml:space="preserve">z obmedzeného počtu </w:t>
      </w:r>
      <w:r w:rsidR="000D6023" w:rsidRPr="005F6F71">
        <w:rPr>
          <w:szCs w:val="22"/>
          <w:lang w:val="sk-SK"/>
        </w:rPr>
        <w:t>(n =</w:t>
      </w:r>
      <w:r w:rsidR="0017050C" w:rsidRPr="005F6F71">
        <w:rPr>
          <w:szCs w:val="22"/>
          <w:lang w:val="sk-SK"/>
        </w:rPr>
        <w:t xml:space="preserve"> </w:t>
      </w:r>
      <w:r w:rsidR="000D6023" w:rsidRPr="005F6F71">
        <w:rPr>
          <w:szCs w:val="22"/>
          <w:lang w:val="sk-SK"/>
        </w:rPr>
        <w:t xml:space="preserve">53) </w:t>
      </w:r>
      <w:r w:rsidRPr="005F6F71">
        <w:rPr>
          <w:szCs w:val="22"/>
          <w:lang w:val="sk-SK"/>
        </w:rPr>
        <w:t xml:space="preserve">gravidných žien s diabetom </w:t>
      </w:r>
      <w:proofErr w:type="spellStart"/>
      <w:r w:rsidRPr="005F6F71">
        <w:rPr>
          <w:szCs w:val="22"/>
          <w:lang w:val="sk-SK"/>
        </w:rPr>
        <w:t>insipidus</w:t>
      </w:r>
      <w:proofErr w:type="spellEnd"/>
      <w:r w:rsidR="0017050C" w:rsidRPr="005F6F71">
        <w:rPr>
          <w:szCs w:val="22"/>
          <w:lang w:val="sk-SK"/>
        </w:rPr>
        <w:t xml:space="preserve"> </w:t>
      </w:r>
      <w:r w:rsidR="008756B7" w:rsidRPr="005F6F71">
        <w:rPr>
          <w:szCs w:val="22"/>
          <w:lang w:val="sk-SK"/>
        </w:rPr>
        <w:t>a tiež údaje z obmedzeného počtu žien s</w:t>
      </w:r>
      <w:r w:rsidR="00C93D52" w:rsidRPr="005F6F71">
        <w:rPr>
          <w:szCs w:val="22"/>
          <w:lang w:val="sk-SK"/>
        </w:rPr>
        <w:t> krvácavými stavmi</w:t>
      </w:r>
      <w:r w:rsidR="008756B7" w:rsidRPr="005F6F71">
        <w:rPr>
          <w:szCs w:val="22"/>
          <w:lang w:val="sk-SK"/>
        </w:rPr>
        <w:t xml:space="preserve"> </w:t>
      </w:r>
      <w:r w:rsidR="000D6023" w:rsidRPr="005F6F71">
        <w:rPr>
          <w:szCs w:val="22"/>
          <w:lang w:val="sk-SK"/>
        </w:rPr>
        <w:t>(n</w:t>
      </w:r>
      <w:r w:rsidR="0017050C" w:rsidRPr="005F6F71">
        <w:rPr>
          <w:szCs w:val="22"/>
          <w:lang w:val="sk-SK"/>
        </w:rPr>
        <w:t> </w:t>
      </w:r>
      <w:r w:rsidR="000D6023" w:rsidRPr="005F6F71">
        <w:rPr>
          <w:szCs w:val="22"/>
          <w:lang w:val="sk-SK"/>
        </w:rPr>
        <w:t>=</w:t>
      </w:r>
      <w:r w:rsidR="0017050C" w:rsidRPr="005F6F71">
        <w:rPr>
          <w:szCs w:val="22"/>
          <w:lang w:val="sk-SK"/>
        </w:rPr>
        <w:t> </w:t>
      </w:r>
      <w:r w:rsidR="000D6023" w:rsidRPr="005F6F71">
        <w:rPr>
          <w:szCs w:val="22"/>
          <w:lang w:val="sk-SK"/>
        </w:rPr>
        <w:t xml:space="preserve">216) </w:t>
      </w:r>
      <w:r w:rsidR="008756B7" w:rsidRPr="005F6F71">
        <w:rPr>
          <w:szCs w:val="22"/>
          <w:lang w:val="sk-SK"/>
        </w:rPr>
        <w:t xml:space="preserve">liečených </w:t>
      </w:r>
      <w:proofErr w:type="spellStart"/>
      <w:r w:rsidR="008756B7" w:rsidRPr="005F6F71">
        <w:rPr>
          <w:szCs w:val="22"/>
          <w:lang w:val="sk-SK"/>
        </w:rPr>
        <w:t>dezmopresínom</w:t>
      </w:r>
      <w:proofErr w:type="spellEnd"/>
      <w:r w:rsidR="008756B7" w:rsidRPr="005F6F71">
        <w:rPr>
          <w:szCs w:val="22"/>
          <w:lang w:val="sk-SK"/>
        </w:rPr>
        <w:t xml:space="preserve"> nepreukázali nežiaduce účinky </w:t>
      </w:r>
      <w:proofErr w:type="spellStart"/>
      <w:r w:rsidR="008756B7" w:rsidRPr="005F6F71">
        <w:rPr>
          <w:szCs w:val="22"/>
          <w:lang w:val="sk-SK"/>
        </w:rPr>
        <w:t>dezmopresínu</w:t>
      </w:r>
      <w:proofErr w:type="spellEnd"/>
      <w:r w:rsidR="008756B7" w:rsidRPr="005F6F71">
        <w:rPr>
          <w:szCs w:val="22"/>
          <w:lang w:val="sk-SK"/>
        </w:rPr>
        <w:t xml:space="preserve"> na graviditu alebo na zdravie plodu/novorodenca</w:t>
      </w:r>
      <w:r w:rsidR="000D6023" w:rsidRPr="005F6F71">
        <w:rPr>
          <w:szCs w:val="22"/>
          <w:lang w:val="sk-SK"/>
        </w:rPr>
        <w:t xml:space="preserve">. </w:t>
      </w:r>
      <w:r w:rsidR="008756B7" w:rsidRPr="005F6F71">
        <w:rPr>
          <w:szCs w:val="22"/>
          <w:lang w:val="sk-SK"/>
        </w:rPr>
        <w:t>V súčasnosti nie sú k dispozícii žiadne relevantné epidemiologické údaje. Štúdie na zvieratách nepreukázali priame alebo nepriame škodlivé účinky na graviditu, embryonálny/</w:t>
      </w:r>
      <w:proofErr w:type="spellStart"/>
      <w:r w:rsidR="008756B7" w:rsidRPr="005F6F71">
        <w:rPr>
          <w:szCs w:val="22"/>
          <w:lang w:val="sk-SK"/>
        </w:rPr>
        <w:t>fetálny</w:t>
      </w:r>
      <w:proofErr w:type="spellEnd"/>
      <w:r w:rsidR="008756B7" w:rsidRPr="005F6F71">
        <w:rPr>
          <w:szCs w:val="22"/>
          <w:lang w:val="sk-SK"/>
        </w:rPr>
        <w:t xml:space="preserve"> vývoj, pôrod alebo popôrodný vývoj.</w:t>
      </w:r>
    </w:p>
    <w:p w:rsidR="000D6023" w:rsidRPr="005F6F71" w:rsidRDefault="000D6023" w:rsidP="009C46A3">
      <w:pPr>
        <w:rPr>
          <w:szCs w:val="22"/>
          <w:lang w:val="sk-SK"/>
        </w:rPr>
      </w:pPr>
    </w:p>
    <w:p w:rsidR="008756B7" w:rsidRPr="005F6F71" w:rsidRDefault="008756B7" w:rsidP="00791DD2">
      <w:pPr>
        <w:rPr>
          <w:szCs w:val="22"/>
          <w:lang w:val="sk-SK"/>
        </w:rPr>
      </w:pPr>
      <w:r w:rsidRPr="005F6F71">
        <w:rPr>
          <w:szCs w:val="22"/>
          <w:lang w:val="sk-SK"/>
        </w:rPr>
        <w:t xml:space="preserve">Reprodukčné štúdie na zvieratách nepreukázali klinicky relevantné účinky na rodičov a potomstvo. Z výsledkov </w:t>
      </w:r>
      <w:r w:rsidRPr="005F6F71">
        <w:rPr>
          <w:i/>
          <w:szCs w:val="22"/>
          <w:lang w:val="sk-SK"/>
        </w:rPr>
        <w:t xml:space="preserve">in </w:t>
      </w:r>
      <w:proofErr w:type="spellStart"/>
      <w:r w:rsidRPr="005F6F71">
        <w:rPr>
          <w:i/>
          <w:szCs w:val="22"/>
          <w:lang w:val="sk-SK"/>
        </w:rPr>
        <w:t>vitro</w:t>
      </w:r>
      <w:proofErr w:type="spellEnd"/>
      <w:r w:rsidRPr="005F6F71">
        <w:rPr>
          <w:szCs w:val="22"/>
          <w:lang w:val="sk-SK"/>
        </w:rPr>
        <w:t xml:space="preserve"> modelovej analýzy ľudského </w:t>
      </w:r>
      <w:proofErr w:type="spellStart"/>
      <w:r w:rsidRPr="005F6F71">
        <w:rPr>
          <w:szCs w:val="22"/>
          <w:lang w:val="sk-SK"/>
        </w:rPr>
        <w:t>kotyledónu</w:t>
      </w:r>
      <w:proofErr w:type="spellEnd"/>
      <w:r w:rsidRPr="005F6F71">
        <w:rPr>
          <w:szCs w:val="22"/>
          <w:lang w:val="sk-SK"/>
        </w:rPr>
        <w:t xml:space="preserve"> vyplýva, že </w:t>
      </w:r>
      <w:proofErr w:type="spellStart"/>
      <w:r w:rsidRPr="005F6F71">
        <w:rPr>
          <w:szCs w:val="22"/>
          <w:lang w:val="sk-SK"/>
        </w:rPr>
        <w:t>dezmopresín</w:t>
      </w:r>
      <w:proofErr w:type="spellEnd"/>
      <w:r w:rsidRPr="005F6F71">
        <w:rPr>
          <w:szCs w:val="22"/>
          <w:lang w:val="sk-SK"/>
        </w:rPr>
        <w:t xml:space="preserve"> neprechádza placentou, keď sa podáva v terapeutickej koncentrácii zodpovedajúcej odporúčanej dávke.</w:t>
      </w:r>
    </w:p>
    <w:p w:rsidR="000D6023" w:rsidRPr="005F6F71" w:rsidRDefault="000D6023" w:rsidP="000C1913">
      <w:pPr>
        <w:tabs>
          <w:tab w:val="clear" w:pos="567"/>
        </w:tabs>
        <w:spacing w:line="240" w:lineRule="auto"/>
        <w:rPr>
          <w:noProof/>
          <w:szCs w:val="22"/>
          <w:u w:val="single"/>
          <w:lang w:val="sk-SK"/>
        </w:rPr>
      </w:pPr>
    </w:p>
    <w:p w:rsidR="000D6023" w:rsidRPr="005F6F71" w:rsidRDefault="008756B7" w:rsidP="000C1913">
      <w:pPr>
        <w:tabs>
          <w:tab w:val="clear" w:pos="567"/>
        </w:tabs>
        <w:spacing w:line="240" w:lineRule="auto"/>
        <w:rPr>
          <w:noProof/>
          <w:szCs w:val="22"/>
          <w:u w:val="single"/>
          <w:lang w:val="sk-SK"/>
        </w:rPr>
      </w:pPr>
      <w:r w:rsidRPr="005F6F71">
        <w:rPr>
          <w:noProof/>
          <w:szCs w:val="22"/>
          <w:u w:val="single"/>
          <w:lang w:val="sk-SK"/>
        </w:rPr>
        <w:t>Dojčenie</w:t>
      </w:r>
    </w:p>
    <w:p w:rsidR="008C0CA1" w:rsidRPr="005F6F71" w:rsidRDefault="008C0CA1" w:rsidP="00791DD2">
      <w:pPr>
        <w:rPr>
          <w:szCs w:val="22"/>
          <w:lang w:val="sk-SK"/>
        </w:rPr>
      </w:pPr>
      <w:r w:rsidRPr="005F6F71">
        <w:rPr>
          <w:szCs w:val="22"/>
          <w:lang w:val="sk-SK"/>
        </w:rPr>
        <w:t xml:space="preserve">Výsledky analýz mlieka dojčiacich matiek, ktoré užívali vysoké dávky </w:t>
      </w:r>
      <w:proofErr w:type="spellStart"/>
      <w:r w:rsidRPr="005F6F71">
        <w:rPr>
          <w:szCs w:val="22"/>
          <w:lang w:val="sk-SK"/>
        </w:rPr>
        <w:t>dezmopresínu</w:t>
      </w:r>
      <w:proofErr w:type="spellEnd"/>
      <w:r w:rsidRPr="005F6F71">
        <w:rPr>
          <w:szCs w:val="22"/>
          <w:lang w:val="sk-SK"/>
        </w:rPr>
        <w:t xml:space="preserve"> (300 µg </w:t>
      </w:r>
      <w:proofErr w:type="spellStart"/>
      <w:r w:rsidRPr="005F6F71">
        <w:rPr>
          <w:szCs w:val="22"/>
          <w:lang w:val="sk-SK"/>
        </w:rPr>
        <w:t>intranazálne</w:t>
      </w:r>
      <w:proofErr w:type="spellEnd"/>
      <w:r w:rsidRPr="005F6F71">
        <w:rPr>
          <w:szCs w:val="22"/>
          <w:lang w:val="sk-SK"/>
        </w:rPr>
        <w:t xml:space="preserve">) naznačujú, že množstvá </w:t>
      </w:r>
      <w:proofErr w:type="spellStart"/>
      <w:r w:rsidRPr="005F6F71">
        <w:rPr>
          <w:szCs w:val="22"/>
          <w:lang w:val="sk-SK"/>
        </w:rPr>
        <w:t>dezmopresínu</w:t>
      </w:r>
      <w:proofErr w:type="spellEnd"/>
      <w:r w:rsidRPr="005F6F71">
        <w:rPr>
          <w:szCs w:val="22"/>
          <w:lang w:val="sk-SK"/>
        </w:rPr>
        <w:t xml:space="preserve">, ktoré môžu byť prenesené na dieťa sú výrazne nižšie ako množstvá potrebné na ovplyvnenie </w:t>
      </w:r>
      <w:proofErr w:type="spellStart"/>
      <w:r w:rsidRPr="005F6F71">
        <w:rPr>
          <w:szCs w:val="22"/>
          <w:lang w:val="sk-SK"/>
        </w:rPr>
        <w:t>diurézy</w:t>
      </w:r>
      <w:proofErr w:type="spellEnd"/>
      <w:r w:rsidRPr="005F6F71">
        <w:rPr>
          <w:szCs w:val="22"/>
          <w:lang w:val="sk-SK"/>
        </w:rPr>
        <w:t xml:space="preserve">. Preto sa nepovažuje za potrebné </w:t>
      </w:r>
      <w:r w:rsidR="00DE113F" w:rsidRPr="005F6F71">
        <w:rPr>
          <w:szCs w:val="22"/>
          <w:lang w:val="sk-SK"/>
        </w:rPr>
        <w:t xml:space="preserve">dojčenie </w:t>
      </w:r>
      <w:r w:rsidRPr="005F6F71">
        <w:rPr>
          <w:szCs w:val="22"/>
          <w:lang w:val="sk-SK"/>
        </w:rPr>
        <w:t>ukončiť.</w:t>
      </w:r>
    </w:p>
    <w:p w:rsidR="00AC3D09" w:rsidRPr="005F6F71" w:rsidRDefault="00AC3D09" w:rsidP="009C46A3">
      <w:pPr>
        <w:rPr>
          <w:szCs w:val="22"/>
          <w:lang w:val="sk-SK"/>
        </w:rPr>
      </w:pPr>
    </w:p>
    <w:p w:rsidR="00AC3D09" w:rsidRPr="005F6F71" w:rsidRDefault="00AC3D09" w:rsidP="00791DD2">
      <w:pPr>
        <w:rPr>
          <w:szCs w:val="22"/>
          <w:u w:val="single"/>
          <w:lang w:val="sk-SK"/>
        </w:rPr>
      </w:pPr>
      <w:proofErr w:type="spellStart"/>
      <w:r w:rsidRPr="005F6F71">
        <w:rPr>
          <w:szCs w:val="22"/>
          <w:u w:val="single"/>
          <w:lang w:val="sk-SK"/>
        </w:rPr>
        <w:t>Fertilit</w:t>
      </w:r>
      <w:r w:rsidR="008C0CA1" w:rsidRPr="005F6F71">
        <w:rPr>
          <w:szCs w:val="22"/>
          <w:u w:val="single"/>
          <w:lang w:val="sk-SK"/>
        </w:rPr>
        <w:t>a</w:t>
      </w:r>
      <w:proofErr w:type="spellEnd"/>
    </w:p>
    <w:p w:rsidR="008C0CA1" w:rsidRPr="005F6F71" w:rsidRDefault="008C0CA1" w:rsidP="000D6023">
      <w:pPr>
        <w:spacing w:before="40"/>
        <w:rPr>
          <w:szCs w:val="22"/>
          <w:lang w:val="sk-SK"/>
        </w:rPr>
      </w:pPr>
      <w:r w:rsidRPr="005F6F71">
        <w:rPr>
          <w:szCs w:val="22"/>
          <w:lang w:val="sk-SK"/>
        </w:rPr>
        <w:t>Štúdie s </w:t>
      </w:r>
      <w:proofErr w:type="spellStart"/>
      <w:r w:rsidRPr="005F6F71">
        <w:rPr>
          <w:szCs w:val="22"/>
          <w:lang w:val="sk-SK"/>
        </w:rPr>
        <w:t>dezmopresínom</w:t>
      </w:r>
      <w:proofErr w:type="spellEnd"/>
      <w:r w:rsidRPr="005F6F71">
        <w:rPr>
          <w:szCs w:val="22"/>
          <w:lang w:val="sk-SK"/>
        </w:rPr>
        <w:t xml:space="preserve"> u zvierat nepreukázali </w:t>
      </w:r>
      <w:r w:rsidR="00DE113F" w:rsidRPr="005F6F71">
        <w:rPr>
          <w:szCs w:val="22"/>
          <w:lang w:val="sk-SK"/>
        </w:rPr>
        <w:t xml:space="preserve">žiadne </w:t>
      </w:r>
      <w:r w:rsidRPr="005F6F71">
        <w:rPr>
          <w:szCs w:val="22"/>
          <w:lang w:val="sk-SK"/>
        </w:rPr>
        <w:t xml:space="preserve">poškodenie </w:t>
      </w:r>
      <w:proofErr w:type="spellStart"/>
      <w:r w:rsidRPr="005F6F71">
        <w:rPr>
          <w:szCs w:val="22"/>
          <w:lang w:val="sk-SK"/>
        </w:rPr>
        <w:t>fertility</w:t>
      </w:r>
      <w:proofErr w:type="spellEnd"/>
      <w:r w:rsidRPr="005F6F71">
        <w:rPr>
          <w:szCs w:val="22"/>
          <w:lang w:val="sk-SK"/>
        </w:rPr>
        <w:t xml:space="preserve"> u samcov a samičiek potkanov.</w:t>
      </w:r>
    </w:p>
    <w:p w:rsidR="00FC34DA" w:rsidRPr="005F6F71" w:rsidRDefault="00FC34DA" w:rsidP="000D6023">
      <w:pPr>
        <w:rPr>
          <w:b/>
          <w:lang w:val="sk-SK"/>
        </w:rPr>
      </w:pPr>
    </w:p>
    <w:p w:rsidR="001D29E6" w:rsidRPr="005F6F71" w:rsidRDefault="001D29E6" w:rsidP="000C1913">
      <w:pPr>
        <w:ind w:left="567" w:hanging="567"/>
        <w:rPr>
          <w:lang w:val="sk-SK"/>
        </w:rPr>
      </w:pPr>
      <w:r w:rsidRPr="005F6F71">
        <w:rPr>
          <w:b/>
          <w:lang w:val="sk-SK"/>
        </w:rPr>
        <w:t>4.7</w:t>
      </w:r>
      <w:r w:rsidRPr="005F6F71">
        <w:rPr>
          <w:b/>
          <w:lang w:val="sk-SK"/>
        </w:rPr>
        <w:tab/>
      </w:r>
      <w:r w:rsidR="008C0CA1" w:rsidRPr="005F6F71">
        <w:rPr>
          <w:b/>
          <w:lang w:val="sk-SK"/>
        </w:rPr>
        <w:t>Ovplyvnenie schopnosti viesť vozidlá a obsluhovať stroje</w:t>
      </w:r>
    </w:p>
    <w:p w:rsidR="001D29E6" w:rsidRPr="005F6F71" w:rsidRDefault="001D29E6" w:rsidP="000C1913">
      <w:pPr>
        <w:rPr>
          <w:lang w:val="sk-SK"/>
        </w:rPr>
      </w:pPr>
    </w:p>
    <w:p w:rsidR="008C0CA1" w:rsidRPr="005F6F71" w:rsidRDefault="00DF6DB6" w:rsidP="000C1913">
      <w:pPr>
        <w:rPr>
          <w:lang w:val="sk-SK"/>
        </w:rPr>
      </w:pPr>
      <w:proofErr w:type="spellStart"/>
      <w:r w:rsidRPr="005F6F71">
        <w:rPr>
          <w:lang w:val="sk-SK"/>
        </w:rPr>
        <w:t>Nocdurna</w:t>
      </w:r>
      <w:proofErr w:type="spellEnd"/>
      <w:r w:rsidRPr="005F6F71">
        <w:rPr>
          <w:lang w:val="sk-SK"/>
        </w:rPr>
        <w:t xml:space="preserve"> </w:t>
      </w:r>
      <w:r w:rsidR="008C0CA1" w:rsidRPr="005F6F71">
        <w:rPr>
          <w:lang w:val="sk-SK"/>
        </w:rPr>
        <w:t xml:space="preserve">nemá žiadny alebo má </w:t>
      </w:r>
      <w:r w:rsidR="00561EB3" w:rsidRPr="005F6F71">
        <w:rPr>
          <w:lang w:val="sk-SK"/>
        </w:rPr>
        <w:t>zanedbateľný</w:t>
      </w:r>
      <w:r w:rsidR="008C0CA1" w:rsidRPr="005F6F71">
        <w:rPr>
          <w:lang w:val="sk-SK"/>
        </w:rPr>
        <w:t xml:space="preserve"> vplyv na schopnosť viesť vozidlá a obsluhovať stroje.</w:t>
      </w:r>
    </w:p>
    <w:p w:rsidR="00FC34DA" w:rsidRPr="005F6F71" w:rsidRDefault="00FC34DA" w:rsidP="000C1913">
      <w:pPr>
        <w:rPr>
          <w:b/>
          <w:lang w:val="sk-SK"/>
        </w:rPr>
      </w:pPr>
    </w:p>
    <w:p w:rsidR="001D29E6" w:rsidRPr="005F6F71" w:rsidRDefault="008C0CA1" w:rsidP="000C1913">
      <w:pPr>
        <w:numPr>
          <w:ilvl w:val="1"/>
          <w:numId w:val="10"/>
        </w:numPr>
        <w:rPr>
          <w:b/>
          <w:lang w:val="sk-SK"/>
        </w:rPr>
      </w:pPr>
      <w:r w:rsidRPr="005F6F71">
        <w:rPr>
          <w:b/>
          <w:lang w:val="sk-SK"/>
        </w:rPr>
        <w:t>Nežiaduce účinky</w:t>
      </w:r>
    </w:p>
    <w:p w:rsidR="001D29E6" w:rsidRPr="005F6F71" w:rsidRDefault="001D29E6" w:rsidP="000C1913">
      <w:pPr>
        <w:rPr>
          <w:lang w:val="sk-SK"/>
        </w:rPr>
      </w:pPr>
    </w:p>
    <w:p w:rsidR="00A21C1C" w:rsidRPr="005F6F71" w:rsidRDefault="008C0CA1" w:rsidP="00791DD2">
      <w:pPr>
        <w:rPr>
          <w:szCs w:val="22"/>
          <w:u w:val="single"/>
          <w:lang w:val="sk-SK"/>
        </w:rPr>
      </w:pPr>
      <w:r w:rsidRPr="005F6F71">
        <w:rPr>
          <w:szCs w:val="22"/>
          <w:u w:val="single"/>
          <w:lang w:val="sk-SK"/>
        </w:rPr>
        <w:t>Súhrn bezpečnostného profilu</w:t>
      </w:r>
    </w:p>
    <w:p w:rsidR="00267E3E" w:rsidRPr="005F6F71" w:rsidRDefault="00561EB3" w:rsidP="00791DD2">
      <w:pPr>
        <w:autoSpaceDE w:val="0"/>
        <w:autoSpaceDN w:val="0"/>
        <w:adjustRightInd w:val="0"/>
        <w:rPr>
          <w:rFonts w:eastAsia="MS Mincho"/>
          <w:szCs w:val="22"/>
          <w:lang w:val="sk-SK" w:eastAsia="ja-JP"/>
        </w:rPr>
      </w:pPr>
      <w:r w:rsidRPr="005F6F71">
        <w:rPr>
          <w:rFonts w:eastAsia="MS Mincho"/>
          <w:szCs w:val="22"/>
          <w:lang w:val="sk-SK" w:eastAsia="ja-JP"/>
        </w:rPr>
        <w:t xml:space="preserve">Na základe frekvencie hlásenia nežiaducich </w:t>
      </w:r>
      <w:r w:rsidR="00AE2699">
        <w:rPr>
          <w:rFonts w:eastAsia="MS Mincho"/>
          <w:szCs w:val="22"/>
          <w:lang w:val="sk-SK" w:eastAsia="ja-JP"/>
        </w:rPr>
        <w:t>reakcií</w:t>
      </w:r>
      <w:r w:rsidRPr="005F6F71">
        <w:rPr>
          <w:rFonts w:eastAsia="MS Mincho"/>
          <w:szCs w:val="22"/>
          <w:lang w:val="sk-SK" w:eastAsia="ja-JP"/>
        </w:rPr>
        <w:t xml:space="preserve"> počas klinických skúšaní s </w:t>
      </w:r>
      <w:proofErr w:type="spellStart"/>
      <w:r w:rsidRPr="005F6F71">
        <w:rPr>
          <w:rFonts w:eastAsia="MS Mincho"/>
          <w:szCs w:val="22"/>
          <w:lang w:val="sk-SK" w:eastAsia="ja-JP"/>
        </w:rPr>
        <w:t>Nocdurnou</w:t>
      </w:r>
      <w:proofErr w:type="spellEnd"/>
      <w:r w:rsidRPr="005F6F71">
        <w:rPr>
          <w:rFonts w:eastAsia="MS Mincho"/>
          <w:szCs w:val="22"/>
          <w:lang w:val="sk-SK" w:eastAsia="ja-JP"/>
        </w:rPr>
        <w:t xml:space="preserve"> na liečbu </w:t>
      </w:r>
      <w:proofErr w:type="spellStart"/>
      <w:r w:rsidRPr="005F6F71">
        <w:rPr>
          <w:rFonts w:eastAsia="MS Mincho"/>
          <w:szCs w:val="22"/>
          <w:lang w:val="sk-SK" w:eastAsia="ja-JP"/>
        </w:rPr>
        <w:t>noktúrie</w:t>
      </w:r>
      <w:proofErr w:type="spellEnd"/>
      <w:r w:rsidR="00933B7C" w:rsidRPr="005F6F71">
        <w:rPr>
          <w:rFonts w:eastAsia="MS Mincho"/>
          <w:szCs w:val="22"/>
          <w:lang w:val="sk-SK" w:eastAsia="ja-JP"/>
        </w:rPr>
        <w:t xml:space="preserve"> u</w:t>
      </w:r>
      <w:r w:rsidRPr="005F6F71">
        <w:rPr>
          <w:rFonts w:eastAsia="MS Mincho"/>
          <w:szCs w:val="22"/>
          <w:lang w:val="sk-SK" w:eastAsia="ja-JP"/>
        </w:rPr>
        <w:t xml:space="preserve"> muž</w:t>
      </w:r>
      <w:r w:rsidR="00933B7C" w:rsidRPr="005F6F71">
        <w:rPr>
          <w:rFonts w:eastAsia="MS Mincho"/>
          <w:szCs w:val="22"/>
          <w:lang w:val="sk-SK" w:eastAsia="ja-JP"/>
        </w:rPr>
        <w:t>ov</w:t>
      </w:r>
      <w:r w:rsidRPr="005F6F71">
        <w:rPr>
          <w:rFonts w:eastAsia="MS Mincho"/>
          <w:szCs w:val="22"/>
          <w:lang w:val="sk-SK" w:eastAsia="ja-JP"/>
        </w:rPr>
        <w:t xml:space="preserve"> (50 µg; N=222) a ž</w:t>
      </w:r>
      <w:r w:rsidR="00933B7C" w:rsidRPr="005F6F71">
        <w:rPr>
          <w:rFonts w:eastAsia="MS Mincho"/>
          <w:szCs w:val="22"/>
          <w:lang w:val="sk-SK" w:eastAsia="ja-JP"/>
        </w:rPr>
        <w:t>i</w:t>
      </w:r>
      <w:r w:rsidRPr="005F6F71">
        <w:rPr>
          <w:rFonts w:eastAsia="MS Mincho"/>
          <w:szCs w:val="22"/>
          <w:lang w:val="sk-SK" w:eastAsia="ja-JP"/>
        </w:rPr>
        <w:t>e</w:t>
      </w:r>
      <w:r w:rsidR="00933B7C" w:rsidRPr="005F6F71">
        <w:rPr>
          <w:rFonts w:eastAsia="MS Mincho"/>
          <w:szCs w:val="22"/>
          <w:lang w:val="sk-SK" w:eastAsia="ja-JP"/>
        </w:rPr>
        <w:t>n</w:t>
      </w:r>
      <w:r w:rsidRPr="005F6F71">
        <w:rPr>
          <w:rFonts w:eastAsia="MS Mincho"/>
          <w:szCs w:val="22"/>
          <w:lang w:val="sk-SK" w:eastAsia="ja-JP"/>
        </w:rPr>
        <w:t xml:space="preserve"> (25 µg; N=219)</w:t>
      </w:r>
      <w:r w:rsidR="00933B7C" w:rsidRPr="005F6F71">
        <w:rPr>
          <w:rFonts w:eastAsia="MS Mincho"/>
          <w:szCs w:val="22"/>
          <w:lang w:val="sk-SK" w:eastAsia="ja-JP"/>
        </w:rPr>
        <w:t xml:space="preserve"> boli</w:t>
      </w:r>
      <w:r w:rsidRPr="005F6F71">
        <w:rPr>
          <w:rFonts w:eastAsia="MS Mincho"/>
          <w:szCs w:val="22"/>
          <w:lang w:val="sk-SK" w:eastAsia="ja-JP"/>
        </w:rPr>
        <w:t xml:space="preserve"> najčastejším</w:t>
      </w:r>
      <w:r w:rsidR="0017050C" w:rsidRPr="005F6F71">
        <w:rPr>
          <w:rFonts w:eastAsia="MS Mincho"/>
          <w:szCs w:val="22"/>
          <w:lang w:val="sk-SK" w:eastAsia="ja-JP"/>
        </w:rPr>
        <w:t>i</w:t>
      </w:r>
      <w:r w:rsidRPr="005F6F71">
        <w:rPr>
          <w:rFonts w:eastAsia="MS Mincho"/>
          <w:szCs w:val="22"/>
          <w:lang w:val="sk-SK" w:eastAsia="ja-JP"/>
        </w:rPr>
        <w:t xml:space="preserve"> hláseným</w:t>
      </w:r>
      <w:r w:rsidR="0017050C" w:rsidRPr="005F6F71">
        <w:rPr>
          <w:rFonts w:eastAsia="MS Mincho"/>
          <w:szCs w:val="22"/>
          <w:lang w:val="sk-SK" w:eastAsia="ja-JP"/>
        </w:rPr>
        <w:t>i</w:t>
      </w:r>
      <w:r w:rsidRPr="005F6F71">
        <w:rPr>
          <w:rFonts w:eastAsia="MS Mincho"/>
          <w:szCs w:val="22"/>
          <w:lang w:val="sk-SK" w:eastAsia="ja-JP"/>
        </w:rPr>
        <w:t xml:space="preserve"> nežiaducim</w:t>
      </w:r>
      <w:r w:rsidR="0017050C" w:rsidRPr="005F6F71">
        <w:rPr>
          <w:rFonts w:eastAsia="MS Mincho"/>
          <w:szCs w:val="22"/>
          <w:lang w:val="sk-SK" w:eastAsia="ja-JP"/>
        </w:rPr>
        <w:t>i</w:t>
      </w:r>
      <w:r w:rsidRPr="005F6F71">
        <w:rPr>
          <w:rFonts w:eastAsia="MS Mincho"/>
          <w:szCs w:val="22"/>
          <w:lang w:val="sk-SK" w:eastAsia="ja-JP"/>
        </w:rPr>
        <w:t xml:space="preserve"> </w:t>
      </w:r>
      <w:r w:rsidR="00AE2699">
        <w:rPr>
          <w:rFonts w:eastAsia="MS Mincho"/>
          <w:szCs w:val="22"/>
          <w:lang w:val="sk-SK" w:eastAsia="ja-JP"/>
        </w:rPr>
        <w:t>reakciami</w:t>
      </w:r>
      <w:r w:rsidRPr="005F6F71">
        <w:rPr>
          <w:rFonts w:eastAsia="MS Mincho"/>
          <w:szCs w:val="22"/>
          <w:lang w:val="sk-SK" w:eastAsia="ja-JP"/>
        </w:rPr>
        <w:t xml:space="preserve"> sucho v ústach (13%), bolesť hlavy (3%), </w:t>
      </w:r>
      <w:proofErr w:type="spellStart"/>
      <w:r w:rsidRPr="005F6F71">
        <w:rPr>
          <w:rFonts w:eastAsia="MS Mincho"/>
          <w:szCs w:val="22"/>
          <w:lang w:val="sk-SK" w:eastAsia="ja-JP"/>
        </w:rPr>
        <w:t>hyponatriémia</w:t>
      </w:r>
      <w:proofErr w:type="spellEnd"/>
      <w:r w:rsidRPr="005F6F71">
        <w:rPr>
          <w:rFonts w:eastAsia="MS Mincho"/>
          <w:szCs w:val="22"/>
          <w:lang w:val="sk-SK" w:eastAsia="ja-JP"/>
        </w:rPr>
        <w:t xml:space="preserve"> (3%) a závraty (2%).</w:t>
      </w:r>
    </w:p>
    <w:p w:rsidR="00F34A46" w:rsidRPr="005F6F71" w:rsidRDefault="00F34A46" w:rsidP="00791DD2">
      <w:pPr>
        <w:autoSpaceDE w:val="0"/>
        <w:autoSpaceDN w:val="0"/>
        <w:adjustRightInd w:val="0"/>
        <w:rPr>
          <w:rFonts w:eastAsia="MS Mincho"/>
          <w:szCs w:val="22"/>
          <w:lang w:val="sk-SK" w:eastAsia="ja-JP"/>
        </w:rPr>
      </w:pPr>
    </w:p>
    <w:p w:rsidR="00F34A46" w:rsidRPr="005F6F71" w:rsidRDefault="00933B7C" w:rsidP="00F34A46">
      <w:pPr>
        <w:rPr>
          <w:szCs w:val="22"/>
          <w:u w:val="single"/>
          <w:lang w:val="sk-SK"/>
        </w:rPr>
      </w:pPr>
      <w:r w:rsidRPr="005F6F71">
        <w:rPr>
          <w:szCs w:val="22"/>
          <w:u w:val="single"/>
          <w:lang w:val="sk-SK"/>
        </w:rPr>
        <w:t>Po</w:t>
      </w:r>
      <w:r w:rsidR="00D14C61" w:rsidRPr="005F6F71">
        <w:rPr>
          <w:szCs w:val="22"/>
          <w:u w:val="single"/>
          <w:lang w:val="sk-SK"/>
        </w:rPr>
        <w:t xml:space="preserve">pis vybraných nežiaducich </w:t>
      </w:r>
      <w:r w:rsidRPr="005F6F71">
        <w:rPr>
          <w:szCs w:val="22"/>
          <w:u w:val="single"/>
          <w:lang w:val="sk-SK"/>
        </w:rPr>
        <w:t>reakcií</w:t>
      </w:r>
    </w:p>
    <w:p w:rsidR="00D14C61" w:rsidRPr="005F6F71" w:rsidRDefault="00561EB3" w:rsidP="00F34A46">
      <w:pPr>
        <w:rPr>
          <w:color w:val="000000"/>
          <w:szCs w:val="22"/>
          <w:lang w:val="sk-SK"/>
        </w:rPr>
      </w:pPr>
      <w:r w:rsidRPr="005F6F71">
        <w:rPr>
          <w:color w:val="000000"/>
          <w:szCs w:val="22"/>
          <w:lang w:val="sk-SK"/>
        </w:rPr>
        <w:t>Najzávažnejš</w:t>
      </w:r>
      <w:r w:rsidR="00AE2699">
        <w:rPr>
          <w:color w:val="000000"/>
          <w:szCs w:val="22"/>
          <w:lang w:val="sk-SK"/>
        </w:rPr>
        <w:t>ou</w:t>
      </w:r>
      <w:r w:rsidRPr="005F6F71">
        <w:rPr>
          <w:color w:val="000000"/>
          <w:szCs w:val="22"/>
          <w:lang w:val="sk-SK"/>
        </w:rPr>
        <w:t xml:space="preserve"> nežiaduc</w:t>
      </w:r>
      <w:r w:rsidR="00AE2699">
        <w:rPr>
          <w:color w:val="000000"/>
          <w:szCs w:val="22"/>
          <w:lang w:val="sk-SK"/>
        </w:rPr>
        <w:t>ou</w:t>
      </w:r>
      <w:r w:rsidRPr="005F6F71">
        <w:rPr>
          <w:color w:val="000000"/>
          <w:szCs w:val="22"/>
          <w:lang w:val="sk-SK"/>
        </w:rPr>
        <w:t xml:space="preserve"> </w:t>
      </w:r>
      <w:r w:rsidR="00AE2699">
        <w:rPr>
          <w:color w:val="000000"/>
          <w:szCs w:val="22"/>
          <w:lang w:val="sk-SK"/>
        </w:rPr>
        <w:t>reakciou</w:t>
      </w:r>
      <w:r w:rsidRPr="005F6F71">
        <w:rPr>
          <w:color w:val="000000"/>
          <w:szCs w:val="22"/>
          <w:lang w:val="sk-SK"/>
        </w:rPr>
        <w:t xml:space="preserve"> </w:t>
      </w:r>
      <w:proofErr w:type="spellStart"/>
      <w:r w:rsidRPr="005F6F71">
        <w:rPr>
          <w:color w:val="000000"/>
          <w:szCs w:val="22"/>
          <w:lang w:val="sk-SK"/>
        </w:rPr>
        <w:t>dezmopresín</w:t>
      </w:r>
      <w:r w:rsidR="009C46A3" w:rsidRPr="005F6F71">
        <w:rPr>
          <w:color w:val="000000"/>
          <w:szCs w:val="22"/>
          <w:lang w:val="sk-SK"/>
        </w:rPr>
        <w:t>u</w:t>
      </w:r>
      <w:proofErr w:type="spellEnd"/>
      <w:r w:rsidRPr="005F6F71">
        <w:rPr>
          <w:color w:val="000000"/>
          <w:szCs w:val="22"/>
          <w:lang w:val="sk-SK"/>
        </w:rPr>
        <w:t xml:space="preserve"> je </w:t>
      </w:r>
      <w:proofErr w:type="spellStart"/>
      <w:r w:rsidRPr="005F6F71">
        <w:rPr>
          <w:color w:val="000000"/>
          <w:szCs w:val="22"/>
          <w:lang w:val="sk-SK"/>
        </w:rPr>
        <w:t>hyponatriémia</w:t>
      </w:r>
      <w:proofErr w:type="spellEnd"/>
      <w:r w:rsidRPr="005F6F71">
        <w:rPr>
          <w:color w:val="000000"/>
          <w:szCs w:val="22"/>
          <w:lang w:val="sk-SK"/>
        </w:rPr>
        <w:t xml:space="preserve">, ktorá je spojená s bolesťou hlavy, nevoľnosťou, vracaním, znížením sérového sodíka, prírastkom hmotnosti, </w:t>
      </w:r>
      <w:r w:rsidR="00933B7C" w:rsidRPr="005F6F71">
        <w:rPr>
          <w:color w:val="000000"/>
          <w:szCs w:val="22"/>
          <w:lang w:val="sk-SK"/>
        </w:rPr>
        <w:t>pocitom choroby</w:t>
      </w:r>
      <w:r w:rsidRPr="005F6F71">
        <w:rPr>
          <w:color w:val="000000"/>
          <w:szCs w:val="22"/>
          <w:lang w:val="sk-SK"/>
        </w:rPr>
        <w:t>, bolesť</w:t>
      </w:r>
      <w:r w:rsidR="0017050C" w:rsidRPr="005F6F71">
        <w:rPr>
          <w:color w:val="000000"/>
          <w:szCs w:val="22"/>
          <w:lang w:val="sk-SK"/>
        </w:rPr>
        <w:t>ou</w:t>
      </w:r>
      <w:r w:rsidRPr="005F6F71">
        <w:rPr>
          <w:color w:val="000000"/>
          <w:szCs w:val="22"/>
          <w:lang w:val="sk-SK"/>
        </w:rPr>
        <w:t xml:space="preserve"> brucha, svalov</w:t>
      </w:r>
      <w:r w:rsidR="0017050C" w:rsidRPr="005F6F71">
        <w:rPr>
          <w:color w:val="000000"/>
          <w:szCs w:val="22"/>
          <w:lang w:val="sk-SK"/>
        </w:rPr>
        <w:t>ými</w:t>
      </w:r>
      <w:r w:rsidRPr="005F6F71">
        <w:rPr>
          <w:color w:val="000000"/>
          <w:szCs w:val="22"/>
          <w:lang w:val="sk-SK"/>
        </w:rPr>
        <w:t xml:space="preserve"> kŕč</w:t>
      </w:r>
      <w:r w:rsidR="0017050C" w:rsidRPr="005F6F71">
        <w:rPr>
          <w:color w:val="000000"/>
          <w:szCs w:val="22"/>
          <w:lang w:val="sk-SK"/>
        </w:rPr>
        <w:t>mi</w:t>
      </w:r>
      <w:r w:rsidRPr="005F6F71">
        <w:rPr>
          <w:color w:val="000000"/>
          <w:szCs w:val="22"/>
          <w:lang w:val="sk-SK"/>
        </w:rPr>
        <w:t>, závrat</w:t>
      </w:r>
      <w:r w:rsidR="0017050C" w:rsidRPr="005F6F71">
        <w:rPr>
          <w:color w:val="000000"/>
          <w:szCs w:val="22"/>
          <w:lang w:val="sk-SK"/>
        </w:rPr>
        <w:t>mi</w:t>
      </w:r>
      <w:r w:rsidRPr="005F6F71">
        <w:rPr>
          <w:color w:val="000000"/>
          <w:szCs w:val="22"/>
          <w:lang w:val="sk-SK"/>
        </w:rPr>
        <w:t>, zmätenosť</w:t>
      </w:r>
      <w:r w:rsidR="0017050C" w:rsidRPr="005F6F71">
        <w:rPr>
          <w:color w:val="000000"/>
          <w:szCs w:val="22"/>
          <w:lang w:val="sk-SK"/>
        </w:rPr>
        <w:t>ou</w:t>
      </w:r>
      <w:r w:rsidRPr="005F6F71">
        <w:rPr>
          <w:color w:val="000000"/>
          <w:szCs w:val="22"/>
          <w:lang w:val="sk-SK"/>
        </w:rPr>
        <w:t xml:space="preserve">, </w:t>
      </w:r>
      <w:r w:rsidR="00933B7C" w:rsidRPr="005F6F71">
        <w:rPr>
          <w:color w:val="000000"/>
          <w:szCs w:val="22"/>
          <w:lang w:val="sk-SK"/>
        </w:rPr>
        <w:t>poruchami</w:t>
      </w:r>
      <w:r w:rsidRPr="005F6F71">
        <w:rPr>
          <w:color w:val="000000"/>
          <w:szCs w:val="22"/>
          <w:lang w:val="sk-SK"/>
        </w:rPr>
        <w:t xml:space="preserve"> vedomia a v závažných prípadoch </w:t>
      </w:r>
      <w:r w:rsidR="00933B7C" w:rsidRPr="005F6F71">
        <w:rPr>
          <w:color w:val="000000"/>
          <w:szCs w:val="22"/>
          <w:lang w:val="sk-SK"/>
        </w:rPr>
        <w:t>kŕčmi</w:t>
      </w:r>
      <w:r w:rsidR="0017050C" w:rsidRPr="005F6F71">
        <w:rPr>
          <w:color w:val="000000"/>
          <w:szCs w:val="22"/>
          <w:lang w:val="sk-SK"/>
        </w:rPr>
        <w:t xml:space="preserve"> a kómou</w:t>
      </w:r>
      <w:r w:rsidRPr="005F6F71">
        <w:rPr>
          <w:color w:val="000000"/>
          <w:szCs w:val="22"/>
          <w:lang w:val="sk-SK"/>
        </w:rPr>
        <w:t xml:space="preserve">. </w:t>
      </w:r>
      <w:proofErr w:type="spellStart"/>
      <w:r w:rsidRPr="005F6F71">
        <w:rPr>
          <w:color w:val="000000"/>
          <w:szCs w:val="22"/>
          <w:lang w:val="sk-SK"/>
        </w:rPr>
        <w:t>Hyponatriémia</w:t>
      </w:r>
      <w:proofErr w:type="spellEnd"/>
      <w:r w:rsidR="00D14C61" w:rsidRPr="005F6F71">
        <w:rPr>
          <w:color w:val="000000"/>
          <w:szCs w:val="22"/>
          <w:lang w:val="sk-SK"/>
        </w:rPr>
        <w:t xml:space="preserve"> je </w:t>
      </w:r>
      <w:r w:rsidR="00933B7C" w:rsidRPr="005F6F71">
        <w:rPr>
          <w:color w:val="000000"/>
          <w:szCs w:val="22"/>
          <w:lang w:val="sk-SK"/>
        </w:rPr>
        <w:t>dôsledo</w:t>
      </w:r>
      <w:r w:rsidR="00AE2699">
        <w:rPr>
          <w:color w:val="000000"/>
          <w:szCs w:val="22"/>
          <w:lang w:val="sk-SK"/>
        </w:rPr>
        <w:t>k</w:t>
      </w:r>
      <w:r w:rsidR="00933B7C" w:rsidRPr="005F6F71">
        <w:rPr>
          <w:color w:val="000000"/>
          <w:szCs w:val="22"/>
          <w:lang w:val="sk-SK"/>
        </w:rPr>
        <w:t xml:space="preserve"> </w:t>
      </w:r>
      <w:proofErr w:type="spellStart"/>
      <w:r w:rsidR="00D14C61" w:rsidRPr="005F6F71">
        <w:rPr>
          <w:color w:val="000000"/>
          <w:szCs w:val="22"/>
          <w:lang w:val="sk-SK"/>
        </w:rPr>
        <w:t>antidiuretick</w:t>
      </w:r>
      <w:r w:rsidR="00933B7C" w:rsidRPr="005F6F71">
        <w:rPr>
          <w:color w:val="000000"/>
          <w:szCs w:val="22"/>
          <w:lang w:val="sk-SK"/>
        </w:rPr>
        <w:t>ého</w:t>
      </w:r>
      <w:proofErr w:type="spellEnd"/>
      <w:r w:rsidR="00D14C61" w:rsidRPr="005F6F71">
        <w:rPr>
          <w:color w:val="000000"/>
          <w:szCs w:val="22"/>
          <w:lang w:val="sk-SK"/>
        </w:rPr>
        <w:t xml:space="preserve"> </w:t>
      </w:r>
      <w:r w:rsidR="00933B7C" w:rsidRPr="005F6F71">
        <w:rPr>
          <w:color w:val="000000"/>
          <w:szCs w:val="22"/>
          <w:lang w:val="sk-SK"/>
        </w:rPr>
        <w:t>pôsobenia</w:t>
      </w:r>
      <w:r w:rsidR="009C46A3" w:rsidRPr="005F6F71">
        <w:rPr>
          <w:color w:val="000000"/>
          <w:szCs w:val="22"/>
          <w:lang w:val="sk-SK"/>
        </w:rPr>
        <w:t xml:space="preserve"> a</w:t>
      </w:r>
      <w:r w:rsidR="00D14C61" w:rsidRPr="005F6F71">
        <w:rPr>
          <w:color w:val="000000"/>
          <w:szCs w:val="22"/>
          <w:lang w:val="sk-SK"/>
        </w:rPr>
        <w:t xml:space="preserve"> vzniká </w:t>
      </w:r>
      <w:r w:rsidR="00933B7C" w:rsidRPr="005F6F71">
        <w:rPr>
          <w:color w:val="000000"/>
          <w:szCs w:val="22"/>
          <w:lang w:val="sk-SK"/>
        </w:rPr>
        <w:t xml:space="preserve">zvýšeným spätným vstrebávaním vody obličkovými </w:t>
      </w:r>
      <w:proofErr w:type="spellStart"/>
      <w:r w:rsidR="00D14C61" w:rsidRPr="005F6F71">
        <w:rPr>
          <w:color w:val="000000"/>
          <w:szCs w:val="22"/>
          <w:lang w:val="sk-SK"/>
        </w:rPr>
        <w:t>tubul</w:t>
      </w:r>
      <w:r w:rsidR="00933B7C" w:rsidRPr="005F6F71">
        <w:rPr>
          <w:color w:val="000000"/>
          <w:szCs w:val="22"/>
          <w:lang w:val="sk-SK"/>
        </w:rPr>
        <w:t>ami</w:t>
      </w:r>
      <w:proofErr w:type="spellEnd"/>
      <w:r w:rsidR="00D14C61" w:rsidRPr="005F6F71">
        <w:rPr>
          <w:color w:val="000000"/>
          <w:szCs w:val="22"/>
          <w:lang w:val="sk-SK"/>
        </w:rPr>
        <w:t xml:space="preserve"> a </w:t>
      </w:r>
      <w:proofErr w:type="spellStart"/>
      <w:r w:rsidR="009A2A98" w:rsidRPr="005F6F71">
        <w:rPr>
          <w:color w:val="000000"/>
          <w:szCs w:val="22"/>
          <w:lang w:val="sk-SK"/>
        </w:rPr>
        <w:t>osmotick</w:t>
      </w:r>
      <w:r w:rsidR="00933B7C" w:rsidRPr="005F6F71">
        <w:rPr>
          <w:color w:val="000000"/>
          <w:szCs w:val="22"/>
          <w:lang w:val="sk-SK"/>
        </w:rPr>
        <w:t>ým</w:t>
      </w:r>
      <w:proofErr w:type="spellEnd"/>
      <w:r w:rsidR="009A2A98" w:rsidRPr="005F6F71">
        <w:rPr>
          <w:color w:val="000000"/>
          <w:szCs w:val="22"/>
          <w:lang w:val="sk-SK"/>
        </w:rPr>
        <w:t xml:space="preserve"> zrieden</w:t>
      </w:r>
      <w:r w:rsidR="00933B7C" w:rsidRPr="005F6F71">
        <w:rPr>
          <w:color w:val="000000"/>
          <w:szCs w:val="22"/>
          <w:lang w:val="sk-SK"/>
        </w:rPr>
        <w:t>ím</w:t>
      </w:r>
      <w:r w:rsidR="009A2A98" w:rsidRPr="005F6F71">
        <w:rPr>
          <w:color w:val="000000"/>
          <w:szCs w:val="22"/>
          <w:lang w:val="sk-SK"/>
        </w:rPr>
        <w:t xml:space="preserve"> plazmy. V</w:t>
      </w:r>
      <w:r w:rsidR="00933B7C" w:rsidRPr="005F6F71">
        <w:rPr>
          <w:color w:val="000000"/>
          <w:szCs w:val="22"/>
          <w:lang w:val="sk-SK"/>
        </w:rPr>
        <w:t> </w:t>
      </w:r>
      <w:r w:rsidRPr="005F6F71">
        <w:rPr>
          <w:color w:val="000000"/>
          <w:szCs w:val="22"/>
          <w:lang w:val="sk-SK"/>
        </w:rPr>
        <w:t>štúdiách</w:t>
      </w:r>
      <w:r w:rsidR="009A2A98" w:rsidRPr="005F6F71">
        <w:rPr>
          <w:color w:val="000000"/>
          <w:szCs w:val="22"/>
          <w:lang w:val="sk-SK"/>
        </w:rPr>
        <w:t xml:space="preserve"> s</w:t>
      </w:r>
      <w:r w:rsidR="00AE2699">
        <w:rPr>
          <w:color w:val="000000"/>
          <w:szCs w:val="22"/>
          <w:lang w:val="sk-SK"/>
        </w:rPr>
        <w:t> </w:t>
      </w:r>
      <w:r w:rsidR="009A2A98" w:rsidRPr="005F6F71">
        <w:rPr>
          <w:color w:val="000000"/>
          <w:szCs w:val="22"/>
          <w:lang w:val="sk-SK"/>
        </w:rPr>
        <w:t xml:space="preserve">dospelými subjektmi, ktorí </w:t>
      </w:r>
      <w:r w:rsidR="00CF3623">
        <w:rPr>
          <w:color w:val="000000"/>
          <w:szCs w:val="22"/>
          <w:lang w:val="sk-SK"/>
        </w:rPr>
        <w:t>sa</w:t>
      </w:r>
      <w:r w:rsidR="009A2A98" w:rsidRPr="005F6F71">
        <w:rPr>
          <w:color w:val="000000"/>
          <w:szCs w:val="22"/>
          <w:lang w:val="sk-SK"/>
        </w:rPr>
        <w:t xml:space="preserve"> lieč</w:t>
      </w:r>
      <w:r w:rsidR="00CF3623">
        <w:rPr>
          <w:color w:val="000000"/>
          <w:szCs w:val="22"/>
          <w:lang w:val="sk-SK"/>
        </w:rPr>
        <w:t>ili</w:t>
      </w:r>
      <w:r w:rsidR="009A2A98" w:rsidRPr="005F6F71">
        <w:rPr>
          <w:color w:val="000000"/>
          <w:szCs w:val="22"/>
          <w:lang w:val="sk-SK"/>
        </w:rPr>
        <w:t xml:space="preserve"> na </w:t>
      </w:r>
      <w:proofErr w:type="spellStart"/>
      <w:r w:rsidR="009A2A98" w:rsidRPr="005F6F71">
        <w:rPr>
          <w:color w:val="000000"/>
          <w:szCs w:val="22"/>
          <w:lang w:val="sk-SK"/>
        </w:rPr>
        <w:t>noktúriu</w:t>
      </w:r>
      <w:proofErr w:type="spellEnd"/>
      <w:r w:rsidR="009A2A98" w:rsidRPr="005F6F71">
        <w:rPr>
          <w:color w:val="000000"/>
          <w:szCs w:val="22"/>
          <w:lang w:val="sk-SK"/>
        </w:rPr>
        <w:t>, u väčšiny subjektov došlo k</w:t>
      </w:r>
      <w:r w:rsidR="00933B7C" w:rsidRPr="005F6F71">
        <w:rPr>
          <w:color w:val="000000"/>
          <w:szCs w:val="22"/>
          <w:lang w:val="sk-SK"/>
        </w:rPr>
        <w:t> </w:t>
      </w:r>
      <w:r w:rsidR="009A2A98" w:rsidRPr="005F6F71">
        <w:rPr>
          <w:color w:val="000000"/>
          <w:szCs w:val="22"/>
          <w:lang w:val="sk-SK"/>
        </w:rPr>
        <w:t>zníženiu sérového sodíka v</w:t>
      </w:r>
      <w:r w:rsidR="0017050C" w:rsidRPr="005F6F71">
        <w:rPr>
          <w:color w:val="000000"/>
          <w:szCs w:val="22"/>
          <w:lang w:val="sk-SK"/>
        </w:rPr>
        <w:t> </w:t>
      </w:r>
      <w:r w:rsidR="009A2A98" w:rsidRPr="005F6F71">
        <w:rPr>
          <w:color w:val="000000"/>
          <w:szCs w:val="22"/>
          <w:lang w:val="sk-SK"/>
        </w:rPr>
        <w:t>prvých dňoch liečby alebo pri zvyšovaní dávky. Osobitnú pozornosť treba venovať opatreniam</w:t>
      </w:r>
      <w:r w:rsidR="0017050C" w:rsidRPr="005F6F71">
        <w:rPr>
          <w:color w:val="000000"/>
          <w:szCs w:val="22"/>
          <w:lang w:val="sk-SK"/>
        </w:rPr>
        <w:t>, ktoré sú</w:t>
      </w:r>
      <w:r w:rsidR="009A2A98" w:rsidRPr="005F6F71">
        <w:rPr>
          <w:color w:val="000000"/>
          <w:szCs w:val="22"/>
          <w:lang w:val="sk-SK"/>
        </w:rPr>
        <w:t xml:space="preserve"> uveden</w:t>
      </w:r>
      <w:r w:rsidR="0017050C" w:rsidRPr="005F6F71">
        <w:rPr>
          <w:color w:val="000000"/>
          <w:szCs w:val="22"/>
          <w:lang w:val="sk-SK"/>
        </w:rPr>
        <w:t>é</w:t>
      </w:r>
      <w:r w:rsidR="009A2A98" w:rsidRPr="005F6F71">
        <w:rPr>
          <w:color w:val="000000"/>
          <w:szCs w:val="22"/>
          <w:lang w:val="sk-SK"/>
        </w:rPr>
        <w:t xml:space="preserve"> v časti 4.4. </w:t>
      </w:r>
    </w:p>
    <w:p w:rsidR="00D14C61" w:rsidRPr="005F6F71" w:rsidRDefault="00D14C61" w:rsidP="00F34A46">
      <w:pPr>
        <w:rPr>
          <w:color w:val="000000"/>
          <w:szCs w:val="22"/>
          <w:lang w:val="sk-SK"/>
        </w:rPr>
      </w:pPr>
    </w:p>
    <w:p w:rsidR="00537643" w:rsidRPr="005F6F71" w:rsidRDefault="009A2A98" w:rsidP="00F34A46">
      <w:pPr>
        <w:rPr>
          <w:bCs/>
          <w:szCs w:val="22"/>
          <w:lang w:val="sk-SK"/>
        </w:rPr>
      </w:pPr>
      <w:r w:rsidRPr="005F6F71">
        <w:rPr>
          <w:bCs/>
          <w:szCs w:val="22"/>
          <w:lang w:val="sk-SK"/>
        </w:rPr>
        <w:lastRenderedPageBreak/>
        <w:t xml:space="preserve">U žien je vyššie riziko </w:t>
      </w:r>
      <w:proofErr w:type="spellStart"/>
      <w:r w:rsidRPr="005F6F71">
        <w:rPr>
          <w:bCs/>
          <w:szCs w:val="22"/>
          <w:lang w:val="sk-SK"/>
        </w:rPr>
        <w:t>hyponatriémie</w:t>
      </w:r>
      <w:proofErr w:type="spellEnd"/>
      <w:r w:rsidRPr="005F6F71">
        <w:rPr>
          <w:bCs/>
          <w:szCs w:val="22"/>
          <w:lang w:val="sk-SK"/>
        </w:rPr>
        <w:t xml:space="preserve">, čo môže byť </w:t>
      </w:r>
      <w:r w:rsidR="00561EB3" w:rsidRPr="005F6F71">
        <w:rPr>
          <w:bCs/>
          <w:szCs w:val="22"/>
          <w:lang w:val="sk-SK"/>
        </w:rPr>
        <w:t>spôsobené</w:t>
      </w:r>
      <w:r w:rsidRPr="005F6F71">
        <w:rPr>
          <w:bCs/>
          <w:szCs w:val="22"/>
          <w:lang w:val="sk-SK"/>
        </w:rPr>
        <w:t xml:space="preserve"> zvýšenou </w:t>
      </w:r>
      <w:r w:rsidR="00561EB3" w:rsidRPr="005F6F71">
        <w:rPr>
          <w:bCs/>
          <w:szCs w:val="22"/>
          <w:lang w:val="sk-SK"/>
        </w:rPr>
        <w:t>citlivosťou</w:t>
      </w:r>
      <w:r w:rsidRPr="005F6F71">
        <w:rPr>
          <w:bCs/>
          <w:szCs w:val="22"/>
          <w:lang w:val="sk-SK"/>
        </w:rPr>
        <w:t xml:space="preserve"> </w:t>
      </w:r>
      <w:r w:rsidR="00933B7C" w:rsidRPr="005F6F71">
        <w:rPr>
          <w:bCs/>
          <w:szCs w:val="22"/>
          <w:lang w:val="sk-SK"/>
        </w:rPr>
        <w:t>obličkových</w:t>
      </w:r>
      <w:r w:rsidRPr="005F6F71">
        <w:rPr>
          <w:bCs/>
          <w:szCs w:val="22"/>
          <w:lang w:val="sk-SK"/>
        </w:rPr>
        <w:t xml:space="preserve"> </w:t>
      </w:r>
      <w:proofErr w:type="spellStart"/>
      <w:r w:rsidRPr="005F6F71">
        <w:rPr>
          <w:bCs/>
          <w:szCs w:val="22"/>
          <w:lang w:val="sk-SK"/>
        </w:rPr>
        <w:t>tubulov</w:t>
      </w:r>
      <w:proofErr w:type="spellEnd"/>
      <w:r w:rsidRPr="005F6F71">
        <w:rPr>
          <w:bCs/>
          <w:szCs w:val="22"/>
          <w:lang w:val="sk-SK"/>
        </w:rPr>
        <w:t xml:space="preserve"> na </w:t>
      </w:r>
      <w:proofErr w:type="spellStart"/>
      <w:r w:rsidR="0017050C" w:rsidRPr="005F6F71">
        <w:rPr>
          <w:bCs/>
          <w:szCs w:val="22"/>
          <w:lang w:val="sk-SK"/>
        </w:rPr>
        <w:t>vazopresín</w:t>
      </w:r>
      <w:proofErr w:type="spellEnd"/>
      <w:r w:rsidR="0017050C" w:rsidRPr="005F6F71">
        <w:rPr>
          <w:bCs/>
          <w:szCs w:val="22"/>
          <w:lang w:val="sk-SK"/>
        </w:rPr>
        <w:t xml:space="preserve"> a jeho </w:t>
      </w:r>
      <w:proofErr w:type="spellStart"/>
      <w:r w:rsidR="0017050C" w:rsidRPr="005F6F71">
        <w:rPr>
          <w:bCs/>
          <w:szCs w:val="22"/>
          <w:lang w:val="sk-SK"/>
        </w:rPr>
        <w:t>analóg</w:t>
      </w:r>
      <w:r w:rsidR="00933B7C" w:rsidRPr="005F6F71">
        <w:rPr>
          <w:bCs/>
          <w:szCs w:val="22"/>
          <w:lang w:val="sk-SK"/>
        </w:rPr>
        <w:t>y</w:t>
      </w:r>
      <w:proofErr w:type="spellEnd"/>
      <w:r w:rsidR="0017050C" w:rsidRPr="005F6F71">
        <w:rPr>
          <w:bCs/>
          <w:szCs w:val="22"/>
          <w:lang w:val="sk-SK"/>
        </w:rPr>
        <w:t xml:space="preserve"> v porovnaní s mužmi. </w:t>
      </w:r>
      <w:r w:rsidRPr="005F6F71">
        <w:rPr>
          <w:bCs/>
          <w:szCs w:val="22"/>
          <w:lang w:val="sk-SK"/>
        </w:rPr>
        <w:t xml:space="preserve">Toto riziko je minimalizované odporúčaním nižšej dávky u žien. Riziko </w:t>
      </w:r>
      <w:proofErr w:type="spellStart"/>
      <w:r w:rsidRPr="005F6F71">
        <w:rPr>
          <w:bCs/>
          <w:szCs w:val="22"/>
          <w:lang w:val="sk-SK"/>
        </w:rPr>
        <w:t>hyponatriémie</w:t>
      </w:r>
      <w:proofErr w:type="spellEnd"/>
      <w:r w:rsidRPr="005F6F71">
        <w:rPr>
          <w:bCs/>
          <w:szCs w:val="22"/>
          <w:lang w:val="sk-SK"/>
        </w:rPr>
        <w:t xml:space="preserve"> v skupine nad 65 rokov sa </w:t>
      </w:r>
      <w:r w:rsidR="009C46A3" w:rsidRPr="005F6F71">
        <w:rPr>
          <w:bCs/>
          <w:szCs w:val="22"/>
          <w:lang w:val="sk-SK"/>
        </w:rPr>
        <w:t>tiež</w:t>
      </w:r>
      <w:r w:rsidRPr="005F6F71">
        <w:rPr>
          <w:bCs/>
          <w:szCs w:val="22"/>
          <w:lang w:val="sk-SK"/>
        </w:rPr>
        <w:t xml:space="preserve"> znižuje monitorovaním sérového sodíka v tejto vekovej skupine</w:t>
      </w:r>
      <w:r w:rsidR="009C47A3" w:rsidRPr="005F6F71">
        <w:rPr>
          <w:bCs/>
          <w:szCs w:val="22"/>
          <w:lang w:val="sk-SK"/>
        </w:rPr>
        <w:t xml:space="preserve"> (</w:t>
      </w:r>
      <w:r w:rsidRPr="005F6F71">
        <w:rPr>
          <w:bCs/>
          <w:szCs w:val="22"/>
          <w:lang w:val="sk-SK"/>
        </w:rPr>
        <w:t>pozri časti</w:t>
      </w:r>
      <w:r w:rsidR="009C47A3" w:rsidRPr="005F6F71">
        <w:rPr>
          <w:bCs/>
          <w:szCs w:val="22"/>
          <w:lang w:val="sk-SK"/>
        </w:rPr>
        <w:t xml:space="preserve"> 4.2 a 4.4)</w:t>
      </w:r>
      <w:r w:rsidR="00626750" w:rsidRPr="005F6F71">
        <w:rPr>
          <w:bCs/>
          <w:szCs w:val="22"/>
          <w:lang w:val="sk-SK"/>
        </w:rPr>
        <w:t>.</w:t>
      </w:r>
    </w:p>
    <w:p w:rsidR="00267E3E" w:rsidRPr="005F6F71" w:rsidRDefault="00267E3E" w:rsidP="00791DD2">
      <w:pPr>
        <w:pStyle w:val="Zkladntext"/>
        <w:rPr>
          <w:i w:val="0"/>
          <w:color w:val="000000"/>
          <w:lang w:val="sk-SK"/>
        </w:rPr>
      </w:pPr>
    </w:p>
    <w:p w:rsidR="00A21C1C" w:rsidRPr="005F6F71" w:rsidRDefault="009A2A98" w:rsidP="00791DD2">
      <w:pPr>
        <w:rPr>
          <w:szCs w:val="22"/>
          <w:u w:val="single"/>
          <w:lang w:val="sk-SK"/>
        </w:rPr>
      </w:pPr>
      <w:r w:rsidRPr="005F6F71">
        <w:rPr>
          <w:szCs w:val="22"/>
          <w:u w:val="single"/>
          <w:lang w:val="sk-SK"/>
        </w:rPr>
        <w:t xml:space="preserve">Nežiaduce </w:t>
      </w:r>
      <w:r w:rsidR="00AE2699">
        <w:rPr>
          <w:szCs w:val="22"/>
          <w:u w:val="single"/>
          <w:lang w:val="sk-SK"/>
        </w:rPr>
        <w:t>reakcie</w:t>
      </w:r>
      <w:r w:rsidRPr="005F6F71">
        <w:rPr>
          <w:szCs w:val="22"/>
          <w:u w:val="single"/>
          <w:lang w:val="sk-SK"/>
        </w:rPr>
        <w:t xml:space="preserve"> v tabuľkovej forme</w:t>
      </w:r>
    </w:p>
    <w:p w:rsidR="00A21C1C" w:rsidRPr="005F6F71" w:rsidRDefault="009A2A98" w:rsidP="00A21C1C">
      <w:pPr>
        <w:rPr>
          <w:i/>
          <w:iCs/>
          <w:lang w:val="sk-SK"/>
        </w:rPr>
      </w:pPr>
      <w:r w:rsidRPr="005F6F71">
        <w:rPr>
          <w:noProof/>
          <w:szCs w:val="22"/>
          <w:lang w:val="sk-SK"/>
        </w:rPr>
        <w:t xml:space="preserve">Nižšie uvedená tabuľka ukazuje frekvenciu hlásenia nežiaducich </w:t>
      </w:r>
      <w:r w:rsidR="00AE2699">
        <w:rPr>
          <w:noProof/>
          <w:szCs w:val="22"/>
          <w:lang w:val="sk-SK"/>
        </w:rPr>
        <w:t>reakcií</w:t>
      </w:r>
      <w:r w:rsidR="00267E3E" w:rsidRPr="005F6F71">
        <w:rPr>
          <w:noProof/>
          <w:szCs w:val="22"/>
          <w:lang w:val="sk-SK"/>
        </w:rPr>
        <w:t xml:space="preserve">. </w:t>
      </w:r>
      <w:r w:rsidRPr="005F6F71">
        <w:rPr>
          <w:noProof/>
          <w:szCs w:val="22"/>
          <w:lang w:val="sk-SK"/>
        </w:rPr>
        <w:t xml:space="preserve">Frekvencia je definovaná </w:t>
      </w:r>
      <w:r w:rsidR="00933B7C" w:rsidRPr="005F6F71">
        <w:rPr>
          <w:noProof/>
          <w:szCs w:val="22"/>
          <w:lang w:val="sk-SK"/>
        </w:rPr>
        <w:t>nasledovne</w:t>
      </w:r>
      <w:r w:rsidR="00267E3E" w:rsidRPr="005F6F71">
        <w:rPr>
          <w:noProof/>
          <w:szCs w:val="22"/>
          <w:lang w:val="sk-SK"/>
        </w:rPr>
        <w:t xml:space="preserve">: </w:t>
      </w:r>
      <w:r w:rsidR="00BB2720" w:rsidRPr="005F6F71">
        <w:rPr>
          <w:noProof/>
          <w:szCs w:val="22"/>
          <w:lang w:val="sk-SK"/>
        </w:rPr>
        <w:t>veľmi časté</w:t>
      </w:r>
      <w:r w:rsidR="00267E3E" w:rsidRPr="005F6F71">
        <w:rPr>
          <w:noProof/>
          <w:szCs w:val="22"/>
          <w:lang w:val="sk-SK"/>
        </w:rPr>
        <w:t xml:space="preserve"> (≥</w:t>
      </w:r>
      <w:r w:rsidR="00BB2720" w:rsidRPr="005F6F71">
        <w:rPr>
          <w:noProof/>
          <w:szCs w:val="22"/>
          <w:lang w:val="sk-SK"/>
        </w:rPr>
        <w:t> </w:t>
      </w:r>
      <w:r w:rsidR="00E34528" w:rsidRPr="005F6F71">
        <w:rPr>
          <w:noProof/>
          <w:szCs w:val="22"/>
          <w:lang w:val="sk-SK"/>
        </w:rPr>
        <w:t xml:space="preserve">1/10), </w:t>
      </w:r>
      <w:r w:rsidR="00BB2720" w:rsidRPr="005F6F71">
        <w:rPr>
          <w:noProof/>
          <w:szCs w:val="22"/>
          <w:lang w:val="sk-SK"/>
        </w:rPr>
        <w:t>časté</w:t>
      </w:r>
      <w:r w:rsidR="00E34528" w:rsidRPr="005F6F71">
        <w:rPr>
          <w:noProof/>
          <w:szCs w:val="22"/>
          <w:lang w:val="sk-SK"/>
        </w:rPr>
        <w:t xml:space="preserve"> (≥</w:t>
      </w:r>
      <w:r w:rsidR="00BB2720" w:rsidRPr="005F6F71">
        <w:rPr>
          <w:noProof/>
          <w:szCs w:val="22"/>
          <w:lang w:val="sk-SK"/>
        </w:rPr>
        <w:t> </w:t>
      </w:r>
      <w:r w:rsidR="00E34528" w:rsidRPr="005F6F71">
        <w:rPr>
          <w:noProof/>
          <w:szCs w:val="22"/>
          <w:lang w:val="sk-SK"/>
        </w:rPr>
        <w:t xml:space="preserve">1/100 </w:t>
      </w:r>
      <w:r w:rsidR="00BB2720" w:rsidRPr="005F6F71">
        <w:rPr>
          <w:noProof/>
          <w:szCs w:val="22"/>
          <w:lang w:val="sk-SK"/>
        </w:rPr>
        <w:t>až</w:t>
      </w:r>
      <w:r w:rsidR="00E34528" w:rsidRPr="005F6F71">
        <w:rPr>
          <w:noProof/>
          <w:szCs w:val="22"/>
          <w:lang w:val="sk-SK"/>
        </w:rPr>
        <w:t xml:space="preserve"> &lt;</w:t>
      </w:r>
      <w:r w:rsidR="00BB2720" w:rsidRPr="005F6F71">
        <w:rPr>
          <w:noProof/>
          <w:szCs w:val="22"/>
          <w:lang w:val="sk-SK"/>
        </w:rPr>
        <w:t> </w:t>
      </w:r>
      <w:r w:rsidR="00E34528" w:rsidRPr="005F6F71">
        <w:rPr>
          <w:noProof/>
          <w:szCs w:val="22"/>
          <w:lang w:val="sk-SK"/>
        </w:rPr>
        <w:t>1/10) a</w:t>
      </w:r>
      <w:r w:rsidR="00267E3E" w:rsidRPr="005F6F71">
        <w:rPr>
          <w:noProof/>
          <w:szCs w:val="22"/>
          <w:lang w:val="sk-SK"/>
        </w:rPr>
        <w:t xml:space="preserve"> </w:t>
      </w:r>
      <w:r w:rsidR="00BB2720" w:rsidRPr="005F6F71">
        <w:rPr>
          <w:noProof/>
          <w:szCs w:val="22"/>
          <w:lang w:val="sk-SK"/>
        </w:rPr>
        <w:t>menej časté</w:t>
      </w:r>
      <w:r w:rsidR="00267E3E" w:rsidRPr="005F6F71">
        <w:rPr>
          <w:noProof/>
          <w:szCs w:val="22"/>
          <w:lang w:val="sk-SK"/>
        </w:rPr>
        <w:t xml:space="preserve"> (≥</w:t>
      </w:r>
      <w:r w:rsidR="00BB2720" w:rsidRPr="005F6F71">
        <w:rPr>
          <w:noProof/>
          <w:szCs w:val="22"/>
          <w:lang w:val="sk-SK"/>
        </w:rPr>
        <w:t> </w:t>
      </w:r>
      <w:r w:rsidR="00267E3E" w:rsidRPr="005F6F71">
        <w:rPr>
          <w:noProof/>
          <w:szCs w:val="22"/>
          <w:lang w:val="sk-SK"/>
        </w:rPr>
        <w:t>1/1</w:t>
      </w:r>
      <w:r w:rsidR="00BB2720" w:rsidRPr="005F6F71">
        <w:rPr>
          <w:noProof/>
          <w:szCs w:val="22"/>
          <w:lang w:val="sk-SK"/>
        </w:rPr>
        <w:t> </w:t>
      </w:r>
      <w:r w:rsidR="00267E3E" w:rsidRPr="005F6F71">
        <w:rPr>
          <w:noProof/>
          <w:szCs w:val="22"/>
          <w:lang w:val="sk-SK"/>
        </w:rPr>
        <w:t xml:space="preserve">000 </w:t>
      </w:r>
      <w:r w:rsidR="00933B7C" w:rsidRPr="005F6F71">
        <w:rPr>
          <w:noProof/>
          <w:szCs w:val="22"/>
          <w:lang w:val="sk-SK"/>
        </w:rPr>
        <w:t>až</w:t>
      </w:r>
      <w:r w:rsidR="00267E3E" w:rsidRPr="005F6F71">
        <w:rPr>
          <w:noProof/>
          <w:szCs w:val="22"/>
          <w:lang w:val="sk-SK"/>
        </w:rPr>
        <w:t xml:space="preserve"> &lt;</w:t>
      </w:r>
      <w:r w:rsidR="00BB2720" w:rsidRPr="005F6F71">
        <w:rPr>
          <w:noProof/>
          <w:szCs w:val="22"/>
          <w:lang w:val="sk-SK"/>
        </w:rPr>
        <w:t> </w:t>
      </w:r>
      <w:r w:rsidR="00267E3E" w:rsidRPr="005F6F71">
        <w:rPr>
          <w:noProof/>
          <w:szCs w:val="22"/>
          <w:lang w:val="sk-SK"/>
        </w:rPr>
        <w:t>1/100)</w:t>
      </w:r>
      <w:r w:rsidR="00E34528" w:rsidRPr="005F6F71">
        <w:rPr>
          <w:noProof/>
          <w:szCs w:val="22"/>
          <w:lang w:val="sk-SK"/>
        </w:rPr>
        <w:t>.</w:t>
      </w:r>
    </w:p>
    <w:p w:rsidR="00294924" w:rsidRPr="005F6F71" w:rsidRDefault="00294924" w:rsidP="00A21C1C">
      <w:pPr>
        <w:rPr>
          <w:iCs/>
          <w:lang w:val="sk-SK"/>
        </w:rPr>
      </w:pPr>
    </w:p>
    <w:p w:rsidR="00653140" w:rsidRPr="005F6F71" w:rsidRDefault="00653140" w:rsidP="00791DD2">
      <w:pPr>
        <w:pStyle w:val="Popis"/>
        <w:spacing w:before="0"/>
        <w:rPr>
          <w:b w:val="0"/>
          <w:sz w:val="22"/>
          <w:szCs w:val="22"/>
          <w:lang w:val="sk-SK"/>
        </w:rPr>
      </w:pPr>
      <w:r w:rsidRPr="005F6F71">
        <w:rPr>
          <w:b w:val="0"/>
          <w:sz w:val="22"/>
          <w:szCs w:val="22"/>
          <w:lang w:val="sk-SK"/>
        </w:rPr>
        <w:t xml:space="preserve">Table </w:t>
      </w:r>
      <w:r w:rsidR="00781F98" w:rsidRPr="005F6F71">
        <w:rPr>
          <w:b w:val="0"/>
          <w:sz w:val="22"/>
          <w:szCs w:val="22"/>
          <w:lang w:val="sk-SK"/>
        </w:rPr>
        <w:fldChar w:fldCharType="begin"/>
      </w:r>
      <w:r w:rsidRPr="005F6F71">
        <w:rPr>
          <w:b w:val="0"/>
          <w:sz w:val="22"/>
          <w:szCs w:val="22"/>
          <w:lang w:val="sk-SK"/>
        </w:rPr>
        <w:instrText xml:space="preserve"> SEQ Table \* ARABIC </w:instrText>
      </w:r>
      <w:r w:rsidR="00781F98" w:rsidRPr="005F6F71">
        <w:rPr>
          <w:b w:val="0"/>
          <w:sz w:val="22"/>
          <w:szCs w:val="22"/>
          <w:lang w:val="sk-SK"/>
        </w:rPr>
        <w:fldChar w:fldCharType="separate"/>
      </w:r>
      <w:r w:rsidR="00F858A4">
        <w:rPr>
          <w:b w:val="0"/>
          <w:noProof/>
          <w:sz w:val="22"/>
          <w:szCs w:val="22"/>
          <w:lang w:val="sk-SK"/>
        </w:rPr>
        <w:t>1</w:t>
      </w:r>
      <w:r w:rsidR="00781F98" w:rsidRPr="005F6F71">
        <w:rPr>
          <w:b w:val="0"/>
          <w:sz w:val="22"/>
          <w:szCs w:val="22"/>
          <w:lang w:val="sk-SK"/>
        </w:rPr>
        <w:fldChar w:fldCharType="end"/>
      </w:r>
      <w:r w:rsidRPr="005F6F71">
        <w:rPr>
          <w:b w:val="0"/>
          <w:sz w:val="22"/>
          <w:szCs w:val="22"/>
          <w:lang w:val="sk-SK"/>
        </w:rPr>
        <w:t xml:space="preserve">: </w:t>
      </w:r>
      <w:r w:rsidR="00BB2720" w:rsidRPr="005F6F71">
        <w:rPr>
          <w:b w:val="0"/>
          <w:sz w:val="22"/>
          <w:szCs w:val="22"/>
          <w:lang w:val="sk-SK"/>
        </w:rPr>
        <w:t xml:space="preserve">Frekvencia hlásenia nežiaducich </w:t>
      </w:r>
      <w:r w:rsidR="00933B7C" w:rsidRPr="005F6F71">
        <w:rPr>
          <w:b w:val="0"/>
          <w:sz w:val="22"/>
          <w:szCs w:val="22"/>
          <w:lang w:val="sk-SK"/>
        </w:rPr>
        <w:t>reakcií</w:t>
      </w:r>
      <w:r w:rsidRPr="005F6F71">
        <w:rPr>
          <w:b w:val="0"/>
          <w:sz w:val="22"/>
          <w:szCs w:val="22"/>
          <w:lang w:val="sk-SK"/>
        </w:rPr>
        <w:t xml:space="preserve"> (</w:t>
      </w:r>
      <w:r w:rsidR="00BB2720" w:rsidRPr="005F6F71">
        <w:rPr>
          <w:b w:val="0"/>
          <w:sz w:val="22"/>
          <w:szCs w:val="22"/>
          <w:lang w:val="sk-SK"/>
        </w:rPr>
        <w:t>štúdi</w:t>
      </w:r>
      <w:r w:rsidR="00933B7C" w:rsidRPr="005F6F71">
        <w:rPr>
          <w:b w:val="0"/>
          <w:sz w:val="22"/>
          <w:szCs w:val="22"/>
          <w:lang w:val="sk-SK"/>
        </w:rPr>
        <w:t>e fázy III</w:t>
      </w:r>
      <w:r w:rsidR="00BB2720" w:rsidRPr="005F6F71">
        <w:rPr>
          <w:b w:val="0"/>
          <w:sz w:val="22"/>
          <w:szCs w:val="22"/>
          <w:lang w:val="sk-SK"/>
        </w:rPr>
        <w:t xml:space="preserve"> a hlásenia po uvedení </w:t>
      </w:r>
      <w:r w:rsidR="00933B7C" w:rsidRPr="005F6F71">
        <w:rPr>
          <w:b w:val="0"/>
          <w:sz w:val="22"/>
          <w:szCs w:val="22"/>
          <w:lang w:val="sk-SK"/>
        </w:rPr>
        <w:t xml:space="preserve">lieku </w:t>
      </w:r>
      <w:r w:rsidR="00BB2720" w:rsidRPr="005F6F71">
        <w:rPr>
          <w:b w:val="0"/>
          <w:sz w:val="22"/>
          <w:szCs w:val="22"/>
          <w:lang w:val="sk-SK"/>
        </w:rPr>
        <w:t>na trh</w:t>
      </w:r>
      <w:r w:rsidRPr="005F6F71">
        <w:rPr>
          <w:b w:val="0"/>
          <w:sz w:val="22"/>
          <w:szCs w:val="22"/>
          <w:lang w:val="sk-SK"/>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6"/>
        <w:gridCol w:w="2118"/>
        <w:gridCol w:w="2125"/>
        <w:gridCol w:w="2358"/>
      </w:tblGrid>
      <w:tr w:rsidR="00A21C1C" w:rsidRPr="005F6F71" w:rsidTr="00E34528">
        <w:tc>
          <w:tcPr>
            <w:tcW w:w="2441" w:type="dxa"/>
            <w:shd w:val="clear" w:color="auto" w:fill="auto"/>
          </w:tcPr>
          <w:p w:rsidR="00A21C1C" w:rsidRPr="005F6F71" w:rsidRDefault="00BB2720" w:rsidP="00BB2720">
            <w:pPr>
              <w:autoSpaceDE w:val="0"/>
              <w:autoSpaceDN w:val="0"/>
              <w:adjustRightInd w:val="0"/>
              <w:rPr>
                <w:b/>
                <w:szCs w:val="22"/>
                <w:lang w:val="sk-SK"/>
              </w:rPr>
            </w:pPr>
            <w:r w:rsidRPr="005F6F71">
              <w:rPr>
                <w:b/>
                <w:szCs w:val="22"/>
                <w:lang w:val="sk-SK"/>
              </w:rPr>
              <w:t xml:space="preserve">Trieda orgánových systémov podľa </w:t>
            </w:r>
            <w:proofErr w:type="spellStart"/>
            <w:r w:rsidRPr="005F6F71">
              <w:rPr>
                <w:b/>
                <w:szCs w:val="22"/>
                <w:lang w:val="sk-SK"/>
              </w:rPr>
              <w:t>MedDRA</w:t>
            </w:r>
            <w:proofErr w:type="spellEnd"/>
          </w:p>
        </w:tc>
        <w:tc>
          <w:tcPr>
            <w:tcW w:w="2130" w:type="dxa"/>
            <w:shd w:val="clear" w:color="auto" w:fill="auto"/>
          </w:tcPr>
          <w:p w:rsidR="00A21C1C" w:rsidRPr="005F6F71" w:rsidRDefault="00A21C1C" w:rsidP="0025379B">
            <w:pPr>
              <w:autoSpaceDE w:val="0"/>
              <w:autoSpaceDN w:val="0"/>
              <w:adjustRightInd w:val="0"/>
              <w:rPr>
                <w:b/>
                <w:szCs w:val="22"/>
                <w:lang w:val="sk-SK"/>
              </w:rPr>
            </w:pPr>
            <w:r w:rsidRPr="005F6F71">
              <w:rPr>
                <w:b/>
                <w:szCs w:val="22"/>
                <w:lang w:val="sk-SK"/>
              </w:rPr>
              <w:t>Ve</w:t>
            </w:r>
            <w:r w:rsidR="00BB2720" w:rsidRPr="005F6F71">
              <w:rPr>
                <w:b/>
                <w:szCs w:val="22"/>
                <w:lang w:val="sk-SK"/>
              </w:rPr>
              <w:t>ľmi časté</w:t>
            </w:r>
          </w:p>
          <w:p w:rsidR="00A21C1C" w:rsidRPr="005F6F71" w:rsidRDefault="00A21C1C" w:rsidP="0025379B">
            <w:pPr>
              <w:autoSpaceDE w:val="0"/>
              <w:autoSpaceDN w:val="0"/>
              <w:adjustRightInd w:val="0"/>
              <w:rPr>
                <w:b/>
                <w:szCs w:val="22"/>
                <w:lang w:val="sk-SK"/>
              </w:rPr>
            </w:pPr>
            <w:r w:rsidRPr="005F6F71">
              <w:rPr>
                <w:szCs w:val="22"/>
                <w:lang w:val="sk-SK"/>
              </w:rPr>
              <w:t>(≥ 1/10)</w:t>
            </w:r>
          </w:p>
        </w:tc>
        <w:tc>
          <w:tcPr>
            <w:tcW w:w="2131" w:type="dxa"/>
            <w:shd w:val="clear" w:color="auto" w:fill="auto"/>
          </w:tcPr>
          <w:p w:rsidR="00A21C1C" w:rsidRPr="005F6F71" w:rsidRDefault="00BB2720" w:rsidP="0025379B">
            <w:pPr>
              <w:autoSpaceDE w:val="0"/>
              <w:autoSpaceDN w:val="0"/>
              <w:adjustRightInd w:val="0"/>
              <w:rPr>
                <w:b/>
                <w:szCs w:val="22"/>
                <w:lang w:val="sk-SK"/>
              </w:rPr>
            </w:pPr>
            <w:r w:rsidRPr="005F6F71">
              <w:rPr>
                <w:b/>
                <w:szCs w:val="22"/>
                <w:lang w:val="sk-SK"/>
              </w:rPr>
              <w:t>Časté</w:t>
            </w:r>
          </w:p>
          <w:p w:rsidR="00A21C1C" w:rsidRPr="005F6F71" w:rsidRDefault="00A21C1C" w:rsidP="009C46A3">
            <w:pPr>
              <w:autoSpaceDE w:val="0"/>
              <w:autoSpaceDN w:val="0"/>
              <w:adjustRightInd w:val="0"/>
              <w:rPr>
                <w:b/>
                <w:szCs w:val="22"/>
                <w:lang w:val="sk-SK"/>
              </w:rPr>
            </w:pPr>
            <w:r w:rsidRPr="005F6F71">
              <w:rPr>
                <w:szCs w:val="22"/>
                <w:lang w:val="sk-SK"/>
              </w:rPr>
              <w:t xml:space="preserve">(≥ 1/100 </w:t>
            </w:r>
            <w:r w:rsidR="009C46A3" w:rsidRPr="005F6F71">
              <w:rPr>
                <w:szCs w:val="22"/>
                <w:lang w:val="sk-SK"/>
              </w:rPr>
              <w:t>až</w:t>
            </w:r>
            <w:r w:rsidRPr="005F6F71">
              <w:rPr>
                <w:szCs w:val="22"/>
                <w:lang w:val="sk-SK"/>
              </w:rPr>
              <w:t xml:space="preserve"> &lt; 1/10)</w:t>
            </w:r>
          </w:p>
        </w:tc>
        <w:tc>
          <w:tcPr>
            <w:tcW w:w="2370" w:type="dxa"/>
            <w:shd w:val="clear" w:color="auto" w:fill="auto"/>
          </w:tcPr>
          <w:p w:rsidR="00A21C1C" w:rsidRPr="005F6F71" w:rsidRDefault="00BB2720" w:rsidP="0025379B">
            <w:pPr>
              <w:autoSpaceDE w:val="0"/>
              <w:autoSpaceDN w:val="0"/>
              <w:adjustRightInd w:val="0"/>
              <w:rPr>
                <w:b/>
                <w:szCs w:val="22"/>
                <w:lang w:val="sk-SK"/>
              </w:rPr>
            </w:pPr>
            <w:r w:rsidRPr="005F6F71">
              <w:rPr>
                <w:b/>
                <w:szCs w:val="22"/>
                <w:lang w:val="sk-SK"/>
              </w:rPr>
              <w:t>Menej časté</w:t>
            </w:r>
          </w:p>
          <w:p w:rsidR="00A21C1C" w:rsidRPr="005F6F71" w:rsidRDefault="00A21C1C" w:rsidP="0025379B">
            <w:pPr>
              <w:autoSpaceDE w:val="0"/>
              <w:autoSpaceDN w:val="0"/>
              <w:adjustRightInd w:val="0"/>
              <w:rPr>
                <w:szCs w:val="22"/>
                <w:lang w:val="sk-SK"/>
              </w:rPr>
            </w:pPr>
            <w:r w:rsidRPr="005F6F71">
              <w:rPr>
                <w:szCs w:val="22"/>
                <w:lang w:val="sk-SK"/>
              </w:rPr>
              <w:t>(≥ 1/1</w:t>
            </w:r>
            <w:r w:rsidR="009C46A3" w:rsidRPr="005F6F71">
              <w:rPr>
                <w:szCs w:val="22"/>
                <w:lang w:val="sk-SK"/>
              </w:rPr>
              <w:t> </w:t>
            </w:r>
            <w:r w:rsidRPr="005F6F71">
              <w:rPr>
                <w:szCs w:val="22"/>
                <w:lang w:val="sk-SK"/>
              </w:rPr>
              <w:t xml:space="preserve">000 </w:t>
            </w:r>
            <w:r w:rsidR="009C46A3" w:rsidRPr="005F6F71">
              <w:rPr>
                <w:szCs w:val="22"/>
                <w:lang w:val="sk-SK"/>
              </w:rPr>
              <w:t>až</w:t>
            </w:r>
            <w:r w:rsidRPr="005F6F71">
              <w:rPr>
                <w:szCs w:val="22"/>
                <w:lang w:val="sk-SK"/>
              </w:rPr>
              <w:t xml:space="preserve"> &lt; 1/100)</w:t>
            </w:r>
          </w:p>
          <w:p w:rsidR="003D1FF2" w:rsidRPr="005F6F71" w:rsidRDefault="003D1FF2" w:rsidP="0025379B">
            <w:pPr>
              <w:autoSpaceDE w:val="0"/>
              <w:autoSpaceDN w:val="0"/>
              <w:adjustRightInd w:val="0"/>
              <w:rPr>
                <w:b/>
                <w:szCs w:val="22"/>
                <w:lang w:val="sk-SK"/>
              </w:rPr>
            </w:pPr>
          </w:p>
        </w:tc>
      </w:tr>
      <w:tr w:rsidR="00A21C1C" w:rsidRPr="005F6F71" w:rsidTr="00E34528">
        <w:tc>
          <w:tcPr>
            <w:tcW w:w="2441" w:type="dxa"/>
            <w:shd w:val="clear" w:color="auto" w:fill="auto"/>
          </w:tcPr>
          <w:p w:rsidR="00A21C1C" w:rsidRPr="005F6F71" w:rsidRDefault="00BB2720" w:rsidP="0025379B">
            <w:pPr>
              <w:rPr>
                <w:szCs w:val="22"/>
                <w:lang w:val="sk-SK"/>
              </w:rPr>
            </w:pPr>
            <w:r w:rsidRPr="005F6F71">
              <w:rPr>
                <w:szCs w:val="22"/>
                <w:lang w:val="sk-SK"/>
              </w:rPr>
              <w:t>Poruchy metabolizmu a výživy</w:t>
            </w:r>
          </w:p>
          <w:p w:rsidR="003D1FF2" w:rsidRPr="005F6F71" w:rsidRDefault="003D1FF2" w:rsidP="0025379B">
            <w:pPr>
              <w:rPr>
                <w:szCs w:val="22"/>
                <w:lang w:val="sk-SK"/>
              </w:rPr>
            </w:pPr>
          </w:p>
        </w:tc>
        <w:tc>
          <w:tcPr>
            <w:tcW w:w="2130" w:type="dxa"/>
            <w:shd w:val="clear" w:color="auto" w:fill="auto"/>
          </w:tcPr>
          <w:p w:rsidR="00A21C1C" w:rsidRPr="005F6F71" w:rsidRDefault="00A21C1C" w:rsidP="0025379B">
            <w:pPr>
              <w:rPr>
                <w:lang w:val="sk-SK"/>
              </w:rPr>
            </w:pPr>
          </w:p>
        </w:tc>
        <w:tc>
          <w:tcPr>
            <w:tcW w:w="2131" w:type="dxa"/>
            <w:shd w:val="clear" w:color="auto" w:fill="auto"/>
          </w:tcPr>
          <w:p w:rsidR="00A21C1C" w:rsidRPr="005F6F71" w:rsidRDefault="00BB2720" w:rsidP="00BB2720">
            <w:pPr>
              <w:rPr>
                <w:lang w:val="sk-SK"/>
              </w:rPr>
            </w:pPr>
            <w:proofErr w:type="spellStart"/>
            <w:r w:rsidRPr="005F6F71">
              <w:rPr>
                <w:lang w:val="sk-SK"/>
              </w:rPr>
              <w:t>h</w:t>
            </w:r>
            <w:r w:rsidR="00A21C1C" w:rsidRPr="005F6F71">
              <w:rPr>
                <w:lang w:val="sk-SK"/>
              </w:rPr>
              <w:t>yponatr</w:t>
            </w:r>
            <w:r w:rsidRPr="005F6F71">
              <w:rPr>
                <w:lang w:val="sk-SK"/>
              </w:rPr>
              <w:t>iémia</w:t>
            </w:r>
            <w:proofErr w:type="spellEnd"/>
          </w:p>
        </w:tc>
        <w:tc>
          <w:tcPr>
            <w:tcW w:w="2370" w:type="dxa"/>
            <w:shd w:val="clear" w:color="auto" w:fill="auto"/>
          </w:tcPr>
          <w:p w:rsidR="00A21C1C" w:rsidRPr="005F6F71" w:rsidRDefault="00A21C1C" w:rsidP="0025379B">
            <w:pPr>
              <w:rPr>
                <w:lang w:val="sk-SK"/>
              </w:rPr>
            </w:pPr>
          </w:p>
        </w:tc>
      </w:tr>
      <w:tr w:rsidR="00A21C1C" w:rsidRPr="005F6F71" w:rsidTr="00E34528">
        <w:tc>
          <w:tcPr>
            <w:tcW w:w="2441" w:type="dxa"/>
            <w:shd w:val="clear" w:color="auto" w:fill="auto"/>
          </w:tcPr>
          <w:p w:rsidR="00A21C1C" w:rsidRPr="005F6F71" w:rsidRDefault="00BB2720" w:rsidP="0025379B">
            <w:pPr>
              <w:rPr>
                <w:szCs w:val="22"/>
                <w:lang w:val="sk-SK"/>
              </w:rPr>
            </w:pPr>
            <w:r w:rsidRPr="005F6F71">
              <w:rPr>
                <w:szCs w:val="22"/>
                <w:lang w:val="sk-SK"/>
              </w:rPr>
              <w:t>Poruchy nervového systému</w:t>
            </w:r>
          </w:p>
          <w:p w:rsidR="003D1FF2" w:rsidRPr="005F6F71" w:rsidRDefault="003D1FF2" w:rsidP="0025379B">
            <w:pPr>
              <w:rPr>
                <w:szCs w:val="22"/>
                <w:lang w:val="sk-SK"/>
              </w:rPr>
            </w:pPr>
          </w:p>
        </w:tc>
        <w:tc>
          <w:tcPr>
            <w:tcW w:w="2130" w:type="dxa"/>
            <w:shd w:val="clear" w:color="auto" w:fill="auto"/>
          </w:tcPr>
          <w:p w:rsidR="00A21C1C" w:rsidRPr="005F6F71" w:rsidRDefault="00A21C1C" w:rsidP="0025379B">
            <w:pPr>
              <w:rPr>
                <w:lang w:val="sk-SK"/>
              </w:rPr>
            </w:pPr>
          </w:p>
        </w:tc>
        <w:tc>
          <w:tcPr>
            <w:tcW w:w="2131" w:type="dxa"/>
            <w:shd w:val="clear" w:color="auto" w:fill="auto"/>
          </w:tcPr>
          <w:p w:rsidR="00BB2720" w:rsidRPr="005F6F71" w:rsidRDefault="00BB2720" w:rsidP="0025379B">
            <w:pPr>
              <w:rPr>
                <w:lang w:val="sk-SK"/>
              </w:rPr>
            </w:pPr>
            <w:r w:rsidRPr="005F6F71">
              <w:rPr>
                <w:lang w:val="sk-SK"/>
              </w:rPr>
              <w:t>bolesť hlavy,</w:t>
            </w:r>
          </w:p>
          <w:p w:rsidR="00A21C1C" w:rsidRPr="005F6F71" w:rsidRDefault="00BB2720" w:rsidP="00BB2720">
            <w:pPr>
              <w:rPr>
                <w:lang w:val="sk-SK"/>
              </w:rPr>
            </w:pPr>
            <w:r w:rsidRPr="005F6F71">
              <w:rPr>
                <w:lang w:val="sk-SK"/>
              </w:rPr>
              <w:t>závraty</w:t>
            </w:r>
          </w:p>
        </w:tc>
        <w:tc>
          <w:tcPr>
            <w:tcW w:w="2370" w:type="dxa"/>
            <w:shd w:val="clear" w:color="auto" w:fill="auto"/>
          </w:tcPr>
          <w:p w:rsidR="00A21C1C" w:rsidRPr="005F6F71" w:rsidRDefault="00A21C1C" w:rsidP="0025379B">
            <w:pPr>
              <w:rPr>
                <w:lang w:val="sk-SK"/>
              </w:rPr>
            </w:pPr>
          </w:p>
          <w:p w:rsidR="00E34528" w:rsidRPr="005F6F71" w:rsidRDefault="00E34528" w:rsidP="0025379B">
            <w:pPr>
              <w:rPr>
                <w:lang w:val="sk-SK"/>
              </w:rPr>
            </w:pPr>
          </w:p>
        </w:tc>
      </w:tr>
      <w:tr w:rsidR="00E34528" w:rsidRPr="005F6F71" w:rsidTr="00E34528">
        <w:tc>
          <w:tcPr>
            <w:tcW w:w="2441" w:type="dxa"/>
            <w:shd w:val="clear" w:color="auto" w:fill="auto"/>
          </w:tcPr>
          <w:p w:rsidR="00E34528" w:rsidRPr="005F6F71" w:rsidRDefault="00BB2720" w:rsidP="0025379B">
            <w:pPr>
              <w:rPr>
                <w:szCs w:val="22"/>
                <w:lang w:val="sk-SK"/>
              </w:rPr>
            </w:pPr>
            <w:r w:rsidRPr="005F6F71">
              <w:rPr>
                <w:szCs w:val="22"/>
                <w:lang w:val="sk-SK"/>
              </w:rPr>
              <w:t xml:space="preserve">Poruchy </w:t>
            </w:r>
            <w:proofErr w:type="spellStart"/>
            <w:r w:rsidRPr="005F6F71">
              <w:rPr>
                <w:szCs w:val="22"/>
                <w:lang w:val="sk-SK"/>
              </w:rPr>
              <w:t>gastrointestinálneho</w:t>
            </w:r>
            <w:proofErr w:type="spellEnd"/>
            <w:r w:rsidRPr="005F6F71">
              <w:rPr>
                <w:szCs w:val="22"/>
                <w:lang w:val="sk-SK"/>
              </w:rPr>
              <w:t xml:space="preserve"> traktu</w:t>
            </w:r>
          </w:p>
          <w:p w:rsidR="003D1FF2" w:rsidRPr="005F6F71" w:rsidRDefault="003D1FF2" w:rsidP="0025379B">
            <w:pPr>
              <w:rPr>
                <w:szCs w:val="22"/>
                <w:lang w:val="sk-SK"/>
              </w:rPr>
            </w:pPr>
          </w:p>
        </w:tc>
        <w:tc>
          <w:tcPr>
            <w:tcW w:w="2130" w:type="dxa"/>
            <w:shd w:val="clear" w:color="auto" w:fill="auto"/>
          </w:tcPr>
          <w:p w:rsidR="00E34528" w:rsidRPr="005F6F71" w:rsidRDefault="00BB2720" w:rsidP="00BB2720">
            <w:pPr>
              <w:rPr>
                <w:lang w:val="sk-SK"/>
              </w:rPr>
            </w:pPr>
            <w:r w:rsidRPr="005F6F71">
              <w:rPr>
                <w:lang w:val="sk-SK"/>
              </w:rPr>
              <w:t>sucho v ústach</w:t>
            </w:r>
            <w:r w:rsidR="00B54B3A" w:rsidRPr="005F6F71">
              <w:rPr>
                <w:lang w:val="sk-SK"/>
              </w:rPr>
              <w:t>*</w:t>
            </w:r>
          </w:p>
        </w:tc>
        <w:tc>
          <w:tcPr>
            <w:tcW w:w="2131" w:type="dxa"/>
            <w:shd w:val="clear" w:color="auto" w:fill="auto"/>
          </w:tcPr>
          <w:p w:rsidR="00E34528" w:rsidRPr="005F6F71" w:rsidRDefault="0017050C" w:rsidP="00B7264F">
            <w:pPr>
              <w:rPr>
                <w:lang w:val="sk-SK"/>
              </w:rPr>
            </w:pPr>
            <w:r w:rsidRPr="005F6F71">
              <w:rPr>
                <w:lang w:val="sk-SK"/>
              </w:rPr>
              <w:t>n</w:t>
            </w:r>
            <w:r w:rsidR="00BB2720" w:rsidRPr="005F6F71">
              <w:rPr>
                <w:lang w:val="sk-SK"/>
              </w:rPr>
              <w:t>evoľnosť,</w:t>
            </w:r>
          </w:p>
          <w:p w:rsidR="00E34528" w:rsidRPr="005F6F71" w:rsidRDefault="00BB2720" w:rsidP="00BB2720">
            <w:pPr>
              <w:rPr>
                <w:lang w:val="sk-SK"/>
              </w:rPr>
            </w:pPr>
            <w:r w:rsidRPr="005F6F71">
              <w:rPr>
                <w:lang w:val="sk-SK"/>
              </w:rPr>
              <w:t>hnačka</w:t>
            </w:r>
          </w:p>
        </w:tc>
        <w:tc>
          <w:tcPr>
            <w:tcW w:w="2370" w:type="dxa"/>
            <w:shd w:val="clear" w:color="auto" w:fill="auto"/>
          </w:tcPr>
          <w:p w:rsidR="00E34528" w:rsidRPr="005F6F71" w:rsidRDefault="00BB2720" w:rsidP="00345926">
            <w:pPr>
              <w:rPr>
                <w:lang w:val="sk-SK"/>
              </w:rPr>
            </w:pPr>
            <w:r w:rsidRPr="005F6F71">
              <w:rPr>
                <w:lang w:val="sk-SK"/>
              </w:rPr>
              <w:t xml:space="preserve">zápcha, </w:t>
            </w:r>
            <w:r w:rsidR="00345926">
              <w:rPr>
                <w:lang w:val="sk-SK"/>
              </w:rPr>
              <w:t>brušný</w:t>
            </w:r>
            <w:r w:rsidRPr="005F6F71">
              <w:rPr>
                <w:lang w:val="sk-SK"/>
              </w:rPr>
              <w:t xml:space="preserve"> </w:t>
            </w:r>
            <w:proofErr w:type="spellStart"/>
            <w:r w:rsidR="00561EB3" w:rsidRPr="005F6F71">
              <w:rPr>
                <w:lang w:val="sk-SK"/>
              </w:rPr>
              <w:t>diskomfort</w:t>
            </w:r>
            <w:proofErr w:type="spellEnd"/>
          </w:p>
        </w:tc>
      </w:tr>
      <w:tr w:rsidR="00E34528" w:rsidRPr="005F6F71" w:rsidTr="00E34528">
        <w:tc>
          <w:tcPr>
            <w:tcW w:w="2441" w:type="dxa"/>
            <w:shd w:val="clear" w:color="auto" w:fill="auto"/>
          </w:tcPr>
          <w:p w:rsidR="00E34528" w:rsidRPr="005F6F71" w:rsidRDefault="00BB2720" w:rsidP="00B7264F">
            <w:pPr>
              <w:rPr>
                <w:szCs w:val="22"/>
                <w:lang w:val="sk-SK"/>
              </w:rPr>
            </w:pPr>
            <w:r w:rsidRPr="005F6F71">
              <w:rPr>
                <w:szCs w:val="22"/>
                <w:lang w:val="sk-SK"/>
              </w:rPr>
              <w:t>Celkové poruchy a reakcie v mieste podania</w:t>
            </w:r>
          </w:p>
          <w:p w:rsidR="003D1FF2" w:rsidRPr="005F6F71" w:rsidRDefault="003D1FF2" w:rsidP="00B7264F">
            <w:pPr>
              <w:rPr>
                <w:szCs w:val="22"/>
                <w:lang w:val="sk-SK"/>
              </w:rPr>
            </w:pPr>
          </w:p>
        </w:tc>
        <w:tc>
          <w:tcPr>
            <w:tcW w:w="2130" w:type="dxa"/>
            <w:shd w:val="clear" w:color="auto" w:fill="auto"/>
          </w:tcPr>
          <w:p w:rsidR="00E34528" w:rsidRPr="005F6F71" w:rsidRDefault="00E34528" w:rsidP="00B7264F">
            <w:pPr>
              <w:rPr>
                <w:lang w:val="sk-SK"/>
              </w:rPr>
            </w:pPr>
          </w:p>
        </w:tc>
        <w:tc>
          <w:tcPr>
            <w:tcW w:w="2131" w:type="dxa"/>
            <w:shd w:val="clear" w:color="auto" w:fill="auto"/>
          </w:tcPr>
          <w:p w:rsidR="00E34528" w:rsidRPr="005F6F71" w:rsidRDefault="00E34528" w:rsidP="00B7264F">
            <w:pPr>
              <w:rPr>
                <w:lang w:val="sk-SK"/>
              </w:rPr>
            </w:pPr>
          </w:p>
        </w:tc>
        <w:tc>
          <w:tcPr>
            <w:tcW w:w="2370" w:type="dxa"/>
            <w:shd w:val="clear" w:color="auto" w:fill="auto"/>
          </w:tcPr>
          <w:p w:rsidR="00E34528" w:rsidRPr="005F6F71" w:rsidRDefault="00BB2720" w:rsidP="00BB2720">
            <w:pPr>
              <w:rPr>
                <w:lang w:val="sk-SK"/>
              </w:rPr>
            </w:pPr>
            <w:r w:rsidRPr="005F6F71">
              <w:rPr>
                <w:lang w:val="sk-SK"/>
              </w:rPr>
              <w:t>únava, periférny edém</w:t>
            </w:r>
          </w:p>
        </w:tc>
      </w:tr>
    </w:tbl>
    <w:p w:rsidR="00B54B3A" w:rsidRPr="005F6F71" w:rsidRDefault="00B54B3A" w:rsidP="00791DD2">
      <w:pPr>
        <w:autoSpaceDE w:val="0"/>
        <w:autoSpaceDN w:val="0"/>
        <w:adjustRightInd w:val="0"/>
        <w:rPr>
          <w:rFonts w:eastAsia="MS Mincho"/>
          <w:i/>
          <w:szCs w:val="22"/>
          <w:lang w:val="sk-SK" w:eastAsia="ja-JP"/>
        </w:rPr>
      </w:pPr>
      <w:r w:rsidRPr="005F6F71">
        <w:rPr>
          <w:rFonts w:eastAsia="MS Mincho"/>
          <w:i/>
          <w:sz w:val="20"/>
          <w:lang w:val="sk-SK" w:eastAsia="ja-JP"/>
        </w:rPr>
        <w:t>*</w:t>
      </w:r>
      <w:r w:rsidR="00BB2720" w:rsidRPr="005F6F71">
        <w:rPr>
          <w:rFonts w:eastAsia="MS Mincho"/>
          <w:i/>
          <w:sz w:val="20"/>
          <w:lang w:val="sk-SK" w:eastAsia="ja-JP"/>
        </w:rPr>
        <w:t xml:space="preserve">Je potrebné podotknúť, že v niektorých klinických štúdiách </w:t>
      </w:r>
      <w:r w:rsidR="00933B7C" w:rsidRPr="005F6F71">
        <w:rPr>
          <w:rFonts w:eastAsia="MS Mincho"/>
          <w:i/>
          <w:sz w:val="20"/>
          <w:lang w:val="sk-SK" w:eastAsia="ja-JP"/>
        </w:rPr>
        <w:t>sa subjektov zvlášť s</w:t>
      </w:r>
      <w:r w:rsidR="00E70EB7" w:rsidRPr="005F6F71">
        <w:rPr>
          <w:rFonts w:eastAsia="MS Mincho"/>
          <w:i/>
          <w:sz w:val="20"/>
          <w:lang w:val="sk-SK" w:eastAsia="ja-JP"/>
        </w:rPr>
        <w:t>pytovali na pocit sucha v</w:t>
      </w:r>
      <w:r w:rsidR="0017050C" w:rsidRPr="005F6F71">
        <w:rPr>
          <w:rFonts w:eastAsia="MS Mincho"/>
          <w:i/>
          <w:sz w:val="20"/>
          <w:lang w:val="sk-SK" w:eastAsia="ja-JP"/>
        </w:rPr>
        <w:t> </w:t>
      </w:r>
      <w:r w:rsidR="00E70EB7" w:rsidRPr="005F6F71">
        <w:rPr>
          <w:rFonts w:eastAsia="MS Mincho"/>
          <w:i/>
          <w:sz w:val="20"/>
          <w:lang w:val="sk-SK" w:eastAsia="ja-JP"/>
        </w:rPr>
        <w:t>ústach</w:t>
      </w:r>
      <w:r w:rsidRPr="005F6F71">
        <w:rPr>
          <w:rFonts w:eastAsia="MS Mincho"/>
          <w:i/>
          <w:szCs w:val="22"/>
          <w:lang w:val="sk-SK" w:eastAsia="ja-JP"/>
        </w:rPr>
        <w:t>.</w:t>
      </w:r>
    </w:p>
    <w:p w:rsidR="00CC68AB" w:rsidRPr="005F6F71" w:rsidRDefault="00CC68AB" w:rsidP="000C1913">
      <w:pPr>
        <w:autoSpaceDE w:val="0"/>
        <w:autoSpaceDN w:val="0"/>
        <w:adjustRightInd w:val="0"/>
        <w:rPr>
          <w:szCs w:val="22"/>
          <w:u w:val="single"/>
          <w:lang w:val="sk-SK"/>
        </w:rPr>
      </w:pPr>
    </w:p>
    <w:p w:rsidR="00F00876" w:rsidRPr="005F6F71" w:rsidRDefault="00E70EB7" w:rsidP="000C1913">
      <w:pPr>
        <w:autoSpaceDE w:val="0"/>
        <w:autoSpaceDN w:val="0"/>
        <w:adjustRightInd w:val="0"/>
        <w:rPr>
          <w:szCs w:val="22"/>
          <w:u w:val="single"/>
          <w:lang w:val="sk-SK"/>
        </w:rPr>
      </w:pPr>
      <w:r w:rsidRPr="005F6F71">
        <w:rPr>
          <w:szCs w:val="22"/>
          <w:u w:val="single"/>
          <w:lang w:val="sk-SK"/>
        </w:rPr>
        <w:t xml:space="preserve">Hlásenie </w:t>
      </w:r>
      <w:r w:rsidR="00B66B34">
        <w:rPr>
          <w:szCs w:val="22"/>
          <w:u w:val="single"/>
          <w:lang w:val="sk-SK"/>
        </w:rPr>
        <w:t xml:space="preserve">podozrení na </w:t>
      </w:r>
      <w:r w:rsidRPr="005F6F71">
        <w:rPr>
          <w:szCs w:val="22"/>
          <w:u w:val="single"/>
          <w:lang w:val="sk-SK"/>
        </w:rPr>
        <w:t>nežiaduc</w:t>
      </w:r>
      <w:r w:rsidR="00B66B34">
        <w:rPr>
          <w:szCs w:val="22"/>
          <w:u w:val="single"/>
          <w:lang w:val="sk-SK"/>
        </w:rPr>
        <w:t>e</w:t>
      </w:r>
      <w:r w:rsidRPr="005F6F71">
        <w:rPr>
          <w:szCs w:val="22"/>
          <w:u w:val="single"/>
          <w:lang w:val="sk-SK"/>
        </w:rPr>
        <w:t xml:space="preserve"> </w:t>
      </w:r>
      <w:r w:rsidR="00B66B34">
        <w:rPr>
          <w:szCs w:val="22"/>
          <w:u w:val="single"/>
          <w:lang w:val="sk-SK"/>
        </w:rPr>
        <w:t>reakcie</w:t>
      </w:r>
    </w:p>
    <w:p w:rsidR="00E70EB7" w:rsidRPr="005F6F71" w:rsidRDefault="00E70EB7" w:rsidP="00E70EB7">
      <w:pPr>
        <w:tabs>
          <w:tab w:val="clear" w:pos="567"/>
        </w:tabs>
        <w:spacing w:line="240" w:lineRule="auto"/>
        <w:rPr>
          <w:szCs w:val="22"/>
          <w:lang w:val="sk-SK"/>
        </w:rPr>
      </w:pPr>
      <w:r w:rsidRPr="005F6F71">
        <w:rPr>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podozrenie na nežiaduce reakcie prostredníctvom </w:t>
      </w:r>
      <w:r w:rsidRPr="005F6F71">
        <w:rPr>
          <w:szCs w:val="22"/>
          <w:shd w:val="clear" w:color="auto" w:fill="D9D9D9"/>
          <w:lang w:val="sk-SK"/>
        </w:rPr>
        <w:t>národného systému hlásenia uvedeného v </w:t>
      </w:r>
      <w:hyperlink r:id="rId9" w:history="1">
        <w:r w:rsidRPr="005F6F71">
          <w:rPr>
            <w:noProof/>
            <w:color w:val="0000FF"/>
            <w:szCs w:val="22"/>
            <w:u w:val="single"/>
            <w:shd w:val="clear" w:color="auto" w:fill="D9D9D9"/>
            <w:lang w:val="sk-SK"/>
          </w:rPr>
          <w:t>Prílohe V</w:t>
        </w:r>
      </w:hyperlink>
      <w:r w:rsidRPr="005F6F71">
        <w:rPr>
          <w:szCs w:val="22"/>
          <w:lang w:val="sk-SK"/>
        </w:rPr>
        <w:t>.</w:t>
      </w:r>
    </w:p>
    <w:p w:rsidR="001D29E6" w:rsidRPr="005F6F71" w:rsidRDefault="001D29E6" w:rsidP="000C1913">
      <w:pPr>
        <w:ind w:left="567" w:hanging="567"/>
        <w:rPr>
          <w:b/>
          <w:lang w:val="sk-SK"/>
        </w:rPr>
      </w:pPr>
    </w:p>
    <w:p w:rsidR="001D29E6" w:rsidRPr="005F6F71" w:rsidRDefault="001D29E6" w:rsidP="000C1913">
      <w:pPr>
        <w:ind w:left="567" w:hanging="567"/>
        <w:rPr>
          <w:lang w:val="sk-SK"/>
        </w:rPr>
      </w:pPr>
      <w:r w:rsidRPr="005F6F71">
        <w:rPr>
          <w:b/>
          <w:lang w:val="sk-SK"/>
        </w:rPr>
        <w:t>4.9</w:t>
      </w:r>
      <w:r w:rsidRPr="005F6F71">
        <w:rPr>
          <w:b/>
          <w:lang w:val="sk-SK"/>
        </w:rPr>
        <w:tab/>
      </w:r>
      <w:r w:rsidR="00E70EB7" w:rsidRPr="005F6F71">
        <w:rPr>
          <w:b/>
          <w:lang w:val="sk-SK"/>
        </w:rPr>
        <w:t>Predávkovanie</w:t>
      </w:r>
    </w:p>
    <w:p w:rsidR="001D29E6" w:rsidRPr="005F6F71" w:rsidRDefault="00A21C1C" w:rsidP="00A21C1C">
      <w:pPr>
        <w:tabs>
          <w:tab w:val="clear" w:pos="567"/>
          <w:tab w:val="left" w:pos="1741"/>
        </w:tabs>
        <w:rPr>
          <w:lang w:val="sk-SK"/>
        </w:rPr>
      </w:pPr>
      <w:r w:rsidRPr="005F6F71">
        <w:rPr>
          <w:lang w:val="sk-SK"/>
        </w:rPr>
        <w:tab/>
      </w:r>
    </w:p>
    <w:p w:rsidR="00975EC1" w:rsidRPr="005F6F71" w:rsidRDefault="00E70EB7" w:rsidP="000C1913">
      <w:pPr>
        <w:tabs>
          <w:tab w:val="clear" w:pos="567"/>
        </w:tabs>
        <w:spacing w:line="240" w:lineRule="auto"/>
        <w:rPr>
          <w:szCs w:val="22"/>
          <w:u w:val="single"/>
          <w:lang w:val="sk-SK"/>
        </w:rPr>
      </w:pPr>
      <w:r w:rsidRPr="005F6F71">
        <w:rPr>
          <w:szCs w:val="22"/>
          <w:u w:val="single"/>
          <w:lang w:val="sk-SK"/>
        </w:rPr>
        <w:t>Príznaky</w:t>
      </w:r>
    </w:p>
    <w:p w:rsidR="00A21C1C" w:rsidRPr="005F6F71" w:rsidRDefault="00E70EB7" w:rsidP="000C1913">
      <w:pPr>
        <w:tabs>
          <w:tab w:val="clear" w:pos="567"/>
        </w:tabs>
        <w:spacing w:line="240" w:lineRule="auto"/>
        <w:rPr>
          <w:szCs w:val="22"/>
          <w:lang w:val="sk-SK"/>
        </w:rPr>
      </w:pPr>
      <w:r w:rsidRPr="005F6F71">
        <w:rPr>
          <w:szCs w:val="22"/>
          <w:lang w:val="sk-SK"/>
        </w:rPr>
        <w:t xml:space="preserve">Predávkovanie </w:t>
      </w:r>
      <w:proofErr w:type="spellStart"/>
      <w:r w:rsidRPr="005F6F71">
        <w:rPr>
          <w:szCs w:val="22"/>
          <w:lang w:val="sk-SK"/>
        </w:rPr>
        <w:t>Nocdurnou</w:t>
      </w:r>
      <w:proofErr w:type="spellEnd"/>
      <w:r w:rsidRPr="005F6F71">
        <w:rPr>
          <w:szCs w:val="22"/>
          <w:lang w:val="sk-SK"/>
        </w:rPr>
        <w:t xml:space="preserve"> vedie k predĺženiu účinku so zvýšeným rizikom </w:t>
      </w:r>
      <w:proofErr w:type="spellStart"/>
      <w:r w:rsidRPr="005F6F71">
        <w:rPr>
          <w:szCs w:val="22"/>
          <w:lang w:val="sk-SK"/>
        </w:rPr>
        <w:t>retencie</w:t>
      </w:r>
      <w:proofErr w:type="spellEnd"/>
      <w:r w:rsidRPr="005F6F71">
        <w:rPr>
          <w:szCs w:val="22"/>
          <w:lang w:val="sk-SK"/>
        </w:rPr>
        <w:t xml:space="preserve"> vody a</w:t>
      </w:r>
      <w:r w:rsidR="00CD0303" w:rsidRPr="005F6F71">
        <w:rPr>
          <w:szCs w:val="22"/>
          <w:lang w:val="sk-SK"/>
        </w:rPr>
        <w:t> </w:t>
      </w:r>
      <w:proofErr w:type="spellStart"/>
      <w:r w:rsidRPr="005F6F71">
        <w:rPr>
          <w:szCs w:val="22"/>
          <w:lang w:val="sk-SK"/>
        </w:rPr>
        <w:t>hyponatriémie</w:t>
      </w:r>
      <w:proofErr w:type="spellEnd"/>
      <w:r w:rsidR="00A21C1C" w:rsidRPr="005F6F71">
        <w:rPr>
          <w:szCs w:val="22"/>
          <w:lang w:val="sk-SK"/>
        </w:rPr>
        <w:t>.</w:t>
      </w:r>
    </w:p>
    <w:p w:rsidR="001D29E6" w:rsidRPr="005F6F71" w:rsidRDefault="001D29E6" w:rsidP="000C1913">
      <w:pPr>
        <w:rPr>
          <w:lang w:val="sk-SK"/>
        </w:rPr>
      </w:pPr>
    </w:p>
    <w:p w:rsidR="0060585A" w:rsidRPr="005F6F71" w:rsidRDefault="00E70EB7" w:rsidP="0060585A">
      <w:pPr>
        <w:ind w:left="567" w:hanging="567"/>
        <w:rPr>
          <w:lang w:val="sk-SK"/>
        </w:rPr>
      </w:pPr>
      <w:r w:rsidRPr="005F6F71">
        <w:rPr>
          <w:u w:val="single"/>
          <w:lang w:val="sk-SK"/>
        </w:rPr>
        <w:t>Liečba</w:t>
      </w:r>
      <w:r w:rsidR="0060585A" w:rsidRPr="005F6F71">
        <w:rPr>
          <w:lang w:val="sk-SK"/>
        </w:rPr>
        <w:t xml:space="preserve">         </w:t>
      </w:r>
    </w:p>
    <w:p w:rsidR="00E70EB7" w:rsidRPr="005F6F71" w:rsidRDefault="00E70EB7" w:rsidP="0060585A">
      <w:pPr>
        <w:rPr>
          <w:lang w:val="sk-SK"/>
        </w:rPr>
      </w:pPr>
      <w:r w:rsidRPr="005F6F71">
        <w:rPr>
          <w:lang w:val="sk-SK"/>
        </w:rPr>
        <w:t xml:space="preserve">Hoci liečba </w:t>
      </w:r>
      <w:proofErr w:type="spellStart"/>
      <w:r w:rsidRPr="005F6F71">
        <w:rPr>
          <w:lang w:val="sk-SK"/>
        </w:rPr>
        <w:t>hyponatriémie</w:t>
      </w:r>
      <w:proofErr w:type="spellEnd"/>
      <w:r w:rsidRPr="005F6F71">
        <w:rPr>
          <w:lang w:val="sk-SK"/>
        </w:rPr>
        <w:t xml:space="preserve"> má byť individuálna, možno odporučiť nasledujúce všeobecné odporučenia</w:t>
      </w:r>
      <w:r w:rsidR="00CD0303" w:rsidRPr="005F6F71">
        <w:rPr>
          <w:lang w:val="sk-SK"/>
        </w:rPr>
        <w:t>:</w:t>
      </w:r>
      <w:r w:rsidRPr="005F6F71">
        <w:rPr>
          <w:lang w:val="sk-SK"/>
        </w:rPr>
        <w:t xml:space="preserve"> </w:t>
      </w:r>
      <w:r w:rsidR="00F858A4">
        <w:rPr>
          <w:lang w:val="sk-SK"/>
        </w:rPr>
        <w:t>prerušenie</w:t>
      </w:r>
      <w:r w:rsidRPr="005F6F71">
        <w:rPr>
          <w:lang w:val="sk-SK"/>
        </w:rPr>
        <w:t xml:space="preserve"> liečby </w:t>
      </w:r>
      <w:proofErr w:type="spellStart"/>
      <w:r w:rsidRPr="005F6F71">
        <w:rPr>
          <w:lang w:val="sk-SK"/>
        </w:rPr>
        <w:t>dezmopresínom</w:t>
      </w:r>
      <w:proofErr w:type="spellEnd"/>
      <w:r w:rsidRPr="005F6F71">
        <w:rPr>
          <w:lang w:val="sk-SK"/>
        </w:rPr>
        <w:t>, obmedzenie príjmu tekutín a v prípade potreby symptomatická liečba.</w:t>
      </w:r>
    </w:p>
    <w:p w:rsidR="00CC68AB" w:rsidRPr="005F6F71" w:rsidRDefault="00CC68AB" w:rsidP="00CC68AB">
      <w:pPr>
        <w:ind w:left="567" w:hanging="567"/>
        <w:rPr>
          <w:lang w:val="sk-SK"/>
        </w:rPr>
      </w:pPr>
    </w:p>
    <w:p w:rsidR="00942C3E" w:rsidRPr="005F6F71" w:rsidRDefault="00942C3E" w:rsidP="00942C3E">
      <w:pPr>
        <w:rPr>
          <w:lang w:val="sk-SK"/>
        </w:rPr>
      </w:pPr>
    </w:p>
    <w:p w:rsidR="001D29E6" w:rsidRPr="005F6F71" w:rsidRDefault="001D29E6" w:rsidP="000C1913">
      <w:pPr>
        <w:ind w:left="567" w:hanging="567"/>
        <w:rPr>
          <w:lang w:val="sk-SK"/>
        </w:rPr>
      </w:pPr>
      <w:r w:rsidRPr="005F6F71">
        <w:rPr>
          <w:b/>
          <w:lang w:val="sk-SK"/>
        </w:rPr>
        <w:t>5.</w:t>
      </w:r>
      <w:r w:rsidRPr="005F6F71">
        <w:rPr>
          <w:b/>
          <w:lang w:val="sk-SK"/>
        </w:rPr>
        <w:tab/>
      </w:r>
      <w:r w:rsidR="00E70EB7" w:rsidRPr="005F6F71">
        <w:rPr>
          <w:b/>
          <w:lang w:val="sk-SK"/>
        </w:rPr>
        <w:t>FARMAKOLOGICKÉ VLASTNOSTI</w:t>
      </w:r>
    </w:p>
    <w:p w:rsidR="001D29E6" w:rsidRPr="005F6F71" w:rsidRDefault="001D29E6" w:rsidP="000C1913">
      <w:pPr>
        <w:rPr>
          <w:b/>
          <w:lang w:val="sk-SK"/>
        </w:rPr>
      </w:pPr>
    </w:p>
    <w:p w:rsidR="001D29E6" w:rsidRPr="005F6F71" w:rsidRDefault="001D29E6" w:rsidP="000C1913">
      <w:pPr>
        <w:ind w:left="567" w:hanging="567"/>
        <w:rPr>
          <w:lang w:val="sk-SK"/>
        </w:rPr>
      </w:pPr>
      <w:r w:rsidRPr="005F6F71">
        <w:rPr>
          <w:b/>
          <w:lang w:val="sk-SK"/>
        </w:rPr>
        <w:t xml:space="preserve">5.1 </w:t>
      </w:r>
      <w:r w:rsidRPr="005F6F71">
        <w:rPr>
          <w:b/>
          <w:lang w:val="sk-SK"/>
        </w:rPr>
        <w:tab/>
      </w:r>
      <w:proofErr w:type="spellStart"/>
      <w:r w:rsidR="00E70EB7" w:rsidRPr="005F6F71">
        <w:rPr>
          <w:b/>
          <w:lang w:val="sk-SK"/>
        </w:rPr>
        <w:t>Farmakodynamické</w:t>
      </w:r>
      <w:proofErr w:type="spellEnd"/>
      <w:r w:rsidR="00E70EB7" w:rsidRPr="005F6F71">
        <w:rPr>
          <w:b/>
          <w:lang w:val="sk-SK"/>
        </w:rPr>
        <w:t xml:space="preserve"> vlastnosti</w:t>
      </w:r>
    </w:p>
    <w:p w:rsidR="001D29E6" w:rsidRPr="005F6F71" w:rsidRDefault="001D29E6" w:rsidP="000C1913">
      <w:pPr>
        <w:rPr>
          <w:lang w:val="sk-SK"/>
        </w:rPr>
      </w:pPr>
    </w:p>
    <w:p w:rsidR="009442C8" w:rsidRPr="005F6F71" w:rsidRDefault="00E70EB7" w:rsidP="00B27F64">
      <w:pPr>
        <w:pStyle w:val="Zkladntext"/>
        <w:tabs>
          <w:tab w:val="left" w:pos="-720"/>
          <w:tab w:val="left" w:pos="0"/>
        </w:tabs>
        <w:rPr>
          <w:i w:val="0"/>
          <w:color w:val="000000"/>
          <w:szCs w:val="22"/>
          <w:lang w:val="sk-SK"/>
        </w:rPr>
      </w:pPr>
      <w:proofErr w:type="spellStart"/>
      <w:r w:rsidRPr="005F6F71">
        <w:rPr>
          <w:i w:val="0"/>
          <w:color w:val="000000"/>
          <w:szCs w:val="22"/>
          <w:lang w:val="sk-SK"/>
        </w:rPr>
        <w:t>Farmakoterapeutická</w:t>
      </w:r>
      <w:proofErr w:type="spellEnd"/>
      <w:r w:rsidRPr="005F6F71">
        <w:rPr>
          <w:i w:val="0"/>
          <w:color w:val="000000"/>
          <w:szCs w:val="22"/>
          <w:lang w:val="sk-SK"/>
        </w:rPr>
        <w:t xml:space="preserve"> skupina</w:t>
      </w:r>
      <w:r w:rsidR="002820F9" w:rsidRPr="005F6F71">
        <w:rPr>
          <w:i w:val="0"/>
          <w:color w:val="000000"/>
          <w:szCs w:val="22"/>
          <w:lang w:val="sk-SK"/>
        </w:rPr>
        <w:t xml:space="preserve">: </w:t>
      </w:r>
      <w:proofErr w:type="spellStart"/>
      <w:r w:rsidRPr="005F6F71">
        <w:rPr>
          <w:i w:val="0"/>
          <w:color w:val="000000"/>
          <w:szCs w:val="22"/>
          <w:lang w:val="sk-SK"/>
        </w:rPr>
        <w:t>v</w:t>
      </w:r>
      <w:r w:rsidR="009442C8" w:rsidRPr="005F6F71">
        <w:rPr>
          <w:i w:val="0"/>
          <w:color w:val="000000"/>
          <w:szCs w:val="22"/>
          <w:lang w:val="sk-SK"/>
        </w:rPr>
        <w:t>a</w:t>
      </w:r>
      <w:r w:rsidRPr="005F6F71">
        <w:rPr>
          <w:i w:val="0"/>
          <w:color w:val="000000"/>
          <w:szCs w:val="22"/>
          <w:lang w:val="sk-SK"/>
        </w:rPr>
        <w:t>z</w:t>
      </w:r>
      <w:r w:rsidR="009442C8" w:rsidRPr="005F6F71">
        <w:rPr>
          <w:i w:val="0"/>
          <w:color w:val="000000"/>
          <w:szCs w:val="22"/>
          <w:lang w:val="sk-SK"/>
        </w:rPr>
        <w:t>opres</w:t>
      </w:r>
      <w:r w:rsidRPr="005F6F71">
        <w:rPr>
          <w:i w:val="0"/>
          <w:color w:val="000000"/>
          <w:szCs w:val="22"/>
          <w:lang w:val="sk-SK"/>
        </w:rPr>
        <w:t>í</w:t>
      </w:r>
      <w:r w:rsidR="00B27F64" w:rsidRPr="005F6F71">
        <w:rPr>
          <w:i w:val="0"/>
          <w:color w:val="000000"/>
          <w:szCs w:val="22"/>
          <w:lang w:val="sk-SK"/>
        </w:rPr>
        <w:t>n</w:t>
      </w:r>
      <w:proofErr w:type="spellEnd"/>
      <w:r w:rsidR="00B27F64" w:rsidRPr="005F6F71">
        <w:rPr>
          <w:i w:val="0"/>
          <w:color w:val="000000"/>
          <w:szCs w:val="22"/>
          <w:lang w:val="sk-SK"/>
        </w:rPr>
        <w:t xml:space="preserve"> a</w:t>
      </w:r>
      <w:r w:rsidR="009442C8" w:rsidRPr="005F6F71">
        <w:rPr>
          <w:i w:val="0"/>
          <w:color w:val="000000"/>
          <w:szCs w:val="22"/>
          <w:lang w:val="sk-SK"/>
        </w:rPr>
        <w:t xml:space="preserve"> </w:t>
      </w:r>
      <w:proofErr w:type="spellStart"/>
      <w:r w:rsidR="00B27F64" w:rsidRPr="005F6F71">
        <w:rPr>
          <w:i w:val="0"/>
          <w:color w:val="000000"/>
          <w:szCs w:val="22"/>
          <w:lang w:val="sk-SK"/>
        </w:rPr>
        <w:t>analógy</w:t>
      </w:r>
      <w:proofErr w:type="spellEnd"/>
      <w:r w:rsidR="00B27F64" w:rsidRPr="005F6F71">
        <w:rPr>
          <w:i w:val="0"/>
          <w:color w:val="000000"/>
          <w:szCs w:val="22"/>
          <w:lang w:val="sk-SK"/>
        </w:rPr>
        <w:t xml:space="preserve">, </w:t>
      </w:r>
      <w:r w:rsidR="009442C8" w:rsidRPr="005F6F71">
        <w:rPr>
          <w:i w:val="0"/>
          <w:color w:val="000000"/>
          <w:szCs w:val="22"/>
          <w:lang w:val="sk-SK"/>
        </w:rPr>
        <w:t xml:space="preserve">ATC </w:t>
      </w:r>
      <w:r w:rsidR="00561EB3" w:rsidRPr="005F6F71">
        <w:rPr>
          <w:i w:val="0"/>
          <w:color w:val="000000"/>
          <w:szCs w:val="22"/>
          <w:lang w:val="sk-SK"/>
        </w:rPr>
        <w:t>kód</w:t>
      </w:r>
      <w:r w:rsidR="009442C8" w:rsidRPr="005F6F71">
        <w:rPr>
          <w:i w:val="0"/>
          <w:color w:val="000000"/>
          <w:szCs w:val="22"/>
          <w:lang w:val="sk-SK"/>
        </w:rPr>
        <w:t>: H01BA02</w:t>
      </w:r>
    </w:p>
    <w:p w:rsidR="00690D90" w:rsidRPr="005F6F71" w:rsidRDefault="00690D90" w:rsidP="00847117">
      <w:pPr>
        <w:keepNext/>
        <w:rPr>
          <w:color w:val="000000"/>
          <w:lang w:val="sk-SK"/>
        </w:rPr>
      </w:pPr>
    </w:p>
    <w:p w:rsidR="00847117" w:rsidRPr="005F6F71" w:rsidRDefault="00847117" w:rsidP="00847117">
      <w:pPr>
        <w:keepNext/>
        <w:rPr>
          <w:szCs w:val="22"/>
          <w:u w:val="single"/>
          <w:lang w:val="sk-SK"/>
        </w:rPr>
      </w:pPr>
      <w:r w:rsidRPr="005F6F71">
        <w:rPr>
          <w:szCs w:val="22"/>
          <w:u w:val="single"/>
          <w:lang w:val="sk-SK"/>
        </w:rPr>
        <w:t>Mechani</w:t>
      </w:r>
      <w:r w:rsidR="00B27F64" w:rsidRPr="005F6F71">
        <w:rPr>
          <w:szCs w:val="22"/>
          <w:u w:val="single"/>
          <w:lang w:val="sk-SK"/>
        </w:rPr>
        <w:t>zmus účinku</w:t>
      </w:r>
    </w:p>
    <w:p w:rsidR="00B27F64" w:rsidRPr="005F6F71" w:rsidRDefault="00DF6DB6" w:rsidP="00CA2EF1">
      <w:pPr>
        <w:keepNext/>
        <w:rPr>
          <w:szCs w:val="22"/>
          <w:lang w:val="sk-SK"/>
        </w:rPr>
      </w:pPr>
      <w:proofErr w:type="spellStart"/>
      <w:r w:rsidRPr="005F6F71">
        <w:rPr>
          <w:szCs w:val="22"/>
          <w:lang w:val="sk-SK"/>
        </w:rPr>
        <w:t>Nocdurna</w:t>
      </w:r>
      <w:proofErr w:type="spellEnd"/>
      <w:r w:rsidRPr="005F6F71">
        <w:rPr>
          <w:szCs w:val="22"/>
          <w:lang w:val="sk-SK"/>
        </w:rPr>
        <w:t xml:space="preserve"> </w:t>
      </w:r>
      <w:r w:rsidR="00B27F64" w:rsidRPr="005F6F71">
        <w:rPr>
          <w:szCs w:val="22"/>
          <w:lang w:val="sk-SK"/>
        </w:rPr>
        <w:t xml:space="preserve">obsahuje </w:t>
      </w:r>
      <w:proofErr w:type="spellStart"/>
      <w:r w:rsidR="00B27F64" w:rsidRPr="005F6F71">
        <w:rPr>
          <w:szCs w:val="22"/>
          <w:lang w:val="sk-SK"/>
        </w:rPr>
        <w:t>dezmopresín</w:t>
      </w:r>
      <w:proofErr w:type="spellEnd"/>
      <w:r w:rsidR="00B27F64" w:rsidRPr="005F6F71">
        <w:rPr>
          <w:szCs w:val="22"/>
          <w:lang w:val="sk-SK"/>
        </w:rPr>
        <w:t>,</w:t>
      </w:r>
      <w:r w:rsidR="00CF2B49" w:rsidRPr="005F6F71">
        <w:rPr>
          <w:szCs w:val="22"/>
          <w:lang w:val="sk-SK"/>
        </w:rPr>
        <w:t xml:space="preserve"> </w:t>
      </w:r>
      <w:r w:rsidR="00CA2EF1" w:rsidRPr="005F6F71">
        <w:rPr>
          <w:szCs w:val="22"/>
          <w:lang w:val="sk-SK"/>
        </w:rPr>
        <w:t>syntetic</w:t>
      </w:r>
      <w:r w:rsidR="00B27F64" w:rsidRPr="005F6F71">
        <w:rPr>
          <w:szCs w:val="22"/>
          <w:lang w:val="sk-SK"/>
        </w:rPr>
        <w:t>ký</w:t>
      </w:r>
      <w:r w:rsidR="00CA2EF1" w:rsidRPr="005F6F71">
        <w:rPr>
          <w:szCs w:val="22"/>
          <w:lang w:val="sk-SK"/>
        </w:rPr>
        <w:t xml:space="preserve"> </w:t>
      </w:r>
      <w:r w:rsidR="00763FA3" w:rsidRPr="005F6F71">
        <w:rPr>
          <w:szCs w:val="22"/>
          <w:lang w:val="sk-SK"/>
        </w:rPr>
        <w:t>derivát</w:t>
      </w:r>
      <w:r w:rsidR="00CA2EF1" w:rsidRPr="005F6F71">
        <w:rPr>
          <w:szCs w:val="22"/>
          <w:lang w:val="sk-SK"/>
        </w:rPr>
        <w:t xml:space="preserve"> </w:t>
      </w:r>
      <w:r w:rsidR="00B27F64" w:rsidRPr="005F6F71">
        <w:rPr>
          <w:szCs w:val="22"/>
          <w:lang w:val="sk-SK"/>
        </w:rPr>
        <w:t>prirodzen</w:t>
      </w:r>
      <w:r w:rsidR="00763FA3" w:rsidRPr="005F6F71">
        <w:rPr>
          <w:szCs w:val="22"/>
          <w:lang w:val="sk-SK"/>
        </w:rPr>
        <w:t>e sa vyskytujúceho</w:t>
      </w:r>
      <w:r w:rsidR="00B27F64" w:rsidRPr="005F6F71">
        <w:rPr>
          <w:szCs w:val="22"/>
          <w:lang w:val="sk-SK"/>
        </w:rPr>
        <w:t xml:space="preserve"> </w:t>
      </w:r>
      <w:proofErr w:type="spellStart"/>
      <w:r w:rsidR="00B27F64" w:rsidRPr="005F6F71">
        <w:rPr>
          <w:szCs w:val="22"/>
          <w:lang w:val="sk-SK"/>
        </w:rPr>
        <w:t>antidiuretického</w:t>
      </w:r>
      <w:proofErr w:type="spellEnd"/>
      <w:r w:rsidR="00B27F64" w:rsidRPr="005F6F71">
        <w:rPr>
          <w:szCs w:val="22"/>
          <w:lang w:val="sk-SK"/>
        </w:rPr>
        <w:t xml:space="preserve"> hormónu</w:t>
      </w:r>
      <w:r w:rsidR="00CA2EF1" w:rsidRPr="005F6F71">
        <w:rPr>
          <w:szCs w:val="22"/>
          <w:lang w:val="sk-SK"/>
        </w:rPr>
        <w:t xml:space="preserve"> </w:t>
      </w:r>
      <w:proofErr w:type="spellStart"/>
      <w:r w:rsidR="00B27F64" w:rsidRPr="005F6F71">
        <w:rPr>
          <w:szCs w:val="22"/>
          <w:lang w:val="sk-SK"/>
        </w:rPr>
        <w:t>arginín-vazopresínu</w:t>
      </w:r>
      <w:proofErr w:type="spellEnd"/>
      <w:r w:rsidR="00CA2EF1" w:rsidRPr="005F6F71">
        <w:rPr>
          <w:szCs w:val="22"/>
          <w:lang w:val="sk-SK"/>
        </w:rPr>
        <w:t xml:space="preserve"> (AVP). </w:t>
      </w:r>
      <w:proofErr w:type="spellStart"/>
      <w:r w:rsidR="00CF2B49" w:rsidRPr="005F6F71">
        <w:rPr>
          <w:szCs w:val="22"/>
          <w:lang w:val="sk-SK"/>
        </w:rPr>
        <w:t>De</w:t>
      </w:r>
      <w:r w:rsidR="00B27F64" w:rsidRPr="005F6F71">
        <w:rPr>
          <w:szCs w:val="22"/>
          <w:lang w:val="sk-SK"/>
        </w:rPr>
        <w:t>z</w:t>
      </w:r>
      <w:r w:rsidR="00CF2B49" w:rsidRPr="005F6F71">
        <w:rPr>
          <w:szCs w:val="22"/>
          <w:lang w:val="sk-SK"/>
        </w:rPr>
        <w:t>mopres</w:t>
      </w:r>
      <w:r w:rsidR="00B27F64" w:rsidRPr="005F6F71">
        <w:rPr>
          <w:szCs w:val="22"/>
          <w:lang w:val="sk-SK"/>
        </w:rPr>
        <w:t>ín</w:t>
      </w:r>
      <w:proofErr w:type="spellEnd"/>
      <w:r w:rsidR="00B27F64" w:rsidRPr="005F6F71">
        <w:rPr>
          <w:szCs w:val="22"/>
          <w:lang w:val="sk-SK"/>
        </w:rPr>
        <w:t xml:space="preserve"> napodobňuje </w:t>
      </w:r>
      <w:proofErr w:type="spellStart"/>
      <w:r w:rsidR="00B27F64" w:rsidRPr="005F6F71">
        <w:rPr>
          <w:szCs w:val="22"/>
          <w:lang w:val="sk-SK"/>
        </w:rPr>
        <w:t>antidiuretický</w:t>
      </w:r>
      <w:proofErr w:type="spellEnd"/>
      <w:r w:rsidR="00B27F64" w:rsidRPr="005F6F71">
        <w:rPr>
          <w:szCs w:val="22"/>
          <w:lang w:val="sk-SK"/>
        </w:rPr>
        <w:t xml:space="preserve"> účinok</w:t>
      </w:r>
      <w:r w:rsidR="00CA2EF1" w:rsidRPr="005F6F71">
        <w:rPr>
          <w:szCs w:val="22"/>
          <w:lang w:val="sk-SK"/>
        </w:rPr>
        <w:t xml:space="preserve"> </w:t>
      </w:r>
      <w:proofErr w:type="spellStart"/>
      <w:r w:rsidR="00CA2EF1" w:rsidRPr="005F6F71">
        <w:rPr>
          <w:szCs w:val="22"/>
          <w:lang w:val="sk-SK"/>
        </w:rPr>
        <w:t>va</w:t>
      </w:r>
      <w:r w:rsidR="00B27F64" w:rsidRPr="005F6F71">
        <w:rPr>
          <w:szCs w:val="22"/>
          <w:lang w:val="sk-SK"/>
        </w:rPr>
        <w:t>zopresínu</w:t>
      </w:r>
      <w:proofErr w:type="spellEnd"/>
      <w:r w:rsidR="00B27F64" w:rsidRPr="005F6F71">
        <w:rPr>
          <w:szCs w:val="22"/>
          <w:lang w:val="sk-SK"/>
        </w:rPr>
        <w:t xml:space="preserve"> </w:t>
      </w:r>
      <w:r w:rsidR="00763FA3" w:rsidRPr="005F6F71">
        <w:rPr>
          <w:szCs w:val="22"/>
          <w:lang w:val="sk-SK"/>
        </w:rPr>
        <w:t>väzbou na</w:t>
      </w:r>
      <w:r w:rsidR="00CA2EF1" w:rsidRPr="005F6F71">
        <w:rPr>
          <w:szCs w:val="22"/>
          <w:lang w:val="sk-SK"/>
        </w:rPr>
        <w:t xml:space="preserve"> V2 receptor</w:t>
      </w:r>
      <w:r w:rsidR="00B27F64" w:rsidRPr="005F6F71">
        <w:rPr>
          <w:szCs w:val="22"/>
          <w:lang w:val="sk-SK"/>
        </w:rPr>
        <w:t>y</w:t>
      </w:r>
      <w:r w:rsidR="00CA2EF1" w:rsidRPr="005F6F71">
        <w:rPr>
          <w:szCs w:val="22"/>
          <w:lang w:val="sk-SK"/>
        </w:rPr>
        <w:t xml:space="preserve"> </w:t>
      </w:r>
      <w:r w:rsidR="00B27F64" w:rsidRPr="005F6F71">
        <w:rPr>
          <w:szCs w:val="22"/>
          <w:lang w:val="sk-SK"/>
        </w:rPr>
        <w:t xml:space="preserve">v </w:t>
      </w:r>
      <w:r w:rsidR="00763FA3" w:rsidRPr="005F6F71">
        <w:rPr>
          <w:szCs w:val="22"/>
          <w:lang w:val="sk-SK"/>
        </w:rPr>
        <w:t>zberných</w:t>
      </w:r>
      <w:r w:rsidR="00B27F64" w:rsidRPr="005F6F71">
        <w:rPr>
          <w:szCs w:val="22"/>
          <w:lang w:val="sk-SK"/>
        </w:rPr>
        <w:t xml:space="preserve"> </w:t>
      </w:r>
      <w:proofErr w:type="spellStart"/>
      <w:r w:rsidR="00B27F64" w:rsidRPr="005F6F71">
        <w:rPr>
          <w:szCs w:val="22"/>
          <w:lang w:val="sk-SK"/>
        </w:rPr>
        <w:t>tubuloch</w:t>
      </w:r>
      <w:proofErr w:type="spellEnd"/>
      <w:r w:rsidR="00763FA3" w:rsidRPr="005F6F71">
        <w:rPr>
          <w:szCs w:val="22"/>
          <w:lang w:val="sk-SK"/>
        </w:rPr>
        <w:t xml:space="preserve"> obličiek</w:t>
      </w:r>
      <w:r w:rsidR="00CA2EF1" w:rsidRPr="005F6F71">
        <w:rPr>
          <w:szCs w:val="22"/>
          <w:lang w:val="sk-SK"/>
        </w:rPr>
        <w:t xml:space="preserve">, </w:t>
      </w:r>
      <w:r w:rsidR="00B27F64" w:rsidRPr="005F6F71">
        <w:rPr>
          <w:szCs w:val="22"/>
          <w:lang w:val="sk-SK"/>
        </w:rPr>
        <w:t xml:space="preserve">čo </w:t>
      </w:r>
      <w:r w:rsidR="00763FA3" w:rsidRPr="005F6F71">
        <w:rPr>
          <w:szCs w:val="22"/>
          <w:lang w:val="sk-SK"/>
        </w:rPr>
        <w:t>vedie k spätnému vstrebávaniu</w:t>
      </w:r>
      <w:r w:rsidR="00B27F64" w:rsidRPr="005F6F71">
        <w:rPr>
          <w:szCs w:val="22"/>
          <w:lang w:val="sk-SK"/>
        </w:rPr>
        <w:t xml:space="preserve"> vody </w:t>
      </w:r>
      <w:r w:rsidR="00763FA3" w:rsidRPr="005F6F71">
        <w:rPr>
          <w:szCs w:val="22"/>
          <w:lang w:val="sk-SK"/>
        </w:rPr>
        <w:t>do tela</w:t>
      </w:r>
      <w:r w:rsidR="00CA2EF1" w:rsidRPr="005F6F71">
        <w:rPr>
          <w:szCs w:val="22"/>
          <w:lang w:val="sk-SK"/>
        </w:rPr>
        <w:t xml:space="preserve">. </w:t>
      </w:r>
      <w:r w:rsidR="00763FA3" w:rsidRPr="005F6F71">
        <w:rPr>
          <w:szCs w:val="22"/>
          <w:lang w:val="sk-SK"/>
        </w:rPr>
        <w:t>Toto spätné vstrebávanie sa prejaví znížením tvorby moču počas noci</w:t>
      </w:r>
      <w:r w:rsidR="00CA2EF1" w:rsidRPr="005F6F71">
        <w:rPr>
          <w:szCs w:val="22"/>
          <w:lang w:val="sk-SK"/>
        </w:rPr>
        <w:t xml:space="preserve">. </w:t>
      </w:r>
      <w:r w:rsidR="00B27F64" w:rsidRPr="005F6F71">
        <w:rPr>
          <w:szCs w:val="22"/>
          <w:lang w:val="sk-SK"/>
        </w:rPr>
        <w:t xml:space="preserve">Vzhľadom na navrhované </w:t>
      </w:r>
      <w:r w:rsidR="009C46A3" w:rsidRPr="005F6F71">
        <w:rPr>
          <w:szCs w:val="22"/>
          <w:lang w:val="sk-SK"/>
        </w:rPr>
        <w:t xml:space="preserve">špecifické </w:t>
      </w:r>
      <w:r w:rsidR="00B27F64" w:rsidRPr="005F6F71">
        <w:rPr>
          <w:szCs w:val="22"/>
          <w:lang w:val="sk-SK"/>
        </w:rPr>
        <w:t>dávkovanie</w:t>
      </w:r>
      <w:r w:rsidR="009C46A3" w:rsidRPr="005F6F71">
        <w:rPr>
          <w:szCs w:val="22"/>
          <w:lang w:val="sk-SK"/>
        </w:rPr>
        <w:t xml:space="preserve"> </w:t>
      </w:r>
      <w:r w:rsidR="00763FA3" w:rsidRPr="005F6F71">
        <w:rPr>
          <w:szCs w:val="22"/>
          <w:lang w:val="sk-SK"/>
        </w:rPr>
        <w:t>v závislosti od</w:t>
      </w:r>
      <w:r w:rsidR="00B27F64" w:rsidRPr="005F6F71">
        <w:rPr>
          <w:szCs w:val="22"/>
          <w:lang w:val="sk-SK"/>
        </w:rPr>
        <w:t xml:space="preserve"> pohlavia (25 </w:t>
      </w:r>
      <w:proofErr w:type="spellStart"/>
      <w:r w:rsidR="00B27F64" w:rsidRPr="005F6F71">
        <w:rPr>
          <w:szCs w:val="22"/>
          <w:lang w:val="sk-SK"/>
        </w:rPr>
        <w:t>mikrogramov</w:t>
      </w:r>
      <w:proofErr w:type="spellEnd"/>
      <w:r w:rsidR="00B27F64" w:rsidRPr="005F6F71">
        <w:rPr>
          <w:szCs w:val="22"/>
          <w:lang w:val="sk-SK"/>
        </w:rPr>
        <w:t xml:space="preserve"> u žien a 50 </w:t>
      </w:r>
      <w:proofErr w:type="spellStart"/>
      <w:r w:rsidR="00B27F64" w:rsidRPr="005F6F71">
        <w:rPr>
          <w:szCs w:val="22"/>
          <w:lang w:val="sk-SK"/>
        </w:rPr>
        <w:t>mikrogramov</w:t>
      </w:r>
      <w:proofErr w:type="spellEnd"/>
      <w:r w:rsidR="00B27F64" w:rsidRPr="005F6F71">
        <w:rPr>
          <w:szCs w:val="22"/>
          <w:lang w:val="sk-SK"/>
        </w:rPr>
        <w:t xml:space="preserve"> u mužov) a</w:t>
      </w:r>
      <w:r w:rsidR="00763FA3" w:rsidRPr="005F6F71">
        <w:rPr>
          <w:szCs w:val="22"/>
          <w:lang w:val="sk-SK"/>
        </w:rPr>
        <w:t xml:space="preserve"> obmedzenej dobe </w:t>
      </w:r>
      <w:r w:rsidR="00B27F64" w:rsidRPr="005F6F71">
        <w:rPr>
          <w:szCs w:val="22"/>
          <w:lang w:val="sk-SK"/>
        </w:rPr>
        <w:t>trvani</w:t>
      </w:r>
      <w:r w:rsidR="009C46A3" w:rsidRPr="005F6F71">
        <w:rPr>
          <w:szCs w:val="22"/>
          <w:lang w:val="sk-SK"/>
        </w:rPr>
        <w:t>a</w:t>
      </w:r>
      <w:r w:rsidR="00B27F64" w:rsidRPr="005F6F71">
        <w:rPr>
          <w:szCs w:val="22"/>
          <w:lang w:val="sk-SK"/>
        </w:rPr>
        <w:t xml:space="preserve"> účinku </w:t>
      </w:r>
      <w:proofErr w:type="spellStart"/>
      <w:r w:rsidR="00B27F64" w:rsidRPr="005F6F71">
        <w:rPr>
          <w:szCs w:val="22"/>
          <w:lang w:val="sk-SK"/>
        </w:rPr>
        <w:t>Nocdurny</w:t>
      </w:r>
      <w:proofErr w:type="spellEnd"/>
      <w:r w:rsidR="00763FA3" w:rsidRPr="005F6F71">
        <w:rPr>
          <w:szCs w:val="22"/>
          <w:lang w:val="sk-SK"/>
        </w:rPr>
        <w:t xml:space="preserve"> sa</w:t>
      </w:r>
      <w:r w:rsidR="00B27F64" w:rsidRPr="005F6F71">
        <w:rPr>
          <w:szCs w:val="22"/>
          <w:lang w:val="sk-SK"/>
        </w:rPr>
        <w:t xml:space="preserve"> </w:t>
      </w:r>
      <w:proofErr w:type="spellStart"/>
      <w:r w:rsidR="00B27F64" w:rsidRPr="005F6F71">
        <w:rPr>
          <w:szCs w:val="22"/>
          <w:lang w:val="sk-SK"/>
        </w:rPr>
        <w:t>antidiuretická</w:t>
      </w:r>
      <w:proofErr w:type="spellEnd"/>
      <w:r w:rsidR="00B27F64" w:rsidRPr="005F6F71">
        <w:rPr>
          <w:szCs w:val="22"/>
          <w:lang w:val="sk-SK"/>
        </w:rPr>
        <w:t xml:space="preserve"> aktivita </w:t>
      </w:r>
      <w:r w:rsidR="00763FA3" w:rsidRPr="005F6F71">
        <w:rPr>
          <w:szCs w:val="22"/>
          <w:lang w:val="sk-SK"/>
        </w:rPr>
        <w:t>obmedzuje</w:t>
      </w:r>
      <w:r w:rsidR="00B27F64" w:rsidRPr="005F6F71">
        <w:rPr>
          <w:szCs w:val="22"/>
          <w:lang w:val="sk-SK"/>
        </w:rPr>
        <w:t xml:space="preserve"> na</w:t>
      </w:r>
      <w:r w:rsidR="00763FA3" w:rsidRPr="005F6F71">
        <w:rPr>
          <w:szCs w:val="22"/>
          <w:lang w:val="sk-SK"/>
        </w:rPr>
        <w:t xml:space="preserve"> čas</w:t>
      </w:r>
      <w:r w:rsidR="00B27F64" w:rsidRPr="005F6F71">
        <w:rPr>
          <w:szCs w:val="22"/>
          <w:lang w:val="sk-SK"/>
        </w:rPr>
        <w:t xml:space="preserve"> nočn</w:t>
      </w:r>
      <w:r w:rsidR="00763FA3" w:rsidRPr="005F6F71">
        <w:rPr>
          <w:szCs w:val="22"/>
          <w:lang w:val="sk-SK"/>
        </w:rPr>
        <w:t>ého</w:t>
      </w:r>
      <w:r w:rsidR="00B27F64" w:rsidRPr="005F6F71">
        <w:rPr>
          <w:szCs w:val="22"/>
          <w:lang w:val="sk-SK"/>
        </w:rPr>
        <w:t xml:space="preserve"> spánk</w:t>
      </w:r>
      <w:r w:rsidR="00763FA3" w:rsidRPr="005F6F71">
        <w:rPr>
          <w:szCs w:val="22"/>
          <w:lang w:val="sk-SK"/>
        </w:rPr>
        <w:t>u</w:t>
      </w:r>
      <w:r w:rsidR="00B27F64" w:rsidRPr="005F6F71">
        <w:rPr>
          <w:szCs w:val="22"/>
          <w:lang w:val="sk-SK"/>
        </w:rPr>
        <w:t>.</w:t>
      </w:r>
    </w:p>
    <w:p w:rsidR="00822FA3" w:rsidRPr="005F6F71" w:rsidRDefault="00822FA3" w:rsidP="00847117">
      <w:pPr>
        <w:rPr>
          <w:szCs w:val="22"/>
          <w:lang w:val="sk-SK"/>
        </w:rPr>
      </w:pPr>
    </w:p>
    <w:p w:rsidR="00847117" w:rsidRPr="005F6F71" w:rsidRDefault="00B27F64" w:rsidP="00847117">
      <w:pPr>
        <w:rPr>
          <w:szCs w:val="22"/>
          <w:u w:val="single"/>
          <w:lang w:val="sk-SK"/>
        </w:rPr>
      </w:pPr>
      <w:proofErr w:type="spellStart"/>
      <w:r w:rsidRPr="005F6F71">
        <w:rPr>
          <w:szCs w:val="22"/>
          <w:u w:val="single"/>
          <w:lang w:val="sk-SK"/>
        </w:rPr>
        <w:t>Farmakodynamické</w:t>
      </w:r>
      <w:proofErr w:type="spellEnd"/>
      <w:r w:rsidRPr="005F6F71">
        <w:rPr>
          <w:szCs w:val="22"/>
          <w:u w:val="single"/>
          <w:lang w:val="sk-SK"/>
        </w:rPr>
        <w:t xml:space="preserve"> účinky</w:t>
      </w:r>
    </w:p>
    <w:p w:rsidR="00C57ED8" w:rsidRPr="005F6F71" w:rsidRDefault="00C57ED8" w:rsidP="00C42BAA">
      <w:pPr>
        <w:rPr>
          <w:szCs w:val="22"/>
          <w:lang w:val="sk-SK"/>
        </w:rPr>
      </w:pPr>
      <w:r w:rsidRPr="005F6F71">
        <w:rPr>
          <w:szCs w:val="22"/>
          <w:lang w:val="sk-SK"/>
        </w:rPr>
        <w:t>V štúdii</w:t>
      </w:r>
      <w:r w:rsidR="009442C8" w:rsidRPr="005F6F71">
        <w:rPr>
          <w:szCs w:val="22"/>
          <w:lang w:val="sk-SK"/>
        </w:rPr>
        <w:t xml:space="preserve"> CS29</w:t>
      </w:r>
      <w:r w:rsidRPr="005F6F71">
        <w:rPr>
          <w:szCs w:val="22"/>
          <w:lang w:val="sk-SK"/>
        </w:rPr>
        <w:t xml:space="preserve"> </w:t>
      </w:r>
      <w:r w:rsidR="00763FA3" w:rsidRPr="005F6F71">
        <w:rPr>
          <w:szCs w:val="22"/>
          <w:lang w:val="sk-SK"/>
        </w:rPr>
        <w:t xml:space="preserve">bola </w:t>
      </w:r>
      <w:r w:rsidR="006E43FD" w:rsidRPr="005F6F71">
        <w:rPr>
          <w:szCs w:val="22"/>
          <w:lang w:val="sk-SK"/>
        </w:rPr>
        <w:t>hmotnostne</w:t>
      </w:r>
      <w:r w:rsidR="00763FA3" w:rsidRPr="005F6F71">
        <w:rPr>
          <w:szCs w:val="22"/>
          <w:lang w:val="sk-SK"/>
        </w:rPr>
        <w:t xml:space="preserve"> korigovaná dávka </w:t>
      </w:r>
      <w:proofErr w:type="spellStart"/>
      <w:r w:rsidRPr="005F6F71">
        <w:rPr>
          <w:szCs w:val="22"/>
          <w:lang w:val="sk-SK"/>
        </w:rPr>
        <w:t>Nocdurny</w:t>
      </w:r>
      <w:proofErr w:type="spellEnd"/>
      <w:r w:rsidRPr="005F6F71">
        <w:rPr>
          <w:szCs w:val="22"/>
          <w:lang w:val="sk-SK"/>
        </w:rPr>
        <w:t>, ktorá indukovala 50 % maxim</w:t>
      </w:r>
      <w:r w:rsidR="00271834" w:rsidRPr="005F6F71">
        <w:rPr>
          <w:szCs w:val="22"/>
          <w:lang w:val="sk-SK"/>
        </w:rPr>
        <w:t xml:space="preserve">álne dosiahnuteľného účinku </w:t>
      </w:r>
      <w:r w:rsidR="00763FA3" w:rsidRPr="005F6F71">
        <w:rPr>
          <w:szCs w:val="22"/>
          <w:lang w:val="sk-SK"/>
        </w:rPr>
        <w:t xml:space="preserve">lieku </w:t>
      </w:r>
      <w:r w:rsidR="00271834" w:rsidRPr="005F6F71">
        <w:rPr>
          <w:szCs w:val="22"/>
          <w:lang w:val="sk-SK"/>
        </w:rPr>
        <w:t xml:space="preserve">na </w:t>
      </w:r>
      <w:r w:rsidR="00763FA3" w:rsidRPr="005F6F71">
        <w:rPr>
          <w:szCs w:val="22"/>
          <w:lang w:val="sk-SK"/>
        </w:rPr>
        <w:t xml:space="preserve">objem </w:t>
      </w:r>
      <w:r w:rsidR="00271834" w:rsidRPr="005F6F71">
        <w:rPr>
          <w:szCs w:val="22"/>
          <w:lang w:val="sk-SK"/>
        </w:rPr>
        <w:t>nočn</w:t>
      </w:r>
      <w:r w:rsidR="00763FA3" w:rsidRPr="005F6F71">
        <w:rPr>
          <w:szCs w:val="22"/>
          <w:lang w:val="sk-SK"/>
        </w:rPr>
        <w:t>ého</w:t>
      </w:r>
      <w:r w:rsidR="00271834" w:rsidRPr="005F6F71">
        <w:rPr>
          <w:szCs w:val="22"/>
          <w:lang w:val="sk-SK"/>
        </w:rPr>
        <w:t xml:space="preserve"> moču</w:t>
      </w:r>
      <w:r w:rsidR="00763FA3" w:rsidRPr="005F6F71">
        <w:rPr>
          <w:szCs w:val="22"/>
          <w:lang w:val="sk-SK"/>
        </w:rPr>
        <w:t>,</w:t>
      </w:r>
      <w:r w:rsidR="00271834" w:rsidRPr="005F6F71">
        <w:rPr>
          <w:szCs w:val="22"/>
          <w:lang w:val="sk-SK"/>
        </w:rPr>
        <w:t xml:space="preserve"> významne </w:t>
      </w:r>
      <w:r w:rsidR="00763FA3" w:rsidRPr="005F6F71">
        <w:rPr>
          <w:szCs w:val="22"/>
          <w:lang w:val="sk-SK"/>
        </w:rPr>
        <w:t>odlišná</w:t>
      </w:r>
      <w:r w:rsidR="00271834" w:rsidRPr="005F6F71">
        <w:rPr>
          <w:szCs w:val="22"/>
          <w:lang w:val="sk-SK"/>
        </w:rPr>
        <w:t xml:space="preserve"> u žien a mužov. </w:t>
      </w:r>
      <w:r w:rsidR="00653B06" w:rsidRPr="005F6F71">
        <w:rPr>
          <w:szCs w:val="22"/>
          <w:lang w:val="sk-SK"/>
        </w:rPr>
        <w:t>Na dosiahnutie identi</w:t>
      </w:r>
      <w:r w:rsidR="00763FA3" w:rsidRPr="005F6F71">
        <w:rPr>
          <w:szCs w:val="22"/>
          <w:lang w:val="sk-SK"/>
        </w:rPr>
        <w:t xml:space="preserve">ckého dynamického účinku bol odhad hodnoty expozície u mužov </w:t>
      </w:r>
      <w:r w:rsidR="00271834" w:rsidRPr="005F6F71">
        <w:rPr>
          <w:szCs w:val="22"/>
          <w:lang w:val="sk-SK"/>
        </w:rPr>
        <w:t xml:space="preserve">2,7-krát (95% CI: </w:t>
      </w:r>
      <w:r w:rsidR="006E43FD" w:rsidRPr="005F6F71">
        <w:rPr>
          <w:szCs w:val="22"/>
          <w:lang w:val="sk-SK"/>
        </w:rPr>
        <w:t>1,3 – 8,1</w:t>
      </w:r>
      <w:r w:rsidR="00271834" w:rsidRPr="005F6F71">
        <w:rPr>
          <w:szCs w:val="22"/>
          <w:lang w:val="sk-SK"/>
        </w:rPr>
        <w:t>) vyšš</w:t>
      </w:r>
      <w:r w:rsidR="00763FA3" w:rsidRPr="005F6F71">
        <w:rPr>
          <w:szCs w:val="22"/>
          <w:lang w:val="sk-SK"/>
        </w:rPr>
        <w:t>í</w:t>
      </w:r>
      <w:r w:rsidR="00271834" w:rsidRPr="005F6F71">
        <w:rPr>
          <w:szCs w:val="22"/>
          <w:lang w:val="sk-SK"/>
        </w:rPr>
        <w:t xml:space="preserve"> ako u</w:t>
      </w:r>
      <w:r w:rsidR="00763FA3" w:rsidRPr="005F6F71">
        <w:rPr>
          <w:szCs w:val="22"/>
          <w:lang w:val="sk-SK"/>
        </w:rPr>
        <w:t> </w:t>
      </w:r>
      <w:r w:rsidR="00271834" w:rsidRPr="005F6F71">
        <w:rPr>
          <w:szCs w:val="22"/>
          <w:lang w:val="sk-SK"/>
        </w:rPr>
        <w:t>žien</w:t>
      </w:r>
      <w:r w:rsidR="00763FA3" w:rsidRPr="005F6F71">
        <w:rPr>
          <w:szCs w:val="22"/>
          <w:lang w:val="sk-SK"/>
        </w:rPr>
        <w:t>,</w:t>
      </w:r>
      <w:r w:rsidR="00271834" w:rsidRPr="005F6F71">
        <w:rPr>
          <w:szCs w:val="22"/>
          <w:lang w:val="sk-SK"/>
        </w:rPr>
        <w:t xml:space="preserve"> čo korešponduje s vyššou </w:t>
      </w:r>
      <w:r w:rsidR="00561EB3" w:rsidRPr="005F6F71">
        <w:rPr>
          <w:szCs w:val="22"/>
          <w:lang w:val="sk-SK"/>
        </w:rPr>
        <w:t>citlivosťou</w:t>
      </w:r>
      <w:r w:rsidR="00271834" w:rsidRPr="005F6F71">
        <w:rPr>
          <w:szCs w:val="22"/>
          <w:lang w:val="sk-SK"/>
        </w:rPr>
        <w:t xml:space="preserve"> </w:t>
      </w:r>
      <w:r w:rsidR="00763FA3" w:rsidRPr="005F6F71">
        <w:rPr>
          <w:szCs w:val="22"/>
          <w:lang w:val="sk-SK"/>
        </w:rPr>
        <w:t xml:space="preserve">žien </w:t>
      </w:r>
      <w:r w:rsidR="00271834" w:rsidRPr="005F6F71">
        <w:rPr>
          <w:szCs w:val="22"/>
          <w:lang w:val="sk-SK"/>
        </w:rPr>
        <w:t xml:space="preserve">na </w:t>
      </w:r>
      <w:proofErr w:type="spellStart"/>
      <w:r w:rsidR="00271834" w:rsidRPr="005F6F71">
        <w:rPr>
          <w:szCs w:val="22"/>
          <w:lang w:val="sk-SK"/>
        </w:rPr>
        <w:t>dezmopresín</w:t>
      </w:r>
      <w:proofErr w:type="spellEnd"/>
      <w:r w:rsidR="00271834" w:rsidRPr="005F6F71">
        <w:rPr>
          <w:szCs w:val="22"/>
          <w:lang w:val="sk-SK"/>
        </w:rPr>
        <w:t xml:space="preserve">. Rozvoj </w:t>
      </w:r>
      <w:proofErr w:type="spellStart"/>
      <w:r w:rsidR="00271834" w:rsidRPr="005F6F71">
        <w:rPr>
          <w:szCs w:val="22"/>
          <w:lang w:val="sk-SK"/>
        </w:rPr>
        <w:t>hyponatriémie</w:t>
      </w:r>
      <w:proofErr w:type="spellEnd"/>
      <w:r w:rsidR="00271834" w:rsidRPr="005F6F71">
        <w:rPr>
          <w:szCs w:val="22"/>
          <w:lang w:val="sk-SK"/>
        </w:rPr>
        <w:t xml:space="preserve"> závisí od dávky. U žien je </w:t>
      </w:r>
      <w:r w:rsidR="00CD0303" w:rsidRPr="005F6F71">
        <w:rPr>
          <w:szCs w:val="22"/>
          <w:lang w:val="sk-SK"/>
        </w:rPr>
        <w:t>vyššie</w:t>
      </w:r>
      <w:r w:rsidR="00271834" w:rsidRPr="005F6F71">
        <w:rPr>
          <w:szCs w:val="22"/>
          <w:lang w:val="sk-SK"/>
        </w:rPr>
        <w:t xml:space="preserve"> riziko vzniku </w:t>
      </w:r>
      <w:proofErr w:type="spellStart"/>
      <w:r w:rsidR="00271834" w:rsidRPr="005F6F71">
        <w:rPr>
          <w:szCs w:val="22"/>
          <w:lang w:val="sk-SK"/>
        </w:rPr>
        <w:t>hyponatriémie</w:t>
      </w:r>
      <w:proofErr w:type="spellEnd"/>
      <w:r w:rsidR="00271834" w:rsidRPr="005F6F71">
        <w:rPr>
          <w:szCs w:val="22"/>
          <w:lang w:val="sk-SK"/>
        </w:rPr>
        <w:t xml:space="preserve"> ako u mužov. </w:t>
      </w:r>
      <w:proofErr w:type="spellStart"/>
      <w:r w:rsidR="00271834" w:rsidRPr="005F6F71">
        <w:rPr>
          <w:szCs w:val="22"/>
          <w:lang w:val="sk-SK"/>
        </w:rPr>
        <w:t>Incidencia</w:t>
      </w:r>
      <w:proofErr w:type="spellEnd"/>
      <w:r w:rsidR="00271834" w:rsidRPr="005F6F71">
        <w:rPr>
          <w:szCs w:val="22"/>
          <w:lang w:val="sk-SK"/>
        </w:rPr>
        <w:t xml:space="preserve"> </w:t>
      </w:r>
      <w:proofErr w:type="spellStart"/>
      <w:r w:rsidR="00271834" w:rsidRPr="005F6F71">
        <w:rPr>
          <w:szCs w:val="22"/>
          <w:lang w:val="sk-SK"/>
        </w:rPr>
        <w:t>hyponatriémie</w:t>
      </w:r>
      <w:proofErr w:type="spellEnd"/>
      <w:r w:rsidR="00271834" w:rsidRPr="005F6F71">
        <w:rPr>
          <w:szCs w:val="22"/>
          <w:lang w:val="sk-SK"/>
        </w:rPr>
        <w:t xml:space="preserve"> vzrastá so zvyšujúcim sa vekom (pozri časti 4.2 a 4.4).</w:t>
      </w:r>
    </w:p>
    <w:p w:rsidR="00C42BAA" w:rsidRPr="005F6F71" w:rsidRDefault="00C42BAA" w:rsidP="00C42BAA">
      <w:pPr>
        <w:rPr>
          <w:szCs w:val="22"/>
          <w:lang w:val="sk-SK"/>
        </w:rPr>
      </w:pPr>
    </w:p>
    <w:p w:rsidR="00C42BAA" w:rsidRPr="005F6F71" w:rsidRDefault="00271834" w:rsidP="00C42BAA">
      <w:pPr>
        <w:rPr>
          <w:szCs w:val="22"/>
          <w:lang w:val="sk-SK"/>
        </w:rPr>
      </w:pPr>
      <w:r w:rsidRPr="005F6F71">
        <w:rPr>
          <w:szCs w:val="22"/>
          <w:u w:val="single"/>
          <w:lang w:val="sk-SK"/>
        </w:rPr>
        <w:t>Klinická účinnosť</w:t>
      </w:r>
      <w:r w:rsidR="00847117" w:rsidRPr="005F6F71">
        <w:rPr>
          <w:szCs w:val="22"/>
          <w:u w:val="single"/>
          <w:lang w:val="sk-SK"/>
        </w:rPr>
        <w:t xml:space="preserve"> </w:t>
      </w:r>
    </w:p>
    <w:p w:rsidR="000742E9" w:rsidRPr="005F6F71" w:rsidRDefault="00653B06" w:rsidP="009C47A3">
      <w:pPr>
        <w:pStyle w:val="Zoznamsodrkami"/>
        <w:numPr>
          <w:ilvl w:val="0"/>
          <w:numId w:val="0"/>
        </w:numPr>
        <w:spacing w:after="0" w:line="260" w:lineRule="exact"/>
        <w:rPr>
          <w:bCs/>
          <w:sz w:val="22"/>
          <w:szCs w:val="22"/>
          <w:lang w:val="sk-SK"/>
        </w:rPr>
      </w:pPr>
      <w:r w:rsidRPr="005F6F71">
        <w:rPr>
          <w:bCs/>
          <w:sz w:val="22"/>
          <w:szCs w:val="22"/>
          <w:lang w:val="sk-SK"/>
        </w:rPr>
        <w:t>Klinická ú</w:t>
      </w:r>
      <w:r w:rsidR="00561EB3" w:rsidRPr="005F6F71">
        <w:rPr>
          <w:bCs/>
          <w:sz w:val="22"/>
          <w:szCs w:val="22"/>
          <w:lang w:val="sk-SK"/>
        </w:rPr>
        <w:t xml:space="preserve">činnosť </w:t>
      </w:r>
      <w:proofErr w:type="spellStart"/>
      <w:r w:rsidR="00561EB3" w:rsidRPr="005F6F71">
        <w:rPr>
          <w:bCs/>
          <w:sz w:val="22"/>
          <w:szCs w:val="22"/>
          <w:lang w:val="sk-SK"/>
        </w:rPr>
        <w:t>Nocdurny</w:t>
      </w:r>
      <w:proofErr w:type="spellEnd"/>
      <w:r w:rsidR="00561EB3" w:rsidRPr="005F6F71">
        <w:rPr>
          <w:bCs/>
          <w:sz w:val="22"/>
          <w:szCs w:val="22"/>
          <w:lang w:val="sk-SK"/>
        </w:rPr>
        <w:t xml:space="preserve"> bola demonštrovaná v dvoch </w:t>
      </w:r>
      <w:proofErr w:type="spellStart"/>
      <w:r w:rsidR="00561EB3" w:rsidRPr="005F6F71">
        <w:rPr>
          <w:bCs/>
          <w:sz w:val="22"/>
          <w:szCs w:val="22"/>
          <w:lang w:val="sk-SK"/>
        </w:rPr>
        <w:t>randomizovaných</w:t>
      </w:r>
      <w:proofErr w:type="spellEnd"/>
      <w:r w:rsidR="00561EB3" w:rsidRPr="005F6F71">
        <w:rPr>
          <w:bCs/>
          <w:sz w:val="22"/>
          <w:szCs w:val="22"/>
          <w:lang w:val="sk-SK"/>
        </w:rPr>
        <w:t xml:space="preserve"> dvojito zaslepených </w:t>
      </w:r>
      <w:proofErr w:type="spellStart"/>
      <w:r w:rsidR="00561EB3" w:rsidRPr="005F6F71">
        <w:rPr>
          <w:bCs/>
          <w:sz w:val="22"/>
          <w:szCs w:val="22"/>
          <w:lang w:val="sk-SK"/>
        </w:rPr>
        <w:t>placebom</w:t>
      </w:r>
      <w:proofErr w:type="spellEnd"/>
      <w:r w:rsidR="00561EB3" w:rsidRPr="005F6F71">
        <w:rPr>
          <w:bCs/>
          <w:sz w:val="22"/>
          <w:szCs w:val="22"/>
          <w:lang w:val="sk-SK"/>
        </w:rPr>
        <w:t xml:space="preserve"> kontrolovaných štúdiách, ktorých sa zúčastnilo 268 žien (štúdia CS40, </w:t>
      </w:r>
      <w:proofErr w:type="spellStart"/>
      <w:r w:rsidR="00561EB3" w:rsidRPr="005F6F71">
        <w:rPr>
          <w:bCs/>
          <w:sz w:val="22"/>
          <w:szCs w:val="22"/>
          <w:lang w:val="sk-SK"/>
        </w:rPr>
        <w:t>dezmopresín</w:t>
      </w:r>
      <w:proofErr w:type="spellEnd"/>
      <w:r w:rsidR="00561EB3" w:rsidRPr="005F6F71">
        <w:rPr>
          <w:bCs/>
          <w:sz w:val="22"/>
          <w:szCs w:val="22"/>
          <w:lang w:val="sk-SK"/>
        </w:rPr>
        <w:t xml:space="preserve"> </w:t>
      </w:r>
      <w:proofErr w:type="spellStart"/>
      <w:r w:rsidR="00561EB3" w:rsidRPr="005F6F71">
        <w:rPr>
          <w:bCs/>
          <w:sz w:val="22"/>
          <w:szCs w:val="22"/>
          <w:lang w:val="sk-SK"/>
        </w:rPr>
        <w:t>melt</w:t>
      </w:r>
      <w:proofErr w:type="spellEnd"/>
      <w:r w:rsidR="00561EB3" w:rsidRPr="005F6F71">
        <w:rPr>
          <w:bCs/>
          <w:sz w:val="22"/>
          <w:szCs w:val="22"/>
          <w:lang w:val="sk-SK"/>
        </w:rPr>
        <w:t xml:space="preserve"> 25 </w:t>
      </w:r>
      <w:proofErr w:type="spellStart"/>
      <w:r w:rsidR="00561EB3" w:rsidRPr="005F6F71">
        <w:rPr>
          <w:bCs/>
          <w:sz w:val="22"/>
          <w:szCs w:val="22"/>
          <w:lang w:val="sk-SK"/>
        </w:rPr>
        <w:t>mikrogramov</w:t>
      </w:r>
      <w:proofErr w:type="spellEnd"/>
      <w:r w:rsidR="00561EB3" w:rsidRPr="005F6F71">
        <w:rPr>
          <w:bCs/>
          <w:sz w:val="22"/>
          <w:szCs w:val="22"/>
          <w:lang w:val="sk-SK"/>
        </w:rPr>
        <w:t xml:space="preserve"> verzus </w:t>
      </w:r>
      <w:proofErr w:type="spellStart"/>
      <w:r w:rsidR="00561EB3" w:rsidRPr="005F6F71">
        <w:rPr>
          <w:bCs/>
          <w:sz w:val="22"/>
          <w:szCs w:val="22"/>
          <w:lang w:val="sk-SK"/>
        </w:rPr>
        <w:t>placebo</w:t>
      </w:r>
      <w:proofErr w:type="spellEnd"/>
      <w:r w:rsidR="00561EB3" w:rsidRPr="005F6F71">
        <w:rPr>
          <w:bCs/>
          <w:sz w:val="22"/>
          <w:szCs w:val="22"/>
          <w:lang w:val="sk-SK"/>
        </w:rPr>
        <w:t xml:space="preserve">) a 395 mužov (štúdia CS41, </w:t>
      </w:r>
      <w:proofErr w:type="spellStart"/>
      <w:r w:rsidR="00561EB3" w:rsidRPr="005F6F71">
        <w:rPr>
          <w:bCs/>
          <w:sz w:val="22"/>
          <w:szCs w:val="22"/>
          <w:lang w:val="sk-SK"/>
        </w:rPr>
        <w:t>dezmopresín</w:t>
      </w:r>
      <w:proofErr w:type="spellEnd"/>
      <w:r w:rsidR="00561EB3" w:rsidRPr="005F6F71">
        <w:rPr>
          <w:bCs/>
          <w:sz w:val="22"/>
          <w:szCs w:val="22"/>
          <w:lang w:val="sk-SK"/>
        </w:rPr>
        <w:t xml:space="preserve"> </w:t>
      </w:r>
      <w:proofErr w:type="spellStart"/>
      <w:r w:rsidR="00CD0303" w:rsidRPr="005F6F71">
        <w:rPr>
          <w:bCs/>
          <w:sz w:val="22"/>
          <w:szCs w:val="22"/>
          <w:lang w:val="sk-SK"/>
        </w:rPr>
        <w:t>m</w:t>
      </w:r>
      <w:r w:rsidR="00561EB3" w:rsidRPr="005F6F71">
        <w:rPr>
          <w:bCs/>
          <w:sz w:val="22"/>
          <w:szCs w:val="22"/>
          <w:lang w:val="sk-SK"/>
        </w:rPr>
        <w:t>elt</w:t>
      </w:r>
      <w:proofErr w:type="spellEnd"/>
      <w:r w:rsidR="00561EB3" w:rsidRPr="005F6F71">
        <w:rPr>
          <w:bCs/>
          <w:sz w:val="22"/>
          <w:szCs w:val="22"/>
          <w:lang w:val="sk-SK"/>
        </w:rPr>
        <w:t xml:space="preserve"> 50 </w:t>
      </w:r>
      <w:proofErr w:type="spellStart"/>
      <w:r w:rsidR="00561EB3" w:rsidRPr="005F6F71">
        <w:rPr>
          <w:bCs/>
          <w:sz w:val="22"/>
          <w:szCs w:val="22"/>
          <w:lang w:val="sk-SK"/>
        </w:rPr>
        <w:t>mikrogramov</w:t>
      </w:r>
      <w:proofErr w:type="spellEnd"/>
      <w:r w:rsidR="00561EB3" w:rsidRPr="005F6F71">
        <w:rPr>
          <w:bCs/>
          <w:sz w:val="22"/>
          <w:szCs w:val="22"/>
          <w:lang w:val="sk-SK"/>
        </w:rPr>
        <w:t xml:space="preserve"> a 75 </w:t>
      </w:r>
      <w:proofErr w:type="spellStart"/>
      <w:r w:rsidR="00561EB3" w:rsidRPr="005F6F71">
        <w:rPr>
          <w:bCs/>
          <w:sz w:val="22"/>
          <w:szCs w:val="22"/>
          <w:lang w:val="sk-SK"/>
        </w:rPr>
        <w:t>mikrogramov</w:t>
      </w:r>
      <w:proofErr w:type="spellEnd"/>
      <w:r w:rsidR="00561EB3" w:rsidRPr="005F6F71">
        <w:rPr>
          <w:bCs/>
          <w:sz w:val="22"/>
          <w:szCs w:val="22"/>
          <w:lang w:val="sk-SK"/>
        </w:rPr>
        <w:t xml:space="preserve"> verzus </w:t>
      </w:r>
      <w:proofErr w:type="spellStart"/>
      <w:r w:rsidR="00561EB3" w:rsidRPr="005F6F71">
        <w:rPr>
          <w:bCs/>
          <w:sz w:val="22"/>
          <w:szCs w:val="22"/>
          <w:lang w:val="sk-SK"/>
        </w:rPr>
        <w:t>placebo</w:t>
      </w:r>
      <w:proofErr w:type="spellEnd"/>
      <w:r w:rsidR="00561EB3" w:rsidRPr="005F6F71">
        <w:rPr>
          <w:bCs/>
          <w:sz w:val="22"/>
          <w:szCs w:val="22"/>
          <w:lang w:val="sk-SK"/>
        </w:rPr>
        <w:t xml:space="preserve">) s </w:t>
      </w:r>
      <w:proofErr w:type="spellStart"/>
      <w:r w:rsidR="00561EB3" w:rsidRPr="005F6F71">
        <w:rPr>
          <w:bCs/>
          <w:sz w:val="22"/>
          <w:szCs w:val="22"/>
          <w:lang w:val="sk-SK"/>
        </w:rPr>
        <w:t>noktúriou</w:t>
      </w:r>
      <w:proofErr w:type="spellEnd"/>
      <w:r w:rsidR="00561EB3" w:rsidRPr="005F6F71">
        <w:rPr>
          <w:bCs/>
          <w:sz w:val="22"/>
          <w:szCs w:val="22"/>
          <w:lang w:val="sk-SK"/>
        </w:rPr>
        <w:t xml:space="preserve"> definovanou ako priemer</w:t>
      </w:r>
      <w:r w:rsidR="00F33210">
        <w:rPr>
          <w:bCs/>
          <w:sz w:val="22"/>
          <w:szCs w:val="22"/>
          <w:lang w:val="sk-SK"/>
        </w:rPr>
        <w:t>ne</w:t>
      </w:r>
      <w:r w:rsidR="00561EB3" w:rsidRPr="005F6F71">
        <w:rPr>
          <w:bCs/>
          <w:sz w:val="22"/>
          <w:szCs w:val="22"/>
          <w:lang w:val="sk-SK"/>
        </w:rPr>
        <w:t xml:space="preserve">  ≥ 2 nočných močení a</w:t>
      </w:r>
      <w:r w:rsidR="000716BD">
        <w:rPr>
          <w:bCs/>
          <w:sz w:val="22"/>
          <w:szCs w:val="22"/>
          <w:lang w:val="sk-SK"/>
        </w:rPr>
        <w:t> </w:t>
      </w:r>
      <w:proofErr w:type="spellStart"/>
      <w:r w:rsidR="00561EB3" w:rsidRPr="005F6F71">
        <w:rPr>
          <w:bCs/>
          <w:sz w:val="22"/>
          <w:szCs w:val="22"/>
          <w:lang w:val="sk-SK"/>
        </w:rPr>
        <w:t>polyúri</w:t>
      </w:r>
      <w:r w:rsidR="006E43FD" w:rsidRPr="005F6F71">
        <w:rPr>
          <w:bCs/>
          <w:sz w:val="22"/>
          <w:szCs w:val="22"/>
          <w:lang w:val="sk-SK"/>
        </w:rPr>
        <w:t>ou</w:t>
      </w:r>
      <w:proofErr w:type="spellEnd"/>
      <w:r w:rsidR="00561EB3" w:rsidRPr="005F6F71">
        <w:rPr>
          <w:bCs/>
          <w:sz w:val="22"/>
          <w:szCs w:val="22"/>
          <w:lang w:val="sk-SK"/>
        </w:rPr>
        <w:t xml:space="preserve"> u 90 % žien a 87 % mužov.</w:t>
      </w:r>
    </w:p>
    <w:p w:rsidR="009C47A3" w:rsidRPr="005F6F71" w:rsidRDefault="009C47A3" w:rsidP="009C47A3">
      <w:pPr>
        <w:pStyle w:val="Zoznamsodrkami"/>
        <w:numPr>
          <w:ilvl w:val="0"/>
          <w:numId w:val="0"/>
        </w:numPr>
        <w:spacing w:after="0" w:line="260" w:lineRule="exact"/>
        <w:rPr>
          <w:bCs/>
          <w:sz w:val="22"/>
          <w:szCs w:val="22"/>
          <w:lang w:val="sk-SK"/>
        </w:rPr>
      </w:pPr>
    </w:p>
    <w:p w:rsidR="000742E9" w:rsidRPr="005F6F71" w:rsidRDefault="00653B06" w:rsidP="009C47A3">
      <w:pPr>
        <w:pStyle w:val="Zoznamsodrkami"/>
        <w:numPr>
          <w:ilvl w:val="0"/>
          <w:numId w:val="0"/>
        </w:numPr>
        <w:spacing w:after="0" w:line="260" w:lineRule="exact"/>
        <w:rPr>
          <w:bCs/>
          <w:sz w:val="22"/>
          <w:szCs w:val="22"/>
          <w:lang w:val="sk-SK"/>
        </w:rPr>
      </w:pPr>
      <w:r w:rsidRPr="005F6F71">
        <w:rPr>
          <w:bCs/>
          <w:sz w:val="22"/>
          <w:szCs w:val="22"/>
          <w:lang w:val="sk-SK"/>
        </w:rPr>
        <w:t>V o</w:t>
      </w:r>
      <w:r w:rsidR="000742E9" w:rsidRPr="005F6F71">
        <w:rPr>
          <w:bCs/>
          <w:sz w:val="22"/>
          <w:szCs w:val="22"/>
          <w:lang w:val="sk-SK"/>
        </w:rPr>
        <w:t>bidv</w:t>
      </w:r>
      <w:r w:rsidRPr="005F6F71">
        <w:rPr>
          <w:bCs/>
          <w:sz w:val="22"/>
          <w:szCs w:val="22"/>
          <w:lang w:val="sk-SK"/>
        </w:rPr>
        <w:t>och</w:t>
      </w:r>
      <w:r w:rsidR="000742E9" w:rsidRPr="005F6F71">
        <w:rPr>
          <w:bCs/>
          <w:sz w:val="22"/>
          <w:szCs w:val="22"/>
          <w:lang w:val="sk-SK"/>
        </w:rPr>
        <w:t xml:space="preserve"> štúdi</w:t>
      </w:r>
      <w:r w:rsidRPr="005F6F71">
        <w:rPr>
          <w:bCs/>
          <w:sz w:val="22"/>
          <w:szCs w:val="22"/>
          <w:lang w:val="sk-SK"/>
        </w:rPr>
        <w:t>ách sa</w:t>
      </w:r>
      <w:r w:rsidR="000742E9" w:rsidRPr="005F6F71">
        <w:rPr>
          <w:bCs/>
          <w:sz w:val="22"/>
          <w:szCs w:val="22"/>
          <w:lang w:val="sk-SK"/>
        </w:rPr>
        <w:t xml:space="preserve"> dosiahli </w:t>
      </w:r>
      <w:proofErr w:type="spellStart"/>
      <w:r w:rsidR="000742E9" w:rsidRPr="005F6F71">
        <w:rPr>
          <w:bCs/>
          <w:sz w:val="22"/>
          <w:szCs w:val="22"/>
          <w:lang w:val="sk-SK"/>
        </w:rPr>
        <w:t>ko-primárne</w:t>
      </w:r>
      <w:proofErr w:type="spellEnd"/>
      <w:r w:rsidR="000742E9" w:rsidRPr="005F6F71">
        <w:rPr>
          <w:bCs/>
          <w:sz w:val="22"/>
          <w:szCs w:val="22"/>
          <w:lang w:val="sk-SK"/>
        </w:rPr>
        <w:t xml:space="preserve"> </w:t>
      </w:r>
      <w:r w:rsidR="00122187" w:rsidRPr="005F6F71">
        <w:rPr>
          <w:bCs/>
          <w:sz w:val="22"/>
          <w:szCs w:val="22"/>
          <w:lang w:val="sk-SK"/>
        </w:rPr>
        <w:t>výsledné</w:t>
      </w:r>
      <w:r w:rsidR="000742E9" w:rsidRPr="005F6F71">
        <w:rPr>
          <w:bCs/>
          <w:sz w:val="22"/>
          <w:szCs w:val="22"/>
          <w:lang w:val="sk-SK"/>
        </w:rPr>
        <w:t xml:space="preserve"> ukazovatele so štatisticky </w:t>
      </w:r>
      <w:proofErr w:type="spellStart"/>
      <w:r w:rsidR="000742E9" w:rsidRPr="005F6F71">
        <w:rPr>
          <w:bCs/>
          <w:sz w:val="22"/>
          <w:szCs w:val="22"/>
          <w:lang w:val="sk-SK"/>
        </w:rPr>
        <w:t>signifikantnými</w:t>
      </w:r>
      <w:proofErr w:type="spellEnd"/>
      <w:r w:rsidR="000742E9" w:rsidRPr="005F6F71">
        <w:rPr>
          <w:bCs/>
          <w:sz w:val="22"/>
          <w:szCs w:val="22"/>
          <w:lang w:val="sk-SK"/>
        </w:rPr>
        <w:t xml:space="preserve"> rozdielmi v</w:t>
      </w:r>
      <w:r w:rsidR="00CD0303" w:rsidRPr="005F6F71">
        <w:rPr>
          <w:bCs/>
          <w:sz w:val="22"/>
          <w:szCs w:val="22"/>
          <w:lang w:val="sk-SK"/>
        </w:rPr>
        <w:t> </w:t>
      </w:r>
      <w:r w:rsidR="000742E9" w:rsidRPr="005F6F71">
        <w:rPr>
          <w:bCs/>
          <w:sz w:val="22"/>
          <w:szCs w:val="22"/>
          <w:lang w:val="sk-SK"/>
        </w:rPr>
        <w:t xml:space="preserve">prospech </w:t>
      </w:r>
      <w:proofErr w:type="spellStart"/>
      <w:r w:rsidR="000742E9" w:rsidRPr="005F6F71">
        <w:rPr>
          <w:bCs/>
          <w:sz w:val="22"/>
          <w:szCs w:val="22"/>
          <w:lang w:val="sk-SK"/>
        </w:rPr>
        <w:t>dezmopresínu</w:t>
      </w:r>
      <w:proofErr w:type="spellEnd"/>
      <w:r w:rsidR="000742E9" w:rsidRPr="005F6F71">
        <w:rPr>
          <w:bCs/>
          <w:sz w:val="22"/>
          <w:szCs w:val="22"/>
          <w:lang w:val="sk-SK"/>
        </w:rPr>
        <w:t xml:space="preserve"> </w:t>
      </w:r>
      <w:proofErr w:type="spellStart"/>
      <w:r w:rsidR="00CD0303" w:rsidRPr="005F6F71">
        <w:rPr>
          <w:bCs/>
          <w:sz w:val="22"/>
          <w:szCs w:val="22"/>
          <w:lang w:val="sk-SK"/>
        </w:rPr>
        <w:t>m</w:t>
      </w:r>
      <w:r w:rsidR="000742E9" w:rsidRPr="005F6F71">
        <w:rPr>
          <w:bCs/>
          <w:sz w:val="22"/>
          <w:szCs w:val="22"/>
          <w:lang w:val="sk-SK"/>
        </w:rPr>
        <w:t>elt</w:t>
      </w:r>
      <w:proofErr w:type="spellEnd"/>
      <w:r w:rsidR="000742E9" w:rsidRPr="005F6F71">
        <w:rPr>
          <w:bCs/>
          <w:sz w:val="22"/>
          <w:szCs w:val="22"/>
          <w:lang w:val="sk-SK"/>
        </w:rPr>
        <w:t xml:space="preserve"> počas 3 mesiacov. </w:t>
      </w:r>
      <w:r w:rsidR="007657AA" w:rsidRPr="005F6F71">
        <w:rPr>
          <w:bCs/>
          <w:sz w:val="22"/>
          <w:szCs w:val="22"/>
          <w:lang w:val="sk-SK"/>
        </w:rPr>
        <w:t xml:space="preserve">Dosiahlo sa štatisticky významné zníženie </w:t>
      </w:r>
      <w:r w:rsidRPr="005F6F71">
        <w:rPr>
          <w:bCs/>
          <w:sz w:val="22"/>
          <w:szCs w:val="22"/>
          <w:lang w:val="sk-SK"/>
        </w:rPr>
        <w:t>korigovaného</w:t>
      </w:r>
      <w:r w:rsidR="007657AA" w:rsidRPr="005F6F71">
        <w:rPr>
          <w:bCs/>
          <w:sz w:val="22"/>
          <w:szCs w:val="22"/>
          <w:lang w:val="sk-SK"/>
        </w:rPr>
        <w:t xml:space="preserve"> priemern</w:t>
      </w:r>
      <w:r w:rsidRPr="005F6F71">
        <w:rPr>
          <w:bCs/>
          <w:sz w:val="22"/>
          <w:szCs w:val="22"/>
          <w:lang w:val="sk-SK"/>
        </w:rPr>
        <w:t>ého</w:t>
      </w:r>
      <w:r w:rsidR="007657AA" w:rsidRPr="005F6F71">
        <w:rPr>
          <w:bCs/>
          <w:sz w:val="22"/>
          <w:szCs w:val="22"/>
          <w:lang w:val="sk-SK"/>
        </w:rPr>
        <w:t xml:space="preserve"> počt</w:t>
      </w:r>
      <w:r w:rsidRPr="005F6F71">
        <w:rPr>
          <w:bCs/>
          <w:sz w:val="22"/>
          <w:szCs w:val="22"/>
          <w:lang w:val="sk-SK"/>
        </w:rPr>
        <w:t>u</w:t>
      </w:r>
      <w:r w:rsidR="007657AA" w:rsidRPr="005F6F71">
        <w:rPr>
          <w:bCs/>
          <w:sz w:val="22"/>
          <w:szCs w:val="22"/>
          <w:lang w:val="sk-SK"/>
        </w:rPr>
        <w:t xml:space="preserve"> nočných močení </w:t>
      </w:r>
      <w:r w:rsidRPr="005F6F71">
        <w:rPr>
          <w:bCs/>
          <w:sz w:val="22"/>
          <w:szCs w:val="22"/>
          <w:lang w:val="sk-SK"/>
        </w:rPr>
        <w:t xml:space="preserve">oproti vstupným hodnotám pri liečbe  </w:t>
      </w:r>
      <w:proofErr w:type="spellStart"/>
      <w:r w:rsidRPr="005F6F71">
        <w:rPr>
          <w:bCs/>
          <w:sz w:val="22"/>
          <w:szCs w:val="22"/>
          <w:lang w:val="sk-SK"/>
        </w:rPr>
        <w:t>dezmopresínom</w:t>
      </w:r>
      <w:proofErr w:type="spellEnd"/>
      <w:r w:rsidR="007657AA" w:rsidRPr="005F6F71">
        <w:rPr>
          <w:bCs/>
          <w:sz w:val="22"/>
          <w:szCs w:val="22"/>
          <w:lang w:val="sk-SK"/>
        </w:rPr>
        <w:t xml:space="preserve"> </w:t>
      </w:r>
      <w:proofErr w:type="spellStart"/>
      <w:r w:rsidR="00CD0303" w:rsidRPr="005F6F71">
        <w:rPr>
          <w:bCs/>
          <w:sz w:val="22"/>
          <w:szCs w:val="22"/>
          <w:lang w:val="sk-SK"/>
        </w:rPr>
        <w:t>m</w:t>
      </w:r>
      <w:r w:rsidR="007657AA" w:rsidRPr="005F6F71">
        <w:rPr>
          <w:bCs/>
          <w:sz w:val="22"/>
          <w:szCs w:val="22"/>
          <w:lang w:val="sk-SK"/>
        </w:rPr>
        <w:t>elt</w:t>
      </w:r>
      <w:proofErr w:type="spellEnd"/>
      <w:r w:rsidR="007657AA" w:rsidRPr="005F6F71">
        <w:rPr>
          <w:bCs/>
          <w:sz w:val="22"/>
          <w:szCs w:val="22"/>
          <w:lang w:val="sk-SK"/>
        </w:rPr>
        <w:t xml:space="preserve"> 25 </w:t>
      </w:r>
      <w:proofErr w:type="spellStart"/>
      <w:r w:rsidR="007657AA" w:rsidRPr="005F6F71">
        <w:rPr>
          <w:bCs/>
          <w:sz w:val="22"/>
          <w:szCs w:val="22"/>
          <w:lang w:val="sk-SK"/>
        </w:rPr>
        <w:t>mikrogramov</w:t>
      </w:r>
      <w:proofErr w:type="spellEnd"/>
      <w:r w:rsidR="007657AA" w:rsidRPr="005F6F71">
        <w:rPr>
          <w:bCs/>
          <w:sz w:val="22"/>
          <w:szCs w:val="22"/>
          <w:lang w:val="sk-SK"/>
        </w:rPr>
        <w:t xml:space="preserve"> (-1,46) </w:t>
      </w:r>
      <w:r w:rsidR="00CF3623">
        <w:rPr>
          <w:bCs/>
          <w:sz w:val="22"/>
          <w:szCs w:val="22"/>
          <w:lang w:val="sk-SK"/>
        </w:rPr>
        <w:t xml:space="preserve">oproti </w:t>
      </w:r>
      <w:proofErr w:type="spellStart"/>
      <w:r w:rsidR="007657AA" w:rsidRPr="005F6F71">
        <w:rPr>
          <w:bCs/>
          <w:sz w:val="22"/>
          <w:szCs w:val="22"/>
          <w:lang w:val="sk-SK"/>
        </w:rPr>
        <w:t>placeb</w:t>
      </w:r>
      <w:r w:rsidR="00CF3623">
        <w:rPr>
          <w:bCs/>
          <w:sz w:val="22"/>
          <w:szCs w:val="22"/>
          <w:lang w:val="sk-SK"/>
        </w:rPr>
        <w:t>u</w:t>
      </w:r>
      <w:proofErr w:type="spellEnd"/>
      <w:r w:rsidR="007657AA" w:rsidRPr="005F6F71">
        <w:rPr>
          <w:bCs/>
          <w:sz w:val="22"/>
          <w:szCs w:val="22"/>
          <w:lang w:val="sk-SK"/>
        </w:rPr>
        <w:t xml:space="preserve"> (-1</w:t>
      </w:r>
      <w:r w:rsidRPr="005F6F71">
        <w:rPr>
          <w:bCs/>
          <w:sz w:val="22"/>
          <w:szCs w:val="22"/>
          <w:lang w:val="sk-SK"/>
        </w:rPr>
        <w:t>,</w:t>
      </w:r>
      <w:r w:rsidR="007657AA" w:rsidRPr="005F6F71">
        <w:rPr>
          <w:bCs/>
          <w:sz w:val="22"/>
          <w:szCs w:val="22"/>
          <w:lang w:val="sk-SK"/>
        </w:rPr>
        <w:t>24) v štúdii u žien (p</w:t>
      </w:r>
      <w:r w:rsidR="00CD0303" w:rsidRPr="005F6F71">
        <w:rPr>
          <w:bCs/>
          <w:sz w:val="22"/>
          <w:szCs w:val="22"/>
          <w:lang w:val="sk-SK"/>
        </w:rPr>
        <w:t> </w:t>
      </w:r>
      <w:r w:rsidR="007657AA" w:rsidRPr="005F6F71">
        <w:rPr>
          <w:bCs/>
          <w:sz w:val="22"/>
          <w:szCs w:val="22"/>
          <w:lang w:val="sk-SK"/>
        </w:rPr>
        <w:t>=</w:t>
      </w:r>
      <w:r w:rsidR="00CD0303" w:rsidRPr="005F6F71">
        <w:rPr>
          <w:bCs/>
          <w:sz w:val="22"/>
          <w:szCs w:val="22"/>
          <w:lang w:val="sk-SK"/>
        </w:rPr>
        <w:t> </w:t>
      </w:r>
      <w:r w:rsidR="007657AA" w:rsidRPr="005F6F71">
        <w:rPr>
          <w:bCs/>
          <w:sz w:val="22"/>
          <w:szCs w:val="22"/>
          <w:lang w:val="sk-SK"/>
        </w:rPr>
        <w:t>0,028) (obr.1) a</w:t>
      </w:r>
      <w:r w:rsidRPr="005F6F71">
        <w:rPr>
          <w:bCs/>
          <w:sz w:val="22"/>
          <w:szCs w:val="22"/>
          <w:lang w:val="sk-SK"/>
        </w:rPr>
        <w:t xml:space="preserve"> pri liečbe </w:t>
      </w:r>
      <w:proofErr w:type="spellStart"/>
      <w:r w:rsidR="007657AA" w:rsidRPr="005F6F71">
        <w:rPr>
          <w:bCs/>
          <w:sz w:val="22"/>
          <w:szCs w:val="22"/>
          <w:lang w:val="sk-SK"/>
        </w:rPr>
        <w:t>dezmopresín</w:t>
      </w:r>
      <w:r w:rsidRPr="005F6F71">
        <w:rPr>
          <w:bCs/>
          <w:sz w:val="22"/>
          <w:szCs w:val="22"/>
          <w:lang w:val="sk-SK"/>
        </w:rPr>
        <w:t>om</w:t>
      </w:r>
      <w:proofErr w:type="spellEnd"/>
      <w:r w:rsidR="007657AA" w:rsidRPr="005F6F71">
        <w:rPr>
          <w:bCs/>
          <w:sz w:val="22"/>
          <w:szCs w:val="22"/>
          <w:lang w:val="sk-SK"/>
        </w:rPr>
        <w:t xml:space="preserve"> </w:t>
      </w:r>
      <w:proofErr w:type="spellStart"/>
      <w:r w:rsidR="007657AA" w:rsidRPr="005F6F71">
        <w:rPr>
          <w:bCs/>
          <w:sz w:val="22"/>
          <w:szCs w:val="22"/>
          <w:lang w:val="sk-SK"/>
        </w:rPr>
        <w:t>melt</w:t>
      </w:r>
      <w:proofErr w:type="spellEnd"/>
      <w:r w:rsidR="007657AA" w:rsidRPr="005F6F71">
        <w:rPr>
          <w:bCs/>
          <w:sz w:val="22"/>
          <w:szCs w:val="22"/>
          <w:lang w:val="sk-SK"/>
        </w:rPr>
        <w:t xml:space="preserve"> 50 </w:t>
      </w:r>
      <w:proofErr w:type="spellStart"/>
      <w:r w:rsidR="007657AA" w:rsidRPr="005F6F71">
        <w:rPr>
          <w:bCs/>
          <w:sz w:val="22"/>
          <w:szCs w:val="22"/>
          <w:lang w:val="sk-SK"/>
        </w:rPr>
        <w:t>mikrogramov</w:t>
      </w:r>
      <w:proofErr w:type="spellEnd"/>
      <w:r w:rsidR="007657AA" w:rsidRPr="005F6F71">
        <w:rPr>
          <w:bCs/>
          <w:sz w:val="22"/>
          <w:szCs w:val="22"/>
          <w:lang w:val="sk-SK"/>
        </w:rPr>
        <w:t xml:space="preserve"> (-1</w:t>
      </w:r>
      <w:r w:rsidRPr="005F6F71">
        <w:rPr>
          <w:bCs/>
          <w:sz w:val="22"/>
          <w:szCs w:val="22"/>
          <w:lang w:val="sk-SK"/>
        </w:rPr>
        <w:t>,</w:t>
      </w:r>
      <w:r w:rsidR="007657AA" w:rsidRPr="005F6F71">
        <w:rPr>
          <w:bCs/>
          <w:sz w:val="22"/>
          <w:szCs w:val="22"/>
          <w:lang w:val="sk-SK"/>
        </w:rPr>
        <w:t xml:space="preserve">25) </w:t>
      </w:r>
      <w:r w:rsidR="00CF3623">
        <w:rPr>
          <w:bCs/>
          <w:sz w:val="22"/>
          <w:szCs w:val="22"/>
          <w:lang w:val="sk-SK"/>
        </w:rPr>
        <w:t>oproti </w:t>
      </w:r>
      <w:proofErr w:type="spellStart"/>
      <w:r w:rsidR="007657AA" w:rsidRPr="005F6F71">
        <w:rPr>
          <w:bCs/>
          <w:sz w:val="22"/>
          <w:szCs w:val="22"/>
          <w:lang w:val="sk-SK"/>
        </w:rPr>
        <w:t>placeb</w:t>
      </w:r>
      <w:r w:rsidR="00CF3623">
        <w:rPr>
          <w:bCs/>
          <w:sz w:val="22"/>
          <w:szCs w:val="22"/>
          <w:lang w:val="sk-SK"/>
        </w:rPr>
        <w:t>u</w:t>
      </w:r>
      <w:proofErr w:type="spellEnd"/>
      <w:r w:rsidR="00CF3623">
        <w:rPr>
          <w:bCs/>
          <w:sz w:val="22"/>
          <w:szCs w:val="22"/>
          <w:lang w:val="sk-SK"/>
        </w:rPr>
        <w:t xml:space="preserve"> </w:t>
      </w:r>
      <w:r w:rsidR="007657AA" w:rsidRPr="005F6F71">
        <w:rPr>
          <w:bCs/>
          <w:sz w:val="22"/>
          <w:szCs w:val="22"/>
          <w:lang w:val="sk-SK"/>
        </w:rPr>
        <w:t>(-</w:t>
      </w:r>
      <w:r w:rsidR="00CF3623">
        <w:rPr>
          <w:bCs/>
          <w:sz w:val="22"/>
          <w:szCs w:val="22"/>
          <w:lang w:val="sk-SK"/>
        </w:rPr>
        <w:t> 0</w:t>
      </w:r>
      <w:r w:rsidR="007657AA" w:rsidRPr="005F6F71">
        <w:rPr>
          <w:bCs/>
          <w:sz w:val="22"/>
          <w:szCs w:val="22"/>
          <w:lang w:val="sk-SK"/>
        </w:rPr>
        <w:t xml:space="preserve">,88) v skupine mužov </w:t>
      </w:r>
      <w:r w:rsidRPr="005F6F71">
        <w:rPr>
          <w:bCs/>
          <w:sz w:val="22"/>
          <w:szCs w:val="22"/>
          <w:lang w:val="sk-SK"/>
        </w:rPr>
        <w:t xml:space="preserve">(p = 0,0003) </w:t>
      </w:r>
      <w:r w:rsidR="007657AA" w:rsidRPr="005F6F71">
        <w:rPr>
          <w:bCs/>
          <w:sz w:val="22"/>
          <w:szCs w:val="22"/>
          <w:lang w:val="sk-SK"/>
        </w:rPr>
        <w:t xml:space="preserve">(obr. 2). Podiel subjektov s &gt; 33% </w:t>
      </w:r>
      <w:r w:rsidRPr="005F6F71">
        <w:rPr>
          <w:bCs/>
          <w:sz w:val="22"/>
          <w:szCs w:val="22"/>
          <w:lang w:val="sk-SK"/>
        </w:rPr>
        <w:t>poklesom</w:t>
      </w:r>
      <w:r w:rsidR="007657AA" w:rsidRPr="005F6F71">
        <w:rPr>
          <w:bCs/>
          <w:sz w:val="22"/>
          <w:szCs w:val="22"/>
          <w:lang w:val="sk-SK"/>
        </w:rPr>
        <w:t xml:space="preserve"> priemerného počtu nočných močení (</w:t>
      </w:r>
      <w:r w:rsidRPr="005F6F71">
        <w:rPr>
          <w:bCs/>
          <w:sz w:val="22"/>
          <w:szCs w:val="22"/>
          <w:lang w:val="sk-SK"/>
        </w:rPr>
        <w:t>terapeutická odpoveď</w:t>
      </w:r>
      <w:r w:rsidR="007657AA" w:rsidRPr="005F6F71">
        <w:rPr>
          <w:bCs/>
          <w:sz w:val="22"/>
          <w:szCs w:val="22"/>
          <w:lang w:val="sk-SK"/>
        </w:rPr>
        <w:t xml:space="preserve">) sa </w:t>
      </w:r>
      <w:proofErr w:type="spellStart"/>
      <w:r w:rsidR="007657AA" w:rsidRPr="005F6F71">
        <w:rPr>
          <w:bCs/>
          <w:sz w:val="22"/>
          <w:szCs w:val="22"/>
          <w:lang w:val="sk-SK"/>
        </w:rPr>
        <w:t>signifikantne</w:t>
      </w:r>
      <w:proofErr w:type="spellEnd"/>
      <w:r w:rsidR="007657AA" w:rsidRPr="005F6F71">
        <w:rPr>
          <w:bCs/>
          <w:sz w:val="22"/>
          <w:szCs w:val="22"/>
          <w:lang w:val="sk-SK"/>
        </w:rPr>
        <w:t xml:space="preserve"> zvýšil, skoro dvojnásobne. Pravdepodobnosť  &gt; 33% znížen</w:t>
      </w:r>
      <w:r w:rsidRPr="005F6F71">
        <w:rPr>
          <w:bCs/>
          <w:sz w:val="22"/>
          <w:szCs w:val="22"/>
          <w:lang w:val="sk-SK"/>
        </w:rPr>
        <w:t>i</w:t>
      </w:r>
      <w:r w:rsidR="006E43FD" w:rsidRPr="005F6F71">
        <w:rPr>
          <w:bCs/>
          <w:sz w:val="22"/>
          <w:szCs w:val="22"/>
          <w:lang w:val="sk-SK"/>
        </w:rPr>
        <w:t>a</w:t>
      </w:r>
      <w:r w:rsidRPr="005F6F71">
        <w:rPr>
          <w:bCs/>
          <w:sz w:val="22"/>
          <w:szCs w:val="22"/>
          <w:lang w:val="sk-SK"/>
        </w:rPr>
        <w:t xml:space="preserve"> pri </w:t>
      </w:r>
      <w:proofErr w:type="spellStart"/>
      <w:r w:rsidR="007657AA" w:rsidRPr="005F6F71">
        <w:rPr>
          <w:bCs/>
          <w:sz w:val="22"/>
          <w:szCs w:val="22"/>
          <w:lang w:val="sk-SK"/>
        </w:rPr>
        <w:t>dezmopresín</w:t>
      </w:r>
      <w:r w:rsidRPr="005F6F71">
        <w:rPr>
          <w:bCs/>
          <w:sz w:val="22"/>
          <w:szCs w:val="22"/>
          <w:lang w:val="sk-SK"/>
        </w:rPr>
        <w:t>e</w:t>
      </w:r>
      <w:proofErr w:type="spellEnd"/>
      <w:r w:rsidR="007657AA" w:rsidRPr="005F6F71">
        <w:rPr>
          <w:bCs/>
          <w:sz w:val="22"/>
          <w:szCs w:val="22"/>
          <w:lang w:val="sk-SK"/>
        </w:rPr>
        <w:t xml:space="preserve"> </w:t>
      </w:r>
      <w:proofErr w:type="spellStart"/>
      <w:r w:rsidR="007657AA" w:rsidRPr="005F6F71">
        <w:rPr>
          <w:bCs/>
          <w:sz w:val="22"/>
          <w:szCs w:val="22"/>
          <w:lang w:val="sk-SK"/>
        </w:rPr>
        <w:t>melt</w:t>
      </w:r>
      <w:proofErr w:type="spellEnd"/>
      <w:r w:rsidR="007657AA" w:rsidRPr="005F6F71">
        <w:rPr>
          <w:bCs/>
          <w:sz w:val="22"/>
          <w:szCs w:val="22"/>
          <w:lang w:val="sk-SK"/>
        </w:rPr>
        <w:t xml:space="preserve"> 25 </w:t>
      </w:r>
      <w:proofErr w:type="spellStart"/>
      <w:r w:rsidR="007657AA" w:rsidRPr="005F6F71">
        <w:rPr>
          <w:bCs/>
          <w:sz w:val="22"/>
          <w:szCs w:val="22"/>
          <w:lang w:val="sk-SK"/>
        </w:rPr>
        <w:t>mikrogramov</w:t>
      </w:r>
      <w:proofErr w:type="spellEnd"/>
      <w:r w:rsidR="007657AA" w:rsidRPr="005F6F71">
        <w:rPr>
          <w:bCs/>
          <w:sz w:val="22"/>
          <w:szCs w:val="22"/>
          <w:lang w:val="sk-SK"/>
        </w:rPr>
        <w:t xml:space="preserve"> </w:t>
      </w:r>
      <w:r w:rsidR="006E43FD" w:rsidRPr="005F6F71">
        <w:rPr>
          <w:bCs/>
          <w:sz w:val="22"/>
          <w:szCs w:val="22"/>
          <w:lang w:val="sk-SK"/>
        </w:rPr>
        <w:t>oproti</w:t>
      </w:r>
      <w:r w:rsidR="007657AA" w:rsidRPr="005F6F71">
        <w:rPr>
          <w:bCs/>
          <w:sz w:val="22"/>
          <w:szCs w:val="22"/>
          <w:lang w:val="sk-SK"/>
        </w:rPr>
        <w:t xml:space="preserve"> </w:t>
      </w:r>
      <w:proofErr w:type="spellStart"/>
      <w:r w:rsidR="007657AA" w:rsidRPr="005F6F71">
        <w:rPr>
          <w:bCs/>
          <w:sz w:val="22"/>
          <w:szCs w:val="22"/>
          <w:lang w:val="sk-SK"/>
        </w:rPr>
        <w:t>placeb</w:t>
      </w:r>
      <w:r w:rsidR="006E43FD" w:rsidRPr="005F6F71">
        <w:rPr>
          <w:bCs/>
          <w:sz w:val="22"/>
          <w:szCs w:val="22"/>
          <w:lang w:val="sk-SK"/>
        </w:rPr>
        <w:t>u</w:t>
      </w:r>
      <w:proofErr w:type="spellEnd"/>
      <w:r w:rsidR="007657AA" w:rsidRPr="005F6F71">
        <w:rPr>
          <w:bCs/>
          <w:sz w:val="22"/>
          <w:szCs w:val="22"/>
          <w:lang w:val="sk-SK"/>
        </w:rPr>
        <w:t xml:space="preserve"> bola 1,85 (p</w:t>
      </w:r>
      <w:r w:rsidR="00CD0303" w:rsidRPr="005F6F71">
        <w:rPr>
          <w:bCs/>
          <w:sz w:val="22"/>
          <w:szCs w:val="22"/>
          <w:lang w:val="sk-SK"/>
        </w:rPr>
        <w:t> </w:t>
      </w:r>
      <w:r w:rsidR="007657AA" w:rsidRPr="005F6F71">
        <w:rPr>
          <w:bCs/>
          <w:sz w:val="22"/>
          <w:szCs w:val="22"/>
          <w:lang w:val="sk-SK"/>
        </w:rPr>
        <w:t>=</w:t>
      </w:r>
      <w:r w:rsidR="00CD0303" w:rsidRPr="005F6F71">
        <w:rPr>
          <w:bCs/>
          <w:sz w:val="22"/>
          <w:szCs w:val="22"/>
          <w:lang w:val="sk-SK"/>
        </w:rPr>
        <w:t> </w:t>
      </w:r>
      <w:r w:rsidR="007657AA" w:rsidRPr="005F6F71">
        <w:rPr>
          <w:bCs/>
          <w:sz w:val="22"/>
          <w:szCs w:val="22"/>
          <w:lang w:val="sk-SK"/>
        </w:rPr>
        <w:t xml:space="preserve">0,006) </w:t>
      </w:r>
      <w:r w:rsidRPr="005F6F71">
        <w:rPr>
          <w:bCs/>
          <w:sz w:val="22"/>
          <w:szCs w:val="22"/>
          <w:lang w:val="sk-SK"/>
        </w:rPr>
        <w:t xml:space="preserve">v štúdii </w:t>
      </w:r>
      <w:r w:rsidR="007657AA" w:rsidRPr="005F6F71">
        <w:rPr>
          <w:bCs/>
          <w:sz w:val="22"/>
          <w:szCs w:val="22"/>
          <w:lang w:val="sk-SK"/>
        </w:rPr>
        <w:t>u žien a</w:t>
      </w:r>
      <w:r w:rsidR="00CF3623">
        <w:rPr>
          <w:bCs/>
          <w:sz w:val="22"/>
          <w:szCs w:val="22"/>
          <w:lang w:val="sk-SK"/>
        </w:rPr>
        <w:t> </w:t>
      </w:r>
      <w:r w:rsidR="007657AA" w:rsidRPr="005F6F71">
        <w:rPr>
          <w:bCs/>
          <w:sz w:val="22"/>
          <w:szCs w:val="22"/>
          <w:lang w:val="sk-SK"/>
        </w:rPr>
        <w:t>pravdepodobnosť &gt; 33% zníženi</w:t>
      </w:r>
      <w:r w:rsidR="006E43FD" w:rsidRPr="005F6F71">
        <w:rPr>
          <w:bCs/>
          <w:sz w:val="22"/>
          <w:szCs w:val="22"/>
          <w:lang w:val="sk-SK"/>
        </w:rPr>
        <w:t>a</w:t>
      </w:r>
      <w:r w:rsidR="007657AA" w:rsidRPr="005F6F71">
        <w:rPr>
          <w:bCs/>
          <w:sz w:val="22"/>
          <w:szCs w:val="22"/>
          <w:lang w:val="sk-SK"/>
        </w:rPr>
        <w:t xml:space="preserve"> </w:t>
      </w:r>
      <w:r w:rsidRPr="005F6F71">
        <w:rPr>
          <w:bCs/>
          <w:sz w:val="22"/>
          <w:szCs w:val="22"/>
          <w:lang w:val="sk-SK"/>
        </w:rPr>
        <w:t xml:space="preserve">pri </w:t>
      </w:r>
      <w:proofErr w:type="spellStart"/>
      <w:r w:rsidR="007657AA" w:rsidRPr="005F6F71">
        <w:rPr>
          <w:bCs/>
          <w:sz w:val="22"/>
          <w:szCs w:val="22"/>
          <w:lang w:val="sk-SK"/>
        </w:rPr>
        <w:t>dezmopresín</w:t>
      </w:r>
      <w:r w:rsidRPr="005F6F71">
        <w:rPr>
          <w:bCs/>
          <w:sz w:val="22"/>
          <w:szCs w:val="22"/>
          <w:lang w:val="sk-SK"/>
        </w:rPr>
        <w:t>e</w:t>
      </w:r>
      <w:proofErr w:type="spellEnd"/>
      <w:r w:rsidR="007657AA" w:rsidRPr="005F6F71">
        <w:rPr>
          <w:bCs/>
          <w:sz w:val="22"/>
          <w:szCs w:val="22"/>
          <w:lang w:val="sk-SK"/>
        </w:rPr>
        <w:t xml:space="preserve"> </w:t>
      </w:r>
      <w:proofErr w:type="spellStart"/>
      <w:r w:rsidR="007657AA" w:rsidRPr="005F6F71">
        <w:rPr>
          <w:bCs/>
          <w:sz w:val="22"/>
          <w:szCs w:val="22"/>
          <w:lang w:val="sk-SK"/>
        </w:rPr>
        <w:t>melt</w:t>
      </w:r>
      <w:proofErr w:type="spellEnd"/>
      <w:r w:rsidR="007657AA" w:rsidRPr="005F6F71">
        <w:rPr>
          <w:bCs/>
          <w:sz w:val="22"/>
          <w:szCs w:val="22"/>
          <w:lang w:val="sk-SK"/>
        </w:rPr>
        <w:t xml:space="preserve"> 50 </w:t>
      </w:r>
      <w:proofErr w:type="spellStart"/>
      <w:r w:rsidR="007657AA" w:rsidRPr="005F6F71">
        <w:rPr>
          <w:bCs/>
          <w:sz w:val="22"/>
          <w:szCs w:val="22"/>
          <w:lang w:val="sk-SK"/>
        </w:rPr>
        <w:t>mikrogramov</w:t>
      </w:r>
      <w:proofErr w:type="spellEnd"/>
      <w:r w:rsidR="007657AA" w:rsidRPr="005F6F71">
        <w:rPr>
          <w:bCs/>
          <w:sz w:val="22"/>
          <w:szCs w:val="22"/>
          <w:lang w:val="sk-SK"/>
        </w:rPr>
        <w:t xml:space="preserve"> </w:t>
      </w:r>
      <w:r w:rsidR="006E43FD" w:rsidRPr="005F6F71">
        <w:rPr>
          <w:bCs/>
          <w:sz w:val="22"/>
          <w:szCs w:val="22"/>
          <w:lang w:val="sk-SK"/>
        </w:rPr>
        <w:t>oproti</w:t>
      </w:r>
      <w:r w:rsidR="007657AA" w:rsidRPr="005F6F71">
        <w:rPr>
          <w:bCs/>
          <w:sz w:val="22"/>
          <w:szCs w:val="22"/>
          <w:lang w:val="sk-SK"/>
        </w:rPr>
        <w:t xml:space="preserve"> </w:t>
      </w:r>
      <w:proofErr w:type="spellStart"/>
      <w:r w:rsidR="007657AA" w:rsidRPr="005F6F71">
        <w:rPr>
          <w:bCs/>
          <w:sz w:val="22"/>
          <w:szCs w:val="22"/>
          <w:lang w:val="sk-SK"/>
        </w:rPr>
        <w:t>placeb</w:t>
      </w:r>
      <w:r w:rsidR="006E43FD" w:rsidRPr="005F6F71">
        <w:rPr>
          <w:bCs/>
          <w:sz w:val="22"/>
          <w:szCs w:val="22"/>
          <w:lang w:val="sk-SK"/>
        </w:rPr>
        <w:t>u</w:t>
      </w:r>
      <w:proofErr w:type="spellEnd"/>
      <w:r w:rsidR="007657AA" w:rsidRPr="005F6F71">
        <w:rPr>
          <w:bCs/>
          <w:sz w:val="22"/>
          <w:szCs w:val="22"/>
          <w:lang w:val="sk-SK"/>
        </w:rPr>
        <w:t xml:space="preserve"> bola 1,98 (p</w:t>
      </w:r>
      <w:r w:rsidR="00CD0303" w:rsidRPr="005F6F71">
        <w:rPr>
          <w:bCs/>
          <w:sz w:val="22"/>
          <w:szCs w:val="22"/>
          <w:lang w:val="sk-SK"/>
        </w:rPr>
        <w:t> </w:t>
      </w:r>
      <w:r w:rsidR="007657AA" w:rsidRPr="005F6F71">
        <w:rPr>
          <w:bCs/>
          <w:sz w:val="22"/>
          <w:szCs w:val="22"/>
          <w:lang w:val="sk-SK"/>
        </w:rPr>
        <w:t>=</w:t>
      </w:r>
      <w:r w:rsidR="00CD0303" w:rsidRPr="005F6F71">
        <w:rPr>
          <w:bCs/>
          <w:sz w:val="22"/>
          <w:szCs w:val="22"/>
          <w:lang w:val="sk-SK"/>
        </w:rPr>
        <w:t> </w:t>
      </w:r>
      <w:r w:rsidR="007657AA" w:rsidRPr="005F6F71">
        <w:rPr>
          <w:bCs/>
          <w:sz w:val="22"/>
          <w:szCs w:val="22"/>
          <w:lang w:val="sk-SK"/>
        </w:rPr>
        <w:t>0,0009) u mužov.</w:t>
      </w:r>
    </w:p>
    <w:p w:rsidR="009C47A3" w:rsidRPr="005F6F71" w:rsidRDefault="009C47A3" w:rsidP="009C47A3">
      <w:pPr>
        <w:pStyle w:val="Zoznamsodrkami"/>
        <w:numPr>
          <w:ilvl w:val="0"/>
          <w:numId w:val="0"/>
        </w:numPr>
        <w:spacing w:after="0" w:line="260" w:lineRule="exact"/>
        <w:rPr>
          <w:bCs/>
          <w:sz w:val="22"/>
          <w:szCs w:val="22"/>
          <w:lang w:val="sk-SK"/>
        </w:rPr>
      </w:pPr>
    </w:p>
    <w:p w:rsidR="00CF3623" w:rsidRDefault="00653B06" w:rsidP="009C47A3">
      <w:pPr>
        <w:pStyle w:val="Zoznamsodrkami"/>
        <w:numPr>
          <w:ilvl w:val="0"/>
          <w:numId w:val="0"/>
        </w:numPr>
        <w:spacing w:after="0" w:line="260" w:lineRule="exact"/>
        <w:rPr>
          <w:bCs/>
          <w:sz w:val="22"/>
          <w:szCs w:val="22"/>
          <w:lang w:val="sk-SK"/>
        </w:rPr>
      </w:pPr>
      <w:r w:rsidRPr="005F6F71">
        <w:rPr>
          <w:bCs/>
          <w:sz w:val="22"/>
          <w:szCs w:val="22"/>
          <w:lang w:val="sk-SK"/>
        </w:rPr>
        <w:t xml:space="preserve">Z hľadiska </w:t>
      </w:r>
      <w:r w:rsidR="00C0740D" w:rsidRPr="005F6F71">
        <w:rPr>
          <w:bCs/>
          <w:sz w:val="22"/>
          <w:szCs w:val="22"/>
          <w:lang w:val="sk-SK"/>
        </w:rPr>
        <w:t>sekundárn</w:t>
      </w:r>
      <w:r w:rsidRPr="005F6F71">
        <w:rPr>
          <w:bCs/>
          <w:sz w:val="22"/>
          <w:szCs w:val="22"/>
          <w:lang w:val="sk-SK"/>
        </w:rPr>
        <w:t>ych</w:t>
      </w:r>
      <w:r w:rsidR="00C0740D" w:rsidRPr="005F6F71">
        <w:rPr>
          <w:bCs/>
          <w:sz w:val="22"/>
          <w:szCs w:val="22"/>
          <w:lang w:val="sk-SK"/>
        </w:rPr>
        <w:t xml:space="preserve"> ukazovate</w:t>
      </w:r>
      <w:r w:rsidRPr="005F6F71">
        <w:rPr>
          <w:bCs/>
          <w:sz w:val="22"/>
          <w:szCs w:val="22"/>
          <w:lang w:val="sk-SK"/>
        </w:rPr>
        <w:t>ľov</w:t>
      </w:r>
      <w:r w:rsidR="00C0740D" w:rsidRPr="005F6F71">
        <w:rPr>
          <w:bCs/>
          <w:sz w:val="22"/>
          <w:szCs w:val="22"/>
          <w:lang w:val="sk-SK"/>
        </w:rPr>
        <w:t xml:space="preserve"> </w:t>
      </w:r>
      <w:r w:rsidRPr="005F6F71">
        <w:rPr>
          <w:bCs/>
          <w:sz w:val="22"/>
          <w:szCs w:val="22"/>
          <w:lang w:val="sk-SK"/>
        </w:rPr>
        <w:t xml:space="preserve">sa </w:t>
      </w:r>
      <w:r w:rsidR="003215EE" w:rsidRPr="005F6F71">
        <w:rPr>
          <w:bCs/>
          <w:sz w:val="22"/>
          <w:szCs w:val="22"/>
          <w:lang w:val="sk-SK"/>
        </w:rPr>
        <w:t xml:space="preserve">pozorovalo </w:t>
      </w:r>
      <w:r w:rsidRPr="005F6F71">
        <w:rPr>
          <w:bCs/>
          <w:sz w:val="22"/>
          <w:szCs w:val="22"/>
          <w:lang w:val="sk-SK"/>
        </w:rPr>
        <w:t xml:space="preserve">po 3 mesiacoch liečby predĺženie doby prvého nerušeného spánku </w:t>
      </w:r>
      <w:r w:rsidR="003215EE" w:rsidRPr="005F6F71">
        <w:rPr>
          <w:bCs/>
          <w:sz w:val="22"/>
          <w:szCs w:val="22"/>
          <w:lang w:val="sk-SK"/>
        </w:rPr>
        <w:t>(čas do prvého nočného močenia po zaspa</w:t>
      </w:r>
      <w:r w:rsidR="006E43FD" w:rsidRPr="005F6F71">
        <w:rPr>
          <w:bCs/>
          <w:sz w:val="22"/>
          <w:szCs w:val="22"/>
          <w:lang w:val="sk-SK"/>
        </w:rPr>
        <w:t>n</w:t>
      </w:r>
      <w:r w:rsidR="003215EE" w:rsidRPr="005F6F71">
        <w:rPr>
          <w:bCs/>
          <w:sz w:val="22"/>
          <w:szCs w:val="22"/>
          <w:lang w:val="sk-SK"/>
        </w:rPr>
        <w:t>í) o 49 minút v štúdii u žien a o 39 minút v štúdii u mužov. Pozorovalo sa</w:t>
      </w:r>
      <w:r w:rsidR="00561EB3" w:rsidRPr="005F6F71">
        <w:rPr>
          <w:bCs/>
          <w:sz w:val="22"/>
          <w:szCs w:val="22"/>
          <w:lang w:val="sk-SK"/>
        </w:rPr>
        <w:t xml:space="preserve"> štatisticky </w:t>
      </w:r>
      <w:proofErr w:type="spellStart"/>
      <w:r w:rsidR="00561EB3" w:rsidRPr="005F6F71">
        <w:rPr>
          <w:bCs/>
          <w:sz w:val="22"/>
          <w:szCs w:val="22"/>
          <w:lang w:val="sk-SK"/>
        </w:rPr>
        <w:t>signifikantné</w:t>
      </w:r>
      <w:proofErr w:type="spellEnd"/>
      <w:r w:rsidR="00561EB3" w:rsidRPr="005F6F71">
        <w:rPr>
          <w:bCs/>
          <w:sz w:val="22"/>
          <w:szCs w:val="22"/>
          <w:lang w:val="sk-SK"/>
        </w:rPr>
        <w:t xml:space="preserve"> zlepšeni</w:t>
      </w:r>
      <w:r w:rsidR="003215EE" w:rsidRPr="005F6F71">
        <w:rPr>
          <w:bCs/>
          <w:sz w:val="22"/>
          <w:szCs w:val="22"/>
          <w:lang w:val="sk-SK"/>
        </w:rPr>
        <w:t>e</w:t>
      </w:r>
      <w:r w:rsidR="00561EB3" w:rsidRPr="005F6F71">
        <w:rPr>
          <w:bCs/>
          <w:sz w:val="22"/>
          <w:szCs w:val="22"/>
          <w:lang w:val="sk-SK"/>
        </w:rPr>
        <w:t xml:space="preserve"> kvality života </w:t>
      </w:r>
      <w:r w:rsidR="00561EB3" w:rsidRPr="005F6F71">
        <w:rPr>
          <w:sz w:val="22"/>
          <w:szCs w:val="22"/>
          <w:lang w:val="sk-SK"/>
        </w:rPr>
        <w:t>s</w:t>
      </w:r>
      <w:r w:rsidR="006E43FD" w:rsidRPr="005F6F71">
        <w:rPr>
          <w:sz w:val="22"/>
          <w:szCs w:val="22"/>
          <w:lang w:val="sk-SK"/>
        </w:rPr>
        <w:t> </w:t>
      </w:r>
      <w:proofErr w:type="spellStart"/>
      <w:r w:rsidR="00561EB3" w:rsidRPr="005F6F71">
        <w:rPr>
          <w:sz w:val="22"/>
          <w:szCs w:val="22"/>
          <w:lang w:val="sk-SK"/>
        </w:rPr>
        <w:t>dezmopresínom</w:t>
      </w:r>
      <w:proofErr w:type="spellEnd"/>
      <w:r w:rsidR="00561EB3" w:rsidRPr="005F6F71">
        <w:rPr>
          <w:bCs/>
          <w:sz w:val="22"/>
          <w:szCs w:val="22"/>
          <w:lang w:val="sk-SK"/>
        </w:rPr>
        <w:t xml:space="preserve"> </w:t>
      </w:r>
      <w:proofErr w:type="spellStart"/>
      <w:r w:rsidR="00561EB3" w:rsidRPr="005F6F71">
        <w:rPr>
          <w:bCs/>
          <w:sz w:val="22"/>
          <w:szCs w:val="22"/>
          <w:lang w:val="sk-SK"/>
        </w:rPr>
        <w:t>melt</w:t>
      </w:r>
      <w:proofErr w:type="spellEnd"/>
      <w:r w:rsidR="00561EB3" w:rsidRPr="005F6F71">
        <w:rPr>
          <w:bCs/>
          <w:sz w:val="22"/>
          <w:szCs w:val="22"/>
          <w:lang w:val="sk-SK"/>
        </w:rPr>
        <w:t xml:space="preserve"> 25 </w:t>
      </w:r>
      <w:proofErr w:type="spellStart"/>
      <w:r w:rsidR="00561EB3" w:rsidRPr="005F6F71">
        <w:rPr>
          <w:bCs/>
          <w:sz w:val="22"/>
          <w:szCs w:val="22"/>
          <w:lang w:val="sk-SK"/>
        </w:rPr>
        <w:t>mikrogramov</w:t>
      </w:r>
      <w:proofErr w:type="spellEnd"/>
      <w:r w:rsidR="00561EB3" w:rsidRPr="005F6F71">
        <w:rPr>
          <w:bCs/>
          <w:sz w:val="22"/>
          <w:szCs w:val="22"/>
          <w:lang w:val="sk-SK"/>
        </w:rPr>
        <w:t xml:space="preserve"> (</w:t>
      </w:r>
      <w:r w:rsidR="003215EE" w:rsidRPr="005F6F71">
        <w:rPr>
          <w:bCs/>
          <w:sz w:val="22"/>
          <w:szCs w:val="22"/>
          <w:lang w:val="sk-SK"/>
        </w:rPr>
        <w:t xml:space="preserve">celkové skóre </w:t>
      </w:r>
      <w:proofErr w:type="spellStart"/>
      <w:r w:rsidR="00561EB3" w:rsidRPr="005F6F71">
        <w:rPr>
          <w:bCs/>
          <w:sz w:val="22"/>
          <w:szCs w:val="22"/>
          <w:lang w:val="sk-SK"/>
        </w:rPr>
        <w:t>N-QoL</w:t>
      </w:r>
      <w:proofErr w:type="spellEnd"/>
      <w:r w:rsidR="00561EB3" w:rsidRPr="005F6F71">
        <w:rPr>
          <w:bCs/>
          <w:sz w:val="22"/>
          <w:szCs w:val="22"/>
          <w:lang w:val="sk-SK"/>
        </w:rPr>
        <w:t xml:space="preserve"> 27,24) </w:t>
      </w:r>
      <w:r w:rsidR="006E43FD" w:rsidRPr="005F6F71">
        <w:rPr>
          <w:bCs/>
          <w:sz w:val="22"/>
          <w:szCs w:val="22"/>
          <w:lang w:val="sk-SK"/>
        </w:rPr>
        <w:t>oproti</w:t>
      </w:r>
      <w:r w:rsidR="00561EB3" w:rsidRPr="005F6F71">
        <w:rPr>
          <w:bCs/>
          <w:sz w:val="22"/>
          <w:szCs w:val="22"/>
          <w:lang w:val="sk-SK"/>
        </w:rPr>
        <w:t xml:space="preserve"> </w:t>
      </w:r>
      <w:proofErr w:type="spellStart"/>
      <w:r w:rsidR="00561EB3" w:rsidRPr="005F6F71">
        <w:rPr>
          <w:bCs/>
          <w:sz w:val="22"/>
          <w:szCs w:val="22"/>
          <w:lang w:val="sk-SK"/>
        </w:rPr>
        <w:t>placeb</w:t>
      </w:r>
      <w:r w:rsidR="006E43FD" w:rsidRPr="005F6F71">
        <w:rPr>
          <w:bCs/>
          <w:sz w:val="22"/>
          <w:szCs w:val="22"/>
          <w:lang w:val="sk-SK"/>
        </w:rPr>
        <w:t>u</w:t>
      </w:r>
      <w:proofErr w:type="spellEnd"/>
      <w:r w:rsidR="00561EB3" w:rsidRPr="005F6F71">
        <w:rPr>
          <w:bCs/>
          <w:sz w:val="22"/>
          <w:szCs w:val="22"/>
          <w:lang w:val="sk-SK"/>
        </w:rPr>
        <w:t xml:space="preserve"> (21,90)</w:t>
      </w:r>
      <w:r w:rsidR="00CF3623">
        <w:rPr>
          <w:bCs/>
          <w:sz w:val="22"/>
          <w:szCs w:val="22"/>
          <w:lang w:val="sk-SK"/>
        </w:rPr>
        <w:t> </w:t>
      </w:r>
    </w:p>
    <w:p w:rsidR="00C0740D" w:rsidRPr="005F6F71" w:rsidRDefault="00561EB3" w:rsidP="009C47A3">
      <w:pPr>
        <w:pStyle w:val="Zoznamsodrkami"/>
        <w:numPr>
          <w:ilvl w:val="0"/>
          <w:numId w:val="0"/>
        </w:numPr>
        <w:spacing w:after="0" w:line="260" w:lineRule="exact"/>
        <w:rPr>
          <w:bCs/>
          <w:sz w:val="22"/>
          <w:szCs w:val="22"/>
          <w:lang w:val="sk-SK"/>
        </w:rPr>
      </w:pPr>
      <w:r w:rsidRPr="005F6F71">
        <w:rPr>
          <w:bCs/>
          <w:sz w:val="22"/>
          <w:szCs w:val="22"/>
          <w:lang w:val="sk-SK"/>
        </w:rPr>
        <w:t>(p</w:t>
      </w:r>
      <w:r w:rsidR="00CF3623">
        <w:rPr>
          <w:bCs/>
          <w:sz w:val="22"/>
          <w:szCs w:val="22"/>
          <w:lang w:val="sk-SK"/>
        </w:rPr>
        <w:t> </w:t>
      </w:r>
      <w:r w:rsidRPr="005F6F71">
        <w:rPr>
          <w:bCs/>
          <w:sz w:val="22"/>
          <w:szCs w:val="22"/>
          <w:lang w:val="sk-SK"/>
        </w:rPr>
        <w:t>=</w:t>
      </w:r>
      <w:r w:rsidR="00CF3623">
        <w:rPr>
          <w:bCs/>
          <w:sz w:val="22"/>
          <w:szCs w:val="22"/>
          <w:lang w:val="sk-SK"/>
        </w:rPr>
        <w:t xml:space="preserve"> </w:t>
      </w:r>
      <w:r w:rsidRPr="005F6F71">
        <w:rPr>
          <w:bCs/>
          <w:sz w:val="22"/>
          <w:szCs w:val="22"/>
          <w:lang w:val="sk-SK"/>
        </w:rPr>
        <w:t>0,0226) u žien a</w:t>
      </w:r>
      <w:r w:rsidR="00CD0303" w:rsidRPr="005F6F71">
        <w:rPr>
          <w:bCs/>
          <w:sz w:val="22"/>
          <w:szCs w:val="22"/>
          <w:lang w:val="sk-SK"/>
        </w:rPr>
        <w:t> </w:t>
      </w:r>
      <w:r w:rsidR="003215EE" w:rsidRPr="005F6F71">
        <w:rPr>
          <w:bCs/>
          <w:sz w:val="22"/>
          <w:szCs w:val="22"/>
          <w:lang w:val="sk-SK"/>
        </w:rPr>
        <w:t>s</w:t>
      </w:r>
      <w:r w:rsidRPr="005F6F71">
        <w:rPr>
          <w:bCs/>
          <w:sz w:val="22"/>
          <w:szCs w:val="22"/>
          <w:lang w:val="sk-SK"/>
        </w:rPr>
        <w:t xml:space="preserve"> </w:t>
      </w:r>
      <w:proofErr w:type="spellStart"/>
      <w:r w:rsidRPr="005F6F71">
        <w:rPr>
          <w:bCs/>
          <w:sz w:val="22"/>
          <w:szCs w:val="22"/>
          <w:lang w:val="sk-SK"/>
        </w:rPr>
        <w:t>dezmopresín</w:t>
      </w:r>
      <w:r w:rsidR="003215EE" w:rsidRPr="005F6F71">
        <w:rPr>
          <w:bCs/>
          <w:sz w:val="22"/>
          <w:szCs w:val="22"/>
          <w:lang w:val="sk-SK"/>
        </w:rPr>
        <w:t>om</w:t>
      </w:r>
      <w:proofErr w:type="spellEnd"/>
      <w:r w:rsidRPr="005F6F71">
        <w:rPr>
          <w:bCs/>
          <w:sz w:val="22"/>
          <w:szCs w:val="22"/>
          <w:lang w:val="sk-SK"/>
        </w:rPr>
        <w:t xml:space="preserve"> </w:t>
      </w:r>
      <w:proofErr w:type="spellStart"/>
      <w:r w:rsidRPr="005F6F71">
        <w:rPr>
          <w:bCs/>
          <w:sz w:val="22"/>
          <w:szCs w:val="22"/>
          <w:lang w:val="sk-SK"/>
        </w:rPr>
        <w:t>melt</w:t>
      </w:r>
      <w:proofErr w:type="spellEnd"/>
      <w:r w:rsidRPr="005F6F71">
        <w:rPr>
          <w:bCs/>
          <w:sz w:val="22"/>
          <w:szCs w:val="22"/>
          <w:lang w:val="sk-SK"/>
        </w:rPr>
        <w:t xml:space="preserve"> 50 </w:t>
      </w:r>
      <w:proofErr w:type="spellStart"/>
      <w:r w:rsidRPr="005F6F71">
        <w:rPr>
          <w:bCs/>
          <w:sz w:val="22"/>
          <w:szCs w:val="22"/>
          <w:lang w:val="sk-SK"/>
        </w:rPr>
        <w:t>mikrogramov</w:t>
      </w:r>
      <w:proofErr w:type="spellEnd"/>
      <w:r w:rsidRPr="005F6F71">
        <w:rPr>
          <w:bCs/>
          <w:sz w:val="22"/>
          <w:szCs w:val="22"/>
          <w:lang w:val="sk-SK"/>
        </w:rPr>
        <w:t xml:space="preserve"> (</w:t>
      </w:r>
      <w:r w:rsidR="003215EE" w:rsidRPr="005F6F71">
        <w:rPr>
          <w:bCs/>
          <w:sz w:val="22"/>
          <w:szCs w:val="22"/>
          <w:lang w:val="sk-SK"/>
        </w:rPr>
        <w:t xml:space="preserve">celkové skóre </w:t>
      </w:r>
      <w:proofErr w:type="spellStart"/>
      <w:r w:rsidRPr="005F6F71">
        <w:rPr>
          <w:bCs/>
          <w:sz w:val="22"/>
          <w:szCs w:val="22"/>
          <w:lang w:val="sk-SK"/>
        </w:rPr>
        <w:t>N-QoL</w:t>
      </w:r>
      <w:proofErr w:type="spellEnd"/>
      <w:r w:rsidRPr="005F6F71">
        <w:rPr>
          <w:bCs/>
          <w:sz w:val="22"/>
          <w:szCs w:val="22"/>
          <w:lang w:val="sk-SK"/>
        </w:rPr>
        <w:t xml:space="preserve"> 18,37) </w:t>
      </w:r>
      <w:r w:rsidR="00791DD2" w:rsidRPr="005F6F71">
        <w:rPr>
          <w:bCs/>
          <w:sz w:val="22"/>
          <w:szCs w:val="22"/>
          <w:lang w:val="sk-SK"/>
        </w:rPr>
        <w:t xml:space="preserve">oproti </w:t>
      </w:r>
      <w:proofErr w:type="spellStart"/>
      <w:r w:rsidRPr="005F6F71">
        <w:rPr>
          <w:bCs/>
          <w:sz w:val="22"/>
          <w:szCs w:val="22"/>
          <w:lang w:val="sk-SK"/>
        </w:rPr>
        <w:t>placeb</w:t>
      </w:r>
      <w:r w:rsidR="00791DD2" w:rsidRPr="005F6F71">
        <w:rPr>
          <w:bCs/>
          <w:sz w:val="22"/>
          <w:szCs w:val="22"/>
          <w:lang w:val="sk-SK"/>
        </w:rPr>
        <w:t>u</w:t>
      </w:r>
      <w:proofErr w:type="spellEnd"/>
      <w:r w:rsidR="00791DD2" w:rsidRPr="005F6F71">
        <w:rPr>
          <w:bCs/>
          <w:sz w:val="22"/>
          <w:szCs w:val="22"/>
          <w:lang w:val="sk-SK"/>
        </w:rPr>
        <w:t xml:space="preserve"> </w:t>
      </w:r>
      <w:r w:rsidRPr="005F6F71">
        <w:rPr>
          <w:bCs/>
          <w:sz w:val="22"/>
          <w:szCs w:val="22"/>
          <w:lang w:val="sk-SK"/>
        </w:rPr>
        <w:t>(13,88) (p</w:t>
      </w:r>
      <w:r w:rsidR="00CD0303" w:rsidRPr="005F6F71">
        <w:rPr>
          <w:bCs/>
          <w:sz w:val="22"/>
          <w:szCs w:val="22"/>
          <w:lang w:val="sk-SK"/>
        </w:rPr>
        <w:t> </w:t>
      </w:r>
      <w:r w:rsidRPr="005F6F71">
        <w:rPr>
          <w:bCs/>
          <w:sz w:val="22"/>
          <w:szCs w:val="22"/>
          <w:lang w:val="sk-SK"/>
        </w:rPr>
        <w:t>=</w:t>
      </w:r>
      <w:r w:rsidR="00CD0303" w:rsidRPr="005F6F71">
        <w:rPr>
          <w:bCs/>
          <w:sz w:val="22"/>
          <w:szCs w:val="22"/>
          <w:lang w:val="sk-SK"/>
        </w:rPr>
        <w:t> </w:t>
      </w:r>
      <w:r w:rsidRPr="005F6F71">
        <w:rPr>
          <w:bCs/>
          <w:sz w:val="22"/>
          <w:szCs w:val="22"/>
          <w:lang w:val="sk-SK"/>
        </w:rPr>
        <w:t xml:space="preserve">0,0385) u mužov. </w:t>
      </w:r>
      <w:r w:rsidR="003215EE" w:rsidRPr="005F6F71">
        <w:rPr>
          <w:bCs/>
          <w:sz w:val="22"/>
          <w:szCs w:val="22"/>
          <w:lang w:val="sk-SK"/>
        </w:rPr>
        <w:t>V obidvoch štúdiách sa zistil</w:t>
      </w:r>
      <w:r w:rsidR="00791DD2" w:rsidRPr="005F6F71">
        <w:rPr>
          <w:bCs/>
          <w:sz w:val="22"/>
          <w:szCs w:val="22"/>
          <w:lang w:val="sk-SK"/>
        </w:rPr>
        <w:t>o</w:t>
      </w:r>
      <w:r w:rsidR="003215EE" w:rsidRPr="005F6F71">
        <w:rPr>
          <w:bCs/>
          <w:sz w:val="22"/>
          <w:szCs w:val="22"/>
          <w:lang w:val="sk-SK"/>
        </w:rPr>
        <w:t xml:space="preserve"> </w:t>
      </w:r>
      <w:r w:rsidR="00C0740D" w:rsidRPr="005F6F71">
        <w:rPr>
          <w:bCs/>
          <w:sz w:val="22"/>
          <w:szCs w:val="22"/>
          <w:lang w:val="sk-SK"/>
        </w:rPr>
        <w:t>siln</w:t>
      </w:r>
      <w:r w:rsidR="00791DD2" w:rsidRPr="005F6F71">
        <w:rPr>
          <w:bCs/>
          <w:sz w:val="22"/>
          <w:szCs w:val="22"/>
          <w:lang w:val="sk-SK"/>
        </w:rPr>
        <w:t>é spojenie</w:t>
      </w:r>
      <w:r w:rsidR="00C0740D" w:rsidRPr="005F6F71">
        <w:rPr>
          <w:bCs/>
          <w:sz w:val="22"/>
          <w:szCs w:val="22"/>
          <w:lang w:val="sk-SK"/>
        </w:rPr>
        <w:t xml:space="preserve"> (p</w:t>
      </w:r>
      <w:r w:rsidR="00CD0303" w:rsidRPr="005F6F71">
        <w:rPr>
          <w:bCs/>
          <w:sz w:val="22"/>
          <w:szCs w:val="22"/>
          <w:lang w:val="sk-SK"/>
        </w:rPr>
        <w:t> </w:t>
      </w:r>
      <w:r w:rsidR="00C0740D" w:rsidRPr="005F6F71">
        <w:rPr>
          <w:bCs/>
          <w:sz w:val="22"/>
          <w:szCs w:val="22"/>
          <w:lang w:val="sk-SK"/>
        </w:rPr>
        <w:t>&lt;</w:t>
      </w:r>
      <w:r w:rsidR="00CD0303" w:rsidRPr="005F6F71">
        <w:rPr>
          <w:bCs/>
          <w:sz w:val="22"/>
          <w:szCs w:val="22"/>
          <w:lang w:val="sk-SK"/>
        </w:rPr>
        <w:t xml:space="preserve"> </w:t>
      </w:r>
      <w:r w:rsidR="00C0740D" w:rsidRPr="005F6F71">
        <w:rPr>
          <w:bCs/>
          <w:sz w:val="22"/>
          <w:szCs w:val="22"/>
          <w:lang w:val="sk-SK"/>
        </w:rPr>
        <w:t>0,0001) medzi odpoveďou</w:t>
      </w:r>
      <w:r w:rsidR="003215EE" w:rsidRPr="005F6F71">
        <w:rPr>
          <w:bCs/>
          <w:sz w:val="22"/>
          <w:szCs w:val="22"/>
          <w:lang w:val="sk-SK"/>
        </w:rPr>
        <w:t xml:space="preserve"> na liečbu </w:t>
      </w:r>
      <w:r w:rsidR="00C0740D" w:rsidRPr="005F6F71">
        <w:rPr>
          <w:bCs/>
          <w:sz w:val="22"/>
          <w:szCs w:val="22"/>
          <w:lang w:val="sk-SK"/>
        </w:rPr>
        <w:t xml:space="preserve"> (zníženie počtu nočných močení a</w:t>
      </w:r>
      <w:r w:rsidR="003215EE" w:rsidRPr="005F6F71">
        <w:rPr>
          <w:bCs/>
          <w:sz w:val="22"/>
          <w:szCs w:val="22"/>
          <w:lang w:val="sk-SK"/>
        </w:rPr>
        <w:t> predĺženie doby prvého nerušeného spánku</w:t>
      </w:r>
      <w:r w:rsidR="00C0740D" w:rsidRPr="005F6F71">
        <w:rPr>
          <w:bCs/>
          <w:sz w:val="22"/>
          <w:szCs w:val="22"/>
          <w:lang w:val="sk-SK"/>
        </w:rPr>
        <w:t>) a zlepšen</w:t>
      </w:r>
      <w:r w:rsidR="00CD0303" w:rsidRPr="005F6F71">
        <w:rPr>
          <w:bCs/>
          <w:sz w:val="22"/>
          <w:szCs w:val="22"/>
          <w:lang w:val="sk-SK"/>
        </w:rPr>
        <w:t>ím</w:t>
      </w:r>
      <w:r w:rsidR="00C0740D" w:rsidRPr="005F6F71">
        <w:rPr>
          <w:bCs/>
          <w:sz w:val="22"/>
          <w:szCs w:val="22"/>
          <w:lang w:val="sk-SK"/>
        </w:rPr>
        <w:t xml:space="preserve"> kvality života pacienta.</w:t>
      </w:r>
    </w:p>
    <w:p w:rsidR="005A3204" w:rsidRPr="005F6F71" w:rsidRDefault="005A3204" w:rsidP="00B81FE9">
      <w:pPr>
        <w:rPr>
          <w:iCs/>
          <w:szCs w:val="22"/>
          <w:lang w:val="sk-SK"/>
        </w:rPr>
      </w:pPr>
    </w:p>
    <w:p w:rsidR="00BB5A87" w:rsidRDefault="00BB5A87" w:rsidP="00FC34DA">
      <w:pPr>
        <w:tabs>
          <w:tab w:val="left" w:pos="1360"/>
        </w:tabs>
        <w:spacing w:line="240" w:lineRule="auto"/>
        <w:ind w:right="83"/>
        <w:rPr>
          <w:b/>
          <w:szCs w:val="22"/>
          <w:lang w:val="sk-SK"/>
        </w:rPr>
      </w:pPr>
    </w:p>
    <w:p w:rsidR="00BB5A87" w:rsidRDefault="00BB5A87" w:rsidP="00FC34DA">
      <w:pPr>
        <w:tabs>
          <w:tab w:val="left" w:pos="1360"/>
        </w:tabs>
        <w:spacing w:line="240" w:lineRule="auto"/>
        <w:ind w:right="83"/>
        <w:rPr>
          <w:b/>
          <w:szCs w:val="22"/>
          <w:lang w:val="sk-SK"/>
        </w:rPr>
      </w:pPr>
    </w:p>
    <w:p w:rsidR="00BB5A87" w:rsidRDefault="00BB5A87" w:rsidP="00FC34DA">
      <w:pPr>
        <w:tabs>
          <w:tab w:val="left" w:pos="1360"/>
        </w:tabs>
        <w:spacing w:line="240" w:lineRule="auto"/>
        <w:ind w:right="83"/>
        <w:rPr>
          <w:b/>
          <w:szCs w:val="22"/>
          <w:lang w:val="sk-SK"/>
        </w:rPr>
      </w:pPr>
    </w:p>
    <w:p w:rsidR="00BB5A87" w:rsidRDefault="00BB5A87" w:rsidP="00FC34DA">
      <w:pPr>
        <w:tabs>
          <w:tab w:val="left" w:pos="1360"/>
        </w:tabs>
        <w:spacing w:line="240" w:lineRule="auto"/>
        <w:ind w:right="83"/>
        <w:rPr>
          <w:b/>
          <w:szCs w:val="22"/>
          <w:lang w:val="sk-SK"/>
        </w:rPr>
      </w:pPr>
    </w:p>
    <w:p w:rsidR="00BB5A87" w:rsidRDefault="00BB5A87" w:rsidP="00FC34DA">
      <w:pPr>
        <w:tabs>
          <w:tab w:val="left" w:pos="1360"/>
        </w:tabs>
        <w:spacing w:line="240" w:lineRule="auto"/>
        <w:ind w:right="83"/>
        <w:rPr>
          <w:b/>
          <w:szCs w:val="22"/>
          <w:lang w:val="sk-SK"/>
        </w:rPr>
      </w:pPr>
    </w:p>
    <w:p w:rsidR="00BB5A87" w:rsidRDefault="00BB5A87" w:rsidP="00FC34DA">
      <w:pPr>
        <w:tabs>
          <w:tab w:val="left" w:pos="1360"/>
        </w:tabs>
        <w:spacing w:line="240" w:lineRule="auto"/>
        <w:ind w:right="83"/>
        <w:rPr>
          <w:b/>
          <w:szCs w:val="22"/>
          <w:lang w:val="sk-SK"/>
        </w:rPr>
      </w:pPr>
    </w:p>
    <w:p w:rsidR="00BB5A87" w:rsidRDefault="00BB5A87" w:rsidP="00FC34DA">
      <w:pPr>
        <w:tabs>
          <w:tab w:val="left" w:pos="1360"/>
        </w:tabs>
        <w:spacing w:line="240" w:lineRule="auto"/>
        <w:ind w:right="83"/>
        <w:rPr>
          <w:b/>
          <w:szCs w:val="22"/>
          <w:lang w:val="sk-SK"/>
        </w:rPr>
      </w:pPr>
    </w:p>
    <w:p w:rsidR="00345926" w:rsidRDefault="00345926" w:rsidP="00FC34DA">
      <w:pPr>
        <w:tabs>
          <w:tab w:val="left" w:pos="1360"/>
        </w:tabs>
        <w:spacing w:line="240" w:lineRule="auto"/>
        <w:ind w:right="83"/>
        <w:rPr>
          <w:b/>
          <w:szCs w:val="22"/>
          <w:lang w:val="sk-SK"/>
        </w:rPr>
      </w:pPr>
    </w:p>
    <w:p w:rsidR="00345926" w:rsidRDefault="00345926" w:rsidP="00FC34DA">
      <w:pPr>
        <w:tabs>
          <w:tab w:val="left" w:pos="1360"/>
        </w:tabs>
        <w:spacing w:line="240" w:lineRule="auto"/>
        <w:ind w:right="83"/>
        <w:rPr>
          <w:b/>
          <w:szCs w:val="22"/>
          <w:lang w:val="sk-SK"/>
        </w:rPr>
      </w:pPr>
    </w:p>
    <w:p w:rsidR="00BB5A87" w:rsidRDefault="00BB5A87" w:rsidP="00FC34DA">
      <w:pPr>
        <w:tabs>
          <w:tab w:val="left" w:pos="1360"/>
        </w:tabs>
        <w:spacing w:line="240" w:lineRule="auto"/>
        <w:ind w:right="83"/>
        <w:rPr>
          <w:b/>
          <w:szCs w:val="22"/>
          <w:lang w:val="sk-SK"/>
        </w:rPr>
      </w:pPr>
    </w:p>
    <w:p w:rsidR="00F57EF5" w:rsidRDefault="00561EB3" w:rsidP="00FC34DA">
      <w:pPr>
        <w:tabs>
          <w:tab w:val="left" w:pos="1360"/>
        </w:tabs>
        <w:spacing w:line="240" w:lineRule="auto"/>
        <w:ind w:right="83"/>
        <w:rPr>
          <w:b/>
          <w:szCs w:val="22"/>
          <w:lang w:val="sk-SK"/>
        </w:rPr>
      </w:pPr>
      <w:r w:rsidRPr="005F6F71">
        <w:rPr>
          <w:b/>
          <w:szCs w:val="22"/>
          <w:lang w:val="sk-SK"/>
        </w:rPr>
        <w:t>Obrázok</w:t>
      </w:r>
      <w:r w:rsidR="00B533AE" w:rsidRPr="005F6F71">
        <w:rPr>
          <w:b/>
          <w:szCs w:val="22"/>
          <w:lang w:val="sk-SK"/>
        </w:rPr>
        <w:t xml:space="preserve"> 1</w:t>
      </w:r>
      <w:r w:rsidR="00425B28" w:rsidRPr="005F6F71">
        <w:rPr>
          <w:b/>
          <w:szCs w:val="22"/>
          <w:lang w:val="sk-SK"/>
        </w:rPr>
        <w:t xml:space="preserve">. </w:t>
      </w:r>
      <w:proofErr w:type="spellStart"/>
      <w:r w:rsidR="00C0740D" w:rsidRPr="005F6F71">
        <w:rPr>
          <w:b/>
          <w:szCs w:val="22"/>
          <w:lang w:val="sk-SK"/>
        </w:rPr>
        <w:t>Ko-primárny</w:t>
      </w:r>
      <w:proofErr w:type="spellEnd"/>
      <w:r w:rsidR="00C0740D" w:rsidRPr="005F6F71">
        <w:rPr>
          <w:b/>
          <w:szCs w:val="22"/>
          <w:lang w:val="sk-SK"/>
        </w:rPr>
        <w:t xml:space="preserve"> </w:t>
      </w:r>
      <w:r w:rsidR="00122187" w:rsidRPr="005F6F71">
        <w:rPr>
          <w:b/>
          <w:szCs w:val="22"/>
          <w:lang w:val="sk-SK"/>
        </w:rPr>
        <w:t>výsledný</w:t>
      </w:r>
      <w:r w:rsidR="00C0740D" w:rsidRPr="005F6F71">
        <w:rPr>
          <w:b/>
          <w:szCs w:val="22"/>
          <w:lang w:val="sk-SK"/>
        </w:rPr>
        <w:t xml:space="preserve"> ukazovateľ</w:t>
      </w:r>
      <w:r w:rsidR="00F57EF5" w:rsidRPr="005F6F71">
        <w:rPr>
          <w:b/>
          <w:szCs w:val="22"/>
          <w:lang w:val="sk-SK"/>
        </w:rPr>
        <w:t xml:space="preserve">: </w:t>
      </w:r>
      <w:proofErr w:type="spellStart"/>
      <w:r w:rsidR="003215EE" w:rsidRPr="005F6F71">
        <w:rPr>
          <w:b/>
          <w:szCs w:val="22"/>
          <w:lang w:val="sk-SK"/>
        </w:rPr>
        <w:t>Noktúria</w:t>
      </w:r>
      <w:proofErr w:type="spellEnd"/>
      <w:r w:rsidR="003215EE" w:rsidRPr="005F6F71">
        <w:rPr>
          <w:b/>
          <w:szCs w:val="22"/>
          <w:lang w:val="sk-SK"/>
        </w:rPr>
        <w:t xml:space="preserve"> počas 3 mesiacov liečby -  korigovaná priemerná zmena oproti východiskovým hodnotám</w:t>
      </w:r>
      <w:r w:rsidR="00CB1718" w:rsidRPr="005F6F71">
        <w:rPr>
          <w:b/>
          <w:szCs w:val="22"/>
          <w:lang w:val="sk-SK"/>
        </w:rPr>
        <w:t xml:space="preserve"> </w:t>
      </w:r>
      <w:r w:rsidR="00F57EF5" w:rsidRPr="005F6F71">
        <w:rPr>
          <w:b/>
          <w:szCs w:val="22"/>
          <w:lang w:val="sk-SK"/>
        </w:rPr>
        <w:t>(</w:t>
      </w:r>
      <w:r w:rsidR="00122187" w:rsidRPr="005F6F71">
        <w:rPr>
          <w:b/>
          <w:szCs w:val="22"/>
          <w:lang w:val="sk-SK"/>
        </w:rPr>
        <w:t>ž</w:t>
      </w:r>
      <w:r w:rsidR="00A8724A" w:rsidRPr="005F6F71">
        <w:rPr>
          <w:b/>
          <w:szCs w:val="22"/>
          <w:lang w:val="sk-SK"/>
        </w:rPr>
        <w:t>eny</w:t>
      </w:r>
      <w:r w:rsidR="00F57EF5" w:rsidRPr="005F6F71">
        <w:rPr>
          <w:b/>
          <w:szCs w:val="22"/>
          <w:lang w:val="sk-SK"/>
        </w:rPr>
        <w:t xml:space="preserve">, CS40 </w:t>
      </w:r>
      <w:r w:rsidR="00122187" w:rsidRPr="005F6F71">
        <w:rPr>
          <w:b/>
          <w:szCs w:val="22"/>
          <w:lang w:val="sk-SK"/>
        </w:rPr>
        <w:t>a</w:t>
      </w:r>
      <w:r w:rsidR="003215EE" w:rsidRPr="005F6F71">
        <w:rPr>
          <w:b/>
          <w:szCs w:val="22"/>
          <w:lang w:val="sk-SK"/>
        </w:rPr>
        <w:t>nalýza celého súboru</w:t>
      </w:r>
      <w:r w:rsidR="00F57EF5" w:rsidRPr="005F6F71">
        <w:rPr>
          <w:b/>
          <w:szCs w:val="22"/>
          <w:lang w:val="sk-SK"/>
        </w:rPr>
        <w:t>)</w:t>
      </w:r>
    </w:p>
    <w:p w:rsidR="00EB6D17" w:rsidRDefault="00EB6D17" w:rsidP="00FC34DA">
      <w:pPr>
        <w:tabs>
          <w:tab w:val="left" w:pos="1360"/>
        </w:tabs>
        <w:spacing w:line="240" w:lineRule="auto"/>
        <w:ind w:right="83"/>
        <w:rPr>
          <w:b/>
          <w:szCs w:val="22"/>
          <w:lang w:val="sk-SK"/>
        </w:rPr>
      </w:pPr>
    </w:p>
    <w:p w:rsidR="00BB5A87" w:rsidRDefault="00B13B7A" w:rsidP="00FC34DA">
      <w:pPr>
        <w:tabs>
          <w:tab w:val="left" w:pos="1360"/>
        </w:tabs>
        <w:spacing w:line="240" w:lineRule="auto"/>
        <w:ind w:right="83"/>
        <w:rPr>
          <w:b/>
          <w:szCs w:val="22"/>
          <w:lang w:val="sk-SK"/>
        </w:rPr>
      </w:pPr>
      <w:r>
        <w:rPr>
          <w:noProof/>
          <w:lang w:val="sk-SK" w:eastAsia="sk-SK"/>
        </w:rPr>
        <w:drawing>
          <wp:inline distT="0" distB="0" distL="0" distR="0">
            <wp:extent cx="5753100" cy="3876675"/>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3100" cy="3876675"/>
                    </a:xfrm>
                    <a:prstGeom prst="rect">
                      <a:avLst/>
                    </a:prstGeom>
                    <a:noFill/>
                    <a:ln>
                      <a:noFill/>
                    </a:ln>
                  </pic:spPr>
                </pic:pic>
              </a:graphicData>
            </a:graphic>
          </wp:inline>
        </w:drawing>
      </w:r>
    </w:p>
    <w:p w:rsidR="00EB6D17" w:rsidRPr="005F6F71" w:rsidRDefault="00EB6D17" w:rsidP="00FC34DA">
      <w:pPr>
        <w:tabs>
          <w:tab w:val="left" w:pos="1360"/>
        </w:tabs>
        <w:spacing w:line="240" w:lineRule="auto"/>
        <w:ind w:right="83"/>
        <w:rPr>
          <w:b/>
          <w:szCs w:val="22"/>
          <w:lang w:val="sk-SK"/>
        </w:rPr>
      </w:pPr>
    </w:p>
    <w:p w:rsidR="00122187" w:rsidRPr="005F6F71" w:rsidRDefault="00561EB3" w:rsidP="00CD0303">
      <w:pPr>
        <w:tabs>
          <w:tab w:val="left" w:pos="1360"/>
        </w:tabs>
        <w:spacing w:line="240" w:lineRule="auto"/>
        <w:ind w:left="1759" w:right="83" w:hanging="1759"/>
        <w:rPr>
          <w:b/>
          <w:szCs w:val="22"/>
          <w:lang w:val="sk-SK"/>
        </w:rPr>
      </w:pPr>
      <w:r w:rsidRPr="005F6F71">
        <w:rPr>
          <w:b/>
          <w:bCs/>
          <w:spacing w:val="-3"/>
          <w:szCs w:val="22"/>
          <w:lang w:val="sk-SK"/>
        </w:rPr>
        <w:t>Obrázok</w:t>
      </w:r>
      <w:r w:rsidR="007D784A" w:rsidRPr="005F6F71">
        <w:rPr>
          <w:b/>
          <w:bCs/>
          <w:spacing w:val="-1"/>
          <w:szCs w:val="22"/>
          <w:lang w:val="sk-SK"/>
        </w:rPr>
        <w:t xml:space="preserve"> </w:t>
      </w:r>
      <w:r w:rsidR="007D784A" w:rsidRPr="005F6F71">
        <w:rPr>
          <w:b/>
          <w:bCs/>
          <w:szCs w:val="22"/>
          <w:lang w:val="sk-SK"/>
        </w:rPr>
        <w:t>2.</w:t>
      </w:r>
      <w:r w:rsidR="00F57EF5" w:rsidRPr="005F6F71">
        <w:rPr>
          <w:b/>
          <w:szCs w:val="22"/>
          <w:lang w:val="sk-SK"/>
        </w:rPr>
        <w:t xml:space="preserve"> </w:t>
      </w:r>
      <w:proofErr w:type="spellStart"/>
      <w:r w:rsidR="00A8724A" w:rsidRPr="005F6F71">
        <w:rPr>
          <w:b/>
          <w:szCs w:val="22"/>
          <w:lang w:val="sk-SK"/>
        </w:rPr>
        <w:t>Ko-primárny</w:t>
      </w:r>
      <w:proofErr w:type="spellEnd"/>
      <w:r w:rsidR="00A8724A" w:rsidRPr="005F6F71">
        <w:rPr>
          <w:b/>
          <w:szCs w:val="22"/>
          <w:lang w:val="sk-SK"/>
        </w:rPr>
        <w:t xml:space="preserve"> </w:t>
      </w:r>
      <w:r w:rsidR="00122187" w:rsidRPr="005F6F71">
        <w:rPr>
          <w:b/>
          <w:szCs w:val="22"/>
          <w:lang w:val="sk-SK"/>
        </w:rPr>
        <w:t>výsledný</w:t>
      </w:r>
      <w:r w:rsidR="00A8724A" w:rsidRPr="005F6F71">
        <w:rPr>
          <w:b/>
          <w:szCs w:val="22"/>
          <w:lang w:val="sk-SK"/>
        </w:rPr>
        <w:t xml:space="preserve"> ukazovateľ</w:t>
      </w:r>
      <w:r w:rsidR="00F57EF5" w:rsidRPr="005F6F71">
        <w:rPr>
          <w:b/>
          <w:szCs w:val="22"/>
          <w:lang w:val="sk-SK"/>
        </w:rPr>
        <w:t xml:space="preserve">: </w:t>
      </w:r>
      <w:proofErr w:type="spellStart"/>
      <w:r w:rsidR="00122187" w:rsidRPr="005F6F71">
        <w:rPr>
          <w:b/>
          <w:szCs w:val="22"/>
          <w:lang w:val="sk-SK"/>
        </w:rPr>
        <w:t>Noktúria</w:t>
      </w:r>
      <w:proofErr w:type="spellEnd"/>
      <w:r w:rsidR="00122187" w:rsidRPr="005F6F71">
        <w:rPr>
          <w:b/>
          <w:szCs w:val="22"/>
          <w:lang w:val="sk-SK"/>
        </w:rPr>
        <w:t xml:space="preserve"> počas 3 mesiacov liečby – korigovaná    </w:t>
      </w:r>
    </w:p>
    <w:p w:rsidR="00F57EF5" w:rsidRPr="005F6F71" w:rsidRDefault="00122187" w:rsidP="00122187">
      <w:pPr>
        <w:tabs>
          <w:tab w:val="left" w:pos="1360"/>
        </w:tabs>
        <w:spacing w:line="240" w:lineRule="auto"/>
        <w:ind w:left="1759" w:right="83" w:hanging="1759"/>
        <w:rPr>
          <w:b/>
          <w:szCs w:val="22"/>
          <w:lang w:val="sk-SK"/>
        </w:rPr>
      </w:pPr>
      <w:r w:rsidRPr="005F6F71">
        <w:rPr>
          <w:b/>
          <w:szCs w:val="22"/>
          <w:lang w:val="sk-SK"/>
        </w:rPr>
        <w:t xml:space="preserve">priemerná zmena oproti východiskovým hodnotám </w:t>
      </w:r>
      <w:r w:rsidR="00F57EF5" w:rsidRPr="005F6F71">
        <w:rPr>
          <w:b/>
          <w:szCs w:val="22"/>
          <w:lang w:val="sk-SK"/>
        </w:rPr>
        <w:t>(</w:t>
      </w:r>
      <w:r w:rsidR="002008BE" w:rsidRPr="005F6F71">
        <w:rPr>
          <w:b/>
          <w:szCs w:val="22"/>
          <w:lang w:val="sk-SK"/>
        </w:rPr>
        <w:t>muži</w:t>
      </w:r>
      <w:r w:rsidR="00F57EF5" w:rsidRPr="005F6F71">
        <w:rPr>
          <w:b/>
          <w:szCs w:val="22"/>
          <w:lang w:val="sk-SK"/>
        </w:rPr>
        <w:t xml:space="preserve">, CS41 </w:t>
      </w:r>
      <w:r w:rsidRPr="005F6F71">
        <w:rPr>
          <w:b/>
          <w:szCs w:val="22"/>
          <w:lang w:val="sk-SK"/>
        </w:rPr>
        <w:t>analýza celého súboru</w:t>
      </w:r>
      <w:r w:rsidR="00F57EF5" w:rsidRPr="005F6F71">
        <w:rPr>
          <w:b/>
          <w:szCs w:val="22"/>
          <w:lang w:val="sk-SK"/>
        </w:rPr>
        <w:t>)</w:t>
      </w:r>
    </w:p>
    <w:p w:rsidR="007D784A" w:rsidRDefault="007D784A" w:rsidP="00F57EF5">
      <w:pPr>
        <w:tabs>
          <w:tab w:val="left" w:pos="1360"/>
        </w:tabs>
        <w:spacing w:line="240" w:lineRule="auto"/>
        <w:ind w:left="1759" w:right="83" w:hanging="1759"/>
        <w:rPr>
          <w:sz w:val="24"/>
          <w:szCs w:val="24"/>
          <w:lang w:val="sk-SK"/>
        </w:rPr>
      </w:pPr>
    </w:p>
    <w:p w:rsidR="00BB5A87" w:rsidRPr="005F6F71" w:rsidRDefault="00B13B7A" w:rsidP="00F57EF5">
      <w:pPr>
        <w:tabs>
          <w:tab w:val="left" w:pos="1360"/>
        </w:tabs>
        <w:spacing w:line="240" w:lineRule="auto"/>
        <w:ind w:left="1759" w:right="83" w:hanging="1759"/>
        <w:rPr>
          <w:sz w:val="24"/>
          <w:szCs w:val="24"/>
          <w:lang w:val="sk-SK"/>
        </w:rPr>
      </w:pPr>
      <w:r>
        <w:rPr>
          <w:noProof/>
          <w:lang w:val="sk-SK" w:eastAsia="sk-SK"/>
        </w:rPr>
        <w:drawing>
          <wp:inline distT="0" distB="0" distL="0" distR="0">
            <wp:extent cx="5543550" cy="3733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43550" cy="3733800"/>
                    </a:xfrm>
                    <a:prstGeom prst="rect">
                      <a:avLst/>
                    </a:prstGeom>
                    <a:noFill/>
                    <a:ln>
                      <a:noFill/>
                    </a:ln>
                  </pic:spPr>
                </pic:pic>
              </a:graphicData>
            </a:graphic>
          </wp:inline>
        </w:drawing>
      </w:r>
    </w:p>
    <w:p w:rsidR="00B533AE" w:rsidRPr="005F6F71" w:rsidRDefault="00B533AE" w:rsidP="00C42BAA">
      <w:pPr>
        <w:tabs>
          <w:tab w:val="left" w:pos="1360"/>
        </w:tabs>
        <w:spacing w:line="240" w:lineRule="auto"/>
        <w:ind w:left="1881" w:right="83" w:hanging="1759"/>
        <w:rPr>
          <w:sz w:val="24"/>
          <w:szCs w:val="24"/>
          <w:lang w:val="sk-SK"/>
        </w:rPr>
      </w:pPr>
    </w:p>
    <w:p w:rsidR="00B064DF" w:rsidRPr="005F6F71" w:rsidRDefault="00B064DF" w:rsidP="00B064DF">
      <w:pPr>
        <w:outlineLvl w:val="0"/>
        <w:rPr>
          <w:rFonts w:eastAsia="SimSun"/>
          <w:szCs w:val="22"/>
          <w:lang w:val="sk-SK" w:eastAsia="zh-CN"/>
        </w:rPr>
      </w:pPr>
    </w:p>
    <w:p w:rsidR="002008BE" w:rsidRPr="005F6F71" w:rsidRDefault="00122187" w:rsidP="003C024C">
      <w:pPr>
        <w:outlineLvl w:val="0"/>
        <w:rPr>
          <w:szCs w:val="22"/>
          <w:lang w:val="sk-SK"/>
        </w:rPr>
      </w:pPr>
      <w:r w:rsidRPr="005F6F71">
        <w:rPr>
          <w:szCs w:val="22"/>
          <w:lang w:val="sk-SK"/>
        </w:rPr>
        <w:t xml:space="preserve">V dvojito zaslepenej </w:t>
      </w:r>
      <w:proofErr w:type="spellStart"/>
      <w:r w:rsidRPr="005F6F71">
        <w:rPr>
          <w:szCs w:val="22"/>
          <w:lang w:val="sk-SK"/>
        </w:rPr>
        <w:t>randomizovanej</w:t>
      </w:r>
      <w:proofErr w:type="spellEnd"/>
      <w:r w:rsidRPr="005F6F71">
        <w:rPr>
          <w:szCs w:val="22"/>
          <w:lang w:val="sk-SK"/>
        </w:rPr>
        <w:t xml:space="preserve"> klinickej štúdii sa ho</w:t>
      </w:r>
      <w:r w:rsidR="00FF7CE0" w:rsidRPr="005F6F71">
        <w:rPr>
          <w:szCs w:val="22"/>
          <w:lang w:val="sk-SK"/>
        </w:rPr>
        <w:t>d</w:t>
      </w:r>
      <w:r w:rsidRPr="005F6F71">
        <w:rPr>
          <w:szCs w:val="22"/>
          <w:lang w:val="sk-SK"/>
        </w:rPr>
        <w:t xml:space="preserve">notila účinnosť a bezpečnosť </w:t>
      </w:r>
      <w:r w:rsidR="002008BE" w:rsidRPr="005F6F71">
        <w:rPr>
          <w:szCs w:val="22"/>
          <w:lang w:val="sk-SK"/>
        </w:rPr>
        <w:t xml:space="preserve">kombinovanej liečby </w:t>
      </w:r>
      <w:proofErr w:type="spellStart"/>
      <w:r w:rsidR="002008BE" w:rsidRPr="005F6F71">
        <w:rPr>
          <w:szCs w:val="22"/>
          <w:lang w:val="sk-SK"/>
        </w:rPr>
        <w:t>dezmopresínom</w:t>
      </w:r>
      <w:proofErr w:type="spellEnd"/>
      <w:r w:rsidR="002008BE" w:rsidRPr="005F6F71">
        <w:rPr>
          <w:szCs w:val="22"/>
          <w:lang w:val="sk-SK"/>
        </w:rPr>
        <w:t xml:space="preserve"> </w:t>
      </w:r>
      <w:proofErr w:type="spellStart"/>
      <w:r w:rsidR="002008BE" w:rsidRPr="005F6F71">
        <w:rPr>
          <w:szCs w:val="22"/>
          <w:lang w:val="sk-SK"/>
        </w:rPr>
        <w:t>melt</w:t>
      </w:r>
      <w:proofErr w:type="spellEnd"/>
      <w:r w:rsidR="002008BE" w:rsidRPr="005F6F71">
        <w:rPr>
          <w:szCs w:val="22"/>
          <w:lang w:val="sk-SK"/>
        </w:rPr>
        <w:t xml:space="preserve"> a </w:t>
      </w:r>
      <w:proofErr w:type="spellStart"/>
      <w:r w:rsidR="002008BE" w:rsidRPr="005F6F71">
        <w:rPr>
          <w:szCs w:val="22"/>
          <w:lang w:val="sk-SK"/>
        </w:rPr>
        <w:t>tolterodin</w:t>
      </w:r>
      <w:r w:rsidRPr="005F6F71">
        <w:rPr>
          <w:szCs w:val="22"/>
          <w:lang w:val="sk-SK"/>
        </w:rPr>
        <w:t>om</w:t>
      </w:r>
      <w:proofErr w:type="spellEnd"/>
      <w:r w:rsidR="002008BE" w:rsidRPr="005F6F71">
        <w:rPr>
          <w:szCs w:val="22"/>
          <w:lang w:val="sk-SK"/>
        </w:rPr>
        <w:t xml:space="preserve"> kapsuly s predĺženým uvoľňovaním na liečbu hyperaktívneho močového mechúra </w:t>
      </w:r>
      <w:r w:rsidR="00100074" w:rsidRPr="005F6F71">
        <w:rPr>
          <w:szCs w:val="22"/>
          <w:lang w:val="sk-SK"/>
        </w:rPr>
        <w:t>a</w:t>
      </w:r>
      <w:r w:rsidR="002008BE" w:rsidRPr="005F6F71">
        <w:rPr>
          <w:szCs w:val="22"/>
          <w:lang w:val="sk-SK"/>
        </w:rPr>
        <w:t xml:space="preserve"> </w:t>
      </w:r>
      <w:proofErr w:type="spellStart"/>
      <w:r w:rsidR="002008BE" w:rsidRPr="005F6F71">
        <w:rPr>
          <w:szCs w:val="22"/>
          <w:lang w:val="sk-SK"/>
        </w:rPr>
        <w:t>noktúr</w:t>
      </w:r>
      <w:r w:rsidR="00100074" w:rsidRPr="005F6F71">
        <w:rPr>
          <w:szCs w:val="22"/>
          <w:lang w:val="sk-SK"/>
        </w:rPr>
        <w:t>ie</w:t>
      </w:r>
      <w:proofErr w:type="spellEnd"/>
      <w:r w:rsidR="002008BE" w:rsidRPr="005F6F71">
        <w:rPr>
          <w:szCs w:val="22"/>
          <w:lang w:val="sk-SK"/>
        </w:rPr>
        <w:t xml:space="preserve"> u žien počas 3 mesiacov. Štyridsaťdeväť žien bolo vystavených účinku kombinácie </w:t>
      </w:r>
      <w:proofErr w:type="spellStart"/>
      <w:r w:rsidR="002008BE" w:rsidRPr="005F6F71">
        <w:rPr>
          <w:szCs w:val="22"/>
          <w:lang w:val="sk-SK"/>
        </w:rPr>
        <w:t>Nocdurny</w:t>
      </w:r>
      <w:proofErr w:type="spellEnd"/>
      <w:r w:rsidR="002008BE" w:rsidRPr="005F6F71">
        <w:rPr>
          <w:szCs w:val="22"/>
          <w:lang w:val="sk-SK"/>
        </w:rPr>
        <w:t xml:space="preserve"> (</w:t>
      </w:r>
      <w:proofErr w:type="spellStart"/>
      <w:r w:rsidR="002008BE" w:rsidRPr="005F6F71">
        <w:rPr>
          <w:szCs w:val="22"/>
          <w:lang w:val="sk-SK"/>
        </w:rPr>
        <w:t>dezm</w:t>
      </w:r>
      <w:r w:rsidRPr="005F6F71">
        <w:rPr>
          <w:szCs w:val="22"/>
          <w:lang w:val="sk-SK"/>
        </w:rPr>
        <w:t>opresín</w:t>
      </w:r>
      <w:proofErr w:type="spellEnd"/>
      <w:r w:rsidRPr="005F6F71">
        <w:rPr>
          <w:szCs w:val="22"/>
          <w:lang w:val="sk-SK"/>
        </w:rPr>
        <w:t xml:space="preserve"> </w:t>
      </w:r>
      <w:proofErr w:type="spellStart"/>
      <w:r w:rsidRPr="005F6F71">
        <w:rPr>
          <w:szCs w:val="22"/>
          <w:lang w:val="sk-SK"/>
        </w:rPr>
        <w:t>melt</w:t>
      </w:r>
      <w:proofErr w:type="spellEnd"/>
      <w:r w:rsidRPr="005F6F71">
        <w:rPr>
          <w:szCs w:val="22"/>
          <w:lang w:val="sk-SK"/>
        </w:rPr>
        <w:t xml:space="preserve">) 25 </w:t>
      </w:r>
      <w:proofErr w:type="spellStart"/>
      <w:r w:rsidRPr="005F6F71">
        <w:rPr>
          <w:szCs w:val="22"/>
          <w:lang w:val="sk-SK"/>
        </w:rPr>
        <w:t>mikrogramov</w:t>
      </w:r>
      <w:proofErr w:type="spellEnd"/>
      <w:r w:rsidRPr="005F6F71">
        <w:rPr>
          <w:szCs w:val="22"/>
          <w:lang w:val="sk-SK"/>
        </w:rPr>
        <w:t xml:space="preserve"> a </w:t>
      </w:r>
      <w:proofErr w:type="spellStart"/>
      <w:r w:rsidRPr="005F6F71">
        <w:rPr>
          <w:szCs w:val="22"/>
          <w:lang w:val="sk-SK"/>
        </w:rPr>
        <w:t>t</w:t>
      </w:r>
      <w:r w:rsidR="002008BE" w:rsidRPr="005F6F71">
        <w:rPr>
          <w:szCs w:val="22"/>
          <w:lang w:val="sk-SK"/>
        </w:rPr>
        <w:t>olterodinu</w:t>
      </w:r>
      <w:proofErr w:type="spellEnd"/>
      <w:r w:rsidR="002008BE" w:rsidRPr="005F6F71">
        <w:rPr>
          <w:szCs w:val="22"/>
          <w:lang w:val="sk-SK"/>
        </w:rPr>
        <w:t xml:space="preserve"> 4</w:t>
      </w:r>
      <w:r w:rsidR="00FF7CE0" w:rsidRPr="005F6F71">
        <w:rPr>
          <w:szCs w:val="22"/>
          <w:lang w:val="sk-SK"/>
        </w:rPr>
        <w:t> </w:t>
      </w:r>
      <w:r w:rsidR="002008BE" w:rsidRPr="005F6F71">
        <w:rPr>
          <w:szCs w:val="22"/>
          <w:lang w:val="sk-SK"/>
        </w:rPr>
        <w:t xml:space="preserve">miligramy. V tejto štúdii </w:t>
      </w:r>
      <w:r w:rsidR="00100074" w:rsidRPr="005F6F71">
        <w:rPr>
          <w:szCs w:val="22"/>
          <w:lang w:val="sk-SK"/>
        </w:rPr>
        <w:t>sa ne</w:t>
      </w:r>
      <w:r w:rsidR="002008BE" w:rsidRPr="005F6F71">
        <w:rPr>
          <w:szCs w:val="22"/>
          <w:lang w:val="sk-SK"/>
        </w:rPr>
        <w:t>pozorova</w:t>
      </w:r>
      <w:r w:rsidR="00100074" w:rsidRPr="005F6F71">
        <w:rPr>
          <w:szCs w:val="22"/>
          <w:lang w:val="sk-SK"/>
        </w:rPr>
        <w:t>li</w:t>
      </w:r>
      <w:r w:rsidR="002008BE" w:rsidRPr="005F6F71">
        <w:rPr>
          <w:szCs w:val="22"/>
          <w:lang w:val="sk-SK"/>
        </w:rPr>
        <w:t xml:space="preserve"> </w:t>
      </w:r>
      <w:r w:rsidRPr="005F6F71">
        <w:rPr>
          <w:szCs w:val="22"/>
          <w:lang w:val="sk-SK"/>
        </w:rPr>
        <w:t xml:space="preserve">žiadne vážne </w:t>
      </w:r>
      <w:r w:rsidR="002008BE" w:rsidRPr="005F6F71">
        <w:rPr>
          <w:szCs w:val="22"/>
          <w:lang w:val="sk-SK"/>
        </w:rPr>
        <w:t xml:space="preserve">nežiaduce účinky a bezpečnostný profil kombinovanej liečby bol podobný ako bezpečnostný profil </w:t>
      </w:r>
      <w:proofErr w:type="spellStart"/>
      <w:r w:rsidR="00561EB3" w:rsidRPr="005F6F71">
        <w:rPr>
          <w:szCs w:val="22"/>
          <w:lang w:val="sk-SK"/>
        </w:rPr>
        <w:t>Nocdurny</w:t>
      </w:r>
      <w:proofErr w:type="spellEnd"/>
      <w:r w:rsidR="002008BE" w:rsidRPr="005F6F71">
        <w:rPr>
          <w:szCs w:val="22"/>
          <w:lang w:val="sk-SK"/>
        </w:rPr>
        <w:t xml:space="preserve"> 25 </w:t>
      </w:r>
      <w:proofErr w:type="spellStart"/>
      <w:r w:rsidR="002008BE" w:rsidRPr="005F6F71">
        <w:rPr>
          <w:szCs w:val="22"/>
          <w:lang w:val="sk-SK"/>
        </w:rPr>
        <w:t>mikrogramov</w:t>
      </w:r>
      <w:proofErr w:type="spellEnd"/>
      <w:r w:rsidR="002008BE" w:rsidRPr="005F6F71">
        <w:rPr>
          <w:szCs w:val="22"/>
          <w:lang w:val="sk-SK"/>
        </w:rPr>
        <w:t xml:space="preserve">. </w:t>
      </w:r>
      <w:r w:rsidR="00100074" w:rsidRPr="005F6F71">
        <w:rPr>
          <w:szCs w:val="22"/>
          <w:lang w:val="sk-SK"/>
        </w:rPr>
        <w:t>Účinnosť v</w:t>
      </w:r>
      <w:r w:rsidR="00FF7CE0" w:rsidRPr="005F6F71">
        <w:rPr>
          <w:szCs w:val="22"/>
          <w:lang w:val="sk-SK"/>
        </w:rPr>
        <w:t> </w:t>
      </w:r>
      <w:r w:rsidR="00100074" w:rsidRPr="005F6F71">
        <w:rPr>
          <w:szCs w:val="22"/>
          <w:lang w:val="sk-SK"/>
        </w:rPr>
        <w:t xml:space="preserve">zmysle </w:t>
      </w:r>
      <w:r w:rsidRPr="005F6F71">
        <w:rPr>
          <w:szCs w:val="22"/>
          <w:lang w:val="sk-SK"/>
        </w:rPr>
        <w:t xml:space="preserve">zníženia </w:t>
      </w:r>
      <w:r w:rsidR="00543E23">
        <w:rPr>
          <w:szCs w:val="22"/>
          <w:lang w:val="sk-SK"/>
        </w:rPr>
        <w:t xml:space="preserve">priemerného </w:t>
      </w:r>
      <w:r w:rsidRPr="005F6F71">
        <w:rPr>
          <w:szCs w:val="22"/>
          <w:lang w:val="sk-SK"/>
        </w:rPr>
        <w:t xml:space="preserve">počtu </w:t>
      </w:r>
      <w:r w:rsidR="00100074" w:rsidRPr="005F6F71">
        <w:rPr>
          <w:szCs w:val="22"/>
          <w:lang w:val="sk-SK"/>
        </w:rPr>
        <w:t xml:space="preserve">nočných močení </w:t>
      </w:r>
      <w:r w:rsidRPr="005F6F71">
        <w:rPr>
          <w:szCs w:val="22"/>
          <w:lang w:val="sk-SK"/>
        </w:rPr>
        <w:t>oproti</w:t>
      </w:r>
      <w:r w:rsidR="00CD0303" w:rsidRPr="005F6F71">
        <w:rPr>
          <w:szCs w:val="22"/>
          <w:lang w:val="sk-SK"/>
        </w:rPr>
        <w:t> </w:t>
      </w:r>
      <w:r w:rsidR="00100074" w:rsidRPr="005F6F71">
        <w:rPr>
          <w:szCs w:val="22"/>
          <w:lang w:val="sk-SK"/>
        </w:rPr>
        <w:t>východiskov</w:t>
      </w:r>
      <w:r w:rsidRPr="005F6F71">
        <w:rPr>
          <w:szCs w:val="22"/>
          <w:lang w:val="sk-SK"/>
        </w:rPr>
        <w:t>ým hodnotám</w:t>
      </w:r>
      <w:r w:rsidR="00100074" w:rsidRPr="005F6F71">
        <w:rPr>
          <w:szCs w:val="22"/>
          <w:lang w:val="sk-SK"/>
        </w:rPr>
        <w:t xml:space="preserve"> počas 3 mesiacov liečby bola numericky v</w:t>
      </w:r>
      <w:r w:rsidRPr="005F6F71">
        <w:rPr>
          <w:szCs w:val="22"/>
          <w:lang w:val="sk-SK"/>
        </w:rPr>
        <w:t>yššia</w:t>
      </w:r>
      <w:r w:rsidR="00100074" w:rsidRPr="005F6F71">
        <w:rPr>
          <w:szCs w:val="22"/>
          <w:lang w:val="sk-SK"/>
        </w:rPr>
        <w:t xml:space="preserve"> v skupine s kombinovanou liečbou </w:t>
      </w:r>
      <w:r w:rsidRPr="005F6F71">
        <w:rPr>
          <w:szCs w:val="22"/>
          <w:lang w:val="sk-SK"/>
        </w:rPr>
        <w:t>oproti</w:t>
      </w:r>
      <w:r w:rsidR="00100074" w:rsidRPr="005F6F71">
        <w:rPr>
          <w:szCs w:val="22"/>
          <w:lang w:val="sk-SK"/>
        </w:rPr>
        <w:t xml:space="preserve"> </w:t>
      </w:r>
      <w:proofErr w:type="spellStart"/>
      <w:r w:rsidR="00100074" w:rsidRPr="005F6F71">
        <w:rPr>
          <w:szCs w:val="22"/>
          <w:lang w:val="sk-SK"/>
        </w:rPr>
        <w:t>monoterapi</w:t>
      </w:r>
      <w:r w:rsidRPr="005F6F71">
        <w:rPr>
          <w:szCs w:val="22"/>
          <w:lang w:val="sk-SK"/>
        </w:rPr>
        <w:t>i</w:t>
      </w:r>
      <w:proofErr w:type="spellEnd"/>
      <w:r w:rsidR="00100074" w:rsidRPr="005F6F71">
        <w:rPr>
          <w:szCs w:val="22"/>
          <w:lang w:val="sk-SK"/>
        </w:rPr>
        <w:t xml:space="preserve"> </w:t>
      </w:r>
      <w:proofErr w:type="spellStart"/>
      <w:r w:rsidR="00100074" w:rsidRPr="005F6F71">
        <w:rPr>
          <w:szCs w:val="22"/>
          <w:lang w:val="sk-SK"/>
        </w:rPr>
        <w:t>telterodinom</w:t>
      </w:r>
      <w:proofErr w:type="spellEnd"/>
      <w:r w:rsidR="00100074" w:rsidRPr="005F6F71">
        <w:rPr>
          <w:szCs w:val="22"/>
          <w:lang w:val="sk-SK"/>
        </w:rPr>
        <w:t xml:space="preserve"> (-</w:t>
      </w:r>
      <w:r w:rsidR="00345926">
        <w:rPr>
          <w:szCs w:val="22"/>
          <w:lang w:val="sk-SK"/>
        </w:rPr>
        <w:t> </w:t>
      </w:r>
      <w:r w:rsidR="00100074" w:rsidRPr="005F6F71">
        <w:rPr>
          <w:szCs w:val="22"/>
          <w:lang w:val="sk-SK"/>
        </w:rPr>
        <w:t>0</w:t>
      </w:r>
      <w:r w:rsidRPr="005F6F71">
        <w:rPr>
          <w:szCs w:val="22"/>
          <w:lang w:val="sk-SK"/>
        </w:rPr>
        <w:t>,</w:t>
      </w:r>
      <w:r w:rsidR="00100074" w:rsidRPr="005F6F71">
        <w:rPr>
          <w:szCs w:val="22"/>
          <w:lang w:val="sk-SK"/>
        </w:rPr>
        <w:t xml:space="preserve">34 </w:t>
      </w:r>
      <w:proofErr w:type="spellStart"/>
      <w:r w:rsidR="00CF3623">
        <w:rPr>
          <w:szCs w:val="22"/>
          <w:lang w:val="sk-SK"/>
        </w:rPr>
        <w:t>noktúrií</w:t>
      </w:r>
      <w:proofErr w:type="spellEnd"/>
      <w:r w:rsidR="00100074" w:rsidRPr="005F6F71">
        <w:rPr>
          <w:szCs w:val="22"/>
          <w:lang w:val="sk-SK"/>
        </w:rPr>
        <w:t>) v</w:t>
      </w:r>
      <w:r w:rsidRPr="005F6F71">
        <w:rPr>
          <w:szCs w:val="22"/>
          <w:lang w:val="sk-SK"/>
        </w:rPr>
        <w:t xml:space="preserve"> analýze celého súboru, pričom v analýze súboru podľa protokolu </w:t>
      </w:r>
      <w:r w:rsidR="00FF7CE0" w:rsidRPr="005F6F71">
        <w:rPr>
          <w:szCs w:val="22"/>
          <w:lang w:val="sk-SK"/>
        </w:rPr>
        <w:t>sa</w:t>
      </w:r>
      <w:r w:rsidR="00100074" w:rsidRPr="005F6F71">
        <w:rPr>
          <w:szCs w:val="22"/>
          <w:lang w:val="sk-SK"/>
        </w:rPr>
        <w:t xml:space="preserve"> dosiah</w:t>
      </w:r>
      <w:r w:rsidR="00FF7CE0" w:rsidRPr="005F6F71">
        <w:rPr>
          <w:szCs w:val="22"/>
          <w:lang w:val="sk-SK"/>
        </w:rPr>
        <w:t>la hladina</w:t>
      </w:r>
      <w:r w:rsidR="00100074" w:rsidRPr="005F6F71">
        <w:rPr>
          <w:szCs w:val="22"/>
          <w:lang w:val="sk-SK"/>
        </w:rPr>
        <w:t xml:space="preserve"> štatistick</w:t>
      </w:r>
      <w:r w:rsidR="00FF7CE0" w:rsidRPr="005F6F71">
        <w:rPr>
          <w:szCs w:val="22"/>
          <w:lang w:val="sk-SK"/>
        </w:rPr>
        <w:t>ej</w:t>
      </w:r>
      <w:r w:rsidR="00100074" w:rsidRPr="005F6F71">
        <w:rPr>
          <w:szCs w:val="22"/>
          <w:lang w:val="sk-SK"/>
        </w:rPr>
        <w:t xml:space="preserve"> významnos</w:t>
      </w:r>
      <w:r w:rsidR="00FF7CE0" w:rsidRPr="005F6F71">
        <w:rPr>
          <w:szCs w:val="22"/>
          <w:lang w:val="sk-SK"/>
        </w:rPr>
        <w:t>ti</w:t>
      </w:r>
      <w:r w:rsidR="00100074" w:rsidRPr="005F6F71">
        <w:rPr>
          <w:szCs w:val="22"/>
          <w:lang w:val="sk-SK"/>
        </w:rPr>
        <w:t xml:space="preserve"> (p</w:t>
      </w:r>
      <w:r w:rsidR="00CD0303" w:rsidRPr="005F6F71">
        <w:rPr>
          <w:szCs w:val="22"/>
          <w:lang w:val="sk-SK"/>
        </w:rPr>
        <w:t xml:space="preserve"> </w:t>
      </w:r>
      <w:r w:rsidR="00100074" w:rsidRPr="005F6F71">
        <w:rPr>
          <w:szCs w:val="22"/>
          <w:lang w:val="sk-SK"/>
        </w:rPr>
        <w:t>=</w:t>
      </w:r>
      <w:r w:rsidR="00CD0303" w:rsidRPr="005F6F71">
        <w:rPr>
          <w:szCs w:val="22"/>
          <w:lang w:val="sk-SK"/>
        </w:rPr>
        <w:t> </w:t>
      </w:r>
      <w:r w:rsidR="00100074" w:rsidRPr="005F6F71">
        <w:rPr>
          <w:szCs w:val="22"/>
          <w:lang w:val="sk-SK"/>
        </w:rPr>
        <w:t>0,049)</w:t>
      </w:r>
      <w:r w:rsidR="00FF7CE0" w:rsidRPr="005F6F71">
        <w:rPr>
          <w:szCs w:val="22"/>
          <w:lang w:val="sk-SK"/>
        </w:rPr>
        <w:t> </w:t>
      </w:r>
      <w:r w:rsidR="00FF7CE0" w:rsidRPr="005F6F71">
        <w:rPr>
          <w:rFonts w:eastAsia="SimSun"/>
          <w:szCs w:val="22"/>
          <w:lang w:val="sk-SK" w:eastAsia="zh-CN"/>
        </w:rPr>
        <w:t>–</w:t>
      </w:r>
      <w:r w:rsidR="00FF7CE0" w:rsidRPr="005F6F71">
        <w:rPr>
          <w:szCs w:val="22"/>
          <w:lang w:val="sk-SK"/>
        </w:rPr>
        <w:t> zníženie o</w:t>
      </w:r>
      <w:r w:rsidR="00100074" w:rsidRPr="005F6F71">
        <w:rPr>
          <w:szCs w:val="22"/>
          <w:lang w:val="sk-SK"/>
        </w:rPr>
        <w:t xml:space="preserve"> -0,41 močení v</w:t>
      </w:r>
      <w:r w:rsidR="00FF7CE0" w:rsidRPr="005F6F71">
        <w:rPr>
          <w:szCs w:val="22"/>
          <w:lang w:val="sk-SK"/>
        </w:rPr>
        <w:t> pri kombinovanej liečbe</w:t>
      </w:r>
      <w:r w:rsidR="00100074" w:rsidRPr="005F6F71">
        <w:rPr>
          <w:szCs w:val="22"/>
          <w:lang w:val="sk-SK"/>
        </w:rPr>
        <w:t>.</w:t>
      </w:r>
    </w:p>
    <w:p w:rsidR="00302F7B" w:rsidRPr="005F6F71" w:rsidRDefault="00302F7B" w:rsidP="003C024C">
      <w:pPr>
        <w:outlineLvl w:val="0"/>
        <w:rPr>
          <w:rFonts w:eastAsia="SimSun"/>
          <w:szCs w:val="22"/>
          <w:lang w:val="sk-SK" w:eastAsia="zh-CN"/>
        </w:rPr>
      </w:pPr>
    </w:p>
    <w:p w:rsidR="00302F7B" w:rsidRPr="005F6F71" w:rsidRDefault="00100074" w:rsidP="003C024C">
      <w:pPr>
        <w:outlineLvl w:val="0"/>
        <w:rPr>
          <w:rFonts w:eastAsia="SimSun"/>
          <w:szCs w:val="22"/>
          <w:u w:val="single"/>
          <w:lang w:val="sk-SK" w:eastAsia="zh-CN"/>
        </w:rPr>
      </w:pPr>
      <w:r w:rsidRPr="005F6F71">
        <w:rPr>
          <w:rFonts w:eastAsia="SimSun"/>
          <w:szCs w:val="22"/>
          <w:u w:val="single"/>
          <w:lang w:val="sk-SK" w:eastAsia="zh-CN"/>
        </w:rPr>
        <w:t>Rozdiel</w:t>
      </w:r>
      <w:r w:rsidR="00FF7CE0" w:rsidRPr="005F6F71">
        <w:rPr>
          <w:rFonts w:eastAsia="SimSun"/>
          <w:szCs w:val="22"/>
          <w:u w:val="single"/>
          <w:lang w:val="sk-SK" w:eastAsia="zh-CN"/>
        </w:rPr>
        <w:t xml:space="preserve"> medzi pohlaviami</w:t>
      </w:r>
      <w:r w:rsidRPr="005F6F71">
        <w:rPr>
          <w:rFonts w:eastAsia="SimSun"/>
          <w:szCs w:val="22"/>
          <w:u w:val="single"/>
          <w:lang w:val="sk-SK" w:eastAsia="zh-CN"/>
        </w:rPr>
        <w:t xml:space="preserve"> v klinickej bezpečnosti a účinnosti</w:t>
      </w:r>
    </w:p>
    <w:p w:rsidR="00100074" w:rsidRPr="005F6F71" w:rsidRDefault="00100074" w:rsidP="003C024C">
      <w:pPr>
        <w:outlineLvl w:val="0"/>
        <w:rPr>
          <w:rFonts w:eastAsia="SimSun"/>
          <w:szCs w:val="22"/>
          <w:lang w:val="sk-SK" w:eastAsia="zh-CN"/>
        </w:rPr>
      </w:pPr>
      <w:r w:rsidRPr="005F6F71">
        <w:rPr>
          <w:rFonts w:eastAsia="SimSun"/>
          <w:szCs w:val="22"/>
          <w:lang w:val="sk-SK" w:eastAsia="zh-CN"/>
        </w:rPr>
        <w:t xml:space="preserve">Klinická štúdia [FE992026 CS029] analyzovala </w:t>
      </w:r>
      <w:r w:rsidR="006B7EB2" w:rsidRPr="005F6F71">
        <w:rPr>
          <w:rFonts w:eastAsia="SimSun"/>
          <w:szCs w:val="22"/>
          <w:lang w:val="sk-SK" w:eastAsia="zh-CN"/>
        </w:rPr>
        <w:t xml:space="preserve">odpoveď žien a mužov na dávku </w:t>
      </w:r>
      <w:proofErr w:type="spellStart"/>
      <w:r w:rsidR="006B7EB2" w:rsidRPr="005F6F71">
        <w:rPr>
          <w:rFonts w:eastAsia="SimSun"/>
          <w:szCs w:val="22"/>
          <w:lang w:val="sk-SK" w:eastAsia="zh-CN"/>
        </w:rPr>
        <w:t>Nocdurny</w:t>
      </w:r>
      <w:proofErr w:type="spellEnd"/>
      <w:r w:rsidR="006B7EB2" w:rsidRPr="005F6F71">
        <w:rPr>
          <w:rFonts w:eastAsia="SimSun"/>
          <w:szCs w:val="22"/>
          <w:lang w:val="sk-SK" w:eastAsia="zh-CN"/>
        </w:rPr>
        <w:t xml:space="preserve">, pričom sa použili dávky od 10 do 100 </w:t>
      </w:r>
      <w:proofErr w:type="spellStart"/>
      <w:r w:rsidR="006B7EB2" w:rsidRPr="005F6F71">
        <w:rPr>
          <w:rFonts w:eastAsia="SimSun"/>
          <w:szCs w:val="22"/>
          <w:lang w:val="sk-SK" w:eastAsia="zh-CN"/>
        </w:rPr>
        <w:t>mikrogramov</w:t>
      </w:r>
      <w:proofErr w:type="spellEnd"/>
      <w:r w:rsidR="006B7EB2" w:rsidRPr="005F6F71">
        <w:rPr>
          <w:rFonts w:eastAsia="SimSun"/>
          <w:szCs w:val="22"/>
          <w:lang w:val="sk-SK" w:eastAsia="zh-CN"/>
        </w:rPr>
        <w:t xml:space="preserve">: U žien sa nepozoroval ďalší nárast </w:t>
      </w:r>
      <w:proofErr w:type="spellStart"/>
      <w:r w:rsidR="006B7EB2" w:rsidRPr="005F6F71">
        <w:rPr>
          <w:rFonts w:eastAsia="SimSun"/>
          <w:szCs w:val="22"/>
          <w:lang w:val="sk-SK" w:eastAsia="zh-CN"/>
        </w:rPr>
        <w:t>farmakodynamického</w:t>
      </w:r>
      <w:proofErr w:type="spellEnd"/>
      <w:r w:rsidR="006B7EB2" w:rsidRPr="005F6F71">
        <w:rPr>
          <w:rFonts w:eastAsia="SimSun"/>
          <w:szCs w:val="22"/>
          <w:lang w:val="sk-SK" w:eastAsia="zh-CN"/>
        </w:rPr>
        <w:t xml:space="preserve"> účinku pri dávke nad 25 </w:t>
      </w:r>
      <w:proofErr w:type="spellStart"/>
      <w:r w:rsidR="006B7EB2" w:rsidRPr="005F6F71">
        <w:rPr>
          <w:rFonts w:eastAsia="SimSun"/>
          <w:szCs w:val="22"/>
          <w:lang w:val="sk-SK" w:eastAsia="zh-CN"/>
        </w:rPr>
        <w:t>mikrogramov</w:t>
      </w:r>
      <w:proofErr w:type="spellEnd"/>
      <w:r w:rsidR="006B7EB2" w:rsidRPr="005F6F71">
        <w:rPr>
          <w:rFonts w:eastAsia="SimSun"/>
          <w:szCs w:val="22"/>
          <w:lang w:val="sk-SK" w:eastAsia="zh-CN"/>
        </w:rPr>
        <w:t>, č</w:t>
      </w:r>
      <w:r w:rsidR="00CF3623">
        <w:rPr>
          <w:rFonts w:eastAsia="SimSun"/>
          <w:szCs w:val="22"/>
          <w:lang w:val="sk-SK" w:eastAsia="zh-CN"/>
        </w:rPr>
        <w:t>o</w:t>
      </w:r>
      <w:r w:rsidR="006B7EB2" w:rsidRPr="005F6F71">
        <w:rPr>
          <w:rFonts w:eastAsia="SimSun"/>
          <w:szCs w:val="22"/>
          <w:lang w:val="sk-SK" w:eastAsia="zh-CN"/>
        </w:rPr>
        <w:t xml:space="preserve"> </w:t>
      </w:r>
      <w:r w:rsidR="00FF7CE0" w:rsidRPr="005F6F71">
        <w:rPr>
          <w:rFonts w:eastAsia="SimSun"/>
          <w:szCs w:val="22"/>
          <w:lang w:val="sk-SK" w:eastAsia="zh-CN"/>
        </w:rPr>
        <w:t>ukazuje</w:t>
      </w:r>
      <w:r w:rsidR="006B7EB2" w:rsidRPr="005F6F71">
        <w:rPr>
          <w:rFonts w:eastAsia="SimSun"/>
          <w:szCs w:val="22"/>
          <w:lang w:val="sk-SK" w:eastAsia="zh-CN"/>
        </w:rPr>
        <w:t xml:space="preserve">, že </w:t>
      </w:r>
      <w:r w:rsidR="00561EB3" w:rsidRPr="005F6F71">
        <w:rPr>
          <w:rFonts w:eastAsia="SimSun"/>
          <w:szCs w:val="22"/>
          <w:lang w:val="sk-SK" w:eastAsia="zh-CN"/>
        </w:rPr>
        <w:t>plató</w:t>
      </w:r>
      <w:r w:rsidR="006B7EB2" w:rsidRPr="005F6F71">
        <w:rPr>
          <w:rFonts w:eastAsia="SimSun"/>
          <w:szCs w:val="22"/>
          <w:lang w:val="sk-SK" w:eastAsia="zh-CN"/>
        </w:rPr>
        <w:t xml:space="preserve"> </w:t>
      </w:r>
      <w:r w:rsidR="00FF7CE0" w:rsidRPr="005F6F71">
        <w:rPr>
          <w:rFonts w:eastAsia="SimSun"/>
          <w:szCs w:val="22"/>
          <w:lang w:val="sk-SK" w:eastAsia="zh-CN"/>
        </w:rPr>
        <w:t>odpovedí</w:t>
      </w:r>
      <w:r w:rsidR="006B7EB2" w:rsidRPr="005F6F71">
        <w:rPr>
          <w:rFonts w:eastAsia="SimSun"/>
          <w:szCs w:val="22"/>
          <w:lang w:val="sk-SK" w:eastAsia="zh-CN"/>
        </w:rPr>
        <w:t xml:space="preserve"> sa dosiahlo </w:t>
      </w:r>
      <w:r w:rsidR="00FF7CE0" w:rsidRPr="005F6F71">
        <w:rPr>
          <w:rFonts w:eastAsia="SimSun"/>
          <w:szCs w:val="22"/>
          <w:lang w:val="sk-SK" w:eastAsia="zh-CN"/>
        </w:rPr>
        <w:t xml:space="preserve">u žien </w:t>
      </w:r>
      <w:r w:rsidR="006B7EB2" w:rsidRPr="005F6F71">
        <w:rPr>
          <w:rFonts w:eastAsia="SimSun"/>
          <w:szCs w:val="22"/>
          <w:lang w:val="sk-SK" w:eastAsia="zh-CN"/>
        </w:rPr>
        <w:t>pri 25</w:t>
      </w:r>
      <w:r w:rsidR="00791DD2" w:rsidRPr="005F6F71">
        <w:rPr>
          <w:rFonts w:eastAsia="SimSun"/>
          <w:szCs w:val="22"/>
          <w:lang w:val="sk-SK" w:eastAsia="zh-CN"/>
        </w:rPr>
        <w:t> </w:t>
      </w:r>
      <w:proofErr w:type="spellStart"/>
      <w:r w:rsidR="006B7EB2" w:rsidRPr="005F6F71">
        <w:rPr>
          <w:rFonts w:eastAsia="SimSun"/>
          <w:szCs w:val="22"/>
          <w:lang w:val="sk-SK" w:eastAsia="zh-CN"/>
        </w:rPr>
        <w:t>mikrogramoch</w:t>
      </w:r>
      <w:proofErr w:type="spellEnd"/>
      <w:r w:rsidR="006B7EB2" w:rsidRPr="005F6F71">
        <w:rPr>
          <w:rFonts w:eastAsia="SimSun"/>
          <w:szCs w:val="22"/>
          <w:lang w:val="sk-SK" w:eastAsia="zh-CN"/>
        </w:rPr>
        <w:t xml:space="preserve">. U mužov </w:t>
      </w:r>
      <w:r w:rsidR="00FF7CE0" w:rsidRPr="005F6F71">
        <w:rPr>
          <w:rFonts w:eastAsia="SimSun"/>
          <w:szCs w:val="22"/>
          <w:lang w:val="sk-SK" w:eastAsia="zh-CN"/>
        </w:rPr>
        <w:t xml:space="preserve">sa zistilo väčšie </w:t>
      </w:r>
      <w:r w:rsidR="006B7EB2" w:rsidRPr="005F6F71">
        <w:rPr>
          <w:rFonts w:eastAsia="SimSun"/>
          <w:szCs w:val="22"/>
          <w:lang w:val="sk-SK" w:eastAsia="zh-CN"/>
        </w:rPr>
        <w:t>zníženie objemu moču pri 50</w:t>
      </w:r>
      <w:r w:rsidR="00CD0303" w:rsidRPr="005F6F71">
        <w:rPr>
          <w:rFonts w:eastAsia="SimSun"/>
          <w:szCs w:val="22"/>
          <w:lang w:val="sk-SK" w:eastAsia="zh-CN"/>
        </w:rPr>
        <w:t> </w:t>
      </w:r>
      <w:proofErr w:type="spellStart"/>
      <w:r w:rsidR="006B7EB2" w:rsidRPr="005F6F71">
        <w:rPr>
          <w:rFonts w:eastAsia="SimSun"/>
          <w:szCs w:val="22"/>
          <w:lang w:val="sk-SK" w:eastAsia="zh-CN"/>
        </w:rPr>
        <w:t>mikrogramoch</w:t>
      </w:r>
      <w:proofErr w:type="spellEnd"/>
      <w:r w:rsidR="006B7EB2" w:rsidRPr="005F6F71">
        <w:rPr>
          <w:rFonts w:eastAsia="SimSun"/>
          <w:szCs w:val="22"/>
          <w:lang w:val="sk-SK" w:eastAsia="zh-CN"/>
        </w:rPr>
        <w:t xml:space="preserve">, ale </w:t>
      </w:r>
      <w:r w:rsidR="00FF7CE0" w:rsidRPr="005F6F71">
        <w:rPr>
          <w:rFonts w:eastAsia="SimSun"/>
          <w:szCs w:val="22"/>
          <w:lang w:val="sk-SK" w:eastAsia="zh-CN"/>
        </w:rPr>
        <w:t>pri 100</w:t>
      </w:r>
      <w:r w:rsidR="00791DD2" w:rsidRPr="005F6F71">
        <w:rPr>
          <w:rFonts w:eastAsia="SimSun"/>
          <w:szCs w:val="22"/>
          <w:lang w:val="sk-SK" w:eastAsia="zh-CN"/>
        </w:rPr>
        <w:t> </w:t>
      </w:r>
      <w:proofErr w:type="spellStart"/>
      <w:r w:rsidR="00FF7CE0" w:rsidRPr="005F6F71">
        <w:rPr>
          <w:rFonts w:eastAsia="SimSun"/>
          <w:szCs w:val="22"/>
          <w:lang w:val="sk-SK" w:eastAsia="zh-CN"/>
        </w:rPr>
        <w:t>mikrogramoch</w:t>
      </w:r>
      <w:proofErr w:type="spellEnd"/>
      <w:r w:rsidR="00FF7CE0" w:rsidRPr="005F6F71">
        <w:rPr>
          <w:rFonts w:eastAsia="SimSun"/>
          <w:szCs w:val="22"/>
          <w:lang w:val="sk-SK" w:eastAsia="zh-CN"/>
        </w:rPr>
        <w:t xml:space="preserve"> už nebolo </w:t>
      </w:r>
      <w:proofErr w:type="spellStart"/>
      <w:r w:rsidR="006B7EB2" w:rsidRPr="005F6F71">
        <w:rPr>
          <w:rFonts w:eastAsia="SimSun"/>
          <w:szCs w:val="22"/>
          <w:lang w:val="sk-SK" w:eastAsia="zh-CN"/>
        </w:rPr>
        <w:t>signifikantne</w:t>
      </w:r>
      <w:proofErr w:type="spellEnd"/>
      <w:r w:rsidR="006B7EB2" w:rsidRPr="005F6F71">
        <w:rPr>
          <w:rFonts w:eastAsia="SimSun"/>
          <w:szCs w:val="22"/>
          <w:lang w:val="sk-SK" w:eastAsia="zh-CN"/>
        </w:rPr>
        <w:t xml:space="preserve"> vyššie. Zv</w:t>
      </w:r>
      <w:r w:rsidR="00FF7CE0" w:rsidRPr="005F6F71">
        <w:rPr>
          <w:rFonts w:eastAsia="SimSun"/>
          <w:szCs w:val="22"/>
          <w:lang w:val="sk-SK" w:eastAsia="zh-CN"/>
        </w:rPr>
        <w:t>ýšenie</w:t>
      </w:r>
      <w:r w:rsidR="006B7EB2" w:rsidRPr="005F6F71">
        <w:rPr>
          <w:rFonts w:eastAsia="SimSun"/>
          <w:szCs w:val="22"/>
          <w:lang w:val="sk-SK" w:eastAsia="zh-CN"/>
        </w:rPr>
        <w:t xml:space="preserve"> dávky na 50</w:t>
      </w:r>
      <w:r w:rsidR="00CD0303" w:rsidRPr="005F6F71">
        <w:rPr>
          <w:rFonts w:eastAsia="SimSun"/>
          <w:szCs w:val="22"/>
          <w:lang w:val="sk-SK" w:eastAsia="zh-CN"/>
        </w:rPr>
        <w:t> </w:t>
      </w:r>
      <w:proofErr w:type="spellStart"/>
      <w:r w:rsidR="006B7EB2" w:rsidRPr="005F6F71">
        <w:rPr>
          <w:rFonts w:eastAsia="SimSun"/>
          <w:szCs w:val="22"/>
          <w:lang w:val="sk-SK" w:eastAsia="zh-CN"/>
        </w:rPr>
        <w:t>mikrogramov</w:t>
      </w:r>
      <w:proofErr w:type="spellEnd"/>
      <w:r w:rsidR="006B7EB2" w:rsidRPr="005F6F71">
        <w:rPr>
          <w:rFonts w:eastAsia="SimSun"/>
          <w:szCs w:val="22"/>
          <w:lang w:val="sk-SK" w:eastAsia="zh-CN"/>
        </w:rPr>
        <w:t xml:space="preserve"> u žien </w:t>
      </w:r>
      <w:r w:rsidR="00FF7CE0" w:rsidRPr="005F6F71">
        <w:rPr>
          <w:rFonts w:eastAsia="SimSun"/>
          <w:szCs w:val="22"/>
          <w:lang w:val="sk-SK" w:eastAsia="zh-CN"/>
        </w:rPr>
        <w:t>neviedlo k zvýšenej účinnost</w:t>
      </w:r>
      <w:r w:rsidR="00791DD2" w:rsidRPr="005F6F71">
        <w:rPr>
          <w:rFonts w:eastAsia="SimSun"/>
          <w:szCs w:val="22"/>
          <w:lang w:val="sk-SK" w:eastAsia="zh-CN"/>
        </w:rPr>
        <w:t>i</w:t>
      </w:r>
      <w:r w:rsidR="006B7EB2" w:rsidRPr="005F6F71">
        <w:rPr>
          <w:rFonts w:eastAsia="SimSun"/>
          <w:szCs w:val="22"/>
          <w:lang w:val="sk-SK" w:eastAsia="zh-CN"/>
        </w:rPr>
        <w:t xml:space="preserve">, ale </w:t>
      </w:r>
      <w:r w:rsidR="00FF7CE0" w:rsidRPr="005F6F71">
        <w:rPr>
          <w:rFonts w:eastAsia="SimSun"/>
          <w:szCs w:val="22"/>
          <w:lang w:val="sk-SK" w:eastAsia="zh-CN"/>
        </w:rPr>
        <w:t>bolo vo vekovej skupine nad 50 rokov spojené s</w:t>
      </w:r>
      <w:r w:rsidR="006B7EB2" w:rsidRPr="005F6F71">
        <w:rPr>
          <w:rFonts w:eastAsia="SimSun"/>
          <w:szCs w:val="22"/>
          <w:lang w:val="sk-SK" w:eastAsia="zh-CN"/>
        </w:rPr>
        <w:t xml:space="preserve"> 5-násobn</w:t>
      </w:r>
      <w:r w:rsidR="00FF7CE0" w:rsidRPr="005F6F71">
        <w:rPr>
          <w:rFonts w:eastAsia="SimSun"/>
          <w:szCs w:val="22"/>
          <w:lang w:val="sk-SK" w:eastAsia="zh-CN"/>
        </w:rPr>
        <w:t>ým</w:t>
      </w:r>
      <w:r w:rsidR="006B7EB2" w:rsidRPr="005F6F71">
        <w:rPr>
          <w:rFonts w:eastAsia="SimSun"/>
          <w:szCs w:val="22"/>
          <w:lang w:val="sk-SK" w:eastAsia="zh-CN"/>
        </w:rPr>
        <w:t xml:space="preserve"> zvýšen</w:t>
      </w:r>
      <w:r w:rsidR="00FF7CE0" w:rsidRPr="005F6F71">
        <w:rPr>
          <w:rFonts w:eastAsia="SimSun"/>
          <w:szCs w:val="22"/>
          <w:lang w:val="sk-SK" w:eastAsia="zh-CN"/>
        </w:rPr>
        <w:t>ím</w:t>
      </w:r>
      <w:r w:rsidR="006B7EB2" w:rsidRPr="005F6F71">
        <w:rPr>
          <w:rFonts w:eastAsia="SimSun"/>
          <w:szCs w:val="22"/>
          <w:lang w:val="sk-SK" w:eastAsia="zh-CN"/>
        </w:rPr>
        <w:t xml:space="preserve"> rizika </w:t>
      </w:r>
      <w:proofErr w:type="spellStart"/>
      <w:r w:rsidR="006B7EB2" w:rsidRPr="005F6F71">
        <w:rPr>
          <w:rFonts w:eastAsia="SimSun"/>
          <w:szCs w:val="22"/>
          <w:lang w:val="sk-SK" w:eastAsia="zh-CN"/>
        </w:rPr>
        <w:t>hyponatriémie</w:t>
      </w:r>
      <w:proofErr w:type="spellEnd"/>
      <w:r w:rsidR="006B7EB2" w:rsidRPr="005F6F71">
        <w:rPr>
          <w:rFonts w:eastAsia="SimSun"/>
          <w:szCs w:val="22"/>
          <w:lang w:val="sk-SK" w:eastAsia="zh-CN"/>
        </w:rPr>
        <w:t xml:space="preserve"> v porovnaní s muž</w:t>
      </w:r>
      <w:r w:rsidR="00FF7CE0" w:rsidRPr="005F6F71">
        <w:rPr>
          <w:rFonts w:eastAsia="SimSun"/>
          <w:szCs w:val="22"/>
          <w:lang w:val="sk-SK" w:eastAsia="zh-CN"/>
        </w:rPr>
        <w:t>mi</w:t>
      </w:r>
      <w:r w:rsidR="006B7EB2" w:rsidRPr="005F6F71">
        <w:rPr>
          <w:rFonts w:eastAsia="SimSun"/>
          <w:szCs w:val="22"/>
          <w:lang w:val="sk-SK" w:eastAsia="zh-CN"/>
        </w:rPr>
        <w:t xml:space="preserve"> (p = 0,015).    </w:t>
      </w:r>
    </w:p>
    <w:p w:rsidR="00DE639D" w:rsidRPr="005F6F71" w:rsidRDefault="00DE639D" w:rsidP="003C024C">
      <w:pPr>
        <w:outlineLvl w:val="0"/>
        <w:rPr>
          <w:rFonts w:eastAsia="SimSun"/>
          <w:szCs w:val="22"/>
          <w:lang w:val="sk-SK" w:eastAsia="zh-CN"/>
        </w:rPr>
      </w:pPr>
    </w:p>
    <w:p w:rsidR="001D29E6" w:rsidRPr="005F6F71" w:rsidRDefault="007D1ED8" w:rsidP="00DE639D">
      <w:pPr>
        <w:keepNext/>
        <w:keepLines/>
        <w:tabs>
          <w:tab w:val="clear" w:pos="567"/>
        </w:tabs>
        <w:suppressAutoHyphens/>
        <w:spacing w:before="60" w:after="60" w:line="240" w:lineRule="auto"/>
        <w:rPr>
          <w:b/>
          <w:lang w:val="sk-SK"/>
        </w:rPr>
      </w:pPr>
      <w:bookmarkStart w:id="0" w:name="_Toc384194760"/>
      <w:r w:rsidRPr="005F6F71">
        <w:rPr>
          <w:b/>
          <w:bCs/>
          <w:szCs w:val="22"/>
          <w:lang w:val="sk-SK" w:eastAsia="en-GB"/>
        </w:rPr>
        <w:t xml:space="preserve"> </w:t>
      </w:r>
      <w:bookmarkEnd w:id="0"/>
      <w:r w:rsidR="001D29E6" w:rsidRPr="005F6F71">
        <w:rPr>
          <w:b/>
          <w:lang w:val="sk-SK"/>
        </w:rPr>
        <w:t>5.2</w:t>
      </w:r>
      <w:r w:rsidR="001D29E6" w:rsidRPr="005F6F71">
        <w:rPr>
          <w:b/>
          <w:lang w:val="sk-SK"/>
        </w:rPr>
        <w:tab/>
      </w:r>
      <w:proofErr w:type="spellStart"/>
      <w:r w:rsidR="006B7EB2" w:rsidRPr="005F6F71">
        <w:rPr>
          <w:b/>
          <w:lang w:val="sk-SK"/>
        </w:rPr>
        <w:t>Farmakokinetické</w:t>
      </w:r>
      <w:proofErr w:type="spellEnd"/>
      <w:r w:rsidR="006B7EB2" w:rsidRPr="005F6F71">
        <w:rPr>
          <w:b/>
          <w:lang w:val="sk-SK"/>
        </w:rPr>
        <w:t xml:space="preserve"> vlastnosti</w:t>
      </w:r>
    </w:p>
    <w:p w:rsidR="00C53ACC" w:rsidRPr="005F6F71" w:rsidRDefault="00C53ACC" w:rsidP="00847117">
      <w:pPr>
        <w:ind w:left="567" w:hanging="567"/>
        <w:rPr>
          <w:lang w:val="sk-SK"/>
        </w:rPr>
      </w:pPr>
    </w:p>
    <w:p w:rsidR="00822FA3" w:rsidRPr="005F6F71" w:rsidRDefault="00822FA3" w:rsidP="00847117">
      <w:pPr>
        <w:numPr>
          <w:ilvl w:val="12"/>
          <w:numId w:val="0"/>
        </w:numPr>
        <w:ind w:right="-2"/>
        <w:rPr>
          <w:iCs/>
          <w:noProof/>
          <w:szCs w:val="22"/>
          <w:u w:val="single"/>
          <w:lang w:val="sk-SK"/>
        </w:rPr>
      </w:pPr>
      <w:r w:rsidRPr="005F6F71">
        <w:rPr>
          <w:iCs/>
          <w:noProof/>
          <w:szCs w:val="22"/>
          <w:u w:val="single"/>
          <w:lang w:val="sk-SK"/>
        </w:rPr>
        <w:t>Absorp</w:t>
      </w:r>
      <w:r w:rsidR="006B7EB2" w:rsidRPr="005F6F71">
        <w:rPr>
          <w:iCs/>
          <w:noProof/>
          <w:szCs w:val="22"/>
          <w:u w:val="single"/>
          <w:lang w:val="sk-SK"/>
        </w:rPr>
        <w:t>cia</w:t>
      </w:r>
    </w:p>
    <w:p w:rsidR="004A4982" w:rsidRPr="005F6F71" w:rsidRDefault="006B7EB2" w:rsidP="009B3A4D">
      <w:pPr>
        <w:pStyle w:val="Oznaitext"/>
        <w:tabs>
          <w:tab w:val="left" w:pos="540"/>
        </w:tabs>
        <w:spacing w:after="0" w:line="260" w:lineRule="exact"/>
        <w:ind w:left="0" w:right="142"/>
        <w:rPr>
          <w:sz w:val="22"/>
          <w:szCs w:val="22"/>
          <w:lang w:val="sk-SK"/>
        </w:rPr>
      </w:pPr>
      <w:r w:rsidRPr="005F6F71">
        <w:rPr>
          <w:sz w:val="22"/>
          <w:szCs w:val="22"/>
          <w:lang w:val="sk-SK"/>
        </w:rPr>
        <w:t xml:space="preserve">Celková priemerná absolútna biologická dostupnosť </w:t>
      </w:r>
      <w:proofErr w:type="spellStart"/>
      <w:r w:rsidRPr="005F6F71">
        <w:rPr>
          <w:sz w:val="22"/>
          <w:szCs w:val="22"/>
          <w:lang w:val="sk-SK"/>
        </w:rPr>
        <w:t>dezmopresínu</w:t>
      </w:r>
      <w:proofErr w:type="spellEnd"/>
      <w:r w:rsidRPr="005F6F71">
        <w:rPr>
          <w:sz w:val="22"/>
          <w:szCs w:val="22"/>
          <w:lang w:val="sk-SK"/>
        </w:rPr>
        <w:t xml:space="preserve"> pod</w:t>
      </w:r>
      <w:r w:rsidR="00270E9B" w:rsidRPr="005F6F71">
        <w:rPr>
          <w:sz w:val="22"/>
          <w:szCs w:val="22"/>
          <w:lang w:val="sk-SK"/>
        </w:rPr>
        <w:t>ávaného</w:t>
      </w:r>
      <w:r w:rsidRPr="005F6F71">
        <w:rPr>
          <w:sz w:val="22"/>
          <w:szCs w:val="22"/>
          <w:lang w:val="sk-SK"/>
        </w:rPr>
        <w:t xml:space="preserve"> </w:t>
      </w:r>
      <w:proofErr w:type="spellStart"/>
      <w:r w:rsidRPr="005F6F71">
        <w:rPr>
          <w:sz w:val="22"/>
          <w:szCs w:val="22"/>
          <w:lang w:val="sk-SK"/>
        </w:rPr>
        <w:t>sublingválne</w:t>
      </w:r>
      <w:proofErr w:type="spellEnd"/>
      <w:r w:rsidRPr="005F6F71">
        <w:rPr>
          <w:sz w:val="22"/>
          <w:szCs w:val="22"/>
          <w:lang w:val="sk-SK"/>
        </w:rPr>
        <w:t xml:space="preserve"> </w:t>
      </w:r>
      <w:r w:rsidR="00270E9B" w:rsidRPr="005F6F71">
        <w:rPr>
          <w:sz w:val="22"/>
          <w:szCs w:val="22"/>
          <w:lang w:val="sk-SK"/>
        </w:rPr>
        <w:t>v </w:t>
      </w:r>
      <w:r w:rsidR="00F021A6" w:rsidRPr="005F6F71">
        <w:rPr>
          <w:sz w:val="22"/>
          <w:szCs w:val="22"/>
          <w:lang w:val="sk-SK"/>
        </w:rPr>
        <w:t>skorších štúdi</w:t>
      </w:r>
      <w:r w:rsidR="00270E9B" w:rsidRPr="005F6F71">
        <w:rPr>
          <w:sz w:val="22"/>
          <w:szCs w:val="22"/>
          <w:lang w:val="sk-SK"/>
        </w:rPr>
        <w:t>ách</w:t>
      </w:r>
      <w:r w:rsidR="00F021A6" w:rsidRPr="005F6F71">
        <w:rPr>
          <w:sz w:val="22"/>
          <w:szCs w:val="22"/>
          <w:lang w:val="sk-SK"/>
        </w:rPr>
        <w:t xml:space="preserve"> </w:t>
      </w:r>
      <w:r w:rsidR="00270E9B" w:rsidRPr="005F6F71">
        <w:rPr>
          <w:sz w:val="22"/>
          <w:szCs w:val="22"/>
          <w:lang w:val="sk-SK"/>
        </w:rPr>
        <w:t>stanovenia dávky pri</w:t>
      </w:r>
      <w:r w:rsidR="00F021A6" w:rsidRPr="005F6F71">
        <w:rPr>
          <w:sz w:val="22"/>
          <w:szCs w:val="22"/>
          <w:lang w:val="sk-SK"/>
        </w:rPr>
        <w:t xml:space="preserve"> </w:t>
      </w:r>
      <w:r w:rsidR="00822FA3" w:rsidRPr="005F6F71">
        <w:rPr>
          <w:sz w:val="22"/>
          <w:szCs w:val="22"/>
          <w:lang w:val="sk-SK"/>
        </w:rPr>
        <w:t xml:space="preserve">200, 400 a 800 </w:t>
      </w:r>
      <w:r w:rsidR="00270E9B" w:rsidRPr="005F6F71">
        <w:rPr>
          <w:sz w:val="22"/>
          <w:szCs w:val="22"/>
          <w:lang w:val="sk-SK"/>
        </w:rPr>
        <w:t>µg</w:t>
      </w:r>
      <w:r w:rsidR="00F021A6" w:rsidRPr="005F6F71">
        <w:rPr>
          <w:sz w:val="22"/>
          <w:szCs w:val="22"/>
          <w:lang w:val="sk-SK"/>
        </w:rPr>
        <w:t xml:space="preserve"> je </w:t>
      </w:r>
      <w:r w:rsidR="00822FA3" w:rsidRPr="005F6F71">
        <w:rPr>
          <w:sz w:val="22"/>
          <w:szCs w:val="22"/>
          <w:lang w:val="sk-SK"/>
        </w:rPr>
        <w:t>0</w:t>
      </w:r>
      <w:r w:rsidR="00F021A6" w:rsidRPr="005F6F71">
        <w:rPr>
          <w:sz w:val="22"/>
          <w:szCs w:val="22"/>
          <w:lang w:val="sk-SK"/>
        </w:rPr>
        <w:t>,</w:t>
      </w:r>
      <w:r w:rsidR="00822FA3" w:rsidRPr="005F6F71">
        <w:rPr>
          <w:sz w:val="22"/>
          <w:szCs w:val="22"/>
          <w:lang w:val="sk-SK"/>
        </w:rPr>
        <w:t>25</w:t>
      </w:r>
      <w:r w:rsidR="00F021A6" w:rsidRPr="005F6F71">
        <w:rPr>
          <w:sz w:val="22"/>
          <w:szCs w:val="22"/>
          <w:lang w:val="sk-SK"/>
        </w:rPr>
        <w:t xml:space="preserve"> </w:t>
      </w:r>
      <w:r w:rsidR="00822FA3" w:rsidRPr="005F6F71">
        <w:rPr>
          <w:sz w:val="22"/>
          <w:szCs w:val="22"/>
          <w:lang w:val="sk-SK"/>
        </w:rPr>
        <w:t>%</w:t>
      </w:r>
      <w:r w:rsidR="00F021A6" w:rsidRPr="005F6F71">
        <w:rPr>
          <w:sz w:val="22"/>
          <w:szCs w:val="22"/>
          <w:lang w:val="sk-SK"/>
        </w:rPr>
        <w:t xml:space="preserve"> s intervalom spoľahlivosti</w:t>
      </w:r>
      <w:r w:rsidR="00822FA3" w:rsidRPr="005F6F71">
        <w:rPr>
          <w:sz w:val="22"/>
          <w:szCs w:val="22"/>
          <w:lang w:val="sk-SK"/>
        </w:rPr>
        <w:t xml:space="preserve"> 95</w:t>
      </w:r>
      <w:r w:rsidR="00F021A6" w:rsidRPr="005F6F71">
        <w:rPr>
          <w:sz w:val="22"/>
          <w:szCs w:val="22"/>
          <w:lang w:val="sk-SK"/>
        </w:rPr>
        <w:t> </w:t>
      </w:r>
      <w:r w:rsidR="00822FA3" w:rsidRPr="005F6F71">
        <w:rPr>
          <w:sz w:val="22"/>
          <w:szCs w:val="22"/>
          <w:lang w:val="sk-SK"/>
        </w:rPr>
        <w:t>%</w:t>
      </w:r>
      <w:r w:rsidR="00F021A6" w:rsidRPr="005F6F71">
        <w:rPr>
          <w:sz w:val="22"/>
          <w:szCs w:val="22"/>
          <w:lang w:val="sk-SK"/>
        </w:rPr>
        <w:t xml:space="preserve"> v rozmedzí </w:t>
      </w:r>
      <w:r w:rsidR="00822FA3" w:rsidRPr="005F6F71">
        <w:rPr>
          <w:sz w:val="22"/>
          <w:szCs w:val="22"/>
          <w:lang w:val="sk-SK"/>
        </w:rPr>
        <w:t xml:space="preserve"> 0</w:t>
      </w:r>
      <w:r w:rsidR="00EF01BF" w:rsidRPr="005F6F71">
        <w:rPr>
          <w:sz w:val="22"/>
          <w:szCs w:val="22"/>
          <w:lang w:val="sk-SK"/>
        </w:rPr>
        <w:t>,21 – 0,</w:t>
      </w:r>
      <w:r w:rsidR="00822FA3" w:rsidRPr="005F6F71">
        <w:rPr>
          <w:sz w:val="22"/>
          <w:szCs w:val="22"/>
          <w:lang w:val="sk-SK"/>
        </w:rPr>
        <w:t>31</w:t>
      </w:r>
      <w:r w:rsidR="00EF01BF" w:rsidRPr="005F6F71">
        <w:rPr>
          <w:sz w:val="22"/>
          <w:szCs w:val="22"/>
          <w:lang w:val="sk-SK"/>
        </w:rPr>
        <w:t> </w:t>
      </w:r>
      <w:r w:rsidR="00822FA3" w:rsidRPr="005F6F71">
        <w:rPr>
          <w:sz w:val="22"/>
          <w:szCs w:val="22"/>
          <w:lang w:val="sk-SK"/>
        </w:rPr>
        <w:t xml:space="preserve">%. </w:t>
      </w:r>
      <w:proofErr w:type="spellStart"/>
      <w:r w:rsidR="00EF01BF" w:rsidRPr="005F6F71">
        <w:rPr>
          <w:sz w:val="22"/>
          <w:szCs w:val="22"/>
          <w:lang w:val="sk-SK"/>
        </w:rPr>
        <w:t>Dezmopresín</w:t>
      </w:r>
      <w:proofErr w:type="spellEnd"/>
      <w:r w:rsidR="00EF01BF" w:rsidRPr="005F6F71">
        <w:rPr>
          <w:sz w:val="22"/>
          <w:szCs w:val="22"/>
          <w:lang w:val="sk-SK"/>
        </w:rPr>
        <w:t xml:space="preserve"> </w:t>
      </w:r>
      <w:r w:rsidR="00270E9B" w:rsidRPr="005F6F71">
        <w:rPr>
          <w:sz w:val="22"/>
          <w:szCs w:val="22"/>
          <w:lang w:val="sk-SK"/>
        </w:rPr>
        <w:t>vykazuje</w:t>
      </w:r>
      <w:r w:rsidR="00EF01BF" w:rsidRPr="005F6F71">
        <w:rPr>
          <w:sz w:val="22"/>
          <w:szCs w:val="22"/>
          <w:lang w:val="sk-SK"/>
        </w:rPr>
        <w:t xml:space="preserve"> </w:t>
      </w:r>
      <w:r w:rsidR="00270E9B" w:rsidRPr="005F6F71">
        <w:rPr>
          <w:sz w:val="22"/>
          <w:szCs w:val="22"/>
          <w:lang w:val="sk-SK"/>
        </w:rPr>
        <w:t>strednú</w:t>
      </w:r>
      <w:r w:rsidR="00EF01BF" w:rsidRPr="005F6F71">
        <w:rPr>
          <w:sz w:val="22"/>
          <w:szCs w:val="22"/>
          <w:lang w:val="sk-SK"/>
        </w:rPr>
        <w:t xml:space="preserve"> až vysokú variabilitu v bio</w:t>
      </w:r>
      <w:r w:rsidR="004A4982" w:rsidRPr="005F6F71">
        <w:rPr>
          <w:sz w:val="22"/>
          <w:szCs w:val="22"/>
          <w:lang w:val="sk-SK"/>
        </w:rPr>
        <w:t xml:space="preserve">logickej </w:t>
      </w:r>
      <w:r w:rsidR="00EF01BF" w:rsidRPr="005F6F71">
        <w:rPr>
          <w:sz w:val="22"/>
          <w:szCs w:val="22"/>
          <w:lang w:val="sk-SK"/>
        </w:rPr>
        <w:t>dostupnosti</w:t>
      </w:r>
      <w:r w:rsidR="00791DD2" w:rsidRPr="005F6F71">
        <w:rPr>
          <w:sz w:val="22"/>
          <w:szCs w:val="22"/>
          <w:lang w:val="sk-SK"/>
        </w:rPr>
        <w:t>,</w:t>
      </w:r>
      <w:r w:rsidR="00EF01BF" w:rsidRPr="005F6F71">
        <w:rPr>
          <w:sz w:val="22"/>
          <w:szCs w:val="22"/>
          <w:lang w:val="sk-SK"/>
        </w:rPr>
        <w:t xml:space="preserve"> </w:t>
      </w:r>
      <w:r w:rsidR="00270E9B" w:rsidRPr="005F6F71">
        <w:rPr>
          <w:sz w:val="22"/>
          <w:szCs w:val="22"/>
          <w:lang w:val="sk-SK"/>
        </w:rPr>
        <w:t>tak u jedného a toho istého subjektu</w:t>
      </w:r>
      <w:r w:rsidR="00791DD2" w:rsidRPr="005F6F71">
        <w:rPr>
          <w:sz w:val="22"/>
          <w:szCs w:val="22"/>
          <w:lang w:val="sk-SK"/>
        </w:rPr>
        <w:t>,</w:t>
      </w:r>
      <w:r w:rsidR="00270E9B" w:rsidRPr="005F6F71">
        <w:rPr>
          <w:sz w:val="22"/>
          <w:szCs w:val="22"/>
          <w:lang w:val="sk-SK"/>
        </w:rPr>
        <w:t xml:space="preserve"> ako aj</w:t>
      </w:r>
      <w:r w:rsidR="00EF01BF" w:rsidRPr="005F6F71">
        <w:rPr>
          <w:sz w:val="22"/>
          <w:szCs w:val="22"/>
          <w:lang w:val="sk-SK"/>
        </w:rPr>
        <w:t xml:space="preserve"> medzi </w:t>
      </w:r>
      <w:r w:rsidR="00270E9B" w:rsidRPr="005F6F71">
        <w:rPr>
          <w:sz w:val="22"/>
          <w:szCs w:val="22"/>
          <w:lang w:val="sk-SK"/>
        </w:rPr>
        <w:t>subjekt</w:t>
      </w:r>
      <w:r w:rsidR="00EF01BF" w:rsidRPr="005F6F71">
        <w:rPr>
          <w:sz w:val="22"/>
          <w:szCs w:val="22"/>
          <w:lang w:val="sk-SK"/>
        </w:rPr>
        <w:t>mi</w:t>
      </w:r>
      <w:r w:rsidR="00822FA3" w:rsidRPr="005F6F71">
        <w:rPr>
          <w:sz w:val="22"/>
          <w:szCs w:val="22"/>
          <w:lang w:val="sk-SK"/>
        </w:rPr>
        <w:t xml:space="preserve">. </w:t>
      </w:r>
      <w:r w:rsidR="00270E9B" w:rsidRPr="005F6F71">
        <w:rPr>
          <w:sz w:val="22"/>
          <w:szCs w:val="22"/>
          <w:lang w:val="sk-SK"/>
        </w:rPr>
        <w:t>U </w:t>
      </w:r>
      <w:proofErr w:type="spellStart"/>
      <w:r w:rsidR="00270E9B" w:rsidRPr="005F6F71">
        <w:rPr>
          <w:sz w:val="22"/>
          <w:szCs w:val="22"/>
          <w:lang w:val="sk-SK"/>
        </w:rPr>
        <w:t>dezmopresínu</w:t>
      </w:r>
      <w:proofErr w:type="spellEnd"/>
      <w:r w:rsidR="00270E9B" w:rsidRPr="005F6F71">
        <w:rPr>
          <w:sz w:val="22"/>
          <w:szCs w:val="22"/>
          <w:lang w:val="sk-SK"/>
        </w:rPr>
        <w:t xml:space="preserve"> sa pozorovala dávková </w:t>
      </w:r>
      <w:proofErr w:type="spellStart"/>
      <w:r w:rsidR="00270E9B" w:rsidRPr="005F6F71">
        <w:rPr>
          <w:sz w:val="22"/>
          <w:szCs w:val="22"/>
          <w:lang w:val="sk-SK"/>
        </w:rPr>
        <w:t>linearita</w:t>
      </w:r>
      <w:proofErr w:type="spellEnd"/>
      <w:r w:rsidR="00270E9B" w:rsidRPr="005F6F71">
        <w:rPr>
          <w:sz w:val="22"/>
          <w:szCs w:val="22"/>
          <w:lang w:val="sk-SK"/>
        </w:rPr>
        <w:t xml:space="preserve">, čo sa týka </w:t>
      </w:r>
      <w:r w:rsidR="004A4982" w:rsidRPr="005F6F71">
        <w:rPr>
          <w:sz w:val="22"/>
          <w:szCs w:val="22"/>
          <w:lang w:val="sk-SK"/>
        </w:rPr>
        <w:t xml:space="preserve">AUC a </w:t>
      </w:r>
      <w:proofErr w:type="spellStart"/>
      <w:r w:rsidR="00822FA3" w:rsidRPr="005F6F71">
        <w:rPr>
          <w:sz w:val="22"/>
          <w:szCs w:val="22"/>
          <w:lang w:val="sk-SK"/>
        </w:rPr>
        <w:t>C</w:t>
      </w:r>
      <w:r w:rsidR="00822FA3" w:rsidRPr="005F6F71">
        <w:rPr>
          <w:sz w:val="22"/>
          <w:szCs w:val="22"/>
          <w:vertAlign w:val="subscript"/>
          <w:lang w:val="sk-SK"/>
        </w:rPr>
        <w:t>max</w:t>
      </w:r>
      <w:proofErr w:type="spellEnd"/>
      <w:r w:rsidR="00822FA3" w:rsidRPr="005F6F71">
        <w:rPr>
          <w:sz w:val="22"/>
          <w:szCs w:val="22"/>
          <w:lang w:val="sk-SK"/>
        </w:rPr>
        <w:t xml:space="preserve"> </w:t>
      </w:r>
      <w:r w:rsidR="004A4982" w:rsidRPr="005F6F71">
        <w:rPr>
          <w:sz w:val="22"/>
          <w:szCs w:val="22"/>
          <w:lang w:val="sk-SK"/>
        </w:rPr>
        <w:t>v rozsahu</w:t>
      </w:r>
      <w:r w:rsidR="00822FA3" w:rsidRPr="005F6F71">
        <w:rPr>
          <w:sz w:val="22"/>
          <w:szCs w:val="22"/>
          <w:lang w:val="sk-SK"/>
        </w:rPr>
        <w:t xml:space="preserve"> 60 </w:t>
      </w:r>
      <w:r w:rsidR="004A4982" w:rsidRPr="005F6F71">
        <w:rPr>
          <w:sz w:val="22"/>
          <w:szCs w:val="22"/>
          <w:lang w:val="sk-SK"/>
        </w:rPr>
        <w:t>až</w:t>
      </w:r>
      <w:r w:rsidR="00822FA3" w:rsidRPr="005F6F71">
        <w:rPr>
          <w:sz w:val="22"/>
          <w:szCs w:val="22"/>
          <w:lang w:val="sk-SK"/>
        </w:rPr>
        <w:t xml:space="preserve"> 240 </w:t>
      </w:r>
      <w:proofErr w:type="spellStart"/>
      <w:r w:rsidR="00822FA3" w:rsidRPr="005F6F71">
        <w:rPr>
          <w:sz w:val="22"/>
          <w:szCs w:val="22"/>
          <w:lang w:val="sk-SK"/>
        </w:rPr>
        <w:t>m</w:t>
      </w:r>
      <w:r w:rsidR="004A4982" w:rsidRPr="005F6F71">
        <w:rPr>
          <w:sz w:val="22"/>
          <w:szCs w:val="22"/>
          <w:lang w:val="sk-SK"/>
        </w:rPr>
        <w:t>ikrogramov</w:t>
      </w:r>
      <w:proofErr w:type="spellEnd"/>
      <w:r w:rsidR="004A4982" w:rsidRPr="005F6F71">
        <w:rPr>
          <w:sz w:val="22"/>
          <w:szCs w:val="22"/>
          <w:lang w:val="sk-SK"/>
        </w:rPr>
        <w:t xml:space="preserve">. Avšak biologická dostupnosť dávok nižších ako 60 </w:t>
      </w:r>
      <w:proofErr w:type="spellStart"/>
      <w:r w:rsidR="004A4982" w:rsidRPr="005F6F71">
        <w:rPr>
          <w:sz w:val="22"/>
          <w:szCs w:val="22"/>
          <w:lang w:val="sk-SK"/>
        </w:rPr>
        <w:t>mikrogramov</w:t>
      </w:r>
      <w:proofErr w:type="spellEnd"/>
      <w:r w:rsidR="004A4982" w:rsidRPr="005F6F71">
        <w:rPr>
          <w:sz w:val="22"/>
          <w:szCs w:val="22"/>
          <w:lang w:val="sk-SK"/>
        </w:rPr>
        <w:t xml:space="preserve"> </w:t>
      </w:r>
      <w:r w:rsidR="00CD0303" w:rsidRPr="005F6F71">
        <w:rPr>
          <w:sz w:val="22"/>
          <w:szCs w:val="22"/>
          <w:lang w:val="sk-SK"/>
        </w:rPr>
        <w:t>sa neštudovala</w:t>
      </w:r>
      <w:r w:rsidR="004A4982" w:rsidRPr="005F6F71">
        <w:rPr>
          <w:sz w:val="22"/>
          <w:szCs w:val="22"/>
          <w:lang w:val="sk-SK"/>
        </w:rPr>
        <w:t>.</w:t>
      </w:r>
    </w:p>
    <w:p w:rsidR="00FC34DA" w:rsidRPr="005F6F71" w:rsidRDefault="00FC34DA" w:rsidP="009B3A4D">
      <w:pPr>
        <w:pStyle w:val="Oznaitext"/>
        <w:tabs>
          <w:tab w:val="left" w:pos="540"/>
        </w:tabs>
        <w:spacing w:after="0" w:line="260" w:lineRule="exact"/>
        <w:ind w:left="0" w:right="142"/>
        <w:rPr>
          <w:sz w:val="22"/>
          <w:szCs w:val="22"/>
          <w:lang w:val="sk-SK"/>
        </w:rPr>
      </w:pPr>
    </w:p>
    <w:p w:rsidR="00822FA3" w:rsidRPr="005F6F71" w:rsidRDefault="00777769" w:rsidP="009B3A4D">
      <w:pPr>
        <w:numPr>
          <w:ilvl w:val="12"/>
          <w:numId w:val="0"/>
        </w:numPr>
        <w:rPr>
          <w:iCs/>
          <w:noProof/>
          <w:szCs w:val="22"/>
          <w:u w:val="single"/>
          <w:lang w:val="sk-SK"/>
        </w:rPr>
      </w:pPr>
      <w:r w:rsidRPr="005F6F71">
        <w:rPr>
          <w:iCs/>
          <w:noProof/>
          <w:szCs w:val="22"/>
          <w:u w:val="single"/>
          <w:lang w:val="sk-SK"/>
        </w:rPr>
        <w:t>Distrib</w:t>
      </w:r>
      <w:r w:rsidR="004A4982" w:rsidRPr="005F6F71">
        <w:rPr>
          <w:iCs/>
          <w:noProof/>
          <w:szCs w:val="22"/>
          <w:u w:val="single"/>
          <w:lang w:val="sk-SK"/>
        </w:rPr>
        <w:t>úcia</w:t>
      </w:r>
    </w:p>
    <w:p w:rsidR="004A4982" w:rsidRPr="005F6F71" w:rsidRDefault="004A4982" w:rsidP="00847117">
      <w:pPr>
        <w:tabs>
          <w:tab w:val="left" w:pos="0"/>
          <w:tab w:val="left" w:pos="5245"/>
          <w:tab w:val="left" w:pos="7371"/>
        </w:tabs>
        <w:rPr>
          <w:szCs w:val="22"/>
          <w:lang w:val="sk-SK"/>
        </w:rPr>
      </w:pPr>
      <w:r w:rsidRPr="005F6F71">
        <w:rPr>
          <w:szCs w:val="22"/>
          <w:lang w:val="sk-SK"/>
        </w:rPr>
        <w:t xml:space="preserve">Distribúciu </w:t>
      </w:r>
      <w:proofErr w:type="spellStart"/>
      <w:r w:rsidRPr="005F6F71">
        <w:rPr>
          <w:szCs w:val="22"/>
          <w:lang w:val="sk-SK"/>
        </w:rPr>
        <w:t>dezmopresínu</w:t>
      </w:r>
      <w:proofErr w:type="spellEnd"/>
      <w:r w:rsidRPr="005F6F71">
        <w:rPr>
          <w:szCs w:val="22"/>
          <w:lang w:val="sk-SK"/>
        </w:rPr>
        <w:t xml:space="preserve"> najlepšie popisuje </w:t>
      </w:r>
      <w:proofErr w:type="spellStart"/>
      <w:r w:rsidRPr="005F6F71">
        <w:rPr>
          <w:szCs w:val="22"/>
          <w:lang w:val="sk-SK"/>
        </w:rPr>
        <w:t>dvojkompartmentový</w:t>
      </w:r>
      <w:proofErr w:type="spellEnd"/>
      <w:r w:rsidRPr="005F6F71">
        <w:rPr>
          <w:szCs w:val="22"/>
          <w:lang w:val="sk-SK"/>
        </w:rPr>
        <w:t xml:space="preserve"> distribučný model s distribučným objemom počas eliminačnej fázy 0,3 – 0,5 l/kg.</w:t>
      </w:r>
    </w:p>
    <w:p w:rsidR="00822FA3" w:rsidRPr="005F6F71" w:rsidRDefault="00822FA3" w:rsidP="00847117">
      <w:pPr>
        <w:numPr>
          <w:ilvl w:val="12"/>
          <w:numId w:val="0"/>
        </w:numPr>
        <w:ind w:right="-2"/>
        <w:rPr>
          <w:iCs/>
          <w:noProof/>
          <w:szCs w:val="22"/>
          <w:u w:val="single"/>
          <w:lang w:val="sk-SK"/>
        </w:rPr>
      </w:pPr>
    </w:p>
    <w:p w:rsidR="00777769" w:rsidRPr="005F6F71" w:rsidRDefault="00777769" w:rsidP="00847117">
      <w:pPr>
        <w:numPr>
          <w:ilvl w:val="12"/>
          <w:numId w:val="0"/>
        </w:numPr>
        <w:ind w:right="-2"/>
        <w:rPr>
          <w:iCs/>
          <w:noProof/>
          <w:szCs w:val="22"/>
          <w:u w:val="single"/>
          <w:lang w:val="sk-SK"/>
        </w:rPr>
      </w:pPr>
      <w:r w:rsidRPr="005F6F71">
        <w:rPr>
          <w:iCs/>
          <w:noProof/>
          <w:szCs w:val="22"/>
          <w:u w:val="single"/>
          <w:lang w:val="sk-SK"/>
        </w:rPr>
        <w:t>Biotransform</w:t>
      </w:r>
      <w:r w:rsidR="004A4982" w:rsidRPr="005F6F71">
        <w:rPr>
          <w:iCs/>
          <w:noProof/>
          <w:szCs w:val="22"/>
          <w:u w:val="single"/>
          <w:lang w:val="sk-SK"/>
        </w:rPr>
        <w:t>ácia</w:t>
      </w:r>
    </w:p>
    <w:p w:rsidR="00335708" w:rsidRPr="005F6F71" w:rsidRDefault="004A4982" w:rsidP="00847117">
      <w:pPr>
        <w:pStyle w:val="Zkladntext"/>
        <w:rPr>
          <w:bCs/>
          <w:i w:val="0"/>
          <w:iCs/>
          <w:color w:val="000000"/>
          <w:szCs w:val="22"/>
          <w:lang w:val="sk-SK"/>
        </w:rPr>
      </w:pPr>
      <w:r w:rsidRPr="005F6F71">
        <w:rPr>
          <w:bCs/>
          <w:color w:val="000000"/>
          <w:szCs w:val="22"/>
          <w:lang w:val="sk-SK"/>
        </w:rPr>
        <w:t xml:space="preserve">In </w:t>
      </w:r>
      <w:proofErr w:type="spellStart"/>
      <w:r w:rsidRPr="005F6F71">
        <w:rPr>
          <w:bCs/>
          <w:i w:val="0"/>
          <w:color w:val="000000"/>
          <w:szCs w:val="22"/>
          <w:lang w:val="sk-SK"/>
        </w:rPr>
        <w:t>vivo</w:t>
      </w:r>
      <w:proofErr w:type="spellEnd"/>
      <w:r w:rsidRPr="005F6F71">
        <w:rPr>
          <w:bCs/>
          <w:i w:val="0"/>
          <w:color w:val="000000"/>
          <w:szCs w:val="22"/>
          <w:lang w:val="sk-SK"/>
        </w:rPr>
        <w:t xml:space="preserve"> metabolizmus </w:t>
      </w:r>
      <w:proofErr w:type="spellStart"/>
      <w:r w:rsidRPr="005F6F71">
        <w:rPr>
          <w:bCs/>
          <w:i w:val="0"/>
          <w:color w:val="000000"/>
          <w:szCs w:val="22"/>
          <w:lang w:val="sk-SK"/>
        </w:rPr>
        <w:t>dezmopresínu</w:t>
      </w:r>
      <w:proofErr w:type="spellEnd"/>
      <w:r w:rsidRPr="005F6F71">
        <w:rPr>
          <w:bCs/>
          <w:i w:val="0"/>
          <w:color w:val="000000"/>
          <w:szCs w:val="22"/>
          <w:lang w:val="sk-SK"/>
        </w:rPr>
        <w:t xml:space="preserve"> sa neštudoval.</w:t>
      </w:r>
      <w:r w:rsidR="00822FA3" w:rsidRPr="005F6F71">
        <w:rPr>
          <w:bCs/>
          <w:i w:val="0"/>
          <w:color w:val="000000"/>
          <w:szCs w:val="22"/>
          <w:lang w:val="sk-SK"/>
        </w:rPr>
        <w:t xml:space="preserve"> </w:t>
      </w:r>
      <w:r w:rsidR="00822FA3" w:rsidRPr="005F6F71">
        <w:rPr>
          <w:bCs/>
          <w:iCs/>
          <w:color w:val="000000"/>
          <w:szCs w:val="22"/>
          <w:lang w:val="sk-SK"/>
        </w:rPr>
        <w:t xml:space="preserve">In </w:t>
      </w:r>
      <w:proofErr w:type="spellStart"/>
      <w:r w:rsidR="00822FA3" w:rsidRPr="005F6F71">
        <w:rPr>
          <w:bCs/>
          <w:iCs/>
          <w:color w:val="000000"/>
          <w:szCs w:val="22"/>
          <w:lang w:val="sk-SK"/>
        </w:rPr>
        <w:t>vitro</w:t>
      </w:r>
      <w:proofErr w:type="spellEnd"/>
      <w:r w:rsidR="00822FA3" w:rsidRPr="005F6F71">
        <w:rPr>
          <w:bCs/>
          <w:i w:val="0"/>
          <w:iCs/>
          <w:color w:val="000000"/>
          <w:szCs w:val="22"/>
          <w:lang w:val="sk-SK"/>
        </w:rPr>
        <w:t xml:space="preserve"> </w:t>
      </w:r>
      <w:r w:rsidRPr="005F6F71">
        <w:rPr>
          <w:bCs/>
          <w:i w:val="0"/>
          <w:iCs/>
          <w:color w:val="000000"/>
          <w:szCs w:val="22"/>
          <w:lang w:val="sk-SK"/>
        </w:rPr>
        <w:t xml:space="preserve">štúdie s použitím </w:t>
      </w:r>
      <w:proofErr w:type="spellStart"/>
      <w:r w:rsidRPr="005F6F71">
        <w:rPr>
          <w:bCs/>
          <w:i w:val="0"/>
          <w:iCs/>
          <w:color w:val="000000"/>
          <w:szCs w:val="22"/>
          <w:lang w:val="sk-SK"/>
        </w:rPr>
        <w:t>mikrozómov</w:t>
      </w:r>
      <w:proofErr w:type="spellEnd"/>
      <w:r w:rsidRPr="005F6F71">
        <w:rPr>
          <w:bCs/>
          <w:i w:val="0"/>
          <w:iCs/>
          <w:color w:val="000000"/>
          <w:szCs w:val="22"/>
          <w:lang w:val="sk-SK"/>
        </w:rPr>
        <w:t xml:space="preserve"> ľudskej </w:t>
      </w:r>
      <w:r w:rsidR="00561EB3" w:rsidRPr="005F6F71">
        <w:rPr>
          <w:bCs/>
          <w:i w:val="0"/>
          <w:iCs/>
          <w:color w:val="000000"/>
          <w:szCs w:val="22"/>
          <w:lang w:val="sk-SK"/>
        </w:rPr>
        <w:t>pečene</w:t>
      </w:r>
      <w:r w:rsidRPr="005F6F71">
        <w:rPr>
          <w:bCs/>
          <w:i w:val="0"/>
          <w:iCs/>
          <w:color w:val="000000"/>
          <w:szCs w:val="22"/>
          <w:lang w:val="sk-SK"/>
        </w:rPr>
        <w:t xml:space="preserve"> ukázali, že v pečeni sa prostredníctvom </w:t>
      </w:r>
      <w:proofErr w:type="spellStart"/>
      <w:r w:rsidR="00561EB3" w:rsidRPr="005F6F71">
        <w:rPr>
          <w:bCs/>
          <w:i w:val="0"/>
          <w:iCs/>
          <w:color w:val="000000"/>
          <w:szCs w:val="22"/>
          <w:lang w:val="sk-SK"/>
        </w:rPr>
        <w:t>cytochróm</w:t>
      </w:r>
      <w:proofErr w:type="spellEnd"/>
      <w:r w:rsidRPr="005F6F71">
        <w:rPr>
          <w:bCs/>
          <w:i w:val="0"/>
          <w:iCs/>
          <w:color w:val="000000"/>
          <w:szCs w:val="22"/>
          <w:lang w:val="sk-SK"/>
        </w:rPr>
        <w:t xml:space="preserve"> P450 metabolizuje iba nevýznamné množstvo </w:t>
      </w:r>
      <w:proofErr w:type="spellStart"/>
      <w:r w:rsidR="00D01C0A" w:rsidRPr="005F6F71">
        <w:rPr>
          <w:bCs/>
          <w:i w:val="0"/>
          <w:iCs/>
          <w:color w:val="000000"/>
          <w:szCs w:val="22"/>
          <w:lang w:val="sk-SK"/>
        </w:rPr>
        <w:t>dezmopresínu</w:t>
      </w:r>
      <w:proofErr w:type="spellEnd"/>
      <w:r w:rsidR="00D01C0A" w:rsidRPr="005F6F71">
        <w:rPr>
          <w:bCs/>
          <w:i w:val="0"/>
          <w:iCs/>
          <w:color w:val="000000"/>
          <w:szCs w:val="22"/>
          <w:lang w:val="sk-SK"/>
        </w:rPr>
        <w:t xml:space="preserve">, a preto je premena </w:t>
      </w:r>
      <w:r w:rsidR="00D01C0A" w:rsidRPr="005F6F71">
        <w:rPr>
          <w:bCs/>
          <w:iCs/>
          <w:color w:val="000000"/>
          <w:szCs w:val="22"/>
          <w:lang w:val="sk-SK"/>
        </w:rPr>
        <w:t xml:space="preserve">in </w:t>
      </w:r>
      <w:proofErr w:type="spellStart"/>
      <w:r w:rsidR="00D01C0A" w:rsidRPr="005F6F71">
        <w:rPr>
          <w:bCs/>
          <w:iCs/>
          <w:color w:val="000000"/>
          <w:szCs w:val="22"/>
          <w:lang w:val="sk-SK"/>
        </w:rPr>
        <w:t>vivo</w:t>
      </w:r>
      <w:proofErr w:type="spellEnd"/>
      <w:r w:rsidR="00D01C0A" w:rsidRPr="005F6F71">
        <w:rPr>
          <w:bCs/>
          <w:i w:val="0"/>
          <w:iCs/>
          <w:color w:val="000000"/>
          <w:szCs w:val="22"/>
          <w:lang w:val="sk-SK"/>
        </w:rPr>
        <w:t xml:space="preserve"> v ľudskej pečeni prostredníctvom </w:t>
      </w:r>
      <w:proofErr w:type="spellStart"/>
      <w:r w:rsidR="00561EB3" w:rsidRPr="005F6F71">
        <w:rPr>
          <w:bCs/>
          <w:i w:val="0"/>
          <w:iCs/>
          <w:color w:val="000000"/>
          <w:szCs w:val="22"/>
          <w:lang w:val="sk-SK"/>
        </w:rPr>
        <w:t>cytochróm</w:t>
      </w:r>
      <w:r w:rsidR="00CD0303" w:rsidRPr="005F6F71">
        <w:rPr>
          <w:bCs/>
          <w:i w:val="0"/>
          <w:iCs/>
          <w:color w:val="000000"/>
          <w:szCs w:val="22"/>
          <w:lang w:val="sk-SK"/>
        </w:rPr>
        <w:t>u</w:t>
      </w:r>
      <w:proofErr w:type="spellEnd"/>
      <w:r w:rsidR="00D01C0A" w:rsidRPr="005F6F71">
        <w:rPr>
          <w:bCs/>
          <w:i w:val="0"/>
          <w:iCs/>
          <w:color w:val="000000"/>
          <w:szCs w:val="22"/>
          <w:lang w:val="sk-SK"/>
        </w:rPr>
        <w:t xml:space="preserve"> P450 nepravdepodobná. </w:t>
      </w:r>
      <w:r w:rsidR="00270E9B" w:rsidRPr="005F6F71">
        <w:rPr>
          <w:bCs/>
          <w:i w:val="0"/>
          <w:iCs/>
          <w:color w:val="000000"/>
          <w:szCs w:val="22"/>
          <w:lang w:val="sk-SK"/>
        </w:rPr>
        <w:t>Vplyv</w:t>
      </w:r>
      <w:r w:rsidR="00335708" w:rsidRPr="005F6F71">
        <w:rPr>
          <w:bCs/>
          <w:i w:val="0"/>
          <w:iCs/>
          <w:color w:val="000000"/>
          <w:szCs w:val="22"/>
          <w:lang w:val="sk-SK"/>
        </w:rPr>
        <w:t xml:space="preserve"> </w:t>
      </w:r>
      <w:proofErr w:type="spellStart"/>
      <w:r w:rsidR="00335708" w:rsidRPr="005F6F71">
        <w:rPr>
          <w:bCs/>
          <w:i w:val="0"/>
          <w:iCs/>
          <w:color w:val="000000"/>
          <w:szCs w:val="22"/>
          <w:lang w:val="sk-SK"/>
        </w:rPr>
        <w:t>dezmopresínu</w:t>
      </w:r>
      <w:proofErr w:type="spellEnd"/>
      <w:r w:rsidR="00335708" w:rsidRPr="005F6F71">
        <w:rPr>
          <w:bCs/>
          <w:i w:val="0"/>
          <w:iCs/>
          <w:color w:val="000000"/>
          <w:szCs w:val="22"/>
          <w:lang w:val="sk-SK"/>
        </w:rPr>
        <w:t xml:space="preserve"> na PK iných liekov je pravdepodobne minimálny kvôli nedostatočnej inhibícii </w:t>
      </w:r>
      <w:proofErr w:type="spellStart"/>
      <w:r w:rsidR="00561EB3" w:rsidRPr="005F6F71">
        <w:rPr>
          <w:bCs/>
          <w:i w:val="0"/>
          <w:iCs/>
          <w:color w:val="000000"/>
          <w:szCs w:val="22"/>
          <w:lang w:val="sk-SK"/>
        </w:rPr>
        <w:t>cytochróm</w:t>
      </w:r>
      <w:r w:rsidR="00345926">
        <w:rPr>
          <w:bCs/>
          <w:i w:val="0"/>
          <w:iCs/>
          <w:color w:val="000000"/>
          <w:szCs w:val="22"/>
          <w:lang w:val="sk-SK"/>
        </w:rPr>
        <w:t>u</w:t>
      </w:r>
      <w:proofErr w:type="spellEnd"/>
      <w:r w:rsidR="00335708" w:rsidRPr="005F6F71">
        <w:rPr>
          <w:bCs/>
          <w:i w:val="0"/>
          <w:iCs/>
          <w:color w:val="000000"/>
          <w:szCs w:val="22"/>
          <w:lang w:val="sk-SK"/>
        </w:rPr>
        <w:t xml:space="preserve"> P450, ktorý sa podieľa na metabolizme liekov.</w:t>
      </w:r>
    </w:p>
    <w:p w:rsidR="00822FA3" w:rsidRPr="005F6F71" w:rsidRDefault="00822FA3" w:rsidP="00847117">
      <w:pPr>
        <w:numPr>
          <w:ilvl w:val="12"/>
          <w:numId w:val="0"/>
        </w:numPr>
        <w:ind w:right="-2"/>
        <w:rPr>
          <w:iCs/>
          <w:noProof/>
          <w:szCs w:val="22"/>
          <w:u w:val="single"/>
          <w:lang w:val="sk-SK"/>
        </w:rPr>
      </w:pPr>
    </w:p>
    <w:p w:rsidR="00777769" w:rsidRPr="005F6F71" w:rsidRDefault="00777769" w:rsidP="00847117">
      <w:pPr>
        <w:numPr>
          <w:ilvl w:val="12"/>
          <w:numId w:val="0"/>
        </w:numPr>
        <w:ind w:right="-2"/>
        <w:rPr>
          <w:iCs/>
          <w:noProof/>
          <w:szCs w:val="22"/>
          <w:u w:val="single"/>
          <w:lang w:val="sk-SK"/>
        </w:rPr>
      </w:pPr>
      <w:r w:rsidRPr="005F6F71">
        <w:rPr>
          <w:iCs/>
          <w:noProof/>
          <w:szCs w:val="22"/>
          <w:u w:val="single"/>
          <w:lang w:val="sk-SK"/>
        </w:rPr>
        <w:t>Elimin</w:t>
      </w:r>
      <w:r w:rsidR="00335708" w:rsidRPr="005F6F71">
        <w:rPr>
          <w:iCs/>
          <w:noProof/>
          <w:szCs w:val="22"/>
          <w:u w:val="single"/>
          <w:lang w:val="sk-SK"/>
        </w:rPr>
        <w:t>ácia</w:t>
      </w:r>
    </w:p>
    <w:p w:rsidR="00822FA3" w:rsidRPr="005F6F71" w:rsidRDefault="00335708" w:rsidP="00847117">
      <w:pPr>
        <w:pStyle w:val="Zkladntext"/>
        <w:rPr>
          <w:i w:val="0"/>
          <w:color w:val="000000"/>
          <w:lang w:val="sk-SK"/>
        </w:rPr>
      </w:pPr>
      <w:r w:rsidRPr="005F6F71">
        <w:rPr>
          <w:i w:val="0"/>
          <w:color w:val="000000"/>
          <w:lang w:val="sk-SK"/>
        </w:rPr>
        <w:t xml:space="preserve">Celkový </w:t>
      </w:r>
      <w:proofErr w:type="spellStart"/>
      <w:r w:rsidRPr="005F6F71">
        <w:rPr>
          <w:i w:val="0"/>
          <w:color w:val="000000"/>
          <w:lang w:val="sk-SK"/>
        </w:rPr>
        <w:t>klírens</w:t>
      </w:r>
      <w:proofErr w:type="spellEnd"/>
      <w:r w:rsidRPr="005F6F71">
        <w:rPr>
          <w:i w:val="0"/>
          <w:color w:val="000000"/>
          <w:lang w:val="sk-SK"/>
        </w:rPr>
        <w:t xml:space="preserve"> </w:t>
      </w:r>
      <w:proofErr w:type="spellStart"/>
      <w:r w:rsidRPr="005F6F71">
        <w:rPr>
          <w:i w:val="0"/>
          <w:color w:val="000000"/>
          <w:lang w:val="sk-SK"/>
        </w:rPr>
        <w:t>dezmopresínu</w:t>
      </w:r>
      <w:proofErr w:type="spellEnd"/>
      <w:r w:rsidRPr="005F6F71">
        <w:rPr>
          <w:i w:val="0"/>
          <w:color w:val="000000"/>
          <w:lang w:val="sk-SK"/>
        </w:rPr>
        <w:t xml:space="preserve"> je </w:t>
      </w:r>
      <w:r w:rsidR="00822FA3" w:rsidRPr="005F6F71">
        <w:rPr>
          <w:i w:val="0"/>
          <w:color w:val="000000"/>
          <w:lang w:val="sk-SK"/>
        </w:rPr>
        <w:t>7</w:t>
      </w:r>
      <w:r w:rsidRPr="005F6F71">
        <w:rPr>
          <w:i w:val="0"/>
          <w:color w:val="000000"/>
          <w:lang w:val="sk-SK"/>
        </w:rPr>
        <w:t>,</w:t>
      </w:r>
      <w:r w:rsidR="00822FA3" w:rsidRPr="005F6F71">
        <w:rPr>
          <w:i w:val="0"/>
          <w:color w:val="000000"/>
          <w:lang w:val="sk-SK"/>
        </w:rPr>
        <w:t xml:space="preserve">6 </w:t>
      </w:r>
      <w:r w:rsidRPr="005F6F71">
        <w:rPr>
          <w:i w:val="0"/>
          <w:color w:val="000000"/>
          <w:lang w:val="sk-SK"/>
        </w:rPr>
        <w:t>l</w:t>
      </w:r>
      <w:r w:rsidR="00822FA3" w:rsidRPr="005F6F71">
        <w:rPr>
          <w:i w:val="0"/>
          <w:color w:val="000000"/>
          <w:lang w:val="sk-SK"/>
        </w:rPr>
        <w:t>/h</w:t>
      </w:r>
      <w:r w:rsidRPr="005F6F71">
        <w:rPr>
          <w:i w:val="0"/>
          <w:color w:val="000000"/>
          <w:lang w:val="sk-SK"/>
        </w:rPr>
        <w:t xml:space="preserve">od. Terminálny polčas </w:t>
      </w:r>
      <w:proofErr w:type="spellStart"/>
      <w:r w:rsidRPr="005F6F71">
        <w:rPr>
          <w:i w:val="0"/>
          <w:color w:val="000000"/>
          <w:lang w:val="sk-SK"/>
        </w:rPr>
        <w:t>dezmopresínu</w:t>
      </w:r>
      <w:proofErr w:type="spellEnd"/>
      <w:r w:rsidRPr="005F6F71">
        <w:rPr>
          <w:i w:val="0"/>
          <w:color w:val="000000"/>
          <w:lang w:val="sk-SK"/>
        </w:rPr>
        <w:t xml:space="preserve">  sa odhaduje na</w:t>
      </w:r>
      <w:r w:rsidR="00822FA3" w:rsidRPr="005F6F71">
        <w:rPr>
          <w:i w:val="0"/>
          <w:color w:val="000000"/>
          <w:lang w:val="sk-SK"/>
        </w:rPr>
        <w:t xml:space="preserve"> 2</w:t>
      </w:r>
      <w:r w:rsidRPr="005F6F71">
        <w:rPr>
          <w:i w:val="0"/>
          <w:color w:val="000000"/>
          <w:lang w:val="sk-SK"/>
        </w:rPr>
        <w:t>,</w:t>
      </w:r>
      <w:r w:rsidR="00822FA3" w:rsidRPr="005F6F71">
        <w:rPr>
          <w:i w:val="0"/>
          <w:color w:val="000000"/>
          <w:lang w:val="sk-SK"/>
        </w:rPr>
        <w:t>8</w:t>
      </w:r>
      <w:r w:rsidR="00270E9B" w:rsidRPr="005F6F71">
        <w:rPr>
          <w:i w:val="0"/>
          <w:color w:val="000000"/>
          <w:lang w:val="sk-SK"/>
        </w:rPr>
        <w:t> </w:t>
      </w:r>
      <w:r w:rsidR="00822FA3" w:rsidRPr="005F6F71">
        <w:rPr>
          <w:i w:val="0"/>
          <w:color w:val="000000"/>
          <w:lang w:val="sk-SK"/>
        </w:rPr>
        <w:t>ho</w:t>
      </w:r>
      <w:r w:rsidRPr="005F6F71">
        <w:rPr>
          <w:i w:val="0"/>
          <w:color w:val="000000"/>
          <w:lang w:val="sk-SK"/>
        </w:rPr>
        <w:t>dín</w:t>
      </w:r>
      <w:r w:rsidR="00822FA3" w:rsidRPr="005F6F71">
        <w:rPr>
          <w:i w:val="0"/>
          <w:color w:val="000000"/>
          <w:lang w:val="sk-SK"/>
        </w:rPr>
        <w:t xml:space="preserve">. </w:t>
      </w:r>
      <w:r w:rsidRPr="005F6F71">
        <w:rPr>
          <w:i w:val="0"/>
          <w:color w:val="000000"/>
          <w:lang w:val="sk-SK"/>
        </w:rPr>
        <w:t xml:space="preserve">U zdravých dobrovoľníkov sa v nezmenenej forme vylúčilo </w:t>
      </w:r>
      <w:r w:rsidR="00822FA3" w:rsidRPr="005F6F71">
        <w:rPr>
          <w:i w:val="0"/>
          <w:color w:val="000000"/>
          <w:lang w:val="sk-SK"/>
        </w:rPr>
        <w:t>52 % (</w:t>
      </w:r>
      <w:r w:rsidRPr="005F6F71">
        <w:rPr>
          <w:i w:val="0"/>
          <w:color w:val="000000"/>
          <w:lang w:val="sk-SK"/>
        </w:rPr>
        <w:t>44 % </w:t>
      </w:r>
      <w:r w:rsidRPr="005F6F71">
        <w:rPr>
          <w:i w:val="0"/>
          <w:color w:val="auto"/>
          <w:szCs w:val="22"/>
          <w:lang w:val="sk-SK"/>
        </w:rPr>
        <w:t>–</w:t>
      </w:r>
      <w:r w:rsidRPr="005F6F71">
        <w:rPr>
          <w:i w:val="0"/>
          <w:color w:val="auto"/>
          <w:lang w:val="sk-SK"/>
        </w:rPr>
        <w:t> </w:t>
      </w:r>
      <w:r w:rsidRPr="005F6F71">
        <w:rPr>
          <w:i w:val="0"/>
          <w:color w:val="000000"/>
          <w:lang w:val="sk-SK"/>
        </w:rPr>
        <w:t>66 %)</w:t>
      </w:r>
      <w:r w:rsidR="00822FA3" w:rsidRPr="005F6F71">
        <w:rPr>
          <w:i w:val="0"/>
          <w:color w:val="000000"/>
          <w:lang w:val="sk-SK"/>
        </w:rPr>
        <w:t>.</w:t>
      </w:r>
    </w:p>
    <w:p w:rsidR="00822FA3" w:rsidRPr="005F6F71" w:rsidRDefault="00822FA3" w:rsidP="00847117">
      <w:pPr>
        <w:numPr>
          <w:ilvl w:val="12"/>
          <w:numId w:val="0"/>
        </w:numPr>
        <w:ind w:right="-2"/>
        <w:rPr>
          <w:iCs/>
          <w:noProof/>
          <w:szCs w:val="22"/>
          <w:u w:val="single"/>
          <w:lang w:val="sk-SK"/>
        </w:rPr>
      </w:pPr>
    </w:p>
    <w:p w:rsidR="00777769" w:rsidRPr="005F6F71" w:rsidRDefault="00777769" w:rsidP="00847117">
      <w:pPr>
        <w:numPr>
          <w:ilvl w:val="12"/>
          <w:numId w:val="0"/>
        </w:numPr>
        <w:ind w:right="-2"/>
        <w:rPr>
          <w:iCs/>
          <w:noProof/>
          <w:szCs w:val="22"/>
          <w:lang w:val="sk-SK"/>
        </w:rPr>
      </w:pPr>
      <w:r w:rsidRPr="005F6F71">
        <w:rPr>
          <w:iCs/>
          <w:noProof/>
          <w:szCs w:val="22"/>
          <w:u w:val="single"/>
          <w:lang w:val="sk-SK"/>
        </w:rPr>
        <w:t>Linearit</w:t>
      </w:r>
      <w:r w:rsidR="00335708" w:rsidRPr="005F6F71">
        <w:rPr>
          <w:iCs/>
          <w:noProof/>
          <w:szCs w:val="22"/>
          <w:u w:val="single"/>
          <w:lang w:val="sk-SK"/>
        </w:rPr>
        <w:t>a</w:t>
      </w:r>
      <w:r w:rsidRPr="005F6F71">
        <w:rPr>
          <w:iCs/>
          <w:noProof/>
          <w:szCs w:val="22"/>
          <w:u w:val="single"/>
          <w:lang w:val="sk-SK"/>
        </w:rPr>
        <w:t>/</w:t>
      </w:r>
      <w:r w:rsidR="00335708" w:rsidRPr="005F6F71">
        <w:rPr>
          <w:iCs/>
          <w:noProof/>
          <w:szCs w:val="22"/>
          <w:u w:val="single"/>
          <w:lang w:val="sk-SK"/>
        </w:rPr>
        <w:t>ne</w:t>
      </w:r>
      <w:r w:rsidRPr="005F6F71">
        <w:rPr>
          <w:iCs/>
          <w:noProof/>
          <w:szCs w:val="22"/>
          <w:u w:val="single"/>
          <w:lang w:val="sk-SK"/>
        </w:rPr>
        <w:t>linearit</w:t>
      </w:r>
      <w:r w:rsidR="00335708" w:rsidRPr="005F6F71">
        <w:rPr>
          <w:iCs/>
          <w:noProof/>
          <w:szCs w:val="22"/>
          <w:u w:val="single"/>
          <w:lang w:val="sk-SK"/>
        </w:rPr>
        <w:t>a</w:t>
      </w:r>
    </w:p>
    <w:p w:rsidR="00822FA3" w:rsidRPr="005F6F71" w:rsidRDefault="00335708" w:rsidP="00847117">
      <w:pPr>
        <w:pStyle w:val="Zkladntext"/>
        <w:rPr>
          <w:bCs/>
          <w:i w:val="0"/>
          <w:color w:val="000000"/>
          <w:szCs w:val="22"/>
          <w:lang w:val="sk-SK"/>
        </w:rPr>
      </w:pPr>
      <w:r w:rsidRPr="005F6F71">
        <w:rPr>
          <w:bCs/>
          <w:i w:val="0"/>
          <w:color w:val="000000"/>
          <w:szCs w:val="22"/>
          <w:lang w:val="sk-SK"/>
        </w:rPr>
        <w:t xml:space="preserve">Nie sú žiadne indikácie pre </w:t>
      </w:r>
      <w:proofErr w:type="spellStart"/>
      <w:r w:rsidRPr="005F6F71">
        <w:rPr>
          <w:bCs/>
          <w:i w:val="0"/>
          <w:color w:val="000000"/>
          <w:szCs w:val="22"/>
          <w:lang w:val="sk-SK"/>
        </w:rPr>
        <w:t>nelinearitu</w:t>
      </w:r>
      <w:proofErr w:type="spellEnd"/>
      <w:r w:rsidRPr="005F6F71">
        <w:rPr>
          <w:bCs/>
          <w:i w:val="0"/>
          <w:color w:val="000000"/>
          <w:szCs w:val="22"/>
          <w:lang w:val="sk-SK"/>
        </w:rPr>
        <w:t xml:space="preserve"> u ktoréhokoľvek z </w:t>
      </w:r>
      <w:proofErr w:type="spellStart"/>
      <w:r w:rsidRPr="005F6F71">
        <w:rPr>
          <w:bCs/>
          <w:i w:val="0"/>
          <w:color w:val="000000"/>
          <w:szCs w:val="22"/>
          <w:lang w:val="sk-SK"/>
        </w:rPr>
        <w:t>farmakokinetických</w:t>
      </w:r>
      <w:proofErr w:type="spellEnd"/>
      <w:r w:rsidRPr="005F6F71">
        <w:rPr>
          <w:bCs/>
          <w:i w:val="0"/>
          <w:color w:val="000000"/>
          <w:szCs w:val="22"/>
          <w:lang w:val="sk-SK"/>
        </w:rPr>
        <w:t xml:space="preserve"> parametrov </w:t>
      </w:r>
      <w:proofErr w:type="spellStart"/>
      <w:r w:rsidRPr="005F6F71">
        <w:rPr>
          <w:bCs/>
          <w:i w:val="0"/>
          <w:color w:val="000000"/>
          <w:szCs w:val="22"/>
          <w:lang w:val="sk-SK"/>
        </w:rPr>
        <w:t>dezmopresínu</w:t>
      </w:r>
      <w:proofErr w:type="spellEnd"/>
      <w:r w:rsidR="00CF2B49" w:rsidRPr="005F6F71">
        <w:rPr>
          <w:bCs/>
          <w:i w:val="0"/>
          <w:color w:val="000000"/>
          <w:szCs w:val="22"/>
          <w:lang w:val="sk-SK"/>
        </w:rPr>
        <w:t>.</w:t>
      </w:r>
    </w:p>
    <w:p w:rsidR="00777769" w:rsidRPr="005F6F71" w:rsidRDefault="00777769" w:rsidP="00847117">
      <w:pPr>
        <w:spacing w:line="240" w:lineRule="auto"/>
        <w:jc w:val="both"/>
        <w:rPr>
          <w:b/>
          <w:bCs/>
          <w:iCs/>
          <w:szCs w:val="22"/>
          <w:lang w:val="sk-SK"/>
        </w:rPr>
      </w:pPr>
    </w:p>
    <w:p w:rsidR="00822FA3" w:rsidRPr="005F6F71" w:rsidRDefault="00270E9B" w:rsidP="00847117">
      <w:pPr>
        <w:rPr>
          <w:b/>
          <w:bCs/>
          <w:szCs w:val="22"/>
          <w:lang w:val="sk-SK"/>
        </w:rPr>
      </w:pPr>
      <w:r w:rsidRPr="005F6F71">
        <w:rPr>
          <w:b/>
          <w:bCs/>
          <w:szCs w:val="22"/>
          <w:lang w:val="sk-SK"/>
        </w:rPr>
        <w:t>Charakteristiky o</w:t>
      </w:r>
      <w:r w:rsidR="00335708" w:rsidRPr="005F6F71">
        <w:rPr>
          <w:b/>
          <w:bCs/>
          <w:szCs w:val="22"/>
          <w:lang w:val="sk-SK"/>
        </w:rPr>
        <w:t>sobitn</w:t>
      </w:r>
      <w:r w:rsidRPr="005F6F71">
        <w:rPr>
          <w:b/>
          <w:bCs/>
          <w:szCs w:val="22"/>
          <w:lang w:val="sk-SK"/>
        </w:rPr>
        <w:t>ých</w:t>
      </w:r>
      <w:r w:rsidR="00335708" w:rsidRPr="005F6F71">
        <w:rPr>
          <w:b/>
          <w:bCs/>
          <w:szCs w:val="22"/>
          <w:lang w:val="sk-SK"/>
        </w:rPr>
        <w:t xml:space="preserve"> skup</w:t>
      </w:r>
      <w:r w:rsidRPr="005F6F71">
        <w:rPr>
          <w:b/>
          <w:bCs/>
          <w:szCs w:val="22"/>
          <w:lang w:val="sk-SK"/>
        </w:rPr>
        <w:t>í</w:t>
      </w:r>
      <w:r w:rsidR="00335708" w:rsidRPr="005F6F71">
        <w:rPr>
          <w:b/>
          <w:bCs/>
          <w:szCs w:val="22"/>
          <w:lang w:val="sk-SK"/>
        </w:rPr>
        <w:t>n pacientov</w:t>
      </w:r>
    </w:p>
    <w:p w:rsidR="00822FA3" w:rsidRPr="005F6F71" w:rsidRDefault="00822FA3" w:rsidP="00847117">
      <w:pPr>
        <w:tabs>
          <w:tab w:val="left" w:pos="0"/>
          <w:tab w:val="left" w:pos="5245"/>
          <w:tab w:val="left" w:pos="7371"/>
        </w:tabs>
        <w:rPr>
          <w:bCs/>
          <w:sz w:val="12"/>
          <w:szCs w:val="22"/>
          <w:lang w:val="sk-SK"/>
        </w:rPr>
      </w:pPr>
    </w:p>
    <w:p w:rsidR="00822FA3" w:rsidRPr="005F6F71" w:rsidRDefault="00335708" w:rsidP="00847117">
      <w:pPr>
        <w:rPr>
          <w:b/>
          <w:bCs/>
          <w:i/>
          <w:iCs/>
          <w:sz w:val="18"/>
          <w:lang w:val="sk-SK"/>
        </w:rPr>
      </w:pPr>
      <w:r w:rsidRPr="005F6F71">
        <w:rPr>
          <w:bCs/>
          <w:i/>
          <w:iCs/>
          <w:szCs w:val="22"/>
          <w:lang w:val="sk-SK"/>
        </w:rPr>
        <w:t>Po</w:t>
      </w:r>
      <w:r w:rsidR="00270E9B" w:rsidRPr="005F6F71">
        <w:rPr>
          <w:bCs/>
          <w:i/>
          <w:iCs/>
          <w:szCs w:val="22"/>
          <w:lang w:val="sk-SK"/>
        </w:rPr>
        <w:t>škodenie</w:t>
      </w:r>
      <w:r w:rsidRPr="005F6F71">
        <w:rPr>
          <w:bCs/>
          <w:i/>
          <w:iCs/>
          <w:szCs w:val="22"/>
          <w:lang w:val="sk-SK"/>
        </w:rPr>
        <w:t xml:space="preserve"> obličiek</w:t>
      </w:r>
    </w:p>
    <w:p w:rsidR="00335708" w:rsidRPr="005F6F71" w:rsidRDefault="00335708" w:rsidP="00847117">
      <w:pPr>
        <w:pStyle w:val="Zkladntext"/>
        <w:rPr>
          <w:bCs/>
          <w:i w:val="0"/>
          <w:color w:val="000000"/>
          <w:szCs w:val="22"/>
          <w:lang w:val="sk-SK"/>
        </w:rPr>
      </w:pPr>
      <w:r w:rsidRPr="005F6F71">
        <w:rPr>
          <w:bCs/>
          <w:i w:val="0"/>
          <w:color w:val="000000"/>
          <w:szCs w:val="22"/>
          <w:lang w:val="sk-SK"/>
        </w:rPr>
        <w:t xml:space="preserve">V závislosti od stupňa poškodenia obličiek </w:t>
      </w:r>
      <w:r w:rsidR="00270E9B" w:rsidRPr="005F6F71">
        <w:rPr>
          <w:bCs/>
          <w:i w:val="0"/>
          <w:color w:val="000000"/>
          <w:szCs w:val="22"/>
          <w:lang w:val="sk-SK"/>
        </w:rPr>
        <w:t xml:space="preserve">dochádza k zvýšeniu </w:t>
      </w:r>
      <w:r w:rsidRPr="005F6F71">
        <w:rPr>
          <w:bCs/>
          <w:i w:val="0"/>
          <w:color w:val="000000"/>
          <w:szCs w:val="22"/>
          <w:lang w:val="sk-SK"/>
        </w:rPr>
        <w:t>AUC a</w:t>
      </w:r>
      <w:r w:rsidR="00EA222B" w:rsidRPr="005F6F71">
        <w:rPr>
          <w:bCs/>
          <w:i w:val="0"/>
          <w:color w:val="000000"/>
          <w:szCs w:val="22"/>
          <w:lang w:val="sk-SK"/>
        </w:rPr>
        <w:t> </w:t>
      </w:r>
      <w:r w:rsidRPr="005F6F71">
        <w:rPr>
          <w:bCs/>
          <w:i w:val="0"/>
          <w:color w:val="000000"/>
          <w:szCs w:val="22"/>
          <w:lang w:val="sk-SK"/>
        </w:rPr>
        <w:t>polčas</w:t>
      </w:r>
      <w:r w:rsidR="00270E9B" w:rsidRPr="005F6F71">
        <w:rPr>
          <w:bCs/>
          <w:i w:val="0"/>
          <w:color w:val="000000"/>
          <w:szCs w:val="22"/>
          <w:lang w:val="sk-SK"/>
        </w:rPr>
        <w:t>u</w:t>
      </w:r>
      <w:r w:rsidR="00EA222B" w:rsidRPr="005F6F71">
        <w:rPr>
          <w:bCs/>
          <w:i w:val="0"/>
          <w:color w:val="000000"/>
          <w:szCs w:val="22"/>
          <w:lang w:val="sk-SK"/>
        </w:rPr>
        <w:t xml:space="preserve"> podľa stupňa</w:t>
      </w:r>
      <w:r w:rsidRPr="005F6F71">
        <w:rPr>
          <w:bCs/>
          <w:i w:val="0"/>
          <w:color w:val="000000"/>
          <w:szCs w:val="22"/>
          <w:lang w:val="sk-SK"/>
        </w:rPr>
        <w:t xml:space="preserve"> závažnosti poškodenia obličiek</w:t>
      </w:r>
      <w:r w:rsidR="00822FA3" w:rsidRPr="005F6F71">
        <w:rPr>
          <w:bCs/>
          <w:i w:val="0"/>
          <w:color w:val="000000"/>
          <w:szCs w:val="22"/>
          <w:lang w:val="sk-SK"/>
        </w:rPr>
        <w:t xml:space="preserve">. </w:t>
      </w:r>
      <w:proofErr w:type="spellStart"/>
      <w:r w:rsidRPr="005F6F71">
        <w:rPr>
          <w:bCs/>
          <w:i w:val="0"/>
          <w:color w:val="000000"/>
          <w:szCs w:val="22"/>
          <w:lang w:val="sk-SK"/>
        </w:rPr>
        <w:t>Dezmopresín</w:t>
      </w:r>
      <w:proofErr w:type="spellEnd"/>
      <w:r w:rsidRPr="005F6F71">
        <w:rPr>
          <w:bCs/>
          <w:i w:val="0"/>
          <w:color w:val="000000"/>
          <w:szCs w:val="22"/>
          <w:lang w:val="sk-SK"/>
        </w:rPr>
        <w:t xml:space="preserve"> je kontraindikovaný u pacientov so stredne závažným a</w:t>
      </w:r>
      <w:r w:rsidR="00CD0303" w:rsidRPr="005F6F71">
        <w:rPr>
          <w:bCs/>
          <w:i w:val="0"/>
          <w:color w:val="000000"/>
          <w:szCs w:val="22"/>
          <w:lang w:val="sk-SK"/>
        </w:rPr>
        <w:t> </w:t>
      </w:r>
      <w:r w:rsidRPr="005F6F71">
        <w:rPr>
          <w:bCs/>
          <w:i w:val="0"/>
          <w:color w:val="000000"/>
          <w:szCs w:val="22"/>
          <w:lang w:val="sk-SK"/>
        </w:rPr>
        <w:t>závažným poškodením obličiek (</w:t>
      </w:r>
      <w:proofErr w:type="spellStart"/>
      <w:r w:rsidRPr="005F6F71">
        <w:rPr>
          <w:bCs/>
          <w:i w:val="0"/>
          <w:color w:val="000000"/>
          <w:szCs w:val="22"/>
          <w:lang w:val="sk-SK"/>
        </w:rPr>
        <w:t>klírens</w:t>
      </w:r>
      <w:proofErr w:type="spellEnd"/>
      <w:r w:rsidRPr="005F6F71">
        <w:rPr>
          <w:bCs/>
          <w:i w:val="0"/>
          <w:color w:val="000000"/>
          <w:szCs w:val="22"/>
          <w:lang w:val="sk-SK"/>
        </w:rPr>
        <w:t xml:space="preserve"> </w:t>
      </w:r>
      <w:proofErr w:type="spellStart"/>
      <w:r w:rsidRPr="005F6F71">
        <w:rPr>
          <w:bCs/>
          <w:i w:val="0"/>
          <w:color w:val="000000"/>
          <w:szCs w:val="22"/>
          <w:lang w:val="sk-SK"/>
        </w:rPr>
        <w:t>kreatinínu</w:t>
      </w:r>
      <w:proofErr w:type="spellEnd"/>
      <w:r w:rsidRPr="005F6F71">
        <w:rPr>
          <w:bCs/>
          <w:i w:val="0"/>
          <w:color w:val="000000"/>
          <w:szCs w:val="22"/>
          <w:lang w:val="sk-SK"/>
        </w:rPr>
        <w:t xml:space="preserve"> pod 50 ml/min).</w:t>
      </w:r>
    </w:p>
    <w:p w:rsidR="00653140" w:rsidRPr="005F6F71" w:rsidRDefault="00653140" w:rsidP="00847117">
      <w:pPr>
        <w:pStyle w:val="Zkladntext"/>
        <w:rPr>
          <w:bCs/>
          <w:i w:val="0"/>
          <w:color w:val="000000"/>
          <w:szCs w:val="22"/>
          <w:lang w:val="sk-SK"/>
        </w:rPr>
      </w:pPr>
    </w:p>
    <w:p w:rsidR="00653140" w:rsidRPr="005F6F71" w:rsidRDefault="00653140" w:rsidP="005F6F71">
      <w:pPr>
        <w:pStyle w:val="Popis"/>
        <w:spacing w:before="0"/>
        <w:rPr>
          <w:b w:val="0"/>
          <w:sz w:val="22"/>
          <w:szCs w:val="22"/>
          <w:lang w:val="sk-SK"/>
        </w:rPr>
      </w:pPr>
      <w:r w:rsidRPr="005F6F71">
        <w:rPr>
          <w:b w:val="0"/>
          <w:sz w:val="22"/>
          <w:szCs w:val="22"/>
          <w:lang w:val="sk-SK"/>
        </w:rPr>
        <w:t>Ta</w:t>
      </w:r>
      <w:r w:rsidR="00335708" w:rsidRPr="005F6F71">
        <w:rPr>
          <w:b w:val="0"/>
          <w:sz w:val="22"/>
          <w:szCs w:val="22"/>
          <w:lang w:val="sk-SK"/>
        </w:rPr>
        <w:t>buľka</w:t>
      </w:r>
      <w:r w:rsidRPr="005F6F71">
        <w:rPr>
          <w:b w:val="0"/>
          <w:sz w:val="22"/>
          <w:szCs w:val="22"/>
          <w:lang w:val="sk-SK"/>
        </w:rPr>
        <w:t xml:space="preserve"> </w:t>
      </w:r>
      <w:r w:rsidR="00781F98" w:rsidRPr="005F6F71">
        <w:rPr>
          <w:b w:val="0"/>
          <w:sz w:val="22"/>
          <w:szCs w:val="22"/>
          <w:lang w:val="sk-SK"/>
        </w:rPr>
        <w:fldChar w:fldCharType="begin"/>
      </w:r>
      <w:r w:rsidRPr="005F6F71">
        <w:rPr>
          <w:b w:val="0"/>
          <w:sz w:val="22"/>
          <w:szCs w:val="22"/>
          <w:lang w:val="sk-SK"/>
        </w:rPr>
        <w:instrText xml:space="preserve"> SEQ Table \* ARABIC </w:instrText>
      </w:r>
      <w:r w:rsidR="00781F98" w:rsidRPr="005F6F71">
        <w:rPr>
          <w:b w:val="0"/>
          <w:sz w:val="22"/>
          <w:szCs w:val="22"/>
          <w:lang w:val="sk-SK"/>
        </w:rPr>
        <w:fldChar w:fldCharType="separate"/>
      </w:r>
      <w:r w:rsidR="00F858A4">
        <w:rPr>
          <w:b w:val="0"/>
          <w:noProof/>
          <w:sz w:val="22"/>
          <w:szCs w:val="22"/>
          <w:lang w:val="sk-SK"/>
        </w:rPr>
        <w:t>2</w:t>
      </w:r>
      <w:r w:rsidR="00781F98" w:rsidRPr="005F6F71">
        <w:rPr>
          <w:b w:val="0"/>
          <w:sz w:val="22"/>
          <w:szCs w:val="22"/>
          <w:lang w:val="sk-SK"/>
        </w:rPr>
        <w:fldChar w:fldCharType="end"/>
      </w:r>
      <w:r w:rsidRPr="005F6F71">
        <w:rPr>
          <w:b w:val="0"/>
          <w:sz w:val="22"/>
          <w:szCs w:val="22"/>
          <w:lang w:val="sk-SK"/>
        </w:rPr>
        <w:t xml:space="preserve">: </w:t>
      </w:r>
      <w:proofErr w:type="spellStart"/>
      <w:r w:rsidR="00335708" w:rsidRPr="005F6F71">
        <w:rPr>
          <w:b w:val="0"/>
          <w:sz w:val="22"/>
          <w:szCs w:val="22"/>
          <w:lang w:val="sk-SK"/>
        </w:rPr>
        <w:t>Farmakokinetické</w:t>
      </w:r>
      <w:proofErr w:type="spellEnd"/>
      <w:r w:rsidR="00335708" w:rsidRPr="005F6F71">
        <w:rPr>
          <w:b w:val="0"/>
          <w:sz w:val="22"/>
          <w:szCs w:val="22"/>
          <w:lang w:val="sk-SK"/>
        </w:rPr>
        <w:t xml:space="preserve"> parametr</w:t>
      </w:r>
      <w:r w:rsidR="00EA222B" w:rsidRPr="005F6F71">
        <w:rPr>
          <w:b w:val="0"/>
          <w:sz w:val="22"/>
          <w:szCs w:val="22"/>
          <w:lang w:val="sk-SK"/>
        </w:rPr>
        <w:t>e</w:t>
      </w:r>
      <w:r w:rsidR="00335708" w:rsidRPr="005F6F71">
        <w:rPr>
          <w:b w:val="0"/>
          <w:sz w:val="22"/>
          <w:szCs w:val="22"/>
          <w:lang w:val="sk-SK"/>
        </w:rPr>
        <w:t xml:space="preserve"> pre rôzne stupne </w:t>
      </w:r>
      <w:proofErr w:type="spellStart"/>
      <w:r w:rsidR="00EA222B" w:rsidRPr="005F6F71">
        <w:rPr>
          <w:b w:val="0"/>
          <w:sz w:val="22"/>
          <w:szCs w:val="22"/>
          <w:lang w:val="sk-SK"/>
        </w:rPr>
        <w:t>insuficiencie</w:t>
      </w:r>
      <w:proofErr w:type="spellEnd"/>
      <w:r w:rsidR="00335708" w:rsidRPr="005F6F71">
        <w:rPr>
          <w:b w:val="0"/>
          <w:sz w:val="22"/>
          <w:szCs w:val="22"/>
          <w:lang w:val="sk-SK"/>
        </w:rPr>
        <w:t xml:space="preserve"> obličiek</w:t>
      </w:r>
      <w:r w:rsidRPr="005F6F71">
        <w:rPr>
          <w:b w:val="0"/>
          <w:sz w:val="22"/>
          <w:szCs w:val="22"/>
          <w:lang w:val="sk-SK"/>
        </w:rPr>
        <w:t xml:space="preserve">. </w:t>
      </w:r>
      <w:r w:rsidR="00335708" w:rsidRPr="005F6F71">
        <w:rPr>
          <w:b w:val="0"/>
          <w:sz w:val="22"/>
          <w:szCs w:val="22"/>
          <w:lang w:val="sk-SK"/>
        </w:rPr>
        <w:t>Údaje z</w:t>
      </w:r>
      <w:r w:rsidRPr="005F6F71">
        <w:rPr>
          <w:b w:val="0"/>
          <w:sz w:val="22"/>
          <w:szCs w:val="22"/>
          <w:lang w:val="sk-SK"/>
        </w:rPr>
        <w:t xml:space="preserve"> CS001.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216"/>
        <w:gridCol w:w="1882"/>
        <w:gridCol w:w="2664"/>
        <w:gridCol w:w="2266"/>
        <w:gridCol w:w="1259"/>
      </w:tblGrid>
      <w:tr w:rsidR="000D20A9" w:rsidRPr="005F6F71" w:rsidTr="008D6FE6">
        <w:trPr>
          <w:trHeight w:val="698"/>
        </w:trPr>
        <w:tc>
          <w:tcPr>
            <w:tcW w:w="655" w:type="pct"/>
            <w:shd w:val="clear" w:color="auto" w:fill="auto"/>
            <w:hideMark/>
          </w:tcPr>
          <w:p w:rsidR="00653140" w:rsidRPr="005F6F71" w:rsidRDefault="00653140" w:rsidP="008D6FE6">
            <w:pPr>
              <w:pStyle w:val="Zkladntext"/>
              <w:rPr>
                <w:b/>
                <w:bCs/>
                <w:i w:val="0"/>
                <w:color w:val="000000"/>
                <w:szCs w:val="22"/>
                <w:lang w:val="sk-SK"/>
              </w:rPr>
            </w:pPr>
          </w:p>
        </w:tc>
        <w:tc>
          <w:tcPr>
            <w:tcW w:w="1013" w:type="pct"/>
            <w:shd w:val="clear" w:color="auto" w:fill="auto"/>
            <w:hideMark/>
          </w:tcPr>
          <w:p w:rsidR="00653140" w:rsidRPr="005F6F71" w:rsidRDefault="00F764BB" w:rsidP="00335708">
            <w:pPr>
              <w:pStyle w:val="Zkladntext"/>
              <w:rPr>
                <w:b/>
                <w:bCs/>
                <w:i w:val="0"/>
                <w:color w:val="000000"/>
                <w:szCs w:val="22"/>
                <w:lang w:val="sk-SK"/>
              </w:rPr>
            </w:pPr>
            <w:proofErr w:type="spellStart"/>
            <w:r>
              <w:rPr>
                <w:b/>
                <w:bCs/>
                <w:i w:val="0"/>
                <w:color w:val="000000"/>
                <w:szCs w:val="22"/>
                <w:lang w:val="sk-SK"/>
              </w:rPr>
              <w:t>K</w:t>
            </w:r>
            <w:r w:rsidR="00335708" w:rsidRPr="005F6F71">
              <w:rPr>
                <w:b/>
                <w:bCs/>
                <w:i w:val="0"/>
                <w:color w:val="000000"/>
                <w:szCs w:val="22"/>
                <w:lang w:val="sk-SK"/>
              </w:rPr>
              <w:t>lírens</w:t>
            </w:r>
            <w:proofErr w:type="spellEnd"/>
            <w:r w:rsidR="00335708" w:rsidRPr="005F6F71">
              <w:rPr>
                <w:b/>
                <w:bCs/>
                <w:i w:val="0"/>
                <w:color w:val="000000"/>
                <w:szCs w:val="22"/>
                <w:lang w:val="sk-SK"/>
              </w:rPr>
              <w:t xml:space="preserve"> </w:t>
            </w:r>
            <w:proofErr w:type="spellStart"/>
            <w:r w:rsidR="00335708" w:rsidRPr="005F6F71">
              <w:rPr>
                <w:b/>
                <w:bCs/>
                <w:i w:val="0"/>
                <w:color w:val="000000"/>
                <w:szCs w:val="22"/>
                <w:lang w:val="sk-SK"/>
              </w:rPr>
              <w:t>kreatinínu</w:t>
            </w:r>
            <w:proofErr w:type="spellEnd"/>
          </w:p>
        </w:tc>
        <w:tc>
          <w:tcPr>
            <w:tcW w:w="1434" w:type="pct"/>
            <w:shd w:val="clear" w:color="auto" w:fill="auto"/>
            <w:hideMark/>
          </w:tcPr>
          <w:p w:rsidR="00653140" w:rsidRPr="005F6F71" w:rsidRDefault="00F764BB" w:rsidP="00335708">
            <w:pPr>
              <w:pStyle w:val="Zkladntext"/>
              <w:rPr>
                <w:b/>
                <w:bCs/>
                <w:i w:val="0"/>
                <w:color w:val="000000"/>
                <w:szCs w:val="22"/>
                <w:lang w:val="sk-SK"/>
              </w:rPr>
            </w:pPr>
            <w:r>
              <w:rPr>
                <w:b/>
                <w:bCs/>
                <w:i w:val="0"/>
                <w:color w:val="000000"/>
                <w:szCs w:val="22"/>
                <w:lang w:val="sk-SK"/>
              </w:rPr>
              <w:t>F</w:t>
            </w:r>
            <w:r w:rsidR="00335708" w:rsidRPr="005F6F71">
              <w:rPr>
                <w:b/>
                <w:bCs/>
                <w:i w:val="0"/>
                <w:color w:val="000000"/>
                <w:szCs w:val="22"/>
                <w:lang w:val="sk-SK"/>
              </w:rPr>
              <w:t>unkcia obličiek</w:t>
            </w:r>
          </w:p>
        </w:tc>
        <w:tc>
          <w:tcPr>
            <w:tcW w:w="1220" w:type="pct"/>
            <w:shd w:val="clear" w:color="auto" w:fill="auto"/>
            <w:hideMark/>
          </w:tcPr>
          <w:p w:rsidR="00653140" w:rsidRPr="005F6F71" w:rsidRDefault="00653140" w:rsidP="00335708">
            <w:pPr>
              <w:pStyle w:val="Zkladntext"/>
              <w:rPr>
                <w:b/>
                <w:bCs/>
                <w:i w:val="0"/>
                <w:color w:val="000000"/>
                <w:szCs w:val="22"/>
                <w:lang w:val="sk-SK"/>
              </w:rPr>
            </w:pPr>
            <w:r w:rsidRPr="005F6F71">
              <w:rPr>
                <w:b/>
                <w:bCs/>
                <w:i w:val="0"/>
                <w:color w:val="000000"/>
                <w:szCs w:val="22"/>
                <w:lang w:val="sk-SK"/>
              </w:rPr>
              <w:t xml:space="preserve">AUC </w:t>
            </w:r>
            <w:r w:rsidR="00335708" w:rsidRPr="005F6F71">
              <w:rPr>
                <w:b/>
                <w:bCs/>
                <w:i w:val="0"/>
                <w:color w:val="000000"/>
                <w:szCs w:val="22"/>
                <w:lang w:val="sk-SK"/>
              </w:rPr>
              <w:t>(</w:t>
            </w:r>
            <w:proofErr w:type="spellStart"/>
            <w:r w:rsidR="00335708" w:rsidRPr="005F6F71">
              <w:rPr>
                <w:b/>
                <w:bCs/>
                <w:i w:val="0"/>
                <w:color w:val="000000"/>
                <w:szCs w:val="22"/>
                <w:lang w:val="sk-SK"/>
              </w:rPr>
              <w:t>hod*pg</w:t>
            </w:r>
            <w:proofErr w:type="spellEnd"/>
            <w:r w:rsidR="00335708" w:rsidRPr="005F6F71">
              <w:rPr>
                <w:b/>
                <w:bCs/>
                <w:i w:val="0"/>
                <w:color w:val="000000"/>
                <w:szCs w:val="22"/>
                <w:lang w:val="sk-SK"/>
              </w:rPr>
              <w:t>/ml</w:t>
            </w:r>
            <w:r w:rsidRPr="005F6F71">
              <w:rPr>
                <w:b/>
                <w:bCs/>
                <w:i w:val="0"/>
                <w:color w:val="000000"/>
                <w:szCs w:val="22"/>
                <w:lang w:val="sk-SK"/>
              </w:rPr>
              <w:t>)</w:t>
            </w:r>
          </w:p>
        </w:tc>
        <w:tc>
          <w:tcPr>
            <w:tcW w:w="678" w:type="pct"/>
            <w:shd w:val="clear" w:color="auto" w:fill="auto"/>
            <w:hideMark/>
          </w:tcPr>
          <w:p w:rsidR="00653140" w:rsidRPr="005F6F71" w:rsidRDefault="00791DD2" w:rsidP="008D6FE6">
            <w:pPr>
              <w:pStyle w:val="Zkladntext"/>
              <w:rPr>
                <w:b/>
                <w:bCs/>
                <w:i w:val="0"/>
                <w:color w:val="000000"/>
                <w:szCs w:val="22"/>
                <w:lang w:val="sk-SK"/>
              </w:rPr>
            </w:pPr>
            <w:r w:rsidRPr="005F6F71">
              <w:rPr>
                <w:b/>
                <w:bCs/>
                <w:i w:val="0"/>
                <w:color w:val="000000"/>
                <w:szCs w:val="22"/>
                <w:lang w:val="sk-SK"/>
              </w:rPr>
              <w:t>t</w:t>
            </w:r>
            <w:r w:rsidR="00653140" w:rsidRPr="005F6F71">
              <w:rPr>
                <w:b/>
                <w:bCs/>
                <w:i w:val="0"/>
                <w:color w:val="000000"/>
                <w:szCs w:val="22"/>
                <w:lang w:val="sk-SK"/>
              </w:rPr>
              <w:t>½</w:t>
            </w:r>
          </w:p>
          <w:p w:rsidR="00653140" w:rsidRPr="005F6F71" w:rsidRDefault="00653140" w:rsidP="00335708">
            <w:pPr>
              <w:pStyle w:val="Zkladntext"/>
              <w:rPr>
                <w:b/>
                <w:bCs/>
                <w:i w:val="0"/>
                <w:color w:val="000000"/>
                <w:szCs w:val="22"/>
                <w:lang w:val="sk-SK"/>
              </w:rPr>
            </w:pPr>
            <w:r w:rsidRPr="005F6F71">
              <w:rPr>
                <w:b/>
                <w:bCs/>
                <w:i w:val="0"/>
                <w:color w:val="000000"/>
                <w:szCs w:val="22"/>
                <w:lang w:val="sk-SK"/>
              </w:rPr>
              <w:t>(</w:t>
            </w:r>
            <w:r w:rsidR="00335708" w:rsidRPr="005F6F71">
              <w:rPr>
                <w:b/>
                <w:bCs/>
                <w:i w:val="0"/>
                <w:color w:val="000000"/>
                <w:szCs w:val="22"/>
                <w:lang w:val="sk-SK"/>
              </w:rPr>
              <w:t>hod</w:t>
            </w:r>
            <w:r w:rsidRPr="005F6F71">
              <w:rPr>
                <w:b/>
                <w:bCs/>
                <w:i w:val="0"/>
                <w:color w:val="000000"/>
                <w:szCs w:val="22"/>
                <w:lang w:val="sk-SK"/>
              </w:rPr>
              <w:t>)</w:t>
            </w:r>
          </w:p>
        </w:tc>
      </w:tr>
      <w:tr w:rsidR="000D20A9" w:rsidRPr="005F6F71" w:rsidTr="008D6FE6">
        <w:trPr>
          <w:trHeight w:val="585"/>
        </w:trPr>
        <w:tc>
          <w:tcPr>
            <w:tcW w:w="655" w:type="pct"/>
            <w:shd w:val="clear" w:color="auto" w:fill="auto"/>
            <w:hideMark/>
          </w:tcPr>
          <w:p w:rsidR="00653140" w:rsidRPr="005F6F71" w:rsidRDefault="00EA222B" w:rsidP="00EA222B">
            <w:pPr>
              <w:pStyle w:val="Zkladntext"/>
              <w:rPr>
                <w:bCs/>
                <w:i w:val="0"/>
                <w:color w:val="000000"/>
                <w:szCs w:val="22"/>
                <w:lang w:val="sk-SK"/>
              </w:rPr>
            </w:pPr>
            <w:r w:rsidRPr="005F6F71">
              <w:rPr>
                <w:bCs/>
                <w:i w:val="0"/>
                <w:color w:val="000000"/>
                <w:szCs w:val="22"/>
                <w:lang w:val="sk-SK"/>
              </w:rPr>
              <w:t>z</w:t>
            </w:r>
            <w:r w:rsidR="00335708" w:rsidRPr="005F6F71">
              <w:rPr>
                <w:bCs/>
                <w:i w:val="0"/>
                <w:color w:val="000000"/>
                <w:szCs w:val="22"/>
                <w:lang w:val="sk-SK"/>
              </w:rPr>
              <w:t>drav</w:t>
            </w:r>
            <w:r w:rsidRPr="005F6F71">
              <w:rPr>
                <w:bCs/>
                <w:i w:val="0"/>
                <w:color w:val="000000"/>
                <w:szCs w:val="22"/>
                <w:lang w:val="sk-SK"/>
              </w:rPr>
              <w:t>é subjekty</w:t>
            </w:r>
          </w:p>
        </w:tc>
        <w:tc>
          <w:tcPr>
            <w:tcW w:w="1013" w:type="pct"/>
            <w:shd w:val="clear" w:color="auto" w:fill="auto"/>
            <w:hideMark/>
          </w:tcPr>
          <w:p w:rsidR="00653140" w:rsidRPr="005F6F71" w:rsidRDefault="00653140" w:rsidP="000D20A9">
            <w:pPr>
              <w:pStyle w:val="Zkladntext"/>
              <w:rPr>
                <w:bCs/>
                <w:i w:val="0"/>
                <w:color w:val="000000"/>
                <w:szCs w:val="22"/>
                <w:lang w:val="sk-SK"/>
              </w:rPr>
            </w:pPr>
            <w:r w:rsidRPr="005F6F71">
              <w:rPr>
                <w:bCs/>
                <w:i w:val="0"/>
                <w:color w:val="000000"/>
                <w:szCs w:val="22"/>
                <w:lang w:val="sk-SK"/>
              </w:rPr>
              <w:t>&gt;</w:t>
            </w:r>
            <w:r w:rsidR="00F764BB">
              <w:rPr>
                <w:bCs/>
                <w:i w:val="0"/>
                <w:color w:val="000000"/>
                <w:szCs w:val="22"/>
                <w:lang w:val="sk-SK"/>
              </w:rPr>
              <w:t xml:space="preserve"> </w:t>
            </w:r>
            <w:r w:rsidRPr="005F6F71">
              <w:rPr>
                <w:bCs/>
                <w:i w:val="0"/>
                <w:color w:val="000000"/>
                <w:szCs w:val="22"/>
                <w:lang w:val="sk-SK"/>
              </w:rPr>
              <w:t>80 m</w:t>
            </w:r>
            <w:r w:rsidR="000D20A9" w:rsidRPr="005F6F71">
              <w:rPr>
                <w:bCs/>
                <w:i w:val="0"/>
                <w:color w:val="000000"/>
                <w:szCs w:val="22"/>
                <w:lang w:val="sk-SK"/>
              </w:rPr>
              <w:t>l</w:t>
            </w:r>
            <w:r w:rsidRPr="005F6F71">
              <w:rPr>
                <w:bCs/>
                <w:i w:val="0"/>
                <w:color w:val="000000"/>
                <w:szCs w:val="22"/>
                <w:lang w:val="sk-SK"/>
              </w:rPr>
              <w:t>/min</w:t>
            </w:r>
          </w:p>
        </w:tc>
        <w:tc>
          <w:tcPr>
            <w:tcW w:w="1434" w:type="pct"/>
            <w:shd w:val="clear" w:color="auto" w:fill="auto"/>
            <w:hideMark/>
          </w:tcPr>
          <w:p w:rsidR="00653140" w:rsidRPr="005F6F71" w:rsidRDefault="000D20A9" w:rsidP="008D6FE6">
            <w:pPr>
              <w:pStyle w:val="Zkladntext"/>
              <w:rPr>
                <w:bCs/>
                <w:i w:val="0"/>
                <w:color w:val="000000"/>
                <w:szCs w:val="22"/>
                <w:lang w:val="sk-SK"/>
              </w:rPr>
            </w:pPr>
            <w:r w:rsidRPr="005F6F71">
              <w:rPr>
                <w:bCs/>
                <w:i w:val="0"/>
                <w:color w:val="000000"/>
                <w:szCs w:val="22"/>
                <w:lang w:val="sk-SK"/>
              </w:rPr>
              <w:t>normá</w:t>
            </w:r>
            <w:r w:rsidR="00653140" w:rsidRPr="005F6F71">
              <w:rPr>
                <w:bCs/>
                <w:i w:val="0"/>
                <w:color w:val="000000"/>
                <w:szCs w:val="22"/>
                <w:lang w:val="sk-SK"/>
              </w:rPr>
              <w:t>l</w:t>
            </w:r>
            <w:r w:rsidRPr="005F6F71">
              <w:rPr>
                <w:bCs/>
                <w:i w:val="0"/>
                <w:color w:val="000000"/>
                <w:szCs w:val="22"/>
                <w:lang w:val="sk-SK"/>
              </w:rPr>
              <w:t>na</w:t>
            </w:r>
          </w:p>
        </w:tc>
        <w:tc>
          <w:tcPr>
            <w:tcW w:w="1220" w:type="pct"/>
            <w:shd w:val="clear" w:color="auto" w:fill="auto"/>
            <w:hideMark/>
          </w:tcPr>
          <w:p w:rsidR="00653140" w:rsidRPr="005F6F71" w:rsidRDefault="00653140" w:rsidP="008D6FE6">
            <w:pPr>
              <w:pStyle w:val="Zkladntext"/>
              <w:rPr>
                <w:bCs/>
                <w:i w:val="0"/>
                <w:color w:val="000000"/>
                <w:szCs w:val="22"/>
                <w:lang w:val="sk-SK"/>
              </w:rPr>
            </w:pPr>
            <w:r w:rsidRPr="005F6F71">
              <w:rPr>
                <w:bCs/>
                <w:i w:val="0"/>
                <w:color w:val="000000"/>
                <w:szCs w:val="22"/>
                <w:lang w:val="sk-SK"/>
              </w:rPr>
              <w:t>186</w:t>
            </w:r>
          </w:p>
        </w:tc>
        <w:tc>
          <w:tcPr>
            <w:tcW w:w="678" w:type="pct"/>
            <w:shd w:val="clear" w:color="auto" w:fill="auto"/>
            <w:hideMark/>
          </w:tcPr>
          <w:p w:rsidR="00653140" w:rsidRPr="005F6F71" w:rsidRDefault="00653140" w:rsidP="00F764BB">
            <w:pPr>
              <w:pStyle w:val="Zkladntext"/>
              <w:rPr>
                <w:bCs/>
                <w:i w:val="0"/>
                <w:color w:val="000000"/>
                <w:szCs w:val="22"/>
                <w:lang w:val="sk-SK"/>
              </w:rPr>
            </w:pPr>
            <w:r w:rsidRPr="005F6F71">
              <w:rPr>
                <w:bCs/>
                <w:i w:val="0"/>
                <w:color w:val="000000"/>
                <w:szCs w:val="22"/>
                <w:lang w:val="sk-SK"/>
              </w:rPr>
              <w:t>2</w:t>
            </w:r>
            <w:r w:rsidR="00F764BB">
              <w:rPr>
                <w:bCs/>
                <w:i w:val="0"/>
                <w:color w:val="000000"/>
                <w:szCs w:val="22"/>
                <w:lang w:val="sk-SK"/>
              </w:rPr>
              <w:t>,</w:t>
            </w:r>
            <w:r w:rsidR="009C47A3" w:rsidRPr="005F6F71">
              <w:rPr>
                <w:bCs/>
                <w:i w:val="0"/>
                <w:color w:val="000000"/>
                <w:szCs w:val="22"/>
                <w:lang w:val="sk-SK"/>
              </w:rPr>
              <w:t>8</w:t>
            </w:r>
          </w:p>
        </w:tc>
      </w:tr>
      <w:tr w:rsidR="000D20A9" w:rsidRPr="005F6F71" w:rsidTr="008D6FE6">
        <w:trPr>
          <w:trHeight w:val="585"/>
        </w:trPr>
        <w:tc>
          <w:tcPr>
            <w:tcW w:w="655" w:type="pct"/>
            <w:shd w:val="clear" w:color="auto" w:fill="auto"/>
            <w:hideMark/>
          </w:tcPr>
          <w:p w:rsidR="00653140" w:rsidRPr="005F6F71" w:rsidRDefault="00EA222B" w:rsidP="00EA222B">
            <w:pPr>
              <w:pStyle w:val="Zkladntext"/>
              <w:rPr>
                <w:bCs/>
                <w:i w:val="0"/>
                <w:color w:val="000000"/>
                <w:szCs w:val="22"/>
                <w:lang w:val="sk-SK"/>
              </w:rPr>
            </w:pPr>
            <w:r w:rsidRPr="005F6F71">
              <w:rPr>
                <w:bCs/>
                <w:i w:val="0"/>
                <w:color w:val="000000"/>
                <w:szCs w:val="22"/>
                <w:lang w:val="sk-SK"/>
              </w:rPr>
              <w:t>mierna</w:t>
            </w:r>
            <w:r w:rsidR="000D20A9" w:rsidRPr="005F6F71">
              <w:rPr>
                <w:bCs/>
                <w:i w:val="0"/>
                <w:color w:val="000000"/>
                <w:szCs w:val="22"/>
                <w:lang w:val="sk-SK"/>
              </w:rPr>
              <w:t xml:space="preserve"> </w:t>
            </w:r>
          </w:p>
        </w:tc>
        <w:tc>
          <w:tcPr>
            <w:tcW w:w="1013" w:type="pct"/>
            <w:shd w:val="clear" w:color="auto" w:fill="auto"/>
            <w:hideMark/>
          </w:tcPr>
          <w:p w:rsidR="00653140" w:rsidRPr="005F6F71" w:rsidRDefault="00653140" w:rsidP="000D20A9">
            <w:pPr>
              <w:pStyle w:val="Zkladntext"/>
              <w:rPr>
                <w:bCs/>
                <w:i w:val="0"/>
                <w:color w:val="000000"/>
                <w:szCs w:val="22"/>
                <w:lang w:val="sk-SK"/>
              </w:rPr>
            </w:pPr>
            <w:r w:rsidRPr="005F6F71">
              <w:rPr>
                <w:bCs/>
                <w:i w:val="0"/>
                <w:color w:val="000000"/>
                <w:szCs w:val="22"/>
                <w:lang w:val="sk-SK"/>
              </w:rPr>
              <w:t>50</w:t>
            </w:r>
            <w:r w:rsidR="00F764BB">
              <w:rPr>
                <w:bCs/>
                <w:i w:val="0"/>
                <w:color w:val="000000"/>
                <w:szCs w:val="22"/>
                <w:lang w:val="sk-SK"/>
              </w:rPr>
              <w:t xml:space="preserve"> – </w:t>
            </w:r>
            <w:r w:rsidRPr="005F6F71">
              <w:rPr>
                <w:bCs/>
                <w:i w:val="0"/>
                <w:color w:val="000000"/>
                <w:szCs w:val="22"/>
                <w:lang w:val="sk-SK"/>
              </w:rPr>
              <w:t>80 m</w:t>
            </w:r>
            <w:r w:rsidR="000D20A9" w:rsidRPr="005F6F71">
              <w:rPr>
                <w:bCs/>
                <w:i w:val="0"/>
                <w:color w:val="000000"/>
                <w:szCs w:val="22"/>
                <w:lang w:val="sk-SK"/>
              </w:rPr>
              <w:t>l</w:t>
            </w:r>
            <w:r w:rsidRPr="005F6F71">
              <w:rPr>
                <w:bCs/>
                <w:i w:val="0"/>
                <w:color w:val="000000"/>
                <w:szCs w:val="22"/>
                <w:lang w:val="sk-SK"/>
              </w:rPr>
              <w:t>/min</w:t>
            </w:r>
          </w:p>
        </w:tc>
        <w:tc>
          <w:tcPr>
            <w:tcW w:w="1434" w:type="pct"/>
            <w:shd w:val="clear" w:color="auto" w:fill="auto"/>
            <w:hideMark/>
          </w:tcPr>
          <w:p w:rsidR="00653140" w:rsidRPr="005F6F71" w:rsidRDefault="000D20A9" w:rsidP="000D20A9">
            <w:pPr>
              <w:pStyle w:val="Zkladntext"/>
              <w:rPr>
                <w:bCs/>
                <w:i w:val="0"/>
                <w:color w:val="000000"/>
                <w:szCs w:val="22"/>
                <w:lang w:val="sk-SK"/>
              </w:rPr>
            </w:pPr>
            <w:r w:rsidRPr="005F6F71">
              <w:rPr>
                <w:bCs/>
                <w:i w:val="0"/>
                <w:color w:val="000000"/>
                <w:szCs w:val="22"/>
                <w:lang w:val="sk-SK"/>
              </w:rPr>
              <w:t>mierne poškodenie</w:t>
            </w:r>
          </w:p>
        </w:tc>
        <w:tc>
          <w:tcPr>
            <w:tcW w:w="1220" w:type="pct"/>
            <w:shd w:val="clear" w:color="auto" w:fill="auto"/>
            <w:hideMark/>
          </w:tcPr>
          <w:p w:rsidR="00653140" w:rsidRPr="005F6F71" w:rsidRDefault="00653140" w:rsidP="008D6FE6">
            <w:pPr>
              <w:pStyle w:val="Zkladntext"/>
              <w:rPr>
                <w:bCs/>
                <w:i w:val="0"/>
                <w:color w:val="000000"/>
                <w:szCs w:val="22"/>
                <w:lang w:val="sk-SK"/>
              </w:rPr>
            </w:pPr>
            <w:r w:rsidRPr="005F6F71">
              <w:rPr>
                <w:bCs/>
                <w:i w:val="0"/>
                <w:color w:val="000000"/>
                <w:szCs w:val="22"/>
                <w:lang w:val="sk-SK"/>
              </w:rPr>
              <w:t>28</w:t>
            </w:r>
            <w:r w:rsidR="009C47A3" w:rsidRPr="005F6F71">
              <w:rPr>
                <w:bCs/>
                <w:i w:val="0"/>
                <w:color w:val="000000"/>
                <w:szCs w:val="22"/>
                <w:lang w:val="sk-SK"/>
              </w:rPr>
              <w:t>1</w:t>
            </w:r>
          </w:p>
        </w:tc>
        <w:tc>
          <w:tcPr>
            <w:tcW w:w="678" w:type="pct"/>
            <w:shd w:val="clear" w:color="auto" w:fill="auto"/>
            <w:hideMark/>
          </w:tcPr>
          <w:p w:rsidR="00653140" w:rsidRPr="005F6F71" w:rsidRDefault="009C47A3" w:rsidP="00F764BB">
            <w:pPr>
              <w:pStyle w:val="Zkladntext"/>
              <w:rPr>
                <w:bCs/>
                <w:i w:val="0"/>
                <w:color w:val="000000"/>
                <w:szCs w:val="22"/>
                <w:lang w:val="sk-SK"/>
              </w:rPr>
            </w:pPr>
            <w:r w:rsidRPr="005F6F71">
              <w:rPr>
                <w:bCs/>
                <w:i w:val="0"/>
                <w:color w:val="000000"/>
                <w:szCs w:val="22"/>
                <w:lang w:val="sk-SK"/>
              </w:rPr>
              <w:t>4</w:t>
            </w:r>
            <w:r w:rsidR="00F764BB">
              <w:rPr>
                <w:bCs/>
                <w:i w:val="0"/>
                <w:color w:val="000000"/>
                <w:szCs w:val="22"/>
                <w:lang w:val="sk-SK"/>
              </w:rPr>
              <w:t>,</w:t>
            </w:r>
            <w:r w:rsidRPr="005F6F71">
              <w:rPr>
                <w:bCs/>
                <w:i w:val="0"/>
                <w:color w:val="000000"/>
                <w:szCs w:val="22"/>
                <w:lang w:val="sk-SK"/>
              </w:rPr>
              <w:t>0</w:t>
            </w:r>
          </w:p>
        </w:tc>
      </w:tr>
      <w:tr w:rsidR="000D20A9" w:rsidRPr="005F6F71" w:rsidTr="008D6FE6">
        <w:trPr>
          <w:trHeight w:val="585"/>
        </w:trPr>
        <w:tc>
          <w:tcPr>
            <w:tcW w:w="655" w:type="pct"/>
            <w:shd w:val="clear" w:color="auto" w:fill="auto"/>
            <w:hideMark/>
          </w:tcPr>
          <w:p w:rsidR="00653140" w:rsidRPr="005F6F71" w:rsidRDefault="000D20A9" w:rsidP="00EA222B">
            <w:pPr>
              <w:pStyle w:val="Zkladntext"/>
              <w:rPr>
                <w:bCs/>
                <w:i w:val="0"/>
                <w:color w:val="000000"/>
                <w:szCs w:val="22"/>
                <w:lang w:val="sk-SK"/>
              </w:rPr>
            </w:pPr>
            <w:r w:rsidRPr="005F6F71">
              <w:rPr>
                <w:bCs/>
                <w:i w:val="0"/>
                <w:color w:val="000000"/>
                <w:szCs w:val="22"/>
                <w:lang w:val="sk-SK"/>
              </w:rPr>
              <w:t>stredne závažn</w:t>
            </w:r>
            <w:r w:rsidR="00EA222B" w:rsidRPr="005F6F71">
              <w:rPr>
                <w:bCs/>
                <w:i w:val="0"/>
                <w:color w:val="000000"/>
                <w:szCs w:val="22"/>
                <w:lang w:val="sk-SK"/>
              </w:rPr>
              <w:t>á</w:t>
            </w:r>
            <w:r w:rsidRPr="005F6F71">
              <w:rPr>
                <w:bCs/>
                <w:i w:val="0"/>
                <w:color w:val="000000"/>
                <w:szCs w:val="22"/>
                <w:lang w:val="sk-SK"/>
              </w:rPr>
              <w:t xml:space="preserve"> </w:t>
            </w:r>
          </w:p>
        </w:tc>
        <w:tc>
          <w:tcPr>
            <w:tcW w:w="1013" w:type="pct"/>
            <w:shd w:val="clear" w:color="auto" w:fill="auto"/>
            <w:hideMark/>
          </w:tcPr>
          <w:p w:rsidR="00653140" w:rsidRPr="005F6F71" w:rsidRDefault="00653140" w:rsidP="000D20A9">
            <w:pPr>
              <w:pStyle w:val="Zkladntext"/>
              <w:rPr>
                <w:bCs/>
                <w:i w:val="0"/>
                <w:color w:val="000000"/>
                <w:szCs w:val="22"/>
                <w:lang w:val="sk-SK"/>
              </w:rPr>
            </w:pPr>
            <w:r w:rsidRPr="005F6F71">
              <w:rPr>
                <w:bCs/>
                <w:i w:val="0"/>
                <w:color w:val="000000"/>
                <w:szCs w:val="22"/>
                <w:lang w:val="sk-SK"/>
              </w:rPr>
              <w:t>30</w:t>
            </w:r>
            <w:r w:rsidR="00F764BB">
              <w:rPr>
                <w:bCs/>
                <w:i w:val="0"/>
                <w:color w:val="000000"/>
                <w:szCs w:val="22"/>
                <w:lang w:val="sk-SK"/>
              </w:rPr>
              <w:t xml:space="preserve"> – </w:t>
            </w:r>
            <w:r w:rsidRPr="005F6F71">
              <w:rPr>
                <w:bCs/>
                <w:i w:val="0"/>
                <w:color w:val="000000"/>
                <w:szCs w:val="22"/>
                <w:lang w:val="sk-SK"/>
              </w:rPr>
              <w:t>49 m</w:t>
            </w:r>
            <w:r w:rsidR="000D20A9" w:rsidRPr="005F6F71">
              <w:rPr>
                <w:bCs/>
                <w:i w:val="0"/>
                <w:color w:val="000000"/>
                <w:szCs w:val="22"/>
                <w:lang w:val="sk-SK"/>
              </w:rPr>
              <w:t>l</w:t>
            </w:r>
            <w:r w:rsidRPr="005F6F71">
              <w:rPr>
                <w:bCs/>
                <w:i w:val="0"/>
                <w:color w:val="000000"/>
                <w:szCs w:val="22"/>
                <w:lang w:val="sk-SK"/>
              </w:rPr>
              <w:t>/min</w:t>
            </w:r>
          </w:p>
        </w:tc>
        <w:tc>
          <w:tcPr>
            <w:tcW w:w="1434" w:type="pct"/>
            <w:shd w:val="clear" w:color="auto" w:fill="auto"/>
            <w:hideMark/>
          </w:tcPr>
          <w:p w:rsidR="00653140" w:rsidRPr="005F6F71" w:rsidRDefault="000D20A9" w:rsidP="000D20A9">
            <w:pPr>
              <w:pStyle w:val="Zkladntext"/>
              <w:rPr>
                <w:bCs/>
                <w:i w:val="0"/>
                <w:color w:val="000000"/>
                <w:szCs w:val="22"/>
                <w:lang w:val="sk-SK"/>
              </w:rPr>
            </w:pPr>
            <w:r w:rsidRPr="005F6F71">
              <w:rPr>
                <w:bCs/>
                <w:i w:val="0"/>
                <w:color w:val="000000"/>
                <w:szCs w:val="22"/>
                <w:lang w:val="sk-SK"/>
              </w:rPr>
              <w:t>stredne závažné poškodenie</w:t>
            </w:r>
          </w:p>
        </w:tc>
        <w:tc>
          <w:tcPr>
            <w:tcW w:w="1220" w:type="pct"/>
            <w:shd w:val="clear" w:color="auto" w:fill="auto"/>
            <w:hideMark/>
          </w:tcPr>
          <w:p w:rsidR="00653140" w:rsidRPr="005F6F71" w:rsidRDefault="00653140" w:rsidP="008D6FE6">
            <w:pPr>
              <w:pStyle w:val="Zkladntext"/>
              <w:rPr>
                <w:bCs/>
                <w:i w:val="0"/>
                <w:color w:val="000000"/>
                <w:szCs w:val="22"/>
                <w:lang w:val="sk-SK"/>
              </w:rPr>
            </w:pPr>
            <w:r w:rsidRPr="005F6F71">
              <w:rPr>
                <w:bCs/>
                <w:i w:val="0"/>
                <w:color w:val="000000"/>
                <w:szCs w:val="22"/>
                <w:lang w:val="sk-SK"/>
              </w:rPr>
              <w:t>453</w:t>
            </w:r>
          </w:p>
        </w:tc>
        <w:tc>
          <w:tcPr>
            <w:tcW w:w="678" w:type="pct"/>
            <w:shd w:val="clear" w:color="auto" w:fill="auto"/>
            <w:hideMark/>
          </w:tcPr>
          <w:p w:rsidR="00653140" w:rsidRPr="005F6F71" w:rsidRDefault="00653140" w:rsidP="00F764BB">
            <w:pPr>
              <w:pStyle w:val="Zkladntext"/>
              <w:rPr>
                <w:bCs/>
                <w:i w:val="0"/>
                <w:color w:val="000000"/>
                <w:szCs w:val="22"/>
                <w:lang w:val="sk-SK"/>
              </w:rPr>
            </w:pPr>
            <w:r w:rsidRPr="005F6F71">
              <w:rPr>
                <w:bCs/>
                <w:i w:val="0"/>
                <w:color w:val="000000"/>
                <w:szCs w:val="22"/>
                <w:lang w:val="sk-SK"/>
              </w:rPr>
              <w:t>6</w:t>
            </w:r>
            <w:r w:rsidR="00F764BB">
              <w:rPr>
                <w:bCs/>
                <w:i w:val="0"/>
                <w:color w:val="000000"/>
                <w:szCs w:val="22"/>
                <w:lang w:val="sk-SK"/>
              </w:rPr>
              <w:t>,</w:t>
            </w:r>
            <w:r w:rsidRPr="005F6F71">
              <w:rPr>
                <w:bCs/>
                <w:i w:val="0"/>
                <w:color w:val="000000"/>
                <w:szCs w:val="22"/>
                <w:lang w:val="sk-SK"/>
              </w:rPr>
              <w:t>7</w:t>
            </w:r>
          </w:p>
        </w:tc>
      </w:tr>
      <w:tr w:rsidR="000D20A9" w:rsidRPr="005F6F71" w:rsidTr="008D6FE6">
        <w:trPr>
          <w:trHeight w:val="585"/>
        </w:trPr>
        <w:tc>
          <w:tcPr>
            <w:tcW w:w="655" w:type="pct"/>
            <w:shd w:val="clear" w:color="auto" w:fill="auto"/>
            <w:hideMark/>
          </w:tcPr>
          <w:p w:rsidR="00653140" w:rsidRPr="005F6F71" w:rsidRDefault="000D20A9" w:rsidP="00EA222B">
            <w:pPr>
              <w:pStyle w:val="Zkladntext"/>
              <w:rPr>
                <w:bCs/>
                <w:i w:val="0"/>
                <w:color w:val="000000"/>
                <w:szCs w:val="22"/>
                <w:lang w:val="sk-SK"/>
              </w:rPr>
            </w:pPr>
            <w:r w:rsidRPr="005F6F71">
              <w:rPr>
                <w:bCs/>
                <w:i w:val="0"/>
                <w:color w:val="000000"/>
                <w:szCs w:val="22"/>
                <w:lang w:val="sk-SK"/>
              </w:rPr>
              <w:t>závažn</w:t>
            </w:r>
            <w:r w:rsidR="00EA222B" w:rsidRPr="005F6F71">
              <w:rPr>
                <w:bCs/>
                <w:i w:val="0"/>
                <w:color w:val="000000"/>
                <w:szCs w:val="22"/>
                <w:lang w:val="sk-SK"/>
              </w:rPr>
              <w:t>á</w:t>
            </w:r>
          </w:p>
        </w:tc>
        <w:tc>
          <w:tcPr>
            <w:tcW w:w="1013" w:type="pct"/>
            <w:shd w:val="clear" w:color="auto" w:fill="auto"/>
            <w:hideMark/>
          </w:tcPr>
          <w:p w:rsidR="00653140" w:rsidRPr="005F6F71" w:rsidRDefault="00653140" w:rsidP="00F764BB">
            <w:pPr>
              <w:pStyle w:val="Zkladntext"/>
              <w:rPr>
                <w:bCs/>
                <w:i w:val="0"/>
                <w:color w:val="000000"/>
                <w:szCs w:val="22"/>
                <w:lang w:val="sk-SK"/>
              </w:rPr>
            </w:pPr>
            <w:r w:rsidRPr="005F6F71">
              <w:rPr>
                <w:bCs/>
                <w:i w:val="0"/>
                <w:color w:val="000000"/>
                <w:szCs w:val="22"/>
                <w:lang w:val="sk-SK"/>
              </w:rPr>
              <w:t>5</w:t>
            </w:r>
            <w:r w:rsidR="00F764BB">
              <w:rPr>
                <w:bCs/>
                <w:i w:val="0"/>
                <w:color w:val="000000"/>
                <w:szCs w:val="22"/>
                <w:lang w:val="sk-SK"/>
              </w:rPr>
              <w:t> – </w:t>
            </w:r>
            <w:r w:rsidRPr="005F6F71">
              <w:rPr>
                <w:bCs/>
                <w:i w:val="0"/>
                <w:color w:val="000000"/>
                <w:szCs w:val="22"/>
                <w:lang w:val="sk-SK"/>
              </w:rPr>
              <w:t>29 m</w:t>
            </w:r>
            <w:r w:rsidR="000D20A9" w:rsidRPr="005F6F71">
              <w:rPr>
                <w:bCs/>
                <w:i w:val="0"/>
                <w:color w:val="000000"/>
                <w:szCs w:val="22"/>
                <w:lang w:val="sk-SK"/>
              </w:rPr>
              <w:t>l</w:t>
            </w:r>
            <w:r w:rsidRPr="005F6F71">
              <w:rPr>
                <w:bCs/>
                <w:i w:val="0"/>
                <w:color w:val="000000"/>
                <w:szCs w:val="22"/>
                <w:lang w:val="sk-SK"/>
              </w:rPr>
              <w:t>/min</w:t>
            </w:r>
          </w:p>
        </w:tc>
        <w:tc>
          <w:tcPr>
            <w:tcW w:w="1434" w:type="pct"/>
            <w:shd w:val="clear" w:color="auto" w:fill="auto"/>
            <w:hideMark/>
          </w:tcPr>
          <w:p w:rsidR="00653140" w:rsidRPr="005F6F71" w:rsidRDefault="000D20A9" w:rsidP="000D20A9">
            <w:pPr>
              <w:pStyle w:val="Zkladntext"/>
              <w:rPr>
                <w:bCs/>
                <w:i w:val="0"/>
                <w:color w:val="000000"/>
                <w:szCs w:val="22"/>
                <w:lang w:val="sk-SK"/>
              </w:rPr>
            </w:pPr>
            <w:r w:rsidRPr="005F6F71">
              <w:rPr>
                <w:bCs/>
                <w:i w:val="0"/>
                <w:color w:val="000000"/>
                <w:szCs w:val="22"/>
                <w:lang w:val="sk-SK"/>
              </w:rPr>
              <w:t>závažné poškodenie</w:t>
            </w:r>
          </w:p>
        </w:tc>
        <w:tc>
          <w:tcPr>
            <w:tcW w:w="1220" w:type="pct"/>
            <w:shd w:val="clear" w:color="auto" w:fill="auto"/>
            <w:hideMark/>
          </w:tcPr>
          <w:p w:rsidR="00653140" w:rsidRPr="005F6F71" w:rsidRDefault="00653140" w:rsidP="008D6FE6">
            <w:pPr>
              <w:pStyle w:val="Zkladntext"/>
              <w:rPr>
                <w:bCs/>
                <w:i w:val="0"/>
                <w:color w:val="000000"/>
                <w:szCs w:val="22"/>
                <w:lang w:val="sk-SK"/>
              </w:rPr>
            </w:pPr>
            <w:r w:rsidRPr="005F6F71">
              <w:rPr>
                <w:bCs/>
                <w:i w:val="0"/>
                <w:color w:val="000000"/>
                <w:szCs w:val="22"/>
                <w:lang w:val="sk-SK"/>
              </w:rPr>
              <w:t>68</w:t>
            </w:r>
            <w:r w:rsidR="009C47A3" w:rsidRPr="005F6F71">
              <w:rPr>
                <w:bCs/>
                <w:i w:val="0"/>
                <w:color w:val="000000"/>
                <w:szCs w:val="22"/>
                <w:lang w:val="sk-SK"/>
              </w:rPr>
              <w:t>2</w:t>
            </w:r>
          </w:p>
        </w:tc>
        <w:tc>
          <w:tcPr>
            <w:tcW w:w="678" w:type="pct"/>
            <w:shd w:val="clear" w:color="auto" w:fill="auto"/>
            <w:hideMark/>
          </w:tcPr>
          <w:p w:rsidR="00653140" w:rsidRPr="005F6F71" w:rsidRDefault="00653140" w:rsidP="00F764BB">
            <w:pPr>
              <w:pStyle w:val="Zkladntext"/>
              <w:rPr>
                <w:bCs/>
                <w:i w:val="0"/>
                <w:color w:val="000000"/>
                <w:szCs w:val="22"/>
                <w:lang w:val="sk-SK"/>
              </w:rPr>
            </w:pPr>
            <w:r w:rsidRPr="005F6F71">
              <w:rPr>
                <w:bCs/>
                <w:i w:val="0"/>
                <w:color w:val="000000"/>
                <w:szCs w:val="22"/>
                <w:lang w:val="sk-SK"/>
              </w:rPr>
              <w:t>8</w:t>
            </w:r>
            <w:r w:rsidR="00F764BB">
              <w:rPr>
                <w:bCs/>
                <w:i w:val="0"/>
                <w:color w:val="000000"/>
                <w:szCs w:val="22"/>
                <w:lang w:val="sk-SK"/>
              </w:rPr>
              <w:t>,</w:t>
            </w:r>
            <w:r w:rsidRPr="005F6F71">
              <w:rPr>
                <w:bCs/>
                <w:i w:val="0"/>
                <w:color w:val="000000"/>
                <w:szCs w:val="22"/>
                <w:lang w:val="sk-SK"/>
              </w:rPr>
              <w:t>7</w:t>
            </w:r>
          </w:p>
        </w:tc>
      </w:tr>
    </w:tbl>
    <w:p w:rsidR="00653140" w:rsidRPr="005F6F71" w:rsidRDefault="00653140" w:rsidP="00847117">
      <w:pPr>
        <w:pStyle w:val="Zkladntext"/>
        <w:rPr>
          <w:bCs/>
          <w:i w:val="0"/>
          <w:color w:val="000000"/>
          <w:szCs w:val="22"/>
          <w:lang w:val="sk-SK"/>
        </w:rPr>
      </w:pPr>
    </w:p>
    <w:p w:rsidR="00822FA3" w:rsidRPr="005F6F71" w:rsidRDefault="000D20A9" w:rsidP="00847117">
      <w:pPr>
        <w:rPr>
          <w:i/>
          <w:iCs/>
          <w:szCs w:val="22"/>
          <w:lang w:val="sk-SK"/>
        </w:rPr>
      </w:pPr>
      <w:r w:rsidRPr="005F6F71">
        <w:rPr>
          <w:i/>
          <w:iCs/>
          <w:szCs w:val="22"/>
          <w:lang w:val="sk-SK"/>
        </w:rPr>
        <w:t>Po</w:t>
      </w:r>
      <w:r w:rsidR="00EA222B" w:rsidRPr="005F6F71">
        <w:rPr>
          <w:i/>
          <w:iCs/>
          <w:szCs w:val="22"/>
          <w:lang w:val="sk-SK"/>
        </w:rPr>
        <w:t xml:space="preserve">škodenie </w:t>
      </w:r>
      <w:r w:rsidRPr="005F6F71">
        <w:rPr>
          <w:i/>
          <w:iCs/>
          <w:szCs w:val="22"/>
          <w:lang w:val="sk-SK"/>
        </w:rPr>
        <w:t>pečene</w:t>
      </w:r>
    </w:p>
    <w:p w:rsidR="00E33E6A" w:rsidRPr="005F6F71" w:rsidRDefault="00EA222B" w:rsidP="00847117">
      <w:pPr>
        <w:rPr>
          <w:bCs/>
          <w:szCs w:val="22"/>
          <w:lang w:val="sk-SK"/>
        </w:rPr>
      </w:pPr>
      <w:r w:rsidRPr="005F6F71">
        <w:rPr>
          <w:bCs/>
          <w:szCs w:val="22"/>
          <w:lang w:val="sk-SK"/>
        </w:rPr>
        <w:t>V tejto populácii pacientov sa ne</w:t>
      </w:r>
      <w:r w:rsidR="000D20A9" w:rsidRPr="005F6F71">
        <w:rPr>
          <w:bCs/>
          <w:szCs w:val="22"/>
          <w:lang w:val="sk-SK"/>
        </w:rPr>
        <w:t>vykona</w:t>
      </w:r>
      <w:r w:rsidRPr="005F6F71">
        <w:rPr>
          <w:bCs/>
          <w:szCs w:val="22"/>
          <w:lang w:val="sk-SK"/>
        </w:rPr>
        <w:t>li</w:t>
      </w:r>
      <w:r w:rsidR="000D20A9" w:rsidRPr="005F6F71">
        <w:rPr>
          <w:bCs/>
          <w:szCs w:val="22"/>
          <w:lang w:val="sk-SK"/>
        </w:rPr>
        <w:t xml:space="preserve"> žiadne štúdie</w:t>
      </w:r>
      <w:r w:rsidR="00327080" w:rsidRPr="005F6F71">
        <w:rPr>
          <w:bCs/>
          <w:szCs w:val="22"/>
          <w:lang w:val="sk-SK"/>
        </w:rPr>
        <w:t>.</w:t>
      </w:r>
    </w:p>
    <w:p w:rsidR="000D20A9" w:rsidRPr="005F6F71" w:rsidRDefault="000D20A9" w:rsidP="00847117">
      <w:pPr>
        <w:rPr>
          <w:szCs w:val="22"/>
          <w:lang w:val="sk-SK"/>
        </w:rPr>
      </w:pPr>
      <w:r w:rsidRPr="005F6F71">
        <w:rPr>
          <w:szCs w:val="22"/>
          <w:lang w:val="sk-SK"/>
        </w:rPr>
        <w:t xml:space="preserve">Je nepravdepodobné, že </w:t>
      </w:r>
      <w:proofErr w:type="spellStart"/>
      <w:r w:rsidRPr="005F6F71">
        <w:rPr>
          <w:szCs w:val="22"/>
          <w:lang w:val="sk-SK"/>
        </w:rPr>
        <w:t>dezmopresín</w:t>
      </w:r>
      <w:proofErr w:type="spellEnd"/>
      <w:r w:rsidRPr="005F6F71">
        <w:rPr>
          <w:szCs w:val="22"/>
          <w:lang w:val="sk-SK"/>
        </w:rPr>
        <w:t xml:space="preserve"> bude </w:t>
      </w:r>
      <w:proofErr w:type="spellStart"/>
      <w:r w:rsidRPr="005F6F71">
        <w:rPr>
          <w:szCs w:val="22"/>
          <w:lang w:val="sk-SK"/>
        </w:rPr>
        <w:t>interagovať</w:t>
      </w:r>
      <w:proofErr w:type="spellEnd"/>
      <w:r w:rsidRPr="005F6F71">
        <w:rPr>
          <w:szCs w:val="22"/>
          <w:lang w:val="sk-SK"/>
        </w:rPr>
        <w:t xml:space="preserve"> s liekmi</w:t>
      </w:r>
      <w:r w:rsidR="00E33E6A" w:rsidRPr="005F6F71">
        <w:rPr>
          <w:szCs w:val="22"/>
          <w:lang w:val="sk-SK"/>
        </w:rPr>
        <w:t xml:space="preserve"> </w:t>
      </w:r>
      <w:r w:rsidR="0002307D">
        <w:rPr>
          <w:szCs w:val="22"/>
          <w:lang w:val="sk-SK"/>
        </w:rPr>
        <w:t>ovplyvň</w:t>
      </w:r>
      <w:r w:rsidR="0002307D" w:rsidRPr="005F6F71">
        <w:rPr>
          <w:szCs w:val="22"/>
          <w:lang w:val="sk-SK"/>
        </w:rPr>
        <w:t xml:space="preserve">ujúcimi </w:t>
      </w:r>
      <w:r w:rsidRPr="005F6F71">
        <w:rPr>
          <w:szCs w:val="22"/>
          <w:lang w:val="sk-SK"/>
        </w:rPr>
        <w:t>metabolizmus pečene</w:t>
      </w:r>
      <w:r w:rsidR="00E33E6A" w:rsidRPr="005F6F71">
        <w:rPr>
          <w:szCs w:val="22"/>
          <w:lang w:val="sk-SK"/>
        </w:rPr>
        <w:t xml:space="preserve">, </w:t>
      </w:r>
      <w:r w:rsidRPr="005F6F71">
        <w:rPr>
          <w:szCs w:val="22"/>
          <w:lang w:val="sk-SK"/>
        </w:rPr>
        <w:t xml:space="preserve">pretože v </w:t>
      </w:r>
      <w:r w:rsidRPr="005F6F71">
        <w:rPr>
          <w:i/>
          <w:szCs w:val="22"/>
          <w:lang w:val="sk-SK"/>
        </w:rPr>
        <w:t xml:space="preserve">in </w:t>
      </w:r>
      <w:proofErr w:type="spellStart"/>
      <w:r w:rsidRPr="005F6F71">
        <w:rPr>
          <w:i/>
          <w:szCs w:val="22"/>
          <w:lang w:val="sk-SK"/>
        </w:rPr>
        <w:t>vitro</w:t>
      </w:r>
      <w:proofErr w:type="spellEnd"/>
      <w:r w:rsidRPr="005F6F71">
        <w:rPr>
          <w:szCs w:val="22"/>
          <w:lang w:val="sk-SK"/>
        </w:rPr>
        <w:t xml:space="preserve"> štúdiách s ľudskými </w:t>
      </w:r>
      <w:proofErr w:type="spellStart"/>
      <w:r w:rsidRPr="005F6F71">
        <w:rPr>
          <w:szCs w:val="22"/>
          <w:lang w:val="sk-SK"/>
        </w:rPr>
        <w:t>mikrozómami</w:t>
      </w:r>
      <w:proofErr w:type="spellEnd"/>
      <w:r w:rsidRPr="005F6F71">
        <w:rPr>
          <w:szCs w:val="22"/>
          <w:lang w:val="sk-SK"/>
        </w:rPr>
        <w:t xml:space="preserve"> sa preukázalo, že </w:t>
      </w:r>
      <w:proofErr w:type="spellStart"/>
      <w:r w:rsidRPr="005F6F71">
        <w:rPr>
          <w:szCs w:val="22"/>
          <w:lang w:val="sk-SK"/>
        </w:rPr>
        <w:t>dezmopresín</w:t>
      </w:r>
      <w:proofErr w:type="spellEnd"/>
      <w:r w:rsidRPr="005F6F71">
        <w:rPr>
          <w:szCs w:val="22"/>
          <w:lang w:val="sk-SK"/>
        </w:rPr>
        <w:t xml:space="preserve"> </w:t>
      </w:r>
      <w:r w:rsidR="00EA222B" w:rsidRPr="005F6F71">
        <w:rPr>
          <w:szCs w:val="22"/>
          <w:lang w:val="sk-SK"/>
        </w:rPr>
        <w:t>sa v </w:t>
      </w:r>
      <w:r w:rsidR="00E01912" w:rsidRPr="005F6F71">
        <w:rPr>
          <w:szCs w:val="22"/>
          <w:lang w:val="sk-SK"/>
        </w:rPr>
        <w:t>pečen</w:t>
      </w:r>
      <w:r w:rsidR="00E01912">
        <w:rPr>
          <w:szCs w:val="22"/>
          <w:lang w:val="sk-SK"/>
        </w:rPr>
        <w:t>i</w:t>
      </w:r>
      <w:r w:rsidR="00E01912" w:rsidRPr="005F6F71">
        <w:rPr>
          <w:szCs w:val="22"/>
          <w:lang w:val="sk-SK"/>
        </w:rPr>
        <w:t xml:space="preserve"> </w:t>
      </w:r>
      <w:r w:rsidR="00EA222B" w:rsidRPr="005F6F71">
        <w:rPr>
          <w:szCs w:val="22"/>
          <w:lang w:val="sk-SK"/>
        </w:rPr>
        <w:t>významne nemetabolizuje</w:t>
      </w:r>
      <w:r w:rsidRPr="005F6F71">
        <w:rPr>
          <w:szCs w:val="22"/>
          <w:lang w:val="sk-SK"/>
        </w:rPr>
        <w:t>.</w:t>
      </w:r>
    </w:p>
    <w:p w:rsidR="00FC34DA" w:rsidRPr="005F6F71" w:rsidRDefault="000D20A9" w:rsidP="00847117">
      <w:pPr>
        <w:rPr>
          <w:szCs w:val="22"/>
          <w:lang w:val="sk-SK"/>
        </w:rPr>
      </w:pPr>
      <w:r w:rsidRPr="005F6F71">
        <w:rPr>
          <w:szCs w:val="22"/>
          <w:lang w:val="sk-SK"/>
        </w:rPr>
        <w:t xml:space="preserve"> </w:t>
      </w:r>
    </w:p>
    <w:p w:rsidR="001D29E6" w:rsidRPr="005F6F71" w:rsidRDefault="001D29E6" w:rsidP="00847117">
      <w:pPr>
        <w:ind w:left="567" w:hanging="567"/>
        <w:rPr>
          <w:lang w:val="sk-SK"/>
        </w:rPr>
      </w:pPr>
      <w:r w:rsidRPr="005F6F71">
        <w:rPr>
          <w:b/>
          <w:lang w:val="sk-SK"/>
        </w:rPr>
        <w:t>5.3</w:t>
      </w:r>
      <w:r w:rsidRPr="005F6F71">
        <w:rPr>
          <w:b/>
          <w:lang w:val="sk-SK"/>
        </w:rPr>
        <w:tab/>
      </w:r>
      <w:r w:rsidR="000D20A9" w:rsidRPr="005F6F71">
        <w:rPr>
          <w:b/>
          <w:lang w:val="sk-SK"/>
        </w:rPr>
        <w:t>Predklinické údaje o bezpečnosti</w:t>
      </w:r>
    </w:p>
    <w:p w:rsidR="001D29E6" w:rsidRPr="005F6F71" w:rsidRDefault="001D29E6" w:rsidP="00847117">
      <w:pPr>
        <w:rPr>
          <w:lang w:val="sk-SK"/>
        </w:rPr>
      </w:pPr>
    </w:p>
    <w:p w:rsidR="00D723F7" w:rsidRPr="005F6F71" w:rsidRDefault="000D20A9" w:rsidP="00847117">
      <w:pPr>
        <w:pStyle w:val="Zkladntext"/>
        <w:rPr>
          <w:i w:val="0"/>
          <w:color w:val="000000"/>
          <w:lang w:val="sk-SK"/>
        </w:rPr>
      </w:pPr>
      <w:r w:rsidRPr="005F6F71">
        <w:rPr>
          <w:i w:val="0"/>
          <w:color w:val="000000"/>
          <w:lang w:val="sk-SK"/>
        </w:rPr>
        <w:t xml:space="preserve">Predklinické údaje získané na základe </w:t>
      </w:r>
      <w:r w:rsidR="00D723F7" w:rsidRPr="005F6F71">
        <w:rPr>
          <w:i w:val="0"/>
          <w:color w:val="000000"/>
          <w:lang w:val="sk-SK"/>
        </w:rPr>
        <w:t xml:space="preserve">obvyklých farmakologických štúdií bezpečnosti, toxicity po opakovanom podaní, </w:t>
      </w:r>
      <w:proofErr w:type="spellStart"/>
      <w:r w:rsidR="00D723F7" w:rsidRPr="005F6F71">
        <w:rPr>
          <w:i w:val="0"/>
          <w:color w:val="000000"/>
          <w:lang w:val="sk-SK"/>
        </w:rPr>
        <w:t>genotoxicity</w:t>
      </w:r>
      <w:proofErr w:type="spellEnd"/>
      <w:r w:rsidR="00D723F7" w:rsidRPr="005F6F71">
        <w:rPr>
          <w:i w:val="0"/>
          <w:color w:val="000000"/>
          <w:lang w:val="sk-SK"/>
        </w:rPr>
        <w:t xml:space="preserve"> a reprodukčnej toxicity neodhalili žiadne osobitné riziko pre ľudí.</w:t>
      </w:r>
    </w:p>
    <w:p w:rsidR="00D723F7" w:rsidRPr="005F6F71" w:rsidRDefault="00561EB3" w:rsidP="00847117">
      <w:pPr>
        <w:rPr>
          <w:color w:val="000000"/>
          <w:lang w:val="sk-SK"/>
        </w:rPr>
      </w:pPr>
      <w:r w:rsidRPr="005F6F71">
        <w:rPr>
          <w:color w:val="000000"/>
          <w:lang w:val="sk-SK"/>
        </w:rPr>
        <w:t xml:space="preserve">Štúdie karcinogenity s </w:t>
      </w:r>
      <w:proofErr w:type="spellStart"/>
      <w:r w:rsidRPr="005F6F71">
        <w:rPr>
          <w:color w:val="000000"/>
          <w:lang w:val="sk-SK"/>
        </w:rPr>
        <w:t>dezmopresínom</w:t>
      </w:r>
      <w:proofErr w:type="spellEnd"/>
      <w:r w:rsidRPr="005F6F71">
        <w:rPr>
          <w:color w:val="000000"/>
          <w:lang w:val="sk-SK"/>
        </w:rPr>
        <w:t xml:space="preserve"> sa nevykonali, pretože je štrukturálne veľmi podobný prirodzene sa vyskytujúcemu </w:t>
      </w:r>
      <w:proofErr w:type="spellStart"/>
      <w:r w:rsidRPr="005F6F71">
        <w:rPr>
          <w:color w:val="000000"/>
          <w:lang w:val="sk-SK"/>
        </w:rPr>
        <w:t>peptidovému</w:t>
      </w:r>
      <w:proofErr w:type="spellEnd"/>
      <w:r w:rsidRPr="005F6F71">
        <w:rPr>
          <w:color w:val="000000"/>
          <w:lang w:val="sk-SK"/>
        </w:rPr>
        <w:t xml:space="preserve"> hormónu.</w:t>
      </w:r>
    </w:p>
    <w:p w:rsidR="00327080" w:rsidRPr="005F6F71" w:rsidRDefault="00327080" w:rsidP="00847117">
      <w:pPr>
        <w:rPr>
          <w:b/>
          <w:color w:val="000000"/>
          <w:lang w:val="sk-SK"/>
        </w:rPr>
      </w:pPr>
    </w:p>
    <w:p w:rsidR="00827DA3" w:rsidRPr="005F6F71" w:rsidRDefault="00827DA3" w:rsidP="00847117">
      <w:pPr>
        <w:rPr>
          <w:b/>
          <w:lang w:val="sk-SK"/>
        </w:rPr>
      </w:pPr>
    </w:p>
    <w:p w:rsidR="001D29E6" w:rsidRPr="005F6F71" w:rsidRDefault="001D29E6" w:rsidP="00847117">
      <w:pPr>
        <w:ind w:left="567" w:hanging="567"/>
        <w:rPr>
          <w:b/>
          <w:lang w:val="sk-SK"/>
        </w:rPr>
      </w:pPr>
      <w:r w:rsidRPr="005F6F71">
        <w:rPr>
          <w:b/>
          <w:lang w:val="sk-SK"/>
        </w:rPr>
        <w:t>6.</w:t>
      </w:r>
      <w:r w:rsidRPr="005F6F71">
        <w:rPr>
          <w:b/>
          <w:lang w:val="sk-SK"/>
        </w:rPr>
        <w:tab/>
      </w:r>
      <w:r w:rsidR="00D723F7" w:rsidRPr="005F6F71">
        <w:rPr>
          <w:b/>
          <w:lang w:val="sk-SK"/>
        </w:rPr>
        <w:t>FARMACEUTICKÉ INFORMÁCIE</w:t>
      </w:r>
    </w:p>
    <w:p w:rsidR="001D29E6" w:rsidRPr="005F6F71" w:rsidRDefault="001D29E6" w:rsidP="00847117">
      <w:pPr>
        <w:rPr>
          <w:b/>
          <w:lang w:val="sk-SK"/>
        </w:rPr>
      </w:pPr>
    </w:p>
    <w:p w:rsidR="001D29E6" w:rsidRPr="005F6F71" w:rsidRDefault="001D29E6" w:rsidP="00847117">
      <w:pPr>
        <w:ind w:left="567" w:hanging="567"/>
        <w:rPr>
          <w:b/>
          <w:lang w:val="sk-SK"/>
        </w:rPr>
      </w:pPr>
      <w:r w:rsidRPr="005F6F71">
        <w:rPr>
          <w:b/>
          <w:lang w:val="sk-SK"/>
        </w:rPr>
        <w:t>6.1</w:t>
      </w:r>
      <w:r w:rsidRPr="005F6F71">
        <w:rPr>
          <w:b/>
          <w:lang w:val="sk-SK"/>
        </w:rPr>
        <w:tab/>
      </w:r>
      <w:r w:rsidR="00D723F7" w:rsidRPr="005F6F71">
        <w:rPr>
          <w:b/>
          <w:lang w:val="sk-SK"/>
        </w:rPr>
        <w:t>Zoznam pomocných látok</w:t>
      </w:r>
    </w:p>
    <w:p w:rsidR="001D29E6" w:rsidRPr="005F6F71" w:rsidRDefault="001D29E6" w:rsidP="00847117">
      <w:pPr>
        <w:rPr>
          <w:lang w:val="sk-SK"/>
        </w:rPr>
      </w:pPr>
    </w:p>
    <w:p w:rsidR="006E1EE3" w:rsidRPr="005F6F71" w:rsidRDefault="00D723F7" w:rsidP="00847117">
      <w:pPr>
        <w:pStyle w:val="Zkladntext"/>
        <w:rPr>
          <w:i w:val="0"/>
          <w:color w:val="000000"/>
          <w:lang w:val="sk-SK"/>
        </w:rPr>
      </w:pPr>
      <w:r w:rsidRPr="005F6F71">
        <w:rPr>
          <w:i w:val="0"/>
          <w:color w:val="000000"/>
          <w:lang w:val="sk-SK"/>
        </w:rPr>
        <w:t>želatína</w:t>
      </w:r>
    </w:p>
    <w:p w:rsidR="006E1EE3" w:rsidRPr="005F6F71" w:rsidRDefault="00D723F7" w:rsidP="00847117">
      <w:pPr>
        <w:pStyle w:val="Zkladntext"/>
        <w:rPr>
          <w:i w:val="0"/>
          <w:color w:val="000000"/>
          <w:lang w:val="sk-SK"/>
        </w:rPr>
      </w:pPr>
      <w:proofErr w:type="spellStart"/>
      <w:r w:rsidRPr="005F6F71">
        <w:rPr>
          <w:i w:val="0"/>
          <w:color w:val="000000"/>
          <w:lang w:val="sk-SK"/>
        </w:rPr>
        <w:t>manitol</w:t>
      </w:r>
      <w:proofErr w:type="spellEnd"/>
      <w:r w:rsidR="007C3071" w:rsidRPr="005F6F71">
        <w:rPr>
          <w:i w:val="0"/>
          <w:color w:val="000000"/>
          <w:lang w:val="sk-SK"/>
        </w:rPr>
        <w:t xml:space="preserve"> (</w:t>
      </w:r>
      <w:r w:rsidR="006E1EE3" w:rsidRPr="005F6F71">
        <w:rPr>
          <w:i w:val="0"/>
          <w:color w:val="000000"/>
          <w:lang w:val="sk-SK"/>
        </w:rPr>
        <w:t>E</w:t>
      </w:r>
      <w:r w:rsidR="007C3071" w:rsidRPr="005F6F71">
        <w:rPr>
          <w:i w:val="0"/>
          <w:color w:val="000000"/>
          <w:lang w:val="sk-SK"/>
        </w:rPr>
        <w:t xml:space="preserve"> </w:t>
      </w:r>
      <w:r w:rsidR="006E1EE3" w:rsidRPr="005F6F71">
        <w:rPr>
          <w:i w:val="0"/>
          <w:color w:val="000000"/>
          <w:lang w:val="sk-SK"/>
        </w:rPr>
        <w:t>421</w:t>
      </w:r>
      <w:r w:rsidR="007C3071" w:rsidRPr="005F6F71">
        <w:rPr>
          <w:i w:val="0"/>
          <w:color w:val="000000"/>
          <w:lang w:val="sk-SK"/>
        </w:rPr>
        <w:t>)</w:t>
      </w:r>
    </w:p>
    <w:p w:rsidR="001D29E6" w:rsidRPr="005F6F71" w:rsidRDefault="00D723F7" w:rsidP="00847117">
      <w:pPr>
        <w:rPr>
          <w:color w:val="000000"/>
          <w:lang w:val="sk-SK"/>
        </w:rPr>
      </w:pPr>
      <w:r w:rsidRPr="005F6F71">
        <w:rPr>
          <w:color w:val="000000"/>
          <w:lang w:val="sk-SK"/>
        </w:rPr>
        <w:t>kyselina citrónová bezvodá</w:t>
      </w:r>
    </w:p>
    <w:p w:rsidR="006E1EE3" w:rsidRPr="005F6F71" w:rsidRDefault="006E1EE3" w:rsidP="00847117">
      <w:pPr>
        <w:rPr>
          <w:lang w:val="sk-SK"/>
        </w:rPr>
      </w:pPr>
    </w:p>
    <w:p w:rsidR="001D29E6" w:rsidRPr="005F6F71" w:rsidRDefault="001D29E6" w:rsidP="00847117">
      <w:pPr>
        <w:ind w:left="567" w:hanging="567"/>
        <w:rPr>
          <w:lang w:val="sk-SK"/>
        </w:rPr>
      </w:pPr>
      <w:r w:rsidRPr="005F6F71">
        <w:rPr>
          <w:b/>
          <w:lang w:val="sk-SK"/>
        </w:rPr>
        <w:t>6.2</w:t>
      </w:r>
      <w:r w:rsidRPr="005F6F71">
        <w:rPr>
          <w:b/>
          <w:lang w:val="sk-SK"/>
        </w:rPr>
        <w:tab/>
        <w:t>In</w:t>
      </w:r>
      <w:r w:rsidR="00D723F7" w:rsidRPr="005F6F71">
        <w:rPr>
          <w:b/>
          <w:lang w:val="sk-SK"/>
        </w:rPr>
        <w:t>kompatibility</w:t>
      </w:r>
    </w:p>
    <w:p w:rsidR="001D29E6" w:rsidRPr="005F6F71" w:rsidRDefault="001D29E6" w:rsidP="00847117">
      <w:pPr>
        <w:rPr>
          <w:lang w:val="sk-SK"/>
        </w:rPr>
      </w:pPr>
    </w:p>
    <w:p w:rsidR="001D29E6" w:rsidRPr="005F6F71" w:rsidRDefault="00D723F7" w:rsidP="00847117">
      <w:pPr>
        <w:rPr>
          <w:lang w:val="sk-SK"/>
        </w:rPr>
      </w:pPr>
      <w:r w:rsidRPr="005F6F71">
        <w:rPr>
          <w:lang w:val="sk-SK"/>
        </w:rPr>
        <w:t>Neaplikovateľné</w:t>
      </w:r>
      <w:r w:rsidR="006E1EE3" w:rsidRPr="005F6F71">
        <w:rPr>
          <w:lang w:val="sk-SK"/>
        </w:rPr>
        <w:t>.</w:t>
      </w:r>
    </w:p>
    <w:p w:rsidR="006E1EE3" w:rsidRPr="005F6F71" w:rsidRDefault="006E1EE3" w:rsidP="00847117">
      <w:pPr>
        <w:rPr>
          <w:lang w:val="sk-SK"/>
        </w:rPr>
      </w:pPr>
    </w:p>
    <w:p w:rsidR="001D29E6" w:rsidRPr="005F6F71" w:rsidRDefault="001D29E6" w:rsidP="00847117">
      <w:pPr>
        <w:ind w:left="567" w:hanging="567"/>
        <w:rPr>
          <w:b/>
          <w:lang w:val="sk-SK"/>
        </w:rPr>
      </w:pPr>
      <w:r w:rsidRPr="005F6F71">
        <w:rPr>
          <w:b/>
          <w:lang w:val="sk-SK"/>
        </w:rPr>
        <w:t>6.3</w:t>
      </w:r>
      <w:r w:rsidRPr="005F6F71">
        <w:rPr>
          <w:b/>
          <w:lang w:val="sk-SK"/>
        </w:rPr>
        <w:tab/>
      </w:r>
      <w:r w:rsidR="00D723F7" w:rsidRPr="005F6F71">
        <w:rPr>
          <w:b/>
          <w:lang w:val="sk-SK"/>
        </w:rPr>
        <w:t>Čas použiteľnosti</w:t>
      </w:r>
    </w:p>
    <w:p w:rsidR="00FC34DA" w:rsidRPr="005F6F71" w:rsidRDefault="00FC34DA" w:rsidP="00FC34DA">
      <w:pPr>
        <w:rPr>
          <w:b/>
          <w:lang w:val="sk-SK"/>
        </w:rPr>
      </w:pPr>
    </w:p>
    <w:p w:rsidR="001D29E6" w:rsidRPr="005F6F71" w:rsidRDefault="000F4A51" w:rsidP="00C42BAA">
      <w:pPr>
        <w:ind w:left="567" w:hanging="567"/>
        <w:rPr>
          <w:lang w:val="sk-SK"/>
        </w:rPr>
      </w:pPr>
      <w:r w:rsidRPr="005F6F71">
        <w:rPr>
          <w:lang w:val="sk-SK"/>
        </w:rPr>
        <w:t xml:space="preserve">4 </w:t>
      </w:r>
      <w:r w:rsidR="00D723F7" w:rsidRPr="005F6F71">
        <w:rPr>
          <w:lang w:val="sk-SK"/>
        </w:rPr>
        <w:t>roky</w:t>
      </w:r>
    </w:p>
    <w:p w:rsidR="001D29E6" w:rsidRPr="005F6F71" w:rsidRDefault="001D29E6" w:rsidP="00847117">
      <w:pPr>
        <w:rPr>
          <w:lang w:val="sk-SK"/>
        </w:rPr>
      </w:pPr>
    </w:p>
    <w:p w:rsidR="001D29E6" w:rsidRPr="005F6F71" w:rsidRDefault="001D29E6" w:rsidP="003E646E">
      <w:pPr>
        <w:rPr>
          <w:b/>
          <w:lang w:val="sk-SK"/>
        </w:rPr>
      </w:pPr>
      <w:r w:rsidRPr="005F6F71">
        <w:rPr>
          <w:b/>
          <w:lang w:val="sk-SK"/>
        </w:rPr>
        <w:t>6.4</w:t>
      </w:r>
      <w:r w:rsidRPr="005F6F71">
        <w:rPr>
          <w:b/>
          <w:lang w:val="sk-SK"/>
        </w:rPr>
        <w:tab/>
      </w:r>
      <w:r w:rsidR="00D723F7" w:rsidRPr="005F6F71">
        <w:rPr>
          <w:b/>
          <w:lang w:val="sk-SK"/>
        </w:rPr>
        <w:t>Špeciálne upozornenia na uchovávanie</w:t>
      </w:r>
    </w:p>
    <w:p w:rsidR="00FC34DA" w:rsidRPr="005F6F71" w:rsidRDefault="00FC34DA" w:rsidP="003E646E">
      <w:pPr>
        <w:rPr>
          <w:b/>
          <w:lang w:val="sk-SK"/>
        </w:rPr>
      </w:pPr>
    </w:p>
    <w:p w:rsidR="00A56349" w:rsidRPr="005F6F71" w:rsidRDefault="00D723F7" w:rsidP="00A56349">
      <w:pPr>
        <w:rPr>
          <w:szCs w:val="22"/>
          <w:lang w:val="sk-SK"/>
        </w:rPr>
      </w:pPr>
      <w:r w:rsidRPr="005F6F71">
        <w:rPr>
          <w:szCs w:val="22"/>
          <w:lang w:val="sk-SK"/>
        </w:rPr>
        <w:t>Tento liek nevyžaduje žiadne teplotné podmienky na uchovávanie.</w:t>
      </w:r>
    </w:p>
    <w:p w:rsidR="00D723F7" w:rsidRPr="005F6F71" w:rsidRDefault="00D723F7" w:rsidP="00A56349">
      <w:pPr>
        <w:rPr>
          <w:szCs w:val="22"/>
          <w:lang w:val="sk-SK"/>
        </w:rPr>
      </w:pPr>
      <w:r w:rsidRPr="005F6F71">
        <w:rPr>
          <w:szCs w:val="22"/>
          <w:lang w:val="sk-SK"/>
        </w:rPr>
        <w:t>Uchovávajte v pôvodnom obale na ochranu pred svetlom a vlhkosťou.</w:t>
      </w:r>
    </w:p>
    <w:p w:rsidR="00A56349" w:rsidRPr="005F6F71" w:rsidRDefault="00D723F7" w:rsidP="00A56349">
      <w:pPr>
        <w:rPr>
          <w:szCs w:val="22"/>
          <w:lang w:val="sk-SK"/>
        </w:rPr>
      </w:pPr>
      <w:proofErr w:type="spellStart"/>
      <w:r w:rsidRPr="005F6F71">
        <w:rPr>
          <w:szCs w:val="22"/>
          <w:lang w:val="sk-SK"/>
        </w:rPr>
        <w:t>Lyofilizát</w:t>
      </w:r>
      <w:proofErr w:type="spellEnd"/>
      <w:r w:rsidRPr="005F6F71">
        <w:rPr>
          <w:szCs w:val="22"/>
          <w:lang w:val="sk-SK"/>
        </w:rPr>
        <w:t xml:space="preserve"> užite ihneď po jeho vybratí z </w:t>
      </w:r>
      <w:proofErr w:type="spellStart"/>
      <w:r w:rsidRPr="005F6F71">
        <w:rPr>
          <w:szCs w:val="22"/>
          <w:lang w:val="sk-SK"/>
        </w:rPr>
        <w:t>blistra</w:t>
      </w:r>
      <w:proofErr w:type="spellEnd"/>
      <w:r w:rsidRPr="005F6F71">
        <w:rPr>
          <w:szCs w:val="22"/>
          <w:lang w:val="sk-SK"/>
        </w:rPr>
        <w:t>.</w:t>
      </w:r>
    </w:p>
    <w:p w:rsidR="00FC34DA" w:rsidRPr="005F6F71" w:rsidRDefault="00FC34DA" w:rsidP="00847117">
      <w:pPr>
        <w:rPr>
          <w:lang w:val="sk-SK"/>
        </w:rPr>
      </w:pPr>
    </w:p>
    <w:p w:rsidR="001D29E6" w:rsidRPr="005F6F71" w:rsidRDefault="00D723F7" w:rsidP="00847117">
      <w:pPr>
        <w:numPr>
          <w:ilvl w:val="1"/>
          <w:numId w:val="11"/>
        </w:numPr>
        <w:rPr>
          <w:b/>
          <w:lang w:val="sk-SK"/>
        </w:rPr>
      </w:pPr>
      <w:r w:rsidRPr="005F6F71">
        <w:rPr>
          <w:b/>
          <w:lang w:val="sk-SK"/>
        </w:rPr>
        <w:t>Druh obalu a obsah balenia</w:t>
      </w:r>
    </w:p>
    <w:p w:rsidR="001D29E6" w:rsidRPr="005F6F71" w:rsidRDefault="001D29E6" w:rsidP="00847117">
      <w:pPr>
        <w:rPr>
          <w:lang w:val="sk-SK"/>
        </w:rPr>
      </w:pPr>
    </w:p>
    <w:p w:rsidR="009509BD" w:rsidRPr="005F6F71" w:rsidRDefault="00D723F7" w:rsidP="00847117">
      <w:pPr>
        <w:rPr>
          <w:szCs w:val="22"/>
          <w:lang w:val="sk-SK"/>
        </w:rPr>
      </w:pPr>
      <w:r w:rsidRPr="005F6F71">
        <w:rPr>
          <w:szCs w:val="22"/>
          <w:lang w:val="sk-SK"/>
        </w:rPr>
        <w:t xml:space="preserve">Perforované </w:t>
      </w:r>
      <w:proofErr w:type="spellStart"/>
      <w:r w:rsidRPr="005F6F71">
        <w:rPr>
          <w:szCs w:val="22"/>
          <w:lang w:val="sk-SK"/>
        </w:rPr>
        <w:t>blistre</w:t>
      </w:r>
      <w:proofErr w:type="spellEnd"/>
      <w:r w:rsidRPr="005F6F71">
        <w:rPr>
          <w:szCs w:val="22"/>
          <w:lang w:val="sk-SK"/>
        </w:rPr>
        <w:t xml:space="preserve"> balen</w:t>
      </w:r>
      <w:r w:rsidR="009509BD" w:rsidRPr="005F6F71">
        <w:rPr>
          <w:szCs w:val="22"/>
          <w:lang w:val="sk-SK"/>
        </w:rPr>
        <w:t>é</w:t>
      </w:r>
      <w:r w:rsidRPr="005F6F71">
        <w:rPr>
          <w:szCs w:val="22"/>
          <w:lang w:val="sk-SK"/>
        </w:rPr>
        <w:t xml:space="preserve"> v škatuľke. Spodná a vrchná </w:t>
      </w:r>
      <w:r w:rsidR="00561EB3" w:rsidRPr="005F6F71">
        <w:rPr>
          <w:szCs w:val="22"/>
          <w:lang w:val="sk-SK"/>
        </w:rPr>
        <w:t>fólia</w:t>
      </w:r>
      <w:r w:rsidRPr="005F6F71">
        <w:rPr>
          <w:szCs w:val="22"/>
          <w:lang w:val="sk-SK"/>
        </w:rPr>
        <w:t xml:space="preserve"> </w:t>
      </w:r>
      <w:proofErr w:type="spellStart"/>
      <w:r w:rsidRPr="005F6F71">
        <w:rPr>
          <w:szCs w:val="22"/>
          <w:lang w:val="sk-SK"/>
        </w:rPr>
        <w:t>blistra</w:t>
      </w:r>
      <w:proofErr w:type="spellEnd"/>
      <w:r w:rsidRPr="005F6F71">
        <w:rPr>
          <w:szCs w:val="22"/>
          <w:lang w:val="sk-SK"/>
        </w:rPr>
        <w:t xml:space="preserve"> sú </w:t>
      </w:r>
      <w:r w:rsidR="009509BD" w:rsidRPr="005F6F71">
        <w:rPr>
          <w:szCs w:val="22"/>
          <w:lang w:val="sk-SK"/>
        </w:rPr>
        <w:t xml:space="preserve">viacvrstvové lamináty </w:t>
      </w:r>
      <w:r w:rsidR="00EA222B" w:rsidRPr="005F6F71">
        <w:rPr>
          <w:szCs w:val="22"/>
          <w:lang w:val="sk-SK"/>
        </w:rPr>
        <w:t>obsahujúce</w:t>
      </w:r>
      <w:r w:rsidR="009509BD" w:rsidRPr="005F6F71">
        <w:rPr>
          <w:szCs w:val="22"/>
          <w:lang w:val="sk-SK"/>
        </w:rPr>
        <w:t> PVC/OPA/</w:t>
      </w:r>
      <w:proofErr w:type="spellStart"/>
      <w:r w:rsidR="009509BD" w:rsidRPr="005F6F71">
        <w:rPr>
          <w:szCs w:val="22"/>
          <w:lang w:val="sk-SK"/>
        </w:rPr>
        <w:t>Alu</w:t>
      </w:r>
      <w:proofErr w:type="spellEnd"/>
      <w:r w:rsidR="009509BD" w:rsidRPr="005F6F71">
        <w:rPr>
          <w:szCs w:val="22"/>
          <w:lang w:val="sk-SK"/>
        </w:rPr>
        <w:t>/OPA/PVC</w:t>
      </w:r>
      <w:r w:rsidR="00EA222B" w:rsidRPr="005F6F71">
        <w:rPr>
          <w:szCs w:val="22"/>
          <w:lang w:val="sk-SK"/>
        </w:rPr>
        <w:t>, respektíve</w:t>
      </w:r>
      <w:r w:rsidR="009509BD" w:rsidRPr="005F6F71">
        <w:rPr>
          <w:szCs w:val="22"/>
          <w:lang w:val="sk-SK"/>
        </w:rPr>
        <w:t xml:space="preserve"> </w:t>
      </w:r>
      <w:r w:rsidR="00561EB3" w:rsidRPr="005F6F71">
        <w:rPr>
          <w:szCs w:val="22"/>
          <w:lang w:val="sk-SK"/>
        </w:rPr>
        <w:t>tep</w:t>
      </w:r>
      <w:r w:rsidR="00EA222B" w:rsidRPr="005F6F71">
        <w:rPr>
          <w:szCs w:val="22"/>
          <w:lang w:val="sk-SK"/>
        </w:rPr>
        <w:t xml:space="preserve">elne utesnený </w:t>
      </w:r>
      <w:r w:rsidR="00561EB3" w:rsidRPr="005F6F71">
        <w:rPr>
          <w:szCs w:val="22"/>
          <w:lang w:val="sk-SK"/>
        </w:rPr>
        <w:t>lak</w:t>
      </w:r>
      <w:r w:rsidR="00EA222B" w:rsidRPr="005F6F71">
        <w:rPr>
          <w:szCs w:val="22"/>
          <w:lang w:val="sk-SK"/>
        </w:rPr>
        <w:t xml:space="preserve">ový </w:t>
      </w:r>
      <w:r w:rsidR="00561EB3" w:rsidRPr="005F6F71">
        <w:rPr>
          <w:szCs w:val="22"/>
          <w:lang w:val="sk-SK"/>
        </w:rPr>
        <w:t>/</w:t>
      </w:r>
      <w:proofErr w:type="spellStart"/>
      <w:r w:rsidR="00561EB3" w:rsidRPr="005F6F71">
        <w:rPr>
          <w:szCs w:val="22"/>
          <w:lang w:val="sk-SK"/>
        </w:rPr>
        <w:t>Alu</w:t>
      </w:r>
      <w:proofErr w:type="spellEnd"/>
      <w:r w:rsidR="00561EB3" w:rsidRPr="005F6F71">
        <w:rPr>
          <w:szCs w:val="22"/>
          <w:lang w:val="sk-SK"/>
        </w:rPr>
        <w:t>/PET/papier.</w:t>
      </w:r>
    </w:p>
    <w:p w:rsidR="007C3071" w:rsidRPr="005F6F71" w:rsidRDefault="007C3071" w:rsidP="00847117">
      <w:pPr>
        <w:rPr>
          <w:szCs w:val="22"/>
          <w:lang w:val="sk-SK"/>
        </w:rPr>
      </w:pPr>
    </w:p>
    <w:p w:rsidR="007C3071" w:rsidRPr="005F6F71" w:rsidRDefault="00561EB3" w:rsidP="00847117">
      <w:pPr>
        <w:rPr>
          <w:szCs w:val="22"/>
          <w:u w:val="single"/>
          <w:lang w:val="sk-SK"/>
        </w:rPr>
      </w:pPr>
      <w:r w:rsidRPr="005F6F71">
        <w:rPr>
          <w:szCs w:val="22"/>
          <w:u w:val="single"/>
          <w:lang w:val="sk-SK"/>
        </w:rPr>
        <w:t>Veľkosť balenia</w:t>
      </w:r>
      <w:r w:rsidR="007C3071" w:rsidRPr="005F6F71">
        <w:rPr>
          <w:szCs w:val="22"/>
          <w:u w:val="single"/>
          <w:lang w:val="sk-SK"/>
        </w:rPr>
        <w:t>:</w:t>
      </w:r>
    </w:p>
    <w:p w:rsidR="00FC34DA" w:rsidRPr="005F6F71" w:rsidRDefault="00873153" w:rsidP="00847117">
      <w:pPr>
        <w:rPr>
          <w:szCs w:val="22"/>
          <w:lang w:val="sk-SK"/>
        </w:rPr>
      </w:pPr>
      <w:r w:rsidRPr="005F6F71">
        <w:rPr>
          <w:szCs w:val="22"/>
          <w:lang w:val="sk-SK"/>
        </w:rPr>
        <w:t xml:space="preserve">10x1, 30x1, 90x1 </w:t>
      </w:r>
      <w:r w:rsidR="00F764BB">
        <w:rPr>
          <w:szCs w:val="22"/>
          <w:lang w:val="sk-SK"/>
        </w:rPr>
        <w:t>alebo</w:t>
      </w:r>
      <w:r w:rsidRPr="005F6F71">
        <w:rPr>
          <w:szCs w:val="22"/>
          <w:lang w:val="sk-SK"/>
        </w:rPr>
        <w:t xml:space="preserve"> 100x1</w:t>
      </w:r>
      <w:r w:rsidR="00145B54" w:rsidRPr="005F6F71">
        <w:rPr>
          <w:szCs w:val="22"/>
          <w:lang w:val="sk-SK"/>
        </w:rPr>
        <w:t xml:space="preserve"> </w:t>
      </w:r>
      <w:r w:rsidR="00561EB3" w:rsidRPr="005F6F71">
        <w:rPr>
          <w:szCs w:val="22"/>
          <w:lang w:val="sk-SK"/>
        </w:rPr>
        <w:t xml:space="preserve">perorálnych </w:t>
      </w:r>
      <w:proofErr w:type="spellStart"/>
      <w:r w:rsidR="00561EB3" w:rsidRPr="005F6F71">
        <w:rPr>
          <w:szCs w:val="22"/>
          <w:lang w:val="sk-SK"/>
        </w:rPr>
        <w:t>lyofilizátov</w:t>
      </w:r>
      <w:proofErr w:type="spellEnd"/>
    </w:p>
    <w:p w:rsidR="002A66C3" w:rsidRPr="005F6F71" w:rsidRDefault="002A66C3" w:rsidP="00847117">
      <w:pPr>
        <w:rPr>
          <w:lang w:val="sk-SK"/>
        </w:rPr>
      </w:pPr>
    </w:p>
    <w:p w:rsidR="000A684F" w:rsidRPr="005F6F71" w:rsidRDefault="00561EB3" w:rsidP="00847117">
      <w:pPr>
        <w:rPr>
          <w:lang w:val="sk-SK"/>
        </w:rPr>
      </w:pPr>
      <w:r w:rsidRPr="005F6F71">
        <w:rPr>
          <w:lang w:val="sk-SK"/>
        </w:rPr>
        <w:t>Na trh nemusia byť uvedené všetky veľkosti balenia</w:t>
      </w:r>
      <w:r w:rsidR="000A684F" w:rsidRPr="005F6F71">
        <w:rPr>
          <w:lang w:val="sk-SK"/>
        </w:rPr>
        <w:t>.</w:t>
      </w:r>
    </w:p>
    <w:p w:rsidR="000A684F" w:rsidRPr="005F6F71" w:rsidRDefault="000A684F" w:rsidP="00847117">
      <w:pPr>
        <w:rPr>
          <w:lang w:val="sk-SK"/>
        </w:rPr>
      </w:pPr>
    </w:p>
    <w:p w:rsidR="001D29E6" w:rsidRPr="005F6F71" w:rsidRDefault="001D29E6" w:rsidP="00847117">
      <w:pPr>
        <w:ind w:left="567" w:hanging="567"/>
        <w:outlineLvl w:val="0"/>
        <w:rPr>
          <w:lang w:val="sk-SK"/>
        </w:rPr>
      </w:pPr>
      <w:r w:rsidRPr="005F6F71">
        <w:rPr>
          <w:b/>
          <w:lang w:val="sk-SK"/>
        </w:rPr>
        <w:t>6.6</w:t>
      </w:r>
      <w:r w:rsidRPr="005F6F71">
        <w:rPr>
          <w:b/>
          <w:lang w:val="sk-SK"/>
        </w:rPr>
        <w:tab/>
      </w:r>
      <w:r w:rsidR="00561EB3" w:rsidRPr="005F6F71">
        <w:rPr>
          <w:b/>
          <w:lang w:val="sk-SK"/>
        </w:rPr>
        <w:t>Špeciálne opatrenia na likvidáciu a iné zaobchádzanie s liekom</w:t>
      </w:r>
    </w:p>
    <w:p w:rsidR="001D29E6" w:rsidRPr="005F6F71" w:rsidRDefault="001D29E6" w:rsidP="00847117">
      <w:pPr>
        <w:rPr>
          <w:lang w:val="sk-SK"/>
        </w:rPr>
      </w:pPr>
    </w:p>
    <w:p w:rsidR="005E366B" w:rsidRPr="005F6F71" w:rsidRDefault="00561EB3" w:rsidP="00847117">
      <w:pPr>
        <w:rPr>
          <w:lang w:val="sk-SK"/>
        </w:rPr>
      </w:pPr>
      <w:r w:rsidRPr="005F6F71">
        <w:rPr>
          <w:lang w:val="sk-SK"/>
        </w:rPr>
        <w:t>Žiadne zvláštne požiadavky.</w:t>
      </w:r>
    </w:p>
    <w:p w:rsidR="00561EB3" w:rsidRPr="005F6F71" w:rsidRDefault="00561EB3" w:rsidP="00847117">
      <w:pPr>
        <w:rPr>
          <w:noProof/>
          <w:szCs w:val="22"/>
          <w:lang w:val="sk-SK"/>
        </w:rPr>
      </w:pPr>
    </w:p>
    <w:p w:rsidR="00561EB3" w:rsidRPr="005F6F71" w:rsidRDefault="00561EB3" w:rsidP="00847117">
      <w:pPr>
        <w:rPr>
          <w:noProof/>
          <w:szCs w:val="22"/>
          <w:lang w:val="sk-SK"/>
        </w:rPr>
      </w:pPr>
      <w:r w:rsidRPr="005F6F71">
        <w:rPr>
          <w:noProof/>
          <w:szCs w:val="22"/>
          <w:lang w:val="sk-SK"/>
        </w:rPr>
        <w:t xml:space="preserve">Všetok nepoužitý </w:t>
      </w:r>
      <w:r w:rsidR="00B05141" w:rsidRPr="005F6F71">
        <w:rPr>
          <w:noProof/>
          <w:szCs w:val="22"/>
          <w:lang w:val="sk-SK"/>
        </w:rPr>
        <w:t>li</w:t>
      </w:r>
      <w:r w:rsidRPr="005F6F71">
        <w:rPr>
          <w:noProof/>
          <w:szCs w:val="22"/>
          <w:lang w:val="sk-SK"/>
        </w:rPr>
        <w:t>e</w:t>
      </w:r>
      <w:r w:rsidR="00B05141" w:rsidRPr="005F6F71">
        <w:rPr>
          <w:noProof/>
          <w:szCs w:val="22"/>
          <w:lang w:val="sk-SK"/>
        </w:rPr>
        <w:t>k</w:t>
      </w:r>
      <w:r w:rsidRPr="005F6F71">
        <w:rPr>
          <w:noProof/>
          <w:szCs w:val="22"/>
          <w:lang w:val="sk-SK"/>
        </w:rPr>
        <w:t xml:space="preserve"> alebo odpad vzniknutý z lieku sa má zlikvidovať v súlade s národnými požiadavkami.</w:t>
      </w:r>
    </w:p>
    <w:p w:rsidR="00CA13B2" w:rsidRPr="005F6F71" w:rsidRDefault="00CA13B2" w:rsidP="00847117">
      <w:pPr>
        <w:rPr>
          <w:lang w:val="sk-SK"/>
        </w:rPr>
      </w:pPr>
    </w:p>
    <w:p w:rsidR="001D29E6" w:rsidRPr="005F6F71" w:rsidRDefault="001D29E6" w:rsidP="00847117">
      <w:pPr>
        <w:rPr>
          <w:lang w:val="sk-SK"/>
        </w:rPr>
      </w:pPr>
    </w:p>
    <w:p w:rsidR="001D29E6" w:rsidRPr="005F6F71" w:rsidRDefault="001D29E6" w:rsidP="00847117">
      <w:pPr>
        <w:ind w:left="567" w:hanging="567"/>
        <w:rPr>
          <w:lang w:val="sk-SK"/>
        </w:rPr>
      </w:pPr>
      <w:r w:rsidRPr="005F6F71">
        <w:rPr>
          <w:b/>
          <w:lang w:val="sk-SK"/>
        </w:rPr>
        <w:t>7.</w:t>
      </w:r>
      <w:r w:rsidRPr="005F6F71">
        <w:rPr>
          <w:b/>
          <w:lang w:val="sk-SK"/>
        </w:rPr>
        <w:tab/>
      </w:r>
      <w:r w:rsidR="00561EB3" w:rsidRPr="005F6F71">
        <w:rPr>
          <w:b/>
          <w:lang w:val="sk-SK"/>
        </w:rPr>
        <w:t>DRŽITEĽ ROZHODNUTIA O REGISTRÁCII</w:t>
      </w:r>
    </w:p>
    <w:p w:rsidR="001D29E6" w:rsidRPr="005F6F71" w:rsidRDefault="001D29E6" w:rsidP="00847117">
      <w:pPr>
        <w:rPr>
          <w:lang w:val="sk-SK"/>
        </w:rPr>
      </w:pPr>
    </w:p>
    <w:p w:rsidR="007A2503" w:rsidRPr="005F6F71" w:rsidRDefault="00561EB3" w:rsidP="00847117">
      <w:pPr>
        <w:rPr>
          <w:lang w:val="sk-SK"/>
        </w:rPr>
      </w:pPr>
      <w:r w:rsidRPr="005F6F71">
        <w:rPr>
          <w:lang w:val="sk-SK"/>
        </w:rPr>
        <w:t>FERRING Slovakia s.r.o.</w:t>
      </w:r>
    </w:p>
    <w:p w:rsidR="00A312F9" w:rsidRDefault="006B06C6" w:rsidP="00847117">
      <w:pPr>
        <w:rPr>
          <w:lang w:val="sk-SK"/>
        </w:rPr>
      </w:pPr>
      <w:r>
        <w:rPr>
          <w:lang w:val="sk-SK"/>
        </w:rPr>
        <w:t>Prievozská 4D, Blok E</w:t>
      </w:r>
    </w:p>
    <w:p w:rsidR="00561EB3" w:rsidRPr="005F6F71" w:rsidRDefault="00561EB3" w:rsidP="00847117">
      <w:pPr>
        <w:rPr>
          <w:lang w:val="sk-SK"/>
        </w:rPr>
      </w:pPr>
      <w:r w:rsidRPr="005F6F71">
        <w:rPr>
          <w:lang w:val="sk-SK"/>
        </w:rPr>
        <w:t>821 0</w:t>
      </w:r>
      <w:r w:rsidR="006B06C6">
        <w:rPr>
          <w:lang w:val="sk-SK"/>
        </w:rPr>
        <w:t>9</w:t>
      </w:r>
      <w:r w:rsidRPr="005F6F71">
        <w:rPr>
          <w:lang w:val="sk-SK"/>
        </w:rPr>
        <w:t xml:space="preserve"> Bratislava</w:t>
      </w:r>
    </w:p>
    <w:p w:rsidR="00561EB3" w:rsidRPr="005F6F71" w:rsidRDefault="00561EB3" w:rsidP="00847117">
      <w:pPr>
        <w:rPr>
          <w:lang w:val="sk-SK"/>
        </w:rPr>
      </w:pPr>
      <w:r w:rsidRPr="005F6F71">
        <w:rPr>
          <w:lang w:val="sk-SK"/>
        </w:rPr>
        <w:t>Slovenská republika</w:t>
      </w:r>
    </w:p>
    <w:p w:rsidR="00561EB3" w:rsidRPr="005F6F71" w:rsidRDefault="00561EB3" w:rsidP="00847117">
      <w:pPr>
        <w:rPr>
          <w:lang w:val="sk-SK"/>
        </w:rPr>
      </w:pPr>
    </w:p>
    <w:p w:rsidR="001D29E6" w:rsidRPr="005F6F71" w:rsidRDefault="001D29E6" w:rsidP="00847117">
      <w:pPr>
        <w:rPr>
          <w:lang w:val="sk-SK"/>
        </w:rPr>
      </w:pPr>
    </w:p>
    <w:p w:rsidR="001D29E6" w:rsidRPr="005F6F71" w:rsidRDefault="001D29E6" w:rsidP="00847117">
      <w:pPr>
        <w:ind w:left="567" w:hanging="567"/>
        <w:rPr>
          <w:b/>
          <w:lang w:val="sk-SK"/>
        </w:rPr>
      </w:pPr>
      <w:r w:rsidRPr="005F6F71">
        <w:rPr>
          <w:b/>
          <w:lang w:val="sk-SK"/>
        </w:rPr>
        <w:t>8.</w:t>
      </w:r>
      <w:r w:rsidRPr="005F6F71">
        <w:rPr>
          <w:b/>
          <w:lang w:val="sk-SK"/>
        </w:rPr>
        <w:tab/>
      </w:r>
      <w:r w:rsidR="00561EB3" w:rsidRPr="005F6F71">
        <w:rPr>
          <w:b/>
          <w:lang w:val="sk-SK"/>
        </w:rPr>
        <w:t xml:space="preserve">REGISTRAČNÉ ČÍSLA </w:t>
      </w:r>
    </w:p>
    <w:p w:rsidR="001D29E6" w:rsidRPr="005F6F71" w:rsidRDefault="001D29E6" w:rsidP="00847117">
      <w:pPr>
        <w:rPr>
          <w:i/>
          <w:lang w:val="sk-SK"/>
        </w:rPr>
      </w:pPr>
    </w:p>
    <w:p w:rsidR="00C046C4" w:rsidRPr="005F6F71" w:rsidRDefault="00C046C4" w:rsidP="00C046C4">
      <w:pPr>
        <w:rPr>
          <w:noProof/>
          <w:lang w:val="sk-SK"/>
        </w:rPr>
      </w:pPr>
      <w:proofErr w:type="spellStart"/>
      <w:r w:rsidRPr="005F6F71">
        <w:rPr>
          <w:lang w:val="sk-SK"/>
        </w:rPr>
        <w:t>Nocdurna</w:t>
      </w:r>
      <w:proofErr w:type="spellEnd"/>
      <w:r w:rsidRPr="005F6F71">
        <w:rPr>
          <w:lang w:val="sk-SK"/>
        </w:rPr>
        <w:t xml:space="preserve"> 25 mikrogramov</w:t>
      </w:r>
      <w:r w:rsidR="007251C9">
        <w:rPr>
          <w:lang w:val="sk-SK"/>
        </w:rPr>
        <w:t>:</w:t>
      </w:r>
      <w:r w:rsidR="007251C9" w:rsidRPr="007251C9">
        <w:rPr>
          <w:lang w:val="sk-SK"/>
        </w:rPr>
        <w:t>56/0287/16-S</w:t>
      </w:r>
    </w:p>
    <w:p w:rsidR="00C046C4" w:rsidRPr="005F6F71" w:rsidRDefault="00C046C4" w:rsidP="00C046C4">
      <w:pPr>
        <w:tabs>
          <w:tab w:val="clear" w:pos="567"/>
        </w:tabs>
        <w:spacing w:line="240" w:lineRule="auto"/>
        <w:rPr>
          <w:noProof/>
          <w:lang w:val="sk-SK"/>
        </w:rPr>
      </w:pPr>
      <w:r w:rsidRPr="005F6F71">
        <w:rPr>
          <w:noProof/>
          <w:lang w:val="sk-SK"/>
        </w:rPr>
        <w:t>Nocdurna 50 mikrogramov</w:t>
      </w:r>
      <w:r w:rsidR="007251C9">
        <w:rPr>
          <w:noProof/>
          <w:lang w:val="sk-SK"/>
        </w:rPr>
        <w:t xml:space="preserve">: </w:t>
      </w:r>
      <w:r w:rsidR="007251C9" w:rsidRPr="007251C9">
        <w:rPr>
          <w:noProof/>
          <w:lang w:val="sk-SK"/>
        </w:rPr>
        <w:t>56/028</w:t>
      </w:r>
      <w:r w:rsidR="007251C9">
        <w:rPr>
          <w:noProof/>
          <w:lang w:val="sk-SK"/>
        </w:rPr>
        <w:t>8</w:t>
      </w:r>
      <w:r w:rsidR="007251C9" w:rsidRPr="007251C9">
        <w:rPr>
          <w:noProof/>
          <w:lang w:val="sk-SK"/>
        </w:rPr>
        <w:t>/16-S</w:t>
      </w:r>
    </w:p>
    <w:p w:rsidR="001D29E6" w:rsidRPr="005F6F71" w:rsidRDefault="001D29E6" w:rsidP="00847117">
      <w:pPr>
        <w:rPr>
          <w:lang w:val="sk-SK"/>
        </w:rPr>
      </w:pPr>
    </w:p>
    <w:p w:rsidR="001D29E6" w:rsidRPr="005F6F71" w:rsidRDefault="001D29E6" w:rsidP="00847117">
      <w:pPr>
        <w:rPr>
          <w:lang w:val="sk-SK"/>
        </w:rPr>
      </w:pPr>
    </w:p>
    <w:p w:rsidR="001D29E6" w:rsidRPr="005F6F71" w:rsidRDefault="001D29E6" w:rsidP="00847117">
      <w:pPr>
        <w:ind w:left="567" w:hanging="567"/>
        <w:rPr>
          <w:lang w:val="sk-SK"/>
        </w:rPr>
      </w:pPr>
      <w:r w:rsidRPr="005F6F71">
        <w:rPr>
          <w:b/>
          <w:lang w:val="sk-SK"/>
        </w:rPr>
        <w:t>9.</w:t>
      </w:r>
      <w:r w:rsidRPr="005F6F71">
        <w:rPr>
          <w:b/>
          <w:lang w:val="sk-SK"/>
        </w:rPr>
        <w:tab/>
      </w:r>
      <w:r w:rsidR="00561EB3" w:rsidRPr="005F6F71">
        <w:rPr>
          <w:b/>
          <w:lang w:val="sk-SK"/>
        </w:rPr>
        <w:t>DÁTUM PRVEJ REGISTRÁCIE/PREDĹŽENIA REGISTRÁCIE</w:t>
      </w:r>
    </w:p>
    <w:p w:rsidR="001D29E6" w:rsidRPr="005F6F71" w:rsidRDefault="001D29E6" w:rsidP="00847117">
      <w:pPr>
        <w:rPr>
          <w:i/>
          <w:lang w:val="sk-SK"/>
        </w:rPr>
      </w:pPr>
    </w:p>
    <w:p w:rsidR="00167629" w:rsidRPr="006F0EE8" w:rsidRDefault="00561EB3" w:rsidP="00847117">
      <w:pPr>
        <w:rPr>
          <w:i/>
          <w:noProof/>
          <w:szCs w:val="22"/>
          <w:lang w:val="sk-SK"/>
        </w:rPr>
      </w:pPr>
      <w:r w:rsidRPr="006F0EE8">
        <w:rPr>
          <w:noProof/>
          <w:szCs w:val="22"/>
          <w:lang w:val="sk-SK"/>
        </w:rPr>
        <w:t>Dátum prvej registrácie:</w:t>
      </w:r>
      <w:r w:rsidR="006F0EE8">
        <w:rPr>
          <w:noProof/>
          <w:szCs w:val="22"/>
          <w:lang w:val="sk-SK"/>
        </w:rPr>
        <w:t xml:space="preserve"> </w:t>
      </w:r>
      <w:bookmarkStart w:id="1" w:name="_GoBack"/>
      <w:bookmarkEnd w:id="1"/>
      <w:r w:rsidR="006F0EE8">
        <w:rPr>
          <w:noProof/>
          <w:szCs w:val="22"/>
          <w:lang w:val="sk-SK"/>
        </w:rPr>
        <w:t>20. Júna 2016</w:t>
      </w:r>
    </w:p>
    <w:p w:rsidR="001D29E6" w:rsidRPr="005F6F71" w:rsidRDefault="001D29E6" w:rsidP="00847117">
      <w:pPr>
        <w:rPr>
          <w:iCs/>
          <w:lang w:val="sk-SK"/>
        </w:rPr>
      </w:pPr>
    </w:p>
    <w:p w:rsidR="001D29E6" w:rsidRPr="005F6F71" w:rsidRDefault="001D29E6" w:rsidP="00847117">
      <w:pPr>
        <w:rPr>
          <w:lang w:val="sk-SK"/>
        </w:rPr>
      </w:pPr>
    </w:p>
    <w:p w:rsidR="007C498C" w:rsidRPr="005F6F71" w:rsidRDefault="007C498C" w:rsidP="00847117">
      <w:pPr>
        <w:rPr>
          <w:lang w:val="sk-SK"/>
        </w:rPr>
      </w:pPr>
    </w:p>
    <w:p w:rsidR="001D29E6" w:rsidRPr="005F6F71" w:rsidRDefault="001D29E6" w:rsidP="00847117">
      <w:pPr>
        <w:ind w:left="567" w:hanging="567"/>
        <w:rPr>
          <w:b/>
          <w:lang w:val="sk-SK"/>
        </w:rPr>
      </w:pPr>
      <w:r w:rsidRPr="005F6F71">
        <w:rPr>
          <w:b/>
          <w:lang w:val="sk-SK"/>
        </w:rPr>
        <w:t>10.</w:t>
      </w:r>
      <w:r w:rsidRPr="005F6F71">
        <w:rPr>
          <w:b/>
          <w:lang w:val="sk-SK"/>
        </w:rPr>
        <w:tab/>
      </w:r>
      <w:r w:rsidR="00561EB3" w:rsidRPr="005F6F71">
        <w:rPr>
          <w:b/>
          <w:lang w:val="sk-SK"/>
        </w:rPr>
        <w:t>DATUM REVÍZIE TEXTU</w:t>
      </w:r>
    </w:p>
    <w:p w:rsidR="005E366B" w:rsidRDefault="005E366B" w:rsidP="00847117">
      <w:pPr>
        <w:numPr>
          <w:ilvl w:val="12"/>
          <w:numId w:val="0"/>
        </w:numPr>
        <w:ind w:right="-2"/>
        <w:rPr>
          <w:lang w:val="sk-SK"/>
        </w:rPr>
      </w:pPr>
    </w:p>
    <w:p w:rsidR="00EB6D17" w:rsidRDefault="00FF0F4F" w:rsidP="00847117">
      <w:pPr>
        <w:numPr>
          <w:ilvl w:val="12"/>
          <w:numId w:val="0"/>
        </w:numPr>
        <w:ind w:right="-2"/>
        <w:rPr>
          <w:lang w:val="sk-SK"/>
        </w:rPr>
      </w:pPr>
      <w:r>
        <w:rPr>
          <w:lang w:val="sk-SK"/>
        </w:rPr>
        <w:t>01/</w:t>
      </w:r>
      <w:r w:rsidR="006B06C6">
        <w:rPr>
          <w:lang w:val="sk-SK"/>
        </w:rPr>
        <w:t>202</w:t>
      </w:r>
      <w:r>
        <w:rPr>
          <w:lang w:val="sk-SK"/>
        </w:rPr>
        <w:t>1</w:t>
      </w:r>
    </w:p>
    <w:p w:rsidR="00EB6D17" w:rsidRPr="005F6F71" w:rsidRDefault="00EB6D17" w:rsidP="00847117">
      <w:pPr>
        <w:numPr>
          <w:ilvl w:val="12"/>
          <w:numId w:val="0"/>
        </w:numPr>
        <w:ind w:right="-2"/>
        <w:rPr>
          <w:lang w:val="sk-SK"/>
        </w:rPr>
      </w:pPr>
    </w:p>
    <w:sectPr w:rsidR="00EB6D17" w:rsidRPr="005F6F71" w:rsidSect="00561EB3">
      <w:headerReference w:type="default" r:id="rId12"/>
      <w:footerReference w:type="default" r:id="rId13"/>
      <w:footerReference w:type="first" r:id="rId14"/>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1BE" w:rsidRDefault="00E101BE">
      <w:r>
        <w:separator/>
      </w:r>
    </w:p>
  </w:endnote>
  <w:endnote w:type="continuationSeparator" w:id="0">
    <w:p w:rsidR="00E101BE" w:rsidRDefault="00E1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8A4" w:rsidRPr="00561EB3" w:rsidRDefault="00781F98">
    <w:pPr>
      <w:pStyle w:val="Pta"/>
      <w:tabs>
        <w:tab w:val="clear" w:pos="8930"/>
        <w:tab w:val="right" w:pos="8931"/>
      </w:tabs>
      <w:ind w:right="96"/>
      <w:jc w:val="center"/>
      <w:rPr>
        <w:rFonts w:ascii="Times New Roman" w:hAnsi="Times New Roman"/>
        <w:sz w:val="18"/>
        <w:szCs w:val="18"/>
      </w:rPr>
    </w:pPr>
    <w:r w:rsidRPr="000C1913">
      <w:rPr>
        <w:rFonts w:ascii="Arial" w:hAnsi="Arial" w:cs="Arial"/>
      </w:rPr>
      <w:fldChar w:fldCharType="begin"/>
    </w:r>
    <w:r w:rsidR="00F858A4" w:rsidRPr="000C1913">
      <w:rPr>
        <w:rFonts w:ascii="Arial" w:hAnsi="Arial" w:cs="Arial"/>
      </w:rPr>
      <w:instrText xml:space="preserve"> EQ </w:instrText>
    </w:r>
    <w:r w:rsidRPr="000C1913">
      <w:rPr>
        <w:rFonts w:ascii="Arial" w:hAnsi="Arial" w:cs="Arial"/>
      </w:rPr>
      <w:fldChar w:fldCharType="end"/>
    </w:r>
    <w:r w:rsidRPr="00561EB3">
      <w:rPr>
        <w:rStyle w:val="slostrany"/>
        <w:rFonts w:ascii="Times New Roman" w:hAnsi="Times New Roman"/>
        <w:sz w:val="18"/>
        <w:szCs w:val="18"/>
      </w:rPr>
      <w:fldChar w:fldCharType="begin"/>
    </w:r>
    <w:r w:rsidR="00F858A4" w:rsidRPr="00561EB3">
      <w:rPr>
        <w:rStyle w:val="slostrany"/>
        <w:rFonts w:ascii="Times New Roman" w:hAnsi="Times New Roman"/>
        <w:sz w:val="18"/>
        <w:szCs w:val="18"/>
      </w:rPr>
      <w:instrText xml:space="preserve">PAGE  </w:instrText>
    </w:r>
    <w:r w:rsidRPr="00561EB3">
      <w:rPr>
        <w:rStyle w:val="slostrany"/>
        <w:rFonts w:ascii="Times New Roman" w:hAnsi="Times New Roman"/>
        <w:sz w:val="18"/>
        <w:szCs w:val="18"/>
      </w:rPr>
      <w:fldChar w:fldCharType="separate"/>
    </w:r>
    <w:r w:rsidR="006F0EE8">
      <w:rPr>
        <w:rStyle w:val="slostrany"/>
        <w:rFonts w:ascii="Times New Roman" w:hAnsi="Times New Roman"/>
        <w:noProof/>
        <w:sz w:val="18"/>
        <w:szCs w:val="18"/>
      </w:rPr>
      <w:t>10</w:t>
    </w:r>
    <w:r w:rsidRPr="00561EB3">
      <w:rPr>
        <w:rStyle w:val="slostrany"/>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8A4" w:rsidRPr="00561EB3" w:rsidRDefault="00781F98">
    <w:pPr>
      <w:pStyle w:val="Pta"/>
      <w:tabs>
        <w:tab w:val="clear" w:pos="8930"/>
        <w:tab w:val="right" w:pos="8931"/>
      </w:tabs>
      <w:ind w:right="96"/>
      <w:jc w:val="center"/>
      <w:rPr>
        <w:rFonts w:ascii="Times New Roman" w:hAnsi="Times New Roman"/>
        <w:sz w:val="18"/>
        <w:szCs w:val="18"/>
      </w:rPr>
    </w:pPr>
    <w:r w:rsidRPr="000C1913">
      <w:rPr>
        <w:rFonts w:ascii="Arial" w:hAnsi="Arial" w:cs="Arial"/>
      </w:rPr>
      <w:fldChar w:fldCharType="begin"/>
    </w:r>
    <w:r w:rsidR="00F858A4" w:rsidRPr="000C1913">
      <w:rPr>
        <w:rFonts w:ascii="Arial" w:hAnsi="Arial" w:cs="Arial"/>
      </w:rPr>
      <w:instrText xml:space="preserve"> EQ </w:instrText>
    </w:r>
    <w:r w:rsidRPr="000C1913">
      <w:rPr>
        <w:rFonts w:ascii="Arial" w:hAnsi="Arial" w:cs="Arial"/>
      </w:rPr>
      <w:fldChar w:fldCharType="end"/>
    </w:r>
    <w:r w:rsidRPr="00561EB3">
      <w:rPr>
        <w:rStyle w:val="slostrany"/>
        <w:rFonts w:ascii="Times New Roman" w:hAnsi="Times New Roman"/>
        <w:sz w:val="18"/>
        <w:szCs w:val="18"/>
      </w:rPr>
      <w:fldChar w:fldCharType="begin"/>
    </w:r>
    <w:r w:rsidR="00F858A4" w:rsidRPr="00561EB3">
      <w:rPr>
        <w:rStyle w:val="slostrany"/>
        <w:rFonts w:ascii="Times New Roman" w:hAnsi="Times New Roman"/>
        <w:sz w:val="18"/>
        <w:szCs w:val="18"/>
      </w:rPr>
      <w:instrText xml:space="preserve">PAGE  </w:instrText>
    </w:r>
    <w:r w:rsidRPr="00561EB3">
      <w:rPr>
        <w:rStyle w:val="slostrany"/>
        <w:rFonts w:ascii="Times New Roman" w:hAnsi="Times New Roman"/>
        <w:sz w:val="18"/>
        <w:szCs w:val="18"/>
      </w:rPr>
      <w:fldChar w:fldCharType="separate"/>
    </w:r>
    <w:r w:rsidR="006F0EE8">
      <w:rPr>
        <w:rStyle w:val="slostrany"/>
        <w:rFonts w:ascii="Times New Roman" w:hAnsi="Times New Roman"/>
        <w:noProof/>
        <w:sz w:val="18"/>
        <w:szCs w:val="18"/>
      </w:rPr>
      <w:t>1</w:t>
    </w:r>
    <w:r w:rsidRPr="00561EB3">
      <w:rPr>
        <w:rStyle w:val="slostrany"/>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1BE" w:rsidRDefault="00E101BE">
      <w:r>
        <w:separator/>
      </w:r>
    </w:p>
  </w:footnote>
  <w:footnote w:type="continuationSeparator" w:id="0">
    <w:p w:rsidR="00E101BE" w:rsidRDefault="00E101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F4F" w:rsidRPr="00FF0F4F" w:rsidRDefault="00781F98">
    <w:pPr>
      <w:pStyle w:val="Hlavika"/>
      <w:rPr>
        <w:rFonts w:ascii="Times New Roman" w:hAnsi="Times New Roman"/>
        <w:sz w:val="18"/>
        <w:szCs w:val="18"/>
      </w:rPr>
    </w:pPr>
    <w:r w:rsidRPr="00781F98">
      <w:rPr>
        <w:rFonts w:ascii="Times New Roman" w:hAnsi="Times New Roman"/>
        <w:noProof/>
        <w:sz w:val="18"/>
        <w:szCs w:val="18"/>
        <w:lang w:val="pt-PT"/>
      </w:rPr>
      <w:t xml:space="preserve">Príloha </w:t>
    </w:r>
    <w:r w:rsidRPr="00781F98">
      <w:rPr>
        <w:rFonts w:ascii="Times New Roman" w:hAnsi="Times New Roman" w:hint="eastAsia"/>
        <w:noProof/>
        <w:sz w:val="18"/>
        <w:szCs w:val="18"/>
        <w:lang w:val="pt-PT"/>
      </w:rPr>
      <w:t>č</w:t>
    </w:r>
    <w:r w:rsidRPr="00781F98">
      <w:rPr>
        <w:rFonts w:ascii="Times New Roman" w:hAnsi="Times New Roman"/>
        <w:noProof/>
        <w:sz w:val="18"/>
        <w:szCs w:val="18"/>
        <w:lang w:val="pt-PT"/>
      </w:rPr>
      <w:t>.2 k notifikácii o zmene, ev.</w:t>
    </w:r>
    <w:r w:rsidRPr="00781F98">
      <w:rPr>
        <w:rFonts w:ascii="Times New Roman" w:hAnsi="Times New Roman" w:hint="eastAsia"/>
        <w:noProof/>
        <w:sz w:val="18"/>
        <w:szCs w:val="18"/>
        <w:lang w:val="pt-PT"/>
      </w:rPr>
      <w:t>č</w:t>
    </w:r>
    <w:r w:rsidRPr="00781F98">
      <w:rPr>
        <w:rFonts w:ascii="Times New Roman" w:hAnsi="Times New Roman"/>
        <w:noProof/>
        <w:sz w:val="18"/>
        <w:szCs w:val="18"/>
        <w:lang w:val="pt-PT"/>
      </w:rPr>
      <w:t>.: 2020/06426-ZIA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217BCE"/>
    <w:multiLevelType w:val="hybridMultilevel"/>
    <w:tmpl w:val="CB9E2C38"/>
    <w:lvl w:ilvl="0" w:tplc="50E6E298">
      <w:numFmt w:val="bullet"/>
      <w:lvlText w:val="•"/>
      <w:lvlJc w:val="left"/>
      <w:pPr>
        <w:ind w:left="1127" w:hanging="5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2510197"/>
    <w:multiLevelType w:val="hybridMultilevel"/>
    <w:tmpl w:val="C9820546"/>
    <w:lvl w:ilvl="0" w:tplc="A156FA30">
      <w:numFmt w:val="bullet"/>
      <w:lvlText w:val="•"/>
      <w:lvlJc w:val="left"/>
      <w:pPr>
        <w:ind w:left="920" w:hanging="5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04590322"/>
    <w:multiLevelType w:val="singleLevel"/>
    <w:tmpl w:val="A8F43FF2"/>
    <w:lvl w:ilvl="0">
      <w:start w:val="1"/>
      <w:numFmt w:val="decimal"/>
      <w:lvlText w:val="Figure: %1. "/>
      <w:lvlJc w:val="left"/>
      <w:pPr>
        <w:tabs>
          <w:tab w:val="num" w:pos="1080"/>
        </w:tabs>
        <w:ind w:left="360" w:hanging="360"/>
      </w:pPr>
    </w:lvl>
  </w:abstractNum>
  <w:abstractNum w:abstractNumId="5">
    <w:nsid w:val="05437A60"/>
    <w:multiLevelType w:val="hybridMultilevel"/>
    <w:tmpl w:val="3224DCB6"/>
    <w:lvl w:ilvl="0" w:tplc="50E6E298">
      <w:numFmt w:val="bullet"/>
      <w:lvlText w:val="•"/>
      <w:lvlJc w:val="left"/>
      <w:pPr>
        <w:ind w:left="1127" w:hanging="5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
    <w:nsid w:val="16B978CD"/>
    <w:multiLevelType w:val="singleLevel"/>
    <w:tmpl w:val="31304CA6"/>
    <w:lvl w:ilvl="0">
      <w:start w:val="1"/>
      <w:numFmt w:val="decimal"/>
      <w:lvlText w:val="%1."/>
      <w:legacy w:legacy="1" w:legacySpace="0" w:legacyIndent="360"/>
      <w:lvlJc w:val="left"/>
      <w:pPr>
        <w:ind w:left="360" w:hanging="360"/>
      </w:pPr>
    </w:lvl>
  </w:abstractNum>
  <w:abstractNum w:abstractNumId="9">
    <w:nsid w:val="1C7268C3"/>
    <w:multiLevelType w:val="hybridMultilevel"/>
    <w:tmpl w:val="6EDA41C4"/>
    <w:lvl w:ilvl="0" w:tplc="50E6E298">
      <w:numFmt w:val="bullet"/>
      <w:lvlText w:val="•"/>
      <w:lvlJc w:val="left"/>
      <w:pPr>
        <w:ind w:left="1127" w:hanging="5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10">
    <w:nsid w:val="1EA37FC5"/>
    <w:multiLevelType w:val="singleLevel"/>
    <w:tmpl w:val="FFFFFFFF"/>
    <w:lvl w:ilvl="0">
      <w:start w:val="1"/>
      <w:numFmt w:val="bullet"/>
      <w:lvlText w:val="-"/>
      <w:legacy w:legacy="1" w:legacySpace="0" w:legacyIndent="360"/>
      <w:lvlJc w:val="left"/>
      <w:pPr>
        <w:ind w:left="1800" w:hanging="360"/>
      </w:pPr>
    </w:lvl>
  </w:abstractNum>
  <w:abstractNum w:abstractNumId="11">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28464454"/>
    <w:multiLevelType w:val="hybridMultilevel"/>
    <w:tmpl w:val="40BE16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8">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nsid w:val="40E01AA4"/>
    <w:multiLevelType w:val="hybridMultilevel"/>
    <w:tmpl w:val="FF52B0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9DA7906"/>
    <w:multiLevelType w:val="multilevel"/>
    <w:tmpl w:val="18805308"/>
    <w:name w:val="Bullets"/>
    <w:lvl w:ilvl="0">
      <w:start w:val="1"/>
      <w:numFmt w:val="bullet"/>
      <w:pStyle w:val="Zoznamsodrkami"/>
      <w:lvlText w:val=""/>
      <w:lvlJc w:val="left"/>
      <w:pPr>
        <w:tabs>
          <w:tab w:val="num" w:pos="720"/>
        </w:tabs>
        <w:ind w:left="720" w:hanging="363"/>
      </w:pPr>
      <w:rPr>
        <w:rFonts w:ascii="Symbol" w:hAnsi="Symbol" w:hint="default"/>
      </w:rPr>
    </w:lvl>
    <w:lvl w:ilvl="1">
      <w:start w:val="1"/>
      <w:numFmt w:val="bullet"/>
      <w:lvlRestart w:val="0"/>
      <w:pStyle w:val="Zoznamsodrkami2"/>
      <w:lvlText w:val=""/>
      <w:lvlJc w:val="left"/>
      <w:pPr>
        <w:tabs>
          <w:tab w:val="num" w:pos="1077"/>
        </w:tabs>
        <w:ind w:left="1077" w:hanging="357"/>
      </w:pPr>
      <w:rPr>
        <w:rFonts w:ascii="Symbol" w:hAnsi="Symbol" w:hint="default"/>
      </w:rPr>
    </w:lvl>
    <w:lvl w:ilvl="2">
      <w:start w:val="1"/>
      <w:numFmt w:val="bullet"/>
      <w:lvlRestart w:val="0"/>
      <w:pStyle w:val="Zoznamsodrkami3"/>
      <w:lvlText w:val=""/>
      <w:lvlJc w:val="left"/>
      <w:pPr>
        <w:tabs>
          <w:tab w:val="num" w:pos="1440"/>
        </w:tabs>
        <w:ind w:left="1389" w:hanging="312"/>
      </w:pPr>
      <w:rPr>
        <w:rFonts w:ascii="Symbol" w:hAnsi="Symbol" w:hint="default"/>
      </w:rPr>
    </w:lvl>
    <w:lvl w:ilvl="3">
      <w:start w:val="1"/>
      <w:numFmt w:val="bullet"/>
      <w:lvlRestart w:val="0"/>
      <w:pStyle w:val="Zoznamsodrkami4"/>
      <w:lvlText w:val=""/>
      <w:lvlJc w:val="left"/>
      <w:pPr>
        <w:tabs>
          <w:tab w:val="num" w:pos="1797"/>
        </w:tabs>
        <w:ind w:left="1797" w:hanging="357"/>
      </w:pPr>
      <w:rPr>
        <w:rFonts w:ascii="Symbol" w:hAnsi="Symbol" w:hint="default"/>
      </w:rPr>
    </w:lvl>
    <w:lvl w:ilvl="4">
      <w:start w:val="1"/>
      <w:numFmt w:val="bullet"/>
      <w:lvlRestart w:val="0"/>
      <w:pStyle w:val="Zoznamsodrkami5"/>
      <w:lvlText w:val=""/>
      <w:lvlJc w:val="left"/>
      <w:pPr>
        <w:tabs>
          <w:tab w:val="num" w:pos="2160"/>
        </w:tabs>
        <w:ind w:left="2160" w:hanging="363"/>
      </w:pPr>
      <w:rPr>
        <w:rFonts w:ascii="Symbol" w:hAnsi="Symbol" w:hint="default"/>
      </w:rPr>
    </w:lvl>
    <w:lvl w:ilvl="5">
      <w:start w:val="1"/>
      <w:numFmt w:val="bullet"/>
      <w:lvlText w:val=""/>
      <w:lvlJc w:val="left"/>
      <w:pPr>
        <w:tabs>
          <w:tab w:val="num" w:pos="2517"/>
        </w:tabs>
        <w:ind w:left="2517" w:hanging="357"/>
      </w:pPr>
      <w:rPr>
        <w:rFonts w:ascii="Symbol" w:hAnsi="Symbol" w:hint="default"/>
      </w:rPr>
    </w:lvl>
    <w:lvl w:ilvl="6">
      <w:start w:val="1"/>
      <w:numFmt w:val="bullet"/>
      <w:lvlText w:val=""/>
      <w:lvlJc w:val="left"/>
      <w:pPr>
        <w:tabs>
          <w:tab w:val="num" w:pos="2880"/>
        </w:tabs>
        <w:ind w:left="2880" w:hanging="363"/>
      </w:pPr>
      <w:rPr>
        <w:rFonts w:ascii="Symbol" w:hAnsi="Symbol" w:hint="default"/>
      </w:rPr>
    </w:lvl>
    <w:lvl w:ilvl="7">
      <w:start w:val="1"/>
      <w:numFmt w:val="bullet"/>
      <w:lvlText w:val=""/>
      <w:lvlJc w:val="left"/>
      <w:pPr>
        <w:tabs>
          <w:tab w:val="num" w:pos="3238"/>
        </w:tabs>
        <w:ind w:left="3238" w:hanging="358"/>
      </w:pPr>
      <w:rPr>
        <w:rFonts w:ascii="Symbol" w:hAnsi="Symbol" w:hint="default"/>
      </w:rPr>
    </w:lvl>
    <w:lvl w:ilvl="8">
      <w:start w:val="1"/>
      <w:numFmt w:val="bullet"/>
      <w:lvlText w:val=""/>
      <w:lvlJc w:val="left"/>
      <w:pPr>
        <w:tabs>
          <w:tab w:val="num" w:pos="3595"/>
        </w:tabs>
        <w:ind w:left="3595" w:hanging="357"/>
      </w:pPr>
      <w:rPr>
        <w:rFonts w:ascii="Symbol" w:hAnsi="Symbol" w:hint="default"/>
      </w:rPr>
    </w:lvl>
  </w:abstractNum>
  <w:abstractNum w:abstractNumId="26">
    <w:nsid w:val="4A810019"/>
    <w:multiLevelType w:val="singleLevel"/>
    <w:tmpl w:val="FFFFFFFF"/>
    <w:lvl w:ilvl="0">
      <w:start w:val="1"/>
      <w:numFmt w:val="bullet"/>
      <w:lvlText w:val="-"/>
      <w:legacy w:legacy="1" w:legacySpace="0" w:legacyIndent="360"/>
      <w:lvlJc w:val="left"/>
      <w:pPr>
        <w:ind w:left="1800" w:hanging="360"/>
      </w:pPr>
    </w:lvl>
  </w:abstractNum>
  <w:abstractNum w:abstractNumId="27">
    <w:nsid w:val="524F7A4F"/>
    <w:multiLevelType w:val="hybridMultilevel"/>
    <w:tmpl w:val="179AEC7A"/>
    <w:lvl w:ilvl="0" w:tplc="50E6E298">
      <w:numFmt w:val="bullet"/>
      <w:lvlText w:val="•"/>
      <w:lvlJc w:val="left"/>
      <w:pPr>
        <w:ind w:left="1127" w:hanging="5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nsid w:val="560C4365"/>
    <w:multiLevelType w:val="singleLevel"/>
    <w:tmpl w:val="FFFFFFFF"/>
    <w:lvl w:ilvl="0">
      <w:start w:val="1"/>
      <w:numFmt w:val="bullet"/>
      <w:lvlText w:val="-"/>
      <w:legacy w:legacy="1" w:legacySpace="0" w:legacyIndent="360"/>
      <w:lvlJc w:val="left"/>
      <w:pPr>
        <w:ind w:left="1800" w:hanging="360"/>
      </w:pPr>
    </w:lvl>
  </w:abstractNum>
  <w:abstractNum w:abstractNumId="29">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32">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nsid w:val="638649FD"/>
    <w:multiLevelType w:val="hybridMultilevel"/>
    <w:tmpl w:val="4A945C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5">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58C02A1"/>
    <w:multiLevelType w:val="singleLevel"/>
    <w:tmpl w:val="E7D22186"/>
    <w:lvl w:ilvl="0">
      <w:start w:val="1"/>
      <w:numFmt w:val="upperRoman"/>
      <w:lvlText w:val="%1."/>
      <w:lvlJc w:val="left"/>
      <w:pPr>
        <w:tabs>
          <w:tab w:val="num" w:pos="720"/>
        </w:tabs>
        <w:ind w:left="360" w:hanging="360"/>
      </w:pPr>
    </w:lvl>
  </w:abstractNum>
  <w:abstractNum w:abstractNumId="37">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8">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1">
    <w:nsid w:val="70BA7010"/>
    <w:multiLevelType w:val="hybridMultilevel"/>
    <w:tmpl w:val="76A4CE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nsid w:val="71FD581B"/>
    <w:multiLevelType w:val="multilevel"/>
    <w:tmpl w:val="9558CF7C"/>
    <w:lvl w:ilvl="0">
      <w:start w:val="1"/>
      <w:numFmt w:val="bullet"/>
      <w:lvlText w:val=""/>
      <w:lvlJc w:val="left"/>
      <w:pPr>
        <w:tabs>
          <w:tab w:val="num" w:pos="720"/>
        </w:tabs>
        <w:ind w:left="720" w:hanging="363"/>
      </w:pPr>
      <w:rPr>
        <w:rFonts w:ascii="Symbol" w:hAnsi="Symbol" w:hint="default"/>
      </w:rPr>
    </w:lvl>
    <w:lvl w:ilvl="1">
      <w:numFmt w:val="bullet"/>
      <w:lvlText w:val="-"/>
      <w:lvlJc w:val="left"/>
      <w:pPr>
        <w:tabs>
          <w:tab w:val="num" w:pos="1077"/>
        </w:tabs>
        <w:ind w:left="1077" w:hanging="357"/>
      </w:pPr>
      <w:rPr>
        <w:rFonts w:ascii="Times New Roman" w:eastAsia="Times New Roman" w:hAnsi="Times New Roman" w:cs="Times New Roman" w:hint="default"/>
      </w:rPr>
    </w:lvl>
    <w:lvl w:ilvl="2">
      <w:start w:val="1"/>
      <w:numFmt w:val="bullet"/>
      <w:lvlRestart w:val="0"/>
      <w:lvlText w:val=""/>
      <w:lvlJc w:val="left"/>
      <w:pPr>
        <w:tabs>
          <w:tab w:val="num" w:pos="1440"/>
        </w:tabs>
        <w:ind w:left="1389" w:hanging="312"/>
      </w:pPr>
      <w:rPr>
        <w:rFonts w:ascii="Symbol" w:hAnsi="Symbol" w:hint="default"/>
      </w:rPr>
    </w:lvl>
    <w:lvl w:ilvl="3">
      <w:start w:val="1"/>
      <w:numFmt w:val="bullet"/>
      <w:lvlRestart w:val="0"/>
      <w:lvlText w:val=""/>
      <w:lvlJc w:val="left"/>
      <w:pPr>
        <w:tabs>
          <w:tab w:val="num" w:pos="1797"/>
        </w:tabs>
        <w:ind w:left="1797" w:hanging="357"/>
      </w:pPr>
      <w:rPr>
        <w:rFonts w:ascii="Symbol" w:hAnsi="Symbol" w:hint="default"/>
      </w:rPr>
    </w:lvl>
    <w:lvl w:ilvl="4">
      <w:start w:val="1"/>
      <w:numFmt w:val="bullet"/>
      <w:lvlRestart w:val="0"/>
      <w:lvlText w:val=""/>
      <w:lvlJc w:val="left"/>
      <w:pPr>
        <w:tabs>
          <w:tab w:val="num" w:pos="2160"/>
        </w:tabs>
        <w:ind w:left="2160" w:hanging="363"/>
      </w:pPr>
      <w:rPr>
        <w:rFonts w:ascii="Symbol" w:hAnsi="Symbol" w:hint="default"/>
      </w:rPr>
    </w:lvl>
    <w:lvl w:ilvl="5">
      <w:start w:val="1"/>
      <w:numFmt w:val="bullet"/>
      <w:lvlText w:val=""/>
      <w:lvlJc w:val="left"/>
      <w:pPr>
        <w:tabs>
          <w:tab w:val="num" w:pos="2517"/>
        </w:tabs>
        <w:ind w:left="2517" w:hanging="357"/>
      </w:pPr>
      <w:rPr>
        <w:rFonts w:ascii="Symbol" w:hAnsi="Symbol" w:hint="default"/>
      </w:rPr>
    </w:lvl>
    <w:lvl w:ilvl="6">
      <w:start w:val="1"/>
      <w:numFmt w:val="bullet"/>
      <w:lvlText w:val=""/>
      <w:lvlJc w:val="left"/>
      <w:pPr>
        <w:tabs>
          <w:tab w:val="num" w:pos="2880"/>
        </w:tabs>
        <w:ind w:left="2880" w:hanging="363"/>
      </w:pPr>
      <w:rPr>
        <w:rFonts w:ascii="Symbol" w:hAnsi="Symbol" w:hint="default"/>
      </w:rPr>
    </w:lvl>
    <w:lvl w:ilvl="7">
      <w:start w:val="1"/>
      <w:numFmt w:val="bullet"/>
      <w:lvlText w:val=""/>
      <w:lvlJc w:val="left"/>
      <w:pPr>
        <w:tabs>
          <w:tab w:val="num" w:pos="3238"/>
        </w:tabs>
        <w:ind w:left="3238" w:hanging="358"/>
      </w:pPr>
      <w:rPr>
        <w:rFonts w:ascii="Symbol" w:hAnsi="Symbol" w:hint="default"/>
      </w:rPr>
    </w:lvl>
    <w:lvl w:ilvl="8">
      <w:start w:val="1"/>
      <w:numFmt w:val="bullet"/>
      <w:lvlText w:val=""/>
      <w:lvlJc w:val="left"/>
      <w:pPr>
        <w:tabs>
          <w:tab w:val="num" w:pos="3595"/>
        </w:tabs>
        <w:ind w:left="3595" w:hanging="357"/>
      </w:pPr>
      <w:rPr>
        <w:rFonts w:ascii="Symbol" w:hAnsi="Symbol" w:hint="default"/>
      </w:rPr>
    </w:lvl>
  </w:abstractNum>
  <w:abstractNum w:abstractNumId="44">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abstractNum w:abstractNumId="45">
    <w:nsid w:val="7EE863EC"/>
    <w:multiLevelType w:val="hybridMultilevel"/>
    <w:tmpl w:val="27EE30EE"/>
    <w:lvl w:ilvl="0" w:tplc="A156FA30">
      <w:numFmt w:val="bullet"/>
      <w:lvlText w:val="•"/>
      <w:lvlJc w:val="left"/>
      <w:pPr>
        <w:ind w:left="1487" w:hanging="560"/>
      </w:pPr>
      <w:rPr>
        <w:rFonts w:ascii="Times New Roman" w:eastAsia="Times New Roman" w:hAnsi="Times New Roman" w:cs="Times New Roman"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40"/>
  </w:num>
  <w:num w:numId="4">
    <w:abstractNumId w:val="39"/>
  </w:num>
  <w:num w:numId="5">
    <w:abstractNumId w:val="15"/>
  </w:num>
  <w:num w:numId="6">
    <w:abstractNumId w:val="28"/>
  </w:num>
  <w:num w:numId="7">
    <w:abstractNumId w:val="26"/>
  </w:num>
  <w:num w:numId="8">
    <w:abstractNumId w:val="10"/>
  </w:num>
  <w:num w:numId="9">
    <w:abstractNumId w:val="37"/>
  </w:num>
  <w:num w:numId="10">
    <w:abstractNumId w:val="38"/>
  </w:num>
  <w:num w:numId="11">
    <w:abstractNumId w:val="20"/>
  </w:num>
  <w:num w:numId="12">
    <w:abstractNumId w:val="17"/>
  </w:num>
  <w:num w:numId="13">
    <w:abstractNumId w:val="4"/>
  </w:num>
  <w:num w:numId="14">
    <w:abstractNumId w:val="36"/>
  </w:num>
  <w:num w:numId="15">
    <w:abstractNumId w:val="23"/>
  </w:num>
  <w:num w:numId="16">
    <w:abstractNumId w:val="42"/>
  </w:num>
  <w:num w:numId="17">
    <w:abstractNumId w:val="11"/>
  </w:num>
  <w:num w:numId="18">
    <w:abstractNumId w:val="2"/>
  </w:num>
  <w:num w:numId="19">
    <w:abstractNumId w:val="21"/>
  </w:num>
  <w:num w:numId="20">
    <w:abstractNumId w:val="6"/>
  </w:num>
  <w:num w:numId="21">
    <w:abstractNumId w:val="8"/>
  </w:num>
  <w:num w:numId="22">
    <w:abstractNumId w:val="31"/>
  </w:num>
  <w:num w:numId="23">
    <w:abstractNumId w:val="35"/>
  </w:num>
  <w:num w:numId="24">
    <w:abstractNumId w:val="30"/>
  </w:num>
  <w:num w:numId="25">
    <w:abstractNumId w:val="16"/>
  </w:num>
  <w:num w:numId="26">
    <w:abstractNumId w:val="13"/>
  </w:num>
  <w:num w:numId="27">
    <w:abstractNumId w:val="24"/>
  </w:num>
  <w:num w:numId="28">
    <w:abstractNumId w:val="29"/>
  </w:num>
  <w:num w:numId="29">
    <w:abstractNumId w:val="18"/>
  </w:num>
  <w:num w:numId="30">
    <w:abstractNumId w:val="12"/>
  </w:num>
  <w:num w:numId="31">
    <w:abstractNumId w:val="33"/>
  </w:num>
  <w:num w:numId="32">
    <w:abstractNumId w:val="34"/>
  </w:num>
  <w:num w:numId="33">
    <w:abstractNumId w:val="32"/>
  </w:num>
  <w:num w:numId="34">
    <w:abstractNumId w:val="19"/>
  </w:num>
  <w:num w:numId="35">
    <w:abstractNumId w:val="7"/>
  </w:num>
  <w:num w:numId="36">
    <w:abstractNumId w:val="44"/>
  </w:num>
  <w:num w:numId="37">
    <w:abstractNumId w:val="0"/>
    <w:lvlOverride w:ilvl="0">
      <w:lvl w:ilvl="0">
        <w:start w:val="1"/>
        <w:numFmt w:val="bullet"/>
        <w:lvlText w:val="-"/>
        <w:legacy w:legacy="1" w:legacySpace="0" w:legacyIndent="360"/>
        <w:lvlJc w:val="left"/>
        <w:pPr>
          <w:ind w:left="360" w:hanging="360"/>
        </w:pPr>
      </w:lvl>
    </w:lvlOverride>
  </w:num>
  <w:num w:numId="38">
    <w:abstractNumId w:val="14"/>
  </w:num>
  <w:num w:numId="39">
    <w:abstractNumId w:val="22"/>
  </w:num>
  <w:num w:numId="40">
    <w:abstractNumId w:val="25"/>
  </w:num>
  <w:num w:numId="41">
    <w:abstractNumId w:val="43"/>
  </w:num>
  <w:num w:numId="42">
    <w:abstractNumId w:val="41"/>
  </w:num>
  <w:num w:numId="43">
    <w:abstractNumId w:val="3"/>
  </w:num>
  <w:num w:numId="44">
    <w:abstractNumId w:val="45"/>
  </w:num>
  <w:num w:numId="45">
    <w:abstractNumId w:val="9"/>
  </w:num>
  <w:num w:numId="46">
    <w:abstractNumId w:val="1"/>
  </w:num>
  <w:num w:numId="47">
    <w:abstractNumId w:val="5"/>
  </w:num>
  <w:num w:numId="48">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RCOVA, Jana">
    <w15:presenceInfo w15:providerId="AD" w15:userId="S-1-5-21-606747145-2049760794-682003330-3156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da-DK"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2"/>
  </w:compat>
  <w:docVars>
    <w:docVar w:name="Registered" w:val="-1"/>
    <w:docVar w:name="Version" w:val="0"/>
  </w:docVars>
  <w:rsids>
    <w:rsidRoot w:val="00C53ACC"/>
    <w:rsid w:val="000064E6"/>
    <w:rsid w:val="000131C2"/>
    <w:rsid w:val="0002307D"/>
    <w:rsid w:val="00023E70"/>
    <w:rsid w:val="00030CCD"/>
    <w:rsid w:val="00032480"/>
    <w:rsid w:val="00040B2A"/>
    <w:rsid w:val="000425D4"/>
    <w:rsid w:val="00043B8F"/>
    <w:rsid w:val="00061E2F"/>
    <w:rsid w:val="00067D17"/>
    <w:rsid w:val="000706F3"/>
    <w:rsid w:val="000716BD"/>
    <w:rsid w:val="000742E9"/>
    <w:rsid w:val="00076654"/>
    <w:rsid w:val="00083518"/>
    <w:rsid w:val="000869AE"/>
    <w:rsid w:val="00087445"/>
    <w:rsid w:val="00092D0E"/>
    <w:rsid w:val="00097A9B"/>
    <w:rsid w:val="000A327A"/>
    <w:rsid w:val="000A684F"/>
    <w:rsid w:val="000B5050"/>
    <w:rsid w:val="000B56C8"/>
    <w:rsid w:val="000C09F2"/>
    <w:rsid w:val="000C1913"/>
    <w:rsid w:val="000D1FA8"/>
    <w:rsid w:val="000D20A9"/>
    <w:rsid w:val="000D6023"/>
    <w:rsid w:val="000D7AA6"/>
    <w:rsid w:val="000E5A02"/>
    <w:rsid w:val="000F4A51"/>
    <w:rsid w:val="000F5485"/>
    <w:rsid w:val="00100074"/>
    <w:rsid w:val="001046F7"/>
    <w:rsid w:val="00111C86"/>
    <w:rsid w:val="00122187"/>
    <w:rsid w:val="001305EB"/>
    <w:rsid w:val="00140DAD"/>
    <w:rsid w:val="00144BBA"/>
    <w:rsid w:val="00145B54"/>
    <w:rsid w:val="00152CC5"/>
    <w:rsid w:val="00152E50"/>
    <w:rsid w:val="00152F0E"/>
    <w:rsid w:val="001553BE"/>
    <w:rsid w:val="001561F8"/>
    <w:rsid w:val="00156F87"/>
    <w:rsid w:val="0016530D"/>
    <w:rsid w:val="001660EC"/>
    <w:rsid w:val="00167629"/>
    <w:rsid w:val="0017050C"/>
    <w:rsid w:val="00174D6D"/>
    <w:rsid w:val="00176028"/>
    <w:rsid w:val="0018294D"/>
    <w:rsid w:val="001851D3"/>
    <w:rsid w:val="00185256"/>
    <w:rsid w:val="001856EC"/>
    <w:rsid w:val="00195F27"/>
    <w:rsid w:val="00197D0B"/>
    <w:rsid w:val="001A096D"/>
    <w:rsid w:val="001A4974"/>
    <w:rsid w:val="001B203D"/>
    <w:rsid w:val="001B5BA7"/>
    <w:rsid w:val="001D29E6"/>
    <w:rsid w:val="001E3123"/>
    <w:rsid w:val="001F1E6C"/>
    <w:rsid w:val="001F2A09"/>
    <w:rsid w:val="001F3539"/>
    <w:rsid w:val="001F570C"/>
    <w:rsid w:val="002008BE"/>
    <w:rsid w:val="0021151E"/>
    <w:rsid w:val="00211F4D"/>
    <w:rsid w:val="00217AC3"/>
    <w:rsid w:val="00232029"/>
    <w:rsid w:val="00246C7F"/>
    <w:rsid w:val="002508D9"/>
    <w:rsid w:val="00251790"/>
    <w:rsid w:val="00252C3C"/>
    <w:rsid w:val="0025379B"/>
    <w:rsid w:val="002541E4"/>
    <w:rsid w:val="00255066"/>
    <w:rsid w:val="0025725B"/>
    <w:rsid w:val="00265C63"/>
    <w:rsid w:val="00265EC7"/>
    <w:rsid w:val="00267E3E"/>
    <w:rsid w:val="00270E9B"/>
    <w:rsid w:val="00271834"/>
    <w:rsid w:val="00275FB6"/>
    <w:rsid w:val="002820F9"/>
    <w:rsid w:val="002826DD"/>
    <w:rsid w:val="002839CF"/>
    <w:rsid w:val="00285DC0"/>
    <w:rsid w:val="00286D10"/>
    <w:rsid w:val="00293E60"/>
    <w:rsid w:val="00293F2E"/>
    <w:rsid w:val="00294924"/>
    <w:rsid w:val="00295073"/>
    <w:rsid w:val="0029721A"/>
    <w:rsid w:val="002A66C3"/>
    <w:rsid w:val="002B57B9"/>
    <w:rsid w:val="002C12A2"/>
    <w:rsid w:val="002D2D93"/>
    <w:rsid w:val="002E3B49"/>
    <w:rsid w:val="002F05FE"/>
    <w:rsid w:val="002F20FB"/>
    <w:rsid w:val="002F294A"/>
    <w:rsid w:val="00301DDD"/>
    <w:rsid w:val="003027AB"/>
    <w:rsid w:val="00302F7B"/>
    <w:rsid w:val="00303190"/>
    <w:rsid w:val="0031220F"/>
    <w:rsid w:val="0031357F"/>
    <w:rsid w:val="00313AC6"/>
    <w:rsid w:val="003215EE"/>
    <w:rsid w:val="003247CD"/>
    <w:rsid w:val="00324A74"/>
    <w:rsid w:val="00327080"/>
    <w:rsid w:val="00335708"/>
    <w:rsid w:val="0034005B"/>
    <w:rsid w:val="003444EB"/>
    <w:rsid w:val="00345926"/>
    <w:rsid w:val="00354930"/>
    <w:rsid w:val="0035628C"/>
    <w:rsid w:val="00362F18"/>
    <w:rsid w:val="00365E85"/>
    <w:rsid w:val="0036606B"/>
    <w:rsid w:val="003733C4"/>
    <w:rsid w:val="0038205D"/>
    <w:rsid w:val="00391383"/>
    <w:rsid w:val="003A7520"/>
    <w:rsid w:val="003B3D77"/>
    <w:rsid w:val="003C024C"/>
    <w:rsid w:val="003C3C79"/>
    <w:rsid w:val="003D1FF2"/>
    <w:rsid w:val="003D212C"/>
    <w:rsid w:val="003D5AAE"/>
    <w:rsid w:val="003E355A"/>
    <w:rsid w:val="003E5DC4"/>
    <w:rsid w:val="003E646E"/>
    <w:rsid w:val="003F5353"/>
    <w:rsid w:val="004013E4"/>
    <w:rsid w:val="00407E11"/>
    <w:rsid w:val="00415992"/>
    <w:rsid w:val="00423097"/>
    <w:rsid w:val="00425B28"/>
    <w:rsid w:val="00427665"/>
    <w:rsid w:val="00436167"/>
    <w:rsid w:val="00440D3C"/>
    <w:rsid w:val="00441D5A"/>
    <w:rsid w:val="00444DAE"/>
    <w:rsid w:val="00444FFD"/>
    <w:rsid w:val="00445960"/>
    <w:rsid w:val="00450D0B"/>
    <w:rsid w:val="00451D5E"/>
    <w:rsid w:val="00451E4D"/>
    <w:rsid w:val="00456A38"/>
    <w:rsid w:val="0046430A"/>
    <w:rsid w:val="0048496F"/>
    <w:rsid w:val="00493A9E"/>
    <w:rsid w:val="00494532"/>
    <w:rsid w:val="00495295"/>
    <w:rsid w:val="004A4982"/>
    <w:rsid w:val="004A4E80"/>
    <w:rsid w:val="004A5069"/>
    <w:rsid w:val="004B5C60"/>
    <w:rsid w:val="004C1579"/>
    <w:rsid w:val="004C582F"/>
    <w:rsid w:val="004D30F8"/>
    <w:rsid w:val="004E675C"/>
    <w:rsid w:val="004F64FA"/>
    <w:rsid w:val="005022DB"/>
    <w:rsid w:val="00521354"/>
    <w:rsid w:val="00521F11"/>
    <w:rsid w:val="005267F1"/>
    <w:rsid w:val="00537643"/>
    <w:rsid w:val="00543E23"/>
    <w:rsid w:val="00547410"/>
    <w:rsid w:val="00553CF1"/>
    <w:rsid w:val="00561EB3"/>
    <w:rsid w:val="0056769B"/>
    <w:rsid w:val="00572C3E"/>
    <w:rsid w:val="005732F8"/>
    <w:rsid w:val="00581C32"/>
    <w:rsid w:val="0058268F"/>
    <w:rsid w:val="00584F8B"/>
    <w:rsid w:val="005923EF"/>
    <w:rsid w:val="005932DC"/>
    <w:rsid w:val="00593EF9"/>
    <w:rsid w:val="0059608B"/>
    <w:rsid w:val="005A099B"/>
    <w:rsid w:val="005A3204"/>
    <w:rsid w:val="005A4817"/>
    <w:rsid w:val="005C298D"/>
    <w:rsid w:val="005E0508"/>
    <w:rsid w:val="005E366B"/>
    <w:rsid w:val="005E7C7E"/>
    <w:rsid w:val="005F12B4"/>
    <w:rsid w:val="005F45E5"/>
    <w:rsid w:val="005F6F71"/>
    <w:rsid w:val="005F7B5B"/>
    <w:rsid w:val="00602B51"/>
    <w:rsid w:val="0060585A"/>
    <w:rsid w:val="00606E3E"/>
    <w:rsid w:val="00607091"/>
    <w:rsid w:val="006072C0"/>
    <w:rsid w:val="0060773F"/>
    <w:rsid w:val="00610B88"/>
    <w:rsid w:val="006149AB"/>
    <w:rsid w:val="00616BCA"/>
    <w:rsid w:val="00623141"/>
    <w:rsid w:val="00624D2E"/>
    <w:rsid w:val="00624EE1"/>
    <w:rsid w:val="00626750"/>
    <w:rsid w:val="00642E0C"/>
    <w:rsid w:val="00653140"/>
    <w:rsid w:val="00653B06"/>
    <w:rsid w:val="00653EC9"/>
    <w:rsid w:val="006623BC"/>
    <w:rsid w:val="00663F52"/>
    <w:rsid w:val="00664046"/>
    <w:rsid w:val="0068761C"/>
    <w:rsid w:val="00690D90"/>
    <w:rsid w:val="006977FA"/>
    <w:rsid w:val="006B06C6"/>
    <w:rsid w:val="006B43C1"/>
    <w:rsid w:val="006B7EB2"/>
    <w:rsid w:val="006C5957"/>
    <w:rsid w:val="006D0B2A"/>
    <w:rsid w:val="006E1EE3"/>
    <w:rsid w:val="006E1EFE"/>
    <w:rsid w:val="006E2C2D"/>
    <w:rsid w:val="006E43FD"/>
    <w:rsid w:val="006F0EE8"/>
    <w:rsid w:val="006F2891"/>
    <w:rsid w:val="007068DC"/>
    <w:rsid w:val="007142C3"/>
    <w:rsid w:val="007251C9"/>
    <w:rsid w:val="00731422"/>
    <w:rsid w:val="0073510F"/>
    <w:rsid w:val="007452D1"/>
    <w:rsid w:val="00753A11"/>
    <w:rsid w:val="00756E5C"/>
    <w:rsid w:val="00757EB7"/>
    <w:rsid w:val="00763FA3"/>
    <w:rsid w:val="007657AA"/>
    <w:rsid w:val="0076715A"/>
    <w:rsid w:val="007710EC"/>
    <w:rsid w:val="007765E5"/>
    <w:rsid w:val="00777769"/>
    <w:rsid w:val="00781F98"/>
    <w:rsid w:val="00787B4A"/>
    <w:rsid w:val="00791DD2"/>
    <w:rsid w:val="0079406D"/>
    <w:rsid w:val="007945BC"/>
    <w:rsid w:val="00795F5B"/>
    <w:rsid w:val="007965AF"/>
    <w:rsid w:val="007A2503"/>
    <w:rsid w:val="007B7218"/>
    <w:rsid w:val="007B7405"/>
    <w:rsid w:val="007C3071"/>
    <w:rsid w:val="007C498C"/>
    <w:rsid w:val="007D1ED8"/>
    <w:rsid w:val="007D3315"/>
    <w:rsid w:val="007D3F2F"/>
    <w:rsid w:val="007D784A"/>
    <w:rsid w:val="007E0041"/>
    <w:rsid w:val="007E2088"/>
    <w:rsid w:val="007E244B"/>
    <w:rsid w:val="007E2A97"/>
    <w:rsid w:val="007E7554"/>
    <w:rsid w:val="007F2C2C"/>
    <w:rsid w:val="00802676"/>
    <w:rsid w:val="00810415"/>
    <w:rsid w:val="00810FEB"/>
    <w:rsid w:val="008202CD"/>
    <w:rsid w:val="00822FA3"/>
    <w:rsid w:val="00825CF6"/>
    <w:rsid w:val="00827DA3"/>
    <w:rsid w:val="0083158D"/>
    <w:rsid w:val="00841778"/>
    <w:rsid w:val="00847117"/>
    <w:rsid w:val="00852DA2"/>
    <w:rsid w:val="00853D79"/>
    <w:rsid w:val="00861367"/>
    <w:rsid w:val="00862A05"/>
    <w:rsid w:val="008676BE"/>
    <w:rsid w:val="00873153"/>
    <w:rsid w:val="0087542F"/>
    <w:rsid w:val="008756B7"/>
    <w:rsid w:val="0087586B"/>
    <w:rsid w:val="008823C1"/>
    <w:rsid w:val="00886AA9"/>
    <w:rsid w:val="00887559"/>
    <w:rsid w:val="00887CC8"/>
    <w:rsid w:val="008A3D6B"/>
    <w:rsid w:val="008C067A"/>
    <w:rsid w:val="008C0CA1"/>
    <w:rsid w:val="008C0D91"/>
    <w:rsid w:val="008C24B6"/>
    <w:rsid w:val="008C333A"/>
    <w:rsid w:val="008C3DC6"/>
    <w:rsid w:val="008D5BBB"/>
    <w:rsid w:val="008D6FE6"/>
    <w:rsid w:val="008E0C26"/>
    <w:rsid w:val="008E0EF7"/>
    <w:rsid w:val="008E1EA4"/>
    <w:rsid w:val="008E59D8"/>
    <w:rsid w:val="008F212A"/>
    <w:rsid w:val="008F6AB2"/>
    <w:rsid w:val="009004CC"/>
    <w:rsid w:val="00902B77"/>
    <w:rsid w:val="009036E3"/>
    <w:rsid w:val="0092173F"/>
    <w:rsid w:val="009242C8"/>
    <w:rsid w:val="00925948"/>
    <w:rsid w:val="00933B7C"/>
    <w:rsid w:val="00934B0A"/>
    <w:rsid w:val="00942C3E"/>
    <w:rsid w:val="009442C8"/>
    <w:rsid w:val="009509BD"/>
    <w:rsid w:val="00951BD9"/>
    <w:rsid w:val="00962267"/>
    <w:rsid w:val="009623D3"/>
    <w:rsid w:val="00973B49"/>
    <w:rsid w:val="00975EC1"/>
    <w:rsid w:val="00976B62"/>
    <w:rsid w:val="00983E2E"/>
    <w:rsid w:val="0098421A"/>
    <w:rsid w:val="00984DE0"/>
    <w:rsid w:val="00987B72"/>
    <w:rsid w:val="0099106B"/>
    <w:rsid w:val="0099472E"/>
    <w:rsid w:val="0099498A"/>
    <w:rsid w:val="009A2A98"/>
    <w:rsid w:val="009A33E8"/>
    <w:rsid w:val="009B3A4D"/>
    <w:rsid w:val="009C0CD4"/>
    <w:rsid w:val="009C2BE0"/>
    <w:rsid w:val="009C46A3"/>
    <w:rsid w:val="009C47A3"/>
    <w:rsid w:val="009D5E47"/>
    <w:rsid w:val="009E3221"/>
    <w:rsid w:val="009F7105"/>
    <w:rsid w:val="00A20993"/>
    <w:rsid w:val="00A21C1C"/>
    <w:rsid w:val="00A22CE0"/>
    <w:rsid w:val="00A22FDC"/>
    <w:rsid w:val="00A312F9"/>
    <w:rsid w:val="00A43B34"/>
    <w:rsid w:val="00A50078"/>
    <w:rsid w:val="00A50657"/>
    <w:rsid w:val="00A54618"/>
    <w:rsid w:val="00A56349"/>
    <w:rsid w:val="00A57054"/>
    <w:rsid w:val="00A61D57"/>
    <w:rsid w:val="00A62132"/>
    <w:rsid w:val="00A652D2"/>
    <w:rsid w:val="00A765E8"/>
    <w:rsid w:val="00A85CE4"/>
    <w:rsid w:val="00A8724A"/>
    <w:rsid w:val="00A9030C"/>
    <w:rsid w:val="00A928F6"/>
    <w:rsid w:val="00AB75B8"/>
    <w:rsid w:val="00AC3D09"/>
    <w:rsid w:val="00AC3E02"/>
    <w:rsid w:val="00AC610A"/>
    <w:rsid w:val="00AC7DE9"/>
    <w:rsid w:val="00AD6D72"/>
    <w:rsid w:val="00AE2699"/>
    <w:rsid w:val="00AE646E"/>
    <w:rsid w:val="00AF0A54"/>
    <w:rsid w:val="00AF48FD"/>
    <w:rsid w:val="00AF5890"/>
    <w:rsid w:val="00AF5E5E"/>
    <w:rsid w:val="00B02B79"/>
    <w:rsid w:val="00B05141"/>
    <w:rsid w:val="00B064DF"/>
    <w:rsid w:val="00B11582"/>
    <w:rsid w:val="00B1162B"/>
    <w:rsid w:val="00B12108"/>
    <w:rsid w:val="00B13B7A"/>
    <w:rsid w:val="00B27F64"/>
    <w:rsid w:val="00B31F8E"/>
    <w:rsid w:val="00B4107C"/>
    <w:rsid w:val="00B533AE"/>
    <w:rsid w:val="00B54AFE"/>
    <w:rsid w:val="00B54B3A"/>
    <w:rsid w:val="00B66B34"/>
    <w:rsid w:val="00B67E1B"/>
    <w:rsid w:val="00B7264F"/>
    <w:rsid w:val="00B7641E"/>
    <w:rsid w:val="00B81FE9"/>
    <w:rsid w:val="00B84F82"/>
    <w:rsid w:val="00B93404"/>
    <w:rsid w:val="00B96DC6"/>
    <w:rsid w:val="00B97ED1"/>
    <w:rsid w:val="00BA49E2"/>
    <w:rsid w:val="00BA4A4B"/>
    <w:rsid w:val="00BB2720"/>
    <w:rsid w:val="00BB396E"/>
    <w:rsid w:val="00BB5A87"/>
    <w:rsid w:val="00BB63EB"/>
    <w:rsid w:val="00BC0DE9"/>
    <w:rsid w:val="00BD3AA5"/>
    <w:rsid w:val="00BF2AF2"/>
    <w:rsid w:val="00BF72A8"/>
    <w:rsid w:val="00BF7421"/>
    <w:rsid w:val="00C020E7"/>
    <w:rsid w:val="00C046C4"/>
    <w:rsid w:val="00C048E2"/>
    <w:rsid w:val="00C0740D"/>
    <w:rsid w:val="00C079EB"/>
    <w:rsid w:val="00C11A43"/>
    <w:rsid w:val="00C1610B"/>
    <w:rsid w:val="00C22427"/>
    <w:rsid w:val="00C25CF7"/>
    <w:rsid w:val="00C26FA9"/>
    <w:rsid w:val="00C33D5F"/>
    <w:rsid w:val="00C36FF9"/>
    <w:rsid w:val="00C40D16"/>
    <w:rsid w:val="00C42BAA"/>
    <w:rsid w:val="00C42D9C"/>
    <w:rsid w:val="00C45C2C"/>
    <w:rsid w:val="00C478CE"/>
    <w:rsid w:val="00C535A0"/>
    <w:rsid w:val="00C53ACC"/>
    <w:rsid w:val="00C54862"/>
    <w:rsid w:val="00C56AB5"/>
    <w:rsid w:val="00C57ED8"/>
    <w:rsid w:val="00C62F9F"/>
    <w:rsid w:val="00C65615"/>
    <w:rsid w:val="00C815C0"/>
    <w:rsid w:val="00C858E0"/>
    <w:rsid w:val="00C933F9"/>
    <w:rsid w:val="00C93D52"/>
    <w:rsid w:val="00CA13B2"/>
    <w:rsid w:val="00CA2EF1"/>
    <w:rsid w:val="00CA74BD"/>
    <w:rsid w:val="00CB1718"/>
    <w:rsid w:val="00CB2113"/>
    <w:rsid w:val="00CC2539"/>
    <w:rsid w:val="00CC30D2"/>
    <w:rsid w:val="00CC33A6"/>
    <w:rsid w:val="00CC5C6B"/>
    <w:rsid w:val="00CC68AB"/>
    <w:rsid w:val="00CD0303"/>
    <w:rsid w:val="00CD1254"/>
    <w:rsid w:val="00CD494C"/>
    <w:rsid w:val="00CD6CB9"/>
    <w:rsid w:val="00CD758F"/>
    <w:rsid w:val="00CE3932"/>
    <w:rsid w:val="00CF2B49"/>
    <w:rsid w:val="00CF3623"/>
    <w:rsid w:val="00CF5F82"/>
    <w:rsid w:val="00D00137"/>
    <w:rsid w:val="00D01C0A"/>
    <w:rsid w:val="00D10575"/>
    <w:rsid w:val="00D14C61"/>
    <w:rsid w:val="00D15F5F"/>
    <w:rsid w:val="00D205A4"/>
    <w:rsid w:val="00D224C2"/>
    <w:rsid w:val="00D356E6"/>
    <w:rsid w:val="00D360C7"/>
    <w:rsid w:val="00D37B85"/>
    <w:rsid w:val="00D43772"/>
    <w:rsid w:val="00D452CE"/>
    <w:rsid w:val="00D46432"/>
    <w:rsid w:val="00D531D8"/>
    <w:rsid w:val="00D570BC"/>
    <w:rsid w:val="00D64695"/>
    <w:rsid w:val="00D6542D"/>
    <w:rsid w:val="00D67367"/>
    <w:rsid w:val="00D723F7"/>
    <w:rsid w:val="00D73031"/>
    <w:rsid w:val="00D775BA"/>
    <w:rsid w:val="00D875E9"/>
    <w:rsid w:val="00D97D9C"/>
    <w:rsid w:val="00DA5110"/>
    <w:rsid w:val="00DA59B8"/>
    <w:rsid w:val="00DB50EF"/>
    <w:rsid w:val="00DB5943"/>
    <w:rsid w:val="00DC2D03"/>
    <w:rsid w:val="00DC3E3F"/>
    <w:rsid w:val="00DD04BC"/>
    <w:rsid w:val="00DE113F"/>
    <w:rsid w:val="00DE3D1D"/>
    <w:rsid w:val="00DE4D32"/>
    <w:rsid w:val="00DE639D"/>
    <w:rsid w:val="00DF05C6"/>
    <w:rsid w:val="00DF3329"/>
    <w:rsid w:val="00DF5B94"/>
    <w:rsid w:val="00DF6DB6"/>
    <w:rsid w:val="00DF7351"/>
    <w:rsid w:val="00E01288"/>
    <w:rsid w:val="00E01912"/>
    <w:rsid w:val="00E044A8"/>
    <w:rsid w:val="00E10128"/>
    <w:rsid w:val="00E101BE"/>
    <w:rsid w:val="00E13620"/>
    <w:rsid w:val="00E15117"/>
    <w:rsid w:val="00E16ADE"/>
    <w:rsid w:val="00E24FD9"/>
    <w:rsid w:val="00E26E06"/>
    <w:rsid w:val="00E33B7B"/>
    <w:rsid w:val="00E33E6A"/>
    <w:rsid w:val="00E34528"/>
    <w:rsid w:val="00E351F9"/>
    <w:rsid w:val="00E409AA"/>
    <w:rsid w:val="00E43E06"/>
    <w:rsid w:val="00E50233"/>
    <w:rsid w:val="00E52BD8"/>
    <w:rsid w:val="00E52D3D"/>
    <w:rsid w:val="00E53E84"/>
    <w:rsid w:val="00E53ED4"/>
    <w:rsid w:val="00E61DF2"/>
    <w:rsid w:val="00E64E3C"/>
    <w:rsid w:val="00E70EB7"/>
    <w:rsid w:val="00E74711"/>
    <w:rsid w:val="00E74980"/>
    <w:rsid w:val="00E762C9"/>
    <w:rsid w:val="00E85EAC"/>
    <w:rsid w:val="00EA1C04"/>
    <w:rsid w:val="00EA222B"/>
    <w:rsid w:val="00EA6073"/>
    <w:rsid w:val="00EB3BF6"/>
    <w:rsid w:val="00EB6D17"/>
    <w:rsid w:val="00EC4BFA"/>
    <w:rsid w:val="00ED1A6B"/>
    <w:rsid w:val="00ED3B19"/>
    <w:rsid w:val="00EE33C0"/>
    <w:rsid w:val="00EF01BF"/>
    <w:rsid w:val="00EF3B6D"/>
    <w:rsid w:val="00EF4D27"/>
    <w:rsid w:val="00F00876"/>
    <w:rsid w:val="00F021A6"/>
    <w:rsid w:val="00F029B6"/>
    <w:rsid w:val="00F038EB"/>
    <w:rsid w:val="00F06179"/>
    <w:rsid w:val="00F138DE"/>
    <w:rsid w:val="00F210D0"/>
    <w:rsid w:val="00F3119A"/>
    <w:rsid w:val="00F33210"/>
    <w:rsid w:val="00F33E10"/>
    <w:rsid w:val="00F34A46"/>
    <w:rsid w:val="00F408D6"/>
    <w:rsid w:val="00F42CEA"/>
    <w:rsid w:val="00F50E6D"/>
    <w:rsid w:val="00F52076"/>
    <w:rsid w:val="00F57EF5"/>
    <w:rsid w:val="00F66210"/>
    <w:rsid w:val="00F764BB"/>
    <w:rsid w:val="00F7725F"/>
    <w:rsid w:val="00F858A4"/>
    <w:rsid w:val="00F9488F"/>
    <w:rsid w:val="00F96B2D"/>
    <w:rsid w:val="00FB2159"/>
    <w:rsid w:val="00FB56CF"/>
    <w:rsid w:val="00FB7397"/>
    <w:rsid w:val="00FC26A0"/>
    <w:rsid w:val="00FC34DA"/>
    <w:rsid w:val="00FD301C"/>
    <w:rsid w:val="00FD4EA3"/>
    <w:rsid w:val="00FD6105"/>
    <w:rsid w:val="00FE43CC"/>
    <w:rsid w:val="00FE7EF6"/>
    <w:rsid w:val="00FF0F4F"/>
    <w:rsid w:val="00FF1CA9"/>
    <w:rsid w:val="00FF56BD"/>
    <w:rsid w:val="00FF790D"/>
    <w:rsid w:val="00FF7CE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iPriority="99" w:unhideWhenUsed="0"/>
    <w:lsdException w:name="List Number" w:semiHidden="0" w:unhideWhenUsed="0"/>
    <w:lsdException w:name="List Bullet 2" w:qFormat="1"/>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53D79"/>
    <w:pPr>
      <w:tabs>
        <w:tab w:val="left" w:pos="567"/>
      </w:tabs>
      <w:spacing w:line="260" w:lineRule="exact"/>
    </w:pPr>
    <w:rPr>
      <w:sz w:val="22"/>
      <w:lang w:val="en-GB" w:eastAsia="en-US"/>
    </w:rPr>
  </w:style>
  <w:style w:type="paragraph" w:styleId="Nadpis1">
    <w:name w:val="heading 1"/>
    <w:basedOn w:val="Normlny"/>
    <w:next w:val="Normlny"/>
    <w:qFormat/>
    <w:rsid w:val="00853D79"/>
    <w:pPr>
      <w:spacing w:before="240" w:after="120"/>
      <w:ind w:left="357" w:hanging="357"/>
      <w:outlineLvl w:val="0"/>
    </w:pPr>
    <w:rPr>
      <w:b/>
      <w:caps/>
      <w:sz w:val="26"/>
      <w:lang w:val="en-US"/>
    </w:rPr>
  </w:style>
  <w:style w:type="paragraph" w:styleId="Nadpis2">
    <w:name w:val="heading 2"/>
    <w:basedOn w:val="Normlny"/>
    <w:next w:val="Normlny"/>
    <w:qFormat/>
    <w:rsid w:val="00853D79"/>
    <w:pPr>
      <w:keepNext/>
      <w:spacing w:before="240" w:after="60"/>
      <w:outlineLvl w:val="1"/>
    </w:pPr>
    <w:rPr>
      <w:rFonts w:ascii="Helvetica" w:hAnsi="Helvetica"/>
      <w:b/>
      <w:i/>
      <w:sz w:val="24"/>
    </w:rPr>
  </w:style>
  <w:style w:type="paragraph" w:styleId="Nadpis3">
    <w:name w:val="heading 3"/>
    <w:basedOn w:val="Normlny"/>
    <w:next w:val="Normlny"/>
    <w:qFormat/>
    <w:rsid w:val="00853D79"/>
    <w:pPr>
      <w:keepNext/>
      <w:keepLines/>
      <w:spacing w:before="120" w:after="80"/>
      <w:outlineLvl w:val="2"/>
    </w:pPr>
    <w:rPr>
      <w:b/>
      <w:kern w:val="28"/>
      <w:sz w:val="24"/>
      <w:lang w:val="en-US"/>
    </w:rPr>
  </w:style>
  <w:style w:type="paragraph" w:styleId="Nadpis4">
    <w:name w:val="heading 4"/>
    <w:basedOn w:val="Normlny"/>
    <w:next w:val="Normlny"/>
    <w:qFormat/>
    <w:rsid w:val="00853D79"/>
    <w:pPr>
      <w:keepNext/>
      <w:jc w:val="both"/>
      <w:outlineLvl w:val="3"/>
    </w:pPr>
    <w:rPr>
      <w:b/>
      <w:noProof/>
    </w:rPr>
  </w:style>
  <w:style w:type="paragraph" w:styleId="Nadpis5">
    <w:name w:val="heading 5"/>
    <w:basedOn w:val="Normlny"/>
    <w:next w:val="Normlny"/>
    <w:qFormat/>
    <w:rsid w:val="00853D79"/>
    <w:pPr>
      <w:keepNext/>
      <w:jc w:val="both"/>
      <w:outlineLvl w:val="4"/>
    </w:pPr>
    <w:rPr>
      <w:noProof/>
    </w:rPr>
  </w:style>
  <w:style w:type="paragraph" w:styleId="Nadpis6">
    <w:name w:val="heading 6"/>
    <w:basedOn w:val="Normlny"/>
    <w:next w:val="Normlny"/>
    <w:qFormat/>
    <w:rsid w:val="00853D79"/>
    <w:pPr>
      <w:keepNext/>
      <w:tabs>
        <w:tab w:val="left" w:pos="-720"/>
        <w:tab w:val="left" w:pos="4536"/>
      </w:tabs>
      <w:suppressAutoHyphens/>
      <w:outlineLvl w:val="5"/>
    </w:pPr>
    <w:rPr>
      <w:i/>
    </w:rPr>
  </w:style>
  <w:style w:type="paragraph" w:styleId="Nadpis7">
    <w:name w:val="heading 7"/>
    <w:basedOn w:val="Normlny"/>
    <w:next w:val="Normlny"/>
    <w:qFormat/>
    <w:rsid w:val="00853D79"/>
    <w:pPr>
      <w:keepNext/>
      <w:tabs>
        <w:tab w:val="left" w:pos="-720"/>
        <w:tab w:val="left" w:pos="4536"/>
      </w:tabs>
      <w:suppressAutoHyphens/>
      <w:jc w:val="both"/>
      <w:outlineLvl w:val="6"/>
    </w:pPr>
    <w:rPr>
      <w:i/>
    </w:rPr>
  </w:style>
  <w:style w:type="paragraph" w:styleId="Nadpis8">
    <w:name w:val="heading 8"/>
    <w:basedOn w:val="Normlny"/>
    <w:next w:val="Normlny"/>
    <w:qFormat/>
    <w:rsid w:val="00853D79"/>
    <w:pPr>
      <w:keepNext/>
      <w:ind w:left="567" w:hanging="567"/>
      <w:jc w:val="both"/>
      <w:outlineLvl w:val="7"/>
    </w:pPr>
    <w:rPr>
      <w:b/>
      <w:i/>
    </w:rPr>
  </w:style>
  <w:style w:type="paragraph" w:styleId="Nadpis9">
    <w:name w:val="heading 9"/>
    <w:basedOn w:val="Normlny"/>
    <w:next w:val="Normlny"/>
    <w:qFormat/>
    <w:rsid w:val="00853D79"/>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853D79"/>
    <w:pPr>
      <w:tabs>
        <w:tab w:val="center" w:pos="4153"/>
        <w:tab w:val="right" w:pos="8306"/>
      </w:tabs>
      <w:spacing w:line="240" w:lineRule="auto"/>
    </w:pPr>
    <w:rPr>
      <w:rFonts w:ascii="Helvetica" w:hAnsi="Helvetica"/>
      <w:sz w:val="20"/>
    </w:rPr>
  </w:style>
  <w:style w:type="paragraph" w:styleId="Pta">
    <w:name w:val="footer"/>
    <w:basedOn w:val="Normlny"/>
    <w:rsid w:val="00853D79"/>
    <w:pPr>
      <w:tabs>
        <w:tab w:val="center" w:pos="4536"/>
        <w:tab w:val="center" w:pos="8930"/>
      </w:tabs>
      <w:spacing w:line="240" w:lineRule="auto"/>
    </w:pPr>
    <w:rPr>
      <w:rFonts w:ascii="Helvetica" w:hAnsi="Helvetica"/>
      <w:sz w:val="16"/>
    </w:rPr>
  </w:style>
  <w:style w:type="character" w:styleId="slostrany">
    <w:name w:val="page number"/>
    <w:basedOn w:val="Predvolenpsmoodseku"/>
    <w:rsid w:val="00853D79"/>
  </w:style>
  <w:style w:type="paragraph" w:styleId="Zarkazkladnhotextu">
    <w:name w:val="Body Text Indent"/>
    <w:basedOn w:val="Normlny"/>
    <w:rsid w:val="00853D79"/>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rsid w:val="00853D79"/>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rsid w:val="00853D79"/>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rsid w:val="00853D79"/>
    <w:pPr>
      <w:tabs>
        <w:tab w:val="clear" w:pos="567"/>
      </w:tabs>
      <w:spacing w:line="240" w:lineRule="auto"/>
    </w:pPr>
    <w:rPr>
      <w:i/>
      <w:color w:val="008000"/>
    </w:rPr>
  </w:style>
  <w:style w:type="paragraph" w:styleId="Zkladntext2">
    <w:name w:val="Body Text 2"/>
    <w:basedOn w:val="Normlny"/>
    <w:rsid w:val="00853D79"/>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sid w:val="00853D79"/>
    <w:rPr>
      <w:sz w:val="16"/>
      <w:szCs w:val="16"/>
    </w:rPr>
  </w:style>
  <w:style w:type="paragraph" w:styleId="Textkomentra">
    <w:name w:val="annotation text"/>
    <w:basedOn w:val="Normlny"/>
    <w:semiHidden/>
    <w:rsid w:val="00853D79"/>
    <w:rPr>
      <w:sz w:val="20"/>
    </w:rPr>
  </w:style>
  <w:style w:type="paragraph" w:customStyle="1" w:styleId="EMEAEnBodyText">
    <w:name w:val="EMEA En Body Text"/>
    <w:basedOn w:val="Normlny"/>
    <w:rsid w:val="00853D79"/>
    <w:pPr>
      <w:tabs>
        <w:tab w:val="clear" w:pos="567"/>
      </w:tabs>
      <w:spacing w:before="120" w:after="120" w:line="240" w:lineRule="auto"/>
      <w:jc w:val="both"/>
    </w:pPr>
    <w:rPr>
      <w:lang w:val="en-US"/>
    </w:rPr>
  </w:style>
  <w:style w:type="paragraph" w:styleId="truktradokumentu">
    <w:name w:val="Document Map"/>
    <w:basedOn w:val="Normlny"/>
    <w:semiHidden/>
    <w:rsid w:val="00853D79"/>
    <w:pPr>
      <w:shd w:val="clear" w:color="auto" w:fill="000080"/>
    </w:pPr>
    <w:rPr>
      <w:rFonts w:ascii="Tahoma" w:hAnsi="Tahoma" w:cs="Tahoma"/>
    </w:rPr>
  </w:style>
  <w:style w:type="character" w:styleId="Hypertextovprepojenie">
    <w:name w:val="Hyperlink"/>
    <w:rsid w:val="00853D79"/>
    <w:rPr>
      <w:color w:val="0000FF"/>
      <w:u w:val="single"/>
    </w:rPr>
  </w:style>
  <w:style w:type="paragraph" w:customStyle="1" w:styleId="AHeader1">
    <w:name w:val="AHeader 1"/>
    <w:basedOn w:val="Normlny"/>
    <w:rsid w:val="00853D79"/>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rsid w:val="00853D79"/>
    <w:pPr>
      <w:numPr>
        <w:ilvl w:val="1"/>
      </w:numPr>
      <w:tabs>
        <w:tab w:val="clear" w:pos="709"/>
        <w:tab w:val="num" w:pos="360"/>
      </w:tabs>
    </w:pPr>
    <w:rPr>
      <w:sz w:val="22"/>
    </w:rPr>
  </w:style>
  <w:style w:type="paragraph" w:customStyle="1" w:styleId="AHeader3">
    <w:name w:val="AHeader 3"/>
    <w:basedOn w:val="AHeader2"/>
    <w:rsid w:val="00853D79"/>
    <w:pPr>
      <w:numPr>
        <w:ilvl w:val="2"/>
      </w:numPr>
      <w:tabs>
        <w:tab w:val="clear" w:pos="1276"/>
        <w:tab w:val="num" w:pos="360"/>
      </w:tabs>
    </w:pPr>
  </w:style>
  <w:style w:type="paragraph" w:customStyle="1" w:styleId="AHeader2abc">
    <w:name w:val="AHeader 2 abc"/>
    <w:basedOn w:val="AHeader3"/>
    <w:rsid w:val="00853D79"/>
    <w:pPr>
      <w:numPr>
        <w:ilvl w:val="3"/>
      </w:numPr>
      <w:tabs>
        <w:tab w:val="clear" w:pos="1276"/>
        <w:tab w:val="num" w:pos="360"/>
      </w:tabs>
      <w:jc w:val="both"/>
    </w:pPr>
    <w:rPr>
      <w:b w:val="0"/>
      <w:bCs w:val="0"/>
    </w:rPr>
  </w:style>
  <w:style w:type="paragraph" w:customStyle="1" w:styleId="AHeader3abc">
    <w:name w:val="AHeader 3 abc"/>
    <w:basedOn w:val="AHeader2abc"/>
    <w:rsid w:val="00853D79"/>
    <w:pPr>
      <w:numPr>
        <w:ilvl w:val="4"/>
      </w:numPr>
      <w:tabs>
        <w:tab w:val="clear" w:pos="1701"/>
        <w:tab w:val="num" w:pos="360"/>
      </w:tabs>
    </w:pPr>
  </w:style>
  <w:style w:type="paragraph" w:styleId="Zarkazkladnhotextu3">
    <w:name w:val="Body Text Indent 3"/>
    <w:basedOn w:val="Normlny"/>
    <w:rsid w:val="00853D79"/>
    <w:pPr>
      <w:tabs>
        <w:tab w:val="left" w:pos="1134"/>
      </w:tabs>
      <w:autoSpaceDE w:val="0"/>
      <w:autoSpaceDN w:val="0"/>
      <w:adjustRightInd w:val="0"/>
      <w:ind w:left="633"/>
      <w:jc w:val="both"/>
    </w:pPr>
    <w:rPr>
      <w:szCs w:val="21"/>
    </w:rPr>
  </w:style>
  <w:style w:type="character" w:styleId="PouitHypertextovPrepojenie">
    <w:name w:val="FollowedHyperlink"/>
    <w:rsid w:val="00853D79"/>
    <w:rPr>
      <w:color w:val="800080"/>
      <w:u w:val="single"/>
    </w:rPr>
  </w:style>
  <w:style w:type="paragraph" w:customStyle="1" w:styleId="Default">
    <w:name w:val="Default"/>
    <w:rsid w:val="00853D79"/>
    <w:pPr>
      <w:autoSpaceDE w:val="0"/>
      <w:autoSpaceDN w:val="0"/>
      <w:adjustRightInd w:val="0"/>
    </w:pPr>
    <w:rPr>
      <w:lang w:val="en-US" w:eastAsia="en-US"/>
    </w:rPr>
  </w:style>
  <w:style w:type="paragraph" w:styleId="Textbubliny">
    <w:name w:val="Balloon Text"/>
    <w:basedOn w:val="Normlny"/>
    <w:semiHidden/>
    <w:rsid w:val="00853D79"/>
    <w:rPr>
      <w:rFonts w:ascii="Tahoma" w:hAnsi="Tahoma" w:cs="Tahoma"/>
      <w:sz w:val="16"/>
      <w:szCs w:val="16"/>
    </w:rPr>
  </w:style>
  <w:style w:type="paragraph" w:styleId="Predmetkomentra">
    <w:name w:val="annotation subject"/>
    <w:basedOn w:val="Textkomentra"/>
    <w:next w:val="Textkomentra"/>
    <w:semiHidden/>
    <w:rsid w:val="00C53ACC"/>
    <w:rPr>
      <w:b/>
      <w:bCs/>
    </w:rPr>
  </w:style>
  <w:style w:type="paragraph" w:customStyle="1" w:styleId="BodytextAgency">
    <w:name w:val="Body text (Agency)"/>
    <w:basedOn w:val="Normlny"/>
    <w:link w:val="BodytextAgencyChar"/>
    <w:rsid w:val="00F00876"/>
    <w:pPr>
      <w:tabs>
        <w:tab w:val="clear" w:pos="567"/>
      </w:tabs>
      <w:spacing w:after="140" w:line="280" w:lineRule="atLeast"/>
    </w:pPr>
    <w:rPr>
      <w:rFonts w:ascii="Verdana" w:eastAsia="Verdana" w:hAnsi="Verdana"/>
      <w:sz w:val="18"/>
      <w:szCs w:val="18"/>
    </w:rPr>
  </w:style>
  <w:style w:type="character" w:customStyle="1" w:styleId="BodytextAgencyChar">
    <w:name w:val="Body text (Agency) Char"/>
    <w:link w:val="BodytextAgency"/>
    <w:rsid w:val="00F00876"/>
    <w:rPr>
      <w:rFonts w:ascii="Verdana" w:eastAsia="Verdana" w:hAnsi="Verdana" w:cs="Verdana"/>
      <w:sz w:val="18"/>
      <w:szCs w:val="18"/>
    </w:rPr>
  </w:style>
  <w:style w:type="paragraph" w:styleId="Popis">
    <w:name w:val="caption"/>
    <w:aliases w:val="Caption Char1,Caption Char Char,Caption Char,Caption Char1 Char2 Char Char,Caption Char Char Char2 Char Char,Caption Char1 Char Char Char1 Char Char,Caption Char Char Char Char Char1 Char Char,Caption Char1 Char Char Char Char Char Char Char"/>
    <w:basedOn w:val="Normlny"/>
    <w:next w:val="Zkladntext"/>
    <w:link w:val="PopisChar"/>
    <w:qFormat/>
    <w:rsid w:val="009442C8"/>
    <w:pPr>
      <w:keepNext/>
      <w:keepLines/>
      <w:tabs>
        <w:tab w:val="clear" w:pos="567"/>
      </w:tabs>
      <w:suppressAutoHyphens/>
      <w:spacing w:before="60" w:after="60" w:line="240" w:lineRule="auto"/>
      <w:ind w:left="1247" w:hanging="1247"/>
    </w:pPr>
    <w:rPr>
      <w:b/>
      <w:bCs/>
      <w:sz w:val="24"/>
      <w:lang w:eastAsia="en-GB"/>
    </w:rPr>
  </w:style>
  <w:style w:type="character" w:customStyle="1" w:styleId="PopisChar">
    <w:name w:val="Popis Char"/>
    <w:aliases w:val="Caption Char1 Char,Caption Char Char Char,Caption Char Char1,Caption Char1 Char2 Char Char Char,Caption Char Char Char2 Char Char Char,Caption Char1 Char Char Char1 Char Char Char,Caption Char Char Char Char Char1 Char Char Char"/>
    <w:link w:val="Popis"/>
    <w:rsid w:val="009442C8"/>
    <w:rPr>
      <w:b/>
      <w:bCs/>
      <w:sz w:val="24"/>
      <w:lang w:val="en-GB" w:eastAsia="en-GB"/>
    </w:rPr>
  </w:style>
  <w:style w:type="paragraph" w:styleId="Oznaitext">
    <w:name w:val="Block Text"/>
    <w:basedOn w:val="Normlny"/>
    <w:rsid w:val="00822FA3"/>
    <w:pPr>
      <w:keepLines/>
      <w:tabs>
        <w:tab w:val="clear" w:pos="567"/>
      </w:tabs>
      <w:suppressAutoHyphens/>
      <w:spacing w:after="120" w:line="240" w:lineRule="auto"/>
      <w:ind w:left="1440" w:right="1440"/>
    </w:pPr>
    <w:rPr>
      <w:sz w:val="24"/>
      <w:szCs w:val="24"/>
      <w:lang w:eastAsia="en-GB"/>
    </w:rPr>
  </w:style>
  <w:style w:type="paragraph" w:styleId="Zoznamsodrkami">
    <w:name w:val="List Bullet"/>
    <w:basedOn w:val="Normlny"/>
    <w:link w:val="ZoznamsodrkamiChar"/>
    <w:uiPriority w:val="99"/>
    <w:rsid w:val="00DA5110"/>
    <w:pPr>
      <w:keepLines/>
      <w:numPr>
        <w:numId w:val="40"/>
      </w:numPr>
      <w:tabs>
        <w:tab w:val="clear" w:pos="567"/>
      </w:tabs>
      <w:suppressAutoHyphens/>
      <w:spacing w:after="120" w:line="264" w:lineRule="auto"/>
    </w:pPr>
    <w:rPr>
      <w:sz w:val="24"/>
      <w:szCs w:val="24"/>
      <w:lang w:eastAsia="en-GB"/>
    </w:rPr>
  </w:style>
  <w:style w:type="paragraph" w:styleId="Zoznamsodrkami2">
    <w:name w:val="List Bullet 2"/>
    <w:basedOn w:val="Normlny"/>
    <w:qFormat/>
    <w:rsid w:val="00DA5110"/>
    <w:pPr>
      <w:keepLines/>
      <w:numPr>
        <w:ilvl w:val="1"/>
        <w:numId w:val="40"/>
      </w:numPr>
      <w:tabs>
        <w:tab w:val="clear" w:pos="567"/>
      </w:tabs>
      <w:suppressAutoHyphens/>
      <w:spacing w:line="240" w:lineRule="auto"/>
    </w:pPr>
    <w:rPr>
      <w:sz w:val="24"/>
      <w:szCs w:val="24"/>
      <w:lang w:eastAsia="en-GB"/>
    </w:rPr>
  </w:style>
  <w:style w:type="paragraph" w:styleId="Zoznamsodrkami3">
    <w:name w:val="List Bullet 3"/>
    <w:basedOn w:val="Normlny"/>
    <w:rsid w:val="00DA5110"/>
    <w:pPr>
      <w:keepLines/>
      <w:numPr>
        <w:ilvl w:val="2"/>
        <w:numId w:val="40"/>
      </w:numPr>
      <w:tabs>
        <w:tab w:val="clear" w:pos="567"/>
      </w:tabs>
      <w:suppressAutoHyphens/>
      <w:spacing w:line="240" w:lineRule="auto"/>
    </w:pPr>
    <w:rPr>
      <w:sz w:val="24"/>
      <w:szCs w:val="24"/>
      <w:lang w:eastAsia="en-GB"/>
    </w:rPr>
  </w:style>
  <w:style w:type="paragraph" w:styleId="Zoznamsodrkami4">
    <w:name w:val="List Bullet 4"/>
    <w:basedOn w:val="Normlny"/>
    <w:rsid w:val="00DA5110"/>
    <w:pPr>
      <w:keepLines/>
      <w:numPr>
        <w:ilvl w:val="3"/>
        <w:numId w:val="40"/>
      </w:numPr>
      <w:tabs>
        <w:tab w:val="clear" w:pos="567"/>
      </w:tabs>
      <w:suppressAutoHyphens/>
      <w:spacing w:line="240" w:lineRule="auto"/>
    </w:pPr>
    <w:rPr>
      <w:sz w:val="24"/>
      <w:szCs w:val="24"/>
      <w:lang w:eastAsia="en-GB"/>
    </w:rPr>
  </w:style>
  <w:style w:type="paragraph" w:styleId="Zoznamsodrkami5">
    <w:name w:val="List Bullet 5"/>
    <w:basedOn w:val="Normlny"/>
    <w:rsid w:val="00DA5110"/>
    <w:pPr>
      <w:keepLines/>
      <w:numPr>
        <w:ilvl w:val="4"/>
        <w:numId w:val="40"/>
      </w:numPr>
      <w:tabs>
        <w:tab w:val="clear" w:pos="567"/>
      </w:tabs>
      <w:suppressAutoHyphens/>
      <w:spacing w:line="240" w:lineRule="auto"/>
    </w:pPr>
    <w:rPr>
      <w:sz w:val="24"/>
      <w:szCs w:val="24"/>
      <w:lang w:eastAsia="en-GB"/>
    </w:rPr>
  </w:style>
  <w:style w:type="character" w:customStyle="1" w:styleId="ZoznamsodrkamiChar">
    <w:name w:val="Zoznam s odrážkami Char"/>
    <w:link w:val="Zoznamsodrkami"/>
    <w:uiPriority w:val="99"/>
    <w:rsid w:val="00DA5110"/>
    <w:rPr>
      <w:sz w:val="24"/>
      <w:szCs w:val="24"/>
      <w:lang w:val="en-GB" w:eastAsia="en-GB"/>
    </w:rPr>
  </w:style>
  <w:style w:type="paragraph" w:styleId="Revzia">
    <w:name w:val="Revision"/>
    <w:hidden/>
    <w:uiPriority w:val="99"/>
    <w:semiHidden/>
    <w:rsid w:val="005932DC"/>
    <w:rPr>
      <w:sz w:val="22"/>
      <w:lang w:val="en-GB" w:eastAsia="en-US"/>
    </w:rPr>
  </w:style>
  <w:style w:type="paragraph" w:customStyle="1" w:styleId="Link">
    <w:name w:val="Link"/>
    <w:basedOn w:val="Normlny"/>
    <w:next w:val="Zkladntext"/>
    <w:link w:val="LinkCharChar"/>
    <w:rsid w:val="00C858E0"/>
    <w:pPr>
      <w:keepLines/>
      <w:tabs>
        <w:tab w:val="clear" w:pos="567"/>
      </w:tabs>
      <w:suppressAutoHyphens/>
      <w:spacing w:line="240" w:lineRule="auto"/>
    </w:pPr>
    <w:rPr>
      <w:color w:val="0000FF"/>
      <w:sz w:val="24"/>
      <w:szCs w:val="24"/>
      <w:lang w:eastAsia="en-GB"/>
    </w:rPr>
  </w:style>
  <w:style w:type="character" w:customStyle="1" w:styleId="LinkCharChar">
    <w:name w:val="Link Char Char"/>
    <w:link w:val="Link"/>
    <w:rsid w:val="00C858E0"/>
    <w:rPr>
      <w:color w:val="0000FF"/>
      <w:sz w:val="24"/>
      <w:szCs w:val="24"/>
      <w:lang w:val="en-GB" w:eastAsia="en-GB"/>
    </w:rPr>
  </w:style>
  <w:style w:type="paragraph" w:styleId="Odsekzoznamu">
    <w:name w:val="List Paragraph"/>
    <w:basedOn w:val="Normlny"/>
    <w:uiPriority w:val="34"/>
    <w:qFormat/>
    <w:rsid w:val="007945BC"/>
    <w:pPr>
      <w:tabs>
        <w:tab w:val="clear" w:pos="567"/>
      </w:tabs>
      <w:spacing w:line="240" w:lineRule="auto"/>
      <w:ind w:left="720"/>
      <w:contextualSpacing/>
    </w:pPr>
    <w:rPr>
      <w:rFonts w:ascii="Arial" w:hAnsi="Arial"/>
      <w:sz w:val="24"/>
      <w:szCs w:val="24"/>
      <w:lang w:eastAsia="en-GB"/>
    </w:rPr>
  </w:style>
  <w:style w:type="table" w:styleId="Mriekatabuky">
    <w:name w:val="Table Grid"/>
    <w:basedOn w:val="Normlnatabuka"/>
    <w:rsid w:val="00653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1622">
      <w:bodyDiv w:val="1"/>
      <w:marLeft w:val="0"/>
      <w:marRight w:val="0"/>
      <w:marTop w:val="0"/>
      <w:marBottom w:val="0"/>
      <w:divBdr>
        <w:top w:val="none" w:sz="0" w:space="0" w:color="auto"/>
        <w:left w:val="none" w:sz="0" w:space="0" w:color="auto"/>
        <w:bottom w:val="none" w:sz="0" w:space="0" w:color="auto"/>
        <w:right w:val="none" w:sz="0" w:space="0" w:color="auto"/>
      </w:divBdr>
    </w:div>
    <w:div w:id="37555676">
      <w:bodyDiv w:val="1"/>
      <w:marLeft w:val="0"/>
      <w:marRight w:val="0"/>
      <w:marTop w:val="0"/>
      <w:marBottom w:val="0"/>
      <w:divBdr>
        <w:top w:val="none" w:sz="0" w:space="0" w:color="auto"/>
        <w:left w:val="none" w:sz="0" w:space="0" w:color="auto"/>
        <w:bottom w:val="none" w:sz="0" w:space="0" w:color="auto"/>
        <w:right w:val="none" w:sz="0" w:space="0" w:color="auto"/>
      </w:divBdr>
    </w:div>
    <w:div w:id="52432606">
      <w:bodyDiv w:val="1"/>
      <w:marLeft w:val="0"/>
      <w:marRight w:val="0"/>
      <w:marTop w:val="0"/>
      <w:marBottom w:val="0"/>
      <w:divBdr>
        <w:top w:val="none" w:sz="0" w:space="0" w:color="auto"/>
        <w:left w:val="none" w:sz="0" w:space="0" w:color="auto"/>
        <w:bottom w:val="none" w:sz="0" w:space="0" w:color="auto"/>
        <w:right w:val="none" w:sz="0" w:space="0" w:color="auto"/>
      </w:divBdr>
    </w:div>
    <w:div w:id="84115220">
      <w:bodyDiv w:val="1"/>
      <w:marLeft w:val="0"/>
      <w:marRight w:val="0"/>
      <w:marTop w:val="0"/>
      <w:marBottom w:val="0"/>
      <w:divBdr>
        <w:top w:val="none" w:sz="0" w:space="0" w:color="auto"/>
        <w:left w:val="none" w:sz="0" w:space="0" w:color="auto"/>
        <w:bottom w:val="none" w:sz="0" w:space="0" w:color="auto"/>
        <w:right w:val="none" w:sz="0" w:space="0" w:color="auto"/>
      </w:divBdr>
    </w:div>
    <w:div w:id="236130237">
      <w:bodyDiv w:val="1"/>
      <w:marLeft w:val="0"/>
      <w:marRight w:val="0"/>
      <w:marTop w:val="0"/>
      <w:marBottom w:val="0"/>
      <w:divBdr>
        <w:top w:val="none" w:sz="0" w:space="0" w:color="auto"/>
        <w:left w:val="none" w:sz="0" w:space="0" w:color="auto"/>
        <w:bottom w:val="none" w:sz="0" w:space="0" w:color="auto"/>
        <w:right w:val="none" w:sz="0" w:space="0" w:color="auto"/>
      </w:divBdr>
    </w:div>
    <w:div w:id="461778141">
      <w:bodyDiv w:val="1"/>
      <w:marLeft w:val="0"/>
      <w:marRight w:val="0"/>
      <w:marTop w:val="0"/>
      <w:marBottom w:val="0"/>
      <w:divBdr>
        <w:top w:val="none" w:sz="0" w:space="0" w:color="auto"/>
        <w:left w:val="none" w:sz="0" w:space="0" w:color="auto"/>
        <w:bottom w:val="none" w:sz="0" w:space="0" w:color="auto"/>
        <w:right w:val="none" w:sz="0" w:space="0" w:color="auto"/>
      </w:divBdr>
    </w:div>
    <w:div w:id="539979644">
      <w:bodyDiv w:val="1"/>
      <w:marLeft w:val="0"/>
      <w:marRight w:val="0"/>
      <w:marTop w:val="0"/>
      <w:marBottom w:val="0"/>
      <w:divBdr>
        <w:top w:val="none" w:sz="0" w:space="0" w:color="auto"/>
        <w:left w:val="none" w:sz="0" w:space="0" w:color="auto"/>
        <w:bottom w:val="none" w:sz="0" w:space="0" w:color="auto"/>
        <w:right w:val="none" w:sz="0" w:space="0" w:color="auto"/>
      </w:divBdr>
    </w:div>
    <w:div w:id="550847579">
      <w:bodyDiv w:val="1"/>
      <w:marLeft w:val="0"/>
      <w:marRight w:val="0"/>
      <w:marTop w:val="0"/>
      <w:marBottom w:val="0"/>
      <w:divBdr>
        <w:top w:val="none" w:sz="0" w:space="0" w:color="auto"/>
        <w:left w:val="none" w:sz="0" w:space="0" w:color="auto"/>
        <w:bottom w:val="none" w:sz="0" w:space="0" w:color="auto"/>
        <w:right w:val="none" w:sz="0" w:space="0" w:color="auto"/>
      </w:divBdr>
    </w:div>
    <w:div w:id="646908021">
      <w:bodyDiv w:val="1"/>
      <w:marLeft w:val="0"/>
      <w:marRight w:val="0"/>
      <w:marTop w:val="0"/>
      <w:marBottom w:val="0"/>
      <w:divBdr>
        <w:top w:val="none" w:sz="0" w:space="0" w:color="auto"/>
        <w:left w:val="none" w:sz="0" w:space="0" w:color="auto"/>
        <w:bottom w:val="none" w:sz="0" w:space="0" w:color="auto"/>
        <w:right w:val="none" w:sz="0" w:space="0" w:color="auto"/>
      </w:divBdr>
    </w:div>
    <w:div w:id="747386732">
      <w:bodyDiv w:val="1"/>
      <w:marLeft w:val="0"/>
      <w:marRight w:val="0"/>
      <w:marTop w:val="0"/>
      <w:marBottom w:val="0"/>
      <w:divBdr>
        <w:top w:val="none" w:sz="0" w:space="0" w:color="auto"/>
        <w:left w:val="none" w:sz="0" w:space="0" w:color="auto"/>
        <w:bottom w:val="none" w:sz="0" w:space="0" w:color="auto"/>
        <w:right w:val="none" w:sz="0" w:space="0" w:color="auto"/>
      </w:divBdr>
    </w:div>
    <w:div w:id="878475696">
      <w:bodyDiv w:val="1"/>
      <w:marLeft w:val="0"/>
      <w:marRight w:val="0"/>
      <w:marTop w:val="0"/>
      <w:marBottom w:val="0"/>
      <w:divBdr>
        <w:top w:val="none" w:sz="0" w:space="0" w:color="auto"/>
        <w:left w:val="none" w:sz="0" w:space="0" w:color="auto"/>
        <w:bottom w:val="none" w:sz="0" w:space="0" w:color="auto"/>
        <w:right w:val="none" w:sz="0" w:space="0" w:color="auto"/>
      </w:divBdr>
    </w:div>
    <w:div w:id="952982293">
      <w:bodyDiv w:val="1"/>
      <w:marLeft w:val="0"/>
      <w:marRight w:val="0"/>
      <w:marTop w:val="0"/>
      <w:marBottom w:val="0"/>
      <w:divBdr>
        <w:top w:val="none" w:sz="0" w:space="0" w:color="auto"/>
        <w:left w:val="none" w:sz="0" w:space="0" w:color="auto"/>
        <w:bottom w:val="none" w:sz="0" w:space="0" w:color="auto"/>
        <w:right w:val="none" w:sz="0" w:space="0" w:color="auto"/>
      </w:divBdr>
    </w:div>
    <w:div w:id="975723712">
      <w:bodyDiv w:val="1"/>
      <w:marLeft w:val="0"/>
      <w:marRight w:val="0"/>
      <w:marTop w:val="0"/>
      <w:marBottom w:val="0"/>
      <w:divBdr>
        <w:top w:val="none" w:sz="0" w:space="0" w:color="auto"/>
        <w:left w:val="none" w:sz="0" w:space="0" w:color="auto"/>
        <w:bottom w:val="none" w:sz="0" w:space="0" w:color="auto"/>
        <w:right w:val="none" w:sz="0" w:space="0" w:color="auto"/>
      </w:divBdr>
    </w:div>
    <w:div w:id="1022634843">
      <w:bodyDiv w:val="1"/>
      <w:marLeft w:val="0"/>
      <w:marRight w:val="0"/>
      <w:marTop w:val="0"/>
      <w:marBottom w:val="0"/>
      <w:divBdr>
        <w:top w:val="none" w:sz="0" w:space="0" w:color="auto"/>
        <w:left w:val="none" w:sz="0" w:space="0" w:color="auto"/>
        <w:bottom w:val="none" w:sz="0" w:space="0" w:color="auto"/>
        <w:right w:val="none" w:sz="0" w:space="0" w:color="auto"/>
      </w:divBdr>
    </w:div>
    <w:div w:id="1080636027">
      <w:bodyDiv w:val="1"/>
      <w:marLeft w:val="0"/>
      <w:marRight w:val="0"/>
      <w:marTop w:val="0"/>
      <w:marBottom w:val="0"/>
      <w:divBdr>
        <w:top w:val="none" w:sz="0" w:space="0" w:color="auto"/>
        <w:left w:val="none" w:sz="0" w:space="0" w:color="auto"/>
        <w:bottom w:val="none" w:sz="0" w:space="0" w:color="auto"/>
        <w:right w:val="none" w:sz="0" w:space="0" w:color="auto"/>
      </w:divBdr>
    </w:div>
    <w:div w:id="1261766169">
      <w:bodyDiv w:val="1"/>
      <w:marLeft w:val="0"/>
      <w:marRight w:val="0"/>
      <w:marTop w:val="0"/>
      <w:marBottom w:val="0"/>
      <w:divBdr>
        <w:top w:val="none" w:sz="0" w:space="0" w:color="auto"/>
        <w:left w:val="none" w:sz="0" w:space="0" w:color="auto"/>
        <w:bottom w:val="none" w:sz="0" w:space="0" w:color="auto"/>
        <w:right w:val="none" w:sz="0" w:space="0" w:color="auto"/>
      </w:divBdr>
    </w:div>
    <w:div w:id="1375502116">
      <w:bodyDiv w:val="1"/>
      <w:marLeft w:val="0"/>
      <w:marRight w:val="0"/>
      <w:marTop w:val="0"/>
      <w:marBottom w:val="0"/>
      <w:divBdr>
        <w:top w:val="none" w:sz="0" w:space="0" w:color="auto"/>
        <w:left w:val="none" w:sz="0" w:space="0" w:color="auto"/>
        <w:bottom w:val="none" w:sz="0" w:space="0" w:color="auto"/>
        <w:right w:val="none" w:sz="0" w:space="0" w:color="auto"/>
      </w:divBdr>
    </w:div>
    <w:div w:id="1505241963">
      <w:bodyDiv w:val="1"/>
      <w:marLeft w:val="0"/>
      <w:marRight w:val="0"/>
      <w:marTop w:val="0"/>
      <w:marBottom w:val="0"/>
      <w:divBdr>
        <w:top w:val="none" w:sz="0" w:space="0" w:color="auto"/>
        <w:left w:val="none" w:sz="0" w:space="0" w:color="auto"/>
        <w:bottom w:val="none" w:sz="0" w:space="0" w:color="auto"/>
        <w:right w:val="none" w:sz="0" w:space="0" w:color="auto"/>
      </w:divBdr>
    </w:div>
    <w:div w:id="189669618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832F0-DB22-45B6-8A1B-F517A858F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2970</Words>
  <Characters>19165</Characters>
  <Application>Microsoft Office Word</Application>
  <DocSecurity>0</DocSecurity>
  <Lines>159</Lines>
  <Paragraphs>44</Paragraphs>
  <ScaleCrop>false</ScaleCrop>
  <HeadingPairs>
    <vt:vector size="6" baseType="variant">
      <vt:variant>
        <vt:lpstr>Title</vt:lpstr>
      </vt:variant>
      <vt:variant>
        <vt:i4>1</vt:i4>
      </vt:variant>
      <vt:variant>
        <vt:lpstr>Názov</vt:lpstr>
      </vt:variant>
      <vt:variant>
        <vt:i4>1</vt:i4>
      </vt:variant>
      <vt:variant>
        <vt:lpstr>Rubrik</vt:lpstr>
      </vt:variant>
      <vt:variant>
        <vt:i4>1</vt:i4>
      </vt:variant>
    </vt:vector>
  </HeadingPairs>
  <TitlesOfParts>
    <vt:vector size="3" baseType="lpstr">
      <vt:lpstr>Hreferralspccleanen</vt:lpstr>
      <vt:lpstr>Hreferralspccleanen</vt:lpstr>
      <vt:lpstr>Hreferralspccleanen</vt:lpstr>
    </vt:vector>
  </TitlesOfParts>
  <Company>EMEA</Company>
  <LinksUpToDate>false</LinksUpToDate>
  <CharactersWithSpaces>22091</CharactersWithSpaces>
  <SharedDoc>false</SharedDoc>
  <HLinks>
    <vt:vector size="6"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Hreferralspccleanen</dc:title>
  <dc:subject>General-EMA/53548/2010</dc:subject>
  <dc:creator>Syed, Laila</dc:creator>
  <cp:lastModifiedBy>Valovičová, Monika</cp:lastModifiedBy>
  <cp:revision>6</cp:revision>
  <cp:lastPrinted>2016-04-27T14:26:00Z</cp:lastPrinted>
  <dcterms:created xsi:type="dcterms:W3CDTF">2020-04-02T09:09:00Z</dcterms:created>
  <dcterms:modified xsi:type="dcterms:W3CDTF">2021-01-15T07:43:00Z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Version">
    <vt:lpwstr>CURRENT,1.2</vt:lpwstr>
  </property>
  <property fmtid="{D5CDD505-2E9C-101B-9397-08002B2CF9AE}" pid="30" name="DM_Subject">
    <vt:lpwstr>General-EMA/53548/2010</vt:lpwstr>
  </property>
  <property fmtid="{D5CDD505-2E9C-101B-9397-08002B2CF9AE}" pid="31" name="DM_Name">
    <vt:lpwstr>Hreferralspccleanen</vt:lpwstr>
  </property>
  <property fmtid="{D5CDD505-2E9C-101B-9397-08002B2CF9AE}" pid="32" name="DM_Creation_Date">
    <vt:lpwstr>04/04/2013 15:13:06</vt:lpwstr>
  </property>
  <property fmtid="{D5CDD505-2E9C-101B-9397-08002B2CF9AE}" pid="33" name="DM_Modify_Date">
    <vt:lpwstr>04/04/2013 15:13:06</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EMA/199345/2013</vt:lpwstr>
  </property>
  <property fmtid="{D5CDD505-2E9C-101B-9397-08002B2CF9AE}" pid="38" name="DM_Category">
    <vt:lpwstr>General</vt:lpwstr>
  </property>
  <property fmtid="{D5CDD505-2E9C-101B-9397-08002B2CF9AE}" pid="39" name="DM_Path">
    <vt:lpwstr>/Old EDMS Structure/Meetings/Scientific Meetings/Q R D - P I Q/14 QRD Templates &amp; Ref. doc on web/00 QRD Ext. website &amp; File new/03 QRD H-Referral templates/03 H Referral template v 2.0/v.2 clean</vt:lpwstr>
  </property>
  <property fmtid="{D5CDD505-2E9C-101B-9397-08002B2CF9AE}" pid="40" name="DM_emea_doc_ref_id">
    <vt:lpwstr>EMA/199345/2013</vt:lpwstr>
  </property>
  <property fmtid="{D5CDD505-2E9C-101B-9397-08002B2CF9AE}" pid="41" name="DM_Modifer_Name">
    <vt:lpwstr>Horemans Karina</vt:lpwstr>
  </property>
  <property fmtid="{D5CDD505-2E9C-101B-9397-08002B2CF9AE}" pid="42" name="DM_Modified_Date">
    <vt:lpwstr>04/04/2013 15:13:06</vt:lpwstr>
  </property>
</Properties>
</file>