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D16" w:rsidRPr="00ED7F0F" w:rsidRDefault="00812D16" w:rsidP="00122C9F">
      <w:pPr>
        <w:spacing w:line="240" w:lineRule="auto"/>
        <w:jc w:val="center"/>
        <w:outlineLvl w:val="0"/>
      </w:pPr>
      <w:bookmarkStart w:id="0" w:name="_GoBack"/>
    </w:p>
    <w:p w:rsidR="00033D26" w:rsidRPr="00ED7F0F" w:rsidRDefault="005D45FC" w:rsidP="00122C9F">
      <w:pPr>
        <w:spacing w:line="240" w:lineRule="auto"/>
        <w:jc w:val="center"/>
        <w:outlineLvl w:val="0"/>
      </w:pPr>
      <w:r w:rsidRPr="00ED7F0F">
        <w:rPr>
          <w:b/>
        </w:rPr>
        <w:t>SÚHRN CHARAKTERISTICKÝCH VLASTNOSTÍ LIEKU</w:t>
      </w:r>
    </w:p>
    <w:p w:rsidR="00033D26" w:rsidRPr="00ED7F0F" w:rsidRDefault="00033D26" w:rsidP="00122C9F">
      <w:pPr>
        <w:spacing w:line="240" w:lineRule="auto"/>
      </w:pPr>
    </w:p>
    <w:p w:rsidR="00033D26" w:rsidRPr="00ED7F0F" w:rsidRDefault="00033D26" w:rsidP="00122C9F">
      <w:pPr>
        <w:spacing w:line="240" w:lineRule="auto"/>
      </w:pPr>
    </w:p>
    <w:p w:rsidR="00812D16" w:rsidRPr="00ED7F0F" w:rsidRDefault="005D45FC" w:rsidP="00122C9F">
      <w:pPr>
        <w:keepNext/>
        <w:numPr>
          <w:ilvl w:val="0"/>
          <w:numId w:val="5"/>
        </w:numPr>
        <w:suppressAutoHyphens/>
        <w:spacing w:line="240" w:lineRule="auto"/>
      </w:pPr>
      <w:r w:rsidRPr="00ED7F0F">
        <w:rPr>
          <w:b/>
        </w:rPr>
        <w:t>NÁZOV LIEKU</w:t>
      </w:r>
    </w:p>
    <w:p w:rsidR="00812D16" w:rsidRPr="00ED7F0F" w:rsidRDefault="00812D16" w:rsidP="00122C9F">
      <w:pPr>
        <w:keepNext/>
        <w:spacing w:line="240" w:lineRule="auto"/>
      </w:pPr>
    </w:p>
    <w:p w:rsidR="005D45FC" w:rsidRPr="00ED7F0F" w:rsidRDefault="005D45FC" w:rsidP="00122C9F">
      <w:pPr>
        <w:rPr>
          <w:szCs w:val="22"/>
        </w:rPr>
      </w:pPr>
      <w:r w:rsidRPr="00ED7F0F">
        <w:rPr>
          <w:szCs w:val="22"/>
        </w:rPr>
        <w:t xml:space="preserve">Dasatinib </w:t>
      </w:r>
      <w:r w:rsidR="00ED4E9C" w:rsidRPr="00ED7F0F">
        <w:rPr>
          <w:szCs w:val="22"/>
        </w:rPr>
        <w:t>Mylan</w:t>
      </w:r>
      <w:r w:rsidRPr="00ED7F0F">
        <w:rPr>
          <w:szCs w:val="22"/>
        </w:rPr>
        <w:t xml:space="preserve"> 70 mg</w:t>
      </w:r>
    </w:p>
    <w:p w:rsidR="005D45FC" w:rsidRPr="00ED7F0F" w:rsidRDefault="005D45FC" w:rsidP="00122C9F">
      <w:pPr>
        <w:tabs>
          <w:tab w:val="left" w:pos="3544"/>
        </w:tabs>
        <w:rPr>
          <w:szCs w:val="22"/>
          <w:highlight w:val="lightGray"/>
        </w:rPr>
      </w:pPr>
      <w:r w:rsidRPr="00ED7F0F">
        <w:rPr>
          <w:szCs w:val="22"/>
          <w:highlight w:val="lightGray"/>
        </w:rPr>
        <w:t xml:space="preserve">Dasatinib </w:t>
      </w:r>
      <w:r w:rsidR="00ED4E9C" w:rsidRPr="00ED7F0F">
        <w:rPr>
          <w:szCs w:val="22"/>
          <w:highlight w:val="lightGray"/>
        </w:rPr>
        <w:t>Mylan</w:t>
      </w:r>
      <w:r w:rsidRPr="00ED7F0F">
        <w:rPr>
          <w:szCs w:val="22"/>
          <w:highlight w:val="lightGray"/>
        </w:rPr>
        <w:t xml:space="preserve"> 100 mg</w:t>
      </w:r>
    </w:p>
    <w:p w:rsidR="005D45FC" w:rsidRPr="00ED7F0F" w:rsidRDefault="005D45FC" w:rsidP="00122C9F">
      <w:pPr>
        <w:rPr>
          <w:szCs w:val="22"/>
        </w:rPr>
      </w:pPr>
      <w:r w:rsidRPr="00ED7F0F">
        <w:rPr>
          <w:szCs w:val="22"/>
        </w:rPr>
        <w:t>filmom obalené tablety</w:t>
      </w:r>
    </w:p>
    <w:p w:rsidR="005D45FC" w:rsidRPr="00ED7F0F" w:rsidRDefault="005D45FC" w:rsidP="00122C9F">
      <w:pPr>
        <w:rPr>
          <w:szCs w:val="22"/>
        </w:rPr>
      </w:pPr>
    </w:p>
    <w:p w:rsidR="00812D16" w:rsidRPr="00ED7F0F" w:rsidRDefault="00812D16" w:rsidP="00122C9F">
      <w:pPr>
        <w:spacing w:line="240" w:lineRule="auto"/>
      </w:pPr>
    </w:p>
    <w:p w:rsidR="00812D16" w:rsidRPr="00ED7F0F" w:rsidRDefault="005D45FC" w:rsidP="00122C9F">
      <w:pPr>
        <w:keepNext/>
        <w:numPr>
          <w:ilvl w:val="0"/>
          <w:numId w:val="5"/>
        </w:numPr>
        <w:suppressAutoHyphens/>
        <w:spacing w:line="240" w:lineRule="auto"/>
      </w:pPr>
      <w:r w:rsidRPr="00ED7F0F">
        <w:rPr>
          <w:b/>
        </w:rPr>
        <w:t>KVALITATÍVNE A</w:t>
      </w:r>
      <w:r w:rsidR="0082445A" w:rsidRPr="00ED7F0F">
        <w:rPr>
          <w:b/>
        </w:rPr>
        <w:t> </w:t>
      </w:r>
      <w:r w:rsidRPr="00ED7F0F">
        <w:rPr>
          <w:b/>
        </w:rPr>
        <w:t>KVANTITATÍVNE ZLOŽENIE</w:t>
      </w:r>
    </w:p>
    <w:p w:rsidR="00812D16" w:rsidRPr="00ED7F0F" w:rsidRDefault="00812D16" w:rsidP="00122C9F">
      <w:pPr>
        <w:keepNext/>
        <w:spacing w:line="240" w:lineRule="auto"/>
      </w:pPr>
    </w:p>
    <w:p w:rsidR="005D45FC" w:rsidRPr="00ED7F0F" w:rsidRDefault="005D45FC" w:rsidP="00122C9F">
      <w:pPr>
        <w:rPr>
          <w:szCs w:val="22"/>
          <w:u w:val="single"/>
        </w:rPr>
      </w:pPr>
      <w:r w:rsidRPr="00ED7F0F">
        <w:rPr>
          <w:szCs w:val="22"/>
          <w:u w:val="single"/>
        </w:rPr>
        <w:t xml:space="preserve">Dasatinib </w:t>
      </w:r>
      <w:r w:rsidR="00ED4E9C" w:rsidRPr="00ED7F0F">
        <w:rPr>
          <w:szCs w:val="22"/>
          <w:u w:val="single"/>
        </w:rPr>
        <w:t>Mylan</w:t>
      </w:r>
      <w:r w:rsidRPr="00ED7F0F">
        <w:rPr>
          <w:szCs w:val="22"/>
          <w:u w:val="single"/>
        </w:rPr>
        <w:t xml:space="preserve"> 70 mg filmom obalené tablety</w:t>
      </w:r>
    </w:p>
    <w:p w:rsidR="005D45FC" w:rsidRPr="00ED7F0F" w:rsidRDefault="00DA78CC" w:rsidP="00122C9F">
      <w:pPr>
        <w:rPr>
          <w:szCs w:val="22"/>
        </w:rPr>
      </w:pPr>
      <w:r w:rsidRPr="00ED7F0F">
        <w:rPr>
          <w:szCs w:val="22"/>
        </w:rPr>
        <w:t>Jedna</w:t>
      </w:r>
      <w:r w:rsidR="005D45FC" w:rsidRPr="00ED7F0F">
        <w:rPr>
          <w:szCs w:val="22"/>
        </w:rPr>
        <w:t xml:space="preserve"> filmom obalená tableta obsahuje 70 mg dasatinibu.</w:t>
      </w:r>
    </w:p>
    <w:p w:rsidR="005D45FC" w:rsidRPr="00ED7F0F" w:rsidRDefault="005D45FC" w:rsidP="00122C9F">
      <w:pPr>
        <w:autoSpaceDE w:val="0"/>
        <w:autoSpaceDN w:val="0"/>
        <w:adjustRightInd w:val="0"/>
        <w:rPr>
          <w:i/>
          <w:iCs/>
          <w:szCs w:val="22"/>
          <w:u w:val="single"/>
          <w:lang w:eastAsia="en-US"/>
        </w:rPr>
      </w:pPr>
    </w:p>
    <w:p w:rsidR="005D45FC" w:rsidRPr="00ED7F0F" w:rsidRDefault="005D45FC" w:rsidP="00122C9F">
      <w:pPr>
        <w:autoSpaceDE w:val="0"/>
        <w:autoSpaceDN w:val="0"/>
        <w:adjustRightInd w:val="0"/>
        <w:rPr>
          <w:iCs/>
          <w:szCs w:val="22"/>
          <w:u w:val="single"/>
          <w:lang w:eastAsia="en-US"/>
        </w:rPr>
      </w:pPr>
      <w:r w:rsidRPr="00ED7F0F">
        <w:rPr>
          <w:iCs/>
          <w:szCs w:val="22"/>
          <w:u w:val="single"/>
          <w:lang w:eastAsia="en-US"/>
        </w:rPr>
        <w:t>Pomocná látka so známym účinkom</w:t>
      </w:r>
    </w:p>
    <w:p w:rsidR="005D45FC" w:rsidRPr="00ED7F0F" w:rsidRDefault="00DA78CC" w:rsidP="00122C9F">
      <w:pPr>
        <w:rPr>
          <w:rFonts w:eastAsia="TimesNewRoman"/>
          <w:szCs w:val="22"/>
          <w:lang w:eastAsia="en-US"/>
        </w:rPr>
      </w:pPr>
      <w:r w:rsidRPr="00ED7F0F">
        <w:rPr>
          <w:rFonts w:eastAsia="TimesNewRoman"/>
          <w:szCs w:val="22"/>
          <w:lang w:eastAsia="en-US"/>
        </w:rPr>
        <w:t>Jedna</w:t>
      </w:r>
      <w:r w:rsidR="005D45FC" w:rsidRPr="00ED7F0F">
        <w:rPr>
          <w:rFonts w:eastAsia="TimesNewRoman"/>
          <w:szCs w:val="22"/>
          <w:lang w:eastAsia="en-US"/>
        </w:rPr>
        <w:t xml:space="preserve"> filmom obalená tableta obsahuje 97 mg laktózy</w:t>
      </w:r>
      <w:r w:rsidRPr="00ED7F0F">
        <w:rPr>
          <w:rFonts w:eastAsia="TimesNewRoman"/>
          <w:szCs w:val="22"/>
          <w:lang w:eastAsia="en-US"/>
        </w:rPr>
        <w:t xml:space="preserve"> (ako monohydrát)</w:t>
      </w:r>
      <w:r w:rsidR="005D45FC" w:rsidRPr="00ED7F0F">
        <w:rPr>
          <w:rFonts w:eastAsia="TimesNewRoman"/>
          <w:szCs w:val="22"/>
          <w:lang w:eastAsia="en-US"/>
        </w:rPr>
        <w:t>.</w:t>
      </w:r>
    </w:p>
    <w:p w:rsidR="00DA78CC" w:rsidRPr="00ED7F0F" w:rsidRDefault="00DA78CC" w:rsidP="00122C9F">
      <w:pPr>
        <w:rPr>
          <w:szCs w:val="22"/>
          <w:u w:val="single"/>
        </w:rPr>
      </w:pPr>
    </w:p>
    <w:p w:rsidR="005D45FC" w:rsidRPr="00ED7F0F" w:rsidRDefault="005D45FC" w:rsidP="00122C9F">
      <w:pPr>
        <w:rPr>
          <w:szCs w:val="22"/>
          <w:highlight w:val="lightGray"/>
          <w:u w:val="single"/>
        </w:rPr>
      </w:pPr>
      <w:r w:rsidRPr="00ED7F0F">
        <w:rPr>
          <w:szCs w:val="22"/>
          <w:highlight w:val="lightGray"/>
          <w:u w:val="single"/>
        </w:rPr>
        <w:t xml:space="preserve">Dasatinib </w:t>
      </w:r>
      <w:r w:rsidR="00ED4E9C" w:rsidRPr="00ED7F0F">
        <w:rPr>
          <w:szCs w:val="22"/>
          <w:highlight w:val="lightGray"/>
          <w:u w:val="single"/>
        </w:rPr>
        <w:t>Mylan</w:t>
      </w:r>
      <w:r w:rsidRPr="00ED7F0F">
        <w:rPr>
          <w:szCs w:val="22"/>
          <w:highlight w:val="lightGray"/>
          <w:u w:val="single"/>
        </w:rPr>
        <w:t xml:space="preserve"> 100 mg filmom obalené tablety</w:t>
      </w:r>
    </w:p>
    <w:p w:rsidR="005D45FC" w:rsidRPr="00ED7F0F" w:rsidRDefault="00DA78CC" w:rsidP="00122C9F">
      <w:pPr>
        <w:rPr>
          <w:szCs w:val="22"/>
          <w:highlight w:val="lightGray"/>
        </w:rPr>
      </w:pPr>
      <w:r w:rsidRPr="00ED7F0F">
        <w:rPr>
          <w:szCs w:val="22"/>
          <w:highlight w:val="lightGray"/>
        </w:rPr>
        <w:t>Jedna</w:t>
      </w:r>
      <w:r w:rsidR="005D45FC" w:rsidRPr="00ED7F0F">
        <w:rPr>
          <w:szCs w:val="22"/>
          <w:highlight w:val="lightGray"/>
        </w:rPr>
        <w:t xml:space="preserve"> filmom obalená tableta obsahuje 100 mg dasatinibu.</w:t>
      </w:r>
    </w:p>
    <w:p w:rsidR="005D45FC" w:rsidRPr="00ED7F0F" w:rsidRDefault="005D45FC" w:rsidP="00122C9F">
      <w:pPr>
        <w:autoSpaceDE w:val="0"/>
        <w:autoSpaceDN w:val="0"/>
        <w:adjustRightInd w:val="0"/>
        <w:rPr>
          <w:i/>
          <w:iCs/>
          <w:szCs w:val="22"/>
          <w:highlight w:val="lightGray"/>
          <w:u w:val="single"/>
          <w:lang w:eastAsia="en-US"/>
        </w:rPr>
      </w:pPr>
    </w:p>
    <w:p w:rsidR="005D45FC" w:rsidRPr="00ED7F0F" w:rsidRDefault="005D45FC" w:rsidP="00122C9F">
      <w:pPr>
        <w:autoSpaceDE w:val="0"/>
        <w:autoSpaceDN w:val="0"/>
        <w:adjustRightInd w:val="0"/>
        <w:rPr>
          <w:iCs/>
          <w:szCs w:val="22"/>
          <w:highlight w:val="lightGray"/>
          <w:u w:val="single"/>
          <w:lang w:eastAsia="en-US"/>
        </w:rPr>
      </w:pPr>
      <w:r w:rsidRPr="00ED7F0F">
        <w:rPr>
          <w:iCs/>
          <w:szCs w:val="22"/>
          <w:highlight w:val="lightGray"/>
          <w:u w:val="single"/>
          <w:lang w:eastAsia="en-US"/>
        </w:rPr>
        <w:t>Pomocná látka so známym účinkom</w:t>
      </w:r>
    </w:p>
    <w:p w:rsidR="005D45FC" w:rsidRPr="00ED7F0F" w:rsidRDefault="00DA78CC" w:rsidP="00122C9F">
      <w:pPr>
        <w:rPr>
          <w:rFonts w:eastAsia="TimesNewRoman"/>
          <w:szCs w:val="22"/>
          <w:highlight w:val="lightGray"/>
          <w:lang w:eastAsia="en-US"/>
        </w:rPr>
      </w:pPr>
      <w:r w:rsidRPr="00ED7F0F">
        <w:rPr>
          <w:rFonts w:eastAsia="TimesNewRoman"/>
          <w:szCs w:val="22"/>
          <w:highlight w:val="lightGray"/>
          <w:lang w:eastAsia="en-US"/>
        </w:rPr>
        <w:t>Jedna</w:t>
      </w:r>
      <w:r w:rsidR="005D45FC" w:rsidRPr="00ED7F0F">
        <w:rPr>
          <w:rFonts w:eastAsia="TimesNewRoman"/>
          <w:szCs w:val="22"/>
          <w:highlight w:val="lightGray"/>
          <w:lang w:eastAsia="en-US"/>
        </w:rPr>
        <w:t xml:space="preserve"> filmom obalená tableta obsahuje 138 mg laktózy</w:t>
      </w:r>
      <w:r w:rsidRPr="00ED7F0F">
        <w:rPr>
          <w:rFonts w:eastAsia="TimesNewRoman"/>
          <w:szCs w:val="22"/>
          <w:highlight w:val="lightGray"/>
          <w:lang w:eastAsia="en-US"/>
        </w:rPr>
        <w:t xml:space="preserve"> (ako monohydrát)</w:t>
      </w:r>
      <w:r w:rsidR="005D45FC" w:rsidRPr="00ED7F0F">
        <w:rPr>
          <w:rFonts w:eastAsia="TimesNewRoman"/>
          <w:szCs w:val="22"/>
          <w:highlight w:val="lightGray"/>
          <w:lang w:eastAsia="en-US"/>
        </w:rPr>
        <w:t>.</w:t>
      </w:r>
    </w:p>
    <w:p w:rsidR="00DA78CC" w:rsidRPr="00ED7F0F" w:rsidRDefault="00DA78CC" w:rsidP="00122C9F">
      <w:pPr>
        <w:rPr>
          <w:szCs w:val="22"/>
          <w:highlight w:val="lightGray"/>
          <w:u w:val="single"/>
        </w:rPr>
      </w:pPr>
    </w:p>
    <w:p w:rsidR="005D45FC" w:rsidRPr="00ED7F0F" w:rsidRDefault="005D45FC" w:rsidP="00122C9F">
      <w:pPr>
        <w:rPr>
          <w:szCs w:val="22"/>
          <w:lang w:eastAsia="en-US"/>
        </w:rPr>
      </w:pPr>
      <w:r w:rsidRPr="00ED7F0F">
        <w:rPr>
          <w:szCs w:val="22"/>
          <w:lang w:eastAsia="en-US"/>
        </w:rPr>
        <w:t>Úplný zoznam pomocných látok, pozri časť 6.1.</w:t>
      </w:r>
    </w:p>
    <w:p w:rsidR="005D45FC" w:rsidRPr="00ED7F0F" w:rsidRDefault="005D45FC" w:rsidP="00122C9F">
      <w:pPr>
        <w:rPr>
          <w:szCs w:val="22"/>
        </w:rPr>
      </w:pPr>
    </w:p>
    <w:p w:rsidR="00812D16" w:rsidRPr="00ED7F0F" w:rsidRDefault="00812D16" w:rsidP="00122C9F">
      <w:pPr>
        <w:spacing w:line="240" w:lineRule="auto"/>
      </w:pPr>
    </w:p>
    <w:p w:rsidR="00812D16" w:rsidRPr="00ED7F0F" w:rsidRDefault="005D45FC" w:rsidP="00122C9F">
      <w:pPr>
        <w:keepNext/>
        <w:numPr>
          <w:ilvl w:val="0"/>
          <w:numId w:val="5"/>
        </w:numPr>
        <w:suppressAutoHyphens/>
        <w:spacing w:line="240" w:lineRule="auto"/>
        <w:rPr>
          <w:caps/>
        </w:rPr>
      </w:pPr>
      <w:r w:rsidRPr="00ED7F0F">
        <w:rPr>
          <w:b/>
        </w:rPr>
        <w:t>LIEKOVÁ FORMA</w:t>
      </w:r>
    </w:p>
    <w:p w:rsidR="00812D16" w:rsidRPr="00ED7F0F" w:rsidRDefault="00812D16" w:rsidP="00122C9F">
      <w:pPr>
        <w:keepNext/>
        <w:spacing w:line="240" w:lineRule="auto"/>
      </w:pPr>
    </w:p>
    <w:p w:rsidR="005D45FC" w:rsidRPr="00ED7F0F" w:rsidRDefault="005D45FC" w:rsidP="00122C9F">
      <w:pPr>
        <w:autoSpaceDE w:val="0"/>
        <w:autoSpaceDN w:val="0"/>
        <w:adjustRightInd w:val="0"/>
        <w:rPr>
          <w:rFonts w:eastAsia="TimesNewRoman"/>
          <w:szCs w:val="22"/>
          <w:lang w:eastAsia="en-US"/>
        </w:rPr>
      </w:pPr>
      <w:r w:rsidRPr="00ED7F0F">
        <w:rPr>
          <w:rFonts w:eastAsia="TimesNewRoman"/>
          <w:szCs w:val="22"/>
          <w:lang w:eastAsia="en-US"/>
        </w:rPr>
        <w:t>Filmom obalená tableta</w:t>
      </w:r>
      <w:r w:rsidR="00707230" w:rsidRPr="00ED7F0F">
        <w:rPr>
          <w:rFonts w:eastAsia="TimesNewRoman"/>
          <w:szCs w:val="22"/>
          <w:lang w:eastAsia="en-US"/>
        </w:rPr>
        <w:t xml:space="preserve"> (tableta)</w:t>
      </w:r>
      <w:r w:rsidR="00DA78CC" w:rsidRPr="00ED7F0F">
        <w:rPr>
          <w:rFonts w:eastAsia="TimesNewRoman"/>
          <w:szCs w:val="22"/>
          <w:lang w:eastAsia="en-US"/>
        </w:rPr>
        <w:t>.</w:t>
      </w:r>
    </w:p>
    <w:p w:rsidR="005D45FC" w:rsidRPr="00ED7F0F" w:rsidRDefault="005D45FC" w:rsidP="00122C9F">
      <w:pPr>
        <w:autoSpaceDE w:val="0"/>
        <w:autoSpaceDN w:val="0"/>
        <w:adjustRightInd w:val="0"/>
        <w:rPr>
          <w:rFonts w:eastAsia="TimesNewRoman"/>
          <w:szCs w:val="22"/>
          <w:lang w:eastAsia="en-US"/>
        </w:rPr>
      </w:pPr>
    </w:p>
    <w:p w:rsidR="005D45FC" w:rsidRPr="00ED7F0F" w:rsidRDefault="005D45FC" w:rsidP="00122C9F">
      <w:pPr>
        <w:autoSpaceDE w:val="0"/>
        <w:autoSpaceDN w:val="0"/>
        <w:adjustRightInd w:val="0"/>
        <w:rPr>
          <w:rFonts w:eastAsia="TimesNewRoman"/>
          <w:szCs w:val="22"/>
          <w:lang w:eastAsia="en-US"/>
        </w:rPr>
      </w:pPr>
      <w:r w:rsidRPr="00ED7F0F">
        <w:rPr>
          <w:szCs w:val="22"/>
          <w:u w:val="single"/>
        </w:rPr>
        <w:t xml:space="preserve">Dasatinib </w:t>
      </w:r>
      <w:r w:rsidR="00ED4E9C" w:rsidRPr="00ED7F0F">
        <w:rPr>
          <w:szCs w:val="22"/>
          <w:u w:val="single"/>
        </w:rPr>
        <w:t>Mylan</w:t>
      </w:r>
      <w:r w:rsidRPr="00ED7F0F">
        <w:rPr>
          <w:szCs w:val="22"/>
          <w:u w:val="single"/>
        </w:rPr>
        <w:t xml:space="preserve"> 70 mg filmom obalené tablety</w:t>
      </w:r>
    </w:p>
    <w:p w:rsidR="006A5458" w:rsidRPr="00ED7F0F" w:rsidRDefault="005D45FC" w:rsidP="00122C9F">
      <w:pPr>
        <w:autoSpaceDE w:val="0"/>
        <w:autoSpaceDN w:val="0"/>
        <w:adjustRightInd w:val="0"/>
        <w:rPr>
          <w:rFonts w:eastAsia="TimesNewRoman"/>
          <w:szCs w:val="22"/>
          <w:lang w:eastAsia="en-US"/>
        </w:rPr>
      </w:pPr>
      <w:r w:rsidRPr="00ED7F0F">
        <w:rPr>
          <w:rFonts w:eastAsia="TimesNewRoman"/>
          <w:szCs w:val="22"/>
          <w:lang w:eastAsia="en-US"/>
        </w:rPr>
        <w:t>Biela až takmer biela, bikonvexná, okrúhla filmom obalená tableta s</w:t>
      </w:r>
      <w:r w:rsidR="006A5458" w:rsidRPr="00ED7F0F">
        <w:rPr>
          <w:rFonts w:eastAsia="TimesNewRoman"/>
          <w:szCs w:val="22"/>
          <w:lang w:eastAsia="en-US"/>
        </w:rPr>
        <w:t> priemerom približne 9,1 mm</w:t>
      </w:r>
      <w:r w:rsidRPr="00ED7F0F">
        <w:rPr>
          <w:rFonts w:eastAsia="TimesNewRoman"/>
          <w:szCs w:val="22"/>
          <w:lang w:eastAsia="en-US"/>
        </w:rPr>
        <w:t xml:space="preserve"> </w:t>
      </w:r>
      <w:r w:rsidR="006A5458" w:rsidRPr="00ED7F0F">
        <w:rPr>
          <w:rFonts w:eastAsia="TimesNewRoman"/>
          <w:szCs w:val="22"/>
          <w:lang w:eastAsia="en-US"/>
        </w:rPr>
        <w:t>s označením “D7SB” na jednej strane a "70" na druhej strane.</w:t>
      </w:r>
    </w:p>
    <w:p w:rsidR="006A5458" w:rsidRPr="00ED7F0F" w:rsidRDefault="006A5458" w:rsidP="00122C9F">
      <w:pPr>
        <w:autoSpaceDE w:val="0"/>
        <w:autoSpaceDN w:val="0"/>
        <w:adjustRightInd w:val="0"/>
        <w:rPr>
          <w:szCs w:val="22"/>
          <w:u w:val="single"/>
        </w:rPr>
      </w:pPr>
    </w:p>
    <w:p w:rsidR="00D3748D" w:rsidRPr="00ED7F0F" w:rsidRDefault="00D3748D" w:rsidP="00122C9F">
      <w:pPr>
        <w:autoSpaceDE w:val="0"/>
        <w:autoSpaceDN w:val="0"/>
        <w:adjustRightInd w:val="0"/>
        <w:rPr>
          <w:rFonts w:eastAsia="TimesNewRoman"/>
          <w:szCs w:val="22"/>
          <w:highlight w:val="lightGray"/>
          <w:lang w:eastAsia="en-US"/>
        </w:rPr>
      </w:pPr>
      <w:r w:rsidRPr="00ED7F0F">
        <w:rPr>
          <w:szCs w:val="22"/>
          <w:highlight w:val="lightGray"/>
          <w:u w:val="single"/>
        </w:rPr>
        <w:t>Dasatinib Mylan 100 mg filmom obalené tablety</w:t>
      </w:r>
    </w:p>
    <w:p w:rsidR="00D3748D" w:rsidRPr="00ED7F0F" w:rsidRDefault="00D3748D" w:rsidP="00122C9F">
      <w:pPr>
        <w:autoSpaceDE w:val="0"/>
        <w:autoSpaceDN w:val="0"/>
        <w:adjustRightInd w:val="0"/>
        <w:rPr>
          <w:rFonts w:eastAsia="TimesNewRoman"/>
          <w:szCs w:val="22"/>
          <w:highlight w:val="lightGray"/>
          <w:lang w:eastAsia="en-US"/>
        </w:rPr>
      </w:pPr>
      <w:r w:rsidRPr="00ED7F0F">
        <w:rPr>
          <w:rFonts w:eastAsia="TimesNewRoman"/>
          <w:szCs w:val="22"/>
          <w:highlight w:val="lightGray"/>
          <w:lang w:eastAsia="en-US"/>
        </w:rPr>
        <w:t>Biela až takmer biela, bikonvexná, oválna filmom obalená tableta s dĺžkou približne 15,1 mm a šírkou približne 7,1 mm s označením “D7SB” na jednej strane a "100" na druhej strane.</w:t>
      </w:r>
    </w:p>
    <w:p w:rsidR="005D45FC" w:rsidRPr="00ED7F0F" w:rsidRDefault="005D45FC" w:rsidP="00122C9F">
      <w:pPr>
        <w:autoSpaceDE w:val="0"/>
        <w:autoSpaceDN w:val="0"/>
        <w:adjustRightInd w:val="0"/>
        <w:rPr>
          <w:rFonts w:eastAsia="TimesNewRoman"/>
          <w:szCs w:val="22"/>
          <w:highlight w:val="lightGray"/>
          <w:lang w:eastAsia="en-US"/>
        </w:rPr>
      </w:pPr>
    </w:p>
    <w:p w:rsidR="00D3748D" w:rsidRPr="00ED7F0F" w:rsidRDefault="00D3748D" w:rsidP="00122C9F">
      <w:pPr>
        <w:spacing w:line="240" w:lineRule="auto"/>
      </w:pPr>
    </w:p>
    <w:p w:rsidR="00812D16" w:rsidRPr="00ED7F0F" w:rsidRDefault="005D45FC" w:rsidP="00122C9F">
      <w:pPr>
        <w:keepNext/>
        <w:numPr>
          <w:ilvl w:val="0"/>
          <w:numId w:val="5"/>
        </w:numPr>
        <w:suppressAutoHyphens/>
        <w:spacing w:line="240" w:lineRule="auto"/>
        <w:rPr>
          <w:caps/>
        </w:rPr>
      </w:pPr>
      <w:r w:rsidRPr="00ED7F0F">
        <w:rPr>
          <w:b/>
        </w:rPr>
        <w:t>KLINICKÉ ÚDAJE</w:t>
      </w:r>
    </w:p>
    <w:p w:rsidR="00812D16" w:rsidRPr="00ED7F0F" w:rsidRDefault="00812D16" w:rsidP="00122C9F">
      <w:pPr>
        <w:keepNext/>
        <w:spacing w:line="240" w:lineRule="auto"/>
      </w:pPr>
    </w:p>
    <w:p w:rsidR="00812D16" w:rsidRPr="00ED7F0F" w:rsidRDefault="005D45FC" w:rsidP="00122C9F">
      <w:pPr>
        <w:keepNext/>
        <w:numPr>
          <w:ilvl w:val="1"/>
          <w:numId w:val="5"/>
        </w:numPr>
        <w:spacing w:line="240" w:lineRule="auto"/>
        <w:outlineLvl w:val="0"/>
      </w:pPr>
      <w:r w:rsidRPr="00ED7F0F">
        <w:rPr>
          <w:b/>
        </w:rPr>
        <w:t>Terapeutické indikácie</w:t>
      </w:r>
    </w:p>
    <w:p w:rsidR="00812D16" w:rsidRPr="00ED7F0F" w:rsidRDefault="00812D16" w:rsidP="00122C9F">
      <w:pPr>
        <w:keepNext/>
        <w:spacing w:line="240" w:lineRule="auto"/>
      </w:pPr>
    </w:p>
    <w:p w:rsidR="00E33A23" w:rsidRPr="00ED7F0F" w:rsidRDefault="00E33A23" w:rsidP="00122C9F">
      <w:pPr>
        <w:autoSpaceDE w:val="0"/>
        <w:autoSpaceDN w:val="0"/>
        <w:adjustRightInd w:val="0"/>
        <w:rPr>
          <w:rFonts w:eastAsia="TimesNewRoman"/>
          <w:color w:val="000000"/>
          <w:szCs w:val="22"/>
          <w:lang w:eastAsia="en-US"/>
        </w:rPr>
      </w:pPr>
      <w:r w:rsidRPr="00ED7F0F">
        <w:rPr>
          <w:rFonts w:eastAsia="TimesNewRoman"/>
          <w:color w:val="000000"/>
          <w:szCs w:val="22"/>
          <w:lang w:eastAsia="en-US"/>
        </w:rPr>
        <w:t xml:space="preserve">Dasatinib </w:t>
      </w:r>
      <w:r w:rsidR="00ED4E9C" w:rsidRPr="00ED7F0F">
        <w:rPr>
          <w:rFonts w:eastAsia="TimesNewRoman"/>
          <w:color w:val="000000"/>
          <w:szCs w:val="22"/>
          <w:lang w:eastAsia="en-US"/>
        </w:rPr>
        <w:t>Mylan</w:t>
      </w:r>
      <w:r w:rsidRPr="00ED7F0F">
        <w:rPr>
          <w:rFonts w:eastAsia="TimesNewRoman"/>
          <w:color w:val="000000"/>
          <w:szCs w:val="22"/>
          <w:lang w:eastAsia="en-US"/>
        </w:rPr>
        <w:t xml:space="preserve"> je indikovaný </w:t>
      </w:r>
      <w:r w:rsidR="00CA482B" w:rsidRPr="00ED7F0F">
        <w:rPr>
          <w:rFonts w:eastAsia="TimesNewRoman"/>
          <w:color w:val="000000"/>
          <w:szCs w:val="22"/>
          <w:lang w:eastAsia="en-US"/>
        </w:rPr>
        <w:t>na liečbu dospelých pacientov s:</w:t>
      </w:r>
    </w:p>
    <w:p w:rsidR="00E33A23" w:rsidRPr="00ED7F0F" w:rsidRDefault="00E33A23" w:rsidP="00122C9F">
      <w:pPr>
        <w:numPr>
          <w:ilvl w:val="0"/>
          <w:numId w:val="11"/>
        </w:numPr>
        <w:tabs>
          <w:tab w:val="clear" w:pos="567"/>
        </w:tabs>
        <w:autoSpaceDE w:val="0"/>
        <w:autoSpaceDN w:val="0"/>
        <w:adjustRightInd w:val="0"/>
        <w:spacing w:line="240" w:lineRule="auto"/>
        <w:ind w:left="567" w:hanging="567"/>
        <w:rPr>
          <w:rFonts w:eastAsia="TimesNewRoman"/>
          <w:color w:val="000000"/>
          <w:szCs w:val="22"/>
          <w:lang w:eastAsia="en-US"/>
        </w:rPr>
      </w:pPr>
      <w:r w:rsidRPr="00ED7F0F">
        <w:rPr>
          <w:rFonts w:eastAsia="TimesNewRoman"/>
          <w:color w:val="000000"/>
          <w:szCs w:val="22"/>
          <w:lang w:eastAsia="en-US"/>
        </w:rPr>
        <w:t>novodiagnostikovaný</w:t>
      </w:r>
      <w:r w:rsidR="00CA482B" w:rsidRPr="00ED7F0F">
        <w:rPr>
          <w:rFonts w:eastAsia="TimesNewRoman"/>
          <w:color w:val="000000"/>
          <w:szCs w:val="22"/>
          <w:lang w:eastAsia="en-US"/>
        </w:rPr>
        <w:t>m</w:t>
      </w:r>
      <w:r w:rsidRPr="00ED7F0F">
        <w:rPr>
          <w:rFonts w:eastAsia="TimesNewRoman"/>
          <w:color w:val="000000"/>
          <w:szCs w:val="22"/>
          <w:lang w:eastAsia="en-US"/>
        </w:rPr>
        <w:t xml:space="preserve"> </w:t>
      </w:r>
      <w:bookmarkStart w:id="1" w:name="_Hlk18488079"/>
      <w:r w:rsidRPr="00ED7F0F">
        <w:rPr>
          <w:rFonts w:eastAsia="TimesNewRoman"/>
          <w:color w:val="000000"/>
          <w:szCs w:val="22"/>
          <w:lang w:eastAsia="en-US"/>
        </w:rPr>
        <w:t>pozitívny</w:t>
      </w:r>
      <w:r w:rsidR="00CA482B" w:rsidRPr="00ED7F0F">
        <w:rPr>
          <w:rFonts w:eastAsia="TimesNewRoman"/>
          <w:color w:val="000000"/>
          <w:szCs w:val="22"/>
          <w:lang w:eastAsia="en-US"/>
        </w:rPr>
        <w:t>m</w:t>
      </w:r>
      <w:r w:rsidRPr="00ED7F0F">
        <w:rPr>
          <w:rFonts w:eastAsia="TimesNewRoman"/>
          <w:color w:val="000000"/>
          <w:szCs w:val="22"/>
          <w:lang w:eastAsia="en-US"/>
        </w:rPr>
        <w:t xml:space="preserve"> chromozómo</w:t>
      </w:r>
      <w:r w:rsidR="00CA482B" w:rsidRPr="00ED7F0F">
        <w:rPr>
          <w:rFonts w:eastAsia="TimesNewRoman"/>
          <w:color w:val="000000"/>
          <w:szCs w:val="22"/>
          <w:lang w:eastAsia="en-US"/>
        </w:rPr>
        <w:t>m</w:t>
      </w:r>
      <w:r w:rsidRPr="00ED7F0F">
        <w:rPr>
          <w:rFonts w:eastAsia="TimesNewRoman"/>
          <w:color w:val="000000"/>
          <w:szCs w:val="22"/>
          <w:lang w:eastAsia="en-US"/>
        </w:rPr>
        <w:t xml:space="preserve"> Philadelphia (Ph+)</w:t>
      </w:r>
      <w:bookmarkEnd w:id="1"/>
      <w:r w:rsidRPr="00ED7F0F">
        <w:rPr>
          <w:rFonts w:eastAsia="TimesNewRoman"/>
          <w:color w:val="000000"/>
          <w:szCs w:val="22"/>
          <w:lang w:eastAsia="en-US"/>
        </w:rPr>
        <w:t xml:space="preserve"> chronickej myeloidnej leukémie (</w:t>
      </w:r>
      <w:r w:rsidRPr="00ED7F0F">
        <w:rPr>
          <w:szCs w:val="22"/>
        </w:rPr>
        <w:t>chronic</w:t>
      </w:r>
      <w:r w:rsidRPr="00ED7F0F">
        <w:rPr>
          <w:spacing w:val="-8"/>
          <w:szCs w:val="22"/>
        </w:rPr>
        <w:t xml:space="preserve"> </w:t>
      </w:r>
      <w:r w:rsidRPr="00ED7F0F">
        <w:rPr>
          <w:spacing w:val="-2"/>
          <w:szCs w:val="22"/>
        </w:rPr>
        <w:t>m</w:t>
      </w:r>
      <w:r w:rsidRPr="00ED7F0F">
        <w:rPr>
          <w:spacing w:val="2"/>
          <w:szCs w:val="22"/>
        </w:rPr>
        <w:t>y</w:t>
      </w:r>
      <w:r w:rsidRPr="00ED7F0F">
        <w:rPr>
          <w:szCs w:val="22"/>
        </w:rPr>
        <w:t>elogenous</w:t>
      </w:r>
      <w:r w:rsidRPr="00ED7F0F">
        <w:rPr>
          <w:spacing w:val="-13"/>
          <w:szCs w:val="22"/>
        </w:rPr>
        <w:t xml:space="preserve"> </w:t>
      </w:r>
      <w:r w:rsidRPr="00ED7F0F">
        <w:rPr>
          <w:szCs w:val="22"/>
        </w:rPr>
        <w:t>leuk</w:t>
      </w:r>
      <w:r w:rsidR="00D22B54" w:rsidRPr="00ED7F0F">
        <w:rPr>
          <w:szCs w:val="22"/>
        </w:rPr>
        <w:t>a</w:t>
      </w:r>
      <w:r w:rsidRPr="00ED7F0F">
        <w:rPr>
          <w:szCs w:val="22"/>
        </w:rPr>
        <w:t>e</w:t>
      </w:r>
      <w:r w:rsidRPr="00ED7F0F">
        <w:rPr>
          <w:spacing w:val="-1"/>
          <w:szCs w:val="22"/>
        </w:rPr>
        <w:t>m</w:t>
      </w:r>
      <w:r w:rsidRPr="00ED7F0F">
        <w:rPr>
          <w:szCs w:val="22"/>
        </w:rPr>
        <w:t>ia,</w:t>
      </w:r>
      <w:r w:rsidR="00D22B54" w:rsidRPr="00ED7F0F">
        <w:rPr>
          <w:szCs w:val="22"/>
        </w:rPr>
        <w:t xml:space="preserve"> </w:t>
      </w:r>
      <w:r w:rsidRPr="00ED7F0F">
        <w:rPr>
          <w:rFonts w:eastAsia="TimesNewRoman"/>
          <w:color w:val="000000"/>
          <w:szCs w:val="22"/>
          <w:lang w:eastAsia="en-US"/>
        </w:rPr>
        <w:t>CML) v</w:t>
      </w:r>
      <w:r w:rsidR="00D3748D" w:rsidRPr="00ED7F0F">
        <w:rPr>
          <w:rFonts w:eastAsia="TimesNewRoman"/>
          <w:color w:val="000000"/>
          <w:szCs w:val="22"/>
          <w:lang w:eastAsia="en-US"/>
        </w:rPr>
        <w:t> </w:t>
      </w:r>
      <w:r w:rsidRPr="00ED7F0F">
        <w:rPr>
          <w:rFonts w:eastAsia="TimesNewRoman"/>
          <w:color w:val="000000"/>
          <w:szCs w:val="22"/>
          <w:lang w:eastAsia="en-US"/>
        </w:rPr>
        <w:t>chronickej fáze.</w:t>
      </w:r>
    </w:p>
    <w:p w:rsidR="00E33A23" w:rsidRPr="00ED7F0F" w:rsidRDefault="00E33A23" w:rsidP="00122C9F">
      <w:pPr>
        <w:numPr>
          <w:ilvl w:val="0"/>
          <w:numId w:val="11"/>
        </w:numPr>
        <w:tabs>
          <w:tab w:val="clear" w:pos="567"/>
        </w:tabs>
        <w:autoSpaceDE w:val="0"/>
        <w:autoSpaceDN w:val="0"/>
        <w:adjustRightInd w:val="0"/>
        <w:spacing w:line="240" w:lineRule="auto"/>
        <w:ind w:left="567" w:hanging="567"/>
        <w:rPr>
          <w:rFonts w:eastAsia="TimesNewRoman"/>
          <w:color w:val="000000"/>
          <w:szCs w:val="22"/>
          <w:lang w:eastAsia="en-US"/>
        </w:rPr>
      </w:pPr>
      <w:r w:rsidRPr="00ED7F0F">
        <w:rPr>
          <w:rFonts w:eastAsia="TimesNewRoman"/>
          <w:color w:val="000000"/>
          <w:szCs w:val="22"/>
          <w:lang w:eastAsia="en-US"/>
        </w:rPr>
        <w:t>chronick</w:t>
      </w:r>
      <w:r w:rsidR="00CA482B" w:rsidRPr="00ED7F0F">
        <w:rPr>
          <w:rFonts w:eastAsia="TimesNewRoman"/>
          <w:color w:val="000000"/>
          <w:szCs w:val="22"/>
          <w:lang w:eastAsia="en-US"/>
        </w:rPr>
        <w:t>ou</w:t>
      </w:r>
      <w:r w:rsidRPr="00ED7F0F">
        <w:rPr>
          <w:rFonts w:eastAsia="TimesNewRoman"/>
          <w:color w:val="000000"/>
          <w:szCs w:val="22"/>
          <w:lang w:eastAsia="en-US"/>
        </w:rPr>
        <w:t>, akcelerovan</w:t>
      </w:r>
      <w:r w:rsidR="00CA482B" w:rsidRPr="00ED7F0F">
        <w:rPr>
          <w:rFonts w:eastAsia="TimesNewRoman"/>
          <w:color w:val="000000"/>
          <w:szCs w:val="22"/>
          <w:lang w:eastAsia="en-US"/>
        </w:rPr>
        <w:t>ou</w:t>
      </w:r>
      <w:r w:rsidRPr="00ED7F0F">
        <w:rPr>
          <w:rFonts w:eastAsia="TimesNewRoman"/>
          <w:color w:val="000000"/>
          <w:szCs w:val="22"/>
          <w:lang w:eastAsia="en-US"/>
        </w:rPr>
        <w:t xml:space="preserve"> alebo blastick</w:t>
      </w:r>
      <w:r w:rsidR="00CA482B" w:rsidRPr="00ED7F0F">
        <w:rPr>
          <w:rFonts w:eastAsia="TimesNewRoman"/>
          <w:color w:val="000000"/>
          <w:szCs w:val="22"/>
          <w:lang w:eastAsia="en-US"/>
        </w:rPr>
        <w:t>ou</w:t>
      </w:r>
      <w:r w:rsidRPr="00ED7F0F">
        <w:rPr>
          <w:rFonts w:eastAsia="TimesNewRoman"/>
          <w:color w:val="000000"/>
          <w:szCs w:val="22"/>
          <w:lang w:eastAsia="en-US"/>
        </w:rPr>
        <w:t xml:space="preserve"> fáz</w:t>
      </w:r>
      <w:r w:rsidR="00CA482B" w:rsidRPr="00ED7F0F">
        <w:rPr>
          <w:rFonts w:eastAsia="TimesNewRoman"/>
          <w:color w:val="000000"/>
          <w:szCs w:val="22"/>
          <w:lang w:eastAsia="en-US"/>
        </w:rPr>
        <w:t>ou</w:t>
      </w:r>
      <w:r w:rsidRPr="00ED7F0F">
        <w:rPr>
          <w:rFonts w:eastAsia="TimesNewRoman"/>
          <w:color w:val="000000"/>
          <w:szCs w:val="22"/>
          <w:lang w:eastAsia="en-US"/>
        </w:rPr>
        <w:t xml:space="preserve"> CML s</w:t>
      </w:r>
      <w:r w:rsidR="00D3748D" w:rsidRPr="00ED7F0F">
        <w:rPr>
          <w:rFonts w:eastAsia="TimesNewRoman"/>
          <w:color w:val="000000"/>
          <w:szCs w:val="22"/>
          <w:lang w:eastAsia="en-US"/>
        </w:rPr>
        <w:t> </w:t>
      </w:r>
      <w:r w:rsidRPr="00ED7F0F">
        <w:rPr>
          <w:rFonts w:eastAsia="TimesNewRoman"/>
          <w:color w:val="000000"/>
          <w:szCs w:val="22"/>
          <w:lang w:eastAsia="en-US"/>
        </w:rPr>
        <w:t>rezistenciou alebo intoleranciou na predošlú liečbu zahŕňajúcu imatinib.</w:t>
      </w:r>
    </w:p>
    <w:p w:rsidR="00E33A23" w:rsidRPr="00ED7F0F" w:rsidRDefault="00E33A23" w:rsidP="00122C9F">
      <w:pPr>
        <w:numPr>
          <w:ilvl w:val="0"/>
          <w:numId w:val="11"/>
        </w:numPr>
        <w:tabs>
          <w:tab w:val="clear" w:pos="567"/>
        </w:tabs>
        <w:autoSpaceDE w:val="0"/>
        <w:autoSpaceDN w:val="0"/>
        <w:adjustRightInd w:val="0"/>
        <w:spacing w:line="240" w:lineRule="auto"/>
        <w:ind w:left="567" w:hanging="567"/>
        <w:rPr>
          <w:rFonts w:eastAsia="TimesNewRoman"/>
          <w:color w:val="000000"/>
          <w:szCs w:val="22"/>
          <w:lang w:eastAsia="en-US"/>
        </w:rPr>
      </w:pPr>
      <w:r w:rsidRPr="00ED7F0F">
        <w:rPr>
          <w:rFonts w:eastAsia="TimesNewRoman"/>
          <w:color w:val="000000"/>
          <w:szCs w:val="22"/>
          <w:lang w:eastAsia="en-US"/>
        </w:rPr>
        <w:t>akútn</w:t>
      </w:r>
      <w:r w:rsidR="00CA482B" w:rsidRPr="00ED7F0F">
        <w:rPr>
          <w:rFonts w:eastAsia="TimesNewRoman"/>
          <w:color w:val="000000"/>
          <w:szCs w:val="22"/>
          <w:lang w:eastAsia="en-US"/>
        </w:rPr>
        <w:t>ou</w:t>
      </w:r>
      <w:r w:rsidRPr="00ED7F0F">
        <w:rPr>
          <w:rFonts w:eastAsia="TimesNewRoman"/>
          <w:color w:val="000000"/>
          <w:szCs w:val="22"/>
          <w:lang w:eastAsia="en-US"/>
        </w:rPr>
        <w:t xml:space="preserve"> lymfoblastov</w:t>
      </w:r>
      <w:r w:rsidR="00CA482B" w:rsidRPr="00ED7F0F">
        <w:rPr>
          <w:rFonts w:eastAsia="TimesNewRoman"/>
          <w:color w:val="000000"/>
          <w:szCs w:val="22"/>
          <w:lang w:eastAsia="en-US"/>
        </w:rPr>
        <w:t>ou</w:t>
      </w:r>
      <w:r w:rsidRPr="00ED7F0F">
        <w:rPr>
          <w:rFonts w:eastAsia="TimesNewRoman"/>
          <w:color w:val="000000"/>
          <w:szCs w:val="22"/>
          <w:lang w:eastAsia="en-US"/>
        </w:rPr>
        <w:t xml:space="preserve"> leukémi</w:t>
      </w:r>
      <w:r w:rsidR="00CA482B" w:rsidRPr="00ED7F0F">
        <w:rPr>
          <w:rFonts w:eastAsia="TimesNewRoman"/>
          <w:color w:val="000000"/>
          <w:szCs w:val="22"/>
          <w:lang w:eastAsia="en-US"/>
        </w:rPr>
        <w:t>ou</w:t>
      </w:r>
      <w:r w:rsidRPr="00ED7F0F">
        <w:rPr>
          <w:rFonts w:eastAsia="TimesNewRoman"/>
          <w:color w:val="000000"/>
          <w:szCs w:val="22"/>
          <w:lang w:eastAsia="en-US"/>
        </w:rPr>
        <w:t xml:space="preserve"> (</w:t>
      </w:r>
      <w:r w:rsidRPr="00ED7F0F">
        <w:rPr>
          <w:szCs w:val="22"/>
        </w:rPr>
        <w:t>acute</w:t>
      </w:r>
      <w:r w:rsidRPr="00ED7F0F">
        <w:rPr>
          <w:spacing w:val="-4"/>
          <w:szCs w:val="22"/>
        </w:rPr>
        <w:t xml:space="preserve"> </w:t>
      </w:r>
      <w:r w:rsidRPr="00ED7F0F">
        <w:rPr>
          <w:szCs w:val="22"/>
        </w:rPr>
        <w:t>ly</w:t>
      </w:r>
      <w:r w:rsidRPr="00ED7F0F">
        <w:rPr>
          <w:spacing w:val="-2"/>
          <w:szCs w:val="22"/>
        </w:rPr>
        <w:t>m</w:t>
      </w:r>
      <w:r w:rsidRPr="00ED7F0F">
        <w:rPr>
          <w:szCs w:val="22"/>
        </w:rPr>
        <w:t>phoblastic</w:t>
      </w:r>
      <w:r w:rsidRPr="00ED7F0F">
        <w:rPr>
          <w:spacing w:val="-11"/>
          <w:szCs w:val="22"/>
        </w:rPr>
        <w:t xml:space="preserve"> </w:t>
      </w:r>
      <w:r w:rsidRPr="00ED7F0F">
        <w:rPr>
          <w:szCs w:val="22"/>
        </w:rPr>
        <w:t>leukae</w:t>
      </w:r>
      <w:r w:rsidRPr="00ED7F0F">
        <w:rPr>
          <w:spacing w:val="-1"/>
          <w:szCs w:val="22"/>
        </w:rPr>
        <w:t>m</w:t>
      </w:r>
      <w:r w:rsidRPr="00ED7F0F">
        <w:rPr>
          <w:szCs w:val="22"/>
        </w:rPr>
        <w:t>ia,</w:t>
      </w:r>
      <w:r w:rsidRPr="00ED7F0F">
        <w:rPr>
          <w:rFonts w:eastAsia="TimesNewRoman"/>
          <w:color w:val="000000"/>
          <w:szCs w:val="22"/>
          <w:lang w:eastAsia="en-US"/>
        </w:rPr>
        <w:t xml:space="preserve"> ALL) s</w:t>
      </w:r>
      <w:r w:rsidR="00D3748D" w:rsidRPr="00ED7F0F">
        <w:t> </w:t>
      </w:r>
      <w:r w:rsidR="00D3748D" w:rsidRPr="00ED7F0F">
        <w:rPr>
          <w:rFonts w:eastAsia="TimesNewRoman"/>
          <w:color w:val="000000"/>
          <w:szCs w:val="22"/>
          <w:lang w:eastAsia="en-US"/>
        </w:rPr>
        <w:t>pozitívny</w:t>
      </w:r>
      <w:r w:rsidR="00E82502" w:rsidRPr="00ED7F0F">
        <w:rPr>
          <w:rFonts w:eastAsia="TimesNewRoman"/>
          <w:color w:val="000000"/>
          <w:szCs w:val="22"/>
          <w:lang w:eastAsia="en-US"/>
        </w:rPr>
        <w:t>m</w:t>
      </w:r>
      <w:r w:rsidR="00D3748D" w:rsidRPr="00ED7F0F">
        <w:rPr>
          <w:rFonts w:eastAsia="TimesNewRoman"/>
          <w:color w:val="000000"/>
          <w:szCs w:val="22"/>
          <w:lang w:eastAsia="en-US"/>
        </w:rPr>
        <w:t xml:space="preserve"> chromozómo</w:t>
      </w:r>
      <w:r w:rsidR="00E82502" w:rsidRPr="00ED7F0F">
        <w:rPr>
          <w:rFonts w:eastAsia="TimesNewRoman"/>
          <w:color w:val="000000"/>
          <w:szCs w:val="22"/>
          <w:lang w:eastAsia="en-US"/>
        </w:rPr>
        <w:t>m</w:t>
      </w:r>
      <w:r w:rsidR="00D3748D" w:rsidRPr="00ED7F0F">
        <w:rPr>
          <w:rFonts w:eastAsia="TimesNewRoman"/>
          <w:color w:val="000000"/>
          <w:szCs w:val="22"/>
          <w:lang w:eastAsia="en-US"/>
        </w:rPr>
        <w:t xml:space="preserve"> Philadelphia (Ph+)</w:t>
      </w:r>
      <w:r w:rsidRPr="00ED7F0F">
        <w:rPr>
          <w:rFonts w:eastAsia="TimesNewRoman"/>
          <w:color w:val="000000"/>
          <w:szCs w:val="22"/>
          <w:lang w:eastAsia="en-US"/>
        </w:rPr>
        <w:t xml:space="preserve"> a lymfoidn</w:t>
      </w:r>
      <w:r w:rsidR="00CA482B" w:rsidRPr="00ED7F0F">
        <w:rPr>
          <w:rFonts w:eastAsia="TimesNewRoman"/>
          <w:color w:val="000000"/>
          <w:szCs w:val="22"/>
          <w:lang w:eastAsia="en-US"/>
        </w:rPr>
        <w:t>ou</w:t>
      </w:r>
      <w:r w:rsidRPr="00ED7F0F">
        <w:rPr>
          <w:rFonts w:eastAsia="TimesNewRoman"/>
          <w:color w:val="000000"/>
          <w:szCs w:val="22"/>
          <w:lang w:eastAsia="en-US"/>
        </w:rPr>
        <w:t xml:space="preserve"> blastov</w:t>
      </w:r>
      <w:r w:rsidR="00CA482B" w:rsidRPr="00ED7F0F">
        <w:rPr>
          <w:rFonts w:eastAsia="TimesNewRoman"/>
          <w:color w:val="000000"/>
          <w:szCs w:val="22"/>
          <w:lang w:eastAsia="en-US"/>
        </w:rPr>
        <w:t>ou</w:t>
      </w:r>
      <w:r w:rsidRPr="00ED7F0F">
        <w:rPr>
          <w:rFonts w:eastAsia="TimesNewRoman"/>
          <w:color w:val="000000"/>
          <w:szCs w:val="22"/>
          <w:lang w:eastAsia="en-US"/>
        </w:rPr>
        <w:t xml:space="preserve"> CML s</w:t>
      </w:r>
      <w:r w:rsidR="0094679E" w:rsidRPr="00ED7F0F">
        <w:rPr>
          <w:rFonts w:eastAsia="TimesNewRoman"/>
          <w:color w:val="000000"/>
          <w:szCs w:val="22"/>
          <w:lang w:eastAsia="en-US"/>
        </w:rPr>
        <w:t> </w:t>
      </w:r>
      <w:r w:rsidRPr="00ED7F0F">
        <w:rPr>
          <w:rFonts w:eastAsia="TimesNewRoman"/>
          <w:color w:val="000000"/>
          <w:szCs w:val="22"/>
          <w:lang w:eastAsia="en-US"/>
        </w:rPr>
        <w:t>rezistenciou alebo intoleranciou na predošlú liečbu.</w:t>
      </w:r>
    </w:p>
    <w:p w:rsidR="0094679E" w:rsidRPr="00ED7F0F" w:rsidRDefault="0094679E" w:rsidP="00122C9F">
      <w:pPr>
        <w:tabs>
          <w:tab w:val="clear" w:pos="567"/>
        </w:tabs>
        <w:autoSpaceDE w:val="0"/>
        <w:autoSpaceDN w:val="0"/>
        <w:adjustRightInd w:val="0"/>
        <w:spacing w:line="240" w:lineRule="auto"/>
        <w:rPr>
          <w:rFonts w:eastAsia="TimesNewRoman"/>
          <w:color w:val="000000"/>
          <w:szCs w:val="22"/>
          <w:lang w:eastAsia="en-US"/>
        </w:rPr>
      </w:pPr>
    </w:p>
    <w:p w:rsidR="0094679E" w:rsidRPr="00ED7F0F" w:rsidRDefault="0094679E" w:rsidP="00122C9F">
      <w:pPr>
        <w:spacing w:line="240" w:lineRule="auto"/>
      </w:pPr>
      <w:r w:rsidRPr="00ED7F0F">
        <w:t>Dasatinib Mylan je indikovaný na liečbu pediatrických pacientov s:</w:t>
      </w:r>
    </w:p>
    <w:p w:rsidR="0094679E" w:rsidRPr="00ED7F0F" w:rsidRDefault="0094679E" w:rsidP="00122C9F">
      <w:pPr>
        <w:numPr>
          <w:ilvl w:val="0"/>
          <w:numId w:val="11"/>
        </w:numPr>
        <w:tabs>
          <w:tab w:val="clear" w:pos="567"/>
        </w:tabs>
        <w:autoSpaceDE w:val="0"/>
        <w:autoSpaceDN w:val="0"/>
        <w:adjustRightInd w:val="0"/>
        <w:spacing w:line="240" w:lineRule="auto"/>
        <w:ind w:left="567" w:hanging="567"/>
      </w:pPr>
      <w:r w:rsidRPr="00ED7F0F">
        <w:lastRenderedPageBreak/>
        <w:t>novodiagnostikovaným Ph+ CML v chronickej fáze (Ph+ CML-CP) alebo Ph+ CML-CP s rezistenciou alebo intoleranciou na predošlú liečbu zahŕňajúcu imatinib.</w:t>
      </w:r>
    </w:p>
    <w:p w:rsidR="00812D16" w:rsidRPr="00ED7F0F" w:rsidRDefault="0094679E" w:rsidP="00122C9F">
      <w:pPr>
        <w:numPr>
          <w:ilvl w:val="0"/>
          <w:numId w:val="11"/>
        </w:numPr>
        <w:tabs>
          <w:tab w:val="clear" w:pos="567"/>
        </w:tabs>
        <w:autoSpaceDE w:val="0"/>
        <w:autoSpaceDN w:val="0"/>
        <w:adjustRightInd w:val="0"/>
        <w:spacing w:line="240" w:lineRule="auto"/>
        <w:ind w:left="567" w:hanging="567"/>
      </w:pPr>
      <w:r w:rsidRPr="00ED7F0F">
        <w:t>novodiagnostikovanou ALL s Ph+ v kombinácii s chemoterapiou.</w:t>
      </w:r>
    </w:p>
    <w:p w:rsidR="0094679E" w:rsidRPr="00ED7F0F" w:rsidRDefault="0094679E" w:rsidP="00122C9F">
      <w:pPr>
        <w:tabs>
          <w:tab w:val="clear" w:pos="567"/>
        </w:tabs>
        <w:autoSpaceDE w:val="0"/>
        <w:autoSpaceDN w:val="0"/>
        <w:adjustRightInd w:val="0"/>
        <w:spacing w:line="240" w:lineRule="auto"/>
      </w:pPr>
    </w:p>
    <w:p w:rsidR="00812D16" w:rsidRPr="00ED7F0F" w:rsidRDefault="005D45FC" w:rsidP="00122C9F">
      <w:pPr>
        <w:keepNext/>
        <w:numPr>
          <w:ilvl w:val="1"/>
          <w:numId w:val="5"/>
        </w:numPr>
        <w:spacing w:line="240" w:lineRule="auto"/>
        <w:outlineLvl w:val="0"/>
        <w:rPr>
          <w:b/>
        </w:rPr>
      </w:pPr>
      <w:r w:rsidRPr="00ED7F0F">
        <w:rPr>
          <w:b/>
        </w:rPr>
        <w:t>Dávkovanie a spôsob podávania</w:t>
      </w:r>
    </w:p>
    <w:p w:rsidR="00812D16" w:rsidRPr="00ED7F0F" w:rsidRDefault="00812D16" w:rsidP="00122C9F">
      <w:pPr>
        <w:keepNext/>
        <w:spacing w:line="240" w:lineRule="auto"/>
      </w:pPr>
    </w:p>
    <w:p w:rsidR="0094679E" w:rsidRPr="00ED7F0F" w:rsidRDefault="0094679E" w:rsidP="00122C9F">
      <w:pPr>
        <w:autoSpaceDE w:val="0"/>
        <w:autoSpaceDN w:val="0"/>
        <w:adjustRightInd w:val="0"/>
        <w:rPr>
          <w:rFonts w:eastAsia="TimesNewRoman"/>
          <w:szCs w:val="22"/>
          <w:lang w:eastAsia="en-US"/>
        </w:rPr>
      </w:pPr>
      <w:r w:rsidRPr="00ED7F0F">
        <w:rPr>
          <w:rFonts w:eastAsia="TimesNewRoman"/>
          <w:szCs w:val="22"/>
          <w:lang w:eastAsia="en-US"/>
        </w:rPr>
        <w:t>Liečbu má začať lekár, ktorý má skúsenosti s diagnostikovaním a liečbou pacientov s leukémiou.</w:t>
      </w:r>
    </w:p>
    <w:p w:rsidR="0094679E" w:rsidRPr="00ED7F0F" w:rsidRDefault="0094679E" w:rsidP="00122C9F">
      <w:pPr>
        <w:autoSpaceDE w:val="0"/>
        <w:autoSpaceDN w:val="0"/>
        <w:adjustRightInd w:val="0"/>
        <w:rPr>
          <w:rFonts w:eastAsia="TimesNewRoman"/>
          <w:szCs w:val="22"/>
          <w:lang w:eastAsia="en-US"/>
        </w:rPr>
      </w:pPr>
    </w:p>
    <w:p w:rsidR="0094679E" w:rsidRPr="00ED7F0F" w:rsidRDefault="0094679E" w:rsidP="00122C9F">
      <w:pPr>
        <w:autoSpaceDE w:val="0"/>
        <w:autoSpaceDN w:val="0"/>
        <w:adjustRightInd w:val="0"/>
        <w:rPr>
          <w:color w:val="000000"/>
          <w:szCs w:val="22"/>
          <w:u w:val="single"/>
        </w:rPr>
      </w:pPr>
      <w:r w:rsidRPr="00ED7F0F">
        <w:rPr>
          <w:color w:val="000000"/>
          <w:szCs w:val="22"/>
          <w:u w:val="single"/>
        </w:rPr>
        <w:t>Dávkovanie</w:t>
      </w:r>
    </w:p>
    <w:p w:rsidR="0094679E" w:rsidRPr="00ED7F0F" w:rsidRDefault="0094679E" w:rsidP="00122C9F">
      <w:pPr>
        <w:autoSpaceDE w:val="0"/>
        <w:autoSpaceDN w:val="0"/>
        <w:adjustRightInd w:val="0"/>
        <w:rPr>
          <w:rFonts w:eastAsia="TimesNewRoman"/>
          <w:i/>
          <w:szCs w:val="22"/>
          <w:u w:val="single"/>
          <w:lang w:eastAsia="en-US"/>
        </w:rPr>
      </w:pPr>
      <w:r w:rsidRPr="00ED7F0F">
        <w:rPr>
          <w:rFonts w:eastAsia="TimesNewRoman"/>
          <w:i/>
          <w:szCs w:val="22"/>
          <w:u w:val="single"/>
          <w:lang w:eastAsia="en-US"/>
        </w:rPr>
        <w:t>Dospelí pacienti</w:t>
      </w:r>
    </w:p>
    <w:p w:rsidR="0094679E" w:rsidRPr="00ED7F0F" w:rsidRDefault="0094679E" w:rsidP="00122C9F">
      <w:pPr>
        <w:autoSpaceDE w:val="0"/>
        <w:autoSpaceDN w:val="0"/>
        <w:adjustRightInd w:val="0"/>
        <w:rPr>
          <w:rFonts w:eastAsia="TimesNewRoman"/>
          <w:szCs w:val="22"/>
          <w:lang w:eastAsia="en-US"/>
        </w:rPr>
      </w:pPr>
      <w:r w:rsidRPr="00ED7F0F">
        <w:rPr>
          <w:rFonts w:eastAsia="TimesNewRoman"/>
          <w:szCs w:val="22"/>
          <w:lang w:eastAsia="en-US"/>
        </w:rPr>
        <w:t>Odporúčaná začiatočná dávka v chronickej fáze CML je 100 mg dasatinibu jedenkrát denne.</w:t>
      </w:r>
    </w:p>
    <w:p w:rsidR="0094679E" w:rsidRPr="00ED7F0F" w:rsidRDefault="0094679E" w:rsidP="00122C9F">
      <w:pPr>
        <w:autoSpaceDE w:val="0"/>
        <w:autoSpaceDN w:val="0"/>
        <w:adjustRightInd w:val="0"/>
        <w:rPr>
          <w:rFonts w:eastAsia="TimesNewRoman"/>
          <w:szCs w:val="22"/>
          <w:lang w:eastAsia="en-US"/>
        </w:rPr>
      </w:pPr>
    </w:p>
    <w:p w:rsidR="0094679E" w:rsidRPr="00ED7F0F" w:rsidRDefault="0094679E" w:rsidP="00122C9F">
      <w:pPr>
        <w:autoSpaceDE w:val="0"/>
        <w:autoSpaceDN w:val="0"/>
        <w:adjustRightInd w:val="0"/>
        <w:rPr>
          <w:rFonts w:eastAsia="TimesNewRoman"/>
          <w:szCs w:val="22"/>
          <w:lang w:eastAsia="en-US"/>
        </w:rPr>
      </w:pPr>
      <w:r w:rsidRPr="00ED7F0F">
        <w:rPr>
          <w:rFonts w:eastAsia="TimesNewRoman"/>
          <w:szCs w:val="22"/>
          <w:lang w:eastAsia="en-US"/>
        </w:rPr>
        <w:t xml:space="preserve">Odporúčaná začiatočná dávka v akcelerovanej, myeloidnej alebo lymfoidnej blastovej fáze (pokročilá fáza) CML alebo </w:t>
      </w:r>
      <w:r w:rsidR="000B2CEF" w:rsidRPr="00ED7F0F">
        <w:rPr>
          <w:rFonts w:eastAsia="TimesNewRoman"/>
          <w:szCs w:val="22"/>
          <w:lang w:eastAsia="en-US"/>
        </w:rPr>
        <w:t xml:space="preserve">pri </w:t>
      </w:r>
      <w:r w:rsidRPr="00ED7F0F">
        <w:rPr>
          <w:rFonts w:eastAsia="TimesNewRoman"/>
          <w:szCs w:val="22"/>
          <w:lang w:eastAsia="en-US"/>
        </w:rPr>
        <w:t>Ph+ ALL je 140 mg jedenkrát denne (pozri časť 4.4).</w:t>
      </w:r>
    </w:p>
    <w:p w:rsidR="0094679E" w:rsidRPr="00ED7F0F" w:rsidRDefault="0094679E" w:rsidP="00122C9F">
      <w:pPr>
        <w:tabs>
          <w:tab w:val="clear" w:pos="567"/>
        </w:tabs>
        <w:autoSpaceDE w:val="0"/>
        <w:autoSpaceDN w:val="0"/>
        <w:adjustRightInd w:val="0"/>
        <w:spacing w:line="240" w:lineRule="auto"/>
        <w:rPr>
          <w:rFonts w:eastAsia="SimSun"/>
          <w:i/>
          <w:iCs/>
          <w:sz w:val="21"/>
          <w:szCs w:val="21"/>
          <w:lang w:eastAsia="en-GB" w:bidi="ar-SA"/>
        </w:rPr>
      </w:pPr>
    </w:p>
    <w:p w:rsidR="0094679E" w:rsidRPr="00ED7F0F" w:rsidRDefault="0094679E" w:rsidP="00122C9F">
      <w:pPr>
        <w:tabs>
          <w:tab w:val="clear" w:pos="567"/>
        </w:tabs>
        <w:autoSpaceDE w:val="0"/>
        <w:autoSpaceDN w:val="0"/>
        <w:adjustRightInd w:val="0"/>
        <w:spacing w:line="240" w:lineRule="auto"/>
        <w:rPr>
          <w:rFonts w:eastAsia="SimSun"/>
          <w:i/>
          <w:iCs/>
          <w:szCs w:val="22"/>
          <w:u w:val="single"/>
          <w:lang w:eastAsia="en-GB" w:bidi="ar-SA"/>
        </w:rPr>
      </w:pPr>
      <w:r w:rsidRPr="00ED7F0F">
        <w:rPr>
          <w:rFonts w:eastAsia="SimSun"/>
          <w:i/>
          <w:iCs/>
          <w:szCs w:val="22"/>
          <w:u w:val="single"/>
          <w:lang w:eastAsia="en-GB" w:bidi="ar-SA"/>
        </w:rPr>
        <w:t>Pediatrická populácia (Ph+ CML-CP a ALL s Ph+)</w:t>
      </w:r>
    </w:p>
    <w:p w:rsidR="0094679E" w:rsidRPr="00ED7F0F" w:rsidRDefault="0094679E" w:rsidP="00122C9F">
      <w:pPr>
        <w:tabs>
          <w:tab w:val="clear" w:pos="567"/>
        </w:tabs>
        <w:autoSpaceDE w:val="0"/>
        <w:autoSpaceDN w:val="0"/>
        <w:adjustRightInd w:val="0"/>
        <w:spacing w:line="240" w:lineRule="auto"/>
        <w:rPr>
          <w:rFonts w:eastAsia="TimesNewRomanPSMT"/>
          <w:szCs w:val="22"/>
          <w:lang w:eastAsia="en-GB" w:bidi="ar-SA"/>
        </w:rPr>
      </w:pPr>
      <w:r w:rsidRPr="00ED7F0F">
        <w:rPr>
          <w:rFonts w:eastAsia="TimesNewRomanPSMT"/>
          <w:szCs w:val="22"/>
          <w:lang w:eastAsia="en-GB" w:bidi="ar-SA"/>
        </w:rPr>
        <w:t>Dávkovanie u det</w:t>
      </w:r>
      <w:r w:rsidR="00B82B49" w:rsidRPr="00ED7F0F">
        <w:rPr>
          <w:rFonts w:eastAsia="TimesNewRomanPSMT"/>
          <w:szCs w:val="22"/>
          <w:lang w:eastAsia="en-GB" w:bidi="ar-SA"/>
        </w:rPr>
        <w:t>í</w:t>
      </w:r>
      <w:r w:rsidRPr="00ED7F0F">
        <w:rPr>
          <w:rFonts w:eastAsia="TimesNewRomanPSMT"/>
          <w:szCs w:val="22"/>
          <w:lang w:eastAsia="en-GB" w:bidi="ar-SA"/>
        </w:rPr>
        <w:t xml:space="preserve"> a dospievajúcich je na základe telesnej hmotnosti (pozri tabuľku 1). Dasatinib sa podáva perorálne jedenkrát denne buď vo forme </w:t>
      </w:r>
      <w:r w:rsidR="00514AB9" w:rsidRPr="00ED7F0F">
        <w:rPr>
          <w:rFonts w:eastAsia="TimesNewRomanPSMT"/>
          <w:szCs w:val="22"/>
          <w:lang w:eastAsia="en-GB" w:bidi="ar-SA"/>
        </w:rPr>
        <w:t>dasatinibu</w:t>
      </w:r>
      <w:r w:rsidRPr="00ED7F0F">
        <w:rPr>
          <w:rFonts w:eastAsia="TimesNewRomanPSMT"/>
          <w:szCs w:val="22"/>
          <w:lang w:eastAsia="en-GB" w:bidi="ar-SA"/>
        </w:rPr>
        <w:t xml:space="preserve"> filmom obalených tabliet alebo</w:t>
      </w:r>
      <w:r w:rsidR="00514AB9" w:rsidRPr="00ED7F0F">
        <w:rPr>
          <w:rFonts w:eastAsia="TimesNewRomanPSMT"/>
          <w:szCs w:val="22"/>
          <w:lang w:eastAsia="en-GB" w:bidi="ar-SA"/>
        </w:rPr>
        <w:t xml:space="preserve"> dasatinibu </w:t>
      </w:r>
      <w:r w:rsidRPr="00ED7F0F">
        <w:rPr>
          <w:rFonts w:eastAsia="TimesNewRomanPSMT"/>
          <w:szCs w:val="22"/>
          <w:lang w:eastAsia="en-GB" w:bidi="ar-SA"/>
        </w:rPr>
        <w:t>prášku na perorálnu suspenziu. Dávka sa má na základe zmien telesnej hmotnosti prepočítať každé</w:t>
      </w:r>
      <w:r w:rsidR="00514AB9" w:rsidRPr="00ED7F0F">
        <w:rPr>
          <w:rFonts w:eastAsia="TimesNewRomanPSMT"/>
          <w:szCs w:val="22"/>
          <w:lang w:eastAsia="en-GB" w:bidi="ar-SA"/>
        </w:rPr>
        <w:t xml:space="preserve"> </w:t>
      </w:r>
      <w:r w:rsidRPr="00ED7F0F">
        <w:rPr>
          <w:rFonts w:eastAsia="TimesNewRomanPSMT"/>
          <w:szCs w:val="22"/>
          <w:lang w:eastAsia="en-GB" w:bidi="ar-SA"/>
        </w:rPr>
        <w:t>3</w:t>
      </w:r>
      <w:r w:rsidR="00514AB9" w:rsidRPr="00ED7F0F">
        <w:rPr>
          <w:rFonts w:eastAsia="TimesNewRomanPSMT"/>
          <w:szCs w:val="22"/>
          <w:lang w:eastAsia="en-GB" w:bidi="ar-SA"/>
        </w:rPr>
        <w:t> </w:t>
      </w:r>
      <w:r w:rsidRPr="00ED7F0F">
        <w:rPr>
          <w:rFonts w:eastAsia="TimesNewRomanPSMT"/>
          <w:szCs w:val="22"/>
          <w:lang w:eastAsia="en-GB" w:bidi="ar-SA"/>
        </w:rPr>
        <w:t>mesiace alebo, ak je to potrebné, častejšie. Tablet</w:t>
      </w:r>
      <w:r w:rsidR="0052690C" w:rsidRPr="00ED7F0F">
        <w:rPr>
          <w:rFonts w:eastAsia="TimesNewRomanPSMT"/>
          <w:szCs w:val="22"/>
          <w:lang w:eastAsia="en-GB" w:bidi="ar-SA"/>
        </w:rPr>
        <w:t>y</w:t>
      </w:r>
      <w:r w:rsidRPr="00ED7F0F">
        <w:rPr>
          <w:rFonts w:eastAsia="TimesNewRomanPSMT"/>
          <w:szCs w:val="22"/>
          <w:lang w:eastAsia="en-GB" w:bidi="ar-SA"/>
        </w:rPr>
        <w:t xml:space="preserve"> sa neodporúča</w:t>
      </w:r>
      <w:r w:rsidR="0052690C" w:rsidRPr="00ED7F0F">
        <w:rPr>
          <w:rFonts w:eastAsia="TimesNewRomanPSMT"/>
          <w:szCs w:val="22"/>
          <w:lang w:eastAsia="en-GB" w:bidi="ar-SA"/>
        </w:rPr>
        <w:t>jú</w:t>
      </w:r>
      <w:r w:rsidRPr="00ED7F0F">
        <w:rPr>
          <w:rFonts w:eastAsia="TimesNewRomanPSMT"/>
          <w:szCs w:val="22"/>
          <w:lang w:eastAsia="en-GB" w:bidi="ar-SA"/>
        </w:rPr>
        <w:t xml:space="preserve"> pre pacientov vážiacich menej ako</w:t>
      </w:r>
      <w:r w:rsidR="00514AB9" w:rsidRPr="00ED7F0F">
        <w:rPr>
          <w:rFonts w:eastAsia="TimesNewRomanPSMT"/>
          <w:szCs w:val="22"/>
          <w:lang w:eastAsia="en-GB" w:bidi="ar-SA"/>
        </w:rPr>
        <w:t xml:space="preserve"> </w:t>
      </w:r>
      <w:r w:rsidRPr="00ED7F0F">
        <w:rPr>
          <w:rFonts w:eastAsia="TimesNewRomanPSMT"/>
          <w:szCs w:val="22"/>
          <w:lang w:eastAsia="en-GB" w:bidi="ar-SA"/>
        </w:rPr>
        <w:t>10</w:t>
      </w:r>
      <w:r w:rsidR="00514AB9" w:rsidRPr="00ED7F0F">
        <w:rPr>
          <w:rFonts w:eastAsia="TimesNewRomanPSMT"/>
          <w:szCs w:val="22"/>
          <w:lang w:eastAsia="en-GB" w:bidi="ar-SA"/>
        </w:rPr>
        <w:t> </w:t>
      </w:r>
      <w:r w:rsidRPr="00ED7F0F">
        <w:rPr>
          <w:rFonts w:eastAsia="TimesNewRomanPSMT"/>
          <w:szCs w:val="22"/>
          <w:lang w:eastAsia="en-GB" w:bidi="ar-SA"/>
        </w:rPr>
        <w:t>kg; u</w:t>
      </w:r>
      <w:r w:rsidR="00514AB9" w:rsidRPr="00ED7F0F">
        <w:rPr>
          <w:rFonts w:eastAsia="TimesNewRomanPSMT"/>
          <w:szCs w:val="22"/>
          <w:lang w:eastAsia="en-GB" w:bidi="ar-SA"/>
        </w:rPr>
        <w:t> </w:t>
      </w:r>
      <w:r w:rsidRPr="00ED7F0F">
        <w:rPr>
          <w:rFonts w:eastAsia="TimesNewRomanPSMT"/>
          <w:szCs w:val="22"/>
          <w:lang w:eastAsia="en-GB" w:bidi="ar-SA"/>
        </w:rPr>
        <w:t>týchto pacientov sa má použiť prášok na perorálnu suspenziu. Zvýšenie alebo zníženie dávky</w:t>
      </w:r>
      <w:r w:rsidR="00514AB9" w:rsidRPr="00ED7F0F">
        <w:rPr>
          <w:rFonts w:eastAsia="TimesNewRomanPSMT"/>
          <w:szCs w:val="22"/>
          <w:lang w:eastAsia="en-GB" w:bidi="ar-SA"/>
        </w:rPr>
        <w:t xml:space="preserve"> </w:t>
      </w:r>
      <w:r w:rsidRPr="00ED7F0F">
        <w:rPr>
          <w:rFonts w:eastAsia="TimesNewRomanPSMT"/>
          <w:szCs w:val="22"/>
          <w:lang w:eastAsia="en-GB" w:bidi="ar-SA"/>
        </w:rPr>
        <w:t>sa odporúča na základe individuálnej reakcie pacienta a znášanlivosti. U</w:t>
      </w:r>
      <w:r w:rsidR="00D81883" w:rsidRPr="00ED7F0F">
        <w:rPr>
          <w:rFonts w:eastAsia="TimesNewRomanPSMT"/>
          <w:szCs w:val="22"/>
          <w:lang w:eastAsia="en-GB" w:bidi="ar-SA"/>
        </w:rPr>
        <w:t> </w:t>
      </w:r>
      <w:r w:rsidRPr="00ED7F0F">
        <w:rPr>
          <w:rFonts w:eastAsia="TimesNewRomanPSMT"/>
          <w:szCs w:val="22"/>
          <w:lang w:eastAsia="en-GB" w:bidi="ar-SA"/>
        </w:rPr>
        <w:t>detí vo veku do 1</w:t>
      </w:r>
      <w:r w:rsidR="00D81883" w:rsidRPr="00ED7F0F">
        <w:rPr>
          <w:rFonts w:eastAsia="TimesNewRomanPSMT"/>
          <w:szCs w:val="22"/>
          <w:lang w:eastAsia="en-GB" w:bidi="ar-SA"/>
        </w:rPr>
        <w:t> </w:t>
      </w:r>
      <w:r w:rsidRPr="00ED7F0F">
        <w:rPr>
          <w:rFonts w:eastAsia="TimesNewRomanPSMT"/>
          <w:szCs w:val="22"/>
          <w:lang w:eastAsia="en-GB" w:bidi="ar-SA"/>
        </w:rPr>
        <w:t>roka nie sú</w:t>
      </w:r>
      <w:r w:rsidR="00514AB9" w:rsidRPr="00ED7F0F">
        <w:rPr>
          <w:rFonts w:eastAsia="TimesNewRomanPSMT"/>
          <w:szCs w:val="22"/>
          <w:lang w:eastAsia="en-GB" w:bidi="ar-SA"/>
        </w:rPr>
        <w:t xml:space="preserve"> </w:t>
      </w:r>
      <w:r w:rsidRPr="00ED7F0F">
        <w:rPr>
          <w:rFonts w:eastAsia="TimesNewRomanPSMT"/>
          <w:szCs w:val="22"/>
          <w:lang w:eastAsia="en-GB" w:bidi="ar-SA"/>
        </w:rPr>
        <w:t xml:space="preserve">žiadne skúsenosti s liečbou </w:t>
      </w:r>
      <w:r w:rsidR="00D81883" w:rsidRPr="00ED7F0F">
        <w:rPr>
          <w:rFonts w:eastAsia="TimesNewRomanPSMT"/>
          <w:szCs w:val="22"/>
          <w:lang w:eastAsia="en-GB" w:bidi="ar-SA"/>
        </w:rPr>
        <w:t>dasatinibom</w:t>
      </w:r>
      <w:r w:rsidRPr="00ED7F0F">
        <w:rPr>
          <w:rFonts w:eastAsia="TimesNewRomanPSMT"/>
          <w:szCs w:val="22"/>
          <w:lang w:eastAsia="en-GB" w:bidi="ar-SA"/>
        </w:rPr>
        <w:t>.</w:t>
      </w:r>
    </w:p>
    <w:p w:rsidR="00D81883" w:rsidRPr="00ED7F0F" w:rsidRDefault="00D81883" w:rsidP="00122C9F">
      <w:pPr>
        <w:tabs>
          <w:tab w:val="clear" w:pos="567"/>
        </w:tabs>
        <w:autoSpaceDE w:val="0"/>
        <w:autoSpaceDN w:val="0"/>
        <w:adjustRightInd w:val="0"/>
        <w:spacing w:line="240" w:lineRule="auto"/>
        <w:rPr>
          <w:rFonts w:eastAsia="TimesNewRomanPSMT"/>
          <w:szCs w:val="22"/>
          <w:lang w:eastAsia="en-GB" w:bidi="ar-SA"/>
        </w:rPr>
      </w:pPr>
    </w:p>
    <w:p w:rsidR="0094679E" w:rsidRPr="00ED7F0F" w:rsidRDefault="00D81883" w:rsidP="00122C9F">
      <w:pPr>
        <w:autoSpaceDE w:val="0"/>
        <w:autoSpaceDN w:val="0"/>
        <w:adjustRightInd w:val="0"/>
        <w:rPr>
          <w:iCs/>
          <w:szCs w:val="22"/>
          <w:lang w:eastAsia="en-US"/>
        </w:rPr>
      </w:pPr>
      <w:r w:rsidRPr="00ED7F0F">
        <w:rPr>
          <w:iCs/>
          <w:szCs w:val="22"/>
          <w:lang w:eastAsia="en-US"/>
        </w:rPr>
        <w:t xml:space="preserve">Dasatinib filmom obalené tablety a dasatinib prášok na perorálnu suspenziu nie sú bioekvivalentné. Pacienti, ktorí sú schopní tablety prehĺtať a želajú si </w:t>
      </w:r>
      <w:r w:rsidR="0052690C" w:rsidRPr="00ED7F0F">
        <w:rPr>
          <w:iCs/>
          <w:szCs w:val="22"/>
          <w:lang w:eastAsia="en-US"/>
        </w:rPr>
        <w:t>zmenu</w:t>
      </w:r>
      <w:r w:rsidRPr="00ED7F0F">
        <w:rPr>
          <w:iCs/>
          <w:szCs w:val="22"/>
          <w:lang w:eastAsia="en-US"/>
        </w:rPr>
        <w:t xml:space="preserve"> liečby z dasatinibu prášku na perorálnu suspenziu na dasatinib tablety alebo pacienti, ktorí nie sú schopní tablety prehĺtať a želajú si </w:t>
      </w:r>
      <w:r w:rsidR="0052690C" w:rsidRPr="00ED7F0F">
        <w:rPr>
          <w:iCs/>
          <w:szCs w:val="22"/>
          <w:lang w:eastAsia="en-US"/>
        </w:rPr>
        <w:t>zmenu</w:t>
      </w:r>
      <w:r w:rsidRPr="00ED7F0F">
        <w:rPr>
          <w:iCs/>
          <w:szCs w:val="22"/>
          <w:lang w:eastAsia="en-US"/>
        </w:rPr>
        <w:t xml:space="preserve"> liečby z tabliet na perorálnu suspenziu, tak môžu spraviť pod podmienkou, že sa dodržia odporúčania správneho dávkovania pre liekovú formu.</w:t>
      </w:r>
    </w:p>
    <w:p w:rsidR="00D81883" w:rsidRPr="00ED7F0F" w:rsidRDefault="00D81883" w:rsidP="00122C9F">
      <w:pPr>
        <w:autoSpaceDE w:val="0"/>
        <w:autoSpaceDN w:val="0"/>
        <w:adjustRightInd w:val="0"/>
        <w:rPr>
          <w:iCs/>
          <w:szCs w:val="22"/>
          <w:lang w:eastAsia="en-US"/>
        </w:rPr>
      </w:pPr>
    </w:p>
    <w:p w:rsidR="00D81883" w:rsidRPr="00ED7F0F" w:rsidRDefault="00D81883" w:rsidP="00122C9F">
      <w:pPr>
        <w:autoSpaceDE w:val="0"/>
        <w:autoSpaceDN w:val="0"/>
        <w:adjustRightInd w:val="0"/>
        <w:rPr>
          <w:iCs/>
          <w:szCs w:val="22"/>
          <w:lang w:eastAsia="en-US"/>
        </w:rPr>
      </w:pPr>
      <w:r w:rsidRPr="00ED7F0F">
        <w:rPr>
          <w:iCs/>
          <w:szCs w:val="22"/>
          <w:lang w:eastAsia="en-US"/>
        </w:rPr>
        <w:t>Odporúčané začiatočné denné dávkovanie tabliet Dasatinibu Mylan pre pediatrických pacientov je uvedené v tabuľke 1.</w:t>
      </w:r>
    </w:p>
    <w:p w:rsidR="00D81883" w:rsidRPr="00ED7F0F" w:rsidRDefault="00D81883" w:rsidP="00122C9F">
      <w:pPr>
        <w:autoSpaceDE w:val="0"/>
        <w:autoSpaceDN w:val="0"/>
        <w:adjustRightInd w:val="0"/>
        <w:rPr>
          <w:iCs/>
          <w:szCs w:val="22"/>
          <w:lang w:eastAsia="en-US"/>
        </w:rPr>
      </w:pPr>
    </w:p>
    <w:p w:rsidR="00D81883" w:rsidRPr="00ED7F0F" w:rsidRDefault="00D81883" w:rsidP="00122C9F">
      <w:pPr>
        <w:tabs>
          <w:tab w:val="clear" w:pos="567"/>
          <w:tab w:val="left" w:pos="1418"/>
        </w:tabs>
        <w:autoSpaceDE w:val="0"/>
        <w:autoSpaceDN w:val="0"/>
        <w:adjustRightInd w:val="0"/>
        <w:ind w:left="1276" w:hanging="1276"/>
        <w:rPr>
          <w:b/>
          <w:iCs/>
          <w:szCs w:val="22"/>
          <w:lang w:eastAsia="en-US"/>
        </w:rPr>
      </w:pPr>
      <w:r w:rsidRPr="00ED7F0F">
        <w:rPr>
          <w:b/>
          <w:iCs/>
          <w:szCs w:val="22"/>
          <w:lang w:eastAsia="en-US"/>
        </w:rPr>
        <w:t>Tabuľka 1:</w:t>
      </w:r>
      <w:r w:rsidRPr="00ED7F0F">
        <w:rPr>
          <w:b/>
          <w:iCs/>
          <w:szCs w:val="22"/>
          <w:lang w:eastAsia="en-US"/>
        </w:rPr>
        <w:tab/>
        <w:t>Dávkovanie tabliet Dasatinibu Mylan pre pediatrických pacientov s Ph+ CML-CP alebo ALL s Ph+</w:t>
      </w:r>
    </w:p>
    <w:tbl>
      <w:tblPr>
        <w:tblW w:w="0" w:type="auto"/>
        <w:tblInd w:w="108" w:type="dxa"/>
        <w:tblCellMar>
          <w:left w:w="10" w:type="dxa"/>
          <w:right w:w="10" w:type="dxa"/>
        </w:tblCellMar>
        <w:tblLook w:val="04A0" w:firstRow="1" w:lastRow="0" w:firstColumn="1" w:lastColumn="0" w:noHBand="0" w:noVBand="1"/>
      </w:tblPr>
      <w:tblGrid>
        <w:gridCol w:w="4499"/>
        <w:gridCol w:w="4464"/>
      </w:tblGrid>
      <w:tr w:rsidR="00D81883" w:rsidRPr="00ED7F0F" w:rsidTr="00EA1A3B">
        <w:trPr>
          <w:trHeight w:val="1"/>
        </w:trPr>
        <w:tc>
          <w:tcPr>
            <w:tcW w:w="5015"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rsidR="00D81883" w:rsidRPr="00ED7F0F" w:rsidRDefault="00D81883" w:rsidP="00122C9F">
            <w:pPr>
              <w:tabs>
                <w:tab w:val="left" w:pos="1201"/>
                <w:tab w:val="left" w:pos="5943"/>
                <w:tab w:val="left" w:pos="6440"/>
              </w:tabs>
              <w:spacing w:line="260" w:lineRule="auto"/>
              <w:jc w:val="both"/>
              <w:rPr>
                <w:b/>
              </w:rPr>
            </w:pPr>
            <w:r w:rsidRPr="00ED7F0F">
              <w:rPr>
                <w:b/>
                <w:iCs/>
                <w:szCs w:val="22"/>
                <w:lang w:eastAsia="en-US"/>
              </w:rPr>
              <w:t>Telesná hmotnosť (kg)</w:t>
            </w:r>
            <w:r w:rsidRPr="00ED7F0F">
              <w:rPr>
                <w:b/>
                <w:color w:val="231F20"/>
                <w:vertAlign w:val="superscript"/>
              </w:rPr>
              <w:t>a</w:t>
            </w:r>
          </w:p>
        </w:tc>
        <w:tc>
          <w:tcPr>
            <w:tcW w:w="5016"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rsidR="00D81883" w:rsidRPr="00ED7F0F" w:rsidRDefault="00D81883" w:rsidP="00122C9F">
            <w:pPr>
              <w:tabs>
                <w:tab w:val="left" w:pos="1201"/>
                <w:tab w:val="left" w:pos="5943"/>
                <w:tab w:val="left" w:pos="6440"/>
              </w:tabs>
              <w:spacing w:line="260" w:lineRule="auto"/>
              <w:jc w:val="both"/>
              <w:rPr>
                <w:b/>
              </w:rPr>
            </w:pPr>
            <w:r w:rsidRPr="00ED7F0F">
              <w:rPr>
                <w:b/>
                <w:iCs/>
                <w:szCs w:val="22"/>
                <w:lang w:eastAsia="en-US"/>
              </w:rPr>
              <w:t xml:space="preserve">Denná dávka </w:t>
            </w:r>
            <w:r w:rsidRPr="00ED7F0F">
              <w:rPr>
                <w:b/>
                <w:color w:val="231F20"/>
              </w:rPr>
              <w:t>(mg)</w:t>
            </w:r>
          </w:p>
        </w:tc>
      </w:tr>
      <w:tr w:rsidR="00D81883" w:rsidRPr="00ED7F0F" w:rsidTr="00EA1A3B">
        <w:trPr>
          <w:trHeight w:val="1"/>
        </w:trPr>
        <w:tc>
          <w:tcPr>
            <w:tcW w:w="5015"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rsidR="00D81883" w:rsidRPr="00ED7F0F" w:rsidRDefault="00D81883" w:rsidP="00122C9F">
            <w:pPr>
              <w:tabs>
                <w:tab w:val="left" w:pos="1201"/>
                <w:tab w:val="left" w:pos="5943"/>
                <w:tab w:val="left" w:pos="6440"/>
              </w:tabs>
              <w:spacing w:line="260" w:lineRule="auto"/>
              <w:jc w:val="both"/>
            </w:pPr>
            <w:r w:rsidRPr="00ED7F0F">
              <w:rPr>
                <w:color w:val="231F20"/>
              </w:rPr>
              <w:t xml:space="preserve">10 </w:t>
            </w:r>
            <w:r w:rsidRPr="00ED7F0F">
              <w:rPr>
                <w:iCs/>
                <w:szCs w:val="22"/>
                <w:lang w:eastAsia="en-US"/>
              </w:rPr>
              <w:t xml:space="preserve">až menej ako </w:t>
            </w:r>
            <w:r w:rsidRPr="00ED7F0F">
              <w:rPr>
                <w:color w:val="231F20"/>
              </w:rPr>
              <w:t>20 kg</w:t>
            </w:r>
          </w:p>
        </w:tc>
        <w:tc>
          <w:tcPr>
            <w:tcW w:w="5016"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rsidR="00D81883" w:rsidRPr="00ED7F0F" w:rsidRDefault="00D81883" w:rsidP="00122C9F">
            <w:pPr>
              <w:tabs>
                <w:tab w:val="left" w:pos="1201"/>
                <w:tab w:val="left" w:pos="5943"/>
                <w:tab w:val="left" w:pos="6440"/>
              </w:tabs>
              <w:spacing w:line="260" w:lineRule="auto"/>
              <w:jc w:val="both"/>
            </w:pPr>
            <w:r w:rsidRPr="00ED7F0F">
              <w:rPr>
                <w:color w:val="231F20"/>
              </w:rPr>
              <w:t>40 mg</w:t>
            </w:r>
          </w:p>
        </w:tc>
      </w:tr>
      <w:tr w:rsidR="00D81883" w:rsidRPr="00ED7F0F" w:rsidTr="00EA1A3B">
        <w:trPr>
          <w:trHeight w:val="1"/>
        </w:trPr>
        <w:tc>
          <w:tcPr>
            <w:tcW w:w="5015"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rsidR="00D81883" w:rsidRPr="00ED7F0F" w:rsidRDefault="00D81883" w:rsidP="00122C9F">
            <w:pPr>
              <w:tabs>
                <w:tab w:val="left" w:pos="1201"/>
                <w:tab w:val="left" w:pos="5943"/>
                <w:tab w:val="left" w:pos="6440"/>
              </w:tabs>
              <w:spacing w:line="260" w:lineRule="auto"/>
              <w:jc w:val="both"/>
            </w:pPr>
            <w:r w:rsidRPr="00ED7F0F">
              <w:rPr>
                <w:color w:val="231F20"/>
              </w:rPr>
              <w:t xml:space="preserve">20 </w:t>
            </w:r>
            <w:r w:rsidRPr="00ED7F0F">
              <w:rPr>
                <w:iCs/>
                <w:szCs w:val="22"/>
                <w:lang w:eastAsia="en-US"/>
              </w:rPr>
              <w:t xml:space="preserve">až menej ako </w:t>
            </w:r>
            <w:r w:rsidRPr="00ED7F0F">
              <w:rPr>
                <w:color w:val="231F20"/>
              </w:rPr>
              <w:t>30 kg</w:t>
            </w:r>
          </w:p>
        </w:tc>
        <w:tc>
          <w:tcPr>
            <w:tcW w:w="5016"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rsidR="00D81883" w:rsidRPr="00ED7F0F" w:rsidRDefault="00D81883" w:rsidP="00122C9F">
            <w:pPr>
              <w:tabs>
                <w:tab w:val="left" w:pos="1201"/>
                <w:tab w:val="left" w:pos="5943"/>
                <w:tab w:val="left" w:pos="6440"/>
              </w:tabs>
              <w:spacing w:line="260" w:lineRule="auto"/>
              <w:jc w:val="both"/>
            </w:pPr>
            <w:r w:rsidRPr="00ED7F0F">
              <w:rPr>
                <w:color w:val="231F20"/>
              </w:rPr>
              <w:t>60 mg</w:t>
            </w:r>
          </w:p>
        </w:tc>
      </w:tr>
      <w:tr w:rsidR="00D81883" w:rsidRPr="00ED7F0F" w:rsidTr="00EA1A3B">
        <w:trPr>
          <w:trHeight w:val="1"/>
        </w:trPr>
        <w:tc>
          <w:tcPr>
            <w:tcW w:w="5015"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rsidR="00D81883" w:rsidRPr="00ED7F0F" w:rsidRDefault="00D81883" w:rsidP="00122C9F">
            <w:pPr>
              <w:tabs>
                <w:tab w:val="left" w:pos="1201"/>
                <w:tab w:val="left" w:pos="5943"/>
                <w:tab w:val="left" w:pos="6440"/>
              </w:tabs>
              <w:spacing w:line="260" w:lineRule="auto"/>
              <w:jc w:val="both"/>
            </w:pPr>
            <w:r w:rsidRPr="00ED7F0F">
              <w:rPr>
                <w:color w:val="231F20"/>
              </w:rPr>
              <w:t xml:space="preserve">30 </w:t>
            </w:r>
            <w:r w:rsidRPr="00ED7F0F">
              <w:rPr>
                <w:iCs/>
                <w:szCs w:val="22"/>
                <w:lang w:eastAsia="en-US"/>
              </w:rPr>
              <w:t xml:space="preserve">až menej ako </w:t>
            </w:r>
            <w:r w:rsidRPr="00ED7F0F">
              <w:rPr>
                <w:color w:val="231F20"/>
              </w:rPr>
              <w:t>45 kg</w:t>
            </w:r>
          </w:p>
        </w:tc>
        <w:tc>
          <w:tcPr>
            <w:tcW w:w="5016"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rsidR="00D81883" w:rsidRPr="00ED7F0F" w:rsidRDefault="00D81883" w:rsidP="00122C9F">
            <w:pPr>
              <w:tabs>
                <w:tab w:val="left" w:pos="1201"/>
                <w:tab w:val="left" w:pos="5943"/>
                <w:tab w:val="left" w:pos="6440"/>
              </w:tabs>
              <w:spacing w:line="260" w:lineRule="auto"/>
              <w:jc w:val="both"/>
            </w:pPr>
            <w:r w:rsidRPr="00ED7F0F">
              <w:rPr>
                <w:color w:val="231F20"/>
              </w:rPr>
              <w:t>70 mg</w:t>
            </w:r>
          </w:p>
        </w:tc>
      </w:tr>
      <w:tr w:rsidR="00D81883" w:rsidRPr="00ED7F0F" w:rsidTr="00EA1A3B">
        <w:trPr>
          <w:trHeight w:val="1"/>
        </w:trPr>
        <w:tc>
          <w:tcPr>
            <w:tcW w:w="5015"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rsidR="00D81883" w:rsidRPr="00ED7F0F" w:rsidRDefault="00D81883" w:rsidP="00122C9F">
            <w:pPr>
              <w:tabs>
                <w:tab w:val="left" w:pos="1201"/>
                <w:tab w:val="left" w:pos="5943"/>
                <w:tab w:val="left" w:pos="6440"/>
              </w:tabs>
              <w:spacing w:line="260" w:lineRule="auto"/>
              <w:jc w:val="both"/>
            </w:pPr>
            <w:r w:rsidRPr="00ED7F0F">
              <w:rPr>
                <w:color w:val="231F20"/>
              </w:rPr>
              <w:t>minimálne 45 kg</w:t>
            </w:r>
          </w:p>
        </w:tc>
        <w:tc>
          <w:tcPr>
            <w:tcW w:w="5016"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rsidR="00D81883" w:rsidRPr="00ED7F0F" w:rsidRDefault="00D81883" w:rsidP="00122C9F">
            <w:pPr>
              <w:tabs>
                <w:tab w:val="left" w:pos="1201"/>
                <w:tab w:val="left" w:pos="5943"/>
                <w:tab w:val="left" w:pos="6440"/>
              </w:tabs>
              <w:spacing w:line="260" w:lineRule="auto"/>
              <w:jc w:val="both"/>
            </w:pPr>
            <w:r w:rsidRPr="00ED7F0F">
              <w:rPr>
                <w:color w:val="231F20"/>
              </w:rPr>
              <w:t>100 mg</w:t>
            </w:r>
          </w:p>
        </w:tc>
      </w:tr>
    </w:tbl>
    <w:p w:rsidR="00D81883" w:rsidRPr="00ED7F0F" w:rsidRDefault="00D81883" w:rsidP="00122C9F">
      <w:pPr>
        <w:tabs>
          <w:tab w:val="clear" w:pos="567"/>
          <w:tab w:val="left" w:pos="284"/>
        </w:tabs>
        <w:autoSpaceDE w:val="0"/>
        <w:autoSpaceDN w:val="0"/>
        <w:adjustRightInd w:val="0"/>
        <w:rPr>
          <w:iCs/>
          <w:szCs w:val="22"/>
          <w:lang w:eastAsia="en-US"/>
        </w:rPr>
      </w:pPr>
      <w:r w:rsidRPr="00ED7F0F">
        <w:rPr>
          <w:iCs/>
          <w:szCs w:val="22"/>
          <w:vertAlign w:val="superscript"/>
          <w:lang w:eastAsia="en-US"/>
        </w:rPr>
        <w:t>a</w:t>
      </w:r>
      <w:r w:rsidRPr="00ED7F0F">
        <w:rPr>
          <w:iCs/>
          <w:sz w:val="20"/>
          <w:lang w:eastAsia="en-US"/>
        </w:rPr>
        <w:tab/>
        <w:t>Tablet</w:t>
      </w:r>
      <w:r w:rsidR="0052690C" w:rsidRPr="00ED7F0F">
        <w:rPr>
          <w:iCs/>
          <w:sz w:val="20"/>
          <w:lang w:eastAsia="en-US"/>
        </w:rPr>
        <w:t>y</w:t>
      </w:r>
      <w:r w:rsidRPr="00ED7F0F">
        <w:rPr>
          <w:iCs/>
          <w:sz w:val="20"/>
          <w:lang w:eastAsia="en-US"/>
        </w:rPr>
        <w:t xml:space="preserve"> sa neodporúča</w:t>
      </w:r>
      <w:r w:rsidR="0052690C" w:rsidRPr="00ED7F0F">
        <w:rPr>
          <w:iCs/>
          <w:sz w:val="20"/>
          <w:lang w:eastAsia="en-US"/>
        </w:rPr>
        <w:t>jú</w:t>
      </w:r>
      <w:r w:rsidRPr="00ED7F0F">
        <w:rPr>
          <w:iCs/>
          <w:sz w:val="20"/>
          <w:lang w:eastAsia="en-US"/>
        </w:rPr>
        <w:t xml:space="preserve"> pre pacientov vážiacich menej ako 10 kg; u týchto pacientov sa má použiť prášok na perorálnu suspenziu.</w:t>
      </w:r>
    </w:p>
    <w:p w:rsidR="00EF5330" w:rsidRPr="00ED7F0F" w:rsidRDefault="00EF5330" w:rsidP="00122C9F">
      <w:pPr>
        <w:tabs>
          <w:tab w:val="clear" w:pos="567"/>
        </w:tabs>
        <w:autoSpaceDE w:val="0"/>
        <w:autoSpaceDN w:val="0"/>
        <w:adjustRightInd w:val="0"/>
        <w:spacing w:line="240" w:lineRule="auto"/>
        <w:rPr>
          <w:rFonts w:eastAsia="SimSun"/>
          <w:i/>
          <w:iCs/>
          <w:sz w:val="21"/>
          <w:szCs w:val="21"/>
          <w:lang w:eastAsia="en-GB" w:bidi="ar-SA"/>
        </w:rPr>
      </w:pPr>
    </w:p>
    <w:p w:rsidR="00EF5330" w:rsidRPr="00ED7F0F" w:rsidRDefault="00EF5330" w:rsidP="00122C9F">
      <w:pPr>
        <w:tabs>
          <w:tab w:val="clear" w:pos="567"/>
        </w:tabs>
        <w:autoSpaceDE w:val="0"/>
        <w:autoSpaceDN w:val="0"/>
        <w:adjustRightInd w:val="0"/>
        <w:spacing w:line="240" w:lineRule="auto"/>
        <w:rPr>
          <w:rFonts w:eastAsia="SimSun"/>
          <w:i/>
          <w:iCs/>
          <w:szCs w:val="22"/>
          <w:u w:val="single"/>
          <w:lang w:eastAsia="en-GB" w:bidi="ar-SA"/>
        </w:rPr>
      </w:pPr>
      <w:r w:rsidRPr="00ED7F0F">
        <w:rPr>
          <w:rFonts w:eastAsia="SimSun"/>
          <w:i/>
          <w:iCs/>
          <w:szCs w:val="22"/>
          <w:u w:val="single"/>
          <w:lang w:eastAsia="en-GB" w:bidi="ar-SA"/>
        </w:rPr>
        <w:t>Trvanie liečby</w:t>
      </w:r>
    </w:p>
    <w:p w:rsidR="00EF5330" w:rsidRPr="00ED7F0F" w:rsidRDefault="00EF5330" w:rsidP="00122C9F">
      <w:pPr>
        <w:tabs>
          <w:tab w:val="clear" w:pos="567"/>
          <w:tab w:val="left" w:pos="284"/>
        </w:tabs>
        <w:autoSpaceDE w:val="0"/>
        <w:autoSpaceDN w:val="0"/>
        <w:adjustRightInd w:val="0"/>
        <w:rPr>
          <w:iCs/>
          <w:szCs w:val="22"/>
          <w:lang w:eastAsia="en-US"/>
        </w:rPr>
      </w:pPr>
      <w:r w:rsidRPr="00ED7F0F">
        <w:rPr>
          <w:iCs/>
          <w:szCs w:val="22"/>
          <w:lang w:eastAsia="en-US"/>
        </w:rPr>
        <w:t xml:space="preserve">V klinických štúdiách </w:t>
      </w:r>
      <w:r w:rsidR="0052690C" w:rsidRPr="00ED7F0F">
        <w:rPr>
          <w:iCs/>
          <w:szCs w:val="22"/>
          <w:lang w:eastAsia="en-US"/>
        </w:rPr>
        <w:t>u</w:t>
      </w:r>
      <w:r w:rsidRPr="00ED7F0F">
        <w:rPr>
          <w:iCs/>
          <w:szCs w:val="22"/>
          <w:lang w:eastAsia="en-US"/>
        </w:rPr>
        <w:t> dospelý</w:t>
      </w:r>
      <w:r w:rsidR="0052690C" w:rsidRPr="00ED7F0F">
        <w:rPr>
          <w:iCs/>
          <w:szCs w:val="22"/>
          <w:lang w:eastAsia="en-US"/>
        </w:rPr>
        <w:t>ch</w:t>
      </w:r>
      <w:r w:rsidRPr="00ED7F0F">
        <w:rPr>
          <w:iCs/>
          <w:szCs w:val="22"/>
          <w:lang w:eastAsia="en-US"/>
        </w:rPr>
        <w:t xml:space="preserve"> s Ph+ CML-CP, akcelerovanou, myeloidnou alebo lymfoidnou blastovou fázou (pokročilou fázou) CML, alebo ALL s Ph+ a </w:t>
      </w:r>
      <w:r w:rsidR="00CA482B" w:rsidRPr="00ED7F0F">
        <w:rPr>
          <w:iCs/>
          <w:szCs w:val="22"/>
          <w:lang w:eastAsia="en-US"/>
        </w:rPr>
        <w:t>u</w:t>
      </w:r>
      <w:r w:rsidRPr="00ED7F0F">
        <w:rPr>
          <w:iCs/>
          <w:szCs w:val="22"/>
          <w:lang w:eastAsia="en-US"/>
        </w:rPr>
        <w:t> pediatrický</w:t>
      </w:r>
      <w:r w:rsidR="00CA482B" w:rsidRPr="00ED7F0F">
        <w:rPr>
          <w:iCs/>
          <w:szCs w:val="22"/>
          <w:lang w:eastAsia="en-US"/>
        </w:rPr>
        <w:t>ch</w:t>
      </w:r>
      <w:r w:rsidRPr="00ED7F0F">
        <w:rPr>
          <w:iCs/>
          <w:szCs w:val="22"/>
          <w:lang w:eastAsia="en-US"/>
        </w:rPr>
        <w:t xml:space="preserve"> pacient</w:t>
      </w:r>
      <w:r w:rsidR="00CA482B" w:rsidRPr="00ED7F0F">
        <w:rPr>
          <w:iCs/>
          <w:szCs w:val="22"/>
          <w:lang w:eastAsia="en-US"/>
        </w:rPr>
        <w:t>ov</w:t>
      </w:r>
      <w:r w:rsidRPr="00ED7F0F">
        <w:rPr>
          <w:iCs/>
          <w:szCs w:val="22"/>
          <w:lang w:eastAsia="en-US"/>
        </w:rPr>
        <w:t xml:space="preserve"> s Ph+ CML-CP sa v liečbe s dasatinibom pokračovalo až do progresie ochorenia alebo až dovtedy, kým u pacienta nevznikla intolerancia. Účinok ukončenia liečby na dlhodobý výsledok ochorenia po dosiahnutí cytogenetickej alebo molekulárnej odpovede [vrátane úplnej cytogenetickej odpovede (complete cytogenetic response, CCyR), veľkej molekulárnej odpovede (major molecular response, MMR) a MR4.5] sa neskúmal.</w:t>
      </w:r>
    </w:p>
    <w:p w:rsidR="00EF5330" w:rsidRPr="00ED7F0F" w:rsidRDefault="00EF5330" w:rsidP="00122C9F">
      <w:pPr>
        <w:tabs>
          <w:tab w:val="clear" w:pos="567"/>
          <w:tab w:val="left" w:pos="284"/>
        </w:tabs>
        <w:autoSpaceDE w:val="0"/>
        <w:autoSpaceDN w:val="0"/>
        <w:adjustRightInd w:val="0"/>
        <w:rPr>
          <w:iCs/>
          <w:szCs w:val="22"/>
          <w:lang w:eastAsia="en-US"/>
        </w:rPr>
      </w:pPr>
    </w:p>
    <w:p w:rsidR="00EF5330" w:rsidRPr="00ED7F0F" w:rsidRDefault="00EF5330" w:rsidP="00122C9F">
      <w:pPr>
        <w:tabs>
          <w:tab w:val="clear" w:pos="567"/>
          <w:tab w:val="left" w:pos="284"/>
        </w:tabs>
        <w:autoSpaceDE w:val="0"/>
        <w:autoSpaceDN w:val="0"/>
        <w:adjustRightInd w:val="0"/>
        <w:rPr>
          <w:iCs/>
          <w:szCs w:val="22"/>
          <w:lang w:eastAsia="en-US"/>
        </w:rPr>
      </w:pPr>
      <w:r w:rsidRPr="00ED7F0F">
        <w:rPr>
          <w:iCs/>
          <w:szCs w:val="22"/>
          <w:lang w:eastAsia="en-US"/>
        </w:rPr>
        <w:t>V klinických štúdiách sa liečba dasatinibom u pediatrických pacientov s ALL s Ph+ podávala nepretržite, pridala sa k za sebou idúcim blokom základnej chemoterapie s maximálnym trvaním dvoch rokov. U pacientov, ktorí podstúpia následnú transplantáciu kmeňových buniek, sa dasatinib môže podávať počas ďalšieho roka po transplantácii.</w:t>
      </w:r>
    </w:p>
    <w:p w:rsidR="00EF5330" w:rsidRPr="00ED7F0F" w:rsidRDefault="00EF5330" w:rsidP="00122C9F">
      <w:pPr>
        <w:tabs>
          <w:tab w:val="clear" w:pos="567"/>
          <w:tab w:val="left" w:pos="284"/>
        </w:tabs>
        <w:autoSpaceDE w:val="0"/>
        <w:autoSpaceDN w:val="0"/>
        <w:adjustRightInd w:val="0"/>
        <w:rPr>
          <w:iCs/>
          <w:szCs w:val="22"/>
          <w:lang w:eastAsia="en-US"/>
        </w:rPr>
      </w:pPr>
    </w:p>
    <w:p w:rsidR="00D81883" w:rsidRPr="00ED7F0F" w:rsidRDefault="00EF5330" w:rsidP="00122C9F">
      <w:pPr>
        <w:tabs>
          <w:tab w:val="clear" w:pos="567"/>
          <w:tab w:val="left" w:pos="284"/>
        </w:tabs>
        <w:autoSpaceDE w:val="0"/>
        <w:autoSpaceDN w:val="0"/>
        <w:adjustRightInd w:val="0"/>
        <w:rPr>
          <w:iCs/>
          <w:szCs w:val="22"/>
          <w:lang w:eastAsia="en-US"/>
        </w:rPr>
      </w:pPr>
      <w:r w:rsidRPr="00ED7F0F">
        <w:rPr>
          <w:iCs/>
          <w:szCs w:val="22"/>
          <w:lang w:eastAsia="en-US"/>
        </w:rPr>
        <w:t xml:space="preserve">Na dosiahnutie odporúčanej dávky je Dasatinib </w:t>
      </w:r>
      <w:r w:rsidR="00D22B54" w:rsidRPr="00ED7F0F">
        <w:rPr>
          <w:iCs/>
          <w:szCs w:val="22"/>
          <w:lang w:eastAsia="en-US"/>
        </w:rPr>
        <w:t>Mylan</w:t>
      </w:r>
      <w:r w:rsidRPr="00ED7F0F">
        <w:rPr>
          <w:iCs/>
          <w:szCs w:val="22"/>
          <w:lang w:eastAsia="en-US"/>
        </w:rPr>
        <w:t xml:space="preserve"> dostupný ako 70 mg</w:t>
      </w:r>
      <w:r w:rsidR="00065C7B" w:rsidRPr="00ED7F0F">
        <w:rPr>
          <w:iCs/>
          <w:szCs w:val="22"/>
          <w:lang w:eastAsia="en-US"/>
        </w:rPr>
        <w:t xml:space="preserve"> a</w:t>
      </w:r>
      <w:r w:rsidRPr="00ED7F0F">
        <w:rPr>
          <w:iCs/>
          <w:szCs w:val="22"/>
          <w:lang w:eastAsia="en-US"/>
        </w:rPr>
        <w:t xml:space="preserve"> 100 mg filmom obalené tablety. Zvýšenie alebo zníženie dávky sa odporúča na základe pacientovej odpovede a znášanlivosti.</w:t>
      </w:r>
    </w:p>
    <w:p w:rsidR="00EF5330" w:rsidRPr="00ED7F0F" w:rsidRDefault="00EF5330" w:rsidP="00122C9F">
      <w:pPr>
        <w:tabs>
          <w:tab w:val="clear" w:pos="567"/>
          <w:tab w:val="left" w:pos="284"/>
        </w:tabs>
        <w:autoSpaceDE w:val="0"/>
        <w:autoSpaceDN w:val="0"/>
        <w:adjustRightInd w:val="0"/>
        <w:rPr>
          <w:iCs/>
          <w:szCs w:val="22"/>
          <w:lang w:eastAsia="en-US"/>
        </w:rPr>
      </w:pPr>
    </w:p>
    <w:p w:rsidR="0094679E" w:rsidRPr="00ED7F0F" w:rsidRDefault="0094679E" w:rsidP="00122C9F">
      <w:pPr>
        <w:autoSpaceDE w:val="0"/>
        <w:autoSpaceDN w:val="0"/>
        <w:adjustRightInd w:val="0"/>
        <w:rPr>
          <w:i/>
          <w:iCs/>
          <w:szCs w:val="22"/>
          <w:u w:val="single"/>
          <w:lang w:eastAsia="en-US"/>
        </w:rPr>
      </w:pPr>
      <w:r w:rsidRPr="00ED7F0F">
        <w:rPr>
          <w:i/>
          <w:iCs/>
          <w:szCs w:val="22"/>
          <w:u w:val="single"/>
          <w:lang w:eastAsia="en-US"/>
        </w:rPr>
        <w:t>Zvyšovanie dávky</w:t>
      </w:r>
    </w:p>
    <w:p w:rsidR="0094679E" w:rsidRPr="00ED7F0F" w:rsidRDefault="0094679E" w:rsidP="00122C9F">
      <w:pPr>
        <w:autoSpaceDE w:val="0"/>
        <w:autoSpaceDN w:val="0"/>
        <w:adjustRightInd w:val="0"/>
        <w:rPr>
          <w:rFonts w:eastAsia="TimesNewRoman"/>
          <w:szCs w:val="22"/>
          <w:lang w:eastAsia="en-US"/>
        </w:rPr>
      </w:pPr>
      <w:r w:rsidRPr="00ED7F0F">
        <w:rPr>
          <w:rFonts w:eastAsia="TimesNewRoman"/>
          <w:szCs w:val="22"/>
          <w:lang w:eastAsia="en-US"/>
        </w:rPr>
        <w:t>V</w:t>
      </w:r>
      <w:r w:rsidR="00F7001C" w:rsidRPr="00ED7F0F">
        <w:rPr>
          <w:rFonts w:eastAsia="TimesNewRoman"/>
          <w:szCs w:val="22"/>
          <w:lang w:eastAsia="en-US"/>
        </w:rPr>
        <w:t> </w:t>
      </w:r>
      <w:r w:rsidRPr="00ED7F0F">
        <w:rPr>
          <w:rFonts w:eastAsia="TimesNewRoman"/>
          <w:szCs w:val="22"/>
          <w:lang w:eastAsia="en-US"/>
        </w:rPr>
        <w:t>klinických štúdiách u</w:t>
      </w:r>
      <w:r w:rsidR="00F7001C" w:rsidRPr="00ED7F0F">
        <w:rPr>
          <w:rFonts w:eastAsia="TimesNewRoman"/>
          <w:szCs w:val="22"/>
          <w:lang w:eastAsia="en-US"/>
        </w:rPr>
        <w:t> </w:t>
      </w:r>
      <w:r w:rsidRPr="00ED7F0F">
        <w:rPr>
          <w:rFonts w:eastAsia="TimesNewRoman"/>
          <w:szCs w:val="22"/>
          <w:lang w:eastAsia="en-US"/>
        </w:rPr>
        <w:t>dospelých pacientov s CML a Ph+ ALL bolo zvýšenie dávky na 140 mg jedenkrát denne (chronická fáza CML) alebo 180 mg jedenkrát denne (pokročilá fáza CML alebo Ph+ ALL) povolené u</w:t>
      </w:r>
      <w:r w:rsidR="0039683B" w:rsidRPr="00ED7F0F">
        <w:rPr>
          <w:rFonts w:eastAsia="TimesNewRoman"/>
          <w:szCs w:val="22"/>
          <w:lang w:eastAsia="en-US"/>
        </w:rPr>
        <w:t> </w:t>
      </w:r>
      <w:r w:rsidRPr="00ED7F0F">
        <w:rPr>
          <w:rFonts w:eastAsia="TimesNewRoman"/>
          <w:szCs w:val="22"/>
          <w:lang w:eastAsia="en-US"/>
        </w:rPr>
        <w:t>pacientov, ktorí nedosiahli hematologickú alebo cytogenetickú odpoveď pri odporúčanej začiatočnej dávke.</w:t>
      </w:r>
    </w:p>
    <w:p w:rsidR="0039683B" w:rsidRPr="00ED7F0F" w:rsidRDefault="0039683B" w:rsidP="00122C9F">
      <w:pPr>
        <w:autoSpaceDE w:val="0"/>
        <w:autoSpaceDN w:val="0"/>
        <w:adjustRightInd w:val="0"/>
        <w:rPr>
          <w:rFonts w:eastAsia="TimesNewRoman"/>
          <w:szCs w:val="22"/>
          <w:lang w:eastAsia="en-US"/>
        </w:rPr>
      </w:pPr>
      <w:r w:rsidRPr="00ED7F0F">
        <w:rPr>
          <w:rFonts w:eastAsia="TimesNewRoman"/>
          <w:szCs w:val="22"/>
          <w:lang w:eastAsia="en-US"/>
        </w:rPr>
        <w:t>U pediatrických pacientov s Ph+ CML-CP, ktorí tolerovali liečbu a ktorí nedosiahli hematologickú, cytogenetickú a molekulárnu odpoveď pri odporúčaných časových intervaloch sa podľa súčasných liečebných postupov odporúčajú nasledovné zvyšovania dávky uvedené v tabuľke 2.</w:t>
      </w:r>
    </w:p>
    <w:p w:rsidR="0039683B" w:rsidRPr="00ED7F0F" w:rsidRDefault="0039683B" w:rsidP="00122C9F">
      <w:pPr>
        <w:tabs>
          <w:tab w:val="clear" w:pos="567"/>
        </w:tabs>
        <w:autoSpaceDE w:val="0"/>
        <w:autoSpaceDN w:val="0"/>
        <w:adjustRightInd w:val="0"/>
        <w:spacing w:line="240" w:lineRule="auto"/>
        <w:rPr>
          <w:rFonts w:eastAsia="TimesNewRomanPS-BoldMT"/>
          <w:b/>
          <w:bCs/>
          <w:szCs w:val="22"/>
          <w:highlight w:val="lightGray"/>
          <w:lang w:eastAsia="en-GB" w:bidi="ar-SA"/>
        </w:rPr>
      </w:pPr>
    </w:p>
    <w:p w:rsidR="0039683B" w:rsidRPr="00ED7F0F" w:rsidRDefault="0039683B" w:rsidP="00122C9F">
      <w:pPr>
        <w:tabs>
          <w:tab w:val="clear" w:pos="567"/>
        </w:tabs>
        <w:autoSpaceDE w:val="0"/>
        <w:autoSpaceDN w:val="0"/>
        <w:adjustRightInd w:val="0"/>
        <w:spacing w:line="240" w:lineRule="auto"/>
        <w:rPr>
          <w:rFonts w:eastAsia="TimesNewRomanPS-BoldMT"/>
          <w:b/>
          <w:bCs/>
          <w:szCs w:val="22"/>
          <w:lang w:eastAsia="en-GB" w:bidi="ar-SA"/>
        </w:rPr>
      </w:pPr>
      <w:r w:rsidRPr="00ED7F0F">
        <w:rPr>
          <w:rFonts w:eastAsia="TimesNewRomanPS-BoldMT"/>
          <w:b/>
          <w:bCs/>
          <w:szCs w:val="22"/>
          <w:lang w:eastAsia="en-GB" w:bidi="ar-SA"/>
        </w:rPr>
        <w:t>Tabuľka 2: Zvyšovanie dávky u pediatrických pacientov s Ph+ CML-CP</w:t>
      </w:r>
    </w:p>
    <w:tbl>
      <w:tblPr>
        <w:tblW w:w="0" w:type="auto"/>
        <w:tblInd w:w="108" w:type="dxa"/>
        <w:tblCellMar>
          <w:left w:w="10" w:type="dxa"/>
          <w:right w:w="10" w:type="dxa"/>
        </w:tblCellMar>
        <w:tblLook w:val="04A0" w:firstRow="1" w:lastRow="0" w:firstColumn="1" w:lastColumn="0" w:noHBand="0" w:noVBand="1"/>
      </w:tblPr>
      <w:tblGrid>
        <w:gridCol w:w="2601"/>
        <w:gridCol w:w="3161"/>
        <w:gridCol w:w="3201"/>
      </w:tblGrid>
      <w:tr w:rsidR="0039683B" w:rsidRPr="00ED7F0F" w:rsidTr="0039683B">
        <w:trPr>
          <w:trHeight w:val="1"/>
        </w:trPr>
        <w:tc>
          <w:tcPr>
            <w:tcW w:w="2601"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9683B" w:rsidRPr="00ED7F0F" w:rsidRDefault="0039683B" w:rsidP="00122C9F">
            <w:pPr>
              <w:tabs>
                <w:tab w:val="left" w:pos="1201"/>
                <w:tab w:val="left" w:pos="5943"/>
                <w:tab w:val="left" w:pos="6440"/>
              </w:tabs>
              <w:spacing w:line="260" w:lineRule="auto"/>
              <w:jc w:val="both"/>
              <w:rPr>
                <w:rFonts w:eastAsia="Calibri"/>
              </w:rPr>
            </w:pPr>
          </w:p>
        </w:tc>
        <w:tc>
          <w:tcPr>
            <w:tcW w:w="6362" w:type="dxa"/>
            <w:gridSpan w:val="2"/>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9683B" w:rsidRPr="00ED7F0F" w:rsidRDefault="0039683B" w:rsidP="00122C9F">
            <w:pPr>
              <w:tabs>
                <w:tab w:val="clear" w:pos="567"/>
              </w:tabs>
              <w:autoSpaceDE w:val="0"/>
              <w:autoSpaceDN w:val="0"/>
              <w:adjustRightInd w:val="0"/>
              <w:spacing w:line="240" w:lineRule="auto"/>
              <w:jc w:val="center"/>
              <w:rPr>
                <w:b/>
              </w:rPr>
            </w:pPr>
            <w:r w:rsidRPr="00ED7F0F">
              <w:rPr>
                <w:rFonts w:eastAsia="TimesNewRomanPS-BoldMT"/>
                <w:b/>
                <w:bCs/>
                <w:szCs w:val="22"/>
                <w:lang w:eastAsia="en-GB" w:bidi="ar-SA"/>
              </w:rPr>
              <w:t>Dávka (maximálna dávka na deň)</w:t>
            </w:r>
          </w:p>
        </w:tc>
      </w:tr>
      <w:tr w:rsidR="0039683B" w:rsidRPr="00ED7F0F" w:rsidTr="0039683B">
        <w:trPr>
          <w:trHeight w:val="1"/>
        </w:trPr>
        <w:tc>
          <w:tcPr>
            <w:tcW w:w="2601"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9683B" w:rsidRPr="00ED7F0F" w:rsidRDefault="0039683B" w:rsidP="00122C9F">
            <w:pPr>
              <w:tabs>
                <w:tab w:val="left" w:pos="1201"/>
                <w:tab w:val="left" w:pos="5943"/>
                <w:tab w:val="left" w:pos="6440"/>
              </w:tabs>
              <w:spacing w:line="260" w:lineRule="auto"/>
              <w:jc w:val="both"/>
              <w:rPr>
                <w:rFonts w:eastAsia="Calibri"/>
              </w:rPr>
            </w:pPr>
          </w:p>
        </w:tc>
        <w:tc>
          <w:tcPr>
            <w:tcW w:w="3161"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9683B" w:rsidRPr="00ED7F0F" w:rsidRDefault="0039683B" w:rsidP="00122C9F">
            <w:pPr>
              <w:tabs>
                <w:tab w:val="clear" w:pos="567"/>
                <w:tab w:val="left" w:pos="1201"/>
                <w:tab w:val="left" w:pos="5943"/>
                <w:tab w:val="left" w:pos="6440"/>
              </w:tabs>
              <w:spacing w:line="260" w:lineRule="auto"/>
              <w:jc w:val="both"/>
            </w:pPr>
            <w:r w:rsidRPr="00ED7F0F">
              <w:rPr>
                <w:b/>
                <w:color w:val="231F20"/>
                <w:szCs w:val="22"/>
                <w:lang w:eastAsia="en-GB" w:bidi="ar-SA"/>
              </w:rPr>
              <w:t>Začiatočná dávka</w:t>
            </w:r>
          </w:p>
        </w:tc>
        <w:tc>
          <w:tcPr>
            <w:tcW w:w="3201"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9683B" w:rsidRPr="00ED7F0F" w:rsidRDefault="0039683B" w:rsidP="00122C9F">
            <w:pPr>
              <w:tabs>
                <w:tab w:val="left" w:pos="1201"/>
                <w:tab w:val="left" w:pos="5943"/>
                <w:tab w:val="left" w:pos="6440"/>
              </w:tabs>
              <w:spacing w:line="260" w:lineRule="auto"/>
              <w:jc w:val="both"/>
            </w:pPr>
            <w:r w:rsidRPr="00ED7F0F">
              <w:rPr>
                <w:b/>
                <w:color w:val="231F20"/>
              </w:rPr>
              <w:t>Zvýšenie</w:t>
            </w:r>
          </w:p>
        </w:tc>
      </w:tr>
      <w:tr w:rsidR="0039683B" w:rsidRPr="00ED7F0F" w:rsidTr="0039683B">
        <w:trPr>
          <w:trHeight w:val="1"/>
        </w:trPr>
        <w:tc>
          <w:tcPr>
            <w:tcW w:w="2601"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9683B" w:rsidRPr="00ED7F0F" w:rsidRDefault="0039683B" w:rsidP="00122C9F">
            <w:pPr>
              <w:tabs>
                <w:tab w:val="left" w:pos="1201"/>
                <w:tab w:val="left" w:pos="5943"/>
                <w:tab w:val="left" w:pos="6440"/>
              </w:tabs>
              <w:spacing w:line="260" w:lineRule="auto"/>
              <w:jc w:val="both"/>
            </w:pPr>
            <w:r w:rsidRPr="00ED7F0F">
              <w:rPr>
                <w:b/>
                <w:color w:val="231F20"/>
              </w:rPr>
              <w:t>Tablety</w:t>
            </w:r>
          </w:p>
        </w:tc>
        <w:tc>
          <w:tcPr>
            <w:tcW w:w="3161"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9683B" w:rsidRPr="00ED7F0F" w:rsidRDefault="0039683B" w:rsidP="00122C9F">
            <w:pPr>
              <w:tabs>
                <w:tab w:val="left" w:pos="1201"/>
                <w:tab w:val="left" w:pos="5943"/>
                <w:tab w:val="left" w:pos="6440"/>
              </w:tabs>
              <w:spacing w:line="260" w:lineRule="auto"/>
              <w:jc w:val="both"/>
            </w:pPr>
            <w:r w:rsidRPr="00ED7F0F">
              <w:rPr>
                <w:color w:val="231F20"/>
              </w:rPr>
              <w:t>40 mg</w:t>
            </w:r>
          </w:p>
        </w:tc>
        <w:tc>
          <w:tcPr>
            <w:tcW w:w="3201"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9683B" w:rsidRPr="00ED7F0F" w:rsidRDefault="0039683B" w:rsidP="00122C9F">
            <w:pPr>
              <w:tabs>
                <w:tab w:val="left" w:pos="1201"/>
                <w:tab w:val="left" w:pos="5943"/>
                <w:tab w:val="left" w:pos="6440"/>
              </w:tabs>
              <w:spacing w:line="260" w:lineRule="auto"/>
              <w:jc w:val="both"/>
            </w:pPr>
            <w:r w:rsidRPr="00ED7F0F">
              <w:rPr>
                <w:color w:val="231F20"/>
              </w:rPr>
              <w:t>50 mg</w:t>
            </w:r>
          </w:p>
        </w:tc>
      </w:tr>
      <w:tr w:rsidR="0039683B" w:rsidRPr="00ED7F0F" w:rsidTr="0039683B">
        <w:trPr>
          <w:trHeight w:val="1"/>
        </w:trPr>
        <w:tc>
          <w:tcPr>
            <w:tcW w:w="2601"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9683B" w:rsidRPr="00ED7F0F" w:rsidRDefault="0039683B" w:rsidP="00122C9F">
            <w:pPr>
              <w:tabs>
                <w:tab w:val="left" w:pos="1201"/>
                <w:tab w:val="left" w:pos="5943"/>
                <w:tab w:val="left" w:pos="6440"/>
              </w:tabs>
              <w:spacing w:line="260" w:lineRule="auto"/>
              <w:jc w:val="both"/>
              <w:rPr>
                <w:rFonts w:eastAsia="Calibri"/>
              </w:rPr>
            </w:pPr>
          </w:p>
        </w:tc>
        <w:tc>
          <w:tcPr>
            <w:tcW w:w="3161"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9683B" w:rsidRPr="00ED7F0F" w:rsidRDefault="0039683B" w:rsidP="00122C9F">
            <w:pPr>
              <w:tabs>
                <w:tab w:val="left" w:pos="1201"/>
                <w:tab w:val="left" w:pos="5943"/>
                <w:tab w:val="left" w:pos="6440"/>
              </w:tabs>
              <w:spacing w:line="260" w:lineRule="auto"/>
              <w:jc w:val="both"/>
            </w:pPr>
            <w:r w:rsidRPr="00ED7F0F">
              <w:rPr>
                <w:color w:val="231F20"/>
              </w:rPr>
              <w:t>60 mg</w:t>
            </w:r>
          </w:p>
        </w:tc>
        <w:tc>
          <w:tcPr>
            <w:tcW w:w="3201"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9683B" w:rsidRPr="00ED7F0F" w:rsidRDefault="0039683B" w:rsidP="00122C9F">
            <w:pPr>
              <w:tabs>
                <w:tab w:val="left" w:pos="1201"/>
                <w:tab w:val="left" w:pos="5943"/>
                <w:tab w:val="left" w:pos="6440"/>
              </w:tabs>
              <w:spacing w:line="260" w:lineRule="auto"/>
              <w:jc w:val="both"/>
            </w:pPr>
            <w:r w:rsidRPr="00ED7F0F">
              <w:rPr>
                <w:color w:val="231F20"/>
              </w:rPr>
              <w:t>70 mg</w:t>
            </w:r>
          </w:p>
        </w:tc>
      </w:tr>
      <w:tr w:rsidR="0039683B" w:rsidRPr="00ED7F0F" w:rsidTr="0039683B">
        <w:trPr>
          <w:trHeight w:val="1"/>
        </w:trPr>
        <w:tc>
          <w:tcPr>
            <w:tcW w:w="2601"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9683B" w:rsidRPr="00ED7F0F" w:rsidRDefault="0039683B" w:rsidP="00122C9F">
            <w:pPr>
              <w:tabs>
                <w:tab w:val="left" w:pos="1201"/>
                <w:tab w:val="left" w:pos="5943"/>
                <w:tab w:val="left" w:pos="6440"/>
              </w:tabs>
              <w:spacing w:line="260" w:lineRule="auto"/>
              <w:jc w:val="both"/>
              <w:rPr>
                <w:rFonts w:eastAsia="Calibri"/>
              </w:rPr>
            </w:pPr>
          </w:p>
        </w:tc>
        <w:tc>
          <w:tcPr>
            <w:tcW w:w="3161"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9683B" w:rsidRPr="00ED7F0F" w:rsidRDefault="0039683B" w:rsidP="00122C9F">
            <w:pPr>
              <w:tabs>
                <w:tab w:val="left" w:pos="1201"/>
                <w:tab w:val="left" w:pos="5943"/>
                <w:tab w:val="left" w:pos="6440"/>
              </w:tabs>
              <w:spacing w:line="260" w:lineRule="auto"/>
              <w:jc w:val="both"/>
            </w:pPr>
            <w:r w:rsidRPr="00ED7F0F">
              <w:rPr>
                <w:color w:val="231F20"/>
              </w:rPr>
              <w:t>70 mg</w:t>
            </w:r>
          </w:p>
        </w:tc>
        <w:tc>
          <w:tcPr>
            <w:tcW w:w="3201"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9683B" w:rsidRPr="00ED7F0F" w:rsidRDefault="0039683B" w:rsidP="00122C9F">
            <w:pPr>
              <w:tabs>
                <w:tab w:val="left" w:pos="1201"/>
                <w:tab w:val="left" w:pos="5943"/>
                <w:tab w:val="left" w:pos="6440"/>
              </w:tabs>
              <w:spacing w:line="260" w:lineRule="auto"/>
              <w:jc w:val="both"/>
            </w:pPr>
            <w:r w:rsidRPr="00ED7F0F">
              <w:rPr>
                <w:color w:val="231F20"/>
              </w:rPr>
              <w:t>90 mg</w:t>
            </w:r>
          </w:p>
        </w:tc>
      </w:tr>
      <w:tr w:rsidR="0039683B" w:rsidRPr="00ED7F0F" w:rsidTr="0039683B">
        <w:trPr>
          <w:trHeight w:val="1"/>
        </w:trPr>
        <w:tc>
          <w:tcPr>
            <w:tcW w:w="2601"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9683B" w:rsidRPr="00ED7F0F" w:rsidRDefault="0039683B" w:rsidP="00122C9F">
            <w:pPr>
              <w:tabs>
                <w:tab w:val="left" w:pos="1201"/>
                <w:tab w:val="left" w:pos="5943"/>
                <w:tab w:val="left" w:pos="6440"/>
              </w:tabs>
              <w:spacing w:line="260" w:lineRule="auto"/>
              <w:jc w:val="both"/>
              <w:rPr>
                <w:rFonts w:eastAsia="Calibri"/>
              </w:rPr>
            </w:pPr>
          </w:p>
        </w:tc>
        <w:tc>
          <w:tcPr>
            <w:tcW w:w="3161"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9683B" w:rsidRPr="00ED7F0F" w:rsidRDefault="0039683B" w:rsidP="00122C9F">
            <w:pPr>
              <w:tabs>
                <w:tab w:val="left" w:pos="1201"/>
                <w:tab w:val="left" w:pos="5943"/>
                <w:tab w:val="left" w:pos="6440"/>
              </w:tabs>
              <w:spacing w:line="260" w:lineRule="auto"/>
              <w:jc w:val="both"/>
            </w:pPr>
            <w:r w:rsidRPr="00ED7F0F">
              <w:rPr>
                <w:color w:val="231F20"/>
              </w:rPr>
              <w:t>100 mg</w:t>
            </w:r>
          </w:p>
        </w:tc>
        <w:tc>
          <w:tcPr>
            <w:tcW w:w="3201"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9683B" w:rsidRPr="00ED7F0F" w:rsidRDefault="0039683B" w:rsidP="00122C9F">
            <w:pPr>
              <w:tabs>
                <w:tab w:val="left" w:pos="1201"/>
                <w:tab w:val="left" w:pos="5943"/>
                <w:tab w:val="left" w:pos="6440"/>
              </w:tabs>
              <w:spacing w:line="260" w:lineRule="auto"/>
              <w:jc w:val="both"/>
            </w:pPr>
            <w:r w:rsidRPr="00ED7F0F">
              <w:rPr>
                <w:color w:val="231F20"/>
              </w:rPr>
              <w:t>120 mg</w:t>
            </w:r>
          </w:p>
        </w:tc>
      </w:tr>
    </w:tbl>
    <w:p w:rsidR="0039683B" w:rsidRPr="00ED7F0F" w:rsidRDefault="0039683B" w:rsidP="00122C9F">
      <w:pPr>
        <w:tabs>
          <w:tab w:val="clear" w:pos="567"/>
        </w:tabs>
        <w:autoSpaceDE w:val="0"/>
        <w:autoSpaceDN w:val="0"/>
        <w:adjustRightInd w:val="0"/>
        <w:spacing w:line="240" w:lineRule="auto"/>
        <w:rPr>
          <w:rFonts w:eastAsia="TimesNewRomanPSMT"/>
          <w:szCs w:val="22"/>
          <w:lang w:eastAsia="en-GB" w:bidi="ar-SA"/>
        </w:rPr>
      </w:pPr>
    </w:p>
    <w:p w:rsidR="0039683B" w:rsidRPr="00ED7F0F" w:rsidRDefault="0039683B" w:rsidP="00122C9F">
      <w:pPr>
        <w:tabs>
          <w:tab w:val="clear" w:pos="567"/>
        </w:tabs>
        <w:autoSpaceDE w:val="0"/>
        <w:autoSpaceDN w:val="0"/>
        <w:adjustRightInd w:val="0"/>
        <w:spacing w:line="240" w:lineRule="auto"/>
        <w:rPr>
          <w:rFonts w:eastAsia="TimesNewRomanPSMT"/>
          <w:szCs w:val="22"/>
          <w:lang w:eastAsia="en-GB" w:bidi="ar-SA"/>
        </w:rPr>
      </w:pPr>
      <w:r w:rsidRPr="00ED7F0F">
        <w:rPr>
          <w:rFonts w:eastAsia="TimesNewRomanPSMT"/>
          <w:szCs w:val="22"/>
          <w:lang w:eastAsia="en-GB" w:bidi="ar-SA"/>
        </w:rPr>
        <w:t>U pediatrických pacientov s ALL s Ph+ sa neodporúča zvyšovanie dávky, pretože dasatinib sa u týchto pacientov podáva v kombinácii s chemoterapiou.</w:t>
      </w:r>
    </w:p>
    <w:p w:rsidR="0039683B" w:rsidRPr="00ED7F0F" w:rsidRDefault="0039683B" w:rsidP="00122C9F">
      <w:pPr>
        <w:tabs>
          <w:tab w:val="clear" w:pos="567"/>
        </w:tabs>
        <w:autoSpaceDE w:val="0"/>
        <w:autoSpaceDN w:val="0"/>
        <w:adjustRightInd w:val="0"/>
        <w:spacing w:line="240" w:lineRule="auto"/>
        <w:rPr>
          <w:rFonts w:eastAsia="TimesNewRoman"/>
          <w:szCs w:val="22"/>
          <w:lang w:eastAsia="en-US"/>
        </w:rPr>
      </w:pPr>
    </w:p>
    <w:p w:rsidR="0094679E" w:rsidRPr="00ED7F0F" w:rsidRDefault="0094679E" w:rsidP="00122C9F">
      <w:pPr>
        <w:autoSpaceDE w:val="0"/>
        <w:autoSpaceDN w:val="0"/>
        <w:adjustRightInd w:val="0"/>
        <w:rPr>
          <w:i/>
          <w:iCs/>
          <w:szCs w:val="22"/>
          <w:u w:val="single"/>
          <w:lang w:eastAsia="en-US"/>
        </w:rPr>
      </w:pPr>
      <w:r w:rsidRPr="00ED7F0F">
        <w:rPr>
          <w:i/>
          <w:iCs/>
          <w:szCs w:val="22"/>
          <w:u w:val="single"/>
          <w:lang w:eastAsia="en-US"/>
        </w:rPr>
        <w:t>Úprava dávky kvôli nežiaducim reakciám</w:t>
      </w:r>
    </w:p>
    <w:p w:rsidR="0094679E" w:rsidRPr="00ED7F0F" w:rsidRDefault="0094679E" w:rsidP="00122C9F">
      <w:pPr>
        <w:autoSpaceDE w:val="0"/>
        <w:autoSpaceDN w:val="0"/>
        <w:adjustRightInd w:val="0"/>
        <w:rPr>
          <w:i/>
          <w:iCs/>
          <w:szCs w:val="22"/>
          <w:lang w:eastAsia="en-US"/>
        </w:rPr>
      </w:pPr>
      <w:r w:rsidRPr="00ED7F0F">
        <w:rPr>
          <w:i/>
          <w:iCs/>
          <w:szCs w:val="22"/>
          <w:lang w:eastAsia="en-US"/>
        </w:rPr>
        <w:t>Myelosupresia</w:t>
      </w:r>
    </w:p>
    <w:p w:rsidR="0094679E" w:rsidRPr="00ED7F0F" w:rsidRDefault="0094679E" w:rsidP="00122C9F">
      <w:pPr>
        <w:autoSpaceDE w:val="0"/>
        <w:autoSpaceDN w:val="0"/>
        <w:adjustRightInd w:val="0"/>
        <w:rPr>
          <w:rFonts w:eastAsia="TimesNewRoman"/>
          <w:szCs w:val="22"/>
          <w:lang w:eastAsia="en-US"/>
        </w:rPr>
      </w:pPr>
      <w:r w:rsidRPr="00ED7F0F">
        <w:rPr>
          <w:rFonts w:eastAsia="TimesNewRoman"/>
          <w:szCs w:val="22"/>
          <w:lang w:eastAsia="en-US"/>
        </w:rPr>
        <w:t>V</w:t>
      </w:r>
      <w:r w:rsidR="0039683B" w:rsidRPr="00ED7F0F">
        <w:rPr>
          <w:rFonts w:eastAsia="TimesNewRoman"/>
          <w:szCs w:val="22"/>
          <w:lang w:eastAsia="en-US"/>
        </w:rPr>
        <w:t> </w:t>
      </w:r>
      <w:r w:rsidRPr="00ED7F0F">
        <w:rPr>
          <w:rFonts w:eastAsia="TimesNewRoman"/>
          <w:szCs w:val="22"/>
          <w:lang w:eastAsia="en-US"/>
        </w:rPr>
        <w:t>klinických štúdiách sa myelosupresia zvládala prerušením dávky, redukciou dávky alebo ukončením skúšanej liečby. Transfúzia trombocytov a transfúzia erytrocytov sa použila v</w:t>
      </w:r>
      <w:r w:rsidR="0039683B" w:rsidRPr="00ED7F0F">
        <w:rPr>
          <w:rFonts w:eastAsia="TimesNewRoman"/>
          <w:szCs w:val="22"/>
          <w:lang w:eastAsia="en-US"/>
        </w:rPr>
        <w:t> </w:t>
      </w:r>
      <w:r w:rsidRPr="00ED7F0F">
        <w:rPr>
          <w:rFonts w:eastAsia="TimesNewRoman"/>
          <w:szCs w:val="22"/>
          <w:lang w:eastAsia="en-US"/>
        </w:rPr>
        <w:t>prípade potreby.</w:t>
      </w:r>
      <w:r w:rsidR="0039683B" w:rsidRPr="00ED7F0F">
        <w:rPr>
          <w:rFonts w:eastAsia="TimesNewRoman"/>
          <w:szCs w:val="22"/>
          <w:lang w:eastAsia="en-US"/>
        </w:rPr>
        <w:t xml:space="preserve"> </w:t>
      </w:r>
      <w:r w:rsidRPr="00ED7F0F">
        <w:rPr>
          <w:rFonts w:eastAsia="TimesNewRoman"/>
          <w:szCs w:val="22"/>
          <w:lang w:eastAsia="en-US"/>
        </w:rPr>
        <w:t>U</w:t>
      </w:r>
      <w:r w:rsidR="0039683B" w:rsidRPr="00ED7F0F">
        <w:rPr>
          <w:rFonts w:eastAsia="TimesNewRoman"/>
          <w:szCs w:val="22"/>
          <w:lang w:eastAsia="en-US"/>
        </w:rPr>
        <w:t> </w:t>
      </w:r>
      <w:r w:rsidRPr="00ED7F0F">
        <w:rPr>
          <w:rFonts w:eastAsia="TimesNewRoman"/>
          <w:szCs w:val="22"/>
          <w:lang w:eastAsia="en-US"/>
        </w:rPr>
        <w:t>pacientov s</w:t>
      </w:r>
      <w:r w:rsidR="0039683B" w:rsidRPr="00ED7F0F">
        <w:rPr>
          <w:rFonts w:eastAsia="TimesNewRoman"/>
          <w:szCs w:val="22"/>
          <w:lang w:eastAsia="en-US"/>
        </w:rPr>
        <w:t> </w:t>
      </w:r>
      <w:r w:rsidRPr="00ED7F0F">
        <w:rPr>
          <w:rFonts w:eastAsia="TimesNewRoman"/>
          <w:szCs w:val="22"/>
          <w:lang w:eastAsia="en-US"/>
        </w:rPr>
        <w:t>rezistentnou myelosupresiou sa použil hematopoetický rastový faktor.</w:t>
      </w:r>
    </w:p>
    <w:p w:rsidR="0094679E" w:rsidRPr="00ED7F0F" w:rsidRDefault="0039683B" w:rsidP="00122C9F">
      <w:pPr>
        <w:autoSpaceDE w:val="0"/>
        <w:autoSpaceDN w:val="0"/>
        <w:adjustRightInd w:val="0"/>
        <w:rPr>
          <w:rFonts w:eastAsia="TimesNewRoman"/>
          <w:szCs w:val="22"/>
          <w:lang w:eastAsia="en-US"/>
        </w:rPr>
      </w:pPr>
      <w:r w:rsidRPr="00ED7F0F">
        <w:rPr>
          <w:rFonts w:eastAsia="TimesNewRoman"/>
          <w:szCs w:val="22"/>
          <w:lang w:eastAsia="en-US"/>
        </w:rPr>
        <w:t>Pokyny na úpravy dávok u dospelých sú zhrnuté v</w:t>
      </w:r>
      <w:r w:rsidR="00537B30" w:rsidRPr="00ED7F0F">
        <w:rPr>
          <w:rFonts w:eastAsia="TimesNewRoman"/>
          <w:szCs w:val="22"/>
          <w:lang w:eastAsia="en-US"/>
        </w:rPr>
        <w:t> </w:t>
      </w:r>
      <w:r w:rsidRPr="00ED7F0F">
        <w:rPr>
          <w:rFonts w:eastAsia="TimesNewRoman"/>
          <w:szCs w:val="22"/>
          <w:lang w:eastAsia="en-US"/>
        </w:rPr>
        <w:t>tabuľke 3 a</w:t>
      </w:r>
      <w:r w:rsidR="00537B30" w:rsidRPr="00ED7F0F">
        <w:rPr>
          <w:rFonts w:eastAsia="TimesNewRoman"/>
          <w:szCs w:val="22"/>
          <w:lang w:eastAsia="en-US"/>
        </w:rPr>
        <w:t> </w:t>
      </w:r>
      <w:r w:rsidRPr="00ED7F0F">
        <w:rPr>
          <w:rFonts w:eastAsia="TimesNewRoman"/>
          <w:szCs w:val="22"/>
          <w:lang w:eastAsia="en-US"/>
        </w:rPr>
        <w:t>u</w:t>
      </w:r>
      <w:r w:rsidR="00537B30" w:rsidRPr="00ED7F0F">
        <w:rPr>
          <w:rFonts w:eastAsia="TimesNewRoman"/>
          <w:szCs w:val="22"/>
          <w:lang w:eastAsia="en-US"/>
        </w:rPr>
        <w:t> </w:t>
      </w:r>
      <w:r w:rsidRPr="00ED7F0F">
        <w:rPr>
          <w:rFonts w:eastAsia="TimesNewRoman"/>
          <w:szCs w:val="22"/>
          <w:lang w:eastAsia="en-US"/>
        </w:rPr>
        <w:t>pediatrických pacientov s Ph+ CML-CP v tabuľke 4. Pokyny pre pediatrických pacientov s ALL s Ph+ liečených v kombinácii s chemoterapiou sú v osobitnom odseku po tabuľkách.</w:t>
      </w:r>
    </w:p>
    <w:p w:rsidR="0039683B" w:rsidRPr="00ED7F0F" w:rsidRDefault="0039683B" w:rsidP="00122C9F">
      <w:pPr>
        <w:autoSpaceDE w:val="0"/>
        <w:autoSpaceDN w:val="0"/>
        <w:adjustRightInd w:val="0"/>
        <w:rPr>
          <w:color w:val="000000"/>
          <w:szCs w:val="22"/>
        </w:rPr>
      </w:pPr>
    </w:p>
    <w:p w:rsidR="0094679E" w:rsidRPr="00ED7F0F" w:rsidRDefault="0094679E" w:rsidP="00122C9F">
      <w:pPr>
        <w:autoSpaceDE w:val="0"/>
        <w:autoSpaceDN w:val="0"/>
        <w:adjustRightInd w:val="0"/>
        <w:rPr>
          <w:color w:val="000000"/>
          <w:szCs w:val="22"/>
        </w:rPr>
      </w:pPr>
      <w:r w:rsidRPr="00ED7F0F">
        <w:rPr>
          <w:rFonts w:eastAsia="TimesNewRoman,Bold"/>
          <w:b/>
          <w:bCs/>
          <w:szCs w:val="22"/>
          <w:lang w:eastAsia="en-US"/>
        </w:rPr>
        <w:t xml:space="preserve">Tabuľka </w:t>
      </w:r>
      <w:r w:rsidR="0039683B" w:rsidRPr="00ED7F0F">
        <w:rPr>
          <w:rFonts w:eastAsia="TimesNewRoman,Bold"/>
          <w:b/>
          <w:bCs/>
          <w:szCs w:val="22"/>
          <w:lang w:eastAsia="en-US"/>
        </w:rPr>
        <w:t>3</w:t>
      </w:r>
      <w:r w:rsidRPr="00ED7F0F">
        <w:rPr>
          <w:rFonts w:eastAsia="TimesNewRoman,Bold"/>
          <w:b/>
          <w:bCs/>
          <w:szCs w:val="22"/>
          <w:lang w:eastAsia="en-US"/>
        </w:rPr>
        <w:t>: Úprava dávky pri neutropénii a</w:t>
      </w:r>
      <w:r w:rsidR="0039683B" w:rsidRPr="00ED7F0F">
        <w:rPr>
          <w:rFonts w:eastAsia="TimesNewRoman,Bold"/>
          <w:b/>
          <w:bCs/>
          <w:szCs w:val="22"/>
          <w:lang w:eastAsia="en-US"/>
        </w:rPr>
        <w:t> </w:t>
      </w:r>
      <w:r w:rsidRPr="00ED7F0F">
        <w:rPr>
          <w:rFonts w:eastAsia="TimesNewRoman,Bold"/>
          <w:b/>
          <w:bCs/>
          <w:szCs w:val="22"/>
          <w:lang w:eastAsia="en-US"/>
        </w:rPr>
        <w:t>trombocytopénii</w:t>
      </w:r>
      <w:r w:rsidR="0039683B" w:rsidRPr="00ED7F0F">
        <w:rPr>
          <w:rFonts w:eastAsia="TimesNewRoman,Bold"/>
          <w:b/>
          <w:bCs/>
          <w:szCs w:val="22"/>
          <w:lang w:eastAsia="en-US"/>
        </w:rPr>
        <w:t xml:space="preserve"> u dospelých</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1862"/>
        <w:gridCol w:w="4811"/>
      </w:tblGrid>
      <w:tr w:rsidR="0094679E" w:rsidRPr="00ED7F0F" w:rsidTr="00537B30">
        <w:tc>
          <w:tcPr>
            <w:tcW w:w="2189" w:type="dxa"/>
            <w:shd w:val="clear" w:color="auto" w:fill="auto"/>
          </w:tcPr>
          <w:p w:rsidR="0094679E" w:rsidRPr="00ED7F0F" w:rsidRDefault="002E6357" w:rsidP="00122C9F">
            <w:pPr>
              <w:autoSpaceDE w:val="0"/>
              <w:autoSpaceDN w:val="0"/>
              <w:adjustRightInd w:val="0"/>
              <w:rPr>
                <w:sz w:val="20"/>
              </w:rPr>
            </w:pPr>
            <w:r w:rsidRPr="00ED7F0F">
              <w:rPr>
                <w:rFonts w:eastAsia="TimesNewRoman"/>
                <w:szCs w:val="22"/>
                <w:lang w:eastAsia="en-US"/>
              </w:rPr>
              <w:t>Dospelí s</w:t>
            </w:r>
            <w:r w:rsidR="0057640E" w:rsidRPr="00ED7F0F">
              <w:rPr>
                <w:rFonts w:eastAsia="TimesNewRoman"/>
                <w:szCs w:val="22"/>
                <w:lang w:eastAsia="en-US"/>
              </w:rPr>
              <w:t> </w:t>
            </w:r>
            <w:r w:rsidRPr="00ED7F0F">
              <w:rPr>
                <w:rFonts w:eastAsia="TimesNewRoman"/>
                <w:szCs w:val="22"/>
                <w:lang w:eastAsia="en-US"/>
              </w:rPr>
              <w:t xml:space="preserve">chronickou fázou CML </w:t>
            </w:r>
            <w:r w:rsidR="0094679E" w:rsidRPr="00ED7F0F">
              <w:rPr>
                <w:rFonts w:eastAsia="TimesNewRoman"/>
                <w:szCs w:val="22"/>
                <w:lang w:eastAsia="en-US"/>
              </w:rPr>
              <w:t>(začiatočná dávka 100 mg jedenkrát denne)</w:t>
            </w:r>
          </w:p>
        </w:tc>
        <w:tc>
          <w:tcPr>
            <w:tcW w:w="1862" w:type="dxa"/>
            <w:shd w:val="clear" w:color="auto" w:fill="auto"/>
          </w:tcPr>
          <w:p w:rsidR="0094679E" w:rsidRPr="00ED7F0F" w:rsidRDefault="0094679E" w:rsidP="00122C9F">
            <w:pPr>
              <w:autoSpaceDE w:val="0"/>
              <w:autoSpaceDN w:val="0"/>
              <w:adjustRightInd w:val="0"/>
              <w:rPr>
                <w:rFonts w:eastAsia="TimesNewRoman"/>
                <w:szCs w:val="22"/>
                <w:lang w:eastAsia="en-US"/>
              </w:rPr>
            </w:pPr>
            <w:r w:rsidRPr="00ED7F0F">
              <w:rPr>
                <w:rFonts w:eastAsia="TimesNewRoman"/>
                <w:szCs w:val="22"/>
                <w:lang w:eastAsia="en-US"/>
              </w:rPr>
              <w:t>ANC &lt; 0,5 x 10</w:t>
            </w:r>
            <w:r w:rsidRPr="00ED7F0F">
              <w:rPr>
                <w:rFonts w:eastAsia="TimesNewRoman"/>
                <w:szCs w:val="22"/>
                <w:vertAlign w:val="superscript"/>
                <w:lang w:eastAsia="en-US"/>
              </w:rPr>
              <w:t>9</w:t>
            </w:r>
            <w:r w:rsidRPr="00ED7F0F">
              <w:rPr>
                <w:rFonts w:eastAsia="TimesNewRoman"/>
                <w:szCs w:val="22"/>
                <w:lang w:eastAsia="en-US"/>
              </w:rPr>
              <w:t>/l</w:t>
            </w:r>
          </w:p>
          <w:p w:rsidR="0094679E" w:rsidRPr="00ED7F0F" w:rsidRDefault="0094679E" w:rsidP="00122C9F">
            <w:pPr>
              <w:autoSpaceDE w:val="0"/>
              <w:autoSpaceDN w:val="0"/>
              <w:adjustRightInd w:val="0"/>
              <w:rPr>
                <w:rFonts w:eastAsia="TimesNewRoman"/>
                <w:szCs w:val="22"/>
                <w:lang w:eastAsia="en-US"/>
              </w:rPr>
            </w:pPr>
            <w:r w:rsidRPr="00ED7F0F">
              <w:rPr>
                <w:rFonts w:eastAsia="TimesNewRoman"/>
                <w:szCs w:val="22"/>
                <w:lang w:eastAsia="en-US"/>
              </w:rPr>
              <w:t>a/alebo počet</w:t>
            </w:r>
          </w:p>
          <w:p w:rsidR="0094679E" w:rsidRPr="00ED7F0F" w:rsidRDefault="0094679E" w:rsidP="00122C9F">
            <w:pPr>
              <w:autoSpaceDE w:val="0"/>
              <w:autoSpaceDN w:val="0"/>
              <w:adjustRightInd w:val="0"/>
              <w:rPr>
                <w:rFonts w:eastAsia="TimesNewRoman"/>
                <w:szCs w:val="22"/>
                <w:lang w:eastAsia="en-US"/>
              </w:rPr>
            </w:pPr>
            <w:r w:rsidRPr="00ED7F0F">
              <w:rPr>
                <w:rFonts w:eastAsia="TimesNewRoman"/>
                <w:szCs w:val="22"/>
                <w:lang w:eastAsia="en-US"/>
              </w:rPr>
              <w:t>trombocytov</w:t>
            </w:r>
          </w:p>
          <w:p w:rsidR="0094679E" w:rsidRPr="00ED7F0F" w:rsidRDefault="0094679E" w:rsidP="00122C9F">
            <w:r w:rsidRPr="00ED7F0F">
              <w:rPr>
                <w:rFonts w:eastAsia="TimesNewRoman"/>
                <w:szCs w:val="22"/>
                <w:lang w:eastAsia="en-US"/>
              </w:rPr>
              <w:t>&lt; 50 x 10</w:t>
            </w:r>
            <w:r w:rsidRPr="00ED7F0F">
              <w:rPr>
                <w:rFonts w:eastAsia="TimesNewRoman"/>
                <w:szCs w:val="22"/>
                <w:vertAlign w:val="superscript"/>
                <w:lang w:eastAsia="en-US"/>
              </w:rPr>
              <w:t>9</w:t>
            </w:r>
            <w:r w:rsidRPr="00ED7F0F">
              <w:rPr>
                <w:rFonts w:eastAsia="TimesNewRoman"/>
                <w:szCs w:val="22"/>
                <w:lang w:eastAsia="en-US"/>
              </w:rPr>
              <w:t>/l</w:t>
            </w:r>
          </w:p>
        </w:tc>
        <w:tc>
          <w:tcPr>
            <w:tcW w:w="4811" w:type="dxa"/>
            <w:shd w:val="clear" w:color="auto" w:fill="auto"/>
          </w:tcPr>
          <w:p w:rsidR="0094679E" w:rsidRPr="00ED7F0F" w:rsidRDefault="0094679E" w:rsidP="00122C9F">
            <w:pPr>
              <w:numPr>
                <w:ilvl w:val="0"/>
                <w:numId w:val="12"/>
              </w:numPr>
              <w:tabs>
                <w:tab w:val="clear" w:pos="567"/>
              </w:tabs>
              <w:autoSpaceDE w:val="0"/>
              <w:autoSpaceDN w:val="0"/>
              <w:adjustRightInd w:val="0"/>
              <w:spacing w:after="240" w:line="240" w:lineRule="auto"/>
              <w:ind w:left="421" w:hanging="421"/>
              <w:rPr>
                <w:rFonts w:eastAsia="TimesNewRoman"/>
                <w:szCs w:val="22"/>
                <w:lang w:eastAsia="en-US"/>
              </w:rPr>
            </w:pPr>
            <w:r w:rsidRPr="00ED7F0F">
              <w:rPr>
                <w:rFonts w:eastAsia="TimesNewRoman"/>
                <w:szCs w:val="22"/>
                <w:lang w:eastAsia="en-US"/>
              </w:rPr>
              <w:t>Prerušte liečbu až dovtedy, kým nebude ANC ≥ 1,0 x 10</w:t>
            </w:r>
            <w:r w:rsidRPr="00ED7F0F">
              <w:rPr>
                <w:rFonts w:eastAsia="TimesNewRoman"/>
                <w:szCs w:val="22"/>
                <w:vertAlign w:val="superscript"/>
                <w:lang w:eastAsia="en-US"/>
              </w:rPr>
              <w:t>9</w:t>
            </w:r>
            <w:r w:rsidRPr="00ED7F0F">
              <w:rPr>
                <w:rFonts w:eastAsia="TimesNewRoman"/>
                <w:szCs w:val="22"/>
                <w:lang w:eastAsia="en-US"/>
              </w:rPr>
              <w:t>/l a počet trombocytov ≥ 50 x 10</w:t>
            </w:r>
            <w:r w:rsidRPr="00ED7F0F">
              <w:rPr>
                <w:rFonts w:eastAsia="TimesNewRoman"/>
                <w:szCs w:val="22"/>
                <w:vertAlign w:val="superscript"/>
                <w:lang w:eastAsia="en-US"/>
              </w:rPr>
              <w:t>9</w:t>
            </w:r>
            <w:r w:rsidRPr="00ED7F0F">
              <w:rPr>
                <w:rFonts w:eastAsia="TimesNewRoman"/>
                <w:szCs w:val="22"/>
                <w:lang w:eastAsia="en-US"/>
              </w:rPr>
              <w:t>/l.</w:t>
            </w:r>
          </w:p>
          <w:p w:rsidR="0094679E" w:rsidRPr="00ED7F0F" w:rsidRDefault="0094679E" w:rsidP="00122C9F">
            <w:pPr>
              <w:numPr>
                <w:ilvl w:val="0"/>
                <w:numId w:val="12"/>
              </w:numPr>
              <w:tabs>
                <w:tab w:val="clear" w:pos="567"/>
              </w:tabs>
              <w:autoSpaceDE w:val="0"/>
              <w:autoSpaceDN w:val="0"/>
              <w:adjustRightInd w:val="0"/>
              <w:spacing w:after="240" w:line="240" w:lineRule="auto"/>
              <w:ind w:left="421" w:hanging="421"/>
              <w:rPr>
                <w:rFonts w:eastAsia="TimesNewRoman"/>
                <w:szCs w:val="22"/>
                <w:lang w:eastAsia="en-US"/>
              </w:rPr>
            </w:pPr>
            <w:r w:rsidRPr="00ED7F0F">
              <w:rPr>
                <w:rFonts w:eastAsia="TimesNewRoman"/>
                <w:szCs w:val="22"/>
                <w:lang w:eastAsia="en-US"/>
              </w:rPr>
              <w:t>Pokračujte v</w:t>
            </w:r>
            <w:r w:rsidR="0057640E" w:rsidRPr="00ED7F0F">
              <w:rPr>
                <w:rFonts w:eastAsia="TimesNewRoman"/>
                <w:szCs w:val="22"/>
                <w:lang w:eastAsia="en-US"/>
              </w:rPr>
              <w:t> </w:t>
            </w:r>
            <w:r w:rsidRPr="00ED7F0F">
              <w:rPr>
                <w:rFonts w:eastAsia="TimesNewRoman"/>
                <w:szCs w:val="22"/>
                <w:lang w:eastAsia="en-US"/>
              </w:rPr>
              <w:t>liečbe pôvodnou začiatočnou dávkou.</w:t>
            </w:r>
          </w:p>
          <w:p w:rsidR="0094679E" w:rsidRPr="00ED7F0F" w:rsidRDefault="0094679E" w:rsidP="00122C9F">
            <w:pPr>
              <w:numPr>
                <w:ilvl w:val="0"/>
                <w:numId w:val="12"/>
              </w:numPr>
              <w:tabs>
                <w:tab w:val="clear" w:pos="567"/>
              </w:tabs>
              <w:autoSpaceDE w:val="0"/>
              <w:autoSpaceDN w:val="0"/>
              <w:adjustRightInd w:val="0"/>
              <w:spacing w:after="240" w:line="240" w:lineRule="auto"/>
              <w:ind w:left="421" w:hanging="421"/>
              <w:rPr>
                <w:rFonts w:eastAsia="TimesNewRoman"/>
                <w:szCs w:val="22"/>
                <w:lang w:eastAsia="en-US"/>
              </w:rPr>
            </w:pPr>
            <w:r w:rsidRPr="00ED7F0F">
              <w:rPr>
                <w:rFonts w:eastAsia="TimesNewRoman"/>
                <w:szCs w:val="22"/>
                <w:lang w:eastAsia="en-US"/>
              </w:rPr>
              <w:t>Ak bude počet trombocytov &lt; 25 x 10</w:t>
            </w:r>
            <w:r w:rsidRPr="00ED7F0F">
              <w:rPr>
                <w:rFonts w:eastAsia="TimesNewRoman"/>
                <w:szCs w:val="22"/>
                <w:vertAlign w:val="superscript"/>
                <w:lang w:eastAsia="en-US"/>
              </w:rPr>
              <w:t>9</w:t>
            </w:r>
            <w:r w:rsidRPr="00ED7F0F">
              <w:rPr>
                <w:rFonts w:eastAsia="TimesNewRoman"/>
                <w:szCs w:val="22"/>
                <w:lang w:eastAsia="en-US"/>
              </w:rPr>
              <w:t>/l a/alebo ak dôjde k</w:t>
            </w:r>
            <w:r w:rsidR="0057640E" w:rsidRPr="00ED7F0F">
              <w:rPr>
                <w:rFonts w:eastAsia="TimesNewRoman"/>
                <w:szCs w:val="22"/>
                <w:lang w:eastAsia="en-US"/>
              </w:rPr>
              <w:t> </w:t>
            </w:r>
            <w:r w:rsidRPr="00ED7F0F">
              <w:rPr>
                <w:rFonts w:eastAsia="TimesNewRoman"/>
                <w:szCs w:val="22"/>
                <w:lang w:eastAsia="en-US"/>
              </w:rPr>
              <w:t>opakovanému poklesu ANC &lt; 0,5 x 10</w:t>
            </w:r>
            <w:r w:rsidRPr="00ED7F0F">
              <w:rPr>
                <w:rFonts w:eastAsia="TimesNewRoman"/>
                <w:szCs w:val="22"/>
                <w:vertAlign w:val="superscript"/>
                <w:lang w:eastAsia="en-US"/>
              </w:rPr>
              <w:t>9</w:t>
            </w:r>
            <w:r w:rsidRPr="00ED7F0F">
              <w:rPr>
                <w:rFonts w:eastAsia="TimesNewRoman"/>
                <w:szCs w:val="22"/>
                <w:lang w:eastAsia="en-US"/>
              </w:rPr>
              <w:t>/l trvajúcemu dlhšie ako 7 dní, zopakujte krok 1 a pokračujte v</w:t>
            </w:r>
            <w:r w:rsidR="0057640E" w:rsidRPr="00ED7F0F">
              <w:rPr>
                <w:rFonts w:eastAsia="TimesNewRoman"/>
                <w:szCs w:val="22"/>
                <w:lang w:eastAsia="en-US"/>
              </w:rPr>
              <w:t> </w:t>
            </w:r>
            <w:r w:rsidRPr="00ED7F0F">
              <w:rPr>
                <w:rFonts w:eastAsia="TimesNewRoman"/>
                <w:szCs w:val="22"/>
                <w:lang w:eastAsia="en-US"/>
              </w:rPr>
              <w:t>liečbe zníženou dávkou 80 mg jedenkrát denne v</w:t>
            </w:r>
            <w:r w:rsidR="0057640E" w:rsidRPr="00ED7F0F">
              <w:rPr>
                <w:rFonts w:eastAsia="TimesNewRoman"/>
                <w:szCs w:val="22"/>
                <w:lang w:eastAsia="en-US"/>
              </w:rPr>
              <w:t> </w:t>
            </w:r>
            <w:r w:rsidRPr="00ED7F0F">
              <w:rPr>
                <w:rFonts w:eastAsia="TimesNewRoman"/>
                <w:szCs w:val="22"/>
                <w:lang w:eastAsia="en-US"/>
              </w:rPr>
              <w:t>druhej epizóde. V</w:t>
            </w:r>
            <w:r w:rsidR="0057640E" w:rsidRPr="00ED7F0F">
              <w:rPr>
                <w:rFonts w:eastAsia="TimesNewRoman"/>
                <w:szCs w:val="22"/>
                <w:lang w:eastAsia="en-US"/>
              </w:rPr>
              <w:t> </w:t>
            </w:r>
            <w:r w:rsidRPr="00ED7F0F">
              <w:rPr>
                <w:rFonts w:eastAsia="TimesNewRoman"/>
                <w:szCs w:val="22"/>
                <w:lang w:eastAsia="en-US"/>
              </w:rPr>
              <w:t>tretej epizóde, dávku ďalej znížte na 50 mg jedenkrát denne (u</w:t>
            </w:r>
            <w:r w:rsidR="0057640E" w:rsidRPr="00ED7F0F">
              <w:rPr>
                <w:rFonts w:eastAsia="TimesNewRoman"/>
                <w:szCs w:val="22"/>
                <w:lang w:eastAsia="en-US"/>
              </w:rPr>
              <w:t> </w:t>
            </w:r>
            <w:r w:rsidRPr="00ED7F0F">
              <w:rPr>
                <w:rFonts w:eastAsia="TimesNewRoman"/>
                <w:szCs w:val="22"/>
                <w:lang w:eastAsia="en-US"/>
              </w:rPr>
              <w:t>novo diagnostikovaných pacientov) alebo podávanie ukončite (u</w:t>
            </w:r>
            <w:r w:rsidR="0057640E" w:rsidRPr="00ED7F0F">
              <w:rPr>
                <w:rFonts w:eastAsia="TimesNewRoman"/>
                <w:szCs w:val="22"/>
                <w:lang w:eastAsia="en-US"/>
              </w:rPr>
              <w:t> </w:t>
            </w:r>
            <w:r w:rsidRPr="00ED7F0F">
              <w:rPr>
                <w:rFonts w:eastAsia="TimesNewRoman"/>
                <w:szCs w:val="22"/>
                <w:lang w:eastAsia="en-US"/>
              </w:rPr>
              <w:t>pacientov rezistentných alebo netolerujúcich predošlú liečbu zahŕňajúcu imatinib).</w:t>
            </w:r>
          </w:p>
          <w:p w:rsidR="0094679E" w:rsidRPr="00ED7F0F" w:rsidRDefault="0094679E" w:rsidP="00122C9F">
            <w:pPr>
              <w:autoSpaceDE w:val="0"/>
              <w:autoSpaceDN w:val="0"/>
              <w:adjustRightInd w:val="0"/>
            </w:pPr>
          </w:p>
        </w:tc>
      </w:tr>
      <w:tr w:rsidR="0094679E" w:rsidRPr="00ED7F0F" w:rsidTr="00537B30">
        <w:tc>
          <w:tcPr>
            <w:tcW w:w="2189" w:type="dxa"/>
            <w:shd w:val="clear" w:color="auto" w:fill="auto"/>
          </w:tcPr>
          <w:p w:rsidR="0094679E" w:rsidRPr="00ED7F0F" w:rsidRDefault="0057640E" w:rsidP="00122C9F">
            <w:pPr>
              <w:autoSpaceDE w:val="0"/>
              <w:autoSpaceDN w:val="0"/>
              <w:adjustRightInd w:val="0"/>
              <w:rPr>
                <w:sz w:val="20"/>
              </w:rPr>
            </w:pPr>
            <w:r w:rsidRPr="00ED7F0F">
              <w:rPr>
                <w:rFonts w:eastAsia="TimesNewRoman"/>
                <w:szCs w:val="22"/>
                <w:lang w:eastAsia="en-US"/>
              </w:rPr>
              <w:t>Dospelí s</w:t>
            </w:r>
            <w:r w:rsidR="00537B30" w:rsidRPr="00ED7F0F">
              <w:rPr>
                <w:rFonts w:eastAsia="TimesNewRoman"/>
                <w:szCs w:val="22"/>
                <w:lang w:eastAsia="en-US"/>
              </w:rPr>
              <w:t> </w:t>
            </w:r>
            <w:r w:rsidRPr="00ED7F0F">
              <w:rPr>
                <w:rFonts w:eastAsia="TimesNewRoman"/>
                <w:szCs w:val="22"/>
                <w:lang w:eastAsia="en-US"/>
              </w:rPr>
              <w:t>a</w:t>
            </w:r>
            <w:r w:rsidR="0094679E" w:rsidRPr="00ED7F0F">
              <w:rPr>
                <w:rFonts w:eastAsia="TimesNewRoman"/>
                <w:szCs w:val="22"/>
                <w:lang w:eastAsia="en-US"/>
              </w:rPr>
              <w:t>kcelerovan</w:t>
            </w:r>
            <w:r w:rsidRPr="00ED7F0F">
              <w:rPr>
                <w:rFonts w:eastAsia="TimesNewRoman"/>
                <w:szCs w:val="22"/>
                <w:lang w:eastAsia="en-US"/>
              </w:rPr>
              <w:t>ou</w:t>
            </w:r>
            <w:r w:rsidR="0094679E" w:rsidRPr="00ED7F0F">
              <w:rPr>
                <w:rFonts w:eastAsia="TimesNewRoman"/>
                <w:szCs w:val="22"/>
                <w:lang w:eastAsia="en-US"/>
              </w:rPr>
              <w:t xml:space="preserve"> a</w:t>
            </w:r>
            <w:r w:rsidRPr="00ED7F0F">
              <w:rPr>
                <w:rFonts w:eastAsia="TimesNewRoman"/>
                <w:szCs w:val="22"/>
                <w:lang w:eastAsia="en-US"/>
              </w:rPr>
              <w:t xml:space="preserve"> </w:t>
            </w:r>
            <w:r w:rsidR="0094679E" w:rsidRPr="00ED7F0F">
              <w:rPr>
                <w:rFonts w:eastAsia="TimesNewRoman"/>
                <w:szCs w:val="22"/>
                <w:lang w:eastAsia="en-US"/>
              </w:rPr>
              <w:t>blastick</w:t>
            </w:r>
            <w:r w:rsidRPr="00ED7F0F">
              <w:rPr>
                <w:rFonts w:eastAsia="TimesNewRoman"/>
                <w:szCs w:val="22"/>
                <w:lang w:eastAsia="en-US"/>
              </w:rPr>
              <w:t>ou</w:t>
            </w:r>
            <w:r w:rsidR="0094679E" w:rsidRPr="00ED7F0F">
              <w:rPr>
                <w:rFonts w:eastAsia="TimesNewRoman"/>
                <w:szCs w:val="22"/>
                <w:lang w:eastAsia="en-US"/>
              </w:rPr>
              <w:t xml:space="preserve"> fáz</w:t>
            </w:r>
            <w:r w:rsidRPr="00ED7F0F">
              <w:rPr>
                <w:rFonts w:eastAsia="TimesNewRoman"/>
                <w:szCs w:val="22"/>
                <w:lang w:eastAsia="en-US"/>
              </w:rPr>
              <w:t>ou</w:t>
            </w:r>
            <w:r w:rsidR="0094679E" w:rsidRPr="00ED7F0F">
              <w:rPr>
                <w:rFonts w:eastAsia="TimesNewRoman"/>
                <w:szCs w:val="22"/>
                <w:lang w:eastAsia="en-US"/>
              </w:rPr>
              <w:t xml:space="preserve"> CML a</w:t>
            </w:r>
            <w:r w:rsidRPr="00ED7F0F">
              <w:rPr>
                <w:rFonts w:eastAsia="TimesNewRoman"/>
                <w:szCs w:val="22"/>
                <w:lang w:eastAsia="en-US"/>
              </w:rPr>
              <w:t xml:space="preserve"> </w:t>
            </w:r>
            <w:r w:rsidR="0094679E" w:rsidRPr="00ED7F0F">
              <w:rPr>
                <w:rFonts w:eastAsia="TimesNewRoman"/>
                <w:szCs w:val="22"/>
                <w:lang w:eastAsia="en-US"/>
              </w:rPr>
              <w:t>Ph+ ALL (začiatočná</w:t>
            </w:r>
            <w:r w:rsidRPr="00ED7F0F">
              <w:rPr>
                <w:rFonts w:eastAsia="TimesNewRoman"/>
                <w:szCs w:val="22"/>
                <w:lang w:eastAsia="en-US"/>
              </w:rPr>
              <w:t xml:space="preserve"> </w:t>
            </w:r>
            <w:r w:rsidR="0094679E" w:rsidRPr="00ED7F0F">
              <w:rPr>
                <w:rFonts w:eastAsia="TimesNewRoman"/>
                <w:szCs w:val="22"/>
                <w:lang w:eastAsia="en-US"/>
              </w:rPr>
              <w:t>dávka 140 mg jedenkrát denne)</w:t>
            </w:r>
          </w:p>
        </w:tc>
        <w:tc>
          <w:tcPr>
            <w:tcW w:w="1862" w:type="dxa"/>
            <w:shd w:val="clear" w:color="auto" w:fill="auto"/>
          </w:tcPr>
          <w:p w:rsidR="0094679E" w:rsidRPr="00ED7F0F" w:rsidRDefault="0094679E" w:rsidP="00122C9F">
            <w:pPr>
              <w:autoSpaceDE w:val="0"/>
              <w:autoSpaceDN w:val="0"/>
              <w:adjustRightInd w:val="0"/>
              <w:rPr>
                <w:rFonts w:eastAsia="TimesNewRoman"/>
                <w:szCs w:val="22"/>
                <w:lang w:eastAsia="en-US"/>
              </w:rPr>
            </w:pPr>
            <w:r w:rsidRPr="00ED7F0F">
              <w:rPr>
                <w:rFonts w:eastAsia="TimesNewRoman"/>
                <w:szCs w:val="22"/>
                <w:lang w:eastAsia="en-US"/>
              </w:rPr>
              <w:t>ANC &lt; 0,5 x 10</w:t>
            </w:r>
            <w:r w:rsidRPr="00ED7F0F">
              <w:rPr>
                <w:rFonts w:eastAsia="TimesNewRoman"/>
                <w:szCs w:val="22"/>
                <w:vertAlign w:val="superscript"/>
                <w:lang w:eastAsia="en-US"/>
              </w:rPr>
              <w:t>9</w:t>
            </w:r>
            <w:r w:rsidRPr="00ED7F0F">
              <w:rPr>
                <w:rFonts w:eastAsia="TimesNewRoman"/>
                <w:szCs w:val="22"/>
                <w:lang w:eastAsia="en-US"/>
              </w:rPr>
              <w:t>/l</w:t>
            </w:r>
          </w:p>
          <w:p w:rsidR="0094679E" w:rsidRPr="00ED7F0F" w:rsidRDefault="0094679E" w:rsidP="00122C9F">
            <w:pPr>
              <w:autoSpaceDE w:val="0"/>
              <w:autoSpaceDN w:val="0"/>
              <w:adjustRightInd w:val="0"/>
              <w:rPr>
                <w:rFonts w:eastAsia="TimesNewRoman"/>
                <w:szCs w:val="22"/>
                <w:lang w:eastAsia="en-US"/>
              </w:rPr>
            </w:pPr>
            <w:r w:rsidRPr="00ED7F0F">
              <w:rPr>
                <w:rFonts w:eastAsia="TimesNewRoman"/>
                <w:szCs w:val="22"/>
                <w:lang w:eastAsia="en-US"/>
              </w:rPr>
              <w:t>a/alebo počet</w:t>
            </w:r>
          </w:p>
          <w:p w:rsidR="0094679E" w:rsidRPr="00ED7F0F" w:rsidRDefault="0094679E" w:rsidP="00122C9F">
            <w:pPr>
              <w:autoSpaceDE w:val="0"/>
              <w:autoSpaceDN w:val="0"/>
              <w:adjustRightInd w:val="0"/>
              <w:rPr>
                <w:rFonts w:eastAsia="TimesNewRoman"/>
                <w:szCs w:val="22"/>
                <w:lang w:eastAsia="en-US"/>
              </w:rPr>
            </w:pPr>
            <w:r w:rsidRPr="00ED7F0F">
              <w:rPr>
                <w:rFonts w:eastAsia="TimesNewRoman"/>
                <w:szCs w:val="22"/>
                <w:lang w:eastAsia="en-US"/>
              </w:rPr>
              <w:t>trombocytov</w:t>
            </w:r>
          </w:p>
          <w:p w:rsidR="0094679E" w:rsidRPr="00ED7F0F" w:rsidRDefault="0094679E" w:rsidP="00122C9F">
            <w:pPr>
              <w:rPr>
                <w:sz w:val="20"/>
              </w:rPr>
            </w:pPr>
            <w:r w:rsidRPr="00ED7F0F">
              <w:rPr>
                <w:rFonts w:eastAsia="TimesNewRoman"/>
                <w:szCs w:val="22"/>
                <w:lang w:eastAsia="en-US"/>
              </w:rPr>
              <w:t>&lt; 10 x 10</w:t>
            </w:r>
            <w:r w:rsidRPr="00ED7F0F">
              <w:rPr>
                <w:rFonts w:eastAsia="TimesNewRoman"/>
                <w:szCs w:val="22"/>
                <w:vertAlign w:val="superscript"/>
                <w:lang w:eastAsia="en-US"/>
              </w:rPr>
              <w:t>9</w:t>
            </w:r>
            <w:r w:rsidRPr="00ED7F0F">
              <w:rPr>
                <w:rFonts w:eastAsia="TimesNewRoman"/>
                <w:szCs w:val="22"/>
                <w:lang w:eastAsia="en-US"/>
              </w:rPr>
              <w:t>/l</w:t>
            </w:r>
          </w:p>
        </w:tc>
        <w:tc>
          <w:tcPr>
            <w:tcW w:w="4811" w:type="dxa"/>
            <w:shd w:val="clear" w:color="auto" w:fill="auto"/>
          </w:tcPr>
          <w:p w:rsidR="0094679E" w:rsidRPr="00ED7F0F" w:rsidRDefault="0094679E" w:rsidP="009A0932">
            <w:pPr>
              <w:numPr>
                <w:ilvl w:val="0"/>
                <w:numId w:val="49"/>
              </w:numPr>
              <w:tabs>
                <w:tab w:val="clear" w:pos="567"/>
              </w:tabs>
              <w:autoSpaceDE w:val="0"/>
              <w:autoSpaceDN w:val="0"/>
              <w:adjustRightInd w:val="0"/>
              <w:spacing w:after="240" w:line="240" w:lineRule="auto"/>
              <w:ind w:left="464" w:hanging="464"/>
              <w:rPr>
                <w:rFonts w:eastAsia="TimesNewRoman"/>
                <w:szCs w:val="22"/>
                <w:lang w:eastAsia="en-US"/>
              </w:rPr>
            </w:pPr>
            <w:r w:rsidRPr="00ED7F0F">
              <w:rPr>
                <w:rFonts w:eastAsia="TimesNewRoman"/>
                <w:szCs w:val="22"/>
                <w:lang w:eastAsia="en-US"/>
              </w:rPr>
              <w:t>Overte si, či cytopénia súvisí s</w:t>
            </w:r>
            <w:r w:rsidR="0057640E" w:rsidRPr="00ED7F0F">
              <w:rPr>
                <w:rFonts w:eastAsia="TimesNewRoman"/>
                <w:szCs w:val="22"/>
                <w:lang w:eastAsia="en-US"/>
              </w:rPr>
              <w:t> </w:t>
            </w:r>
            <w:r w:rsidRPr="00ED7F0F">
              <w:rPr>
                <w:rFonts w:eastAsia="TimesNewRoman"/>
                <w:szCs w:val="22"/>
                <w:lang w:eastAsia="en-US"/>
              </w:rPr>
              <w:t>leukémiou (punkcia alebo biopsia kostnej drene).</w:t>
            </w:r>
          </w:p>
          <w:p w:rsidR="0094679E" w:rsidRPr="00ED7F0F" w:rsidRDefault="0094679E" w:rsidP="009A0932">
            <w:pPr>
              <w:numPr>
                <w:ilvl w:val="0"/>
                <w:numId w:val="49"/>
              </w:numPr>
              <w:tabs>
                <w:tab w:val="clear" w:pos="567"/>
              </w:tabs>
              <w:autoSpaceDE w:val="0"/>
              <w:autoSpaceDN w:val="0"/>
              <w:adjustRightInd w:val="0"/>
              <w:spacing w:after="240" w:line="240" w:lineRule="auto"/>
              <w:ind w:left="421" w:hanging="421"/>
              <w:rPr>
                <w:rFonts w:eastAsia="TimesNewRoman"/>
                <w:szCs w:val="22"/>
                <w:lang w:eastAsia="en-US"/>
              </w:rPr>
            </w:pPr>
            <w:r w:rsidRPr="00ED7F0F">
              <w:rPr>
                <w:rFonts w:eastAsia="TimesNewRoman"/>
                <w:szCs w:val="22"/>
                <w:lang w:eastAsia="en-US"/>
              </w:rPr>
              <w:t>Ak cytopénia nesúvisí s</w:t>
            </w:r>
            <w:r w:rsidR="0057640E" w:rsidRPr="00ED7F0F">
              <w:rPr>
                <w:rFonts w:eastAsia="TimesNewRoman"/>
                <w:szCs w:val="22"/>
                <w:lang w:eastAsia="en-US"/>
              </w:rPr>
              <w:t> </w:t>
            </w:r>
            <w:r w:rsidRPr="00ED7F0F">
              <w:rPr>
                <w:rFonts w:eastAsia="TimesNewRoman"/>
                <w:szCs w:val="22"/>
                <w:lang w:eastAsia="en-US"/>
              </w:rPr>
              <w:t>leukémiou, prerušte liečbu až dovtedy, kým nebude ANC ≥ 1,0 x 10</w:t>
            </w:r>
            <w:r w:rsidRPr="00ED7F0F">
              <w:rPr>
                <w:rFonts w:eastAsia="TimesNewRoman"/>
                <w:szCs w:val="22"/>
                <w:vertAlign w:val="superscript"/>
                <w:lang w:eastAsia="en-US"/>
              </w:rPr>
              <w:t>9</w:t>
            </w:r>
            <w:r w:rsidRPr="00ED7F0F">
              <w:rPr>
                <w:rFonts w:eastAsia="TimesNewRoman"/>
                <w:szCs w:val="22"/>
                <w:lang w:eastAsia="en-US"/>
              </w:rPr>
              <w:t>/l a počet trombocytov ≥ 20 x 10</w:t>
            </w:r>
            <w:r w:rsidRPr="00ED7F0F">
              <w:rPr>
                <w:rFonts w:eastAsia="TimesNewRoman"/>
                <w:szCs w:val="22"/>
                <w:vertAlign w:val="superscript"/>
                <w:lang w:eastAsia="en-US"/>
              </w:rPr>
              <w:t>9</w:t>
            </w:r>
            <w:r w:rsidRPr="00ED7F0F">
              <w:rPr>
                <w:rFonts w:eastAsia="TimesNewRoman"/>
                <w:szCs w:val="22"/>
                <w:lang w:eastAsia="en-US"/>
              </w:rPr>
              <w:t>/l a pokračujte pôvodnou začiatočnou dávkou.</w:t>
            </w:r>
          </w:p>
          <w:p w:rsidR="0094679E" w:rsidRPr="00ED7F0F" w:rsidRDefault="0094679E" w:rsidP="009A0932">
            <w:pPr>
              <w:numPr>
                <w:ilvl w:val="0"/>
                <w:numId w:val="49"/>
              </w:numPr>
              <w:tabs>
                <w:tab w:val="clear" w:pos="567"/>
              </w:tabs>
              <w:autoSpaceDE w:val="0"/>
              <w:autoSpaceDN w:val="0"/>
              <w:adjustRightInd w:val="0"/>
              <w:spacing w:after="240" w:line="240" w:lineRule="auto"/>
              <w:ind w:left="421" w:hanging="421"/>
              <w:rPr>
                <w:rFonts w:eastAsia="TimesNewRoman"/>
                <w:szCs w:val="22"/>
                <w:lang w:eastAsia="en-US"/>
              </w:rPr>
            </w:pPr>
            <w:r w:rsidRPr="00ED7F0F">
              <w:rPr>
                <w:rFonts w:eastAsia="TimesNewRoman"/>
                <w:szCs w:val="22"/>
                <w:lang w:eastAsia="en-US"/>
              </w:rPr>
              <w:t>Ak dôjde k opakovanej cytopénii, zopakujte krok 1 a pokračujte v liečbe zníženou dávkou 100 mg jedenkrát denne (druhá epizóda) alebo 80 mg jedenkrát denne (tretia epizóda).</w:t>
            </w:r>
          </w:p>
          <w:p w:rsidR="0094679E" w:rsidRPr="00ED7F0F" w:rsidRDefault="0094679E" w:rsidP="009A0932">
            <w:pPr>
              <w:numPr>
                <w:ilvl w:val="0"/>
                <w:numId w:val="49"/>
              </w:numPr>
              <w:tabs>
                <w:tab w:val="clear" w:pos="567"/>
              </w:tabs>
              <w:autoSpaceDE w:val="0"/>
              <w:autoSpaceDN w:val="0"/>
              <w:adjustRightInd w:val="0"/>
              <w:spacing w:after="240" w:line="240" w:lineRule="auto"/>
              <w:ind w:left="421" w:hanging="421"/>
              <w:rPr>
                <w:sz w:val="20"/>
              </w:rPr>
            </w:pPr>
            <w:r w:rsidRPr="00ED7F0F">
              <w:rPr>
                <w:rFonts w:eastAsia="TimesNewRoman"/>
                <w:szCs w:val="22"/>
                <w:lang w:eastAsia="en-US"/>
              </w:rPr>
              <w:t>Ak cytopénia súvisí s leukémiou, zvážte zvýšenie dávky na 180 mg jedenkrát denne.</w:t>
            </w:r>
          </w:p>
        </w:tc>
      </w:tr>
    </w:tbl>
    <w:p w:rsidR="0094679E" w:rsidRPr="00ED7F0F" w:rsidRDefault="0094679E" w:rsidP="00122C9F">
      <w:pPr>
        <w:ind w:left="57"/>
        <w:rPr>
          <w:sz w:val="20"/>
        </w:rPr>
      </w:pPr>
      <w:r w:rsidRPr="00ED7F0F">
        <w:rPr>
          <w:sz w:val="20"/>
        </w:rPr>
        <w:t>ANC (absolute</w:t>
      </w:r>
      <w:r w:rsidRPr="00ED7F0F">
        <w:rPr>
          <w:spacing w:val="-5"/>
          <w:sz w:val="20"/>
        </w:rPr>
        <w:t xml:space="preserve"> </w:t>
      </w:r>
      <w:r w:rsidRPr="00ED7F0F">
        <w:rPr>
          <w:spacing w:val="-1"/>
          <w:sz w:val="20"/>
        </w:rPr>
        <w:t>n</w:t>
      </w:r>
      <w:r w:rsidRPr="00ED7F0F">
        <w:rPr>
          <w:spacing w:val="1"/>
          <w:sz w:val="20"/>
        </w:rPr>
        <w:t>e</w:t>
      </w:r>
      <w:r w:rsidRPr="00ED7F0F">
        <w:rPr>
          <w:sz w:val="20"/>
        </w:rPr>
        <w:t>utrophil</w:t>
      </w:r>
      <w:r w:rsidRPr="00ED7F0F">
        <w:rPr>
          <w:spacing w:val="-5"/>
          <w:sz w:val="20"/>
        </w:rPr>
        <w:t xml:space="preserve"> </w:t>
      </w:r>
      <w:r w:rsidRPr="00ED7F0F">
        <w:rPr>
          <w:sz w:val="20"/>
        </w:rPr>
        <w:t>cou</w:t>
      </w:r>
      <w:r w:rsidRPr="00ED7F0F">
        <w:rPr>
          <w:spacing w:val="-1"/>
          <w:sz w:val="20"/>
        </w:rPr>
        <w:t>n</w:t>
      </w:r>
      <w:r w:rsidRPr="00ED7F0F">
        <w:rPr>
          <w:sz w:val="20"/>
        </w:rPr>
        <w:t>t, absolútny počet neutrofilov)</w:t>
      </w:r>
    </w:p>
    <w:p w:rsidR="00845C7D" w:rsidRPr="00ED7F0F" w:rsidRDefault="00845C7D" w:rsidP="00122C9F">
      <w:pPr>
        <w:spacing w:line="259" w:lineRule="auto"/>
        <w:ind w:left="34"/>
      </w:pPr>
    </w:p>
    <w:p w:rsidR="00845C7D" w:rsidRPr="00ED7F0F" w:rsidRDefault="00845C7D" w:rsidP="00122C9F">
      <w:pPr>
        <w:keepNext/>
        <w:tabs>
          <w:tab w:val="clear" w:pos="567"/>
          <w:tab w:val="left" w:pos="1140"/>
        </w:tabs>
        <w:spacing w:before="54" w:after="120" w:line="247" w:lineRule="auto"/>
        <w:ind w:left="1140" w:hanging="1140"/>
        <w:jc w:val="both"/>
        <w:rPr>
          <w:b/>
          <w:color w:val="231F20"/>
          <w:spacing w:val="-1"/>
          <w:szCs w:val="22"/>
          <w:lang w:eastAsia="en-GB" w:bidi="ar-SA"/>
        </w:rPr>
      </w:pPr>
      <w:r w:rsidRPr="00ED7F0F">
        <w:rPr>
          <w:b/>
          <w:color w:val="231F20"/>
          <w:spacing w:val="-1"/>
          <w:szCs w:val="22"/>
          <w:lang w:eastAsia="en-GB" w:bidi="ar-SA"/>
        </w:rPr>
        <w:t>Tabuľka 4: Úprava dávkovania počas neutropénie a trombocytopénie u pediatrických pacientov s Ph+ CML-CP</w:t>
      </w:r>
    </w:p>
    <w:tbl>
      <w:tblPr>
        <w:tblW w:w="0" w:type="auto"/>
        <w:tblInd w:w="5" w:type="dxa"/>
        <w:tblCellMar>
          <w:left w:w="10" w:type="dxa"/>
          <w:right w:w="10" w:type="dxa"/>
        </w:tblCellMar>
        <w:tblLook w:val="04A0" w:firstRow="1" w:lastRow="0" w:firstColumn="1" w:lastColumn="0" w:noHBand="0" w:noVBand="1"/>
      </w:tblPr>
      <w:tblGrid>
        <w:gridCol w:w="3109"/>
        <w:gridCol w:w="1252"/>
        <w:gridCol w:w="1550"/>
        <w:gridCol w:w="1432"/>
        <w:gridCol w:w="1570"/>
      </w:tblGrid>
      <w:tr w:rsidR="00537B30" w:rsidRPr="00ED7F0F" w:rsidTr="00537B30">
        <w:tc>
          <w:tcPr>
            <w:tcW w:w="3109" w:type="dxa"/>
            <w:vMerge w:val="restart"/>
            <w:tcBorders>
              <w:top w:val="single" w:sz="5" w:space="0" w:color="231F20"/>
              <w:left w:val="single" w:sz="4" w:space="0" w:color="231F20"/>
              <w:bottom w:val="single" w:sz="0" w:space="0" w:color="000000"/>
              <w:right w:val="single" w:sz="4" w:space="0" w:color="231F20"/>
            </w:tcBorders>
            <w:shd w:val="clear" w:color="000000" w:fill="FFFFFF"/>
            <w:tcMar>
              <w:left w:w="0" w:type="dxa"/>
              <w:right w:w="0" w:type="dxa"/>
            </w:tcMar>
          </w:tcPr>
          <w:p w:rsidR="00537B30" w:rsidRPr="00ED7F0F" w:rsidRDefault="00773483" w:rsidP="009A0932">
            <w:pPr>
              <w:pStyle w:val="Odsekzoznamu"/>
              <w:ind w:left="133"/>
              <w:rPr>
                <w:color w:val="231F20"/>
                <w:spacing w:val="-1"/>
              </w:rPr>
            </w:pPr>
            <w:r w:rsidRPr="00ED7F0F">
              <w:rPr>
                <w:color w:val="231F20"/>
                <w:spacing w:val="-1"/>
              </w:rPr>
              <w:t xml:space="preserve">1. </w:t>
            </w:r>
            <w:r w:rsidRPr="00ED7F0F">
              <w:rPr>
                <w:color w:val="231F20"/>
                <w:spacing w:val="-1"/>
              </w:rPr>
              <w:tab/>
            </w:r>
            <w:r w:rsidR="00537B30" w:rsidRPr="00ED7F0F">
              <w:rPr>
                <w:color w:val="231F20"/>
                <w:spacing w:val="-1"/>
              </w:rPr>
              <w:t xml:space="preserve">Ak cytopénia pretrváva dlhšie ako 3 týždne, preverte, či cytopénia súvisí s leukémiou (punkcia alebo biopsia kostnej drene). </w:t>
            </w:r>
          </w:p>
          <w:p w:rsidR="00537B30" w:rsidRPr="00ED7F0F" w:rsidRDefault="00537B30" w:rsidP="00122C9F">
            <w:pPr>
              <w:tabs>
                <w:tab w:val="clear" w:pos="567"/>
                <w:tab w:val="left" w:pos="133"/>
              </w:tabs>
              <w:spacing w:before="9" w:line="240" w:lineRule="auto"/>
              <w:rPr>
                <w:b/>
              </w:rPr>
            </w:pPr>
          </w:p>
          <w:p w:rsidR="00537B30" w:rsidRPr="00ED7F0F" w:rsidRDefault="00773483" w:rsidP="009A0932">
            <w:pPr>
              <w:pStyle w:val="Odsekzoznamu"/>
              <w:ind w:left="133"/>
              <w:rPr>
                <w:position w:val="8"/>
              </w:rPr>
            </w:pPr>
            <w:r w:rsidRPr="00ED7F0F">
              <w:t xml:space="preserve">2. </w:t>
            </w:r>
            <w:r w:rsidRPr="00ED7F0F">
              <w:rPr>
                <w:color w:val="231F20"/>
                <w:spacing w:val="-1"/>
              </w:rPr>
              <w:tab/>
            </w:r>
            <w:r w:rsidR="00537B30" w:rsidRPr="00ED7F0F">
              <w:t>Ak cytopénia nesúvisí s leukémiou, prerušte liečbu až dovtedy, kým nebude ANC ≥ 1,0 x 10</w:t>
            </w:r>
            <w:r w:rsidR="00537B30" w:rsidRPr="00ED7F0F">
              <w:rPr>
                <w:vertAlign w:val="superscript"/>
              </w:rPr>
              <w:t>9</w:t>
            </w:r>
            <w:r w:rsidR="00537B30" w:rsidRPr="00ED7F0F">
              <w:t>/l a počet trombocytov ≥ 75 x 10</w:t>
            </w:r>
            <w:r w:rsidR="00537B30" w:rsidRPr="00ED7F0F">
              <w:rPr>
                <w:vertAlign w:val="superscript"/>
              </w:rPr>
              <w:t>9</w:t>
            </w:r>
            <w:r w:rsidR="00537B30" w:rsidRPr="00ED7F0F">
              <w:t>/l a pokračujte s pôvodnou začiatočnou dávkou alebo so zníženou dávkou.</w:t>
            </w:r>
            <w:r w:rsidR="00537B30" w:rsidRPr="00ED7F0F">
              <w:rPr>
                <w:color w:val="231F20"/>
                <w:spacing w:val="-1"/>
                <w:position w:val="8"/>
              </w:rPr>
              <w:t>.</w:t>
            </w:r>
          </w:p>
          <w:p w:rsidR="00537B30" w:rsidRPr="00ED7F0F" w:rsidRDefault="00537B30" w:rsidP="00122C9F">
            <w:pPr>
              <w:spacing w:before="2" w:line="240" w:lineRule="auto"/>
              <w:rPr>
                <w:b/>
              </w:rPr>
            </w:pPr>
          </w:p>
          <w:p w:rsidR="00537B30" w:rsidRPr="00ED7F0F" w:rsidRDefault="00537B30" w:rsidP="009A0932">
            <w:pPr>
              <w:pStyle w:val="Odsekzoznamu"/>
              <w:ind w:left="133"/>
            </w:pPr>
            <w:r w:rsidRPr="00ED7F0F">
              <w:rPr>
                <w:color w:val="231F20"/>
                <w:spacing w:val="-1"/>
              </w:rPr>
              <w:t>3.</w:t>
            </w:r>
            <w:r w:rsidRPr="00ED7F0F">
              <w:rPr>
                <w:color w:val="231F20"/>
                <w:spacing w:val="-1"/>
              </w:rPr>
              <w:tab/>
              <w:t>Ak dôjde k opakovanej cytopénii, zopakujte punkciu/biopsiu kostnej drene a pokračujte v liečbe so zníženou dávkou</w:t>
            </w:r>
          </w:p>
        </w:tc>
        <w:tc>
          <w:tcPr>
            <w:tcW w:w="5804" w:type="dxa"/>
            <w:gridSpan w:val="4"/>
            <w:tcBorders>
              <w:top w:val="single" w:sz="5" w:space="0" w:color="231F20"/>
              <w:left w:val="single" w:sz="4" w:space="0" w:color="231F20"/>
              <w:bottom w:val="single" w:sz="5" w:space="0" w:color="231F20"/>
              <w:right w:val="single" w:sz="5" w:space="0" w:color="231F20"/>
            </w:tcBorders>
            <w:shd w:val="clear" w:color="000000" w:fill="FFFFFF"/>
            <w:tcMar>
              <w:left w:w="0" w:type="dxa"/>
              <w:right w:w="0" w:type="dxa"/>
            </w:tcMar>
          </w:tcPr>
          <w:p w:rsidR="00537B30" w:rsidRPr="00ED7F0F" w:rsidRDefault="00537B30" w:rsidP="00122C9F">
            <w:pPr>
              <w:spacing w:line="240" w:lineRule="auto"/>
              <w:ind w:left="2218"/>
            </w:pPr>
            <w:r w:rsidRPr="00ED7F0F">
              <w:rPr>
                <w:b/>
              </w:rPr>
              <w:t>Dávka (maximálna dávka na deň)</w:t>
            </w:r>
          </w:p>
        </w:tc>
      </w:tr>
      <w:tr w:rsidR="00537B30" w:rsidRPr="00ED7F0F" w:rsidTr="00537B30">
        <w:tc>
          <w:tcPr>
            <w:tcW w:w="3109" w:type="dxa"/>
            <w:vMerge/>
            <w:tcBorders>
              <w:top w:val="single" w:sz="0" w:space="0" w:color="000000"/>
              <w:left w:val="single" w:sz="4" w:space="0" w:color="231F20"/>
              <w:bottom w:val="single" w:sz="0" w:space="0" w:color="000000"/>
              <w:right w:val="single" w:sz="4" w:space="0" w:color="231F20"/>
            </w:tcBorders>
            <w:shd w:val="clear" w:color="000000" w:fill="FFFFFF"/>
            <w:tcMar>
              <w:left w:w="0" w:type="dxa"/>
              <w:right w:w="0" w:type="dxa"/>
            </w:tcMar>
          </w:tcPr>
          <w:p w:rsidR="00537B30" w:rsidRPr="00ED7F0F" w:rsidRDefault="00537B30" w:rsidP="00122C9F">
            <w:pPr>
              <w:spacing w:after="200" w:line="276" w:lineRule="auto"/>
              <w:rPr>
                <w:rFonts w:eastAsia="Calibri"/>
              </w:rPr>
            </w:pPr>
          </w:p>
        </w:tc>
        <w:tc>
          <w:tcPr>
            <w:tcW w:w="1252" w:type="dxa"/>
            <w:tcBorders>
              <w:top w:val="single" w:sz="5" w:space="0" w:color="231F20"/>
              <w:left w:val="single" w:sz="4" w:space="0" w:color="231F20"/>
              <w:bottom w:val="single" w:sz="4" w:space="0" w:color="231F20"/>
              <w:right w:val="single" w:sz="0" w:space="0" w:color="000000"/>
            </w:tcBorders>
            <w:shd w:val="clear" w:color="000000" w:fill="FFFFFF"/>
            <w:tcMar>
              <w:left w:w="0" w:type="dxa"/>
              <w:right w:w="0" w:type="dxa"/>
            </w:tcMar>
          </w:tcPr>
          <w:p w:rsidR="00537B30" w:rsidRPr="00ED7F0F" w:rsidRDefault="00537B30" w:rsidP="00122C9F">
            <w:pPr>
              <w:spacing w:line="247" w:lineRule="auto"/>
              <w:ind w:firstLine="192"/>
              <w:jc w:val="center"/>
              <w:rPr>
                <w:rFonts w:eastAsia="Calibri"/>
              </w:rPr>
            </w:pPr>
          </w:p>
        </w:tc>
        <w:tc>
          <w:tcPr>
            <w:tcW w:w="1550" w:type="dxa"/>
            <w:tcBorders>
              <w:top w:val="single" w:sz="6" w:space="0" w:color="231F20"/>
              <w:left w:val="single" w:sz="0" w:space="0" w:color="000000"/>
              <w:bottom w:val="single" w:sz="4" w:space="0" w:color="231F20"/>
              <w:right w:val="single" w:sz="0" w:space="0" w:color="000000"/>
            </w:tcBorders>
            <w:shd w:val="clear" w:color="000000" w:fill="FFFFFF"/>
            <w:tcMar>
              <w:left w:w="0" w:type="dxa"/>
              <w:right w:w="0" w:type="dxa"/>
            </w:tcMar>
          </w:tcPr>
          <w:p w:rsidR="00537B30" w:rsidRPr="00ED7F0F" w:rsidRDefault="00537B30" w:rsidP="00122C9F">
            <w:pPr>
              <w:tabs>
                <w:tab w:val="left" w:pos="1142"/>
              </w:tabs>
              <w:spacing w:line="247" w:lineRule="auto"/>
              <w:ind w:left="149"/>
              <w:jc w:val="center"/>
            </w:pPr>
            <w:r w:rsidRPr="00ED7F0F">
              <w:rPr>
                <w:b/>
                <w:color w:val="231F20"/>
                <w:spacing w:val="-1"/>
              </w:rPr>
              <w:t>Pôvodná začiatočná dávka</w:t>
            </w:r>
          </w:p>
        </w:tc>
        <w:tc>
          <w:tcPr>
            <w:tcW w:w="1432" w:type="dxa"/>
            <w:tcBorders>
              <w:top w:val="single" w:sz="6" w:space="0" w:color="231F20"/>
              <w:left w:val="single" w:sz="0" w:space="0" w:color="000000"/>
              <w:bottom w:val="single" w:sz="4" w:space="0" w:color="231F20"/>
              <w:right w:val="single" w:sz="0" w:space="0" w:color="000000"/>
            </w:tcBorders>
            <w:shd w:val="clear" w:color="000000" w:fill="FFFFFF"/>
            <w:tcMar>
              <w:left w:w="0" w:type="dxa"/>
              <w:right w:w="0" w:type="dxa"/>
            </w:tcMar>
          </w:tcPr>
          <w:p w:rsidR="00537B30" w:rsidRPr="00ED7F0F" w:rsidRDefault="00537B30" w:rsidP="00122C9F">
            <w:pPr>
              <w:tabs>
                <w:tab w:val="left" w:pos="1142"/>
              </w:tabs>
              <w:spacing w:line="247" w:lineRule="auto"/>
              <w:ind w:left="135"/>
              <w:jc w:val="center"/>
            </w:pPr>
            <w:r w:rsidRPr="00ED7F0F">
              <w:rPr>
                <w:b/>
                <w:color w:val="231F20"/>
              </w:rPr>
              <w:t>Zníženie dávky o jednu úroveň</w:t>
            </w:r>
          </w:p>
        </w:tc>
        <w:tc>
          <w:tcPr>
            <w:tcW w:w="1570" w:type="dxa"/>
            <w:tcBorders>
              <w:top w:val="single" w:sz="5" w:space="0" w:color="231F20"/>
              <w:left w:val="single" w:sz="0" w:space="0" w:color="000000"/>
              <w:bottom w:val="single" w:sz="4" w:space="0" w:color="231F20"/>
              <w:right w:val="single" w:sz="5" w:space="0" w:color="231F20"/>
            </w:tcBorders>
            <w:shd w:val="clear" w:color="000000" w:fill="FFFFFF"/>
            <w:tcMar>
              <w:left w:w="0" w:type="dxa"/>
              <w:right w:w="0" w:type="dxa"/>
            </w:tcMar>
          </w:tcPr>
          <w:p w:rsidR="00537B30" w:rsidRPr="00ED7F0F" w:rsidRDefault="00537B30" w:rsidP="00122C9F">
            <w:pPr>
              <w:spacing w:line="247" w:lineRule="auto"/>
              <w:ind w:left="135"/>
              <w:jc w:val="center"/>
            </w:pPr>
            <w:r w:rsidRPr="00ED7F0F">
              <w:rPr>
                <w:b/>
                <w:color w:val="231F20"/>
                <w:spacing w:val="-1"/>
              </w:rPr>
              <w:t>Zníženie dávky o dve úrovne</w:t>
            </w:r>
          </w:p>
        </w:tc>
      </w:tr>
      <w:tr w:rsidR="00537B30" w:rsidRPr="00ED7F0F" w:rsidTr="00537B30">
        <w:tc>
          <w:tcPr>
            <w:tcW w:w="3109" w:type="dxa"/>
            <w:vMerge/>
            <w:tcBorders>
              <w:top w:val="single" w:sz="0" w:space="0" w:color="000000"/>
              <w:left w:val="single" w:sz="4" w:space="0" w:color="231F20"/>
              <w:bottom w:val="single" w:sz="0" w:space="0" w:color="000000"/>
              <w:right w:val="single" w:sz="4" w:space="0" w:color="231F20"/>
            </w:tcBorders>
            <w:shd w:val="clear" w:color="000000" w:fill="FFFFFF"/>
            <w:tcMar>
              <w:left w:w="0" w:type="dxa"/>
              <w:right w:w="0" w:type="dxa"/>
            </w:tcMar>
          </w:tcPr>
          <w:p w:rsidR="00537B30" w:rsidRPr="00ED7F0F" w:rsidRDefault="00537B30" w:rsidP="00122C9F">
            <w:pPr>
              <w:spacing w:after="200" w:line="276" w:lineRule="auto"/>
              <w:rPr>
                <w:rFonts w:eastAsia="Calibri"/>
              </w:rPr>
            </w:pPr>
          </w:p>
        </w:tc>
        <w:tc>
          <w:tcPr>
            <w:tcW w:w="1252" w:type="dxa"/>
            <w:vMerge w:val="restart"/>
            <w:tcBorders>
              <w:top w:val="single" w:sz="4" w:space="0" w:color="231F20"/>
              <w:left w:val="single" w:sz="4" w:space="0" w:color="231F20"/>
              <w:bottom w:val="single" w:sz="0" w:space="0" w:color="000000"/>
              <w:right w:val="single" w:sz="0" w:space="0" w:color="000000"/>
            </w:tcBorders>
            <w:shd w:val="clear" w:color="000000" w:fill="FFFFFF"/>
            <w:tcMar>
              <w:left w:w="0" w:type="dxa"/>
              <w:right w:w="0" w:type="dxa"/>
            </w:tcMar>
          </w:tcPr>
          <w:p w:rsidR="00537B30" w:rsidRPr="00ED7F0F" w:rsidRDefault="00537B30" w:rsidP="00122C9F">
            <w:pPr>
              <w:spacing w:line="240" w:lineRule="auto"/>
              <w:ind w:left="221"/>
            </w:pPr>
            <w:r w:rsidRPr="00ED7F0F">
              <w:rPr>
                <w:b/>
                <w:color w:val="231F20"/>
                <w:spacing w:val="-1"/>
              </w:rPr>
              <w:t>Tablety</w:t>
            </w:r>
          </w:p>
        </w:tc>
        <w:tc>
          <w:tcPr>
            <w:tcW w:w="1550" w:type="dxa"/>
            <w:tcBorders>
              <w:top w:val="single" w:sz="4" w:space="0" w:color="231F20"/>
              <w:left w:val="single" w:sz="0" w:space="0" w:color="000000"/>
              <w:bottom w:val="single" w:sz="0" w:space="0" w:color="000000"/>
              <w:right w:val="single" w:sz="0" w:space="0" w:color="000000"/>
            </w:tcBorders>
            <w:shd w:val="clear" w:color="000000" w:fill="FFFFFF"/>
            <w:tcMar>
              <w:left w:w="0" w:type="dxa"/>
              <w:right w:w="0" w:type="dxa"/>
            </w:tcMar>
          </w:tcPr>
          <w:p w:rsidR="00537B30" w:rsidRPr="00ED7F0F" w:rsidRDefault="00537B30" w:rsidP="00122C9F">
            <w:pPr>
              <w:spacing w:line="240" w:lineRule="auto"/>
              <w:ind w:left="149"/>
              <w:jc w:val="center"/>
            </w:pPr>
            <w:r w:rsidRPr="00ED7F0F">
              <w:rPr>
                <w:color w:val="231F20"/>
                <w:spacing w:val="-1"/>
              </w:rPr>
              <w:t>40</w:t>
            </w:r>
            <w:r w:rsidRPr="00ED7F0F">
              <w:rPr>
                <w:color w:val="231F20"/>
                <w:spacing w:val="-9"/>
              </w:rPr>
              <w:t> </w:t>
            </w:r>
            <w:r w:rsidRPr="00ED7F0F">
              <w:rPr>
                <w:color w:val="231F20"/>
                <w:spacing w:val="-1"/>
              </w:rPr>
              <w:t>mg</w:t>
            </w:r>
          </w:p>
        </w:tc>
        <w:tc>
          <w:tcPr>
            <w:tcW w:w="1432" w:type="dxa"/>
            <w:tcBorders>
              <w:top w:val="single" w:sz="4" w:space="0" w:color="231F20"/>
              <w:left w:val="single" w:sz="0" w:space="0" w:color="000000"/>
              <w:bottom w:val="single" w:sz="0" w:space="0" w:color="000000"/>
              <w:right w:val="single" w:sz="0" w:space="0" w:color="000000"/>
            </w:tcBorders>
            <w:shd w:val="clear" w:color="000000" w:fill="FFFFFF"/>
            <w:tcMar>
              <w:left w:w="0" w:type="dxa"/>
              <w:right w:w="0" w:type="dxa"/>
            </w:tcMar>
          </w:tcPr>
          <w:p w:rsidR="00537B30" w:rsidRPr="00ED7F0F" w:rsidRDefault="00537B30" w:rsidP="00122C9F">
            <w:pPr>
              <w:spacing w:line="240" w:lineRule="auto"/>
              <w:ind w:left="135"/>
              <w:jc w:val="center"/>
            </w:pPr>
            <w:r w:rsidRPr="00ED7F0F">
              <w:rPr>
                <w:color w:val="231F20"/>
                <w:spacing w:val="-1"/>
              </w:rPr>
              <w:t>20</w:t>
            </w:r>
            <w:r w:rsidRPr="00ED7F0F">
              <w:rPr>
                <w:color w:val="231F20"/>
                <w:spacing w:val="-7"/>
              </w:rPr>
              <w:t> </w:t>
            </w:r>
            <w:r w:rsidRPr="00ED7F0F">
              <w:rPr>
                <w:color w:val="231F20"/>
                <w:spacing w:val="-3"/>
              </w:rPr>
              <w:t>mg</w:t>
            </w:r>
          </w:p>
        </w:tc>
        <w:tc>
          <w:tcPr>
            <w:tcW w:w="1570" w:type="dxa"/>
            <w:tcBorders>
              <w:top w:val="single" w:sz="4" w:space="0" w:color="231F20"/>
              <w:left w:val="single" w:sz="0" w:space="0" w:color="000000"/>
              <w:bottom w:val="single" w:sz="0" w:space="0" w:color="000000"/>
              <w:right w:val="single" w:sz="5" w:space="0" w:color="231F20"/>
            </w:tcBorders>
            <w:shd w:val="clear" w:color="000000" w:fill="FFFFFF"/>
            <w:tcMar>
              <w:left w:w="0" w:type="dxa"/>
              <w:right w:w="0" w:type="dxa"/>
            </w:tcMar>
          </w:tcPr>
          <w:p w:rsidR="00537B30" w:rsidRPr="00ED7F0F" w:rsidRDefault="00537B30" w:rsidP="00122C9F">
            <w:pPr>
              <w:spacing w:line="240" w:lineRule="auto"/>
              <w:ind w:left="135"/>
              <w:jc w:val="center"/>
            </w:pPr>
            <w:r w:rsidRPr="00ED7F0F">
              <w:rPr>
                <w:color w:val="231F20"/>
              </w:rPr>
              <w:t>*</w:t>
            </w:r>
          </w:p>
        </w:tc>
      </w:tr>
      <w:tr w:rsidR="00537B30" w:rsidRPr="00ED7F0F" w:rsidTr="00537B30">
        <w:tc>
          <w:tcPr>
            <w:tcW w:w="3109" w:type="dxa"/>
            <w:vMerge/>
            <w:tcBorders>
              <w:top w:val="single" w:sz="0" w:space="0" w:color="000000"/>
              <w:left w:val="single" w:sz="4" w:space="0" w:color="231F20"/>
              <w:bottom w:val="single" w:sz="0" w:space="0" w:color="000000"/>
              <w:right w:val="single" w:sz="4" w:space="0" w:color="231F20"/>
            </w:tcBorders>
            <w:shd w:val="clear" w:color="000000" w:fill="FFFFFF"/>
            <w:tcMar>
              <w:left w:w="0" w:type="dxa"/>
              <w:right w:w="0" w:type="dxa"/>
            </w:tcMar>
          </w:tcPr>
          <w:p w:rsidR="00537B30" w:rsidRPr="00ED7F0F" w:rsidRDefault="00537B30" w:rsidP="00122C9F">
            <w:pPr>
              <w:spacing w:after="200" w:line="276" w:lineRule="auto"/>
              <w:rPr>
                <w:rFonts w:eastAsia="Calibri"/>
              </w:rPr>
            </w:pPr>
          </w:p>
        </w:tc>
        <w:tc>
          <w:tcPr>
            <w:tcW w:w="1252" w:type="dxa"/>
            <w:vMerge/>
            <w:tcBorders>
              <w:top w:val="single" w:sz="0" w:space="0" w:color="000000"/>
              <w:left w:val="single" w:sz="4" w:space="0" w:color="231F20"/>
              <w:bottom w:val="single" w:sz="0" w:space="0" w:color="000000"/>
              <w:right w:val="single" w:sz="0" w:space="0" w:color="000000"/>
            </w:tcBorders>
            <w:shd w:val="clear" w:color="000000" w:fill="FFFFFF"/>
            <w:tcMar>
              <w:left w:w="0" w:type="dxa"/>
              <w:right w:w="0" w:type="dxa"/>
            </w:tcMar>
          </w:tcPr>
          <w:p w:rsidR="00537B30" w:rsidRPr="00ED7F0F" w:rsidRDefault="00537B30" w:rsidP="00122C9F">
            <w:pPr>
              <w:spacing w:after="200" w:line="276" w:lineRule="auto"/>
              <w:rPr>
                <w:rFonts w:eastAsia="Calibri"/>
              </w:rPr>
            </w:pPr>
          </w:p>
        </w:tc>
        <w:tc>
          <w:tcPr>
            <w:tcW w:w="155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537B30" w:rsidRPr="00ED7F0F" w:rsidRDefault="00537B30" w:rsidP="00122C9F">
            <w:pPr>
              <w:spacing w:line="240" w:lineRule="auto"/>
              <w:ind w:left="149"/>
              <w:jc w:val="center"/>
            </w:pPr>
            <w:r w:rsidRPr="00ED7F0F">
              <w:rPr>
                <w:color w:val="231F20"/>
                <w:spacing w:val="-1"/>
              </w:rPr>
              <w:t>60</w:t>
            </w:r>
            <w:r w:rsidRPr="00ED7F0F">
              <w:rPr>
                <w:color w:val="231F20"/>
                <w:spacing w:val="-9"/>
              </w:rPr>
              <w:t> </w:t>
            </w:r>
            <w:r w:rsidRPr="00ED7F0F">
              <w:rPr>
                <w:color w:val="231F20"/>
                <w:spacing w:val="-1"/>
              </w:rPr>
              <w:t>mg</w:t>
            </w:r>
          </w:p>
        </w:tc>
        <w:tc>
          <w:tcPr>
            <w:tcW w:w="1432"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537B30" w:rsidRPr="00ED7F0F" w:rsidRDefault="00537B30" w:rsidP="00122C9F">
            <w:pPr>
              <w:spacing w:line="240" w:lineRule="auto"/>
              <w:ind w:left="135"/>
              <w:jc w:val="center"/>
            </w:pPr>
            <w:r w:rsidRPr="00ED7F0F">
              <w:rPr>
                <w:color w:val="231F20"/>
                <w:spacing w:val="-1"/>
              </w:rPr>
              <w:t>40</w:t>
            </w:r>
            <w:r w:rsidRPr="00ED7F0F">
              <w:rPr>
                <w:color w:val="231F20"/>
                <w:spacing w:val="-7"/>
              </w:rPr>
              <w:t> </w:t>
            </w:r>
            <w:r w:rsidRPr="00ED7F0F">
              <w:rPr>
                <w:color w:val="231F20"/>
                <w:spacing w:val="-3"/>
              </w:rPr>
              <w:t>mg</w:t>
            </w:r>
          </w:p>
        </w:tc>
        <w:tc>
          <w:tcPr>
            <w:tcW w:w="1570" w:type="dxa"/>
            <w:tcBorders>
              <w:top w:val="single" w:sz="0" w:space="0" w:color="000000"/>
              <w:left w:val="single" w:sz="0" w:space="0" w:color="000000"/>
              <w:bottom w:val="single" w:sz="0" w:space="0" w:color="000000"/>
              <w:right w:val="single" w:sz="5" w:space="0" w:color="231F20"/>
            </w:tcBorders>
            <w:shd w:val="clear" w:color="000000" w:fill="FFFFFF"/>
            <w:tcMar>
              <w:left w:w="0" w:type="dxa"/>
              <w:right w:w="0" w:type="dxa"/>
            </w:tcMar>
          </w:tcPr>
          <w:p w:rsidR="00537B30" w:rsidRPr="00ED7F0F" w:rsidRDefault="00537B30" w:rsidP="00122C9F">
            <w:pPr>
              <w:spacing w:line="240" w:lineRule="auto"/>
              <w:ind w:left="135"/>
              <w:jc w:val="center"/>
            </w:pPr>
            <w:r w:rsidRPr="00ED7F0F">
              <w:rPr>
                <w:color w:val="231F20"/>
                <w:spacing w:val="-1"/>
              </w:rPr>
              <w:t>20</w:t>
            </w:r>
            <w:r w:rsidRPr="00ED7F0F">
              <w:rPr>
                <w:color w:val="231F20"/>
                <w:spacing w:val="-7"/>
              </w:rPr>
              <w:t> </w:t>
            </w:r>
            <w:r w:rsidRPr="00ED7F0F">
              <w:rPr>
                <w:color w:val="231F20"/>
                <w:spacing w:val="-3"/>
              </w:rPr>
              <w:t>mg</w:t>
            </w:r>
          </w:p>
        </w:tc>
      </w:tr>
      <w:tr w:rsidR="00537B30" w:rsidRPr="00ED7F0F" w:rsidTr="00537B30">
        <w:tc>
          <w:tcPr>
            <w:tcW w:w="3109" w:type="dxa"/>
            <w:vMerge/>
            <w:tcBorders>
              <w:top w:val="single" w:sz="0" w:space="0" w:color="000000"/>
              <w:left w:val="single" w:sz="4" w:space="0" w:color="231F20"/>
              <w:bottom w:val="single" w:sz="0" w:space="0" w:color="000000"/>
              <w:right w:val="single" w:sz="4" w:space="0" w:color="231F20"/>
            </w:tcBorders>
            <w:shd w:val="clear" w:color="000000" w:fill="FFFFFF"/>
            <w:tcMar>
              <w:left w:w="0" w:type="dxa"/>
              <w:right w:w="0" w:type="dxa"/>
            </w:tcMar>
          </w:tcPr>
          <w:p w:rsidR="00537B30" w:rsidRPr="00ED7F0F" w:rsidRDefault="00537B30" w:rsidP="00122C9F">
            <w:pPr>
              <w:spacing w:after="200" w:line="276" w:lineRule="auto"/>
              <w:rPr>
                <w:rFonts w:eastAsia="Calibri"/>
              </w:rPr>
            </w:pPr>
          </w:p>
        </w:tc>
        <w:tc>
          <w:tcPr>
            <w:tcW w:w="1252" w:type="dxa"/>
            <w:vMerge/>
            <w:tcBorders>
              <w:top w:val="single" w:sz="0" w:space="0" w:color="000000"/>
              <w:left w:val="single" w:sz="4" w:space="0" w:color="231F20"/>
              <w:bottom w:val="single" w:sz="0" w:space="0" w:color="000000"/>
              <w:right w:val="single" w:sz="0" w:space="0" w:color="000000"/>
            </w:tcBorders>
            <w:shd w:val="clear" w:color="000000" w:fill="FFFFFF"/>
            <w:tcMar>
              <w:left w:w="0" w:type="dxa"/>
              <w:right w:w="0" w:type="dxa"/>
            </w:tcMar>
          </w:tcPr>
          <w:p w:rsidR="00537B30" w:rsidRPr="00ED7F0F" w:rsidRDefault="00537B30" w:rsidP="00122C9F">
            <w:pPr>
              <w:spacing w:after="200" w:line="276" w:lineRule="auto"/>
              <w:rPr>
                <w:rFonts w:eastAsia="Calibri"/>
              </w:rPr>
            </w:pPr>
          </w:p>
        </w:tc>
        <w:tc>
          <w:tcPr>
            <w:tcW w:w="155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537B30" w:rsidRPr="00ED7F0F" w:rsidRDefault="00537B30" w:rsidP="00122C9F">
            <w:pPr>
              <w:spacing w:line="240" w:lineRule="auto"/>
              <w:ind w:left="149"/>
              <w:jc w:val="center"/>
            </w:pPr>
            <w:r w:rsidRPr="00ED7F0F">
              <w:rPr>
                <w:color w:val="231F20"/>
                <w:spacing w:val="-1"/>
              </w:rPr>
              <w:t>70</w:t>
            </w:r>
            <w:r w:rsidRPr="00ED7F0F">
              <w:rPr>
                <w:color w:val="231F20"/>
                <w:spacing w:val="-9"/>
              </w:rPr>
              <w:t> </w:t>
            </w:r>
            <w:r w:rsidRPr="00ED7F0F">
              <w:rPr>
                <w:color w:val="231F20"/>
                <w:spacing w:val="-1"/>
              </w:rPr>
              <w:t>mg</w:t>
            </w:r>
          </w:p>
        </w:tc>
        <w:tc>
          <w:tcPr>
            <w:tcW w:w="1432"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537B30" w:rsidRPr="00ED7F0F" w:rsidRDefault="00537B30" w:rsidP="00122C9F">
            <w:pPr>
              <w:spacing w:line="240" w:lineRule="auto"/>
              <w:ind w:left="135"/>
              <w:jc w:val="center"/>
            </w:pPr>
            <w:r w:rsidRPr="00ED7F0F">
              <w:rPr>
                <w:color w:val="231F20"/>
                <w:spacing w:val="-1"/>
              </w:rPr>
              <w:t>60</w:t>
            </w:r>
            <w:r w:rsidRPr="00ED7F0F">
              <w:rPr>
                <w:color w:val="231F20"/>
                <w:spacing w:val="-7"/>
              </w:rPr>
              <w:t> </w:t>
            </w:r>
            <w:r w:rsidRPr="00ED7F0F">
              <w:rPr>
                <w:color w:val="231F20"/>
                <w:spacing w:val="-3"/>
              </w:rPr>
              <w:t>mg</w:t>
            </w:r>
          </w:p>
        </w:tc>
        <w:tc>
          <w:tcPr>
            <w:tcW w:w="1570" w:type="dxa"/>
            <w:tcBorders>
              <w:top w:val="single" w:sz="0" w:space="0" w:color="000000"/>
              <w:left w:val="single" w:sz="0" w:space="0" w:color="000000"/>
              <w:bottom w:val="single" w:sz="0" w:space="0" w:color="000000"/>
              <w:right w:val="single" w:sz="5" w:space="0" w:color="231F20"/>
            </w:tcBorders>
            <w:shd w:val="clear" w:color="000000" w:fill="FFFFFF"/>
            <w:tcMar>
              <w:left w:w="0" w:type="dxa"/>
              <w:right w:w="0" w:type="dxa"/>
            </w:tcMar>
          </w:tcPr>
          <w:p w:rsidR="00537B30" w:rsidRPr="00ED7F0F" w:rsidRDefault="00537B30" w:rsidP="00122C9F">
            <w:pPr>
              <w:spacing w:line="240" w:lineRule="auto"/>
              <w:ind w:left="135"/>
              <w:jc w:val="center"/>
            </w:pPr>
            <w:r w:rsidRPr="00ED7F0F">
              <w:rPr>
                <w:color w:val="231F20"/>
                <w:spacing w:val="-1"/>
              </w:rPr>
              <w:t>50</w:t>
            </w:r>
            <w:r w:rsidRPr="00ED7F0F">
              <w:rPr>
                <w:color w:val="231F20"/>
                <w:spacing w:val="-7"/>
              </w:rPr>
              <w:t> </w:t>
            </w:r>
            <w:r w:rsidRPr="00ED7F0F">
              <w:rPr>
                <w:color w:val="231F20"/>
                <w:spacing w:val="-3"/>
              </w:rPr>
              <w:t>mg</w:t>
            </w:r>
          </w:p>
        </w:tc>
      </w:tr>
      <w:tr w:rsidR="00537B30" w:rsidRPr="00ED7F0F" w:rsidTr="00537B30">
        <w:tc>
          <w:tcPr>
            <w:tcW w:w="3109" w:type="dxa"/>
            <w:vMerge/>
            <w:tcBorders>
              <w:top w:val="single" w:sz="0" w:space="0" w:color="000000"/>
              <w:left w:val="single" w:sz="4" w:space="0" w:color="231F20"/>
              <w:bottom w:val="single" w:sz="5" w:space="0" w:color="231F20"/>
              <w:right w:val="single" w:sz="4" w:space="0" w:color="231F20"/>
            </w:tcBorders>
            <w:shd w:val="clear" w:color="000000" w:fill="FFFFFF"/>
            <w:tcMar>
              <w:left w:w="0" w:type="dxa"/>
              <w:right w:w="0" w:type="dxa"/>
            </w:tcMar>
          </w:tcPr>
          <w:p w:rsidR="00537B30" w:rsidRPr="00ED7F0F" w:rsidRDefault="00537B30" w:rsidP="00122C9F">
            <w:pPr>
              <w:spacing w:after="200" w:line="276" w:lineRule="auto"/>
              <w:rPr>
                <w:rFonts w:eastAsia="Calibri"/>
              </w:rPr>
            </w:pPr>
          </w:p>
        </w:tc>
        <w:tc>
          <w:tcPr>
            <w:tcW w:w="1252" w:type="dxa"/>
            <w:vMerge/>
            <w:tcBorders>
              <w:top w:val="single" w:sz="0" w:space="0" w:color="000000"/>
              <w:left w:val="single" w:sz="4" w:space="0" w:color="231F20"/>
              <w:bottom w:val="single" w:sz="5" w:space="0" w:color="231F20"/>
              <w:right w:val="single" w:sz="0" w:space="0" w:color="000000"/>
            </w:tcBorders>
            <w:shd w:val="clear" w:color="000000" w:fill="FFFFFF"/>
            <w:tcMar>
              <w:left w:w="0" w:type="dxa"/>
              <w:right w:w="0" w:type="dxa"/>
            </w:tcMar>
          </w:tcPr>
          <w:p w:rsidR="00537B30" w:rsidRPr="00ED7F0F" w:rsidRDefault="00537B30" w:rsidP="00122C9F">
            <w:pPr>
              <w:spacing w:after="200" w:line="276" w:lineRule="auto"/>
              <w:rPr>
                <w:rFonts w:eastAsia="Calibri"/>
              </w:rPr>
            </w:pPr>
          </w:p>
        </w:tc>
        <w:tc>
          <w:tcPr>
            <w:tcW w:w="1550" w:type="dxa"/>
            <w:tcBorders>
              <w:top w:val="single" w:sz="0" w:space="0" w:color="000000"/>
              <w:left w:val="single" w:sz="0" w:space="0" w:color="000000"/>
              <w:bottom w:val="single" w:sz="5" w:space="0" w:color="231F20"/>
              <w:right w:val="single" w:sz="0" w:space="0" w:color="000000"/>
            </w:tcBorders>
            <w:shd w:val="clear" w:color="000000" w:fill="FFFFFF"/>
            <w:tcMar>
              <w:left w:w="0" w:type="dxa"/>
              <w:right w:w="0" w:type="dxa"/>
            </w:tcMar>
          </w:tcPr>
          <w:p w:rsidR="00537B30" w:rsidRPr="00ED7F0F" w:rsidRDefault="00537B30" w:rsidP="00122C9F">
            <w:pPr>
              <w:spacing w:line="240" w:lineRule="auto"/>
              <w:ind w:left="149"/>
              <w:jc w:val="center"/>
            </w:pPr>
            <w:r w:rsidRPr="00ED7F0F">
              <w:rPr>
                <w:color w:val="231F20"/>
              </w:rPr>
              <w:t>100</w:t>
            </w:r>
            <w:r w:rsidRPr="00ED7F0F">
              <w:rPr>
                <w:color w:val="231F20"/>
                <w:spacing w:val="-13"/>
              </w:rPr>
              <w:t> </w:t>
            </w:r>
            <w:r w:rsidRPr="00ED7F0F">
              <w:rPr>
                <w:color w:val="231F20"/>
                <w:spacing w:val="-1"/>
              </w:rPr>
              <w:t>mg</w:t>
            </w:r>
          </w:p>
        </w:tc>
        <w:tc>
          <w:tcPr>
            <w:tcW w:w="1432" w:type="dxa"/>
            <w:tcBorders>
              <w:top w:val="single" w:sz="0" w:space="0" w:color="000000"/>
              <w:left w:val="single" w:sz="0" w:space="0" w:color="000000"/>
              <w:bottom w:val="single" w:sz="5" w:space="0" w:color="231F20"/>
              <w:right w:val="single" w:sz="0" w:space="0" w:color="000000"/>
            </w:tcBorders>
            <w:shd w:val="clear" w:color="000000" w:fill="FFFFFF"/>
            <w:tcMar>
              <w:left w:w="0" w:type="dxa"/>
              <w:right w:w="0" w:type="dxa"/>
            </w:tcMar>
          </w:tcPr>
          <w:p w:rsidR="00537B30" w:rsidRPr="00ED7F0F" w:rsidRDefault="00537B30" w:rsidP="00122C9F">
            <w:pPr>
              <w:spacing w:line="240" w:lineRule="auto"/>
              <w:ind w:left="135"/>
              <w:jc w:val="center"/>
            </w:pPr>
            <w:r w:rsidRPr="00ED7F0F">
              <w:rPr>
                <w:color w:val="231F20"/>
                <w:spacing w:val="-1"/>
              </w:rPr>
              <w:t>80</w:t>
            </w:r>
            <w:r w:rsidRPr="00ED7F0F">
              <w:rPr>
                <w:color w:val="231F20"/>
                <w:spacing w:val="-7"/>
              </w:rPr>
              <w:t> </w:t>
            </w:r>
            <w:r w:rsidRPr="00ED7F0F">
              <w:rPr>
                <w:color w:val="231F20"/>
                <w:spacing w:val="-3"/>
              </w:rPr>
              <w:t>mg</w:t>
            </w:r>
          </w:p>
        </w:tc>
        <w:tc>
          <w:tcPr>
            <w:tcW w:w="1570" w:type="dxa"/>
            <w:tcBorders>
              <w:top w:val="single" w:sz="0" w:space="0" w:color="000000"/>
              <w:left w:val="single" w:sz="0" w:space="0" w:color="000000"/>
              <w:bottom w:val="single" w:sz="5" w:space="0" w:color="231F20"/>
              <w:right w:val="single" w:sz="5" w:space="0" w:color="231F20"/>
            </w:tcBorders>
            <w:shd w:val="clear" w:color="000000" w:fill="FFFFFF"/>
            <w:tcMar>
              <w:left w:w="0" w:type="dxa"/>
              <w:right w:w="0" w:type="dxa"/>
            </w:tcMar>
          </w:tcPr>
          <w:p w:rsidR="00537B30" w:rsidRPr="00ED7F0F" w:rsidRDefault="00537B30" w:rsidP="00122C9F">
            <w:pPr>
              <w:spacing w:line="240" w:lineRule="auto"/>
              <w:ind w:left="135"/>
              <w:jc w:val="center"/>
            </w:pPr>
            <w:r w:rsidRPr="00ED7F0F">
              <w:rPr>
                <w:color w:val="231F20"/>
                <w:spacing w:val="-1"/>
              </w:rPr>
              <w:t>70</w:t>
            </w:r>
            <w:r w:rsidRPr="00ED7F0F">
              <w:rPr>
                <w:color w:val="231F20"/>
                <w:spacing w:val="-7"/>
              </w:rPr>
              <w:t> </w:t>
            </w:r>
            <w:r w:rsidRPr="00ED7F0F">
              <w:rPr>
                <w:color w:val="231F20"/>
                <w:spacing w:val="-3"/>
              </w:rPr>
              <w:t>mg</w:t>
            </w:r>
          </w:p>
        </w:tc>
      </w:tr>
    </w:tbl>
    <w:p w:rsidR="00845C7D" w:rsidRPr="00ED7F0F" w:rsidRDefault="00845C7D" w:rsidP="00122C9F">
      <w:pPr>
        <w:spacing w:line="261" w:lineRule="auto"/>
        <w:ind w:left="29"/>
        <w:rPr>
          <w:sz w:val="20"/>
        </w:rPr>
      </w:pPr>
      <w:r w:rsidRPr="00ED7F0F">
        <w:rPr>
          <w:sz w:val="20"/>
        </w:rPr>
        <w:t xml:space="preserve">ANC: absolútny počet neutrofilov </w:t>
      </w:r>
    </w:p>
    <w:p w:rsidR="00845C7D" w:rsidRPr="00ED7F0F" w:rsidRDefault="00845C7D" w:rsidP="00122C9F">
      <w:pPr>
        <w:spacing w:line="261" w:lineRule="auto"/>
        <w:ind w:left="29"/>
        <w:rPr>
          <w:sz w:val="20"/>
        </w:rPr>
      </w:pPr>
      <w:r w:rsidRPr="00ED7F0F">
        <w:rPr>
          <w:sz w:val="20"/>
        </w:rPr>
        <w:t xml:space="preserve">*nižšia dávka v tablete nie je dostupná </w:t>
      </w:r>
    </w:p>
    <w:p w:rsidR="00845C7D" w:rsidRPr="00ED7F0F" w:rsidRDefault="00845C7D" w:rsidP="00122C9F">
      <w:pPr>
        <w:spacing w:after="22" w:line="259" w:lineRule="auto"/>
        <w:ind w:left="34"/>
      </w:pPr>
    </w:p>
    <w:p w:rsidR="00845C7D" w:rsidRPr="00ED7F0F" w:rsidRDefault="00845C7D" w:rsidP="00122C9F">
      <w:pPr>
        <w:ind w:left="29"/>
      </w:pPr>
      <w:r w:rsidRPr="00ED7F0F">
        <w:t>Ak sa u</w:t>
      </w:r>
      <w:r w:rsidR="00537B30" w:rsidRPr="00ED7F0F">
        <w:t> </w:t>
      </w:r>
      <w:r w:rsidRPr="00ED7F0F">
        <w:t>pediatrických pacientov s</w:t>
      </w:r>
      <w:r w:rsidR="00537B30" w:rsidRPr="00ED7F0F">
        <w:t> </w:t>
      </w:r>
      <w:r w:rsidRPr="00ED7F0F">
        <w:t xml:space="preserve">Ph+ CML-CP opakovane vyskytne neutropénia alebo trombocytopénia ≥ 3. stupňa počas kompletnej hematologickej odpovede (complete hematologic response, CHR), liečba </w:t>
      </w:r>
      <w:r w:rsidR="00537B30" w:rsidRPr="00ED7F0F">
        <w:t>Dasatinibom Mylan</w:t>
      </w:r>
      <w:r w:rsidRPr="00ED7F0F">
        <w:t xml:space="preserve"> sa má prerušiť a potom sa môže v</w:t>
      </w:r>
      <w:r w:rsidR="00537B30" w:rsidRPr="00ED7F0F">
        <w:t> </w:t>
      </w:r>
      <w:r w:rsidRPr="00ED7F0F">
        <w:t>liečbe pokračovať so zníženou dávkou. Dočasné zníženia dávok na stredne závažné stupne cytopénie a odpoveď ochorenia sa majú vykonať podľa potreby.</w:t>
      </w:r>
    </w:p>
    <w:p w:rsidR="00845C7D" w:rsidRPr="00ED7F0F" w:rsidRDefault="00845C7D" w:rsidP="00122C9F">
      <w:pPr>
        <w:spacing w:line="259" w:lineRule="auto"/>
        <w:ind w:left="34"/>
      </w:pPr>
    </w:p>
    <w:p w:rsidR="00845C7D" w:rsidRPr="00ED7F0F" w:rsidRDefault="00845C7D" w:rsidP="00122C9F">
      <w:pPr>
        <w:ind w:left="29"/>
      </w:pPr>
      <w:r w:rsidRPr="00ED7F0F">
        <w:t>U</w:t>
      </w:r>
      <w:r w:rsidR="00537B30" w:rsidRPr="00ED7F0F">
        <w:t> </w:t>
      </w:r>
      <w:r w:rsidRPr="00ED7F0F">
        <w:t>pediatrických pacientov s</w:t>
      </w:r>
      <w:r w:rsidR="00537B30" w:rsidRPr="00ED7F0F">
        <w:t> </w:t>
      </w:r>
      <w:r w:rsidRPr="00ED7F0F">
        <w:t>ALL s</w:t>
      </w:r>
      <w:r w:rsidR="00537B30" w:rsidRPr="00ED7F0F">
        <w:t> </w:t>
      </w:r>
      <w:r w:rsidRPr="00ED7F0F">
        <w:t>Ph+ sa neodporúča žiadna úprava dávky v</w:t>
      </w:r>
      <w:r w:rsidR="00537B30" w:rsidRPr="00ED7F0F">
        <w:t> </w:t>
      </w:r>
      <w:r w:rsidRPr="00ED7F0F">
        <w:t>prípadoch hematologických toxicít 1. až 4. stupňa. Ak neutropénia a/alebo trombocytopénia majú za následok oddialenie nasledujúceho bloku liečby o</w:t>
      </w:r>
      <w:r w:rsidR="00537B30" w:rsidRPr="00ED7F0F">
        <w:t> </w:t>
      </w:r>
      <w:r w:rsidRPr="00ED7F0F">
        <w:t xml:space="preserve">dlhšie ako 14 dní, liečba </w:t>
      </w:r>
      <w:r w:rsidR="00537B30" w:rsidRPr="00ED7F0F">
        <w:t>Das</w:t>
      </w:r>
      <w:r w:rsidR="00D22B54" w:rsidRPr="00ED7F0F">
        <w:t>a</w:t>
      </w:r>
      <w:r w:rsidR="00537B30" w:rsidRPr="00ED7F0F">
        <w:t>tinibom Mylan</w:t>
      </w:r>
      <w:r w:rsidRPr="00ED7F0F">
        <w:t xml:space="preserve"> sa má prerušiť a má pokračovať s</w:t>
      </w:r>
      <w:r w:rsidR="00537B30" w:rsidRPr="00ED7F0F">
        <w:t> </w:t>
      </w:r>
      <w:r w:rsidRPr="00ED7F0F">
        <w:t>rovnakou hladinou dávky po začatí nasledujúceho bloku liečby. Ak neutropénia a/alebo trombocytopénia pretrvávajú a nasledujúci blok liečby sa oddiali o</w:t>
      </w:r>
      <w:r w:rsidR="00537B30" w:rsidRPr="00ED7F0F">
        <w:t> </w:t>
      </w:r>
      <w:r w:rsidRPr="00ED7F0F">
        <w:t>ďalších 7</w:t>
      </w:r>
      <w:r w:rsidR="00537B30" w:rsidRPr="00ED7F0F">
        <w:t> </w:t>
      </w:r>
      <w:r w:rsidRPr="00ED7F0F">
        <w:t>dní, má sa vykonať vyhodnotenie kostnej drene na posúdenie celularity a</w:t>
      </w:r>
      <w:r w:rsidR="00537B30" w:rsidRPr="00ED7F0F">
        <w:t> </w:t>
      </w:r>
      <w:r w:rsidRPr="00ED7F0F">
        <w:t>percenta blastov. Ak je celularita kostnej drene &lt; 10</w:t>
      </w:r>
      <w:r w:rsidR="00537B30" w:rsidRPr="00ED7F0F">
        <w:t> </w:t>
      </w:r>
      <w:r w:rsidRPr="00ED7F0F">
        <w:t xml:space="preserve">%, liečba </w:t>
      </w:r>
      <w:r w:rsidR="00537B30" w:rsidRPr="00ED7F0F">
        <w:t>Dasatinibom Mylan</w:t>
      </w:r>
      <w:r w:rsidRPr="00ED7F0F">
        <w:t xml:space="preserve"> sa má prerušiť až do ANC &gt; 500/μl (0,5 x 10</w:t>
      </w:r>
      <w:r w:rsidRPr="00ED7F0F">
        <w:rPr>
          <w:vertAlign w:val="superscript"/>
        </w:rPr>
        <w:t>9</w:t>
      </w:r>
      <w:r w:rsidRPr="00ED7F0F">
        <w:t>/l), pri ktorom možno čas liečby obnoviť s</w:t>
      </w:r>
      <w:r w:rsidR="00537B30" w:rsidRPr="00ED7F0F">
        <w:t> </w:t>
      </w:r>
      <w:r w:rsidRPr="00ED7F0F">
        <w:t xml:space="preserve">úplnou dávkou. Ak je celularita kostnej drene &gt; 10 %, možno zvážiť obnovenie liečby </w:t>
      </w:r>
      <w:r w:rsidR="00537B30" w:rsidRPr="00ED7F0F">
        <w:t>Dasatinibom Mylan</w:t>
      </w:r>
      <w:r w:rsidRPr="00ED7F0F">
        <w:t>.</w:t>
      </w:r>
    </w:p>
    <w:p w:rsidR="0094679E" w:rsidRPr="00ED7F0F" w:rsidRDefault="0094679E" w:rsidP="00122C9F">
      <w:pPr>
        <w:autoSpaceDE w:val="0"/>
        <w:autoSpaceDN w:val="0"/>
        <w:adjustRightInd w:val="0"/>
        <w:rPr>
          <w:color w:val="000000"/>
          <w:szCs w:val="22"/>
        </w:rPr>
      </w:pPr>
    </w:p>
    <w:p w:rsidR="0094679E" w:rsidRPr="00ED7F0F" w:rsidRDefault="0094679E" w:rsidP="00122C9F">
      <w:pPr>
        <w:autoSpaceDE w:val="0"/>
        <w:autoSpaceDN w:val="0"/>
        <w:adjustRightInd w:val="0"/>
        <w:rPr>
          <w:i/>
          <w:iCs/>
          <w:szCs w:val="22"/>
          <w:lang w:eastAsia="en-US"/>
        </w:rPr>
      </w:pPr>
      <w:r w:rsidRPr="00ED7F0F">
        <w:rPr>
          <w:i/>
          <w:iCs/>
          <w:szCs w:val="22"/>
          <w:lang w:eastAsia="en-US"/>
        </w:rPr>
        <w:t>Nehematologické nežiaduce reakcie</w:t>
      </w:r>
    </w:p>
    <w:p w:rsidR="0094679E" w:rsidRPr="00ED7F0F" w:rsidRDefault="0094679E" w:rsidP="00122C9F">
      <w:pPr>
        <w:autoSpaceDE w:val="0"/>
        <w:autoSpaceDN w:val="0"/>
        <w:adjustRightInd w:val="0"/>
        <w:rPr>
          <w:rFonts w:eastAsia="TimesNewRoman"/>
          <w:szCs w:val="22"/>
          <w:lang w:eastAsia="en-US"/>
        </w:rPr>
      </w:pPr>
      <w:r w:rsidRPr="00ED7F0F">
        <w:rPr>
          <w:rFonts w:eastAsia="TimesNewRoman"/>
          <w:szCs w:val="22"/>
          <w:lang w:eastAsia="en-US"/>
        </w:rPr>
        <w:t>Ak počas liečby dasatinibom vznikne stredne závažná nehematologická nežiaduca reakcia 2. stupňa, liečba sa má prerušiť až do vymiznutia tejto nežiaducej reakcie alebo návratu k</w:t>
      </w:r>
      <w:r w:rsidR="00EA1A3B" w:rsidRPr="00ED7F0F">
        <w:rPr>
          <w:rFonts w:eastAsia="TimesNewRoman"/>
          <w:szCs w:val="22"/>
          <w:lang w:eastAsia="en-US"/>
        </w:rPr>
        <w:t> </w:t>
      </w:r>
      <w:r w:rsidRPr="00ED7F0F">
        <w:rPr>
          <w:rFonts w:eastAsia="TimesNewRoman"/>
          <w:szCs w:val="22"/>
          <w:lang w:eastAsia="en-US"/>
        </w:rPr>
        <w:t>pôvodným hodnotám.</w:t>
      </w:r>
    </w:p>
    <w:p w:rsidR="00091239" w:rsidRPr="00ED7F0F" w:rsidRDefault="0094679E" w:rsidP="00122C9F">
      <w:pPr>
        <w:ind w:left="29"/>
      </w:pPr>
      <w:r w:rsidRPr="00ED7F0F">
        <w:rPr>
          <w:rFonts w:eastAsia="TimesNewRoman"/>
          <w:szCs w:val="22"/>
          <w:lang w:eastAsia="en-US"/>
        </w:rPr>
        <w:t>Má sa pokračovať s</w:t>
      </w:r>
      <w:r w:rsidR="00091239" w:rsidRPr="00ED7F0F">
        <w:rPr>
          <w:rFonts w:eastAsia="TimesNewRoman"/>
          <w:szCs w:val="22"/>
          <w:lang w:eastAsia="en-US"/>
        </w:rPr>
        <w:t> </w:t>
      </w:r>
      <w:r w:rsidRPr="00ED7F0F">
        <w:rPr>
          <w:rFonts w:eastAsia="TimesNewRoman"/>
          <w:szCs w:val="22"/>
          <w:lang w:eastAsia="en-US"/>
        </w:rPr>
        <w:t>rovnakou dávkou, ak ide o</w:t>
      </w:r>
      <w:r w:rsidR="00091239" w:rsidRPr="00ED7F0F">
        <w:rPr>
          <w:rFonts w:eastAsia="TimesNewRoman"/>
          <w:szCs w:val="22"/>
          <w:lang w:eastAsia="en-US"/>
        </w:rPr>
        <w:t> </w:t>
      </w:r>
      <w:r w:rsidRPr="00ED7F0F">
        <w:rPr>
          <w:rFonts w:eastAsia="TimesNewRoman"/>
          <w:szCs w:val="22"/>
          <w:lang w:eastAsia="en-US"/>
        </w:rPr>
        <w:t>prvý výskyt a dávka sa má znížiť, ak ide o opakujúcu sa nežiaducu reakciu. Ak počas liečby dasatinibom vznikne závažná nehematologická nežiaduca reakcia 3. alebo 4.</w:t>
      </w:r>
      <w:r w:rsidR="00091239" w:rsidRPr="00ED7F0F">
        <w:rPr>
          <w:rFonts w:eastAsia="TimesNewRoman"/>
          <w:szCs w:val="22"/>
          <w:lang w:eastAsia="en-US"/>
        </w:rPr>
        <w:t> </w:t>
      </w:r>
      <w:r w:rsidRPr="00ED7F0F">
        <w:rPr>
          <w:rFonts w:eastAsia="TimesNewRoman"/>
          <w:szCs w:val="22"/>
          <w:lang w:eastAsia="en-US"/>
        </w:rPr>
        <w:t>stupňa, liečba sa musí prerušiť až do vymiznutia tejto nežiaducej reakcie. Potom sa môže v</w:t>
      </w:r>
      <w:r w:rsidR="00091239" w:rsidRPr="00ED7F0F">
        <w:rPr>
          <w:rFonts w:eastAsia="TimesNewRoman"/>
          <w:szCs w:val="22"/>
          <w:lang w:eastAsia="en-US"/>
        </w:rPr>
        <w:t> </w:t>
      </w:r>
      <w:r w:rsidRPr="00ED7F0F">
        <w:rPr>
          <w:rFonts w:eastAsia="TimesNewRoman"/>
          <w:szCs w:val="22"/>
          <w:lang w:eastAsia="en-US"/>
        </w:rPr>
        <w:t>liečbe pokračovať s</w:t>
      </w:r>
      <w:r w:rsidR="00091239" w:rsidRPr="00ED7F0F">
        <w:rPr>
          <w:rFonts w:eastAsia="TimesNewRoman"/>
          <w:szCs w:val="22"/>
          <w:lang w:eastAsia="en-US"/>
        </w:rPr>
        <w:t> </w:t>
      </w:r>
      <w:r w:rsidRPr="00ED7F0F">
        <w:rPr>
          <w:rFonts w:eastAsia="TimesNewRoman"/>
          <w:szCs w:val="22"/>
          <w:lang w:eastAsia="en-US"/>
        </w:rPr>
        <w:t>použitím redukovanej dávky v</w:t>
      </w:r>
      <w:r w:rsidR="00091239" w:rsidRPr="00ED7F0F">
        <w:rPr>
          <w:rFonts w:eastAsia="TimesNewRoman"/>
          <w:szCs w:val="22"/>
          <w:lang w:eastAsia="en-US"/>
        </w:rPr>
        <w:t> </w:t>
      </w:r>
      <w:r w:rsidRPr="00ED7F0F">
        <w:rPr>
          <w:rFonts w:eastAsia="TimesNewRoman"/>
          <w:szCs w:val="22"/>
          <w:lang w:eastAsia="en-US"/>
        </w:rPr>
        <w:t>závislosti od začiatočnej závažnosti nežiaducej reakcie. U</w:t>
      </w:r>
      <w:r w:rsidR="00091239" w:rsidRPr="00ED7F0F">
        <w:rPr>
          <w:rFonts w:eastAsia="TimesNewRoman"/>
          <w:szCs w:val="22"/>
          <w:lang w:eastAsia="en-US"/>
        </w:rPr>
        <w:t> </w:t>
      </w:r>
      <w:r w:rsidRPr="00ED7F0F">
        <w:rPr>
          <w:rFonts w:eastAsia="TimesNewRoman"/>
          <w:szCs w:val="22"/>
          <w:lang w:eastAsia="en-US"/>
        </w:rPr>
        <w:t>pacientov s</w:t>
      </w:r>
      <w:r w:rsidR="00091239" w:rsidRPr="00ED7F0F">
        <w:rPr>
          <w:rFonts w:eastAsia="TimesNewRoman"/>
          <w:szCs w:val="22"/>
          <w:lang w:eastAsia="en-US"/>
        </w:rPr>
        <w:t> </w:t>
      </w:r>
      <w:r w:rsidRPr="00ED7F0F">
        <w:rPr>
          <w:rFonts w:eastAsia="TimesNewRoman"/>
          <w:szCs w:val="22"/>
          <w:lang w:eastAsia="en-US"/>
        </w:rPr>
        <w:t>chronickou fázou CML, ktorí dostávali dávku 100 mg jedenkrát denne sa odporúča dávku znížiť na 80 mg jedenkrát denne, v</w:t>
      </w:r>
      <w:r w:rsidR="00091239" w:rsidRPr="00ED7F0F">
        <w:rPr>
          <w:rFonts w:eastAsia="TimesNewRoman"/>
          <w:szCs w:val="22"/>
          <w:lang w:eastAsia="en-US"/>
        </w:rPr>
        <w:t> </w:t>
      </w:r>
      <w:r w:rsidRPr="00ED7F0F">
        <w:rPr>
          <w:rFonts w:eastAsia="TimesNewRoman"/>
          <w:szCs w:val="22"/>
          <w:lang w:eastAsia="en-US"/>
        </w:rPr>
        <w:t>prípade potreby ďalej znížiť z 80 mg jedenkrát denne na 50 mg jedenkrát denne. U</w:t>
      </w:r>
      <w:r w:rsidR="00091239" w:rsidRPr="00ED7F0F">
        <w:rPr>
          <w:rFonts w:eastAsia="TimesNewRoman"/>
          <w:szCs w:val="22"/>
          <w:lang w:eastAsia="en-US"/>
        </w:rPr>
        <w:t> </w:t>
      </w:r>
      <w:r w:rsidRPr="00ED7F0F">
        <w:rPr>
          <w:rFonts w:eastAsia="TimesNewRoman"/>
          <w:szCs w:val="22"/>
          <w:lang w:eastAsia="en-US"/>
        </w:rPr>
        <w:t>pacientov s</w:t>
      </w:r>
      <w:r w:rsidR="00091239" w:rsidRPr="00ED7F0F">
        <w:rPr>
          <w:rFonts w:eastAsia="TimesNewRoman"/>
          <w:szCs w:val="22"/>
          <w:lang w:eastAsia="en-US"/>
        </w:rPr>
        <w:t> </w:t>
      </w:r>
      <w:r w:rsidRPr="00ED7F0F">
        <w:rPr>
          <w:rFonts w:eastAsia="TimesNewRoman"/>
          <w:szCs w:val="22"/>
          <w:lang w:eastAsia="en-US"/>
        </w:rPr>
        <w:t>pokročilou fázou CML alebo Ph+ ALL, ktorí dostávali dávku 140 mg jedenkrát denne sa odporúča dávku znížiť na 100 mg jedenkrát denne, v</w:t>
      </w:r>
      <w:r w:rsidR="00091239" w:rsidRPr="00ED7F0F">
        <w:rPr>
          <w:rFonts w:eastAsia="TimesNewRoman"/>
          <w:szCs w:val="22"/>
          <w:lang w:eastAsia="en-US"/>
        </w:rPr>
        <w:t> </w:t>
      </w:r>
      <w:r w:rsidRPr="00ED7F0F">
        <w:rPr>
          <w:rFonts w:eastAsia="TimesNewRoman"/>
          <w:szCs w:val="22"/>
          <w:lang w:eastAsia="en-US"/>
        </w:rPr>
        <w:t>prípade potreby ďalej znížiť zo 100 mg jedenkrát denne na 50 mg jedenkrát denne.</w:t>
      </w:r>
      <w:r w:rsidR="00091239" w:rsidRPr="00ED7F0F">
        <w:rPr>
          <w:rFonts w:eastAsia="TimesNewRoman"/>
          <w:szCs w:val="22"/>
          <w:lang w:eastAsia="en-US"/>
        </w:rPr>
        <w:t xml:space="preserve"> </w:t>
      </w:r>
      <w:r w:rsidR="00091239" w:rsidRPr="00ED7F0F">
        <w:t>U pediatrických pacientov s CML-CP s nehematologickými nežiaducimi reakciami sa má postupovať podľa odporúčaní na zníženie dávky pre hematologické nežiaduce reakcie, ktoré sú opísané vyššie. U pediatrických pacientov s ALL s Ph+ s nehematologickými nežiaducimi reakciami, sa má v prípade potreby znížiť dávka o jednu úroveň podľa odporúčaní na zníženie dávky pre hematologické nežiaduce reakcie, ktoré sú opísané vyššie.</w:t>
      </w:r>
    </w:p>
    <w:p w:rsidR="0094679E" w:rsidRPr="00ED7F0F" w:rsidRDefault="0094679E" w:rsidP="00122C9F">
      <w:pPr>
        <w:autoSpaceDE w:val="0"/>
        <w:autoSpaceDN w:val="0"/>
        <w:adjustRightInd w:val="0"/>
        <w:rPr>
          <w:rFonts w:eastAsia="TimesNewRoman"/>
          <w:szCs w:val="22"/>
          <w:lang w:eastAsia="en-US"/>
        </w:rPr>
      </w:pPr>
    </w:p>
    <w:p w:rsidR="0094679E" w:rsidRPr="00ED7F0F" w:rsidRDefault="0094679E" w:rsidP="00122C9F">
      <w:pPr>
        <w:autoSpaceDE w:val="0"/>
        <w:autoSpaceDN w:val="0"/>
        <w:adjustRightInd w:val="0"/>
        <w:rPr>
          <w:i/>
          <w:iCs/>
          <w:szCs w:val="22"/>
          <w:lang w:eastAsia="en-US"/>
        </w:rPr>
      </w:pPr>
      <w:r w:rsidRPr="00ED7F0F">
        <w:rPr>
          <w:i/>
          <w:iCs/>
          <w:szCs w:val="22"/>
          <w:lang w:eastAsia="en-US"/>
        </w:rPr>
        <w:t>Pleurálny výpotok</w:t>
      </w:r>
    </w:p>
    <w:p w:rsidR="0094679E" w:rsidRPr="00ED7F0F" w:rsidRDefault="0094679E" w:rsidP="00122C9F">
      <w:pPr>
        <w:autoSpaceDE w:val="0"/>
        <w:autoSpaceDN w:val="0"/>
        <w:adjustRightInd w:val="0"/>
        <w:rPr>
          <w:rFonts w:eastAsia="TimesNewRoman"/>
          <w:szCs w:val="22"/>
          <w:lang w:eastAsia="en-US"/>
        </w:rPr>
      </w:pPr>
      <w:r w:rsidRPr="00ED7F0F">
        <w:rPr>
          <w:rFonts w:eastAsia="TimesNewRoman"/>
          <w:szCs w:val="22"/>
          <w:lang w:eastAsia="en-US"/>
        </w:rPr>
        <w:t>Ak je diagnostikovaný pleurálny výpotok, liečba dasatinibom sa má prerušiť, až kým bude pacient vyšetrený, asymptomatický alebo sa vráti k</w:t>
      </w:r>
      <w:r w:rsidR="00091239" w:rsidRPr="00ED7F0F">
        <w:rPr>
          <w:rFonts w:eastAsia="TimesNewRoman"/>
          <w:szCs w:val="22"/>
          <w:lang w:eastAsia="en-US"/>
        </w:rPr>
        <w:t> </w:t>
      </w:r>
      <w:r w:rsidRPr="00ED7F0F">
        <w:rPr>
          <w:rFonts w:eastAsia="TimesNewRoman"/>
          <w:szCs w:val="22"/>
          <w:lang w:eastAsia="en-US"/>
        </w:rPr>
        <w:t>pôvodným hodnotám. Ak sa udalosť nezlepší približne počas jedného týždňa, má sa zvážiť postup s</w:t>
      </w:r>
      <w:r w:rsidR="00091239" w:rsidRPr="00ED7F0F">
        <w:rPr>
          <w:rFonts w:eastAsia="TimesNewRoman"/>
          <w:szCs w:val="22"/>
          <w:lang w:eastAsia="en-US"/>
        </w:rPr>
        <w:t> </w:t>
      </w:r>
      <w:r w:rsidRPr="00ED7F0F">
        <w:rPr>
          <w:rFonts w:eastAsia="TimesNewRoman"/>
          <w:szCs w:val="22"/>
          <w:lang w:eastAsia="en-US"/>
        </w:rPr>
        <w:t>použitím diuretík alebo kortikosteroidov alebo oboch súbežne (pozri časti</w:t>
      </w:r>
      <w:r w:rsidR="009044DF" w:rsidRPr="00ED7F0F">
        <w:rPr>
          <w:rFonts w:eastAsia="TimesNewRoman"/>
          <w:szCs w:val="22"/>
          <w:lang w:eastAsia="en-US"/>
        </w:rPr>
        <w:t> </w:t>
      </w:r>
      <w:r w:rsidRPr="00ED7F0F">
        <w:rPr>
          <w:rFonts w:eastAsia="TimesNewRoman"/>
          <w:szCs w:val="22"/>
          <w:lang w:eastAsia="en-US"/>
        </w:rPr>
        <w:t>4.4 a</w:t>
      </w:r>
      <w:r w:rsidR="009044DF" w:rsidRPr="00ED7F0F">
        <w:rPr>
          <w:rFonts w:eastAsia="TimesNewRoman"/>
          <w:szCs w:val="22"/>
          <w:lang w:eastAsia="en-US"/>
        </w:rPr>
        <w:t> </w:t>
      </w:r>
      <w:r w:rsidRPr="00ED7F0F">
        <w:rPr>
          <w:rFonts w:eastAsia="TimesNewRoman"/>
          <w:szCs w:val="22"/>
          <w:lang w:eastAsia="en-US"/>
        </w:rPr>
        <w:t xml:space="preserve">4.8). Po vyjasnení prvej udalosti sa má zvážiť opätovné </w:t>
      </w:r>
      <w:r w:rsidR="00122C9F" w:rsidRPr="00ED7F0F">
        <w:rPr>
          <w:rFonts w:eastAsia="TimesNewRoman"/>
          <w:szCs w:val="22"/>
          <w:lang w:eastAsia="en-US"/>
        </w:rPr>
        <w:t>začatie liečby</w:t>
      </w:r>
      <w:r w:rsidRPr="00ED7F0F">
        <w:rPr>
          <w:rFonts w:eastAsia="TimesNewRoman"/>
          <w:szCs w:val="22"/>
          <w:lang w:eastAsia="en-US"/>
        </w:rPr>
        <w:t xml:space="preserve"> dasatinib</w:t>
      </w:r>
      <w:r w:rsidR="00122C9F" w:rsidRPr="00ED7F0F">
        <w:rPr>
          <w:rFonts w:eastAsia="TimesNewRoman"/>
          <w:szCs w:val="22"/>
          <w:lang w:eastAsia="en-US"/>
        </w:rPr>
        <w:t>om</w:t>
      </w:r>
      <w:r w:rsidRPr="00ED7F0F">
        <w:rPr>
          <w:rFonts w:eastAsia="TimesNewRoman"/>
          <w:szCs w:val="22"/>
          <w:lang w:eastAsia="en-US"/>
        </w:rPr>
        <w:t xml:space="preserve"> v</w:t>
      </w:r>
      <w:r w:rsidR="009044DF" w:rsidRPr="00ED7F0F">
        <w:rPr>
          <w:rFonts w:eastAsia="TimesNewRoman"/>
          <w:szCs w:val="22"/>
          <w:lang w:eastAsia="en-US"/>
        </w:rPr>
        <w:t> </w:t>
      </w:r>
      <w:r w:rsidRPr="00ED7F0F">
        <w:rPr>
          <w:rFonts w:eastAsia="TimesNewRoman"/>
          <w:szCs w:val="22"/>
          <w:lang w:eastAsia="en-US"/>
        </w:rPr>
        <w:t xml:space="preserve">dávke na rovnakej úrovni. Po vyjasnení nasledujúcej udalosti sa má opätovne </w:t>
      </w:r>
      <w:r w:rsidR="00122C9F" w:rsidRPr="00ED7F0F">
        <w:rPr>
          <w:rFonts w:eastAsia="TimesNewRoman"/>
          <w:szCs w:val="22"/>
          <w:lang w:eastAsia="en-US"/>
        </w:rPr>
        <w:t>začať liečba</w:t>
      </w:r>
      <w:r w:rsidRPr="00ED7F0F">
        <w:rPr>
          <w:rFonts w:eastAsia="TimesNewRoman"/>
          <w:szCs w:val="22"/>
          <w:lang w:eastAsia="en-US"/>
        </w:rPr>
        <w:t xml:space="preserve"> dasatinib</w:t>
      </w:r>
      <w:r w:rsidR="00122C9F" w:rsidRPr="00ED7F0F">
        <w:rPr>
          <w:rFonts w:eastAsia="TimesNewRoman"/>
          <w:szCs w:val="22"/>
          <w:lang w:eastAsia="en-US"/>
        </w:rPr>
        <w:t>om</w:t>
      </w:r>
      <w:r w:rsidRPr="00ED7F0F">
        <w:rPr>
          <w:rFonts w:eastAsia="TimesNewRoman"/>
          <w:szCs w:val="22"/>
          <w:lang w:eastAsia="en-US"/>
        </w:rPr>
        <w:t xml:space="preserve"> v</w:t>
      </w:r>
      <w:r w:rsidR="009044DF" w:rsidRPr="00ED7F0F">
        <w:rPr>
          <w:rFonts w:eastAsia="TimesNewRoman"/>
          <w:szCs w:val="22"/>
          <w:lang w:eastAsia="en-US"/>
        </w:rPr>
        <w:t> </w:t>
      </w:r>
      <w:r w:rsidRPr="00ED7F0F">
        <w:rPr>
          <w:rFonts w:eastAsia="TimesNewRoman"/>
          <w:szCs w:val="22"/>
          <w:lang w:eastAsia="en-US"/>
        </w:rPr>
        <w:t>zníženej dávke o</w:t>
      </w:r>
      <w:r w:rsidR="009044DF" w:rsidRPr="00ED7F0F">
        <w:rPr>
          <w:rFonts w:eastAsia="TimesNewRoman"/>
          <w:szCs w:val="22"/>
          <w:lang w:eastAsia="en-US"/>
        </w:rPr>
        <w:t> </w:t>
      </w:r>
      <w:r w:rsidRPr="00ED7F0F">
        <w:rPr>
          <w:rFonts w:eastAsia="TimesNewRoman"/>
          <w:szCs w:val="22"/>
          <w:lang w:eastAsia="en-US"/>
        </w:rPr>
        <w:t>jednu úroveň. Po vyjasnení závažnej udalosti (stupeň 3. alebo 4.), môže liečba, ak je to vhodné, pokračovať so zníženou dávkou v</w:t>
      </w:r>
      <w:r w:rsidR="009044DF" w:rsidRPr="00ED7F0F">
        <w:rPr>
          <w:rFonts w:eastAsia="TimesNewRoman"/>
          <w:szCs w:val="22"/>
          <w:lang w:eastAsia="en-US"/>
        </w:rPr>
        <w:t> </w:t>
      </w:r>
      <w:r w:rsidRPr="00ED7F0F">
        <w:rPr>
          <w:rFonts w:eastAsia="TimesNewRoman"/>
          <w:szCs w:val="22"/>
          <w:lang w:eastAsia="en-US"/>
        </w:rPr>
        <w:t>závislosti od začiatočnej závažnosti nežiaducej reakcie.</w:t>
      </w:r>
    </w:p>
    <w:p w:rsidR="009044DF" w:rsidRPr="00ED7F0F" w:rsidRDefault="009044DF" w:rsidP="00122C9F">
      <w:pPr>
        <w:autoSpaceDE w:val="0"/>
        <w:autoSpaceDN w:val="0"/>
        <w:adjustRightInd w:val="0"/>
        <w:rPr>
          <w:color w:val="000000"/>
          <w:szCs w:val="22"/>
        </w:rPr>
      </w:pPr>
    </w:p>
    <w:p w:rsidR="009044DF" w:rsidRPr="00ED7F0F" w:rsidRDefault="009044DF" w:rsidP="00122C9F">
      <w:pPr>
        <w:spacing w:line="259" w:lineRule="auto"/>
        <w:ind w:left="29"/>
      </w:pPr>
      <w:r w:rsidRPr="00ED7F0F">
        <w:rPr>
          <w:i/>
        </w:rPr>
        <w:t>Zníženie dávky pri súbežnom používaní silných inhibítorov CYP3A4</w:t>
      </w:r>
    </w:p>
    <w:p w:rsidR="009044DF" w:rsidRPr="00ED7F0F" w:rsidRDefault="009044DF" w:rsidP="00122C9F">
      <w:pPr>
        <w:ind w:left="29"/>
      </w:pPr>
      <w:r w:rsidRPr="00ED7F0F">
        <w:t>Súbežnému používaniu silných inhibítorov CYP3A4 a grapefruitového džúsu so Dasatinibom Mylan sa má vyhnúť (pozri časť 4.5). Ak je to možné, má sa vybrať alternatívna súbežná liečba bez alebo s minimálnym potenciálom enzýmovej inhibície. Ak sa Dasatinib Mylan musí podávať so silným inhibítorom CYP3A4, zvážte zníženie dávky na:</w:t>
      </w:r>
    </w:p>
    <w:p w:rsidR="009044DF" w:rsidRPr="00ED7F0F" w:rsidRDefault="009044DF" w:rsidP="00122C9F">
      <w:pPr>
        <w:numPr>
          <w:ilvl w:val="0"/>
          <w:numId w:val="13"/>
        </w:numPr>
        <w:tabs>
          <w:tab w:val="clear" w:pos="567"/>
        </w:tabs>
        <w:spacing w:after="5" w:line="248" w:lineRule="auto"/>
        <w:ind w:hanging="568"/>
      </w:pPr>
      <w:r w:rsidRPr="00ED7F0F">
        <w:t xml:space="preserve">40 mg denne u pacientov užívajúcich </w:t>
      </w:r>
      <w:r w:rsidR="00122C9F" w:rsidRPr="00ED7F0F">
        <w:t xml:space="preserve">tabletu obsahujúcu </w:t>
      </w:r>
      <w:r w:rsidRPr="00ED7F0F">
        <w:t xml:space="preserve">140 mg </w:t>
      </w:r>
      <w:r w:rsidR="00122C9F" w:rsidRPr="00ED7F0F">
        <w:t xml:space="preserve">dasatinibu </w:t>
      </w:r>
      <w:r w:rsidRPr="00ED7F0F">
        <w:t>denne.</w:t>
      </w:r>
    </w:p>
    <w:p w:rsidR="009044DF" w:rsidRPr="00ED7F0F" w:rsidRDefault="009044DF" w:rsidP="00122C9F">
      <w:pPr>
        <w:numPr>
          <w:ilvl w:val="0"/>
          <w:numId w:val="13"/>
        </w:numPr>
        <w:tabs>
          <w:tab w:val="clear" w:pos="567"/>
        </w:tabs>
        <w:spacing w:after="5" w:line="248" w:lineRule="auto"/>
        <w:ind w:hanging="568"/>
      </w:pPr>
      <w:r w:rsidRPr="00ED7F0F">
        <w:t xml:space="preserve">20 mg denne u pacientov užívajúcich </w:t>
      </w:r>
      <w:r w:rsidR="00122C9F" w:rsidRPr="00ED7F0F">
        <w:t xml:space="preserve">tabletu </w:t>
      </w:r>
      <w:r w:rsidRPr="00ED7F0F">
        <w:t>Dasatinib</w:t>
      </w:r>
      <w:r w:rsidR="00801F9A" w:rsidRPr="00ED7F0F">
        <w:t>u</w:t>
      </w:r>
      <w:r w:rsidRPr="00ED7F0F">
        <w:t xml:space="preserve"> Mylan 100 mg denne.</w:t>
      </w:r>
    </w:p>
    <w:p w:rsidR="009044DF" w:rsidRPr="00ED7F0F" w:rsidRDefault="009044DF" w:rsidP="00122C9F">
      <w:pPr>
        <w:numPr>
          <w:ilvl w:val="0"/>
          <w:numId w:val="13"/>
        </w:numPr>
        <w:tabs>
          <w:tab w:val="clear" w:pos="567"/>
        </w:tabs>
        <w:spacing w:after="5" w:line="248" w:lineRule="auto"/>
        <w:ind w:hanging="568"/>
      </w:pPr>
      <w:r w:rsidRPr="00ED7F0F">
        <w:t xml:space="preserve">20 mg denne u pacientov užívajúcich </w:t>
      </w:r>
      <w:r w:rsidR="00122C9F" w:rsidRPr="00ED7F0F">
        <w:t xml:space="preserve">tabletu </w:t>
      </w:r>
      <w:r w:rsidRPr="00ED7F0F">
        <w:t>Dasatinib</w:t>
      </w:r>
      <w:r w:rsidR="00801F9A" w:rsidRPr="00ED7F0F">
        <w:t>u</w:t>
      </w:r>
      <w:r w:rsidRPr="00ED7F0F">
        <w:t xml:space="preserve"> Mylan 70 mg denne.</w:t>
      </w:r>
    </w:p>
    <w:p w:rsidR="009044DF" w:rsidRPr="00ED7F0F" w:rsidRDefault="009044DF" w:rsidP="00122C9F">
      <w:pPr>
        <w:spacing w:line="259" w:lineRule="auto"/>
        <w:ind w:left="34"/>
      </w:pPr>
    </w:p>
    <w:p w:rsidR="009044DF" w:rsidRPr="00ED7F0F" w:rsidRDefault="009044DF" w:rsidP="00122C9F">
      <w:pPr>
        <w:ind w:left="29"/>
      </w:pPr>
      <w:r w:rsidRPr="00ED7F0F">
        <w:t xml:space="preserve">U pacientov užívajúcich </w:t>
      </w:r>
      <w:r w:rsidR="000B173F" w:rsidRPr="00ED7F0F">
        <w:t>dasatinib</w:t>
      </w:r>
      <w:r w:rsidRPr="00ED7F0F">
        <w:t xml:space="preserve"> </w:t>
      </w:r>
      <w:r w:rsidR="000B173F" w:rsidRPr="00ED7F0F">
        <w:t xml:space="preserve">v dávke </w:t>
      </w:r>
      <w:r w:rsidRPr="00ED7F0F">
        <w:t xml:space="preserve">60 mg alebo 40 mg denne, zvážte prerušenie podávania </w:t>
      </w:r>
      <w:r w:rsidR="000B173F" w:rsidRPr="00ED7F0F">
        <w:t>d</w:t>
      </w:r>
      <w:r w:rsidRPr="00ED7F0F">
        <w:t xml:space="preserve">asatinibu pokým sa neukončí liečba inhibítorom CYP3A4 alebo prestavenie na nižšiu dávku </w:t>
      </w:r>
      <w:r w:rsidR="0025376C" w:rsidRPr="00ED7F0F">
        <w:t>v</w:t>
      </w:r>
      <w:r w:rsidRPr="00ED7F0F">
        <w:t> liekov</w:t>
      </w:r>
      <w:r w:rsidR="0025376C" w:rsidRPr="00ED7F0F">
        <w:t>ej</w:t>
      </w:r>
      <w:r w:rsidRPr="00ED7F0F">
        <w:t xml:space="preserve"> form</w:t>
      </w:r>
      <w:r w:rsidR="0025376C" w:rsidRPr="00ED7F0F">
        <w:t>e</w:t>
      </w:r>
      <w:r w:rsidRPr="00ED7F0F">
        <w:t xml:space="preserve"> prášok na perorálnu suspenziu. Pred opätovným začatím podávania Dasatinibu Mylan ponechajte po ukončení podávania inhibítora obdobie vyplavenia liečiva („washout“) približne 1 týždeň.</w:t>
      </w:r>
    </w:p>
    <w:p w:rsidR="009044DF" w:rsidRPr="00ED7F0F" w:rsidRDefault="009044DF" w:rsidP="00122C9F">
      <w:pPr>
        <w:spacing w:line="259" w:lineRule="auto"/>
        <w:ind w:left="34"/>
      </w:pPr>
    </w:p>
    <w:p w:rsidR="009044DF" w:rsidRPr="00ED7F0F" w:rsidRDefault="009044DF" w:rsidP="00122C9F">
      <w:pPr>
        <w:ind w:left="29"/>
      </w:pPr>
      <w:r w:rsidRPr="00ED7F0F">
        <w:t xml:space="preserve">Predpokladá sa, že tieto znížené dávky </w:t>
      </w:r>
      <w:r w:rsidR="00550A9D" w:rsidRPr="00ED7F0F">
        <w:t xml:space="preserve">dasatinibu </w:t>
      </w:r>
      <w:r w:rsidRPr="00ED7F0F">
        <w:t>upravia plochu pod krivkou (AUC, area under the curve) na rozsah pozorovaný bez inhibítorov CYP3A4; klinické údaje s</w:t>
      </w:r>
      <w:r w:rsidR="00550A9D" w:rsidRPr="00ED7F0F">
        <w:t> </w:t>
      </w:r>
      <w:r w:rsidRPr="00ED7F0F">
        <w:t>týmito úpravami dávok u</w:t>
      </w:r>
      <w:r w:rsidR="00550A9D" w:rsidRPr="00ED7F0F">
        <w:t> </w:t>
      </w:r>
      <w:r w:rsidRPr="00ED7F0F">
        <w:t xml:space="preserve">pacientov, ktorí užívajú silné inhibítory CYP3A4 však nie sú dostupné. Ak po znížení dávky </w:t>
      </w:r>
      <w:r w:rsidR="00550A9D" w:rsidRPr="00ED7F0F">
        <w:t xml:space="preserve">dasatinib </w:t>
      </w:r>
      <w:r w:rsidRPr="00ED7F0F">
        <w:t xml:space="preserve">nie je tolerovaný, buď ukončite liečbu silným inhibítorom CYP3A4 alebo prerušte liečbu </w:t>
      </w:r>
      <w:r w:rsidR="00550A9D" w:rsidRPr="00ED7F0F">
        <w:t xml:space="preserve">dasatinibom </w:t>
      </w:r>
      <w:r w:rsidRPr="00ED7F0F">
        <w:t xml:space="preserve">pokým sa neukončí liečba inhibítorom. Pred zvýšením dávky </w:t>
      </w:r>
      <w:r w:rsidR="00550A9D" w:rsidRPr="00ED7F0F">
        <w:t xml:space="preserve">dasatinibu </w:t>
      </w:r>
      <w:r w:rsidRPr="00ED7F0F">
        <w:t>ponechajte po ukončení podávania inhibítora obdobie vyplavenia liečiva („washout“) približne 1 týždeň.</w:t>
      </w:r>
    </w:p>
    <w:p w:rsidR="009044DF" w:rsidRPr="00ED7F0F" w:rsidRDefault="009044DF" w:rsidP="00122C9F">
      <w:pPr>
        <w:spacing w:line="259" w:lineRule="auto"/>
        <w:ind w:left="34"/>
      </w:pPr>
    </w:p>
    <w:p w:rsidR="00550A9D" w:rsidRPr="00ED7F0F" w:rsidRDefault="009044DF" w:rsidP="00122C9F">
      <w:pPr>
        <w:pStyle w:val="Nadpis2"/>
        <w:ind w:left="29"/>
      </w:pPr>
      <w:r w:rsidRPr="00ED7F0F">
        <w:t>Osobitné populácie</w:t>
      </w:r>
    </w:p>
    <w:p w:rsidR="009044DF" w:rsidRPr="00ED7F0F" w:rsidRDefault="009044DF" w:rsidP="00122C9F">
      <w:pPr>
        <w:pStyle w:val="Nadpis2"/>
        <w:ind w:left="29"/>
      </w:pPr>
      <w:r w:rsidRPr="00ED7F0F">
        <w:rPr>
          <w:i/>
        </w:rPr>
        <w:t>Starší</w:t>
      </w:r>
    </w:p>
    <w:p w:rsidR="009044DF" w:rsidRPr="00ED7F0F" w:rsidRDefault="009044DF" w:rsidP="00122C9F">
      <w:pPr>
        <w:ind w:left="29"/>
      </w:pPr>
      <w:r w:rsidRPr="00ED7F0F">
        <w:t>U</w:t>
      </w:r>
      <w:r w:rsidR="00550A9D" w:rsidRPr="00ED7F0F">
        <w:t> </w:t>
      </w:r>
      <w:r w:rsidRPr="00ED7F0F">
        <w:t>týchto pacientov sa nepozorovali žiadne klinicky významné farmakokinetické rozdiely súvisiace s</w:t>
      </w:r>
      <w:r w:rsidR="00550A9D" w:rsidRPr="00ED7F0F">
        <w:t> </w:t>
      </w:r>
      <w:r w:rsidRPr="00ED7F0F">
        <w:t>vekom. U</w:t>
      </w:r>
      <w:r w:rsidR="00550A9D" w:rsidRPr="00ED7F0F">
        <w:t> </w:t>
      </w:r>
      <w:r w:rsidRPr="00ED7F0F">
        <w:t>starších ľudí nie je potrebné osobitné odporúčanie dávkovania.</w:t>
      </w:r>
    </w:p>
    <w:p w:rsidR="009044DF" w:rsidRPr="00ED7F0F" w:rsidRDefault="009044DF" w:rsidP="00122C9F">
      <w:pPr>
        <w:spacing w:line="259" w:lineRule="auto"/>
        <w:ind w:left="34"/>
      </w:pPr>
    </w:p>
    <w:p w:rsidR="009044DF" w:rsidRPr="00ED7F0F" w:rsidRDefault="009044DF" w:rsidP="00122C9F">
      <w:pPr>
        <w:spacing w:line="249" w:lineRule="auto"/>
        <w:ind w:left="29"/>
      </w:pPr>
      <w:r w:rsidRPr="00ED7F0F">
        <w:rPr>
          <w:i/>
          <w:u w:val="single" w:color="000000"/>
        </w:rPr>
        <w:t>Porucha funkcie pečene</w:t>
      </w:r>
    </w:p>
    <w:p w:rsidR="009044DF" w:rsidRPr="00ED7F0F" w:rsidRDefault="009044DF" w:rsidP="00122C9F">
      <w:pPr>
        <w:ind w:left="29"/>
      </w:pPr>
      <w:r w:rsidRPr="00ED7F0F">
        <w:t>Pacienti s</w:t>
      </w:r>
      <w:r w:rsidR="00550A9D" w:rsidRPr="00ED7F0F">
        <w:t> </w:t>
      </w:r>
      <w:r w:rsidRPr="00ED7F0F">
        <w:t xml:space="preserve">ľahkou, stredne ťažkou alebo ťažkou poruchou funkcie pečene môžu dostávať odporúčanú začiatočnú dávku. </w:t>
      </w:r>
      <w:r w:rsidR="00550A9D" w:rsidRPr="00ED7F0F">
        <w:t xml:space="preserve">Dasatinib Mylan </w:t>
      </w:r>
      <w:r w:rsidRPr="00ED7F0F">
        <w:t>sa však musí používať</w:t>
      </w:r>
      <w:r w:rsidR="0025376C" w:rsidRPr="00ED7F0F">
        <w:t xml:space="preserve"> s</w:t>
      </w:r>
      <w:r w:rsidRPr="00ED7F0F">
        <w:t xml:space="preserve"> opatrn</w:t>
      </w:r>
      <w:r w:rsidR="0025376C" w:rsidRPr="00ED7F0F">
        <w:t>osťou</w:t>
      </w:r>
      <w:r w:rsidRPr="00ED7F0F">
        <w:t xml:space="preserve"> u</w:t>
      </w:r>
      <w:r w:rsidR="00550A9D" w:rsidRPr="00ED7F0F">
        <w:t> </w:t>
      </w:r>
      <w:r w:rsidRPr="00ED7F0F">
        <w:t>pacientov s</w:t>
      </w:r>
      <w:r w:rsidR="00550A9D" w:rsidRPr="00ED7F0F">
        <w:t> </w:t>
      </w:r>
      <w:r w:rsidRPr="00ED7F0F">
        <w:t>poruchou funkcie pečene (pozri časť</w:t>
      </w:r>
      <w:r w:rsidR="00550A9D" w:rsidRPr="00ED7F0F">
        <w:t> </w:t>
      </w:r>
      <w:r w:rsidRPr="00ED7F0F">
        <w:t>5.2).</w:t>
      </w:r>
    </w:p>
    <w:p w:rsidR="009044DF" w:rsidRPr="00ED7F0F" w:rsidRDefault="009044DF" w:rsidP="00122C9F">
      <w:pPr>
        <w:spacing w:line="259" w:lineRule="auto"/>
        <w:ind w:left="34"/>
      </w:pPr>
    </w:p>
    <w:p w:rsidR="009044DF" w:rsidRPr="00ED7F0F" w:rsidRDefault="009044DF" w:rsidP="00122C9F">
      <w:pPr>
        <w:spacing w:line="249" w:lineRule="auto"/>
        <w:ind w:left="29"/>
      </w:pPr>
      <w:r w:rsidRPr="00ED7F0F">
        <w:rPr>
          <w:i/>
          <w:u w:val="single" w:color="000000"/>
        </w:rPr>
        <w:t>Porucha funkcie obličiek</w:t>
      </w:r>
    </w:p>
    <w:p w:rsidR="009044DF" w:rsidRPr="00ED7F0F" w:rsidRDefault="009044DF" w:rsidP="00122C9F">
      <w:pPr>
        <w:ind w:left="29"/>
      </w:pPr>
      <w:r w:rsidRPr="00ED7F0F">
        <w:t xml:space="preserve">Neuskutočnili sa žiadne klinické štúdie s </w:t>
      </w:r>
      <w:r w:rsidR="00550A9D" w:rsidRPr="00ED7F0F">
        <w:t xml:space="preserve">dasatinibom </w:t>
      </w:r>
      <w:r w:rsidRPr="00ED7F0F">
        <w:t>u</w:t>
      </w:r>
      <w:r w:rsidR="00550A9D" w:rsidRPr="00ED7F0F">
        <w:t> </w:t>
      </w:r>
      <w:r w:rsidRPr="00ED7F0F">
        <w:t>pacientov so zníženou funkciou obličiek (zo štúdie pacientov s</w:t>
      </w:r>
      <w:r w:rsidR="00550A9D" w:rsidRPr="00ED7F0F">
        <w:t> </w:t>
      </w:r>
      <w:r w:rsidRPr="00ED7F0F">
        <w:t>novodiagnostikovanou chronickou fázou CML boli vylúčení pacienti s</w:t>
      </w:r>
      <w:r w:rsidR="00550A9D" w:rsidRPr="00ED7F0F">
        <w:t> </w:t>
      </w:r>
      <w:r w:rsidRPr="00ED7F0F">
        <w:t>koncentráciou kreatinínu v</w:t>
      </w:r>
      <w:r w:rsidR="00550A9D" w:rsidRPr="00ED7F0F">
        <w:t> </w:t>
      </w:r>
      <w:r w:rsidRPr="00ED7F0F">
        <w:t>sére &gt;</w:t>
      </w:r>
      <w:r w:rsidR="00550A9D" w:rsidRPr="00ED7F0F">
        <w:t> </w:t>
      </w:r>
      <w:r w:rsidRPr="00ED7F0F">
        <w:t>3-násobok hornej hranice normálneho rozpätia a</w:t>
      </w:r>
      <w:r w:rsidR="00550A9D" w:rsidRPr="00ED7F0F">
        <w:t> </w:t>
      </w:r>
      <w:r w:rsidRPr="00ED7F0F">
        <w:t>zo štúdií pacientov s</w:t>
      </w:r>
      <w:r w:rsidR="00550A9D" w:rsidRPr="00ED7F0F">
        <w:t> </w:t>
      </w:r>
      <w:r w:rsidRPr="00ED7F0F">
        <w:t>chronickou fázou CML s</w:t>
      </w:r>
      <w:r w:rsidR="00550A9D" w:rsidRPr="00ED7F0F">
        <w:t> </w:t>
      </w:r>
      <w:r w:rsidRPr="00ED7F0F">
        <w:t>rezistenciou alebo intoleranciou na predošlú liečbu imatinibom boli vylúčení pacienti s</w:t>
      </w:r>
      <w:r w:rsidR="00550A9D" w:rsidRPr="00ED7F0F">
        <w:t> </w:t>
      </w:r>
      <w:r w:rsidRPr="00ED7F0F">
        <w:t>koncentráciou kreatinínu v</w:t>
      </w:r>
      <w:r w:rsidR="00550A9D" w:rsidRPr="00ED7F0F">
        <w:t> </w:t>
      </w:r>
      <w:r w:rsidRPr="00ED7F0F">
        <w:t>sére &gt;</w:t>
      </w:r>
      <w:r w:rsidR="00550A9D" w:rsidRPr="00ED7F0F">
        <w:t> </w:t>
      </w:r>
      <w:r w:rsidRPr="00ED7F0F">
        <w:t>1,5-násobok hornej hranice normálneho rozpätia). Vzhľadom na to, že renálny klírens dasatinibu a jeho metabolitov je &lt;</w:t>
      </w:r>
      <w:r w:rsidR="00550A9D" w:rsidRPr="00ED7F0F">
        <w:t> </w:t>
      </w:r>
      <w:r w:rsidRPr="00ED7F0F">
        <w:t>4</w:t>
      </w:r>
      <w:r w:rsidR="00550A9D" w:rsidRPr="00ED7F0F">
        <w:t> </w:t>
      </w:r>
      <w:r w:rsidRPr="00ED7F0F">
        <w:t>%, u</w:t>
      </w:r>
      <w:r w:rsidR="00550A9D" w:rsidRPr="00ED7F0F">
        <w:t> </w:t>
      </w:r>
      <w:r w:rsidRPr="00ED7F0F">
        <w:t>pacientov s</w:t>
      </w:r>
      <w:r w:rsidR="00550A9D" w:rsidRPr="00ED7F0F">
        <w:t> </w:t>
      </w:r>
      <w:r w:rsidRPr="00ED7F0F">
        <w:t>renálnou insuficienciou sa neočakáva pokles celkového telesného klírensu.</w:t>
      </w:r>
    </w:p>
    <w:p w:rsidR="009044DF" w:rsidRPr="00ED7F0F" w:rsidRDefault="009044DF" w:rsidP="00122C9F">
      <w:pPr>
        <w:spacing w:line="259" w:lineRule="auto"/>
        <w:ind w:left="34"/>
      </w:pPr>
    </w:p>
    <w:p w:rsidR="009044DF" w:rsidRPr="00ED7F0F" w:rsidRDefault="009044DF" w:rsidP="00122C9F">
      <w:pPr>
        <w:pStyle w:val="Nadpis2"/>
        <w:ind w:left="29"/>
      </w:pPr>
      <w:r w:rsidRPr="00ED7F0F">
        <w:t>Spôsob podávania</w:t>
      </w:r>
    </w:p>
    <w:p w:rsidR="009044DF" w:rsidRPr="00ED7F0F" w:rsidRDefault="00550A9D" w:rsidP="00122C9F">
      <w:pPr>
        <w:ind w:left="29"/>
      </w:pPr>
      <w:r w:rsidRPr="00ED7F0F">
        <w:t xml:space="preserve">Dasatinib Mylan </w:t>
      </w:r>
      <w:r w:rsidR="009044DF" w:rsidRPr="00ED7F0F">
        <w:t>sa musí podáva perorálne.</w:t>
      </w:r>
    </w:p>
    <w:p w:rsidR="009044DF" w:rsidRPr="00ED7F0F" w:rsidRDefault="009044DF" w:rsidP="00122C9F">
      <w:pPr>
        <w:ind w:left="29"/>
      </w:pPr>
      <w:r w:rsidRPr="00ED7F0F">
        <w:t>Filmom obalené tablety sa nesmú drviť, deliť ani žuvať, aby sa zachovala konzistencia dávkovania a minimalizovalo sa riziko dermálnej expozície, musia sa prehltnúť vcelku. Filmom obalené tablety sa nesmú rozpúšťať, pretože expozícia u</w:t>
      </w:r>
      <w:r w:rsidR="00550A9D" w:rsidRPr="00ED7F0F">
        <w:t> </w:t>
      </w:r>
      <w:r w:rsidRPr="00ED7F0F">
        <w:t>pacientov užívajúcich rozpustenú tabletu je nižšia ako u</w:t>
      </w:r>
      <w:r w:rsidR="00550A9D" w:rsidRPr="00ED7F0F">
        <w:t> </w:t>
      </w:r>
      <w:r w:rsidRPr="00ED7F0F">
        <w:t xml:space="preserve">tých, ktorí prehĺtajú celú tabletu. </w:t>
      </w:r>
      <w:r w:rsidR="00550A9D" w:rsidRPr="00ED7F0F">
        <w:t xml:space="preserve">Dasatinib </w:t>
      </w:r>
      <w:r w:rsidRPr="00ED7F0F">
        <w:t>prášok na perorálnu suspenziu je dostupný aj pre pediatrických pacientov s</w:t>
      </w:r>
      <w:r w:rsidR="00550A9D" w:rsidRPr="00ED7F0F">
        <w:t> </w:t>
      </w:r>
      <w:r w:rsidRPr="00ED7F0F">
        <w:t>Ph+ CML-CP a ALL s Ph+ a dospelých pacientov s</w:t>
      </w:r>
      <w:r w:rsidR="00550A9D" w:rsidRPr="00ED7F0F">
        <w:t> </w:t>
      </w:r>
      <w:r w:rsidRPr="00ED7F0F">
        <w:t>CML-CP, ktorí nevedia tablety prehĺtať.</w:t>
      </w:r>
    </w:p>
    <w:p w:rsidR="009044DF" w:rsidRPr="00ED7F0F" w:rsidRDefault="00550A9D" w:rsidP="00122C9F">
      <w:pPr>
        <w:ind w:left="29"/>
      </w:pPr>
      <w:r w:rsidRPr="00ED7F0F">
        <w:t xml:space="preserve">Dasatinib Mylan </w:t>
      </w:r>
      <w:r w:rsidR="009044DF" w:rsidRPr="00ED7F0F">
        <w:t>sa môže užívať s</w:t>
      </w:r>
      <w:r w:rsidRPr="00ED7F0F">
        <w:t> </w:t>
      </w:r>
      <w:r w:rsidR="009044DF" w:rsidRPr="00ED7F0F">
        <w:t xml:space="preserve">jedlom alebo bez jedla a má sa užívať </w:t>
      </w:r>
      <w:r w:rsidR="00B84B7A" w:rsidRPr="00ED7F0F">
        <w:t>pravidelne</w:t>
      </w:r>
      <w:r w:rsidR="009044DF" w:rsidRPr="00ED7F0F">
        <w:t xml:space="preserve"> buď ráno alebo večer. </w:t>
      </w:r>
      <w:r w:rsidRPr="00ED7F0F">
        <w:t xml:space="preserve">Dasatinib Mylan </w:t>
      </w:r>
      <w:r w:rsidR="009044DF" w:rsidRPr="00ED7F0F">
        <w:t>sa nesmie užívať s</w:t>
      </w:r>
      <w:r w:rsidRPr="00ED7F0F">
        <w:t> </w:t>
      </w:r>
      <w:r w:rsidR="009044DF" w:rsidRPr="00ED7F0F">
        <w:t>grapefruitom alebo grapefruitovým džúsom (pozri časť</w:t>
      </w:r>
      <w:r w:rsidRPr="00ED7F0F">
        <w:t> </w:t>
      </w:r>
      <w:r w:rsidR="009044DF" w:rsidRPr="00ED7F0F">
        <w:t>4.5).</w:t>
      </w:r>
    </w:p>
    <w:p w:rsidR="00812D16" w:rsidRPr="00ED7F0F" w:rsidRDefault="00812D16" w:rsidP="00122C9F">
      <w:pPr>
        <w:spacing w:line="240" w:lineRule="auto"/>
      </w:pPr>
    </w:p>
    <w:p w:rsidR="00812D16" w:rsidRPr="00ED7F0F" w:rsidRDefault="005D45FC" w:rsidP="00122C9F">
      <w:pPr>
        <w:keepNext/>
        <w:numPr>
          <w:ilvl w:val="1"/>
          <w:numId w:val="5"/>
        </w:numPr>
        <w:spacing w:line="240" w:lineRule="auto"/>
        <w:outlineLvl w:val="0"/>
      </w:pPr>
      <w:r w:rsidRPr="00ED7F0F">
        <w:rPr>
          <w:b/>
        </w:rPr>
        <w:t>Kontraindikácie</w:t>
      </w:r>
    </w:p>
    <w:p w:rsidR="00812D16" w:rsidRPr="00ED7F0F" w:rsidRDefault="00812D16" w:rsidP="00122C9F">
      <w:pPr>
        <w:keepNext/>
        <w:spacing w:line="240" w:lineRule="auto"/>
      </w:pPr>
    </w:p>
    <w:p w:rsidR="00812D16" w:rsidRPr="00ED7F0F" w:rsidRDefault="007F7CF8" w:rsidP="00122C9F">
      <w:pPr>
        <w:spacing w:line="240" w:lineRule="auto"/>
      </w:pPr>
      <w:r w:rsidRPr="00ED7F0F">
        <w:t>Precitlivenosť na liečivo alebo na ktorúkoľvek z pomocných látok uvedených v časti 6.1.</w:t>
      </w:r>
    </w:p>
    <w:p w:rsidR="007F7CF8" w:rsidRPr="00ED7F0F" w:rsidRDefault="007F7CF8" w:rsidP="00122C9F">
      <w:pPr>
        <w:spacing w:line="240" w:lineRule="auto"/>
      </w:pPr>
    </w:p>
    <w:p w:rsidR="00812D16" w:rsidRPr="00ED7F0F" w:rsidRDefault="005D45FC" w:rsidP="00122C9F">
      <w:pPr>
        <w:keepNext/>
        <w:numPr>
          <w:ilvl w:val="1"/>
          <w:numId w:val="5"/>
        </w:numPr>
        <w:spacing w:line="240" w:lineRule="auto"/>
        <w:outlineLvl w:val="0"/>
        <w:rPr>
          <w:b/>
        </w:rPr>
      </w:pPr>
      <w:r w:rsidRPr="00ED7F0F">
        <w:rPr>
          <w:b/>
        </w:rPr>
        <w:t>Osobitné upozornenia a opatrenia pri používaní</w:t>
      </w:r>
    </w:p>
    <w:p w:rsidR="00812D16" w:rsidRPr="00ED7F0F" w:rsidRDefault="00812D16" w:rsidP="00122C9F">
      <w:pPr>
        <w:keepNext/>
        <w:spacing w:line="240" w:lineRule="auto"/>
        <w:ind w:left="567" w:hanging="567"/>
      </w:pPr>
    </w:p>
    <w:p w:rsidR="007F7CF8" w:rsidRPr="00ED7F0F" w:rsidRDefault="007F7CF8" w:rsidP="00122C9F">
      <w:pPr>
        <w:pStyle w:val="Nadpis2"/>
        <w:ind w:left="29"/>
      </w:pPr>
      <w:r w:rsidRPr="00ED7F0F">
        <w:t>Klinicky významné interakcie</w:t>
      </w:r>
    </w:p>
    <w:p w:rsidR="007F7CF8" w:rsidRPr="00ED7F0F" w:rsidRDefault="007F7CF8" w:rsidP="00122C9F">
      <w:pPr>
        <w:ind w:left="29"/>
      </w:pPr>
      <w:r w:rsidRPr="00ED7F0F">
        <w:t>Dasatinib je substrátom a inhibítorom cytochrómu P450 (CYP) 3A4. Z tohto dôvodu existuje možnosť interakcie s inými súbežne podávanými liekmi, ktoré sú metabolizované prevažne prostredníctvom CYP3A4 alebo ktoré modulujú aktivitu CYP3A4 (pozri časť 4.5).</w:t>
      </w:r>
    </w:p>
    <w:p w:rsidR="007F7CF8" w:rsidRPr="00ED7F0F" w:rsidRDefault="007F7CF8" w:rsidP="00122C9F">
      <w:pPr>
        <w:spacing w:line="259" w:lineRule="auto"/>
        <w:ind w:left="34"/>
      </w:pPr>
    </w:p>
    <w:p w:rsidR="007F7CF8" w:rsidRPr="00ED7F0F" w:rsidRDefault="007F7CF8" w:rsidP="00122C9F">
      <w:pPr>
        <w:ind w:left="29"/>
      </w:pPr>
      <w:r w:rsidRPr="00ED7F0F">
        <w:t>Súbežné užívanie dasatinibu a liekov alebo látok, ktoré silne inhibujú CYP3A4 (napr. ketokonazol, itrakonazol, erytromycín, klaritromycín, ritonavir, telitromycín, grapefruitový džús) môže zvýšiť expozíciu dasatinibu. Z tohto dôvodu sa u pacientov liečených dasatinibom neodporúča súbežné podávanie silného inhibítora CYP3A4 (pozri časť 4.5).</w:t>
      </w:r>
    </w:p>
    <w:p w:rsidR="007F7CF8" w:rsidRPr="00ED7F0F" w:rsidRDefault="007F7CF8" w:rsidP="00122C9F">
      <w:pPr>
        <w:spacing w:line="259" w:lineRule="auto"/>
        <w:ind w:left="34"/>
      </w:pPr>
    </w:p>
    <w:p w:rsidR="007F7CF8" w:rsidRPr="00ED7F0F" w:rsidRDefault="007F7CF8" w:rsidP="00122C9F">
      <w:pPr>
        <w:ind w:left="29"/>
      </w:pPr>
      <w:r w:rsidRPr="00ED7F0F">
        <w:t xml:space="preserve">Súbežné užívanie dasatinibu a liekov, ktoré indukujú CYP3A4 (napr. dexametazón, fenytoín, karbamazepín, rifampicín, fenobarbital alebo rastlinné lieky obsahujúce </w:t>
      </w:r>
      <w:r w:rsidRPr="00ED7F0F">
        <w:rPr>
          <w:i/>
        </w:rPr>
        <w:t>Hypericum perforatum</w:t>
      </w:r>
      <w:r w:rsidRPr="00ED7F0F">
        <w:t xml:space="preserve">, známy aj ako </w:t>
      </w:r>
      <w:r w:rsidR="00B84B7A" w:rsidRPr="00ED7F0F">
        <w:t>ľ</w:t>
      </w:r>
      <w:r w:rsidRPr="00ED7F0F">
        <w:t>ubovník bodkovaný), môže značne znížiť expozíciu dasatinibu, a tým prípadne zvýšiť riziko zlyhania liečby. Preto sa u pacientov liečených dasatinibom má zvoliť súbežné podávanie alternatívnych liekov s menším potenciálom pre indukciu CYP3A4 (pozri časť 4.5).</w:t>
      </w:r>
    </w:p>
    <w:p w:rsidR="007F7CF8" w:rsidRPr="00ED7F0F" w:rsidRDefault="007F7CF8" w:rsidP="00122C9F">
      <w:pPr>
        <w:spacing w:line="259" w:lineRule="auto"/>
        <w:ind w:left="34"/>
      </w:pPr>
    </w:p>
    <w:p w:rsidR="007F7CF8" w:rsidRPr="00ED7F0F" w:rsidRDefault="007F7CF8" w:rsidP="00122C9F">
      <w:pPr>
        <w:ind w:left="29"/>
      </w:pPr>
      <w:r w:rsidRPr="00ED7F0F">
        <w:t>Súbežné užívanie dasatinibu a substrátu CYP3A4 môže zvýšiť expozíciu substrátu CYP3A4. Z tohto dôvodu je potrebná opatrnosť, ak sa dasatinib podáva súbežne so substrátmi CYP3A4 s úzk</w:t>
      </w:r>
      <w:r w:rsidR="00B84B7A" w:rsidRPr="00ED7F0F">
        <w:t>ym</w:t>
      </w:r>
      <w:r w:rsidRPr="00ED7F0F">
        <w:t xml:space="preserve"> terapeutick</w:t>
      </w:r>
      <w:r w:rsidR="00B84B7A" w:rsidRPr="00ED7F0F">
        <w:t>ým</w:t>
      </w:r>
      <w:r w:rsidRPr="00ED7F0F">
        <w:t xml:space="preserve"> </w:t>
      </w:r>
      <w:r w:rsidR="00B84B7A" w:rsidRPr="00ED7F0F">
        <w:t>indexom</w:t>
      </w:r>
      <w:r w:rsidRPr="00ED7F0F">
        <w:t>, ako sú astemizol, terfenadín, cisaprid, pimozid, chinidín, bepridil alebo námeľové alkaloidy (ergotamín, dihydroergotamín) (pozri časť 4.5).</w:t>
      </w:r>
    </w:p>
    <w:p w:rsidR="007F7CF8" w:rsidRPr="00ED7F0F" w:rsidRDefault="007F7CF8" w:rsidP="00122C9F">
      <w:pPr>
        <w:spacing w:line="259" w:lineRule="auto"/>
        <w:ind w:left="34"/>
      </w:pPr>
    </w:p>
    <w:p w:rsidR="007F7CF8" w:rsidRPr="00ED7F0F" w:rsidRDefault="007F7CF8" w:rsidP="00122C9F">
      <w:pPr>
        <w:ind w:left="29"/>
      </w:pPr>
      <w:r w:rsidRPr="00ED7F0F">
        <w:t>Súbežné užívanie dasatinibu a</w:t>
      </w:r>
      <w:r w:rsidR="00B84B7A" w:rsidRPr="00ED7F0F">
        <w:t xml:space="preserve"> antagonistu </w:t>
      </w:r>
      <w:r w:rsidRPr="00ED7F0F">
        <w:t>histamínového</w:t>
      </w:r>
      <w:r w:rsidR="00B84B7A" w:rsidRPr="00ED7F0F">
        <w:t xml:space="preserve"> receptora</w:t>
      </w:r>
      <w:r w:rsidRPr="00ED7F0F">
        <w:t xml:space="preserve"> </w:t>
      </w:r>
      <w:r w:rsidR="00B84B7A" w:rsidRPr="00ED7F0F">
        <w:t xml:space="preserve">typu 2 </w:t>
      </w:r>
      <w:r w:rsidRPr="00ED7F0F">
        <w:t>(H</w:t>
      </w:r>
      <w:r w:rsidRPr="00ED7F0F">
        <w:rPr>
          <w:vertAlign w:val="subscript"/>
        </w:rPr>
        <w:t>2</w:t>
      </w:r>
      <w:r w:rsidRPr="00ED7F0F">
        <w:t>) (napr. famotidínu), inhibítora protónovej pumpy (napr. omeprazolu) alebo hydroxidu hlinitého/hydroxidu horečnatého môže znížiť expozíciu dasatinibu. Preto sa H</w:t>
      </w:r>
      <w:r w:rsidRPr="00ED7F0F">
        <w:rPr>
          <w:vertAlign w:val="subscript"/>
        </w:rPr>
        <w:t>2</w:t>
      </w:r>
      <w:r w:rsidRPr="00ED7F0F">
        <w:t xml:space="preserve">-antagonisty a inhibítory protónovej pumpy neodporúčajú a </w:t>
      </w:r>
      <w:r w:rsidR="00B84B7A" w:rsidRPr="00ED7F0F">
        <w:t>lieky</w:t>
      </w:r>
      <w:r w:rsidRPr="00ED7F0F">
        <w:t xml:space="preserve"> s obsahom hydroxidu hlinitého/hydroxidu horečnatého sa majú podať 2 hodiny pred alebo 2 hodiny po podaní dasatinibu (pozri časť 4.5).</w:t>
      </w:r>
    </w:p>
    <w:p w:rsidR="007F7CF8" w:rsidRPr="00ED7F0F" w:rsidRDefault="007F7CF8" w:rsidP="00122C9F">
      <w:pPr>
        <w:spacing w:line="259" w:lineRule="auto"/>
        <w:ind w:left="34"/>
      </w:pPr>
    </w:p>
    <w:p w:rsidR="007F7CF8" w:rsidRPr="00ED7F0F" w:rsidRDefault="00351AEC" w:rsidP="00122C9F">
      <w:pPr>
        <w:pStyle w:val="Nadpis2"/>
        <w:ind w:left="29"/>
      </w:pPr>
      <w:r w:rsidRPr="00ED7F0F">
        <w:t>Osobitné</w:t>
      </w:r>
      <w:r w:rsidR="007F7CF8" w:rsidRPr="00ED7F0F">
        <w:t xml:space="preserve"> populácie</w:t>
      </w:r>
    </w:p>
    <w:p w:rsidR="007F7CF8" w:rsidRPr="00ED7F0F" w:rsidRDefault="007F7CF8" w:rsidP="00122C9F">
      <w:pPr>
        <w:ind w:left="29"/>
      </w:pPr>
      <w:r w:rsidRPr="00ED7F0F">
        <w:t>Na základe záverov farmakokinetickej štúdie s jednorazovou dávkou, pacienti s ľahkou, stredne ťažkou alebo ťažkou poruchou funkcie pečene môžu dostávať odporúčanú začiatočnú dávku (pozri časť 5.2). Z dôvodu obmedzení klinickej štúdie sa odporúča opatrnosť pri podávaní dasatinibu pacientom s poruchou funkcie pečene.</w:t>
      </w:r>
    </w:p>
    <w:p w:rsidR="007F7CF8" w:rsidRPr="00ED7F0F" w:rsidRDefault="007F7CF8" w:rsidP="00122C9F">
      <w:pPr>
        <w:spacing w:line="259" w:lineRule="auto"/>
        <w:ind w:left="34"/>
      </w:pPr>
    </w:p>
    <w:p w:rsidR="007F7CF8" w:rsidRPr="00ED7F0F" w:rsidRDefault="007F7CF8" w:rsidP="00122C9F">
      <w:pPr>
        <w:pStyle w:val="Nadpis2"/>
        <w:ind w:left="29"/>
      </w:pPr>
      <w:r w:rsidRPr="00ED7F0F">
        <w:t>Významné nežiaduce reakcie</w:t>
      </w:r>
    </w:p>
    <w:p w:rsidR="007F7CF8" w:rsidRPr="00ED7F0F" w:rsidRDefault="007F7CF8" w:rsidP="00122C9F">
      <w:pPr>
        <w:spacing w:line="249" w:lineRule="auto"/>
        <w:ind w:left="29"/>
      </w:pPr>
      <w:r w:rsidRPr="00ED7F0F">
        <w:rPr>
          <w:i/>
          <w:u w:val="single" w:color="000000"/>
        </w:rPr>
        <w:t>Myelosupresia</w:t>
      </w:r>
    </w:p>
    <w:p w:rsidR="007F7CF8" w:rsidRPr="00ED7F0F" w:rsidRDefault="007F7CF8" w:rsidP="00122C9F">
      <w:pPr>
        <w:ind w:left="29"/>
      </w:pPr>
      <w:r w:rsidRPr="00ED7F0F">
        <w:t>Liečba dasatinibom sa spája s anémiou, neutropéniou a trombocytopéniou. Ich výskyt je skorší a častejší u pacientov v pokročilej fáze CML alebo s ALL s Ph+ ako u pacientov v chronickej fáze CML</w:t>
      </w:r>
      <w:r w:rsidRPr="00ED7F0F">
        <w:rPr>
          <w:highlight w:val="lightGray"/>
        </w:rPr>
        <w:t>.</w:t>
      </w:r>
      <w:r w:rsidRPr="00ED7F0F">
        <w:t xml:space="preserve"> U dospelých pacientov s pokročilou fázou CML alebo s ALL s Ph+ liečených dasatinibom </w:t>
      </w:r>
      <w:r w:rsidR="00711019" w:rsidRPr="00ED7F0F">
        <w:t>v</w:t>
      </w:r>
      <w:r w:rsidRPr="00ED7F0F">
        <w:t xml:space="preserve"> monoterapi</w:t>
      </w:r>
      <w:r w:rsidR="00711019" w:rsidRPr="00ED7F0F">
        <w:t>i</w:t>
      </w:r>
      <w:r w:rsidRPr="00ED7F0F">
        <w:t xml:space="preserve"> sa kontrola kompletného krvného obrazu (CBC, complete blood counts) musí vykonávať raz za týždeň počas prvých 2 mesiacov a potom raz za mesiac alebo ak je to klinicky indikované. U dospelých a pediatrických pacientov s chronickou fázou CML sa kontrola kompletného krvného obrazu musí vykonávať raz za 2 týždne počas 12 týždňov, potom raz za 3 mesiace alebo ak je to klinicky indikované. </w:t>
      </w:r>
      <w:r w:rsidR="00711019" w:rsidRPr="00ED7F0F">
        <w:t xml:space="preserve">Myelosupresia je spravidla reverzibilná a zvyčajne je zvládnuteľná dočasným prerušením liečby dasatinibom alebo znížením dávky. </w:t>
      </w:r>
      <w:r w:rsidRPr="00ED7F0F">
        <w:t>U pediatrických pacientov s ALL s Ph+ liečených dasatinibom v</w:t>
      </w:r>
      <w:r w:rsidR="003E28EF" w:rsidRPr="00ED7F0F">
        <w:t> </w:t>
      </w:r>
      <w:r w:rsidRPr="00ED7F0F">
        <w:t>kombinácii s</w:t>
      </w:r>
      <w:r w:rsidR="003E28EF" w:rsidRPr="00ED7F0F">
        <w:t> </w:t>
      </w:r>
      <w:r w:rsidRPr="00ED7F0F">
        <w:t>chemoterapiou sa má kontrola CBC vykonať pred začatím každého bloku chemoterapie a ak je to klinicky indikované. Počas konsolidačných blokov chemoterapie, sa má kontrola CBC vykonať každé 2</w:t>
      </w:r>
      <w:r w:rsidR="003E28EF" w:rsidRPr="00ED7F0F">
        <w:t> </w:t>
      </w:r>
      <w:r w:rsidRPr="00ED7F0F">
        <w:t>dni až do zotavenia (pozri časti</w:t>
      </w:r>
      <w:r w:rsidR="003E28EF" w:rsidRPr="00ED7F0F">
        <w:t> </w:t>
      </w:r>
      <w:r w:rsidRPr="00ED7F0F">
        <w:t xml:space="preserve">4.2 a 4.8). </w:t>
      </w:r>
    </w:p>
    <w:p w:rsidR="007F7CF8" w:rsidRPr="00ED7F0F" w:rsidRDefault="007F7CF8" w:rsidP="00122C9F">
      <w:pPr>
        <w:spacing w:line="259" w:lineRule="auto"/>
        <w:ind w:left="34"/>
      </w:pPr>
    </w:p>
    <w:p w:rsidR="007F7CF8" w:rsidRPr="00ED7F0F" w:rsidRDefault="007F7CF8" w:rsidP="00122C9F">
      <w:pPr>
        <w:tabs>
          <w:tab w:val="left" w:pos="1590"/>
        </w:tabs>
        <w:spacing w:line="249" w:lineRule="auto"/>
        <w:ind w:left="29"/>
      </w:pPr>
      <w:r w:rsidRPr="00ED7F0F">
        <w:rPr>
          <w:i/>
          <w:u w:val="single" w:color="000000"/>
        </w:rPr>
        <w:t>Krvácanie</w:t>
      </w:r>
    </w:p>
    <w:p w:rsidR="007F7CF8" w:rsidRPr="00ED7F0F" w:rsidRDefault="007F7CF8" w:rsidP="00122C9F">
      <w:pPr>
        <w:ind w:left="29"/>
      </w:pPr>
      <w:r w:rsidRPr="00ED7F0F">
        <w:t>U</w:t>
      </w:r>
      <w:r w:rsidR="003E28EF" w:rsidRPr="00ED7F0F">
        <w:t> </w:t>
      </w:r>
      <w:r w:rsidRPr="00ED7F0F">
        <w:t>pacientov s</w:t>
      </w:r>
      <w:r w:rsidR="003E28EF" w:rsidRPr="00ED7F0F">
        <w:t> </w:t>
      </w:r>
      <w:r w:rsidRPr="00ED7F0F">
        <w:t>chronickou fázou CML (n=548) malo 5</w:t>
      </w:r>
      <w:r w:rsidR="003E28EF" w:rsidRPr="00ED7F0F">
        <w:t> </w:t>
      </w:r>
      <w:r w:rsidRPr="00ED7F0F">
        <w:t>pacientov (1</w:t>
      </w:r>
      <w:r w:rsidR="003E28EF" w:rsidRPr="00ED7F0F">
        <w:t> </w:t>
      </w:r>
      <w:r w:rsidRPr="00ED7F0F">
        <w:t>%) užívajúcich dasatinib krvácanie</w:t>
      </w:r>
      <w:r w:rsidR="003E28EF" w:rsidRPr="00ED7F0F">
        <w:t xml:space="preserve"> </w:t>
      </w:r>
      <w:r w:rsidRPr="00ED7F0F">
        <w:t>3. alebo 4. stupňa. V</w:t>
      </w:r>
      <w:r w:rsidR="003E28EF" w:rsidRPr="00ED7F0F">
        <w:t> </w:t>
      </w:r>
      <w:r w:rsidRPr="00ED7F0F">
        <w:t>klinických štúdiách s</w:t>
      </w:r>
      <w:r w:rsidR="003E28EF" w:rsidRPr="00ED7F0F">
        <w:t> </w:t>
      </w:r>
      <w:r w:rsidRPr="00ED7F0F">
        <w:t>pacientmi s</w:t>
      </w:r>
      <w:r w:rsidR="003E28EF" w:rsidRPr="00ED7F0F">
        <w:t> </w:t>
      </w:r>
      <w:r w:rsidRPr="00ED7F0F">
        <w:t xml:space="preserve">pokročilou fázou CML, ktorí užívali odporúčanú dávku </w:t>
      </w:r>
      <w:r w:rsidR="003E28EF" w:rsidRPr="00ED7F0F">
        <w:t>dasatinibu</w:t>
      </w:r>
      <w:r w:rsidRPr="00ED7F0F">
        <w:t xml:space="preserve"> (n=304) sa u</w:t>
      </w:r>
      <w:r w:rsidR="00BD736B" w:rsidRPr="00ED7F0F">
        <w:t> </w:t>
      </w:r>
      <w:r w:rsidRPr="00ED7F0F">
        <w:t>1</w:t>
      </w:r>
      <w:r w:rsidR="00BD736B" w:rsidRPr="00ED7F0F">
        <w:t> </w:t>
      </w:r>
      <w:r w:rsidRPr="00ED7F0F">
        <w:t>% pacientov vyskytlo ťažké krvácanie do centrálneho nervového systému (CNS). Jeden prípad bol smrteľný a spájal sa s</w:t>
      </w:r>
      <w:r w:rsidR="00BD736B" w:rsidRPr="00ED7F0F">
        <w:t> </w:t>
      </w:r>
      <w:r w:rsidRPr="00ED7F0F">
        <w:t>trombocytopéniou 4. stupňa podľa Všeobecných kritérií toxicity (Common Toxicity Criteria, CTC). Gastrointestinálne krvácanie 3. alebo 4.</w:t>
      </w:r>
      <w:r w:rsidR="00BD736B" w:rsidRPr="00ED7F0F">
        <w:t> </w:t>
      </w:r>
      <w:r w:rsidRPr="00ED7F0F">
        <w:t>stupňa sa vyskytlo u</w:t>
      </w:r>
      <w:r w:rsidR="00BD736B" w:rsidRPr="00ED7F0F">
        <w:t> </w:t>
      </w:r>
      <w:r w:rsidRPr="00ED7F0F">
        <w:t>6</w:t>
      </w:r>
      <w:r w:rsidR="00BD736B" w:rsidRPr="00ED7F0F">
        <w:t> </w:t>
      </w:r>
      <w:r w:rsidRPr="00ED7F0F">
        <w:t>% pacientov s</w:t>
      </w:r>
      <w:r w:rsidR="00BD736B" w:rsidRPr="00ED7F0F">
        <w:t> </w:t>
      </w:r>
      <w:r w:rsidRPr="00ED7F0F">
        <w:t>pokročilou fázou CML a</w:t>
      </w:r>
      <w:r w:rsidR="00BD736B" w:rsidRPr="00ED7F0F">
        <w:t> </w:t>
      </w:r>
      <w:r w:rsidRPr="00ED7F0F">
        <w:t>obvykle si vyžadovalo prerušenie liečby a</w:t>
      </w:r>
      <w:r w:rsidR="00BD736B" w:rsidRPr="00ED7F0F">
        <w:t> </w:t>
      </w:r>
      <w:r w:rsidRPr="00ED7F0F">
        <w:t>podanie transfúzií. Krvácanie iného druhu 3.</w:t>
      </w:r>
      <w:r w:rsidR="00BD736B" w:rsidRPr="00ED7F0F">
        <w:t> </w:t>
      </w:r>
      <w:r w:rsidRPr="00ED7F0F">
        <w:t>alebo 4.</w:t>
      </w:r>
      <w:r w:rsidR="00BD736B" w:rsidRPr="00ED7F0F">
        <w:t> </w:t>
      </w:r>
      <w:r w:rsidRPr="00ED7F0F">
        <w:t>stupňa sa vyskytlo u</w:t>
      </w:r>
      <w:r w:rsidR="00BD736B" w:rsidRPr="00ED7F0F">
        <w:t> </w:t>
      </w:r>
      <w:r w:rsidRPr="00ED7F0F">
        <w:t>2</w:t>
      </w:r>
      <w:r w:rsidR="00BD736B" w:rsidRPr="00ED7F0F">
        <w:t> </w:t>
      </w:r>
      <w:r w:rsidRPr="00ED7F0F">
        <w:t>% pacientov s</w:t>
      </w:r>
      <w:r w:rsidR="00BD736B" w:rsidRPr="00ED7F0F">
        <w:t> </w:t>
      </w:r>
      <w:r w:rsidRPr="00ED7F0F">
        <w:t>pokročilou fázou CML. Väčšina nežiaducich reakcií spojených s</w:t>
      </w:r>
      <w:r w:rsidR="00BD736B" w:rsidRPr="00ED7F0F">
        <w:t> </w:t>
      </w:r>
      <w:r w:rsidRPr="00ED7F0F">
        <w:t>krvácaním u</w:t>
      </w:r>
      <w:r w:rsidR="00BD736B" w:rsidRPr="00ED7F0F">
        <w:t> </w:t>
      </w:r>
      <w:r w:rsidRPr="00ED7F0F">
        <w:t>týchto pacientov zvyčajne súvisela s</w:t>
      </w:r>
      <w:r w:rsidR="00BD736B" w:rsidRPr="00ED7F0F">
        <w:t> </w:t>
      </w:r>
      <w:r w:rsidRPr="00ED7F0F">
        <w:t>trombocytopéniou 3.</w:t>
      </w:r>
      <w:r w:rsidR="00BD736B" w:rsidRPr="00ED7F0F">
        <w:t xml:space="preserve"> </w:t>
      </w:r>
      <w:r w:rsidRPr="00ED7F0F">
        <w:t>alebo 4.</w:t>
      </w:r>
      <w:r w:rsidR="00BD736B" w:rsidRPr="00ED7F0F">
        <w:t> </w:t>
      </w:r>
      <w:r w:rsidRPr="00ED7F0F">
        <w:t>stupňa (pozri časť</w:t>
      </w:r>
      <w:r w:rsidR="00BD736B" w:rsidRPr="00ED7F0F">
        <w:t> </w:t>
      </w:r>
      <w:r w:rsidRPr="00ED7F0F">
        <w:t xml:space="preserve">4.8). Okrem toho hodnotenia krvných doštičiek </w:t>
      </w:r>
      <w:r w:rsidRPr="00ED7F0F">
        <w:rPr>
          <w:i/>
        </w:rPr>
        <w:t>in vitro</w:t>
      </w:r>
      <w:r w:rsidRPr="00ED7F0F">
        <w:t xml:space="preserve"> a </w:t>
      </w:r>
      <w:r w:rsidRPr="00ED7F0F">
        <w:rPr>
          <w:i/>
        </w:rPr>
        <w:t>in vivo</w:t>
      </w:r>
      <w:r w:rsidRPr="00ED7F0F">
        <w:t xml:space="preserve"> poukázali na to, že liečba </w:t>
      </w:r>
      <w:r w:rsidR="003E28EF" w:rsidRPr="00ED7F0F">
        <w:t>dasatinibom</w:t>
      </w:r>
      <w:r w:rsidRPr="00ED7F0F">
        <w:t xml:space="preserve"> reverzibilne ovplyvňuje aktiváciu krvných doštičiek.</w:t>
      </w:r>
    </w:p>
    <w:p w:rsidR="007F7CF8" w:rsidRPr="00ED7F0F" w:rsidRDefault="007F7CF8" w:rsidP="00122C9F">
      <w:pPr>
        <w:spacing w:line="259" w:lineRule="auto"/>
        <w:ind w:left="34"/>
      </w:pPr>
    </w:p>
    <w:p w:rsidR="007F7CF8" w:rsidRPr="00ED7F0F" w:rsidRDefault="007F7CF8" w:rsidP="00122C9F">
      <w:pPr>
        <w:ind w:left="29"/>
      </w:pPr>
      <w:r w:rsidRPr="00ED7F0F">
        <w:t>Opatrnosť je potrebná, ak sa u</w:t>
      </w:r>
      <w:r w:rsidR="00BD736B" w:rsidRPr="00ED7F0F">
        <w:t> </w:t>
      </w:r>
      <w:r w:rsidRPr="00ED7F0F">
        <w:t>pacientov vyžaduje užívanie liekov, ktoré potláčajú funkciu krvných doštičiek alebo antikoagulancií.</w:t>
      </w:r>
    </w:p>
    <w:p w:rsidR="007F7CF8" w:rsidRPr="00ED7F0F" w:rsidRDefault="007F7CF8" w:rsidP="00122C9F">
      <w:pPr>
        <w:spacing w:line="259" w:lineRule="auto"/>
        <w:ind w:left="34"/>
      </w:pPr>
    </w:p>
    <w:p w:rsidR="007F7CF8" w:rsidRPr="00ED7F0F" w:rsidRDefault="007F7CF8" w:rsidP="00122C9F">
      <w:pPr>
        <w:spacing w:line="249" w:lineRule="auto"/>
        <w:ind w:left="29"/>
      </w:pPr>
      <w:r w:rsidRPr="00ED7F0F">
        <w:rPr>
          <w:i/>
          <w:u w:val="single" w:color="000000"/>
        </w:rPr>
        <w:t>Retencia tekutín</w:t>
      </w:r>
    </w:p>
    <w:p w:rsidR="007F7CF8" w:rsidRPr="00ED7F0F" w:rsidRDefault="007F7CF8" w:rsidP="00122C9F">
      <w:pPr>
        <w:ind w:left="29"/>
      </w:pPr>
      <w:r w:rsidRPr="00ED7F0F">
        <w:t>Používanie dasatinibu sa spája s</w:t>
      </w:r>
      <w:r w:rsidR="00BD736B" w:rsidRPr="00ED7F0F">
        <w:t> </w:t>
      </w:r>
      <w:r w:rsidRPr="00ED7F0F">
        <w:t>retenciou tekutín. V</w:t>
      </w:r>
      <w:r w:rsidR="00BD736B" w:rsidRPr="00ED7F0F">
        <w:t> </w:t>
      </w:r>
      <w:r w:rsidRPr="00ED7F0F">
        <w:t>klinickej štúdii fázy III u</w:t>
      </w:r>
      <w:r w:rsidR="00BD736B" w:rsidRPr="00ED7F0F">
        <w:t> </w:t>
      </w:r>
      <w:r w:rsidRPr="00ED7F0F">
        <w:t>pacientov s</w:t>
      </w:r>
      <w:r w:rsidR="00BD736B" w:rsidRPr="00ED7F0F">
        <w:t> </w:t>
      </w:r>
      <w:r w:rsidRPr="00ED7F0F">
        <w:t>novodiagnostikovanou chronickou fázou CML, sa hlásila retencia tekutín 3. alebo 4.</w:t>
      </w:r>
      <w:r w:rsidR="00BD736B" w:rsidRPr="00ED7F0F">
        <w:t> </w:t>
      </w:r>
      <w:r w:rsidRPr="00ED7F0F">
        <w:t>stupňa u</w:t>
      </w:r>
      <w:r w:rsidR="00BD736B" w:rsidRPr="00ED7F0F">
        <w:t> </w:t>
      </w:r>
      <w:r w:rsidRPr="00ED7F0F">
        <w:t>13</w:t>
      </w:r>
      <w:r w:rsidR="00BD736B" w:rsidRPr="00ED7F0F">
        <w:t> </w:t>
      </w:r>
      <w:r w:rsidRPr="00ED7F0F">
        <w:t>pacientov (5</w:t>
      </w:r>
      <w:r w:rsidR="00BD736B" w:rsidRPr="00ED7F0F">
        <w:t> </w:t>
      </w:r>
      <w:r w:rsidRPr="00ED7F0F">
        <w:t>%) v</w:t>
      </w:r>
      <w:r w:rsidR="00BD736B" w:rsidRPr="00ED7F0F">
        <w:t> </w:t>
      </w:r>
      <w:r w:rsidRPr="00ED7F0F">
        <w:t>skupine liečenej dasatinibom a</w:t>
      </w:r>
      <w:r w:rsidR="00BD736B" w:rsidRPr="00ED7F0F">
        <w:t> </w:t>
      </w:r>
      <w:r w:rsidRPr="00ED7F0F">
        <w:t>u</w:t>
      </w:r>
      <w:r w:rsidR="00BD736B" w:rsidRPr="00ED7F0F">
        <w:t> </w:t>
      </w:r>
      <w:r w:rsidRPr="00ED7F0F">
        <w:t>2</w:t>
      </w:r>
      <w:r w:rsidR="00BD736B" w:rsidRPr="00ED7F0F">
        <w:t> </w:t>
      </w:r>
      <w:r w:rsidRPr="00ED7F0F">
        <w:t>pacientov (1</w:t>
      </w:r>
      <w:r w:rsidR="00BD736B" w:rsidRPr="00ED7F0F">
        <w:t> </w:t>
      </w:r>
      <w:r w:rsidRPr="00ED7F0F">
        <w:t>%) v</w:t>
      </w:r>
      <w:r w:rsidR="00BD736B" w:rsidRPr="00ED7F0F">
        <w:t> </w:t>
      </w:r>
      <w:r w:rsidRPr="00ED7F0F">
        <w:t>skupine liečenej imatinibom po minimálne 60</w:t>
      </w:r>
      <w:r w:rsidR="00B94828" w:rsidRPr="00ED7F0F">
        <w:t> </w:t>
      </w:r>
      <w:r w:rsidRPr="00ED7F0F">
        <w:t>mesiacoch následného sledovania (pozri časť</w:t>
      </w:r>
      <w:r w:rsidR="00B94828" w:rsidRPr="00ED7F0F">
        <w:t> </w:t>
      </w:r>
      <w:r w:rsidRPr="00ED7F0F">
        <w:t>4.8). Zo všetkých pacientov s</w:t>
      </w:r>
      <w:r w:rsidR="00B94828" w:rsidRPr="00ED7F0F">
        <w:t> </w:t>
      </w:r>
      <w:r w:rsidRPr="00ED7F0F">
        <w:t xml:space="preserve">chronickou fázou CML liečených </w:t>
      </w:r>
      <w:r w:rsidR="00C805AF" w:rsidRPr="00ED7F0F">
        <w:t>dasatinibom</w:t>
      </w:r>
      <w:r w:rsidRPr="00ED7F0F">
        <w:t xml:space="preserve"> sa u</w:t>
      </w:r>
      <w:r w:rsidR="00B94828" w:rsidRPr="00ED7F0F">
        <w:t> </w:t>
      </w:r>
      <w:r w:rsidRPr="00ED7F0F">
        <w:t>32</w:t>
      </w:r>
      <w:r w:rsidR="00B94828" w:rsidRPr="00ED7F0F">
        <w:t> </w:t>
      </w:r>
      <w:r w:rsidRPr="00ED7F0F">
        <w:t>pacientov (6</w:t>
      </w:r>
      <w:r w:rsidR="00B94828" w:rsidRPr="00ED7F0F">
        <w:t> </w:t>
      </w:r>
      <w:r w:rsidRPr="00ED7F0F">
        <w:t xml:space="preserve">%), ktorí dostávali </w:t>
      </w:r>
      <w:r w:rsidR="00B94828" w:rsidRPr="00ED7F0F">
        <w:t>dasatinib</w:t>
      </w:r>
      <w:r w:rsidRPr="00ED7F0F">
        <w:t xml:space="preserve"> v</w:t>
      </w:r>
      <w:r w:rsidR="00B2701D" w:rsidRPr="00ED7F0F">
        <w:t> </w:t>
      </w:r>
      <w:r w:rsidRPr="00ED7F0F">
        <w:t>odporúčanej dávke (n=548) vyskytla závažná retencia tekutín. V</w:t>
      </w:r>
      <w:r w:rsidR="00B2701D" w:rsidRPr="00ED7F0F">
        <w:t> </w:t>
      </w:r>
      <w:r w:rsidRPr="00ED7F0F">
        <w:t>klinických štúdiách s</w:t>
      </w:r>
      <w:r w:rsidR="00B2701D" w:rsidRPr="00ED7F0F">
        <w:t> </w:t>
      </w:r>
      <w:r w:rsidRPr="00ED7F0F">
        <w:t>pacientmi s</w:t>
      </w:r>
      <w:r w:rsidR="00B2701D" w:rsidRPr="00ED7F0F">
        <w:t> </w:t>
      </w:r>
      <w:r w:rsidRPr="00ED7F0F">
        <w:t>pokročilou fázou CML alebo ALL s</w:t>
      </w:r>
      <w:r w:rsidR="00B2701D" w:rsidRPr="00ED7F0F">
        <w:t> </w:t>
      </w:r>
      <w:r w:rsidRPr="00ED7F0F">
        <w:t xml:space="preserve">Ph+, ktorí dostávali </w:t>
      </w:r>
      <w:r w:rsidR="00B2701D" w:rsidRPr="00ED7F0F">
        <w:t>dasatinib</w:t>
      </w:r>
      <w:r w:rsidRPr="00ED7F0F">
        <w:t xml:space="preserve"> v</w:t>
      </w:r>
      <w:r w:rsidR="00B2701D" w:rsidRPr="00ED7F0F">
        <w:t> </w:t>
      </w:r>
      <w:r w:rsidRPr="00ED7F0F">
        <w:t>odporúčanej dávke (n=304) sa hlásila retencia tekutín 3. alebo 4. stupňa u</w:t>
      </w:r>
      <w:r w:rsidR="00B2701D" w:rsidRPr="00ED7F0F">
        <w:t> </w:t>
      </w:r>
      <w:r w:rsidRPr="00ED7F0F">
        <w:t>8</w:t>
      </w:r>
      <w:r w:rsidR="00B2701D" w:rsidRPr="00ED7F0F">
        <w:t> </w:t>
      </w:r>
      <w:r w:rsidRPr="00ED7F0F">
        <w:t>% pacientov, zahŕňajúca pleurálny výpotok 3. alebo 4. stupňa hlásený u</w:t>
      </w:r>
      <w:r w:rsidR="00B2701D" w:rsidRPr="00ED7F0F">
        <w:t> </w:t>
      </w:r>
      <w:r w:rsidRPr="00ED7F0F">
        <w:t>7</w:t>
      </w:r>
      <w:r w:rsidR="00B2701D" w:rsidRPr="00ED7F0F">
        <w:t> </w:t>
      </w:r>
      <w:r w:rsidRPr="00ED7F0F">
        <w:t>% pacientov a</w:t>
      </w:r>
      <w:r w:rsidR="00B2701D" w:rsidRPr="00ED7F0F">
        <w:t> </w:t>
      </w:r>
      <w:r w:rsidRPr="00ED7F0F">
        <w:t>perikardiálny výpotok 3. alebo 4. stupňa hlásený u</w:t>
      </w:r>
      <w:r w:rsidR="00B2701D" w:rsidRPr="00ED7F0F">
        <w:t> </w:t>
      </w:r>
      <w:r w:rsidRPr="00ED7F0F">
        <w:t>1</w:t>
      </w:r>
      <w:r w:rsidR="00B2701D" w:rsidRPr="00ED7F0F">
        <w:t> </w:t>
      </w:r>
      <w:r w:rsidRPr="00ED7F0F">
        <w:t>% pacientov. U</w:t>
      </w:r>
      <w:r w:rsidR="00B2701D" w:rsidRPr="00ED7F0F">
        <w:t> </w:t>
      </w:r>
      <w:r w:rsidRPr="00ED7F0F">
        <w:t>týchto pacientov sa hlásil pľúcny edém 3. alebo 4.</w:t>
      </w:r>
      <w:r w:rsidR="00B2701D" w:rsidRPr="00ED7F0F">
        <w:t> </w:t>
      </w:r>
      <w:r w:rsidRPr="00ED7F0F">
        <w:t>stupňa a pľúcna hypertenzia 3. alebo 4. stupňa u</w:t>
      </w:r>
      <w:r w:rsidR="00B2701D" w:rsidRPr="00ED7F0F">
        <w:t> </w:t>
      </w:r>
      <w:r w:rsidRPr="00ED7F0F">
        <w:t>1</w:t>
      </w:r>
      <w:r w:rsidR="00B2701D" w:rsidRPr="00ED7F0F">
        <w:t> </w:t>
      </w:r>
      <w:r w:rsidRPr="00ED7F0F">
        <w:t>% pacientov.</w:t>
      </w:r>
    </w:p>
    <w:p w:rsidR="007F7CF8" w:rsidRPr="00ED7F0F" w:rsidRDefault="007F7CF8" w:rsidP="00122C9F">
      <w:pPr>
        <w:spacing w:line="259" w:lineRule="auto"/>
        <w:ind w:left="34"/>
      </w:pPr>
    </w:p>
    <w:p w:rsidR="007F7CF8" w:rsidRPr="00ED7F0F" w:rsidRDefault="007F7CF8" w:rsidP="00122C9F">
      <w:pPr>
        <w:ind w:left="29"/>
      </w:pPr>
      <w:r w:rsidRPr="00ED7F0F">
        <w:t>Pacienti, u</w:t>
      </w:r>
      <w:r w:rsidR="00B2701D" w:rsidRPr="00ED7F0F">
        <w:t> </w:t>
      </w:r>
      <w:r w:rsidRPr="00ED7F0F">
        <w:t>ktorých vzniknú príznaky svedčiace o</w:t>
      </w:r>
      <w:r w:rsidR="00B2701D" w:rsidRPr="00ED7F0F">
        <w:t> </w:t>
      </w:r>
      <w:r w:rsidRPr="00ED7F0F">
        <w:t>pleurálnom výpotku, ako je dyspnoe alebo suchý kašeľ, musia byť vyšetrení pomocou röntgenu hrudníka. Pleurálny výpotok 3. alebo 4. stupňa si môže vyžadovať torakocentézu a</w:t>
      </w:r>
      <w:r w:rsidR="00B2701D" w:rsidRPr="00ED7F0F">
        <w:t> </w:t>
      </w:r>
      <w:r w:rsidRPr="00ED7F0F">
        <w:t>oxygenoterapiu. Nežiaduce reakcie retencie tekutín boli zvyčajne zvládnuté pomocou podporných opatrení zahŕňajúcich podávanie diuretík a krátkodobé podávanie steroidov (pozri časti</w:t>
      </w:r>
      <w:r w:rsidR="00B2701D" w:rsidRPr="00ED7F0F">
        <w:t> </w:t>
      </w:r>
      <w:r w:rsidRPr="00ED7F0F">
        <w:t>4.2 a</w:t>
      </w:r>
      <w:r w:rsidR="00B2701D" w:rsidRPr="00ED7F0F">
        <w:t> </w:t>
      </w:r>
      <w:r w:rsidRPr="00ED7F0F">
        <w:t>4.8). U</w:t>
      </w:r>
      <w:r w:rsidR="00B2701D" w:rsidRPr="00ED7F0F">
        <w:t> </w:t>
      </w:r>
      <w:r w:rsidRPr="00ED7F0F">
        <w:t>pacientov vo veku 65</w:t>
      </w:r>
      <w:r w:rsidR="00B2701D" w:rsidRPr="00ED7F0F">
        <w:t> </w:t>
      </w:r>
      <w:r w:rsidRPr="00ED7F0F">
        <w:t>rokov a starších je viac pravdepodobný výskyt pleurálneho výpotku, dyspnoe, kašľa, perikardiálneho výpotku a</w:t>
      </w:r>
      <w:r w:rsidR="00B2701D" w:rsidRPr="00ED7F0F">
        <w:t> </w:t>
      </w:r>
      <w:r w:rsidRPr="00ED7F0F">
        <w:t>kongestívneho zlyhania srdca než u</w:t>
      </w:r>
      <w:r w:rsidR="00B2701D" w:rsidRPr="00ED7F0F">
        <w:t> </w:t>
      </w:r>
      <w:r w:rsidRPr="00ED7F0F">
        <w:t>mladších pacientov, a</w:t>
      </w:r>
      <w:r w:rsidR="00B2701D" w:rsidRPr="00ED7F0F">
        <w:t> </w:t>
      </w:r>
      <w:r w:rsidRPr="00ED7F0F">
        <w:t>preto majú byť starostlivo sledovaní.</w:t>
      </w:r>
    </w:p>
    <w:p w:rsidR="007F7CF8" w:rsidRPr="00ED7F0F" w:rsidRDefault="007F7CF8" w:rsidP="00122C9F">
      <w:pPr>
        <w:spacing w:line="259" w:lineRule="auto"/>
        <w:ind w:left="34"/>
      </w:pPr>
    </w:p>
    <w:p w:rsidR="007F7CF8" w:rsidRPr="00ED7F0F" w:rsidRDefault="007F7CF8" w:rsidP="00122C9F">
      <w:pPr>
        <w:spacing w:line="249" w:lineRule="auto"/>
        <w:ind w:left="29"/>
      </w:pPr>
      <w:r w:rsidRPr="00ED7F0F">
        <w:rPr>
          <w:i/>
          <w:u w:val="single" w:color="000000"/>
        </w:rPr>
        <w:t>Pľúcna arteriálna hypertenzia (PAH)</w:t>
      </w:r>
    </w:p>
    <w:p w:rsidR="007F7CF8" w:rsidRPr="00ED7F0F" w:rsidRDefault="007F7CF8" w:rsidP="00122C9F">
      <w:pPr>
        <w:ind w:left="29"/>
      </w:pPr>
      <w:r w:rsidRPr="00ED7F0F">
        <w:t>PAH (prekapilárna pľúcna</w:t>
      </w:r>
      <w:r w:rsidR="005A3C5D" w:rsidRPr="00ED7F0F">
        <w:t xml:space="preserve"> arteriálna</w:t>
      </w:r>
      <w:r w:rsidRPr="00ED7F0F">
        <w:t xml:space="preserve"> hypertenzia potvrdená pravostrannou katetrizáciou srdca) sa hlásila v</w:t>
      </w:r>
      <w:r w:rsidR="00B2701D" w:rsidRPr="00ED7F0F">
        <w:t> </w:t>
      </w:r>
      <w:r w:rsidRPr="00ED7F0F">
        <w:t>súvislosti s</w:t>
      </w:r>
      <w:r w:rsidR="00B2701D" w:rsidRPr="00ED7F0F">
        <w:t> </w:t>
      </w:r>
      <w:r w:rsidRPr="00ED7F0F">
        <w:t>liečbou dasatinibom (pozri časť</w:t>
      </w:r>
      <w:r w:rsidR="00B2701D" w:rsidRPr="00ED7F0F">
        <w:t> </w:t>
      </w:r>
      <w:r w:rsidRPr="00ED7F0F">
        <w:t>4.8). V</w:t>
      </w:r>
      <w:r w:rsidR="00B2701D" w:rsidRPr="00ED7F0F">
        <w:t> </w:t>
      </w:r>
      <w:r w:rsidRPr="00ED7F0F">
        <w:t>týchto prípadoch sa hlásila PAH po začatí liečby dasatinibom, a to po viac ako jednom roku liečby.</w:t>
      </w:r>
    </w:p>
    <w:p w:rsidR="007F7CF8" w:rsidRPr="00ED7F0F" w:rsidRDefault="007F7CF8" w:rsidP="00122C9F">
      <w:pPr>
        <w:spacing w:line="259" w:lineRule="auto"/>
        <w:ind w:left="34"/>
      </w:pPr>
    </w:p>
    <w:p w:rsidR="007F7CF8" w:rsidRPr="00ED7F0F" w:rsidRDefault="007F7CF8" w:rsidP="00122C9F">
      <w:pPr>
        <w:ind w:left="29"/>
      </w:pPr>
      <w:r w:rsidRPr="00ED7F0F">
        <w:t>Pacienti majú byť vyšetrení na prejavy a príznaky základného kardiopulmonálneho ochorenia pred začatím liečby dasatinibom. Na začiatku liečby sa má vykonať echokardiografia u</w:t>
      </w:r>
      <w:r w:rsidR="00B2701D" w:rsidRPr="00ED7F0F">
        <w:t> </w:t>
      </w:r>
      <w:r w:rsidRPr="00ED7F0F">
        <w:t>každého pacienta s</w:t>
      </w:r>
      <w:r w:rsidR="00B2701D" w:rsidRPr="00ED7F0F">
        <w:t> </w:t>
      </w:r>
      <w:r w:rsidRPr="00ED7F0F">
        <w:t>prítomnými príznakmi srdcového ochorenia a má sa zvážiť u</w:t>
      </w:r>
      <w:r w:rsidR="00B2701D" w:rsidRPr="00ED7F0F">
        <w:t> </w:t>
      </w:r>
      <w:r w:rsidRPr="00ED7F0F">
        <w:t>pacientov s</w:t>
      </w:r>
      <w:r w:rsidR="00B2701D" w:rsidRPr="00ED7F0F">
        <w:t> </w:t>
      </w:r>
      <w:r w:rsidRPr="00ED7F0F">
        <w:t>rizikovými faktormi srdcového alebo pľúcneho ochorenia. Pacienti u</w:t>
      </w:r>
      <w:r w:rsidR="00B2701D" w:rsidRPr="00ED7F0F">
        <w:t> </w:t>
      </w:r>
      <w:r w:rsidRPr="00ED7F0F">
        <w:t>ktorých sa po začatí liečby vyvinie dyspnoe a</w:t>
      </w:r>
      <w:r w:rsidR="00B2701D" w:rsidRPr="00ED7F0F">
        <w:t> </w:t>
      </w:r>
      <w:r w:rsidRPr="00ED7F0F">
        <w:t>únava, majú byť vyšetrení na vylúčenie bežných etiológií zahŕňajúce pleurálny výpotok, pľúcny edém, anémiu alebo pľúcnu infiltráciu. V</w:t>
      </w:r>
      <w:r w:rsidR="00B2701D" w:rsidRPr="00ED7F0F">
        <w:t> </w:t>
      </w:r>
      <w:r w:rsidRPr="00ED7F0F">
        <w:t>súlade s</w:t>
      </w:r>
      <w:r w:rsidR="00B2701D" w:rsidRPr="00ED7F0F">
        <w:t> </w:t>
      </w:r>
      <w:r w:rsidRPr="00ED7F0F">
        <w:t>odporúčaniami manažmentu nehematologických nežiaducich reakcií (pozri časť</w:t>
      </w:r>
      <w:r w:rsidR="00B2701D" w:rsidRPr="00ED7F0F">
        <w:t> </w:t>
      </w:r>
      <w:r w:rsidRPr="00ED7F0F">
        <w:t>4.2) sa má dávka dasatinibu znížiť alebo sa má liečba prerušiť počas tohto vyšetrenia. Ak sa nenájde vysvetlenie alebo ak po znížení dávky alebo prerušení liečby nedôjde k</w:t>
      </w:r>
      <w:r w:rsidR="00B2701D" w:rsidRPr="00ED7F0F">
        <w:t> </w:t>
      </w:r>
      <w:r w:rsidRPr="00ED7F0F">
        <w:t>žiadnemu zlepšeniu, má sa uvažovať o</w:t>
      </w:r>
      <w:r w:rsidR="00B2701D" w:rsidRPr="00ED7F0F">
        <w:t> </w:t>
      </w:r>
      <w:r w:rsidRPr="00ED7F0F">
        <w:t>diagnóze PAH. Diagnostický prístup sa má riadiť štandardnými postupmi. Ak sa potvrdí PAH, liečba dasatinibom sa má trvale ukončiť. Monitorovanie sa má vykonávať podľa štandardných postupov. Zlepšenie hemodynamických a klinických parametrov sa pozorovalo u pacientov liečených dasatinibom s</w:t>
      </w:r>
      <w:r w:rsidR="00B2701D" w:rsidRPr="00ED7F0F">
        <w:t> </w:t>
      </w:r>
      <w:r w:rsidRPr="00ED7F0F">
        <w:t>PAH po ukončení liečby dasatinibom.</w:t>
      </w:r>
    </w:p>
    <w:p w:rsidR="007F7CF8" w:rsidRPr="00ED7F0F" w:rsidRDefault="007F7CF8" w:rsidP="00122C9F">
      <w:pPr>
        <w:spacing w:line="259" w:lineRule="auto"/>
        <w:ind w:left="34"/>
      </w:pPr>
    </w:p>
    <w:p w:rsidR="007F7CF8" w:rsidRPr="00ED7F0F" w:rsidRDefault="007F7CF8" w:rsidP="00122C9F">
      <w:pPr>
        <w:spacing w:line="249" w:lineRule="auto"/>
        <w:ind w:left="29"/>
      </w:pPr>
      <w:r w:rsidRPr="00ED7F0F">
        <w:rPr>
          <w:i/>
          <w:u w:val="single" w:color="000000"/>
        </w:rPr>
        <w:t>Predĺženie QT intervalu</w:t>
      </w:r>
    </w:p>
    <w:p w:rsidR="007F7CF8" w:rsidRPr="00ED7F0F" w:rsidRDefault="007F7CF8" w:rsidP="00122C9F">
      <w:pPr>
        <w:ind w:left="29"/>
      </w:pPr>
      <w:r w:rsidRPr="00ED7F0F">
        <w:t xml:space="preserve">Údaje </w:t>
      </w:r>
      <w:r w:rsidRPr="00ED7F0F">
        <w:rPr>
          <w:i/>
        </w:rPr>
        <w:t>in vitro</w:t>
      </w:r>
      <w:r w:rsidRPr="00ED7F0F">
        <w:t xml:space="preserve"> svedčia o</w:t>
      </w:r>
      <w:r w:rsidR="00B2701D" w:rsidRPr="00ED7F0F">
        <w:t> </w:t>
      </w:r>
      <w:r w:rsidRPr="00ED7F0F">
        <w:t>tom, že dasatinib môže predĺžiť repolarizáciu srdcových komôr (QT interval) (pozri časť</w:t>
      </w:r>
      <w:r w:rsidR="00B2701D" w:rsidRPr="00ED7F0F">
        <w:t> </w:t>
      </w:r>
      <w:r w:rsidRPr="00ED7F0F">
        <w:t>5.3). Z</w:t>
      </w:r>
      <w:r w:rsidR="00B2701D" w:rsidRPr="00ED7F0F">
        <w:t> </w:t>
      </w:r>
      <w:r w:rsidRPr="00ED7F0F">
        <w:t>258</w:t>
      </w:r>
      <w:r w:rsidR="00B2701D" w:rsidRPr="00ED7F0F">
        <w:t> </w:t>
      </w:r>
      <w:r w:rsidRPr="00ED7F0F">
        <w:t>pacientov liečených dasatinibom a</w:t>
      </w:r>
      <w:r w:rsidR="00B2701D" w:rsidRPr="00ED7F0F">
        <w:t> </w:t>
      </w:r>
      <w:r w:rsidRPr="00ED7F0F">
        <w:t>z</w:t>
      </w:r>
      <w:r w:rsidR="00B2701D" w:rsidRPr="00ED7F0F">
        <w:t> </w:t>
      </w:r>
      <w:r w:rsidRPr="00ED7F0F">
        <w:t>258</w:t>
      </w:r>
      <w:r w:rsidR="00B2701D" w:rsidRPr="00ED7F0F">
        <w:t> </w:t>
      </w:r>
      <w:r w:rsidRPr="00ED7F0F">
        <w:t>pacientov liečených imatinibom s</w:t>
      </w:r>
      <w:r w:rsidR="00B2701D" w:rsidRPr="00ED7F0F">
        <w:t> </w:t>
      </w:r>
      <w:r w:rsidRPr="00ED7F0F">
        <w:t>minimálne 60</w:t>
      </w:r>
      <w:r w:rsidR="00B2701D" w:rsidRPr="00ED7F0F">
        <w:t> </w:t>
      </w:r>
      <w:r w:rsidRPr="00ED7F0F">
        <w:t>mesačným následným sledovaním v</w:t>
      </w:r>
      <w:r w:rsidR="00B2701D" w:rsidRPr="00ED7F0F">
        <w:t> </w:t>
      </w:r>
      <w:r w:rsidRPr="00ED7F0F">
        <w:t>štúdii fázy III s</w:t>
      </w:r>
      <w:r w:rsidR="00B2701D" w:rsidRPr="00ED7F0F">
        <w:t> </w:t>
      </w:r>
      <w:r w:rsidRPr="00ED7F0F">
        <w:t xml:space="preserve">novodiagnostikovanou chronickou fázou CML, </w:t>
      </w:r>
      <w:r w:rsidR="00C805AF" w:rsidRPr="00ED7F0F">
        <w:t xml:space="preserve">mal </w:t>
      </w:r>
      <w:r w:rsidRPr="00ED7F0F">
        <w:t>1 pacient (&lt;1</w:t>
      </w:r>
      <w:r w:rsidR="00B2701D" w:rsidRPr="00ED7F0F">
        <w:t> </w:t>
      </w:r>
      <w:r w:rsidRPr="00ED7F0F">
        <w:t>%) v</w:t>
      </w:r>
      <w:r w:rsidR="00B2701D" w:rsidRPr="00ED7F0F">
        <w:t> </w:t>
      </w:r>
      <w:r w:rsidRPr="00ED7F0F">
        <w:t xml:space="preserve">každej skupine predĺžený QTc ako nežiaducu reakciu. Medián zmien vo QTcF </w:t>
      </w:r>
      <w:r w:rsidR="00C805AF" w:rsidRPr="00ED7F0F">
        <w:t>oproti</w:t>
      </w:r>
      <w:r w:rsidRPr="00ED7F0F">
        <w:t xml:space="preserve"> východiskový</w:t>
      </w:r>
      <w:r w:rsidR="00C805AF" w:rsidRPr="00ED7F0F">
        <w:t>m</w:t>
      </w:r>
      <w:r w:rsidRPr="00ED7F0F">
        <w:t xml:space="preserve"> hodn</w:t>
      </w:r>
      <w:r w:rsidR="00C805AF" w:rsidRPr="00ED7F0F">
        <w:t>otám</w:t>
      </w:r>
      <w:r w:rsidRPr="00ED7F0F">
        <w:t xml:space="preserve"> bol 3,0</w:t>
      </w:r>
      <w:r w:rsidR="00B2701D" w:rsidRPr="00ED7F0F">
        <w:t> </w:t>
      </w:r>
      <w:r w:rsidRPr="00ED7F0F">
        <w:t>ms u</w:t>
      </w:r>
      <w:r w:rsidR="00B2701D" w:rsidRPr="00ED7F0F">
        <w:t> </w:t>
      </w:r>
      <w:r w:rsidRPr="00ED7F0F">
        <w:t>pacientov liečených dasatinibom v</w:t>
      </w:r>
      <w:r w:rsidR="00B2701D" w:rsidRPr="00ED7F0F">
        <w:t> </w:t>
      </w:r>
      <w:r w:rsidRPr="00ED7F0F">
        <w:t>porovnaní s</w:t>
      </w:r>
      <w:r w:rsidR="00B2701D" w:rsidRPr="00ED7F0F">
        <w:t> </w:t>
      </w:r>
      <w:r w:rsidRPr="00ED7F0F">
        <w:t>8,2</w:t>
      </w:r>
      <w:r w:rsidR="00B2701D" w:rsidRPr="00ED7F0F">
        <w:t> </w:t>
      </w:r>
      <w:r w:rsidRPr="00ED7F0F">
        <w:t>ms u</w:t>
      </w:r>
      <w:r w:rsidR="00B2701D" w:rsidRPr="00ED7F0F">
        <w:t> </w:t>
      </w:r>
      <w:r w:rsidRPr="00ED7F0F">
        <w:t>pacientov liečených imatinibom. Jeden pacient (&lt;</w:t>
      </w:r>
      <w:r w:rsidR="00B2701D" w:rsidRPr="00ED7F0F">
        <w:t> </w:t>
      </w:r>
      <w:r w:rsidRPr="00ED7F0F">
        <w:t>1</w:t>
      </w:r>
      <w:r w:rsidR="00B2701D" w:rsidRPr="00ED7F0F">
        <w:t> </w:t>
      </w:r>
      <w:r w:rsidRPr="00ED7F0F">
        <w:t>%), v</w:t>
      </w:r>
      <w:r w:rsidR="00B2701D" w:rsidRPr="00ED7F0F">
        <w:t> </w:t>
      </w:r>
      <w:r w:rsidRPr="00ED7F0F">
        <w:t>každej skupine mal QTcF &gt; 500</w:t>
      </w:r>
      <w:r w:rsidR="00B2701D" w:rsidRPr="00ED7F0F">
        <w:t> </w:t>
      </w:r>
      <w:r w:rsidRPr="00ED7F0F">
        <w:t>ms. U</w:t>
      </w:r>
      <w:r w:rsidR="00B2701D" w:rsidRPr="00ED7F0F">
        <w:t> </w:t>
      </w:r>
      <w:r w:rsidRPr="00ED7F0F">
        <w:t>865</w:t>
      </w:r>
      <w:r w:rsidR="00B2701D" w:rsidRPr="00ED7F0F">
        <w:t> </w:t>
      </w:r>
      <w:r w:rsidRPr="00ED7F0F">
        <w:t>pacientov s</w:t>
      </w:r>
      <w:r w:rsidR="00B2701D" w:rsidRPr="00ED7F0F">
        <w:t> </w:t>
      </w:r>
      <w:r w:rsidRPr="00ED7F0F">
        <w:t>leukémiou liečených dasatinibom v</w:t>
      </w:r>
      <w:r w:rsidR="00B2701D" w:rsidRPr="00ED7F0F">
        <w:t> </w:t>
      </w:r>
      <w:r w:rsidRPr="00ED7F0F">
        <w:t>klinických štúdiách fázy II boli priemerné zmeny od východiskových hodnôt QTc intervalu s</w:t>
      </w:r>
      <w:r w:rsidR="00B2701D" w:rsidRPr="00ED7F0F">
        <w:t> </w:t>
      </w:r>
      <w:r w:rsidRPr="00ED7F0F">
        <w:t xml:space="preserve">korekciou podľa metódy Fridericia (QTcF) 4 </w:t>
      </w:r>
      <w:r w:rsidR="00B2701D" w:rsidRPr="00ED7F0F">
        <w:t>–</w:t>
      </w:r>
      <w:r w:rsidRPr="00ED7F0F">
        <w:t xml:space="preserve"> 6</w:t>
      </w:r>
      <w:r w:rsidR="00B2701D" w:rsidRPr="00ED7F0F">
        <w:t> </w:t>
      </w:r>
      <w:r w:rsidRPr="00ED7F0F">
        <w:t>ms; horné 95</w:t>
      </w:r>
      <w:r w:rsidR="00B2701D" w:rsidRPr="00ED7F0F">
        <w:t> </w:t>
      </w:r>
      <w:r w:rsidRPr="00ED7F0F">
        <w:t xml:space="preserve">% intervaly spoľahlivosti pre všetky priemerné zmeny </w:t>
      </w:r>
      <w:r w:rsidR="00C306EB" w:rsidRPr="00ED7F0F">
        <w:t>oproti</w:t>
      </w:r>
      <w:r w:rsidRPr="00ED7F0F">
        <w:t xml:space="preserve"> východiskový</w:t>
      </w:r>
      <w:r w:rsidR="00C306EB" w:rsidRPr="00ED7F0F">
        <w:t>m</w:t>
      </w:r>
      <w:r w:rsidRPr="00ED7F0F">
        <w:t xml:space="preserve"> hodn</w:t>
      </w:r>
      <w:r w:rsidR="00C306EB" w:rsidRPr="00ED7F0F">
        <w:t>otám</w:t>
      </w:r>
      <w:r w:rsidRPr="00ED7F0F">
        <w:t xml:space="preserve"> boli &lt;</w:t>
      </w:r>
      <w:r w:rsidR="00B2701D" w:rsidRPr="00ED7F0F">
        <w:t> </w:t>
      </w:r>
      <w:r w:rsidRPr="00ED7F0F">
        <w:t>7</w:t>
      </w:r>
      <w:r w:rsidR="00B2701D" w:rsidRPr="00ED7F0F">
        <w:t> </w:t>
      </w:r>
      <w:r w:rsidRPr="00ED7F0F">
        <w:t>ms (pozri časť</w:t>
      </w:r>
      <w:r w:rsidR="00B2701D" w:rsidRPr="00ED7F0F">
        <w:t> </w:t>
      </w:r>
      <w:r w:rsidRPr="00ED7F0F">
        <w:t>4.8).</w:t>
      </w:r>
    </w:p>
    <w:p w:rsidR="007F7CF8" w:rsidRPr="00ED7F0F" w:rsidRDefault="007F7CF8" w:rsidP="00122C9F">
      <w:pPr>
        <w:ind w:left="29"/>
      </w:pPr>
      <w:r w:rsidRPr="00ED7F0F">
        <w:t>Z</w:t>
      </w:r>
      <w:r w:rsidR="00B2701D" w:rsidRPr="00ED7F0F">
        <w:t> </w:t>
      </w:r>
      <w:r w:rsidRPr="00ED7F0F">
        <w:t>2</w:t>
      </w:r>
      <w:r w:rsidR="00B2701D" w:rsidRPr="00ED7F0F">
        <w:t> </w:t>
      </w:r>
      <w:r w:rsidRPr="00ED7F0F">
        <w:t>182</w:t>
      </w:r>
      <w:r w:rsidR="00B2701D" w:rsidRPr="00ED7F0F">
        <w:t> </w:t>
      </w:r>
      <w:r w:rsidRPr="00ED7F0F">
        <w:t>pacientov s rezistenciou alebo intoleranciou na predošlú liečbu imatinibom, ktorí užívali dasatinib v klinických štúdiách malo 15 (1</w:t>
      </w:r>
      <w:r w:rsidR="00B2701D" w:rsidRPr="00ED7F0F">
        <w:t> </w:t>
      </w:r>
      <w:r w:rsidRPr="00ED7F0F">
        <w:t>%) predĺženie QTc hlásené ako nežiaduci účinok. Dvadsaťjeden z</w:t>
      </w:r>
      <w:r w:rsidR="00B2701D" w:rsidRPr="00ED7F0F">
        <w:t> </w:t>
      </w:r>
      <w:r w:rsidRPr="00ED7F0F">
        <w:t>týchto pacientov (&lt;</w:t>
      </w:r>
      <w:r w:rsidR="00B2701D" w:rsidRPr="00ED7F0F">
        <w:t> </w:t>
      </w:r>
      <w:r w:rsidRPr="00ED7F0F">
        <w:t>1</w:t>
      </w:r>
      <w:r w:rsidR="00B2701D" w:rsidRPr="00ED7F0F">
        <w:t> </w:t>
      </w:r>
      <w:r w:rsidRPr="00ED7F0F">
        <w:t>%) malo QTcF &gt; 500</w:t>
      </w:r>
      <w:r w:rsidR="00B2701D" w:rsidRPr="00ED7F0F">
        <w:t> </w:t>
      </w:r>
      <w:r w:rsidRPr="00ED7F0F">
        <w:t>ms.</w:t>
      </w:r>
    </w:p>
    <w:p w:rsidR="007F7CF8" w:rsidRPr="00ED7F0F" w:rsidRDefault="007F7CF8" w:rsidP="00122C9F">
      <w:pPr>
        <w:spacing w:line="259" w:lineRule="auto"/>
        <w:ind w:left="34"/>
      </w:pPr>
    </w:p>
    <w:p w:rsidR="007F7CF8" w:rsidRPr="00ED7F0F" w:rsidRDefault="007F7CF8" w:rsidP="00122C9F">
      <w:pPr>
        <w:ind w:left="29"/>
      </w:pPr>
      <w:r w:rsidRPr="00ED7F0F">
        <w:t xml:space="preserve">Dasatinib sa musí podávať </w:t>
      </w:r>
      <w:r w:rsidR="005A3C5D" w:rsidRPr="00ED7F0F">
        <w:t xml:space="preserve">s </w:t>
      </w:r>
      <w:r w:rsidRPr="00ED7F0F">
        <w:t>opatrn</w:t>
      </w:r>
      <w:r w:rsidR="005A3C5D" w:rsidRPr="00ED7F0F">
        <w:t>osťou</w:t>
      </w:r>
      <w:r w:rsidRPr="00ED7F0F">
        <w:t xml:space="preserve"> pacientom, u</w:t>
      </w:r>
      <w:r w:rsidR="00B2701D" w:rsidRPr="00ED7F0F">
        <w:t> </w:t>
      </w:r>
      <w:r w:rsidRPr="00ED7F0F">
        <w:t>ktorých došlo alebo u</w:t>
      </w:r>
      <w:r w:rsidR="00B2701D" w:rsidRPr="00ED7F0F">
        <w:t> </w:t>
      </w:r>
      <w:r w:rsidRPr="00ED7F0F">
        <w:t>ktorých môže dôjsť k</w:t>
      </w:r>
      <w:r w:rsidR="00BB440C" w:rsidRPr="00ED7F0F">
        <w:t> </w:t>
      </w:r>
      <w:r w:rsidRPr="00ED7F0F">
        <w:t>predĺženiu QTc. Toto zahŕňa pacientov s</w:t>
      </w:r>
      <w:r w:rsidR="00BB440C" w:rsidRPr="00ED7F0F">
        <w:t> </w:t>
      </w:r>
      <w:r w:rsidRPr="00ED7F0F">
        <w:t>hypokaliémiou alebo hypomagneziémiou, pacientov s</w:t>
      </w:r>
      <w:r w:rsidR="00BB440C" w:rsidRPr="00ED7F0F">
        <w:t> </w:t>
      </w:r>
      <w:r w:rsidRPr="00ED7F0F">
        <w:t>vrodeným syndrómom dlhého QT, pacientov užívajúcich antiarytmiká alebo iné lieky, ktoré vedú k</w:t>
      </w:r>
      <w:r w:rsidR="00BB440C" w:rsidRPr="00ED7F0F">
        <w:t> </w:t>
      </w:r>
      <w:r w:rsidRPr="00ED7F0F">
        <w:t>predĺženiu QT a pacientov liečených vysokými kumulatívnymi dávkami antracyklínu. Hypokaliémia alebo hypomagneziémia sa majú pred podaním dasatinibu upraviť.</w:t>
      </w:r>
    </w:p>
    <w:p w:rsidR="007F7CF8" w:rsidRPr="00ED7F0F" w:rsidRDefault="007F7CF8" w:rsidP="00122C9F">
      <w:pPr>
        <w:spacing w:line="259" w:lineRule="auto"/>
        <w:ind w:left="34"/>
      </w:pPr>
    </w:p>
    <w:p w:rsidR="007F7CF8" w:rsidRPr="00ED7F0F" w:rsidRDefault="007F7CF8" w:rsidP="00122C9F">
      <w:pPr>
        <w:spacing w:line="249" w:lineRule="auto"/>
        <w:ind w:left="29"/>
      </w:pPr>
      <w:r w:rsidRPr="00ED7F0F">
        <w:rPr>
          <w:i/>
          <w:u w:val="single" w:color="000000"/>
        </w:rPr>
        <w:t>Nežiaduce reakcie na srdce</w:t>
      </w:r>
    </w:p>
    <w:p w:rsidR="007F7CF8" w:rsidRPr="00ED7F0F" w:rsidRDefault="007F7CF8" w:rsidP="00122C9F">
      <w:pPr>
        <w:ind w:left="29"/>
      </w:pPr>
      <w:r w:rsidRPr="00ED7F0F">
        <w:t>Dasatinib sa skúmal v</w:t>
      </w:r>
      <w:r w:rsidR="00BB440C" w:rsidRPr="00ED7F0F">
        <w:t> </w:t>
      </w:r>
      <w:r w:rsidRPr="00ED7F0F">
        <w:t>randomizovanej klinickej štúdií s</w:t>
      </w:r>
      <w:r w:rsidR="00BB440C" w:rsidRPr="00ED7F0F">
        <w:t> </w:t>
      </w:r>
      <w:r w:rsidRPr="00ED7F0F">
        <w:t>519</w:t>
      </w:r>
      <w:r w:rsidR="00BB440C" w:rsidRPr="00ED7F0F">
        <w:t> </w:t>
      </w:r>
      <w:r w:rsidRPr="00ED7F0F">
        <w:t>pacientmi s</w:t>
      </w:r>
      <w:r w:rsidR="00BB440C" w:rsidRPr="00ED7F0F">
        <w:t> </w:t>
      </w:r>
      <w:r w:rsidRPr="00ED7F0F">
        <w:t>novodiagnostikovanou CML v</w:t>
      </w:r>
      <w:r w:rsidR="00BB440C" w:rsidRPr="00ED7F0F">
        <w:t> </w:t>
      </w:r>
      <w:r w:rsidRPr="00ED7F0F">
        <w:t xml:space="preserve">chronickej fáze, ktorá zahŕňala pacientov s predošlými srdcovým ochoreniami. Nežiaduce reakcie </w:t>
      </w:r>
      <w:r w:rsidR="00A01262" w:rsidRPr="00ED7F0F">
        <w:t>týkajúce sa</w:t>
      </w:r>
      <w:r w:rsidRPr="00ED7F0F">
        <w:t xml:space="preserve"> srdc</w:t>
      </w:r>
      <w:r w:rsidR="00A01262" w:rsidRPr="00ED7F0F">
        <w:t>a,</w:t>
      </w:r>
      <w:r w:rsidRPr="00ED7F0F">
        <w:t xml:space="preserve"> kongestívne srdcové zlyhani</w:t>
      </w:r>
      <w:r w:rsidR="00A01262" w:rsidRPr="00ED7F0F">
        <w:t>e</w:t>
      </w:r>
      <w:r w:rsidRPr="00ED7F0F">
        <w:t>/srdcov</w:t>
      </w:r>
      <w:r w:rsidR="00A01262" w:rsidRPr="00ED7F0F">
        <w:t>á</w:t>
      </w:r>
      <w:r w:rsidRPr="00ED7F0F">
        <w:t xml:space="preserve"> dysfunkci</w:t>
      </w:r>
      <w:r w:rsidR="00A01262" w:rsidRPr="00ED7F0F">
        <w:t>a</w:t>
      </w:r>
      <w:r w:rsidRPr="00ED7F0F">
        <w:t>, perikardiáln</w:t>
      </w:r>
      <w:r w:rsidR="00A01262" w:rsidRPr="00ED7F0F">
        <w:t>y</w:t>
      </w:r>
      <w:r w:rsidRPr="00ED7F0F">
        <w:t xml:space="preserve"> výpot</w:t>
      </w:r>
      <w:r w:rsidR="00A01262" w:rsidRPr="00ED7F0F">
        <w:t>ok</w:t>
      </w:r>
      <w:r w:rsidRPr="00ED7F0F">
        <w:t>, arytmi</w:t>
      </w:r>
      <w:r w:rsidR="00A01262" w:rsidRPr="00ED7F0F">
        <w:t>e</w:t>
      </w:r>
      <w:r w:rsidRPr="00ED7F0F">
        <w:t>, palpitáci</w:t>
      </w:r>
      <w:r w:rsidR="00A01262" w:rsidRPr="00ED7F0F">
        <w:t>e</w:t>
      </w:r>
      <w:r w:rsidRPr="00ED7F0F">
        <w:t>, predĺženie QT intervalu a infarkt myokardu (vrátane úmrtia) sa hlásili u</w:t>
      </w:r>
      <w:r w:rsidR="00BB440C" w:rsidRPr="00ED7F0F">
        <w:t> </w:t>
      </w:r>
      <w:r w:rsidRPr="00ED7F0F">
        <w:t>pacientov užívajúcich dasatinib. Nežiaduce srdcové udalosti boli častejšie u</w:t>
      </w:r>
      <w:r w:rsidR="00BB440C" w:rsidRPr="00ED7F0F">
        <w:t> </w:t>
      </w:r>
      <w:r w:rsidRPr="00ED7F0F">
        <w:t>pacientov s</w:t>
      </w:r>
      <w:r w:rsidR="00BB440C" w:rsidRPr="00ED7F0F">
        <w:t> </w:t>
      </w:r>
      <w:r w:rsidRPr="00ED7F0F">
        <w:t>rizikovými faktormi alebo so srdcovým ochorením v</w:t>
      </w:r>
      <w:r w:rsidR="00BB440C" w:rsidRPr="00ED7F0F">
        <w:t> </w:t>
      </w:r>
      <w:r w:rsidRPr="00ED7F0F">
        <w:t>anamnéze. Pacienti s</w:t>
      </w:r>
      <w:r w:rsidR="00BB440C" w:rsidRPr="00ED7F0F">
        <w:t> </w:t>
      </w:r>
      <w:r w:rsidRPr="00ED7F0F">
        <w:t>rizikovými faktormi (napr. hypertenzia, hyperlipidémia, diabetes) alebo srdcovým ochorením v anamnéze (napr.</w:t>
      </w:r>
      <w:r w:rsidR="00BB440C" w:rsidRPr="00ED7F0F">
        <w:t> </w:t>
      </w:r>
      <w:r w:rsidRPr="00ED7F0F">
        <w:t>predošlá perkutánna koronárna intervencia, dokázané ochorenie koronárnych artérií) majú byť starostlivo sledovaní pre klinické prejavy alebo príznaky zhodné so srdcovou dysfunkciou, ako je bolesť na hrudníku, skrátené dýchanie a potenie.</w:t>
      </w:r>
    </w:p>
    <w:p w:rsidR="007F7CF8" w:rsidRPr="00ED7F0F" w:rsidRDefault="007F7CF8" w:rsidP="00122C9F">
      <w:pPr>
        <w:spacing w:line="259" w:lineRule="auto"/>
        <w:ind w:left="34"/>
      </w:pPr>
    </w:p>
    <w:p w:rsidR="007F7CF8" w:rsidRPr="00ED7F0F" w:rsidRDefault="007F7CF8" w:rsidP="00122C9F">
      <w:pPr>
        <w:ind w:left="29"/>
      </w:pPr>
      <w:r w:rsidRPr="00ED7F0F">
        <w:t xml:space="preserve">Ak sa tieto klinické prejavy alebo príznaky vyvinú, lekárom sa odporúča prerušiť podávanie dasatinibu a zvážiť potrebu alternatívnej liečby špecifickej pre CML. Po </w:t>
      </w:r>
      <w:r w:rsidR="00A01262" w:rsidRPr="00ED7F0F">
        <w:t>ich vymiznutí</w:t>
      </w:r>
      <w:r w:rsidRPr="00ED7F0F">
        <w:t xml:space="preserve">, má byť pred obnovením liečby dasatinibom vykonané funkčné posúdenie. Dasatinib môže byť znovu </w:t>
      </w:r>
      <w:r w:rsidR="00A01262" w:rsidRPr="00ED7F0F">
        <w:t>podávaný</w:t>
      </w:r>
      <w:r w:rsidRPr="00ED7F0F">
        <w:t xml:space="preserve"> v</w:t>
      </w:r>
      <w:r w:rsidR="00BB440C" w:rsidRPr="00ED7F0F">
        <w:t> </w:t>
      </w:r>
      <w:r w:rsidRPr="00ED7F0F">
        <w:t>pôvodnej dávke pri miernych/stredne závažných nežiaducich reakciách (≤</w:t>
      </w:r>
      <w:r w:rsidR="00BB440C" w:rsidRPr="00ED7F0F">
        <w:t> </w:t>
      </w:r>
      <w:r w:rsidRPr="00ED7F0F">
        <w:t>2.</w:t>
      </w:r>
      <w:r w:rsidR="00BB440C" w:rsidRPr="00ED7F0F">
        <w:t> </w:t>
      </w:r>
      <w:r w:rsidRPr="00ED7F0F">
        <w:t xml:space="preserve">stupeň) a môže </w:t>
      </w:r>
      <w:r w:rsidR="007B5B98" w:rsidRPr="00ED7F0F">
        <w:t xml:space="preserve">byť znova podávaný na úrovni </w:t>
      </w:r>
      <w:r w:rsidRPr="00ED7F0F">
        <w:t>redukovanej dávky pri závažných nežiaducich reakciách (≥</w:t>
      </w:r>
      <w:r w:rsidR="00BB440C" w:rsidRPr="00ED7F0F">
        <w:t> </w:t>
      </w:r>
      <w:r w:rsidRPr="00ED7F0F">
        <w:t>3.</w:t>
      </w:r>
      <w:r w:rsidR="00BB440C" w:rsidRPr="00ED7F0F">
        <w:t> </w:t>
      </w:r>
      <w:r w:rsidRPr="00ED7F0F">
        <w:t>stupeň) (pozri časť</w:t>
      </w:r>
      <w:r w:rsidR="00BB440C" w:rsidRPr="00ED7F0F">
        <w:t> </w:t>
      </w:r>
      <w:r w:rsidRPr="00ED7F0F">
        <w:t>4.2). Pacienti pokračujúci v</w:t>
      </w:r>
      <w:r w:rsidR="00BB440C" w:rsidRPr="00ED7F0F">
        <w:t> </w:t>
      </w:r>
      <w:r w:rsidRPr="00ED7F0F">
        <w:t>liečbe, majú byť pravidelne monitorovaní.</w:t>
      </w:r>
    </w:p>
    <w:p w:rsidR="007F7CF8" w:rsidRPr="00ED7F0F" w:rsidRDefault="007F7CF8" w:rsidP="00122C9F">
      <w:pPr>
        <w:spacing w:line="259" w:lineRule="auto"/>
        <w:ind w:left="34"/>
      </w:pPr>
    </w:p>
    <w:p w:rsidR="007F7CF8" w:rsidRPr="00ED7F0F" w:rsidRDefault="007F7CF8" w:rsidP="00122C9F">
      <w:pPr>
        <w:ind w:left="29"/>
      </w:pPr>
      <w:r w:rsidRPr="00ED7F0F">
        <w:t>Pacienti s</w:t>
      </w:r>
      <w:r w:rsidR="00BB440C" w:rsidRPr="00ED7F0F">
        <w:t> </w:t>
      </w:r>
      <w:r w:rsidRPr="00ED7F0F">
        <w:t>nekontrolovaným alebo závažným kardiovaskulárnym ochorením neboli zaradení do klinických štúdií.</w:t>
      </w:r>
    </w:p>
    <w:p w:rsidR="007F7CF8" w:rsidRPr="00ED7F0F" w:rsidRDefault="007F7CF8" w:rsidP="00122C9F">
      <w:pPr>
        <w:spacing w:line="259" w:lineRule="auto"/>
        <w:ind w:left="34"/>
      </w:pPr>
    </w:p>
    <w:p w:rsidR="007F7CF8" w:rsidRPr="00ED7F0F" w:rsidRDefault="007F7CF8" w:rsidP="00122C9F">
      <w:pPr>
        <w:spacing w:line="249" w:lineRule="auto"/>
        <w:ind w:left="29"/>
      </w:pPr>
      <w:r w:rsidRPr="00ED7F0F">
        <w:rPr>
          <w:i/>
          <w:u w:val="single" w:color="000000"/>
        </w:rPr>
        <w:t>Trombotická mikroangiopatia (TMA)</w:t>
      </w:r>
    </w:p>
    <w:p w:rsidR="007F7CF8" w:rsidRPr="00ED7F0F" w:rsidRDefault="007F7CF8" w:rsidP="00122C9F">
      <w:pPr>
        <w:ind w:left="29"/>
      </w:pPr>
      <w:r w:rsidRPr="00ED7F0F">
        <w:t xml:space="preserve">Inhibítory BCR-ABL-tyrozínkinázy sa spájali so vznikom trombotickej mikroangiopatie (TMA), čo zahŕňa hlásenia jednotlivých prípadov hlásených pre </w:t>
      </w:r>
      <w:r w:rsidR="00BB440C" w:rsidRPr="00ED7F0F">
        <w:t>dasatinib</w:t>
      </w:r>
      <w:r w:rsidRPr="00ED7F0F">
        <w:t xml:space="preserve"> (pozri časť</w:t>
      </w:r>
      <w:r w:rsidR="00BB440C" w:rsidRPr="00ED7F0F">
        <w:t> </w:t>
      </w:r>
      <w:r w:rsidRPr="00ED7F0F">
        <w:t>4.8). Ak sa u</w:t>
      </w:r>
      <w:r w:rsidR="00BB440C" w:rsidRPr="00ED7F0F">
        <w:t> </w:t>
      </w:r>
      <w:r w:rsidRPr="00ED7F0F">
        <w:t xml:space="preserve">pacienta, ktorý užíva </w:t>
      </w:r>
      <w:r w:rsidR="00BB440C" w:rsidRPr="00ED7F0F">
        <w:t>dasatinib</w:t>
      </w:r>
      <w:r w:rsidRPr="00ED7F0F">
        <w:t>, spájajú laboratórne alebo klinické nálezy s</w:t>
      </w:r>
      <w:r w:rsidR="00BB440C" w:rsidRPr="00ED7F0F">
        <w:t> </w:t>
      </w:r>
      <w:r w:rsidRPr="00ED7F0F">
        <w:t>výskytom TMA, liečba</w:t>
      </w:r>
      <w:r w:rsidR="00BB440C" w:rsidRPr="00ED7F0F">
        <w:t xml:space="preserve"> dasatinibom</w:t>
      </w:r>
      <w:r w:rsidRPr="00ED7F0F">
        <w:t xml:space="preserve"> sa má prerušiť a má sa vykonať dôkladné vyhodnotenie TMA vrátane aktivity ADAMTS13 a stanovenia protilátok proti ADAMTS13. Ak sú zvýšené protilátky proti ADAMTS13 v</w:t>
      </w:r>
      <w:r w:rsidR="00BB440C" w:rsidRPr="00ED7F0F">
        <w:t> </w:t>
      </w:r>
      <w:r w:rsidRPr="00ED7F0F">
        <w:t>kombinácii s</w:t>
      </w:r>
      <w:r w:rsidR="00BB440C" w:rsidRPr="00ED7F0F">
        <w:t> </w:t>
      </w:r>
      <w:r w:rsidRPr="00ED7F0F">
        <w:t>nízkou aktivitou ADAMTS13, v</w:t>
      </w:r>
      <w:r w:rsidR="00BB440C" w:rsidRPr="00ED7F0F">
        <w:t> </w:t>
      </w:r>
      <w:r w:rsidRPr="00ED7F0F">
        <w:t xml:space="preserve">liečbe </w:t>
      </w:r>
      <w:r w:rsidR="007B5B98" w:rsidRPr="00ED7F0F">
        <w:t>dasatinibom</w:t>
      </w:r>
      <w:r w:rsidRPr="00ED7F0F">
        <w:t xml:space="preserve"> sa nesmie pokračovať.</w:t>
      </w:r>
    </w:p>
    <w:p w:rsidR="007F7CF8" w:rsidRPr="00ED7F0F" w:rsidRDefault="007F7CF8" w:rsidP="00122C9F">
      <w:pPr>
        <w:spacing w:line="259" w:lineRule="auto"/>
        <w:ind w:left="34"/>
      </w:pPr>
    </w:p>
    <w:p w:rsidR="003E28EF" w:rsidRPr="00ED7F0F" w:rsidRDefault="007F7CF8" w:rsidP="00122C9F">
      <w:pPr>
        <w:spacing w:line="249" w:lineRule="auto"/>
        <w:ind w:left="29"/>
        <w:rPr>
          <w:i/>
        </w:rPr>
      </w:pPr>
      <w:r w:rsidRPr="00ED7F0F">
        <w:rPr>
          <w:i/>
          <w:u w:val="single" w:color="000000"/>
        </w:rPr>
        <w:t>Reaktivácia hepatitídy B</w:t>
      </w:r>
    </w:p>
    <w:p w:rsidR="007F7CF8" w:rsidRPr="00ED7F0F" w:rsidRDefault="007F7CF8" w:rsidP="00122C9F">
      <w:pPr>
        <w:ind w:left="29"/>
      </w:pPr>
      <w:r w:rsidRPr="00ED7F0F">
        <w:t>Reaktivácia hepatitídy B u</w:t>
      </w:r>
      <w:r w:rsidR="00BB440C" w:rsidRPr="00ED7F0F">
        <w:t> </w:t>
      </w:r>
      <w:r w:rsidRPr="00ED7F0F">
        <w:t>pacientov, ktorí sú chronickými prenášačmi tohto vírusu, sa vyskytla v</w:t>
      </w:r>
      <w:r w:rsidR="00BB440C" w:rsidRPr="00ED7F0F">
        <w:t> </w:t>
      </w:r>
      <w:r w:rsidRPr="00ED7F0F">
        <w:t>prípade, že títo pacienti užívali inhibítory BCR-ABL-tyrozínkinázy. Niektoré prípady viedli k</w:t>
      </w:r>
      <w:r w:rsidR="00BB440C" w:rsidRPr="00ED7F0F">
        <w:t> </w:t>
      </w:r>
      <w:r w:rsidRPr="00ED7F0F">
        <w:t>akútnemu zlyhaniu pečene alebo k</w:t>
      </w:r>
      <w:r w:rsidR="00BB440C" w:rsidRPr="00ED7F0F">
        <w:t> </w:t>
      </w:r>
      <w:r w:rsidRPr="00ED7F0F">
        <w:t>fulminantnej hepatitíde, ktorých výsledkom bola transplantácia pečene alebo úmrtie.</w:t>
      </w:r>
    </w:p>
    <w:p w:rsidR="007F7CF8" w:rsidRPr="00ED7F0F" w:rsidRDefault="007F7CF8" w:rsidP="00122C9F">
      <w:pPr>
        <w:ind w:left="29"/>
      </w:pPr>
      <w:r w:rsidRPr="00ED7F0F">
        <w:t xml:space="preserve">Pacienti majú byť vyšetrení na HBV infekciu pred začatím liečby </w:t>
      </w:r>
      <w:r w:rsidR="00BB440C" w:rsidRPr="00ED7F0F">
        <w:t>Dasatinibom Mylan</w:t>
      </w:r>
      <w:r w:rsidRPr="00ED7F0F">
        <w:t>. Pred začatím liečby u</w:t>
      </w:r>
      <w:r w:rsidR="00BB440C" w:rsidRPr="00ED7F0F">
        <w:t> </w:t>
      </w:r>
      <w:r w:rsidRPr="00ED7F0F">
        <w:t>pacientov s</w:t>
      </w:r>
      <w:r w:rsidR="00BB440C" w:rsidRPr="00ED7F0F">
        <w:t> </w:t>
      </w:r>
      <w:r w:rsidRPr="00ED7F0F">
        <w:t>pozitívnym sérologickým testom na hepatitídu B (vrátane pacientov s</w:t>
      </w:r>
      <w:r w:rsidR="00BB440C" w:rsidRPr="00ED7F0F">
        <w:t> </w:t>
      </w:r>
      <w:r w:rsidRPr="00ED7F0F">
        <w:t>aktívnym ochorením) a</w:t>
      </w:r>
      <w:r w:rsidR="00BB440C" w:rsidRPr="00ED7F0F">
        <w:t> </w:t>
      </w:r>
      <w:r w:rsidRPr="00ED7F0F">
        <w:t>u</w:t>
      </w:r>
      <w:r w:rsidR="00BB440C" w:rsidRPr="00ED7F0F">
        <w:t> </w:t>
      </w:r>
      <w:r w:rsidRPr="00ED7F0F">
        <w:t>pacientov s</w:t>
      </w:r>
      <w:r w:rsidR="00BB440C" w:rsidRPr="00ED7F0F">
        <w:t> </w:t>
      </w:r>
      <w:r w:rsidRPr="00ED7F0F">
        <w:t>pozitívnym testom na HBV infekciu počas liečby je potrebn</w:t>
      </w:r>
      <w:r w:rsidR="007B5B98" w:rsidRPr="00ED7F0F">
        <w:t>á</w:t>
      </w:r>
      <w:r w:rsidRPr="00ED7F0F">
        <w:t xml:space="preserve"> konzult</w:t>
      </w:r>
      <w:r w:rsidR="007B5B98" w:rsidRPr="00ED7F0F">
        <w:t>ácia</w:t>
      </w:r>
      <w:r w:rsidRPr="00ED7F0F">
        <w:t xml:space="preserve"> s</w:t>
      </w:r>
      <w:r w:rsidR="00BB440C" w:rsidRPr="00ED7F0F">
        <w:t> </w:t>
      </w:r>
      <w:r w:rsidRPr="00ED7F0F">
        <w:t xml:space="preserve">odborníkmi na ochorenia pečene a liečbu hepatitídy B. Prenášači vírusu HBV, ktorí potrebujú liečbu </w:t>
      </w:r>
      <w:r w:rsidR="00BB440C" w:rsidRPr="00ED7F0F">
        <w:t>Dasatinibom Mylan</w:t>
      </w:r>
      <w:r w:rsidRPr="00ED7F0F">
        <w:t>, majú byť pozorne sledovaní na prejavy a</w:t>
      </w:r>
      <w:r w:rsidR="00BB440C" w:rsidRPr="00ED7F0F">
        <w:t> </w:t>
      </w:r>
      <w:r w:rsidRPr="00ED7F0F">
        <w:t>príznaky aktívnej HBV infekcie počas celej liečby a niekoľko mesiacov po ukončení liečby (pozri časť</w:t>
      </w:r>
      <w:r w:rsidR="00BB440C" w:rsidRPr="00ED7F0F">
        <w:t> </w:t>
      </w:r>
      <w:r w:rsidRPr="00ED7F0F">
        <w:t>4.8).</w:t>
      </w:r>
    </w:p>
    <w:p w:rsidR="007F7CF8" w:rsidRPr="00ED7F0F" w:rsidRDefault="007F7CF8" w:rsidP="00122C9F">
      <w:pPr>
        <w:spacing w:line="259" w:lineRule="auto"/>
        <w:ind w:left="34"/>
      </w:pPr>
    </w:p>
    <w:p w:rsidR="007F7CF8" w:rsidRPr="00ED7F0F" w:rsidRDefault="007F7CF8" w:rsidP="00122C9F">
      <w:pPr>
        <w:keepNext/>
        <w:spacing w:line="250" w:lineRule="auto"/>
        <w:ind w:left="28"/>
      </w:pPr>
      <w:r w:rsidRPr="00ED7F0F">
        <w:rPr>
          <w:i/>
          <w:u w:val="single" w:color="000000"/>
        </w:rPr>
        <w:t>Účinky na rast a</w:t>
      </w:r>
      <w:r w:rsidR="009F4641" w:rsidRPr="00ED7F0F">
        <w:rPr>
          <w:i/>
          <w:u w:val="single" w:color="000000"/>
        </w:rPr>
        <w:t> </w:t>
      </w:r>
      <w:r w:rsidRPr="00ED7F0F">
        <w:rPr>
          <w:i/>
          <w:u w:val="single" w:color="000000"/>
        </w:rPr>
        <w:t>vývoj u</w:t>
      </w:r>
      <w:r w:rsidR="009F4641" w:rsidRPr="00ED7F0F">
        <w:rPr>
          <w:i/>
          <w:u w:val="single" w:color="000000"/>
        </w:rPr>
        <w:t> </w:t>
      </w:r>
      <w:r w:rsidRPr="00ED7F0F">
        <w:rPr>
          <w:i/>
          <w:u w:val="single" w:color="000000"/>
        </w:rPr>
        <w:t>pediatrických pacientov</w:t>
      </w:r>
    </w:p>
    <w:p w:rsidR="007F7CF8" w:rsidRPr="00ED7F0F" w:rsidRDefault="007F7CF8" w:rsidP="00122C9F">
      <w:pPr>
        <w:ind w:left="29"/>
      </w:pPr>
      <w:r w:rsidRPr="00ED7F0F">
        <w:t>V</w:t>
      </w:r>
      <w:r w:rsidR="009F4641" w:rsidRPr="00ED7F0F">
        <w:t> </w:t>
      </w:r>
      <w:r w:rsidRPr="00ED7F0F">
        <w:t>pediatrických klinických skúšaniach s</w:t>
      </w:r>
      <w:r w:rsidR="009F4641" w:rsidRPr="00ED7F0F">
        <w:t xml:space="preserve"> dasatinibom </w:t>
      </w:r>
      <w:r w:rsidRPr="00ED7F0F">
        <w:t>s</w:t>
      </w:r>
      <w:r w:rsidR="009F4641" w:rsidRPr="00ED7F0F">
        <w:t> </w:t>
      </w:r>
      <w:r w:rsidRPr="00ED7F0F">
        <w:t>pediatrickými pacientmi s</w:t>
      </w:r>
      <w:r w:rsidR="009F4641" w:rsidRPr="00ED7F0F">
        <w:t> </w:t>
      </w:r>
      <w:r w:rsidRPr="00ED7F0F">
        <w:t>Ph+ CML-CP rezistentnými/intolerantnými na imatinib a</w:t>
      </w:r>
      <w:r w:rsidR="009F4641" w:rsidRPr="00ED7F0F">
        <w:t> </w:t>
      </w:r>
      <w:r w:rsidRPr="00ED7F0F">
        <w:t>s</w:t>
      </w:r>
      <w:r w:rsidR="009F4641" w:rsidRPr="00ED7F0F">
        <w:t> </w:t>
      </w:r>
      <w:r w:rsidRPr="00ED7F0F">
        <w:t>predtým neliečenými pediatrickými pacientmi s</w:t>
      </w:r>
      <w:r w:rsidR="009F4641" w:rsidRPr="00ED7F0F">
        <w:t> </w:t>
      </w:r>
      <w:r w:rsidRPr="00ED7F0F">
        <w:t>Ph+</w:t>
      </w:r>
      <w:r w:rsidR="00FC4EBA" w:rsidRPr="00ED7F0F">
        <w:t> </w:t>
      </w:r>
      <w:r w:rsidRPr="00ED7F0F">
        <w:t>CML-CP po minimálne 2</w:t>
      </w:r>
      <w:r w:rsidR="009F4641" w:rsidRPr="00ED7F0F">
        <w:t> </w:t>
      </w:r>
      <w:r w:rsidRPr="00ED7F0F">
        <w:t>rokoch liečby sa hlásili nežiaduce udalosti súvisiace s</w:t>
      </w:r>
      <w:r w:rsidR="009F4641" w:rsidRPr="00ED7F0F">
        <w:t> </w:t>
      </w:r>
      <w:r w:rsidRPr="00ED7F0F">
        <w:t>liečbou spojené s</w:t>
      </w:r>
      <w:r w:rsidR="009F4641" w:rsidRPr="00ED7F0F">
        <w:t> </w:t>
      </w:r>
      <w:r w:rsidRPr="00ED7F0F">
        <w:t>rastom kostí a vývojom u</w:t>
      </w:r>
      <w:r w:rsidR="009F4641" w:rsidRPr="00ED7F0F">
        <w:t> </w:t>
      </w:r>
      <w:r w:rsidRPr="00ED7F0F">
        <w:t>6 (4,6</w:t>
      </w:r>
      <w:r w:rsidR="009F4641" w:rsidRPr="00ED7F0F">
        <w:t> </w:t>
      </w:r>
      <w:r w:rsidRPr="00ED7F0F">
        <w:t>%) pacientov, jedna z nich bola závažnej intenzity (spomalenie rastu 3.</w:t>
      </w:r>
      <w:r w:rsidR="009F4641" w:rsidRPr="00ED7F0F">
        <w:t> </w:t>
      </w:r>
      <w:r w:rsidRPr="00ED7F0F">
        <w:t>stupňa). Týchto 6</w:t>
      </w:r>
      <w:r w:rsidR="009F4641" w:rsidRPr="00ED7F0F">
        <w:t> </w:t>
      </w:r>
      <w:r w:rsidRPr="00ED7F0F">
        <w:t>hlásení zahŕňalo hlásenia oneskorenej fúzie epifýz, osteopéniu, spomalenie rastu a</w:t>
      </w:r>
      <w:r w:rsidR="009F4641" w:rsidRPr="00ED7F0F">
        <w:t> </w:t>
      </w:r>
      <w:r w:rsidRPr="00ED7F0F">
        <w:t>gynekomastiu (pozri časť</w:t>
      </w:r>
      <w:r w:rsidR="009F4641" w:rsidRPr="00ED7F0F">
        <w:t> </w:t>
      </w:r>
      <w:r w:rsidRPr="00ED7F0F">
        <w:t>5.1). Tieto výsledky je ťažké interpretovať v</w:t>
      </w:r>
      <w:r w:rsidR="009F4641" w:rsidRPr="00ED7F0F">
        <w:t> </w:t>
      </w:r>
      <w:r w:rsidRPr="00ED7F0F">
        <w:t>kontexte chronických ochorení, ako je CML a</w:t>
      </w:r>
      <w:r w:rsidR="009F4641" w:rsidRPr="00ED7F0F">
        <w:t> </w:t>
      </w:r>
      <w:r w:rsidRPr="00ED7F0F">
        <w:t>je potrebné dlhodobé následné sledovanie.</w:t>
      </w:r>
    </w:p>
    <w:p w:rsidR="007F7CF8" w:rsidRPr="00ED7F0F" w:rsidRDefault="007F7CF8" w:rsidP="00122C9F">
      <w:pPr>
        <w:spacing w:line="259" w:lineRule="auto"/>
        <w:ind w:left="34"/>
      </w:pPr>
    </w:p>
    <w:p w:rsidR="007F7CF8" w:rsidRPr="00ED7F0F" w:rsidRDefault="007F7CF8" w:rsidP="009A0932">
      <w:pPr>
        <w:widowControl w:val="0"/>
        <w:ind w:left="29"/>
      </w:pPr>
      <w:r w:rsidRPr="00ED7F0F">
        <w:t>V</w:t>
      </w:r>
      <w:r w:rsidR="009F4641" w:rsidRPr="00ED7F0F">
        <w:t> </w:t>
      </w:r>
      <w:r w:rsidRPr="00ED7F0F">
        <w:t>pediatrických skúšaniach s</w:t>
      </w:r>
      <w:r w:rsidR="009F4641" w:rsidRPr="00ED7F0F">
        <w:t xml:space="preserve"> dasatinibom </w:t>
      </w:r>
      <w:r w:rsidRPr="00ED7F0F">
        <w:t>v</w:t>
      </w:r>
      <w:r w:rsidR="009F4641" w:rsidRPr="00ED7F0F">
        <w:t> </w:t>
      </w:r>
      <w:r w:rsidRPr="00ED7F0F">
        <w:t>kombinácii s</w:t>
      </w:r>
      <w:r w:rsidR="009F4641" w:rsidRPr="00ED7F0F">
        <w:t> </w:t>
      </w:r>
      <w:r w:rsidRPr="00ED7F0F">
        <w:t>chemoterapiou sa u</w:t>
      </w:r>
      <w:r w:rsidR="00F7713D" w:rsidRPr="00ED7F0F">
        <w:t> </w:t>
      </w:r>
      <w:r w:rsidRPr="00ED7F0F">
        <w:t>novodiagnostikovaných pediatrických pacientov s</w:t>
      </w:r>
      <w:r w:rsidR="009F4641" w:rsidRPr="00ED7F0F">
        <w:t> </w:t>
      </w:r>
      <w:r w:rsidRPr="00ED7F0F">
        <w:t>ALL s</w:t>
      </w:r>
      <w:r w:rsidR="009F4641" w:rsidRPr="00ED7F0F">
        <w:t> </w:t>
      </w:r>
      <w:r w:rsidRPr="00ED7F0F">
        <w:t>Ph+ po maximálne 2</w:t>
      </w:r>
      <w:r w:rsidR="009F4641" w:rsidRPr="00ED7F0F">
        <w:t> </w:t>
      </w:r>
      <w:r w:rsidRPr="00ED7F0F">
        <w:t>rokoch liečby hlásili nežiaduce udalosti súvisiace s</w:t>
      </w:r>
      <w:r w:rsidR="009F4641" w:rsidRPr="00ED7F0F">
        <w:t> </w:t>
      </w:r>
      <w:r w:rsidRPr="00ED7F0F">
        <w:t>liečbou spájajúce sa s</w:t>
      </w:r>
      <w:r w:rsidR="009F4641" w:rsidRPr="00ED7F0F">
        <w:t> </w:t>
      </w:r>
      <w:r w:rsidRPr="00ED7F0F">
        <w:t>rastom kostí a</w:t>
      </w:r>
      <w:r w:rsidR="009F4641" w:rsidRPr="00ED7F0F">
        <w:t> </w:t>
      </w:r>
      <w:r w:rsidRPr="00ED7F0F">
        <w:t>vývojom u</w:t>
      </w:r>
      <w:r w:rsidR="009F4641" w:rsidRPr="00ED7F0F">
        <w:t> </w:t>
      </w:r>
      <w:r w:rsidRPr="00ED7F0F">
        <w:t>1 (0,6</w:t>
      </w:r>
      <w:r w:rsidR="009F4641" w:rsidRPr="00ED7F0F">
        <w:t> </w:t>
      </w:r>
      <w:r w:rsidRPr="00ED7F0F">
        <w:t>%) pacienta. Tento prípad bola osteopénia 1. stupňa.</w:t>
      </w:r>
    </w:p>
    <w:p w:rsidR="007F7CF8" w:rsidRPr="00ED7F0F" w:rsidRDefault="007F7CF8" w:rsidP="009A0932">
      <w:pPr>
        <w:widowControl w:val="0"/>
        <w:spacing w:line="259" w:lineRule="auto"/>
        <w:ind w:left="34"/>
      </w:pPr>
    </w:p>
    <w:p w:rsidR="007F7CF8" w:rsidRPr="00ED7F0F" w:rsidRDefault="007F7CF8" w:rsidP="009A0932">
      <w:pPr>
        <w:pStyle w:val="Nadpis2"/>
        <w:keepNext w:val="0"/>
        <w:keepLines w:val="0"/>
        <w:widowControl w:val="0"/>
        <w:ind w:left="29"/>
      </w:pPr>
      <w:r w:rsidRPr="00ED7F0F">
        <w:t>Pomocné látky</w:t>
      </w:r>
    </w:p>
    <w:p w:rsidR="007F7CF8" w:rsidRPr="00ED7F0F" w:rsidRDefault="007F7CF8" w:rsidP="009A0932">
      <w:pPr>
        <w:widowControl w:val="0"/>
        <w:ind w:left="29"/>
      </w:pPr>
      <w:r w:rsidRPr="00ED7F0F">
        <w:t xml:space="preserve">Tento liek obsahuje monohydrát </w:t>
      </w:r>
      <w:r w:rsidR="008775E0" w:rsidRPr="00ED7F0F">
        <w:t xml:space="preserve">laktózy. </w:t>
      </w:r>
      <w:r w:rsidRPr="00ED7F0F">
        <w:t>Pacienti so zriedkavými dedičnými problémami galaktózovej intolerancie, celkovým deficitom laktázy alebo glukózo-galaktózovou malabsorpciou nesmú užívať tento liek.</w:t>
      </w:r>
    </w:p>
    <w:p w:rsidR="009F4641" w:rsidRPr="00ED7F0F" w:rsidRDefault="009F4641" w:rsidP="00122C9F">
      <w:pPr>
        <w:ind w:left="29"/>
      </w:pPr>
    </w:p>
    <w:p w:rsidR="009F4641" w:rsidRPr="00ED7F0F" w:rsidRDefault="008775E0" w:rsidP="00122C9F">
      <w:pPr>
        <w:ind w:left="29"/>
      </w:pPr>
      <w:r w:rsidRPr="00ED7F0F">
        <w:t>Každá filmom obalená tableta</w:t>
      </w:r>
      <w:r w:rsidR="009F4641" w:rsidRPr="00ED7F0F">
        <w:t xml:space="preserve"> obsahuje menej ako 1 mmol (23 mg) sodíka.</w:t>
      </w:r>
    </w:p>
    <w:p w:rsidR="00812D16" w:rsidRPr="00ED7F0F" w:rsidRDefault="00812D16" w:rsidP="00122C9F">
      <w:pPr>
        <w:spacing w:line="240" w:lineRule="auto"/>
        <w:outlineLvl w:val="0"/>
      </w:pPr>
    </w:p>
    <w:p w:rsidR="00812D16" w:rsidRPr="00ED7F0F" w:rsidRDefault="005D45FC" w:rsidP="00122C9F">
      <w:pPr>
        <w:keepNext/>
        <w:numPr>
          <w:ilvl w:val="1"/>
          <w:numId w:val="5"/>
        </w:numPr>
        <w:spacing w:line="240" w:lineRule="auto"/>
        <w:outlineLvl w:val="0"/>
      </w:pPr>
      <w:r w:rsidRPr="00ED7F0F">
        <w:rPr>
          <w:b/>
        </w:rPr>
        <w:t>Liekové a iné interakcie</w:t>
      </w:r>
    </w:p>
    <w:p w:rsidR="00812D16" w:rsidRPr="00ED7F0F" w:rsidRDefault="00812D16" w:rsidP="00122C9F">
      <w:pPr>
        <w:keepNext/>
        <w:spacing w:line="240" w:lineRule="auto"/>
        <w:rPr>
          <w:u w:val="single"/>
        </w:rPr>
      </w:pPr>
    </w:p>
    <w:p w:rsidR="00C36014" w:rsidRPr="00ED7F0F" w:rsidRDefault="00C36014" w:rsidP="00122C9F">
      <w:pPr>
        <w:spacing w:line="240" w:lineRule="auto"/>
        <w:rPr>
          <w:u w:val="single"/>
        </w:rPr>
      </w:pPr>
      <w:r w:rsidRPr="00ED7F0F">
        <w:rPr>
          <w:u w:val="single"/>
        </w:rPr>
        <w:t>Liečivá, ktoré môžu zvýšiť plazmatické koncentrácie dasatinibu</w:t>
      </w:r>
    </w:p>
    <w:p w:rsidR="00C36014" w:rsidRPr="00ED7F0F" w:rsidRDefault="00C36014" w:rsidP="00122C9F">
      <w:pPr>
        <w:spacing w:line="240" w:lineRule="auto"/>
      </w:pPr>
      <w:r w:rsidRPr="00ED7F0F">
        <w:t xml:space="preserve">Štúdie </w:t>
      </w:r>
      <w:r w:rsidRPr="00ED7F0F">
        <w:rPr>
          <w:i/>
          <w:iCs/>
        </w:rPr>
        <w:t>in vitro</w:t>
      </w:r>
      <w:r w:rsidRPr="00ED7F0F">
        <w:t xml:space="preserve"> poukazujú na to, že dasatinib je substrátom CYP3A4. Súbežné užívanie dasatinibu a</w:t>
      </w:r>
      <w:r w:rsidR="00AB6D63" w:rsidRPr="00ED7F0F">
        <w:t> </w:t>
      </w:r>
      <w:r w:rsidRPr="00ED7F0F">
        <w:t>liekov alebo látok, ktoré silne inhibujú CYP3A4 (napr. ketokonazol, itrakonazol, erytromycín, klaritromycín, ritonavir, telitromycín, grapefruitový džús) môže zvýšiť expozíciu dasatinibu. Preto sa u</w:t>
      </w:r>
      <w:r w:rsidR="00AB6D63" w:rsidRPr="00ED7F0F">
        <w:t> </w:t>
      </w:r>
      <w:r w:rsidRPr="00ED7F0F">
        <w:t>pacientov liečených dasatinibom neodporúča systémové podávanie silného inhibítora CYP3A4.</w:t>
      </w:r>
    </w:p>
    <w:p w:rsidR="00C36014" w:rsidRPr="00ED7F0F" w:rsidRDefault="00C36014" w:rsidP="00122C9F">
      <w:pPr>
        <w:spacing w:line="240" w:lineRule="auto"/>
      </w:pPr>
    </w:p>
    <w:p w:rsidR="00C36014" w:rsidRPr="00ED7F0F" w:rsidRDefault="00C36014" w:rsidP="00122C9F">
      <w:pPr>
        <w:spacing w:line="240" w:lineRule="auto"/>
      </w:pPr>
      <w:r w:rsidRPr="00ED7F0F">
        <w:t>V</w:t>
      </w:r>
      <w:r w:rsidR="00AB6D63" w:rsidRPr="00ED7F0F">
        <w:t> </w:t>
      </w:r>
      <w:r w:rsidRPr="00ED7F0F">
        <w:t>klinicky relevantných koncentráciách sa približne 96</w:t>
      </w:r>
      <w:r w:rsidR="00AB6D63" w:rsidRPr="00ED7F0F">
        <w:t> </w:t>
      </w:r>
      <w:r w:rsidRPr="00ED7F0F">
        <w:t>% dasatinibu viaže na plazmatické proteíny na základe in vitro experimentov. Neboli vykonané štúdie hodnotiace interakcie dasatinibu s</w:t>
      </w:r>
      <w:r w:rsidR="009A1D74" w:rsidRPr="00ED7F0F">
        <w:t> </w:t>
      </w:r>
      <w:r w:rsidRPr="00ED7F0F">
        <w:t xml:space="preserve">inými liekmi viažucimi sa na proteíny. Potenciál pre </w:t>
      </w:r>
      <w:r w:rsidR="008775E0" w:rsidRPr="00ED7F0F">
        <w:t>vytesňovanie</w:t>
      </w:r>
      <w:r w:rsidRPr="00ED7F0F">
        <w:t xml:space="preserve"> a je</w:t>
      </w:r>
      <w:r w:rsidR="008775E0" w:rsidRPr="00ED7F0F">
        <w:t>ho</w:t>
      </w:r>
      <w:r w:rsidRPr="00ED7F0F">
        <w:t xml:space="preserve"> klinická dôležitosť nie je známa.</w:t>
      </w:r>
    </w:p>
    <w:p w:rsidR="00C36014" w:rsidRPr="00ED7F0F" w:rsidRDefault="00C36014" w:rsidP="00122C9F">
      <w:pPr>
        <w:spacing w:line="240" w:lineRule="auto"/>
      </w:pPr>
    </w:p>
    <w:p w:rsidR="00C36014" w:rsidRPr="00ED7F0F" w:rsidRDefault="00C36014" w:rsidP="00122C9F">
      <w:pPr>
        <w:spacing w:line="240" w:lineRule="auto"/>
        <w:rPr>
          <w:u w:val="single"/>
        </w:rPr>
      </w:pPr>
      <w:r w:rsidRPr="00ED7F0F">
        <w:rPr>
          <w:u w:val="single"/>
        </w:rPr>
        <w:t>Liečivá, ktoré môžu znížiť plazmatické koncentrácie dasatinibu</w:t>
      </w:r>
    </w:p>
    <w:p w:rsidR="00C36014" w:rsidRPr="00ED7F0F" w:rsidRDefault="00C36014" w:rsidP="00122C9F">
      <w:pPr>
        <w:spacing w:line="240" w:lineRule="auto"/>
      </w:pPr>
      <w:r w:rsidRPr="00ED7F0F">
        <w:t>Keď sa dasatinib podával</w:t>
      </w:r>
      <w:r w:rsidR="008775E0" w:rsidRPr="00ED7F0F">
        <w:rPr>
          <w:szCs w:val="22"/>
        </w:rPr>
        <w:t xml:space="preserve"> po 8 dňoch, keď sa raz denne večer podával v dávke 600 mg rifampicín</w:t>
      </w:r>
      <w:r w:rsidRPr="00ED7F0F">
        <w:t>, silným induktor CYP3A4, hodnota AUC dasatinibu sa znížila o</w:t>
      </w:r>
      <w:r w:rsidR="009A1D74" w:rsidRPr="00ED7F0F">
        <w:t> </w:t>
      </w:r>
      <w:r w:rsidRPr="00ED7F0F">
        <w:t>82</w:t>
      </w:r>
      <w:r w:rsidR="009A1D74" w:rsidRPr="00ED7F0F">
        <w:t> </w:t>
      </w:r>
      <w:r w:rsidRPr="00ED7F0F">
        <w:t xml:space="preserve">%. Iné lieky, ktoré indukujú aktivitu CYP3A4 (napr. dexametazón, fenytoín, karbamazepín, fenobarbital alebo rastlinné lieky obsahujúce </w:t>
      </w:r>
      <w:r w:rsidRPr="00ED7F0F">
        <w:rPr>
          <w:i/>
          <w:iCs/>
        </w:rPr>
        <w:t>Hypericum perforatum</w:t>
      </w:r>
      <w:r w:rsidRPr="00ED7F0F">
        <w:t xml:space="preserve">, známy aj ako </w:t>
      </w:r>
      <w:r w:rsidR="008775E0" w:rsidRPr="00ED7F0F">
        <w:t>ľ</w:t>
      </w:r>
      <w:r w:rsidRPr="00ED7F0F">
        <w:t>ubovník bodkovaný), môžu tiež zvýšiť metabolizmus a znížiť plazmatické koncentrácie dasatinibu. Z</w:t>
      </w:r>
      <w:r w:rsidR="009A1D74" w:rsidRPr="00ED7F0F">
        <w:t> </w:t>
      </w:r>
      <w:r w:rsidRPr="00ED7F0F">
        <w:t>tohto dôvodu sa neodporúča súbežné užívanie silných induktorov CYP3A4 s</w:t>
      </w:r>
      <w:r w:rsidR="009A1D74" w:rsidRPr="00ED7F0F">
        <w:t> </w:t>
      </w:r>
      <w:r w:rsidRPr="00ED7F0F">
        <w:t>dasatinibom. U</w:t>
      </w:r>
      <w:r w:rsidR="009A1D74" w:rsidRPr="00ED7F0F">
        <w:t> </w:t>
      </w:r>
      <w:r w:rsidRPr="00ED7F0F">
        <w:t>pacientov, u</w:t>
      </w:r>
      <w:r w:rsidR="009A1D74" w:rsidRPr="00ED7F0F">
        <w:t> </w:t>
      </w:r>
      <w:r w:rsidRPr="00ED7F0F">
        <w:t>ktorých je indikovaný rifampicín alebo iné induktory CYP3A4, sa majú použiť alternatívne lieky s</w:t>
      </w:r>
      <w:r w:rsidR="009A1D74" w:rsidRPr="00ED7F0F">
        <w:t> </w:t>
      </w:r>
      <w:r w:rsidRPr="00ED7F0F">
        <w:t>menším potenciálom pre enzýmovú indukciu.</w:t>
      </w:r>
      <w:r w:rsidR="008775E0" w:rsidRPr="00ED7F0F">
        <w:t xml:space="preserve"> Súbežné používanie dexametazónu, slabého induktora CYP3A4, s dasatinibom je možné; predpokladá sa, že AUC dasatinibu sa pri súbežnom používaní s dexametazónom zníži približne o 25 %, čo pravdepodobne nie je klinicky významné.</w:t>
      </w:r>
    </w:p>
    <w:p w:rsidR="00C36014" w:rsidRPr="00ED7F0F" w:rsidRDefault="00C36014" w:rsidP="00122C9F">
      <w:pPr>
        <w:spacing w:line="240" w:lineRule="auto"/>
      </w:pPr>
    </w:p>
    <w:p w:rsidR="00C36014" w:rsidRPr="00ED7F0F" w:rsidRDefault="00C36014" w:rsidP="00122C9F">
      <w:pPr>
        <w:spacing w:line="240" w:lineRule="auto"/>
        <w:rPr>
          <w:i/>
          <w:iCs/>
          <w:u w:val="single"/>
        </w:rPr>
      </w:pPr>
      <w:r w:rsidRPr="00ED7F0F">
        <w:rPr>
          <w:i/>
          <w:iCs/>
          <w:u w:val="single"/>
        </w:rPr>
        <w:t>Antagonisty H2-histamínového receptora a inhibítory protónovej pumpy</w:t>
      </w:r>
    </w:p>
    <w:p w:rsidR="00C36014" w:rsidRPr="00ED7F0F" w:rsidRDefault="00C36014" w:rsidP="00122C9F">
      <w:pPr>
        <w:spacing w:line="240" w:lineRule="auto"/>
      </w:pPr>
      <w:r w:rsidRPr="00ED7F0F">
        <w:t>Dlhodobá supresia sekrécie žalúdočnej kyseliny spôsobená H</w:t>
      </w:r>
      <w:r w:rsidRPr="00ED7F0F">
        <w:rPr>
          <w:vertAlign w:val="subscript"/>
        </w:rPr>
        <w:t>2</w:t>
      </w:r>
      <w:r w:rsidRPr="00ED7F0F">
        <w:t>-antagonistami alebo inhibítormi protónovej pumpy (napr. famotidínom a omeprazolom) pravdepodobne zníži expozíciu dasatinibu. V</w:t>
      </w:r>
      <w:r w:rsidR="009A1D74" w:rsidRPr="00ED7F0F">
        <w:t> </w:t>
      </w:r>
      <w:r w:rsidRPr="00ED7F0F">
        <w:t>štúdii jednorazovej dávky u</w:t>
      </w:r>
      <w:r w:rsidR="009A1D74" w:rsidRPr="00ED7F0F">
        <w:t> </w:t>
      </w:r>
      <w:r w:rsidRPr="00ED7F0F">
        <w:t>zdravých jedincov podanie famotidínu 10</w:t>
      </w:r>
      <w:r w:rsidR="009A1D74" w:rsidRPr="00ED7F0F">
        <w:t> </w:t>
      </w:r>
      <w:r w:rsidRPr="00ED7F0F">
        <w:t>hodín pred jednorazovou dávkou dasatinibu znížilo expozíciu dasatinibu o</w:t>
      </w:r>
      <w:r w:rsidR="009A1D74" w:rsidRPr="00ED7F0F">
        <w:t> </w:t>
      </w:r>
      <w:r w:rsidRPr="00ED7F0F">
        <w:t>61</w:t>
      </w:r>
      <w:r w:rsidR="009A1D74" w:rsidRPr="00ED7F0F">
        <w:t> </w:t>
      </w:r>
      <w:r w:rsidRPr="00ED7F0F">
        <w:t>%. V štúdii so14 zdravými dobrovoľníkmi pri podaní jednorazovej 100</w:t>
      </w:r>
      <w:r w:rsidR="009A1D74" w:rsidRPr="00ED7F0F">
        <w:t> </w:t>
      </w:r>
      <w:r w:rsidRPr="00ED7F0F">
        <w:t>mg dávky dasatinibu 22</w:t>
      </w:r>
      <w:r w:rsidR="009A1D74" w:rsidRPr="00ED7F0F">
        <w:t> </w:t>
      </w:r>
      <w:r w:rsidRPr="00ED7F0F">
        <w:t>hodín po</w:t>
      </w:r>
      <w:r w:rsidR="008775E0" w:rsidRPr="00ED7F0F">
        <w:t xml:space="preserve"> štyroch dňoch podávania</w:t>
      </w:r>
      <w:r w:rsidRPr="00ED7F0F">
        <w:t xml:space="preserve"> 40</w:t>
      </w:r>
      <w:r w:rsidR="009A1D74" w:rsidRPr="00ED7F0F">
        <w:t> </w:t>
      </w:r>
      <w:r w:rsidRPr="00ED7F0F">
        <w:t>mg dávk</w:t>
      </w:r>
      <w:r w:rsidR="008775E0" w:rsidRPr="00ED7F0F">
        <w:t>y</w:t>
      </w:r>
      <w:r w:rsidRPr="00ED7F0F">
        <w:t xml:space="preserve"> omeprazolu v</w:t>
      </w:r>
      <w:r w:rsidR="009A1D74" w:rsidRPr="00ED7F0F">
        <w:t> </w:t>
      </w:r>
      <w:r w:rsidRPr="00ED7F0F">
        <w:t>rovnovážnom stave</w:t>
      </w:r>
      <w:r w:rsidR="0066654C" w:rsidRPr="00ED7F0F">
        <w:t xml:space="preserve"> sa znížila</w:t>
      </w:r>
      <w:r w:rsidRPr="00ED7F0F">
        <w:t xml:space="preserve"> hodnot</w:t>
      </w:r>
      <w:r w:rsidR="0066654C" w:rsidRPr="00ED7F0F">
        <w:t>a</w:t>
      </w:r>
      <w:r w:rsidRPr="00ED7F0F">
        <w:t xml:space="preserve"> AUC dasatinibu o</w:t>
      </w:r>
      <w:r w:rsidR="009A1D74" w:rsidRPr="00ED7F0F">
        <w:t> </w:t>
      </w:r>
      <w:r w:rsidRPr="00ED7F0F">
        <w:t>43</w:t>
      </w:r>
      <w:r w:rsidR="009A1D74" w:rsidRPr="00ED7F0F">
        <w:t> </w:t>
      </w:r>
      <w:r w:rsidRPr="00ED7F0F">
        <w:t>% a hodnot</w:t>
      </w:r>
      <w:r w:rsidR="0066654C" w:rsidRPr="00ED7F0F">
        <w:t>a</w:t>
      </w:r>
      <w:r w:rsidRPr="00ED7F0F">
        <w:t xml:space="preserve"> C</w:t>
      </w:r>
      <w:r w:rsidRPr="00ED7F0F">
        <w:rPr>
          <w:vertAlign w:val="subscript"/>
        </w:rPr>
        <w:t xml:space="preserve">max </w:t>
      </w:r>
      <w:r w:rsidRPr="00ED7F0F">
        <w:t>dasatinibu o</w:t>
      </w:r>
      <w:r w:rsidR="009A1D74" w:rsidRPr="00ED7F0F">
        <w:t> </w:t>
      </w:r>
      <w:r w:rsidRPr="00ED7F0F">
        <w:t>42</w:t>
      </w:r>
      <w:r w:rsidR="009A1D74" w:rsidRPr="00ED7F0F">
        <w:t> </w:t>
      </w:r>
      <w:r w:rsidRPr="00ED7F0F">
        <w:t>%. U</w:t>
      </w:r>
      <w:r w:rsidR="009A1D74" w:rsidRPr="00ED7F0F">
        <w:t> </w:t>
      </w:r>
      <w:r w:rsidRPr="00ED7F0F">
        <w:t>pacientov liečených dasatinibom sa má namiesto H2-antagonistov alebo inhibítorov protónovej pumpy zvážiť použitie antacíd (pozri časť</w:t>
      </w:r>
      <w:r w:rsidR="009A1D74" w:rsidRPr="00ED7F0F">
        <w:t> </w:t>
      </w:r>
      <w:r w:rsidRPr="00ED7F0F">
        <w:t>4.4).</w:t>
      </w:r>
    </w:p>
    <w:p w:rsidR="00C36014" w:rsidRPr="00ED7F0F" w:rsidRDefault="00C36014" w:rsidP="00122C9F">
      <w:pPr>
        <w:spacing w:line="240" w:lineRule="auto"/>
      </w:pPr>
    </w:p>
    <w:p w:rsidR="00C36014" w:rsidRPr="00ED7F0F" w:rsidRDefault="00C36014" w:rsidP="00122C9F">
      <w:pPr>
        <w:spacing w:line="240" w:lineRule="auto"/>
        <w:rPr>
          <w:i/>
          <w:iCs/>
          <w:u w:val="single"/>
        </w:rPr>
      </w:pPr>
      <w:r w:rsidRPr="00ED7F0F">
        <w:rPr>
          <w:i/>
          <w:iCs/>
          <w:u w:val="single"/>
        </w:rPr>
        <w:t>Antacidá</w:t>
      </w:r>
    </w:p>
    <w:p w:rsidR="00C36014" w:rsidRPr="00ED7F0F" w:rsidRDefault="00C36014" w:rsidP="00122C9F">
      <w:pPr>
        <w:spacing w:line="240" w:lineRule="auto"/>
      </w:pPr>
      <w:r w:rsidRPr="00ED7F0F">
        <w:t>Predklinické údaje potvrdzujú, že rozpustnosť dasatinibu závisí od pH. U</w:t>
      </w:r>
      <w:r w:rsidR="009A1D74" w:rsidRPr="00ED7F0F">
        <w:t> </w:t>
      </w:r>
      <w:r w:rsidRPr="00ED7F0F">
        <w:t>zdravých jedincov súbežné užívanie antacíd obsahujúcich hydroxid hlinitý/hydroxid horečnatý s</w:t>
      </w:r>
      <w:r w:rsidR="009A1D74" w:rsidRPr="00ED7F0F">
        <w:t> </w:t>
      </w:r>
      <w:r w:rsidRPr="00ED7F0F">
        <w:t>dasatinibom znížilo hodnotu AUC jednorazovej dávky dasatinibu o</w:t>
      </w:r>
      <w:r w:rsidR="009A1D74" w:rsidRPr="00ED7F0F">
        <w:t> </w:t>
      </w:r>
      <w:r w:rsidRPr="00ED7F0F">
        <w:t>55</w:t>
      </w:r>
      <w:r w:rsidR="009A1D74" w:rsidRPr="00ED7F0F">
        <w:t> </w:t>
      </w:r>
      <w:r w:rsidRPr="00ED7F0F">
        <w:t>% a C</w:t>
      </w:r>
      <w:r w:rsidRPr="00ED7F0F">
        <w:rPr>
          <w:vertAlign w:val="subscript"/>
        </w:rPr>
        <w:t xml:space="preserve">max </w:t>
      </w:r>
      <w:r w:rsidRPr="00ED7F0F">
        <w:t>o</w:t>
      </w:r>
      <w:r w:rsidR="009A1D74" w:rsidRPr="00ED7F0F">
        <w:t> </w:t>
      </w:r>
      <w:r w:rsidRPr="00ED7F0F">
        <w:t>58</w:t>
      </w:r>
      <w:r w:rsidR="009A1D74" w:rsidRPr="00ED7F0F">
        <w:t> </w:t>
      </w:r>
      <w:r w:rsidRPr="00ED7F0F">
        <w:t>%. Keď však boli antacidá podané 2</w:t>
      </w:r>
      <w:r w:rsidR="009A1D74" w:rsidRPr="00ED7F0F">
        <w:t> </w:t>
      </w:r>
      <w:r w:rsidRPr="00ED7F0F">
        <w:t>hodiny pred jednorazovou dávkou dasatinibu, nepozorovali sa žiadne významné zmeny v</w:t>
      </w:r>
      <w:r w:rsidR="009A1D74" w:rsidRPr="00ED7F0F">
        <w:t> </w:t>
      </w:r>
      <w:r w:rsidRPr="00ED7F0F">
        <w:t>koncentrácii ani expozícii dasatinibu. Z</w:t>
      </w:r>
      <w:r w:rsidR="009A1D74" w:rsidRPr="00ED7F0F">
        <w:t> </w:t>
      </w:r>
      <w:r w:rsidRPr="00ED7F0F">
        <w:t>tohto dôvodu sa antacidá môžu podať 2</w:t>
      </w:r>
      <w:r w:rsidR="009A1D74" w:rsidRPr="00ED7F0F">
        <w:t> </w:t>
      </w:r>
      <w:r w:rsidRPr="00ED7F0F">
        <w:t>hod</w:t>
      </w:r>
      <w:r w:rsidR="0066654C" w:rsidRPr="00ED7F0F">
        <w:t>iny</w:t>
      </w:r>
      <w:r w:rsidRPr="00ED7F0F">
        <w:t xml:space="preserve"> pred alebo 2</w:t>
      </w:r>
      <w:r w:rsidR="009A1D74" w:rsidRPr="00ED7F0F">
        <w:t> </w:t>
      </w:r>
      <w:r w:rsidRPr="00ED7F0F">
        <w:t>hodiny po podaní dasatinibu (pozri časť</w:t>
      </w:r>
      <w:r w:rsidR="009A1D74" w:rsidRPr="00ED7F0F">
        <w:t> </w:t>
      </w:r>
      <w:r w:rsidRPr="00ED7F0F">
        <w:t>4.4).</w:t>
      </w:r>
    </w:p>
    <w:p w:rsidR="00C36014" w:rsidRPr="00ED7F0F" w:rsidRDefault="00C36014" w:rsidP="00122C9F">
      <w:pPr>
        <w:spacing w:line="240" w:lineRule="auto"/>
      </w:pPr>
    </w:p>
    <w:p w:rsidR="00C36014" w:rsidRPr="00ED7F0F" w:rsidRDefault="00C36014" w:rsidP="00122C9F">
      <w:pPr>
        <w:spacing w:line="240" w:lineRule="auto"/>
        <w:rPr>
          <w:u w:val="single"/>
        </w:rPr>
      </w:pPr>
      <w:r w:rsidRPr="00ED7F0F">
        <w:rPr>
          <w:u w:val="single"/>
        </w:rPr>
        <w:t>Liečivá, ktorých plazmatické koncentrácie môže dasatinib ovplyvniť</w:t>
      </w:r>
    </w:p>
    <w:p w:rsidR="00C36014" w:rsidRPr="00ED7F0F" w:rsidRDefault="00C36014" w:rsidP="00122C9F">
      <w:pPr>
        <w:spacing w:line="240" w:lineRule="auto"/>
      </w:pPr>
      <w:r w:rsidRPr="00ED7F0F">
        <w:t>Súbežné užívanie dasatinibu a</w:t>
      </w:r>
      <w:r w:rsidR="009A1D74" w:rsidRPr="00ED7F0F">
        <w:t> </w:t>
      </w:r>
      <w:r w:rsidRPr="00ED7F0F">
        <w:t>substrátu CYP3A4 môže zvýšiť expozíciu substrátu CYP3A4. V</w:t>
      </w:r>
      <w:r w:rsidR="009A1D74" w:rsidRPr="00ED7F0F">
        <w:t> </w:t>
      </w:r>
      <w:r w:rsidRPr="00ED7F0F">
        <w:t>štúdii so zdravými jedincami jednorazová 100</w:t>
      </w:r>
      <w:r w:rsidR="009A1D74" w:rsidRPr="00ED7F0F">
        <w:t> </w:t>
      </w:r>
      <w:r w:rsidRPr="00ED7F0F">
        <w:t>mg dávka dasatinibu zvýšila hodnotu AUC simvastatínu, známeho substrátu CYP3A4, o</w:t>
      </w:r>
      <w:r w:rsidR="009A1D74" w:rsidRPr="00ED7F0F">
        <w:t> </w:t>
      </w:r>
      <w:r w:rsidRPr="00ED7F0F">
        <w:t>20</w:t>
      </w:r>
      <w:r w:rsidR="009A1D74" w:rsidRPr="00ED7F0F">
        <w:t> </w:t>
      </w:r>
      <w:r w:rsidRPr="00ED7F0F">
        <w:t>% a hodnotu C</w:t>
      </w:r>
      <w:r w:rsidRPr="00ED7F0F">
        <w:rPr>
          <w:vertAlign w:val="subscript"/>
        </w:rPr>
        <w:t xml:space="preserve">max </w:t>
      </w:r>
      <w:r w:rsidRPr="00ED7F0F">
        <w:t>simvastatínu o</w:t>
      </w:r>
      <w:r w:rsidR="009A1D74" w:rsidRPr="00ED7F0F">
        <w:t> </w:t>
      </w:r>
      <w:r w:rsidRPr="00ED7F0F">
        <w:t>37</w:t>
      </w:r>
      <w:r w:rsidR="009A1D74" w:rsidRPr="00ED7F0F">
        <w:t> </w:t>
      </w:r>
      <w:r w:rsidRPr="00ED7F0F">
        <w:t>%. Nie je možné vylúčiť, že účinok je väčší po viacnásobných dávkach dasatinibu. Z</w:t>
      </w:r>
      <w:r w:rsidR="009A1D74" w:rsidRPr="00ED7F0F">
        <w:t> </w:t>
      </w:r>
      <w:r w:rsidRPr="00ED7F0F">
        <w:t>tohto dôvodu sa substráty CYP3A4, o</w:t>
      </w:r>
      <w:r w:rsidR="009A1D74" w:rsidRPr="00ED7F0F">
        <w:t> </w:t>
      </w:r>
      <w:r w:rsidRPr="00ED7F0F">
        <w:t xml:space="preserve">ktorých je známe, že majú úzky terapeutický index (napr. astemizol, terfenadín, cisaprid, pimozid, chinidín, bepridil alebo námeľové alkaloidy [ergotamín, dihydroergotamín]), majú podávať </w:t>
      </w:r>
      <w:r w:rsidR="0066654C" w:rsidRPr="00ED7F0F">
        <w:t xml:space="preserve">s </w:t>
      </w:r>
      <w:r w:rsidRPr="00ED7F0F">
        <w:t>opatrn</w:t>
      </w:r>
      <w:r w:rsidR="0066654C" w:rsidRPr="00ED7F0F">
        <w:t>osťou</w:t>
      </w:r>
      <w:r w:rsidRPr="00ED7F0F">
        <w:t xml:space="preserve"> u</w:t>
      </w:r>
      <w:r w:rsidR="009A1D74" w:rsidRPr="00ED7F0F">
        <w:t> </w:t>
      </w:r>
      <w:r w:rsidRPr="00ED7F0F">
        <w:t>pacientov liečených dasatinibom (pozri časť</w:t>
      </w:r>
      <w:r w:rsidR="009A1D74" w:rsidRPr="00ED7F0F">
        <w:t> </w:t>
      </w:r>
      <w:r w:rsidRPr="00ED7F0F">
        <w:t>4.4).</w:t>
      </w:r>
    </w:p>
    <w:p w:rsidR="00C36014" w:rsidRPr="00ED7F0F" w:rsidRDefault="00C36014" w:rsidP="00122C9F">
      <w:pPr>
        <w:spacing w:line="240" w:lineRule="auto"/>
      </w:pPr>
      <w:r w:rsidRPr="00ED7F0F">
        <w:t>In vitro údaje indikujú potenciálne riziko interakcie s CYP2C8 substrátmi ako sú glitazóny.</w:t>
      </w:r>
    </w:p>
    <w:p w:rsidR="009A1D74" w:rsidRPr="00ED7F0F" w:rsidRDefault="009A1D74" w:rsidP="00122C9F">
      <w:pPr>
        <w:spacing w:line="240" w:lineRule="auto"/>
      </w:pPr>
    </w:p>
    <w:p w:rsidR="009A1D74" w:rsidRPr="00ED7F0F" w:rsidRDefault="009A1D74" w:rsidP="00122C9F">
      <w:pPr>
        <w:spacing w:line="240" w:lineRule="auto"/>
        <w:rPr>
          <w:u w:val="single"/>
        </w:rPr>
      </w:pPr>
      <w:r w:rsidRPr="00ED7F0F">
        <w:rPr>
          <w:u w:val="single"/>
        </w:rPr>
        <w:t>Pediatrická populácia</w:t>
      </w:r>
    </w:p>
    <w:p w:rsidR="00812D16" w:rsidRPr="00ED7F0F" w:rsidRDefault="009A1D74" w:rsidP="00122C9F">
      <w:pPr>
        <w:spacing w:line="240" w:lineRule="auto"/>
      </w:pPr>
      <w:r w:rsidRPr="00ED7F0F">
        <w:t>Interakčné štúdie sa uskutočnili len u dospelých.</w:t>
      </w:r>
    </w:p>
    <w:p w:rsidR="009A1D74" w:rsidRPr="00ED7F0F" w:rsidRDefault="009A1D74" w:rsidP="00122C9F">
      <w:pPr>
        <w:spacing w:line="240" w:lineRule="auto"/>
      </w:pPr>
    </w:p>
    <w:p w:rsidR="00812D16" w:rsidRPr="00ED7F0F" w:rsidRDefault="005D45FC" w:rsidP="00122C9F">
      <w:pPr>
        <w:keepNext/>
        <w:numPr>
          <w:ilvl w:val="1"/>
          <w:numId w:val="5"/>
        </w:numPr>
        <w:spacing w:line="240" w:lineRule="auto"/>
        <w:outlineLvl w:val="0"/>
      </w:pPr>
      <w:r w:rsidRPr="00ED7F0F">
        <w:rPr>
          <w:b/>
        </w:rPr>
        <w:t>Fertilita, gravidita a laktácia</w:t>
      </w:r>
    </w:p>
    <w:p w:rsidR="00812D16" w:rsidRPr="00ED7F0F" w:rsidRDefault="00812D16" w:rsidP="00122C9F">
      <w:pPr>
        <w:keepNext/>
        <w:spacing w:line="240" w:lineRule="auto"/>
      </w:pPr>
    </w:p>
    <w:p w:rsidR="00C36014" w:rsidRPr="00ED7F0F" w:rsidRDefault="00C36014" w:rsidP="00122C9F">
      <w:pPr>
        <w:autoSpaceDE w:val="0"/>
        <w:autoSpaceDN w:val="0"/>
        <w:adjustRightInd w:val="0"/>
        <w:rPr>
          <w:rFonts w:eastAsia="TimesNewRoman"/>
          <w:szCs w:val="22"/>
          <w:u w:val="single"/>
          <w:lang w:eastAsia="en-US"/>
        </w:rPr>
      </w:pPr>
      <w:r w:rsidRPr="00ED7F0F">
        <w:rPr>
          <w:rFonts w:eastAsia="TimesNewRoman"/>
          <w:szCs w:val="22"/>
          <w:u w:val="single"/>
          <w:lang w:eastAsia="en-US"/>
        </w:rPr>
        <w:t>Ženy vo fertilnom veku/antikoncepcia u</w:t>
      </w:r>
      <w:r w:rsidR="009A1D74" w:rsidRPr="00ED7F0F">
        <w:rPr>
          <w:rFonts w:eastAsia="TimesNewRoman"/>
          <w:szCs w:val="22"/>
          <w:u w:val="single"/>
          <w:lang w:eastAsia="en-US"/>
        </w:rPr>
        <w:t> </w:t>
      </w:r>
      <w:r w:rsidRPr="00ED7F0F">
        <w:rPr>
          <w:rFonts w:eastAsia="TimesNewRoman"/>
          <w:szCs w:val="22"/>
          <w:u w:val="single"/>
          <w:lang w:eastAsia="en-US"/>
        </w:rPr>
        <w:t>mužov a</w:t>
      </w:r>
      <w:r w:rsidR="009A1D74" w:rsidRPr="00ED7F0F">
        <w:rPr>
          <w:rFonts w:eastAsia="TimesNewRoman"/>
          <w:szCs w:val="22"/>
          <w:u w:val="single"/>
          <w:lang w:eastAsia="en-US"/>
        </w:rPr>
        <w:t> </w:t>
      </w:r>
      <w:r w:rsidRPr="00ED7F0F">
        <w:rPr>
          <w:rFonts w:eastAsia="TimesNewRoman"/>
          <w:szCs w:val="22"/>
          <w:u w:val="single"/>
          <w:lang w:eastAsia="en-US"/>
        </w:rPr>
        <w:t>žien</w:t>
      </w:r>
    </w:p>
    <w:p w:rsidR="00C36014" w:rsidRPr="00ED7F0F" w:rsidRDefault="00C36014" w:rsidP="00122C9F">
      <w:pPr>
        <w:autoSpaceDE w:val="0"/>
        <w:autoSpaceDN w:val="0"/>
        <w:adjustRightInd w:val="0"/>
        <w:rPr>
          <w:rFonts w:eastAsia="TimesNewRoman"/>
          <w:szCs w:val="22"/>
          <w:lang w:eastAsia="en-US"/>
        </w:rPr>
      </w:pPr>
      <w:r w:rsidRPr="00ED7F0F">
        <w:rPr>
          <w:rFonts w:eastAsia="TimesNewRoman"/>
          <w:szCs w:val="22"/>
          <w:lang w:eastAsia="en-US"/>
        </w:rPr>
        <w:t>Sexuálne aktívni muži aj ženy vo fertilnom veku majú počas liečby používať účinnú metódu antikoncepcie.</w:t>
      </w:r>
    </w:p>
    <w:p w:rsidR="00C36014" w:rsidRPr="00ED7F0F" w:rsidRDefault="00C36014" w:rsidP="00122C9F">
      <w:pPr>
        <w:autoSpaceDE w:val="0"/>
        <w:autoSpaceDN w:val="0"/>
        <w:adjustRightInd w:val="0"/>
        <w:rPr>
          <w:rFonts w:eastAsia="TimesNewRoman"/>
          <w:szCs w:val="22"/>
          <w:lang w:eastAsia="en-US"/>
        </w:rPr>
      </w:pPr>
    </w:p>
    <w:p w:rsidR="00C36014" w:rsidRPr="00ED7F0F" w:rsidRDefault="00C36014" w:rsidP="00122C9F">
      <w:pPr>
        <w:autoSpaceDE w:val="0"/>
        <w:autoSpaceDN w:val="0"/>
        <w:adjustRightInd w:val="0"/>
        <w:rPr>
          <w:rFonts w:eastAsia="TimesNewRoman"/>
          <w:szCs w:val="22"/>
          <w:u w:val="single"/>
          <w:lang w:eastAsia="en-US"/>
        </w:rPr>
      </w:pPr>
      <w:r w:rsidRPr="00ED7F0F">
        <w:rPr>
          <w:rFonts w:eastAsia="TimesNewRoman"/>
          <w:szCs w:val="22"/>
          <w:u w:val="single"/>
          <w:lang w:eastAsia="en-US"/>
        </w:rPr>
        <w:t>Gravidita</w:t>
      </w:r>
    </w:p>
    <w:p w:rsidR="00C36014" w:rsidRPr="00ED7F0F" w:rsidRDefault="00C36014" w:rsidP="00122C9F">
      <w:pPr>
        <w:autoSpaceDE w:val="0"/>
        <w:autoSpaceDN w:val="0"/>
        <w:adjustRightInd w:val="0"/>
        <w:rPr>
          <w:rFonts w:eastAsia="TimesNewRoman"/>
          <w:szCs w:val="22"/>
          <w:lang w:eastAsia="en-US"/>
        </w:rPr>
      </w:pPr>
      <w:r w:rsidRPr="00ED7F0F">
        <w:rPr>
          <w:rFonts w:eastAsia="TimesNewRoman"/>
          <w:szCs w:val="22"/>
          <w:lang w:eastAsia="en-US"/>
        </w:rPr>
        <w:t>Na základe skúseností u</w:t>
      </w:r>
      <w:r w:rsidR="009A1D74" w:rsidRPr="00ED7F0F">
        <w:rPr>
          <w:rFonts w:eastAsia="TimesNewRoman"/>
          <w:szCs w:val="22"/>
          <w:lang w:eastAsia="en-US"/>
        </w:rPr>
        <w:t> </w:t>
      </w:r>
      <w:r w:rsidRPr="00ED7F0F">
        <w:rPr>
          <w:rFonts w:eastAsia="TimesNewRoman"/>
          <w:szCs w:val="22"/>
          <w:lang w:eastAsia="en-US"/>
        </w:rPr>
        <w:t>ľudí sa predpokladá, že dasatinib spôsobuje vrodené malformácie vrátane defektov neurálnej trubice a má škodlivé farmakologické účinky na plod, ak sa podáva počas gravidity. Štúdie na zvieratách preukázali reprodukčnú toxicitu (pozri časť</w:t>
      </w:r>
      <w:r w:rsidR="009A1D74" w:rsidRPr="00ED7F0F">
        <w:rPr>
          <w:rFonts w:eastAsia="TimesNewRoman"/>
          <w:szCs w:val="22"/>
          <w:lang w:eastAsia="en-US"/>
        </w:rPr>
        <w:t> </w:t>
      </w:r>
      <w:r w:rsidRPr="00ED7F0F">
        <w:rPr>
          <w:rFonts w:eastAsia="TimesNewRoman"/>
          <w:szCs w:val="22"/>
          <w:lang w:eastAsia="en-US"/>
        </w:rPr>
        <w:t>5.3).</w:t>
      </w:r>
    </w:p>
    <w:p w:rsidR="00C36014" w:rsidRPr="00ED7F0F" w:rsidRDefault="00C36014" w:rsidP="00122C9F">
      <w:pPr>
        <w:autoSpaceDE w:val="0"/>
        <w:autoSpaceDN w:val="0"/>
        <w:adjustRightInd w:val="0"/>
        <w:rPr>
          <w:rFonts w:eastAsia="TimesNewRoman"/>
          <w:szCs w:val="22"/>
          <w:lang w:eastAsia="en-US"/>
        </w:rPr>
      </w:pPr>
      <w:r w:rsidRPr="00ED7F0F">
        <w:rPr>
          <w:rFonts w:eastAsia="TimesNewRoman"/>
          <w:szCs w:val="22"/>
          <w:lang w:eastAsia="en-US"/>
        </w:rPr>
        <w:t xml:space="preserve">Dasatinib </w:t>
      </w:r>
      <w:r w:rsidR="009A1D74" w:rsidRPr="00ED7F0F">
        <w:rPr>
          <w:rFonts w:eastAsia="TimesNewRoman"/>
          <w:szCs w:val="22"/>
          <w:lang w:eastAsia="en-US"/>
        </w:rPr>
        <w:t xml:space="preserve">Mylan </w:t>
      </w:r>
      <w:r w:rsidRPr="00ED7F0F">
        <w:rPr>
          <w:rFonts w:eastAsia="TimesNewRoman"/>
          <w:szCs w:val="22"/>
          <w:lang w:eastAsia="en-US"/>
        </w:rPr>
        <w:t xml:space="preserve">sa nemá používať počas gravidity, ak si klinický stav ženy nevyžaduje liečbu dasatinibom. Ak sa Dasatinib </w:t>
      </w:r>
      <w:r w:rsidR="009A1D74" w:rsidRPr="00ED7F0F">
        <w:rPr>
          <w:rFonts w:eastAsia="TimesNewRoman"/>
          <w:szCs w:val="22"/>
          <w:lang w:eastAsia="en-US"/>
        </w:rPr>
        <w:t>Mylan</w:t>
      </w:r>
      <w:r w:rsidRPr="00ED7F0F">
        <w:rPr>
          <w:rFonts w:eastAsia="TimesNewRoman"/>
          <w:szCs w:val="22"/>
          <w:lang w:eastAsia="en-US"/>
        </w:rPr>
        <w:t xml:space="preserve"> použije počas gravidity, pacientka musí byť informovaná o</w:t>
      </w:r>
      <w:r w:rsidR="009A1D74" w:rsidRPr="00ED7F0F">
        <w:rPr>
          <w:rFonts w:eastAsia="TimesNewRoman"/>
          <w:szCs w:val="22"/>
          <w:lang w:eastAsia="en-US"/>
        </w:rPr>
        <w:t> </w:t>
      </w:r>
      <w:r w:rsidRPr="00ED7F0F">
        <w:rPr>
          <w:rFonts w:eastAsia="TimesNewRoman"/>
          <w:szCs w:val="22"/>
          <w:lang w:eastAsia="en-US"/>
        </w:rPr>
        <w:t>možnom riziku pre plod.</w:t>
      </w:r>
    </w:p>
    <w:p w:rsidR="00C36014" w:rsidRPr="00ED7F0F" w:rsidRDefault="00C36014" w:rsidP="00122C9F">
      <w:pPr>
        <w:autoSpaceDE w:val="0"/>
        <w:autoSpaceDN w:val="0"/>
        <w:adjustRightInd w:val="0"/>
        <w:rPr>
          <w:rFonts w:eastAsia="TimesNewRoman"/>
          <w:szCs w:val="22"/>
          <w:lang w:eastAsia="en-US"/>
        </w:rPr>
      </w:pPr>
    </w:p>
    <w:p w:rsidR="00C36014" w:rsidRPr="00ED7F0F" w:rsidRDefault="00C36014" w:rsidP="00122C9F">
      <w:pPr>
        <w:autoSpaceDE w:val="0"/>
        <w:autoSpaceDN w:val="0"/>
        <w:adjustRightInd w:val="0"/>
        <w:rPr>
          <w:rFonts w:eastAsia="TimesNewRoman"/>
          <w:szCs w:val="22"/>
          <w:u w:val="single"/>
          <w:lang w:eastAsia="en-US"/>
        </w:rPr>
      </w:pPr>
      <w:r w:rsidRPr="00ED7F0F">
        <w:rPr>
          <w:rFonts w:eastAsia="TimesNewRoman"/>
          <w:szCs w:val="22"/>
          <w:u w:val="single"/>
          <w:lang w:eastAsia="en-US"/>
        </w:rPr>
        <w:t>Dojčenie</w:t>
      </w:r>
    </w:p>
    <w:p w:rsidR="00C36014" w:rsidRPr="00ED7F0F" w:rsidRDefault="00C36014" w:rsidP="00122C9F">
      <w:pPr>
        <w:autoSpaceDE w:val="0"/>
        <w:autoSpaceDN w:val="0"/>
        <w:adjustRightInd w:val="0"/>
        <w:rPr>
          <w:rFonts w:eastAsia="TimesNewRoman"/>
          <w:szCs w:val="22"/>
          <w:lang w:eastAsia="en-US"/>
        </w:rPr>
      </w:pPr>
      <w:r w:rsidRPr="00ED7F0F">
        <w:rPr>
          <w:rFonts w:eastAsia="TimesNewRoman"/>
          <w:szCs w:val="22"/>
          <w:lang w:eastAsia="en-US"/>
        </w:rPr>
        <w:t>Existujú nedostatočné/obmedzené informácie o vylučovaní dasatinibu do materského mlieka u ľudí alebo zvierat. Fyzikálno-chemické a dostupné farmakodynamické/toxikologické údaje o dasatinibe poukazujú na vylučovanie do materského mlieka a nie je možné vylúčiť riziko pre dojčené dieťa.</w:t>
      </w:r>
    </w:p>
    <w:p w:rsidR="00C36014" w:rsidRPr="00ED7F0F" w:rsidRDefault="00C36014" w:rsidP="00122C9F">
      <w:pPr>
        <w:autoSpaceDE w:val="0"/>
        <w:autoSpaceDN w:val="0"/>
        <w:adjustRightInd w:val="0"/>
        <w:rPr>
          <w:rFonts w:eastAsia="TimesNewRoman"/>
          <w:szCs w:val="22"/>
          <w:lang w:eastAsia="en-US"/>
        </w:rPr>
      </w:pPr>
      <w:r w:rsidRPr="00ED7F0F">
        <w:rPr>
          <w:rFonts w:eastAsia="TimesNewRoman"/>
          <w:szCs w:val="22"/>
          <w:lang w:eastAsia="en-US"/>
        </w:rPr>
        <w:t xml:space="preserve">Počas liečby Dasatinibom </w:t>
      </w:r>
      <w:r w:rsidR="009A1D74" w:rsidRPr="00ED7F0F">
        <w:rPr>
          <w:rFonts w:eastAsia="TimesNewRoman"/>
          <w:szCs w:val="22"/>
          <w:lang w:eastAsia="en-US"/>
        </w:rPr>
        <w:t>Mylan</w:t>
      </w:r>
      <w:r w:rsidRPr="00ED7F0F">
        <w:rPr>
          <w:rFonts w:eastAsia="TimesNewRoman"/>
          <w:szCs w:val="22"/>
          <w:lang w:eastAsia="en-US"/>
        </w:rPr>
        <w:t xml:space="preserve"> sa musí dojčenie prerušiť.</w:t>
      </w:r>
    </w:p>
    <w:p w:rsidR="00C36014" w:rsidRPr="00ED7F0F" w:rsidRDefault="00C36014" w:rsidP="00122C9F">
      <w:pPr>
        <w:autoSpaceDE w:val="0"/>
        <w:autoSpaceDN w:val="0"/>
        <w:adjustRightInd w:val="0"/>
        <w:rPr>
          <w:rFonts w:eastAsia="TimesNewRoman"/>
          <w:szCs w:val="22"/>
          <w:lang w:eastAsia="en-US"/>
        </w:rPr>
      </w:pPr>
    </w:p>
    <w:p w:rsidR="00C36014" w:rsidRPr="00ED7F0F" w:rsidRDefault="00C36014" w:rsidP="00122C9F">
      <w:pPr>
        <w:autoSpaceDE w:val="0"/>
        <w:autoSpaceDN w:val="0"/>
        <w:adjustRightInd w:val="0"/>
        <w:rPr>
          <w:rFonts w:eastAsia="TimesNewRoman"/>
          <w:szCs w:val="22"/>
          <w:u w:val="single"/>
          <w:lang w:eastAsia="en-US"/>
        </w:rPr>
      </w:pPr>
      <w:r w:rsidRPr="00ED7F0F">
        <w:rPr>
          <w:rFonts w:eastAsia="TimesNewRoman"/>
          <w:szCs w:val="22"/>
          <w:u w:val="single"/>
          <w:lang w:eastAsia="en-US"/>
        </w:rPr>
        <w:t>Fertilita</w:t>
      </w:r>
    </w:p>
    <w:p w:rsidR="00C36014" w:rsidRPr="00ED7F0F" w:rsidRDefault="0066654C" w:rsidP="00122C9F">
      <w:pPr>
        <w:autoSpaceDE w:val="0"/>
        <w:autoSpaceDN w:val="0"/>
        <w:adjustRightInd w:val="0"/>
        <w:rPr>
          <w:color w:val="000000"/>
          <w:szCs w:val="22"/>
        </w:rPr>
      </w:pPr>
      <w:r w:rsidRPr="00ED7F0F">
        <w:rPr>
          <w:szCs w:val="22"/>
        </w:rPr>
        <w:t>V štúdiách na zvieratách nebola fertilita samcov a samíc potkanov ovplyvnená liečbou dasatinibom (pozri časť 5.3). Lekári a iní zdravotnícki pracovníci majú prekonzultovať s pacientmi mužského pohlavia primeraného veku možné účinky Dasatinibu Mylan na fertilitu a táto konzultácia môže zahŕňať zváženie konzervácie spermií.</w:t>
      </w:r>
    </w:p>
    <w:p w:rsidR="00C36014" w:rsidRPr="00ED7F0F" w:rsidRDefault="00C36014" w:rsidP="00122C9F">
      <w:pPr>
        <w:rPr>
          <w:szCs w:val="22"/>
        </w:rPr>
      </w:pPr>
    </w:p>
    <w:p w:rsidR="00812D16" w:rsidRPr="00ED7F0F" w:rsidRDefault="005D45FC" w:rsidP="00122C9F">
      <w:pPr>
        <w:keepNext/>
        <w:numPr>
          <w:ilvl w:val="1"/>
          <w:numId w:val="5"/>
        </w:numPr>
        <w:spacing w:line="240" w:lineRule="auto"/>
        <w:outlineLvl w:val="0"/>
      </w:pPr>
      <w:r w:rsidRPr="00ED7F0F">
        <w:rPr>
          <w:b/>
        </w:rPr>
        <w:t>Ovplyvnenie schopnosti viesť vozidlá a obsluhovať stroje</w:t>
      </w:r>
    </w:p>
    <w:p w:rsidR="00812D16" w:rsidRPr="00ED7F0F" w:rsidRDefault="00812D16" w:rsidP="00122C9F">
      <w:pPr>
        <w:keepNext/>
        <w:spacing w:line="240" w:lineRule="auto"/>
      </w:pPr>
    </w:p>
    <w:p w:rsidR="00C36014" w:rsidRPr="00ED7F0F" w:rsidRDefault="00C36014" w:rsidP="00122C9F">
      <w:pPr>
        <w:autoSpaceDE w:val="0"/>
        <w:autoSpaceDN w:val="0"/>
        <w:adjustRightInd w:val="0"/>
        <w:rPr>
          <w:szCs w:val="22"/>
        </w:rPr>
      </w:pPr>
      <w:r w:rsidRPr="00ED7F0F">
        <w:rPr>
          <w:rFonts w:eastAsia="TimesNewRoman"/>
          <w:szCs w:val="22"/>
          <w:lang w:eastAsia="en-US"/>
        </w:rPr>
        <w:t>Dasatinib má malý vplyv na schopnosť viesť vozidlá a</w:t>
      </w:r>
      <w:r w:rsidR="009A1D74" w:rsidRPr="00ED7F0F">
        <w:rPr>
          <w:rFonts w:eastAsia="TimesNewRoman"/>
          <w:szCs w:val="22"/>
          <w:lang w:eastAsia="en-US"/>
        </w:rPr>
        <w:t> </w:t>
      </w:r>
      <w:r w:rsidRPr="00ED7F0F">
        <w:rPr>
          <w:rFonts w:eastAsia="TimesNewRoman"/>
          <w:szCs w:val="22"/>
          <w:lang w:eastAsia="en-US"/>
        </w:rPr>
        <w:t>obsluhovať stroje. Pacienti musia byť informovaní, že počas liečby dasatinibom môžu mať nežiaduce reakcie, ako je závrat alebo rozmazané videnie. Z</w:t>
      </w:r>
      <w:r w:rsidR="009A1D74" w:rsidRPr="00ED7F0F">
        <w:rPr>
          <w:rFonts w:eastAsia="TimesNewRoman"/>
          <w:szCs w:val="22"/>
          <w:lang w:eastAsia="en-US"/>
        </w:rPr>
        <w:t> </w:t>
      </w:r>
      <w:r w:rsidRPr="00ED7F0F">
        <w:rPr>
          <w:rFonts w:eastAsia="TimesNewRoman"/>
          <w:szCs w:val="22"/>
          <w:lang w:eastAsia="en-US"/>
        </w:rPr>
        <w:t>tohto dôvodu sa im pri vedení vozidla alebo obsluhe strojov má odporučiť opatrnosť.</w:t>
      </w:r>
    </w:p>
    <w:p w:rsidR="00C36014" w:rsidRPr="00ED7F0F" w:rsidRDefault="00C36014" w:rsidP="00122C9F">
      <w:pPr>
        <w:rPr>
          <w:szCs w:val="22"/>
        </w:rPr>
      </w:pPr>
    </w:p>
    <w:p w:rsidR="00812D16" w:rsidRPr="00ED7F0F" w:rsidRDefault="005D45FC" w:rsidP="00122C9F">
      <w:pPr>
        <w:keepNext/>
        <w:numPr>
          <w:ilvl w:val="1"/>
          <w:numId w:val="5"/>
        </w:numPr>
        <w:spacing w:line="240" w:lineRule="auto"/>
        <w:outlineLvl w:val="0"/>
        <w:rPr>
          <w:b/>
        </w:rPr>
      </w:pPr>
      <w:r w:rsidRPr="00ED7F0F">
        <w:rPr>
          <w:b/>
        </w:rPr>
        <w:t>Nežiaduce účinky</w:t>
      </w:r>
    </w:p>
    <w:p w:rsidR="00812D16" w:rsidRPr="00ED7F0F" w:rsidRDefault="00812D16" w:rsidP="00122C9F">
      <w:pPr>
        <w:keepNext/>
        <w:autoSpaceDE w:val="0"/>
        <w:autoSpaceDN w:val="0"/>
        <w:adjustRightInd w:val="0"/>
        <w:spacing w:line="240" w:lineRule="auto"/>
        <w:jc w:val="both"/>
      </w:pPr>
    </w:p>
    <w:p w:rsidR="00C36014" w:rsidRPr="00ED7F0F" w:rsidRDefault="00C36014" w:rsidP="00122C9F">
      <w:pPr>
        <w:autoSpaceDE w:val="0"/>
        <w:autoSpaceDN w:val="0"/>
        <w:adjustRightInd w:val="0"/>
        <w:rPr>
          <w:rFonts w:eastAsia="TimesNewRoman"/>
          <w:szCs w:val="22"/>
          <w:u w:val="single"/>
          <w:lang w:eastAsia="en-US"/>
        </w:rPr>
      </w:pPr>
      <w:r w:rsidRPr="00ED7F0F">
        <w:rPr>
          <w:rFonts w:eastAsia="TimesNewRoman"/>
          <w:szCs w:val="22"/>
          <w:u w:val="single"/>
          <w:lang w:eastAsia="en-US"/>
        </w:rPr>
        <w:t>Prehľad bezpečnostného profilu</w:t>
      </w:r>
    </w:p>
    <w:p w:rsidR="00C36014" w:rsidRPr="00ED7F0F" w:rsidRDefault="00C36014" w:rsidP="00122C9F">
      <w:pPr>
        <w:autoSpaceDE w:val="0"/>
        <w:autoSpaceDN w:val="0"/>
        <w:adjustRightInd w:val="0"/>
        <w:rPr>
          <w:rFonts w:eastAsia="TimesNewRoman"/>
          <w:szCs w:val="22"/>
          <w:lang w:eastAsia="en-US"/>
        </w:rPr>
      </w:pPr>
      <w:r w:rsidRPr="00ED7F0F">
        <w:rPr>
          <w:rFonts w:eastAsia="TimesNewRoman"/>
          <w:szCs w:val="22"/>
          <w:lang w:eastAsia="en-US"/>
        </w:rPr>
        <w:t xml:space="preserve">Údaje opísané nižšie vyjadrujú expozíciu dasatinibu </w:t>
      </w:r>
      <w:r w:rsidR="006D4530" w:rsidRPr="00ED7F0F">
        <w:rPr>
          <w:rFonts w:eastAsia="TimesNewRoman"/>
          <w:szCs w:val="22"/>
          <w:lang w:eastAsia="en-US"/>
        </w:rPr>
        <w:t xml:space="preserve">v monoterapii pri všetkých dávkach testovaných </w:t>
      </w:r>
      <w:r w:rsidRPr="00ED7F0F">
        <w:rPr>
          <w:rFonts w:eastAsia="TimesNewRoman"/>
          <w:szCs w:val="22"/>
          <w:lang w:eastAsia="en-US"/>
        </w:rPr>
        <w:t xml:space="preserve">v klinických štúdiách </w:t>
      </w:r>
      <w:r w:rsidR="006D4530" w:rsidRPr="00ED7F0F">
        <w:rPr>
          <w:rFonts w:eastAsia="TimesNewRoman"/>
          <w:szCs w:val="22"/>
          <w:lang w:eastAsia="en-US"/>
        </w:rPr>
        <w:t>(N=</w:t>
      </w:r>
      <w:r w:rsidRPr="00ED7F0F">
        <w:rPr>
          <w:rFonts w:eastAsia="TimesNewRoman"/>
          <w:szCs w:val="22"/>
          <w:lang w:eastAsia="en-US"/>
        </w:rPr>
        <w:t>2</w:t>
      </w:r>
      <w:r w:rsidR="006D4530" w:rsidRPr="00ED7F0F">
        <w:rPr>
          <w:rFonts w:eastAsia="TimesNewRoman"/>
          <w:szCs w:val="22"/>
          <w:lang w:eastAsia="en-US"/>
        </w:rPr>
        <w:t xml:space="preserve"> </w:t>
      </w:r>
      <w:r w:rsidR="00674C63" w:rsidRPr="00ED7F0F">
        <w:rPr>
          <w:rFonts w:eastAsia="TimesNewRoman"/>
          <w:szCs w:val="22"/>
          <w:lang w:eastAsia="en-US"/>
        </w:rPr>
        <w:t>900</w:t>
      </w:r>
      <w:r w:rsidR="006D4530" w:rsidRPr="00ED7F0F">
        <w:rPr>
          <w:rFonts w:eastAsia="TimesNewRoman"/>
          <w:szCs w:val="22"/>
          <w:lang w:eastAsia="en-US"/>
        </w:rPr>
        <w:t>)</w:t>
      </w:r>
      <w:r w:rsidRPr="00ED7F0F">
        <w:rPr>
          <w:rFonts w:eastAsia="TimesNewRoman"/>
          <w:szCs w:val="22"/>
          <w:lang w:eastAsia="en-US"/>
        </w:rPr>
        <w:t>, zahŕňajúcich 324 pacientov s</w:t>
      </w:r>
      <w:r w:rsidR="00674C63" w:rsidRPr="00ED7F0F">
        <w:rPr>
          <w:rFonts w:eastAsia="TimesNewRoman"/>
          <w:szCs w:val="22"/>
          <w:lang w:eastAsia="en-US"/>
        </w:rPr>
        <w:t> </w:t>
      </w:r>
      <w:r w:rsidRPr="00ED7F0F">
        <w:rPr>
          <w:rFonts w:eastAsia="TimesNewRoman"/>
          <w:szCs w:val="22"/>
          <w:lang w:eastAsia="en-US"/>
        </w:rPr>
        <w:t>novodiagnostikovanou chronickou fázou CML a</w:t>
      </w:r>
      <w:r w:rsidR="00800D86" w:rsidRPr="00ED7F0F">
        <w:rPr>
          <w:rFonts w:eastAsia="TimesNewRoman"/>
          <w:szCs w:val="22"/>
          <w:lang w:eastAsia="en-US"/>
        </w:rPr>
        <w:t> </w:t>
      </w:r>
      <w:r w:rsidRPr="00ED7F0F">
        <w:rPr>
          <w:rFonts w:eastAsia="TimesNewRoman"/>
          <w:szCs w:val="22"/>
          <w:lang w:eastAsia="en-US"/>
        </w:rPr>
        <w:t>2388</w:t>
      </w:r>
      <w:r w:rsidR="00800D86" w:rsidRPr="00ED7F0F">
        <w:rPr>
          <w:rFonts w:eastAsia="TimesNewRoman"/>
          <w:szCs w:val="22"/>
          <w:lang w:eastAsia="en-US"/>
        </w:rPr>
        <w:t> </w:t>
      </w:r>
      <w:r w:rsidR="00674C63" w:rsidRPr="00ED7F0F">
        <w:rPr>
          <w:rFonts w:eastAsia="TimesNewRoman"/>
          <w:szCs w:val="22"/>
          <w:lang w:eastAsia="en-US"/>
        </w:rPr>
        <w:t xml:space="preserve">dospelých </w:t>
      </w:r>
      <w:r w:rsidRPr="00ED7F0F">
        <w:rPr>
          <w:rFonts w:eastAsia="TimesNewRoman"/>
          <w:szCs w:val="22"/>
          <w:lang w:eastAsia="en-US"/>
        </w:rPr>
        <w:t>pacientov rezistentných alebo intolerantných na imatinib s</w:t>
      </w:r>
      <w:r w:rsidR="00674C63" w:rsidRPr="00ED7F0F">
        <w:rPr>
          <w:rFonts w:eastAsia="TimesNewRoman"/>
          <w:szCs w:val="22"/>
          <w:lang w:eastAsia="en-US"/>
        </w:rPr>
        <w:t> </w:t>
      </w:r>
      <w:r w:rsidRPr="00ED7F0F">
        <w:rPr>
          <w:rFonts w:eastAsia="TimesNewRoman"/>
          <w:szCs w:val="22"/>
          <w:lang w:eastAsia="en-US"/>
        </w:rPr>
        <w:t>chronickou alebo s</w:t>
      </w:r>
      <w:r w:rsidR="00800D86" w:rsidRPr="00ED7F0F">
        <w:rPr>
          <w:rFonts w:eastAsia="TimesNewRoman"/>
          <w:szCs w:val="22"/>
          <w:lang w:eastAsia="en-US"/>
        </w:rPr>
        <w:t> </w:t>
      </w:r>
      <w:r w:rsidRPr="00ED7F0F">
        <w:rPr>
          <w:rFonts w:eastAsia="TimesNewRoman"/>
          <w:szCs w:val="22"/>
          <w:lang w:eastAsia="en-US"/>
        </w:rPr>
        <w:t>pokročilou fázou CML alebo Ph+ ALL</w:t>
      </w:r>
      <w:r w:rsidR="00050DBF" w:rsidRPr="00ED7F0F">
        <w:rPr>
          <w:rFonts w:eastAsia="TimesNewRoman"/>
          <w:szCs w:val="22"/>
          <w:lang w:eastAsia="en-US"/>
        </w:rPr>
        <w:t>, a</w:t>
      </w:r>
      <w:r w:rsidR="00800D86" w:rsidRPr="00ED7F0F">
        <w:rPr>
          <w:rFonts w:eastAsia="TimesNewRoman"/>
          <w:szCs w:val="22"/>
          <w:lang w:eastAsia="en-US"/>
        </w:rPr>
        <w:t xml:space="preserve"> u 188 pediatrických pacientov</w:t>
      </w:r>
      <w:r w:rsidRPr="00ED7F0F">
        <w:rPr>
          <w:rFonts w:eastAsia="TimesNewRoman"/>
          <w:szCs w:val="22"/>
          <w:lang w:eastAsia="en-US"/>
        </w:rPr>
        <w:t xml:space="preserve">. U 2712 </w:t>
      </w:r>
      <w:r w:rsidR="00800D86" w:rsidRPr="00ED7F0F">
        <w:rPr>
          <w:rFonts w:eastAsia="TimesNewRoman"/>
          <w:szCs w:val="22"/>
          <w:lang w:eastAsia="en-US"/>
        </w:rPr>
        <w:t>dospelých</w:t>
      </w:r>
      <w:r w:rsidRPr="00ED7F0F">
        <w:rPr>
          <w:rFonts w:eastAsia="TimesNewRoman"/>
          <w:szCs w:val="22"/>
          <w:lang w:eastAsia="en-US"/>
        </w:rPr>
        <w:t xml:space="preserve"> pacientov </w:t>
      </w:r>
      <w:r w:rsidR="00800D86" w:rsidRPr="00ED7F0F">
        <w:rPr>
          <w:rFonts w:eastAsia="TimesNewRoman"/>
          <w:szCs w:val="22"/>
          <w:lang w:eastAsia="en-US"/>
        </w:rPr>
        <w:t xml:space="preserve">s chronickou alebo s pokročilou fázou CML alebo Ph+ ALL </w:t>
      </w:r>
      <w:r w:rsidRPr="00ED7F0F">
        <w:rPr>
          <w:rFonts w:eastAsia="TimesNewRoman"/>
          <w:szCs w:val="22"/>
          <w:lang w:eastAsia="en-US"/>
        </w:rPr>
        <w:t>bol medián trvania liečby 19,2 mesiaca (rozsah 0 až 93,2 mesiaca).</w:t>
      </w:r>
    </w:p>
    <w:p w:rsidR="00800D86" w:rsidRPr="00ED7F0F" w:rsidRDefault="00800D86" w:rsidP="00122C9F">
      <w:pPr>
        <w:autoSpaceDE w:val="0"/>
        <w:autoSpaceDN w:val="0"/>
        <w:adjustRightInd w:val="0"/>
        <w:rPr>
          <w:rFonts w:eastAsia="TimesNewRoman"/>
          <w:szCs w:val="22"/>
          <w:lang w:eastAsia="en-US"/>
        </w:rPr>
      </w:pPr>
    </w:p>
    <w:p w:rsidR="00C36014" w:rsidRPr="00ED7F0F" w:rsidRDefault="00800D86" w:rsidP="00122C9F">
      <w:pPr>
        <w:autoSpaceDE w:val="0"/>
        <w:autoSpaceDN w:val="0"/>
        <w:adjustRightInd w:val="0"/>
        <w:rPr>
          <w:rFonts w:eastAsia="TimesNewRoman"/>
          <w:szCs w:val="22"/>
          <w:lang w:eastAsia="en-US"/>
        </w:rPr>
      </w:pPr>
      <w:r w:rsidRPr="00ED7F0F">
        <w:rPr>
          <w:rFonts w:eastAsia="TimesNewRoman"/>
          <w:szCs w:val="22"/>
          <w:lang w:eastAsia="en-US"/>
        </w:rPr>
        <w:t>V randomizovanom klinickom skúšaní s pacientmi s novodiagnostikovanou chronickou fázou CML bol medián trvania liečby približne 60 mesiacov. Medián trvania liečby u 1618 dospelých pacientov s chronickou fázou CML bol 29 mesiacov (rozsah 0 až 92,9 mesiaca). Medián trvania liečby u 1094 dospelých pacientov s pokročilou fázou CML alebo Ph+ ALL bol 6,2 mesiaca (rozsah 0 až 93,2 mesiaca). U 188 pacientov v pediatrických štúdiách bol medián trvania liečby 26,3 mesiaca (rozsah 0 až 99,6 mesiaca). V podskupine 130 pediatrických pacientov s chronickou fázou CML liečených dasatinibom bol medián trvania liečby 42,3 mesiaca (rozsah 0,1 až 99,6 mesiaca).</w:t>
      </w:r>
    </w:p>
    <w:p w:rsidR="00800D86" w:rsidRPr="00ED7F0F" w:rsidRDefault="00800D86" w:rsidP="00122C9F">
      <w:pPr>
        <w:autoSpaceDE w:val="0"/>
        <w:autoSpaceDN w:val="0"/>
        <w:adjustRightInd w:val="0"/>
        <w:rPr>
          <w:rFonts w:eastAsia="TimesNewRoman"/>
          <w:szCs w:val="22"/>
          <w:lang w:eastAsia="en-US"/>
        </w:rPr>
      </w:pPr>
    </w:p>
    <w:p w:rsidR="00C36014" w:rsidRPr="00ED7F0F" w:rsidRDefault="00C36014" w:rsidP="00122C9F">
      <w:pPr>
        <w:autoSpaceDE w:val="0"/>
        <w:autoSpaceDN w:val="0"/>
        <w:adjustRightInd w:val="0"/>
        <w:rPr>
          <w:rFonts w:eastAsia="TimesNewRoman"/>
          <w:szCs w:val="22"/>
          <w:lang w:eastAsia="en-US"/>
        </w:rPr>
      </w:pPr>
      <w:r w:rsidRPr="00ED7F0F">
        <w:rPr>
          <w:rFonts w:eastAsia="TimesNewRoman"/>
          <w:szCs w:val="22"/>
          <w:lang w:eastAsia="en-US"/>
        </w:rPr>
        <w:t>U</w:t>
      </w:r>
      <w:r w:rsidR="00800D86" w:rsidRPr="00ED7F0F">
        <w:rPr>
          <w:rFonts w:eastAsia="TimesNewRoman"/>
          <w:szCs w:val="22"/>
          <w:lang w:eastAsia="en-US"/>
        </w:rPr>
        <w:t> </w:t>
      </w:r>
      <w:r w:rsidRPr="00ED7F0F">
        <w:rPr>
          <w:rFonts w:eastAsia="TimesNewRoman"/>
          <w:szCs w:val="22"/>
          <w:lang w:eastAsia="en-US"/>
        </w:rPr>
        <w:t>väčšiny pacientov liečených dasatinibom sa vyskytli v určitom čase nežiaduce reakcie. V celkovej populácii 2712 pacientov liečených dasatinibom malo 520 (19 %) nežiaduce reakcie, ktoré mali za následok prerušenie liečby.</w:t>
      </w:r>
    </w:p>
    <w:p w:rsidR="00800D86" w:rsidRPr="00ED7F0F" w:rsidRDefault="00800D86" w:rsidP="00122C9F">
      <w:pPr>
        <w:ind w:left="29"/>
      </w:pPr>
    </w:p>
    <w:p w:rsidR="00800D86" w:rsidRPr="00ED7F0F" w:rsidRDefault="00800D86" w:rsidP="00122C9F">
      <w:pPr>
        <w:ind w:left="29"/>
      </w:pPr>
      <w:r w:rsidRPr="00ED7F0F">
        <w:t>Celkový bezpečnostný profil dasatinibu v pediatrickej populácii s Ph+ CML-CP bol podobný tomu, ktorý je v dospelej populácii bez ohľadu na liekovú formu s výnimkou toho, že v pediatrickej populácii sa nehlásil perikardiány výpotok, pleurálny výpotok, pľúcny edém alebo pľúcna hypertenzia. Zo 130 pediatrických jedincov s CML-CP liečených dasatinibom sa u 2 (1,5 %) vyskytli nežiaduce reakcie, ktoré mali za následok ukončenie liečby.</w:t>
      </w:r>
    </w:p>
    <w:p w:rsidR="00800D86" w:rsidRPr="00ED7F0F" w:rsidRDefault="00800D86" w:rsidP="00122C9F">
      <w:pPr>
        <w:autoSpaceDE w:val="0"/>
        <w:autoSpaceDN w:val="0"/>
        <w:adjustRightInd w:val="0"/>
        <w:rPr>
          <w:rFonts w:eastAsia="TimesNewRoman"/>
          <w:szCs w:val="22"/>
          <w:lang w:eastAsia="en-US"/>
        </w:rPr>
      </w:pPr>
    </w:p>
    <w:p w:rsidR="00C36014" w:rsidRPr="00ED7F0F" w:rsidRDefault="00C36014" w:rsidP="00122C9F">
      <w:pPr>
        <w:autoSpaceDE w:val="0"/>
        <w:autoSpaceDN w:val="0"/>
        <w:adjustRightInd w:val="0"/>
        <w:rPr>
          <w:rFonts w:eastAsia="TimesNewRoman"/>
          <w:szCs w:val="22"/>
          <w:u w:val="single"/>
          <w:lang w:eastAsia="en-US"/>
        </w:rPr>
      </w:pPr>
      <w:r w:rsidRPr="00ED7F0F">
        <w:rPr>
          <w:rFonts w:eastAsia="TimesNewRoman"/>
          <w:szCs w:val="22"/>
          <w:u w:val="single"/>
          <w:lang w:eastAsia="en-US"/>
        </w:rPr>
        <w:t>Tabuľkový zoznam nežiaducich reakcií</w:t>
      </w:r>
    </w:p>
    <w:p w:rsidR="00722B43" w:rsidRPr="00ED7F0F" w:rsidRDefault="00722B43" w:rsidP="00122C9F">
      <w:pPr>
        <w:ind w:left="29"/>
      </w:pPr>
      <w:r w:rsidRPr="00ED7F0F">
        <w:t xml:space="preserve">Nasledovné nežiaduce reakcie, s výnimkou laboratórnych anomálií, sa hlásili u pacientov liečených dasatinibom, ktorý sa v klinických štúdiách a po uvedení lieku na trh použil ako </w:t>
      </w:r>
      <w:r w:rsidR="00FB7209" w:rsidRPr="00ED7F0F">
        <w:t>monoterapia</w:t>
      </w:r>
      <w:r w:rsidRPr="00ED7F0F">
        <w:t xml:space="preserve"> (tabuľka </w:t>
      </w:r>
      <w:r w:rsidR="00FB7209" w:rsidRPr="00ED7F0F">
        <w:t>3</w:t>
      </w:r>
      <w:r w:rsidRPr="00ED7F0F">
        <w:t>). Tieto reakcie sú vymenované podľa tried orgánových systémov a podľa frekvencie. Frekvencie sú definované nasledovne: veľmi časté (≥ 1/10); časté (≥ 1/100 až &lt; 1/10); menej časté (≥ 1/1 000 až &lt; 1/100); zriedkavé (≥ 1/10 000 až &lt; 1/1 000); neznáme (nie je možné stanoviť z dostupných údajov po uvedení lieku na trh).</w:t>
      </w:r>
    </w:p>
    <w:p w:rsidR="00722B43" w:rsidRPr="00ED7F0F" w:rsidRDefault="00722B43" w:rsidP="00122C9F">
      <w:pPr>
        <w:autoSpaceDE w:val="0"/>
        <w:autoSpaceDN w:val="0"/>
        <w:adjustRightInd w:val="0"/>
      </w:pPr>
      <w:r w:rsidRPr="00ED7F0F">
        <w:t>V rámci jednotlivých skupín frekvencií sú nežiaduce reakcie usporiadané v poradí klesajúcej závažnosti.</w:t>
      </w:r>
    </w:p>
    <w:p w:rsidR="00722B43" w:rsidRPr="00ED7F0F" w:rsidRDefault="00722B43" w:rsidP="00122C9F">
      <w:pPr>
        <w:autoSpaceDE w:val="0"/>
        <w:autoSpaceDN w:val="0"/>
        <w:adjustRightInd w:val="0"/>
      </w:pPr>
    </w:p>
    <w:p w:rsidR="00C36014" w:rsidRPr="00ED7F0F" w:rsidRDefault="00C36014" w:rsidP="00122C9F">
      <w:pPr>
        <w:autoSpaceDE w:val="0"/>
        <w:autoSpaceDN w:val="0"/>
        <w:adjustRightInd w:val="0"/>
        <w:rPr>
          <w:rFonts w:eastAsia="TimesNewRoman"/>
          <w:szCs w:val="22"/>
          <w:lang w:eastAsia="en-US"/>
        </w:rPr>
      </w:pPr>
      <w:r w:rsidRPr="00ED7F0F">
        <w:rPr>
          <w:rFonts w:eastAsia="TimesNewRoman"/>
          <w:szCs w:val="22"/>
          <w:lang w:eastAsia="en-US"/>
        </w:rPr>
        <w:t>V rámci jednotlivých skupín frekvencií sú nežiaduce reakcie usporiadané v poradí klesajúcej závažnosti.</w:t>
      </w:r>
    </w:p>
    <w:p w:rsidR="00C36014" w:rsidRPr="00ED7F0F" w:rsidRDefault="00C36014" w:rsidP="00122C9F">
      <w:pPr>
        <w:autoSpaceDE w:val="0"/>
        <w:autoSpaceDN w:val="0"/>
        <w:adjustRightInd w:val="0"/>
        <w:rPr>
          <w:rFonts w:eastAsia="TimesNewRoman,Bold"/>
          <w:b/>
          <w:bCs/>
          <w:szCs w:val="22"/>
          <w:lang w:eastAsia="en-US"/>
        </w:rPr>
      </w:pPr>
    </w:p>
    <w:p w:rsidR="00C36014" w:rsidRPr="00ED7F0F" w:rsidRDefault="00C36014" w:rsidP="00122C9F">
      <w:pPr>
        <w:autoSpaceDE w:val="0"/>
        <w:autoSpaceDN w:val="0"/>
        <w:adjustRightInd w:val="0"/>
        <w:rPr>
          <w:color w:val="000000"/>
          <w:szCs w:val="22"/>
        </w:rPr>
      </w:pPr>
      <w:r w:rsidRPr="00ED7F0F">
        <w:rPr>
          <w:rFonts w:eastAsia="TimesNewRoman,Bold"/>
          <w:b/>
          <w:bCs/>
          <w:szCs w:val="22"/>
          <w:lang w:eastAsia="en-US"/>
        </w:rPr>
        <w:t xml:space="preserve">Tabuľka </w:t>
      </w:r>
      <w:r w:rsidR="00722B43" w:rsidRPr="00ED7F0F">
        <w:rPr>
          <w:rFonts w:eastAsia="TimesNewRoman,Bold"/>
          <w:b/>
          <w:bCs/>
          <w:szCs w:val="22"/>
          <w:lang w:eastAsia="en-US"/>
        </w:rPr>
        <w:t>5</w:t>
      </w:r>
      <w:r w:rsidRPr="00ED7F0F">
        <w:rPr>
          <w:rFonts w:eastAsia="TimesNewRoman,Bold"/>
          <w:b/>
          <w:bCs/>
          <w:szCs w:val="22"/>
          <w:lang w:eastAsia="en-US"/>
        </w:rPr>
        <w:t>:</w:t>
      </w:r>
      <w:r w:rsidRPr="00ED7F0F">
        <w:rPr>
          <w:rFonts w:eastAsia="TimesNewRoman,Bold"/>
          <w:b/>
          <w:bCs/>
          <w:szCs w:val="22"/>
          <w:lang w:eastAsia="en-US"/>
        </w:rPr>
        <w:tab/>
        <w:t>Súhrn nežiaducich reakcií zostavených do tabuľky</w:t>
      </w:r>
    </w:p>
    <w:tbl>
      <w:tblPr>
        <w:tblW w:w="9459" w:type="dxa"/>
        <w:tblInd w:w="98" w:type="dxa"/>
        <w:tblLayout w:type="fixed"/>
        <w:tblCellMar>
          <w:left w:w="0" w:type="dxa"/>
          <w:right w:w="0" w:type="dxa"/>
        </w:tblCellMar>
        <w:tblLook w:val="01E0" w:firstRow="1" w:lastRow="1" w:firstColumn="1" w:lastColumn="1" w:noHBand="0" w:noVBand="0"/>
      </w:tblPr>
      <w:tblGrid>
        <w:gridCol w:w="1648"/>
        <w:gridCol w:w="7811"/>
      </w:tblGrid>
      <w:tr w:rsidR="00C36014" w:rsidRPr="00ED7F0F" w:rsidTr="00AB6D63">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rsidR="00C36014" w:rsidRPr="00ED7F0F" w:rsidRDefault="00C36014" w:rsidP="00122C9F">
            <w:pPr>
              <w:ind w:left="57" w:hanging="57"/>
              <w:rPr>
                <w:szCs w:val="22"/>
              </w:rPr>
            </w:pPr>
            <w:r w:rsidRPr="00ED7F0F">
              <w:rPr>
                <w:b/>
                <w:bCs/>
                <w:szCs w:val="22"/>
              </w:rPr>
              <w:t>Infekcie a nákazy</w:t>
            </w:r>
          </w:p>
        </w:tc>
      </w:tr>
      <w:tr w:rsidR="00C36014" w:rsidRPr="00ED7F0F" w:rsidTr="00AB6D6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i/>
                <w:szCs w:val="22"/>
              </w:rPr>
              <w:t>Veľmi časté</w:t>
            </w:r>
            <w:r w:rsidRPr="00ED7F0F">
              <w:rPr>
                <w:i/>
                <w:spacing w:val="-4"/>
                <w:szCs w:val="22"/>
              </w:rPr>
              <w:t xml:space="preserve"> </w:t>
            </w:r>
          </w:p>
        </w:tc>
        <w:tc>
          <w:tcPr>
            <w:tcW w:w="7811"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firstLine="45"/>
              <w:rPr>
                <w:szCs w:val="22"/>
              </w:rPr>
            </w:pPr>
            <w:r w:rsidRPr="00ED7F0F">
              <w:rPr>
                <w:rFonts w:eastAsia="TimesNewRoman"/>
                <w:szCs w:val="22"/>
                <w:lang w:eastAsia="en-US"/>
              </w:rPr>
              <w:t>infekcia (vrátane bakteriálnej, vírusovej, plesňovej, nešpecifickej)</w:t>
            </w:r>
          </w:p>
        </w:tc>
      </w:tr>
      <w:tr w:rsidR="00C36014" w:rsidRPr="00ED7F0F" w:rsidTr="009A0932">
        <w:trPr>
          <w:trHeight w:hRule="exact" w:val="1096"/>
        </w:trPr>
        <w:tc>
          <w:tcPr>
            <w:tcW w:w="1648"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i/>
                <w:szCs w:val="22"/>
              </w:rPr>
              <w:t>Časté</w:t>
            </w:r>
          </w:p>
        </w:tc>
        <w:tc>
          <w:tcPr>
            <w:tcW w:w="7811"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autoSpaceDE w:val="0"/>
              <w:autoSpaceDN w:val="0"/>
              <w:adjustRightInd w:val="0"/>
              <w:ind w:left="102"/>
              <w:rPr>
                <w:szCs w:val="22"/>
              </w:rPr>
            </w:pPr>
            <w:r w:rsidRPr="00ED7F0F">
              <w:rPr>
                <w:rFonts w:eastAsia="TimesNewRoman"/>
                <w:szCs w:val="22"/>
                <w:lang w:eastAsia="en-US"/>
              </w:rPr>
              <w:t xml:space="preserve">pneumónia (vrátane bakteriálnej, vírusovej a plesňovej), infekcia/zápal horných dýchacích ciest, herpetická vírusová infekcia (vrátane cytomegalovírusu - CMV), </w:t>
            </w:r>
            <w:r w:rsidR="008D0A02" w:rsidRPr="00ED7F0F">
              <w:rPr>
                <w:rFonts w:eastAsia="TimesNewRoman"/>
                <w:szCs w:val="22"/>
                <w:lang w:eastAsia="en-US"/>
              </w:rPr>
              <w:t xml:space="preserve">infekčná </w:t>
            </w:r>
            <w:r w:rsidRPr="00ED7F0F">
              <w:rPr>
                <w:rFonts w:eastAsia="TimesNewRoman"/>
                <w:szCs w:val="22"/>
                <w:lang w:eastAsia="en-US"/>
              </w:rPr>
              <w:t>enterokolitída, sepsa (vrátane menej častých prípadov s</w:t>
            </w:r>
            <w:r w:rsidR="00722B43" w:rsidRPr="00ED7F0F">
              <w:rPr>
                <w:rFonts w:eastAsia="TimesNewRoman"/>
                <w:szCs w:val="22"/>
                <w:lang w:eastAsia="en-US"/>
              </w:rPr>
              <w:t> </w:t>
            </w:r>
            <w:r w:rsidRPr="00ED7F0F">
              <w:rPr>
                <w:rFonts w:eastAsia="TimesNewRoman"/>
                <w:szCs w:val="22"/>
                <w:lang w:eastAsia="en-US"/>
              </w:rPr>
              <w:t>fatálnymi následkami)</w:t>
            </w:r>
          </w:p>
        </w:tc>
      </w:tr>
      <w:tr w:rsidR="00C36014" w:rsidRPr="00ED7F0F" w:rsidTr="00AB6D6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i/>
                <w:szCs w:val="22"/>
              </w:rPr>
              <w:t>Neznáme</w:t>
            </w:r>
          </w:p>
        </w:tc>
        <w:tc>
          <w:tcPr>
            <w:tcW w:w="7811"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firstLine="45"/>
              <w:rPr>
                <w:szCs w:val="22"/>
              </w:rPr>
            </w:pPr>
            <w:r w:rsidRPr="00ED7F0F">
              <w:rPr>
                <w:rFonts w:eastAsia="TimesNewRoman"/>
                <w:szCs w:val="22"/>
                <w:lang w:eastAsia="en-US"/>
              </w:rPr>
              <w:t>reaktivácia hepatitídy B</w:t>
            </w:r>
          </w:p>
        </w:tc>
      </w:tr>
      <w:tr w:rsidR="00C36014" w:rsidRPr="00ED7F0F" w:rsidTr="00AB6D63">
        <w:trPr>
          <w:trHeight w:hRule="exact" w:val="264"/>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rsidR="00C36014" w:rsidRPr="00ED7F0F" w:rsidRDefault="00C36014" w:rsidP="00122C9F">
            <w:pPr>
              <w:ind w:left="57" w:hanging="12"/>
              <w:rPr>
                <w:szCs w:val="22"/>
              </w:rPr>
            </w:pPr>
            <w:r w:rsidRPr="00ED7F0F">
              <w:rPr>
                <w:rFonts w:eastAsia="TimesNewRoman,Bold"/>
                <w:b/>
                <w:bCs/>
                <w:szCs w:val="22"/>
                <w:lang w:eastAsia="en-US"/>
              </w:rPr>
              <w:t>Poruchy krvi a lymfatického systému</w:t>
            </w:r>
          </w:p>
        </w:tc>
      </w:tr>
      <w:tr w:rsidR="00C36014" w:rsidRPr="00ED7F0F" w:rsidTr="00AB6D6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i/>
                <w:szCs w:val="22"/>
              </w:rPr>
              <w:t>Veľmi časté</w:t>
            </w:r>
            <w:r w:rsidRPr="00ED7F0F">
              <w:rPr>
                <w:i/>
                <w:spacing w:val="-4"/>
                <w:szCs w:val="22"/>
              </w:rPr>
              <w:t xml:space="preserve"> </w:t>
            </w:r>
            <w:r w:rsidRPr="00ED7F0F">
              <w:rPr>
                <w:i/>
                <w:szCs w:val="22"/>
              </w:rPr>
              <w:t>Co</w:t>
            </w:r>
            <w:r w:rsidRPr="00ED7F0F">
              <w:rPr>
                <w:i/>
                <w:spacing w:val="1"/>
                <w:szCs w:val="22"/>
              </w:rPr>
              <w:t>m</w:t>
            </w:r>
            <w:r w:rsidRPr="00ED7F0F">
              <w:rPr>
                <w:i/>
                <w:szCs w:val="22"/>
              </w:rPr>
              <w:t>mon</w:t>
            </w:r>
          </w:p>
        </w:tc>
        <w:tc>
          <w:tcPr>
            <w:tcW w:w="7811"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102"/>
              <w:rPr>
                <w:szCs w:val="22"/>
              </w:rPr>
            </w:pPr>
            <w:r w:rsidRPr="00ED7F0F">
              <w:rPr>
                <w:rFonts w:eastAsia="TimesNewRoman"/>
                <w:szCs w:val="22"/>
                <w:lang w:eastAsia="en-US"/>
              </w:rPr>
              <w:t>myelosupresia (vrátane anémie, neutropénie, trombocytopénie)</w:t>
            </w:r>
          </w:p>
        </w:tc>
      </w:tr>
      <w:tr w:rsidR="00C36014" w:rsidRPr="00ED7F0F" w:rsidTr="00AB6D6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i/>
                <w:szCs w:val="22"/>
              </w:rPr>
              <w:t>Časté</w:t>
            </w:r>
          </w:p>
        </w:tc>
        <w:tc>
          <w:tcPr>
            <w:tcW w:w="7811"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firstLine="45"/>
              <w:rPr>
                <w:szCs w:val="22"/>
              </w:rPr>
            </w:pPr>
            <w:r w:rsidRPr="00ED7F0F">
              <w:rPr>
                <w:spacing w:val="4"/>
                <w:szCs w:val="22"/>
              </w:rPr>
              <w:t>fe</w:t>
            </w:r>
            <w:r w:rsidRPr="00ED7F0F">
              <w:rPr>
                <w:spacing w:val="3"/>
                <w:szCs w:val="22"/>
              </w:rPr>
              <w:t>b</w:t>
            </w:r>
            <w:r w:rsidRPr="00ED7F0F">
              <w:rPr>
                <w:spacing w:val="4"/>
                <w:szCs w:val="22"/>
              </w:rPr>
              <w:t>r</w:t>
            </w:r>
            <w:r w:rsidRPr="00ED7F0F">
              <w:rPr>
                <w:spacing w:val="3"/>
                <w:szCs w:val="22"/>
              </w:rPr>
              <w:t>i</w:t>
            </w:r>
            <w:r w:rsidRPr="00ED7F0F">
              <w:rPr>
                <w:spacing w:val="4"/>
                <w:szCs w:val="22"/>
              </w:rPr>
              <w:t>lná neutropénia</w:t>
            </w:r>
          </w:p>
        </w:tc>
      </w:tr>
      <w:tr w:rsidR="00C36014" w:rsidRPr="00ED7F0F" w:rsidTr="00AB6D6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i/>
                <w:szCs w:val="22"/>
              </w:rPr>
              <w:t>Menej časté</w:t>
            </w:r>
          </w:p>
        </w:tc>
        <w:tc>
          <w:tcPr>
            <w:tcW w:w="7811"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firstLine="45"/>
              <w:rPr>
                <w:szCs w:val="22"/>
              </w:rPr>
            </w:pPr>
            <w:r w:rsidRPr="00ED7F0F">
              <w:rPr>
                <w:rFonts w:eastAsia="TimesNewRoman"/>
                <w:szCs w:val="22"/>
                <w:lang w:eastAsia="en-US"/>
              </w:rPr>
              <w:t>lymfadenopatia, lymfopénia</w:t>
            </w:r>
          </w:p>
        </w:tc>
      </w:tr>
      <w:tr w:rsidR="00C36014" w:rsidRPr="00ED7F0F" w:rsidTr="00AB6D6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i/>
                <w:szCs w:val="22"/>
              </w:rPr>
              <w:t>Zriedkavé</w:t>
            </w:r>
          </w:p>
        </w:tc>
        <w:tc>
          <w:tcPr>
            <w:tcW w:w="7811"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102"/>
              <w:rPr>
                <w:szCs w:val="22"/>
              </w:rPr>
            </w:pPr>
            <w:r w:rsidRPr="00ED7F0F">
              <w:rPr>
                <w:szCs w:val="22"/>
              </w:rPr>
              <w:t>aplázia červených krviniek</w:t>
            </w:r>
          </w:p>
        </w:tc>
      </w:tr>
      <w:tr w:rsidR="00C36014" w:rsidRPr="00ED7F0F" w:rsidTr="00AB6D63">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rsidR="00C36014" w:rsidRPr="00ED7F0F" w:rsidRDefault="00C36014" w:rsidP="00122C9F">
            <w:pPr>
              <w:ind w:left="57" w:hanging="12"/>
              <w:rPr>
                <w:szCs w:val="22"/>
              </w:rPr>
            </w:pPr>
            <w:r w:rsidRPr="00ED7F0F">
              <w:rPr>
                <w:rFonts w:eastAsia="TimesNewRoman,Bold"/>
                <w:b/>
                <w:bCs/>
                <w:szCs w:val="22"/>
                <w:lang w:eastAsia="en-US"/>
              </w:rPr>
              <w:t xml:space="preserve">Poruchy </w:t>
            </w:r>
            <w:r w:rsidR="008D0A02" w:rsidRPr="00ED7F0F">
              <w:rPr>
                <w:rFonts w:eastAsia="TimesNewRoman,Bold"/>
                <w:b/>
                <w:bCs/>
                <w:szCs w:val="22"/>
                <w:lang w:eastAsia="en-US"/>
              </w:rPr>
              <w:t>imunitného</w:t>
            </w:r>
            <w:r w:rsidRPr="00ED7F0F">
              <w:rPr>
                <w:rFonts w:eastAsia="TimesNewRoman,Bold"/>
                <w:b/>
                <w:bCs/>
                <w:szCs w:val="22"/>
                <w:lang w:eastAsia="en-US"/>
              </w:rPr>
              <w:t xml:space="preserve"> systému</w:t>
            </w:r>
          </w:p>
        </w:tc>
      </w:tr>
      <w:tr w:rsidR="00C36014" w:rsidRPr="00ED7F0F" w:rsidTr="00AB6D6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45"/>
              <w:rPr>
                <w:szCs w:val="22"/>
              </w:rPr>
            </w:pPr>
            <w:r w:rsidRPr="00ED7F0F">
              <w:rPr>
                <w:i/>
                <w:szCs w:val="22"/>
              </w:rPr>
              <w:t>Menej časté</w:t>
            </w:r>
          </w:p>
        </w:tc>
        <w:tc>
          <w:tcPr>
            <w:tcW w:w="7811"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firstLine="45"/>
              <w:rPr>
                <w:szCs w:val="22"/>
              </w:rPr>
            </w:pPr>
            <w:r w:rsidRPr="00ED7F0F">
              <w:rPr>
                <w:rFonts w:eastAsia="TimesNewRoman"/>
                <w:szCs w:val="22"/>
                <w:lang w:eastAsia="en-US"/>
              </w:rPr>
              <w:t>hypersenzitivita (vrátane erythema nodosum)</w:t>
            </w:r>
          </w:p>
        </w:tc>
      </w:tr>
      <w:tr w:rsidR="00722B43" w:rsidRPr="00ED7F0F" w:rsidTr="00AB6D6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rsidR="00722B43" w:rsidRPr="00ED7F0F" w:rsidRDefault="00722B43" w:rsidP="00122C9F">
            <w:pPr>
              <w:ind w:left="45"/>
              <w:rPr>
                <w:i/>
                <w:szCs w:val="22"/>
              </w:rPr>
            </w:pPr>
            <w:r w:rsidRPr="00ED7F0F">
              <w:rPr>
                <w:i/>
                <w:szCs w:val="22"/>
              </w:rPr>
              <w:t>Zriedkavé</w:t>
            </w:r>
          </w:p>
        </w:tc>
        <w:tc>
          <w:tcPr>
            <w:tcW w:w="7811" w:type="dxa"/>
            <w:tcBorders>
              <w:top w:val="single" w:sz="4" w:space="0" w:color="000000"/>
              <w:left w:val="single" w:sz="4" w:space="0" w:color="000000"/>
              <w:bottom w:val="single" w:sz="4" w:space="0" w:color="000000"/>
              <w:right w:val="single" w:sz="4" w:space="0" w:color="000000"/>
            </w:tcBorders>
          </w:tcPr>
          <w:p w:rsidR="00722B43" w:rsidRPr="00ED7F0F" w:rsidRDefault="00722B43" w:rsidP="00122C9F">
            <w:pPr>
              <w:ind w:left="57" w:firstLine="45"/>
              <w:rPr>
                <w:rFonts w:eastAsia="TimesNewRoman"/>
                <w:szCs w:val="22"/>
                <w:lang w:eastAsia="en-US"/>
              </w:rPr>
            </w:pPr>
            <w:r w:rsidRPr="00ED7F0F">
              <w:rPr>
                <w:rFonts w:eastAsia="TimesNewRoman"/>
                <w:szCs w:val="22"/>
                <w:lang w:eastAsia="en-US"/>
              </w:rPr>
              <w:t>anafylaktický šok</w:t>
            </w:r>
          </w:p>
        </w:tc>
      </w:tr>
      <w:tr w:rsidR="00C36014" w:rsidRPr="00ED7F0F" w:rsidTr="00AB6D63">
        <w:trPr>
          <w:trHeight w:hRule="exact" w:val="264"/>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rsidR="00C36014" w:rsidRPr="00ED7F0F" w:rsidRDefault="00C36014" w:rsidP="00122C9F">
            <w:pPr>
              <w:ind w:left="57" w:hanging="12"/>
              <w:rPr>
                <w:szCs w:val="22"/>
              </w:rPr>
            </w:pPr>
            <w:r w:rsidRPr="00ED7F0F">
              <w:rPr>
                <w:rFonts w:eastAsia="TimesNewRoman,Bold"/>
                <w:b/>
                <w:bCs/>
                <w:szCs w:val="22"/>
                <w:lang w:eastAsia="en-US"/>
              </w:rPr>
              <w:t>Poruchy endokrinného systému</w:t>
            </w:r>
          </w:p>
        </w:tc>
      </w:tr>
      <w:tr w:rsidR="00C36014" w:rsidRPr="00ED7F0F" w:rsidTr="00AB6D6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i/>
                <w:szCs w:val="22"/>
              </w:rPr>
              <w:t>Menej časté</w:t>
            </w:r>
          </w:p>
        </w:tc>
        <w:tc>
          <w:tcPr>
            <w:tcW w:w="7811"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firstLine="45"/>
              <w:rPr>
                <w:szCs w:val="22"/>
              </w:rPr>
            </w:pPr>
            <w:r w:rsidRPr="00ED7F0F">
              <w:rPr>
                <w:rFonts w:eastAsia="TimesNewRoman"/>
                <w:szCs w:val="22"/>
                <w:lang w:eastAsia="en-US"/>
              </w:rPr>
              <w:t>hypotyreoidizmus</w:t>
            </w:r>
          </w:p>
        </w:tc>
      </w:tr>
      <w:tr w:rsidR="00C36014" w:rsidRPr="00ED7F0F" w:rsidTr="00AB6D6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tabs>
                <w:tab w:val="center" w:pos="1644"/>
              </w:tabs>
              <w:ind w:left="57" w:hanging="12"/>
              <w:rPr>
                <w:szCs w:val="22"/>
              </w:rPr>
            </w:pPr>
            <w:r w:rsidRPr="00ED7F0F">
              <w:rPr>
                <w:i/>
                <w:szCs w:val="22"/>
              </w:rPr>
              <w:t>Zriedkavé</w:t>
            </w:r>
          </w:p>
        </w:tc>
        <w:tc>
          <w:tcPr>
            <w:tcW w:w="7811"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firstLine="45"/>
              <w:rPr>
                <w:szCs w:val="22"/>
              </w:rPr>
            </w:pPr>
            <w:r w:rsidRPr="00ED7F0F">
              <w:rPr>
                <w:rFonts w:eastAsia="TimesNewRoman"/>
                <w:szCs w:val="22"/>
                <w:lang w:eastAsia="en-US"/>
              </w:rPr>
              <w:t>hypertyreoidizmus, tyreoiditída</w:t>
            </w:r>
          </w:p>
        </w:tc>
      </w:tr>
      <w:tr w:rsidR="00C36014" w:rsidRPr="00ED7F0F" w:rsidTr="00AB6D63">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rsidR="00C36014" w:rsidRPr="00ED7F0F" w:rsidRDefault="00C36014" w:rsidP="00122C9F">
            <w:pPr>
              <w:ind w:left="57" w:hanging="12"/>
              <w:rPr>
                <w:szCs w:val="22"/>
              </w:rPr>
            </w:pPr>
            <w:r w:rsidRPr="00ED7F0F">
              <w:rPr>
                <w:rFonts w:eastAsia="TimesNewRoman,Bold"/>
                <w:b/>
                <w:bCs/>
                <w:szCs w:val="22"/>
                <w:lang w:eastAsia="en-US"/>
              </w:rPr>
              <w:t>Poruchy metabolizmu a výživy</w:t>
            </w:r>
          </w:p>
        </w:tc>
      </w:tr>
      <w:tr w:rsidR="00C36014" w:rsidRPr="00ED7F0F" w:rsidTr="00AB6D6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i/>
                <w:szCs w:val="22"/>
              </w:rPr>
              <w:t>Časté</w:t>
            </w:r>
          </w:p>
        </w:tc>
        <w:tc>
          <w:tcPr>
            <w:tcW w:w="7811"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rFonts w:eastAsia="TimesNewRoman"/>
                <w:szCs w:val="22"/>
                <w:lang w:eastAsia="en-US"/>
              </w:rPr>
              <w:t>poruchy chuti do jedla</w:t>
            </w:r>
            <w:r w:rsidRPr="00ED7F0F">
              <w:rPr>
                <w:rFonts w:eastAsia="TimesNewRoman"/>
                <w:szCs w:val="22"/>
                <w:vertAlign w:val="superscript"/>
                <w:lang w:eastAsia="en-US"/>
              </w:rPr>
              <w:t>a</w:t>
            </w:r>
            <w:r w:rsidRPr="00ED7F0F">
              <w:rPr>
                <w:rFonts w:eastAsia="TimesNewRoman"/>
                <w:szCs w:val="22"/>
                <w:lang w:eastAsia="en-US"/>
              </w:rPr>
              <w:t>, hyperurikémia</w:t>
            </w:r>
          </w:p>
        </w:tc>
      </w:tr>
      <w:tr w:rsidR="00C36014" w:rsidRPr="00ED7F0F" w:rsidTr="00AB6D6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i/>
                <w:szCs w:val="22"/>
              </w:rPr>
              <w:t>Menej časté</w:t>
            </w:r>
          </w:p>
        </w:tc>
        <w:tc>
          <w:tcPr>
            <w:tcW w:w="7811"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rFonts w:eastAsia="TimesNewRoman"/>
                <w:szCs w:val="22"/>
                <w:lang w:eastAsia="en-US"/>
              </w:rPr>
              <w:t>syndróm z</w:t>
            </w:r>
            <w:r w:rsidR="00722B43" w:rsidRPr="00ED7F0F">
              <w:rPr>
                <w:rFonts w:eastAsia="TimesNewRoman"/>
                <w:szCs w:val="22"/>
                <w:lang w:eastAsia="en-US"/>
              </w:rPr>
              <w:t> </w:t>
            </w:r>
            <w:r w:rsidRPr="00ED7F0F">
              <w:rPr>
                <w:rFonts w:eastAsia="TimesNewRoman"/>
                <w:szCs w:val="22"/>
                <w:lang w:eastAsia="en-US"/>
              </w:rPr>
              <w:t>rozpadu nádoru, dehydratácia, hypoalbuminémia, hypercholesterolémia</w:t>
            </w:r>
          </w:p>
        </w:tc>
      </w:tr>
      <w:tr w:rsidR="00C36014" w:rsidRPr="00ED7F0F" w:rsidTr="00AB6D6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i/>
                <w:szCs w:val="22"/>
              </w:rPr>
              <w:t>Zriedkavé</w:t>
            </w:r>
          </w:p>
        </w:tc>
        <w:tc>
          <w:tcPr>
            <w:tcW w:w="7811"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szCs w:val="22"/>
              </w:rPr>
              <w:t>diabetes</w:t>
            </w:r>
            <w:r w:rsidRPr="00ED7F0F">
              <w:rPr>
                <w:spacing w:val="-5"/>
                <w:szCs w:val="22"/>
              </w:rPr>
              <w:t xml:space="preserve"> </w:t>
            </w:r>
            <w:r w:rsidRPr="00ED7F0F">
              <w:rPr>
                <w:spacing w:val="-2"/>
                <w:szCs w:val="22"/>
              </w:rPr>
              <w:t>m</w:t>
            </w:r>
            <w:r w:rsidRPr="00ED7F0F">
              <w:rPr>
                <w:szCs w:val="22"/>
              </w:rPr>
              <w:t>ell</w:t>
            </w:r>
            <w:r w:rsidRPr="00ED7F0F">
              <w:rPr>
                <w:spacing w:val="1"/>
                <w:szCs w:val="22"/>
              </w:rPr>
              <w:t>i</w:t>
            </w:r>
            <w:r w:rsidRPr="00ED7F0F">
              <w:rPr>
                <w:szCs w:val="22"/>
              </w:rPr>
              <w:t>tus</w:t>
            </w:r>
          </w:p>
        </w:tc>
      </w:tr>
      <w:tr w:rsidR="00C36014" w:rsidRPr="00ED7F0F" w:rsidTr="00AB6D63">
        <w:trPr>
          <w:trHeight w:hRule="exact" w:val="264"/>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rsidR="00C36014" w:rsidRPr="00ED7F0F" w:rsidRDefault="00C36014" w:rsidP="00122C9F">
            <w:pPr>
              <w:ind w:left="57" w:hanging="12"/>
              <w:rPr>
                <w:szCs w:val="22"/>
              </w:rPr>
            </w:pPr>
            <w:r w:rsidRPr="00ED7F0F">
              <w:rPr>
                <w:rFonts w:eastAsia="TimesNewRoman,Bold"/>
                <w:b/>
                <w:bCs/>
                <w:szCs w:val="22"/>
                <w:lang w:eastAsia="en-US"/>
              </w:rPr>
              <w:t>Psychické poruchy</w:t>
            </w:r>
          </w:p>
        </w:tc>
      </w:tr>
      <w:tr w:rsidR="00C36014" w:rsidRPr="00ED7F0F" w:rsidTr="00AB6D6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i/>
                <w:szCs w:val="22"/>
              </w:rPr>
              <w:t>Časté</w:t>
            </w:r>
          </w:p>
        </w:tc>
        <w:tc>
          <w:tcPr>
            <w:tcW w:w="7811"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szCs w:val="22"/>
              </w:rPr>
              <w:t>depresia,</w:t>
            </w:r>
            <w:r w:rsidRPr="00ED7F0F">
              <w:rPr>
                <w:spacing w:val="-10"/>
                <w:szCs w:val="22"/>
              </w:rPr>
              <w:t xml:space="preserve"> </w:t>
            </w:r>
            <w:r w:rsidRPr="00ED7F0F">
              <w:rPr>
                <w:szCs w:val="22"/>
              </w:rPr>
              <w:t>ins</w:t>
            </w:r>
            <w:r w:rsidRPr="00ED7F0F">
              <w:rPr>
                <w:spacing w:val="2"/>
                <w:szCs w:val="22"/>
              </w:rPr>
              <w:t>o</w:t>
            </w:r>
            <w:r w:rsidRPr="00ED7F0F">
              <w:rPr>
                <w:spacing w:val="-2"/>
                <w:szCs w:val="22"/>
              </w:rPr>
              <w:t>m</w:t>
            </w:r>
            <w:r w:rsidRPr="00ED7F0F">
              <w:rPr>
                <w:spacing w:val="1"/>
                <w:szCs w:val="22"/>
              </w:rPr>
              <w:t>n</w:t>
            </w:r>
            <w:r w:rsidRPr="00ED7F0F">
              <w:rPr>
                <w:szCs w:val="22"/>
              </w:rPr>
              <w:t>ia</w:t>
            </w:r>
          </w:p>
        </w:tc>
      </w:tr>
      <w:tr w:rsidR="00C36014" w:rsidRPr="00ED7F0F" w:rsidTr="00AB6D6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i/>
                <w:szCs w:val="22"/>
              </w:rPr>
              <w:t>Menej časté</w:t>
            </w:r>
          </w:p>
        </w:tc>
        <w:tc>
          <w:tcPr>
            <w:tcW w:w="7811"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rFonts w:eastAsia="TimesNewRoman"/>
                <w:szCs w:val="22"/>
                <w:lang w:eastAsia="en-US"/>
              </w:rPr>
              <w:t xml:space="preserve">úzkosť, stav zmätenosti, </w:t>
            </w:r>
            <w:r w:rsidR="004F005F" w:rsidRPr="00ED7F0F">
              <w:rPr>
                <w:rFonts w:eastAsia="TimesNewRoman"/>
                <w:szCs w:val="22"/>
                <w:lang w:eastAsia="en-US"/>
              </w:rPr>
              <w:t>afektívna</w:t>
            </w:r>
            <w:r w:rsidRPr="00ED7F0F">
              <w:rPr>
                <w:rFonts w:eastAsia="TimesNewRoman"/>
                <w:szCs w:val="22"/>
                <w:lang w:eastAsia="en-US"/>
              </w:rPr>
              <w:t xml:space="preserve"> labilit</w:t>
            </w:r>
            <w:r w:rsidR="004F005F" w:rsidRPr="00ED7F0F">
              <w:rPr>
                <w:rFonts w:eastAsia="TimesNewRoman"/>
                <w:szCs w:val="22"/>
                <w:lang w:eastAsia="en-US"/>
              </w:rPr>
              <w:t>a</w:t>
            </w:r>
            <w:r w:rsidRPr="00ED7F0F">
              <w:rPr>
                <w:rFonts w:eastAsia="TimesNewRoman"/>
                <w:szCs w:val="22"/>
                <w:lang w:eastAsia="en-US"/>
              </w:rPr>
              <w:t>, zníženie libida</w:t>
            </w:r>
          </w:p>
        </w:tc>
      </w:tr>
      <w:tr w:rsidR="00C36014" w:rsidRPr="00ED7F0F" w:rsidTr="00AB6D63">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rsidR="00C36014" w:rsidRPr="00ED7F0F" w:rsidRDefault="00C36014" w:rsidP="00122C9F">
            <w:pPr>
              <w:ind w:left="57" w:hanging="12"/>
              <w:rPr>
                <w:szCs w:val="22"/>
              </w:rPr>
            </w:pPr>
            <w:r w:rsidRPr="00ED7F0F">
              <w:rPr>
                <w:rFonts w:eastAsia="TimesNewRoman,Bold"/>
                <w:b/>
                <w:bCs/>
                <w:szCs w:val="22"/>
                <w:lang w:eastAsia="en-US"/>
              </w:rPr>
              <w:t>Poruchy nervového systému</w:t>
            </w:r>
          </w:p>
        </w:tc>
      </w:tr>
      <w:tr w:rsidR="00C36014" w:rsidRPr="00ED7F0F" w:rsidTr="00AB6D6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i/>
                <w:szCs w:val="22"/>
              </w:rPr>
              <w:t>Veľmi časté</w:t>
            </w:r>
          </w:p>
        </w:tc>
        <w:tc>
          <w:tcPr>
            <w:tcW w:w="7811"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szCs w:val="22"/>
              </w:rPr>
              <w:t>bolesť hlavy</w:t>
            </w:r>
          </w:p>
        </w:tc>
      </w:tr>
      <w:tr w:rsidR="00C36014" w:rsidRPr="00ED7F0F" w:rsidTr="00AB6D6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i/>
                <w:szCs w:val="22"/>
              </w:rPr>
              <w:t>Časté</w:t>
            </w:r>
          </w:p>
        </w:tc>
        <w:tc>
          <w:tcPr>
            <w:tcW w:w="7811"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rFonts w:eastAsia="TimesNewRoman"/>
                <w:szCs w:val="22"/>
                <w:lang w:eastAsia="en-US"/>
              </w:rPr>
              <w:t>neuropatia (vrátane periférnej neuropatie), závrat, porucha chuti, spavosť</w:t>
            </w:r>
          </w:p>
        </w:tc>
      </w:tr>
      <w:tr w:rsidR="00C36014" w:rsidRPr="00ED7F0F" w:rsidTr="00AB6D63">
        <w:trPr>
          <w:trHeight w:hRule="exact" w:val="264"/>
        </w:trPr>
        <w:tc>
          <w:tcPr>
            <w:tcW w:w="1648"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i/>
                <w:szCs w:val="22"/>
              </w:rPr>
              <w:t>Menej časté</w:t>
            </w:r>
          </w:p>
        </w:tc>
        <w:tc>
          <w:tcPr>
            <w:tcW w:w="7811"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rFonts w:eastAsia="TimesNewRoman"/>
                <w:szCs w:val="22"/>
                <w:lang w:eastAsia="en-US"/>
              </w:rPr>
              <w:t>krvácanie do CNS</w:t>
            </w:r>
            <w:r w:rsidRPr="00ED7F0F">
              <w:rPr>
                <w:rFonts w:eastAsia="TimesNewRoman"/>
                <w:szCs w:val="22"/>
                <w:vertAlign w:val="superscript"/>
                <w:lang w:eastAsia="en-US"/>
              </w:rPr>
              <w:t>*b</w:t>
            </w:r>
            <w:r w:rsidRPr="00ED7F0F">
              <w:rPr>
                <w:rFonts w:eastAsia="TimesNewRoman"/>
                <w:szCs w:val="22"/>
                <w:lang w:eastAsia="en-US"/>
              </w:rPr>
              <w:t>, synkopa, tremor, amnézia, porucha rovnováhy</w:t>
            </w:r>
          </w:p>
        </w:tc>
      </w:tr>
      <w:tr w:rsidR="00C36014" w:rsidRPr="00ED7F0F" w:rsidTr="00AB6D63">
        <w:trPr>
          <w:trHeight w:hRule="exact" w:val="515"/>
        </w:trPr>
        <w:tc>
          <w:tcPr>
            <w:tcW w:w="1648"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i/>
                <w:szCs w:val="22"/>
              </w:rPr>
              <w:t>Zriedkavé</w:t>
            </w:r>
          </w:p>
        </w:tc>
        <w:tc>
          <w:tcPr>
            <w:tcW w:w="7811"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rFonts w:eastAsia="TimesNewRoman"/>
                <w:szCs w:val="22"/>
                <w:lang w:eastAsia="en-US"/>
              </w:rPr>
              <w:t>cerebrovaskulárna príhoda, prechodný ischemický záchvat, kŕč, očná neuritída,</w:t>
            </w:r>
            <w:r w:rsidR="00722B43" w:rsidRPr="00ED7F0F">
              <w:rPr>
                <w:rFonts w:eastAsia="TimesNewRoman"/>
                <w:szCs w:val="22"/>
                <w:lang w:eastAsia="en-US"/>
              </w:rPr>
              <w:t xml:space="preserve"> </w:t>
            </w:r>
            <w:r w:rsidRPr="00ED7F0F">
              <w:rPr>
                <w:rFonts w:eastAsia="TimesNewRoman"/>
                <w:szCs w:val="22"/>
                <w:lang w:eastAsia="en-US"/>
              </w:rPr>
              <w:t>paralýza VII. nervu, demencia, ataxia</w:t>
            </w:r>
          </w:p>
        </w:tc>
      </w:tr>
      <w:tr w:rsidR="00C36014" w:rsidRPr="00ED7F0F" w:rsidTr="00AB6D63">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rsidR="00C36014" w:rsidRPr="00ED7F0F" w:rsidRDefault="00C36014" w:rsidP="00122C9F">
            <w:pPr>
              <w:ind w:left="57" w:hanging="12"/>
              <w:rPr>
                <w:szCs w:val="22"/>
              </w:rPr>
            </w:pPr>
            <w:r w:rsidRPr="00ED7F0F">
              <w:rPr>
                <w:rFonts w:eastAsia="TimesNewRoman,Bold"/>
                <w:b/>
                <w:bCs/>
                <w:szCs w:val="22"/>
                <w:lang w:eastAsia="en-US"/>
              </w:rPr>
              <w:t>Poruchy oka</w:t>
            </w:r>
          </w:p>
        </w:tc>
      </w:tr>
      <w:tr w:rsidR="00C36014" w:rsidRPr="00ED7F0F" w:rsidTr="00AB6D63">
        <w:trPr>
          <w:trHeight w:hRule="exact" w:val="510"/>
        </w:trPr>
        <w:tc>
          <w:tcPr>
            <w:tcW w:w="1648"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i/>
                <w:szCs w:val="22"/>
              </w:rPr>
              <w:t>Časté</w:t>
            </w:r>
          </w:p>
        </w:tc>
        <w:tc>
          <w:tcPr>
            <w:tcW w:w="7811"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rFonts w:eastAsia="TimesNewRoman"/>
                <w:szCs w:val="22"/>
                <w:lang w:eastAsia="en-US"/>
              </w:rPr>
              <w:t>poruchy videnia (vrátane zrakovej poruchy, rozmazaného videnia a zníženej zrakovej</w:t>
            </w:r>
            <w:r w:rsidR="00722B43" w:rsidRPr="00ED7F0F">
              <w:rPr>
                <w:rFonts w:eastAsia="TimesNewRoman"/>
                <w:szCs w:val="22"/>
                <w:lang w:eastAsia="en-US"/>
              </w:rPr>
              <w:t xml:space="preserve"> </w:t>
            </w:r>
            <w:r w:rsidRPr="00ED7F0F">
              <w:rPr>
                <w:rFonts w:eastAsia="TimesNewRoman"/>
                <w:szCs w:val="22"/>
                <w:lang w:eastAsia="en-US"/>
              </w:rPr>
              <w:t>ostrosti), suchosť očí</w:t>
            </w:r>
          </w:p>
        </w:tc>
      </w:tr>
      <w:tr w:rsidR="00C36014" w:rsidRPr="00ED7F0F" w:rsidTr="00AB6D63">
        <w:trPr>
          <w:trHeight w:hRule="exact" w:val="264"/>
        </w:trPr>
        <w:tc>
          <w:tcPr>
            <w:tcW w:w="1648"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i/>
                <w:szCs w:val="22"/>
              </w:rPr>
              <w:t>Menej časté</w:t>
            </w:r>
          </w:p>
        </w:tc>
        <w:tc>
          <w:tcPr>
            <w:tcW w:w="7811"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rFonts w:eastAsia="TimesNewRoman"/>
                <w:szCs w:val="22"/>
                <w:lang w:eastAsia="en-US"/>
              </w:rPr>
              <w:t>porucha zraku, konjunktivitída, fotofóbia, zvýšené slzenie</w:t>
            </w:r>
          </w:p>
        </w:tc>
      </w:tr>
      <w:tr w:rsidR="00C36014" w:rsidRPr="00ED7F0F" w:rsidTr="00AB6D63">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rsidR="00C36014" w:rsidRPr="00ED7F0F" w:rsidRDefault="00C36014" w:rsidP="00122C9F">
            <w:pPr>
              <w:ind w:left="57" w:hanging="12"/>
              <w:rPr>
                <w:szCs w:val="22"/>
              </w:rPr>
            </w:pPr>
            <w:r w:rsidRPr="00ED7F0F">
              <w:rPr>
                <w:rFonts w:eastAsia="TimesNewRoman,Bold"/>
                <w:b/>
                <w:bCs/>
                <w:szCs w:val="22"/>
                <w:lang w:eastAsia="en-US"/>
              </w:rPr>
              <w:t>Poruchy ucha a labyrintu</w:t>
            </w:r>
          </w:p>
        </w:tc>
      </w:tr>
      <w:tr w:rsidR="00C36014" w:rsidRPr="00ED7F0F" w:rsidTr="00AB6D6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i/>
                <w:szCs w:val="22"/>
              </w:rPr>
              <w:t>Časté</w:t>
            </w:r>
          </w:p>
        </w:tc>
        <w:tc>
          <w:tcPr>
            <w:tcW w:w="7811"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szCs w:val="22"/>
              </w:rPr>
              <w:t>tinitus</w:t>
            </w:r>
          </w:p>
        </w:tc>
      </w:tr>
      <w:tr w:rsidR="00C36014" w:rsidRPr="00ED7F0F" w:rsidTr="00AB6D6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i/>
                <w:szCs w:val="22"/>
              </w:rPr>
              <w:t>Menej časté</w:t>
            </w:r>
          </w:p>
        </w:tc>
        <w:tc>
          <w:tcPr>
            <w:tcW w:w="7811"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rFonts w:eastAsia="TimesNewRoman"/>
                <w:szCs w:val="22"/>
                <w:lang w:eastAsia="en-US"/>
              </w:rPr>
              <w:t>strata sluchu, vertigo</w:t>
            </w:r>
          </w:p>
        </w:tc>
      </w:tr>
      <w:tr w:rsidR="00C36014" w:rsidRPr="00ED7F0F" w:rsidTr="00AB6D63">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rsidR="00C36014" w:rsidRPr="00ED7F0F" w:rsidRDefault="00C36014" w:rsidP="00122C9F">
            <w:pPr>
              <w:ind w:left="57" w:hanging="12"/>
              <w:rPr>
                <w:szCs w:val="22"/>
              </w:rPr>
            </w:pPr>
            <w:r w:rsidRPr="00ED7F0F">
              <w:rPr>
                <w:rFonts w:eastAsia="TimesNewRoman,Bold"/>
                <w:b/>
                <w:bCs/>
                <w:szCs w:val="22"/>
                <w:lang w:eastAsia="en-US"/>
              </w:rPr>
              <w:t>Poruchy srdca a srdcovej činnosti</w:t>
            </w:r>
          </w:p>
        </w:tc>
      </w:tr>
      <w:tr w:rsidR="00C36014" w:rsidRPr="00ED7F0F" w:rsidTr="00AB6D63">
        <w:trPr>
          <w:trHeight w:hRule="exact" w:val="581"/>
        </w:trPr>
        <w:tc>
          <w:tcPr>
            <w:tcW w:w="1648"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i/>
                <w:szCs w:val="22"/>
              </w:rPr>
              <w:t>Časté</w:t>
            </w:r>
          </w:p>
        </w:tc>
        <w:tc>
          <w:tcPr>
            <w:tcW w:w="7811"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autoSpaceDE w:val="0"/>
              <w:autoSpaceDN w:val="0"/>
              <w:adjustRightInd w:val="0"/>
              <w:ind w:left="102"/>
              <w:rPr>
                <w:rFonts w:eastAsia="TimesNewRoman"/>
                <w:szCs w:val="22"/>
                <w:lang w:eastAsia="en-US"/>
              </w:rPr>
            </w:pPr>
            <w:r w:rsidRPr="00ED7F0F">
              <w:rPr>
                <w:rFonts w:eastAsia="TimesNewRoman"/>
                <w:szCs w:val="22"/>
                <w:lang w:eastAsia="en-US"/>
              </w:rPr>
              <w:t>kongestívne srdcové zlyhávanie/srdcová dysfunkcia*</w:t>
            </w:r>
            <w:r w:rsidRPr="00ED7F0F">
              <w:rPr>
                <w:rFonts w:eastAsia="TimesNewRoman"/>
                <w:szCs w:val="22"/>
                <w:vertAlign w:val="superscript"/>
                <w:lang w:eastAsia="en-US"/>
              </w:rPr>
              <w:t>c</w:t>
            </w:r>
            <w:r w:rsidRPr="00ED7F0F">
              <w:rPr>
                <w:rFonts w:eastAsia="TimesNewRoman"/>
                <w:szCs w:val="22"/>
                <w:lang w:eastAsia="en-US"/>
              </w:rPr>
              <w:t>, perikardiálny výpotok*, arytmia</w:t>
            </w:r>
          </w:p>
          <w:p w:rsidR="00C36014" w:rsidRPr="00ED7F0F" w:rsidRDefault="00C36014" w:rsidP="00122C9F">
            <w:pPr>
              <w:ind w:left="102"/>
              <w:rPr>
                <w:szCs w:val="22"/>
              </w:rPr>
            </w:pPr>
            <w:r w:rsidRPr="00ED7F0F">
              <w:rPr>
                <w:rFonts w:eastAsia="TimesNewRoman"/>
                <w:szCs w:val="22"/>
                <w:lang w:eastAsia="en-US"/>
              </w:rPr>
              <w:t>(vrátane tachykardie), palpitácie</w:t>
            </w:r>
          </w:p>
        </w:tc>
      </w:tr>
      <w:tr w:rsidR="00C36014" w:rsidRPr="00ED7F0F" w:rsidTr="00AB6D63">
        <w:trPr>
          <w:trHeight w:hRule="exact" w:val="1128"/>
        </w:trPr>
        <w:tc>
          <w:tcPr>
            <w:tcW w:w="1648"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i/>
                <w:szCs w:val="22"/>
              </w:rPr>
              <w:t>Menej časté</w:t>
            </w:r>
          </w:p>
        </w:tc>
        <w:tc>
          <w:tcPr>
            <w:tcW w:w="7811"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autoSpaceDE w:val="0"/>
              <w:autoSpaceDN w:val="0"/>
              <w:adjustRightInd w:val="0"/>
              <w:ind w:left="102"/>
              <w:rPr>
                <w:szCs w:val="22"/>
              </w:rPr>
            </w:pPr>
            <w:r w:rsidRPr="00ED7F0F">
              <w:rPr>
                <w:rFonts w:eastAsia="TimesNewRoman"/>
                <w:szCs w:val="22"/>
                <w:lang w:eastAsia="en-US"/>
              </w:rPr>
              <w:t>infarkt myokardu (vrátane fatálneho následku)*, QT predĺženie na</w:t>
            </w:r>
            <w:r w:rsidR="00722B43" w:rsidRPr="00ED7F0F">
              <w:rPr>
                <w:rFonts w:eastAsia="TimesNewRoman"/>
                <w:szCs w:val="22"/>
                <w:lang w:eastAsia="en-US"/>
              </w:rPr>
              <w:t xml:space="preserve"> </w:t>
            </w:r>
            <w:r w:rsidRPr="00ED7F0F">
              <w:rPr>
                <w:rFonts w:eastAsia="TimesNewRoman"/>
                <w:szCs w:val="22"/>
                <w:lang w:eastAsia="en-US"/>
              </w:rPr>
              <w:t>elektrokardiograme*, perikarditída, ventrikulárna arytmia (vrátane ventrikulárnej</w:t>
            </w:r>
            <w:r w:rsidR="00722B43" w:rsidRPr="00ED7F0F">
              <w:rPr>
                <w:rFonts w:eastAsia="TimesNewRoman"/>
                <w:szCs w:val="22"/>
                <w:lang w:eastAsia="en-US"/>
              </w:rPr>
              <w:t xml:space="preserve"> </w:t>
            </w:r>
            <w:r w:rsidRPr="00ED7F0F">
              <w:rPr>
                <w:rFonts w:eastAsia="TimesNewRoman"/>
                <w:szCs w:val="22"/>
                <w:lang w:eastAsia="en-US"/>
              </w:rPr>
              <w:t>tachykardie), angina pectoris, kardiomegália, nezvyčajná T vlna na</w:t>
            </w:r>
            <w:r w:rsidR="00722B43" w:rsidRPr="00ED7F0F">
              <w:rPr>
                <w:rFonts w:eastAsia="TimesNewRoman"/>
                <w:szCs w:val="22"/>
                <w:lang w:eastAsia="en-US"/>
              </w:rPr>
              <w:t xml:space="preserve"> </w:t>
            </w:r>
            <w:r w:rsidRPr="00ED7F0F">
              <w:rPr>
                <w:rFonts w:eastAsia="TimesNewRoman"/>
                <w:szCs w:val="22"/>
                <w:lang w:eastAsia="en-US"/>
              </w:rPr>
              <w:t>elektrokardiograme, zvýšená hladina troponínu</w:t>
            </w:r>
          </w:p>
        </w:tc>
      </w:tr>
      <w:tr w:rsidR="00C36014" w:rsidRPr="00ED7F0F" w:rsidTr="00722B43">
        <w:trPr>
          <w:trHeight w:hRule="exact" w:val="515"/>
        </w:trPr>
        <w:tc>
          <w:tcPr>
            <w:tcW w:w="1648"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i/>
                <w:szCs w:val="22"/>
              </w:rPr>
              <w:t>Zriedkavé</w:t>
            </w:r>
          </w:p>
        </w:tc>
        <w:tc>
          <w:tcPr>
            <w:tcW w:w="7811"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autoSpaceDE w:val="0"/>
              <w:autoSpaceDN w:val="0"/>
              <w:adjustRightInd w:val="0"/>
              <w:ind w:left="102"/>
              <w:rPr>
                <w:szCs w:val="22"/>
              </w:rPr>
            </w:pPr>
            <w:r w:rsidRPr="00ED7F0F">
              <w:rPr>
                <w:rFonts w:eastAsia="TimesNewRoman"/>
                <w:szCs w:val="22"/>
                <w:lang w:eastAsia="en-US"/>
              </w:rPr>
              <w:t>cor pulmonale, myokarditída, akútny koronárny syndróm, zastavenie srdca,</w:t>
            </w:r>
            <w:r w:rsidR="00722B43" w:rsidRPr="00ED7F0F">
              <w:rPr>
                <w:rFonts w:eastAsia="TimesNewRoman"/>
                <w:szCs w:val="22"/>
                <w:lang w:eastAsia="en-US"/>
              </w:rPr>
              <w:t xml:space="preserve"> </w:t>
            </w:r>
            <w:r w:rsidRPr="00ED7F0F">
              <w:rPr>
                <w:rFonts w:eastAsia="TimesNewRoman"/>
                <w:szCs w:val="22"/>
                <w:lang w:eastAsia="en-US"/>
              </w:rPr>
              <w:t>predĺženie PR na elektrokardiograme, koronárne arteriálne ochorenie,</w:t>
            </w:r>
            <w:r w:rsidR="00722B43" w:rsidRPr="00ED7F0F">
              <w:rPr>
                <w:rFonts w:eastAsia="TimesNewRoman"/>
                <w:szCs w:val="22"/>
                <w:lang w:eastAsia="en-US"/>
              </w:rPr>
              <w:t xml:space="preserve"> </w:t>
            </w:r>
            <w:r w:rsidRPr="00ED7F0F">
              <w:rPr>
                <w:rFonts w:eastAsia="TimesNewRoman"/>
                <w:szCs w:val="22"/>
                <w:lang w:eastAsia="en-US"/>
              </w:rPr>
              <w:t>pleuroperikarditída</w:t>
            </w:r>
          </w:p>
        </w:tc>
      </w:tr>
      <w:tr w:rsidR="00C36014" w:rsidRPr="00ED7F0F" w:rsidTr="00AB6D6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i/>
                <w:szCs w:val="22"/>
              </w:rPr>
              <w:t>Neznáme</w:t>
            </w:r>
          </w:p>
        </w:tc>
        <w:tc>
          <w:tcPr>
            <w:tcW w:w="7811"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firstLine="45"/>
              <w:rPr>
                <w:szCs w:val="22"/>
              </w:rPr>
            </w:pPr>
            <w:r w:rsidRPr="00ED7F0F">
              <w:rPr>
                <w:rFonts w:eastAsia="TimesNewRoman"/>
                <w:szCs w:val="22"/>
                <w:lang w:eastAsia="en-US"/>
              </w:rPr>
              <w:t>fibrilácia predsiení/ flutter predsiení</w:t>
            </w:r>
          </w:p>
        </w:tc>
      </w:tr>
      <w:tr w:rsidR="00C36014" w:rsidRPr="00ED7F0F" w:rsidTr="00AB6D63">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rsidR="00C36014" w:rsidRPr="00ED7F0F" w:rsidRDefault="00C36014" w:rsidP="00122C9F">
            <w:pPr>
              <w:ind w:left="57" w:hanging="12"/>
              <w:rPr>
                <w:szCs w:val="22"/>
              </w:rPr>
            </w:pPr>
            <w:r w:rsidRPr="00ED7F0F">
              <w:rPr>
                <w:rFonts w:eastAsia="TimesNewRoman,Bold"/>
                <w:b/>
                <w:bCs/>
                <w:szCs w:val="22"/>
                <w:lang w:eastAsia="en-US"/>
              </w:rPr>
              <w:t>Poruchy ciev</w:t>
            </w:r>
          </w:p>
        </w:tc>
      </w:tr>
      <w:tr w:rsidR="00C36014" w:rsidRPr="00ED7F0F" w:rsidTr="00AB6D6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i/>
                <w:szCs w:val="22"/>
              </w:rPr>
              <w:t>Veľmi časté</w:t>
            </w:r>
          </w:p>
        </w:tc>
        <w:tc>
          <w:tcPr>
            <w:tcW w:w="7811"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rFonts w:eastAsia="TimesNewRoman"/>
                <w:szCs w:val="22"/>
                <w:lang w:eastAsia="en-US"/>
              </w:rPr>
              <w:t>hemorágia</w:t>
            </w:r>
            <w:r w:rsidRPr="00ED7F0F">
              <w:rPr>
                <w:rFonts w:eastAsia="TimesNewRoman"/>
                <w:szCs w:val="22"/>
                <w:vertAlign w:val="superscript"/>
                <w:lang w:eastAsia="en-US"/>
              </w:rPr>
              <w:t>*d</w:t>
            </w:r>
          </w:p>
        </w:tc>
      </w:tr>
      <w:tr w:rsidR="00C36014" w:rsidRPr="00ED7F0F" w:rsidTr="00AB6D6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i/>
                <w:szCs w:val="22"/>
              </w:rPr>
              <w:t>Časté</w:t>
            </w:r>
          </w:p>
        </w:tc>
        <w:tc>
          <w:tcPr>
            <w:tcW w:w="7811"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rFonts w:eastAsia="TimesNewRoman"/>
                <w:szCs w:val="22"/>
                <w:lang w:eastAsia="en-US"/>
              </w:rPr>
              <w:t>hypertenzia, začervenanie</w:t>
            </w:r>
          </w:p>
        </w:tc>
      </w:tr>
      <w:tr w:rsidR="00C36014" w:rsidRPr="00ED7F0F" w:rsidTr="00AB6D63">
        <w:trPr>
          <w:trHeight w:hRule="exact" w:val="264"/>
        </w:trPr>
        <w:tc>
          <w:tcPr>
            <w:tcW w:w="1648"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i/>
                <w:szCs w:val="22"/>
              </w:rPr>
              <w:t>Menej časté</w:t>
            </w:r>
          </w:p>
        </w:tc>
        <w:tc>
          <w:tcPr>
            <w:tcW w:w="7811"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rFonts w:eastAsia="TimesNewRoman"/>
                <w:szCs w:val="22"/>
                <w:lang w:eastAsia="en-US"/>
              </w:rPr>
              <w:t>hypotenzia, tromboflebitída</w:t>
            </w:r>
            <w:r w:rsidR="00722B43" w:rsidRPr="00ED7F0F">
              <w:rPr>
                <w:rFonts w:eastAsia="TimesNewRoman"/>
                <w:szCs w:val="22"/>
                <w:lang w:eastAsia="en-US"/>
              </w:rPr>
              <w:t>, trombóza</w:t>
            </w:r>
          </w:p>
        </w:tc>
      </w:tr>
      <w:tr w:rsidR="00C36014" w:rsidRPr="00ED7F0F" w:rsidTr="00AB6D6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i/>
                <w:szCs w:val="22"/>
              </w:rPr>
              <w:t>Zriedkavé</w:t>
            </w:r>
          </w:p>
        </w:tc>
        <w:tc>
          <w:tcPr>
            <w:tcW w:w="7811"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rFonts w:eastAsia="TimesNewRoman"/>
                <w:szCs w:val="22"/>
                <w:lang w:eastAsia="en-US"/>
              </w:rPr>
              <w:t>hlboká žilová trombóza, embólia, livedo reticularis</w:t>
            </w:r>
          </w:p>
        </w:tc>
      </w:tr>
      <w:tr w:rsidR="00722B43" w:rsidRPr="00ED7F0F" w:rsidTr="00AB6D6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rsidR="00722B43" w:rsidRPr="00ED7F0F" w:rsidRDefault="00722B43" w:rsidP="00122C9F">
            <w:pPr>
              <w:ind w:left="57" w:hanging="12"/>
              <w:rPr>
                <w:i/>
                <w:szCs w:val="22"/>
              </w:rPr>
            </w:pPr>
            <w:r w:rsidRPr="00ED7F0F">
              <w:rPr>
                <w:i/>
                <w:szCs w:val="22"/>
              </w:rPr>
              <w:t>Neznáme</w:t>
            </w:r>
          </w:p>
        </w:tc>
        <w:tc>
          <w:tcPr>
            <w:tcW w:w="7811" w:type="dxa"/>
            <w:tcBorders>
              <w:top w:val="single" w:sz="4" w:space="0" w:color="000000"/>
              <w:left w:val="single" w:sz="4" w:space="0" w:color="000000"/>
              <w:bottom w:val="single" w:sz="4" w:space="0" w:color="000000"/>
              <w:right w:val="single" w:sz="4" w:space="0" w:color="000000"/>
            </w:tcBorders>
          </w:tcPr>
          <w:p w:rsidR="00722B43" w:rsidRPr="00ED7F0F" w:rsidRDefault="00722B43" w:rsidP="00122C9F">
            <w:pPr>
              <w:ind w:left="57" w:hanging="12"/>
              <w:rPr>
                <w:rFonts w:eastAsia="TimesNewRoman"/>
                <w:szCs w:val="22"/>
                <w:lang w:eastAsia="en-US"/>
              </w:rPr>
            </w:pPr>
            <w:r w:rsidRPr="00ED7F0F">
              <w:t>trombotická mikroangiopatia</w:t>
            </w:r>
          </w:p>
        </w:tc>
      </w:tr>
      <w:tr w:rsidR="00C36014" w:rsidRPr="00ED7F0F" w:rsidTr="00AB6D63">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rsidR="00C36014" w:rsidRPr="00ED7F0F" w:rsidRDefault="00C36014" w:rsidP="00122C9F">
            <w:pPr>
              <w:ind w:left="57" w:hanging="12"/>
              <w:rPr>
                <w:szCs w:val="22"/>
              </w:rPr>
            </w:pPr>
            <w:r w:rsidRPr="00ED7F0F">
              <w:rPr>
                <w:rFonts w:eastAsia="TimesNewRoman,Bold"/>
                <w:b/>
                <w:bCs/>
                <w:szCs w:val="22"/>
                <w:lang w:eastAsia="en-US"/>
              </w:rPr>
              <w:t>Poruchy dýchacej sústavy, hrudníka a mediastína</w:t>
            </w:r>
          </w:p>
        </w:tc>
      </w:tr>
      <w:tr w:rsidR="00C36014" w:rsidRPr="00ED7F0F" w:rsidTr="00722B43">
        <w:trPr>
          <w:trHeight w:hRule="exact" w:val="297"/>
        </w:trPr>
        <w:tc>
          <w:tcPr>
            <w:tcW w:w="1648"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i/>
                <w:szCs w:val="22"/>
              </w:rPr>
              <w:t>Veľmi časté</w:t>
            </w:r>
          </w:p>
        </w:tc>
        <w:tc>
          <w:tcPr>
            <w:tcW w:w="7811"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rFonts w:eastAsia="TimesNewRoman"/>
                <w:szCs w:val="22"/>
                <w:lang w:eastAsia="en-US"/>
              </w:rPr>
              <w:t>pleurálny výpotok*, dyspnoe</w:t>
            </w:r>
          </w:p>
        </w:tc>
      </w:tr>
      <w:tr w:rsidR="00C36014" w:rsidRPr="00ED7F0F" w:rsidTr="00AB6D63">
        <w:trPr>
          <w:trHeight w:hRule="exact" w:val="323"/>
        </w:trPr>
        <w:tc>
          <w:tcPr>
            <w:tcW w:w="1648"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i/>
                <w:szCs w:val="22"/>
              </w:rPr>
              <w:t>Časté</w:t>
            </w:r>
          </w:p>
        </w:tc>
        <w:tc>
          <w:tcPr>
            <w:tcW w:w="7811"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rFonts w:eastAsia="TimesNewRoman"/>
                <w:szCs w:val="22"/>
                <w:lang w:eastAsia="en-US"/>
              </w:rPr>
              <w:t>pľúcny edém*, pľúcna hypertenzia*, pľúcna infiltrácia, pneumonitída, kašeľ</w:t>
            </w:r>
          </w:p>
        </w:tc>
      </w:tr>
      <w:tr w:rsidR="00C36014" w:rsidRPr="00ED7F0F" w:rsidTr="00AB6D63">
        <w:trPr>
          <w:trHeight w:hRule="exact" w:val="293"/>
        </w:trPr>
        <w:tc>
          <w:tcPr>
            <w:tcW w:w="1648"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i/>
                <w:szCs w:val="22"/>
              </w:rPr>
              <w:t>Menej časté</w:t>
            </w:r>
          </w:p>
        </w:tc>
        <w:tc>
          <w:tcPr>
            <w:tcW w:w="7811"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rFonts w:eastAsia="TimesNewRoman"/>
                <w:szCs w:val="22"/>
                <w:lang w:eastAsia="en-US"/>
              </w:rPr>
              <w:t>pľúcna arteriálna hypertenzia, bronchospazmus, astma</w:t>
            </w:r>
          </w:p>
        </w:tc>
      </w:tr>
      <w:tr w:rsidR="00C36014" w:rsidRPr="00ED7F0F" w:rsidTr="00AB6D6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i/>
                <w:szCs w:val="22"/>
              </w:rPr>
              <w:t>Zriedkavé</w:t>
            </w:r>
          </w:p>
        </w:tc>
        <w:tc>
          <w:tcPr>
            <w:tcW w:w="7811"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rFonts w:eastAsia="TimesNewRoman"/>
                <w:szCs w:val="22"/>
                <w:lang w:eastAsia="en-US"/>
              </w:rPr>
              <w:t>pľúcna embólia, syndróm akútnej respiračnej tiesne</w:t>
            </w:r>
          </w:p>
        </w:tc>
      </w:tr>
      <w:tr w:rsidR="00C36014" w:rsidRPr="00ED7F0F" w:rsidTr="00AB6D63">
        <w:trPr>
          <w:trHeight w:hRule="exact" w:val="264"/>
        </w:trPr>
        <w:tc>
          <w:tcPr>
            <w:tcW w:w="1648"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i/>
                <w:szCs w:val="22"/>
              </w:rPr>
              <w:t>Neznáme</w:t>
            </w:r>
          </w:p>
        </w:tc>
        <w:tc>
          <w:tcPr>
            <w:tcW w:w="7811"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rFonts w:eastAsia="TimesNewRoman"/>
                <w:szCs w:val="22"/>
                <w:lang w:eastAsia="en-US"/>
              </w:rPr>
              <w:t>intersticiálne ochorenie pľúc</w:t>
            </w:r>
          </w:p>
        </w:tc>
      </w:tr>
      <w:tr w:rsidR="00C36014" w:rsidRPr="00ED7F0F" w:rsidTr="00AB6D63">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rsidR="00C36014" w:rsidRPr="00ED7F0F" w:rsidRDefault="00C36014" w:rsidP="00122C9F">
            <w:pPr>
              <w:ind w:left="57" w:hanging="12"/>
              <w:rPr>
                <w:szCs w:val="22"/>
              </w:rPr>
            </w:pPr>
            <w:r w:rsidRPr="00ED7F0F">
              <w:rPr>
                <w:rFonts w:eastAsia="TimesNewRoman,Bold"/>
                <w:b/>
                <w:bCs/>
                <w:szCs w:val="22"/>
                <w:lang w:eastAsia="en-US"/>
              </w:rPr>
              <w:t>Poruchy gastrointestinálneho traktu</w:t>
            </w:r>
          </w:p>
        </w:tc>
      </w:tr>
      <w:tr w:rsidR="00C36014" w:rsidRPr="00ED7F0F" w:rsidTr="00AB6D6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i/>
                <w:szCs w:val="22"/>
              </w:rPr>
              <w:t>Veľmi časté</w:t>
            </w:r>
          </w:p>
        </w:tc>
        <w:tc>
          <w:tcPr>
            <w:tcW w:w="7811"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rFonts w:eastAsia="TimesNewRoman"/>
                <w:szCs w:val="22"/>
                <w:lang w:eastAsia="en-US"/>
              </w:rPr>
              <w:t>hnačka, vracanie, nauzea, abdominálna bolesť</w:t>
            </w:r>
          </w:p>
        </w:tc>
      </w:tr>
      <w:tr w:rsidR="00C36014" w:rsidRPr="00ED7F0F" w:rsidTr="008772D7">
        <w:trPr>
          <w:trHeight w:hRule="exact" w:val="878"/>
        </w:trPr>
        <w:tc>
          <w:tcPr>
            <w:tcW w:w="1648"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i/>
                <w:szCs w:val="22"/>
              </w:rPr>
              <w:t>Časté</w:t>
            </w:r>
          </w:p>
        </w:tc>
        <w:tc>
          <w:tcPr>
            <w:tcW w:w="7811" w:type="dxa"/>
            <w:tcBorders>
              <w:top w:val="single" w:sz="4" w:space="0" w:color="000000"/>
              <w:left w:val="single" w:sz="4" w:space="0" w:color="000000"/>
              <w:bottom w:val="single" w:sz="4" w:space="0" w:color="000000"/>
              <w:right w:val="single" w:sz="4" w:space="0" w:color="000000"/>
            </w:tcBorders>
            <w:vAlign w:val="center"/>
          </w:tcPr>
          <w:p w:rsidR="00C36014" w:rsidRPr="00ED7F0F" w:rsidRDefault="00C36014" w:rsidP="00122C9F">
            <w:pPr>
              <w:ind w:left="57" w:hanging="12"/>
              <w:rPr>
                <w:szCs w:val="22"/>
              </w:rPr>
            </w:pPr>
            <w:r w:rsidRPr="00ED7F0F">
              <w:rPr>
                <w:rFonts w:eastAsia="TimesNewRoman"/>
                <w:szCs w:val="22"/>
                <w:lang w:eastAsia="en-US"/>
              </w:rPr>
              <w:t>gastrointestinálne krvácanie*, kolitída (vrátane neutropenickej kolitídy), gastritída,</w:t>
            </w:r>
            <w:r w:rsidR="00722B43" w:rsidRPr="00ED7F0F">
              <w:rPr>
                <w:rFonts w:eastAsia="TimesNewRoman"/>
                <w:szCs w:val="22"/>
                <w:lang w:eastAsia="en-US"/>
              </w:rPr>
              <w:t xml:space="preserve"> </w:t>
            </w:r>
            <w:r w:rsidRPr="00ED7F0F">
              <w:rPr>
                <w:rFonts w:eastAsia="TimesNewRoman"/>
                <w:szCs w:val="22"/>
                <w:lang w:eastAsia="en-US"/>
              </w:rPr>
              <w:t>zápal sliznice (vrátane mukozitídy/stomatitídy), dyspepsia, abdominálna distenzia,</w:t>
            </w:r>
            <w:r w:rsidR="00722B43" w:rsidRPr="00ED7F0F">
              <w:rPr>
                <w:rFonts w:eastAsia="TimesNewRoman"/>
                <w:szCs w:val="22"/>
                <w:lang w:eastAsia="en-US"/>
              </w:rPr>
              <w:t xml:space="preserve"> </w:t>
            </w:r>
            <w:r w:rsidRPr="00ED7F0F">
              <w:rPr>
                <w:rFonts w:eastAsia="TimesNewRoman"/>
                <w:szCs w:val="22"/>
                <w:lang w:eastAsia="en-US"/>
              </w:rPr>
              <w:t>zápcha, porucha mäkkého tkaniva v</w:t>
            </w:r>
            <w:r w:rsidR="008772D7" w:rsidRPr="00ED7F0F">
              <w:rPr>
                <w:rFonts w:eastAsia="TimesNewRoman"/>
                <w:szCs w:val="22"/>
                <w:lang w:eastAsia="en-US"/>
              </w:rPr>
              <w:t> </w:t>
            </w:r>
            <w:r w:rsidRPr="00ED7F0F">
              <w:rPr>
                <w:rFonts w:eastAsia="TimesNewRoman"/>
                <w:szCs w:val="22"/>
                <w:lang w:eastAsia="en-US"/>
              </w:rPr>
              <w:t>ústach</w:t>
            </w:r>
          </w:p>
        </w:tc>
      </w:tr>
      <w:tr w:rsidR="00C36014" w:rsidRPr="00ED7F0F" w:rsidTr="008772D7">
        <w:trPr>
          <w:trHeight w:hRule="exact" w:val="863"/>
        </w:trPr>
        <w:tc>
          <w:tcPr>
            <w:tcW w:w="1648"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i/>
                <w:szCs w:val="22"/>
              </w:rPr>
              <w:t>Menej časté</w:t>
            </w:r>
          </w:p>
        </w:tc>
        <w:tc>
          <w:tcPr>
            <w:tcW w:w="7811" w:type="dxa"/>
            <w:tcBorders>
              <w:top w:val="single" w:sz="4" w:space="0" w:color="000000"/>
              <w:left w:val="single" w:sz="4" w:space="0" w:color="000000"/>
              <w:bottom w:val="single" w:sz="4" w:space="0" w:color="000000"/>
              <w:right w:val="single" w:sz="4" w:space="0" w:color="000000"/>
            </w:tcBorders>
            <w:vAlign w:val="center"/>
          </w:tcPr>
          <w:p w:rsidR="00C36014" w:rsidRPr="00ED7F0F" w:rsidRDefault="00C36014" w:rsidP="00122C9F">
            <w:pPr>
              <w:ind w:left="57" w:hanging="12"/>
              <w:rPr>
                <w:szCs w:val="22"/>
              </w:rPr>
            </w:pPr>
            <w:r w:rsidRPr="00ED7F0F">
              <w:rPr>
                <w:rFonts w:eastAsia="TimesNewRoman"/>
                <w:szCs w:val="22"/>
                <w:lang w:eastAsia="en-US"/>
              </w:rPr>
              <w:t>pankreatitída (vrátane akútnej pankreatitídy), vred v hornej časti gastrointestinálneho traktu,</w:t>
            </w:r>
            <w:r w:rsidR="008772D7" w:rsidRPr="00ED7F0F">
              <w:rPr>
                <w:rFonts w:eastAsia="TimesNewRoman"/>
                <w:szCs w:val="22"/>
                <w:lang w:eastAsia="en-US"/>
              </w:rPr>
              <w:t xml:space="preserve"> </w:t>
            </w:r>
            <w:r w:rsidRPr="00ED7F0F">
              <w:rPr>
                <w:rFonts w:eastAsia="TimesNewRoman"/>
                <w:szCs w:val="22"/>
                <w:lang w:eastAsia="en-US"/>
              </w:rPr>
              <w:t>ezofagitída, ascites*, análna fisúra, dysfágia, gastroezofágové refluxné ochorenie</w:t>
            </w:r>
          </w:p>
        </w:tc>
      </w:tr>
      <w:tr w:rsidR="00C36014" w:rsidRPr="00ED7F0F" w:rsidTr="00AB6D6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i/>
                <w:szCs w:val="22"/>
              </w:rPr>
              <w:t>Zriedkavé</w:t>
            </w:r>
          </w:p>
        </w:tc>
        <w:tc>
          <w:tcPr>
            <w:tcW w:w="7811"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rFonts w:eastAsia="TimesNewRoman"/>
                <w:szCs w:val="22"/>
                <w:lang w:eastAsia="en-US"/>
              </w:rPr>
            </w:pPr>
            <w:r w:rsidRPr="00ED7F0F">
              <w:rPr>
                <w:rFonts w:eastAsia="TimesNewRoman"/>
                <w:szCs w:val="22"/>
                <w:lang w:eastAsia="en-US"/>
              </w:rPr>
              <w:t>gastroenteropatia zo straty proteínov, ileus, análna fistula</w:t>
            </w:r>
          </w:p>
        </w:tc>
      </w:tr>
      <w:tr w:rsidR="00C36014" w:rsidRPr="00ED7F0F" w:rsidTr="00AB6D6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i/>
                <w:szCs w:val="22"/>
              </w:rPr>
              <w:t>Neznáme</w:t>
            </w:r>
          </w:p>
        </w:tc>
        <w:tc>
          <w:tcPr>
            <w:tcW w:w="7811"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rFonts w:eastAsia="TimesNewRoman"/>
                <w:szCs w:val="22"/>
                <w:lang w:eastAsia="en-US"/>
              </w:rPr>
            </w:pPr>
            <w:r w:rsidRPr="00ED7F0F">
              <w:rPr>
                <w:rFonts w:eastAsia="TimesNewRoman"/>
                <w:szCs w:val="22"/>
                <w:lang w:eastAsia="en-US"/>
              </w:rPr>
              <w:t>fatálna gastrointestinálna hemorágia*</w:t>
            </w:r>
          </w:p>
        </w:tc>
      </w:tr>
      <w:tr w:rsidR="00C36014" w:rsidRPr="00ED7F0F" w:rsidTr="00AB6D63">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rsidR="00C36014" w:rsidRPr="00ED7F0F" w:rsidRDefault="00C36014" w:rsidP="00122C9F">
            <w:pPr>
              <w:ind w:left="57" w:hanging="12"/>
              <w:rPr>
                <w:szCs w:val="22"/>
              </w:rPr>
            </w:pPr>
            <w:r w:rsidRPr="00ED7F0F">
              <w:rPr>
                <w:rFonts w:eastAsia="TimesNewRoman,Bold"/>
                <w:b/>
                <w:bCs/>
                <w:szCs w:val="22"/>
                <w:lang w:eastAsia="en-US"/>
              </w:rPr>
              <w:t>Poruchy pečene a žlčových ciest</w:t>
            </w:r>
          </w:p>
        </w:tc>
      </w:tr>
      <w:tr w:rsidR="00C36014" w:rsidRPr="00ED7F0F" w:rsidTr="00AB6D6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i/>
                <w:szCs w:val="22"/>
              </w:rPr>
              <w:t>Menej časté</w:t>
            </w:r>
          </w:p>
        </w:tc>
        <w:tc>
          <w:tcPr>
            <w:tcW w:w="7811"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rFonts w:eastAsia="TimesNewRoman"/>
                <w:szCs w:val="22"/>
                <w:lang w:eastAsia="en-US"/>
              </w:rPr>
              <w:t>hepatitída, cholecystitída, cholestáza</w:t>
            </w:r>
          </w:p>
        </w:tc>
      </w:tr>
      <w:tr w:rsidR="00C36014" w:rsidRPr="00ED7F0F" w:rsidTr="00AB6D63">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rsidR="00C36014" w:rsidRPr="00ED7F0F" w:rsidRDefault="00C36014" w:rsidP="00122C9F">
            <w:pPr>
              <w:ind w:left="57" w:hanging="12"/>
              <w:rPr>
                <w:szCs w:val="22"/>
              </w:rPr>
            </w:pPr>
            <w:r w:rsidRPr="00ED7F0F">
              <w:rPr>
                <w:rFonts w:eastAsia="TimesNewRoman,Bold"/>
                <w:b/>
                <w:bCs/>
                <w:szCs w:val="22"/>
                <w:lang w:eastAsia="en-US"/>
              </w:rPr>
              <w:t>Poruchy kože a podkožného tkaniva</w:t>
            </w:r>
          </w:p>
        </w:tc>
      </w:tr>
      <w:tr w:rsidR="00C36014" w:rsidRPr="00ED7F0F" w:rsidTr="00AB6D63">
        <w:trPr>
          <w:trHeight w:hRule="exact" w:val="264"/>
        </w:trPr>
        <w:tc>
          <w:tcPr>
            <w:tcW w:w="1648"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i/>
                <w:szCs w:val="22"/>
              </w:rPr>
              <w:t>Veľmi časté</w:t>
            </w:r>
          </w:p>
        </w:tc>
        <w:tc>
          <w:tcPr>
            <w:tcW w:w="7811"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rFonts w:eastAsia="TimesNewRoman"/>
                <w:szCs w:val="22"/>
                <w:lang w:eastAsia="en-US"/>
              </w:rPr>
              <w:t>kožná vyrážka</w:t>
            </w:r>
            <w:r w:rsidRPr="00ED7F0F">
              <w:rPr>
                <w:rFonts w:eastAsia="TimesNewRoman"/>
                <w:szCs w:val="22"/>
                <w:vertAlign w:val="superscript"/>
                <w:lang w:eastAsia="en-US"/>
              </w:rPr>
              <w:t>e</w:t>
            </w:r>
          </w:p>
        </w:tc>
      </w:tr>
      <w:tr w:rsidR="00C36014" w:rsidRPr="00ED7F0F" w:rsidTr="00AB6D63">
        <w:trPr>
          <w:trHeight w:hRule="exact" w:val="567"/>
        </w:trPr>
        <w:tc>
          <w:tcPr>
            <w:tcW w:w="1648"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i/>
                <w:szCs w:val="22"/>
              </w:rPr>
              <w:t>Časté</w:t>
            </w:r>
          </w:p>
        </w:tc>
        <w:tc>
          <w:tcPr>
            <w:tcW w:w="7811"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rFonts w:eastAsia="TimesNewRoman"/>
                <w:szCs w:val="22"/>
                <w:lang w:eastAsia="en-US"/>
              </w:rPr>
              <w:t>alopécia, dermatitída (vrátane ekzému), pruritus, akné, suchá koža, urtikária,</w:t>
            </w:r>
            <w:r w:rsidR="008772D7" w:rsidRPr="00ED7F0F">
              <w:rPr>
                <w:rFonts w:eastAsia="TimesNewRoman"/>
                <w:szCs w:val="22"/>
                <w:lang w:eastAsia="en-US"/>
              </w:rPr>
              <w:t xml:space="preserve"> </w:t>
            </w:r>
            <w:r w:rsidRPr="00ED7F0F">
              <w:rPr>
                <w:rFonts w:eastAsia="TimesNewRoman"/>
                <w:szCs w:val="22"/>
                <w:lang w:eastAsia="en-US"/>
              </w:rPr>
              <w:t>hyperhidróza</w:t>
            </w:r>
          </w:p>
        </w:tc>
      </w:tr>
      <w:tr w:rsidR="00C36014" w:rsidRPr="00ED7F0F" w:rsidTr="00AB6D63">
        <w:trPr>
          <w:trHeight w:hRule="exact" w:val="785"/>
        </w:trPr>
        <w:tc>
          <w:tcPr>
            <w:tcW w:w="1648"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i/>
                <w:szCs w:val="22"/>
              </w:rPr>
              <w:t>Menej časté</w:t>
            </w:r>
          </w:p>
        </w:tc>
        <w:tc>
          <w:tcPr>
            <w:tcW w:w="7811"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rFonts w:eastAsia="TimesNewRoman"/>
                <w:szCs w:val="22"/>
                <w:lang w:eastAsia="en-US"/>
              </w:rPr>
            </w:pPr>
            <w:r w:rsidRPr="00ED7F0F">
              <w:rPr>
                <w:rFonts w:eastAsia="TimesNewRoman"/>
                <w:szCs w:val="22"/>
                <w:lang w:eastAsia="en-US"/>
              </w:rPr>
              <w:t>neutrofilná dermatóza, fotosenzitivita, porucha pigmentácie, panikulitída, kožný vred,</w:t>
            </w:r>
            <w:r w:rsidR="008772D7" w:rsidRPr="00ED7F0F">
              <w:rPr>
                <w:rFonts w:eastAsia="TimesNewRoman"/>
                <w:szCs w:val="22"/>
                <w:lang w:eastAsia="en-US"/>
              </w:rPr>
              <w:t xml:space="preserve"> </w:t>
            </w:r>
            <w:r w:rsidRPr="00ED7F0F">
              <w:rPr>
                <w:rFonts w:eastAsia="TimesNewRoman"/>
                <w:szCs w:val="22"/>
                <w:lang w:eastAsia="en-US"/>
              </w:rPr>
              <w:t>bulózne ochorenia, porucha nechtov, syndróm palmárno-plantárnej erytrodyzestézie,</w:t>
            </w:r>
            <w:r w:rsidR="008772D7" w:rsidRPr="00ED7F0F">
              <w:rPr>
                <w:rFonts w:eastAsia="TimesNewRoman"/>
                <w:szCs w:val="22"/>
                <w:lang w:eastAsia="en-US"/>
              </w:rPr>
              <w:t xml:space="preserve"> </w:t>
            </w:r>
            <w:r w:rsidRPr="00ED7F0F">
              <w:rPr>
                <w:rFonts w:eastAsia="TimesNewRoman"/>
                <w:szCs w:val="22"/>
                <w:lang w:eastAsia="en-US"/>
              </w:rPr>
              <w:t>poruchy vlasov</w:t>
            </w:r>
          </w:p>
        </w:tc>
      </w:tr>
      <w:tr w:rsidR="00C36014" w:rsidRPr="00ED7F0F" w:rsidTr="00AB6D6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i/>
                <w:szCs w:val="22"/>
              </w:rPr>
              <w:t>Zriedkavé</w:t>
            </w:r>
          </w:p>
        </w:tc>
        <w:tc>
          <w:tcPr>
            <w:tcW w:w="7811"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rFonts w:eastAsia="TimesNewRoman"/>
                <w:szCs w:val="22"/>
                <w:lang w:eastAsia="en-US"/>
              </w:rPr>
            </w:pPr>
            <w:r w:rsidRPr="00ED7F0F">
              <w:rPr>
                <w:rFonts w:eastAsia="TimesNewRoman"/>
                <w:szCs w:val="22"/>
                <w:lang w:eastAsia="en-US"/>
              </w:rPr>
              <w:t>leukocytoklastická vaskulitída, fibróza kože</w:t>
            </w:r>
          </w:p>
        </w:tc>
      </w:tr>
      <w:tr w:rsidR="00C36014" w:rsidRPr="00ED7F0F" w:rsidTr="00AB6D63">
        <w:trPr>
          <w:trHeight w:hRule="exact" w:val="264"/>
        </w:trPr>
        <w:tc>
          <w:tcPr>
            <w:tcW w:w="1648"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i/>
                <w:szCs w:val="22"/>
              </w:rPr>
              <w:t>Neznáme</w:t>
            </w:r>
          </w:p>
        </w:tc>
        <w:tc>
          <w:tcPr>
            <w:tcW w:w="7811"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rFonts w:eastAsia="TimesNewRoman"/>
                <w:szCs w:val="22"/>
                <w:lang w:eastAsia="en-US"/>
              </w:rPr>
            </w:pPr>
            <w:r w:rsidRPr="00ED7F0F">
              <w:rPr>
                <w:rFonts w:eastAsia="TimesNewRoman"/>
                <w:szCs w:val="22"/>
                <w:lang w:eastAsia="en-US"/>
              </w:rPr>
              <w:t>Stevensov-Johnsonov syndróm</w:t>
            </w:r>
            <w:r w:rsidRPr="00ED7F0F">
              <w:rPr>
                <w:rFonts w:eastAsia="TimesNewRoman"/>
                <w:szCs w:val="22"/>
                <w:vertAlign w:val="superscript"/>
                <w:lang w:eastAsia="en-US"/>
              </w:rPr>
              <w:t>f</w:t>
            </w:r>
          </w:p>
        </w:tc>
      </w:tr>
      <w:tr w:rsidR="00C36014" w:rsidRPr="00ED7F0F" w:rsidTr="00AB6D63">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rsidR="00C36014" w:rsidRPr="00ED7F0F" w:rsidRDefault="00C36014" w:rsidP="00122C9F">
            <w:pPr>
              <w:ind w:left="57" w:hanging="12"/>
              <w:rPr>
                <w:szCs w:val="22"/>
              </w:rPr>
            </w:pPr>
            <w:r w:rsidRPr="00ED7F0F">
              <w:rPr>
                <w:rFonts w:eastAsia="TimesNewRoman,Bold"/>
                <w:b/>
                <w:bCs/>
                <w:szCs w:val="22"/>
                <w:lang w:eastAsia="en-US"/>
              </w:rPr>
              <w:t>Poruchy kostrovej a svalovej sústavy a spojivového tkaniva</w:t>
            </w:r>
          </w:p>
        </w:tc>
      </w:tr>
      <w:tr w:rsidR="00C36014" w:rsidRPr="00ED7F0F" w:rsidTr="00AB6D6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i/>
                <w:szCs w:val="22"/>
              </w:rPr>
              <w:t>Veľmi časté</w:t>
            </w:r>
          </w:p>
        </w:tc>
        <w:tc>
          <w:tcPr>
            <w:tcW w:w="7811"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rFonts w:eastAsia="TimesNewRoman"/>
                <w:szCs w:val="22"/>
                <w:lang w:eastAsia="en-US"/>
              </w:rPr>
            </w:pPr>
            <w:r w:rsidRPr="00ED7F0F">
              <w:rPr>
                <w:rFonts w:eastAsia="TimesNewRoman"/>
                <w:szCs w:val="22"/>
                <w:lang w:eastAsia="en-US"/>
              </w:rPr>
              <w:t>muskuloskeletálna bolesť</w:t>
            </w:r>
            <w:r w:rsidR="00F35209" w:rsidRPr="00ED7F0F">
              <w:rPr>
                <w:rFonts w:eastAsia="TimesNewRoman"/>
                <w:szCs w:val="22"/>
                <w:vertAlign w:val="superscript"/>
                <w:lang w:eastAsia="en-US"/>
              </w:rPr>
              <w:t>g</w:t>
            </w:r>
          </w:p>
        </w:tc>
      </w:tr>
      <w:tr w:rsidR="00C36014" w:rsidRPr="00ED7F0F" w:rsidTr="00AB6D63">
        <w:trPr>
          <w:trHeight w:hRule="exact" w:val="283"/>
        </w:trPr>
        <w:tc>
          <w:tcPr>
            <w:tcW w:w="1648"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i/>
                <w:szCs w:val="22"/>
              </w:rPr>
              <w:t>Časté</w:t>
            </w:r>
          </w:p>
        </w:tc>
        <w:tc>
          <w:tcPr>
            <w:tcW w:w="7811"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rFonts w:eastAsia="TimesNewRoman"/>
                <w:szCs w:val="22"/>
                <w:lang w:eastAsia="en-US"/>
              </w:rPr>
            </w:pPr>
            <w:r w:rsidRPr="00ED7F0F">
              <w:rPr>
                <w:rFonts w:eastAsia="TimesNewRoman"/>
                <w:szCs w:val="22"/>
                <w:lang w:eastAsia="en-US"/>
              </w:rPr>
              <w:t>artralgia, myalgia, svalová slabosť, muskuloskeletálna stuhnutosť, svalový kŕč</w:t>
            </w:r>
          </w:p>
        </w:tc>
      </w:tr>
      <w:tr w:rsidR="00C36014" w:rsidRPr="00ED7F0F" w:rsidTr="00AB6D63">
        <w:trPr>
          <w:trHeight w:hRule="exact" w:val="333"/>
        </w:trPr>
        <w:tc>
          <w:tcPr>
            <w:tcW w:w="1648"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i/>
                <w:szCs w:val="22"/>
              </w:rPr>
              <w:t>Menej časté</w:t>
            </w:r>
          </w:p>
        </w:tc>
        <w:tc>
          <w:tcPr>
            <w:tcW w:w="7811"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rFonts w:eastAsia="TimesNewRoman"/>
                <w:szCs w:val="22"/>
                <w:lang w:eastAsia="en-US"/>
              </w:rPr>
            </w:pPr>
            <w:r w:rsidRPr="00ED7F0F">
              <w:rPr>
                <w:rFonts w:eastAsia="TimesNewRoman"/>
                <w:szCs w:val="22"/>
                <w:lang w:eastAsia="en-US"/>
              </w:rPr>
              <w:t>rabdomyolýza, osteonekróza, zápal svalov, tendonitída, artritída</w:t>
            </w:r>
          </w:p>
        </w:tc>
      </w:tr>
      <w:tr w:rsidR="008772D7" w:rsidRPr="00ED7F0F" w:rsidTr="00AB6D63">
        <w:trPr>
          <w:trHeight w:hRule="exact" w:val="333"/>
        </w:trPr>
        <w:tc>
          <w:tcPr>
            <w:tcW w:w="1648" w:type="dxa"/>
            <w:tcBorders>
              <w:top w:val="single" w:sz="4" w:space="0" w:color="000000"/>
              <w:left w:val="single" w:sz="4" w:space="0" w:color="000000"/>
              <w:bottom w:val="single" w:sz="4" w:space="0" w:color="000000"/>
              <w:right w:val="single" w:sz="4" w:space="0" w:color="000000"/>
            </w:tcBorders>
          </w:tcPr>
          <w:p w:rsidR="008772D7" w:rsidRPr="00ED7F0F" w:rsidRDefault="008772D7" w:rsidP="00122C9F">
            <w:pPr>
              <w:ind w:left="57" w:hanging="12"/>
              <w:rPr>
                <w:i/>
                <w:szCs w:val="22"/>
              </w:rPr>
            </w:pPr>
            <w:r w:rsidRPr="00ED7F0F">
              <w:rPr>
                <w:i/>
                <w:szCs w:val="22"/>
              </w:rPr>
              <w:t>Zriedkavé</w:t>
            </w:r>
          </w:p>
        </w:tc>
        <w:tc>
          <w:tcPr>
            <w:tcW w:w="7811" w:type="dxa"/>
            <w:tcBorders>
              <w:top w:val="single" w:sz="4" w:space="0" w:color="000000"/>
              <w:left w:val="single" w:sz="4" w:space="0" w:color="000000"/>
              <w:bottom w:val="single" w:sz="4" w:space="0" w:color="000000"/>
              <w:right w:val="single" w:sz="4" w:space="0" w:color="000000"/>
            </w:tcBorders>
          </w:tcPr>
          <w:p w:rsidR="008772D7" w:rsidRPr="00ED7F0F" w:rsidRDefault="008772D7" w:rsidP="00122C9F">
            <w:pPr>
              <w:ind w:left="57" w:hanging="12"/>
              <w:rPr>
                <w:rFonts w:eastAsia="TimesNewRoman"/>
                <w:szCs w:val="22"/>
                <w:lang w:eastAsia="en-US"/>
              </w:rPr>
            </w:pPr>
            <w:r w:rsidRPr="00ED7F0F">
              <w:t>oneskorená fúzia epifýz</w:t>
            </w:r>
            <w:r w:rsidRPr="00ED7F0F">
              <w:rPr>
                <w:vertAlign w:val="superscript"/>
              </w:rPr>
              <w:t>h</w:t>
            </w:r>
            <w:r w:rsidR="00031CE7" w:rsidRPr="00ED7F0F">
              <w:t>,</w:t>
            </w:r>
            <w:r w:rsidRPr="00ED7F0F">
              <w:rPr>
                <w:vertAlign w:val="superscript"/>
              </w:rPr>
              <w:t xml:space="preserve"> </w:t>
            </w:r>
            <w:r w:rsidRPr="00ED7F0F">
              <w:t>spomalenie rastu</w:t>
            </w:r>
            <w:r w:rsidRPr="00ED7F0F">
              <w:rPr>
                <w:vertAlign w:val="superscript"/>
              </w:rPr>
              <w:t>h</w:t>
            </w:r>
          </w:p>
        </w:tc>
      </w:tr>
      <w:tr w:rsidR="00C36014" w:rsidRPr="00ED7F0F" w:rsidTr="00AB6D63">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rsidR="00C36014" w:rsidRPr="00ED7F0F" w:rsidRDefault="00C36014" w:rsidP="00122C9F">
            <w:pPr>
              <w:ind w:left="57" w:hanging="12"/>
              <w:rPr>
                <w:szCs w:val="22"/>
              </w:rPr>
            </w:pPr>
            <w:r w:rsidRPr="00ED7F0F">
              <w:rPr>
                <w:rFonts w:eastAsia="TimesNewRoman,Bold"/>
                <w:b/>
                <w:bCs/>
                <w:szCs w:val="22"/>
                <w:lang w:eastAsia="en-US"/>
              </w:rPr>
              <w:t>Poruchy obličiek a močových ciest</w:t>
            </w:r>
          </w:p>
        </w:tc>
      </w:tr>
      <w:tr w:rsidR="00C36014" w:rsidRPr="00ED7F0F" w:rsidTr="00AB6D63">
        <w:trPr>
          <w:trHeight w:hRule="exact" w:val="283"/>
        </w:trPr>
        <w:tc>
          <w:tcPr>
            <w:tcW w:w="1648"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i/>
                <w:szCs w:val="22"/>
              </w:rPr>
              <w:t>Menej časté</w:t>
            </w:r>
          </w:p>
        </w:tc>
        <w:tc>
          <w:tcPr>
            <w:tcW w:w="7811"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rFonts w:eastAsia="TimesNewRoman"/>
                <w:szCs w:val="22"/>
                <w:lang w:eastAsia="en-US"/>
              </w:rPr>
            </w:pPr>
            <w:r w:rsidRPr="00ED7F0F">
              <w:rPr>
                <w:rFonts w:eastAsia="TimesNewRoman"/>
                <w:szCs w:val="22"/>
                <w:lang w:eastAsia="en-US"/>
              </w:rPr>
              <w:t>poruchy funkcie obličiek (vrátane renálneho zlyhania), časté močenie, proteinúria</w:t>
            </w:r>
          </w:p>
        </w:tc>
      </w:tr>
      <w:tr w:rsidR="00C36014" w:rsidRPr="00ED7F0F" w:rsidTr="00AB6D63">
        <w:trPr>
          <w:trHeight w:hRule="exact" w:val="264"/>
        </w:trPr>
        <w:tc>
          <w:tcPr>
            <w:tcW w:w="1648"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i/>
                <w:szCs w:val="22"/>
              </w:rPr>
            </w:pPr>
            <w:r w:rsidRPr="00ED7F0F">
              <w:rPr>
                <w:i/>
                <w:szCs w:val="22"/>
              </w:rPr>
              <w:t>Neznáme</w:t>
            </w:r>
          </w:p>
        </w:tc>
        <w:tc>
          <w:tcPr>
            <w:tcW w:w="7811"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rFonts w:eastAsia="TimesNewRoman"/>
                <w:szCs w:val="22"/>
                <w:lang w:eastAsia="en-US"/>
              </w:rPr>
            </w:pPr>
            <w:r w:rsidRPr="00ED7F0F">
              <w:rPr>
                <w:rFonts w:eastAsia="TimesNewRoman"/>
                <w:szCs w:val="22"/>
                <w:lang w:eastAsia="en-US"/>
              </w:rPr>
              <w:t>nefrotický syndróm</w:t>
            </w:r>
          </w:p>
        </w:tc>
      </w:tr>
      <w:tr w:rsidR="00C36014" w:rsidRPr="00ED7F0F" w:rsidTr="00AB6D63">
        <w:trPr>
          <w:trHeight w:hRule="exact" w:val="281"/>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rsidR="00C36014" w:rsidRPr="00ED7F0F" w:rsidRDefault="00C36014" w:rsidP="00122C9F">
            <w:pPr>
              <w:ind w:left="57" w:hanging="12"/>
              <w:rPr>
                <w:szCs w:val="22"/>
              </w:rPr>
            </w:pPr>
            <w:r w:rsidRPr="00ED7F0F">
              <w:rPr>
                <w:rFonts w:eastAsia="TimesNewRoman,Bold"/>
                <w:b/>
                <w:bCs/>
                <w:szCs w:val="22"/>
                <w:lang w:eastAsia="en-US"/>
              </w:rPr>
              <w:t>Stavy v gravidite, v šestonedelí a perinatálnom období</w:t>
            </w:r>
          </w:p>
        </w:tc>
      </w:tr>
      <w:tr w:rsidR="00C36014" w:rsidRPr="00ED7F0F" w:rsidTr="00AB6D6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i/>
                <w:szCs w:val="22"/>
              </w:rPr>
              <w:t>Zriedkavé</w:t>
            </w:r>
          </w:p>
        </w:tc>
        <w:tc>
          <w:tcPr>
            <w:tcW w:w="7811"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rFonts w:eastAsia="TimesNewRoman"/>
                <w:szCs w:val="22"/>
                <w:lang w:eastAsia="en-US"/>
              </w:rPr>
              <w:t>potrat</w:t>
            </w:r>
          </w:p>
        </w:tc>
      </w:tr>
      <w:tr w:rsidR="00C36014" w:rsidRPr="00ED7F0F" w:rsidTr="00AB6D63">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rsidR="00C36014" w:rsidRPr="00ED7F0F" w:rsidRDefault="00C36014" w:rsidP="00122C9F">
            <w:pPr>
              <w:ind w:left="57" w:hanging="12"/>
              <w:rPr>
                <w:szCs w:val="22"/>
              </w:rPr>
            </w:pPr>
            <w:r w:rsidRPr="00ED7F0F">
              <w:rPr>
                <w:rFonts w:eastAsia="TimesNewRoman,Bold"/>
                <w:b/>
                <w:bCs/>
                <w:szCs w:val="22"/>
                <w:lang w:eastAsia="en-US"/>
              </w:rPr>
              <w:t>Poruchy reprodukčného systému a prsníkov</w:t>
            </w:r>
          </w:p>
        </w:tc>
      </w:tr>
      <w:tr w:rsidR="00C36014" w:rsidRPr="00ED7F0F" w:rsidTr="00AB6D6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i/>
                <w:szCs w:val="22"/>
              </w:rPr>
              <w:t>Menej časté</w:t>
            </w:r>
          </w:p>
        </w:tc>
        <w:tc>
          <w:tcPr>
            <w:tcW w:w="7811"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rFonts w:eastAsia="TimesNewRoman"/>
                <w:szCs w:val="22"/>
                <w:lang w:eastAsia="en-US"/>
              </w:rPr>
              <w:t>gynekomastia, porucha menštruácie</w:t>
            </w:r>
          </w:p>
        </w:tc>
      </w:tr>
      <w:tr w:rsidR="00C36014" w:rsidRPr="00ED7F0F" w:rsidTr="00AB6D63">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rsidR="00C36014" w:rsidRPr="00ED7F0F" w:rsidRDefault="00C36014" w:rsidP="00122C9F">
            <w:pPr>
              <w:ind w:left="57" w:hanging="12"/>
              <w:rPr>
                <w:szCs w:val="22"/>
              </w:rPr>
            </w:pPr>
            <w:r w:rsidRPr="00ED7F0F">
              <w:rPr>
                <w:rFonts w:eastAsia="TimesNewRoman,Bold"/>
                <w:b/>
                <w:bCs/>
                <w:szCs w:val="22"/>
                <w:lang w:eastAsia="en-US"/>
              </w:rPr>
              <w:t>Celkové poruchy a reakcie v mieste podania</w:t>
            </w:r>
          </w:p>
        </w:tc>
      </w:tr>
      <w:tr w:rsidR="00C36014" w:rsidRPr="00ED7F0F" w:rsidTr="00AB6D6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i/>
                <w:szCs w:val="22"/>
              </w:rPr>
              <w:t>Veľmi časté</w:t>
            </w:r>
          </w:p>
        </w:tc>
        <w:tc>
          <w:tcPr>
            <w:tcW w:w="7811"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rFonts w:eastAsia="TimesNewRoman"/>
                <w:szCs w:val="22"/>
                <w:lang w:eastAsia="en-US"/>
              </w:rPr>
            </w:pPr>
            <w:r w:rsidRPr="00ED7F0F">
              <w:rPr>
                <w:rFonts w:eastAsia="TimesNewRoman"/>
                <w:szCs w:val="22"/>
                <w:lang w:eastAsia="en-US"/>
              </w:rPr>
              <w:t>periférny edém</w:t>
            </w:r>
            <w:r w:rsidR="008772D7" w:rsidRPr="00ED7F0F">
              <w:rPr>
                <w:rFonts w:eastAsia="TimesNewRoman"/>
                <w:szCs w:val="22"/>
                <w:vertAlign w:val="superscript"/>
                <w:lang w:eastAsia="en-US"/>
              </w:rPr>
              <w:t>i</w:t>
            </w:r>
            <w:r w:rsidRPr="00ED7F0F">
              <w:rPr>
                <w:rFonts w:eastAsia="TimesNewRoman"/>
                <w:szCs w:val="22"/>
                <w:lang w:eastAsia="en-US"/>
              </w:rPr>
              <w:t>, únava, pyrexia, edém tváre</w:t>
            </w:r>
            <w:r w:rsidR="008772D7" w:rsidRPr="00ED7F0F">
              <w:rPr>
                <w:rFonts w:eastAsia="TimesNewRoman"/>
                <w:szCs w:val="22"/>
                <w:vertAlign w:val="superscript"/>
                <w:lang w:eastAsia="en-US"/>
              </w:rPr>
              <w:t>j</w:t>
            </w:r>
          </w:p>
        </w:tc>
      </w:tr>
      <w:tr w:rsidR="00C36014" w:rsidRPr="00ED7F0F" w:rsidTr="00AB6D63">
        <w:trPr>
          <w:trHeight w:hRule="exact" w:val="264"/>
        </w:trPr>
        <w:tc>
          <w:tcPr>
            <w:tcW w:w="1648"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i/>
                <w:szCs w:val="22"/>
              </w:rPr>
              <w:t>Časté</w:t>
            </w:r>
          </w:p>
        </w:tc>
        <w:tc>
          <w:tcPr>
            <w:tcW w:w="7811"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rFonts w:eastAsia="TimesNewRoman"/>
                <w:szCs w:val="22"/>
                <w:lang w:eastAsia="en-US"/>
              </w:rPr>
            </w:pPr>
            <w:r w:rsidRPr="00ED7F0F">
              <w:rPr>
                <w:rFonts w:eastAsia="TimesNewRoman"/>
                <w:szCs w:val="22"/>
                <w:lang w:eastAsia="en-US"/>
              </w:rPr>
              <w:t>asténia, bolesť, bolesť na hrudi, generalizovaný edém*</w:t>
            </w:r>
            <w:r w:rsidR="008772D7" w:rsidRPr="00ED7F0F">
              <w:rPr>
                <w:rFonts w:eastAsia="TimesNewRoman"/>
                <w:szCs w:val="22"/>
                <w:vertAlign w:val="superscript"/>
                <w:lang w:eastAsia="en-US"/>
              </w:rPr>
              <w:t>k</w:t>
            </w:r>
            <w:r w:rsidRPr="00ED7F0F">
              <w:rPr>
                <w:rFonts w:eastAsia="TimesNewRoman"/>
                <w:szCs w:val="22"/>
                <w:lang w:eastAsia="en-US"/>
              </w:rPr>
              <w:t>, zimnica</w:t>
            </w:r>
          </w:p>
        </w:tc>
      </w:tr>
      <w:tr w:rsidR="00C36014" w:rsidRPr="00ED7F0F" w:rsidTr="00AB6D63">
        <w:trPr>
          <w:trHeight w:hRule="exact" w:val="250"/>
        </w:trPr>
        <w:tc>
          <w:tcPr>
            <w:tcW w:w="1648"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i/>
                <w:szCs w:val="22"/>
              </w:rPr>
              <w:t>Menej časté</w:t>
            </w:r>
          </w:p>
        </w:tc>
        <w:tc>
          <w:tcPr>
            <w:tcW w:w="7811"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rFonts w:eastAsia="TimesNewRoman"/>
                <w:szCs w:val="22"/>
                <w:lang w:eastAsia="en-US"/>
              </w:rPr>
            </w:pPr>
            <w:r w:rsidRPr="00ED7F0F">
              <w:rPr>
                <w:rFonts w:eastAsia="TimesNewRoman"/>
                <w:szCs w:val="22"/>
                <w:lang w:eastAsia="en-US"/>
              </w:rPr>
              <w:t>nevoľnosť, iný povrchový edém</w:t>
            </w:r>
            <w:r w:rsidR="008772D7" w:rsidRPr="00ED7F0F">
              <w:rPr>
                <w:rFonts w:eastAsia="TimesNewRoman"/>
                <w:szCs w:val="22"/>
                <w:vertAlign w:val="superscript"/>
                <w:lang w:eastAsia="en-US"/>
              </w:rPr>
              <w:t>l</w:t>
            </w:r>
          </w:p>
        </w:tc>
      </w:tr>
      <w:tr w:rsidR="00C36014" w:rsidRPr="00ED7F0F" w:rsidTr="00AB6D6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i/>
                <w:szCs w:val="22"/>
              </w:rPr>
              <w:t>Zriedkavé</w:t>
            </w:r>
          </w:p>
        </w:tc>
        <w:tc>
          <w:tcPr>
            <w:tcW w:w="7811"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rFonts w:eastAsia="TimesNewRoman"/>
                <w:szCs w:val="22"/>
                <w:lang w:eastAsia="en-US"/>
              </w:rPr>
            </w:pPr>
            <w:r w:rsidRPr="00ED7F0F">
              <w:rPr>
                <w:rFonts w:eastAsia="TimesNewRoman"/>
                <w:szCs w:val="22"/>
                <w:lang w:eastAsia="en-US"/>
              </w:rPr>
              <w:t>porucha chôdze</w:t>
            </w:r>
          </w:p>
        </w:tc>
      </w:tr>
      <w:tr w:rsidR="00C36014" w:rsidRPr="00ED7F0F" w:rsidTr="00AB6D63">
        <w:trPr>
          <w:trHeight w:hRule="exact" w:val="300"/>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rsidR="00C36014" w:rsidRPr="00ED7F0F" w:rsidRDefault="00C36014" w:rsidP="00122C9F">
            <w:pPr>
              <w:ind w:left="57" w:hanging="12"/>
              <w:rPr>
                <w:szCs w:val="22"/>
              </w:rPr>
            </w:pPr>
            <w:r w:rsidRPr="00ED7F0F">
              <w:rPr>
                <w:rFonts w:eastAsia="TimesNewRoman,Bold"/>
                <w:b/>
                <w:bCs/>
                <w:szCs w:val="22"/>
                <w:lang w:eastAsia="en-US"/>
              </w:rPr>
              <w:t>Laboratórne a funkčné vyšetrenia</w:t>
            </w:r>
          </w:p>
        </w:tc>
      </w:tr>
      <w:tr w:rsidR="00C36014" w:rsidRPr="00ED7F0F" w:rsidTr="00AB6D6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i/>
                <w:szCs w:val="22"/>
              </w:rPr>
              <w:t>Časté</w:t>
            </w:r>
          </w:p>
        </w:tc>
        <w:tc>
          <w:tcPr>
            <w:tcW w:w="7811"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rFonts w:eastAsia="TimesNewRoman"/>
                <w:szCs w:val="22"/>
                <w:lang w:eastAsia="en-US"/>
              </w:rPr>
            </w:pPr>
            <w:r w:rsidRPr="00ED7F0F">
              <w:rPr>
                <w:rFonts w:eastAsia="TimesNewRoman"/>
                <w:szCs w:val="22"/>
                <w:lang w:eastAsia="en-US"/>
              </w:rPr>
              <w:t>zníženie telesnej hmotnosti, zvýšenie telesnej hmotnosti</w:t>
            </w:r>
          </w:p>
        </w:tc>
      </w:tr>
      <w:tr w:rsidR="00C36014" w:rsidRPr="00ED7F0F" w:rsidTr="00AB6D63">
        <w:trPr>
          <w:trHeight w:hRule="exact" w:val="294"/>
        </w:trPr>
        <w:tc>
          <w:tcPr>
            <w:tcW w:w="1648"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i/>
                <w:szCs w:val="22"/>
              </w:rPr>
              <w:t>Menej časté</w:t>
            </w:r>
          </w:p>
        </w:tc>
        <w:tc>
          <w:tcPr>
            <w:tcW w:w="7811"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rFonts w:eastAsia="TimesNewRoman"/>
                <w:szCs w:val="22"/>
                <w:lang w:eastAsia="en-US"/>
              </w:rPr>
            </w:pPr>
            <w:r w:rsidRPr="00ED7F0F">
              <w:rPr>
                <w:rFonts w:eastAsia="TimesNewRoman"/>
                <w:szCs w:val="22"/>
                <w:lang w:eastAsia="en-US"/>
              </w:rPr>
              <w:t>zvýšenie hladiny kreatínfosfokinázy v</w:t>
            </w:r>
            <w:r w:rsidR="008772D7" w:rsidRPr="00ED7F0F">
              <w:rPr>
                <w:rFonts w:eastAsia="TimesNewRoman"/>
                <w:szCs w:val="22"/>
                <w:lang w:eastAsia="en-US"/>
              </w:rPr>
              <w:t> </w:t>
            </w:r>
            <w:r w:rsidRPr="00ED7F0F">
              <w:rPr>
                <w:rFonts w:eastAsia="TimesNewRoman"/>
                <w:szCs w:val="22"/>
                <w:lang w:eastAsia="en-US"/>
              </w:rPr>
              <w:t>krvi, zvýšenie hladiny gama-glutamyltransferázy</w:t>
            </w:r>
          </w:p>
        </w:tc>
      </w:tr>
      <w:tr w:rsidR="00C36014" w:rsidRPr="00ED7F0F" w:rsidTr="00AB6D63">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rsidR="00C36014" w:rsidRPr="00ED7F0F" w:rsidRDefault="00C36014" w:rsidP="00122C9F">
            <w:pPr>
              <w:ind w:left="57" w:hanging="12"/>
              <w:rPr>
                <w:szCs w:val="22"/>
              </w:rPr>
            </w:pPr>
            <w:r w:rsidRPr="00ED7F0F">
              <w:rPr>
                <w:rFonts w:eastAsia="TimesNewRoman,Bold"/>
                <w:b/>
                <w:bCs/>
                <w:szCs w:val="22"/>
                <w:lang w:eastAsia="en-US"/>
              </w:rPr>
              <w:t>Úrazy, otravy a</w:t>
            </w:r>
            <w:r w:rsidR="008772D7" w:rsidRPr="00ED7F0F">
              <w:rPr>
                <w:rFonts w:eastAsia="TimesNewRoman,Bold"/>
                <w:b/>
                <w:bCs/>
                <w:szCs w:val="22"/>
                <w:lang w:eastAsia="en-US"/>
              </w:rPr>
              <w:t> </w:t>
            </w:r>
            <w:r w:rsidRPr="00ED7F0F">
              <w:rPr>
                <w:rFonts w:eastAsia="TimesNewRoman,Bold"/>
                <w:b/>
                <w:bCs/>
                <w:szCs w:val="22"/>
                <w:lang w:eastAsia="en-US"/>
              </w:rPr>
              <w:t>komplikácie liečebného postupu</w:t>
            </w:r>
          </w:p>
        </w:tc>
      </w:tr>
      <w:tr w:rsidR="00C36014" w:rsidRPr="00ED7F0F" w:rsidTr="00AB6D63">
        <w:trPr>
          <w:trHeight w:hRule="exact" w:val="264"/>
        </w:trPr>
        <w:tc>
          <w:tcPr>
            <w:tcW w:w="1648"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i/>
                <w:szCs w:val="22"/>
              </w:rPr>
              <w:t>Časté</w:t>
            </w:r>
          </w:p>
        </w:tc>
        <w:tc>
          <w:tcPr>
            <w:tcW w:w="7811" w:type="dxa"/>
            <w:tcBorders>
              <w:top w:val="single" w:sz="4" w:space="0" w:color="000000"/>
              <w:left w:val="single" w:sz="4" w:space="0" w:color="000000"/>
              <w:bottom w:val="single" w:sz="4" w:space="0" w:color="000000"/>
              <w:right w:val="single" w:sz="4" w:space="0" w:color="000000"/>
            </w:tcBorders>
          </w:tcPr>
          <w:p w:rsidR="00C36014" w:rsidRPr="00ED7F0F" w:rsidRDefault="00C36014" w:rsidP="00122C9F">
            <w:pPr>
              <w:ind w:left="57" w:hanging="12"/>
              <w:rPr>
                <w:szCs w:val="22"/>
              </w:rPr>
            </w:pPr>
            <w:r w:rsidRPr="00ED7F0F">
              <w:rPr>
                <w:rFonts w:eastAsia="TimesNewRoman"/>
                <w:szCs w:val="22"/>
                <w:lang w:eastAsia="en-US"/>
              </w:rPr>
              <w:t>kontúzia</w:t>
            </w:r>
          </w:p>
        </w:tc>
      </w:tr>
    </w:tbl>
    <w:p w:rsidR="00C36014" w:rsidRPr="00ED7F0F" w:rsidRDefault="00C36014" w:rsidP="00122C9F">
      <w:pPr>
        <w:tabs>
          <w:tab w:val="clear" w:pos="567"/>
          <w:tab w:val="left" w:pos="426"/>
        </w:tabs>
        <w:autoSpaceDE w:val="0"/>
        <w:autoSpaceDN w:val="0"/>
        <w:adjustRightInd w:val="0"/>
        <w:ind w:left="142"/>
        <w:rPr>
          <w:rFonts w:eastAsia="TimesNewRoman"/>
          <w:sz w:val="18"/>
          <w:szCs w:val="18"/>
          <w:lang w:eastAsia="en-US"/>
        </w:rPr>
      </w:pPr>
      <w:r w:rsidRPr="00ED7F0F">
        <w:rPr>
          <w:rFonts w:eastAsia="TimesNewRoman"/>
          <w:sz w:val="18"/>
          <w:szCs w:val="18"/>
          <w:vertAlign w:val="superscript"/>
          <w:lang w:eastAsia="en-US"/>
        </w:rPr>
        <w:t>a</w:t>
      </w:r>
      <w:r w:rsidR="008772D7" w:rsidRPr="00ED7F0F">
        <w:rPr>
          <w:rFonts w:eastAsia="TimesNewRoman"/>
          <w:sz w:val="18"/>
          <w:szCs w:val="18"/>
          <w:lang w:eastAsia="en-US"/>
        </w:rPr>
        <w:tab/>
      </w:r>
      <w:r w:rsidRPr="00ED7F0F">
        <w:rPr>
          <w:rFonts w:eastAsia="TimesNewRoman"/>
          <w:sz w:val="18"/>
          <w:szCs w:val="18"/>
          <w:lang w:eastAsia="en-US"/>
        </w:rPr>
        <w:t>Zahŕňa zníženú chuť do jedla, predčasnú sýtosť, zvýšenú chuť do jedla.</w:t>
      </w:r>
    </w:p>
    <w:p w:rsidR="00C36014" w:rsidRPr="00ED7F0F" w:rsidRDefault="00C36014" w:rsidP="00122C9F">
      <w:pPr>
        <w:autoSpaceDE w:val="0"/>
        <w:autoSpaceDN w:val="0"/>
        <w:adjustRightInd w:val="0"/>
        <w:spacing w:line="240" w:lineRule="auto"/>
        <w:ind w:left="425" w:hanging="283"/>
        <w:rPr>
          <w:rFonts w:eastAsia="TimesNewRoman"/>
          <w:sz w:val="18"/>
          <w:szCs w:val="18"/>
          <w:lang w:eastAsia="en-US"/>
        </w:rPr>
      </w:pPr>
      <w:r w:rsidRPr="00ED7F0F">
        <w:rPr>
          <w:rFonts w:eastAsia="TimesNewRoman"/>
          <w:sz w:val="18"/>
          <w:szCs w:val="18"/>
          <w:vertAlign w:val="superscript"/>
          <w:lang w:eastAsia="en-US"/>
        </w:rPr>
        <w:t>b</w:t>
      </w:r>
      <w:r w:rsidR="008772D7" w:rsidRPr="00ED7F0F">
        <w:rPr>
          <w:rFonts w:eastAsia="TimesNewRoman"/>
          <w:sz w:val="18"/>
          <w:szCs w:val="18"/>
          <w:lang w:eastAsia="en-US"/>
        </w:rPr>
        <w:tab/>
      </w:r>
      <w:r w:rsidRPr="00ED7F0F">
        <w:rPr>
          <w:rFonts w:eastAsia="TimesNewRoman"/>
          <w:sz w:val="18"/>
          <w:szCs w:val="18"/>
          <w:lang w:eastAsia="en-US"/>
        </w:rPr>
        <w:t>Zahŕňa krvácanie do centrálneho nervového systému, cerebrálny hematóm, cerebrálne krvácanie, extradurálny hematóm, intrakraniálne krvácanie, hemoragickú cievnu mozgovú príhodu, subarachnoidálne krvácanie, subdurálny hematóm a subdurálne krvácanie.</w:t>
      </w:r>
    </w:p>
    <w:p w:rsidR="00C36014" w:rsidRPr="00ED7F0F" w:rsidRDefault="00C36014" w:rsidP="00122C9F">
      <w:pPr>
        <w:autoSpaceDE w:val="0"/>
        <w:autoSpaceDN w:val="0"/>
        <w:adjustRightInd w:val="0"/>
        <w:spacing w:line="240" w:lineRule="auto"/>
        <w:ind w:left="425" w:hanging="283"/>
        <w:rPr>
          <w:rFonts w:eastAsia="TimesNewRoman"/>
          <w:sz w:val="18"/>
          <w:szCs w:val="18"/>
          <w:lang w:eastAsia="en-US"/>
        </w:rPr>
      </w:pPr>
      <w:r w:rsidRPr="00ED7F0F">
        <w:rPr>
          <w:rFonts w:eastAsia="TimesNewRoman"/>
          <w:sz w:val="18"/>
          <w:szCs w:val="18"/>
          <w:vertAlign w:val="superscript"/>
          <w:lang w:eastAsia="en-US"/>
        </w:rPr>
        <w:t>c</w:t>
      </w:r>
      <w:r w:rsidR="008772D7" w:rsidRPr="00ED7F0F">
        <w:rPr>
          <w:rFonts w:eastAsia="TimesNewRoman"/>
          <w:sz w:val="18"/>
          <w:szCs w:val="18"/>
          <w:lang w:eastAsia="en-US"/>
        </w:rPr>
        <w:tab/>
      </w:r>
      <w:r w:rsidRPr="00ED7F0F">
        <w:rPr>
          <w:rFonts w:eastAsia="TimesNewRoman"/>
          <w:sz w:val="18"/>
          <w:szCs w:val="18"/>
          <w:lang w:eastAsia="en-US"/>
        </w:rPr>
        <w:t>Zahŕňa zvýšený mozgový natriuretický peptid, ventrikulárnu dysfunkciu, dysfunkciu ľavej komory, dysfunkciu pravej komory, srdcové zlyhávanie, akútne srdcové zlyhávanie, chronické srdcové zlyhávanie, kongestívne srdcové zlyhávanie, kardiomyopatiu, kongestívnu kardiomyopatiu, diastolickú dysfunkciu, zníženú ejekčnú frakciu a ventrikulárne zlyhanie, zlyhanie ľavej komory, zlyhanie pravej komory a ventrikulárnu hypokinézu.</w:t>
      </w:r>
    </w:p>
    <w:p w:rsidR="00C36014" w:rsidRPr="00ED7F0F" w:rsidRDefault="00C36014" w:rsidP="00122C9F">
      <w:pPr>
        <w:autoSpaceDE w:val="0"/>
        <w:autoSpaceDN w:val="0"/>
        <w:adjustRightInd w:val="0"/>
        <w:spacing w:line="240" w:lineRule="auto"/>
        <w:ind w:left="425" w:hanging="283"/>
        <w:rPr>
          <w:rFonts w:eastAsia="TimesNewRoman"/>
          <w:sz w:val="18"/>
          <w:szCs w:val="18"/>
          <w:lang w:eastAsia="en-US"/>
        </w:rPr>
      </w:pPr>
      <w:r w:rsidRPr="00ED7F0F">
        <w:rPr>
          <w:rFonts w:eastAsia="TimesNewRoman"/>
          <w:sz w:val="18"/>
          <w:szCs w:val="18"/>
          <w:vertAlign w:val="superscript"/>
          <w:lang w:eastAsia="en-US"/>
        </w:rPr>
        <w:t>d</w:t>
      </w:r>
      <w:r w:rsidR="00B36680" w:rsidRPr="00ED7F0F">
        <w:rPr>
          <w:rFonts w:eastAsia="TimesNewRoman"/>
          <w:sz w:val="18"/>
          <w:szCs w:val="18"/>
          <w:vertAlign w:val="superscript"/>
          <w:lang w:eastAsia="en-US"/>
        </w:rPr>
        <w:tab/>
      </w:r>
      <w:r w:rsidRPr="00ED7F0F">
        <w:rPr>
          <w:rFonts w:eastAsia="TimesNewRoman"/>
          <w:sz w:val="18"/>
          <w:szCs w:val="18"/>
          <w:lang w:eastAsia="en-US"/>
        </w:rPr>
        <w:t>Okrem gastrointestinálneho krvácania a krvácania do CNS; tieto nežiaduce reakcie sú hlásené pod triedou orgánového systému poruchy gastrointestinálneho traktu alebo pod triedou orgánového systému poruchy nervového systému</w:t>
      </w:r>
      <w:r w:rsidR="002E35BC" w:rsidRPr="00ED7F0F">
        <w:rPr>
          <w:rFonts w:eastAsia="TimesNewRoman"/>
          <w:sz w:val="18"/>
          <w:szCs w:val="18"/>
          <w:lang w:eastAsia="en-US"/>
        </w:rPr>
        <w:t>,v uvedenom poradí</w:t>
      </w:r>
      <w:r w:rsidRPr="00ED7F0F">
        <w:rPr>
          <w:rFonts w:eastAsia="TimesNewRoman"/>
          <w:sz w:val="18"/>
          <w:szCs w:val="18"/>
          <w:lang w:eastAsia="en-US"/>
        </w:rPr>
        <w:t>.</w:t>
      </w:r>
    </w:p>
    <w:p w:rsidR="00C36014" w:rsidRPr="00ED7F0F" w:rsidRDefault="00C36014" w:rsidP="00122C9F">
      <w:pPr>
        <w:autoSpaceDE w:val="0"/>
        <w:autoSpaceDN w:val="0"/>
        <w:adjustRightInd w:val="0"/>
        <w:spacing w:line="240" w:lineRule="auto"/>
        <w:ind w:left="425" w:hanging="283"/>
        <w:rPr>
          <w:rFonts w:eastAsia="TimesNewRoman"/>
          <w:sz w:val="18"/>
          <w:szCs w:val="18"/>
          <w:lang w:eastAsia="en-US"/>
        </w:rPr>
      </w:pPr>
      <w:r w:rsidRPr="00ED7F0F">
        <w:rPr>
          <w:rFonts w:eastAsia="TimesNewRoman"/>
          <w:sz w:val="18"/>
          <w:szCs w:val="18"/>
          <w:vertAlign w:val="superscript"/>
          <w:lang w:eastAsia="en-US"/>
        </w:rPr>
        <w:t>e</w:t>
      </w:r>
      <w:r w:rsidR="00B36680" w:rsidRPr="00ED7F0F">
        <w:rPr>
          <w:rFonts w:eastAsia="TimesNewRoman"/>
          <w:sz w:val="18"/>
          <w:szCs w:val="18"/>
          <w:vertAlign w:val="superscript"/>
          <w:lang w:eastAsia="en-US"/>
        </w:rPr>
        <w:tab/>
      </w:r>
      <w:r w:rsidRPr="00ED7F0F">
        <w:rPr>
          <w:rFonts w:eastAsia="TimesNewRoman"/>
          <w:sz w:val="18"/>
          <w:szCs w:val="18"/>
          <w:lang w:eastAsia="en-US"/>
        </w:rPr>
        <w:t xml:space="preserve">Zahŕňa liekovú erupciu, erytém, multiformný erytém, erytrózu, exfoliatívnu vyrážku, generalizovaný erytém, genitálnu vyrážku, </w:t>
      </w:r>
      <w:r w:rsidR="002E35BC" w:rsidRPr="00ED7F0F">
        <w:rPr>
          <w:rFonts w:eastAsia="TimesNewRoman"/>
          <w:sz w:val="18"/>
          <w:szCs w:val="18"/>
          <w:lang w:eastAsia="en-US"/>
        </w:rPr>
        <w:t>vyrážky z tepla</w:t>
      </w:r>
      <w:r w:rsidRPr="00ED7F0F">
        <w:rPr>
          <w:rFonts w:eastAsia="TimesNewRoman"/>
          <w:sz w:val="18"/>
          <w:szCs w:val="18"/>
          <w:lang w:eastAsia="en-US"/>
        </w:rPr>
        <w:t>, m</w:t>
      </w:r>
      <w:r w:rsidR="002E35BC" w:rsidRPr="00ED7F0F">
        <w:rPr>
          <w:rFonts w:eastAsia="TimesNewRoman"/>
          <w:sz w:val="18"/>
          <w:szCs w:val="18"/>
          <w:lang w:eastAsia="en-US"/>
        </w:rPr>
        <w:t>í</w:t>
      </w:r>
      <w:r w:rsidRPr="00ED7F0F">
        <w:rPr>
          <w:rFonts w:eastAsia="TimesNewRoman"/>
          <w:sz w:val="18"/>
          <w:szCs w:val="18"/>
          <w:lang w:eastAsia="en-US"/>
        </w:rPr>
        <w:t xml:space="preserve">lie, </w:t>
      </w:r>
      <w:r w:rsidR="002E35BC" w:rsidRPr="00ED7F0F">
        <w:rPr>
          <w:rFonts w:eastAsia="TimesNewRoman"/>
          <w:sz w:val="18"/>
          <w:szCs w:val="18"/>
          <w:lang w:eastAsia="en-US"/>
        </w:rPr>
        <w:t>potničky</w:t>
      </w:r>
      <w:r w:rsidRPr="00ED7F0F">
        <w:rPr>
          <w:rFonts w:eastAsia="TimesNewRoman"/>
          <w:sz w:val="18"/>
          <w:szCs w:val="18"/>
          <w:lang w:eastAsia="en-US"/>
        </w:rPr>
        <w:t>, pustulárnu psoriázu, vyrážku, erytematóznu vyrážku, folikulárnu vyrážku, generalizovanú vyrážku, makulárnu vyrážku, makulo-papulárnu vyrážku, papulárnu vyrážku, pruritickú vyrážku, pustulárnu vyrážku, vezikulárnu vyrážku, kožnú exfoliáciu, kožné podráždenie, toxickú kožnú erupciu, vezikulóznu urtikáriu a vaskulitickú vyrážku.</w:t>
      </w:r>
    </w:p>
    <w:p w:rsidR="00C36014" w:rsidRPr="00ED7F0F" w:rsidRDefault="00C36014" w:rsidP="00122C9F">
      <w:pPr>
        <w:autoSpaceDE w:val="0"/>
        <w:autoSpaceDN w:val="0"/>
        <w:adjustRightInd w:val="0"/>
        <w:spacing w:line="240" w:lineRule="auto"/>
        <w:ind w:left="425" w:hanging="283"/>
        <w:rPr>
          <w:rFonts w:eastAsia="TimesNewRoman"/>
          <w:sz w:val="18"/>
          <w:szCs w:val="18"/>
          <w:lang w:eastAsia="en-US"/>
        </w:rPr>
      </w:pPr>
      <w:r w:rsidRPr="00ED7F0F">
        <w:rPr>
          <w:rFonts w:eastAsia="TimesNewRoman"/>
          <w:sz w:val="18"/>
          <w:szCs w:val="18"/>
          <w:vertAlign w:val="superscript"/>
          <w:lang w:eastAsia="en-US"/>
        </w:rPr>
        <w:t>f</w:t>
      </w:r>
      <w:r w:rsidR="00B36680" w:rsidRPr="00ED7F0F">
        <w:rPr>
          <w:rFonts w:eastAsia="TimesNewRoman"/>
          <w:sz w:val="18"/>
          <w:szCs w:val="18"/>
          <w:vertAlign w:val="superscript"/>
          <w:lang w:eastAsia="en-US"/>
        </w:rPr>
        <w:tab/>
      </w:r>
      <w:r w:rsidRPr="00ED7F0F">
        <w:rPr>
          <w:rFonts w:eastAsia="TimesNewRoman"/>
          <w:sz w:val="18"/>
          <w:szCs w:val="18"/>
          <w:lang w:eastAsia="en-US"/>
        </w:rPr>
        <w:t>Po uvedení lieku na trh sa hlásili jednotlivé prípady Stevensovho-Johnsonovho syndrómu. Nebolo možné určiť, či tieto mukokutánne nežiaduce reakcie priamo súviseli s dasatinibom alebo so súbežne podávaným liekom.</w:t>
      </w:r>
    </w:p>
    <w:p w:rsidR="00B36680" w:rsidRPr="00ED7F0F" w:rsidRDefault="00B36680" w:rsidP="00122C9F">
      <w:pPr>
        <w:autoSpaceDE w:val="0"/>
        <w:autoSpaceDN w:val="0"/>
        <w:adjustRightInd w:val="0"/>
        <w:spacing w:line="240" w:lineRule="auto"/>
        <w:ind w:left="425" w:hanging="283"/>
        <w:rPr>
          <w:sz w:val="18"/>
          <w:szCs w:val="18"/>
        </w:rPr>
      </w:pPr>
      <w:r w:rsidRPr="00ED7F0F">
        <w:rPr>
          <w:rFonts w:eastAsia="TimesNewRoman"/>
          <w:sz w:val="18"/>
          <w:szCs w:val="18"/>
          <w:vertAlign w:val="superscript"/>
          <w:lang w:eastAsia="en-US"/>
        </w:rPr>
        <w:t>g</w:t>
      </w:r>
      <w:r w:rsidRPr="00ED7F0F">
        <w:rPr>
          <w:rFonts w:eastAsia="TimesNewRoman"/>
          <w:sz w:val="18"/>
          <w:szCs w:val="18"/>
          <w:vertAlign w:val="superscript"/>
          <w:lang w:eastAsia="en-US"/>
        </w:rPr>
        <w:tab/>
      </w:r>
      <w:r w:rsidRPr="00ED7F0F">
        <w:rPr>
          <w:sz w:val="18"/>
          <w:szCs w:val="18"/>
        </w:rPr>
        <w:t xml:space="preserve">Muskuloskeletálna bolesť hlásená počas alebo po ukončení liečby. </w:t>
      </w:r>
    </w:p>
    <w:p w:rsidR="00B36680" w:rsidRPr="00ED7F0F" w:rsidRDefault="00B36680" w:rsidP="00122C9F">
      <w:pPr>
        <w:autoSpaceDE w:val="0"/>
        <w:autoSpaceDN w:val="0"/>
        <w:adjustRightInd w:val="0"/>
        <w:spacing w:line="240" w:lineRule="auto"/>
        <w:ind w:left="425" w:hanging="283"/>
        <w:rPr>
          <w:rFonts w:eastAsia="TimesNewRoman"/>
          <w:sz w:val="18"/>
          <w:szCs w:val="18"/>
          <w:lang w:eastAsia="en-US"/>
        </w:rPr>
      </w:pPr>
      <w:r w:rsidRPr="00ED7F0F">
        <w:rPr>
          <w:sz w:val="18"/>
          <w:szCs w:val="18"/>
          <w:vertAlign w:val="superscript"/>
        </w:rPr>
        <w:t>h</w:t>
      </w:r>
      <w:r w:rsidRPr="00ED7F0F">
        <w:rPr>
          <w:sz w:val="18"/>
          <w:szCs w:val="18"/>
          <w:vertAlign w:val="superscript"/>
        </w:rPr>
        <w:tab/>
      </w:r>
      <w:r w:rsidRPr="00ED7F0F">
        <w:rPr>
          <w:sz w:val="18"/>
          <w:szCs w:val="18"/>
        </w:rPr>
        <w:t>Frekvencie hlásené ako časté v pediatrických štúdiách.</w:t>
      </w:r>
    </w:p>
    <w:p w:rsidR="00C36014" w:rsidRPr="00ED7F0F" w:rsidRDefault="00B36680" w:rsidP="00122C9F">
      <w:pPr>
        <w:autoSpaceDE w:val="0"/>
        <w:autoSpaceDN w:val="0"/>
        <w:adjustRightInd w:val="0"/>
        <w:spacing w:line="240" w:lineRule="auto"/>
        <w:ind w:left="425" w:hanging="283"/>
        <w:rPr>
          <w:rFonts w:eastAsia="TimesNewRoman"/>
          <w:sz w:val="18"/>
          <w:szCs w:val="18"/>
          <w:lang w:eastAsia="en-US"/>
        </w:rPr>
      </w:pPr>
      <w:r w:rsidRPr="00ED7F0F">
        <w:rPr>
          <w:rFonts w:eastAsia="TimesNewRoman"/>
          <w:sz w:val="18"/>
          <w:szCs w:val="18"/>
          <w:vertAlign w:val="superscript"/>
          <w:lang w:eastAsia="en-US"/>
        </w:rPr>
        <w:t>i</w:t>
      </w:r>
      <w:r w:rsidRPr="00ED7F0F">
        <w:rPr>
          <w:rFonts w:eastAsia="TimesNewRoman"/>
          <w:sz w:val="18"/>
          <w:szCs w:val="18"/>
          <w:vertAlign w:val="superscript"/>
          <w:lang w:eastAsia="en-US"/>
        </w:rPr>
        <w:tab/>
      </w:r>
      <w:r w:rsidR="00C36014" w:rsidRPr="00ED7F0F">
        <w:rPr>
          <w:rFonts w:eastAsia="TimesNewRoman"/>
          <w:sz w:val="18"/>
          <w:szCs w:val="18"/>
          <w:lang w:eastAsia="en-US"/>
        </w:rPr>
        <w:t>Gravitačný edém, lokalizovaný edém, periférny edém</w:t>
      </w:r>
      <w:r w:rsidR="00F35209" w:rsidRPr="00ED7F0F">
        <w:rPr>
          <w:rFonts w:eastAsia="TimesNewRoman"/>
          <w:sz w:val="18"/>
          <w:szCs w:val="18"/>
          <w:lang w:eastAsia="en-US"/>
        </w:rPr>
        <w:t>.</w:t>
      </w:r>
    </w:p>
    <w:p w:rsidR="00C36014" w:rsidRPr="00ED7F0F" w:rsidRDefault="00B36680" w:rsidP="00122C9F">
      <w:pPr>
        <w:autoSpaceDE w:val="0"/>
        <w:autoSpaceDN w:val="0"/>
        <w:adjustRightInd w:val="0"/>
        <w:spacing w:line="240" w:lineRule="auto"/>
        <w:ind w:left="425" w:hanging="283"/>
        <w:rPr>
          <w:rFonts w:eastAsia="TimesNewRoman"/>
          <w:sz w:val="18"/>
          <w:szCs w:val="18"/>
          <w:lang w:eastAsia="en-US"/>
        </w:rPr>
      </w:pPr>
      <w:r w:rsidRPr="00ED7F0F">
        <w:rPr>
          <w:rFonts w:eastAsia="TimesNewRoman"/>
          <w:sz w:val="18"/>
          <w:szCs w:val="18"/>
          <w:vertAlign w:val="superscript"/>
          <w:lang w:eastAsia="en-US"/>
        </w:rPr>
        <w:t>j</w:t>
      </w:r>
      <w:r w:rsidRPr="00ED7F0F">
        <w:rPr>
          <w:rFonts w:eastAsia="TimesNewRoman"/>
          <w:sz w:val="18"/>
          <w:szCs w:val="18"/>
          <w:vertAlign w:val="superscript"/>
          <w:lang w:eastAsia="en-US"/>
        </w:rPr>
        <w:tab/>
      </w:r>
      <w:r w:rsidR="00C36014" w:rsidRPr="00ED7F0F">
        <w:rPr>
          <w:rFonts w:eastAsia="TimesNewRoman"/>
          <w:sz w:val="18"/>
          <w:szCs w:val="18"/>
          <w:lang w:eastAsia="en-US"/>
        </w:rPr>
        <w:t>Konjunktiválny edém, edém oka, opuch oka, edém očného viečka, edém tváre, edém pier, makulárny edém, edém úst, orbitálny edém, periorbitálny edém, opuch tváre</w:t>
      </w:r>
      <w:r w:rsidR="00F35209" w:rsidRPr="00ED7F0F">
        <w:rPr>
          <w:rFonts w:eastAsia="TimesNewRoman"/>
          <w:sz w:val="18"/>
          <w:szCs w:val="18"/>
          <w:lang w:eastAsia="en-US"/>
        </w:rPr>
        <w:t>.</w:t>
      </w:r>
    </w:p>
    <w:p w:rsidR="00C36014" w:rsidRPr="00ED7F0F" w:rsidRDefault="00F35209" w:rsidP="00122C9F">
      <w:pPr>
        <w:autoSpaceDE w:val="0"/>
        <w:autoSpaceDN w:val="0"/>
        <w:adjustRightInd w:val="0"/>
        <w:spacing w:line="240" w:lineRule="auto"/>
        <w:ind w:left="425" w:hanging="283"/>
        <w:rPr>
          <w:rFonts w:eastAsia="TimesNewRoman"/>
          <w:sz w:val="18"/>
          <w:szCs w:val="18"/>
          <w:lang w:eastAsia="en-US"/>
        </w:rPr>
      </w:pPr>
      <w:r w:rsidRPr="00ED7F0F">
        <w:rPr>
          <w:rFonts w:eastAsia="TimesNewRoman"/>
          <w:sz w:val="18"/>
          <w:szCs w:val="18"/>
          <w:vertAlign w:val="superscript"/>
          <w:lang w:eastAsia="en-US"/>
        </w:rPr>
        <w:t>k</w:t>
      </w:r>
      <w:r w:rsidR="00B36680" w:rsidRPr="00ED7F0F">
        <w:rPr>
          <w:rFonts w:eastAsia="TimesNewRoman"/>
          <w:sz w:val="18"/>
          <w:szCs w:val="18"/>
          <w:vertAlign w:val="superscript"/>
          <w:lang w:eastAsia="en-US"/>
        </w:rPr>
        <w:tab/>
      </w:r>
      <w:r w:rsidR="00C36014" w:rsidRPr="00ED7F0F">
        <w:rPr>
          <w:rFonts w:eastAsia="TimesNewRoman"/>
          <w:sz w:val="18"/>
          <w:szCs w:val="18"/>
          <w:lang w:eastAsia="en-US"/>
        </w:rPr>
        <w:t>Preťaženie tekutin</w:t>
      </w:r>
      <w:r w:rsidR="00716EE5" w:rsidRPr="00ED7F0F">
        <w:rPr>
          <w:rFonts w:eastAsia="TimesNewRoman"/>
          <w:sz w:val="18"/>
          <w:szCs w:val="18"/>
          <w:lang w:eastAsia="en-US"/>
        </w:rPr>
        <w:t>ami</w:t>
      </w:r>
      <w:r w:rsidR="00C36014" w:rsidRPr="00ED7F0F">
        <w:rPr>
          <w:rFonts w:eastAsia="TimesNewRoman"/>
          <w:sz w:val="18"/>
          <w:szCs w:val="18"/>
          <w:lang w:eastAsia="en-US"/>
        </w:rPr>
        <w:t>, retencia tekutín, opuch gastrointestinálneho traktu, generalizovaný edém,</w:t>
      </w:r>
      <w:r w:rsidR="00B700AB" w:rsidRPr="00ED7F0F">
        <w:rPr>
          <w:rFonts w:eastAsia="TimesNewRoman"/>
          <w:sz w:val="18"/>
          <w:szCs w:val="18"/>
          <w:lang w:eastAsia="en-US"/>
        </w:rPr>
        <w:t xml:space="preserve"> periférny opuch,</w:t>
      </w:r>
      <w:r w:rsidR="00C36014" w:rsidRPr="00ED7F0F">
        <w:rPr>
          <w:rFonts w:eastAsia="TimesNewRoman"/>
          <w:sz w:val="18"/>
          <w:szCs w:val="18"/>
          <w:lang w:eastAsia="en-US"/>
        </w:rPr>
        <w:t xml:space="preserve"> edém,</w:t>
      </w:r>
      <w:r w:rsidR="00B36680" w:rsidRPr="00ED7F0F">
        <w:rPr>
          <w:rFonts w:eastAsia="TimesNewRoman"/>
          <w:sz w:val="18"/>
          <w:szCs w:val="18"/>
          <w:lang w:eastAsia="en-US"/>
        </w:rPr>
        <w:t xml:space="preserve"> </w:t>
      </w:r>
      <w:r w:rsidR="00C36014" w:rsidRPr="00ED7F0F">
        <w:rPr>
          <w:rFonts w:eastAsia="TimesNewRoman"/>
          <w:sz w:val="18"/>
          <w:szCs w:val="18"/>
          <w:lang w:eastAsia="en-US"/>
        </w:rPr>
        <w:t>edém z</w:t>
      </w:r>
      <w:r w:rsidRPr="00ED7F0F">
        <w:rPr>
          <w:rFonts w:eastAsia="TimesNewRoman"/>
          <w:sz w:val="18"/>
          <w:szCs w:val="18"/>
          <w:lang w:eastAsia="en-US"/>
        </w:rPr>
        <w:t> </w:t>
      </w:r>
      <w:r w:rsidR="00C36014" w:rsidRPr="00ED7F0F">
        <w:rPr>
          <w:rFonts w:eastAsia="TimesNewRoman"/>
          <w:sz w:val="18"/>
          <w:szCs w:val="18"/>
          <w:lang w:eastAsia="en-US"/>
        </w:rPr>
        <w:t>dôvodu ochorenia srdca, perinefrický výpotok, edém po chirurgickom výkone, viscerálny edém.</w:t>
      </w:r>
    </w:p>
    <w:p w:rsidR="00C36014" w:rsidRPr="00ED7F0F" w:rsidRDefault="00F35209" w:rsidP="00122C9F">
      <w:pPr>
        <w:autoSpaceDE w:val="0"/>
        <w:autoSpaceDN w:val="0"/>
        <w:adjustRightInd w:val="0"/>
        <w:spacing w:line="240" w:lineRule="auto"/>
        <w:ind w:left="425" w:hanging="283"/>
        <w:rPr>
          <w:rFonts w:eastAsia="TimesNewRoman"/>
          <w:sz w:val="18"/>
          <w:szCs w:val="18"/>
          <w:vertAlign w:val="superscript"/>
          <w:lang w:eastAsia="en-US"/>
        </w:rPr>
      </w:pPr>
      <w:r w:rsidRPr="00ED7F0F">
        <w:rPr>
          <w:rFonts w:eastAsia="TimesNewRoman"/>
          <w:sz w:val="18"/>
          <w:szCs w:val="18"/>
          <w:vertAlign w:val="superscript"/>
          <w:lang w:eastAsia="en-US"/>
        </w:rPr>
        <w:t>l</w:t>
      </w:r>
      <w:r w:rsidR="00B36680" w:rsidRPr="00ED7F0F">
        <w:rPr>
          <w:rFonts w:eastAsia="TimesNewRoman"/>
          <w:sz w:val="18"/>
          <w:szCs w:val="18"/>
          <w:vertAlign w:val="superscript"/>
          <w:lang w:eastAsia="en-US"/>
        </w:rPr>
        <w:tab/>
      </w:r>
      <w:r w:rsidR="00C36014" w:rsidRPr="00ED7F0F">
        <w:rPr>
          <w:rFonts w:eastAsia="TimesNewRoman"/>
          <w:sz w:val="18"/>
          <w:szCs w:val="18"/>
          <w:lang w:eastAsia="en-US"/>
        </w:rPr>
        <w:t>Opuch genitálií, edém v mieste incízie, genitálny edém, edém pohlavného údu, opuch pohlavného údu, skrotálny edém, opuch kože, opuch semenníkov, opuchy vagíny a</w:t>
      </w:r>
      <w:r w:rsidRPr="00ED7F0F">
        <w:rPr>
          <w:rFonts w:eastAsia="TimesNewRoman"/>
          <w:sz w:val="18"/>
          <w:szCs w:val="18"/>
          <w:lang w:eastAsia="en-US"/>
        </w:rPr>
        <w:t> </w:t>
      </w:r>
      <w:r w:rsidR="00C36014" w:rsidRPr="00ED7F0F">
        <w:rPr>
          <w:rFonts w:eastAsia="TimesNewRoman"/>
          <w:sz w:val="18"/>
          <w:szCs w:val="18"/>
          <w:lang w:eastAsia="en-US"/>
        </w:rPr>
        <w:t>pošvy</w:t>
      </w:r>
      <w:r w:rsidRPr="00ED7F0F">
        <w:rPr>
          <w:rFonts w:eastAsia="TimesNewRoman"/>
          <w:sz w:val="18"/>
          <w:szCs w:val="18"/>
          <w:lang w:eastAsia="en-US"/>
        </w:rPr>
        <w:t>.</w:t>
      </w:r>
    </w:p>
    <w:p w:rsidR="00C36014" w:rsidRPr="00ED7F0F" w:rsidRDefault="00C36014" w:rsidP="00122C9F">
      <w:pPr>
        <w:tabs>
          <w:tab w:val="clear" w:pos="567"/>
          <w:tab w:val="left" w:pos="426"/>
        </w:tabs>
        <w:autoSpaceDE w:val="0"/>
        <w:autoSpaceDN w:val="0"/>
        <w:adjustRightInd w:val="0"/>
        <w:ind w:firstLine="142"/>
        <w:rPr>
          <w:rFonts w:eastAsia="TimesNewRoman"/>
          <w:sz w:val="18"/>
          <w:szCs w:val="18"/>
          <w:lang w:eastAsia="en-US"/>
        </w:rPr>
      </w:pPr>
      <w:r w:rsidRPr="00ED7F0F">
        <w:rPr>
          <w:rFonts w:eastAsia="TimesNewRoman"/>
          <w:sz w:val="18"/>
          <w:szCs w:val="18"/>
          <w:lang w:eastAsia="en-US"/>
        </w:rPr>
        <w:t>*</w:t>
      </w:r>
      <w:r w:rsidR="00F35209" w:rsidRPr="00ED7F0F">
        <w:rPr>
          <w:rFonts w:eastAsia="TimesNewRoman"/>
          <w:sz w:val="18"/>
          <w:szCs w:val="18"/>
          <w:lang w:eastAsia="en-US"/>
        </w:rPr>
        <w:tab/>
      </w:r>
      <w:r w:rsidRPr="00ED7F0F">
        <w:rPr>
          <w:rFonts w:eastAsia="TimesNewRoman"/>
          <w:sz w:val="18"/>
          <w:szCs w:val="18"/>
          <w:lang w:eastAsia="en-US"/>
        </w:rPr>
        <w:t>Ďalšie podrobnosti, pozri časť "Opis vybraných nežiaducich reakcií"</w:t>
      </w:r>
    </w:p>
    <w:p w:rsidR="00C36014" w:rsidRPr="00ED7F0F" w:rsidRDefault="00C36014" w:rsidP="00122C9F">
      <w:pPr>
        <w:autoSpaceDE w:val="0"/>
        <w:autoSpaceDN w:val="0"/>
        <w:adjustRightInd w:val="0"/>
        <w:rPr>
          <w:rFonts w:eastAsia="TimesNewRoman"/>
          <w:szCs w:val="22"/>
          <w:lang w:eastAsia="en-US"/>
        </w:rPr>
      </w:pPr>
    </w:p>
    <w:p w:rsidR="00C36014" w:rsidRPr="00ED7F0F" w:rsidRDefault="00C36014" w:rsidP="00122C9F">
      <w:pPr>
        <w:autoSpaceDE w:val="0"/>
        <w:autoSpaceDN w:val="0"/>
        <w:adjustRightInd w:val="0"/>
        <w:rPr>
          <w:rFonts w:eastAsia="TimesNewRoman"/>
          <w:szCs w:val="22"/>
          <w:u w:val="single"/>
          <w:lang w:eastAsia="en-US"/>
        </w:rPr>
      </w:pPr>
      <w:r w:rsidRPr="00ED7F0F">
        <w:rPr>
          <w:rFonts w:eastAsia="TimesNewRoman"/>
          <w:szCs w:val="22"/>
          <w:u w:val="single"/>
          <w:lang w:eastAsia="en-US"/>
        </w:rPr>
        <w:t>Opis vybraných nežiaducich reakcií</w:t>
      </w:r>
    </w:p>
    <w:p w:rsidR="00C36014" w:rsidRPr="00ED7F0F" w:rsidRDefault="00C36014" w:rsidP="00122C9F">
      <w:pPr>
        <w:autoSpaceDE w:val="0"/>
        <w:autoSpaceDN w:val="0"/>
        <w:adjustRightInd w:val="0"/>
        <w:rPr>
          <w:rFonts w:eastAsia="TimesNewRoman"/>
          <w:i/>
          <w:iCs/>
          <w:szCs w:val="22"/>
          <w:u w:val="single"/>
          <w:lang w:eastAsia="en-US"/>
        </w:rPr>
      </w:pPr>
      <w:r w:rsidRPr="00ED7F0F">
        <w:rPr>
          <w:rFonts w:eastAsia="TimesNewRoman"/>
          <w:i/>
          <w:iCs/>
          <w:szCs w:val="22"/>
          <w:u w:val="single"/>
          <w:lang w:eastAsia="en-US"/>
        </w:rPr>
        <w:t>Myelosupresia</w:t>
      </w:r>
    </w:p>
    <w:p w:rsidR="00C36014" w:rsidRPr="00ED7F0F" w:rsidRDefault="00C36014" w:rsidP="00122C9F">
      <w:pPr>
        <w:autoSpaceDE w:val="0"/>
        <w:autoSpaceDN w:val="0"/>
        <w:adjustRightInd w:val="0"/>
        <w:rPr>
          <w:rFonts w:eastAsia="TimesNewRoman"/>
          <w:szCs w:val="22"/>
          <w:lang w:eastAsia="en-US"/>
        </w:rPr>
      </w:pPr>
      <w:r w:rsidRPr="00ED7F0F">
        <w:rPr>
          <w:rFonts w:eastAsia="TimesNewRoman"/>
          <w:szCs w:val="22"/>
          <w:lang w:eastAsia="en-US"/>
        </w:rPr>
        <w:t>Liečba dasatinibom sa spája s</w:t>
      </w:r>
      <w:r w:rsidR="004E24C8" w:rsidRPr="00ED7F0F">
        <w:rPr>
          <w:rFonts w:eastAsia="TimesNewRoman"/>
          <w:szCs w:val="22"/>
          <w:lang w:eastAsia="en-US"/>
        </w:rPr>
        <w:t> </w:t>
      </w:r>
      <w:r w:rsidRPr="00ED7F0F">
        <w:rPr>
          <w:rFonts w:eastAsia="TimesNewRoman"/>
          <w:szCs w:val="22"/>
          <w:lang w:eastAsia="en-US"/>
        </w:rPr>
        <w:t>anémiou, neutropéniou a trombocytopéniou. Ich výskyt je skorší a</w:t>
      </w:r>
      <w:r w:rsidR="004E24C8" w:rsidRPr="00ED7F0F">
        <w:rPr>
          <w:rFonts w:eastAsia="TimesNewRoman"/>
          <w:szCs w:val="22"/>
          <w:lang w:eastAsia="en-US"/>
        </w:rPr>
        <w:t xml:space="preserve"> </w:t>
      </w:r>
      <w:r w:rsidRPr="00ED7F0F">
        <w:rPr>
          <w:rFonts w:eastAsia="TimesNewRoman"/>
          <w:szCs w:val="22"/>
          <w:lang w:eastAsia="en-US"/>
        </w:rPr>
        <w:t>častejší u</w:t>
      </w:r>
      <w:r w:rsidR="004E24C8" w:rsidRPr="00ED7F0F">
        <w:rPr>
          <w:rFonts w:eastAsia="TimesNewRoman"/>
          <w:szCs w:val="22"/>
          <w:lang w:eastAsia="en-US"/>
        </w:rPr>
        <w:t> </w:t>
      </w:r>
      <w:r w:rsidRPr="00ED7F0F">
        <w:rPr>
          <w:rFonts w:eastAsia="TimesNewRoman"/>
          <w:szCs w:val="22"/>
          <w:lang w:eastAsia="en-US"/>
        </w:rPr>
        <w:t xml:space="preserve"> pacientov v</w:t>
      </w:r>
      <w:r w:rsidR="004E24C8" w:rsidRPr="00ED7F0F">
        <w:rPr>
          <w:rFonts w:eastAsia="TimesNewRoman"/>
          <w:szCs w:val="22"/>
          <w:lang w:eastAsia="en-US"/>
        </w:rPr>
        <w:t> </w:t>
      </w:r>
      <w:r w:rsidRPr="00ED7F0F">
        <w:rPr>
          <w:rFonts w:eastAsia="TimesNewRoman"/>
          <w:szCs w:val="22"/>
          <w:lang w:eastAsia="en-US"/>
        </w:rPr>
        <w:t>pokročilej fáze CML alebo s</w:t>
      </w:r>
      <w:r w:rsidR="004E24C8" w:rsidRPr="00ED7F0F">
        <w:rPr>
          <w:rFonts w:eastAsia="TimesNewRoman"/>
          <w:szCs w:val="22"/>
          <w:lang w:eastAsia="en-US"/>
        </w:rPr>
        <w:t> </w:t>
      </w:r>
      <w:r w:rsidRPr="00ED7F0F">
        <w:rPr>
          <w:rFonts w:eastAsia="TimesNewRoman"/>
          <w:szCs w:val="22"/>
          <w:lang w:eastAsia="en-US"/>
        </w:rPr>
        <w:t>Ph+ ALL ako u pacientov v</w:t>
      </w:r>
      <w:r w:rsidR="004E24C8" w:rsidRPr="00ED7F0F">
        <w:rPr>
          <w:rFonts w:eastAsia="TimesNewRoman"/>
          <w:szCs w:val="22"/>
          <w:lang w:eastAsia="en-US"/>
        </w:rPr>
        <w:t> </w:t>
      </w:r>
      <w:r w:rsidRPr="00ED7F0F">
        <w:rPr>
          <w:rFonts w:eastAsia="TimesNewRoman"/>
          <w:szCs w:val="22"/>
          <w:lang w:eastAsia="en-US"/>
        </w:rPr>
        <w:t>chronickej fáze CML (pozri časť</w:t>
      </w:r>
      <w:r w:rsidR="004E24C8" w:rsidRPr="00ED7F0F">
        <w:rPr>
          <w:rFonts w:eastAsia="TimesNewRoman"/>
          <w:szCs w:val="22"/>
          <w:lang w:eastAsia="en-US"/>
        </w:rPr>
        <w:t> </w:t>
      </w:r>
      <w:r w:rsidRPr="00ED7F0F">
        <w:rPr>
          <w:rFonts w:eastAsia="TimesNewRoman"/>
          <w:szCs w:val="22"/>
          <w:lang w:eastAsia="en-US"/>
        </w:rPr>
        <w:t>4.4).</w:t>
      </w:r>
    </w:p>
    <w:p w:rsidR="00C36014" w:rsidRPr="00ED7F0F" w:rsidRDefault="00C36014" w:rsidP="00122C9F">
      <w:pPr>
        <w:autoSpaceDE w:val="0"/>
        <w:autoSpaceDN w:val="0"/>
        <w:adjustRightInd w:val="0"/>
        <w:rPr>
          <w:rFonts w:eastAsia="TimesNewRoman"/>
          <w:i/>
          <w:iCs/>
          <w:szCs w:val="22"/>
          <w:lang w:eastAsia="en-US"/>
        </w:rPr>
      </w:pPr>
    </w:p>
    <w:p w:rsidR="00C36014" w:rsidRPr="00ED7F0F" w:rsidRDefault="00C36014" w:rsidP="00122C9F">
      <w:pPr>
        <w:autoSpaceDE w:val="0"/>
        <w:autoSpaceDN w:val="0"/>
        <w:adjustRightInd w:val="0"/>
        <w:rPr>
          <w:rFonts w:eastAsia="TimesNewRoman"/>
          <w:i/>
          <w:iCs/>
          <w:szCs w:val="22"/>
          <w:u w:val="single"/>
          <w:lang w:eastAsia="en-US"/>
        </w:rPr>
      </w:pPr>
      <w:r w:rsidRPr="00ED7F0F">
        <w:rPr>
          <w:rFonts w:eastAsia="TimesNewRoman"/>
          <w:i/>
          <w:iCs/>
          <w:szCs w:val="22"/>
          <w:u w:val="single"/>
          <w:lang w:eastAsia="en-US"/>
        </w:rPr>
        <w:t>Krvácanie</w:t>
      </w:r>
    </w:p>
    <w:p w:rsidR="00C36014" w:rsidRPr="00ED7F0F" w:rsidRDefault="00C36014" w:rsidP="00122C9F">
      <w:pPr>
        <w:autoSpaceDE w:val="0"/>
        <w:autoSpaceDN w:val="0"/>
        <w:adjustRightInd w:val="0"/>
        <w:rPr>
          <w:rFonts w:eastAsia="TimesNewRoman"/>
          <w:szCs w:val="22"/>
          <w:lang w:eastAsia="en-US"/>
        </w:rPr>
      </w:pPr>
      <w:r w:rsidRPr="00ED7F0F">
        <w:rPr>
          <w:rFonts w:eastAsia="TimesNewRoman"/>
          <w:szCs w:val="22"/>
          <w:lang w:eastAsia="en-US"/>
        </w:rPr>
        <w:t>U</w:t>
      </w:r>
      <w:r w:rsidR="004E24C8" w:rsidRPr="00ED7F0F">
        <w:rPr>
          <w:rFonts w:eastAsia="TimesNewRoman"/>
          <w:szCs w:val="22"/>
          <w:lang w:eastAsia="en-US"/>
        </w:rPr>
        <w:t> </w:t>
      </w:r>
      <w:r w:rsidRPr="00ED7F0F">
        <w:rPr>
          <w:rFonts w:eastAsia="TimesNewRoman"/>
          <w:szCs w:val="22"/>
          <w:lang w:eastAsia="en-US"/>
        </w:rPr>
        <w:t>pacientov užívajúcich dasatinib sa hlásili nežiaduce reakcie krvácaní súvisiacich s liekom v</w:t>
      </w:r>
      <w:r w:rsidR="004E24C8" w:rsidRPr="00ED7F0F">
        <w:rPr>
          <w:rFonts w:eastAsia="TimesNewRoman"/>
          <w:szCs w:val="22"/>
          <w:lang w:eastAsia="en-US"/>
        </w:rPr>
        <w:t> </w:t>
      </w:r>
      <w:r w:rsidRPr="00ED7F0F">
        <w:rPr>
          <w:rFonts w:eastAsia="TimesNewRoman"/>
          <w:szCs w:val="22"/>
          <w:lang w:eastAsia="en-US"/>
        </w:rPr>
        <w:t>rozsahu od petechie a epistaxy po gastrointestinálne krvácanie 3. alebo 4. stupňa a krvácanie do CNS (pozri časť</w:t>
      </w:r>
      <w:r w:rsidR="004E24C8" w:rsidRPr="00ED7F0F">
        <w:rPr>
          <w:rFonts w:eastAsia="TimesNewRoman"/>
          <w:szCs w:val="22"/>
          <w:lang w:eastAsia="en-US"/>
        </w:rPr>
        <w:t> </w:t>
      </w:r>
      <w:r w:rsidRPr="00ED7F0F">
        <w:rPr>
          <w:rFonts w:eastAsia="TimesNewRoman"/>
          <w:szCs w:val="22"/>
          <w:lang w:eastAsia="en-US"/>
        </w:rPr>
        <w:t>4.4).</w:t>
      </w:r>
    </w:p>
    <w:p w:rsidR="00C36014" w:rsidRPr="00ED7F0F" w:rsidRDefault="00C36014" w:rsidP="00122C9F">
      <w:pPr>
        <w:autoSpaceDE w:val="0"/>
        <w:autoSpaceDN w:val="0"/>
        <w:adjustRightInd w:val="0"/>
        <w:rPr>
          <w:rFonts w:eastAsia="TimesNewRoman"/>
          <w:szCs w:val="22"/>
          <w:lang w:eastAsia="en-US"/>
        </w:rPr>
      </w:pPr>
    </w:p>
    <w:p w:rsidR="00C36014" w:rsidRPr="00ED7F0F" w:rsidRDefault="00C36014" w:rsidP="00122C9F">
      <w:pPr>
        <w:autoSpaceDE w:val="0"/>
        <w:autoSpaceDN w:val="0"/>
        <w:adjustRightInd w:val="0"/>
        <w:rPr>
          <w:rFonts w:eastAsia="TimesNewRoman"/>
          <w:i/>
          <w:iCs/>
          <w:szCs w:val="22"/>
          <w:u w:val="single"/>
          <w:lang w:eastAsia="en-US"/>
        </w:rPr>
      </w:pPr>
      <w:r w:rsidRPr="00ED7F0F">
        <w:rPr>
          <w:rFonts w:eastAsia="TimesNewRoman"/>
          <w:i/>
          <w:iCs/>
          <w:szCs w:val="22"/>
          <w:u w:val="single"/>
          <w:lang w:eastAsia="en-US"/>
        </w:rPr>
        <w:t>Retencia tekutín</w:t>
      </w:r>
    </w:p>
    <w:p w:rsidR="00C36014" w:rsidRPr="00ED7F0F" w:rsidRDefault="00C36014" w:rsidP="00122C9F">
      <w:pPr>
        <w:autoSpaceDE w:val="0"/>
        <w:autoSpaceDN w:val="0"/>
        <w:adjustRightInd w:val="0"/>
        <w:rPr>
          <w:rFonts w:eastAsia="TimesNewRoman"/>
          <w:szCs w:val="22"/>
          <w:lang w:eastAsia="en-US"/>
        </w:rPr>
      </w:pPr>
      <w:r w:rsidRPr="00ED7F0F">
        <w:rPr>
          <w:rFonts w:eastAsia="TimesNewRoman"/>
          <w:szCs w:val="22"/>
          <w:lang w:eastAsia="en-US"/>
        </w:rPr>
        <w:t>Rôzne nežiaduce reakcie, ako je pleurálny výpotok, ascites, pľúcny edém a perikardiálny výpotok s</w:t>
      </w:r>
      <w:r w:rsidR="004E24C8" w:rsidRPr="00ED7F0F">
        <w:rPr>
          <w:rFonts w:eastAsia="TimesNewRoman"/>
          <w:szCs w:val="22"/>
          <w:lang w:eastAsia="en-US"/>
        </w:rPr>
        <w:t> </w:t>
      </w:r>
      <w:r w:rsidRPr="00ED7F0F">
        <w:rPr>
          <w:rFonts w:eastAsia="TimesNewRoman"/>
          <w:szCs w:val="22"/>
          <w:lang w:eastAsia="en-US"/>
        </w:rPr>
        <w:t>povrchovým edémom alebo bez neho, možno súhrnne opísať ako “retenciu tekut</w:t>
      </w:r>
      <w:r w:rsidR="00B700AB" w:rsidRPr="00ED7F0F">
        <w:rPr>
          <w:rFonts w:eastAsia="TimesNewRoman"/>
          <w:szCs w:val="22"/>
          <w:lang w:eastAsia="en-US"/>
        </w:rPr>
        <w:t>ín</w:t>
      </w:r>
      <w:r w:rsidRPr="00ED7F0F">
        <w:rPr>
          <w:rFonts w:eastAsia="TimesNewRoman"/>
          <w:szCs w:val="22"/>
          <w:lang w:eastAsia="en-US"/>
        </w:rPr>
        <w:t>”. V</w:t>
      </w:r>
      <w:r w:rsidR="004E24C8" w:rsidRPr="00ED7F0F">
        <w:rPr>
          <w:rFonts w:eastAsia="TimesNewRoman"/>
          <w:szCs w:val="22"/>
          <w:lang w:eastAsia="en-US"/>
        </w:rPr>
        <w:t> </w:t>
      </w:r>
      <w:r w:rsidRPr="00ED7F0F">
        <w:rPr>
          <w:rFonts w:eastAsia="TimesNewRoman"/>
          <w:szCs w:val="22"/>
          <w:lang w:eastAsia="en-US"/>
        </w:rPr>
        <w:t>štúdii s</w:t>
      </w:r>
      <w:r w:rsidR="004E24C8" w:rsidRPr="00ED7F0F">
        <w:rPr>
          <w:rFonts w:eastAsia="TimesNewRoman"/>
          <w:szCs w:val="22"/>
          <w:lang w:eastAsia="en-US"/>
        </w:rPr>
        <w:t> </w:t>
      </w:r>
      <w:r w:rsidRPr="00ED7F0F">
        <w:rPr>
          <w:rFonts w:eastAsia="TimesNewRoman"/>
          <w:szCs w:val="22"/>
          <w:lang w:eastAsia="en-US"/>
        </w:rPr>
        <w:t>novodiagnostikovanou chronickou fázou CML po minimálne 60 mesiacoch následného sledovania zahŕňali nežiaduce reakcie retencie tekutiny súvisiacej s</w:t>
      </w:r>
      <w:r w:rsidR="004E24C8" w:rsidRPr="00ED7F0F">
        <w:rPr>
          <w:rFonts w:eastAsia="TimesNewRoman"/>
          <w:szCs w:val="22"/>
          <w:lang w:eastAsia="en-US"/>
        </w:rPr>
        <w:t> </w:t>
      </w:r>
      <w:r w:rsidRPr="00ED7F0F">
        <w:rPr>
          <w:rFonts w:eastAsia="TimesNewRoman"/>
          <w:szCs w:val="22"/>
          <w:lang w:eastAsia="en-US"/>
        </w:rPr>
        <w:t>dasatinibom pleurálny výpotok (28 %), povrchový edém (14 %), pľúcnu hypertenziu (5 %) generalizovaný edém (4 %) a perikardiálny výpotok (4 %). Kongestívne srdcové zlyhávanie/dysfunkcia srdca a pľúcny edém sa hlásili u &lt; 2 % pacientov.</w:t>
      </w:r>
    </w:p>
    <w:p w:rsidR="00C36014" w:rsidRPr="00ED7F0F" w:rsidRDefault="00C36014" w:rsidP="00122C9F">
      <w:pPr>
        <w:autoSpaceDE w:val="0"/>
        <w:autoSpaceDN w:val="0"/>
        <w:adjustRightInd w:val="0"/>
        <w:rPr>
          <w:rFonts w:eastAsia="TimesNewRoman"/>
          <w:szCs w:val="22"/>
          <w:lang w:eastAsia="en-US"/>
        </w:rPr>
      </w:pPr>
      <w:r w:rsidRPr="00ED7F0F">
        <w:rPr>
          <w:rFonts w:eastAsia="TimesNewRoman"/>
          <w:szCs w:val="22"/>
          <w:lang w:eastAsia="en-US"/>
        </w:rPr>
        <w:t>V priebehu času bol kumulatívny pomer pleurálneho výpotku súvisiaceho s</w:t>
      </w:r>
      <w:r w:rsidR="004E24C8" w:rsidRPr="00ED7F0F">
        <w:rPr>
          <w:rFonts w:eastAsia="TimesNewRoman"/>
          <w:szCs w:val="22"/>
          <w:lang w:eastAsia="en-US"/>
        </w:rPr>
        <w:t> </w:t>
      </w:r>
      <w:r w:rsidRPr="00ED7F0F">
        <w:rPr>
          <w:rFonts w:eastAsia="TimesNewRoman"/>
          <w:szCs w:val="22"/>
          <w:lang w:eastAsia="en-US"/>
        </w:rPr>
        <w:t>dasatinibom (všetky stupne) 10 % po 12 mesiacoch, 14 % po 24 mesiacoch, 19 % po 36 mesiacoch, 24 % po 48 mesiacoch a 28 % po 60 mesiacoch. Celkovo 46 pacientov liečených dasatinibom malo rekurentný pleurálny výpotok. Sedemnásť pacientov malo 2 samostatné nežiaduce reakcie, 6 malo 3 nežiaduce reakcie, 18 malo 4 až 8 nežiaducich reakcií a 5 malo &gt; 8 epizód pleurálneho výpotku.</w:t>
      </w:r>
    </w:p>
    <w:p w:rsidR="00C36014" w:rsidRPr="00ED7F0F" w:rsidRDefault="00C36014" w:rsidP="00122C9F">
      <w:pPr>
        <w:autoSpaceDE w:val="0"/>
        <w:autoSpaceDN w:val="0"/>
        <w:adjustRightInd w:val="0"/>
        <w:rPr>
          <w:rFonts w:eastAsia="TimesNewRoman"/>
          <w:szCs w:val="22"/>
          <w:lang w:eastAsia="en-US"/>
        </w:rPr>
      </w:pPr>
      <w:r w:rsidRPr="00ED7F0F">
        <w:rPr>
          <w:rFonts w:eastAsia="TimesNewRoman"/>
          <w:szCs w:val="22"/>
          <w:lang w:eastAsia="en-US"/>
        </w:rPr>
        <w:t>Medián času do prvého pleurálneho výpotku súvisiaceho s</w:t>
      </w:r>
      <w:r w:rsidR="004E24C8" w:rsidRPr="00ED7F0F">
        <w:rPr>
          <w:rFonts w:eastAsia="TimesNewRoman"/>
          <w:szCs w:val="22"/>
          <w:lang w:eastAsia="en-US"/>
        </w:rPr>
        <w:t> </w:t>
      </w:r>
      <w:r w:rsidRPr="00ED7F0F">
        <w:rPr>
          <w:rFonts w:eastAsia="TimesNewRoman"/>
          <w:szCs w:val="22"/>
          <w:lang w:eastAsia="en-US"/>
        </w:rPr>
        <w:t>dasatinibom 1. alebo 2. stupňa bol 114</w:t>
      </w:r>
      <w:r w:rsidR="004E24C8" w:rsidRPr="00ED7F0F">
        <w:rPr>
          <w:rFonts w:eastAsia="TimesNewRoman"/>
          <w:szCs w:val="22"/>
          <w:lang w:eastAsia="en-US"/>
        </w:rPr>
        <w:t> </w:t>
      </w:r>
      <w:r w:rsidRPr="00ED7F0F">
        <w:rPr>
          <w:rFonts w:eastAsia="TimesNewRoman"/>
          <w:szCs w:val="22"/>
          <w:lang w:eastAsia="en-US"/>
        </w:rPr>
        <w:t>týždňov (rozsah: 4 až 299 týždňov). Menej než 10 % pacientov s</w:t>
      </w:r>
      <w:r w:rsidR="004E24C8" w:rsidRPr="00ED7F0F">
        <w:rPr>
          <w:rFonts w:eastAsia="TimesNewRoman"/>
          <w:szCs w:val="22"/>
          <w:lang w:eastAsia="en-US"/>
        </w:rPr>
        <w:t> </w:t>
      </w:r>
      <w:r w:rsidRPr="00ED7F0F">
        <w:rPr>
          <w:rFonts w:eastAsia="TimesNewRoman"/>
          <w:szCs w:val="22"/>
          <w:lang w:eastAsia="en-US"/>
        </w:rPr>
        <w:t>pleurálnym výpotkom malo závažné (3. alebo 4. stupeň) pleurálne výpotky súvisiace s</w:t>
      </w:r>
      <w:r w:rsidR="004E24C8" w:rsidRPr="00ED7F0F">
        <w:rPr>
          <w:rFonts w:eastAsia="TimesNewRoman"/>
          <w:szCs w:val="22"/>
          <w:lang w:eastAsia="en-US"/>
        </w:rPr>
        <w:t> </w:t>
      </w:r>
      <w:r w:rsidRPr="00ED7F0F">
        <w:rPr>
          <w:rFonts w:eastAsia="TimesNewRoman"/>
          <w:szCs w:val="22"/>
          <w:lang w:eastAsia="en-US"/>
        </w:rPr>
        <w:t>dasatinibom. Medián času do prvého výskytu pleurálneho výpotku súvisiaceho s dasatinibom ≥ 3. stupňa bol 175</w:t>
      </w:r>
      <w:r w:rsidR="004E24C8" w:rsidRPr="00ED7F0F">
        <w:rPr>
          <w:rFonts w:eastAsia="TimesNewRoman"/>
          <w:szCs w:val="22"/>
          <w:lang w:eastAsia="en-US"/>
        </w:rPr>
        <w:t> </w:t>
      </w:r>
      <w:r w:rsidRPr="00ED7F0F">
        <w:rPr>
          <w:rFonts w:eastAsia="TimesNewRoman"/>
          <w:szCs w:val="22"/>
          <w:lang w:eastAsia="en-US"/>
        </w:rPr>
        <w:t>týždňov (rozsah: 114 až 274 týždňov). Medián trvania pleurálneho výpotku súvisiaceho s</w:t>
      </w:r>
      <w:r w:rsidR="004E24C8" w:rsidRPr="00ED7F0F">
        <w:rPr>
          <w:rFonts w:eastAsia="TimesNewRoman"/>
          <w:szCs w:val="22"/>
          <w:lang w:eastAsia="en-US"/>
        </w:rPr>
        <w:t> </w:t>
      </w:r>
      <w:r w:rsidRPr="00ED7F0F">
        <w:rPr>
          <w:rFonts w:eastAsia="TimesNewRoman"/>
          <w:szCs w:val="22"/>
          <w:lang w:eastAsia="en-US"/>
        </w:rPr>
        <w:t>dasatinibom (všetky stupne) bol 283 dní (~40 týždňov).</w:t>
      </w:r>
    </w:p>
    <w:p w:rsidR="00C36014" w:rsidRPr="00ED7F0F" w:rsidRDefault="00C36014" w:rsidP="00122C9F">
      <w:pPr>
        <w:autoSpaceDE w:val="0"/>
        <w:autoSpaceDN w:val="0"/>
        <w:adjustRightInd w:val="0"/>
        <w:rPr>
          <w:rFonts w:eastAsia="TimesNewRoman"/>
          <w:szCs w:val="22"/>
          <w:lang w:eastAsia="en-US"/>
        </w:rPr>
      </w:pPr>
    </w:p>
    <w:p w:rsidR="00C36014" w:rsidRPr="00ED7F0F" w:rsidRDefault="00C36014" w:rsidP="00122C9F">
      <w:pPr>
        <w:autoSpaceDE w:val="0"/>
        <w:autoSpaceDN w:val="0"/>
        <w:adjustRightInd w:val="0"/>
        <w:rPr>
          <w:rFonts w:eastAsia="TimesNewRoman"/>
          <w:szCs w:val="22"/>
          <w:lang w:eastAsia="en-US"/>
        </w:rPr>
      </w:pPr>
      <w:r w:rsidRPr="00ED7F0F">
        <w:rPr>
          <w:rFonts w:eastAsia="TimesNewRoman"/>
          <w:szCs w:val="22"/>
          <w:lang w:eastAsia="en-US"/>
        </w:rPr>
        <w:t>Pleurálny výpotok bol zvyčajne vratný a</w:t>
      </w:r>
      <w:r w:rsidR="004E24C8" w:rsidRPr="00ED7F0F">
        <w:rPr>
          <w:rFonts w:eastAsia="TimesNewRoman"/>
          <w:szCs w:val="22"/>
          <w:lang w:eastAsia="en-US"/>
        </w:rPr>
        <w:t> </w:t>
      </w:r>
      <w:r w:rsidRPr="00ED7F0F">
        <w:rPr>
          <w:rFonts w:eastAsia="TimesNewRoman"/>
          <w:szCs w:val="22"/>
          <w:lang w:eastAsia="en-US"/>
        </w:rPr>
        <w:t>bol zvládnutý prerušením liečby dasatinibom a</w:t>
      </w:r>
      <w:r w:rsidR="004E24C8" w:rsidRPr="00ED7F0F">
        <w:rPr>
          <w:rFonts w:eastAsia="TimesNewRoman"/>
          <w:szCs w:val="22"/>
          <w:lang w:eastAsia="en-US"/>
        </w:rPr>
        <w:t> </w:t>
      </w:r>
      <w:r w:rsidRPr="00ED7F0F">
        <w:rPr>
          <w:rFonts w:eastAsia="TimesNewRoman"/>
          <w:szCs w:val="22"/>
          <w:lang w:eastAsia="en-US"/>
        </w:rPr>
        <w:t>použitím diuretík alebo iných vhodných podporných ošetrovacích opatrení (pozri časti</w:t>
      </w:r>
      <w:r w:rsidR="004E24C8" w:rsidRPr="00ED7F0F">
        <w:rPr>
          <w:rFonts w:eastAsia="TimesNewRoman"/>
          <w:szCs w:val="22"/>
          <w:lang w:eastAsia="en-US"/>
        </w:rPr>
        <w:t> </w:t>
      </w:r>
      <w:r w:rsidRPr="00ED7F0F">
        <w:rPr>
          <w:rFonts w:eastAsia="TimesNewRoman"/>
          <w:szCs w:val="22"/>
          <w:lang w:eastAsia="en-US"/>
        </w:rPr>
        <w:t>4.2 a 4.4). Medzi pacientmi liečenými dasatinibom s</w:t>
      </w:r>
      <w:r w:rsidR="004E24C8" w:rsidRPr="00ED7F0F">
        <w:rPr>
          <w:rFonts w:eastAsia="TimesNewRoman"/>
          <w:szCs w:val="22"/>
          <w:lang w:eastAsia="en-US"/>
        </w:rPr>
        <w:t> </w:t>
      </w:r>
      <w:r w:rsidRPr="00ED7F0F">
        <w:rPr>
          <w:rFonts w:eastAsia="TimesNewRoman"/>
          <w:szCs w:val="22"/>
          <w:lang w:eastAsia="en-US"/>
        </w:rPr>
        <w:t>pleurálnym výpotkom súvisiacim s</w:t>
      </w:r>
      <w:r w:rsidR="004E24C8" w:rsidRPr="00ED7F0F">
        <w:rPr>
          <w:rFonts w:eastAsia="TimesNewRoman"/>
          <w:szCs w:val="22"/>
          <w:lang w:eastAsia="en-US"/>
        </w:rPr>
        <w:t> </w:t>
      </w:r>
      <w:r w:rsidRPr="00ED7F0F">
        <w:rPr>
          <w:rFonts w:eastAsia="TimesNewRoman"/>
          <w:szCs w:val="22"/>
          <w:lang w:eastAsia="en-US"/>
        </w:rPr>
        <w:t>liekom (n=73) malo 45 (62 %) prerušenie liečby a 30 (41 %) malo zníženie dávky. Okrem toho 34 (47 %) dostalo diuretiká, 23 (32 %) dostalo kortikosteroidy a 20 (27 %) dostalo kortikosteroidy aj diuretiká. Deväť (12 %) pacientov podstúpilo terapeutickú torakocentézu.</w:t>
      </w:r>
    </w:p>
    <w:p w:rsidR="00C36014" w:rsidRPr="00ED7F0F" w:rsidRDefault="00C36014" w:rsidP="00122C9F">
      <w:pPr>
        <w:autoSpaceDE w:val="0"/>
        <w:autoSpaceDN w:val="0"/>
        <w:adjustRightInd w:val="0"/>
        <w:rPr>
          <w:rFonts w:eastAsia="TimesNewRoman"/>
          <w:szCs w:val="22"/>
          <w:lang w:eastAsia="en-US"/>
        </w:rPr>
      </w:pPr>
      <w:r w:rsidRPr="00ED7F0F">
        <w:rPr>
          <w:rFonts w:eastAsia="TimesNewRoman"/>
          <w:szCs w:val="22"/>
          <w:lang w:eastAsia="en-US"/>
        </w:rPr>
        <w:t>Šesť percent pacientov liečených dasatinibom prerušilo liečbu z dôvodu pleurálneho výpotku súvisiaceho s liekom. Pleurálny výpotok nezhoršil schopnosť pacienta dosiahnuť odpoveď. Medzi pacientmi s pleurálnym výpotkom liečenými dasatinibom dosiahlo 96 % cCCyR, 82 % dosiahlo MMR a 50 % dosiahlo MR4.5 aj napriek prerušeniam liečby alebo úprave dávky.</w:t>
      </w:r>
    </w:p>
    <w:p w:rsidR="00C36014" w:rsidRPr="00ED7F0F" w:rsidRDefault="00C36014" w:rsidP="00122C9F">
      <w:pPr>
        <w:autoSpaceDE w:val="0"/>
        <w:autoSpaceDN w:val="0"/>
        <w:adjustRightInd w:val="0"/>
        <w:rPr>
          <w:rFonts w:eastAsia="TimesNewRoman"/>
          <w:szCs w:val="22"/>
          <w:lang w:eastAsia="en-US"/>
        </w:rPr>
      </w:pPr>
      <w:r w:rsidRPr="00ED7F0F">
        <w:rPr>
          <w:rFonts w:eastAsia="TimesNewRoman"/>
          <w:szCs w:val="22"/>
          <w:lang w:eastAsia="en-US"/>
        </w:rPr>
        <w:t xml:space="preserve">Pozri časť 4.4 </w:t>
      </w:r>
      <w:r w:rsidR="00813247" w:rsidRPr="00ED7F0F">
        <w:rPr>
          <w:rFonts w:eastAsia="TimesNewRoman"/>
          <w:szCs w:val="22"/>
          <w:lang w:eastAsia="en-US"/>
        </w:rPr>
        <w:t>pre ď</w:t>
      </w:r>
      <w:r w:rsidRPr="00ED7F0F">
        <w:rPr>
          <w:rFonts w:eastAsia="TimesNewRoman"/>
          <w:szCs w:val="22"/>
          <w:lang w:eastAsia="en-US"/>
        </w:rPr>
        <w:t>alšie informácie o pacientoch s</w:t>
      </w:r>
      <w:r w:rsidR="004E24C8" w:rsidRPr="00ED7F0F">
        <w:rPr>
          <w:rFonts w:eastAsia="TimesNewRoman"/>
          <w:szCs w:val="22"/>
          <w:lang w:eastAsia="en-US"/>
        </w:rPr>
        <w:t> </w:t>
      </w:r>
      <w:r w:rsidRPr="00ED7F0F">
        <w:rPr>
          <w:rFonts w:eastAsia="TimesNewRoman"/>
          <w:szCs w:val="22"/>
          <w:lang w:eastAsia="en-US"/>
        </w:rPr>
        <w:t>chronickou fázou CML a s</w:t>
      </w:r>
      <w:r w:rsidR="004E24C8" w:rsidRPr="00ED7F0F">
        <w:rPr>
          <w:rFonts w:eastAsia="TimesNewRoman"/>
          <w:szCs w:val="22"/>
          <w:lang w:eastAsia="en-US"/>
        </w:rPr>
        <w:t> </w:t>
      </w:r>
      <w:r w:rsidRPr="00ED7F0F">
        <w:rPr>
          <w:rFonts w:eastAsia="TimesNewRoman"/>
          <w:szCs w:val="22"/>
          <w:lang w:eastAsia="en-US"/>
        </w:rPr>
        <w:t>pokročilou fázou CML alebo Ph+ ALL.</w:t>
      </w:r>
    </w:p>
    <w:p w:rsidR="00C36014" w:rsidRPr="00ED7F0F" w:rsidRDefault="00C36014" w:rsidP="00122C9F">
      <w:pPr>
        <w:autoSpaceDE w:val="0"/>
        <w:autoSpaceDN w:val="0"/>
        <w:adjustRightInd w:val="0"/>
        <w:rPr>
          <w:rFonts w:eastAsia="TimesNewRoman"/>
          <w:i/>
          <w:iCs/>
          <w:szCs w:val="22"/>
          <w:lang w:eastAsia="en-US"/>
        </w:rPr>
      </w:pPr>
    </w:p>
    <w:p w:rsidR="00C36014" w:rsidRPr="00ED7F0F" w:rsidRDefault="00C36014" w:rsidP="00122C9F">
      <w:pPr>
        <w:autoSpaceDE w:val="0"/>
        <w:autoSpaceDN w:val="0"/>
        <w:adjustRightInd w:val="0"/>
        <w:rPr>
          <w:rFonts w:eastAsia="TimesNewRoman"/>
          <w:i/>
          <w:iCs/>
          <w:szCs w:val="22"/>
          <w:u w:val="single"/>
          <w:lang w:eastAsia="en-US"/>
        </w:rPr>
      </w:pPr>
      <w:r w:rsidRPr="00ED7F0F">
        <w:rPr>
          <w:rFonts w:eastAsia="TimesNewRoman"/>
          <w:i/>
          <w:iCs/>
          <w:szCs w:val="22"/>
          <w:u w:val="single"/>
          <w:lang w:eastAsia="en-US"/>
        </w:rPr>
        <w:t>Pľúcna arteriálna hypertenzia (PAH)</w:t>
      </w:r>
    </w:p>
    <w:p w:rsidR="00C36014" w:rsidRPr="00ED7F0F" w:rsidRDefault="00C36014" w:rsidP="00122C9F">
      <w:pPr>
        <w:autoSpaceDE w:val="0"/>
        <w:autoSpaceDN w:val="0"/>
        <w:adjustRightInd w:val="0"/>
        <w:rPr>
          <w:rFonts w:eastAsia="TimesNewRoman"/>
          <w:szCs w:val="22"/>
          <w:lang w:eastAsia="en-US"/>
        </w:rPr>
      </w:pPr>
      <w:r w:rsidRPr="00ED7F0F">
        <w:rPr>
          <w:rFonts w:eastAsia="TimesNewRoman"/>
          <w:szCs w:val="22"/>
          <w:lang w:eastAsia="en-US"/>
        </w:rPr>
        <w:t>PAH (prekapilárna pľúcna arteriálna hypertenzia potvrdená pravostrannou kat</w:t>
      </w:r>
      <w:r w:rsidR="00000136" w:rsidRPr="00ED7F0F">
        <w:rPr>
          <w:rFonts w:eastAsia="TimesNewRoman"/>
          <w:szCs w:val="22"/>
          <w:lang w:eastAsia="en-US"/>
        </w:rPr>
        <w:t>e</w:t>
      </w:r>
      <w:r w:rsidRPr="00ED7F0F">
        <w:rPr>
          <w:rFonts w:eastAsia="TimesNewRoman"/>
          <w:szCs w:val="22"/>
          <w:lang w:eastAsia="en-US"/>
        </w:rPr>
        <w:t>trizáciou srdca) sa hlásila v</w:t>
      </w:r>
      <w:r w:rsidR="004E24C8" w:rsidRPr="00ED7F0F">
        <w:rPr>
          <w:rFonts w:eastAsia="TimesNewRoman"/>
          <w:szCs w:val="22"/>
          <w:lang w:eastAsia="en-US"/>
        </w:rPr>
        <w:t> </w:t>
      </w:r>
      <w:r w:rsidRPr="00ED7F0F">
        <w:rPr>
          <w:rFonts w:eastAsia="TimesNewRoman"/>
          <w:szCs w:val="22"/>
          <w:lang w:eastAsia="en-US"/>
        </w:rPr>
        <w:t>súvislosti s</w:t>
      </w:r>
      <w:r w:rsidR="004E24C8" w:rsidRPr="00ED7F0F">
        <w:rPr>
          <w:rFonts w:eastAsia="TimesNewRoman"/>
          <w:szCs w:val="22"/>
          <w:lang w:eastAsia="en-US"/>
        </w:rPr>
        <w:t> </w:t>
      </w:r>
      <w:r w:rsidRPr="00ED7F0F">
        <w:rPr>
          <w:rFonts w:eastAsia="TimesNewRoman"/>
          <w:szCs w:val="22"/>
          <w:lang w:eastAsia="en-US"/>
        </w:rPr>
        <w:t>expozíciou dasatinibom. V</w:t>
      </w:r>
      <w:r w:rsidR="004E24C8" w:rsidRPr="00ED7F0F">
        <w:rPr>
          <w:rFonts w:eastAsia="TimesNewRoman"/>
          <w:szCs w:val="22"/>
          <w:lang w:eastAsia="en-US"/>
        </w:rPr>
        <w:t> </w:t>
      </w:r>
      <w:r w:rsidRPr="00ED7F0F">
        <w:rPr>
          <w:rFonts w:eastAsia="TimesNewRoman"/>
          <w:szCs w:val="22"/>
          <w:lang w:eastAsia="en-US"/>
        </w:rPr>
        <w:t>týchto prípadoch sa hlásila PAH po začatí liečby dasatinibom, a to po viac ako jednom roku liečby. Pacienti s</w:t>
      </w:r>
      <w:r w:rsidR="004E24C8" w:rsidRPr="00ED7F0F">
        <w:rPr>
          <w:rFonts w:eastAsia="TimesNewRoman"/>
          <w:szCs w:val="22"/>
          <w:lang w:eastAsia="en-US"/>
        </w:rPr>
        <w:t> </w:t>
      </w:r>
      <w:r w:rsidRPr="00ED7F0F">
        <w:rPr>
          <w:rFonts w:eastAsia="TimesNewRoman"/>
          <w:szCs w:val="22"/>
          <w:lang w:eastAsia="en-US"/>
        </w:rPr>
        <w:t>PAH hlás</w:t>
      </w:r>
      <w:r w:rsidR="00000136" w:rsidRPr="00ED7F0F">
        <w:rPr>
          <w:rFonts w:eastAsia="TimesNewRoman"/>
          <w:szCs w:val="22"/>
          <w:lang w:eastAsia="en-US"/>
        </w:rPr>
        <w:t>enou</w:t>
      </w:r>
      <w:r w:rsidRPr="00ED7F0F">
        <w:rPr>
          <w:rFonts w:eastAsia="TimesNewRoman"/>
          <w:szCs w:val="22"/>
          <w:lang w:eastAsia="en-US"/>
        </w:rPr>
        <w:t xml:space="preserve"> počas liečby dasatinibom čast</w:t>
      </w:r>
      <w:r w:rsidR="00B71F26" w:rsidRPr="00ED7F0F">
        <w:rPr>
          <w:rFonts w:eastAsia="TimesNewRoman"/>
          <w:szCs w:val="22"/>
          <w:lang w:eastAsia="en-US"/>
        </w:rPr>
        <w:t>o</w:t>
      </w:r>
      <w:r w:rsidRPr="00ED7F0F">
        <w:rPr>
          <w:rFonts w:eastAsia="TimesNewRoman"/>
          <w:szCs w:val="22"/>
          <w:lang w:eastAsia="en-US"/>
        </w:rPr>
        <w:t xml:space="preserve"> užíva</w:t>
      </w:r>
      <w:r w:rsidR="00B71F26" w:rsidRPr="00ED7F0F">
        <w:rPr>
          <w:rFonts w:eastAsia="TimesNewRoman"/>
          <w:szCs w:val="22"/>
          <w:lang w:eastAsia="en-US"/>
        </w:rPr>
        <w:t>li</w:t>
      </w:r>
      <w:r w:rsidRPr="00ED7F0F">
        <w:rPr>
          <w:rFonts w:eastAsia="TimesNewRoman"/>
          <w:szCs w:val="22"/>
          <w:lang w:eastAsia="en-US"/>
        </w:rPr>
        <w:t xml:space="preserve"> súbežn</w:t>
      </w:r>
      <w:r w:rsidR="00B71F26" w:rsidRPr="00ED7F0F">
        <w:rPr>
          <w:rFonts w:eastAsia="TimesNewRoman"/>
          <w:szCs w:val="22"/>
          <w:lang w:eastAsia="en-US"/>
        </w:rPr>
        <w:t>e</w:t>
      </w:r>
      <w:r w:rsidRPr="00ED7F0F">
        <w:rPr>
          <w:rFonts w:eastAsia="TimesNewRoman"/>
          <w:szCs w:val="22"/>
          <w:lang w:eastAsia="en-US"/>
        </w:rPr>
        <w:t xml:space="preserve"> liek</w:t>
      </w:r>
      <w:r w:rsidR="00000136" w:rsidRPr="00ED7F0F">
        <w:rPr>
          <w:rFonts w:eastAsia="TimesNewRoman"/>
          <w:szCs w:val="22"/>
          <w:lang w:eastAsia="en-US"/>
        </w:rPr>
        <w:t>y</w:t>
      </w:r>
      <w:r w:rsidRPr="00ED7F0F">
        <w:rPr>
          <w:rFonts w:eastAsia="TimesNewRoman"/>
          <w:szCs w:val="22"/>
          <w:lang w:eastAsia="en-US"/>
        </w:rPr>
        <w:t xml:space="preserve"> alebo mali komorbidity, okrem základného nádorového ochorenia.</w:t>
      </w:r>
    </w:p>
    <w:p w:rsidR="00C36014" w:rsidRPr="00ED7F0F" w:rsidRDefault="00C36014" w:rsidP="00122C9F">
      <w:pPr>
        <w:autoSpaceDE w:val="0"/>
        <w:autoSpaceDN w:val="0"/>
        <w:adjustRightInd w:val="0"/>
        <w:rPr>
          <w:rFonts w:eastAsia="TimesNewRoman"/>
          <w:szCs w:val="22"/>
          <w:lang w:eastAsia="en-US"/>
        </w:rPr>
      </w:pPr>
      <w:r w:rsidRPr="00ED7F0F">
        <w:rPr>
          <w:rFonts w:eastAsia="TimesNewRoman"/>
          <w:szCs w:val="22"/>
          <w:lang w:eastAsia="en-US"/>
        </w:rPr>
        <w:t>Zlepšenie hemodynamických a klinických parametrov sa pozorovalo u pacientov liečených dasatinibom s</w:t>
      </w:r>
      <w:r w:rsidR="004E24C8" w:rsidRPr="00ED7F0F">
        <w:rPr>
          <w:rFonts w:eastAsia="TimesNewRoman"/>
          <w:szCs w:val="22"/>
          <w:lang w:eastAsia="en-US"/>
        </w:rPr>
        <w:t> </w:t>
      </w:r>
      <w:r w:rsidRPr="00ED7F0F">
        <w:rPr>
          <w:rFonts w:eastAsia="TimesNewRoman"/>
          <w:szCs w:val="22"/>
          <w:lang w:eastAsia="en-US"/>
        </w:rPr>
        <w:t>PAH po ukončení liečby dasatinibom.</w:t>
      </w:r>
    </w:p>
    <w:p w:rsidR="00C36014" w:rsidRPr="00ED7F0F" w:rsidRDefault="00C36014" w:rsidP="00122C9F">
      <w:pPr>
        <w:autoSpaceDE w:val="0"/>
        <w:autoSpaceDN w:val="0"/>
        <w:adjustRightInd w:val="0"/>
        <w:rPr>
          <w:rFonts w:eastAsia="TimesNewRoman"/>
          <w:i/>
          <w:iCs/>
          <w:szCs w:val="22"/>
          <w:lang w:eastAsia="en-US"/>
        </w:rPr>
      </w:pPr>
    </w:p>
    <w:p w:rsidR="00C36014" w:rsidRPr="00ED7F0F" w:rsidRDefault="00C36014" w:rsidP="00122C9F">
      <w:pPr>
        <w:autoSpaceDE w:val="0"/>
        <w:autoSpaceDN w:val="0"/>
        <w:adjustRightInd w:val="0"/>
        <w:rPr>
          <w:rFonts w:eastAsia="TimesNewRoman"/>
          <w:i/>
          <w:iCs/>
          <w:szCs w:val="22"/>
          <w:u w:val="single"/>
          <w:lang w:eastAsia="en-US"/>
        </w:rPr>
      </w:pPr>
      <w:r w:rsidRPr="00ED7F0F">
        <w:rPr>
          <w:rFonts w:eastAsia="TimesNewRoman"/>
          <w:i/>
          <w:iCs/>
          <w:szCs w:val="22"/>
          <w:u w:val="single"/>
          <w:lang w:eastAsia="en-US"/>
        </w:rPr>
        <w:t>Predĺženie QT intervalu</w:t>
      </w:r>
    </w:p>
    <w:p w:rsidR="00C36014" w:rsidRPr="00ED7F0F" w:rsidRDefault="00C36014" w:rsidP="00122C9F">
      <w:pPr>
        <w:autoSpaceDE w:val="0"/>
        <w:autoSpaceDN w:val="0"/>
        <w:adjustRightInd w:val="0"/>
        <w:rPr>
          <w:rFonts w:eastAsia="TimesNewRoman"/>
          <w:szCs w:val="22"/>
          <w:lang w:eastAsia="en-US"/>
        </w:rPr>
      </w:pPr>
      <w:r w:rsidRPr="00ED7F0F">
        <w:rPr>
          <w:rFonts w:eastAsia="TimesNewRoman"/>
          <w:szCs w:val="22"/>
          <w:lang w:eastAsia="en-US"/>
        </w:rPr>
        <w:t>V</w:t>
      </w:r>
      <w:r w:rsidR="004E24C8" w:rsidRPr="00ED7F0F">
        <w:rPr>
          <w:rFonts w:eastAsia="TimesNewRoman"/>
          <w:szCs w:val="22"/>
          <w:lang w:eastAsia="en-US"/>
        </w:rPr>
        <w:t> </w:t>
      </w:r>
      <w:r w:rsidRPr="00ED7F0F">
        <w:rPr>
          <w:rFonts w:eastAsia="TimesNewRoman"/>
          <w:szCs w:val="22"/>
          <w:lang w:eastAsia="en-US"/>
        </w:rPr>
        <w:t>štúdii fázy III s</w:t>
      </w:r>
      <w:r w:rsidR="004E24C8" w:rsidRPr="00ED7F0F">
        <w:rPr>
          <w:rFonts w:eastAsia="TimesNewRoman"/>
          <w:szCs w:val="22"/>
          <w:lang w:eastAsia="en-US"/>
        </w:rPr>
        <w:t> </w:t>
      </w:r>
      <w:r w:rsidRPr="00ED7F0F">
        <w:rPr>
          <w:rFonts w:eastAsia="TimesNewRoman"/>
          <w:szCs w:val="22"/>
          <w:lang w:eastAsia="en-US"/>
        </w:rPr>
        <w:t>pacientmi s</w:t>
      </w:r>
      <w:r w:rsidR="004E24C8" w:rsidRPr="00ED7F0F">
        <w:rPr>
          <w:rFonts w:eastAsia="TimesNewRoman"/>
          <w:szCs w:val="22"/>
          <w:lang w:eastAsia="en-US"/>
        </w:rPr>
        <w:t> </w:t>
      </w:r>
      <w:r w:rsidRPr="00ED7F0F">
        <w:rPr>
          <w:rFonts w:eastAsia="TimesNewRoman"/>
          <w:szCs w:val="22"/>
          <w:lang w:eastAsia="en-US"/>
        </w:rPr>
        <w:t>novodiagnostikovanou chronickou fázou CML, jeden pacient (&lt; 1 %) z</w:t>
      </w:r>
      <w:r w:rsidR="004E24C8" w:rsidRPr="00ED7F0F">
        <w:rPr>
          <w:rFonts w:eastAsia="TimesNewRoman"/>
          <w:szCs w:val="22"/>
          <w:lang w:eastAsia="en-US"/>
        </w:rPr>
        <w:t> </w:t>
      </w:r>
      <w:r w:rsidRPr="00ED7F0F">
        <w:rPr>
          <w:rFonts w:eastAsia="TimesNewRoman"/>
          <w:szCs w:val="22"/>
          <w:lang w:eastAsia="en-US"/>
        </w:rPr>
        <w:t>pacientov liečených dasatinibom mal QTcF &gt; 500 ms po minimálne 12</w:t>
      </w:r>
      <w:r w:rsidR="004E24C8" w:rsidRPr="00ED7F0F">
        <w:rPr>
          <w:rFonts w:eastAsia="TimesNewRoman"/>
          <w:szCs w:val="22"/>
          <w:lang w:eastAsia="en-US"/>
        </w:rPr>
        <w:t> </w:t>
      </w:r>
      <w:r w:rsidRPr="00ED7F0F">
        <w:rPr>
          <w:rFonts w:eastAsia="TimesNewRoman"/>
          <w:szCs w:val="22"/>
          <w:lang w:eastAsia="en-US"/>
        </w:rPr>
        <w:t>mesiacoch následného sledovania (pozri časť</w:t>
      </w:r>
      <w:r w:rsidR="004E24C8" w:rsidRPr="00ED7F0F">
        <w:rPr>
          <w:rFonts w:eastAsia="TimesNewRoman"/>
          <w:szCs w:val="22"/>
          <w:lang w:eastAsia="en-US"/>
        </w:rPr>
        <w:t> </w:t>
      </w:r>
      <w:r w:rsidRPr="00ED7F0F">
        <w:rPr>
          <w:rFonts w:eastAsia="TimesNewRoman"/>
          <w:szCs w:val="22"/>
          <w:lang w:eastAsia="en-US"/>
        </w:rPr>
        <w:t>4.4). Po minimálne 60</w:t>
      </w:r>
      <w:r w:rsidR="004E24C8" w:rsidRPr="00ED7F0F">
        <w:rPr>
          <w:rFonts w:eastAsia="TimesNewRoman"/>
          <w:szCs w:val="22"/>
          <w:lang w:eastAsia="en-US"/>
        </w:rPr>
        <w:t> </w:t>
      </w:r>
      <w:r w:rsidRPr="00ED7F0F">
        <w:rPr>
          <w:rFonts w:eastAsia="TimesNewRoman"/>
          <w:szCs w:val="22"/>
          <w:lang w:eastAsia="en-US"/>
        </w:rPr>
        <w:t>mesiacoch následného sledovania sa u</w:t>
      </w:r>
      <w:r w:rsidR="004E24C8" w:rsidRPr="00ED7F0F">
        <w:rPr>
          <w:rFonts w:eastAsia="TimesNewRoman"/>
          <w:szCs w:val="22"/>
          <w:lang w:eastAsia="en-US"/>
        </w:rPr>
        <w:t> </w:t>
      </w:r>
      <w:r w:rsidRPr="00ED7F0F">
        <w:rPr>
          <w:rFonts w:eastAsia="TimesNewRoman"/>
          <w:szCs w:val="22"/>
          <w:lang w:eastAsia="en-US"/>
        </w:rPr>
        <w:t>žiadnych ďalších pacientov nehlásilo, že mali QTcF &gt; 500 ms.</w:t>
      </w:r>
    </w:p>
    <w:p w:rsidR="00C36014" w:rsidRPr="00ED7F0F" w:rsidRDefault="00C36014" w:rsidP="00122C9F">
      <w:pPr>
        <w:autoSpaceDE w:val="0"/>
        <w:autoSpaceDN w:val="0"/>
        <w:adjustRightInd w:val="0"/>
        <w:rPr>
          <w:rFonts w:eastAsia="TimesNewRoman"/>
          <w:szCs w:val="22"/>
          <w:lang w:eastAsia="en-US"/>
        </w:rPr>
      </w:pPr>
      <w:r w:rsidRPr="00ED7F0F">
        <w:rPr>
          <w:rFonts w:eastAsia="TimesNewRoman"/>
          <w:szCs w:val="22"/>
          <w:lang w:eastAsia="en-US"/>
        </w:rPr>
        <w:t>V</w:t>
      </w:r>
      <w:r w:rsidR="004E24C8" w:rsidRPr="00ED7F0F">
        <w:rPr>
          <w:rFonts w:eastAsia="TimesNewRoman"/>
          <w:szCs w:val="22"/>
          <w:lang w:eastAsia="en-US"/>
        </w:rPr>
        <w:t> </w:t>
      </w:r>
      <w:r w:rsidRPr="00ED7F0F">
        <w:rPr>
          <w:rFonts w:eastAsia="TimesNewRoman"/>
          <w:szCs w:val="22"/>
          <w:lang w:eastAsia="en-US"/>
        </w:rPr>
        <w:t>5</w:t>
      </w:r>
      <w:r w:rsidR="004E24C8" w:rsidRPr="00ED7F0F">
        <w:rPr>
          <w:rFonts w:eastAsia="TimesNewRoman"/>
          <w:szCs w:val="22"/>
          <w:lang w:eastAsia="en-US"/>
        </w:rPr>
        <w:t> </w:t>
      </w:r>
      <w:r w:rsidRPr="00ED7F0F">
        <w:rPr>
          <w:rFonts w:eastAsia="TimesNewRoman"/>
          <w:szCs w:val="22"/>
          <w:lang w:eastAsia="en-US"/>
        </w:rPr>
        <w:t>klinických štúdiách fázy II s</w:t>
      </w:r>
      <w:r w:rsidR="004E24C8" w:rsidRPr="00ED7F0F">
        <w:rPr>
          <w:rFonts w:eastAsia="TimesNewRoman"/>
          <w:szCs w:val="22"/>
          <w:lang w:eastAsia="en-US"/>
        </w:rPr>
        <w:t> </w:t>
      </w:r>
      <w:r w:rsidRPr="00ED7F0F">
        <w:rPr>
          <w:rFonts w:eastAsia="TimesNewRoman"/>
          <w:szCs w:val="22"/>
          <w:lang w:eastAsia="en-US"/>
        </w:rPr>
        <w:t>pacientmi s</w:t>
      </w:r>
      <w:r w:rsidR="004E24C8" w:rsidRPr="00ED7F0F">
        <w:rPr>
          <w:rFonts w:eastAsia="TimesNewRoman"/>
          <w:szCs w:val="22"/>
          <w:lang w:eastAsia="en-US"/>
        </w:rPr>
        <w:t> </w:t>
      </w:r>
      <w:r w:rsidRPr="00ED7F0F">
        <w:rPr>
          <w:rFonts w:eastAsia="TimesNewRoman"/>
          <w:szCs w:val="22"/>
          <w:lang w:eastAsia="en-US"/>
        </w:rPr>
        <w:t>rezistenciou alebo intoleranciou na predchádzajúcu liečbu imatinibom, sa vykonalo opakované EKG</w:t>
      </w:r>
      <w:r w:rsidR="00B71F26" w:rsidRPr="00ED7F0F">
        <w:rPr>
          <w:rFonts w:eastAsia="TimesNewRoman"/>
          <w:szCs w:val="22"/>
          <w:lang w:eastAsia="en-US"/>
        </w:rPr>
        <w:t xml:space="preserve"> na začiatku</w:t>
      </w:r>
      <w:r w:rsidRPr="00ED7F0F">
        <w:rPr>
          <w:rFonts w:eastAsia="TimesNewRoman"/>
          <w:szCs w:val="22"/>
          <w:lang w:eastAsia="en-US"/>
        </w:rPr>
        <w:t xml:space="preserve"> a aj počas liečby vo vopred určených časových intervaloch</w:t>
      </w:r>
      <w:r w:rsidR="00B71F26" w:rsidRPr="00ED7F0F">
        <w:rPr>
          <w:rFonts w:eastAsia="TimesNewRoman"/>
          <w:szCs w:val="22"/>
          <w:lang w:eastAsia="en-US"/>
        </w:rPr>
        <w:t>,</w:t>
      </w:r>
      <w:r w:rsidRPr="00ED7F0F">
        <w:rPr>
          <w:rFonts w:eastAsia="TimesNewRoman"/>
          <w:szCs w:val="22"/>
          <w:lang w:eastAsia="en-US"/>
        </w:rPr>
        <w:t xml:space="preserve"> </w:t>
      </w:r>
      <w:r w:rsidR="00B71F26" w:rsidRPr="00ED7F0F">
        <w:rPr>
          <w:rFonts w:eastAsia="TimesNewRoman"/>
          <w:szCs w:val="22"/>
          <w:lang w:eastAsia="en-US"/>
        </w:rPr>
        <w:t xml:space="preserve">vyhodnotené </w:t>
      </w:r>
      <w:r w:rsidRPr="00ED7F0F">
        <w:rPr>
          <w:rFonts w:eastAsia="TimesNewRoman"/>
          <w:szCs w:val="22"/>
          <w:lang w:eastAsia="en-US"/>
        </w:rPr>
        <w:t>centrálne pre 865</w:t>
      </w:r>
      <w:r w:rsidR="004E24C8" w:rsidRPr="00ED7F0F">
        <w:rPr>
          <w:rFonts w:eastAsia="TimesNewRoman"/>
          <w:szCs w:val="22"/>
          <w:lang w:eastAsia="en-US"/>
        </w:rPr>
        <w:t> </w:t>
      </w:r>
      <w:r w:rsidRPr="00ED7F0F">
        <w:rPr>
          <w:rFonts w:eastAsia="TimesNewRoman"/>
          <w:szCs w:val="22"/>
          <w:lang w:eastAsia="en-US"/>
        </w:rPr>
        <w:t>pacientov liečených dasatinibom70 mg dvakrát denne. Interval QT bol korigovaný podľa srdcovej frekvencie pomocou Fridericiovej metódy. Vo všetkých časových intervaloch po dávke na 8. deň boli priemerné zmeny oproti východiskovej hodnote intervalu QTcF 4 – 6 ms, s</w:t>
      </w:r>
      <w:r w:rsidR="00B71F26" w:rsidRPr="00ED7F0F">
        <w:rPr>
          <w:rFonts w:eastAsia="TimesNewRoman"/>
          <w:szCs w:val="22"/>
          <w:lang w:eastAsia="en-US"/>
        </w:rPr>
        <w:t>o súvisiacim</w:t>
      </w:r>
      <w:r w:rsidRPr="00ED7F0F">
        <w:rPr>
          <w:rFonts w:eastAsia="TimesNewRoman"/>
          <w:szCs w:val="22"/>
          <w:lang w:eastAsia="en-US"/>
        </w:rPr>
        <w:t xml:space="preserve"> horným 95 % intervalom spoľahlivosti &lt; 7 ms. Z</w:t>
      </w:r>
      <w:r w:rsidR="004E24C8" w:rsidRPr="00ED7F0F">
        <w:rPr>
          <w:rFonts w:eastAsia="TimesNewRoman"/>
          <w:szCs w:val="22"/>
          <w:lang w:eastAsia="en-US"/>
        </w:rPr>
        <w:t> </w:t>
      </w:r>
      <w:r w:rsidRPr="00ED7F0F">
        <w:rPr>
          <w:rFonts w:eastAsia="TimesNewRoman"/>
          <w:szCs w:val="22"/>
          <w:lang w:eastAsia="en-US"/>
        </w:rPr>
        <w:t>2182 pacientov s</w:t>
      </w:r>
      <w:r w:rsidR="004E24C8" w:rsidRPr="00ED7F0F">
        <w:rPr>
          <w:rFonts w:eastAsia="TimesNewRoman"/>
          <w:szCs w:val="22"/>
          <w:lang w:eastAsia="en-US"/>
        </w:rPr>
        <w:t> </w:t>
      </w:r>
      <w:r w:rsidRPr="00ED7F0F">
        <w:rPr>
          <w:rFonts w:eastAsia="TimesNewRoman"/>
          <w:szCs w:val="22"/>
          <w:lang w:eastAsia="en-US"/>
        </w:rPr>
        <w:t>rezistenciou alebo intoleranciou na predchádzajúcu liečbu imatinibom, ktorí v</w:t>
      </w:r>
      <w:r w:rsidR="004E24C8" w:rsidRPr="00ED7F0F">
        <w:rPr>
          <w:rFonts w:eastAsia="TimesNewRoman"/>
          <w:szCs w:val="22"/>
          <w:lang w:eastAsia="en-US"/>
        </w:rPr>
        <w:t> </w:t>
      </w:r>
      <w:r w:rsidRPr="00ED7F0F">
        <w:rPr>
          <w:rFonts w:eastAsia="TimesNewRoman"/>
          <w:szCs w:val="22"/>
          <w:lang w:eastAsia="en-US"/>
        </w:rPr>
        <w:t>klinických štúdiách užívali dasatinib, 15 (1 %) pacientov hlásilo predĺženie QTc ako nežiaducu reakciu. Dvadsaťjeden pacientov (1 %) malo QTcF &gt; 500 ms (pozri časť 4.4).</w:t>
      </w:r>
    </w:p>
    <w:p w:rsidR="00C36014" w:rsidRPr="00ED7F0F" w:rsidRDefault="00C36014" w:rsidP="00122C9F">
      <w:pPr>
        <w:autoSpaceDE w:val="0"/>
        <w:autoSpaceDN w:val="0"/>
        <w:adjustRightInd w:val="0"/>
        <w:rPr>
          <w:rFonts w:eastAsia="TimesNewRoman"/>
          <w:i/>
          <w:iCs/>
          <w:szCs w:val="22"/>
          <w:lang w:eastAsia="en-US"/>
        </w:rPr>
      </w:pPr>
    </w:p>
    <w:p w:rsidR="00C36014" w:rsidRPr="00ED7F0F" w:rsidRDefault="00C36014" w:rsidP="00122C9F">
      <w:pPr>
        <w:autoSpaceDE w:val="0"/>
        <w:autoSpaceDN w:val="0"/>
        <w:adjustRightInd w:val="0"/>
        <w:rPr>
          <w:rFonts w:eastAsia="TimesNewRoman"/>
          <w:i/>
          <w:iCs/>
          <w:szCs w:val="22"/>
          <w:u w:val="single"/>
          <w:lang w:eastAsia="en-US"/>
        </w:rPr>
      </w:pPr>
      <w:r w:rsidRPr="00ED7F0F">
        <w:rPr>
          <w:rFonts w:eastAsia="TimesNewRoman"/>
          <w:i/>
          <w:iCs/>
          <w:szCs w:val="22"/>
          <w:u w:val="single"/>
          <w:lang w:eastAsia="en-US"/>
        </w:rPr>
        <w:t>Nežiaduce reakcie na srdce</w:t>
      </w:r>
    </w:p>
    <w:p w:rsidR="00C36014" w:rsidRPr="00ED7F0F" w:rsidRDefault="00C36014" w:rsidP="00122C9F">
      <w:pPr>
        <w:autoSpaceDE w:val="0"/>
        <w:autoSpaceDN w:val="0"/>
        <w:adjustRightInd w:val="0"/>
        <w:rPr>
          <w:rFonts w:eastAsia="TimesNewRoman"/>
          <w:szCs w:val="22"/>
          <w:lang w:eastAsia="en-US"/>
        </w:rPr>
      </w:pPr>
      <w:r w:rsidRPr="00ED7F0F">
        <w:rPr>
          <w:rFonts w:eastAsia="TimesNewRoman"/>
          <w:szCs w:val="22"/>
          <w:lang w:eastAsia="en-US"/>
        </w:rPr>
        <w:t>Pacienti s</w:t>
      </w:r>
      <w:r w:rsidR="004E24C8" w:rsidRPr="00ED7F0F">
        <w:rPr>
          <w:rFonts w:eastAsia="TimesNewRoman"/>
          <w:szCs w:val="22"/>
          <w:lang w:eastAsia="en-US"/>
        </w:rPr>
        <w:t> </w:t>
      </w:r>
      <w:r w:rsidRPr="00ED7F0F">
        <w:rPr>
          <w:rFonts w:eastAsia="TimesNewRoman"/>
          <w:szCs w:val="22"/>
          <w:lang w:eastAsia="en-US"/>
        </w:rPr>
        <w:t>rizikovými faktormi alebo srdcovým ochorením v</w:t>
      </w:r>
      <w:r w:rsidR="004E24C8" w:rsidRPr="00ED7F0F">
        <w:rPr>
          <w:rFonts w:eastAsia="TimesNewRoman"/>
          <w:szCs w:val="22"/>
          <w:lang w:eastAsia="en-US"/>
        </w:rPr>
        <w:t> </w:t>
      </w:r>
      <w:r w:rsidRPr="00ED7F0F">
        <w:rPr>
          <w:rFonts w:eastAsia="TimesNewRoman"/>
          <w:szCs w:val="22"/>
          <w:lang w:eastAsia="en-US"/>
        </w:rPr>
        <w:t xml:space="preserve">anamnéze, majú byť starostlivo sledovaní pre prejavy alebo príznaky </w:t>
      </w:r>
      <w:r w:rsidR="00B71F26" w:rsidRPr="00ED7F0F">
        <w:rPr>
          <w:rFonts w:eastAsia="TimesNewRoman"/>
          <w:szCs w:val="22"/>
          <w:lang w:eastAsia="en-US"/>
        </w:rPr>
        <w:t>zodpovedajúce</w:t>
      </w:r>
      <w:r w:rsidRPr="00ED7F0F">
        <w:rPr>
          <w:rFonts w:eastAsia="TimesNewRoman"/>
          <w:szCs w:val="22"/>
          <w:lang w:eastAsia="en-US"/>
        </w:rPr>
        <w:t xml:space="preserve"> srdcov</w:t>
      </w:r>
      <w:r w:rsidR="00B71F26" w:rsidRPr="00ED7F0F">
        <w:rPr>
          <w:rFonts w:eastAsia="TimesNewRoman"/>
          <w:szCs w:val="22"/>
          <w:lang w:eastAsia="en-US"/>
        </w:rPr>
        <w:t>ej</w:t>
      </w:r>
      <w:r w:rsidRPr="00ED7F0F">
        <w:rPr>
          <w:rFonts w:eastAsia="TimesNewRoman"/>
          <w:szCs w:val="22"/>
          <w:lang w:eastAsia="en-US"/>
        </w:rPr>
        <w:t xml:space="preserve"> dysfunkc</w:t>
      </w:r>
      <w:r w:rsidR="00B71F26" w:rsidRPr="00ED7F0F">
        <w:rPr>
          <w:rFonts w:eastAsia="TimesNewRoman"/>
          <w:szCs w:val="22"/>
          <w:lang w:eastAsia="en-US"/>
        </w:rPr>
        <w:t>ii</w:t>
      </w:r>
      <w:r w:rsidRPr="00ED7F0F">
        <w:rPr>
          <w:rFonts w:eastAsia="TimesNewRoman"/>
          <w:szCs w:val="22"/>
          <w:lang w:eastAsia="en-US"/>
        </w:rPr>
        <w:t xml:space="preserve"> a majú byť posúdení a</w:t>
      </w:r>
      <w:r w:rsidR="004E24C8" w:rsidRPr="00ED7F0F">
        <w:rPr>
          <w:rFonts w:eastAsia="TimesNewRoman"/>
          <w:szCs w:val="22"/>
          <w:lang w:eastAsia="en-US"/>
        </w:rPr>
        <w:t> </w:t>
      </w:r>
      <w:r w:rsidRPr="00ED7F0F">
        <w:rPr>
          <w:rFonts w:eastAsia="TimesNewRoman"/>
          <w:szCs w:val="22"/>
          <w:lang w:eastAsia="en-US"/>
        </w:rPr>
        <w:t>primerane liečení (pozri časť</w:t>
      </w:r>
      <w:r w:rsidR="004E24C8" w:rsidRPr="00ED7F0F">
        <w:rPr>
          <w:rFonts w:eastAsia="TimesNewRoman"/>
          <w:szCs w:val="22"/>
          <w:lang w:eastAsia="en-US"/>
        </w:rPr>
        <w:t> </w:t>
      </w:r>
      <w:r w:rsidRPr="00ED7F0F">
        <w:rPr>
          <w:rFonts w:eastAsia="TimesNewRoman"/>
          <w:szCs w:val="22"/>
          <w:lang w:eastAsia="en-US"/>
        </w:rPr>
        <w:t>4.4).</w:t>
      </w:r>
    </w:p>
    <w:p w:rsidR="00C36014" w:rsidRPr="00ED7F0F" w:rsidRDefault="00C36014" w:rsidP="00122C9F">
      <w:pPr>
        <w:autoSpaceDE w:val="0"/>
        <w:autoSpaceDN w:val="0"/>
        <w:adjustRightInd w:val="0"/>
        <w:rPr>
          <w:rFonts w:eastAsia="TimesNewRoman"/>
          <w:i/>
          <w:iCs/>
          <w:szCs w:val="22"/>
          <w:lang w:eastAsia="en-US"/>
        </w:rPr>
      </w:pPr>
    </w:p>
    <w:p w:rsidR="00C36014" w:rsidRPr="00ED7F0F" w:rsidRDefault="00C36014" w:rsidP="00122C9F">
      <w:pPr>
        <w:autoSpaceDE w:val="0"/>
        <w:autoSpaceDN w:val="0"/>
        <w:adjustRightInd w:val="0"/>
        <w:rPr>
          <w:rFonts w:eastAsia="TimesNewRoman"/>
          <w:i/>
          <w:iCs/>
          <w:szCs w:val="22"/>
          <w:u w:val="single"/>
          <w:lang w:eastAsia="en-US"/>
        </w:rPr>
      </w:pPr>
      <w:r w:rsidRPr="00ED7F0F">
        <w:rPr>
          <w:rFonts w:eastAsia="TimesNewRoman"/>
          <w:i/>
          <w:iCs/>
          <w:szCs w:val="22"/>
          <w:u w:val="single"/>
          <w:lang w:eastAsia="en-US"/>
        </w:rPr>
        <w:t>Reaktivácia hepatitídy B</w:t>
      </w:r>
    </w:p>
    <w:p w:rsidR="00C36014" w:rsidRPr="00ED7F0F" w:rsidRDefault="00C36014" w:rsidP="00122C9F">
      <w:pPr>
        <w:autoSpaceDE w:val="0"/>
        <w:autoSpaceDN w:val="0"/>
        <w:adjustRightInd w:val="0"/>
        <w:rPr>
          <w:rFonts w:eastAsia="TimesNewRoman"/>
          <w:szCs w:val="22"/>
          <w:lang w:eastAsia="en-US"/>
        </w:rPr>
      </w:pPr>
      <w:r w:rsidRPr="00ED7F0F">
        <w:rPr>
          <w:rFonts w:eastAsia="TimesNewRoman"/>
          <w:szCs w:val="22"/>
          <w:lang w:eastAsia="en-US"/>
        </w:rPr>
        <w:t>V</w:t>
      </w:r>
      <w:r w:rsidR="004E24C8" w:rsidRPr="00ED7F0F">
        <w:rPr>
          <w:rFonts w:eastAsia="TimesNewRoman"/>
          <w:szCs w:val="22"/>
          <w:lang w:eastAsia="en-US"/>
        </w:rPr>
        <w:t> </w:t>
      </w:r>
      <w:r w:rsidRPr="00ED7F0F">
        <w:rPr>
          <w:rFonts w:eastAsia="TimesNewRoman"/>
          <w:szCs w:val="22"/>
          <w:lang w:eastAsia="en-US"/>
        </w:rPr>
        <w:t>súvislosti s</w:t>
      </w:r>
      <w:r w:rsidR="004E24C8" w:rsidRPr="00ED7F0F">
        <w:rPr>
          <w:rFonts w:eastAsia="TimesNewRoman"/>
          <w:szCs w:val="22"/>
          <w:lang w:eastAsia="en-US"/>
        </w:rPr>
        <w:t> </w:t>
      </w:r>
      <w:r w:rsidRPr="00ED7F0F">
        <w:rPr>
          <w:rFonts w:eastAsia="TimesNewRoman"/>
          <w:szCs w:val="22"/>
          <w:lang w:eastAsia="en-US"/>
        </w:rPr>
        <w:t>inhibítormi BCR-ABL-tyrozínkinázy bola hlásená reaktivácia hepatitídy B. Niektoré prípady viedli k</w:t>
      </w:r>
      <w:r w:rsidR="004E24C8" w:rsidRPr="00ED7F0F">
        <w:rPr>
          <w:rFonts w:eastAsia="TimesNewRoman"/>
          <w:szCs w:val="22"/>
          <w:lang w:eastAsia="en-US"/>
        </w:rPr>
        <w:t> </w:t>
      </w:r>
      <w:r w:rsidRPr="00ED7F0F">
        <w:rPr>
          <w:rFonts w:eastAsia="TimesNewRoman"/>
          <w:szCs w:val="22"/>
          <w:lang w:eastAsia="en-US"/>
        </w:rPr>
        <w:t>akútnemu zlyhaniu pečene alebo k fulminantnej hepatitíde, ktorých výsledkom bola transplantácia pečene alebo úmrtie (pozri časť</w:t>
      </w:r>
      <w:r w:rsidR="004E24C8" w:rsidRPr="00ED7F0F">
        <w:rPr>
          <w:rFonts w:eastAsia="TimesNewRoman"/>
          <w:szCs w:val="22"/>
          <w:lang w:eastAsia="en-US"/>
        </w:rPr>
        <w:t> </w:t>
      </w:r>
      <w:r w:rsidRPr="00ED7F0F">
        <w:rPr>
          <w:rFonts w:eastAsia="TimesNewRoman"/>
          <w:szCs w:val="22"/>
          <w:lang w:eastAsia="en-US"/>
        </w:rPr>
        <w:t>4.4).</w:t>
      </w:r>
    </w:p>
    <w:p w:rsidR="00C36014" w:rsidRPr="00ED7F0F" w:rsidRDefault="00C36014" w:rsidP="00122C9F">
      <w:pPr>
        <w:autoSpaceDE w:val="0"/>
        <w:autoSpaceDN w:val="0"/>
        <w:adjustRightInd w:val="0"/>
        <w:rPr>
          <w:rFonts w:eastAsia="TimesNewRoman"/>
          <w:szCs w:val="22"/>
          <w:lang w:eastAsia="en-US"/>
        </w:rPr>
      </w:pPr>
    </w:p>
    <w:p w:rsidR="004E24C8" w:rsidRPr="00ED7F0F" w:rsidRDefault="00C36014" w:rsidP="00122C9F">
      <w:pPr>
        <w:autoSpaceDE w:val="0"/>
        <w:autoSpaceDN w:val="0"/>
        <w:adjustRightInd w:val="0"/>
        <w:rPr>
          <w:rFonts w:eastAsia="TimesNewRoman"/>
          <w:szCs w:val="22"/>
          <w:lang w:eastAsia="en-US"/>
        </w:rPr>
      </w:pPr>
      <w:r w:rsidRPr="00ED7F0F">
        <w:rPr>
          <w:rFonts w:eastAsia="TimesNewRoman"/>
          <w:szCs w:val="22"/>
          <w:lang w:eastAsia="en-US"/>
        </w:rPr>
        <w:t>V</w:t>
      </w:r>
      <w:r w:rsidR="004E24C8" w:rsidRPr="00ED7F0F">
        <w:rPr>
          <w:rFonts w:eastAsia="TimesNewRoman"/>
          <w:szCs w:val="22"/>
          <w:lang w:eastAsia="en-US"/>
        </w:rPr>
        <w:t> </w:t>
      </w:r>
      <w:r w:rsidRPr="00ED7F0F">
        <w:rPr>
          <w:rFonts w:eastAsia="TimesNewRoman"/>
          <w:szCs w:val="22"/>
          <w:lang w:eastAsia="en-US"/>
        </w:rPr>
        <w:t>klinickej štúdii fázy III</w:t>
      </w:r>
      <w:r w:rsidR="00617AA8" w:rsidRPr="00ED7F0F">
        <w:rPr>
          <w:rFonts w:eastAsia="TimesNewRoman"/>
          <w:szCs w:val="22"/>
          <w:lang w:eastAsia="en-US"/>
        </w:rPr>
        <w:t xml:space="preserve"> optimalizácie dávky</w:t>
      </w:r>
      <w:r w:rsidRPr="00ED7F0F">
        <w:rPr>
          <w:rFonts w:eastAsia="TimesNewRoman"/>
          <w:szCs w:val="22"/>
          <w:lang w:eastAsia="en-US"/>
        </w:rPr>
        <w:t xml:space="preserve"> s</w:t>
      </w:r>
      <w:r w:rsidR="004E24C8" w:rsidRPr="00ED7F0F">
        <w:rPr>
          <w:rFonts w:eastAsia="TimesNewRoman"/>
          <w:szCs w:val="22"/>
          <w:lang w:eastAsia="en-US"/>
        </w:rPr>
        <w:t> </w:t>
      </w:r>
      <w:r w:rsidRPr="00ED7F0F">
        <w:rPr>
          <w:rFonts w:eastAsia="TimesNewRoman"/>
          <w:szCs w:val="22"/>
          <w:lang w:eastAsia="en-US"/>
        </w:rPr>
        <w:t>pacientmi s</w:t>
      </w:r>
      <w:r w:rsidR="004E24C8" w:rsidRPr="00ED7F0F">
        <w:rPr>
          <w:rFonts w:eastAsia="TimesNewRoman"/>
          <w:szCs w:val="22"/>
          <w:lang w:eastAsia="en-US"/>
        </w:rPr>
        <w:t> </w:t>
      </w:r>
      <w:r w:rsidRPr="00ED7F0F">
        <w:rPr>
          <w:rFonts w:eastAsia="TimesNewRoman"/>
          <w:szCs w:val="22"/>
          <w:lang w:eastAsia="en-US"/>
        </w:rPr>
        <w:t>chronickou fázou CML s</w:t>
      </w:r>
      <w:r w:rsidR="004E24C8" w:rsidRPr="00ED7F0F">
        <w:rPr>
          <w:rFonts w:eastAsia="TimesNewRoman"/>
          <w:szCs w:val="22"/>
          <w:lang w:eastAsia="en-US"/>
        </w:rPr>
        <w:t> </w:t>
      </w:r>
      <w:r w:rsidRPr="00ED7F0F">
        <w:rPr>
          <w:rFonts w:eastAsia="TimesNewRoman"/>
          <w:szCs w:val="22"/>
          <w:lang w:eastAsia="en-US"/>
        </w:rPr>
        <w:t>rezistenciou alebo intoleranciou na predošlú liečbu imatinibom (medián trvania liečby 30 mesiacov) bol výskyt pleurálneho výpotku a kongestívneho srdcového zlyhávania/srdcovej dysfunkcie nižší u</w:t>
      </w:r>
      <w:r w:rsidR="004E24C8" w:rsidRPr="00ED7F0F">
        <w:rPr>
          <w:rFonts w:eastAsia="TimesNewRoman"/>
          <w:szCs w:val="22"/>
          <w:lang w:eastAsia="en-US"/>
        </w:rPr>
        <w:t> </w:t>
      </w:r>
      <w:r w:rsidRPr="00ED7F0F">
        <w:rPr>
          <w:rFonts w:eastAsia="TimesNewRoman"/>
          <w:szCs w:val="22"/>
          <w:lang w:eastAsia="en-US"/>
        </w:rPr>
        <w:t>pacientov liečených dasatinibom dávkou 100 mg jedenkrát denne ako u</w:t>
      </w:r>
      <w:r w:rsidR="004E24C8" w:rsidRPr="00ED7F0F">
        <w:rPr>
          <w:rFonts w:eastAsia="TimesNewRoman"/>
          <w:szCs w:val="22"/>
          <w:lang w:eastAsia="en-US"/>
        </w:rPr>
        <w:t> </w:t>
      </w:r>
      <w:r w:rsidRPr="00ED7F0F">
        <w:rPr>
          <w:rFonts w:eastAsia="TimesNewRoman"/>
          <w:szCs w:val="22"/>
          <w:lang w:eastAsia="en-US"/>
        </w:rPr>
        <w:t>pacientov liečených dasatinibom dávkou 70 mg dvakrát denne.</w:t>
      </w:r>
    </w:p>
    <w:p w:rsidR="00C36014" w:rsidRPr="00ED7F0F" w:rsidRDefault="00C36014" w:rsidP="00122C9F">
      <w:pPr>
        <w:autoSpaceDE w:val="0"/>
        <w:autoSpaceDN w:val="0"/>
        <w:adjustRightInd w:val="0"/>
        <w:rPr>
          <w:color w:val="000000"/>
          <w:szCs w:val="22"/>
        </w:rPr>
      </w:pPr>
      <w:r w:rsidRPr="00ED7F0F">
        <w:rPr>
          <w:rFonts w:eastAsia="TimesNewRoman"/>
          <w:szCs w:val="22"/>
          <w:lang w:eastAsia="en-US"/>
        </w:rPr>
        <w:t>Myelosupresia sa vyskytla tiež menej často v</w:t>
      </w:r>
      <w:r w:rsidR="004E24C8" w:rsidRPr="00ED7F0F">
        <w:rPr>
          <w:rFonts w:eastAsia="TimesNewRoman"/>
          <w:szCs w:val="22"/>
          <w:lang w:eastAsia="en-US"/>
        </w:rPr>
        <w:t> </w:t>
      </w:r>
      <w:r w:rsidRPr="00ED7F0F">
        <w:rPr>
          <w:rFonts w:eastAsia="TimesNewRoman"/>
          <w:szCs w:val="22"/>
          <w:lang w:eastAsia="en-US"/>
        </w:rPr>
        <w:t>skupine liečenej dávkou 100 mg jedenkrát denne (pozri Abnormality laboratórnych testov nižšie). Medián trvania liečby v skupine so 100 mg jedenkrát denne bol 37</w:t>
      </w:r>
      <w:r w:rsidR="004E24C8" w:rsidRPr="00ED7F0F">
        <w:rPr>
          <w:rFonts w:eastAsia="TimesNewRoman"/>
          <w:szCs w:val="22"/>
          <w:lang w:eastAsia="en-US"/>
        </w:rPr>
        <w:t> </w:t>
      </w:r>
      <w:r w:rsidRPr="00ED7F0F">
        <w:rPr>
          <w:rFonts w:eastAsia="TimesNewRoman"/>
          <w:szCs w:val="22"/>
          <w:lang w:eastAsia="en-US"/>
        </w:rPr>
        <w:t>mesiacov (rozsah 1 </w:t>
      </w:r>
      <w:r w:rsidRPr="00ED7F0F">
        <w:rPr>
          <w:rFonts w:eastAsia="TimesNewRoman"/>
          <w:szCs w:val="22"/>
          <w:lang w:eastAsia="en-US"/>
        </w:rPr>
        <w:noBreakHyphen/>
        <w:t xml:space="preserve"> 91 mesiacov). Kumulatívny výskyt vybraných nežiaducich reakcií, ktoré sa hlásili pri odporúčanej začiatočnej dávke 100 mg jedenkrát denne sú uvedené v </w:t>
      </w:r>
      <w:r w:rsidR="004E24C8" w:rsidRPr="00ED7F0F">
        <w:rPr>
          <w:rFonts w:eastAsia="TimesNewRoman"/>
          <w:szCs w:val="22"/>
          <w:lang w:eastAsia="en-US"/>
        </w:rPr>
        <w:t>t</w:t>
      </w:r>
      <w:r w:rsidRPr="00ED7F0F">
        <w:rPr>
          <w:rFonts w:eastAsia="TimesNewRoman"/>
          <w:szCs w:val="22"/>
          <w:lang w:eastAsia="en-US"/>
        </w:rPr>
        <w:t xml:space="preserve">abuľke </w:t>
      </w:r>
      <w:r w:rsidR="004E24C8" w:rsidRPr="00ED7F0F">
        <w:rPr>
          <w:rFonts w:eastAsia="TimesNewRoman"/>
          <w:szCs w:val="22"/>
          <w:lang w:eastAsia="en-US"/>
        </w:rPr>
        <w:t>6</w:t>
      </w:r>
      <w:r w:rsidRPr="00ED7F0F">
        <w:rPr>
          <w:rFonts w:eastAsia="TimesNewRoman"/>
          <w:szCs w:val="22"/>
          <w:lang w:eastAsia="en-US"/>
        </w:rPr>
        <w:t>a.</w:t>
      </w:r>
    </w:p>
    <w:p w:rsidR="00C36014" w:rsidRPr="00ED7F0F" w:rsidRDefault="00C36014" w:rsidP="00122C9F">
      <w:pPr>
        <w:autoSpaceDE w:val="0"/>
        <w:autoSpaceDN w:val="0"/>
        <w:adjustRightInd w:val="0"/>
        <w:rPr>
          <w:color w:val="000000"/>
          <w:szCs w:val="22"/>
        </w:rPr>
      </w:pPr>
    </w:p>
    <w:p w:rsidR="00C36014" w:rsidRPr="00ED7F0F" w:rsidRDefault="00C36014" w:rsidP="00122C9F">
      <w:pPr>
        <w:autoSpaceDE w:val="0"/>
        <w:autoSpaceDN w:val="0"/>
        <w:adjustRightInd w:val="0"/>
        <w:ind w:left="1440" w:hanging="1440"/>
        <w:rPr>
          <w:b/>
          <w:bCs/>
          <w:szCs w:val="22"/>
        </w:rPr>
      </w:pPr>
      <w:r w:rsidRPr="00ED7F0F">
        <w:rPr>
          <w:b/>
          <w:bCs/>
          <w:szCs w:val="22"/>
        </w:rPr>
        <w:t xml:space="preserve">Tabuľka </w:t>
      </w:r>
      <w:r w:rsidR="004E24C8" w:rsidRPr="00ED7F0F">
        <w:rPr>
          <w:b/>
          <w:bCs/>
          <w:szCs w:val="22"/>
        </w:rPr>
        <w:t>6</w:t>
      </w:r>
      <w:r w:rsidRPr="00ED7F0F">
        <w:rPr>
          <w:b/>
          <w:bCs/>
          <w:szCs w:val="22"/>
        </w:rPr>
        <w:t>a:</w:t>
      </w:r>
      <w:r w:rsidRPr="00ED7F0F">
        <w:rPr>
          <w:b/>
          <w:bCs/>
          <w:szCs w:val="22"/>
        </w:rPr>
        <w:tab/>
      </w:r>
      <w:r w:rsidRPr="00ED7F0F">
        <w:rPr>
          <w:rFonts w:eastAsia="TimesNewRoman,Bold"/>
          <w:b/>
          <w:bCs/>
          <w:szCs w:val="22"/>
          <w:lang w:eastAsia="en-US"/>
        </w:rPr>
        <w:t>Vybrané nežiaduce reakcie hlásené v</w:t>
      </w:r>
      <w:r w:rsidR="00617AA8" w:rsidRPr="00ED7F0F">
        <w:rPr>
          <w:rFonts w:eastAsia="TimesNewRoman,Bold"/>
          <w:b/>
          <w:bCs/>
          <w:szCs w:val="22"/>
          <w:lang w:eastAsia="en-US"/>
        </w:rPr>
        <w:t> </w:t>
      </w:r>
      <w:r w:rsidRPr="00ED7F0F">
        <w:rPr>
          <w:rFonts w:eastAsia="TimesNewRoman,Bold"/>
          <w:b/>
          <w:bCs/>
          <w:szCs w:val="22"/>
          <w:lang w:eastAsia="en-US"/>
        </w:rPr>
        <w:t>štúdi</w:t>
      </w:r>
      <w:r w:rsidR="00617AA8" w:rsidRPr="00ED7F0F">
        <w:rPr>
          <w:rFonts w:eastAsia="TimesNewRoman,Bold"/>
          <w:b/>
          <w:bCs/>
          <w:szCs w:val="22"/>
          <w:lang w:eastAsia="en-US"/>
        </w:rPr>
        <w:t xml:space="preserve">i </w:t>
      </w:r>
      <w:r w:rsidR="00985D1C" w:rsidRPr="00ED7F0F">
        <w:rPr>
          <w:rFonts w:eastAsia="TimesNewRoman,Bold"/>
          <w:b/>
          <w:bCs/>
          <w:szCs w:val="22"/>
          <w:lang w:eastAsia="en-US"/>
        </w:rPr>
        <w:t>fázy 3</w:t>
      </w:r>
      <w:r w:rsidRPr="00ED7F0F">
        <w:rPr>
          <w:rFonts w:eastAsia="TimesNewRoman,Bold"/>
          <w:b/>
          <w:bCs/>
          <w:szCs w:val="22"/>
          <w:lang w:eastAsia="en-US"/>
        </w:rPr>
        <w:t xml:space="preserve"> optimalizácie dávky (</w:t>
      </w:r>
      <w:r w:rsidR="00985D1C" w:rsidRPr="00ED7F0F">
        <w:rPr>
          <w:rFonts w:eastAsia="TimesNewRoman,Bold"/>
          <w:b/>
          <w:bCs/>
          <w:szCs w:val="22"/>
          <w:lang w:eastAsia="en-US"/>
        </w:rPr>
        <w:t>chronická fáza CML s intoleranciou alebo rezistenciou na imatinib</w:t>
      </w:r>
      <w:r w:rsidRPr="00ED7F0F">
        <w:rPr>
          <w:rFonts w:eastAsia="TimesNewRoman,Bold"/>
          <w:b/>
          <w:bCs/>
          <w:szCs w:val="22"/>
          <w:lang w:eastAsia="en-US"/>
        </w:rPr>
        <w:t>)</w:t>
      </w:r>
      <w:r w:rsidRPr="00ED7F0F">
        <w:rPr>
          <w:rFonts w:eastAsia="TimesNewRoman,Bold"/>
          <w:b/>
          <w:bCs/>
          <w:szCs w:val="22"/>
          <w:vertAlign w:val="superscript"/>
          <w:lang w:eastAsia="en-US"/>
        </w:rPr>
        <w:t>a</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2"/>
        <w:gridCol w:w="841"/>
        <w:gridCol w:w="1112"/>
        <w:gridCol w:w="1102"/>
        <w:gridCol w:w="1127"/>
        <w:gridCol w:w="1051"/>
        <w:gridCol w:w="1124"/>
      </w:tblGrid>
      <w:tr w:rsidR="00C36014" w:rsidRPr="00ED7F0F" w:rsidTr="000D1B96">
        <w:tc>
          <w:tcPr>
            <w:tcW w:w="2632" w:type="dxa"/>
            <w:tcBorders>
              <w:top w:val="single" w:sz="4" w:space="0" w:color="auto"/>
              <w:left w:val="single" w:sz="4" w:space="0" w:color="auto"/>
              <w:bottom w:val="single" w:sz="4" w:space="0" w:color="auto"/>
              <w:right w:val="single" w:sz="4" w:space="0" w:color="auto"/>
            </w:tcBorders>
            <w:shd w:val="clear" w:color="auto" w:fill="auto"/>
          </w:tcPr>
          <w:p w:rsidR="00C36014" w:rsidRPr="00ED7F0F" w:rsidRDefault="00C36014" w:rsidP="00122C9F">
            <w:pPr>
              <w:tabs>
                <w:tab w:val="left" w:pos="1340"/>
              </w:tabs>
              <w:rPr>
                <w:sz w:val="20"/>
              </w:rPr>
            </w:pPr>
          </w:p>
        </w:tc>
        <w:tc>
          <w:tcPr>
            <w:tcW w:w="1826" w:type="dxa"/>
            <w:gridSpan w:val="2"/>
            <w:tcBorders>
              <w:left w:val="single" w:sz="4" w:space="0" w:color="auto"/>
            </w:tcBorders>
            <w:shd w:val="clear" w:color="auto" w:fill="auto"/>
          </w:tcPr>
          <w:p w:rsidR="00C36014" w:rsidRPr="00ED7F0F" w:rsidRDefault="00C36014" w:rsidP="00122C9F">
            <w:pPr>
              <w:autoSpaceDE w:val="0"/>
              <w:autoSpaceDN w:val="0"/>
              <w:adjustRightInd w:val="0"/>
              <w:rPr>
                <w:sz w:val="20"/>
              </w:rPr>
            </w:pPr>
            <w:r w:rsidRPr="00ED7F0F">
              <w:rPr>
                <w:rFonts w:eastAsia="TimesNewRoman,Bold"/>
                <w:b/>
                <w:bCs/>
                <w:sz w:val="20"/>
                <w:lang w:eastAsia="en-US"/>
              </w:rPr>
              <w:t>Minimálne 2-ročné následné sledovanie</w:t>
            </w:r>
          </w:p>
        </w:tc>
        <w:tc>
          <w:tcPr>
            <w:tcW w:w="2229" w:type="dxa"/>
            <w:gridSpan w:val="2"/>
            <w:shd w:val="clear" w:color="auto" w:fill="auto"/>
          </w:tcPr>
          <w:p w:rsidR="00C36014" w:rsidRPr="00ED7F0F" w:rsidRDefault="00C36014" w:rsidP="00122C9F">
            <w:pPr>
              <w:autoSpaceDE w:val="0"/>
              <w:autoSpaceDN w:val="0"/>
              <w:adjustRightInd w:val="0"/>
              <w:rPr>
                <w:sz w:val="20"/>
              </w:rPr>
            </w:pPr>
            <w:r w:rsidRPr="00ED7F0F">
              <w:rPr>
                <w:rFonts w:eastAsia="TimesNewRoman,Bold"/>
                <w:b/>
                <w:bCs/>
                <w:sz w:val="20"/>
                <w:lang w:eastAsia="en-US"/>
              </w:rPr>
              <w:t>Minimálne 5-ročné následné sledovanie</w:t>
            </w:r>
          </w:p>
        </w:tc>
        <w:tc>
          <w:tcPr>
            <w:tcW w:w="2175" w:type="dxa"/>
            <w:gridSpan w:val="2"/>
            <w:tcBorders>
              <w:right w:val="single" w:sz="4" w:space="0" w:color="auto"/>
            </w:tcBorders>
            <w:shd w:val="clear" w:color="auto" w:fill="auto"/>
          </w:tcPr>
          <w:p w:rsidR="00C36014" w:rsidRPr="00ED7F0F" w:rsidRDefault="00C36014" w:rsidP="00122C9F">
            <w:pPr>
              <w:autoSpaceDE w:val="0"/>
              <w:autoSpaceDN w:val="0"/>
              <w:adjustRightInd w:val="0"/>
              <w:rPr>
                <w:sz w:val="20"/>
              </w:rPr>
            </w:pPr>
            <w:r w:rsidRPr="00ED7F0F">
              <w:rPr>
                <w:rFonts w:eastAsia="TimesNewRoman,Bold"/>
                <w:b/>
                <w:bCs/>
                <w:sz w:val="20"/>
                <w:lang w:eastAsia="en-US"/>
              </w:rPr>
              <w:t>Minimálne 7-ročné následné sledovanie</w:t>
            </w:r>
          </w:p>
        </w:tc>
      </w:tr>
      <w:tr w:rsidR="00C36014" w:rsidRPr="00ED7F0F" w:rsidTr="000D1B96">
        <w:tc>
          <w:tcPr>
            <w:tcW w:w="2632" w:type="dxa"/>
            <w:tcBorders>
              <w:top w:val="single" w:sz="4" w:space="0" w:color="auto"/>
              <w:left w:val="single" w:sz="4" w:space="0" w:color="auto"/>
              <w:bottom w:val="single" w:sz="4" w:space="0" w:color="auto"/>
              <w:right w:val="single" w:sz="4" w:space="0" w:color="auto"/>
            </w:tcBorders>
            <w:shd w:val="clear" w:color="auto" w:fill="auto"/>
          </w:tcPr>
          <w:p w:rsidR="00C36014" w:rsidRPr="00ED7F0F" w:rsidRDefault="00C36014" w:rsidP="00122C9F">
            <w:pPr>
              <w:tabs>
                <w:tab w:val="left" w:pos="1340"/>
              </w:tabs>
              <w:rPr>
                <w:sz w:val="20"/>
              </w:rPr>
            </w:pPr>
          </w:p>
        </w:tc>
        <w:tc>
          <w:tcPr>
            <w:tcW w:w="714" w:type="dxa"/>
            <w:tcBorders>
              <w:left w:val="single" w:sz="4" w:space="0" w:color="auto"/>
            </w:tcBorders>
            <w:shd w:val="clear" w:color="auto" w:fill="auto"/>
          </w:tcPr>
          <w:p w:rsidR="00C36014" w:rsidRPr="00ED7F0F" w:rsidRDefault="00C36014" w:rsidP="00122C9F">
            <w:pPr>
              <w:tabs>
                <w:tab w:val="left" w:pos="1340"/>
              </w:tabs>
              <w:ind w:left="58" w:hanging="58"/>
              <w:jc w:val="center"/>
              <w:rPr>
                <w:b/>
                <w:sz w:val="20"/>
              </w:rPr>
            </w:pPr>
            <w:r w:rsidRPr="00ED7F0F">
              <w:rPr>
                <w:b/>
                <w:sz w:val="20"/>
              </w:rPr>
              <w:t>všetky stupne</w:t>
            </w:r>
          </w:p>
        </w:tc>
        <w:tc>
          <w:tcPr>
            <w:tcW w:w="1112" w:type="dxa"/>
            <w:shd w:val="clear" w:color="auto" w:fill="auto"/>
          </w:tcPr>
          <w:p w:rsidR="00C36014" w:rsidRPr="00ED7F0F" w:rsidRDefault="00C36014" w:rsidP="00122C9F">
            <w:pPr>
              <w:autoSpaceDE w:val="0"/>
              <w:autoSpaceDN w:val="0"/>
              <w:adjustRightInd w:val="0"/>
              <w:jc w:val="center"/>
              <w:rPr>
                <w:b/>
                <w:sz w:val="20"/>
              </w:rPr>
            </w:pPr>
            <w:r w:rsidRPr="00ED7F0F">
              <w:rPr>
                <w:rFonts w:eastAsia="TimesNewRoman,Bold"/>
                <w:b/>
                <w:bCs/>
                <w:sz w:val="21"/>
                <w:szCs w:val="21"/>
                <w:lang w:eastAsia="en-US"/>
              </w:rPr>
              <w:t>3./4. stupeň</w:t>
            </w:r>
          </w:p>
        </w:tc>
        <w:tc>
          <w:tcPr>
            <w:tcW w:w="1102" w:type="dxa"/>
            <w:shd w:val="clear" w:color="auto" w:fill="auto"/>
          </w:tcPr>
          <w:p w:rsidR="00C36014" w:rsidRPr="00ED7F0F" w:rsidRDefault="00C36014" w:rsidP="00122C9F">
            <w:pPr>
              <w:tabs>
                <w:tab w:val="left" w:pos="1340"/>
              </w:tabs>
              <w:ind w:left="5" w:hanging="5"/>
              <w:jc w:val="center"/>
              <w:rPr>
                <w:b/>
                <w:sz w:val="20"/>
              </w:rPr>
            </w:pPr>
            <w:r w:rsidRPr="00ED7F0F">
              <w:rPr>
                <w:b/>
                <w:sz w:val="20"/>
              </w:rPr>
              <w:t>všetky stupne</w:t>
            </w:r>
          </w:p>
        </w:tc>
        <w:tc>
          <w:tcPr>
            <w:tcW w:w="1127" w:type="dxa"/>
            <w:shd w:val="clear" w:color="auto" w:fill="auto"/>
          </w:tcPr>
          <w:p w:rsidR="00C36014" w:rsidRPr="00ED7F0F" w:rsidRDefault="00C36014" w:rsidP="00122C9F">
            <w:pPr>
              <w:tabs>
                <w:tab w:val="left" w:pos="1340"/>
              </w:tabs>
              <w:ind w:left="120" w:hanging="120"/>
              <w:jc w:val="center"/>
              <w:rPr>
                <w:b/>
                <w:sz w:val="20"/>
              </w:rPr>
            </w:pPr>
            <w:r w:rsidRPr="00ED7F0F">
              <w:rPr>
                <w:rFonts w:eastAsia="TimesNewRoman,Bold"/>
                <w:b/>
                <w:bCs/>
                <w:sz w:val="21"/>
                <w:szCs w:val="21"/>
                <w:lang w:eastAsia="en-US"/>
              </w:rPr>
              <w:t>3./4. stupeň</w:t>
            </w:r>
          </w:p>
        </w:tc>
        <w:tc>
          <w:tcPr>
            <w:tcW w:w="1051" w:type="dxa"/>
            <w:shd w:val="clear" w:color="auto" w:fill="auto"/>
          </w:tcPr>
          <w:p w:rsidR="00C36014" w:rsidRPr="00ED7F0F" w:rsidRDefault="00C36014" w:rsidP="00122C9F">
            <w:pPr>
              <w:tabs>
                <w:tab w:val="left" w:pos="1340"/>
              </w:tabs>
              <w:ind w:left="-191" w:firstLine="11"/>
              <w:jc w:val="center"/>
              <w:rPr>
                <w:b/>
                <w:sz w:val="20"/>
              </w:rPr>
            </w:pPr>
            <w:r w:rsidRPr="00ED7F0F">
              <w:rPr>
                <w:b/>
                <w:sz w:val="20"/>
              </w:rPr>
              <w:t>všetky stupne</w:t>
            </w:r>
          </w:p>
        </w:tc>
        <w:tc>
          <w:tcPr>
            <w:tcW w:w="1124" w:type="dxa"/>
            <w:tcBorders>
              <w:right w:val="single" w:sz="4" w:space="0" w:color="auto"/>
            </w:tcBorders>
            <w:shd w:val="clear" w:color="auto" w:fill="auto"/>
          </w:tcPr>
          <w:p w:rsidR="00C36014" w:rsidRPr="00ED7F0F" w:rsidRDefault="00C36014" w:rsidP="00122C9F">
            <w:pPr>
              <w:tabs>
                <w:tab w:val="left" w:pos="1340"/>
              </w:tabs>
              <w:ind w:left="99" w:hanging="99"/>
              <w:jc w:val="center"/>
              <w:rPr>
                <w:b/>
                <w:sz w:val="20"/>
              </w:rPr>
            </w:pPr>
            <w:r w:rsidRPr="00ED7F0F">
              <w:rPr>
                <w:rFonts w:eastAsia="TimesNewRoman,Bold"/>
                <w:b/>
                <w:bCs/>
                <w:sz w:val="21"/>
                <w:szCs w:val="21"/>
                <w:lang w:eastAsia="en-US"/>
              </w:rPr>
              <w:t>3./4. stupeň</w:t>
            </w:r>
          </w:p>
        </w:tc>
      </w:tr>
      <w:tr w:rsidR="00C36014" w:rsidRPr="00ED7F0F" w:rsidTr="000D1B96">
        <w:tc>
          <w:tcPr>
            <w:tcW w:w="2632" w:type="dxa"/>
            <w:tcBorders>
              <w:top w:val="single" w:sz="4" w:space="0" w:color="auto"/>
              <w:left w:val="single" w:sz="4" w:space="0" w:color="auto"/>
              <w:bottom w:val="single" w:sz="4" w:space="0" w:color="auto"/>
              <w:right w:val="single" w:sz="4" w:space="0" w:color="auto"/>
            </w:tcBorders>
            <w:shd w:val="clear" w:color="auto" w:fill="auto"/>
          </w:tcPr>
          <w:p w:rsidR="00C36014" w:rsidRPr="00ED7F0F" w:rsidRDefault="00C36014" w:rsidP="00122C9F">
            <w:pPr>
              <w:tabs>
                <w:tab w:val="left" w:pos="1340"/>
              </w:tabs>
              <w:rPr>
                <w:sz w:val="20"/>
              </w:rPr>
            </w:pPr>
            <w:r w:rsidRPr="00ED7F0F">
              <w:rPr>
                <w:b/>
                <w:bCs/>
                <w:sz w:val="20"/>
              </w:rPr>
              <w:t>Preferovaný výraz</w:t>
            </w:r>
          </w:p>
        </w:tc>
        <w:tc>
          <w:tcPr>
            <w:tcW w:w="6230" w:type="dxa"/>
            <w:gridSpan w:val="6"/>
            <w:tcBorders>
              <w:left w:val="single" w:sz="4" w:space="0" w:color="auto"/>
              <w:bottom w:val="single" w:sz="4" w:space="0" w:color="auto"/>
              <w:right w:val="single" w:sz="4" w:space="0" w:color="auto"/>
            </w:tcBorders>
            <w:shd w:val="clear" w:color="auto" w:fill="auto"/>
          </w:tcPr>
          <w:p w:rsidR="00C36014" w:rsidRPr="00ED7F0F" w:rsidRDefault="00C36014" w:rsidP="00122C9F">
            <w:pPr>
              <w:ind w:left="57"/>
              <w:jc w:val="center"/>
              <w:rPr>
                <w:szCs w:val="22"/>
              </w:rPr>
            </w:pPr>
            <w:r w:rsidRPr="00ED7F0F">
              <w:rPr>
                <w:rFonts w:eastAsia="TimesNewRoman"/>
                <w:szCs w:val="22"/>
                <w:lang w:eastAsia="en-US"/>
              </w:rPr>
              <w:t>Percento (%) pacientov</w:t>
            </w:r>
          </w:p>
        </w:tc>
      </w:tr>
      <w:tr w:rsidR="00C36014" w:rsidRPr="00ED7F0F" w:rsidTr="000D1B96">
        <w:tc>
          <w:tcPr>
            <w:tcW w:w="2632" w:type="dxa"/>
            <w:tcBorders>
              <w:top w:val="single" w:sz="4" w:space="0" w:color="auto"/>
              <w:left w:val="single" w:sz="4" w:space="0" w:color="auto"/>
              <w:bottom w:val="nil"/>
              <w:right w:val="single" w:sz="4" w:space="0" w:color="auto"/>
            </w:tcBorders>
            <w:shd w:val="clear" w:color="auto" w:fill="auto"/>
          </w:tcPr>
          <w:p w:rsidR="00C36014" w:rsidRPr="00ED7F0F" w:rsidRDefault="00C36014" w:rsidP="00122C9F">
            <w:pPr>
              <w:tabs>
                <w:tab w:val="left" w:pos="1340"/>
              </w:tabs>
              <w:rPr>
                <w:b/>
                <w:sz w:val="20"/>
              </w:rPr>
            </w:pPr>
            <w:r w:rsidRPr="00ED7F0F">
              <w:rPr>
                <w:b/>
                <w:sz w:val="20"/>
              </w:rPr>
              <w:t>Hnačka</w:t>
            </w:r>
          </w:p>
        </w:tc>
        <w:tc>
          <w:tcPr>
            <w:tcW w:w="714" w:type="dxa"/>
            <w:tcBorders>
              <w:top w:val="single" w:sz="4" w:space="0" w:color="auto"/>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27</w:t>
            </w:r>
          </w:p>
        </w:tc>
        <w:tc>
          <w:tcPr>
            <w:tcW w:w="1112" w:type="dxa"/>
            <w:tcBorders>
              <w:top w:val="single" w:sz="4" w:space="0" w:color="auto"/>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2</w:t>
            </w:r>
          </w:p>
        </w:tc>
        <w:tc>
          <w:tcPr>
            <w:tcW w:w="1102" w:type="dxa"/>
            <w:tcBorders>
              <w:top w:val="single" w:sz="4" w:space="0" w:color="auto"/>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28</w:t>
            </w:r>
          </w:p>
        </w:tc>
        <w:tc>
          <w:tcPr>
            <w:tcW w:w="1127" w:type="dxa"/>
            <w:tcBorders>
              <w:top w:val="single" w:sz="4" w:space="0" w:color="auto"/>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2</w:t>
            </w:r>
          </w:p>
        </w:tc>
        <w:tc>
          <w:tcPr>
            <w:tcW w:w="1051" w:type="dxa"/>
            <w:tcBorders>
              <w:top w:val="single" w:sz="4" w:space="0" w:color="auto"/>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28</w:t>
            </w:r>
          </w:p>
        </w:tc>
        <w:tc>
          <w:tcPr>
            <w:tcW w:w="1124" w:type="dxa"/>
            <w:tcBorders>
              <w:top w:val="single" w:sz="4" w:space="0" w:color="auto"/>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2</w:t>
            </w:r>
          </w:p>
        </w:tc>
      </w:tr>
      <w:tr w:rsidR="00C36014" w:rsidRPr="00ED7F0F" w:rsidTr="000D1B96">
        <w:tc>
          <w:tcPr>
            <w:tcW w:w="2632"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rPr>
                <w:b/>
                <w:sz w:val="20"/>
              </w:rPr>
            </w:pPr>
            <w:r w:rsidRPr="00ED7F0F">
              <w:rPr>
                <w:b/>
                <w:sz w:val="20"/>
              </w:rPr>
              <w:t>Retencia tekutín</w:t>
            </w:r>
          </w:p>
        </w:tc>
        <w:tc>
          <w:tcPr>
            <w:tcW w:w="714"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34</w:t>
            </w:r>
          </w:p>
        </w:tc>
        <w:tc>
          <w:tcPr>
            <w:tcW w:w="1112"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4</w:t>
            </w:r>
          </w:p>
        </w:tc>
        <w:tc>
          <w:tcPr>
            <w:tcW w:w="1102"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42</w:t>
            </w:r>
          </w:p>
        </w:tc>
        <w:tc>
          <w:tcPr>
            <w:tcW w:w="1127"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6</w:t>
            </w:r>
          </w:p>
        </w:tc>
        <w:tc>
          <w:tcPr>
            <w:tcW w:w="1051"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48</w:t>
            </w:r>
          </w:p>
        </w:tc>
        <w:tc>
          <w:tcPr>
            <w:tcW w:w="1124"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7</w:t>
            </w:r>
          </w:p>
        </w:tc>
      </w:tr>
      <w:tr w:rsidR="00C36014" w:rsidRPr="00ED7F0F" w:rsidTr="000D1B96">
        <w:tc>
          <w:tcPr>
            <w:tcW w:w="2632" w:type="dxa"/>
            <w:tcBorders>
              <w:top w:val="nil"/>
              <w:left w:val="single" w:sz="4" w:space="0" w:color="auto"/>
              <w:bottom w:val="nil"/>
              <w:right w:val="single" w:sz="4" w:space="0" w:color="auto"/>
            </w:tcBorders>
            <w:shd w:val="clear" w:color="auto" w:fill="auto"/>
          </w:tcPr>
          <w:p w:rsidR="00C36014" w:rsidRPr="00ED7F0F" w:rsidRDefault="00C36014" w:rsidP="009A0932">
            <w:pPr>
              <w:tabs>
                <w:tab w:val="clear" w:pos="567"/>
                <w:tab w:val="left" w:pos="684"/>
                <w:tab w:val="left" w:pos="1340"/>
              </w:tabs>
              <w:ind w:left="400"/>
              <w:rPr>
                <w:sz w:val="20"/>
              </w:rPr>
            </w:pPr>
            <w:r w:rsidRPr="00ED7F0F">
              <w:rPr>
                <w:sz w:val="20"/>
              </w:rPr>
              <w:t>Povrchový edém</w:t>
            </w:r>
          </w:p>
        </w:tc>
        <w:tc>
          <w:tcPr>
            <w:tcW w:w="714"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18</w:t>
            </w:r>
          </w:p>
        </w:tc>
        <w:tc>
          <w:tcPr>
            <w:tcW w:w="1112"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0</w:t>
            </w:r>
          </w:p>
        </w:tc>
        <w:tc>
          <w:tcPr>
            <w:tcW w:w="1102"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21</w:t>
            </w:r>
          </w:p>
        </w:tc>
        <w:tc>
          <w:tcPr>
            <w:tcW w:w="1127"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0</w:t>
            </w:r>
          </w:p>
        </w:tc>
        <w:tc>
          <w:tcPr>
            <w:tcW w:w="1051"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22</w:t>
            </w:r>
          </w:p>
        </w:tc>
        <w:tc>
          <w:tcPr>
            <w:tcW w:w="1124"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0</w:t>
            </w:r>
          </w:p>
        </w:tc>
      </w:tr>
      <w:tr w:rsidR="00C36014" w:rsidRPr="00ED7F0F" w:rsidTr="000D1B96">
        <w:tc>
          <w:tcPr>
            <w:tcW w:w="2632" w:type="dxa"/>
            <w:tcBorders>
              <w:top w:val="nil"/>
              <w:left w:val="single" w:sz="4" w:space="0" w:color="auto"/>
              <w:bottom w:val="nil"/>
              <w:right w:val="single" w:sz="4" w:space="0" w:color="auto"/>
            </w:tcBorders>
            <w:shd w:val="clear" w:color="auto" w:fill="auto"/>
          </w:tcPr>
          <w:p w:rsidR="00C36014" w:rsidRPr="00ED7F0F" w:rsidRDefault="00C36014" w:rsidP="009A0932">
            <w:pPr>
              <w:tabs>
                <w:tab w:val="left" w:pos="1340"/>
              </w:tabs>
              <w:ind w:left="400"/>
              <w:rPr>
                <w:sz w:val="20"/>
              </w:rPr>
            </w:pPr>
            <w:r w:rsidRPr="00ED7F0F">
              <w:rPr>
                <w:sz w:val="20"/>
              </w:rPr>
              <w:t>Pleurálny výpotok</w:t>
            </w:r>
          </w:p>
        </w:tc>
        <w:tc>
          <w:tcPr>
            <w:tcW w:w="714"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18</w:t>
            </w:r>
          </w:p>
        </w:tc>
        <w:tc>
          <w:tcPr>
            <w:tcW w:w="1112"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2</w:t>
            </w:r>
          </w:p>
        </w:tc>
        <w:tc>
          <w:tcPr>
            <w:tcW w:w="1102"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24</w:t>
            </w:r>
          </w:p>
        </w:tc>
        <w:tc>
          <w:tcPr>
            <w:tcW w:w="1127"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4</w:t>
            </w:r>
          </w:p>
        </w:tc>
        <w:tc>
          <w:tcPr>
            <w:tcW w:w="1051"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28</w:t>
            </w:r>
          </w:p>
        </w:tc>
        <w:tc>
          <w:tcPr>
            <w:tcW w:w="1124"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5</w:t>
            </w:r>
          </w:p>
        </w:tc>
      </w:tr>
      <w:tr w:rsidR="00C36014" w:rsidRPr="00ED7F0F" w:rsidTr="000D1B96">
        <w:tc>
          <w:tcPr>
            <w:tcW w:w="2632" w:type="dxa"/>
            <w:tcBorders>
              <w:top w:val="nil"/>
              <w:left w:val="single" w:sz="4" w:space="0" w:color="auto"/>
              <w:bottom w:val="nil"/>
              <w:right w:val="single" w:sz="4" w:space="0" w:color="auto"/>
            </w:tcBorders>
            <w:shd w:val="clear" w:color="auto" w:fill="auto"/>
          </w:tcPr>
          <w:p w:rsidR="00C36014" w:rsidRPr="00ED7F0F" w:rsidRDefault="00C36014" w:rsidP="009A0932">
            <w:pPr>
              <w:tabs>
                <w:tab w:val="left" w:pos="1340"/>
              </w:tabs>
              <w:ind w:left="400"/>
              <w:rPr>
                <w:sz w:val="20"/>
              </w:rPr>
            </w:pPr>
            <w:r w:rsidRPr="00ED7F0F">
              <w:rPr>
                <w:sz w:val="20"/>
              </w:rPr>
              <w:t>Generalizovaný edém</w:t>
            </w:r>
          </w:p>
        </w:tc>
        <w:tc>
          <w:tcPr>
            <w:tcW w:w="714"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3</w:t>
            </w:r>
          </w:p>
        </w:tc>
        <w:tc>
          <w:tcPr>
            <w:tcW w:w="1112"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0</w:t>
            </w:r>
          </w:p>
        </w:tc>
        <w:tc>
          <w:tcPr>
            <w:tcW w:w="1102"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4</w:t>
            </w:r>
          </w:p>
        </w:tc>
        <w:tc>
          <w:tcPr>
            <w:tcW w:w="1127"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0</w:t>
            </w:r>
          </w:p>
        </w:tc>
        <w:tc>
          <w:tcPr>
            <w:tcW w:w="1051"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4</w:t>
            </w:r>
          </w:p>
        </w:tc>
        <w:tc>
          <w:tcPr>
            <w:tcW w:w="1124"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0</w:t>
            </w:r>
          </w:p>
        </w:tc>
      </w:tr>
      <w:tr w:rsidR="00C36014" w:rsidRPr="00ED7F0F" w:rsidTr="000D1B96">
        <w:tc>
          <w:tcPr>
            <w:tcW w:w="2632" w:type="dxa"/>
            <w:tcBorders>
              <w:top w:val="nil"/>
              <w:left w:val="single" w:sz="4" w:space="0" w:color="auto"/>
              <w:bottom w:val="nil"/>
              <w:right w:val="single" w:sz="4" w:space="0" w:color="auto"/>
            </w:tcBorders>
            <w:shd w:val="clear" w:color="auto" w:fill="auto"/>
          </w:tcPr>
          <w:p w:rsidR="00C36014" w:rsidRPr="00ED7F0F" w:rsidRDefault="00C36014" w:rsidP="009A0932">
            <w:pPr>
              <w:tabs>
                <w:tab w:val="left" w:pos="1340"/>
              </w:tabs>
              <w:ind w:left="400"/>
              <w:rPr>
                <w:sz w:val="20"/>
              </w:rPr>
            </w:pPr>
            <w:r w:rsidRPr="00ED7F0F">
              <w:rPr>
                <w:sz w:val="20"/>
              </w:rPr>
              <w:t>Perikardiálny výpotok</w:t>
            </w:r>
          </w:p>
        </w:tc>
        <w:tc>
          <w:tcPr>
            <w:tcW w:w="714"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2</w:t>
            </w:r>
          </w:p>
        </w:tc>
        <w:tc>
          <w:tcPr>
            <w:tcW w:w="1112"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1</w:t>
            </w:r>
          </w:p>
        </w:tc>
        <w:tc>
          <w:tcPr>
            <w:tcW w:w="1102"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2</w:t>
            </w:r>
          </w:p>
        </w:tc>
        <w:tc>
          <w:tcPr>
            <w:tcW w:w="1127"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1</w:t>
            </w:r>
          </w:p>
        </w:tc>
        <w:tc>
          <w:tcPr>
            <w:tcW w:w="1051"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3</w:t>
            </w:r>
          </w:p>
        </w:tc>
        <w:tc>
          <w:tcPr>
            <w:tcW w:w="1124"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1</w:t>
            </w:r>
          </w:p>
        </w:tc>
      </w:tr>
      <w:tr w:rsidR="00C36014" w:rsidRPr="00ED7F0F" w:rsidTr="000D1B96">
        <w:tc>
          <w:tcPr>
            <w:tcW w:w="2632" w:type="dxa"/>
            <w:tcBorders>
              <w:top w:val="nil"/>
              <w:left w:val="single" w:sz="4" w:space="0" w:color="auto"/>
              <w:bottom w:val="nil"/>
              <w:right w:val="single" w:sz="4" w:space="0" w:color="auto"/>
            </w:tcBorders>
            <w:shd w:val="clear" w:color="auto" w:fill="auto"/>
          </w:tcPr>
          <w:p w:rsidR="00C36014" w:rsidRPr="00ED7F0F" w:rsidRDefault="00C36014" w:rsidP="009A0932">
            <w:pPr>
              <w:tabs>
                <w:tab w:val="left" w:pos="1340"/>
              </w:tabs>
              <w:ind w:left="400"/>
              <w:rPr>
                <w:sz w:val="20"/>
              </w:rPr>
            </w:pPr>
            <w:r w:rsidRPr="00ED7F0F">
              <w:rPr>
                <w:sz w:val="20"/>
              </w:rPr>
              <w:t>Pľúcna hypertenzia</w:t>
            </w:r>
          </w:p>
        </w:tc>
        <w:tc>
          <w:tcPr>
            <w:tcW w:w="714"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0</w:t>
            </w:r>
          </w:p>
        </w:tc>
        <w:tc>
          <w:tcPr>
            <w:tcW w:w="1112"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0</w:t>
            </w:r>
          </w:p>
        </w:tc>
        <w:tc>
          <w:tcPr>
            <w:tcW w:w="1102"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0</w:t>
            </w:r>
          </w:p>
        </w:tc>
        <w:tc>
          <w:tcPr>
            <w:tcW w:w="1127"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0</w:t>
            </w:r>
          </w:p>
        </w:tc>
        <w:tc>
          <w:tcPr>
            <w:tcW w:w="1051"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2</w:t>
            </w:r>
          </w:p>
        </w:tc>
        <w:tc>
          <w:tcPr>
            <w:tcW w:w="1124"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1</w:t>
            </w:r>
          </w:p>
        </w:tc>
      </w:tr>
      <w:tr w:rsidR="00C36014" w:rsidRPr="00ED7F0F" w:rsidTr="000D1B96">
        <w:tc>
          <w:tcPr>
            <w:tcW w:w="2632"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rPr>
                <w:b/>
                <w:sz w:val="20"/>
              </w:rPr>
            </w:pPr>
            <w:r w:rsidRPr="00ED7F0F">
              <w:rPr>
                <w:b/>
                <w:sz w:val="20"/>
              </w:rPr>
              <w:t>Krvácanie</w:t>
            </w:r>
          </w:p>
        </w:tc>
        <w:tc>
          <w:tcPr>
            <w:tcW w:w="714"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11</w:t>
            </w:r>
          </w:p>
        </w:tc>
        <w:tc>
          <w:tcPr>
            <w:tcW w:w="1112"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1</w:t>
            </w:r>
          </w:p>
        </w:tc>
        <w:tc>
          <w:tcPr>
            <w:tcW w:w="1102"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11</w:t>
            </w:r>
          </w:p>
        </w:tc>
        <w:tc>
          <w:tcPr>
            <w:tcW w:w="1127"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1</w:t>
            </w:r>
          </w:p>
        </w:tc>
        <w:tc>
          <w:tcPr>
            <w:tcW w:w="1051"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12</w:t>
            </w:r>
          </w:p>
        </w:tc>
        <w:tc>
          <w:tcPr>
            <w:tcW w:w="1124"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1</w:t>
            </w:r>
          </w:p>
        </w:tc>
      </w:tr>
      <w:tr w:rsidR="00C36014" w:rsidRPr="00ED7F0F" w:rsidTr="000D1B96">
        <w:tc>
          <w:tcPr>
            <w:tcW w:w="2632" w:type="dxa"/>
            <w:tcBorders>
              <w:top w:val="nil"/>
              <w:left w:val="single" w:sz="4" w:space="0" w:color="auto"/>
              <w:bottom w:val="single" w:sz="4" w:space="0" w:color="auto"/>
              <w:right w:val="single" w:sz="4" w:space="0" w:color="auto"/>
            </w:tcBorders>
            <w:shd w:val="clear" w:color="auto" w:fill="auto"/>
          </w:tcPr>
          <w:p w:rsidR="00C36014" w:rsidRPr="00ED7F0F" w:rsidRDefault="00C36014" w:rsidP="00122C9F">
            <w:pPr>
              <w:tabs>
                <w:tab w:val="left" w:pos="1340"/>
              </w:tabs>
              <w:rPr>
                <w:sz w:val="20"/>
              </w:rPr>
            </w:pPr>
            <w:r w:rsidRPr="00ED7F0F">
              <w:rPr>
                <w:sz w:val="20"/>
              </w:rPr>
              <w:t>Gastrointestinálne krvácanie</w:t>
            </w:r>
          </w:p>
        </w:tc>
        <w:tc>
          <w:tcPr>
            <w:tcW w:w="714" w:type="dxa"/>
            <w:tcBorders>
              <w:top w:val="nil"/>
              <w:left w:val="single" w:sz="4" w:space="0" w:color="auto"/>
              <w:bottom w:val="single" w:sz="4" w:space="0" w:color="auto"/>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2</w:t>
            </w:r>
          </w:p>
        </w:tc>
        <w:tc>
          <w:tcPr>
            <w:tcW w:w="1112" w:type="dxa"/>
            <w:tcBorders>
              <w:top w:val="nil"/>
              <w:left w:val="single" w:sz="4" w:space="0" w:color="auto"/>
              <w:bottom w:val="single" w:sz="4" w:space="0" w:color="auto"/>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1</w:t>
            </w:r>
          </w:p>
        </w:tc>
        <w:tc>
          <w:tcPr>
            <w:tcW w:w="1102" w:type="dxa"/>
            <w:tcBorders>
              <w:top w:val="nil"/>
              <w:left w:val="single" w:sz="4" w:space="0" w:color="auto"/>
              <w:bottom w:val="single" w:sz="4" w:space="0" w:color="auto"/>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2</w:t>
            </w:r>
          </w:p>
        </w:tc>
        <w:tc>
          <w:tcPr>
            <w:tcW w:w="1127" w:type="dxa"/>
            <w:tcBorders>
              <w:top w:val="nil"/>
              <w:left w:val="single" w:sz="4" w:space="0" w:color="auto"/>
              <w:bottom w:val="single" w:sz="4" w:space="0" w:color="auto"/>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1</w:t>
            </w:r>
          </w:p>
        </w:tc>
        <w:tc>
          <w:tcPr>
            <w:tcW w:w="1051" w:type="dxa"/>
            <w:tcBorders>
              <w:top w:val="nil"/>
              <w:left w:val="single" w:sz="4" w:space="0" w:color="auto"/>
              <w:bottom w:val="single" w:sz="4" w:space="0" w:color="auto"/>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2</w:t>
            </w:r>
          </w:p>
        </w:tc>
        <w:tc>
          <w:tcPr>
            <w:tcW w:w="1124" w:type="dxa"/>
            <w:tcBorders>
              <w:top w:val="nil"/>
              <w:left w:val="single" w:sz="4" w:space="0" w:color="auto"/>
              <w:bottom w:val="single" w:sz="4" w:space="0" w:color="auto"/>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1</w:t>
            </w:r>
          </w:p>
        </w:tc>
      </w:tr>
    </w:tbl>
    <w:p w:rsidR="00C36014" w:rsidRPr="00ED7F0F" w:rsidRDefault="00C36014" w:rsidP="00122C9F">
      <w:pPr>
        <w:tabs>
          <w:tab w:val="clear" w:pos="567"/>
          <w:tab w:val="left" w:pos="284"/>
        </w:tabs>
        <w:autoSpaceDE w:val="0"/>
        <w:autoSpaceDN w:val="0"/>
        <w:adjustRightInd w:val="0"/>
        <w:ind w:left="284" w:hanging="284"/>
        <w:rPr>
          <w:rFonts w:eastAsia="TimesNewRoman"/>
          <w:sz w:val="18"/>
          <w:szCs w:val="18"/>
          <w:lang w:eastAsia="en-US"/>
        </w:rPr>
      </w:pPr>
      <w:r w:rsidRPr="00ED7F0F">
        <w:rPr>
          <w:rFonts w:eastAsia="TimesNewRoman"/>
          <w:sz w:val="20"/>
          <w:vertAlign w:val="superscript"/>
          <w:lang w:eastAsia="en-US"/>
        </w:rPr>
        <w:t>a</w:t>
      </w:r>
      <w:r w:rsidR="000D1B96" w:rsidRPr="00ED7F0F">
        <w:rPr>
          <w:rFonts w:eastAsia="TimesNewRoman"/>
          <w:sz w:val="20"/>
          <w:vertAlign w:val="superscript"/>
          <w:lang w:eastAsia="en-US"/>
        </w:rPr>
        <w:tab/>
      </w:r>
      <w:r w:rsidRPr="00ED7F0F">
        <w:rPr>
          <w:rFonts w:eastAsia="TimesNewRoman"/>
          <w:sz w:val="18"/>
          <w:szCs w:val="18"/>
          <w:lang w:eastAsia="en-US"/>
        </w:rPr>
        <w:t>Výsledky štúdie fázy</w:t>
      </w:r>
      <w:r w:rsidR="00985D1C" w:rsidRPr="00ED7F0F">
        <w:rPr>
          <w:rFonts w:eastAsia="TimesNewRoman"/>
          <w:sz w:val="18"/>
          <w:szCs w:val="18"/>
          <w:lang w:eastAsia="en-US"/>
        </w:rPr>
        <w:t xml:space="preserve"> 3</w:t>
      </w:r>
      <w:r w:rsidRPr="00ED7F0F">
        <w:rPr>
          <w:rFonts w:eastAsia="TimesNewRoman"/>
          <w:sz w:val="18"/>
          <w:szCs w:val="18"/>
          <w:lang w:eastAsia="en-US"/>
        </w:rPr>
        <w:t xml:space="preserve"> optimalizácie dávky hlásené v populácii pri odporúčanej začiatočnej dávke 100 mg jedenkrát denne (n=165)</w:t>
      </w:r>
    </w:p>
    <w:p w:rsidR="00C36014" w:rsidRPr="00ED7F0F" w:rsidRDefault="00C36014" w:rsidP="00122C9F">
      <w:pPr>
        <w:autoSpaceDE w:val="0"/>
        <w:autoSpaceDN w:val="0"/>
        <w:adjustRightInd w:val="0"/>
        <w:rPr>
          <w:rFonts w:eastAsia="TimesNewRoman"/>
          <w:szCs w:val="22"/>
          <w:lang w:eastAsia="en-US"/>
        </w:rPr>
      </w:pPr>
    </w:p>
    <w:p w:rsidR="00C36014" w:rsidRPr="00ED7F0F" w:rsidRDefault="00C36014" w:rsidP="00122C9F">
      <w:pPr>
        <w:autoSpaceDE w:val="0"/>
        <w:autoSpaceDN w:val="0"/>
        <w:adjustRightInd w:val="0"/>
        <w:rPr>
          <w:color w:val="000000"/>
          <w:szCs w:val="22"/>
        </w:rPr>
      </w:pPr>
      <w:r w:rsidRPr="00ED7F0F">
        <w:rPr>
          <w:rFonts w:eastAsia="TimesNewRoman"/>
          <w:szCs w:val="22"/>
          <w:lang w:eastAsia="en-US"/>
        </w:rPr>
        <w:t>V</w:t>
      </w:r>
      <w:r w:rsidR="000D1B96" w:rsidRPr="00ED7F0F">
        <w:rPr>
          <w:rFonts w:eastAsia="TimesNewRoman"/>
          <w:szCs w:val="22"/>
          <w:lang w:eastAsia="en-US"/>
        </w:rPr>
        <w:t> </w:t>
      </w:r>
      <w:r w:rsidRPr="00ED7F0F">
        <w:rPr>
          <w:rFonts w:eastAsia="TimesNewRoman"/>
          <w:szCs w:val="22"/>
          <w:lang w:eastAsia="en-US"/>
        </w:rPr>
        <w:t>štúdii fázy III optimalizácie dávky s</w:t>
      </w:r>
      <w:r w:rsidR="000D1B96" w:rsidRPr="00ED7F0F">
        <w:rPr>
          <w:rFonts w:eastAsia="TimesNewRoman"/>
          <w:szCs w:val="22"/>
          <w:lang w:eastAsia="en-US"/>
        </w:rPr>
        <w:t> </w:t>
      </w:r>
      <w:r w:rsidRPr="00ED7F0F">
        <w:rPr>
          <w:rFonts w:eastAsia="TimesNewRoman"/>
          <w:szCs w:val="22"/>
          <w:lang w:eastAsia="en-US"/>
        </w:rPr>
        <w:t>pacientmi s</w:t>
      </w:r>
      <w:r w:rsidR="000D1B96" w:rsidRPr="00ED7F0F">
        <w:rPr>
          <w:rFonts w:eastAsia="TimesNewRoman"/>
          <w:szCs w:val="22"/>
          <w:lang w:eastAsia="en-US"/>
        </w:rPr>
        <w:t> </w:t>
      </w:r>
      <w:r w:rsidRPr="00ED7F0F">
        <w:rPr>
          <w:rFonts w:eastAsia="TimesNewRoman"/>
          <w:szCs w:val="22"/>
          <w:lang w:eastAsia="en-US"/>
        </w:rPr>
        <w:t>pokročilou fázou CML a Ph+ ALL bol medián trvania liečby 14</w:t>
      </w:r>
      <w:r w:rsidR="000D1B96" w:rsidRPr="00ED7F0F">
        <w:rPr>
          <w:rFonts w:eastAsia="TimesNewRoman"/>
          <w:szCs w:val="22"/>
          <w:lang w:eastAsia="en-US"/>
        </w:rPr>
        <w:t> </w:t>
      </w:r>
      <w:r w:rsidRPr="00ED7F0F">
        <w:rPr>
          <w:rFonts w:eastAsia="TimesNewRoman"/>
          <w:szCs w:val="22"/>
          <w:lang w:eastAsia="en-US"/>
        </w:rPr>
        <w:t>mesiacov pre akcelerovanú fázu CML, 3 mesiace pre myeloidnú blastovú CML, 4</w:t>
      </w:r>
      <w:r w:rsidR="000D1B96" w:rsidRPr="00ED7F0F">
        <w:rPr>
          <w:rFonts w:eastAsia="TimesNewRoman"/>
          <w:szCs w:val="22"/>
          <w:lang w:eastAsia="en-US"/>
        </w:rPr>
        <w:t> </w:t>
      </w:r>
      <w:r w:rsidRPr="00ED7F0F">
        <w:rPr>
          <w:rFonts w:eastAsia="TimesNewRoman"/>
          <w:szCs w:val="22"/>
          <w:lang w:eastAsia="en-US"/>
        </w:rPr>
        <w:t>mesiace pre lymfoidnú blastovú CML a 3 mesiace pre Ph+ ALL. Vybrané nežiaduce reakcie, ktoré sa hlásili pri odporúčanej začiatočnej dávke 140 mg jedenkrát denne sú uvedené v</w:t>
      </w:r>
      <w:r w:rsidR="000D1B96" w:rsidRPr="00ED7F0F">
        <w:rPr>
          <w:rFonts w:eastAsia="TimesNewRoman"/>
          <w:szCs w:val="22"/>
          <w:lang w:eastAsia="en-US"/>
        </w:rPr>
        <w:t> t</w:t>
      </w:r>
      <w:r w:rsidRPr="00ED7F0F">
        <w:rPr>
          <w:rFonts w:eastAsia="TimesNewRoman"/>
          <w:szCs w:val="22"/>
          <w:lang w:eastAsia="en-US"/>
        </w:rPr>
        <w:t xml:space="preserve">abuľke </w:t>
      </w:r>
      <w:r w:rsidR="000D1B96" w:rsidRPr="00ED7F0F">
        <w:rPr>
          <w:rFonts w:eastAsia="TimesNewRoman"/>
          <w:szCs w:val="22"/>
          <w:lang w:eastAsia="en-US"/>
        </w:rPr>
        <w:t>6</w:t>
      </w:r>
      <w:r w:rsidRPr="00ED7F0F">
        <w:rPr>
          <w:rFonts w:eastAsia="TimesNewRoman"/>
          <w:szCs w:val="22"/>
          <w:lang w:eastAsia="en-US"/>
        </w:rPr>
        <w:t>b. Schéma dávkovania 70 mg dvakrát denne sa tiež skúmala. Schéma dávkovania 140 mg jedenkrát denne preukázala porovnateľný profil účinnosti voči schéme dávkovania 70 mg dvakrát denne, no s</w:t>
      </w:r>
      <w:r w:rsidR="000D1B96" w:rsidRPr="00ED7F0F">
        <w:rPr>
          <w:rFonts w:eastAsia="TimesNewRoman"/>
          <w:szCs w:val="22"/>
          <w:lang w:eastAsia="en-US"/>
        </w:rPr>
        <w:t> </w:t>
      </w:r>
      <w:r w:rsidRPr="00ED7F0F">
        <w:rPr>
          <w:rFonts w:eastAsia="TimesNewRoman"/>
          <w:szCs w:val="22"/>
          <w:lang w:eastAsia="en-US"/>
        </w:rPr>
        <w:t>priaznivejším profilom bezpečnosti.</w:t>
      </w:r>
    </w:p>
    <w:p w:rsidR="00C36014" w:rsidRPr="00ED7F0F" w:rsidRDefault="00C36014" w:rsidP="00122C9F">
      <w:pPr>
        <w:autoSpaceDE w:val="0"/>
        <w:autoSpaceDN w:val="0"/>
        <w:adjustRightInd w:val="0"/>
        <w:rPr>
          <w:color w:val="000000"/>
          <w:szCs w:val="22"/>
        </w:rPr>
      </w:pPr>
    </w:p>
    <w:p w:rsidR="00C36014" w:rsidRPr="00ED7F0F" w:rsidRDefault="00C36014" w:rsidP="00122C9F">
      <w:pPr>
        <w:tabs>
          <w:tab w:val="left" w:pos="1418"/>
        </w:tabs>
        <w:autoSpaceDE w:val="0"/>
        <w:autoSpaceDN w:val="0"/>
        <w:adjustRightInd w:val="0"/>
        <w:rPr>
          <w:rFonts w:eastAsia="TimesNewRoman,Bold"/>
          <w:b/>
          <w:bCs/>
          <w:sz w:val="21"/>
          <w:szCs w:val="21"/>
          <w:lang w:eastAsia="en-US"/>
        </w:rPr>
      </w:pPr>
      <w:r w:rsidRPr="00ED7F0F">
        <w:rPr>
          <w:b/>
          <w:bCs/>
        </w:rPr>
        <w:t>Tabuľka</w:t>
      </w:r>
      <w:r w:rsidRPr="00ED7F0F">
        <w:rPr>
          <w:b/>
          <w:bCs/>
          <w:spacing w:val="-5"/>
        </w:rPr>
        <w:t xml:space="preserve"> </w:t>
      </w:r>
      <w:r w:rsidR="000D1B96" w:rsidRPr="00ED7F0F">
        <w:rPr>
          <w:b/>
          <w:bCs/>
        </w:rPr>
        <w:t>6</w:t>
      </w:r>
      <w:r w:rsidRPr="00ED7F0F">
        <w:rPr>
          <w:b/>
          <w:bCs/>
        </w:rPr>
        <w:t>b:</w:t>
      </w:r>
      <w:r w:rsidRPr="00ED7F0F">
        <w:rPr>
          <w:b/>
          <w:bCs/>
        </w:rPr>
        <w:tab/>
      </w:r>
      <w:r w:rsidRPr="00ED7F0F">
        <w:rPr>
          <w:rFonts w:eastAsia="TimesNewRoman,Bold"/>
          <w:b/>
          <w:bCs/>
          <w:sz w:val="21"/>
          <w:szCs w:val="21"/>
          <w:lang w:eastAsia="en-US"/>
        </w:rPr>
        <w:t>Vybrané nežiaduce reakcie hlásené zo štúdie fázy III optimalizácie dávky:</w:t>
      </w:r>
    </w:p>
    <w:p w:rsidR="00C36014" w:rsidRPr="00ED7F0F" w:rsidRDefault="00C36014" w:rsidP="00122C9F">
      <w:pPr>
        <w:tabs>
          <w:tab w:val="left" w:pos="1418"/>
        </w:tabs>
        <w:ind w:left="57" w:hanging="57"/>
        <w:jc w:val="both"/>
      </w:pPr>
      <w:r w:rsidRPr="00ED7F0F">
        <w:rPr>
          <w:rFonts w:eastAsia="TimesNewRoman,Bold"/>
          <w:b/>
          <w:bCs/>
          <w:sz w:val="21"/>
          <w:szCs w:val="21"/>
          <w:lang w:eastAsia="en-US"/>
        </w:rPr>
        <w:tab/>
      </w:r>
      <w:r w:rsidRPr="00ED7F0F">
        <w:rPr>
          <w:rFonts w:eastAsia="TimesNewRoman,Bold"/>
          <w:b/>
          <w:bCs/>
          <w:sz w:val="21"/>
          <w:szCs w:val="21"/>
          <w:lang w:eastAsia="en-US"/>
        </w:rPr>
        <w:tab/>
      </w:r>
      <w:r w:rsidR="000D1B96" w:rsidRPr="00ED7F0F">
        <w:rPr>
          <w:rFonts w:eastAsia="TimesNewRoman,Bold"/>
          <w:b/>
          <w:bCs/>
          <w:sz w:val="21"/>
          <w:szCs w:val="21"/>
          <w:lang w:eastAsia="en-US"/>
        </w:rPr>
        <w:tab/>
      </w:r>
      <w:r w:rsidRPr="00ED7F0F">
        <w:rPr>
          <w:rFonts w:eastAsia="TimesNewRoman,Bold"/>
          <w:b/>
          <w:bCs/>
          <w:sz w:val="21"/>
          <w:szCs w:val="21"/>
          <w:lang w:eastAsia="en-US"/>
        </w:rPr>
        <w:t>Pokročilá fáza CML a Ph+ ALL</w:t>
      </w:r>
      <w:r w:rsidRPr="00ED7F0F">
        <w:rPr>
          <w:rFonts w:eastAsia="TimesNewRoman,Bold"/>
          <w:b/>
          <w:bCs/>
          <w:szCs w:val="22"/>
          <w:vertAlign w:val="superscript"/>
          <w:lang w:eastAsia="en-US"/>
        </w:rPr>
        <w:t>a</w:t>
      </w:r>
    </w:p>
    <w:tbl>
      <w:tblPr>
        <w:tblW w:w="0" w:type="auto"/>
        <w:tblInd w:w="57"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482"/>
        <w:gridCol w:w="2693"/>
        <w:gridCol w:w="2687"/>
      </w:tblGrid>
      <w:tr w:rsidR="00C36014" w:rsidRPr="00ED7F0F" w:rsidTr="000D1B96">
        <w:tc>
          <w:tcPr>
            <w:tcW w:w="3482" w:type="dxa"/>
            <w:tcBorders>
              <w:top w:val="single" w:sz="4" w:space="0" w:color="auto"/>
              <w:left w:val="single" w:sz="4" w:space="0" w:color="auto"/>
              <w:bottom w:val="nil"/>
              <w:right w:val="single" w:sz="4" w:space="0" w:color="auto"/>
            </w:tcBorders>
            <w:shd w:val="clear" w:color="auto" w:fill="auto"/>
          </w:tcPr>
          <w:p w:rsidR="00C36014" w:rsidRPr="00ED7F0F" w:rsidRDefault="00C36014" w:rsidP="00122C9F">
            <w:pPr>
              <w:autoSpaceDE w:val="0"/>
              <w:autoSpaceDN w:val="0"/>
              <w:adjustRightInd w:val="0"/>
              <w:jc w:val="center"/>
              <w:rPr>
                <w:b/>
                <w:bCs/>
                <w:sz w:val="20"/>
              </w:rPr>
            </w:pPr>
          </w:p>
        </w:tc>
        <w:tc>
          <w:tcPr>
            <w:tcW w:w="5380" w:type="dxa"/>
            <w:gridSpan w:val="2"/>
            <w:tcBorders>
              <w:left w:val="single" w:sz="4" w:space="0" w:color="auto"/>
              <w:right w:val="single" w:sz="4" w:space="0" w:color="auto"/>
            </w:tcBorders>
            <w:shd w:val="clear" w:color="auto" w:fill="auto"/>
          </w:tcPr>
          <w:p w:rsidR="00C36014" w:rsidRPr="00ED7F0F" w:rsidRDefault="00C36014" w:rsidP="00122C9F">
            <w:pPr>
              <w:tabs>
                <w:tab w:val="left" w:pos="1340"/>
              </w:tabs>
              <w:jc w:val="center"/>
              <w:rPr>
                <w:rFonts w:eastAsia="TimesNewRoman,Bold"/>
                <w:b/>
                <w:bCs/>
                <w:sz w:val="20"/>
                <w:lang w:eastAsia="en-US"/>
              </w:rPr>
            </w:pPr>
            <w:r w:rsidRPr="00ED7F0F">
              <w:rPr>
                <w:rFonts w:eastAsia="TimesNewRoman,Bold"/>
                <w:b/>
                <w:bCs/>
                <w:sz w:val="20"/>
                <w:lang w:eastAsia="en-US"/>
              </w:rPr>
              <w:t>140 mg jedenkrát denne</w:t>
            </w:r>
          </w:p>
          <w:p w:rsidR="00C36014" w:rsidRPr="00ED7F0F" w:rsidRDefault="00C36014" w:rsidP="00122C9F">
            <w:pPr>
              <w:tabs>
                <w:tab w:val="left" w:pos="1340"/>
              </w:tabs>
              <w:jc w:val="center"/>
              <w:rPr>
                <w:sz w:val="20"/>
              </w:rPr>
            </w:pPr>
            <w:r w:rsidRPr="00ED7F0F">
              <w:rPr>
                <w:rFonts w:eastAsia="TimesNewRoman,Bold"/>
                <w:b/>
                <w:bCs/>
                <w:sz w:val="20"/>
                <w:lang w:eastAsia="en-US"/>
              </w:rPr>
              <w:t>n = 304</w:t>
            </w:r>
          </w:p>
        </w:tc>
      </w:tr>
      <w:tr w:rsidR="00C36014" w:rsidRPr="00ED7F0F" w:rsidTr="000D1B96">
        <w:tc>
          <w:tcPr>
            <w:tcW w:w="3482"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rPr>
                <w:sz w:val="20"/>
              </w:rPr>
            </w:pPr>
          </w:p>
        </w:tc>
        <w:tc>
          <w:tcPr>
            <w:tcW w:w="2693" w:type="dxa"/>
            <w:tcBorders>
              <w:left w:val="single" w:sz="4" w:space="0" w:color="auto"/>
              <w:bottom w:val="single" w:sz="4" w:space="0" w:color="auto"/>
              <w:right w:val="single" w:sz="4" w:space="0" w:color="auto"/>
            </w:tcBorders>
            <w:shd w:val="clear" w:color="auto" w:fill="auto"/>
          </w:tcPr>
          <w:p w:rsidR="00C36014" w:rsidRPr="00ED7F0F" w:rsidRDefault="00C36014" w:rsidP="00122C9F">
            <w:pPr>
              <w:autoSpaceDE w:val="0"/>
              <w:autoSpaceDN w:val="0"/>
              <w:adjustRightInd w:val="0"/>
              <w:jc w:val="center"/>
              <w:rPr>
                <w:b/>
                <w:bCs/>
                <w:sz w:val="20"/>
              </w:rPr>
            </w:pPr>
            <w:r w:rsidRPr="00ED7F0F">
              <w:rPr>
                <w:b/>
                <w:bCs/>
                <w:sz w:val="20"/>
              </w:rPr>
              <w:t xml:space="preserve">všetky stupne </w:t>
            </w:r>
          </w:p>
        </w:tc>
        <w:tc>
          <w:tcPr>
            <w:tcW w:w="2687" w:type="dxa"/>
            <w:tcBorders>
              <w:left w:val="single" w:sz="4" w:space="0" w:color="auto"/>
              <w:bottom w:val="single" w:sz="4" w:space="0" w:color="auto"/>
              <w:right w:val="single" w:sz="4" w:space="0" w:color="auto"/>
            </w:tcBorders>
            <w:shd w:val="clear" w:color="auto" w:fill="auto"/>
          </w:tcPr>
          <w:p w:rsidR="00C36014" w:rsidRPr="00ED7F0F" w:rsidRDefault="00C36014" w:rsidP="00122C9F">
            <w:pPr>
              <w:autoSpaceDE w:val="0"/>
              <w:autoSpaceDN w:val="0"/>
              <w:adjustRightInd w:val="0"/>
              <w:jc w:val="center"/>
              <w:rPr>
                <w:b/>
                <w:bCs/>
                <w:sz w:val="20"/>
              </w:rPr>
            </w:pPr>
            <w:r w:rsidRPr="00ED7F0F">
              <w:rPr>
                <w:rFonts w:eastAsia="TimesNewRoman,Bold"/>
                <w:b/>
                <w:bCs/>
                <w:sz w:val="20"/>
                <w:lang w:eastAsia="en-US"/>
              </w:rPr>
              <w:t>3./4. stupeň</w:t>
            </w:r>
          </w:p>
        </w:tc>
      </w:tr>
      <w:tr w:rsidR="00C36014" w:rsidRPr="00ED7F0F" w:rsidTr="000D1B96">
        <w:tc>
          <w:tcPr>
            <w:tcW w:w="3482" w:type="dxa"/>
            <w:tcBorders>
              <w:top w:val="nil"/>
              <w:left w:val="single" w:sz="4" w:space="0" w:color="auto"/>
              <w:bottom w:val="single" w:sz="4" w:space="0" w:color="auto"/>
              <w:right w:val="single" w:sz="4" w:space="0" w:color="auto"/>
            </w:tcBorders>
            <w:shd w:val="clear" w:color="auto" w:fill="auto"/>
          </w:tcPr>
          <w:p w:rsidR="00C36014" w:rsidRPr="00ED7F0F" w:rsidRDefault="00C36014" w:rsidP="00122C9F">
            <w:pPr>
              <w:tabs>
                <w:tab w:val="left" w:pos="1340"/>
              </w:tabs>
              <w:rPr>
                <w:b/>
                <w:sz w:val="20"/>
              </w:rPr>
            </w:pPr>
            <w:r w:rsidRPr="00ED7F0F">
              <w:rPr>
                <w:b/>
                <w:sz w:val="20"/>
              </w:rPr>
              <w:t>Preferovaný výraz</w:t>
            </w:r>
          </w:p>
        </w:tc>
        <w:tc>
          <w:tcPr>
            <w:tcW w:w="5380" w:type="dxa"/>
            <w:gridSpan w:val="2"/>
            <w:tcBorders>
              <w:left w:val="single" w:sz="4" w:space="0" w:color="auto"/>
              <w:bottom w:val="single" w:sz="4" w:space="0" w:color="auto"/>
              <w:right w:val="single" w:sz="4" w:space="0" w:color="auto"/>
            </w:tcBorders>
            <w:shd w:val="clear" w:color="auto" w:fill="auto"/>
          </w:tcPr>
          <w:p w:rsidR="00C36014" w:rsidRPr="00ED7F0F" w:rsidRDefault="00C36014" w:rsidP="00122C9F">
            <w:pPr>
              <w:tabs>
                <w:tab w:val="left" w:pos="1340"/>
              </w:tabs>
              <w:jc w:val="center"/>
              <w:rPr>
                <w:b/>
                <w:sz w:val="20"/>
              </w:rPr>
            </w:pPr>
            <w:r w:rsidRPr="00ED7F0F">
              <w:rPr>
                <w:rFonts w:eastAsia="TimesNewRoman"/>
                <w:b/>
                <w:sz w:val="20"/>
                <w:lang w:eastAsia="en-US"/>
              </w:rPr>
              <w:t>Percento (%) pacientov</w:t>
            </w:r>
          </w:p>
        </w:tc>
      </w:tr>
      <w:tr w:rsidR="00C36014" w:rsidRPr="00ED7F0F" w:rsidTr="000D1B96">
        <w:tc>
          <w:tcPr>
            <w:tcW w:w="3482" w:type="dxa"/>
            <w:tcBorders>
              <w:top w:val="single" w:sz="4" w:space="0" w:color="auto"/>
              <w:left w:val="single" w:sz="4" w:space="0" w:color="auto"/>
              <w:bottom w:val="nil"/>
              <w:right w:val="single" w:sz="4" w:space="0" w:color="auto"/>
            </w:tcBorders>
            <w:shd w:val="clear" w:color="auto" w:fill="auto"/>
          </w:tcPr>
          <w:p w:rsidR="00C36014" w:rsidRPr="00ED7F0F" w:rsidRDefault="00C36014" w:rsidP="00122C9F">
            <w:pPr>
              <w:tabs>
                <w:tab w:val="left" w:pos="1340"/>
              </w:tabs>
              <w:rPr>
                <w:b/>
                <w:sz w:val="20"/>
              </w:rPr>
            </w:pPr>
            <w:r w:rsidRPr="00ED7F0F">
              <w:rPr>
                <w:b/>
                <w:sz w:val="20"/>
              </w:rPr>
              <w:t>Hnačka</w:t>
            </w:r>
          </w:p>
        </w:tc>
        <w:tc>
          <w:tcPr>
            <w:tcW w:w="2693" w:type="dxa"/>
            <w:tcBorders>
              <w:top w:val="single" w:sz="4" w:space="0" w:color="auto"/>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b/>
                <w:sz w:val="20"/>
              </w:rPr>
            </w:pPr>
            <w:r w:rsidRPr="00ED7F0F">
              <w:rPr>
                <w:b/>
                <w:sz w:val="20"/>
              </w:rPr>
              <w:t>28</w:t>
            </w:r>
          </w:p>
        </w:tc>
        <w:tc>
          <w:tcPr>
            <w:tcW w:w="2687" w:type="dxa"/>
            <w:tcBorders>
              <w:top w:val="single" w:sz="4" w:space="0" w:color="auto"/>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b/>
                <w:sz w:val="20"/>
              </w:rPr>
            </w:pPr>
            <w:r w:rsidRPr="00ED7F0F">
              <w:rPr>
                <w:b/>
                <w:sz w:val="20"/>
              </w:rPr>
              <w:t>3</w:t>
            </w:r>
          </w:p>
        </w:tc>
      </w:tr>
      <w:tr w:rsidR="00C36014" w:rsidRPr="00ED7F0F" w:rsidTr="000D1B96">
        <w:tc>
          <w:tcPr>
            <w:tcW w:w="3482"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rPr>
                <w:b/>
                <w:sz w:val="20"/>
              </w:rPr>
            </w:pPr>
            <w:r w:rsidRPr="00ED7F0F">
              <w:rPr>
                <w:b/>
                <w:sz w:val="20"/>
              </w:rPr>
              <w:t>Retencia tekutín</w:t>
            </w:r>
          </w:p>
        </w:tc>
        <w:tc>
          <w:tcPr>
            <w:tcW w:w="2693"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b/>
                <w:sz w:val="20"/>
              </w:rPr>
            </w:pPr>
            <w:r w:rsidRPr="00ED7F0F">
              <w:rPr>
                <w:b/>
                <w:sz w:val="20"/>
              </w:rPr>
              <w:t>33</w:t>
            </w:r>
          </w:p>
        </w:tc>
        <w:tc>
          <w:tcPr>
            <w:tcW w:w="2687"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b/>
                <w:sz w:val="20"/>
              </w:rPr>
            </w:pPr>
            <w:r w:rsidRPr="00ED7F0F">
              <w:rPr>
                <w:b/>
                <w:sz w:val="20"/>
              </w:rPr>
              <w:t>7</w:t>
            </w:r>
          </w:p>
        </w:tc>
      </w:tr>
      <w:tr w:rsidR="00C36014" w:rsidRPr="00ED7F0F" w:rsidTr="000D1B96">
        <w:tc>
          <w:tcPr>
            <w:tcW w:w="3482"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ind w:left="400"/>
              <w:rPr>
                <w:sz w:val="20"/>
              </w:rPr>
            </w:pPr>
            <w:r w:rsidRPr="00ED7F0F">
              <w:rPr>
                <w:sz w:val="20"/>
              </w:rPr>
              <w:t>Povrchový edém</w:t>
            </w:r>
          </w:p>
        </w:tc>
        <w:tc>
          <w:tcPr>
            <w:tcW w:w="2693"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15</w:t>
            </w:r>
          </w:p>
        </w:tc>
        <w:tc>
          <w:tcPr>
            <w:tcW w:w="2687"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&lt; 1</w:t>
            </w:r>
          </w:p>
        </w:tc>
      </w:tr>
      <w:tr w:rsidR="00C36014" w:rsidRPr="00ED7F0F" w:rsidTr="000D1B96">
        <w:tc>
          <w:tcPr>
            <w:tcW w:w="3482"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ind w:left="400"/>
              <w:rPr>
                <w:sz w:val="20"/>
              </w:rPr>
            </w:pPr>
            <w:r w:rsidRPr="00ED7F0F">
              <w:rPr>
                <w:sz w:val="20"/>
              </w:rPr>
              <w:t>Pleurálny výpotok</w:t>
            </w:r>
          </w:p>
        </w:tc>
        <w:tc>
          <w:tcPr>
            <w:tcW w:w="2693"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20</w:t>
            </w:r>
          </w:p>
        </w:tc>
        <w:tc>
          <w:tcPr>
            <w:tcW w:w="2687"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6</w:t>
            </w:r>
          </w:p>
        </w:tc>
      </w:tr>
      <w:tr w:rsidR="00C36014" w:rsidRPr="00ED7F0F" w:rsidTr="000D1B96">
        <w:tc>
          <w:tcPr>
            <w:tcW w:w="3482"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ind w:left="400"/>
              <w:rPr>
                <w:sz w:val="20"/>
              </w:rPr>
            </w:pPr>
            <w:r w:rsidRPr="00ED7F0F">
              <w:rPr>
                <w:sz w:val="20"/>
              </w:rPr>
              <w:t>Generalizovaný edém</w:t>
            </w:r>
          </w:p>
        </w:tc>
        <w:tc>
          <w:tcPr>
            <w:tcW w:w="2693"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2</w:t>
            </w:r>
          </w:p>
        </w:tc>
        <w:tc>
          <w:tcPr>
            <w:tcW w:w="2687"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0</w:t>
            </w:r>
          </w:p>
        </w:tc>
      </w:tr>
      <w:tr w:rsidR="00C36014" w:rsidRPr="00ED7F0F" w:rsidTr="000D1B96">
        <w:tc>
          <w:tcPr>
            <w:tcW w:w="3482"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ind w:left="400"/>
              <w:rPr>
                <w:sz w:val="20"/>
              </w:rPr>
            </w:pPr>
            <w:r w:rsidRPr="00ED7F0F">
              <w:rPr>
                <w:sz w:val="20"/>
              </w:rPr>
              <w:t>Kongestívne srdcové zlyhávanie/srdcová dysfunkcia</w:t>
            </w:r>
            <w:r w:rsidRPr="00ED7F0F">
              <w:rPr>
                <w:sz w:val="20"/>
                <w:vertAlign w:val="superscript"/>
              </w:rPr>
              <w:t>b</w:t>
            </w:r>
          </w:p>
        </w:tc>
        <w:tc>
          <w:tcPr>
            <w:tcW w:w="2693"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1</w:t>
            </w:r>
          </w:p>
        </w:tc>
        <w:tc>
          <w:tcPr>
            <w:tcW w:w="2687"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0</w:t>
            </w:r>
          </w:p>
        </w:tc>
      </w:tr>
      <w:tr w:rsidR="00C36014" w:rsidRPr="00ED7F0F" w:rsidTr="000D1B96">
        <w:tc>
          <w:tcPr>
            <w:tcW w:w="3482"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ind w:left="400"/>
              <w:rPr>
                <w:sz w:val="20"/>
              </w:rPr>
            </w:pPr>
            <w:r w:rsidRPr="00ED7F0F">
              <w:rPr>
                <w:sz w:val="20"/>
              </w:rPr>
              <w:t>Perikardiálny výpotok</w:t>
            </w:r>
          </w:p>
        </w:tc>
        <w:tc>
          <w:tcPr>
            <w:tcW w:w="2693"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2</w:t>
            </w:r>
          </w:p>
        </w:tc>
        <w:tc>
          <w:tcPr>
            <w:tcW w:w="2687"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1</w:t>
            </w:r>
          </w:p>
        </w:tc>
      </w:tr>
      <w:tr w:rsidR="00C36014" w:rsidRPr="00ED7F0F" w:rsidTr="000D1B96">
        <w:tc>
          <w:tcPr>
            <w:tcW w:w="3482"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ind w:left="400"/>
              <w:rPr>
                <w:sz w:val="20"/>
              </w:rPr>
            </w:pPr>
            <w:r w:rsidRPr="00ED7F0F">
              <w:rPr>
                <w:sz w:val="20"/>
              </w:rPr>
              <w:t>Pľúcny edém</w:t>
            </w:r>
          </w:p>
        </w:tc>
        <w:tc>
          <w:tcPr>
            <w:tcW w:w="2693"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1</w:t>
            </w:r>
          </w:p>
        </w:tc>
        <w:tc>
          <w:tcPr>
            <w:tcW w:w="2687"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1</w:t>
            </w:r>
          </w:p>
        </w:tc>
      </w:tr>
      <w:tr w:rsidR="00C36014" w:rsidRPr="00ED7F0F" w:rsidTr="000D1B96">
        <w:tc>
          <w:tcPr>
            <w:tcW w:w="3482"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rPr>
                <w:b/>
                <w:sz w:val="20"/>
              </w:rPr>
            </w:pPr>
            <w:r w:rsidRPr="00ED7F0F">
              <w:rPr>
                <w:b/>
                <w:sz w:val="20"/>
              </w:rPr>
              <w:t>Krvácanie</w:t>
            </w:r>
          </w:p>
        </w:tc>
        <w:tc>
          <w:tcPr>
            <w:tcW w:w="2693"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b/>
                <w:sz w:val="20"/>
              </w:rPr>
            </w:pPr>
            <w:r w:rsidRPr="00ED7F0F">
              <w:rPr>
                <w:b/>
                <w:sz w:val="20"/>
              </w:rPr>
              <w:t>23</w:t>
            </w:r>
          </w:p>
        </w:tc>
        <w:tc>
          <w:tcPr>
            <w:tcW w:w="2687" w:type="dxa"/>
            <w:tcBorders>
              <w:top w:val="nil"/>
              <w:left w:val="single" w:sz="4" w:space="0" w:color="auto"/>
              <w:bottom w:val="nil"/>
              <w:right w:val="single" w:sz="4" w:space="0" w:color="auto"/>
            </w:tcBorders>
            <w:shd w:val="clear" w:color="auto" w:fill="auto"/>
          </w:tcPr>
          <w:p w:rsidR="00C36014" w:rsidRPr="00ED7F0F" w:rsidRDefault="00C36014" w:rsidP="00122C9F">
            <w:pPr>
              <w:tabs>
                <w:tab w:val="left" w:pos="1340"/>
              </w:tabs>
              <w:jc w:val="center"/>
              <w:rPr>
                <w:b/>
                <w:sz w:val="20"/>
              </w:rPr>
            </w:pPr>
            <w:r w:rsidRPr="00ED7F0F">
              <w:rPr>
                <w:b/>
                <w:sz w:val="20"/>
              </w:rPr>
              <w:t>8</w:t>
            </w:r>
          </w:p>
        </w:tc>
      </w:tr>
      <w:tr w:rsidR="00C36014" w:rsidRPr="00ED7F0F" w:rsidTr="000D1B96">
        <w:tc>
          <w:tcPr>
            <w:tcW w:w="3482" w:type="dxa"/>
            <w:tcBorders>
              <w:top w:val="nil"/>
              <w:left w:val="single" w:sz="4" w:space="0" w:color="auto"/>
              <w:bottom w:val="single" w:sz="4" w:space="0" w:color="auto"/>
              <w:right w:val="single" w:sz="4" w:space="0" w:color="auto"/>
            </w:tcBorders>
            <w:shd w:val="clear" w:color="auto" w:fill="auto"/>
          </w:tcPr>
          <w:p w:rsidR="00C36014" w:rsidRPr="00ED7F0F" w:rsidRDefault="00C36014" w:rsidP="00122C9F">
            <w:pPr>
              <w:tabs>
                <w:tab w:val="left" w:pos="1340"/>
              </w:tabs>
              <w:ind w:left="400"/>
              <w:rPr>
                <w:sz w:val="20"/>
              </w:rPr>
            </w:pPr>
            <w:r w:rsidRPr="00ED7F0F">
              <w:rPr>
                <w:sz w:val="20"/>
              </w:rPr>
              <w:t>Gastrointestinálne krvácanie</w:t>
            </w:r>
          </w:p>
        </w:tc>
        <w:tc>
          <w:tcPr>
            <w:tcW w:w="2693" w:type="dxa"/>
            <w:tcBorders>
              <w:top w:val="nil"/>
              <w:left w:val="single" w:sz="4" w:space="0" w:color="auto"/>
              <w:bottom w:val="single" w:sz="4" w:space="0" w:color="auto"/>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8</w:t>
            </w:r>
          </w:p>
        </w:tc>
        <w:tc>
          <w:tcPr>
            <w:tcW w:w="2687" w:type="dxa"/>
            <w:tcBorders>
              <w:top w:val="nil"/>
              <w:left w:val="single" w:sz="4" w:space="0" w:color="auto"/>
              <w:bottom w:val="single" w:sz="4" w:space="0" w:color="auto"/>
              <w:right w:val="single" w:sz="4" w:space="0" w:color="auto"/>
            </w:tcBorders>
            <w:shd w:val="clear" w:color="auto" w:fill="auto"/>
          </w:tcPr>
          <w:p w:rsidR="00C36014" w:rsidRPr="00ED7F0F" w:rsidRDefault="00C36014" w:rsidP="00122C9F">
            <w:pPr>
              <w:tabs>
                <w:tab w:val="left" w:pos="1340"/>
              </w:tabs>
              <w:jc w:val="center"/>
              <w:rPr>
                <w:sz w:val="20"/>
              </w:rPr>
            </w:pPr>
            <w:r w:rsidRPr="00ED7F0F">
              <w:rPr>
                <w:sz w:val="20"/>
              </w:rPr>
              <w:t>6</w:t>
            </w:r>
          </w:p>
        </w:tc>
      </w:tr>
    </w:tbl>
    <w:p w:rsidR="00C36014" w:rsidRPr="00ED7F0F" w:rsidRDefault="00C36014" w:rsidP="00122C9F">
      <w:pPr>
        <w:tabs>
          <w:tab w:val="clear" w:pos="567"/>
          <w:tab w:val="left" w:pos="284"/>
        </w:tabs>
        <w:autoSpaceDE w:val="0"/>
        <w:autoSpaceDN w:val="0"/>
        <w:adjustRightInd w:val="0"/>
        <w:ind w:left="284" w:hanging="284"/>
        <w:rPr>
          <w:rFonts w:eastAsia="TimesNewRoman"/>
          <w:sz w:val="18"/>
          <w:szCs w:val="18"/>
          <w:lang w:eastAsia="en-US"/>
        </w:rPr>
      </w:pPr>
      <w:r w:rsidRPr="00ED7F0F">
        <w:rPr>
          <w:rFonts w:eastAsia="TimesNewRoman"/>
          <w:sz w:val="20"/>
          <w:vertAlign w:val="superscript"/>
          <w:lang w:eastAsia="en-US"/>
        </w:rPr>
        <w:t>a</w:t>
      </w:r>
      <w:r w:rsidR="000D1B96" w:rsidRPr="00ED7F0F">
        <w:rPr>
          <w:sz w:val="20"/>
        </w:rPr>
        <w:tab/>
      </w:r>
      <w:r w:rsidRPr="00ED7F0F">
        <w:rPr>
          <w:rFonts w:eastAsia="TimesNewRoman"/>
          <w:sz w:val="18"/>
          <w:szCs w:val="18"/>
          <w:lang w:eastAsia="en-US"/>
        </w:rPr>
        <w:t xml:space="preserve">Výsledky štúdie fázy </w:t>
      </w:r>
      <w:r w:rsidR="00134DB7" w:rsidRPr="00ED7F0F">
        <w:rPr>
          <w:rFonts w:eastAsia="TimesNewRoman"/>
          <w:sz w:val="18"/>
          <w:szCs w:val="18"/>
          <w:lang w:eastAsia="en-US"/>
        </w:rPr>
        <w:t xml:space="preserve">3 </w:t>
      </w:r>
      <w:r w:rsidRPr="00ED7F0F">
        <w:rPr>
          <w:rFonts w:eastAsia="TimesNewRoman"/>
          <w:sz w:val="18"/>
          <w:szCs w:val="18"/>
          <w:lang w:eastAsia="en-US"/>
        </w:rPr>
        <w:t>optimalizácie dávky hlásené v populácii s odporúčanou začiatočnou dávkou 140 mg jedenkrát denne (n=304) pri 2-ročnej finálnej štúdii následného sledovania.</w:t>
      </w:r>
    </w:p>
    <w:p w:rsidR="00C36014" w:rsidRPr="00ED7F0F" w:rsidRDefault="00C36014" w:rsidP="00122C9F">
      <w:pPr>
        <w:tabs>
          <w:tab w:val="clear" w:pos="567"/>
          <w:tab w:val="left" w:pos="284"/>
        </w:tabs>
        <w:autoSpaceDE w:val="0"/>
        <w:autoSpaceDN w:val="0"/>
        <w:adjustRightInd w:val="0"/>
        <w:ind w:left="284" w:hanging="284"/>
        <w:rPr>
          <w:color w:val="000000"/>
          <w:sz w:val="18"/>
          <w:szCs w:val="18"/>
        </w:rPr>
      </w:pPr>
      <w:r w:rsidRPr="00ED7F0F">
        <w:rPr>
          <w:rFonts w:eastAsia="TimesNewRoman"/>
          <w:sz w:val="18"/>
          <w:szCs w:val="18"/>
          <w:vertAlign w:val="superscript"/>
          <w:lang w:eastAsia="en-US"/>
        </w:rPr>
        <w:t>b</w:t>
      </w:r>
      <w:r w:rsidR="000D1B96" w:rsidRPr="00ED7F0F">
        <w:rPr>
          <w:rFonts w:eastAsia="TimesNewRoman"/>
          <w:sz w:val="18"/>
          <w:szCs w:val="18"/>
          <w:lang w:eastAsia="en-US"/>
        </w:rPr>
        <w:tab/>
      </w:r>
      <w:r w:rsidRPr="00ED7F0F">
        <w:rPr>
          <w:rFonts w:eastAsia="TimesNewRoman"/>
          <w:sz w:val="18"/>
          <w:szCs w:val="18"/>
          <w:lang w:eastAsia="en-US"/>
        </w:rPr>
        <w:t>Vrátane komorovej dysfunkcie, srdcového zlyhávania, kongestívneho srdcového zlyhávania, kardiomyopatie, kongestívnej kardiomyopatie, diastolickej dysfunkcie, zníženi</w:t>
      </w:r>
      <w:r w:rsidR="00673840" w:rsidRPr="00ED7F0F">
        <w:rPr>
          <w:rFonts w:eastAsia="TimesNewRoman"/>
          <w:sz w:val="18"/>
          <w:szCs w:val="18"/>
          <w:lang w:eastAsia="en-US"/>
        </w:rPr>
        <w:t>a</w:t>
      </w:r>
      <w:r w:rsidRPr="00ED7F0F">
        <w:rPr>
          <w:rFonts w:eastAsia="TimesNewRoman"/>
          <w:sz w:val="18"/>
          <w:szCs w:val="18"/>
          <w:lang w:eastAsia="en-US"/>
        </w:rPr>
        <w:t xml:space="preserve"> ejekčnej frakcie a komorového zlyhávania.</w:t>
      </w:r>
    </w:p>
    <w:p w:rsidR="0030746F" w:rsidRPr="00ED7F0F" w:rsidRDefault="0030746F" w:rsidP="00122C9F">
      <w:pPr>
        <w:ind w:left="29"/>
      </w:pPr>
    </w:p>
    <w:p w:rsidR="0030746F" w:rsidRPr="00ED7F0F" w:rsidRDefault="0030746F" w:rsidP="00122C9F">
      <w:pPr>
        <w:ind w:left="29"/>
      </w:pPr>
      <w:r w:rsidRPr="00ED7F0F">
        <w:t>Vykonali sa naviac dve štúdie  celkovo 161 pediatrickými pacientmi s ALL s Ph+, ktorým sa dasatinib podával v kombinácii s chemoterapiou. V pivotnej štúdii, 106 pediatrických pacientov dostalo dasatin</w:t>
      </w:r>
      <w:r w:rsidR="00412D70" w:rsidRPr="00ED7F0F">
        <w:t>i</w:t>
      </w:r>
      <w:r w:rsidRPr="00ED7F0F">
        <w:t>b v kombinácii s chemoterapiou s neprerušovanou schémou podávania. V podpornej štúdii s 55 pediatrickými pacientmi, 35 dostávalo dasatinib v kombinácii s chemoterapiou s prerušovanou schémou podávania (dva týždne liečby po ktorých nasledoval jeden až dva týždne bez liečby) a 20 dostávalo dasatinib v kombinácii s chemoterapiou s neprerušovanou schémou podávania. U</w:t>
      </w:r>
      <w:r w:rsidR="000174B3" w:rsidRPr="00ED7F0F">
        <w:t> </w:t>
      </w:r>
      <w:r w:rsidRPr="00ED7F0F">
        <w:t xml:space="preserve">126 pediatrických pacientov s ALL s Ph+ liečených </w:t>
      </w:r>
      <w:r w:rsidR="000174B3" w:rsidRPr="00ED7F0F">
        <w:t xml:space="preserve">dasatinibom </w:t>
      </w:r>
      <w:r w:rsidRPr="00ED7F0F">
        <w:t>s</w:t>
      </w:r>
      <w:r w:rsidR="000174B3" w:rsidRPr="00ED7F0F">
        <w:t> </w:t>
      </w:r>
      <w:r w:rsidRPr="00ED7F0F">
        <w:t>neprerušovanou schémou podávania bol medián trvania liečby 23,6</w:t>
      </w:r>
      <w:r w:rsidR="000174B3" w:rsidRPr="00ED7F0F">
        <w:t> </w:t>
      </w:r>
      <w:r w:rsidRPr="00ED7F0F">
        <w:t>mesiaca (rozsah 1,4 až 33 mesiacov).</w:t>
      </w:r>
    </w:p>
    <w:p w:rsidR="0030746F" w:rsidRPr="00ED7F0F" w:rsidRDefault="0030746F" w:rsidP="00122C9F">
      <w:pPr>
        <w:spacing w:line="259" w:lineRule="auto"/>
        <w:ind w:left="34"/>
      </w:pPr>
    </w:p>
    <w:p w:rsidR="0030746F" w:rsidRPr="00ED7F0F" w:rsidRDefault="0030746F" w:rsidP="00122C9F">
      <w:pPr>
        <w:ind w:left="29"/>
      </w:pPr>
      <w:r w:rsidRPr="00ED7F0F">
        <w:t>Zo 126</w:t>
      </w:r>
      <w:r w:rsidR="000174B3" w:rsidRPr="00ED7F0F">
        <w:t> </w:t>
      </w:r>
      <w:r w:rsidRPr="00ED7F0F">
        <w:t>pediatrických pacientov s Ph+ ALL s</w:t>
      </w:r>
      <w:r w:rsidR="000174B3" w:rsidRPr="00ED7F0F">
        <w:t> </w:t>
      </w:r>
      <w:r w:rsidRPr="00ED7F0F">
        <w:t>neprerušovanou schémou podávania sa u 2 (1,6</w:t>
      </w:r>
      <w:r w:rsidR="000174B3" w:rsidRPr="00ED7F0F">
        <w:t> </w:t>
      </w:r>
      <w:r w:rsidRPr="00ED7F0F">
        <w:t>%) vyskytli nežiaduce reakcie vedúce k ukončeniu liečby. Nežiaduce reakcie hlásené v</w:t>
      </w:r>
      <w:r w:rsidR="000174B3" w:rsidRPr="00ED7F0F">
        <w:t> </w:t>
      </w:r>
      <w:r w:rsidRPr="00ED7F0F">
        <w:t xml:space="preserve">týchto dvoch pediatrických štúdiách s frekvenciou </w:t>
      </w:r>
      <w:r w:rsidR="00673840" w:rsidRPr="00ED7F0F">
        <w:rPr>
          <w:szCs w:val="22"/>
          <w:lang w:bidi="ar-SA"/>
        </w:rPr>
        <w:t>≥</w:t>
      </w:r>
      <w:r w:rsidRPr="00ED7F0F">
        <w:t>10 % u</w:t>
      </w:r>
      <w:r w:rsidR="000174B3" w:rsidRPr="00ED7F0F">
        <w:t> </w:t>
      </w:r>
      <w:r w:rsidRPr="00ED7F0F">
        <w:t>pacientov s</w:t>
      </w:r>
      <w:r w:rsidR="000174B3" w:rsidRPr="00ED7F0F">
        <w:t> </w:t>
      </w:r>
      <w:r w:rsidR="00412D70" w:rsidRPr="00ED7F0F">
        <w:t>neprerušovanou schémou</w:t>
      </w:r>
      <w:r w:rsidRPr="00ED7F0F">
        <w:t xml:space="preserve"> podávania sú uvedené v</w:t>
      </w:r>
      <w:r w:rsidR="000174B3" w:rsidRPr="00ED7F0F">
        <w:t> </w:t>
      </w:r>
      <w:r w:rsidRPr="00ED7F0F">
        <w:t>tabuľke</w:t>
      </w:r>
      <w:r w:rsidR="000174B3" w:rsidRPr="00ED7F0F">
        <w:t> </w:t>
      </w:r>
      <w:r w:rsidRPr="00ED7F0F">
        <w:t>7. Poznámka, pleuráln</w:t>
      </w:r>
      <w:r w:rsidR="00673840" w:rsidRPr="00ED7F0F">
        <w:t>y výpotok</w:t>
      </w:r>
      <w:r w:rsidRPr="00ED7F0F">
        <w:t xml:space="preserve"> sa hlásil u 7 (5,6 %) pacientov v</w:t>
      </w:r>
      <w:r w:rsidR="000174B3" w:rsidRPr="00ED7F0F">
        <w:t> </w:t>
      </w:r>
      <w:r w:rsidRPr="00ED7F0F">
        <w:t>tejto skupine, a preto nie je zahrnut</w:t>
      </w:r>
      <w:r w:rsidR="00673840" w:rsidRPr="00ED7F0F">
        <w:t>ý</w:t>
      </w:r>
      <w:r w:rsidRPr="00ED7F0F">
        <w:t xml:space="preserve"> v</w:t>
      </w:r>
      <w:r w:rsidR="000174B3" w:rsidRPr="00ED7F0F">
        <w:t> </w:t>
      </w:r>
      <w:r w:rsidRPr="00ED7F0F">
        <w:t>tabuľke.</w:t>
      </w:r>
    </w:p>
    <w:p w:rsidR="0030746F" w:rsidRPr="00ED7F0F" w:rsidRDefault="0030746F" w:rsidP="00122C9F">
      <w:pPr>
        <w:spacing w:line="259" w:lineRule="auto"/>
        <w:ind w:left="34"/>
      </w:pPr>
    </w:p>
    <w:p w:rsidR="0030746F" w:rsidRPr="00ED7F0F" w:rsidRDefault="0030746F" w:rsidP="00122C9F">
      <w:pPr>
        <w:tabs>
          <w:tab w:val="clear" w:pos="567"/>
          <w:tab w:val="left" w:pos="1056"/>
        </w:tabs>
        <w:spacing w:line="245" w:lineRule="auto"/>
        <w:ind w:left="1134" w:hanging="1134"/>
        <w:rPr>
          <w:b/>
          <w:szCs w:val="22"/>
          <w:lang w:eastAsia="en-GB" w:bidi="ar-SA"/>
        </w:rPr>
      </w:pPr>
      <w:r w:rsidRPr="00ED7F0F">
        <w:rPr>
          <w:b/>
          <w:szCs w:val="22"/>
          <w:lang w:eastAsia="en-GB" w:bidi="ar-SA"/>
        </w:rPr>
        <w:t>Tabuľka 7: Nežiaduce reakcie hlásené u ≥</w:t>
      </w:r>
      <w:r w:rsidR="000174B3" w:rsidRPr="00ED7F0F">
        <w:rPr>
          <w:b/>
          <w:szCs w:val="22"/>
          <w:lang w:eastAsia="en-GB" w:bidi="ar-SA"/>
        </w:rPr>
        <w:t> </w:t>
      </w:r>
      <w:r w:rsidRPr="00ED7F0F">
        <w:rPr>
          <w:b/>
          <w:szCs w:val="22"/>
          <w:lang w:eastAsia="en-GB" w:bidi="ar-SA"/>
        </w:rPr>
        <w:t>10</w:t>
      </w:r>
      <w:r w:rsidR="000174B3" w:rsidRPr="00ED7F0F">
        <w:rPr>
          <w:b/>
          <w:szCs w:val="22"/>
          <w:lang w:eastAsia="en-GB" w:bidi="ar-SA"/>
        </w:rPr>
        <w:t> </w:t>
      </w:r>
      <w:r w:rsidRPr="00ED7F0F">
        <w:rPr>
          <w:b/>
          <w:szCs w:val="22"/>
          <w:lang w:eastAsia="en-GB" w:bidi="ar-SA"/>
        </w:rPr>
        <w:t>% pediatrických pacientov s</w:t>
      </w:r>
      <w:r w:rsidR="000174B3" w:rsidRPr="00ED7F0F">
        <w:rPr>
          <w:b/>
          <w:szCs w:val="22"/>
          <w:lang w:eastAsia="en-GB" w:bidi="ar-SA"/>
        </w:rPr>
        <w:t> </w:t>
      </w:r>
      <w:r w:rsidRPr="00ED7F0F">
        <w:rPr>
          <w:b/>
          <w:szCs w:val="22"/>
          <w:lang w:eastAsia="en-GB" w:bidi="ar-SA"/>
        </w:rPr>
        <w:t>ALL s</w:t>
      </w:r>
      <w:r w:rsidR="000174B3" w:rsidRPr="00ED7F0F">
        <w:rPr>
          <w:b/>
          <w:szCs w:val="22"/>
          <w:lang w:eastAsia="en-GB" w:bidi="ar-SA"/>
        </w:rPr>
        <w:t> </w:t>
      </w:r>
      <w:r w:rsidRPr="00ED7F0F">
        <w:rPr>
          <w:b/>
          <w:szCs w:val="22"/>
          <w:lang w:eastAsia="en-GB" w:bidi="ar-SA"/>
        </w:rPr>
        <w:t xml:space="preserve">Ph+ liečených </w:t>
      </w:r>
      <w:r w:rsidR="000174B3" w:rsidRPr="00ED7F0F">
        <w:rPr>
          <w:b/>
          <w:szCs w:val="22"/>
          <w:lang w:eastAsia="en-GB" w:bidi="ar-SA"/>
        </w:rPr>
        <w:t>dasatinibom</w:t>
      </w:r>
      <w:r w:rsidRPr="00ED7F0F">
        <w:rPr>
          <w:b/>
          <w:szCs w:val="22"/>
          <w:lang w:eastAsia="en-GB" w:bidi="ar-SA"/>
        </w:rPr>
        <w:t xml:space="preserve"> s</w:t>
      </w:r>
      <w:r w:rsidR="000174B3" w:rsidRPr="00ED7F0F">
        <w:rPr>
          <w:b/>
          <w:szCs w:val="22"/>
          <w:lang w:eastAsia="en-GB" w:bidi="ar-SA"/>
        </w:rPr>
        <w:t> </w:t>
      </w:r>
      <w:r w:rsidRPr="00ED7F0F">
        <w:rPr>
          <w:b/>
          <w:szCs w:val="22"/>
          <w:lang w:eastAsia="en-GB" w:bidi="ar-SA"/>
        </w:rPr>
        <w:t>neprerušovanou schémou podávania v</w:t>
      </w:r>
      <w:r w:rsidR="000174B3" w:rsidRPr="00ED7F0F">
        <w:rPr>
          <w:b/>
          <w:szCs w:val="22"/>
          <w:lang w:eastAsia="en-GB" w:bidi="ar-SA"/>
        </w:rPr>
        <w:t> </w:t>
      </w:r>
      <w:r w:rsidRPr="00ED7F0F">
        <w:rPr>
          <w:b/>
          <w:szCs w:val="22"/>
          <w:lang w:eastAsia="en-GB" w:bidi="ar-SA"/>
        </w:rPr>
        <w:t>kombinácii s</w:t>
      </w:r>
      <w:r w:rsidR="000174B3" w:rsidRPr="00ED7F0F">
        <w:rPr>
          <w:b/>
          <w:szCs w:val="22"/>
          <w:lang w:eastAsia="en-GB" w:bidi="ar-SA"/>
        </w:rPr>
        <w:t> </w:t>
      </w:r>
      <w:r w:rsidRPr="00ED7F0F">
        <w:rPr>
          <w:b/>
          <w:szCs w:val="22"/>
          <w:lang w:eastAsia="en-GB" w:bidi="ar-SA"/>
        </w:rPr>
        <w:t>chemoterapiou (N=126)</w:t>
      </w:r>
      <w:r w:rsidRPr="00ED7F0F">
        <w:rPr>
          <w:b/>
          <w:szCs w:val="22"/>
          <w:vertAlign w:val="superscript"/>
          <w:lang w:eastAsia="en-GB" w:bidi="ar-SA"/>
        </w:rPr>
        <w:t>a</w:t>
      </w:r>
    </w:p>
    <w:tbl>
      <w:tblPr>
        <w:tblStyle w:val="TableGrid"/>
        <w:tblW w:w="8735" w:type="dxa"/>
        <w:tblInd w:w="-65" w:type="dxa"/>
        <w:tblCellMar>
          <w:top w:w="25" w:type="dxa"/>
          <w:right w:w="115" w:type="dxa"/>
        </w:tblCellMar>
        <w:tblLook w:val="04A0" w:firstRow="1" w:lastRow="0" w:firstColumn="1" w:lastColumn="0" w:noHBand="0" w:noVBand="1"/>
      </w:tblPr>
      <w:tblGrid>
        <w:gridCol w:w="3241"/>
        <w:gridCol w:w="3298"/>
        <w:gridCol w:w="2196"/>
      </w:tblGrid>
      <w:tr w:rsidR="0030746F" w:rsidRPr="00ED7F0F" w:rsidTr="009A0932">
        <w:trPr>
          <w:trHeight w:val="250"/>
        </w:trPr>
        <w:tc>
          <w:tcPr>
            <w:tcW w:w="3241" w:type="dxa"/>
            <w:tcBorders>
              <w:top w:val="single" w:sz="6" w:space="0" w:color="000000"/>
              <w:bottom w:val="single" w:sz="4" w:space="0" w:color="000000"/>
              <w:right w:val="single" w:sz="4" w:space="0" w:color="auto"/>
            </w:tcBorders>
          </w:tcPr>
          <w:p w:rsidR="0030746F" w:rsidRPr="00ED7F0F" w:rsidRDefault="0030746F" w:rsidP="00122C9F">
            <w:pPr>
              <w:spacing w:line="259" w:lineRule="auto"/>
              <w:ind w:left="115"/>
              <w:rPr>
                <w:rFonts w:ascii="Times New Roman" w:hAnsi="Times New Roman" w:cs="Times New Roman"/>
              </w:rPr>
            </w:pPr>
          </w:p>
        </w:tc>
        <w:tc>
          <w:tcPr>
            <w:tcW w:w="5494" w:type="dxa"/>
            <w:gridSpan w:val="2"/>
            <w:tcBorders>
              <w:top w:val="single" w:sz="6" w:space="0" w:color="000000"/>
              <w:left w:val="single" w:sz="4" w:space="0" w:color="auto"/>
              <w:bottom w:val="single" w:sz="4" w:space="0" w:color="000000"/>
            </w:tcBorders>
          </w:tcPr>
          <w:p w:rsidR="0030746F" w:rsidRPr="00ED7F0F" w:rsidRDefault="0030746F" w:rsidP="00122C9F">
            <w:pPr>
              <w:spacing w:line="259" w:lineRule="auto"/>
              <w:ind w:left="1278"/>
              <w:rPr>
                <w:rFonts w:ascii="Times New Roman" w:hAnsi="Times New Roman" w:cs="Times New Roman"/>
              </w:rPr>
            </w:pPr>
            <w:r w:rsidRPr="00ED7F0F">
              <w:rPr>
                <w:rFonts w:ascii="Times New Roman" w:hAnsi="Times New Roman" w:cs="Times New Roman"/>
                <w:b/>
              </w:rPr>
              <w:t>Percento (%) pacientov</w:t>
            </w:r>
            <w:r w:rsidRPr="00ED7F0F">
              <w:rPr>
                <w:rFonts w:ascii="Times New Roman" w:hAnsi="Times New Roman" w:cs="Times New Roman"/>
                <w:sz w:val="19"/>
              </w:rPr>
              <w:t xml:space="preserve"> </w:t>
            </w:r>
          </w:p>
        </w:tc>
      </w:tr>
      <w:tr w:rsidR="0030746F" w:rsidRPr="00ED7F0F" w:rsidTr="009A0932">
        <w:trPr>
          <w:trHeight w:val="248"/>
        </w:trPr>
        <w:tc>
          <w:tcPr>
            <w:tcW w:w="3241" w:type="dxa"/>
            <w:tcBorders>
              <w:top w:val="single" w:sz="4" w:space="0" w:color="000000"/>
              <w:bottom w:val="single" w:sz="3" w:space="0" w:color="000000"/>
              <w:right w:val="single" w:sz="4" w:space="0" w:color="auto"/>
            </w:tcBorders>
          </w:tcPr>
          <w:p w:rsidR="0030746F" w:rsidRPr="00ED7F0F" w:rsidRDefault="0030746F" w:rsidP="00122C9F">
            <w:pPr>
              <w:spacing w:line="259" w:lineRule="auto"/>
              <w:ind w:left="115"/>
              <w:rPr>
                <w:rFonts w:ascii="Times New Roman" w:hAnsi="Times New Roman" w:cs="Times New Roman"/>
              </w:rPr>
            </w:pPr>
            <w:r w:rsidRPr="00ED7F0F">
              <w:rPr>
                <w:rFonts w:ascii="Times New Roman" w:hAnsi="Times New Roman" w:cs="Times New Roman"/>
                <w:b/>
              </w:rPr>
              <w:t xml:space="preserve">Nežiaduca reakcia </w:t>
            </w:r>
          </w:p>
        </w:tc>
        <w:tc>
          <w:tcPr>
            <w:tcW w:w="3298" w:type="dxa"/>
            <w:tcBorders>
              <w:top w:val="single" w:sz="4" w:space="0" w:color="000000"/>
              <w:left w:val="single" w:sz="4" w:space="0" w:color="auto"/>
              <w:bottom w:val="single" w:sz="3" w:space="0" w:color="000000"/>
              <w:right w:val="single" w:sz="4" w:space="0" w:color="auto"/>
            </w:tcBorders>
          </w:tcPr>
          <w:p w:rsidR="0030746F" w:rsidRPr="00ED7F0F" w:rsidRDefault="0030746F" w:rsidP="00122C9F">
            <w:pPr>
              <w:spacing w:line="259" w:lineRule="auto"/>
              <w:rPr>
                <w:rFonts w:ascii="Times New Roman" w:hAnsi="Times New Roman" w:cs="Times New Roman"/>
              </w:rPr>
            </w:pPr>
            <w:r w:rsidRPr="00ED7F0F">
              <w:rPr>
                <w:rFonts w:ascii="Times New Roman" w:hAnsi="Times New Roman" w:cs="Times New Roman"/>
                <w:b/>
              </w:rPr>
              <w:t xml:space="preserve">Všetky stupne </w:t>
            </w:r>
          </w:p>
        </w:tc>
        <w:tc>
          <w:tcPr>
            <w:tcW w:w="2195" w:type="dxa"/>
            <w:tcBorders>
              <w:top w:val="single" w:sz="4" w:space="0" w:color="000000"/>
              <w:left w:val="single" w:sz="4" w:space="0" w:color="auto"/>
              <w:bottom w:val="single" w:sz="3" w:space="0" w:color="000000"/>
            </w:tcBorders>
          </w:tcPr>
          <w:p w:rsidR="0030746F" w:rsidRPr="00ED7F0F" w:rsidRDefault="0030746F" w:rsidP="00122C9F">
            <w:pPr>
              <w:spacing w:line="259" w:lineRule="auto"/>
              <w:rPr>
                <w:rFonts w:ascii="Times New Roman" w:hAnsi="Times New Roman" w:cs="Times New Roman"/>
              </w:rPr>
            </w:pPr>
            <w:r w:rsidRPr="00ED7F0F">
              <w:rPr>
                <w:rFonts w:ascii="Times New Roman" w:hAnsi="Times New Roman" w:cs="Times New Roman"/>
                <w:b/>
              </w:rPr>
              <w:t xml:space="preserve">3./4. stupeň </w:t>
            </w:r>
          </w:p>
        </w:tc>
      </w:tr>
      <w:tr w:rsidR="0030746F" w:rsidRPr="00ED7F0F" w:rsidTr="009A0932">
        <w:trPr>
          <w:trHeight w:val="267"/>
        </w:trPr>
        <w:tc>
          <w:tcPr>
            <w:tcW w:w="3241" w:type="dxa"/>
            <w:tcBorders>
              <w:top w:val="single" w:sz="3" w:space="0" w:color="000000"/>
              <w:bottom w:val="nil"/>
              <w:right w:val="single" w:sz="4" w:space="0" w:color="auto"/>
            </w:tcBorders>
          </w:tcPr>
          <w:p w:rsidR="0030746F" w:rsidRPr="00ED7F0F" w:rsidRDefault="0030746F" w:rsidP="00122C9F">
            <w:pPr>
              <w:spacing w:line="259" w:lineRule="auto"/>
              <w:ind w:left="284"/>
              <w:rPr>
                <w:rFonts w:ascii="Times New Roman" w:hAnsi="Times New Roman" w:cs="Times New Roman"/>
              </w:rPr>
            </w:pPr>
            <w:r w:rsidRPr="00ED7F0F">
              <w:rPr>
                <w:rFonts w:ascii="Times New Roman" w:hAnsi="Times New Roman" w:cs="Times New Roman"/>
              </w:rPr>
              <w:t xml:space="preserve">Febrilná neutropénia </w:t>
            </w:r>
          </w:p>
        </w:tc>
        <w:tc>
          <w:tcPr>
            <w:tcW w:w="3298" w:type="dxa"/>
            <w:tcBorders>
              <w:top w:val="single" w:sz="3" w:space="0" w:color="000000"/>
              <w:left w:val="single" w:sz="4" w:space="0" w:color="auto"/>
              <w:bottom w:val="nil"/>
              <w:right w:val="single" w:sz="4" w:space="0" w:color="auto"/>
            </w:tcBorders>
          </w:tcPr>
          <w:p w:rsidR="0030746F" w:rsidRPr="00ED7F0F" w:rsidRDefault="0030746F" w:rsidP="00122C9F">
            <w:pPr>
              <w:spacing w:line="259" w:lineRule="auto"/>
              <w:ind w:left="529"/>
              <w:rPr>
                <w:rFonts w:ascii="Times New Roman" w:hAnsi="Times New Roman" w:cs="Times New Roman"/>
              </w:rPr>
            </w:pPr>
            <w:r w:rsidRPr="00ED7F0F">
              <w:rPr>
                <w:rFonts w:ascii="Times New Roman" w:hAnsi="Times New Roman" w:cs="Times New Roman"/>
              </w:rPr>
              <w:t xml:space="preserve">27,0 </w:t>
            </w:r>
          </w:p>
        </w:tc>
        <w:tc>
          <w:tcPr>
            <w:tcW w:w="2195" w:type="dxa"/>
            <w:tcBorders>
              <w:top w:val="single" w:sz="3" w:space="0" w:color="000000"/>
              <w:left w:val="single" w:sz="4" w:space="0" w:color="auto"/>
              <w:bottom w:val="nil"/>
            </w:tcBorders>
          </w:tcPr>
          <w:p w:rsidR="0030746F" w:rsidRPr="00ED7F0F" w:rsidRDefault="0030746F" w:rsidP="00122C9F">
            <w:pPr>
              <w:spacing w:line="259" w:lineRule="auto"/>
              <w:ind w:left="405"/>
              <w:rPr>
                <w:rFonts w:ascii="Times New Roman" w:hAnsi="Times New Roman" w:cs="Times New Roman"/>
              </w:rPr>
            </w:pPr>
            <w:r w:rsidRPr="00ED7F0F">
              <w:rPr>
                <w:rFonts w:ascii="Times New Roman" w:hAnsi="Times New Roman" w:cs="Times New Roman"/>
              </w:rPr>
              <w:t xml:space="preserve">26,2 </w:t>
            </w:r>
          </w:p>
        </w:tc>
      </w:tr>
      <w:tr w:rsidR="0030746F" w:rsidRPr="00ED7F0F" w:rsidTr="009A0932">
        <w:trPr>
          <w:trHeight w:val="238"/>
        </w:trPr>
        <w:tc>
          <w:tcPr>
            <w:tcW w:w="3241" w:type="dxa"/>
            <w:tcBorders>
              <w:top w:val="nil"/>
              <w:bottom w:val="nil"/>
              <w:right w:val="single" w:sz="4" w:space="0" w:color="auto"/>
            </w:tcBorders>
          </w:tcPr>
          <w:p w:rsidR="0030746F" w:rsidRPr="00ED7F0F" w:rsidRDefault="0030746F" w:rsidP="00122C9F">
            <w:pPr>
              <w:spacing w:line="259" w:lineRule="auto"/>
              <w:ind w:left="284"/>
              <w:rPr>
                <w:rFonts w:ascii="Times New Roman" w:hAnsi="Times New Roman" w:cs="Times New Roman"/>
              </w:rPr>
            </w:pPr>
            <w:r w:rsidRPr="00ED7F0F">
              <w:rPr>
                <w:rFonts w:ascii="Times New Roman" w:hAnsi="Times New Roman" w:cs="Times New Roman"/>
              </w:rPr>
              <w:t xml:space="preserve">Nauzea </w:t>
            </w:r>
          </w:p>
        </w:tc>
        <w:tc>
          <w:tcPr>
            <w:tcW w:w="3298" w:type="dxa"/>
            <w:tcBorders>
              <w:top w:val="nil"/>
              <w:left w:val="single" w:sz="4" w:space="0" w:color="auto"/>
              <w:bottom w:val="nil"/>
              <w:right w:val="single" w:sz="4" w:space="0" w:color="auto"/>
            </w:tcBorders>
          </w:tcPr>
          <w:p w:rsidR="0030746F" w:rsidRPr="00ED7F0F" w:rsidRDefault="0030746F" w:rsidP="00122C9F">
            <w:pPr>
              <w:spacing w:line="259" w:lineRule="auto"/>
              <w:ind w:left="530"/>
              <w:rPr>
                <w:rFonts w:ascii="Times New Roman" w:hAnsi="Times New Roman" w:cs="Times New Roman"/>
              </w:rPr>
            </w:pPr>
            <w:r w:rsidRPr="00ED7F0F">
              <w:rPr>
                <w:rFonts w:ascii="Times New Roman" w:hAnsi="Times New Roman" w:cs="Times New Roman"/>
              </w:rPr>
              <w:t xml:space="preserve">20,6 </w:t>
            </w:r>
          </w:p>
        </w:tc>
        <w:tc>
          <w:tcPr>
            <w:tcW w:w="2195" w:type="dxa"/>
            <w:tcBorders>
              <w:top w:val="nil"/>
              <w:left w:val="single" w:sz="4" w:space="0" w:color="auto"/>
              <w:bottom w:val="nil"/>
            </w:tcBorders>
          </w:tcPr>
          <w:p w:rsidR="0030746F" w:rsidRPr="00ED7F0F" w:rsidRDefault="0030746F" w:rsidP="00122C9F">
            <w:pPr>
              <w:spacing w:line="259" w:lineRule="auto"/>
              <w:ind w:left="458"/>
              <w:rPr>
                <w:rFonts w:ascii="Times New Roman" w:hAnsi="Times New Roman" w:cs="Times New Roman"/>
              </w:rPr>
            </w:pPr>
            <w:r w:rsidRPr="00ED7F0F">
              <w:rPr>
                <w:rFonts w:ascii="Times New Roman" w:hAnsi="Times New Roman" w:cs="Times New Roman"/>
              </w:rPr>
              <w:t xml:space="preserve">5,6 </w:t>
            </w:r>
          </w:p>
        </w:tc>
      </w:tr>
      <w:tr w:rsidR="0030746F" w:rsidRPr="00ED7F0F" w:rsidTr="009A0932">
        <w:trPr>
          <w:trHeight w:val="238"/>
        </w:trPr>
        <w:tc>
          <w:tcPr>
            <w:tcW w:w="3241" w:type="dxa"/>
            <w:tcBorders>
              <w:top w:val="nil"/>
              <w:bottom w:val="nil"/>
              <w:right w:val="single" w:sz="4" w:space="0" w:color="auto"/>
            </w:tcBorders>
          </w:tcPr>
          <w:p w:rsidR="0030746F" w:rsidRPr="00ED7F0F" w:rsidRDefault="0030746F" w:rsidP="00122C9F">
            <w:pPr>
              <w:spacing w:line="259" w:lineRule="auto"/>
              <w:ind w:left="284"/>
              <w:rPr>
                <w:rFonts w:ascii="Times New Roman" w:hAnsi="Times New Roman" w:cs="Times New Roman"/>
              </w:rPr>
            </w:pPr>
            <w:r w:rsidRPr="00ED7F0F">
              <w:rPr>
                <w:rFonts w:ascii="Times New Roman" w:hAnsi="Times New Roman" w:cs="Times New Roman"/>
              </w:rPr>
              <w:t xml:space="preserve">Vracanie </w:t>
            </w:r>
          </w:p>
        </w:tc>
        <w:tc>
          <w:tcPr>
            <w:tcW w:w="3298" w:type="dxa"/>
            <w:tcBorders>
              <w:top w:val="nil"/>
              <w:left w:val="single" w:sz="4" w:space="0" w:color="auto"/>
              <w:bottom w:val="nil"/>
              <w:right w:val="single" w:sz="4" w:space="0" w:color="auto"/>
            </w:tcBorders>
          </w:tcPr>
          <w:p w:rsidR="0030746F" w:rsidRPr="00ED7F0F" w:rsidRDefault="0030746F" w:rsidP="00122C9F">
            <w:pPr>
              <w:spacing w:line="259" w:lineRule="auto"/>
              <w:ind w:left="529"/>
              <w:rPr>
                <w:rFonts w:ascii="Times New Roman" w:hAnsi="Times New Roman" w:cs="Times New Roman"/>
              </w:rPr>
            </w:pPr>
            <w:r w:rsidRPr="00ED7F0F">
              <w:rPr>
                <w:rFonts w:ascii="Times New Roman" w:hAnsi="Times New Roman" w:cs="Times New Roman"/>
              </w:rPr>
              <w:t xml:space="preserve">20,6 </w:t>
            </w:r>
          </w:p>
        </w:tc>
        <w:tc>
          <w:tcPr>
            <w:tcW w:w="2195" w:type="dxa"/>
            <w:tcBorders>
              <w:top w:val="nil"/>
              <w:left w:val="single" w:sz="4" w:space="0" w:color="auto"/>
              <w:bottom w:val="nil"/>
            </w:tcBorders>
          </w:tcPr>
          <w:p w:rsidR="0030746F" w:rsidRPr="00ED7F0F" w:rsidRDefault="0030746F" w:rsidP="00122C9F">
            <w:pPr>
              <w:spacing w:line="259" w:lineRule="auto"/>
              <w:ind w:left="458"/>
              <w:rPr>
                <w:rFonts w:ascii="Times New Roman" w:hAnsi="Times New Roman" w:cs="Times New Roman"/>
              </w:rPr>
            </w:pPr>
            <w:r w:rsidRPr="00ED7F0F">
              <w:rPr>
                <w:rFonts w:ascii="Times New Roman" w:hAnsi="Times New Roman" w:cs="Times New Roman"/>
              </w:rPr>
              <w:t xml:space="preserve">4,8 </w:t>
            </w:r>
          </w:p>
        </w:tc>
      </w:tr>
      <w:tr w:rsidR="0030746F" w:rsidRPr="00ED7F0F" w:rsidTr="009A0932">
        <w:trPr>
          <w:trHeight w:val="238"/>
        </w:trPr>
        <w:tc>
          <w:tcPr>
            <w:tcW w:w="3241" w:type="dxa"/>
            <w:tcBorders>
              <w:top w:val="nil"/>
              <w:bottom w:val="nil"/>
              <w:right w:val="single" w:sz="4" w:space="0" w:color="auto"/>
            </w:tcBorders>
          </w:tcPr>
          <w:p w:rsidR="0030746F" w:rsidRPr="00ED7F0F" w:rsidRDefault="0030746F" w:rsidP="00122C9F">
            <w:pPr>
              <w:spacing w:line="259" w:lineRule="auto"/>
              <w:ind w:left="284"/>
              <w:rPr>
                <w:rFonts w:ascii="Times New Roman" w:hAnsi="Times New Roman" w:cs="Times New Roman"/>
              </w:rPr>
            </w:pPr>
            <w:r w:rsidRPr="00ED7F0F">
              <w:rPr>
                <w:rFonts w:ascii="Times New Roman" w:hAnsi="Times New Roman" w:cs="Times New Roman"/>
              </w:rPr>
              <w:t xml:space="preserve">Abdominálna bolesť </w:t>
            </w:r>
          </w:p>
        </w:tc>
        <w:tc>
          <w:tcPr>
            <w:tcW w:w="3298" w:type="dxa"/>
            <w:tcBorders>
              <w:top w:val="nil"/>
              <w:left w:val="single" w:sz="4" w:space="0" w:color="auto"/>
              <w:bottom w:val="nil"/>
              <w:right w:val="single" w:sz="4" w:space="0" w:color="auto"/>
            </w:tcBorders>
          </w:tcPr>
          <w:p w:rsidR="0030746F" w:rsidRPr="00ED7F0F" w:rsidRDefault="0030746F" w:rsidP="00122C9F">
            <w:pPr>
              <w:spacing w:line="259" w:lineRule="auto"/>
              <w:ind w:left="529"/>
              <w:rPr>
                <w:rFonts w:ascii="Times New Roman" w:hAnsi="Times New Roman" w:cs="Times New Roman"/>
              </w:rPr>
            </w:pPr>
            <w:r w:rsidRPr="00ED7F0F">
              <w:rPr>
                <w:rFonts w:ascii="Times New Roman" w:hAnsi="Times New Roman" w:cs="Times New Roman"/>
              </w:rPr>
              <w:t xml:space="preserve">14,3 </w:t>
            </w:r>
          </w:p>
        </w:tc>
        <w:tc>
          <w:tcPr>
            <w:tcW w:w="2195" w:type="dxa"/>
            <w:tcBorders>
              <w:top w:val="nil"/>
              <w:left w:val="single" w:sz="4" w:space="0" w:color="auto"/>
              <w:bottom w:val="nil"/>
            </w:tcBorders>
          </w:tcPr>
          <w:p w:rsidR="0030746F" w:rsidRPr="00ED7F0F" w:rsidRDefault="0030746F" w:rsidP="00122C9F">
            <w:pPr>
              <w:spacing w:line="259" w:lineRule="auto"/>
              <w:ind w:left="458"/>
              <w:rPr>
                <w:rFonts w:ascii="Times New Roman" w:hAnsi="Times New Roman" w:cs="Times New Roman"/>
              </w:rPr>
            </w:pPr>
            <w:r w:rsidRPr="00ED7F0F">
              <w:rPr>
                <w:rFonts w:ascii="Times New Roman" w:hAnsi="Times New Roman" w:cs="Times New Roman"/>
              </w:rPr>
              <w:t xml:space="preserve">3,2 </w:t>
            </w:r>
          </w:p>
        </w:tc>
      </w:tr>
      <w:tr w:rsidR="0030746F" w:rsidRPr="00ED7F0F" w:rsidTr="009A0932">
        <w:trPr>
          <w:trHeight w:val="238"/>
        </w:trPr>
        <w:tc>
          <w:tcPr>
            <w:tcW w:w="3241" w:type="dxa"/>
            <w:tcBorders>
              <w:top w:val="nil"/>
              <w:bottom w:val="nil"/>
              <w:right w:val="single" w:sz="4" w:space="0" w:color="auto"/>
            </w:tcBorders>
          </w:tcPr>
          <w:p w:rsidR="0030746F" w:rsidRPr="00ED7F0F" w:rsidRDefault="0030746F" w:rsidP="00122C9F">
            <w:pPr>
              <w:spacing w:line="259" w:lineRule="auto"/>
              <w:ind w:left="284"/>
              <w:rPr>
                <w:rFonts w:ascii="Times New Roman" w:hAnsi="Times New Roman" w:cs="Times New Roman"/>
              </w:rPr>
            </w:pPr>
            <w:r w:rsidRPr="00ED7F0F">
              <w:rPr>
                <w:rFonts w:ascii="Times New Roman" w:hAnsi="Times New Roman" w:cs="Times New Roman"/>
              </w:rPr>
              <w:t xml:space="preserve">Hnačka </w:t>
            </w:r>
          </w:p>
        </w:tc>
        <w:tc>
          <w:tcPr>
            <w:tcW w:w="3298" w:type="dxa"/>
            <w:tcBorders>
              <w:top w:val="nil"/>
              <w:left w:val="single" w:sz="4" w:space="0" w:color="auto"/>
              <w:bottom w:val="nil"/>
              <w:right w:val="single" w:sz="4" w:space="0" w:color="auto"/>
            </w:tcBorders>
          </w:tcPr>
          <w:p w:rsidR="0030746F" w:rsidRPr="00ED7F0F" w:rsidRDefault="0030746F" w:rsidP="00122C9F">
            <w:pPr>
              <w:spacing w:line="259" w:lineRule="auto"/>
              <w:ind w:left="530"/>
              <w:rPr>
                <w:rFonts w:ascii="Times New Roman" w:hAnsi="Times New Roman" w:cs="Times New Roman"/>
              </w:rPr>
            </w:pPr>
            <w:r w:rsidRPr="00ED7F0F">
              <w:rPr>
                <w:rFonts w:ascii="Times New Roman" w:hAnsi="Times New Roman" w:cs="Times New Roman"/>
              </w:rPr>
              <w:t xml:space="preserve">12,7 </w:t>
            </w:r>
          </w:p>
        </w:tc>
        <w:tc>
          <w:tcPr>
            <w:tcW w:w="2195" w:type="dxa"/>
            <w:tcBorders>
              <w:top w:val="nil"/>
              <w:left w:val="single" w:sz="4" w:space="0" w:color="auto"/>
              <w:bottom w:val="nil"/>
            </w:tcBorders>
          </w:tcPr>
          <w:p w:rsidR="0030746F" w:rsidRPr="00ED7F0F" w:rsidRDefault="0030746F" w:rsidP="00122C9F">
            <w:pPr>
              <w:spacing w:line="259" w:lineRule="auto"/>
              <w:ind w:left="458"/>
              <w:rPr>
                <w:rFonts w:ascii="Times New Roman" w:hAnsi="Times New Roman" w:cs="Times New Roman"/>
              </w:rPr>
            </w:pPr>
            <w:r w:rsidRPr="00ED7F0F">
              <w:rPr>
                <w:rFonts w:ascii="Times New Roman" w:hAnsi="Times New Roman" w:cs="Times New Roman"/>
              </w:rPr>
              <w:t xml:space="preserve">4,8 </w:t>
            </w:r>
          </w:p>
        </w:tc>
      </w:tr>
      <w:tr w:rsidR="0030746F" w:rsidRPr="00ED7F0F" w:rsidTr="009A0932">
        <w:trPr>
          <w:trHeight w:val="238"/>
        </w:trPr>
        <w:tc>
          <w:tcPr>
            <w:tcW w:w="3241" w:type="dxa"/>
            <w:tcBorders>
              <w:top w:val="nil"/>
              <w:bottom w:val="nil"/>
              <w:right w:val="single" w:sz="4" w:space="0" w:color="auto"/>
            </w:tcBorders>
          </w:tcPr>
          <w:p w:rsidR="0030746F" w:rsidRPr="00ED7F0F" w:rsidRDefault="0030746F" w:rsidP="00122C9F">
            <w:pPr>
              <w:spacing w:line="259" w:lineRule="auto"/>
              <w:ind w:left="284"/>
              <w:rPr>
                <w:rFonts w:ascii="Times New Roman" w:hAnsi="Times New Roman" w:cs="Times New Roman"/>
              </w:rPr>
            </w:pPr>
            <w:r w:rsidRPr="00ED7F0F">
              <w:rPr>
                <w:rFonts w:ascii="Times New Roman" w:hAnsi="Times New Roman" w:cs="Times New Roman"/>
              </w:rPr>
              <w:t xml:space="preserve">Pyrexia </w:t>
            </w:r>
          </w:p>
        </w:tc>
        <w:tc>
          <w:tcPr>
            <w:tcW w:w="3298" w:type="dxa"/>
            <w:tcBorders>
              <w:top w:val="nil"/>
              <w:left w:val="single" w:sz="4" w:space="0" w:color="auto"/>
              <w:bottom w:val="nil"/>
              <w:right w:val="single" w:sz="4" w:space="0" w:color="auto"/>
            </w:tcBorders>
          </w:tcPr>
          <w:p w:rsidR="0030746F" w:rsidRPr="00ED7F0F" w:rsidRDefault="0030746F" w:rsidP="00122C9F">
            <w:pPr>
              <w:spacing w:line="259" w:lineRule="auto"/>
              <w:ind w:left="528"/>
              <w:rPr>
                <w:rFonts w:ascii="Times New Roman" w:hAnsi="Times New Roman" w:cs="Times New Roman"/>
              </w:rPr>
            </w:pPr>
            <w:r w:rsidRPr="00ED7F0F">
              <w:rPr>
                <w:rFonts w:ascii="Times New Roman" w:hAnsi="Times New Roman" w:cs="Times New Roman"/>
              </w:rPr>
              <w:t>12,7</w:t>
            </w:r>
          </w:p>
        </w:tc>
        <w:tc>
          <w:tcPr>
            <w:tcW w:w="2195" w:type="dxa"/>
            <w:tcBorders>
              <w:top w:val="nil"/>
              <w:left w:val="single" w:sz="4" w:space="0" w:color="auto"/>
              <w:bottom w:val="nil"/>
            </w:tcBorders>
          </w:tcPr>
          <w:p w:rsidR="0030746F" w:rsidRPr="00ED7F0F" w:rsidRDefault="0030746F" w:rsidP="00122C9F">
            <w:pPr>
              <w:spacing w:line="259" w:lineRule="auto"/>
              <w:ind w:left="457"/>
              <w:rPr>
                <w:rFonts w:ascii="Times New Roman" w:hAnsi="Times New Roman" w:cs="Times New Roman"/>
              </w:rPr>
            </w:pPr>
            <w:r w:rsidRPr="00ED7F0F">
              <w:rPr>
                <w:rFonts w:ascii="Times New Roman" w:hAnsi="Times New Roman" w:cs="Times New Roman"/>
              </w:rPr>
              <w:t xml:space="preserve">5,6 </w:t>
            </w:r>
          </w:p>
        </w:tc>
      </w:tr>
      <w:tr w:rsidR="0030746F" w:rsidRPr="00ED7F0F" w:rsidTr="009A0932">
        <w:trPr>
          <w:trHeight w:val="238"/>
        </w:trPr>
        <w:tc>
          <w:tcPr>
            <w:tcW w:w="3241" w:type="dxa"/>
            <w:tcBorders>
              <w:top w:val="nil"/>
              <w:bottom w:val="nil"/>
              <w:right w:val="single" w:sz="4" w:space="0" w:color="auto"/>
            </w:tcBorders>
          </w:tcPr>
          <w:p w:rsidR="0030746F" w:rsidRPr="00ED7F0F" w:rsidRDefault="0030746F" w:rsidP="00122C9F">
            <w:pPr>
              <w:spacing w:line="259" w:lineRule="auto"/>
              <w:ind w:left="284"/>
              <w:rPr>
                <w:rFonts w:ascii="Times New Roman" w:hAnsi="Times New Roman" w:cs="Times New Roman"/>
              </w:rPr>
            </w:pPr>
            <w:r w:rsidRPr="00ED7F0F">
              <w:rPr>
                <w:rFonts w:ascii="Times New Roman" w:hAnsi="Times New Roman" w:cs="Times New Roman"/>
              </w:rPr>
              <w:t xml:space="preserve">Bolesť hlavy </w:t>
            </w:r>
          </w:p>
        </w:tc>
        <w:tc>
          <w:tcPr>
            <w:tcW w:w="3298" w:type="dxa"/>
            <w:tcBorders>
              <w:top w:val="nil"/>
              <w:left w:val="single" w:sz="4" w:space="0" w:color="auto"/>
              <w:bottom w:val="nil"/>
              <w:right w:val="single" w:sz="4" w:space="0" w:color="auto"/>
            </w:tcBorders>
          </w:tcPr>
          <w:p w:rsidR="0030746F" w:rsidRPr="00ED7F0F" w:rsidRDefault="0030746F" w:rsidP="00122C9F">
            <w:pPr>
              <w:spacing w:line="259" w:lineRule="auto"/>
              <w:ind w:left="529"/>
              <w:rPr>
                <w:rFonts w:ascii="Times New Roman" w:hAnsi="Times New Roman" w:cs="Times New Roman"/>
              </w:rPr>
            </w:pPr>
            <w:r w:rsidRPr="00ED7F0F">
              <w:rPr>
                <w:rFonts w:ascii="Times New Roman" w:hAnsi="Times New Roman" w:cs="Times New Roman"/>
              </w:rPr>
              <w:t xml:space="preserve">11,1 </w:t>
            </w:r>
          </w:p>
        </w:tc>
        <w:tc>
          <w:tcPr>
            <w:tcW w:w="2195" w:type="dxa"/>
            <w:tcBorders>
              <w:top w:val="nil"/>
              <w:left w:val="single" w:sz="4" w:space="0" w:color="auto"/>
              <w:bottom w:val="nil"/>
            </w:tcBorders>
          </w:tcPr>
          <w:p w:rsidR="0030746F" w:rsidRPr="00ED7F0F" w:rsidRDefault="0030746F" w:rsidP="00122C9F">
            <w:pPr>
              <w:spacing w:line="259" w:lineRule="auto"/>
              <w:ind w:left="458"/>
              <w:rPr>
                <w:rFonts w:ascii="Times New Roman" w:hAnsi="Times New Roman" w:cs="Times New Roman"/>
              </w:rPr>
            </w:pPr>
            <w:r w:rsidRPr="00ED7F0F">
              <w:rPr>
                <w:rFonts w:ascii="Times New Roman" w:hAnsi="Times New Roman" w:cs="Times New Roman"/>
              </w:rPr>
              <w:t xml:space="preserve">4,8 </w:t>
            </w:r>
          </w:p>
        </w:tc>
      </w:tr>
      <w:tr w:rsidR="0030746F" w:rsidRPr="00ED7F0F" w:rsidTr="009A0932">
        <w:trPr>
          <w:trHeight w:val="238"/>
        </w:trPr>
        <w:tc>
          <w:tcPr>
            <w:tcW w:w="3241" w:type="dxa"/>
            <w:tcBorders>
              <w:top w:val="nil"/>
              <w:bottom w:val="nil"/>
              <w:right w:val="single" w:sz="4" w:space="0" w:color="auto"/>
            </w:tcBorders>
          </w:tcPr>
          <w:p w:rsidR="0030746F" w:rsidRPr="00ED7F0F" w:rsidRDefault="0030746F" w:rsidP="00122C9F">
            <w:pPr>
              <w:spacing w:line="259" w:lineRule="auto"/>
              <w:ind w:left="284"/>
              <w:rPr>
                <w:rFonts w:ascii="Times New Roman" w:hAnsi="Times New Roman" w:cs="Times New Roman"/>
              </w:rPr>
            </w:pPr>
            <w:r w:rsidRPr="00ED7F0F">
              <w:rPr>
                <w:rFonts w:ascii="Times New Roman" w:hAnsi="Times New Roman" w:cs="Times New Roman"/>
              </w:rPr>
              <w:t xml:space="preserve">Znížená chuť do jedla </w:t>
            </w:r>
          </w:p>
        </w:tc>
        <w:tc>
          <w:tcPr>
            <w:tcW w:w="3298" w:type="dxa"/>
            <w:tcBorders>
              <w:top w:val="nil"/>
              <w:left w:val="single" w:sz="4" w:space="0" w:color="auto"/>
              <w:bottom w:val="nil"/>
              <w:right w:val="single" w:sz="4" w:space="0" w:color="auto"/>
            </w:tcBorders>
          </w:tcPr>
          <w:p w:rsidR="0030746F" w:rsidRPr="00ED7F0F" w:rsidRDefault="0030746F" w:rsidP="00122C9F">
            <w:pPr>
              <w:spacing w:line="259" w:lineRule="auto"/>
              <w:ind w:left="530"/>
              <w:rPr>
                <w:rFonts w:ascii="Times New Roman" w:hAnsi="Times New Roman" w:cs="Times New Roman"/>
              </w:rPr>
            </w:pPr>
            <w:r w:rsidRPr="00ED7F0F">
              <w:rPr>
                <w:rFonts w:ascii="Times New Roman" w:hAnsi="Times New Roman" w:cs="Times New Roman"/>
              </w:rPr>
              <w:t>10,3</w:t>
            </w:r>
          </w:p>
        </w:tc>
        <w:tc>
          <w:tcPr>
            <w:tcW w:w="2195" w:type="dxa"/>
            <w:tcBorders>
              <w:top w:val="nil"/>
              <w:left w:val="single" w:sz="4" w:space="0" w:color="auto"/>
              <w:bottom w:val="nil"/>
            </w:tcBorders>
          </w:tcPr>
          <w:p w:rsidR="0030746F" w:rsidRPr="00ED7F0F" w:rsidRDefault="0030746F" w:rsidP="00122C9F">
            <w:pPr>
              <w:spacing w:line="259" w:lineRule="auto"/>
              <w:ind w:left="458"/>
              <w:rPr>
                <w:rFonts w:ascii="Times New Roman" w:hAnsi="Times New Roman" w:cs="Times New Roman"/>
              </w:rPr>
            </w:pPr>
            <w:r w:rsidRPr="00ED7F0F">
              <w:rPr>
                <w:rFonts w:ascii="Times New Roman" w:hAnsi="Times New Roman" w:cs="Times New Roman"/>
              </w:rPr>
              <w:t xml:space="preserve">4,8 </w:t>
            </w:r>
          </w:p>
        </w:tc>
      </w:tr>
      <w:tr w:rsidR="0030746F" w:rsidRPr="00ED7F0F" w:rsidTr="009A0932">
        <w:trPr>
          <w:trHeight w:val="218"/>
        </w:trPr>
        <w:tc>
          <w:tcPr>
            <w:tcW w:w="3241" w:type="dxa"/>
            <w:tcBorders>
              <w:top w:val="nil"/>
              <w:bottom w:val="single" w:sz="4" w:space="0" w:color="000000"/>
              <w:right w:val="single" w:sz="4" w:space="0" w:color="auto"/>
            </w:tcBorders>
          </w:tcPr>
          <w:p w:rsidR="0030746F" w:rsidRPr="00ED7F0F" w:rsidRDefault="0030746F" w:rsidP="00122C9F">
            <w:pPr>
              <w:spacing w:line="259" w:lineRule="auto"/>
              <w:ind w:left="284"/>
              <w:rPr>
                <w:rFonts w:ascii="Times New Roman" w:hAnsi="Times New Roman" w:cs="Times New Roman"/>
              </w:rPr>
            </w:pPr>
            <w:r w:rsidRPr="00ED7F0F">
              <w:rPr>
                <w:rFonts w:ascii="Times New Roman" w:hAnsi="Times New Roman" w:cs="Times New Roman"/>
              </w:rPr>
              <w:t xml:space="preserve">Únava </w:t>
            </w:r>
          </w:p>
        </w:tc>
        <w:tc>
          <w:tcPr>
            <w:tcW w:w="3298" w:type="dxa"/>
            <w:tcBorders>
              <w:top w:val="nil"/>
              <w:left w:val="single" w:sz="4" w:space="0" w:color="auto"/>
              <w:bottom w:val="single" w:sz="4" w:space="0" w:color="000000"/>
              <w:right w:val="single" w:sz="4" w:space="0" w:color="auto"/>
            </w:tcBorders>
          </w:tcPr>
          <w:p w:rsidR="0030746F" w:rsidRPr="00ED7F0F" w:rsidRDefault="0030746F" w:rsidP="00122C9F">
            <w:pPr>
              <w:spacing w:line="259" w:lineRule="auto"/>
              <w:ind w:left="530"/>
              <w:rPr>
                <w:rFonts w:ascii="Times New Roman" w:hAnsi="Times New Roman" w:cs="Times New Roman"/>
              </w:rPr>
            </w:pPr>
            <w:r w:rsidRPr="00ED7F0F">
              <w:rPr>
                <w:rFonts w:ascii="Times New Roman" w:hAnsi="Times New Roman" w:cs="Times New Roman"/>
              </w:rPr>
              <w:t xml:space="preserve">10,3 </w:t>
            </w:r>
          </w:p>
        </w:tc>
        <w:tc>
          <w:tcPr>
            <w:tcW w:w="2195" w:type="dxa"/>
            <w:tcBorders>
              <w:top w:val="nil"/>
              <w:left w:val="single" w:sz="4" w:space="0" w:color="auto"/>
              <w:bottom w:val="single" w:sz="4" w:space="0" w:color="000000"/>
            </w:tcBorders>
          </w:tcPr>
          <w:p w:rsidR="0030746F" w:rsidRPr="00ED7F0F" w:rsidRDefault="0030746F" w:rsidP="00122C9F">
            <w:pPr>
              <w:spacing w:line="259" w:lineRule="auto"/>
              <w:ind w:left="536"/>
              <w:rPr>
                <w:rFonts w:ascii="Times New Roman" w:hAnsi="Times New Roman" w:cs="Times New Roman"/>
              </w:rPr>
            </w:pPr>
            <w:r w:rsidRPr="00ED7F0F">
              <w:rPr>
                <w:rFonts w:ascii="Times New Roman" w:hAnsi="Times New Roman" w:cs="Times New Roman"/>
              </w:rPr>
              <w:t xml:space="preserve">0 </w:t>
            </w:r>
          </w:p>
        </w:tc>
      </w:tr>
    </w:tbl>
    <w:p w:rsidR="0030746F" w:rsidRPr="00ED7F0F" w:rsidRDefault="0030746F" w:rsidP="00122C9F">
      <w:pPr>
        <w:spacing w:line="261" w:lineRule="auto"/>
        <w:ind w:left="222" w:hanging="203"/>
      </w:pPr>
      <w:r w:rsidRPr="00ED7F0F">
        <w:rPr>
          <w:sz w:val="17"/>
          <w:vertAlign w:val="superscript"/>
        </w:rPr>
        <w:t>a</w:t>
      </w:r>
      <w:r w:rsidRPr="00ED7F0F">
        <w:rPr>
          <w:sz w:val="17"/>
        </w:rPr>
        <w:t xml:space="preserve"> V pivotnej štúdii, s celkovo 106 pacientmi, 24 pacientov dostalo prášok na perorálnu suspenziu minimálne jedenkrát, 8 z nich dostalo výlučne liekovú formu prášok na perorálnu suspenziu.</w:t>
      </w:r>
    </w:p>
    <w:p w:rsidR="00C36014" w:rsidRPr="00ED7F0F" w:rsidRDefault="00C36014" w:rsidP="00122C9F">
      <w:pPr>
        <w:autoSpaceDE w:val="0"/>
        <w:autoSpaceDN w:val="0"/>
        <w:adjustRightInd w:val="0"/>
        <w:rPr>
          <w:color w:val="000000"/>
          <w:sz w:val="18"/>
          <w:szCs w:val="18"/>
        </w:rPr>
      </w:pPr>
    </w:p>
    <w:p w:rsidR="00C36014" w:rsidRPr="00ED7F0F" w:rsidRDefault="00C36014" w:rsidP="00122C9F">
      <w:pPr>
        <w:autoSpaceDE w:val="0"/>
        <w:autoSpaceDN w:val="0"/>
        <w:adjustRightInd w:val="0"/>
        <w:rPr>
          <w:i/>
          <w:iCs/>
          <w:szCs w:val="22"/>
          <w:u w:val="single"/>
          <w:lang w:eastAsia="en-US"/>
        </w:rPr>
      </w:pPr>
      <w:r w:rsidRPr="00ED7F0F">
        <w:rPr>
          <w:i/>
          <w:iCs/>
          <w:szCs w:val="22"/>
          <w:u w:val="single"/>
          <w:lang w:eastAsia="en-US"/>
        </w:rPr>
        <w:t>Abnormality laboratórnych testov</w:t>
      </w:r>
    </w:p>
    <w:p w:rsidR="00C36014" w:rsidRPr="00ED7F0F" w:rsidRDefault="00C36014" w:rsidP="00122C9F">
      <w:pPr>
        <w:autoSpaceDE w:val="0"/>
        <w:autoSpaceDN w:val="0"/>
        <w:adjustRightInd w:val="0"/>
        <w:rPr>
          <w:i/>
          <w:iCs/>
          <w:szCs w:val="22"/>
          <w:lang w:eastAsia="en-US"/>
        </w:rPr>
      </w:pPr>
      <w:r w:rsidRPr="00ED7F0F">
        <w:rPr>
          <w:i/>
          <w:iCs/>
          <w:szCs w:val="22"/>
          <w:lang w:eastAsia="en-US"/>
        </w:rPr>
        <w:t>Hematológia</w:t>
      </w:r>
    </w:p>
    <w:p w:rsidR="00C36014" w:rsidRPr="00ED7F0F" w:rsidRDefault="00C36014" w:rsidP="00122C9F">
      <w:pPr>
        <w:autoSpaceDE w:val="0"/>
        <w:autoSpaceDN w:val="0"/>
        <w:adjustRightInd w:val="0"/>
        <w:rPr>
          <w:rFonts w:eastAsia="TimesNewRoman"/>
          <w:szCs w:val="22"/>
          <w:lang w:eastAsia="en-US"/>
        </w:rPr>
      </w:pPr>
      <w:r w:rsidRPr="00ED7F0F">
        <w:rPr>
          <w:rFonts w:eastAsia="TimesNewRoman"/>
          <w:szCs w:val="22"/>
          <w:lang w:eastAsia="en-US"/>
        </w:rPr>
        <w:t>V</w:t>
      </w:r>
      <w:r w:rsidR="0030746F" w:rsidRPr="00ED7F0F">
        <w:rPr>
          <w:rFonts w:eastAsia="TimesNewRoman"/>
          <w:szCs w:val="22"/>
          <w:lang w:eastAsia="en-US"/>
        </w:rPr>
        <w:t> </w:t>
      </w:r>
      <w:r w:rsidRPr="00ED7F0F">
        <w:rPr>
          <w:rFonts w:eastAsia="TimesNewRoman"/>
          <w:szCs w:val="22"/>
          <w:lang w:eastAsia="en-US"/>
        </w:rPr>
        <w:t>štúdii fázy III sa u</w:t>
      </w:r>
      <w:r w:rsidR="0030746F" w:rsidRPr="00ED7F0F">
        <w:rPr>
          <w:rFonts w:eastAsia="TimesNewRoman"/>
          <w:szCs w:val="22"/>
          <w:lang w:eastAsia="en-US"/>
        </w:rPr>
        <w:t> </w:t>
      </w:r>
      <w:r w:rsidRPr="00ED7F0F">
        <w:rPr>
          <w:rFonts w:eastAsia="TimesNewRoman"/>
          <w:szCs w:val="22"/>
          <w:lang w:eastAsia="en-US"/>
        </w:rPr>
        <w:t>pacientov s</w:t>
      </w:r>
      <w:r w:rsidR="0030746F" w:rsidRPr="00ED7F0F">
        <w:rPr>
          <w:rFonts w:eastAsia="TimesNewRoman"/>
          <w:szCs w:val="22"/>
          <w:lang w:eastAsia="en-US"/>
        </w:rPr>
        <w:t> </w:t>
      </w:r>
      <w:r w:rsidRPr="00ED7F0F">
        <w:rPr>
          <w:rFonts w:eastAsia="TimesNewRoman"/>
          <w:szCs w:val="22"/>
          <w:lang w:eastAsia="en-US"/>
        </w:rPr>
        <w:t>novodiagnostikovanou chronickou fázou CML užívajúcich dasatinib hlásili nasledovné laboratórne abnormality 3. a 4. stupňa po minimálne 12</w:t>
      </w:r>
      <w:r w:rsidR="0030746F" w:rsidRPr="00ED7F0F">
        <w:rPr>
          <w:rFonts w:eastAsia="TimesNewRoman"/>
          <w:szCs w:val="22"/>
          <w:lang w:eastAsia="en-US"/>
        </w:rPr>
        <w:t> </w:t>
      </w:r>
      <w:r w:rsidRPr="00ED7F0F">
        <w:rPr>
          <w:rFonts w:eastAsia="TimesNewRoman"/>
          <w:szCs w:val="22"/>
          <w:lang w:eastAsia="en-US"/>
        </w:rPr>
        <w:t>mesiacoch následného sledovania: neutropénia (21 %), trombocytopénia (19 %) a anémia (10 %). Po minimálne 60 mesiacoch následného sledovania boli kumulatívne</w:t>
      </w:r>
      <w:r w:rsidR="00985D1C" w:rsidRPr="00ED7F0F">
        <w:rPr>
          <w:rFonts w:eastAsia="TimesNewRoman"/>
          <w:szCs w:val="22"/>
          <w:lang w:eastAsia="en-US"/>
        </w:rPr>
        <w:t xml:space="preserve"> miery výskytu</w:t>
      </w:r>
      <w:r w:rsidRPr="00ED7F0F">
        <w:rPr>
          <w:rFonts w:eastAsia="TimesNewRoman"/>
          <w:szCs w:val="22"/>
          <w:lang w:eastAsia="en-US"/>
        </w:rPr>
        <w:t xml:space="preserve"> neutropénie, trombocytopénie a</w:t>
      </w:r>
      <w:r w:rsidR="000174B3" w:rsidRPr="00ED7F0F">
        <w:rPr>
          <w:rFonts w:eastAsia="TimesNewRoman"/>
          <w:szCs w:val="22"/>
          <w:lang w:eastAsia="en-US"/>
        </w:rPr>
        <w:t> </w:t>
      </w:r>
      <w:r w:rsidRPr="00ED7F0F">
        <w:rPr>
          <w:rFonts w:eastAsia="TimesNewRoman"/>
          <w:szCs w:val="22"/>
          <w:lang w:eastAsia="en-US"/>
        </w:rPr>
        <w:t>anémie 29 %, 22 % a 13 %, v uvedenom poradí.</w:t>
      </w:r>
    </w:p>
    <w:p w:rsidR="00C36014" w:rsidRPr="00ED7F0F" w:rsidRDefault="00C36014" w:rsidP="00122C9F">
      <w:pPr>
        <w:autoSpaceDE w:val="0"/>
        <w:autoSpaceDN w:val="0"/>
        <w:adjustRightInd w:val="0"/>
        <w:rPr>
          <w:rFonts w:eastAsia="TimesNewRoman"/>
          <w:szCs w:val="22"/>
          <w:lang w:eastAsia="en-US"/>
        </w:rPr>
      </w:pPr>
    </w:p>
    <w:p w:rsidR="00C36014" w:rsidRPr="00ED7F0F" w:rsidRDefault="00C36014" w:rsidP="00122C9F">
      <w:pPr>
        <w:autoSpaceDE w:val="0"/>
        <w:autoSpaceDN w:val="0"/>
        <w:adjustRightInd w:val="0"/>
        <w:rPr>
          <w:rFonts w:eastAsia="TimesNewRoman"/>
          <w:szCs w:val="22"/>
          <w:lang w:eastAsia="en-US"/>
        </w:rPr>
      </w:pPr>
      <w:r w:rsidRPr="00ED7F0F">
        <w:rPr>
          <w:rFonts w:eastAsia="TimesNewRoman"/>
          <w:szCs w:val="22"/>
          <w:lang w:eastAsia="en-US"/>
        </w:rPr>
        <w:t>U</w:t>
      </w:r>
      <w:r w:rsidR="000174B3" w:rsidRPr="00ED7F0F">
        <w:rPr>
          <w:rFonts w:eastAsia="TimesNewRoman"/>
          <w:szCs w:val="22"/>
          <w:lang w:eastAsia="en-US"/>
        </w:rPr>
        <w:t> </w:t>
      </w:r>
      <w:r w:rsidRPr="00ED7F0F">
        <w:rPr>
          <w:rFonts w:eastAsia="TimesNewRoman"/>
          <w:szCs w:val="22"/>
          <w:lang w:eastAsia="en-US"/>
        </w:rPr>
        <w:t>pacientov s</w:t>
      </w:r>
      <w:r w:rsidR="000174B3" w:rsidRPr="00ED7F0F">
        <w:rPr>
          <w:rFonts w:eastAsia="TimesNewRoman"/>
          <w:szCs w:val="22"/>
          <w:lang w:eastAsia="en-US"/>
        </w:rPr>
        <w:t> </w:t>
      </w:r>
      <w:r w:rsidRPr="00ED7F0F">
        <w:rPr>
          <w:rFonts w:eastAsia="TimesNewRoman"/>
          <w:szCs w:val="22"/>
          <w:lang w:eastAsia="en-US"/>
        </w:rPr>
        <w:t>novodiagnostikovanou chronickou fázou CML liečených dasatinibom, u</w:t>
      </w:r>
      <w:r w:rsidR="000174B3" w:rsidRPr="00ED7F0F">
        <w:rPr>
          <w:rFonts w:eastAsia="TimesNewRoman"/>
          <w:szCs w:val="22"/>
          <w:lang w:eastAsia="en-US"/>
        </w:rPr>
        <w:t> </w:t>
      </w:r>
      <w:r w:rsidRPr="00ED7F0F">
        <w:rPr>
          <w:rFonts w:eastAsia="TimesNewRoman"/>
          <w:szCs w:val="22"/>
          <w:lang w:eastAsia="en-US"/>
        </w:rPr>
        <w:t>ktorých sa vyskytla myelosupresia 3. alebo 4. stupňa, zvyčajne došlo po krátkom prerušení a/alebo znížení dávky k</w:t>
      </w:r>
      <w:r w:rsidR="000174B3" w:rsidRPr="00ED7F0F">
        <w:rPr>
          <w:rFonts w:eastAsia="TimesNewRoman"/>
          <w:szCs w:val="22"/>
          <w:lang w:eastAsia="en-US"/>
        </w:rPr>
        <w:t> </w:t>
      </w:r>
      <w:r w:rsidRPr="00ED7F0F">
        <w:rPr>
          <w:rFonts w:eastAsia="TimesNewRoman"/>
          <w:szCs w:val="22"/>
          <w:lang w:eastAsia="en-US"/>
        </w:rPr>
        <w:t xml:space="preserve">zotaveniu, </w:t>
      </w:r>
      <w:r w:rsidR="00985D1C" w:rsidRPr="00ED7F0F">
        <w:rPr>
          <w:rFonts w:eastAsia="TimesNewRoman"/>
          <w:szCs w:val="22"/>
          <w:lang w:eastAsia="en-US"/>
        </w:rPr>
        <w:t>pričom po minimálne 12 mesiacoch následného sledovania bola liečba trvalo ukončená u 1,6 % pacientov</w:t>
      </w:r>
      <w:r w:rsidRPr="00ED7F0F">
        <w:rPr>
          <w:rFonts w:eastAsia="TimesNewRoman"/>
          <w:szCs w:val="22"/>
          <w:lang w:eastAsia="en-US"/>
        </w:rPr>
        <w:t>. Po minimálne 60 mesiacoch následného sledovania bol kumulatívny pomer trvalého ukončenia liečby z</w:t>
      </w:r>
      <w:r w:rsidR="000174B3" w:rsidRPr="00ED7F0F">
        <w:rPr>
          <w:rFonts w:eastAsia="TimesNewRoman"/>
          <w:szCs w:val="22"/>
          <w:lang w:eastAsia="en-US"/>
        </w:rPr>
        <w:t> </w:t>
      </w:r>
      <w:r w:rsidRPr="00ED7F0F">
        <w:rPr>
          <w:rFonts w:eastAsia="TimesNewRoman"/>
          <w:szCs w:val="22"/>
          <w:lang w:eastAsia="en-US"/>
        </w:rPr>
        <w:t>dôvodu myelosupresie 3. alebo 4. stupňa 2,3 %.</w:t>
      </w:r>
    </w:p>
    <w:p w:rsidR="00C36014" w:rsidRPr="00ED7F0F" w:rsidRDefault="00C36014" w:rsidP="00122C9F">
      <w:pPr>
        <w:autoSpaceDE w:val="0"/>
        <w:autoSpaceDN w:val="0"/>
        <w:adjustRightInd w:val="0"/>
        <w:rPr>
          <w:rFonts w:eastAsia="TimesNewRoman"/>
          <w:szCs w:val="22"/>
          <w:highlight w:val="lightGray"/>
          <w:lang w:eastAsia="en-US"/>
        </w:rPr>
      </w:pPr>
    </w:p>
    <w:p w:rsidR="00C36014" w:rsidRPr="00ED7F0F" w:rsidRDefault="00C36014" w:rsidP="00122C9F">
      <w:pPr>
        <w:autoSpaceDE w:val="0"/>
        <w:autoSpaceDN w:val="0"/>
        <w:adjustRightInd w:val="0"/>
        <w:rPr>
          <w:color w:val="000000"/>
          <w:szCs w:val="22"/>
        </w:rPr>
      </w:pPr>
      <w:r w:rsidRPr="00ED7F0F">
        <w:rPr>
          <w:rFonts w:eastAsia="TimesNewRoman"/>
          <w:szCs w:val="22"/>
          <w:lang w:eastAsia="en-US"/>
        </w:rPr>
        <w:t>U</w:t>
      </w:r>
      <w:r w:rsidR="000174B3" w:rsidRPr="00ED7F0F">
        <w:rPr>
          <w:rFonts w:eastAsia="TimesNewRoman"/>
          <w:szCs w:val="22"/>
          <w:lang w:eastAsia="en-US"/>
        </w:rPr>
        <w:t> </w:t>
      </w:r>
      <w:r w:rsidRPr="00ED7F0F">
        <w:rPr>
          <w:rFonts w:eastAsia="TimesNewRoman"/>
          <w:szCs w:val="22"/>
          <w:lang w:eastAsia="en-US"/>
        </w:rPr>
        <w:t>pacientov s</w:t>
      </w:r>
      <w:r w:rsidR="000174B3" w:rsidRPr="00ED7F0F">
        <w:rPr>
          <w:rFonts w:eastAsia="TimesNewRoman"/>
          <w:szCs w:val="22"/>
          <w:lang w:eastAsia="en-US"/>
        </w:rPr>
        <w:t> </w:t>
      </w:r>
      <w:r w:rsidRPr="00ED7F0F">
        <w:rPr>
          <w:rFonts w:eastAsia="TimesNewRoman"/>
          <w:szCs w:val="22"/>
          <w:lang w:eastAsia="en-US"/>
        </w:rPr>
        <w:t>CML s</w:t>
      </w:r>
      <w:r w:rsidR="000174B3" w:rsidRPr="00ED7F0F">
        <w:rPr>
          <w:rFonts w:eastAsia="TimesNewRoman"/>
          <w:szCs w:val="22"/>
          <w:lang w:eastAsia="en-US"/>
        </w:rPr>
        <w:t> </w:t>
      </w:r>
      <w:r w:rsidRPr="00ED7F0F">
        <w:rPr>
          <w:rFonts w:eastAsia="TimesNewRoman"/>
          <w:szCs w:val="22"/>
          <w:lang w:eastAsia="en-US"/>
        </w:rPr>
        <w:t>rezistenciou alebo intoleranciou na predošlú liečbu imatinibom boli cytopénie (trombocytopénia, neutropénia a</w:t>
      </w:r>
      <w:r w:rsidR="000174B3" w:rsidRPr="00ED7F0F">
        <w:rPr>
          <w:rFonts w:eastAsia="TimesNewRoman"/>
          <w:szCs w:val="22"/>
          <w:lang w:eastAsia="en-US"/>
        </w:rPr>
        <w:t> </w:t>
      </w:r>
      <w:r w:rsidRPr="00ED7F0F">
        <w:rPr>
          <w:rFonts w:eastAsia="TimesNewRoman"/>
          <w:szCs w:val="22"/>
          <w:lang w:eastAsia="en-US"/>
        </w:rPr>
        <w:t>anémia) trvalý</w:t>
      </w:r>
      <w:r w:rsidR="00985D1C" w:rsidRPr="00ED7F0F">
        <w:rPr>
          <w:rFonts w:eastAsia="TimesNewRoman"/>
          <w:szCs w:val="22"/>
          <w:lang w:eastAsia="en-US"/>
        </w:rPr>
        <w:t>m</w:t>
      </w:r>
      <w:r w:rsidRPr="00ED7F0F">
        <w:rPr>
          <w:rFonts w:eastAsia="TimesNewRoman"/>
          <w:szCs w:val="22"/>
          <w:lang w:eastAsia="en-US"/>
        </w:rPr>
        <w:t xml:space="preserve"> nález</w:t>
      </w:r>
      <w:r w:rsidR="00985D1C" w:rsidRPr="00ED7F0F">
        <w:rPr>
          <w:rFonts w:eastAsia="TimesNewRoman"/>
          <w:szCs w:val="22"/>
          <w:lang w:eastAsia="en-US"/>
        </w:rPr>
        <w:t>om</w:t>
      </w:r>
      <w:r w:rsidRPr="00ED7F0F">
        <w:rPr>
          <w:rFonts w:eastAsia="TimesNewRoman"/>
          <w:szCs w:val="22"/>
          <w:lang w:eastAsia="en-US"/>
        </w:rPr>
        <w:t>. Výskyt cytopénií bol však tiež závislý od stupňa ochorenia. Výskyt hematologických abnormalít 3. a 4. stupňa je uvedený v</w:t>
      </w:r>
      <w:r w:rsidR="000174B3" w:rsidRPr="00ED7F0F">
        <w:rPr>
          <w:rFonts w:eastAsia="TimesNewRoman"/>
          <w:szCs w:val="22"/>
          <w:lang w:eastAsia="en-US"/>
        </w:rPr>
        <w:t> t</w:t>
      </w:r>
      <w:r w:rsidRPr="00ED7F0F">
        <w:rPr>
          <w:rFonts w:eastAsia="TimesNewRoman"/>
          <w:szCs w:val="22"/>
          <w:lang w:eastAsia="en-US"/>
        </w:rPr>
        <w:t xml:space="preserve">abuľke </w:t>
      </w:r>
      <w:r w:rsidR="000174B3" w:rsidRPr="00ED7F0F">
        <w:rPr>
          <w:rFonts w:eastAsia="TimesNewRoman"/>
          <w:szCs w:val="22"/>
          <w:lang w:eastAsia="en-US"/>
        </w:rPr>
        <w:t>8</w:t>
      </w:r>
      <w:r w:rsidRPr="00ED7F0F">
        <w:rPr>
          <w:rFonts w:eastAsia="TimesNewRoman"/>
          <w:szCs w:val="22"/>
          <w:lang w:eastAsia="en-US"/>
        </w:rPr>
        <w:t>.</w:t>
      </w:r>
    </w:p>
    <w:p w:rsidR="00C36014" w:rsidRPr="00ED7F0F" w:rsidRDefault="00C36014" w:rsidP="00122C9F">
      <w:pPr>
        <w:autoSpaceDE w:val="0"/>
        <w:autoSpaceDN w:val="0"/>
        <w:adjustRightInd w:val="0"/>
        <w:rPr>
          <w:color w:val="000000"/>
          <w:szCs w:val="22"/>
        </w:rPr>
      </w:pPr>
    </w:p>
    <w:p w:rsidR="00C36014" w:rsidRPr="00ED7F0F" w:rsidRDefault="00C36014" w:rsidP="00122C9F">
      <w:pPr>
        <w:autoSpaceDE w:val="0"/>
        <w:autoSpaceDN w:val="0"/>
        <w:adjustRightInd w:val="0"/>
        <w:ind w:left="1440" w:hanging="1440"/>
      </w:pPr>
      <w:r w:rsidRPr="00ED7F0F">
        <w:rPr>
          <w:b/>
          <w:bCs/>
        </w:rPr>
        <w:t xml:space="preserve">Tabuľka </w:t>
      </w:r>
      <w:r w:rsidR="000174B3" w:rsidRPr="00ED7F0F">
        <w:rPr>
          <w:b/>
          <w:bCs/>
        </w:rPr>
        <w:t>8</w:t>
      </w:r>
      <w:r w:rsidRPr="00ED7F0F">
        <w:rPr>
          <w:b/>
          <w:bCs/>
        </w:rPr>
        <w:t>:</w:t>
      </w:r>
      <w:r w:rsidRPr="00ED7F0F">
        <w:rPr>
          <w:b/>
          <w:bCs/>
        </w:rPr>
        <w:tab/>
      </w:r>
      <w:r w:rsidRPr="00ED7F0F">
        <w:rPr>
          <w:rFonts w:eastAsia="TimesNewRoman,Bold"/>
          <w:b/>
          <w:bCs/>
          <w:sz w:val="21"/>
          <w:szCs w:val="21"/>
          <w:lang w:eastAsia="en-US"/>
        </w:rPr>
        <w:t>CTC hematologických laboratórnych abnormalít 3./4. stupňa v</w:t>
      </w:r>
      <w:r w:rsidR="000174B3" w:rsidRPr="00ED7F0F">
        <w:rPr>
          <w:rFonts w:eastAsia="TimesNewRoman,Bold"/>
          <w:b/>
          <w:bCs/>
          <w:sz w:val="21"/>
          <w:szCs w:val="21"/>
          <w:lang w:eastAsia="en-US"/>
        </w:rPr>
        <w:t> </w:t>
      </w:r>
      <w:r w:rsidRPr="00ED7F0F">
        <w:rPr>
          <w:rFonts w:eastAsia="TimesNewRoman,Bold"/>
          <w:b/>
          <w:bCs/>
          <w:sz w:val="21"/>
          <w:szCs w:val="21"/>
          <w:lang w:eastAsia="en-US"/>
        </w:rPr>
        <w:t>klinických štúdiách s</w:t>
      </w:r>
      <w:r w:rsidR="000174B3" w:rsidRPr="00ED7F0F">
        <w:rPr>
          <w:rFonts w:eastAsia="TimesNewRoman,Bold"/>
          <w:b/>
          <w:bCs/>
          <w:sz w:val="21"/>
          <w:szCs w:val="21"/>
          <w:lang w:eastAsia="en-US"/>
        </w:rPr>
        <w:t> </w:t>
      </w:r>
      <w:r w:rsidRPr="00ED7F0F">
        <w:rPr>
          <w:rFonts w:eastAsia="TimesNewRoman,Bold"/>
          <w:b/>
          <w:bCs/>
          <w:sz w:val="21"/>
          <w:szCs w:val="21"/>
          <w:lang w:eastAsia="en-US"/>
        </w:rPr>
        <w:t>pacientmi s</w:t>
      </w:r>
      <w:r w:rsidR="000174B3" w:rsidRPr="00ED7F0F">
        <w:rPr>
          <w:rFonts w:eastAsia="TimesNewRoman,Bold"/>
          <w:b/>
          <w:bCs/>
          <w:sz w:val="21"/>
          <w:szCs w:val="21"/>
          <w:lang w:eastAsia="en-US"/>
        </w:rPr>
        <w:t> </w:t>
      </w:r>
      <w:r w:rsidRPr="00ED7F0F">
        <w:rPr>
          <w:rFonts w:eastAsia="TimesNewRoman,Bold"/>
          <w:b/>
          <w:bCs/>
          <w:sz w:val="21"/>
          <w:szCs w:val="21"/>
          <w:lang w:eastAsia="en-US"/>
        </w:rPr>
        <w:t>rezistenciou alebo intoleranciou na predošlú liečbu imatinibom</w:t>
      </w:r>
      <w:r w:rsidRPr="00ED7F0F">
        <w:rPr>
          <w:rFonts w:eastAsia="TimesNewRoman,Bold"/>
          <w:b/>
          <w:bCs/>
          <w:sz w:val="21"/>
          <w:szCs w:val="21"/>
          <w:vertAlign w:val="superscript"/>
          <w:lang w:eastAsia="en-US"/>
        </w:rPr>
        <w:t>a</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1252"/>
        <w:gridCol w:w="1559"/>
        <w:gridCol w:w="1701"/>
        <w:gridCol w:w="1701"/>
      </w:tblGrid>
      <w:tr w:rsidR="00C36014" w:rsidRPr="00ED7F0F" w:rsidTr="00A22CA8">
        <w:tc>
          <w:tcPr>
            <w:tcW w:w="2514" w:type="dxa"/>
            <w:tcBorders>
              <w:top w:val="single" w:sz="4" w:space="0" w:color="auto"/>
              <w:left w:val="single" w:sz="4" w:space="0" w:color="auto"/>
              <w:bottom w:val="nil"/>
              <w:right w:val="single" w:sz="4" w:space="0" w:color="auto"/>
            </w:tcBorders>
            <w:shd w:val="clear" w:color="auto" w:fill="auto"/>
          </w:tcPr>
          <w:p w:rsidR="00C36014" w:rsidRPr="00ED7F0F" w:rsidRDefault="00C36014" w:rsidP="00122C9F">
            <w:pPr>
              <w:rPr>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auto"/>
          </w:tcPr>
          <w:p w:rsidR="00A22CA8" w:rsidRPr="00ED7F0F" w:rsidRDefault="00C36014" w:rsidP="00122C9F">
            <w:pPr>
              <w:autoSpaceDE w:val="0"/>
              <w:autoSpaceDN w:val="0"/>
              <w:adjustRightInd w:val="0"/>
              <w:jc w:val="center"/>
              <w:rPr>
                <w:b/>
                <w:bCs/>
                <w:szCs w:val="22"/>
                <w:lang w:eastAsia="el-GR"/>
              </w:rPr>
            </w:pPr>
            <w:r w:rsidRPr="00ED7F0F">
              <w:rPr>
                <w:b/>
                <w:bCs/>
                <w:szCs w:val="22"/>
                <w:lang w:eastAsia="el-GR"/>
              </w:rPr>
              <w:t>Chronická fáza</w:t>
            </w:r>
            <w:r w:rsidR="00A22CA8" w:rsidRPr="00ED7F0F">
              <w:rPr>
                <w:b/>
                <w:bCs/>
                <w:szCs w:val="22"/>
                <w:lang w:eastAsia="el-GR"/>
              </w:rPr>
              <w:t xml:space="preserve"> </w:t>
            </w:r>
          </w:p>
          <w:p w:rsidR="00C36014" w:rsidRPr="00ED7F0F" w:rsidRDefault="00C36014" w:rsidP="00122C9F">
            <w:pPr>
              <w:autoSpaceDE w:val="0"/>
              <w:autoSpaceDN w:val="0"/>
              <w:adjustRightInd w:val="0"/>
              <w:jc w:val="center"/>
              <w:rPr>
                <w:b/>
                <w:szCs w:val="22"/>
              </w:rPr>
            </w:pPr>
            <w:r w:rsidRPr="00ED7F0F">
              <w:rPr>
                <w:b/>
                <w:bCs/>
                <w:szCs w:val="22"/>
                <w:lang w:eastAsia="el-GR"/>
              </w:rPr>
              <w:t>(n= 165)</w:t>
            </w:r>
            <w:r w:rsidRPr="00ED7F0F">
              <w:rPr>
                <w:b/>
                <w:bCs/>
                <w:szCs w:val="22"/>
                <w:vertAlign w:val="superscript"/>
                <w:lang w:eastAsia="el-GR"/>
              </w:rPr>
              <w:t>b</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CA8" w:rsidRPr="00ED7F0F" w:rsidRDefault="00C36014" w:rsidP="00122C9F">
            <w:pPr>
              <w:autoSpaceDE w:val="0"/>
              <w:autoSpaceDN w:val="0"/>
              <w:adjustRightInd w:val="0"/>
              <w:ind w:left="11" w:hanging="11"/>
              <w:jc w:val="center"/>
              <w:rPr>
                <w:b/>
                <w:bCs/>
                <w:szCs w:val="22"/>
                <w:lang w:eastAsia="el-GR"/>
              </w:rPr>
            </w:pPr>
            <w:r w:rsidRPr="00ED7F0F">
              <w:rPr>
                <w:b/>
                <w:bCs/>
                <w:szCs w:val="22"/>
                <w:lang w:eastAsia="el-GR"/>
              </w:rPr>
              <w:t>Akcelerovaná fáza</w:t>
            </w:r>
            <w:r w:rsidR="00A22CA8" w:rsidRPr="00ED7F0F">
              <w:rPr>
                <w:b/>
                <w:bCs/>
                <w:szCs w:val="22"/>
                <w:lang w:eastAsia="el-GR"/>
              </w:rPr>
              <w:t xml:space="preserve"> </w:t>
            </w:r>
          </w:p>
          <w:p w:rsidR="00C36014" w:rsidRPr="00ED7F0F" w:rsidRDefault="00C36014" w:rsidP="00122C9F">
            <w:pPr>
              <w:autoSpaceDE w:val="0"/>
              <w:autoSpaceDN w:val="0"/>
              <w:adjustRightInd w:val="0"/>
              <w:ind w:left="11" w:hanging="11"/>
              <w:jc w:val="center"/>
              <w:rPr>
                <w:b/>
                <w:szCs w:val="22"/>
              </w:rPr>
            </w:pPr>
            <w:r w:rsidRPr="00ED7F0F">
              <w:rPr>
                <w:b/>
                <w:bCs/>
                <w:szCs w:val="22"/>
                <w:lang w:eastAsia="el-GR"/>
              </w:rPr>
              <w:t>(n= 157)</w:t>
            </w:r>
            <w:r w:rsidRPr="00ED7F0F">
              <w:rPr>
                <w:b/>
                <w:bCs/>
                <w:szCs w:val="22"/>
                <w:vertAlign w:val="superscript"/>
                <w:lang w:eastAsia="el-GR"/>
              </w:rPr>
              <w:t>c</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36014" w:rsidRPr="00ED7F0F" w:rsidRDefault="00C36014" w:rsidP="00122C9F">
            <w:pPr>
              <w:ind w:left="33" w:hanging="33"/>
              <w:jc w:val="center"/>
              <w:rPr>
                <w:b/>
                <w:szCs w:val="22"/>
              </w:rPr>
            </w:pPr>
            <w:r w:rsidRPr="00ED7F0F">
              <w:rPr>
                <w:b/>
                <w:szCs w:val="22"/>
              </w:rPr>
              <w:t>Myeloidná blastová</w:t>
            </w:r>
            <w:r w:rsidR="00A22CA8" w:rsidRPr="00ED7F0F">
              <w:rPr>
                <w:b/>
                <w:szCs w:val="22"/>
              </w:rPr>
              <w:t xml:space="preserve"> </w:t>
            </w:r>
            <w:r w:rsidRPr="00ED7F0F">
              <w:rPr>
                <w:b/>
                <w:szCs w:val="22"/>
              </w:rPr>
              <w:t>fáza</w:t>
            </w:r>
            <w:r w:rsidR="00A22CA8" w:rsidRPr="00ED7F0F">
              <w:rPr>
                <w:b/>
                <w:szCs w:val="22"/>
              </w:rPr>
              <w:t xml:space="preserve"> </w:t>
            </w:r>
            <w:r w:rsidRPr="00ED7F0F">
              <w:rPr>
                <w:b/>
                <w:szCs w:val="22"/>
              </w:rPr>
              <w:t>(n= 74)</w:t>
            </w:r>
            <w:r w:rsidRPr="00ED7F0F">
              <w:rPr>
                <w:b/>
                <w:szCs w:val="22"/>
                <w:vertAlign w:val="superscript"/>
              </w:rPr>
              <w:t>c</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22CA8" w:rsidRPr="00ED7F0F" w:rsidRDefault="00C36014" w:rsidP="00122C9F">
            <w:pPr>
              <w:autoSpaceDE w:val="0"/>
              <w:autoSpaceDN w:val="0"/>
              <w:adjustRightInd w:val="0"/>
              <w:rPr>
                <w:rFonts w:eastAsia="TimesNewRoman,Bold"/>
                <w:b/>
                <w:bCs/>
                <w:szCs w:val="22"/>
                <w:lang w:eastAsia="en-US"/>
              </w:rPr>
            </w:pPr>
            <w:r w:rsidRPr="00ED7F0F">
              <w:rPr>
                <w:rFonts w:eastAsia="TimesNewRoman,Bold"/>
                <w:b/>
                <w:bCs/>
                <w:szCs w:val="22"/>
                <w:lang w:eastAsia="en-US"/>
              </w:rPr>
              <w:t>Lymfoidná blastová</w:t>
            </w:r>
            <w:r w:rsidR="00A22CA8" w:rsidRPr="00ED7F0F">
              <w:rPr>
                <w:rFonts w:eastAsia="TimesNewRoman,Bold"/>
                <w:b/>
                <w:bCs/>
                <w:szCs w:val="22"/>
                <w:lang w:eastAsia="en-US"/>
              </w:rPr>
              <w:t xml:space="preserve"> </w:t>
            </w:r>
            <w:r w:rsidRPr="00ED7F0F">
              <w:rPr>
                <w:rFonts w:eastAsia="TimesNewRoman,Bold"/>
                <w:b/>
                <w:bCs/>
                <w:szCs w:val="22"/>
                <w:lang w:eastAsia="en-US"/>
              </w:rPr>
              <w:t>fáza a Ph+ ALL</w:t>
            </w:r>
          </w:p>
          <w:p w:rsidR="00C36014" w:rsidRPr="00ED7F0F" w:rsidRDefault="00C36014" w:rsidP="00122C9F">
            <w:pPr>
              <w:autoSpaceDE w:val="0"/>
              <w:autoSpaceDN w:val="0"/>
              <w:adjustRightInd w:val="0"/>
              <w:rPr>
                <w:b/>
                <w:szCs w:val="22"/>
              </w:rPr>
            </w:pPr>
            <w:r w:rsidRPr="00ED7F0F">
              <w:rPr>
                <w:b/>
                <w:szCs w:val="22"/>
              </w:rPr>
              <w:t>(n= 168)</w:t>
            </w:r>
            <w:r w:rsidRPr="00ED7F0F">
              <w:rPr>
                <w:b/>
                <w:szCs w:val="22"/>
                <w:vertAlign w:val="superscript"/>
              </w:rPr>
              <w:t>c</w:t>
            </w:r>
          </w:p>
        </w:tc>
      </w:tr>
      <w:tr w:rsidR="000174B3" w:rsidRPr="00ED7F0F" w:rsidTr="00A22CA8">
        <w:tc>
          <w:tcPr>
            <w:tcW w:w="2514" w:type="dxa"/>
            <w:tcBorders>
              <w:top w:val="nil"/>
              <w:left w:val="single" w:sz="4" w:space="0" w:color="auto"/>
              <w:bottom w:val="single" w:sz="4" w:space="0" w:color="auto"/>
              <w:right w:val="single" w:sz="4" w:space="0" w:color="auto"/>
            </w:tcBorders>
            <w:shd w:val="clear" w:color="auto" w:fill="auto"/>
          </w:tcPr>
          <w:p w:rsidR="000174B3" w:rsidRPr="00ED7F0F" w:rsidRDefault="000174B3" w:rsidP="00122C9F">
            <w:pPr>
              <w:rPr>
                <w:szCs w:val="22"/>
              </w:rPr>
            </w:pPr>
          </w:p>
        </w:tc>
        <w:tc>
          <w:tcPr>
            <w:tcW w:w="1252" w:type="dxa"/>
            <w:tcBorders>
              <w:top w:val="single" w:sz="4" w:space="0" w:color="auto"/>
              <w:left w:val="single" w:sz="4" w:space="0" w:color="auto"/>
              <w:bottom w:val="single" w:sz="4" w:space="0" w:color="auto"/>
              <w:right w:val="nil"/>
            </w:tcBorders>
            <w:shd w:val="clear" w:color="auto" w:fill="auto"/>
          </w:tcPr>
          <w:p w:rsidR="000174B3" w:rsidRPr="00ED7F0F" w:rsidRDefault="000174B3" w:rsidP="00122C9F">
            <w:pPr>
              <w:jc w:val="center"/>
              <w:rPr>
                <w:b/>
                <w:szCs w:val="22"/>
              </w:rPr>
            </w:pPr>
          </w:p>
        </w:tc>
        <w:tc>
          <w:tcPr>
            <w:tcW w:w="4961" w:type="dxa"/>
            <w:gridSpan w:val="3"/>
            <w:tcBorders>
              <w:top w:val="single" w:sz="4" w:space="0" w:color="auto"/>
              <w:left w:val="single" w:sz="4" w:space="0" w:color="auto"/>
              <w:bottom w:val="single" w:sz="4" w:space="0" w:color="auto"/>
              <w:right w:val="single" w:sz="4" w:space="0" w:color="auto"/>
            </w:tcBorders>
            <w:shd w:val="clear" w:color="auto" w:fill="auto"/>
          </w:tcPr>
          <w:p w:rsidR="000174B3" w:rsidRPr="00ED7F0F" w:rsidRDefault="000174B3" w:rsidP="00122C9F">
            <w:pPr>
              <w:jc w:val="center"/>
              <w:rPr>
                <w:b/>
                <w:szCs w:val="22"/>
              </w:rPr>
            </w:pPr>
            <w:r w:rsidRPr="00ED7F0F">
              <w:rPr>
                <w:rFonts w:eastAsia="TimesNewRoman,Bold"/>
                <w:b/>
                <w:bCs/>
                <w:szCs w:val="22"/>
                <w:lang w:eastAsia="en-US"/>
              </w:rPr>
              <w:t>Percento (%) pacientov</w:t>
            </w:r>
          </w:p>
        </w:tc>
      </w:tr>
      <w:tr w:rsidR="00C36014" w:rsidRPr="00ED7F0F" w:rsidTr="00A22CA8">
        <w:tc>
          <w:tcPr>
            <w:tcW w:w="2514" w:type="dxa"/>
            <w:tcBorders>
              <w:top w:val="single" w:sz="4" w:space="0" w:color="auto"/>
              <w:left w:val="single" w:sz="4" w:space="0" w:color="auto"/>
              <w:bottom w:val="nil"/>
              <w:right w:val="single" w:sz="4" w:space="0" w:color="auto"/>
            </w:tcBorders>
            <w:shd w:val="clear" w:color="auto" w:fill="auto"/>
          </w:tcPr>
          <w:p w:rsidR="00C36014" w:rsidRPr="00ED7F0F" w:rsidRDefault="00412D70" w:rsidP="00122C9F">
            <w:pPr>
              <w:autoSpaceDE w:val="0"/>
              <w:autoSpaceDN w:val="0"/>
              <w:adjustRightInd w:val="0"/>
              <w:rPr>
                <w:b/>
                <w:szCs w:val="22"/>
              </w:rPr>
            </w:pPr>
            <w:r w:rsidRPr="00ED7F0F">
              <w:rPr>
                <w:rFonts w:eastAsia="TimesNewRoman,Bold"/>
                <w:b/>
                <w:bCs/>
                <w:szCs w:val="22"/>
                <w:lang w:eastAsia="en-US"/>
              </w:rPr>
              <w:t>Hematologické parametre</w:t>
            </w:r>
          </w:p>
        </w:tc>
        <w:tc>
          <w:tcPr>
            <w:tcW w:w="1252" w:type="dxa"/>
            <w:tcBorders>
              <w:top w:val="single" w:sz="4" w:space="0" w:color="auto"/>
              <w:left w:val="single" w:sz="4" w:space="0" w:color="auto"/>
              <w:bottom w:val="nil"/>
              <w:right w:val="single" w:sz="4" w:space="0" w:color="auto"/>
            </w:tcBorders>
            <w:shd w:val="clear" w:color="auto" w:fill="auto"/>
          </w:tcPr>
          <w:p w:rsidR="00C36014" w:rsidRPr="00ED7F0F" w:rsidRDefault="00C36014" w:rsidP="00122C9F">
            <w:pPr>
              <w:jc w:val="center"/>
              <w:rPr>
                <w:szCs w:val="22"/>
              </w:rPr>
            </w:pPr>
          </w:p>
        </w:tc>
        <w:tc>
          <w:tcPr>
            <w:tcW w:w="1559" w:type="dxa"/>
            <w:tcBorders>
              <w:top w:val="single" w:sz="4" w:space="0" w:color="auto"/>
              <w:left w:val="single" w:sz="4" w:space="0" w:color="auto"/>
              <w:bottom w:val="nil"/>
              <w:right w:val="single" w:sz="4" w:space="0" w:color="auto"/>
            </w:tcBorders>
            <w:shd w:val="clear" w:color="auto" w:fill="auto"/>
          </w:tcPr>
          <w:p w:rsidR="00C36014" w:rsidRPr="00ED7F0F" w:rsidRDefault="00C36014" w:rsidP="00122C9F">
            <w:pPr>
              <w:jc w:val="center"/>
              <w:rPr>
                <w:szCs w:val="22"/>
              </w:rPr>
            </w:pPr>
          </w:p>
        </w:tc>
        <w:tc>
          <w:tcPr>
            <w:tcW w:w="1701" w:type="dxa"/>
            <w:tcBorders>
              <w:top w:val="single" w:sz="4" w:space="0" w:color="auto"/>
              <w:left w:val="single" w:sz="4" w:space="0" w:color="auto"/>
              <w:bottom w:val="nil"/>
              <w:right w:val="single" w:sz="4" w:space="0" w:color="auto"/>
            </w:tcBorders>
            <w:shd w:val="clear" w:color="auto" w:fill="auto"/>
          </w:tcPr>
          <w:p w:rsidR="00C36014" w:rsidRPr="00ED7F0F" w:rsidRDefault="00C36014" w:rsidP="00122C9F">
            <w:pPr>
              <w:jc w:val="center"/>
              <w:rPr>
                <w:szCs w:val="22"/>
              </w:rPr>
            </w:pPr>
          </w:p>
        </w:tc>
        <w:tc>
          <w:tcPr>
            <w:tcW w:w="1701" w:type="dxa"/>
            <w:tcBorders>
              <w:top w:val="single" w:sz="4" w:space="0" w:color="auto"/>
              <w:left w:val="single" w:sz="4" w:space="0" w:color="auto"/>
              <w:bottom w:val="nil"/>
              <w:right w:val="single" w:sz="4" w:space="0" w:color="auto"/>
            </w:tcBorders>
            <w:shd w:val="clear" w:color="auto" w:fill="auto"/>
          </w:tcPr>
          <w:p w:rsidR="00C36014" w:rsidRPr="00ED7F0F" w:rsidRDefault="00C36014" w:rsidP="00122C9F">
            <w:pPr>
              <w:jc w:val="center"/>
              <w:rPr>
                <w:szCs w:val="22"/>
              </w:rPr>
            </w:pPr>
          </w:p>
        </w:tc>
      </w:tr>
      <w:tr w:rsidR="00C36014" w:rsidRPr="00ED7F0F" w:rsidTr="00A22CA8">
        <w:tc>
          <w:tcPr>
            <w:tcW w:w="2514" w:type="dxa"/>
            <w:tcBorders>
              <w:top w:val="nil"/>
              <w:left w:val="single" w:sz="4" w:space="0" w:color="auto"/>
              <w:bottom w:val="nil"/>
              <w:right w:val="single" w:sz="4" w:space="0" w:color="auto"/>
            </w:tcBorders>
            <w:shd w:val="clear" w:color="auto" w:fill="auto"/>
          </w:tcPr>
          <w:p w:rsidR="00C36014" w:rsidRPr="00ED7F0F" w:rsidRDefault="00C36014" w:rsidP="00122C9F">
            <w:pPr>
              <w:ind w:left="259"/>
              <w:rPr>
                <w:szCs w:val="22"/>
              </w:rPr>
            </w:pPr>
            <w:r w:rsidRPr="00ED7F0F">
              <w:rPr>
                <w:szCs w:val="22"/>
              </w:rPr>
              <w:t>neutropénia</w:t>
            </w:r>
          </w:p>
        </w:tc>
        <w:tc>
          <w:tcPr>
            <w:tcW w:w="1252" w:type="dxa"/>
            <w:tcBorders>
              <w:top w:val="nil"/>
              <w:left w:val="single" w:sz="4" w:space="0" w:color="auto"/>
              <w:bottom w:val="nil"/>
              <w:right w:val="single" w:sz="4" w:space="0" w:color="auto"/>
            </w:tcBorders>
            <w:shd w:val="clear" w:color="auto" w:fill="auto"/>
          </w:tcPr>
          <w:p w:rsidR="00C36014" w:rsidRPr="00ED7F0F" w:rsidRDefault="00C36014" w:rsidP="00122C9F">
            <w:pPr>
              <w:jc w:val="center"/>
              <w:rPr>
                <w:szCs w:val="22"/>
              </w:rPr>
            </w:pPr>
            <w:r w:rsidRPr="00ED7F0F">
              <w:rPr>
                <w:szCs w:val="22"/>
              </w:rPr>
              <w:t>36</w:t>
            </w:r>
          </w:p>
        </w:tc>
        <w:tc>
          <w:tcPr>
            <w:tcW w:w="1559" w:type="dxa"/>
            <w:tcBorders>
              <w:top w:val="nil"/>
              <w:left w:val="single" w:sz="4" w:space="0" w:color="auto"/>
              <w:bottom w:val="nil"/>
              <w:right w:val="single" w:sz="4" w:space="0" w:color="auto"/>
            </w:tcBorders>
            <w:shd w:val="clear" w:color="auto" w:fill="auto"/>
          </w:tcPr>
          <w:p w:rsidR="00C36014" w:rsidRPr="00ED7F0F" w:rsidRDefault="00C36014" w:rsidP="00122C9F">
            <w:pPr>
              <w:jc w:val="center"/>
              <w:rPr>
                <w:szCs w:val="22"/>
              </w:rPr>
            </w:pPr>
            <w:r w:rsidRPr="00ED7F0F">
              <w:rPr>
                <w:szCs w:val="22"/>
              </w:rPr>
              <w:t>58</w:t>
            </w:r>
          </w:p>
        </w:tc>
        <w:tc>
          <w:tcPr>
            <w:tcW w:w="1701" w:type="dxa"/>
            <w:tcBorders>
              <w:top w:val="nil"/>
              <w:left w:val="single" w:sz="4" w:space="0" w:color="auto"/>
              <w:bottom w:val="nil"/>
              <w:right w:val="single" w:sz="4" w:space="0" w:color="auto"/>
            </w:tcBorders>
            <w:shd w:val="clear" w:color="auto" w:fill="auto"/>
          </w:tcPr>
          <w:p w:rsidR="00C36014" w:rsidRPr="00ED7F0F" w:rsidRDefault="00C36014" w:rsidP="00122C9F">
            <w:pPr>
              <w:jc w:val="center"/>
              <w:rPr>
                <w:szCs w:val="22"/>
              </w:rPr>
            </w:pPr>
            <w:r w:rsidRPr="00ED7F0F">
              <w:rPr>
                <w:szCs w:val="22"/>
              </w:rPr>
              <w:t>77</w:t>
            </w:r>
          </w:p>
        </w:tc>
        <w:tc>
          <w:tcPr>
            <w:tcW w:w="1701" w:type="dxa"/>
            <w:tcBorders>
              <w:top w:val="nil"/>
              <w:left w:val="single" w:sz="4" w:space="0" w:color="auto"/>
              <w:bottom w:val="nil"/>
              <w:right w:val="single" w:sz="4" w:space="0" w:color="auto"/>
            </w:tcBorders>
            <w:shd w:val="clear" w:color="auto" w:fill="auto"/>
          </w:tcPr>
          <w:p w:rsidR="00C36014" w:rsidRPr="00ED7F0F" w:rsidRDefault="00C36014" w:rsidP="00122C9F">
            <w:pPr>
              <w:jc w:val="center"/>
              <w:rPr>
                <w:szCs w:val="22"/>
              </w:rPr>
            </w:pPr>
            <w:r w:rsidRPr="00ED7F0F">
              <w:rPr>
                <w:szCs w:val="22"/>
              </w:rPr>
              <w:t>76</w:t>
            </w:r>
          </w:p>
        </w:tc>
      </w:tr>
      <w:tr w:rsidR="00C36014" w:rsidRPr="00ED7F0F" w:rsidTr="00A22CA8">
        <w:tc>
          <w:tcPr>
            <w:tcW w:w="2514" w:type="dxa"/>
            <w:tcBorders>
              <w:top w:val="nil"/>
              <w:left w:val="single" w:sz="4" w:space="0" w:color="auto"/>
              <w:bottom w:val="nil"/>
              <w:right w:val="single" w:sz="4" w:space="0" w:color="auto"/>
            </w:tcBorders>
            <w:shd w:val="clear" w:color="auto" w:fill="auto"/>
          </w:tcPr>
          <w:p w:rsidR="00C36014" w:rsidRPr="00ED7F0F" w:rsidRDefault="00C36014" w:rsidP="00122C9F">
            <w:pPr>
              <w:ind w:left="259"/>
              <w:rPr>
                <w:szCs w:val="22"/>
              </w:rPr>
            </w:pPr>
            <w:r w:rsidRPr="00ED7F0F">
              <w:rPr>
                <w:szCs w:val="22"/>
              </w:rPr>
              <w:t>trombocytopénia</w:t>
            </w:r>
          </w:p>
        </w:tc>
        <w:tc>
          <w:tcPr>
            <w:tcW w:w="1252" w:type="dxa"/>
            <w:tcBorders>
              <w:top w:val="nil"/>
              <w:left w:val="single" w:sz="4" w:space="0" w:color="auto"/>
              <w:bottom w:val="nil"/>
              <w:right w:val="single" w:sz="4" w:space="0" w:color="auto"/>
            </w:tcBorders>
            <w:shd w:val="clear" w:color="auto" w:fill="auto"/>
          </w:tcPr>
          <w:p w:rsidR="00C36014" w:rsidRPr="00ED7F0F" w:rsidRDefault="00C36014" w:rsidP="00122C9F">
            <w:pPr>
              <w:jc w:val="center"/>
              <w:rPr>
                <w:szCs w:val="22"/>
              </w:rPr>
            </w:pPr>
            <w:r w:rsidRPr="00ED7F0F">
              <w:rPr>
                <w:szCs w:val="22"/>
              </w:rPr>
              <w:t>23</w:t>
            </w:r>
          </w:p>
        </w:tc>
        <w:tc>
          <w:tcPr>
            <w:tcW w:w="1559" w:type="dxa"/>
            <w:tcBorders>
              <w:top w:val="nil"/>
              <w:left w:val="single" w:sz="4" w:space="0" w:color="auto"/>
              <w:bottom w:val="nil"/>
              <w:right w:val="single" w:sz="4" w:space="0" w:color="auto"/>
            </w:tcBorders>
            <w:shd w:val="clear" w:color="auto" w:fill="auto"/>
          </w:tcPr>
          <w:p w:rsidR="00C36014" w:rsidRPr="00ED7F0F" w:rsidRDefault="00C36014" w:rsidP="00122C9F">
            <w:pPr>
              <w:jc w:val="center"/>
              <w:rPr>
                <w:szCs w:val="22"/>
              </w:rPr>
            </w:pPr>
            <w:r w:rsidRPr="00ED7F0F">
              <w:rPr>
                <w:szCs w:val="22"/>
              </w:rPr>
              <w:t>63</w:t>
            </w:r>
          </w:p>
        </w:tc>
        <w:tc>
          <w:tcPr>
            <w:tcW w:w="1701" w:type="dxa"/>
            <w:tcBorders>
              <w:top w:val="nil"/>
              <w:left w:val="single" w:sz="4" w:space="0" w:color="auto"/>
              <w:bottom w:val="nil"/>
              <w:right w:val="single" w:sz="4" w:space="0" w:color="auto"/>
            </w:tcBorders>
            <w:shd w:val="clear" w:color="auto" w:fill="auto"/>
          </w:tcPr>
          <w:p w:rsidR="00C36014" w:rsidRPr="00ED7F0F" w:rsidRDefault="00C36014" w:rsidP="00122C9F">
            <w:pPr>
              <w:jc w:val="center"/>
              <w:rPr>
                <w:szCs w:val="22"/>
              </w:rPr>
            </w:pPr>
            <w:r w:rsidRPr="00ED7F0F">
              <w:rPr>
                <w:szCs w:val="22"/>
              </w:rPr>
              <w:t>78</w:t>
            </w:r>
          </w:p>
        </w:tc>
        <w:tc>
          <w:tcPr>
            <w:tcW w:w="1701" w:type="dxa"/>
            <w:tcBorders>
              <w:top w:val="nil"/>
              <w:left w:val="single" w:sz="4" w:space="0" w:color="auto"/>
              <w:bottom w:val="nil"/>
              <w:right w:val="single" w:sz="4" w:space="0" w:color="auto"/>
            </w:tcBorders>
            <w:shd w:val="clear" w:color="auto" w:fill="auto"/>
          </w:tcPr>
          <w:p w:rsidR="00C36014" w:rsidRPr="00ED7F0F" w:rsidRDefault="00C36014" w:rsidP="00122C9F">
            <w:pPr>
              <w:jc w:val="center"/>
              <w:rPr>
                <w:szCs w:val="22"/>
              </w:rPr>
            </w:pPr>
            <w:r w:rsidRPr="00ED7F0F">
              <w:rPr>
                <w:szCs w:val="22"/>
              </w:rPr>
              <w:t>74</w:t>
            </w:r>
          </w:p>
        </w:tc>
      </w:tr>
      <w:tr w:rsidR="00C36014" w:rsidRPr="00ED7F0F" w:rsidTr="00A22CA8">
        <w:tc>
          <w:tcPr>
            <w:tcW w:w="2514" w:type="dxa"/>
            <w:tcBorders>
              <w:top w:val="nil"/>
              <w:left w:val="single" w:sz="4" w:space="0" w:color="auto"/>
              <w:bottom w:val="single" w:sz="4" w:space="0" w:color="auto"/>
              <w:right w:val="single" w:sz="4" w:space="0" w:color="auto"/>
            </w:tcBorders>
            <w:shd w:val="clear" w:color="auto" w:fill="auto"/>
          </w:tcPr>
          <w:p w:rsidR="00C36014" w:rsidRPr="00ED7F0F" w:rsidRDefault="00C36014" w:rsidP="00122C9F">
            <w:pPr>
              <w:ind w:left="259"/>
              <w:rPr>
                <w:szCs w:val="22"/>
              </w:rPr>
            </w:pPr>
            <w:r w:rsidRPr="00ED7F0F">
              <w:rPr>
                <w:szCs w:val="22"/>
              </w:rPr>
              <w:t>anémia</w:t>
            </w:r>
          </w:p>
        </w:tc>
        <w:tc>
          <w:tcPr>
            <w:tcW w:w="1252" w:type="dxa"/>
            <w:tcBorders>
              <w:top w:val="nil"/>
              <w:left w:val="single" w:sz="4" w:space="0" w:color="auto"/>
              <w:bottom w:val="single" w:sz="4" w:space="0" w:color="auto"/>
              <w:right w:val="single" w:sz="4" w:space="0" w:color="auto"/>
            </w:tcBorders>
            <w:shd w:val="clear" w:color="auto" w:fill="auto"/>
          </w:tcPr>
          <w:p w:rsidR="00C36014" w:rsidRPr="00ED7F0F" w:rsidRDefault="00C36014" w:rsidP="00122C9F">
            <w:pPr>
              <w:jc w:val="center"/>
              <w:rPr>
                <w:szCs w:val="22"/>
              </w:rPr>
            </w:pPr>
            <w:r w:rsidRPr="00ED7F0F">
              <w:rPr>
                <w:szCs w:val="22"/>
              </w:rPr>
              <w:t>13</w:t>
            </w:r>
          </w:p>
        </w:tc>
        <w:tc>
          <w:tcPr>
            <w:tcW w:w="1559" w:type="dxa"/>
            <w:tcBorders>
              <w:top w:val="nil"/>
              <w:left w:val="single" w:sz="4" w:space="0" w:color="auto"/>
              <w:bottom w:val="single" w:sz="4" w:space="0" w:color="auto"/>
              <w:right w:val="single" w:sz="4" w:space="0" w:color="auto"/>
            </w:tcBorders>
            <w:shd w:val="clear" w:color="auto" w:fill="auto"/>
          </w:tcPr>
          <w:p w:rsidR="00C36014" w:rsidRPr="00ED7F0F" w:rsidRDefault="00C36014" w:rsidP="00122C9F">
            <w:pPr>
              <w:jc w:val="center"/>
              <w:rPr>
                <w:szCs w:val="22"/>
              </w:rPr>
            </w:pPr>
            <w:r w:rsidRPr="00ED7F0F">
              <w:rPr>
                <w:szCs w:val="22"/>
              </w:rPr>
              <w:t>47</w:t>
            </w:r>
          </w:p>
        </w:tc>
        <w:tc>
          <w:tcPr>
            <w:tcW w:w="1701" w:type="dxa"/>
            <w:tcBorders>
              <w:top w:val="nil"/>
              <w:left w:val="single" w:sz="4" w:space="0" w:color="auto"/>
              <w:bottom w:val="single" w:sz="4" w:space="0" w:color="auto"/>
              <w:right w:val="single" w:sz="4" w:space="0" w:color="auto"/>
            </w:tcBorders>
            <w:shd w:val="clear" w:color="auto" w:fill="auto"/>
          </w:tcPr>
          <w:p w:rsidR="00C36014" w:rsidRPr="00ED7F0F" w:rsidRDefault="00C36014" w:rsidP="00122C9F">
            <w:pPr>
              <w:jc w:val="center"/>
              <w:rPr>
                <w:szCs w:val="22"/>
              </w:rPr>
            </w:pPr>
            <w:r w:rsidRPr="00ED7F0F">
              <w:rPr>
                <w:szCs w:val="22"/>
              </w:rPr>
              <w:t>74</w:t>
            </w:r>
          </w:p>
        </w:tc>
        <w:tc>
          <w:tcPr>
            <w:tcW w:w="1701" w:type="dxa"/>
            <w:tcBorders>
              <w:top w:val="nil"/>
              <w:left w:val="single" w:sz="4" w:space="0" w:color="auto"/>
              <w:bottom w:val="single" w:sz="4" w:space="0" w:color="auto"/>
              <w:right w:val="single" w:sz="4" w:space="0" w:color="auto"/>
            </w:tcBorders>
            <w:shd w:val="clear" w:color="auto" w:fill="auto"/>
          </w:tcPr>
          <w:p w:rsidR="00C36014" w:rsidRPr="00ED7F0F" w:rsidRDefault="00C36014" w:rsidP="00122C9F">
            <w:pPr>
              <w:jc w:val="center"/>
              <w:rPr>
                <w:szCs w:val="22"/>
              </w:rPr>
            </w:pPr>
            <w:r w:rsidRPr="00ED7F0F">
              <w:rPr>
                <w:szCs w:val="22"/>
              </w:rPr>
              <w:t>44</w:t>
            </w:r>
          </w:p>
        </w:tc>
      </w:tr>
    </w:tbl>
    <w:p w:rsidR="00C36014" w:rsidRPr="00ED7F0F" w:rsidRDefault="00C36014" w:rsidP="00122C9F">
      <w:pPr>
        <w:tabs>
          <w:tab w:val="clear" w:pos="567"/>
          <w:tab w:val="left" w:pos="284"/>
        </w:tabs>
        <w:autoSpaceDE w:val="0"/>
        <w:autoSpaceDN w:val="0"/>
        <w:adjustRightInd w:val="0"/>
        <w:rPr>
          <w:rFonts w:eastAsia="TimesNewRoman"/>
          <w:sz w:val="18"/>
          <w:szCs w:val="18"/>
          <w:lang w:eastAsia="en-US"/>
        </w:rPr>
      </w:pPr>
      <w:r w:rsidRPr="00ED7F0F">
        <w:rPr>
          <w:rFonts w:eastAsia="TimesNewRoman"/>
          <w:sz w:val="20"/>
          <w:vertAlign w:val="superscript"/>
          <w:lang w:eastAsia="en-US"/>
        </w:rPr>
        <w:t>a</w:t>
      </w:r>
      <w:r w:rsidR="00A22CA8" w:rsidRPr="00ED7F0F">
        <w:rPr>
          <w:rFonts w:eastAsia="TimesNewRoman"/>
          <w:sz w:val="20"/>
          <w:lang w:eastAsia="en-US"/>
        </w:rPr>
        <w:tab/>
      </w:r>
      <w:r w:rsidRPr="00ED7F0F">
        <w:rPr>
          <w:rFonts w:eastAsia="TimesNewRoman"/>
          <w:sz w:val="18"/>
          <w:szCs w:val="18"/>
          <w:lang w:eastAsia="en-US"/>
        </w:rPr>
        <w:t>Výsledky štúdie fázy</w:t>
      </w:r>
      <w:r w:rsidR="002E248B" w:rsidRPr="00ED7F0F">
        <w:rPr>
          <w:rFonts w:eastAsia="TimesNewRoman"/>
          <w:sz w:val="18"/>
          <w:szCs w:val="18"/>
          <w:lang w:eastAsia="en-US"/>
        </w:rPr>
        <w:t xml:space="preserve"> 3</w:t>
      </w:r>
      <w:r w:rsidRPr="00ED7F0F">
        <w:rPr>
          <w:rFonts w:eastAsia="TimesNewRoman"/>
          <w:sz w:val="18"/>
          <w:szCs w:val="18"/>
          <w:lang w:eastAsia="en-US"/>
        </w:rPr>
        <w:t xml:space="preserve"> optimalizácie dávky hlásené po</w:t>
      </w:r>
      <w:r w:rsidR="002E248B" w:rsidRPr="00ED7F0F">
        <w:rPr>
          <w:rFonts w:eastAsia="TimesNewRoman"/>
          <w:sz w:val="18"/>
          <w:szCs w:val="18"/>
          <w:lang w:eastAsia="en-US"/>
        </w:rPr>
        <w:t>čas</w:t>
      </w:r>
      <w:r w:rsidRPr="00ED7F0F">
        <w:rPr>
          <w:rFonts w:eastAsia="TimesNewRoman"/>
          <w:sz w:val="18"/>
          <w:szCs w:val="18"/>
          <w:lang w:eastAsia="en-US"/>
        </w:rPr>
        <w:t xml:space="preserve"> 2</w:t>
      </w:r>
      <w:r w:rsidR="002E248B" w:rsidRPr="00ED7F0F">
        <w:rPr>
          <w:rFonts w:eastAsia="TimesNewRoman"/>
          <w:sz w:val="18"/>
          <w:szCs w:val="18"/>
          <w:lang w:eastAsia="en-US"/>
        </w:rPr>
        <w:t xml:space="preserve"> rokov</w:t>
      </w:r>
      <w:r w:rsidRPr="00ED7F0F">
        <w:rPr>
          <w:rFonts w:eastAsia="TimesNewRoman"/>
          <w:sz w:val="18"/>
          <w:szCs w:val="18"/>
          <w:lang w:eastAsia="en-US"/>
        </w:rPr>
        <w:t xml:space="preserve"> následného sledovania.</w:t>
      </w:r>
    </w:p>
    <w:p w:rsidR="00C36014" w:rsidRPr="00ED7F0F" w:rsidRDefault="00C36014" w:rsidP="00122C9F">
      <w:pPr>
        <w:tabs>
          <w:tab w:val="clear" w:pos="567"/>
          <w:tab w:val="left" w:pos="284"/>
        </w:tabs>
        <w:autoSpaceDE w:val="0"/>
        <w:autoSpaceDN w:val="0"/>
        <w:adjustRightInd w:val="0"/>
        <w:rPr>
          <w:rFonts w:eastAsia="TimesNewRoman"/>
          <w:sz w:val="18"/>
          <w:szCs w:val="18"/>
          <w:lang w:eastAsia="en-US"/>
        </w:rPr>
      </w:pPr>
      <w:r w:rsidRPr="00ED7F0F">
        <w:rPr>
          <w:rFonts w:eastAsia="TimesNewRoman"/>
          <w:sz w:val="18"/>
          <w:szCs w:val="18"/>
          <w:vertAlign w:val="superscript"/>
          <w:lang w:eastAsia="en-US"/>
        </w:rPr>
        <w:t>b</w:t>
      </w:r>
      <w:r w:rsidR="00A22CA8" w:rsidRPr="00ED7F0F">
        <w:rPr>
          <w:rFonts w:eastAsia="TimesNewRoman"/>
          <w:sz w:val="18"/>
          <w:szCs w:val="18"/>
          <w:lang w:eastAsia="en-US"/>
        </w:rPr>
        <w:tab/>
      </w:r>
      <w:r w:rsidRPr="00ED7F0F">
        <w:rPr>
          <w:rFonts w:eastAsia="TimesNewRoman"/>
          <w:sz w:val="18"/>
          <w:szCs w:val="18"/>
          <w:lang w:eastAsia="en-US"/>
        </w:rPr>
        <w:t>V</w:t>
      </w:r>
      <w:r w:rsidR="00A22CA8" w:rsidRPr="00ED7F0F">
        <w:rPr>
          <w:rFonts w:eastAsia="TimesNewRoman"/>
          <w:sz w:val="18"/>
          <w:szCs w:val="18"/>
          <w:lang w:eastAsia="en-US"/>
        </w:rPr>
        <w:t>ýs</w:t>
      </w:r>
      <w:r w:rsidRPr="00ED7F0F">
        <w:rPr>
          <w:rFonts w:eastAsia="TimesNewRoman"/>
          <w:sz w:val="18"/>
          <w:szCs w:val="18"/>
          <w:lang w:eastAsia="en-US"/>
        </w:rPr>
        <w:t>ledky štúdie CA180-034 pri odporúčanej začiatočnej dávke 100 mg jedenkrát denne.</w:t>
      </w:r>
    </w:p>
    <w:p w:rsidR="00C36014" w:rsidRPr="00ED7F0F" w:rsidRDefault="00C36014" w:rsidP="00122C9F">
      <w:pPr>
        <w:tabs>
          <w:tab w:val="clear" w:pos="567"/>
          <w:tab w:val="left" w:pos="284"/>
        </w:tabs>
        <w:autoSpaceDE w:val="0"/>
        <w:autoSpaceDN w:val="0"/>
        <w:adjustRightInd w:val="0"/>
        <w:rPr>
          <w:rFonts w:eastAsia="TimesNewRoman"/>
          <w:sz w:val="18"/>
          <w:szCs w:val="18"/>
          <w:lang w:eastAsia="en-US"/>
        </w:rPr>
      </w:pPr>
      <w:r w:rsidRPr="00ED7F0F">
        <w:rPr>
          <w:rFonts w:eastAsia="TimesNewRoman"/>
          <w:sz w:val="18"/>
          <w:szCs w:val="18"/>
          <w:vertAlign w:val="superscript"/>
          <w:lang w:eastAsia="en-US"/>
        </w:rPr>
        <w:t>c</w:t>
      </w:r>
      <w:r w:rsidR="00A22CA8" w:rsidRPr="00ED7F0F">
        <w:rPr>
          <w:rFonts w:eastAsia="TimesNewRoman"/>
          <w:sz w:val="18"/>
          <w:szCs w:val="18"/>
          <w:lang w:eastAsia="en-US"/>
        </w:rPr>
        <w:tab/>
      </w:r>
      <w:r w:rsidRPr="00ED7F0F">
        <w:rPr>
          <w:rFonts w:eastAsia="TimesNewRoman"/>
          <w:sz w:val="18"/>
          <w:szCs w:val="18"/>
          <w:lang w:eastAsia="en-US"/>
        </w:rPr>
        <w:t>Výsledky štúdie CA180-035 pri odporúčanej začiatočnej dávke 140 mg jedenkrát denne.</w:t>
      </w:r>
    </w:p>
    <w:p w:rsidR="00C36014" w:rsidRPr="00ED7F0F" w:rsidRDefault="00C36014" w:rsidP="00122C9F">
      <w:pPr>
        <w:tabs>
          <w:tab w:val="clear" w:pos="567"/>
          <w:tab w:val="left" w:pos="284"/>
        </w:tabs>
        <w:autoSpaceDE w:val="0"/>
        <w:autoSpaceDN w:val="0"/>
        <w:adjustRightInd w:val="0"/>
        <w:rPr>
          <w:position w:val="-1"/>
          <w:sz w:val="18"/>
          <w:szCs w:val="18"/>
        </w:rPr>
      </w:pPr>
      <w:r w:rsidRPr="00ED7F0F">
        <w:rPr>
          <w:rFonts w:eastAsia="TimesNewRoman"/>
          <w:sz w:val="18"/>
          <w:szCs w:val="18"/>
          <w:lang w:eastAsia="en-US"/>
        </w:rPr>
        <w:t>CTC stupne: neutropénia (3. stupňa ≥ 0,5– &lt; 1,0 x 10</w:t>
      </w:r>
      <w:r w:rsidRPr="00ED7F0F">
        <w:rPr>
          <w:rFonts w:eastAsia="TimesNewRoman"/>
          <w:sz w:val="18"/>
          <w:szCs w:val="18"/>
          <w:vertAlign w:val="superscript"/>
          <w:lang w:eastAsia="en-US"/>
        </w:rPr>
        <w:t>9</w:t>
      </w:r>
      <w:r w:rsidRPr="00ED7F0F">
        <w:rPr>
          <w:rFonts w:eastAsia="TimesNewRoman"/>
          <w:sz w:val="18"/>
          <w:szCs w:val="18"/>
          <w:lang w:eastAsia="en-US"/>
        </w:rPr>
        <w:t>/l, 4. stupňa &lt; 0,5 x 10</w:t>
      </w:r>
      <w:r w:rsidRPr="00ED7F0F">
        <w:rPr>
          <w:rFonts w:eastAsia="TimesNewRoman"/>
          <w:sz w:val="18"/>
          <w:szCs w:val="18"/>
          <w:vertAlign w:val="superscript"/>
          <w:lang w:eastAsia="en-US"/>
        </w:rPr>
        <w:t>9</w:t>
      </w:r>
      <w:r w:rsidRPr="00ED7F0F">
        <w:rPr>
          <w:rFonts w:eastAsia="TimesNewRoman"/>
          <w:sz w:val="18"/>
          <w:szCs w:val="18"/>
          <w:lang w:eastAsia="en-US"/>
        </w:rPr>
        <w:t>/l); trombocytopénia (3. stupňa ≥ 25–&lt; 50 x 10</w:t>
      </w:r>
      <w:r w:rsidRPr="00ED7F0F">
        <w:rPr>
          <w:rFonts w:eastAsia="TimesNewRoman"/>
          <w:sz w:val="18"/>
          <w:szCs w:val="18"/>
          <w:vertAlign w:val="superscript"/>
          <w:lang w:eastAsia="en-US"/>
        </w:rPr>
        <w:t>9</w:t>
      </w:r>
      <w:r w:rsidRPr="00ED7F0F">
        <w:rPr>
          <w:rFonts w:eastAsia="TimesNewRoman"/>
          <w:sz w:val="18"/>
          <w:szCs w:val="18"/>
          <w:lang w:eastAsia="en-US"/>
        </w:rPr>
        <w:t>/l, 4. stupňa &lt; 25 x 10</w:t>
      </w:r>
      <w:r w:rsidRPr="00ED7F0F">
        <w:rPr>
          <w:rFonts w:eastAsia="TimesNewRoman"/>
          <w:sz w:val="18"/>
          <w:szCs w:val="18"/>
          <w:vertAlign w:val="superscript"/>
          <w:lang w:eastAsia="en-US"/>
        </w:rPr>
        <w:t>9</w:t>
      </w:r>
      <w:r w:rsidRPr="00ED7F0F">
        <w:rPr>
          <w:rFonts w:eastAsia="TimesNewRoman"/>
          <w:sz w:val="18"/>
          <w:szCs w:val="18"/>
          <w:lang w:eastAsia="en-US"/>
        </w:rPr>
        <w:t>/l); anémia (hemoglobín 3. stupňa ≥ 65– &lt; 80 g/l, 4. stupňa &lt; 65 g/l).</w:t>
      </w:r>
    </w:p>
    <w:p w:rsidR="00C36014" w:rsidRPr="00ED7F0F" w:rsidRDefault="00C36014" w:rsidP="00122C9F">
      <w:pPr>
        <w:autoSpaceDE w:val="0"/>
        <w:autoSpaceDN w:val="0"/>
        <w:adjustRightInd w:val="0"/>
        <w:rPr>
          <w:color w:val="000000"/>
          <w:sz w:val="18"/>
          <w:szCs w:val="18"/>
        </w:rPr>
      </w:pPr>
    </w:p>
    <w:p w:rsidR="00C36014" w:rsidRPr="00ED7F0F" w:rsidRDefault="00C36014" w:rsidP="00122C9F">
      <w:pPr>
        <w:autoSpaceDE w:val="0"/>
        <w:autoSpaceDN w:val="0"/>
        <w:adjustRightInd w:val="0"/>
        <w:rPr>
          <w:rFonts w:eastAsia="TimesNewRoman"/>
          <w:szCs w:val="22"/>
          <w:lang w:eastAsia="en-US"/>
        </w:rPr>
      </w:pPr>
      <w:r w:rsidRPr="00ED7F0F">
        <w:rPr>
          <w:rFonts w:eastAsia="TimesNewRoman"/>
          <w:szCs w:val="22"/>
          <w:lang w:eastAsia="en-US"/>
        </w:rPr>
        <w:t>Kumulatívne</w:t>
      </w:r>
      <w:r w:rsidR="002E248B" w:rsidRPr="00ED7F0F">
        <w:rPr>
          <w:rFonts w:eastAsia="TimesNewRoman"/>
          <w:szCs w:val="22"/>
          <w:lang w:eastAsia="en-US"/>
        </w:rPr>
        <w:t xml:space="preserve"> miery výskytu</w:t>
      </w:r>
      <w:r w:rsidRPr="00ED7F0F">
        <w:rPr>
          <w:rFonts w:eastAsia="TimesNewRoman"/>
          <w:szCs w:val="22"/>
          <w:lang w:eastAsia="en-US"/>
        </w:rPr>
        <w:t xml:space="preserve"> cytopénie 3. alebo 4. stupňa u pacientov liečených dávkou 100 mg jedenkrát denne boli podobné v 2. a 5. roku, zahŕňajúce: neutropénie (35 % oproti 36 %), trombocytopénie (23 % oproti 24 %) a anémie (13 % oproti 13 %).</w:t>
      </w:r>
    </w:p>
    <w:p w:rsidR="00C36014" w:rsidRPr="00ED7F0F" w:rsidRDefault="00C36014" w:rsidP="00122C9F">
      <w:pPr>
        <w:autoSpaceDE w:val="0"/>
        <w:autoSpaceDN w:val="0"/>
        <w:adjustRightInd w:val="0"/>
        <w:rPr>
          <w:rFonts w:eastAsia="TimesNewRoman"/>
          <w:szCs w:val="22"/>
          <w:lang w:eastAsia="en-US"/>
        </w:rPr>
      </w:pPr>
      <w:r w:rsidRPr="00ED7F0F">
        <w:rPr>
          <w:rFonts w:eastAsia="TimesNewRoman"/>
          <w:szCs w:val="22"/>
          <w:lang w:eastAsia="en-US"/>
        </w:rPr>
        <w:t>U</w:t>
      </w:r>
      <w:r w:rsidR="005010CA" w:rsidRPr="00ED7F0F">
        <w:rPr>
          <w:rFonts w:eastAsia="TimesNewRoman"/>
          <w:szCs w:val="22"/>
          <w:lang w:eastAsia="en-US"/>
        </w:rPr>
        <w:t> </w:t>
      </w:r>
      <w:r w:rsidRPr="00ED7F0F">
        <w:rPr>
          <w:rFonts w:eastAsia="TimesNewRoman"/>
          <w:szCs w:val="22"/>
          <w:lang w:eastAsia="en-US"/>
        </w:rPr>
        <w:t>pacientov, ktorí mali myelosupresiu 3. alebo 4. stupňa, zvyčajne došlo k zotaveniu po krátkom prerušení liečby a/alebo znížení dávky a trvalé ukončenie liečby bolo potrebné u</w:t>
      </w:r>
      <w:r w:rsidR="005010CA" w:rsidRPr="00ED7F0F">
        <w:rPr>
          <w:rFonts w:eastAsia="TimesNewRoman"/>
          <w:szCs w:val="22"/>
          <w:lang w:eastAsia="en-US"/>
        </w:rPr>
        <w:t> </w:t>
      </w:r>
      <w:r w:rsidRPr="00ED7F0F">
        <w:rPr>
          <w:rFonts w:eastAsia="TimesNewRoman"/>
          <w:szCs w:val="22"/>
          <w:lang w:eastAsia="en-US"/>
        </w:rPr>
        <w:t>5 % pacientov. Väčšina pacientov pokračovala v</w:t>
      </w:r>
      <w:r w:rsidR="005010CA" w:rsidRPr="00ED7F0F">
        <w:rPr>
          <w:rFonts w:eastAsia="TimesNewRoman"/>
          <w:szCs w:val="22"/>
          <w:lang w:eastAsia="en-US"/>
        </w:rPr>
        <w:t> </w:t>
      </w:r>
      <w:r w:rsidRPr="00ED7F0F">
        <w:rPr>
          <w:rFonts w:eastAsia="TimesNewRoman"/>
          <w:szCs w:val="22"/>
          <w:lang w:eastAsia="en-US"/>
        </w:rPr>
        <w:t>liečbe bez ďalších dôkazov o myelosupresii.</w:t>
      </w:r>
    </w:p>
    <w:p w:rsidR="00C36014" w:rsidRPr="00ED7F0F" w:rsidRDefault="00C36014" w:rsidP="00122C9F">
      <w:pPr>
        <w:autoSpaceDE w:val="0"/>
        <w:autoSpaceDN w:val="0"/>
        <w:adjustRightInd w:val="0"/>
        <w:rPr>
          <w:rFonts w:eastAsia="TimesNewRoman"/>
          <w:i/>
          <w:iCs/>
          <w:szCs w:val="22"/>
          <w:lang w:eastAsia="en-US"/>
        </w:rPr>
      </w:pPr>
    </w:p>
    <w:p w:rsidR="00C36014" w:rsidRPr="00ED7F0F" w:rsidRDefault="00C36014" w:rsidP="00122C9F">
      <w:pPr>
        <w:autoSpaceDE w:val="0"/>
        <w:autoSpaceDN w:val="0"/>
        <w:adjustRightInd w:val="0"/>
        <w:rPr>
          <w:rFonts w:eastAsia="TimesNewRoman"/>
          <w:i/>
          <w:iCs/>
          <w:szCs w:val="22"/>
          <w:lang w:eastAsia="en-US"/>
        </w:rPr>
      </w:pPr>
      <w:r w:rsidRPr="00ED7F0F">
        <w:rPr>
          <w:rFonts w:eastAsia="TimesNewRoman"/>
          <w:i/>
          <w:iCs/>
          <w:szCs w:val="22"/>
          <w:lang w:eastAsia="en-US"/>
        </w:rPr>
        <w:t>Biochemické vyšetrenia</w:t>
      </w:r>
    </w:p>
    <w:p w:rsidR="00C36014" w:rsidRPr="00ED7F0F" w:rsidRDefault="00C36014" w:rsidP="00122C9F">
      <w:pPr>
        <w:autoSpaceDE w:val="0"/>
        <w:autoSpaceDN w:val="0"/>
        <w:adjustRightInd w:val="0"/>
        <w:rPr>
          <w:rFonts w:eastAsia="TimesNewRoman"/>
          <w:szCs w:val="22"/>
          <w:lang w:eastAsia="en-US"/>
        </w:rPr>
      </w:pPr>
      <w:r w:rsidRPr="00ED7F0F">
        <w:rPr>
          <w:rFonts w:eastAsia="TimesNewRoman"/>
          <w:szCs w:val="22"/>
          <w:lang w:eastAsia="en-US"/>
        </w:rPr>
        <w:t>V</w:t>
      </w:r>
      <w:r w:rsidR="00D61E82" w:rsidRPr="00ED7F0F">
        <w:rPr>
          <w:rFonts w:eastAsia="TimesNewRoman"/>
          <w:szCs w:val="22"/>
          <w:lang w:eastAsia="en-US"/>
        </w:rPr>
        <w:t> </w:t>
      </w:r>
      <w:r w:rsidRPr="00ED7F0F">
        <w:rPr>
          <w:rFonts w:eastAsia="TimesNewRoman"/>
          <w:szCs w:val="22"/>
          <w:lang w:eastAsia="en-US"/>
        </w:rPr>
        <w:t>štúdii s</w:t>
      </w:r>
      <w:r w:rsidR="00D61E82" w:rsidRPr="00ED7F0F">
        <w:rPr>
          <w:rFonts w:eastAsia="TimesNewRoman"/>
          <w:szCs w:val="22"/>
          <w:lang w:eastAsia="en-US"/>
        </w:rPr>
        <w:t> </w:t>
      </w:r>
      <w:r w:rsidRPr="00ED7F0F">
        <w:rPr>
          <w:rFonts w:eastAsia="TimesNewRoman"/>
          <w:szCs w:val="22"/>
          <w:lang w:eastAsia="en-US"/>
        </w:rPr>
        <w:t>novodiagnostikovanou chronickou fázou CML sa hlásila hypofosfatémia 3. alebo 4.</w:t>
      </w:r>
      <w:r w:rsidR="005010CA" w:rsidRPr="00ED7F0F">
        <w:rPr>
          <w:rFonts w:eastAsia="TimesNewRoman"/>
          <w:szCs w:val="22"/>
          <w:lang w:eastAsia="en-US"/>
        </w:rPr>
        <w:t> </w:t>
      </w:r>
      <w:r w:rsidRPr="00ED7F0F">
        <w:rPr>
          <w:rFonts w:eastAsia="TimesNewRoman"/>
          <w:szCs w:val="22"/>
          <w:lang w:eastAsia="en-US"/>
        </w:rPr>
        <w:t>stupňa u 4 % pacientov liečených dasatinibom a</w:t>
      </w:r>
      <w:r w:rsidR="005010CA" w:rsidRPr="00ED7F0F">
        <w:rPr>
          <w:rFonts w:eastAsia="TimesNewRoman"/>
          <w:szCs w:val="22"/>
          <w:lang w:eastAsia="en-US"/>
        </w:rPr>
        <w:t> </w:t>
      </w:r>
      <w:r w:rsidRPr="00ED7F0F">
        <w:rPr>
          <w:rFonts w:eastAsia="TimesNewRoman"/>
          <w:szCs w:val="22"/>
          <w:lang w:eastAsia="en-US"/>
        </w:rPr>
        <w:t>vzostupy transamináz, kreatinínu a bilirubínu 3.</w:t>
      </w:r>
      <w:r w:rsidR="005010CA" w:rsidRPr="00ED7F0F">
        <w:rPr>
          <w:rFonts w:eastAsia="TimesNewRoman"/>
          <w:szCs w:val="22"/>
          <w:lang w:eastAsia="en-US"/>
        </w:rPr>
        <w:t> </w:t>
      </w:r>
      <w:r w:rsidRPr="00ED7F0F">
        <w:rPr>
          <w:rFonts w:eastAsia="TimesNewRoman"/>
          <w:szCs w:val="22"/>
          <w:lang w:eastAsia="en-US"/>
        </w:rPr>
        <w:t>alebo 4. stupňa sa hlásili u ≤ 1 % pacientov po minimálne 12</w:t>
      </w:r>
      <w:r w:rsidR="005010CA" w:rsidRPr="00ED7F0F">
        <w:rPr>
          <w:rFonts w:eastAsia="TimesNewRoman"/>
          <w:szCs w:val="22"/>
          <w:lang w:eastAsia="en-US"/>
        </w:rPr>
        <w:t> </w:t>
      </w:r>
      <w:r w:rsidRPr="00ED7F0F">
        <w:rPr>
          <w:rFonts w:eastAsia="TimesNewRoman"/>
          <w:szCs w:val="22"/>
          <w:lang w:eastAsia="en-US"/>
        </w:rPr>
        <w:t>mesiacoch následného sledovania. Po minimálne 60 mesiacoch následného sledovania bol</w:t>
      </w:r>
      <w:r w:rsidR="002E248B" w:rsidRPr="00ED7F0F">
        <w:rPr>
          <w:rFonts w:eastAsia="TimesNewRoman"/>
          <w:szCs w:val="22"/>
          <w:lang w:eastAsia="en-US"/>
        </w:rPr>
        <w:t>a</w:t>
      </w:r>
      <w:r w:rsidRPr="00ED7F0F">
        <w:rPr>
          <w:rFonts w:eastAsia="TimesNewRoman"/>
          <w:szCs w:val="22"/>
          <w:lang w:eastAsia="en-US"/>
        </w:rPr>
        <w:t xml:space="preserve"> kumulatívn</w:t>
      </w:r>
      <w:r w:rsidR="002E248B" w:rsidRPr="00ED7F0F">
        <w:rPr>
          <w:rFonts w:eastAsia="TimesNewRoman"/>
          <w:szCs w:val="22"/>
          <w:lang w:eastAsia="en-US"/>
        </w:rPr>
        <w:t>a miera výskytu</w:t>
      </w:r>
      <w:r w:rsidRPr="00ED7F0F">
        <w:rPr>
          <w:rFonts w:eastAsia="TimesNewRoman"/>
          <w:szCs w:val="22"/>
          <w:lang w:eastAsia="en-US"/>
        </w:rPr>
        <w:t xml:space="preserve"> hypofosfatémie 3. alebo 4. stupňa 7 %, vzostupu kreatinínu a bilirubínu 3. alebo 4. stupňa 1 % a vzostupu transamináz 3.</w:t>
      </w:r>
      <w:r w:rsidR="005010CA" w:rsidRPr="00ED7F0F">
        <w:rPr>
          <w:rFonts w:eastAsia="TimesNewRoman"/>
          <w:szCs w:val="22"/>
          <w:lang w:eastAsia="en-US"/>
        </w:rPr>
        <w:t> </w:t>
      </w:r>
      <w:r w:rsidRPr="00ED7F0F">
        <w:rPr>
          <w:rFonts w:eastAsia="TimesNewRoman"/>
          <w:szCs w:val="22"/>
          <w:lang w:eastAsia="en-US"/>
        </w:rPr>
        <w:t>alebo 4. stupňa zostal 1 %.</w:t>
      </w:r>
      <w:r w:rsidR="00A22CA8" w:rsidRPr="00ED7F0F">
        <w:rPr>
          <w:rFonts w:eastAsia="TimesNewRoman"/>
          <w:szCs w:val="22"/>
          <w:lang w:eastAsia="en-US"/>
        </w:rPr>
        <w:t xml:space="preserve"> </w:t>
      </w:r>
      <w:r w:rsidRPr="00ED7F0F">
        <w:rPr>
          <w:rFonts w:eastAsia="TimesNewRoman"/>
          <w:szCs w:val="22"/>
          <w:lang w:eastAsia="en-US"/>
        </w:rPr>
        <w:t>Ne</w:t>
      </w:r>
      <w:r w:rsidR="002E248B" w:rsidRPr="00ED7F0F">
        <w:rPr>
          <w:rFonts w:eastAsia="TimesNewRoman"/>
          <w:szCs w:val="22"/>
          <w:lang w:eastAsia="en-US"/>
        </w:rPr>
        <w:t>došlo k</w:t>
      </w:r>
      <w:r w:rsidRPr="00ED7F0F">
        <w:rPr>
          <w:rFonts w:eastAsia="TimesNewRoman"/>
          <w:szCs w:val="22"/>
          <w:lang w:eastAsia="en-US"/>
        </w:rPr>
        <w:t xml:space="preserve"> žiadne</w:t>
      </w:r>
      <w:r w:rsidR="002E248B" w:rsidRPr="00ED7F0F">
        <w:rPr>
          <w:rFonts w:eastAsia="TimesNewRoman"/>
          <w:szCs w:val="22"/>
          <w:lang w:eastAsia="en-US"/>
        </w:rPr>
        <w:t>mu</w:t>
      </w:r>
      <w:r w:rsidRPr="00ED7F0F">
        <w:rPr>
          <w:rFonts w:eastAsia="TimesNewRoman"/>
          <w:szCs w:val="22"/>
          <w:lang w:eastAsia="en-US"/>
        </w:rPr>
        <w:t xml:space="preserve"> prerušeni</w:t>
      </w:r>
      <w:r w:rsidR="002E248B" w:rsidRPr="00ED7F0F">
        <w:rPr>
          <w:rFonts w:eastAsia="TimesNewRoman"/>
          <w:szCs w:val="22"/>
          <w:lang w:eastAsia="en-US"/>
        </w:rPr>
        <w:t>u</w:t>
      </w:r>
      <w:r w:rsidRPr="00ED7F0F">
        <w:rPr>
          <w:rFonts w:eastAsia="TimesNewRoman"/>
          <w:szCs w:val="22"/>
          <w:lang w:eastAsia="en-US"/>
        </w:rPr>
        <w:t xml:space="preserve"> liečby dasatinibom v</w:t>
      </w:r>
      <w:r w:rsidR="005010CA" w:rsidRPr="00ED7F0F">
        <w:rPr>
          <w:rFonts w:eastAsia="TimesNewRoman"/>
          <w:szCs w:val="22"/>
          <w:lang w:eastAsia="en-US"/>
        </w:rPr>
        <w:t> </w:t>
      </w:r>
      <w:r w:rsidRPr="00ED7F0F">
        <w:rPr>
          <w:rFonts w:eastAsia="TimesNewRoman"/>
          <w:szCs w:val="22"/>
          <w:lang w:eastAsia="en-US"/>
        </w:rPr>
        <w:t>dôsledku týchto biochemických laboratórnych parametrov.</w:t>
      </w:r>
    </w:p>
    <w:p w:rsidR="00C36014" w:rsidRPr="00ED7F0F" w:rsidRDefault="00C36014" w:rsidP="00122C9F">
      <w:pPr>
        <w:autoSpaceDE w:val="0"/>
        <w:autoSpaceDN w:val="0"/>
        <w:adjustRightInd w:val="0"/>
        <w:rPr>
          <w:rFonts w:eastAsia="TimesNewRoman"/>
          <w:i/>
          <w:iCs/>
          <w:szCs w:val="22"/>
          <w:lang w:eastAsia="en-US"/>
        </w:rPr>
      </w:pPr>
    </w:p>
    <w:p w:rsidR="00C36014" w:rsidRPr="00ED7F0F" w:rsidRDefault="00C36014" w:rsidP="00122C9F">
      <w:pPr>
        <w:autoSpaceDE w:val="0"/>
        <w:autoSpaceDN w:val="0"/>
        <w:adjustRightInd w:val="0"/>
        <w:rPr>
          <w:rFonts w:eastAsia="TimesNewRoman"/>
          <w:i/>
          <w:iCs/>
          <w:szCs w:val="22"/>
          <w:lang w:eastAsia="en-US"/>
        </w:rPr>
      </w:pPr>
      <w:r w:rsidRPr="00ED7F0F">
        <w:rPr>
          <w:rFonts w:eastAsia="TimesNewRoman"/>
          <w:i/>
          <w:iCs/>
          <w:szCs w:val="22"/>
          <w:lang w:eastAsia="en-US"/>
        </w:rPr>
        <w:t>2-ročné následné sledovanie</w:t>
      </w:r>
    </w:p>
    <w:p w:rsidR="00C36014" w:rsidRPr="00ED7F0F" w:rsidRDefault="00C36014" w:rsidP="00122C9F">
      <w:pPr>
        <w:autoSpaceDE w:val="0"/>
        <w:autoSpaceDN w:val="0"/>
        <w:adjustRightInd w:val="0"/>
        <w:rPr>
          <w:rFonts w:eastAsia="TimesNewRoman"/>
          <w:szCs w:val="22"/>
          <w:lang w:eastAsia="en-US"/>
        </w:rPr>
      </w:pPr>
      <w:r w:rsidRPr="00ED7F0F">
        <w:rPr>
          <w:rFonts w:eastAsia="TimesNewRoman"/>
          <w:szCs w:val="22"/>
          <w:lang w:eastAsia="en-US"/>
        </w:rPr>
        <w:t>Vzostupy transamináz alebo bilirubínu 3. alebo 4. stupňa sa hlásili u 1 % pacientov v</w:t>
      </w:r>
      <w:r w:rsidR="005010CA" w:rsidRPr="00ED7F0F">
        <w:rPr>
          <w:rFonts w:eastAsia="TimesNewRoman"/>
          <w:szCs w:val="22"/>
          <w:lang w:eastAsia="en-US"/>
        </w:rPr>
        <w:t> </w:t>
      </w:r>
      <w:r w:rsidRPr="00ED7F0F">
        <w:rPr>
          <w:rFonts w:eastAsia="TimesNewRoman"/>
          <w:szCs w:val="22"/>
          <w:lang w:eastAsia="en-US"/>
        </w:rPr>
        <w:t>chronickej fáze CML (rezistentných alebo intolerantných na imatinib), ale u</w:t>
      </w:r>
      <w:r w:rsidR="005010CA" w:rsidRPr="00ED7F0F">
        <w:rPr>
          <w:rFonts w:eastAsia="TimesNewRoman"/>
          <w:szCs w:val="22"/>
          <w:lang w:eastAsia="en-US"/>
        </w:rPr>
        <w:t> </w:t>
      </w:r>
      <w:r w:rsidRPr="00ED7F0F">
        <w:rPr>
          <w:rFonts w:eastAsia="TimesNewRoman"/>
          <w:szCs w:val="22"/>
          <w:lang w:eastAsia="en-US"/>
        </w:rPr>
        <w:t>pacientov v</w:t>
      </w:r>
      <w:r w:rsidR="005010CA" w:rsidRPr="00ED7F0F">
        <w:rPr>
          <w:rFonts w:eastAsia="TimesNewRoman"/>
          <w:szCs w:val="22"/>
          <w:lang w:eastAsia="en-US"/>
        </w:rPr>
        <w:t> </w:t>
      </w:r>
      <w:r w:rsidRPr="00ED7F0F">
        <w:rPr>
          <w:rFonts w:eastAsia="TimesNewRoman"/>
          <w:szCs w:val="22"/>
          <w:lang w:eastAsia="en-US"/>
        </w:rPr>
        <w:t>pokročilej fáze CML a</w:t>
      </w:r>
      <w:r w:rsidR="005010CA" w:rsidRPr="00ED7F0F">
        <w:rPr>
          <w:rFonts w:eastAsia="TimesNewRoman"/>
          <w:szCs w:val="22"/>
          <w:lang w:eastAsia="en-US"/>
        </w:rPr>
        <w:t> </w:t>
      </w:r>
      <w:r w:rsidRPr="00ED7F0F">
        <w:rPr>
          <w:rFonts w:eastAsia="TimesNewRoman"/>
          <w:szCs w:val="22"/>
          <w:lang w:eastAsia="en-US"/>
        </w:rPr>
        <w:t>u</w:t>
      </w:r>
      <w:r w:rsidR="005010CA" w:rsidRPr="00ED7F0F">
        <w:rPr>
          <w:rFonts w:eastAsia="TimesNewRoman"/>
          <w:szCs w:val="22"/>
          <w:lang w:eastAsia="en-US"/>
        </w:rPr>
        <w:t> </w:t>
      </w:r>
      <w:r w:rsidRPr="00ED7F0F">
        <w:rPr>
          <w:rFonts w:eastAsia="TimesNewRoman"/>
          <w:szCs w:val="22"/>
          <w:lang w:eastAsia="en-US"/>
        </w:rPr>
        <w:t>pacientov s</w:t>
      </w:r>
      <w:r w:rsidR="005010CA" w:rsidRPr="00ED7F0F">
        <w:rPr>
          <w:rFonts w:eastAsia="TimesNewRoman"/>
          <w:szCs w:val="22"/>
          <w:lang w:eastAsia="en-US"/>
        </w:rPr>
        <w:t> </w:t>
      </w:r>
      <w:r w:rsidRPr="00ED7F0F">
        <w:rPr>
          <w:rFonts w:eastAsia="TimesNewRoman"/>
          <w:szCs w:val="22"/>
          <w:lang w:eastAsia="en-US"/>
        </w:rPr>
        <w:t>Ph+ ALL sa vzostupy hlásili so zvýšenou 1 až 7 % frekvenciou. Zvyčajne sa zvládli znížením dávky alebo prerušením liečby. V</w:t>
      </w:r>
      <w:r w:rsidR="005010CA" w:rsidRPr="00ED7F0F">
        <w:rPr>
          <w:rFonts w:eastAsia="TimesNewRoman"/>
          <w:szCs w:val="22"/>
          <w:lang w:eastAsia="en-US"/>
        </w:rPr>
        <w:t> </w:t>
      </w:r>
      <w:r w:rsidRPr="00ED7F0F">
        <w:rPr>
          <w:rFonts w:eastAsia="TimesNewRoman"/>
          <w:szCs w:val="22"/>
          <w:lang w:eastAsia="en-US"/>
        </w:rPr>
        <w:t>štúdii fázy III</w:t>
      </w:r>
      <w:r w:rsidR="002E248B" w:rsidRPr="00ED7F0F">
        <w:rPr>
          <w:rFonts w:eastAsia="TimesNewRoman"/>
          <w:szCs w:val="22"/>
          <w:lang w:eastAsia="en-US"/>
        </w:rPr>
        <w:t xml:space="preserve"> optimalizácie dávky</w:t>
      </w:r>
      <w:r w:rsidRPr="00ED7F0F">
        <w:rPr>
          <w:rFonts w:eastAsia="TimesNewRoman"/>
          <w:szCs w:val="22"/>
          <w:lang w:eastAsia="en-US"/>
        </w:rPr>
        <w:t xml:space="preserve"> s</w:t>
      </w:r>
      <w:r w:rsidR="005010CA" w:rsidRPr="00ED7F0F">
        <w:rPr>
          <w:rFonts w:eastAsia="TimesNewRoman"/>
          <w:szCs w:val="22"/>
          <w:lang w:eastAsia="en-US"/>
        </w:rPr>
        <w:t> </w:t>
      </w:r>
      <w:r w:rsidRPr="00ED7F0F">
        <w:rPr>
          <w:rFonts w:eastAsia="TimesNewRoman"/>
          <w:szCs w:val="22"/>
          <w:lang w:eastAsia="en-US"/>
        </w:rPr>
        <w:t>chronickou fázou CML sa vyskytlo zvýšenie transamináz alebo bilirubínu 3. alebo 4. stupňa u ≤ 1 % pacientov s</w:t>
      </w:r>
      <w:r w:rsidR="005010CA" w:rsidRPr="00ED7F0F">
        <w:rPr>
          <w:rFonts w:eastAsia="TimesNewRoman"/>
          <w:szCs w:val="22"/>
          <w:lang w:eastAsia="en-US"/>
        </w:rPr>
        <w:t> </w:t>
      </w:r>
      <w:r w:rsidRPr="00ED7F0F">
        <w:rPr>
          <w:rFonts w:eastAsia="TimesNewRoman"/>
          <w:szCs w:val="22"/>
          <w:lang w:eastAsia="en-US"/>
        </w:rPr>
        <w:t>podobným nízkym výskytom vo všetkých štyroch skupinách. V</w:t>
      </w:r>
      <w:r w:rsidR="005010CA" w:rsidRPr="00ED7F0F">
        <w:rPr>
          <w:rFonts w:eastAsia="TimesNewRoman"/>
          <w:szCs w:val="22"/>
          <w:lang w:eastAsia="en-US"/>
        </w:rPr>
        <w:t> </w:t>
      </w:r>
      <w:r w:rsidRPr="00ED7F0F">
        <w:rPr>
          <w:rFonts w:eastAsia="TimesNewRoman"/>
          <w:szCs w:val="22"/>
          <w:lang w:eastAsia="en-US"/>
        </w:rPr>
        <w:t>štúdii fázy III</w:t>
      </w:r>
      <w:r w:rsidR="002E248B" w:rsidRPr="00ED7F0F">
        <w:rPr>
          <w:rFonts w:eastAsia="TimesNewRoman"/>
          <w:szCs w:val="22"/>
          <w:lang w:eastAsia="en-US"/>
        </w:rPr>
        <w:t xml:space="preserve"> optimalizácie dávky</w:t>
      </w:r>
      <w:r w:rsidRPr="00ED7F0F">
        <w:rPr>
          <w:rFonts w:eastAsia="TimesNewRoman"/>
          <w:szCs w:val="22"/>
          <w:lang w:eastAsia="en-US"/>
        </w:rPr>
        <w:t xml:space="preserve"> s</w:t>
      </w:r>
      <w:r w:rsidR="005010CA" w:rsidRPr="00ED7F0F">
        <w:rPr>
          <w:rFonts w:eastAsia="TimesNewRoman"/>
          <w:szCs w:val="22"/>
          <w:lang w:eastAsia="en-US"/>
        </w:rPr>
        <w:t> </w:t>
      </w:r>
      <w:r w:rsidRPr="00ED7F0F">
        <w:rPr>
          <w:rFonts w:eastAsia="TimesNewRoman"/>
          <w:szCs w:val="22"/>
          <w:lang w:eastAsia="en-US"/>
        </w:rPr>
        <w:t>pokročilou fázou CML a Ph+ALL sa vyskytlo zvýšenie transamináz alebo bilirubínu 3. alebo 4.</w:t>
      </w:r>
      <w:r w:rsidR="005010CA" w:rsidRPr="00ED7F0F">
        <w:rPr>
          <w:rFonts w:eastAsia="TimesNewRoman"/>
          <w:szCs w:val="22"/>
          <w:lang w:eastAsia="en-US"/>
        </w:rPr>
        <w:t> </w:t>
      </w:r>
      <w:r w:rsidRPr="00ED7F0F">
        <w:rPr>
          <w:rFonts w:eastAsia="TimesNewRoman"/>
          <w:szCs w:val="22"/>
          <w:lang w:eastAsia="en-US"/>
        </w:rPr>
        <w:t>stupňa u 1 % až 5 % pacientov v</w:t>
      </w:r>
      <w:r w:rsidR="005010CA" w:rsidRPr="00ED7F0F">
        <w:rPr>
          <w:rFonts w:eastAsia="TimesNewRoman"/>
          <w:szCs w:val="22"/>
          <w:lang w:eastAsia="en-US"/>
        </w:rPr>
        <w:t> </w:t>
      </w:r>
      <w:r w:rsidRPr="00ED7F0F">
        <w:rPr>
          <w:rFonts w:eastAsia="TimesNewRoman"/>
          <w:szCs w:val="22"/>
          <w:lang w:eastAsia="en-US"/>
        </w:rPr>
        <w:t>jednotlivých liečených skupinách.</w:t>
      </w:r>
    </w:p>
    <w:p w:rsidR="00C36014" w:rsidRPr="00ED7F0F" w:rsidRDefault="00C36014" w:rsidP="00122C9F">
      <w:pPr>
        <w:autoSpaceDE w:val="0"/>
        <w:autoSpaceDN w:val="0"/>
        <w:adjustRightInd w:val="0"/>
        <w:rPr>
          <w:rFonts w:eastAsia="TimesNewRoman"/>
          <w:szCs w:val="22"/>
          <w:lang w:eastAsia="en-US"/>
        </w:rPr>
      </w:pPr>
    </w:p>
    <w:p w:rsidR="00C36014" w:rsidRPr="00ED7F0F" w:rsidRDefault="00C36014" w:rsidP="00122C9F">
      <w:pPr>
        <w:autoSpaceDE w:val="0"/>
        <w:autoSpaceDN w:val="0"/>
        <w:adjustRightInd w:val="0"/>
        <w:rPr>
          <w:color w:val="000000"/>
          <w:szCs w:val="22"/>
        </w:rPr>
      </w:pPr>
      <w:r w:rsidRPr="00ED7F0F">
        <w:rPr>
          <w:rFonts w:eastAsia="TimesNewRoman"/>
          <w:szCs w:val="22"/>
          <w:lang w:eastAsia="en-US"/>
        </w:rPr>
        <w:t>Približne u</w:t>
      </w:r>
      <w:r w:rsidR="005010CA" w:rsidRPr="00ED7F0F">
        <w:rPr>
          <w:rFonts w:eastAsia="TimesNewRoman"/>
          <w:szCs w:val="22"/>
          <w:lang w:eastAsia="en-US"/>
        </w:rPr>
        <w:t> </w:t>
      </w:r>
      <w:r w:rsidRPr="00ED7F0F">
        <w:rPr>
          <w:rFonts w:eastAsia="TimesNewRoman"/>
          <w:szCs w:val="22"/>
          <w:lang w:eastAsia="en-US"/>
        </w:rPr>
        <w:t>5 % pacientov liečených dasatinibom, ktorí mali normálne východiskové hladiny vápnika, vznikla v</w:t>
      </w:r>
      <w:r w:rsidR="005010CA" w:rsidRPr="00ED7F0F">
        <w:rPr>
          <w:rFonts w:eastAsia="TimesNewRoman"/>
          <w:szCs w:val="22"/>
          <w:lang w:eastAsia="en-US"/>
        </w:rPr>
        <w:t> </w:t>
      </w:r>
      <w:r w:rsidRPr="00ED7F0F">
        <w:rPr>
          <w:rFonts w:eastAsia="TimesNewRoman"/>
          <w:szCs w:val="22"/>
          <w:lang w:eastAsia="en-US"/>
        </w:rPr>
        <w:t>určitom čase počas štúdie prechodná hypokalciémia</w:t>
      </w:r>
      <w:r w:rsidR="00932D9C" w:rsidRPr="00ED7F0F">
        <w:rPr>
          <w:rFonts w:eastAsia="TimesNewRoman"/>
          <w:szCs w:val="22"/>
          <w:lang w:eastAsia="en-US"/>
        </w:rPr>
        <w:t xml:space="preserve"> 3. alebo 4. stupňa</w:t>
      </w:r>
      <w:r w:rsidRPr="00ED7F0F">
        <w:rPr>
          <w:rFonts w:eastAsia="TimesNewRoman"/>
          <w:szCs w:val="22"/>
          <w:lang w:eastAsia="en-US"/>
        </w:rPr>
        <w:t>. Obvykle nebola žiadna súvislosť medzi zníženými hladinami vápnika a klinickými symptómami. Pacienti, u</w:t>
      </w:r>
      <w:r w:rsidR="005010CA" w:rsidRPr="00ED7F0F">
        <w:rPr>
          <w:rFonts w:eastAsia="TimesNewRoman"/>
          <w:szCs w:val="22"/>
          <w:lang w:eastAsia="en-US"/>
        </w:rPr>
        <w:t> </w:t>
      </w:r>
      <w:r w:rsidRPr="00ED7F0F">
        <w:rPr>
          <w:rFonts w:eastAsia="TimesNewRoman"/>
          <w:szCs w:val="22"/>
          <w:lang w:eastAsia="en-US"/>
        </w:rPr>
        <w:t>ktorých vznikla hypokalciémia 3. alebo 4. stupňa sa často zotavili po perorálnej suplementácii vápnika. Hypokalciémia 3. alebo 4. stupňa, hypokaliémia a</w:t>
      </w:r>
      <w:r w:rsidR="005010CA" w:rsidRPr="00ED7F0F">
        <w:rPr>
          <w:rFonts w:eastAsia="TimesNewRoman"/>
          <w:szCs w:val="22"/>
          <w:lang w:eastAsia="en-US"/>
        </w:rPr>
        <w:t> </w:t>
      </w:r>
      <w:r w:rsidRPr="00ED7F0F">
        <w:rPr>
          <w:rFonts w:eastAsia="TimesNewRoman"/>
          <w:szCs w:val="22"/>
          <w:lang w:eastAsia="en-US"/>
        </w:rPr>
        <w:t>hypofosfatémia sa vyskytli u</w:t>
      </w:r>
      <w:r w:rsidR="005010CA" w:rsidRPr="00ED7F0F">
        <w:rPr>
          <w:rFonts w:eastAsia="TimesNewRoman"/>
          <w:szCs w:val="22"/>
          <w:lang w:eastAsia="en-US"/>
        </w:rPr>
        <w:t> </w:t>
      </w:r>
      <w:r w:rsidRPr="00ED7F0F">
        <w:rPr>
          <w:rFonts w:eastAsia="TimesNewRoman"/>
          <w:szCs w:val="22"/>
          <w:lang w:eastAsia="en-US"/>
        </w:rPr>
        <w:t>pacientov vo všetkých fázach CML, ale so zvýšenou frekvenciou u</w:t>
      </w:r>
      <w:r w:rsidR="005010CA" w:rsidRPr="00ED7F0F">
        <w:rPr>
          <w:rFonts w:eastAsia="TimesNewRoman"/>
          <w:szCs w:val="22"/>
          <w:lang w:eastAsia="en-US"/>
        </w:rPr>
        <w:t> </w:t>
      </w:r>
      <w:r w:rsidRPr="00ED7F0F">
        <w:rPr>
          <w:rFonts w:eastAsia="TimesNewRoman"/>
          <w:szCs w:val="22"/>
          <w:lang w:eastAsia="en-US"/>
        </w:rPr>
        <w:t>pacientov s</w:t>
      </w:r>
      <w:r w:rsidR="005010CA" w:rsidRPr="00ED7F0F">
        <w:rPr>
          <w:rFonts w:eastAsia="TimesNewRoman"/>
          <w:szCs w:val="22"/>
          <w:lang w:eastAsia="en-US"/>
        </w:rPr>
        <w:t> </w:t>
      </w:r>
      <w:r w:rsidRPr="00ED7F0F">
        <w:rPr>
          <w:rFonts w:eastAsia="TimesNewRoman"/>
          <w:szCs w:val="22"/>
          <w:lang w:eastAsia="en-US"/>
        </w:rPr>
        <w:t>myeloidnou alebo lymfoidnou blastovou fázou CML a Ph+ ALL. Zvýšenie kreatinínu 3. alebo 4. stupňa sa vyskytlo u &lt; 1 % pacientov s chronickou fázou CML a hlásil sa zvýšený výskyt od 1 do 4 % u pacientov s pokročilou fázou CML.</w:t>
      </w:r>
    </w:p>
    <w:p w:rsidR="00C36014" w:rsidRPr="00ED7F0F" w:rsidRDefault="00C36014" w:rsidP="00122C9F">
      <w:pPr>
        <w:autoSpaceDE w:val="0"/>
        <w:autoSpaceDN w:val="0"/>
        <w:adjustRightInd w:val="0"/>
        <w:rPr>
          <w:color w:val="000000"/>
          <w:szCs w:val="22"/>
        </w:rPr>
      </w:pPr>
    </w:p>
    <w:p w:rsidR="005010CA" w:rsidRPr="00ED7F0F" w:rsidRDefault="005010CA" w:rsidP="00122C9F">
      <w:pPr>
        <w:pStyle w:val="Nadpis2"/>
        <w:ind w:left="29"/>
      </w:pPr>
      <w:r w:rsidRPr="00ED7F0F">
        <w:t>Pediatrická populácia</w:t>
      </w:r>
    </w:p>
    <w:p w:rsidR="00BE1656" w:rsidRPr="00ED7F0F" w:rsidRDefault="00BE1656" w:rsidP="00122C9F">
      <w:pPr>
        <w:ind w:left="29"/>
      </w:pPr>
      <w:r w:rsidRPr="00ED7F0F">
        <w:t xml:space="preserve">Bezpečnostný profil </w:t>
      </w:r>
      <w:r w:rsidR="005010CA" w:rsidRPr="00ED7F0F">
        <w:t>dasatinibu</w:t>
      </w:r>
      <w:r w:rsidRPr="00ED7F0F">
        <w:t xml:space="preserve">, ktorý sa podával ako </w:t>
      </w:r>
      <w:r w:rsidR="008B0ECA" w:rsidRPr="00ED7F0F">
        <w:t>monoterapia</w:t>
      </w:r>
      <w:r w:rsidRPr="00ED7F0F">
        <w:t xml:space="preserve"> u</w:t>
      </w:r>
      <w:r w:rsidR="005010CA" w:rsidRPr="00ED7F0F">
        <w:t> </w:t>
      </w:r>
      <w:r w:rsidRPr="00ED7F0F">
        <w:t>pediatrických pacientov s</w:t>
      </w:r>
      <w:r w:rsidR="005010CA" w:rsidRPr="00ED7F0F">
        <w:t> </w:t>
      </w:r>
      <w:r w:rsidRPr="00ED7F0F">
        <w:t>Ph+ CML-CP, bol porovnateľný s</w:t>
      </w:r>
      <w:r w:rsidR="005010CA" w:rsidRPr="00ED7F0F">
        <w:t> </w:t>
      </w:r>
      <w:r w:rsidRPr="00ED7F0F">
        <w:t>bezpečnostným profilom u</w:t>
      </w:r>
      <w:r w:rsidR="005010CA" w:rsidRPr="00ED7F0F">
        <w:t> </w:t>
      </w:r>
      <w:r w:rsidRPr="00ED7F0F">
        <w:t>dospelých.</w:t>
      </w:r>
      <w:r w:rsidR="005010CA" w:rsidRPr="00ED7F0F">
        <w:t xml:space="preserve"> </w:t>
      </w:r>
      <w:r w:rsidRPr="00ED7F0F">
        <w:t>Bezpečnostný profil dasatinibu, ktorý sa podával v kombinácii s chemoterapiou pediatrickým pacientom s ALL s</w:t>
      </w:r>
      <w:r w:rsidR="005010CA" w:rsidRPr="00ED7F0F">
        <w:t> </w:t>
      </w:r>
      <w:r w:rsidRPr="00ED7F0F">
        <w:t xml:space="preserve">Ph+ bol zhodný so známym bezpečnostným profilom </w:t>
      </w:r>
      <w:r w:rsidR="005010CA" w:rsidRPr="00ED7F0F">
        <w:t>dasatinibu u dospelých</w:t>
      </w:r>
      <w:r w:rsidRPr="00ED7F0F">
        <w:t xml:space="preserve"> a</w:t>
      </w:r>
      <w:r w:rsidR="005010CA" w:rsidRPr="00ED7F0F">
        <w:t> </w:t>
      </w:r>
      <w:r w:rsidRPr="00ED7F0F">
        <w:t>s</w:t>
      </w:r>
      <w:r w:rsidR="005010CA" w:rsidRPr="00ED7F0F">
        <w:t> </w:t>
      </w:r>
      <w:r w:rsidRPr="00ED7F0F">
        <w:t>očakávanými účinkami chemoterapie, s</w:t>
      </w:r>
      <w:r w:rsidR="005010CA" w:rsidRPr="00ED7F0F">
        <w:t> </w:t>
      </w:r>
      <w:r w:rsidRPr="00ED7F0F">
        <w:t>výnimkou nižšieho výskytu pleurálne</w:t>
      </w:r>
      <w:r w:rsidR="00B42BBD" w:rsidRPr="00ED7F0F">
        <w:t>ho</w:t>
      </w:r>
      <w:r w:rsidRPr="00ED7F0F">
        <w:t xml:space="preserve"> </w:t>
      </w:r>
      <w:r w:rsidR="00B42BBD" w:rsidRPr="00ED7F0F">
        <w:t>výpotku</w:t>
      </w:r>
      <w:r w:rsidRPr="00ED7F0F">
        <w:t xml:space="preserve"> u</w:t>
      </w:r>
      <w:r w:rsidR="005010CA" w:rsidRPr="00ED7F0F">
        <w:t> </w:t>
      </w:r>
      <w:r w:rsidRPr="00ED7F0F">
        <w:t>pediatrických pacientov v</w:t>
      </w:r>
      <w:r w:rsidR="005010CA" w:rsidRPr="00ED7F0F">
        <w:t> </w:t>
      </w:r>
      <w:r w:rsidRPr="00ED7F0F">
        <w:t>porovnaní s</w:t>
      </w:r>
      <w:r w:rsidR="005010CA" w:rsidRPr="00ED7F0F">
        <w:t> </w:t>
      </w:r>
      <w:r w:rsidRPr="00ED7F0F">
        <w:t>dospelými.</w:t>
      </w:r>
    </w:p>
    <w:p w:rsidR="00BE1656" w:rsidRPr="00ED7F0F" w:rsidRDefault="00BE1656" w:rsidP="00122C9F">
      <w:pPr>
        <w:ind w:left="29"/>
      </w:pPr>
    </w:p>
    <w:p w:rsidR="00BE1656" w:rsidRPr="00ED7F0F" w:rsidRDefault="00BE1656" w:rsidP="00122C9F">
      <w:pPr>
        <w:ind w:left="29"/>
      </w:pPr>
      <w:r w:rsidRPr="00ED7F0F">
        <w:t>V pediatrických štúdiách s CML boli miery výskytu laboratórnych abnormalít zhodné so známym profilom laboratórnych parametrov u dospelých.</w:t>
      </w:r>
    </w:p>
    <w:p w:rsidR="00BE1656" w:rsidRPr="00ED7F0F" w:rsidRDefault="00BE1656" w:rsidP="00122C9F">
      <w:pPr>
        <w:spacing w:line="259" w:lineRule="auto"/>
        <w:ind w:left="34"/>
      </w:pPr>
    </w:p>
    <w:p w:rsidR="00BE1656" w:rsidRPr="00ED7F0F" w:rsidRDefault="00BE1656" w:rsidP="00122C9F">
      <w:pPr>
        <w:ind w:left="29"/>
      </w:pPr>
      <w:r w:rsidRPr="00ED7F0F">
        <w:t>V pediatrických štúdiách s ALL boli miery výskytu laboratórnych abnormalít zhodné so známym profilom laboratórnych parametrov u dospelých, v rámci kontextu pacienta s akútnou leukémiou, ktorý dostáva základný režim chemoterapie.</w:t>
      </w:r>
    </w:p>
    <w:p w:rsidR="00C36014" w:rsidRPr="00ED7F0F" w:rsidRDefault="00C36014" w:rsidP="00122C9F">
      <w:pPr>
        <w:autoSpaceDE w:val="0"/>
        <w:autoSpaceDN w:val="0"/>
        <w:adjustRightInd w:val="0"/>
        <w:rPr>
          <w:color w:val="000000"/>
          <w:szCs w:val="22"/>
        </w:rPr>
      </w:pPr>
    </w:p>
    <w:p w:rsidR="00C36014" w:rsidRPr="00ED7F0F" w:rsidRDefault="00C36014" w:rsidP="00122C9F">
      <w:pPr>
        <w:autoSpaceDE w:val="0"/>
        <w:autoSpaceDN w:val="0"/>
        <w:adjustRightInd w:val="0"/>
        <w:rPr>
          <w:rFonts w:eastAsia="TimesNewRoman"/>
          <w:szCs w:val="22"/>
          <w:u w:val="single"/>
          <w:lang w:eastAsia="en-US"/>
        </w:rPr>
      </w:pPr>
      <w:r w:rsidRPr="00ED7F0F">
        <w:rPr>
          <w:rFonts w:eastAsia="TimesNewRoman"/>
          <w:szCs w:val="22"/>
          <w:u w:val="single"/>
          <w:lang w:eastAsia="en-US"/>
        </w:rPr>
        <w:t>Osobitné populácie</w:t>
      </w:r>
    </w:p>
    <w:p w:rsidR="00C36014" w:rsidRPr="00ED7F0F" w:rsidRDefault="00C36014" w:rsidP="00122C9F">
      <w:pPr>
        <w:autoSpaceDE w:val="0"/>
        <w:autoSpaceDN w:val="0"/>
        <w:adjustRightInd w:val="0"/>
        <w:rPr>
          <w:color w:val="000000"/>
          <w:szCs w:val="22"/>
        </w:rPr>
      </w:pPr>
      <w:r w:rsidRPr="00ED7F0F">
        <w:rPr>
          <w:rFonts w:eastAsia="TimesNewRoman"/>
          <w:szCs w:val="22"/>
          <w:lang w:eastAsia="en-US"/>
        </w:rPr>
        <w:t>Zatiaľ čo bezpečnostný profil dasatinibu u starších ľudí bol podobný profilu v mladšej populácii, u pacientov vo veku 65 rokov a starších je pravdepodobnejší výskyt často hlásených nežiaducich reakcií, ako je únava, pleurálny výpotok, dyspnoe, kašeľ, krvácanie do dolnej časti gastrointestinálneho traktu a porucha vnímania chuti a pravdepodobnejší výskyt menej často hlásených nežiaducich reakcií, ako sú abdominálna distenzia, závrat, perikardiálny výpotok, kongestívne srdcové zlyhávanie a pokles telesnej hmotnosti a majú sa starostlivo sledovať (pozri časť</w:t>
      </w:r>
      <w:r w:rsidRPr="00ED7F0F">
        <w:rPr>
          <w:rFonts w:eastAsia="TimesNewRoman"/>
        </w:rPr>
        <w:t> </w:t>
      </w:r>
      <w:r w:rsidRPr="00ED7F0F">
        <w:rPr>
          <w:rFonts w:eastAsia="TimesNewRoman"/>
          <w:szCs w:val="22"/>
          <w:lang w:eastAsia="en-US"/>
        </w:rPr>
        <w:t>4.4).</w:t>
      </w:r>
    </w:p>
    <w:p w:rsidR="00033D26" w:rsidRPr="00ED7F0F" w:rsidRDefault="00033D26" w:rsidP="00122C9F">
      <w:pPr>
        <w:autoSpaceDE w:val="0"/>
        <w:autoSpaceDN w:val="0"/>
        <w:adjustRightInd w:val="0"/>
        <w:spacing w:line="240" w:lineRule="auto"/>
        <w:jc w:val="both"/>
      </w:pPr>
    </w:p>
    <w:p w:rsidR="00B12D42" w:rsidRPr="00ED7F0F" w:rsidRDefault="005D45FC" w:rsidP="00122C9F">
      <w:pPr>
        <w:keepNext/>
        <w:autoSpaceDE w:val="0"/>
        <w:autoSpaceDN w:val="0"/>
        <w:adjustRightInd w:val="0"/>
        <w:spacing w:line="240" w:lineRule="auto"/>
        <w:rPr>
          <w:u w:val="single"/>
        </w:rPr>
      </w:pPr>
      <w:r w:rsidRPr="00ED7F0F">
        <w:rPr>
          <w:u w:val="single"/>
        </w:rPr>
        <w:t>Hlásenie podozrení na nežiaduce reakcie</w:t>
      </w:r>
    </w:p>
    <w:p w:rsidR="008D35AD" w:rsidRPr="00ED7F0F" w:rsidRDefault="005D45FC" w:rsidP="00122C9F">
      <w:pPr>
        <w:autoSpaceDE w:val="0"/>
        <w:autoSpaceDN w:val="0"/>
        <w:adjustRightInd w:val="0"/>
        <w:spacing w:line="240" w:lineRule="auto"/>
        <w:rPr>
          <w:rStyle w:val="Hypertextovprepojenie1"/>
          <w:color w:val="auto"/>
        </w:rPr>
      </w:pPr>
      <w:r w:rsidRPr="00ED7F0F">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ED7F0F">
        <w:rPr>
          <w:highlight w:val="lightGray"/>
        </w:rPr>
        <w:t>národné centrum hlásenia uvedené v </w:t>
      </w:r>
      <w:hyperlink r:id="rId8" w:history="1">
        <w:r w:rsidRPr="00ED7F0F">
          <w:rPr>
            <w:rStyle w:val="Hypertextovprepojenie1"/>
            <w:highlight w:val="lightGray"/>
          </w:rPr>
          <w:t>Prílohe V</w:t>
        </w:r>
      </w:hyperlink>
      <w:r w:rsidR="00BE1656" w:rsidRPr="00ED7F0F">
        <w:rPr>
          <w:rStyle w:val="Hypertextovprepojenie1"/>
        </w:rPr>
        <w:t>.</w:t>
      </w:r>
    </w:p>
    <w:p w:rsidR="00DB59BF" w:rsidRPr="00ED7F0F" w:rsidRDefault="00DB59BF" w:rsidP="00122C9F">
      <w:pPr>
        <w:autoSpaceDE w:val="0"/>
        <w:autoSpaceDN w:val="0"/>
        <w:adjustRightInd w:val="0"/>
        <w:spacing w:line="240" w:lineRule="auto"/>
      </w:pPr>
    </w:p>
    <w:p w:rsidR="00812D16" w:rsidRPr="00ED7F0F" w:rsidRDefault="005D45FC" w:rsidP="00122C9F">
      <w:pPr>
        <w:keepNext/>
        <w:numPr>
          <w:ilvl w:val="1"/>
          <w:numId w:val="5"/>
        </w:numPr>
        <w:spacing w:line="240" w:lineRule="auto"/>
        <w:outlineLvl w:val="0"/>
      </w:pPr>
      <w:r w:rsidRPr="00ED7F0F">
        <w:rPr>
          <w:b/>
        </w:rPr>
        <w:t>Predávkovanie</w:t>
      </w:r>
    </w:p>
    <w:p w:rsidR="00812D16" w:rsidRPr="00ED7F0F" w:rsidRDefault="00812D16" w:rsidP="00122C9F">
      <w:pPr>
        <w:spacing w:line="240" w:lineRule="auto"/>
      </w:pPr>
    </w:p>
    <w:p w:rsidR="00C36014" w:rsidRPr="00ED7F0F" w:rsidRDefault="00C36014" w:rsidP="00122C9F">
      <w:pPr>
        <w:autoSpaceDE w:val="0"/>
        <w:autoSpaceDN w:val="0"/>
        <w:adjustRightInd w:val="0"/>
        <w:rPr>
          <w:szCs w:val="22"/>
        </w:rPr>
      </w:pPr>
      <w:r w:rsidRPr="00ED7F0F">
        <w:rPr>
          <w:rFonts w:eastAsia="TimesNewRoman"/>
          <w:szCs w:val="22"/>
          <w:lang w:eastAsia="en-US"/>
        </w:rPr>
        <w:t>Skúsenosti s predávkovaním dasatinibom v klinických štúdiách sú limitované z dôvodu ojedinelých prípadov. Najväčšie predávkovanie 280 mg denne počas jedného týždňa sa vyskytlo u dvoch pacientov a u oboch sa vyvinulo signifikantné zníženie počtu trombocytov. Pretože sa dasatinib spája s myelosupresiou 3. alebo 4. stupňa (pozri časť 4.4), pacienti, ktorí prijali vyššiu ako odporúčanú dávku, majú byť dôkladne sledovaní kvôli myelosupresii a má im byť poskytnutá podporná liečba.</w:t>
      </w:r>
    </w:p>
    <w:p w:rsidR="00C36014" w:rsidRPr="00ED7F0F" w:rsidRDefault="00C36014" w:rsidP="00122C9F">
      <w:pPr>
        <w:autoSpaceDE w:val="0"/>
        <w:autoSpaceDN w:val="0"/>
        <w:adjustRightInd w:val="0"/>
        <w:rPr>
          <w:rFonts w:eastAsia="TimesNewRoman"/>
          <w:szCs w:val="22"/>
          <w:lang w:eastAsia="en-US"/>
        </w:rPr>
      </w:pPr>
    </w:p>
    <w:p w:rsidR="007E4269" w:rsidRPr="00ED7F0F" w:rsidRDefault="007E4269" w:rsidP="00122C9F">
      <w:pPr>
        <w:spacing w:line="240" w:lineRule="auto"/>
      </w:pPr>
    </w:p>
    <w:p w:rsidR="00812D16" w:rsidRPr="00ED7F0F" w:rsidRDefault="005D45FC" w:rsidP="00122C9F">
      <w:pPr>
        <w:keepNext/>
        <w:numPr>
          <w:ilvl w:val="0"/>
          <w:numId w:val="5"/>
        </w:numPr>
        <w:suppressAutoHyphens/>
        <w:spacing w:line="240" w:lineRule="auto"/>
      </w:pPr>
      <w:r w:rsidRPr="00ED7F0F">
        <w:rPr>
          <w:b/>
        </w:rPr>
        <w:t>FARMAKOLOGICKÉ VLASTNOSTI</w:t>
      </w:r>
    </w:p>
    <w:p w:rsidR="00812D16" w:rsidRPr="00ED7F0F" w:rsidRDefault="00812D16" w:rsidP="00122C9F">
      <w:pPr>
        <w:keepNext/>
        <w:spacing w:line="240" w:lineRule="auto"/>
      </w:pPr>
    </w:p>
    <w:p w:rsidR="00812D16" w:rsidRPr="00ED7F0F" w:rsidRDefault="005D45FC" w:rsidP="00122C9F">
      <w:pPr>
        <w:keepNext/>
        <w:numPr>
          <w:ilvl w:val="1"/>
          <w:numId w:val="5"/>
        </w:numPr>
        <w:spacing w:line="240" w:lineRule="auto"/>
        <w:outlineLvl w:val="0"/>
      </w:pPr>
      <w:r w:rsidRPr="00ED7F0F">
        <w:rPr>
          <w:b/>
        </w:rPr>
        <w:t>Farmakodynamické vlastnosti</w:t>
      </w:r>
    </w:p>
    <w:p w:rsidR="00812D16" w:rsidRPr="00ED7F0F" w:rsidRDefault="00812D16" w:rsidP="00122C9F">
      <w:pPr>
        <w:keepNext/>
        <w:spacing w:line="240" w:lineRule="auto"/>
      </w:pPr>
    </w:p>
    <w:p w:rsidR="00AE6D42" w:rsidRPr="00ED7F0F" w:rsidRDefault="00AE6D42" w:rsidP="00122C9F">
      <w:pPr>
        <w:ind w:left="29"/>
      </w:pPr>
      <w:r w:rsidRPr="00ED7F0F">
        <w:t>Farmakoterapeutická skupina: cytostatiká, inhibítory proteínkinázy, ATC kód: L01XE06</w:t>
      </w:r>
    </w:p>
    <w:p w:rsidR="00AE6D42" w:rsidRPr="00ED7F0F" w:rsidRDefault="00AE6D42" w:rsidP="00122C9F">
      <w:pPr>
        <w:spacing w:line="259" w:lineRule="auto"/>
        <w:ind w:left="34"/>
      </w:pPr>
    </w:p>
    <w:p w:rsidR="00AE6D42" w:rsidRPr="00ED7F0F" w:rsidRDefault="00AE6D42" w:rsidP="00122C9F">
      <w:pPr>
        <w:pStyle w:val="Nadpis2"/>
        <w:ind w:left="29"/>
      </w:pPr>
      <w:r w:rsidRPr="00ED7F0F">
        <w:t>Farmakodynamické účinky</w:t>
      </w:r>
    </w:p>
    <w:p w:rsidR="00AE6D42" w:rsidRPr="00ED7F0F" w:rsidRDefault="00AE6D42" w:rsidP="00122C9F">
      <w:pPr>
        <w:ind w:left="29"/>
      </w:pPr>
      <w:r w:rsidRPr="00ED7F0F">
        <w:t>Dasatinib inhibuje aktivitu BCR-ABL-kinázy a kináz rodiny SRC, ako aj niekoľkých ďalších vybraných onkogénnych kináz zahŕňajúcich kinázy c-KIT receptora, efrínového (EPH) receptora a PDGFβ receptora. Dasatinib je silným, subnanomolárnym inhibítorom BCR-ABL-kinázy s</w:t>
      </w:r>
      <w:r w:rsidR="006855EE" w:rsidRPr="00ED7F0F">
        <w:t> </w:t>
      </w:r>
      <w:r w:rsidRPr="00ED7F0F">
        <w:t>účinnosťou pri koncentrácii 0,6-0,8 n</w:t>
      </w:r>
      <w:r w:rsidR="004B74EB" w:rsidRPr="00ED7F0F">
        <w:t>mol/l</w:t>
      </w:r>
      <w:r w:rsidRPr="00ED7F0F">
        <w:t>. Viaže sa na inaktívne aj aktívne konformácie enzýmu BCR-ABL.</w:t>
      </w:r>
    </w:p>
    <w:p w:rsidR="00AE6D42" w:rsidRPr="00ED7F0F" w:rsidRDefault="00AE6D42" w:rsidP="00122C9F">
      <w:pPr>
        <w:spacing w:line="259" w:lineRule="auto"/>
        <w:ind w:left="34"/>
      </w:pPr>
    </w:p>
    <w:p w:rsidR="00AE6D42" w:rsidRPr="00ED7F0F" w:rsidRDefault="00AE6D42" w:rsidP="00122C9F">
      <w:pPr>
        <w:pStyle w:val="Nadpis2"/>
        <w:ind w:left="29"/>
      </w:pPr>
      <w:r w:rsidRPr="00ED7F0F">
        <w:t>Mechanizmus účinku</w:t>
      </w:r>
    </w:p>
    <w:p w:rsidR="00AE6D42" w:rsidRPr="00ED7F0F" w:rsidRDefault="00AE6D42" w:rsidP="00122C9F">
      <w:pPr>
        <w:ind w:left="29"/>
      </w:pPr>
      <w:r w:rsidRPr="00ED7F0F">
        <w:t>V</w:t>
      </w:r>
      <w:r w:rsidR="006855EE" w:rsidRPr="00ED7F0F">
        <w:t> </w:t>
      </w:r>
      <w:r w:rsidRPr="00ED7F0F">
        <w:t xml:space="preserve">podmienkach </w:t>
      </w:r>
      <w:r w:rsidRPr="00ED7F0F">
        <w:rPr>
          <w:i/>
        </w:rPr>
        <w:t>in vitro</w:t>
      </w:r>
      <w:r w:rsidRPr="00ED7F0F">
        <w:t xml:space="preserve"> je dasatinib aktívny v</w:t>
      </w:r>
      <w:r w:rsidR="006855EE" w:rsidRPr="00ED7F0F">
        <w:t> </w:t>
      </w:r>
      <w:r w:rsidRPr="00ED7F0F">
        <w:t>leukemických bunkových líniách predstavujúcich varianty ochorenia citlivého a rezistentného na imatinib. Tieto predklinické štúdie ukazujú, že dasatinib môže prekonať rezistenciu na imatinib, ktorá je dôsledkom nadmernej expresie BCR-ABL, mutácií BCR-ABL-kinázovej domény, aktivácie alternatívnych signálnych dráh zahŕňajúcich kinázy rodiny SRC (LYN, HCK) a</w:t>
      </w:r>
      <w:r w:rsidR="006855EE" w:rsidRPr="00ED7F0F">
        <w:t> </w:t>
      </w:r>
      <w:r w:rsidRPr="00ED7F0F">
        <w:t>nadmernej expresie génu pre rezistenciu na viaceré lieky. Dasatinib okrem toho inhibuje kinázy rodiny SCR pri subnanomolárnej koncentrácii.</w:t>
      </w:r>
    </w:p>
    <w:p w:rsidR="00AE6D42" w:rsidRPr="00ED7F0F" w:rsidRDefault="00AE6D42" w:rsidP="00122C9F">
      <w:pPr>
        <w:spacing w:line="259" w:lineRule="auto"/>
        <w:ind w:left="34"/>
        <w:rPr>
          <w:iCs/>
        </w:rPr>
      </w:pPr>
    </w:p>
    <w:p w:rsidR="00AE6D42" w:rsidRPr="00ED7F0F" w:rsidRDefault="00AE6D42" w:rsidP="00122C9F">
      <w:pPr>
        <w:ind w:left="29"/>
      </w:pPr>
      <w:r w:rsidRPr="00ED7F0F">
        <w:t>V</w:t>
      </w:r>
      <w:r w:rsidR="006855EE" w:rsidRPr="00ED7F0F">
        <w:t> </w:t>
      </w:r>
      <w:r w:rsidRPr="00ED7F0F">
        <w:t xml:space="preserve">samostatných experimentoch </w:t>
      </w:r>
      <w:r w:rsidRPr="00ED7F0F">
        <w:rPr>
          <w:i/>
        </w:rPr>
        <w:t>in vivo</w:t>
      </w:r>
      <w:r w:rsidRPr="00ED7F0F">
        <w:t xml:space="preserve"> využívajúcich myšacie modely CML dasatinib zabránil progresii chronickej fázy CML do blastickej fázy a predĺžil prežívanie myší nesúcich ľudské bunkové línie CML kultivované na rôznych miestach, vrátane centrálneho nervového systému.</w:t>
      </w:r>
    </w:p>
    <w:p w:rsidR="00AE6D42" w:rsidRPr="00ED7F0F" w:rsidRDefault="00AE6D42" w:rsidP="00122C9F">
      <w:pPr>
        <w:spacing w:line="259" w:lineRule="auto"/>
        <w:ind w:left="34"/>
      </w:pPr>
    </w:p>
    <w:p w:rsidR="00AE6D42" w:rsidRPr="00ED7F0F" w:rsidRDefault="00AE6D42" w:rsidP="00122C9F">
      <w:pPr>
        <w:pStyle w:val="Nadpis2"/>
        <w:ind w:left="29"/>
      </w:pPr>
      <w:r w:rsidRPr="00ED7F0F">
        <w:t>Klinická účinnosť a bezpečnosť</w:t>
      </w:r>
    </w:p>
    <w:p w:rsidR="00AE6D42" w:rsidRPr="00ED7F0F" w:rsidRDefault="00AE6D42" w:rsidP="00122C9F">
      <w:pPr>
        <w:ind w:left="29"/>
      </w:pPr>
      <w:r w:rsidRPr="00ED7F0F">
        <w:t>V</w:t>
      </w:r>
      <w:r w:rsidR="006855EE" w:rsidRPr="00ED7F0F">
        <w:t> </w:t>
      </w:r>
      <w:r w:rsidRPr="00ED7F0F">
        <w:t>štúdii fázy I. bola hematologická a cytogenetická odpoveď pozorovaná vo všetkých fázach CML a</w:t>
      </w:r>
      <w:r w:rsidR="006855EE" w:rsidRPr="00ED7F0F">
        <w:t> </w:t>
      </w:r>
      <w:r w:rsidRPr="00ED7F0F">
        <w:t>u</w:t>
      </w:r>
      <w:r w:rsidR="006855EE" w:rsidRPr="00ED7F0F">
        <w:t> </w:t>
      </w:r>
      <w:r w:rsidRPr="00ED7F0F">
        <w:t>Ph+ ALL u</w:t>
      </w:r>
      <w:r w:rsidR="006855EE" w:rsidRPr="00ED7F0F">
        <w:t> </w:t>
      </w:r>
      <w:r w:rsidRPr="00ED7F0F">
        <w:t>prvých 84</w:t>
      </w:r>
      <w:r w:rsidR="006855EE" w:rsidRPr="00ED7F0F">
        <w:t> </w:t>
      </w:r>
      <w:r w:rsidRPr="00ED7F0F">
        <w:t>pacientov liečených a následne sledovaných počas doby 27</w:t>
      </w:r>
      <w:r w:rsidR="006855EE" w:rsidRPr="00ED7F0F">
        <w:t> </w:t>
      </w:r>
      <w:r w:rsidRPr="00ED7F0F">
        <w:t>mesiacov. Odpovede mali trvalý charakter vo všetkých fázach CML a u Ph+ ALL.</w:t>
      </w:r>
    </w:p>
    <w:p w:rsidR="00AE6D42" w:rsidRPr="00ED7F0F" w:rsidRDefault="00AE6D42" w:rsidP="00122C9F">
      <w:pPr>
        <w:spacing w:line="259" w:lineRule="auto"/>
        <w:ind w:left="34"/>
      </w:pPr>
    </w:p>
    <w:p w:rsidR="00AE6D42" w:rsidRPr="00ED7F0F" w:rsidRDefault="00AE6D42" w:rsidP="00122C9F">
      <w:pPr>
        <w:ind w:left="29"/>
      </w:pPr>
      <w:r w:rsidRPr="00ED7F0F">
        <w:t xml:space="preserve">Vykonali sa štyri jednoramenné, nekontrolované, otvorené klinické štúdie </w:t>
      </w:r>
      <w:r w:rsidR="00412D70" w:rsidRPr="00ED7F0F">
        <w:t>fázy</w:t>
      </w:r>
      <w:r w:rsidRPr="00ED7F0F">
        <w:t xml:space="preserve"> II hodnotiace bezpečnosť a účinnosť dasatinibu u</w:t>
      </w:r>
      <w:r w:rsidR="006855EE" w:rsidRPr="00ED7F0F">
        <w:t> </w:t>
      </w:r>
      <w:r w:rsidRPr="00ED7F0F">
        <w:t>pacientov s</w:t>
      </w:r>
      <w:r w:rsidR="006855EE" w:rsidRPr="00ED7F0F">
        <w:t> </w:t>
      </w:r>
      <w:r w:rsidRPr="00ED7F0F">
        <w:t>CML v</w:t>
      </w:r>
      <w:r w:rsidR="006855EE" w:rsidRPr="00ED7F0F">
        <w:t> </w:t>
      </w:r>
      <w:r w:rsidRPr="00ED7F0F">
        <w:t>chronickej, akcelerovanej alebo myeloidnej blastickej fáze, ktorí boli buď rezistentní, alebo intolerantní na imatinib. Jedna randomizovaná, nekomparatívna štúdia sa vykonala u</w:t>
      </w:r>
      <w:r w:rsidR="006855EE" w:rsidRPr="00ED7F0F">
        <w:t> </w:t>
      </w:r>
      <w:r w:rsidRPr="00ED7F0F">
        <w:t>pacientov v</w:t>
      </w:r>
      <w:r w:rsidR="006855EE" w:rsidRPr="00ED7F0F">
        <w:t> </w:t>
      </w:r>
      <w:r w:rsidRPr="00ED7F0F">
        <w:t>chronickej fáze, u</w:t>
      </w:r>
      <w:r w:rsidR="006855EE" w:rsidRPr="00ED7F0F">
        <w:t> </w:t>
      </w:r>
      <w:r w:rsidRPr="00ED7F0F">
        <w:t xml:space="preserve">ktorých zlyhala </w:t>
      </w:r>
      <w:r w:rsidR="006855EE" w:rsidRPr="00ED7F0F">
        <w:t>začiatočná</w:t>
      </w:r>
      <w:r w:rsidRPr="00ED7F0F">
        <w:t xml:space="preserve"> liečba so 400 alebo 600</w:t>
      </w:r>
      <w:r w:rsidR="006855EE" w:rsidRPr="00ED7F0F">
        <w:t> </w:t>
      </w:r>
      <w:r w:rsidRPr="00ED7F0F">
        <w:t xml:space="preserve">mg imatinibu. </w:t>
      </w:r>
      <w:r w:rsidR="006855EE" w:rsidRPr="00ED7F0F">
        <w:t>Za</w:t>
      </w:r>
      <w:r w:rsidRPr="00ED7F0F">
        <w:t>čiatočná dávka dasatinibu bola 70</w:t>
      </w:r>
      <w:r w:rsidR="006855EE" w:rsidRPr="00ED7F0F">
        <w:t> </w:t>
      </w:r>
      <w:r w:rsidRPr="00ED7F0F">
        <w:t>mg dvakrát denne. Úpravy dávky boli povolené na zlepšenie účinnosti alebo zvládnutie toxicity (pozri časť 4.2).</w:t>
      </w:r>
    </w:p>
    <w:p w:rsidR="005010CA" w:rsidRPr="00ED7F0F" w:rsidRDefault="005010CA" w:rsidP="00122C9F">
      <w:pPr>
        <w:ind w:left="29"/>
      </w:pPr>
    </w:p>
    <w:p w:rsidR="00AE6D42" w:rsidRPr="00ED7F0F" w:rsidRDefault="00AE6D42" w:rsidP="00122C9F">
      <w:pPr>
        <w:ind w:left="29"/>
      </w:pPr>
      <w:r w:rsidRPr="00ED7F0F">
        <w:t>Dve randomizované, otvorené klinické štúdie fázy III sa vykonali s</w:t>
      </w:r>
      <w:r w:rsidR="006855EE" w:rsidRPr="00ED7F0F">
        <w:t> </w:t>
      </w:r>
      <w:r w:rsidRPr="00ED7F0F">
        <w:t>cieľom zhodnotiť účinnosť dasatinibu podávaného jedenkrát denne v</w:t>
      </w:r>
      <w:r w:rsidR="006855EE" w:rsidRPr="00ED7F0F">
        <w:t> </w:t>
      </w:r>
      <w:r w:rsidRPr="00ED7F0F">
        <w:t>porovnaní s</w:t>
      </w:r>
      <w:r w:rsidR="006855EE" w:rsidRPr="00ED7F0F">
        <w:t> </w:t>
      </w:r>
      <w:r w:rsidRPr="00ED7F0F">
        <w:t>dasatinibom podávaným dvakrát denne. Okrem toho, jedna otvorená, randomizovaná, porovnávacia štúdia fázy III bola vykonaná u</w:t>
      </w:r>
      <w:r w:rsidR="006855EE" w:rsidRPr="00ED7F0F">
        <w:t> </w:t>
      </w:r>
      <w:r w:rsidRPr="00ED7F0F">
        <w:t>dospelých pacientov s</w:t>
      </w:r>
      <w:r w:rsidR="006855EE" w:rsidRPr="00ED7F0F">
        <w:t> </w:t>
      </w:r>
      <w:r w:rsidRPr="00ED7F0F">
        <w:t>novodiagnostikovanou chronickou fázou CML.</w:t>
      </w:r>
    </w:p>
    <w:p w:rsidR="00AE6D42" w:rsidRPr="00ED7F0F" w:rsidRDefault="00AE6D42" w:rsidP="00122C9F">
      <w:pPr>
        <w:spacing w:line="259" w:lineRule="auto"/>
        <w:ind w:left="34"/>
      </w:pPr>
    </w:p>
    <w:p w:rsidR="00AE6D42" w:rsidRPr="00ED7F0F" w:rsidRDefault="00AE6D42" w:rsidP="00122C9F">
      <w:pPr>
        <w:ind w:left="29"/>
      </w:pPr>
      <w:r w:rsidRPr="00ED7F0F">
        <w:t>Účinnosť dasatinibu sa zakladá na miere hematologickej a</w:t>
      </w:r>
      <w:r w:rsidR="006855EE" w:rsidRPr="00ED7F0F">
        <w:t> </w:t>
      </w:r>
      <w:r w:rsidRPr="00ED7F0F">
        <w:t>cytogenetickej odpovede.</w:t>
      </w:r>
    </w:p>
    <w:p w:rsidR="00AE6D42" w:rsidRPr="00ED7F0F" w:rsidRDefault="00AE6D42" w:rsidP="00122C9F">
      <w:pPr>
        <w:ind w:left="29"/>
      </w:pPr>
      <w:r w:rsidRPr="00ED7F0F">
        <w:t>Stálosť odpovede a</w:t>
      </w:r>
      <w:r w:rsidR="006855EE" w:rsidRPr="00ED7F0F">
        <w:t> </w:t>
      </w:r>
      <w:r w:rsidRPr="00ED7F0F">
        <w:t>odhadovaná miera prežitia poukazuje na ďalší klinický úžitok dasatinibu.</w:t>
      </w:r>
    </w:p>
    <w:p w:rsidR="00AE6D42" w:rsidRPr="00ED7F0F" w:rsidRDefault="00AE6D42" w:rsidP="00122C9F">
      <w:pPr>
        <w:spacing w:line="259" w:lineRule="auto"/>
        <w:ind w:left="34"/>
      </w:pPr>
    </w:p>
    <w:p w:rsidR="00AE6D42" w:rsidRPr="00ED7F0F" w:rsidRDefault="00AE6D42" w:rsidP="00122C9F">
      <w:pPr>
        <w:ind w:left="29"/>
      </w:pPr>
      <w:r w:rsidRPr="00ED7F0F">
        <w:t>V</w:t>
      </w:r>
      <w:r w:rsidR="006855EE" w:rsidRPr="00ED7F0F">
        <w:t> </w:t>
      </w:r>
      <w:r w:rsidRPr="00ED7F0F">
        <w:t>klinických štúdiách sa hodnotil celkový počet 2</w:t>
      </w:r>
      <w:r w:rsidR="006855EE" w:rsidRPr="00ED7F0F">
        <w:t> </w:t>
      </w:r>
      <w:r w:rsidRPr="00ED7F0F">
        <w:t>712</w:t>
      </w:r>
      <w:r w:rsidR="006855EE" w:rsidRPr="00ED7F0F">
        <w:t> </w:t>
      </w:r>
      <w:r w:rsidRPr="00ED7F0F">
        <w:t>pacientov, z</w:t>
      </w:r>
      <w:r w:rsidR="006855EE" w:rsidRPr="00ED7F0F">
        <w:t> </w:t>
      </w:r>
      <w:r w:rsidRPr="00ED7F0F">
        <w:t>ktorých 23</w:t>
      </w:r>
      <w:r w:rsidR="006855EE" w:rsidRPr="00ED7F0F">
        <w:t> </w:t>
      </w:r>
      <w:r w:rsidRPr="00ED7F0F">
        <w:t>% bolo vo veku</w:t>
      </w:r>
      <w:r w:rsidR="006855EE" w:rsidRPr="00ED7F0F">
        <w:t> </w:t>
      </w:r>
      <w:r w:rsidRPr="00ED7F0F">
        <w:t>≥</w:t>
      </w:r>
      <w:r w:rsidR="006855EE" w:rsidRPr="00ED7F0F">
        <w:t> </w:t>
      </w:r>
      <w:r w:rsidRPr="00ED7F0F">
        <w:t>65 rokov a</w:t>
      </w:r>
      <w:r w:rsidR="006855EE" w:rsidRPr="00ED7F0F">
        <w:t> </w:t>
      </w:r>
      <w:r w:rsidRPr="00ED7F0F">
        <w:t>5</w:t>
      </w:r>
      <w:r w:rsidR="006855EE" w:rsidRPr="00ED7F0F">
        <w:t> </w:t>
      </w:r>
      <w:r w:rsidRPr="00ED7F0F">
        <w:t>% bolo vo veku ≥</w:t>
      </w:r>
      <w:r w:rsidR="006855EE" w:rsidRPr="00ED7F0F">
        <w:t> </w:t>
      </w:r>
      <w:r w:rsidRPr="00ED7F0F">
        <w:t>75</w:t>
      </w:r>
      <w:r w:rsidR="006855EE" w:rsidRPr="00ED7F0F">
        <w:t> </w:t>
      </w:r>
      <w:r w:rsidRPr="00ED7F0F">
        <w:t>rokov.</w:t>
      </w:r>
    </w:p>
    <w:p w:rsidR="00AE6D42" w:rsidRPr="00ED7F0F" w:rsidRDefault="00AE6D42" w:rsidP="00122C9F">
      <w:pPr>
        <w:spacing w:line="259" w:lineRule="auto"/>
        <w:ind w:left="34"/>
      </w:pPr>
    </w:p>
    <w:p w:rsidR="00AE6D42" w:rsidRPr="00ED7F0F" w:rsidRDefault="00AE6D42" w:rsidP="00122C9F">
      <w:pPr>
        <w:spacing w:line="249" w:lineRule="auto"/>
        <w:ind w:left="29"/>
      </w:pPr>
      <w:r w:rsidRPr="00ED7F0F">
        <w:rPr>
          <w:i/>
          <w:u w:val="single" w:color="000000"/>
        </w:rPr>
        <w:t>Chronická fáza CML – novodiagnostikovaná</w:t>
      </w:r>
    </w:p>
    <w:p w:rsidR="00AE6D42" w:rsidRPr="00ED7F0F" w:rsidRDefault="00AE6D42" w:rsidP="00122C9F">
      <w:pPr>
        <w:ind w:left="29"/>
      </w:pPr>
      <w:r w:rsidRPr="00ED7F0F">
        <w:t>Medzinárodná otvorená, multicentrická, randomizovaná, porovnávacia štúdia fázy III sa vykonala s</w:t>
      </w:r>
      <w:r w:rsidR="006855EE" w:rsidRPr="00ED7F0F">
        <w:t> </w:t>
      </w:r>
      <w:r w:rsidRPr="00ED7F0F">
        <w:t>dospelými pacientmi s</w:t>
      </w:r>
      <w:r w:rsidR="006855EE" w:rsidRPr="00ED7F0F">
        <w:t> </w:t>
      </w:r>
      <w:r w:rsidRPr="00ED7F0F">
        <w:t xml:space="preserve">novodiagnostikovanou chronickou fázou CML. Pacienti boli randomizovaní do skupiny užívajúcich buď </w:t>
      </w:r>
      <w:r w:rsidR="000655C9" w:rsidRPr="00ED7F0F">
        <w:t>dasatinib</w:t>
      </w:r>
      <w:r w:rsidRPr="00ED7F0F">
        <w:t xml:space="preserve"> 100</w:t>
      </w:r>
      <w:r w:rsidR="006855EE" w:rsidRPr="00ED7F0F">
        <w:t> </w:t>
      </w:r>
      <w:r w:rsidRPr="00ED7F0F">
        <w:t>mg jedenkrát denne, alebo imatinib 400</w:t>
      </w:r>
      <w:r w:rsidR="006855EE" w:rsidRPr="00ED7F0F">
        <w:t> </w:t>
      </w:r>
      <w:r w:rsidRPr="00ED7F0F">
        <w:t xml:space="preserve">mg jedenkrát denne. Primárnym </w:t>
      </w:r>
      <w:r w:rsidR="002E2F0E" w:rsidRPr="00ED7F0F">
        <w:t xml:space="preserve">koncovým </w:t>
      </w:r>
      <w:r w:rsidRPr="00ED7F0F">
        <w:t>ukazovateľom bola miera potvrdenej kompletnej cytogenetickej odpovede (cCCyR) počas 12</w:t>
      </w:r>
      <w:r w:rsidR="006855EE" w:rsidRPr="00ED7F0F">
        <w:t> </w:t>
      </w:r>
      <w:r w:rsidRPr="00ED7F0F">
        <w:t xml:space="preserve">mesiacov. Sekundárne </w:t>
      </w:r>
      <w:r w:rsidR="002E2F0E" w:rsidRPr="00ED7F0F">
        <w:t xml:space="preserve">koncové </w:t>
      </w:r>
      <w:r w:rsidRPr="00ED7F0F">
        <w:t>ukazovatele zahŕňali čas v</w:t>
      </w:r>
      <w:r w:rsidR="006855EE" w:rsidRPr="00ED7F0F">
        <w:t> </w:t>
      </w:r>
      <w:r w:rsidRPr="00ED7F0F">
        <w:t>cCCyR (</w:t>
      </w:r>
      <w:r w:rsidR="002E2F0E" w:rsidRPr="00ED7F0F">
        <w:t>meranie</w:t>
      </w:r>
      <w:r w:rsidRPr="00ED7F0F">
        <w:t xml:space="preserve"> trvania odpovede), čas do cCCyR, mieru veľkej molekulárnej odpovede (MMR), čas do MMR, prežívanie bez progresie (PFS) a</w:t>
      </w:r>
      <w:r w:rsidR="006855EE" w:rsidRPr="00ED7F0F">
        <w:t> </w:t>
      </w:r>
      <w:r w:rsidRPr="00ED7F0F">
        <w:t>celkové prežívanie (OS). Ostatné relevantné výsledky účinnosti zahŕňali CCyR a mieru kompletnej molekulárnej odpovede (CMR). Štúdia prebieha.</w:t>
      </w:r>
    </w:p>
    <w:p w:rsidR="00AE6D42" w:rsidRPr="00ED7F0F" w:rsidRDefault="00AE6D42" w:rsidP="00122C9F">
      <w:pPr>
        <w:spacing w:line="259" w:lineRule="auto"/>
        <w:ind w:left="34"/>
      </w:pPr>
    </w:p>
    <w:p w:rsidR="00AE6D42" w:rsidRPr="00ED7F0F" w:rsidRDefault="00AE6D42" w:rsidP="00122C9F">
      <w:pPr>
        <w:ind w:left="29"/>
      </w:pPr>
      <w:r w:rsidRPr="00ED7F0F">
        <w:t>Celkovo 519</w:t>
      </w:r>
      <w:r w:rsidR="006855EE" w:rsidRPr="00ED7F0F">
        <w:t> </w:t>
      </w:r>
      <w:r w:rsidRPr="00ED7F0F">
        <w:t>pacientov bolo randomizovaných do skupín: 259</w:t>
      </w:r>
      <w:r w:rsidR="006855EE" w:rsidRPr="00ED7F0F">
        <w:t> </w:t>
      </w:r>
      <w:r w:rsidRPr="00ED7F0F">
        <w:t xml:space="preserve">do skupiny </w:t>
      </w:r>
      <w:r w:rsidR="000655C9" w:rsidRPr="00ED7F0F">
        <w:t>s dasatinibom</w:t>
      </w:r>
      <w:r w:rsidRPr="00ED7F0F">
        <w:t xml:space="preserve"> a</w:t>
      </w:r>
      <w:r w:rsidR="000655C9" w:rsidRPr="00ED7F0F">
        <w:t> </w:t>
      </w:r>
      <w:r w:rsidRPr="00ED7F0F">
        <w:t>260</w:t>
      </w:r>
      <w:r w:rsidR="000655C9" w:rsidRPr="00ED7F0F">
        <w:t> </w:t>
      </w:r>
      <w:r w:rsidR="002E2F0E" w:rsidRPr="00ED7F0F">
        <w:t>s</w:t>
      </w:r>
      <w:r w:rsidR="000655C9" w:rsidRPr="00ED7F0F">
        <w:t> </w:t>
      </w:r>
      <w:r w:rsidRPr="00ED7F0F">
        <w:t>imatinib</w:t>
      </w:r>
      <w:r w:rsidR="002E2F0E" w:rsidRPr="00ED7F0F">
        <w:t>om</w:t>
      </w:r>
      <w:r w:rsidRPr="00ED7F0F">
        <w:t>. Základné charakteristiky boli dobre vyvážené medzi oboma liečebnými skupinami s</w:t>
      </w:r>
      <w:r w:rsidR="000655C9" w:rsidRPr="00ED7F0F">
        <w:t> </w:t>
      </w:r>
      <w:r w:rsidRPr="00ED7F0F">
        <w:t>ohľadom na vek (medián veku bol 46</w:t>
      </w:r>
      <w:r w:rsidR="000655C9" w:rsidRPr="00ED7F0F">
        <w:t> </w:t>
      </w:r>
      <w:r w:rsidRPr="00ED7F0F">
        <w:t xml:space="preserve">rokov pre skupinu </w:t>
      </w:r>
      <w:r w:rsidR="000655C9" w:rsidRPr="00ED7F0F">
        <w:t xml:space="preserve">s dasatinibom </w:t>
      </w:r>
      <w:r w:rsidRPr="00ED7F0F">
        <w:t>a 49 rokov pre imatinibovú skupinu s</w:t>
      </w:r>
      <w:r w:rsidR="000655C9" w:rsidRPr="00ED7F0F">
        <w:t> </w:t>
      </w:r>
      <w:r w:rsidRPr="00ED7F0F">
        <w:t>10</w:t>
      </w:r>
      <w:r w:rsidR="000655C9" w:rsidRPr="00ED7F0F">
        <w:t> </w:t>
      </w:r>
      <w:r w:rsidRPr="00ED7F0F">
        <w:t>% pacientov v</w:t>
      </w:r>
      <w:r w:rsidR="000655C9" w:rsidRPr="00ED7F0F">
        <w:t> </w:t>
      </w:r>
      <w:r w:rsidRPr="00ED7F0F">
        <w:t xml:space="preserve">skupine </w:t>
      </w:r>
      <w:r w:rsidR="000655C9" w:rsidRPr="00ED7F0F">
        <w:t xml:space="preserve">s dasatinibom </w:t>
      </w:r>
      <w:r w:rsidRPr="00ED7F0F">
        <w:t>a</w:t>
      </w:r>
      <w:r w:rsidR="000655C9" w:rsidRPr="00ED7F0F">
        <w:t> </w:t>
      </w:r>
      <w:r w:rsidRPr="00ED7F0F">
        <w:t>11</w:t>
      </w:r>
      <w:r w:rsidR="000655C9" w:rsidRPr="00ED7F0F">
        <w:t> </w:t>
      </w:r>
      <w:r w:rsidRPr="00ED7F0F">
        <w:t>% pacientov v</w:t>
      </w:r>
      <w:r w:rsidR="000655C9" w:rsidRPr="00ED7F0F">
        <w:t> </w:t>
      </w:r>
      <w:r w:rsidRPr="00ED7F0F">
        <w:t>imatinibovej skupine vo veku 65 rokov alebo starších), pohlavie (ženy 44</w:t>
      </w:r>
      <w:r w:rsidR="000655C9" w:rsidRPr="00ED7F0F">
        <w:t> </w:t>
      </w:r>
      <w:r w:rsidRPr="00ED7F0F">
        <w:t>% v</w:t>
      </w:r>
      <w:r w:rsidR="000655C9" w:rsidRPr="00ED7F0F">
        <w:t> </w:t>
      </w:r>
      <w:r w:rsidRPr="00ED7F0F">
        <w:t xml:space="preserve">skupine </w:t>
      </w:r>
      <w:r w:rsidR="000655C9" w:rsidRPr="00ED7F0F">
        <w:t xml:space="preserve">s dasatinibom </w:t>
      </w:r>
      <w:r w:rsidRPr="00ED7F0F">
        <w:t>a</w:t>
      </w:r>
      <w:r w:rsidR="000655C9" w:rsidRPr="00ED7F0F">
        <w:t> </w:t>
      </w:r>
      <w:r w:rsidRPr="00ED7F0F">
        <w:t>37</w:t>
      </w:r>
      <w:r w:rsidR="000655C9" w:rsidRPr="00ED7F0F">
        <w:t> </w:t>
      </w:r>
      <w:r w:rsidRPr="00ED7F0F">
        <w:t>% v</w:t>
      </w:r>
      <w:r w:rsidR="000655C9" w:rsidRPr="00ED7F0F">
        <w:t> </w:t>
      </w:r>
      <w:r w:rsidRPr="00ED7F0F">
        <w:t>imatinibovej skupine), a rasu (kaukazská 51</w:t>
      </w:r>
      <w:r w:rsidR="000655C9" w:rsidRPr="00ED7F0F">
        <w:t> </w:t>
      </w:r>
      <w:r w:rsidRPr="00ED7F0F">
        <w:t xml:space="preserve">% skupine </w:t>
      </w:r>
      <w:r w:rsidR="000655C9" w:rsidRPr="00ED7F0F">
        <w:t xml:space="preserve">s dasatinibom </w:t>
      </w:r>
      <w:r w:rsidRPr="00ED7F0F">
        <w:t>v a</w:t>
      </w:r>
      <w:r w:rsidR="000655C9" w:rsidRPr="00ED7F0F">
        <w:t> </w:t>
      </w:r>
      <w:r w:rsidRPr="00ED7F0F">
        <w:t>55</w:t>
      </w:r>
      <w:r w:rsidR="000655C9" w:rsidRPr="00ED7F0F">
        <w:t> </w:t>
      </w:r>
      <w:r w:rsidRPr="00ED7F0F">
        <w:t>% v</w:t>
      </w:r>
      <w:r w:rsidR="000655C9" w:rsidRPr="00ED7F0F">
        <w:t> </w:t>
      </w:r>
      <w:r w:rsidRPr="00ED7F0F">
        <w:t>imatinibovej skupine, ázijská 42</w:t>
      </w:r>
      <w:r w:rsidR="000655C9" w:rsidRPr="00ED7F0F">
        <w:t> </w:t>
      </w:r>
      <w:r w:rsidRPr="00ED7F0F">
        <w:t>% v</w:t>
      </w:r>
      <w:r w:rsidR="000655C9" w:rsidRPr="00ED7F0F">
        <w:t> </w:t>
      </w:r>
      <w:r w:rsidRPr="00ED7F0F">
        <w:t>skupine</w:t>
      </w:r>
      <w:r w:rsidR="000655C9" w:rsidRPr="00ED7F0F">
        <w:t xml:space="preserve"> s dasatinibom</w:t>
      </w:r>
      <w:r w:rsidRPr="00ED7F0F">
        <w:t xml:space="preserve"> a</w:t>
      </w:r>
      <w:r w:rsidR="000655C9" w:rsidRPr="00ED7F0F">
        <w:t> </w:t>
      </w:r>
      <w:r w:rsidRPr="00ED7F0F">
        <w:t>37</w:t>
      </w:r>
      <w:r w:rsidR="000655C9" w:rsidRPr="00ED7F0F">
        <w:t> </w:t>
      </w:r>
      <w:r w:rsidRPr="00ED7F0F">
        <w:t>% imatinibovej skupine). Na začiatku, bola distribúcia Hasford</w:t>
      </w:r>
      <w:r w:rsidR="002E2F0E" w:rsidRPr="00ED7F0F">
        <w:t>ovho</w:t>
      </w:r>
      <w:r w:rsidRPr="00ED7F0F">
        <w:t xml:space="preserve"> skóre podobná v </w:t>
      </w:r>
      <w:r w:rsidR="000655C9" w:rsidRPr="00ED7F0F">
        <w:t>dasatinibom</w:t>
      </w:r>
      <w:r w:rsidRPr="00ED7F0F">
        <w:t xml:space="preserve"> a imatinibom liečenej skupine (nízke riziko: 33</w:t>
      </w:r>
      <w:r w:rsidR="000655C9" w:rsidRPr="00ED7F0F">
        <w:t> </w:t>
      </w:r>
      <w:r w:rsidRPr="00ED7F0F">
        <w:t>% a</w:t>
      </w:r>
      <w:r w:rsidR="000655C9" w:rsidRPr="00ED7F0F">
        <w:t> </w:t>
      </w:r>
      <w:r w:rsidRPr="00ED7F0F">
        <w:t>34</w:t>
      </w:r>
      <w:r w:rsidR="000655C9" w:rsidRPr="00ED7F0F">
        <w:t> </w:t>
      </w:r>
      <w:r w:rsidRPr="00ED7F0F">
        <w:t>%, stredné riziko 48</w:t>
      </w:r>
      <w:r w:rsidR="000655C9" w:rsidRPr="00ED7F0F">
        <w:t> </w:t>
      </w:r>
      <w:r w:rsidRPr="00ED7F0F">
        <w:t>% a</w:t>
      </w:r>
      <w:r w:rsidR="000655C9" w:rsidRPr="00ED7F0F">
        <w:t> </w:t>
      </w:r>
      <w:r w:rsidRPr="00ED7F0F">
        <w:t>47</w:t>
      </w:r>
      <w:r w:rsidR="000655C9" w:rsidRPr="00ED7F0F">
        <w:t> </w:t>
      </w:r>
      <w:r w:rsidRPr="00ED7F0F">
        <w:t>%, vysoké riziko: 19</w:t>
      </w:r>
      <w:r w:rsidR="000655C9" w:rsidRPr="00ED7F0F">
        <w:t> </w:t>
      </w:r>
      <w:r w:rsidRPr="00ED7F0F">
        <w:t>% a</w:t>
      </w:r>
      <w:r w:rsidR="000655C9" w:rsidRPr="00ED7F0F">
        <w:t> </w:t>
      </w:r>
      <w:r w:rsidRPr="00ED7F0F">
        <w:t>19</w:t>
      </w:r>
      <w:r w:rsidR="000655C9" w:rsidRPr="00ED7F0F">
        <w:t> </w:t>
      </w:r>
      <w:r w:rsidRPr="00ED7F0F">
        <w:t>% v</w:t>
      </w:r>
      <w:r w:rsidR="000655C9" w:rsidRPr="00ED7F0F">
        <w:t> </w:t>
      </w:r>
      <w:r w:rsidRPr="00ED7F0F">
        <w:t xml:space="preserve"> skupine </w:t>
      </w:r>
      <w:r w:rsidR="000655C9" w:rsidRPr="00ED7F0F">
        <w:t xml:space="preserve">s dasatinibom </w:t>
      </w:r>
      <w:r w:rsidRPr="00ED7F0F">
        <w:t>a imatinibovej skupine v</w:t>
      </w:r>
      <w:r w:rsidR="000655C9" w:rsidRPr="00ED7F0F">
        <w:t> </w:t>
      </w:r>
      <w:r w:rsidRPr="00ED7F0F">
        <w:t>uvedenom poradí).</w:t>
      </w:r>
    </w:p>
    <w:p w:rsidR="00AE6D42" w:rsidRPr="00ED7F0F" w:rsidRDefault="00AE6D42" w:rsidP="00122C9F">
      <w:pPr>
        <w:ind w:left="29"/>
      </w:pPr>
      <w:r w:rsidRPr="00ED7F0F">
        <w:t>V</w:t>
      </w:r>
      <w:r w:rsidR="000655C9" w:rsidRPr="00ED7F0F">
        <w:t> </w:t>
      </w:r>
      <w:r w:rsidRPr="00ED7F0F">
        <w:t>minimálne 12</w:t>
      </w:r>
      <w:r w:rsidR="000655C9" w:rsidRPr="00ED7F0F">
        <w:t> </w:t>
      </w:r>
      <w:r w:rsidRPr="00ED7F0F">
        <w:t xml:space="preserve"> mesačnom následnom sledovaní, 85</w:t>
      </w:r>
      <w:r w:rsidR="000655C9" w:rsidRPr="00ED7F0F">
        <w:t> </w:t>
      </w:r>
      <w:r w:rsidRPr="00ED7F0F">
        <w:t xml:space="preserve">% pacientov randomizovaných do skupiny </w:t>
      </w:r>
      <w:r w:rsidR="000655C9" w:rsidRPr="00ED7F0F">
        <w:t xml:space="preserve">s dasatinibom </w:t>
      </w:r>
      <w:r w:rsidRPr="00ED7F0F">
        <w:t>a</w:t>
      </w:r>
      <w:r w:rsidR="000655C9" w:rsidRPr="00ED7F0F">
        <w:t> </w:t>
      </w:r>
      <w:r w:rsidRPr="00ED7F0F">
        <w:t>81</w:t>
      </w:r>
      <w:r w:rsidR="000655C9" w:rsidRPr="00ED7F0F">
        <w:t> </w:t>
      </w:r>
      <w:r w:rsidRPr="00ED7F0F">
        <w:t>%</w:t>
      </w:r>
      <w:r w:rsidR="000655C9" w:rsidRPr="00ED7F0F">
        <w:t> </w:t>
      </w:r>
      <w:r w:rsidRPr="00ED7F0F">
        <w:t>pacientov randomizovaných do skupiny s</w:t>
      </w:r>
      <w:r w:rsidR="000655C9" w:rsidRPr="00ED7F0F">
        <w:t> </w:t>
      </w:r>
      <w:r w:rsidRPr="00ED7F0F">
        <w:t>imatinibom stále dostávalo najprv prvolíniovú liečbu. Prerušenie počas 12</w:t>
      </w:r>
      <w:r w:rsidR="000655C9" w:rsidRPr="00ED7F0F">
        <w:t> </w:t>
      </w:r>
      <w:r w:rsidRPr="00ED7F0F">
        <w:t>mesiacov z</w:t>
      </w:r>
      <w:r w:rsidR="000655C9" w:rsidRPr="00ED7F0F">
        <w:t> </w:t>
      </w:r>
      <w:r w:rsidRPr="00ED7F0F">
        <w:t>dôvodu progresie ochorenia sa vyskytlo u</w:t>
      </w:r>
      <w:r w:rsidR="000655C9" w:rsidRPr="00ED7F0F">
        <w:t> </w:t>
      </w:r>
      <w:r w:rsidRPr="00ED7F0F">
        <w:t>3</w:t>
      </w:r>
      <w:r w:rsidR="000655C9" w:rsidRPr="00ED7F0F">
        <w:t> </w:t>
      </w:r>
      <w:r w:rsidRPr="00ED7F0F">
        <w:t xml:space="preserve">% pacientov liečených </w:t>
      </w:r>
      <w:r w:rsidR="000655C9" w:rsidRPr="00ED7F0F">
        <w:t>dasatinibom</w:t>
      </w:r>
      <w:r w:rsidRPr="00ED7F0F">
        <w:t xml:space="preserve"> a</w:t>
      </w:r>
      <w:r w:rsidR="000655C9" w:rsidRPr="00ED7F0F">
        <w:t> </w:t>
      </w:r>
      <w:r w:rsidRPr="00ED7F0F">
        <w:t>u</w:t>
      </w:r>
      <w:r w:rsidR="000655C9" w:rsidRPr="00ED7F0F">
        <w:t> </w:t>
      </w:r>
      <w:r w:rsidRPr="00ED7F0F">
        <w:t>5</w:t>
      </w:r>
      <w:r w:rsidR="000655C9" w:rsidRPr="00ED7F0F">
        <w:t> </w:t>
      </w:r>
      <w:r w:rsidRPr="00ED7F0F">
        <w:t>% pacientov liečených imatinibom.</w:t>
      </w:r>
    </w:p>
    <w:p w:rsidR="00AE6D42" w:rsidRPr="00ED7F0F" w:rsidRDefault="00AE6D42" w:rsidP="00122C9F">
      <w:pPr>
        <w:spacing w:line="259" w:lineRule="auto"/>
        <w:ind w:left="34"/>
        <w:rPr>
          <w:highlight w:val="lightGray"/>
        </w:rPr>
      </w:pPr>
    </w:p>
    <w:p w:rsidR="00AE6D42" w:rsidRPr="00ED7F0F" w:rsidRDefault="00AE6D42" w:rsidP="00122C9F">
      <w:pPr>
        <w:ind w:left="29"/>
      </w:pPr>
      <w:r w:rsidRPr="00ED7F0F">
        <w:t>V</w:t>
      </w:r>
      <w:r w:rsidR="000655C9" w:rsidRPr="00ED7F0F">
        <w:t> </w:t>
      </w:r>
      <w:r w:rsidRPr="00ED7F0F">
        <w:t>minimálne 60</w:t>
      </w:r>
      <w:r w:rsidR="000655C9" w:rsidRPr="00ED7F0F">
        <w:t> </w:t>
      </w:r>
      <w:r w:rsidRPr="00ED7F0F">
        <w:t>mesačnom následnom sledovaní, 60</w:t>
      </w:r>
      <w:r w:rsidR="000655C9" w:rsidRPr="00ED7F0F">
        <w:t> </w:t>
      </w:r>
      <w:r w:rsidRPr="00ED7F0F">
        <w:t>% pacientov randomizovaných do skupiny s</w:t>
      </w:r>
      <w:r w:rsidR="00321347" w:rsidRPr="00ED7F0F">
        <w:t> </w:t>
      </w:r>
      <w:r w:rsidR="000655C9" w:rsidRPr="00ED7F0F">
        <w:t>dasatinibom</w:t>
      </w:r>
      <w:r w:rsidR="00321347" w:rsidRPr="00ED7F0F">
        <w:t xml:space="preserve"> </w:t>
      </w:r>
      <w:r w:rsidRPr="00ED7F0F">
        <w:t>a 63</w:t>
      </w:r>
      <w:r w:rsidR="000655C9" w:rsidRPr="00ED7F0F">
        <w:t> </w:t>
      </w:r>
      <w:r w:rsidRPr="00ED7F0F">
        <w:t>% pacientov randomizovaných do skupiny s</w:t>
      </w:r>
      <w:r w:rsidR="000655C9" w:rsidRPr="00ED7F0F">
        <w:t> </w:t>
      </w:r>
      <w:r w:rsidRPr="00ED7F0F">
        <w:t>imatinibom stále dostávalo prvolíniovú liečbu. Prerušenie liečby počas 60</w:t>
      </w:r>
      <w:r w:rsidR="000655C9" w:rsidRPr="00ED7F0F">
        <w:t> </w:t>
      </w:r>
      <w:r w:rsidRPr="00ED7F0F">
        <w:t>mesiacov z</w:t>
      </w:r>
      <w:r w:rsidR="000655C9" w:rsidRPr="00ED7F0F">
        <w:t> </w:t>
      </w:r>
      <w:r w:rsidRPr="00ED7F0F">
        <w:t>dôvodu progresie ochorenia sa vyskytlo u</w:t>
      </w:r>
      <w:r w:rsidR="000655C9" w:rsidRPr="00ED7F0F">
        <w:t> </w:t>
      </w:r>
      <w:r w:rsidRPr="00ED7F0F">
        <w:t>11</w:t>
      </w:r>
      <w:r w:rsidR="000655C9" w:rsidRPr="00ED7F0F">
        <w:t> </w:t>
      </w:r>
      <w:r w:rsidRPr="00ED7F0F">
        <w:t xml:space="preserve">% pacientov liečených </w:t>
      </w:r>
      <w:r w:rsidR="000655C9" w:rsidRPr="00ED7F0F">
        <w:t>dasatinibom</w:t>
      </w:r>
      <w:r w:rsidRPr="00ED7F0F">
        <w:t xml:space="preserve"> a u</w:t>
      </w:r>
      <w:r w:rsidR="000655C9" w:rsidRPr="00ED7F0F">
        <w:t> </w:t>
      </w:r>
      <w:r w:rsidRPr="00ED7F0F">
        <w:t>14</w:t>
      </w:r>
      <w:r w:rsidR="000655C9" w:rsidRPr="00ED7F0F">
        <w:t> </w:t>
      </w:r>
      <w:r w:rsidRPr="00ED7F0F">
        <w:t>% pacientov liečených imatinibom.</w:t>
      </w:r>
    </w:p>
    <w:p w:rsidR="00AE6D42" w:rsidRPr="00ED7F0F" w:rsidRDefault="00AE6D42" w:rsidP="00122C9F">
      <w:pPr>
        <w:spacing w:line="259" w:lineRule="auto"/>
        <w:ind w:left="34"/>
      </w:pPr>
    </w:p>
    <w:p w:rsidR="00AE6D42" w:rsidRPr="00ED7F0F" w:rsidRDefault="00AE6D42" w:rsidP="00122C9F">
      <w:pPr>
        <w:ind w:left="29"/>
      </w:pPr>
      <w:r w:rsidRPr="00ED7F0F">
        <w:t>Výsledky účinnosti sú uvedené v tabuľke 9. Štatisticky významne väčší podiel pacientov v</w:t>
      </w:r>
      <w:r w:rsidR="000655C9" w:rsidRPr="00ED7F0F">
        <w:t> </w:t>
      </w:r>
      <w:r w:rsidRPr="00ED7F0F">
        <w:t xml:space="preserve">skupine </w:t>
      </w:r>
      <w:r w:rsidR="000655C9" w:rsidRPr="00ED7F0F">
        <w:t xml:space="preserve">s dasatinibom </w:t>
      </w:r>
      <w:r w:rsidRPr="00ED7F0F">
        <w:t>dosiahol cCCyR v</w:t>
      </w:r>
      <w:r w:rsidR="000655C9" w:rsidRPr="00ED7F0F">
        <w:t> </w:t>
      </w:r>
      <w:r w:rsidRPr="00ED7F0F">
        <w:t>priebehu prvých 12</w:t>
      </w:r>
      <w:r w:rsidR="000655C9" w:rsidRPr="00ED7F0F">
        <w:t> </w:t>
      </w:r>
      <w:r w:rsidRPr="00ED7F0F">
        <w:t>mesiacov liečby v</w:t>
      </w:r>
      <w:r w:rsidR="00321347" w:rsidRPr="00ED7F0F">
        <w:t> </w:t>
      </w:r>
      <w:r w:rsidRPr="00ED7F0F">
        <w:t>porovnaní s</w:t>
      </w:r>
      <w:r w:rsidR="00321347" w:rsidRPr="00ED7F0F">
        <w:t> </w:t>
      </w:r>
      <w:r w:rsidRPr="00ED7F0F">
        <w:t>pacientmi v</w:t>
      </w:r>
      <w:r w:rsidR="00321347" w:rsidRPr="00ED7F0F">
        <w:t> </w:t>
      </w:r>
      <w:r w:rsidRPr="00ED7F0F">
        <w:t xml:space="preserve">imatinibovej skupine. Účinnosť </w:t>
      </w:r>
      <w:r w:rsidR="00321347" w:rsidRPr="00ED7F0F">
        <w:t>dasatinibu</w:t>
      </w:r>
      <w:r w:rsidRPr="00ED7F0F">
        <w:t xml:space="preserve"> bola </w:t>
      </w:r>
      <w:r w:rsidR="002E2F0E" w:rsidRPr="00ED7F0F">
        <w:t>konzistentne</w:t>
      </w:r>
      <w:r w:rsidRPr="00ED7F0F">
        <w:t xml:space="preserve"> preukázaná v</w:t>
      </w:r>
      <w:r w:rsidR="00321347" w:rsidRPr="00ED7F0F">
        <w:t> </w:t>
      </w:r>
      <w:r w:rsidRPr="00ED7F0F">
        <w:t>rôznych podskupinách, zahŕňajúc vek, pohlavie a</w:t>
      </w:r>
      <w:r w:rsidR="00321347" w:rsidRPr="00ED7F0F">
        <w:t> </w:t>
      </w:r>
      <w:r w:rsidRPr="00ED7F0F">
        <w:t>východiskové Hasford</w:t>
      </w:r>
      <w:r w:rsidR="002E2F0E" w:rsidRPr="00ED7F0F">
        <w:t>ove</w:t>
      </w:r>
      <w:r w:rsidRPr="00ED7F0F">
        <w:t xml:space="preserve"> skóre.</w:t>
      </w:r>
    </w:p>
    <w:p w:rsidR="00AE6D42" w:rsidRPr="00ED7F0F" w:rsidRDefault="00AE6D42" w:rsidP="00122C9F">
      <w:pPr>
        <w:spacing w:line="259" w:lineRule="auto"/>
        <w:ind w:left="34"/>
      </w:pPr>
    </w:p>
    <w:p w:rsidR="00AE6D42" w:rsidRPr="00ED7F0F" w:rsidRDefault="00AE6D42" w:rsidP="00122C9F">
      <w:pPr>
        <w:tabs>
          <w:tab w:val="clear" w:pos="567"/>
        </w:tabs>
        <w:spacing w:line="260" w:lineRule="auto"/>
        <w:ind w:left="1134" w:hanging="1134"/>
        <w:jc w:val="both"/>
        <w:rPr>
          <w:b/>
          <w:szCs w:val="22"/>
          <w:lang w:eastAsia="en-GB" w:bidi="ar-SA"/>
        </w:rPr>
      </w:pPr>
      <w:r w:rsidRPr="00ED7F0F">
        <w:rPr>
          <w:b/>
          <w:szCs w:val="22"/>
          <w:lang w:eastAsia="en-GB" w:bidi="ar-SA"/>
        </w:rPr>
        <w:t>Tabuľka 9: Výsledky účinnosti z 3. fázy štúdie s novo diagnostikovanými pacientmi s</w:t>
      </w:r>
      <w:r w:rsidR="00321347" w:rsidRPr="00ED7F0F">
        <w:rPr>
          <w:b/>
          <w:szCs w:val="22"/>
          <w:lang w:eastAsia="en-GB" w:bidi="ar-SA"/>
        </w:rPr>
        <w:t> </w:t>
      </w:r>
      <w:r w:rsidRPr="00ED7F0F">
        <w:rPr>
          <w:b/>
          <w:szCs w:val="22"/>
          <w:lang w:eastAsia="en-GB" w:bidi="ar-SA"/>
        </w:rPr>
        <w:t>chronickou fázou CML</w:t>
      </w:r>
    </w:p>
    <w:tbl>
      <w:tblPr>
        <w:tblW w:w="8964" w:type="dxa"/>
        <w:tblInd w:w="108" w:type="dxa"/>
        <w:tblLayout w:type="fixed"/>
        <w:tblCellMar>
          <w:left w:w="10" w:type="dxa"/>
          <w:right w:w="10" w:type="dxa"/>
        </w:tblCellMar>
        <w:tblLook w:val="04A0" w:firstRow="1" w:lastRow="0" w:firstColumn="1" w:lastColumn="0" w:noHBand="0" w:noVBand="1"/>
      </w:tblPr>
      <w:tblGrid>
        <w:gridCol w:w="3153"/>
        <w:gridCol w:w="8"/>
        <w:gridCol w:w="2543"/>
        <w:gridCol w:w="1843"/>
        <w:gridCol w:w="1417"/>
      </w:tblGrid>
      <w:tr w:rsidR="00321347" w:rsidRPr="00ED7F0F" w:rsidTr="009A0932">
        <w:trPr>
          <w:trHeight w:val="1"/>
        </w:trPr>
        <w:tc>
          <w:tcPr>
            <w:tcW w:w="3161" w:type="dxa"/>
            <w:gridSpan w:val="2"/>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21347" w:rsidRPr="00ED7F0F" w:rsidRDefault="00321347" w:rsidP="00122C9F">
            <w:pPr>
              <w:spacing w:line="260" w:lineRule="auto"/>
              <w:jc w:val="both"/>
              <w:rPr>
                <w:rFonts w:eastAsia="Calibri"/>
                <w:sz w:val="20"/>
              </w:rPr>
            </w:pPr>
          </w:p>
        </w:tc>
        <w:tc>
          <w:tcPr>
            <w:tcW w:w="254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21347" w:rsidRPr="00ED7F0F" w:rsidRDefault="00321347" w:rsidP="00122C9F">
            <w:pPr>
              <w:spacing w:before="74" w:line="240" w:lineRule="auto"/>
              <w:jc w:val="center"/>
              <w:rPr>
                <w:b/>
                <w:spacing w:val="-1"/>
                <w:sz w:val="20"/>
              </w:rPr>
            </w:pPr>
            <w:r w:rsidRPr="00ED7F0F">
              <w:rPr>
                <w:b/>
                <w:sz w:val="20"/>
              </w:rPr>
              <w:t>dasatinib</w:t>
            </w:r>
          </w:p>
          <w:p w:rsidR="00321347" w:rsidRPr="00ED7F0F" w:rsidRDefault="00321347" w:rsidP="00122C9F">
            <w:pPr>
              <w:spacing w:line="260" w:lineRule="auto"/>
              <w:jc w:val="center"/>
              <w:rPr>
                <w:sz w:val="20"/>
              </w:rPr>
            </w:pPr>
            <w:r w:rsidRPr="00ED7F0F">
              <w:rPr>
                <w:b/>
                <w:spacing w:val="-1"/>
                <w:sz w:val="20"/>
              </w:rPr>
              <w:t>n=259</w:t>
            </w:r>
          </w:p>
        </w:tc>
        <w:tc>
          <w:tcPr>
            <w:tcW w:w="184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21347" w:rsidRPr="00ED7F0F" w:rsidRDefault="00321347" w:rsidP="00122C9F">
            <w:pPr>
              <w:spacing w:before="74" w:line="240" w:lineRule="auto"/>
              <w:jc w:val="center"/>
              <w:rPr>
                <w:b/>
                <w:spacing w:val="-1"/>
                <w:sz w:val="20"/>
              </w:rPr>
            </w:pPr>
            <w:r w:rsidRPr="00ED7F0F">
              <w:rPr>
                <w:b/>
                <w:spacing w:val="-1"/>
                <w:sz w:val="20"/>
              </w:rPr>
              <w:t>imatinib</w:t>
            </w:r>
          </w:p>
          <w:p w:rsidR="00321347" w:rsidRPr="00ED7F0F" w:rsidRDefault="00321347" w:rsidP="00122C9F">
            <w:pPr>
              <w:spacing w:line="260" w:lineRule="auto"/>
              <w:jc w:val="center"/>
              <w:rPr>
                <w:sz w:val="20"/>
              </w:rPr>
            </w:pPr>
            <w:r w:rsidRPr="00ED7F0F">
              <w:rPr>
                <w:b/>
                <w:spacing w:val="-1"/>
                <w:sz w:val="20"/>
              </w:rPr>
              <w:t>n=260</w:t>
            </w:r>
          </w:p>
        </w:tc>
        <w:tc>
          <w:tcPr>
            <w:tcW w:w="1417"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21347" w:rsidRPr="00ED7F0F" w:rsidRDefault="00321347" w:rsidP="009A0932">
            <w:pPr>
              <w:spacing w:before="74" w:line="240" w:lineRule="auto"/>
              <w:jc w:val="center"/>
              <w:rPr>
                <w:sz w:val="20"/>
              </w:rPr>
            </w:pPr>
            <w:r w:rsidRPr="00ED7F0F">
              <w:rPr>
                <w:b/>
                <w:sz w:val="20"/>
              </w:rPr>
              <w:t>p-hodnota</w:t>
            </w:r>
          </w:p>
        </w:tc>
      </w:tr>
      <w:tr w:rsidR="00321347" w:rsidRPr="00ED7F0F" w:rsidTr="009A0932">
        <w:tc>
          <w:tcPr>
            <w:tcW w:w="3161" w:type="dxa"/>
            <w:gridSpan w:val="2"/>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21347" w:rsidRPr="00ED7F0F" w:rsidRDefault="00321347" w:rsidP="00122C9F">
            <w:pPr>
              <w:spacing w:line="260" w:lineRule="auto"/>
              <w:jc w:val="both"/>
              <w:rPr>
                <w:rFonts w:eastAsia="Calibri"/>
                <w:sz w:val="20"/>
              </w:rPr>
            </w:pPr>
          </w:p>
        </w:tc>
        <w:tc>
          <w:tcPr>
            <w:tcW w:w="4386" w:type="dxa"/>
            <w:gridSpan w:val="2"/>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21347" w:rsidRPr="00ED7F0F" w:rsidRDefault="00321347" w:rsidP="00122C9F">
            <w:pPr>
              <w:spacing w:line="260" w:lineRule="auto"/>
              <w:jc w:val="center"/>
              <w:rPr>
                <w:sz w:val="20"/>
              </w:rPr>
            </w:pPr>
            <w:r w:rsidRPr="00ED7F0F">
              <w:rPr>
                <w:b/>
                <w:sz w:val="20"/>
              </w:rPr>
              <w:t>Miera odpovede (95 % CI)</w:t>
            </w:r>
          </w:p>
        </w:tc>
        <w:tc>
          <w:tcPr>
            <w:tcW w:w="1417"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321347" w:rsidRPr="00ED7F0F" w:rsidRDefault="00321347" w:rsidP="00122C9F">
            <w:pPr>
              <w:spacing w:line="260" w:lineRule="auto"/>
              <w:jc w:val="both"/>
              <w:rPr>
                <w:rFonts w:eastAsia="Calibri"/>
                <w:sz w:val="20"/>
              </w:rPr>
            </w:pPr>
          </w:p>
        </w:tc>
      </w:tr>
      <w:tr w:rsidR="00321347" w:rsidRPr="00ED7F0F" w:rsidTr="009A0932">
        <w:trPr>
          <w:trHeight w:val="1"/>
        </w:trPr>
        <w:tc>
          <w:tcPr>
            <w:tcW w:w="3161" w:type="dxa"/>
            <w:gridSpan w:val="2"/>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rsidR="00321347" w:rsidRPr="00ED7F0F" w:rsidRDefault="00321347" w:rsidP="00122C9F">
            <w:pPr>
              <w:spacing w:after="101" w:line="239" w:lineRule="auto"/>
              <w:ind w:left="524" w:hanging="18"/>
              <w:rPr>
                <w:sz w:val="20"/>
              </w:rPr>
            </w:pPr>
            <w:r w:rsidRPr="00ED7F0F">
              <w:rPr>
                <w:b/>
                <w:sz w:val="20"/>
              </w:rPr>
              <w:t>Cytogenetická odpoveď</w:t>
            </w:r>
            <w:r w:rsidRPr="00ED7F0F">
              <w:rPr>
                <w:sz w:val="20"/>
              </w:rPr>
              <w:t xml:space="preserve"> </w:t>
            </w:r>
            <w:r w:rsidRPr="00ED7F0F">
              <w:rPr>
                <w:b/>
                <w:sz w:val="20"/>
              </w:rPr>
              <w:t>v priebehu 12 mesiacov</w:t>
            </w:r>
          </w:p>
        </w:tc>
        <w:tc>
          <w:tcPr>
            <w:tcW w:w="2543"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rsidR="00321347" w:rsidRPr="00ED7F0F" w:rsidRDefault="00321347" w:rsidP="00122C9F">
            <w:pPr>
              <w:spacing w:line="260" w:lineRule="auto"/>
              <w:jc w:val="both"/>
              <w:rPr>
                <w:rFonts w:eastAsia="Calibri"/>
                <w:sz w:val="20"/>
              </w:rPr>
            </w:pPr>
          </w:p>
        </w:tc>
        <w:tc>
          <w:tcPr>
            <w:tcW w:w="1843"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rsidR="00321347" w:rsidRPr="00ED7F0F" w:rsidRDefault="00321347" w:rsidP="00122C9F">
            <w:pPr>
              <w:spacing w:line="260" w:lineRule="auto"/>
              <w:jc w:val="both"/>
              <w:rPr>
                <w:rFonts w:eastAsia="Calibri"/>
                <w:sz w:val="20"/>
              </w:rPr>
            </w:pPr>
          </w:p>
        </w:tc>
        <w:tc>
          <w:tcPr>
            <w:tcW w:w="1417"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rsidR="00321347" w:rsidRPr="00ED7F0F" w:rsidRDefault="00321347" w:rsidP="00122C9F">
            <w:pPr>
              <w:spacing w:line="260" w:lineRule="auto"/>
              <w:jc w:val="both"/>
              <w:rPr>
                <w:rFonts w:eastAsia="Calibri"/>
                <w:sz w:val="20"/>
              </w:rPr>
            </w:pPr>
          </w:p>
        </w:tc>
      </w:tr>
      <w:tr w:rsidR="00321347" w:rsidRPr="00ED7F0F" w:rsidTr="009A0932">
        <w:trPr>
          <w:trHeight w:val="1246"/>
        </w:trPr>
        <w:tc>
          <w:tcPr>
            <w:tcW w:w="3153" w:type="dxa"/>
            <w:vMerge w:val="restart"/>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before="67" w:line="340" w:lineRule="auto"/>
              <w:ind w:hanging="40"/>
              <w:jc w:val="center"/>
              <w:rPr>
                <w:spacing w:val="21"/>
                <w:position w:val="10"/>
                <w:sz w:val="20"/>
              </w:rPr>
            </w:pPr>
            <w:r w:rsidRPr="00ED7F0F">
              <w:rPr>
                <w:spacing w:val="-1"/>
                <w:sz w:val="20"/>
              </w:rPr>
              <w:t>cCCyR</w:t>
            </w:r>
            <w:r w:rsidRPr="00ED7F0F">
              <w:rPr>
                <w:spacing w:val="-1"/>
                <w:position w:val="10"/>
                <w:sz w:val="20"/>
              </w:rPr>
              <w:t>a</w:t>
            </w:r>
          </w:p>
          <w:p w:rsidR="00321347" w:rsidRPr="00ED7F0F" w:rsidRDefault="00321347" w:rsidP="00122C9F">
            <w:pPr>
              <w:spacing w:before="67" w:line="340" w:lineRule="auto"/>
              <w:ind w:hanging="40"/>
              <w:jc w:val="center"/>
              <w:rPr>
                <w:position w:val="10"/>
                <w:sz w:val="20"/>
              </w:rPr>
            </w:pPr>
            <w:r w:rsidRPr="00ED7F0F">
              <w:rPr>
                <w:spacing w:val="-1"/>
                <w:sz w:val="20"/>
              </w:rPr>
              <w:t>CCyR</w:t>
            </w:r>
            <w:r w:rsidRPr="00ED7F0F">
              <w:rPr>
                <w:spacing w:val="-1"/>
                <w:position w:val="10"/>
                <w:sz w:val="20"/>
              </w:rPr>
              <w:t>b</w:t>
            </w:r>
          </w:p>
          <w:p w:rsidR="00321347" w:rsidRPr="00ED7F0F" w:rsidRDefault="007426F9" w:rsidP="00122C9F">
            <w:pPr>
              <w:spacing w:before="14" w:line="347" w:lineRule="auto"/>
              <w:ind w:hanging="40"/>
              <w:jc w:val="center"/>
              <w:rPr>
                <w:b/>
                <w:spacing w:val="26"/>
                <w:sz w:val="20"/>
              </w:rPr>
            </w:pPr>
            <w:r w:rsidRPr="00ED7F0F">
              <w:rPr>
                <w:b/>
                <w:spacing w:val="-1"/>
                <w:sz w:val="20"/>
              </w:rPr>
              <w:t>v priebehu 24 mesiacov</w:t>
            </w:r>
          </w:p>
          <w:p w:rsidR="00321347" w:rsidRPr="00ED7F0F" w:rsidRDefault="00321347" w:rsidP="00122C9F">
            <w:pPr>
              <w:spacing w:before="14" w:line="347" w:lineRule="auto"/>
              <w:ind w:hanging="40"/>
              <w:jc w:val="center"/>
              <w:rPr>
                <w:spacing w:val="-1"/>
                <w:position w:val="10"/>
                <w:sz w:val="20"/>
              </w:rPr>
            </w:pPr>
            <w:r w:rsidRPr="00ED7F0F">
              <w:rPr>
                <w:spacing w:val="-1"/>
                <w:sz w:val="20"/>
              </w:rPr>
              <w:t>cCCyR</w:t>
            </w:r>
            <w:r w:rsidRPr="00ED7F0F">
              <w:rPr>
                <w:spacing w:val="-1"/>
                <w:position w:val="10"/>
                <w:sz w:val="20"/>
              </w:rPr>
              <w:t>a</w:t>
            </w:r>
          </w:p>
          <w:p w:rsidR="00321347" w:rsidRPr="00ED7F0F" w:rsidRDefault="00321347" w:rsidP="00122C9F">
            <w:pPr>
              <w:spacing w:before="14" w:line="347" w:lineRule="auto"/>
              <w:ind w:hanging="40"/>
              <w:jc w:val="center"/>
              <w:rPr>
                <w:position w:val="10"/>
                <w:sz w:val="20"/>
              </w:rPr>
            </w:pPr>
            <w:r w:rsidRPr="00ED7F0F">
              <w:rPr>
                <w:spacing w:val="-1"/>
                <w:sz w:val="20"/>
              </w:rPr>
              <w:t>CCyR</w:t>
            </w:r>
            <w:r w:rsidRPr="00ED7F0F">
              <w:rPr>
                <w:spacing w:val="-1"/>
                <w:position w:val="10"/>
                <w:sz w:val="20"/>
              </w:rPr>
              <w:t>b</w:t>
            </w:r>
          </w:p>
          <w:p w:rsidR="00321347" w:rsidRPr="00ED7F0F" w:rsidRDefault="007426F9" w:rsidP="00122C9F">
            <w:pPr>
              <w:spacing w:before="4" w:line="348" w:lineRule="auto"/>
              <w:ind w:hanging="40"/>
              <w:jc w:val="center"/>
              <w:rPr>
                <w:b/>
                <w:spacing w:val="26"/>
                <w:sz w:val="20"/>
              </w:rPr>
            </w:pPr>
            <w:r w:rsidRPr="00ED7F0F">
              <w:rPr>
                <w:b/>
                <w:spacing w:val="-1"/>
                <w:sz w:val="20"/>
              </w:rPr>
              <w:t>v priebehu 36 mesiacov</w:t>
            </w:r>
          </w:p>
          <w:p w:rsidR="00321347" w:rsidRPr="00ED7F0F" w:rsidRDefault="00321347" w:rsidP="00122C9F">
            <w:pPr>
              <w:spacing w:before="4" w:line="348" w:lineRule="auto"/>
              <w:ind w:hanging="40"/>
              <w:jc w:val="center"/>
              <w:rPr>
                <w:spacing w:val="21"/>
                <w:position w:val="10"/>
                <w:sz w:val="20"/>
              </w:rPr>
            </w:pPr>
            <w:r w:rsidRPr="00ED7F0F">
              <w:rPr>
                <w:spacing w:val="-1"/>
                <w:sz w:val="20"/>
              </w:rPr>
              <w:t>cCCyR</w:t>
            </w:r>
            <w:r w:rsidRPr="00ED7F0F">
              <w:rPr>
                <w:spacing w:val="-1"/>
                <w:position w:val="10"/>
                <w:sz w:val="20"/>
              </w:rPr>
              <w:t>a</w:t>
            </w:r>
          </w:p>
          <w:p w:rsidR="00321347" w:rsidRPr="00ED7F0F" w:rsidRDefault="00321347" w:rsidP="00122C9F">
            <w:pPr>
              <w:spacing w:before="4" w:line="348" w:lineRule="auto"/>
              <w:ind w:hanging="40"/>
              <w:jc w:val="center"/>
              <w:rPr>
                <w:spacing w:val="-1"/>
                <w:position w:val="10"/>
                <w:sz w:val="20"/>
              </w:rPr>
            </w:pPr>
            <w:r w:rsidRPr="00ED7F0F">
              <w:rPr>
                <w:spacing w:val="-1"/>
                <w:sz w:val="20"/>
              </w:rPr>
              <w:t>CCyR</w:t>
            </w:r>
            <w:r w:rsidRPr="00ED7F0F">
              <w:rPr>
                <w:spacing w:val="-1"/>
                <w:position w:val="10"/>
                <w:sz w:val="20"/>
              </w:rPr>
              <w:t>b</w:t>
            </w:r>
          </w:p>
          <w:p w:rsidR="007426F9" w:rsidRPr="00ED7F0F" w:rsidRDefault="007426F9" w:rsidP="00122C9F">
            <w:pPr>
              <w:spacing w:before="4" w:line="348" w:lineRule="auto"/>
              <w:ind w:hanging="40"/>
              <w:jc w:val="center"/>
              <w:rPr>
                <w:b/>
                <w:spacing w:val="26"/>
                <w:sz w:val="20"/>
              </w:rPr>
            </w:pPr>
            <w:r w:rsidRPr="00ED7F0F">
              <w:rPr>
                <w:b/>
                <w:spacing w:val="-1"/>
                <w:sz w:val="20"/>
              </w:rPr>
              <w:t>v priebehu 48 mesiacov</w:t>
            </w:r>
          </w:p>
          <w:p w:rsidR="00321347" w:rsidRPr="00ED7F0F" w:rsidRDefault="00321347" w:rsidP="00122C9F">
            <w:pPr>
              <w:spacing w:before="3" w:line="348" w:lineRule="auto"/>
              <w:ind w:hanging="40"/>
              <w:jc w:val="center"/>
              <w:rPr>
                <w:spacing w:val="21"/>
                <w:position w:val="10"/>
                <w:sz w:val="20"/>
              </w:rPr>
            </w:pPr>
            <w:r w:rsidRPr="00ED7F0F">
              <w:rPr>
                <w:spacing w:val="-1"/>
                <w:sz w:val="20"/>
              </w:rPr>
              <w:t>cCCyR</w:t>
            </w:r>
            <w:r w:rsidRPr="00ED7F0F">
              <w:rPr>
                <w:spacing w:val="-1"/>
                <w:position w:val="10"/>
                <w:sz w:val="20"/>
              </w:rPr>
              <w:t>a</w:t>
            </w:r>
          </w:p>
          <w:p w:rsidR="00321347" w:rsidRPr="00ED7F0F" w:rsidRDefault="00321347" w:rsidP="00122C9F">
            <w:pPr>
              <w:spacing w:before="3" w:after="120" w:line="348" w:lineRule="auto"/>
              <w:ind w:hanging="40"/>
              <w:jc w:val="center"/>
              <w:rPr>
                <w:position w:val="10"/>
                <w:sz w:val="20"/>
              </w:rPr>
            </w:pPr>
            <w:r w:rsidRPr="00ED7F0F">
              <w:rPr>
                <w:spacing w:val="-1"/>
                <w:sz w:val="20"/>
              </w:rPr>
              <w:t>CCyR</w:t>
            </w:r>
            <w:r w:rsidRPr="00ED7F0F">
              <w:rPr>
                <w:spacing w:val="-1"/>
                <w:position w:val="10"/>
                <w:sz w:val="20"/>
              </w:rPr>
              <w:t>b</w:t>
            </w:r>
          </w:p>
          <w:p w:rsidR="007426F9" w:rsidRPr="00ED7F0F" w:rsidRDefault="007426F9" w:rsidP="00122C9F">
            <w:pPr>
              <w:spacing w:before="4" w:line="348" w:lineRule="auto"/>
              <w:ind w:hanging="40"/>
              <w:jc w:val="center"/>
              <w:rPr>
                <w:b/>
                <w:spacing w:val="26"/>
                <w:sz w:val="20"/>
              </w:rPr>
            </w:pPr>
            <w:r w:rsidRPr="00ED7F0F">
              <w:rPr>
                <w:b/>
                <w:spacing w:val="-1"/>
                <w:sz w:val="20"/>
              </w:rPr>
              <w:t>v priebehu 60 mesiacov</w:t>
            </w:r>
          </w:p>
          <w:p w:rsidR="00321347" w:rsidRPr="00ED7F0F" w:rsidRDefault="00321347" w:rsidP="00122C9F">
            <w:pPr>
              <w:spacing w:before="25" w:line="442" w:lineRule="auto"/>
              <w:ind w:hanging="40"/>
              <w:jc w:val="center"/>
              <w:rPr>
                <w:spacing w:val="21"/>
                <w:position w:val="10"/>
                <w:sz w:val="20"/>
              </w:rPr>
            </w:pPr>
            <w:r w:rsidRPr="00ED7F0F">
              <w:rPr>
                <w:spacing w:val="-1"/>
                <w:sz w:val="20"/>
              </w:rPr>
              <w:t>cCCyR</w:t>
            </w:r>
            <w:r w:rsidRPr="00ED7F0F">
              <w:rPr>
                <w:spacing w:val="-1"/>
                <w:position w:val="10"/>
                <w:sz w:val="20"/>
              </w:rPr>
              <w:t>a</w:t>
            </w:r>
          </w:p>
          <w:p w:rsidR="00321347" w:rsidRPr="00ED7F0F" w:rsidRDefault="00321347" w:rsidP="00122C9F">
            <w:pPr>
              <w:spacing w:before="25" w:line="442" w:lineRule="auto"/>
              <w:ind w:hanging="40"/>
              <w:jc w:val="center"/>
              <w:rPr>
                <w:sz w:val="20"/>
              </w:rPr>
            </w:pPr>
            <w:r w:rsidRPr="00ED7F0F">
              <w:rPr>
                <w:spacing w:val="-1"/>
                <w:sz w:val="20"/>
              </w:rPr>
              <w:t>CCyR</w:t>
            </w:r>
            <w:r w:rsidRPr="00ED7F0F">
              <w:rPr>
                <w:spacing w:val="-1"/>
                <w:position w:val="10"/>
                <w:sz w:val="20"/>
              </w:rPr>
              <w:t>b</w:t>
            </w:r>
          </w:p>
        </w:tc>
        <w:tc>
          <w:tcPr>
            <w:tcW w:w="2551" w:type="dxa"/>
            <w:gridSpan w:val="2"/>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before="74" w:line="240" w:lineRule="auto"/>
              <w:ind w:left="488"/>
              <w:rPr>
                <w:spacing w:val="-1"/>
                <w:sz w:val="20"/>
              </w:rPr>
            </w:pPr>
            <w:r w:rsidRPr="00ED7F0F">
              <w:rPr>
                <w:spacing w:val="-1"/>
                <w:sz w:val="20"/>
              </w:rPr>
              <w:t>76,8% (71,2–81,8)</w:t>
            </w:r>
          </w:p>
          <w:p w:rsidR="00321347" w:rsidRPr="00ED7F0F" w:rsidRDefault="00321347" w:rsidP="00122C9F">
            <w:pPr>
              <w:spacing w:before="5" w:line="240" w:lineRule="auto"/>
              <w:rPr>
                <w:b/>
                <w:sz w:val="20"/>
              </w:rPr>
            </w:pPr>
          </w:p>
          <w:p w:rsidR="00321347" w:rsidRPr="00ED7F0F" w:rsidRDefault="00321347" w:rsidP="00122C9F">
            <w:pPr>
              <w:spacing w:line="240" w:lineRule="auto"/>
              <w:ind w:left="504"/>
              <w:rPr>
                <w:sz w:val="20"/>
              </w:rPr>
            </w:pPr>
            <w:r w:rsidRPr="00ED7F0F">
              <w:rPr>
                <w:spacing w:val="-1"/>
                <w:sz w:val="20"/>
              </w:rPr>
              <w:t>85,3%</w:t>
            </w:r>
            <w:r w:rsidRPr="00ED7F0F">
              <w:rPr>
                <w:sz w:val="20"/>
              </w:rPr>
              <w:t xml:space="preserve"> </w:t>
            </w:r>
            <w:r w:rsidRPr="00ED7F0F">
              <w:rPr>
                <w:spacing w:val="-1"/>
                <w:sz w:val="20"/>
              </w:rPr>
              <w:t>(80,4-89,4)</w:t>
            </w:r>
          </w:p>
        </w:tc>
        <w:tc>
          <w:tcPr>
            <w:tcW w:w="1843"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before="74" w:line="240" w:lineRule="auto"/>
              <w:ind w:left="194"/>
              <w:rPr>
                <w:spacing w:val="-1"/>
                <w:sz w:val="20"/>
              </w:rPr>
            </w:pPr>
            <w:r w:rsidRPr="00ED7F0F">
              <w:rPr>
                <w:spacing w:val="-1"/>
                <w:sz w:val="20"/>
              </w:rPr>
              <w:t>66,2% (60,1–71,9)</w:t>
            </w:r>
          </w:p>
          <w:p w:rsidR="00321347" w:rsidRPr="00ED7F0F" w:rsidRDefault="00321347" w:rsidP="00122C9F">
            <w:pPr>
              <w:spacing w:before="5" w:line="240" w:lineRule="auto"/>
              <w:rPr>
                <w:b/>
                <w:sz w:val="20"/>
              </w:rPr>
            </w:pPr>
          </w:p>
          <w:p w:rsidR="00321347" w:rsidRPr="00ED7F0F" w:rsidRDefault="00321347" w:rsidP="00122C9F">
            <w:pPr>
              <w:spacing w:line="240" w:lineRule="auto"/>
              <w:ind w:left="211"/>
              <w:rPr>
                <w:sz w:val="20"/>
              </w:rPr>
            </w:pPr>
            <w:r w:rsidRPr="00ED7F0F">
              <w:rPr>
                <w:spacing w:val="-1"/>
                <w:sz w:val="20"/>
              </w:rPr>
              <w:t>73,5%</w:t>
            </w:r>
            <w:r w:rsidRPr="00ED7F0F">
              <w:rPr>
                <w:sz w:val="20"/>
              </w:rPr>
              <w:t xml:space="preserve"> </w:t>
            </w:r>
            <w:r w:rsidRPr="00ED7F0F">
              <w:rPr>
                <w:spacing w:val="-1"/>
                <w:sz w:val="20"/>
              </w:rPr>
              <w:t>(67,7-78,7)</w:t>
            </w:r>
          </w:p>
        </w:tc>
        <w:tc>
          <w:tcPr>
            <w:tcW w:w="1417"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before="74" w:line="240" w:lineRule="auto"/>
              <w:ind w:left="16"/>
              <w:jc w:val="center"/>
              <w:rPr>
                <w:sz w:val="20"/>
              </w:rPr>
            </w:pPr>
            <w:r w:rsidRPr="00ED7F0F">
              <w:rPr>
                <w:sz w:val="20"/>
              </w:rPr>
              <w:t>p&lt;</w:t>
            </w:r>
            <w:r w:rsidRPr="00ED7F0F">
              <w:rPr>
                <w:spacing w:val="-1"/>
                <w:sz w:val="20"/>
              </w:rPr>
              <w:t xml:space="preserve"> 0,007*</w:t>
            </w:r>
          </w:p>
          <w:p w:rsidR="00321347" w:rsidRPr="00ED7F0F" w:rsidRDefault="00321347" w:rsidP="00122C9F">
            <w:pPr>
              <w:spacing w:before="8" w:line="240" w:lineRule="auto"/>
              <w:rPr>
                <w:b/>
                <w:sz w:val="20"/>
              </w:rPr>
            </w:pPr>
          </w:p>
          <w:p w:rsidR="00321347" w:rsidRPr="00ED7F0F" w:rsidRDefault="00321347" w:rsidP="00122C9F">
            <w:pPr>
              <w:spacing w:line="240" w:lineRule="auto"/>
              <w:ind w:left="17"/>
              <w:jc w:val="center"/>
              <w:rPr>
                <w:sz w:val="20"/>
              </w:rPr>
            </w:pPr>
            <w:r w:rsidRPr="00ED7F0F">
              <w:rPr>
                <w:rFonts w:ascii="Cambria Math" w:eastAsia="Cambria Math" w:hAnsi="Cambria Math" w:cs="Cambria Math"/>
                <w:sz w:val="20"/>
              </w:rPr>
              <w:t>⎯</w:t>
            </w:r>
          </w:p>
        </w:tc>
      </w:tr>
      <w:tr w:rsidR="00321347" w:rsidRPr="00ED7F0F" w:rsidTr="009A0932">
        <w:trPr>
          <w:trHeight w:val="559"/>
        </w:trPr>
        <w:tc>
          <w:tcPr>
            <w:tcW w:w="3153" w:type="dxa"/>
            <w:vMerge/>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after="200" w:line="276" w:lineRule="auto"/>
              <w:rPr>
                <w:rFonts w:eastAsia="Calibri"/>
                <w:sz w:val="20"/>
              </w:rPr>
            </w:pPr>
          </w:p>
        </w:tc>
        <w:tc>
          <w:tcPr>
            <w:tcW w:w="2551" w:type="dxa"/>
            <w:gridSpan w:val="2"/>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before="5" w:line="240" w:lineRule="auto"/>
              <w:rPr>
                <w:b/>
                <w:sz w:val="20"/>
              </w:rPr>
            </w:pPr>
          </w:p>
          <w:p w:rsidR="00321347" w:rsidRPr="00ED7F0F" w:rsidRDefault="00321347" w:rsidP="00122C9F">
            <w:pPr>
              <w:spacing w:line="240" w:lineRule="auto"/>
              <w:ind w:left="980"/>
              <w:rPr>
                <w:sz w:val="20"/>
              </w:rPr>
            </w:pPr>
            <w:r w:rsidRPr="00ED7F0F">
              <w:rPr>
                <w:spacing w:val="-1"/>
                <w:sz w:val="20"/>
              </w:rPr>
              <w:t>80,3%</w:t>
            </w:r>
          </w:p>
        </w:tc>
        <w:tc>
          <w:tcPr>
            <w:tcW w:w="1843"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before="5" w:line="240" w:lineRule="auto"/>
              <w:rPr>
                <w:b/>
                <w:sz w:val="20"/>
              </w:rPr>
            </w:pPr>
          </w:p>
          <w:p w:rsidR="00321347" w:rsidRPr="00ED7F0F" w:rsidRDefault="00321347" w:rsidP="00122C9F">
            <w:pPr>
              <w:spacing w:line="240" w:lineRule="auto"/>
              <w:ind w:left="19"/>
              <w:jc w:val="center"/>
              <w:rPr>
                <w:sz w:val="20"/>
              </w:rPr>
            </w:pPr>
            <w:r w:rsidRPr="00ED7F0F">
              <w:rPr>
                <w:spacing w:val="-1"/>
                <w:sz w:val="20"/>
              </w:rPr>
              <w:t>74,2%</w:t>
            </w:r>
          </w:p>
        </w:tc>
        <w:tc>
          <w:tcPr>
            <w:tcW w:w="1417"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before="9" w:line="240" w:lineRule="auto"/>
              <w:rPr>
                <w:b/>
                <w:sz w:val="20"/>
              </w:rPr>
            </w:pPr>
          </w:p>
          <w:p w:rsidR="00321347" w:rsidRPr="00ED7F0F" w:rsidRDefault="00321347" w:rsidP="00122C9F">
            <w:pPr>
              <w:spacing w:line="240" w:lineRule="auto"/>
              <w:ind w:left="17"/>
              <w:jc w:val="center"/>
              <w:rPr>
                <w:sz w:val="20"/>
              </w:rPr>
            </w:pPr>
            <w:r w:rsidRPr="00ED7F0F">
              <w:rPr>
                <w:rFonts w:ascii="Cambria Math" w:eastAsia="Cambria Math" w:hAnsi="Cambria Math" w:cs="Cambria Math"/>
                <w:sz w:val="20"/>
              </w:rPr>
              <w:t>⎯</w:t>
            </w:r>
          </w:p>
        </w:tc>
      </w:tr>
      <w:tr w:rsidR="00321347" w:rsidRPr="00ED7F0F" w:rsidTr="009A0932">
        <w:trPr>
          <w:trHeight w:val="709"/>
        </w:trPr>
        <w:tc>
          <w:tcPr>
            <w:tcW w:w="3153" w:type="dxa"/>
            <w:vMerge/>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after="200" w:line="276" w:lineRule="auto"/>
              <w:rPr>
                <w:rFonts w:eastAsia="Calibri"/>
                <w:sz w:val="20"/>
              </w:rPr>
            </w:pPr>
          </w:p>
        </w:tc>
        <w:tc>
          <w:tcPr>
            <w:tcW w:w="2551" w:type="dxa"/>
            <w:gridSpan w:val="2"/>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before="83" w:line="240" w:lineRule="auto"/>
              <w:ind w:left="980"/>
              <w:rPr>
                <w:sz w:val="20"/>
              </w:rPr>
            </w:pPr>
            <w:r w:rsidRPr="00ED7F0F">
              <w:rPr>
                <w:spacing w:val="-1"/>
                <w:sz w:val="20"/>
              </w:rPr>
              <w:t>87,3%</w:t>
            </w:r>
          </w:p>
        </w:tc>
        <w:tc>
          <w:tcPr>
            <w:tcW w:w="1843"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before="83" w:line="240" w:lineRule="auto"/>
              <w:ind w:left="19"/>
              <w:jc w:val="center"/>
              <w:rPr>
                <w:sz w:val="20"/>
              </w:rPr>
            </w:pPr>
            <w:r w:rsidRPr="00ED7F0F">
              <w:rPr>
                <w:spacing w:val="-1"/>
                <w:sz w:val="20"/>
              </w:rPr>
              <w:t>82,3%</w:t>
            </w:r>
          </w:p>
        </w:tc>
        <w:tc>
          <w:tcPr>
            <w:tcW w:w="1417"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before="87" w:line="240" w:lineRule="auto"/>
              <w:ind w:left="17"/>
              <w:jc w:val="center"/>
              <w:rPr>
                <w:sz w:val="20"/>
              </w:rPr>
            </w:pPr>
            <w:r w:rsidRPr="00ED7F0F">
              <w:rPr>
                <w:rFonts w:ascii="Cambria Math" w:eastAsia="Cambria Math" w:hAnsi="Cambria Math" w:cs="Cambria Math"/>
                <w:sz w:val="20"/>
              </w:rPr>
              <w:t>⎯</w:t>
            </w:r>
          </w:p>
        </w:tc>
      </w:tr>
      <w:tr w:rsidR="00321347" w:rsidRPr="00ED7F0F" w:rsidTr="009A0932">
        <w:trPr>
          <w:trHeight w:val="549"/>
        </w:trPr>
        <w:tc>
          <w:tcPr>
            <w:tcW w:w="3153" w:type="dxa"/>
            <w:vMerge/>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after="200" w:line="276" w:lineRule="auto"/>
              <w:rPr>
                <w:rFonts w:eastAsia="Calibri"/>
                <w:sz w:val="20"/>
              </w:rPr>
            </w:pPr>
          </w:p>
        </w:tc>
        <w:tc>
          <w:tcPr>
            <w:tcW w:w="2551" w:type="dxa"/>
            <w:gridSpan w:val="2"/>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before="5" w:line="240" w:lineRule="auto"/>
              <w:rPr>
                <w:b/>
                <w:sz w:val="20"/>
              </w:rPr>
            </w:pPr>
          </w:p>
          <w:p w:rsidR="00321347" w:rsidRPr="00ED7F0F" w:rsidRDefault="00321347" w:rsidP="00122C9F">
            <w:pPr>
              <w:spacing w:line="240" w:lineRule="auto"/>
              <w:ind w:left="980"/>
              <w:rPr>
                <w:sz w:val="20"/>
              </w:rPr>
            </w:pPr>
            <w:r w:rsidRPr="00ED7F0F">
              <w:rPr>
                <w:spacing w:val="-1"/>
                <w:sz w:val="20"/>
              </w:rPr>
              <w:t>82,6%</w:t>
            </w:r>
          </w:p>
        </w:tc>
        <w:tc>
          <w:tcPr>
            <w:tcW w:w="1843"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before="5" w:line="240" w:lineRule="auto"/>
              <w:rPr>
                <w:b/>
                <w:sz w:val="20"/>
              </w:rPr>
            </w:pPr>
          </w:p>
          <w:p w:rsidR="00321347" w:rsidRPr="00ED7F0F" w:rsidRDefault="00321347" w:rsidP="00122C9F">
            <w:pPr>
              <w:spacing w:line="240" w:lineRule="auto"/>
              <w:ind w:left="19"/>
              <w:jc w:val="center"/>
              <w:rPr>
                <w:sz w:val="20"/>
              </w:rPr>
            </w:pPr>
            <w:r w:rsidRPr="00ED7F0F">
              <w:rPr>
                <w:spacing w:val="-1"/>
                <w:sz w:val="20"/>
              </w:rPr>
              <w:t>77,3%</w:t>
            </w:r>
          </w:p>
        </w:tc>
        <w:tc>
          <w:tcPr>
            <w:tcW w:w="1417"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before="9" w:line="240" w:lineRule="auto"/>
              <w:rPr>
                <w:b/>
                <w:sz w:val="20"/>
              </w:rPr>
            </w:pPr>
          </w:p>
          <w:p w:rsidR="00321347" w:rsidRPr="00ED7F0F" w:rsidRDefault="00321347" w:rsidP="00122C9F">
            <w:pPr>
              <w:spacing w:line="240" w:lineRule="auto"/>
              <w:ind w:left="17"/>
              <w:jc w:val="center"/>
              <w:rPr>
                <w:sz w:val="20"/>
              </w:rPr>
            </w:pPr>
            <w:r w:rsidRPr="00ED7F0F">
              <w:rPr>
                <w:rFonts w:ascii="Cambria Math" w:eastAsia="Cambria Math" w:hAnsi="Cambria Math" w:cs="Cambria Math"/>
                <w:sz w:val="20"/>
              </w:rPr>
              <w:t>⎯</w:t>
            </w:r>
          </w:p>
        </w:tc>
      </w:tr>
      <w:tr w:rsidR="00321347" w:rsidRPr="00ED7F0F" w:rsidTr="009A0932">
        <w:trPr>
          <w:trHeight w:val="643"/>
        </w:trPr>
        <w:tc>
          <w:tcPr>
            <w:tcW w:w="3153" w:type="dxa"/>
            <w:vMerge/>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after="200" w:line="276" w:lineRule="auto"/>
              <w:rPr>
                <w:rFonts w:eastAsia="Calibri"/>
                <w:sz w:val="20"/>
              </w:rPr>
            </w:pPr>
          </w:p>
        </w:tc>
        <w:tc>
          <w:tcPr>
            <w:tcW w:w="2551" w:type="dxa"/>
            <w:gridSpan w:val="2"/>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before="83" w:line="240" w:lineRule="auto"/>
              <w:ind w:left="980"/>
              <w:rPr>
                <w:sz w:val="20"/>
              </w:rPr>
            </w:pPr>
            <w:r w:rsidRPr="00ED7F0F">
              <w:rPr>
                <w:spacing w:val="-1"/>
                <w:sz w:val="20"/>
              </w:rPr>
              <w:t>88,0%</w:t>
            </w:r>
          </w:p>
        </w:tc>
        <w:tc>
          <w:tcPr>
            <w:tcW w:w="1843"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before="83" w:line="240" w:lineRule="auto"/>
              <w:ind w:left="19"/>
              <w:jc w:val="center"/>
              <w:rPr>
                <w:sz w:val="20"/>
              </w:rPr>
            </w:pPr>
            <w:r w:rsidRPr="00ED7F0F">
              <w:rPr>
                <w:spacing w:val="-1"/>
                <w:sz w:val="20"/>
              </w:rPr>
              <w:t>83,5%</w:t>
            </w:r>
          </w:p>
        </w:tc>
        <w:tc>
          <w:tcPr>
            <w:tcW w:w="1417"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before="87" w:line="240" w:lineRule="auto"/>
              <w:ind w:left="17"/>
              <w:jc w:val="center"/>
              <w:rPr>
                <w:sz w:val="20"/>
              </w:rPr>
            </w:pPr>
            <w:r w:rsidRPr="00ED7F0F">
              <w:rPr>
                <w:rFonts w:ascii="Cambria Math" w:eastAsia="Cambria Math" w:hAnsi="Cambria Math" w:cs="Cambria Math"/>
                <w:sz w:val="20"/>
              </w:rPr>
              <w:t>⎯</w:t>
            </w:r>
          </w:p>
        </w:tc>
      </w:tr>
      <w:tr w:rsidR="00321347" w:rsidRPr="00ED7F0F" w:rsidTr="009A0932">
        <w:trPr>
          <w:trHeight w:val="551"/>
        </w:trPr>
        <w:tc>
          <w:tcPr>
            <w:tcW w:w="3153" w:type="dxa"/>
            <w:vMerge/>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after="200" w:line="276" w:lineRule="auto"/>
              <w:rPr>
                <w:rFonts w:eastAsia="Calibri"/>
                <w:sz w:val="20"/>
              </w:rPr>
            </w:pPr>
          </w:p>
        </w:tc>
        <w:tc>
          <w:tcPr>
            <w:tcW w:w="2551" w:type="dxa"/>
            <w:gridSpan w:val="2"/>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before="5" w:line="240" w:lineRule="auto"/>
              <w:rPr>
                <w:b/>
                <w:sz w:val="20"/>
              </w:rPr>
            </w:pPr>
          </w:p>
          <w:p w:rsidR="00321347" w:rsidRPr="00ED7F0F" w:rsidRDefault="00321347" w:rsidP="00122C9F">
            <w:pPr>
              <w:spacing w:line="240" w:lineRule="auto"/>
              <w:ind w:left="980"/>
              <w:rPr>
                <w:sz w:val="20"/>
              </w:rPr>
            </w:pPr>
            <w:r w:rsidRPr="00ED7F0F">
              <w:rPr>
                <w:spacing w:val="-1"/>
                <w:sz w:val="20"/>
              </w:rPr>
              <w:t>82,6%</w:t>
            </w:r>
          </w:p>
        </w:tc>
        <w:tc>
          <w:tcPr>
            <w:tcW w:w="1843"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before="5" w:line="240" w:lineRule="auto"/>
              <w:rPr>
                <w:b/>
                <w:sz w:val="20"/>
              </w:rPr>
            </w:pPr>
          </w:p>
          <w:p w:rsidR="00321347" w:rsidRPr="00ED7F0F" w:rsidRDefault="00321347" w:rsidP="00122C9F">
            <w:pPr>
              <w:spacing w:line="240" w:lineRule="auto"/>
              <w:ind w:left="19"/>
              <w:jc w:val="center"/>
              <w:rPr>
                <w:sz w:val="20"/>
              </w:rPr>
            </w:pPr>
            <w:r w:rsidRPr="00ED7F0F">
              <w:rPr>
                <w:spacing w:val="-1"/>
                <w:sz w:val="20"/>
              </w:rPr>
              <w:t>78,5%</w:t>
            </w:r>
          </w:p>
        </w:tc>
        <w:tc>
          <w:tcPr>
            <w:tcW w:w="1417"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before="9" w:line="240" w:lineRule="auto"/>
              <w:rPr>
                <w:b/>
                <w:sz w:val="20"/>
              </w:rPr>
            </w:pPr>
          </w:p>
          <w:p w:rsidR="00321347" w:rsidRPr="00ED7F0F" w:rsidRDefault="00321347" w:rsidP="00122C9F">
            <w:pPr>
              <w:spacing w:line="240" w:lineRule="auto"/>
              <w:ind w:left="17"/>
              <w:jc w:val="center"/>
              <w:rPr>
                <w:sz w:val="20"/>
              </w:rPr>
            </w:pPr>
            <w:r w:rsidRPr="00ED7F0F">
              <w:rPr>
                <w:rFonts w:ascii="Cambria Math" w:eastAsia="Cambria Math" w:hAnsi="Cambria Math" w:cs="Cambria Math"/>
                <w:sz w:val="20"/>
              </w:rPr>
              <w:t>⎯</w:t>
            </w:r>
          </w:p>
        </w:tc>
      </w:tr>
      <w:tr w:rsidR="00321347" w:rsidRPr="00ED7F0F" w:rsidTr="009A0932">
        <w:trPr>
          <w:trHeight w:val="773"/>
        </w:trPr>
        <w:tc>
          <w:tcPr>
            <w:tcW w:w="3153" w:type="dxa"/>
            <w:vMerge/>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after="200" w:line="276" w:lineRule="auto"/>
              <w:rPr>
                <w:rFonts w:eastAsia="Calibri"/>
                <w:sz w:val="20"/>
              </w:rPr>
            </w:pPr>
          </w:p>
        </w:tc>
        <w:tc>
          <w:tcPr>
            <w:tcW w:w="2551" w:type="dxa"/>
            <w:gridSpan w:val="2"/>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before="83" w:line="240" w:lineRule="auto"/>
              <w:ind w:left="980"/>
              <w:rPr>
                <w:sz w:val="20"/>
              </w:rPr>
            </w:pPr>
            <w:r w:rsidRPr="00ED7F0F">
              <w:rPr>
                <w:spacing w:val="-1"/>
                <w:sz w:val="20"/>
              </w:rPr>
              <w:t>87,6%</w:t>
            </w:r>
          </w:p>
        </w:tc>
        <w:tc>
          <w:tcPr>
            <w:tcW w:w="1843"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before="83" w:line="240" w:lineRule="auto"/>
              <w:ind w:left="19"/>
              <w:jc w:val="center"/>
              <w:rPr>
                <w:sz w:val="20"/>
              </w:rPr>
            </w:pPr>
            <w:r w:rsidRPr="00ED7F0F">
              <w:rPr>
                <w:spacing w:val="-1"/>
                <w:sz w:val="20"/>
              </w:rPr>
              <w:t>83,8%</w:t>
            </w:r>
          </w:p>
        </w:tc>
        <w:tc>
          <w:tcPr>
            <w:tcW w:w="1417"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before="87" w:line="240" w:lineRule="auto"/>
              <w:ind w:left="17"/>
              <w:jc w:val="center"/>
              <w:rPr>
                <w:sz w:val="20"/>
              </w:rPr>
            </w:pPr>
            <w:r w:rsidRPr="00ED7F0F">
              <w:rPr>
                <w:rFonts w:ascii="Cambria Math" w:eastAsia="Cambria Math" w:hAnsi="Cambria Math" w:cs="Cambria Math"/>
                <w:sz w:val="20"/>
              </w:rPr>
              <w:t>⎯</w:t>
            </w:r>
          </w:p>
        </w:tc>
      </w:tr>
      <w:tr w:rsidR="00321347" w:rsidRPr="00ED7F0F" w:rsidTr="009A0932">
        <w:trPr>
          <w:trHeight w:val="543"/>
        </w:trPr>
        <w:tc>
          <w:tcPr>
            <w:tcW w:w="3153" w:type="dxa"/>
            <w:vMerge/>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after="200" w:line="276" w:lineRule="auto"/>
              <w:rPr>
                <w:rFonts w:eastAsia="Calibri"/>
                <w:sz w:val="20"/>
              </w:rPr>
            </w:pPr>
          </w:p>
        </w:tc>
        <w:tc>
          <w:tcPr>
            <w:tcW w:w="2551" w:type="dxa"/>
            <w:gridSpan w:val="2"/>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before="5" w:line="240" w:lineRule="auto"/>
              <w:rPr>
                <w:b/>
                <w:sz w:val="20"/>
              </w:rPr>
            </w:pPr>
          </w:p>
          <w:p w:rsidR="00321347" w:rsidRPr="00ED7F0F" w:rsidRDefault="00321347" w:rsidP="00122C9F">
            <w:pPr>
              <w:spacing w:line="240" w:lineRule="auto"/>
              <w:ind w:left="980"/>
              <w:rPr>
                <w:sz w:val="20"/>
              </w:rPr>
            </w:pPr>
            <w:r w:rsidRPr="00ED7F0F">
              <w:rPr>
                <w:spacing w:val="-1"/>
                <w:sz w:val="20"/>
              </w:rPr>
              <w:t>83,0%</w:t>
            </w:r>
          </w:p>
        </w:tc>
        <w:tc>
          <w:tcPr>
            <w:tcW w:w="1843"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before="5" w:line="240" w:lineRule="auto"/>
              <w:rPr>
                <w:b/>
                <w:sz w:val="20"/>
              </w:rPr>
            </w:pPr>
          </w:p>
          <w:p w:rsidR="00321347" w:rsidRPr="00ED7F0F" w:rsidRDefault="00321347" w:rsidP="00122C9F">
            <w:pPr>
              <w:spacing w:line="240" w:lineRule="auto"/>
              <w:ind w:left="19"/>
              <w:jc w:val="center"/>
              <w:rPr>
                <w:sz w:val="20"/>
              </w:rPr>
            </w:pPr>
            <w:r w:rsidRPr="00ED7F0F">
              <w:rPr>
                <w:spacing w:val="-1"/>
                <w:sz w:val="20"/>
              </w:rPr>
              <w:t>78,5%</w:t>
            </w:r>
          </w:p>
        </w:tc>
        <w:tc>
          <w:tcPr>
            <w:tcW w:w="1417"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before="9" w:line="240" w:lineRule="auto"/>
              <w:rPr>
                <w:b/>
                <w:sz w:val="20"/>
              </w:rPr>
            </w:pPr>
          </w:p>
          <w:p w:rsidR="00321347" w:rsidRPr="00ED7F0F" w:rsidRDefault="00321347" w:rsidP="00122C9F">
            <w:pPr>
              <w:spacing w:line="240" w:lineRule="auto"/>
              <w:ind w:left="17"/>
              <w:jc w:val="center"/>
              <w:rPr>
                <w:sz w:val="20"/>
              </w:rPr>
            </w:pPr>
            <w:r w:rsidRPr="00ED7F0F">
              <w:rPr>
                <w:rFonts w:ascii="Cambria Math" w:eastAsia="Cambria Math" w:hAnsi="Cambria Math" w:cs="Cambria Math"/>
                <w:sz w:val="20"/>
              </w:rPr>
              <w:t>⎯</w:t>
            </w:r>
          </w:p>
        </w:tc>
      </w:tr>
      <w:tr w:rsidR="00321347" w:rsidRPr="00ED7F0F" w:rsidTr="009A0932">
        <w:tc>
          <w:tcPr>
            <w:tcW w:w="3153" w:type="dxa"/>
            <w:vMerge/>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after="200" w:line="276" w:lineRule="auto"/>
              <w:rPr>
                <w:rFonts w:eastAsia="Calibri"/>
                <w:sz w:val="20"/>
              </w:rPr>
            </w:pPr>
          </w:p>
        </w:tc>
        <w:tc>
          <w:tcPr>
            <w:tcW w:w="2551" w:type="dxa"/>
            <w:gridSpan w:val="2"/>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before="83" w:line="240" w:lineRule="auto"/>
              <w:ind w:left="980"/>
              <w:rPr>
                <w:sz w:val="20"/>
              </w:rPr>
            </w:pPr>
            <w:r w:rsidRPr="00ED7F0F">
              <w:rPr>
                <w:spacing w:val="-1"/>
                <w:sz w:val="20"/>
              </w:rPr>
              <w:t>88,0%</w:t>
            </w:r>
          </w:p>
        </w:tc>
        <w:tc>
          <w:tcPr>
            <w:tcW w:w="1843"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before="83" w:line="240" w:lineRule="auto"/>
              <w:ind w:left="19"/>
              <w:jc w:val="center"/>
              <w:rPr>
                <w:sz w:val="20"/>
              </w:rPr>
            </w:pPr>
            <w:r w:rsidRPr="00ED7F0F">
              <w:rPr>
                <w:spacing w:val="-1"/>
                <w:sz w:val="20"/>
              </w:rPr>
              <w:t>83,8%</w:t>
            </w:r>
          </w:p>
        </w:tc>
        <w:tc>
          <w:tcPr>
            <w:tcW w:w="1417"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before="87" w:line="240" w:lineRule="auto"/>
              <w:ind w:left="17"/>
              <w:jc w:val="center"/>
              <w:rPr>
                <w:sz w:val="20"/>
              </w:rPr>
            </w:pPr>
            <w:r w:rsidRPr="00ED7F0F">
              <w:rPr>
                <w:rFonts w:ascii="Cambria Math" w:eastAsia="Cambria Math" w:hAnsi="Cambria Math" w:cs="Cambria Math"/>
                <w:sz w:val="20"/>
              </w:rPr>
              <w:t>⎯</w:t>
            </w:r>
          </w:p>
        </w:tc>
      </w:tr>
      <w:tr w:rsidR="00321347" w:rsidRPr="00ED7F0F" w:rsidTr="009A0932">
        <w:tc>
          <w:tcPr>
            <w:tcW w:w="3153"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7426F9" w:rsidP="00122C9F">
            <w:pPr>
              <w:spacing w:before="81" w:line="240" w:lineRule="auto"/>
              <w:ind w:left="796"/>
              <w:rPr>
                <w:sz w:val="20"/>
              </w:rPr>
            </w:pPr>
            <w:r w:rsidRPr="00ED7F0F">
              <w:rPr>
                <w:b/>
                <w:spacing w:val="-1"/>
                <w:sz w:val="20"/>
              </w:rPr>
              <w:t>Veľká molekulárna odpoveď</w:t>
            </w:r>
            <w:r w:rsidR="00321347" w:rsidRPr="00ED7F0F">
              <w:rPr>
                <w:spacing w:val="-1"/>
                <w:position w:val="10"/>
                <w:sz w:val="20"/>
              </w:rPr>
              <w:t>c</w:t>
            </w:r>
          </w:p>
        </w:tc>
        <w:tc>
          <w:tcPr>
            <w:tcW w:w="2551" w:type="dxa"/>
            <w:gridSpan w:val="2"/>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line="260" w:lineRule="auto"/>
              <w:jc w:val="both"/>
              <w:rPr>
                <w:rFonts w:eastAsia="Calibri"/>
                <w:sz w:val="20"/>
              </w:rPr>
            </w:pPr>
          </w:p>
        </w:tc>
        <w:tc>
          <w:tcPr>
            <w:tcW w:w="1843"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line="260" w:lineRule="auto"/>
              <w:jc w:val="both"/>
              <w:rPr>
                <w:rFonts w:eastAsia="Calibri"/>
                <w:sz w:val="20"/>
              </w:rPr>
            </w:pPr>
          </w:p>
        </w:tc>
        <w:tc>
          <w:tcPr>
            <w:tcW w:w="1417"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line="260" w:lineRule="auto"/>
              <w:jc w:val="both"/>
              <w:rPr>
                <w:rFonts w:eastAsia="Calibri"/>
                <w:sz w:val="20"/>
              </w:rPr>
            </w:pPr>
          </w:p>
        </w:tc>
      </w:tr>
      <w:tr w:rsidR="00321347" w:rsidRPr="00ED7F0F" w:rsidTr="009A0932">
        <w:tc>
          <w:tcPr>
            <w:tcW w:w="3153"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before="60" w:line="240" w:lineRule="auto"/>
              <w:ind w:left="309"/>
              <w:jc w:val="center"/>
              <w:rPr>
                <w:sz w:val="20"/>
              </w:rPr>
            </w:pPr>
            <w:r w:rsidRPr="00ED7F0F">
              <w:rPr>
                <w:b/>
                <w:sz w:val="20"/>
              </w:rPr>
              <w:t xml:space="preserve">12 </w:t>
            </w:r>
            <w:r w:rsidRPr="00ED7F0F">
              <w:rPr>
                <w:b/>
                <w:spacing w:val="-1"/>
                <w:sz w:val="20"/>
              </w:rPr>
              <w:t>mesiacov</w:t>
            </w:r>
          </w:p>
        </w:tc>
        <w:tc>
          <w:tcPr>
            <w:tcW w:w="2551" w:type="dxa"/>
            <w:gridSpan w:val="2"/>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before="58" w:line="240" w:lineRule="auto"/>
              <w:ind w:left="488"/>
              <w:rPr>
                <w:sz w:val="20"/>
              </w:rPr>
            </w:pPr>
            <w:r w:rsidRPr="00ED7F0F">
              <w:rPr>
                <w:spacing w:val="-1"/>
                <w:sz w:val="20"/>
              </w:rPr>
              <w:t>52,1%</w:t>
            </w:r>
            <w:r w:rsidRPr="00ED7F0F">
              <w:rPr>
                <w:sz w:val="20"/>
              </w:rPr>
              <w:t xml:space="preserve"> </w:t>
            </w:r>
            <w:r w:rsidRPr="00ED7F0F">
              <w:rPr>
                <w:spacing w:val="-1"/>
                <w:sz w:val="20"/>
              </w:rPr>
              <w:t>(45,9–58,3)</w:t>
            </w:r>
          </w:p>
        </w:tc>
        <w:tc>
          <w:tcPr>
            <w:tcW w:w="1843"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before="58" w:line="240" w:lineRule="auto"/>
              <w:ind w:left="194"/>
              <w:rPr>
                <w:sz w:val="20"/>
              </w:rPr>
            </w:pPr>
            <w:r w:rsidRPr="00ED7F0F">
              <w:rPr>
                <w:spacing w:val="-1"/>
                <w:sz w:val="20"/>
              </w:rPr>
              <w:t>33,8%</w:t>
            </w:r>
            <w:r w:rsidRPr="00ED7F0F">
              <w:rPr>
                <w:sz w:val="20"/>
              </w:rPr>
              <w:t xml:space="preserve"> </w:t>
            </w:r>
            <w:r w:rsidRPr="00ED7F0F">
              <w:rPr>
                <w:spacing w:val="-1"/>
                <w:sz w:val="20"/>
              </w:rPr>
              <w:t>(28,1–39,9)</w:t>
            </w:r>
          </w:p>
        </w:tc>
        <w:tc>
          <w:tcPr>
            <w:tcW w:w="1417"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before="58" w:line="240" w:lineRule="auto"/>
              <w:ind w:left="176"/>
              <w:rPr>
                <w:sz w:val="20"/>
              </w:rPr>
            </w:pPr>
            <w:r w:rsidRPr="00ED7F0F">
              <w:rPr>
                <w:sz w:val="20"/>
              </w:rPr>
              <w:t>p&lt;</w:t>
            </w:r>
            <w:r w:rsidRPr="00ED7F0F">
              <w:rPr>
                <w:spacing w:val="-1"/>
                <w:sz w:val="20"/>
              </w:rPr>
              <w:t xml:space="preserve"> 0,00003*</w:t>
            </w:r>
          </w:p>
        </w:tc>
      </w:tr>
      <w:tr w:rsidR="00321347" w:rsidRPr="00ED7F0F" w:rsidTr="009A0932">
        <w:tc>
          <w:tcPr>
            <w:tcW w:w="3153"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before="50" w:line="240" w:lineRule="auto"/>
              <w:ind w:left="306"/>
              <w:jc w:val="center"/>
              <w:rPr>
                <w:sz w:val="20"/>
              </w:rPr>
            </w:pPr>
            <w:r w:rsidRPr="00ED7F0F">
              <w:rPr>
                <w:b/>
                <w:spacing w:val="-1"/>
                <w:sz w:val="20"/>
              </w:rPr>
              <w:t>24</w:t>
            </w:r>
            <w:r w:rsidRPr="00ED7F0F">
              <w:rPr>
                <w:b/>
                <w:sz w:val="20"/>
              </w:rPr>
              <w:t xml:space="preserve"> </w:t>
            </w:r>
            <w:r w:rsidRPr="00ED7F0F">
              <w:rPr>
                <w:b/>
                <w:spacing w:val="-1"/>
                <w:sz w:val="20"/>
              </w:rPr>
              <w:t>mesiacov</w:t>
            </w:r>
          </w:p>
        </w:tc>
        <w:tc>
          <w:tcPr>
            <w:tcW w:w="2551" w:type="dxa"/>
            <w:gridSpan w:val="2"/>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before="48" w:line="240" w:lineRule="auto"/>
              <w:ind w:left="504"/>
              <w:rPr>
                <w:sz w:val="20"/>
              </w:rPr>
            </w:pPr>
            <w:r w:rsidRPr="00ED7F0F">
              <w:rPr>
                <w:spacing w:val="-1"/>
                <w:sz w:val="20"/>
              </w:rPr>
              <w:t>64,5%</w:t>
            </w:r>
            <w:r w:rsidRPr="00ED7F0F">
              <w:rPr>
                <w:sz w:val="20"/>
              </w:rPr>
              <w:t xml:space="preserve"> </w:t>
            </w:r>
            <w:r w:rsidRPr="00ED7F0F">
              <w:rPr>
                <w:spacing w:val="-1"/>
                <w:sz w:val="20"/>
              </w:rPr>
              <w:t>(58,3-70,3)</w:t>
            </w:r>
          </w:p>
        </w:tc>
        <w:tc>
          <w:tcPr>
            <w:tcW w:w="1843"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before="48" w:line="240" w:lineRule="auto"/>
              <w:ind w:left="287"/>
              <w:rPr>
                <w:sz w:val="20"/>
              </w:rPr>
            </w:pPr>
            <w:r w:rsidRPr="00ED7F0F">
              <w:rPr>
                <w:spacing w:val="-1"/>
                <w:sz w:val="20"/>
              </w:rPr>
              <w:t>50%</w:t>
            </w:r>
            <w:r w:rsidRPr="00ED7F0F">
              <w:rPr>
                <w:sz w:val="20"/>
              </w:rPr>
              <w:t xml:space="preserve"> </w:t>
            </w:r>
            <w:r w:rsidRPr="00ED7F0F">
              <w:rPr>
                <w:spacing w:val="-1"/>
                <w:sz w:val="20"/>
              </w:rPr>
              <w:t>(43,8-56,2)</w:t>
            </w:r>
          </w:p>
        </w:tc>
        <w:tc>
          <w:tcPr>
            <w:tcW w:w="1417"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before="52" w:line="240" w:lineRule="auto"/>
              <w:ind w:left="17"/>
              <w:jc w:val="center"/>
              <w:rPr>
                <w:sz w:val="20"/>
              </w:rPr>
            </w:pPr>
            <w:r w:rsidRPr="00ED7F0F">
              <w:rPr>
                <w:rFonts w:ascii="Cambria Math" w:eastAsia="Cambria Math" w:hAnsi="Cambria Math" w:cs="Cambria Math"/>
                <w:sz w:val="20"/>
              </w:rPr>
              <w:t>⎯</w:t>
            </w:r>
          </w:p>
        </w:tc>
      </w:tr>
      <w:tr w:rsidR="00321347" w:rsidRPr="00ED7F0F" w:rsidTr="009A0932">
        <w:tc>
          <w:tcPr>
            <w:tcW w:w="3153"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before="47" w:line="240" w:lineRule="auto"/>
              <w:ind w:left="309"/>
              <w:jc w:val="center"/>
              <w:rPr>
                <w:sz w:val="20"/>
              </w:rPr>
            </w:pPr>
            <w:r w:rsidRPr="00ED7F0F">
              <w:rPr>
                <w:b/>
                <w:sz w:val="20"/>
              </w:rPr>
              <w:t xml:space="preserve">36 </w:t>
            </w:r>
            <w:r w:rsidRPr="00ED7F0F">
              <w:rPr>
                <w:b/>
                <w:spacing w:val="-1"/>
                <w:sz w:val="20"/>
              </w:rPr>
              <w:t>mesiacov</w:t>
            </w:r>
          </w:p>
        </w:tc>
        <w:tc>
          <w:tcPr>
            <w:tcW w:w="2551" w:type="dxa"/>
            <w:gridSpan w:val="2"/>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before="44" w:line="240" w:lineRule="auto"/>
              <w:ind w:left="504"/>
              <w:rPr>
                <w:sz w:val="20"/>
              </w:rPr>
            </w:pPr>
            <w:r w:rsidRPr="00ED7F0F">
              <w:rPr>
                <w:spacing w:val="-1"/>
                <w:sz w:val="20"/>
              </w:rPr>
              <w:t>69,1%</w:t>
            </w:r>
            <w:r w:rsidRPr="00ED7F0F">
              <w:rPr>
                <w:sz w:val="20"/>
              </w:rPr>
              <w:t xml:space="preserve"> </w:t>
            </w:r>
            <w:r w:rsidRPr="00ED7F0F">
              <w:rPr>
                <w:spacing w:val="-1"/>
                <w:sz w:val="20"/>
              </w:rPr>
              <w:t>(63,1-74,7)</w:t>
            </w:r>
          </w:p>
        </w:tc>
        <w:tc>
          <w:tcPr>
            <w:tcW w:w="1843"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before="44" w:line="240" w:lineRule="auto"/>
              <w:ind w:left="211"/>
              <w:rPr>
                <w:sz w:val="20"/>
              </w:rPr>
            </w:pPr>
            <w:r w:rsidRPr="00ED7F0F">
              <w:rPr>
                <w:spacing w:val="-1"/>
                <w:sz w:val="20"/>
              </w:rPr>
              <w:t>56,2%</w:t>
            </w:r>
            <w:r w:rsidRPr="00ED7F0F">
              <w:rPr>
                <w:sz w:val="20"/>
              </w:rPr>
              <w:t xml:space="preserve"> </w:t>
            </w:r>
            <w:r w:rsidRPr="00ED7F0F">
              <w:rPr>
                <w:spacing w:val="-1"/>
                <w:sz w:val="20"/>
              </w:rPr>
              <w:t>(49,9-62,3)</w:t>
            </w:r>
          </w:p>
        </w:tc>
        <w:tc>
          <w:tcPr>
            <w:tcW w:w="1417"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before="48" w:line="240" w:lineRule="auto"/>
              <w:ind w:left="17"/>
              <w:jc w:val="center"/>
              <w:rPr>
                <w:sz w:val="20"/>
              </w:rPr>
            </w:pPr>
            <w:r w:rsidRPr="00ED7F0F">
              <w:rPr>
                <w:rFonts w:ascii="Cambria Math" w:eastAsia="Cambria Math" w:hAnsi="Cambria Math" w:cs="Cambria Math"/>
                <w:sz w:val="20"/>
              </w:rPr>
              <w:t>⎯</w:t>
            </w:r>
          </w:p>
        </w:tc>
      </w:tr>
      <w:tr w:rsidR="00321347" w:rsidRPr="00ED7F0F" w:rsidTr="009A0932">
        <w:tc>
          <w:tcPr>
            <w:tcW w:w="3153"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before="47" w:line="240" w:lineRule="auto"/>
              <w:ind w:left="309"/>
              <w:jc w:val="center"/>
              <w:rPr>
                <w:sz w:val="20"/>
              </w:rPr>
            </w:pPr>
            <w:r w:rsidRPr="00ED7F0F">
              <w:rPr>
                <w:b/>
                <w:sz w:val="20"/>
              </w:rPr>
              <w:t xml:space="preserve">48 </w:t>
            </w:r>
            <w:r w:rsidRPr="00ED7F0F">
              <w:rPr>
                <w:b/>
                <w:spacing w:val="-1"/>
                <w:sz w:val="20"/>
              </w:rPr>
              <w:t>mesiacov</w:t>
            </w:r>
          </w:p>
        </w:tc>
        <w:tc>
          <w:tcPr>
            <w:tcW w:w="2551" w:type="dxa"/>
            <w:gridSpan w:val="2"/>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before="44" w:line="240" w:lineRule="auto"/>
              <w:ind w:left="504"/>
              <w:rPr>
                <w:sz w:val="20"/>
              </w:rPr>
            </w:pPr>
            <w:r w:rsidRPr="00ED7F0F">
              <w:rPr>
                <w:spacing w:val="-1"/>
                <w:sz w:val="20"/>
              </w:rPr>
              <w:t>75,7%</w:t>
            </w:r>
            <w:r w:rsidRPr="00ED7F0F">
              <w:rPr>
                <w:sz w:val="20"/>
              </w:rPr>
              <w:t xml:space="preserve"> </w:t>
            </w:r>
            <w:r w:rsidRPr="00ED7F0F">
              <w:rPr>
                <w:spacing w:val="-1"/>
                <w:sz w:val="20"/>
              </w:rPr>
              <w:t>(70,0-80,8)</w:t>
            </w:r>
          </w:p>
        </w:tc>
        <w:tc>
          <w:tcPr>
            <w:tcW w:w="1843"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before="44" w:line="240" w:lineRule="auto"/>
              <w:ind w:left="211"/>
              <w:rPr>
                <w:sz w:val="20"/>
              </w:rPr>
            </w:pPr>
            <w:r w:rsidRPr="00ED7F0F">
              <w:rPr>
                <w:spacing w:val="-1"/>
                <w:sz w:val="20"/>
              </w:rPr>
              <w:t>62,7%</w:t>
            </w:r>
            <w:r w:rsidRPr="00ED7F0F">
              <w:rPr>
                <w:sz w:val="20"/>
              </w:rPr>
              <w:t xml:space="preserve"> </w:t>
            </w:r>
            <w:r w:rsidRPr="00ED7F0F">
              <w:rPr>
                <w:spacing w:val="-1"/>
                <w:sz w:val="20"/>
              </w:rPr>
              <w:t>(56,5-68,6)</w:t>
            </w:r>
          </w:p>
        </w:tc>
        <w:tc>
          <w:tcPr>
            <w:tcW w:w="1417"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before="48" w:line="240" w:lineRule="auto"/>
              <w:ind w:left="17"/>
              <w:jc w:val="center"/>
              <w:rPr>
                <w:sz w:val="20"/>
              </w:rPr>
            </w:pPr>
            <w:r w:rsidRPr="00ED7F0F">
              <w:rPr>
                <w:rFonts w:ascii="Cambria Math" w:eastAsia="Cambria Math" w:hAnsi="Cambria Math" w:cs="Cambria Math"/>
                <w:sz w:val="20"/>
              </w:rPr>
              <w:t>⎯</w:t>
            </w:r>
          </w:p>
        </w:tc>
      </w:tr>
      <w:tr w:rsidR="00321347" w:rsidRPr="00ED7F0F" w:rsidTr="009A0932">
        <w:tc>
          <w:tcPr>
            <w:tcW w:w="3153"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before="47" w:line="240" w:lineRule="auto"/>
              <w:ind w:left="309"/>
              <w:jc w:val="center"/>
              <w:rPr>
                <w:sz w:val="20"/>
              </w:rPr>
            </w:pPr>
            <w:r w:rsidRPr="00ED7F0F">
              <w:rPr>
                <w:b/>
                <w:sz w:val="20"/>
              </w:rPr>
              <w:t xml:space="preserve">60 </w:t>
            </w:r>
            <w:r w:rsidRPr="00ED7F0F">
              <w:rPr>
                <w:b/>
                <w:spacing w:val="-1"/>
                <w:sz w:val="20"/>
              </w:rPr>
              <w:t>mesiacov</w:t>
            </w:r>
          </w:p>
        </w:tc>
        <w:tc>
          <w:tcPr>
            <w:tcW w:w="2551" w:type="dxa"/>
            <w:gridSpan w:val="2"/>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before="44" w:line="240" w:lineRule="auto"/>
              <w:ind w:left="504"/>
              <w:rPr>
                <w:sz w:val="20"/>
              </w:rPr>
            </w:pPr>
            <w:r w:rsidRPr="00ED7F0F">
              <w:rPr>
                <w:spacing w:val="-1"/>
                <w:sz w:val="20"/>
              </w:rPr>
              <w:t>76,4%</w:t>
            </w:r>
            <w:r w:rsidRPr="00ED7F0F">
              <w:rPr>
                <w:sz w:val="20"/>
              </w:rPr>
              <w:t xml:space="preserve"> </w:t>
            </w:r>
            <w:r w:rsidRPr="00ED7F0F">
              <w:rPr>
                <w:spacing w:val="-1"/>
                <w:sz w:val="20"/>
              </w:rPr>
              <w:t>(70,8-81,5)</w:t>
            </w:r>
          </w:p>
        </w:tc>
        <w:tc>
          <w:tcPr>
            <w:tcW w:w="1843"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before="44" w:line="240" w:lineRule="auto"/>
              <w:ind w:left="211"/>
              <w:rPr>
                <w:sz w:val="20"/>
              </w:rPr>
            </w:pPr>
            <w:r w:rsidRPr="00ED7F0F">
              <w:rPr>
                <w:spacing w:val="-1"/>
                <w:sz w:val="20"/>
              </w:rPr>
              <w:t>64,2%</w:t>
            </w:r>
            <w:r w:rsidRPr="00ED7F0F">
              <w:rPr>
                <w:sz w:val="20"/>
              </w:rPr>
              <w:t xml:space="preserve"> </w:t>
            </w:r>
            <w:r w:rsidRPr="00ED7F0F">
              <w:rPr>
                <w:spacing w:val="-1"/>
                <w:sz w:val="20"/>
              </w:rPr>
              <w:t>(58,1-70,1)</w:t>
            </w:r>
          </w:p>
        </w:tc>
        <w:tc>
          <w:tcPr>
            <w:tcW w:w="1417"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before="44" w:line="240" w:lineRule="auto"/>
              <w:ind w:left="300"/>
              <w:rPr>
                <w:sz w:val="20"/>
              </w:rPr>
            </w:pPr>
            <w:r w:rsidRPr="00ED7F0F">
              <w:rPr>
                <w:spacing w:val="-1"/>
                <w:sz w:val="20"/>
              </w:rPr>
              <w:t>p=0,0021</w:t>
            </w:r>
          </w:p>
        </w:tc>
      </w:tr>
      <w:tr w:rsidR="00321347" w:rsidRPr="00ED7F0F" w:rsidTr="009A0932">
        <w:tc>
          <w:tcPr>
            <w:tcW w:w="3153" w:type="dxa"/>
            <w:tcBorders>
              <w:top w:val="single" w:sz="4"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line="260" w:lineRule="auto"/>
              <w:jc w:val="both"/>
              <w:rPr>
                <w:rFonts w:eastAsia="Calibri"/>
                <w:sz w:val="20"/>
              </w:rPr>
            </w:pPr>
          </w:p>
        </w:tc>
        <w:tc>
          <w:tcPr>
            <w:tcW w:w="4394" w:type="dxa"/>
            <w:gridSpan w:val="3"/>
            <w:tcBorders>
              <w:top w:val="single" w:sz="4"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7426F9" w:rsidP="00122C9F">
            <w:pPr>
              <w:spacing w:before="70" w:line="240" w:lineRule="auto"/>
              <w:ind w:left="1389"/>
              <w:rPr>
                <w:sz w:val="20"/>
              </w:rPr>
            </w:pPr>
            <w:r w:rsidRPr="00ED7F0F">
              <w:rPr>
                <w:b/>
                <w:spacing w:val="-1"/>
                <w:sz w:val="20"/>
              </w:rPr>
              <w:t>Pomer rizika</w:t>
            </w:r>
            <w:r w:rsidR="00321347" w:rsidRPr="00ED7F0F">
              <w:rPr>
                <w:b/>
                <w:spacing w:val="-1"/>
                <w:sz w:val="20"/>
              </w:rPr>
              <w:t xml:space="preserve"> (HR)</w:t>
            </w:r>
          </w:p>
        </w:tc>
        <w:tc>
          <w:tcPr>
            <w:tcW w:w="1417" w:type="dxa"/>
            <w:tcBorders>
              <w:top w:val="single" w:sz="4"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line="260" w:lineRule="auto"/>
              <w:jc w:val="both"/>
              <w:rPr>
                <w:rFonts w:eastAsia="Calibri"/>
                <w:sz w:val="20"/>
              </w:rPr>
            </w:pPr>
          </w:p>
        </w:tc>
      </w:tr>
      <w:tr w:rsidR="00321347" w:rsidRPr="00ED7F0F" w:rsidTr="009A0932">
        <w:tc>
          <w:tcPr>
            <w:tcW w:w="3153"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line="260" w:lineRule="auto"/>
              <w:jc w:val="both"/>
              <w:rPr>
                <w:rFonts w:eastAsia="Calibri"/>
                <w:sz w:val="20"/>
              </w:rPr>
            </w:pPr>
          </w:p>
        </w:tc>
        <w:tc>
          <w:tcPr>
            <w:tcW w:w="4394" w:type="dxa"/>
            <w:gridSpan w:val="3"/>
            <w:tcBorders>
              <w:top w:val="single" w:sz="0" w:space="0" w:color="000000"/>
              <w:left w:val="single" w:sz="0" w:space="0" w:color="000000"/>
              <w:bottom w:val="single" w:sz="4" w:space="0" w:color="auto"/>
              <w:right w:val="single" w:sz="0" w:space="0" w:color="000000"/>
            </w:tcBorders>
            <w:shd w:val="clear" w:color="000000" w:fill="FFFFFF"/>
            <w:tcMar>
              <w:left w:w="0" w:type="dxa"/>
              <w:right w:w="0" w:type="dxa"/>
            </w:tcMar>
          </w:tcPr>
          <w:p w:rsidR="00321347" w:rsidRPr="00ED7F0F" w:rsidRDefault="007426F9" w:rsidP="00122C9F">
            <w:pPr>
              <w:spacing w:before="49" w:line="240" w:lineRule="auto"/>
              <w:ind w:left="891"/>
              <w:rPr>
                <w:sz w:val="20"/>
              </w:rPr>
            </w:pPr>
            <w:r w:rsidRPr="00ED7F0F">
              <w:rPr>
                <w:b/>
                <w:spacing w:val="-1"/>
                <w:sz w:val="20"/>
              </w:rPr>
              <w:t>počas 12 mesiacov</w:t>
            </w:r>
            <w:r w:rsidR="00321347" w:rsidRPr="00ED7F0F">
              <w:rPr>
                <w:b/>
                <w:spacing w:val="-1"/>
                <w:sz w:val="20"/>
              </w:rPr>
              <w:t xml:space="preserve"> (99,99%</w:t>
            </w:r>
            <w:r w:rsidR="00321347" w:rsidRPr="00ED7F0F">
              <w:rPr>
                <w:b/>
                <w:spacing w:val="-4"/>
                <w:sz w:val="20"/>
              </w:rPr>
              <w:t xml:space="preserve"> </w:t>
            </w:r>
            <w:r w:rsidR="00321347" w:rsidRPr="00ED7F0F">
              <w:rPr>
                <w:b/>
                <w:sz w:val="20"/>
              </w:rPr>
              <w:t>CI)</w:t>
            </w:r>
          </w:p>
        </w:tc>
        <w:tc>
          <w:tcPr>
            <w:tcW w:w="1417"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line="260" w:lineRule="auto"/>
              <w:jc w:val="both"/>
              <w:rPr>
                <w:rFonts w:eastAsia="Calibri"/>
                <w:sz w:val="20"/>
              </w:rPr>
            </w:pPr>
          </w:p>
        </w:tc>
      </w:tr>
      <w:tr w:rsidR="00321347" w:rsidRPr="00ED7F0F" w:rsidTr="009A0932">
        <w:tc>
          <w:tcPr>
            <w:tcW w:w="3153" w:type="dxa"/>
            <w:tcBorders>
              <w:top w:val="single" w:sz="0" w:space="0" w:color="000000"/>
              <w:left w:val="single" w:sz="0" w:space="0" w:color="000000"/>
              <w:bottom w:val="single" w:sz="4" w:space="0" w:color="000000"/>
              <w:right w:val="single" w:sz="4" w:space="0" w:color="auto"/>
            </w:tcBorders>
            <w:shd w:val="clear" w:color="000000" w:fill="FFFFFF"/>
            <w:tcMar>
              <w:left w:w="0" w:type="dxa"/>
              <w:right w:w="0" w:type="dxa"/>
            </w:tcMar>
          </w:tcPr>
          <w:p w:rsidR="00321347" w:rsidRPr="00ED7F0F" w:rsidRDefault="007426F9" w:rsidP="00122C9F">
            <w:pPr>
              <w:spacing w:before="47" w:line="240" w:lineRule="auto"/>
              <w:ind w:left="1316"/>
              <w:rPr>
                <w:sz w:val="20"/>
              </w:rPr>
            </w:pPr>
            <w:r w:rsidRPr="00ED7F0F">
              <w:rPr>
                <w:spacing w:val="-1"/>
                <w:sz w:val="20"/>
              </w:rPr>
              <w:t>Čas do</w:t>
            </w:r>
            <w:r w:rsidR="00321347" w:rsidRPr="00ED7F0F">
              <w:rPr>
                <w:sz w:val="20"/>
              </w:rPr>
              <w:t xml:space="preserve"> </w:t>
            </w:r>
            <w:r w:rsidR="00321347" w:rsidRPr="00ED7F0F">
              <w:rPr>
                <w:spacing w:val="-1"/>
                <w:sz w:val="20"/>
              </w:rPr>
              <w:t>cCCyR</w:t>
            </w:r>
          </w:p>
        </w:tc>
        <w:tc>
          <w:tcPr>
            <w:tcW w:w="4394" w:type="dxa"/>
            <w:gridSpan w:val="3"/>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321347" w:rsidRPr="00ED7F0F" w:rsidRDefault="00321347" w:rsidP="00122C9F">
            <w:pPr>
              <w:spacing w:before="47" w:line="240" w:lineRule="auto"/>
              <w:ind w:left="1634"/>
              <w:rPr>
                <w:sz w:val="20"/>
              </w:rPr>
            </w:pPr>
            <w:r w:rsidRPr="00ED7F0F">
              <w:rPr>
                <w:spacing w:val="-1"/>
                <w:sz w:val="20"/>
              </w:rPr>
              <w:t>1</w:t>
            </w:r>
            <w:r w:rsidR="007426F9" w:rsidRPr="00ED7F0F">
              <w:rPr>
                <w:spacing w:val="-1"/>
                <w:sz w:val="20"/>
              </w:rPr>
              <w:t>,</w:t>
            </w:r>
            <w:r w:rsidRPr="00ED7F0F">
              <w:rPr>
                <w:spacing w:val="-1"/>
                <w:sz w:val="20"/>
              </w:rPr>
              <w:t>55 (1</w:t>
            </w:r>
            <w:r w:rsidR="007426F9" w:rsidRPr="00ED7F0F">
              <w:rPr>
                <w:spacing w:val="-1"/>
                <w:sz w:val="20"/>
              </w:rPr>
              <w:t>,</w:t>
            </w:r>
            <w:r w:rsidRPr="00ED7F0F">
              <w:rPr>
                <w:spacing w:val="-1"/>
                <w:sz w:val="20"/>
              </w:rPr>
              <w:t>0-2,3)</w:t>
            </w:r>
          </w:p>
        </w:tc>
        <w:tc>
          <w:tcPr>
            <w:tcW w:w="1417" w:type="dxa"/>
            <w:tcBorders>
              <w:top w:val="single" w:sz="0" w:space="0" w:color="000000"/>
              <w:left w:val="single" w:sz="4" w:space="0" w:color="auto"/>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before="47" w:line="240" w:lineRule="auto"/>
              <w:ind w:left="227"/>
              <w:rPr>
                <w:sz w:val="20"/>
              </w:rPr>
            </w:pPr>
            <w:r w:rsidRPr="00ED7F0F">
              <w:rPr>
                <w:sz w:val="20"/>
              </w:rPr>
              <w:t>p&lt;</w:t>
            </w:r>
            <w:r w:rsidRPr="00ED7F0F">
              <w:rPr>
                <w:spacing w:val="-1"/>
                <w:sz w:val="20"/>
              </w:rPr>
              <w:t xml:space="preserve"> 0</w:t>
            </w:r>
            <w:r w:rsidR="007426F9" w:rsidRPr="00ED7F0F">
              <w:rPr>
                <w:spacing w:val="-1"/>
                <w:sz w:val="20"/>
              </w:rPr>
              <w:t>,</w:t>
            </w:r>
            <w:r w:rsidRPr="00ED7F0F">
              <w:rPr>
                <w:spacing w:val="-1"/>
                <w:sz w:val="20"/>
              </w:rPr>
              <w:t>0001*</w:t>
            </w:r>
          </w:p>
        </w:tc>
      </w:tr>
      <w:tr w:rsidR="00321347" w:rsidRPr="00ED7F0F" w:rsidTr="009A0932">
        <w:tc>
          <w:tcPr>
            <w:tcW w:w="3153" w:type="dxa"/>
            <w:tcBorders>
              <w:top w:val="single" w:sz="0" w:space="0" w:color="000000"/>
              <w:left w:val="single" w:sz="0" w:space="0" w:color="000000"/>
              <w:bottom w:val="single" w:sz="4" w:space="0" w:color="000000"/>
              <w:right w:val="single" w:sz="4" w:space="0" w:color="auto"/>
            </w:tcBorders>
            <w:shd w:val="clear" w:color="000000" w:fill="FFFFFF"/>
            <w:tcMar>
              <w:left w:w="0" w:type="dxa"/>
              <w:right w:w="0" w:type="dxa"/>
            </w:tcMar>
          </w:tcPr>
          <w:p w:rsidR="00321347" w:rsidRPr="00ED7F0F" w:rsidRDefault="007426F9" w:rsidP="00122C9F">
            <w:pPr>
              <w:spacing w:before="49" w:line="240" w:lineRule="auto"/>
              <w:ind w:left="1366"/>
              <w:rPr>
                <w:sz w:val="20"/>
              </w:rPr>
            </w:pPr>
            <w:r w:rsidRPr="00ED7F0F">
              <w:rPr>
                <w:spacing w:val="-1"/>
                <w:sz w:val="20"/>
              </w:rPr>
              <w:t>Čas do</w:t>
            </w:r>
            <w:r w:rsidR="00321347" w:rsidRPr="00ED7F0F">
              <w:rPr>
                <w:sz w:val="20"/>
              </w:rPr>
              <w:t xml:space="preserve"> </w:t>
            </w:r>
            <w:r w:rsidR="00321347" w:rsidRPr="00ED7F0F">
              <w:rPr>
                <w:spacing w:val="-1"/>
                <w:sz w:val="20"/>
              </w:rPr>
              <w:t>MMR</w:t>
            </w:r>
          </w:p>
        </w:tc>
        <w:tc>
          <w:tcPr>
            <w:tcW w:w="4394" w:type="dxa"/>
            <w:gridSpan w:val="3"/>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321347" w:rsidRPr="00ED7F0F" w:rsidRDefault="00321347" w:rsidP="00122C9F">
            <w:pPr>
              <w:spacing w:before="49" w:line="240" w:lineRule="auto"/>
              <w:ind w:left="1634"/>
              <w:rPr>
                <w:sz w:val="20"/>
              </w:rPr>
            </w:pPr>
            <w:r w:rsidRPr="00ED7F0F">
              <w:rPr>
                <w:spacing w:val="-1"/>
                <w:sz w:val="20"/>
              </w:rPr>
              <w:t>2</w:t>
            </w:r>
            <w:r w:rsidR="007426F9" w:rsidRPr="00ED7F0F">
              <w:rPr>
                <w:spacing w:val="-1"/>
                <w:sz w:val="20"/>
              </w:rPr>
              <w:t>,</w:t>
            </w:r>
            <w:r w:rsidRPr="00ED7F0F">
              <w:rPr>
                <w:spacing w:val="-1"/>
                <w:sz w:val="20"/>
              </w:rPr>
              <w:t>01 (1</w:t>
            </w:r>
            <w:r w:rsidR="007426F9" w:rsidRPr="00ED7F0F">
              <w:rPr>
                <w:spacing w:val="-1"/>
                <w:sz w:val="20"/>
              </w:rPr>
              <w:t>,</w:t>
            </w:r>
            <w:r w:rsidRPr="00ED7F0F">
              <w:rPr>
                <w:spacing w:val="-1"/>
                <w:sz w:val="20"/>
              </w:rPr>
              <w:t>2-3,4)</w:t>
            </w:r>
          </w:p>
        </w:tc>
        <w:tc>
          <w:tcPr>
            <w:tcW w:w="1417" w:type="dxa"/>
            <w:tcBorders>
              <w:top w:val="single" w:sz="0" w:space="0" w:color="000000"/>
              <w:left w:val="single" w:sz="4" w:space="0" w:color="auto"/>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before="49" w:line="240" w:lineRule="auto"/>
              <w:ind w:left="226"/>
              <w:rPr>
                <w:sz w:val="20"/>
              </w:rPr>
            </w:pPr>
            <w:r w:rsidRPr="00ED7F0F">
              <w:rPr>
                <w:sz w:val="20"/>
              </w:rPr>
              <w:t>p&lt;</w:t>
            </w:r>
            <w:r w:rsidRPr="00ED7F0F">
              <w:rPr>
                <w:spacing w:val="-1"/>
                <w:sz w:val="20"/>
              </w:rPr>
              <w:t xml:space="preserve"> 0</w:t>
            </w:r>
            <w:r w:rsidR="007426F9" w:rsidRPr="00ED7F0F">
              <w:rPr>
                <w:spacing w:val="-1"/>
                <w:sz w:val="20"/>
              </w:rPr>
              <w:t>,</w:t>
            </w:r>
            <w:r w:rsidRPr="00ED7F0F">
              <w:rPr>
                <w:spacing w:val="-1"/>
                <w:sz w:val="20"/>
              </w:rPr>
              <w:t>0001*</w:t>
            </w:r>
          </w:p>
        </w:tc>
      </w:tr>
      <w:tr w:rsidR="00321347" w:rsidRPr="00ED7F0F" w:rsidTr="009A0932">
        <w:tc>
          <w:tcPr>
            <w:tcW w:w="3153" w:type="dxa"/>
            <w:tcBorders>
              <w:top w:val="single" w:sz="0" w:space="0" w:color="000000"/>
              <w:left w:val="single" w:sz="0" w:space="0" w:color="000000"/>
              <w:bottom w:val="single" w:sz="4" w:space="0" w:color="000000"/>
              <w:right w:val="single" w:sz="4" w:space="0" w:color="auto"/>
            </w:tcBorders>
            <w:shd w:val="clear" w:color="000000" w:fill="FFFFFF"/>
            <w:tcMar>
              <w:left w:w="0" w:type="dxa"/>
              <w:right w:w="0" w:type="dxa"/>
            </w:tcMar>
          </w:tcPr>
          <w:p w:rsidR="00321347" w:rsidRPr="00ED7F0F" w:rsidRDefault="007426F9" w:rsidP="00122C9F">
            <w:pPr>
              <w:spacing w:before="49" w:line="240" w:lineRule="auto"/>
              <w:ind w:left="1119"/>
              <w:rPr>
                <w:sz w:val="20"/>
              </w:rPr>
            </w:pPr>
            <w:r w:rsidRPr="00ED7F0F">
              <w:rPr>
                <w:spacing w:val="-1"/>
                <w:sz w:val="20"/>
              </w:rPr>
              <w:t>Trvania</w:t>
            </w:r>
            <w:r w:rsidR="00321347" w:rsidRPr="00ED7F0F">
              <w:rPr>
                <w:sz w:val="20"/>
              </w:rPr>
              <w:t xml:space="preserve"> </w:t>
            </w:r>
            <w:r w:rsidR="00321347" w:rsidRPr="00ED7F0F">
              <w:rPr>
                <w:spacing w:val="-1"/>
                <w:sz w:val="20"/>
              </w:rPr>
              <w:t>cCCyR</w:t>
            </w:r>
          </w:p>
        </w:tc>
        <w:tc>
          <w:tcPr>
            <w:tcW w:w="4394" w:type="dxa"/>
            <w:gridSpan w:val="3"/>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321347" w:rsidRPr="00ED7F0F" w:rsidRDefault="00321347" w:rsidP="00122C9F">
            <w:pPr>
              <w:spacing w:before="49" w:line="240" w:lineRule="auto"/>
              <w:ind w:left="312"/>
              <w:jc w:val="center"/>
              <w:rPr>
                <w:sz w:val="20"/>
              </w:rPr>
            </w:pPr>
            <w:r w:rsidRPr="00ED7F0F">
              <w:rPr>
                <w:spacing w:val="-1"/>
                <w:sz w:val="20"/>
              </w:rPr>
              <w:t>0</w:t>
            </w:r>
            <w:r w:rsidR="007426F9" w:rsidRPr="00ED7F0F">
              <w:rPr>
                <w:spacing w:val="-1"/>
                <w:sz w:val="20"/>
              </w:rPr>
              <w:t>,</w:t>
            </w:r>
            <w:r w:rsidRPr="00ED7F0F">
              <w:rPr>
                <w:spacing w:val="-1"/>
                <w:sz w:val="20"/>
              </w:rPr>
              <w:t>7 (0</w:t>
            </w:r>
            <w:r w:rsidR="007426F9" w:rsidRPr="00ED7F0F">
              <w:rPr>
                <w:spacing w:val="-1"/>
                <w:sz w:val="20"/>
              </w:rPr>
              <w:t>,</w:t>
            </w:r>
            <w:r w:rsidRPr="00ED7F0F">
              <w:rPr>
                <w:spacing w:val="-1"/>
                <w:sz w:val="20"/>
              </w:rPr>
              <w:t>4-1</w:t>
            </w:r>
            <w:r w:rsidR="007426F9" w:rsidRPr="00ED7F0F">
              <w:rPr>
                <w:spacing w:val="-1"/>
                <w:sz w:val="20"/>
              </w:rPr>
              <w:t>,</w:t>
            </w:r>
            <w:r w:rsidRPr="00ED7F0F">
              <w:rPr>
                <w:spacing w:val="-1"/>
                <w:sz w:val="20"/>
              </w:rPr>
              <w:t>4)</w:t>
            </w:r>
          </w:p>
        </w:tc>
        <w:tc>
          <w:tcPr>
            <w:tcW w:w="1417" w:type="dxa"/>
            <w:tcBorders>
              <w:top w:val="single" w:sz="0" w:space="0" w:color="000000"/>
              <w:left w:val="single" w:sz="4" w:space="0" w:color="auto"/>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before="49" w:line="240" w:lineRule="auto"/>
              <w:ind w:left="325"/>
              <w:rPr>
                <w:sz w:val="20"/>
              </w:rPr>
            </w:pPr>
            <w:r w:rsidRPr="00ED7F0F">
              <w:rPr>
                <w:sz w:val="20"/>
              </w:rPr>
              <w:t>p&lt;</w:t>
            </w:r>
            <w:r w:rsidRPr="00ED7F0F">
              <w:rPr>
                <w:spacing w:val="-1"/>
                <w:sz w:val="20"/>
              </w:rPr>
              <w:t xml:space="preserve"> 0</w:t>
            </w:r>
            <w:r w:rsidR="007426F9" w:rsidRPr="00ED7F0F">
              <w:rPr>
                <w:spacing w:val="-1"/>
                <w:sz w:val="20"/>
              </w:rPr>
              <w:t>,</w:t>
            </w:r>
            <w:r w:rsidRPr="00ED7F0F">
              <w:rPr>
                <w:spacing w:val="-1"/>
                <w:sz w:val="20"/>
              </w:rPr>
              <w:t>035</w:t>
            </w:r>
          </w:p>
        </w:tc>
      </w:tr>
      <w:tr w:rsidR="00321347" w:rsidRPr="00ED7F0F" w:rsidTr="009A0932">
        <w:tc>
          <w:tcPr>
            <w:tcW w:w="3153" w:type="dxa"/>
            <w:tcBorders>
              <w:top w:val="single" w:sz="0" w:space="0" w:color="000000"/>
              <w:left w:val="single" w:sz="0" w:space="0" w:color="000000"/>
              <w:bottom w:val="single" w:sz="4" w:space="0" w:color="000000"/>
              <w:right w:val="single" w:sz="4" w:space="0" w:color="auto"/>
            </w:tcBorders>
            <w:shd w:val="clear" w:color="000000" w:fill="FFFFFF"/>
            <w:tcMar>
              <w:left w:w="0" w:type="dxa"/>
              <w:right w:w="0" w:type="dxa"/>
            </w:tcMar>
          </w:tcPr>
          <w:p w:rsidR="00321347" w:rsidRPr="00ED7F0F" w:rsidRDefault="00321347" w:rsidP="00122C9F">
            <w:pPr>
              <w:spacing w:line="260" w:lineRule="auto"/>
              <w:jc w:val="both"/>
              <w:rPr>
                <w:rFonts w:eastAsia="Calibri"/>
                <w:sz w:val="20"/>
              </w:rPr>
            </w:pPr>
          </w:p>
        </w:tc>
        <w:tc>
          <w:tcPr>
            <w:tcW w:w="4394" w:type="dxa"/>
            <w:gridSpan w:val="3"/>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321347" w:rsidRPr="00ED7F0F" w:rsidRDefault="007426F9" w:rsidP="00122C9F">
            <w:pPr>
              <w:spacing w:before="50" w:line="240" w:lineRule="auto"/>
              <w:ind w:left="1016"/>
              <w:rPr>
                <w:sz w:val="20"/>
              </w:rPr>
            </w:pPr>
            <w:r w:rsidRPr="00ED7F0F">
              <w:rPr>
                <w:b/>
                <w:spacing w:val="-1"/>
                <w:sz w:val="20"/>
              </w:rPr>
              <w:t>počas 24 mesiacov</w:t>
            </w:r>
            <w:r w:rsidR="00321347" w:rsidRPr="00ED7F0F">
              <w:rPr>
                <w:b/>
                <w:spacing w:val="-1"/>
                <w:sz w:val="20"/>
              </w:rPr>
              <w:t xml:space="preserve"> </w:t>
            </w:r>
            <w:r w:rsidR="00321347" w:rsidRPr="00ED7F0F">
              <w:rPr>
                <w:b/>
                <w:sz w:val="20"/>
              </w:rPr>
              <w:t>(95%</w:t>
            </w:r>
            <w:r w:rsidR="00321347" w:rsidRPr="00ED7F0F">
              <w:rPr>
                <w:b/>
                <w:spacing w:val="-4"/>
                <w:sz w:val="20"/>
              </w:rPr>
              <w:t xml:space="preserve"> </w:t>
            </w:r>
            <w:r w:rsidR="00321347" w:rsidRPr="00ED7F0F">
              <w:rPr>
                <w:b/>
                <w:sz w:val="20"/>
              </w:rPr>
              <w:t>CI)</w:t>
            </w:r>
          </w:p>
        </w:tc>
        <w:tc>
          <w:tcPr>
            <w:tcW w:w="1417" w:type="dxa"/>
            <w:tcBorders>
              <w:top w:val="single" w:sz="0" w:space="0" w:color="000000"/>
              <w:left w:val="single" w:sz="4" w:space="0" w:color="auto"/>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line="260" w:lineRule="auto"/>
              <w:jc w:val="both"/>
              <w:rPr>
                <w:rFonts w:eastAsia="Calibri"/>
                <w:sz w:val="20"/>
              </w:rPr>
            </w:pPr>
          </w:p>
        </w:tc>
      </w:tr>
      <w:tr w:rsidR="00321347" w:rsidRPr="00ED7F0F" w:rsidTr="009A0932">
        <w:tc>
          <w:tcPr>
            <w:tcW w:w="3153" w:type="dxa"/>
            <w:tcBorders>
              <w:top w:val="single" w:sz="0" w:space="0" w:color="000000"/>
              <w:left w:val="single" w:sz="0" w:space="0" w:color="000000"/>
              <w:bottom w:val="single" w:sz="4" w:space="0" w:color="000000"/>
              <w:right w:val="single" w:sz="4" w:space="0" w:color="auto"/>
            </w:tcBorders>
            <w:shd w:val="clear" w:color="000000" w:fill="FFFFFF"/>
            <w:tcMar>
              <w:left w:w="0" w:type="dxa"/>
              <w:right w:w="0" w:type="dxa"/>
            </w:tcMar>
          </w:tcPr>
          <w:p w:rsidR="00321347" w:rsidRPr="00ED7F0F" w:rsidRDefault="007426F9" w:rsidP="00122C9F">
            <w:pPr>
              <w:spacing w:before="48" w:line="240" w:lineRule="auto"/>
              <w:ind w:left="1316"/>
              <w:rPr>
                <w:sz w:val="20"/>
              </w:rPr>
            </w:pPr>
            <w:r w:rsidRPr="00ED7F0F">
              <w:rPr>
                <w:spacing w:val="-1"/>
                <w:sz w:val="20"/>
              </w:rPr>
              <w:t>Čas do</w:t>
            </w:r>
            <w:r w:rsidR="00321347" w:rsidRPr="00ED7F0F">
              <w:rPr>
                <w:sz w:val="20"/>
              </w:rPr>
              <w:t xml:space="preserve"> </w:t>
            </w:r>
            <w:r w:rsidR="00321347" w:rsidRPr="00ED7F0F">
              <w:rPr>
                <w:spacing w:val="-1"/>
                <w:sz w:val="20"/>
              </w:rPr>
              <w:t>cCCyR</w:t>
            </w:r>
          </w:p>
        </w:tc>
        <w:tc>
          <w:tcPr>
            <w:tcW w:w="4394" w:type="dxa"/>
            <w:gridSpan w:val="3"/>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321347" w:rsidRPr="00ED7F0F" w:rsidRDefault="00321347" w:rsidP="00122C9F">
            <w:pPr>
              <w:spacing w:before="48" w:line="240" w:lineRule="auto"/>
              <w:ind w:left="1534"/>
              <w:rPr>
                <w:sz w:val="20"/>
              </w:rPr>
            </w:pPr>
            <w:r w:rsidRPr="00ED7F0F">
              <w:rPr>
                <w:spacing w:val="-1"/>
                <w:sz w:val="20"/>
              </w:rPr>
              <w:t>1</w:t>
            </w:r>
            <w:r w:rsidR="007426F9" w:rsidRPr="00ED7F0F">
              <w:rPr>
                <w:spacing w:val="-1"/>
                <w:sz w:val="20"/>
              </w:rPr>
              <w:t>,</w:t>
            </w:r>
            <w:r w:rsidRPr="00ED7F0F">
              <w:rPr>
                <w:spacing w:val="-1"/>
                <w:sz w:val="20"/>
              </w:rPr>
              <w:t>49 (1</w:t>
            </w:r>
            <w:r w:rsidR="007426F9" w:rsidRPr="00ED7F0F">
              <w:rPr>
                <w:spacing w:val="-1"/>
                <w:sz w:val="20"/>
              </w:rPr>
              <w:t>,</w:t>
            </w:r>
            <w:r w:rsidRPr="00ED7F0F">
              <w:rPr>
                <w:spacing w:val="-1"/>
                <w:sz w:val="20"/>
              </w:rPr>
              <w:t>22-1</w:t>
            </w:r>
            <w:r w:rsidR="007426F9" w:rsidRPr="00ED7F0F">
              <w:rPr>
                <w:spacing w:val="-1"/>
                <w:sz w:val="20"/>
              </w:rPr>
              <w:t>,</w:t>
            </w:r>
            <w:r w:rsidRPr="00ED7F0F">
              <w:rPr>
                <w:spacing w:val="-1"/>
                <w:sz w:val="20"/>
              </w:rPr>
              <w:t>82)</w:t>
            </w:r>
          </w:p>
        </w:tc>
        <w:tc>
          <w:tcPr>
            <w:tcW w:w="1417" w:type="dxa"/>
            <w:tcBorders>
              <w:top w:val="single" w:sz="0" w:space="0" w:color="000000"/>
              <w:left w:val="single" w:sz="4" w:space="0" w:color="auto"/>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before="52" w:line="240" w:lineRule="auto"/>
              <w:ind w:left="17"/>
              <w:jc w:val="center"/>
              <w:rPr>
                <w:sz w:val="20"/>
              </w:rPr>
            </w:pPr>
            <w:r w:rsidRPr="00ED7F0F">
              <w:rPr>
                <w:rFonts w:ascii="Cambria Math" w:eastAsia="Cambria Math" w:hAnsi="Cambria Math" w:cs="Cambria Math"/>
                <w:sz w:val="20"/>
              </w:rPr>
              <w:t>⎯</w:t>
            </w:r>
          </w:p>
        </w:tc>
      </w:tr>
      <w:tr w:rsidR="00321347" w:rsidRPr="00ED7F0F" w:rsidTr="009A0932">
        <w:tc>
          <w:tcPr>
            <w:tcW w:w="3153" w:type="dxa"/>
            <w:tcBorders>
              <w:top w:val="single" w:sz="0" w:space="0" w:color="000000"/>
              <w:left w:val="single" w:sz="0" w:space="0" w:color="000000"/>
              <w:bottom w:val="single" w:sz="4" w:space="0" w:color="000000"/>
              <w:right w:val="single" w:sz="4" w:space="0" w:color="auto"/>
            </w:tcBorders>
            <w:shd w:val="clear" w:color="000000" w:fill="FFFFFF"/>
            <w:tcMar>
              <w:left w:w="0" w:type="dxa"/>
              <w:right w:w="0" w:type="dxa"/>
            </w:tcMar>
          </w:tcPr>
          <w:p w:rsidR="00321347" w:rsidRPr="00ED7F0F" w:rsidRDefault="007426F9" w:rsidP="00122C9F">
            <w:pPr>
              <w:spacing w:before="44" w:line="240" w:lineRule="auto"/>
              <w:ind w:left="1366"/>
              <w:rPr>
                <w:sz w:val="20"/>
              </w:rPr>
            </w:pPr>
            <w:r w:rsidRPr="00ED7F0F">
              <w:rPr>
                <w:spacing w:val="-1"/>
                <w:sz w:val="20"/>
              </w:rPr>
              <w:t>Čas do</w:t>
            </w:r>
            <w:r w:rsidR="00321347" w:rsidRPr="00ED7F0F">
              <w:rPr>
                <w:sz w:val="20"/>
              </w:rPr>
              <w:t xml:space="preserve"> </w:t>
            </w:r>
            <w:r w:rsidR="00321347" w:rsidRPr="00ED7F0F">
              <w:rPr>
                <w:spacing w:val="-1"/>
                <w:sz w:val="20"/>
              </w:rPr>
              <w:t>MMR</w:t>
            </w:r>
          </w:p>
        </w:tc>
        <w:tc>
          <w:tcPr>
            <w:tcW w:w="4394" w:type="dxa"/>
            <w:gridSpan w:val="3"/>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321347" w:rsidRPr="00ED7F0F" w:rsidRDefault="00321347" w:rsidP="00122C9F">
            <w:pPr>
              <w:spacing w:before="44" w:line="240" w:lineRule="auto"/>
              <w:ind w:left="1533"/>
              <w:rPr>
                <w:sz w:val="20"/>
              </w:rPr>
            </w:pPr>
            <w:r w:rsidRPr="00ED7F0F">
              <w:rPr>
                <w:spacing w:val="-1"/>
                <w:sz w:val="20"/>
              </w:rPr>
              <w:t>1</w:t>
            </w:r>
            <w:r w:rsidR="007426F9" w:rsidRPr="00ED7F0F">
              <w:rPr>
                <w:spacing w:val="-1"/>
                <w:sz w:val="20"/>
              </w:rPr>
              <w:t>,</w:t>
            </w:r>
            <w:r w:rsidRPr="00ED7F0F">
              <w:rPr>
                <w:spacing w:val="-1"/>
                <w:sz w:val="20"/>
              </w:rPr>
              <w:t>69 (1</w:t>
            </w:r>
            <w:r w:rsidR="007426F9" w:rsidRPr="00ED7F0F">
              <w:rPr>
                <w:spacing w:val="-1"/>
                <w:sz w:val="20"/>
              </w:rPr>
              <w:t>,</w:t>
            </w:r>
            <w:r w:rsidRPr="00ED7F0F">
              <w:rPr>
                <w:spacing w:val="-1"/>
                <w:sz w:val="20"/>
              </w:rPr>
              <w:t>34-2</w:t>
            </w:r>
            <w:r w:rsidR="007426F9" w:rsidRPr="00ED7F0F">
              <w:rPr>
                <w:spacing w:val="-1"/>
                <w:sz w:val="20"/>
              </w:rPr>
              <w:t>,</w:t>
            </w:r>
            <w:r w:rsidRPr="00ED7F0F">
              <w:rPr>
                <w:spacing w:val="-1"/>
                <w:sz w:val="20"/>
              </w:rPr>
              <w:t>12)</w:t>
            </w:r>
          </w:p>
        </w:tc>
        <w:tc>
          <w:tcPr>
            <w:tcW w:w="1417" w:type="dxa"/>
            <w:tcBorders>
              <w:top w:val="single" w:sz="0" w:space="0" w:color="000000"/>
              <w:left w:val="single" w:sz="4" w:space="0" w:color="auto"/>
              <w:bottom w:val="single" w:sz="4" w:space="0" w:color="000000"/>
              <w:right w:val="single" w:sz="0" w:space="0" w:color="000000"/>
            </w:tcBorders>
            <w:shd w:val="clear" w:color="000000" w:fill="FFFFFF"/>
            <w:tcMar>
              <w:left w:w="0" w:type="dxa"/>
              <w:right w:w="0" w:type="dxa"/>
            </w:tcMar>
          </w:tcPr>
          <w:p w:rsidR="00321347" w:rsidRPr="00ED7F0F" w:rsidRDefault="00321347" w:rsidP="00122C9F">
            <w:pPr>
              <w:spacing w:before="48" w:line="240" w:lineRule="auto"/>
              <w:ind w:left="17"/>
              <w:jc w:val="center"/>
              <w:rPr>
                <w:sz w:val="20"/>
              </w:rPr>
            </w:pPr>
            <w:r w:rsidRPr="00ED7F0F">
              <w:rPr>
                <w:rFonts w:ascii="Cambria Math" w:eastAsia="Cambria Math" w:hAnsi="Cambria Math" w:cs="Cambria Math"/>
                <w:sz w:val="20"/>
              </w:rPr>
              <w:t>⎯</w:t>
            </w:r>
          </w:p>
        </w:tc>
      </w:tr>
      <w:tr w:rsidR="00321347" w:rsidRPr="00ED7F0F" w:rsidTr="009A0932">
        <w:tc>
          <w:tcPr>
            <w:tcW w:w="3153" w:type="dxa"/>
            <w:tcBorders>
              <w:top w:val="single" w:sz="0" w:space="0" w:color="000000"/>
              <w:left w:val="single" w:sz="0" w:space="0" w:color="000000"/>
              <w:bottom w:val="single" w:sz="4" w:space="0" w:color="auto"/>
              <w:right w:val="single" w:sz="4" w:space="0" w:color="auto"/>
            </w:tcBorders>
            <w:shd w:val="clear" w:color="000000" w:fill="FFFFFF"/>
            <w:tcMar>
              <w:left w:w="0" w:type="dxa"/>
              <w:right w:w="0" w:type="dxa"/>
            </w:tcMar>
          </w:tcPr>
          <w:p w:rsidR="00321347" w:rsidRPr="00ED7F0F" w:rsidRDefault="007426F9" w:rsidP="00122C9F">
            <w:pPr>
              <w:spacing w:before="44" w:line="240" w:lineRule="auto"/>
              <w:ind w:left="1119"/>
              <w:rPr>
                <w:sz w:val="20"/>
              </w:rPr>
            </w:pPr>
            <w:r w:rsidRPr="00ED7F0F">
              <w:rPr>
                <w:spacing w:val="-1"/>
                <w:sz w:val="20"/>
              </w:rPr>
              <w:t>Trvania</w:t>
            </w:r>
            <w:r w:rsidR="00321347" w:rsidRPr="00ED7F0F">
              <w:rPr>
                <w:sz w:val="20"/>
              </w:rPr>
              <w:t xml:space="preserve"> </w:t>
            </w:r>
            <w:r w:rsidR="00321347" w:rsidRPr="00ED7F0F">
              <w:rPr>
                <w:spacing w:val="-1"/>
                <w:sz w:val="20"/>
              </w:rPr>
              <w:t>cCCyR</w:t>
            </w:r>
          </w:p>
        </w:tc>
        <w:tc>
          <w:tcPr>
            <w:tcW w:w="4394" w:type="dxa"/>
            <w:gridSpan w:val="3"/>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321347" w:rsidRPr="00ED7F0F" w:rsidRDefault="00321347" w:rsidP="00122C9F">
            <w:pPr>
              <w:spacing w:before="44" w:line="240" w:lineRule="auto"/>
              <w:ind w:left="314"/>
              <w:jc w:val="center"/>
              <w:rPr>
                <w:spacing w:val="-1"/>
                <w:sz w:val="20"/>
              </w:rPr>
            </w:pPr>
            <w:r w:rsidRPr="00ED7F0F">
              <w:rPr>
                <w:spacing w:val="-1"/>
                <w:sz w:val="20"/>
              </w:rPr>
              <w:t>0</w:t>
            </w:r>
            <w:r w:rsidR="007426F9" w:rsidRPr="00ED7F0F">
              <w:rPr>
                <w:spacing w:val="-1"/>
                <w:sz w:val="20"/>
              </w:rPr>
              <w:t>,</w:t>
            </w:r>
            <w:r w:rsidRPr="00ED7F0F">
              <w:rPr>
                <w:spacing w:val="-1"/>
                <w:sz w:val="20"/>
              </w:rPr>
              <w:t>77 (0</w:t>
            </w:r>
            <w:r w:rsidR="007426F9" w:rsidRPr="00ED7F0F">
              <w:rPr>
                <w:spacing w:val="-1"/>
                <w:sz w:val="20"/>
              </w:rPr>
              <w:t>,</w:t>
            </w:r>
            <w:r w:rsidRPr="00ED7F0F">
              <w:rPr>
                <w:spacing w:val="-1"/>
                <w:sz w:val="20"/>
              </w:rPr>
              <w:t>55-1</w:t>
            </w:r>
            <w:r w:rsidR="007426F9" w:rsidRPr="00ED7F0F">
              <w:rPr>
                <w:spacing w:val="-1"/>
                <w:sz w:val="20"/>
              </w:rPr>
              <w:t>,</w:t>
            </w:r>
            <w:r w:rsidRPr="00ED7F0F">
              <w:rPr>
                <w:spacing w:val="-1"/>
                <w:sz w:val="20"/>
              </w:rPr>
              <w:t>10)</w:t>
            </w:r>
          </w:p>
          <w:p w:rsidR="00321347" w:rsidRPr="00ED7F0F" w:rsidRDefault="007426F9" w:rsidP="00122C9F">
            <w:pPr>
              <w:spacing w:before="138" w:line="240" w:lineRule="auto"/>
              <w:ind w:left="312"/>
              <w:jc w:val="center"/>
              <w:rPr>
                <w:sz w:val="20"/>
              </w:rPr>
            </w:pPr>
            <w:r w:rsidRPr="00ED7F0F">
              <w:rPr>
                <w:b/>
                <w:spacing w:val="-1"/>
                <w:sz w:val="20"/>
              </w:rPr>
              <w:t>počas</w:t>
            </w:r>
            <w:r w:rsidR="00321347" w:rsidRPr="00ED7F0F">
              <w:rPr>
                <w:b/>
                <w:sz w:val="20"/>
              </w:rPr>
              <w:t xml:space="preserve"> </w:t>
            </w:r>
            <w:r w:rsidR="00321347" w:rsidRPr="00ED7F0F">
              <w:rPr>
                <w:b/>
                <w:spacing w:val="-1"/>
                <w:sz w:val="20"/>
              </w:rPr>
              <w:t>36</w:t>
            </w:r>
            <w:r w:rsidR="00321347" w:rsidRPr="00ED7F0F">
              <w:rPr>
                <w:b/>
                <w:spacing w:val="1"/>
                <w:sz w:val="20"/>
              </w:rPr>
              <w:t xml:space="preserve"> </w:t>
            </w:r>
            <w:r w:rsidRPr="00ED7F0F">
              <w:rPr>
                <w:b/>
                <w:spacing w:val="1"/>
                <w:sz w:val="20"/>
              </w:rPr>
              <w:t>mesiacov</w:t>
            </w:r>
            <w:r w:rsidR="00321347" w:rsidRPr="00ED7F0F">
              <w:rPr>
                <w:b/>
                <w:spacing w:val="-1"/>
                <w:sz w:val="20"/>
              </w:rPr>
              <w:t xml:space="preserve"> </w:t>
            </w:r>
            <w:r w:rsidR="00321347" w:rsidRPr="00ED7F0F">
              <w:rPr>
                <w:b/>
                <w:sz w:val="20"/>
              </w:rPr>
              <w:t>(95%</w:t>
            </w:r>
            <w:r w:rsidR="00321347" w:rsidRPr="00ED7F0F">
              <w:rPr>
                <w:b/>
                <w:spacing w:val="-4"/>
                <w:sz w:val="20"/>
              </w:rPr>
              <w:t xml:space="preserve"> </w:t>
            </w:r>
            <w:r w:rsidR="00321347" w:rsidRPr="00ED7F0F">
              <w:rPr>
                <w:b/>
                <w:sz w:val="20"/>
              </w:rPr>
              <w:t>CI)</w:t>
            </w:r>
          </w:p>
        </w:tc>
        <w:tc>
          <w:tcPr>
            <w:tcW w:w="1417" w:type="dxa"/>
            <w:tcBorders>
              <w:top w:val="single" w:sz="0" w:space="0" w:color="000000"/>
              <w:left w:val="single" w:sz="4" w:space="0" w:color="auto"/>
              <w:bottom w:val="single" w:sz="4" w:space="0" w:color="auto"/>
              <w:right w:val="single" w:sz="0" w:space="0" w:color="000000"/>
            </w:tcBorders>
            <w:shd w:val="clear" w:color="000000" w:fill="FFFFFF"/>
            <w:tcMar>
              <w:left w:w="0" w:type="dxa"/>
              <w:right w:w="0" w:type="dxa"/>
            </w:tcMar>
          </w:tcPr>
          <w:p w:rsidR="00321347" w:rsidRPr="00ED7F0F" w:rsidRDefault="00321347" w:rsidP="00122C9F">
            <w:pPr>
              <w:spacing w:before="48" w:line="240" w:lineRule="auto"/>
              <w:ind w:left="17"/>
              <w:jc w:val="center"/>
              <w:rPr>
                <w:sz w:val="20"/>
              </w:rPr>
            </w:pPr>
            <w:r w:rsidRPr="00ED7F0F">
              <w:rPr>
                <w:rFonts w:ascii="Cambria Math" w:eastAsia="Cambria Math" w:hAnsi="Cambria Math" w:cs="Cambria Math"/>
                <w:sz w:val="20"/>
              </w:rPr>
              <w:t>⎯</w:t>
            </w:r>
          </w:p>
        </w:tc>
      </w:tr>
      <w:tr w:rsidR="00321347" w:rsidRPr="00ED7F0F" w:rsidTr="009A0932">
        <w:tc>
          <w:tcPr>
            <w:tcW w:w="3153"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321347" w:rsidRPr="00ED7F0F" w:rsidRDefault="007426F9" w:rsidP="00122C9F">
            <w:pPr>
              <w:spacing w:before="47" w:line="240" w:lineRule="auto"/>
              <w:ind w:left="1316"/>
              <w:rPr>
                <w:sz w:val="20"/>
              </w:rPr>
            </w:pPr>
            <w:r w:rsidRPr="00ED7F0F">
              <w:rPr>
                <w:spacing w:val="-1"/>
                <w:sz w:val="20"/>
              </w:rPr>
              <w:t>Čas do</w:t>
            </w:r>
            <w:r w:rsidR="00321347" w:rsidRPr="00ED7F0F">
              <w:rPr>
                <w:sz w:val="20"/>
              </w:rPr>
              <w:t xml:space="preserve"> </w:t>
            </w:r>
            <w:r w:rsidR="00321347" w:rsidRPr="00ED7F0F">
              <w:rPr>
                <w:spacing w:val="-1"/>
                <w:sz w:val="20"/>
              </w:rPr>
              <w:t>cCCyR</w:t>
            </w:r>
          </w:p>
        </w:tc>
        <w:tc>
          <w:tcPr>
            <w:tcW w:w="4394" w:type="dxa"/>
            <w:gridSpan w:val="3"/>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321347" w:rsidRPr="00ED7F0F" w:rsidRDefault="00321347" w:rsidP="00122C9F">
            <w:pPr>
              <w:spacing w:before="47" w:line="240" w:lineRule="auto"/>
              <w:ind w:left="1534"/>
              <w:rPr>
                <w:sz w:val="20"/>
              </w:rPr>
            </w:pPr>
            <w:r w:rsidRPr="00ED7F0F">
              <w:rPr>
                <w:spacing w:val="-1"/>
                <w:sz w:val="20"/>
              </w:rPr>
              <w:t>1</w:t>
            </w:r>
            <w:r w:rsidR="007426F9" w:rsidRPr="00ED7F0F">
              <w:rPr>
                <w:spacing w:val="-1"/>
                <w:sz w:val="20"/>
              </w:rPr>
              <w:t>,</w:t>
            </w:r>
            <w:r w:rsidRPr="00ED7F0F">
              <w:rPr>
                <w:spacing w:val="-1"/>
                <w:sz w:val="20"/>
              </w:rPr>
              <w:t>48 (1</w:t>
            </w:r>
            <w:r w:rsidR="007426F9" w:rsidRPr="00ED7F0F">
              <w:rPr>
                <w:spacing w:val="-1"/>
                <w:sz w:val="20"/>
              </w:rPr>
              <w:t>,</w:t>
            </w:r>
            <w:r w:rsidRPr="00ED7F0F">
              <w:rPr>
                <w:spacing w:val="-1"/>
                <w:sz w:val="20"/>
              </w:rPr>
              <w:t>22-1.80)</w:t>
            </w:r>
          </w:p>
        </w:tc>
        <w:tc>
          <w:tcPr>
            <w:tcW w:w="1417"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321347" w:rsidRPr="00ED7F0F" w:rsidRDefault="00321347" w:rsidP="00122C9F">
            <w:pPr>
              <w:spacing w:before="51" w:line="240" w:lineRule="auto"/>
              <w:ind w:left="17"/>
              <w:jc w:val="center"/>
              <w:rPr>
                <w:sz w:val="20"/>
              </w:rPr>
            </w:pPr>
            <w:r w:rsidRPr="00ED7F0F">
              <w:rPr>
                <w:rFonts w:ascii="Cambria Math" w:eastAsia="Cambria Math" w:hAnsi="Cambria Math" w:cs="Cambria Math"/>
                <w:sz w:val="20"/>
              </w:rPr>
              <w:t>⎯</w:t>
            </w:r>
          </w:p>
        </w:tc>
      </w:tr>
      <w:tr w:rsidR="00321347" w:rsidRPr="00ED7F0F" w:rsidTr="009A0932">
        <w:trPr>
          <w:trHeight w:val="1"/>
        </w:trPr>
        <w:tc>
          <w:tcPr>
            <w:tcW w:w="3153"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321347" w:rsidRPr="00ED7F0F" w:rsidRDefault="007426F9" w:rsidP="00122C9F">
            <w:pPr>
              <w:spacing w:before="120" w:after="120" w:line="240" w:lineRule="auto"/>
              <w:ind w:left="1168"/>
              <w:rPr>
                <w:sz w:val="20"/>
              </w:rPr>
            </w:pPr>
            <w:r w:rsidRPr="00ED7F0F">
              <w:rPr>
                <w:sz w:val="20"/>
              </w:rPr>
              <w:t xml:space="preserve">Čas do </w:t>
            </w:r>
            <w:r w:rsidR="00321347" w:rsidRPr="00ED7F0F">
              <w:rPr>
                <w:sz w:val="20"/>
              </w:rPr>
              <w:t>MMR</w:t>
            </w:r>
          </w:p>
          <w:p w:rsidR="00321347" w:rsidRPr="00ED7F0F" w:rsidRDefault="007426F9" w:rsidP="00122C9F">
            <w:pPr>
              <w:spacing w:before="120" w:after="120" w:line="240" w:lineRule="auto"/>
              <w:ind w:left="1026"/>
              <w:rPr>
                <w:sz w:val="20"/>
              </w:rPr>
            </w:pPr>
            <w:r w:rsidRPr="00ED7F0F">
              <w:rPr>
                <w:sz w:val="20"/>
              </w:rPr>
              <w:t>Trvania</w:t>
            </w:r>
            <w:r w:rsidR="00321347" w:rsidRPr="00ED7F0F">
              <w:rPr>
                <w:sz w:val="20"/>
              </w:rPr>
              <w:t xml:space="preserve"> cCCyR</w:t>
            </w:r>
          </w:p>
          <w:p w:rsidR="00321347" w:rsidRPr="00ED7F0F" w:rsidRDefault="00321347" w:rsidP="00122C9F">
            <w:pPr>
              <w:spacing w:before="120" w:after="120" w:line="240" w:lineRule="auto"/>
              <w:ind w:left="1026"/>
              <w:rPr>
                <w:sz w:val="20"/>
              </w:rPr>
            </w:pPr>
          </w:p>
          <w:p w:rsidR="00321347" w:rsidRPr="00ED7F0F" w:rsidRDefault="007426F9" w:rsidP="00122C9F">
            <w:pPr>
              <w:spacing w:before="120" w:after="120" w:line="240" w:lineRule="auto"/>
              <w:ind w:left="1026"/>
              <w:rPr>
                <w:sz w:val="20"/>
              </w:rPr>
            </w:pPr>
            <w:r w:rsidRPr="00ED7F0F">
              <w:rPr>
                <w:sz w:val="20"/>
              </w:rPr>
              <w:t>Čas do</w:t>
            </w:r>
            <w:r w:rsidR="00321347" w:rsidRPr="00ED7F0F">
              <w:rPr>
                <w:sz w:val="20"/>
              </w:rPr>
              <w:t xml:space="preserve"> c CCyR</w:t>
            </w:r>
          </w:p>
          <w:p w:rsidR="00321347" w:rsidRPr="00ED7F0F" w:rsidRDefault="007426F9" w:rsidP="00122C9F">
            <w:pPr>
              <w:spacing w:before="120" w:after="120" w:line="240" w:lineRule="auto"/>
              <w:ind w:left="1026"/>
              <w:rPr>
                <w:sz w:val="20"/>
              </w:rPr>
            </w:pPr>
            <w:r w:rsidRPr="00ED7F0F">
              <w:rPr>
                <w:sz w:val="20"/>
              </w:rPr>
              <w:t>Čas do</w:t>
            </w:r>
            <w:r w:rsidR="00321347" w:rsidRPr="00ED7F0F">
              <w:rPr>
                <w:sz w:val="20"/>
              </w:rPr>
              <w:t xml:space="preserve"> MMR</w:t>
            </w:r>
          </w:p>
          <w:p w:rsidR="00321347" w:rsidRPr="00ED7F0F" w:rsidRDefault="007426F9" w:rsidP="00122C9F">
            <w:pPr>
              <w:spacing w:before="120" w:after="120" w:line="240" w:lineRule="auto"/>
              <w:ind w:left="1026"/>
              <w:rPr>
                <w:sz w:val="20"/>
              </w:rPr>
            </w:pPr>
            <w:r w:rsidRPr="00ED7F0F">
              <w:rPr>
                <w:sz w:val="20"/>
              </w:rPr>
              <w:t>Trvania</w:t>
            </w:r>
            <w:r w:rsidR="00321347" w:rsidRPr="00ED7F0F">
              <w:rPr>
                <w:sz w:val="20"/>
              </w:rPr>
              <w:t xml:space="preserve"> cCCyR</w:t>
            </w:r>
          </w:p>
          <w:p w:rsidR="00321347" w:rsidRPr="00ED7F0F" w:rsidRDefault="00321347" w:rsidP="00122C9F">
            <w:pPr>
              <w:spacing w:before="120" w:after="120" w:line="240" w:lineRule="auto"/>
              <w:ind w:left="1026"/>
              <w:rPr>
                <w:sz w:val="20"/>
              </w:rPr>
            </w:pPr>
          </w:p>
          <w:p w:rsidR="00321347" w:rsidRPr="00ED7F0F" w:rsidRDefault="007426F9" w:rsidP="00122C9F">
            <w:pPr>
              <w:spacing w:before="120" w:after="120" w:line="240" w:lineRule="auto"/>
              <w:ind w:left="1026"/>
              <w:rPr>
                <w:sz w:val="20"/>
              </w:rPr>
            </w:pPr>
            <w:r w:rsidRPr="00ED7F0F">
              <w:rPr>
                <w:sz w:val="20"/>
              </w:rPr>
              <w:t>Čas do</w:t>
            </w:r>
            <w:r w:rsidR="00321347" w:rsidRPr="00ED7F0F">
              <w:rPr>
                <w:sz w:val="20"/>
              </w:rPr>
              <w:t xml:space="preserve"> cCCyR</w:t>
            </w:r>
          </w:p>
          <w:p w:rsidR="00321347" w:rsidRPr="00ED7F0F" w:rsidRDefault="007426F9" w:rsidP="00122C9F">
            <w:pPr>
              <w:spacing w:before="120" w:after="120" w:line="240" w:lineRule="auto"/>
              <w:ind w:left="1026"/>
              <w:rPr>
                <w:sz w:val="20"/>
              </w:rPr>
            </w:pPr>
            <w:r w:rsidRPr="00ED7F0F">
              <w:rPr>
                <w:sz w:val="20"/>
              </w:rPr>
              <w:t xml:space="preserve">Čas do </w:t>
            </w:r>
            <w:r w:rsidR="00321347" w:rsidRPr="00ED7F0F">
              <w:rPr>
                <w:sz w:val="20"/>
              </w:rPr>
              <w:t>MMR</w:t>
            </w:r>
          </w:p>
          <w:p w:rsidR="00321347" w:rsidRPr="00ED7F0F" w:rsidRDefault="007426F9" w:rsidP="00122C9F">
            <w:pPr>
              <w:spacing w:before="120" w:after="120" w:line="240" w:lineRule="auto"/>
              <w:ind w:left="1026"/>
              <w:rPr>
                <w:sz w:val="20"/>
              </w:rPr>
            </w:pPr>
            <w:r w:rsidRPr="00ED7F0F">
              <w:rPr>
                <w:sz w:val="20"/>
              </w:rPr>
              <w:t>Trvania</w:t>
            </w:r>
            <w:r w:rsidR="00321347" w:rsidRPr="00ED7F0F">
              <w:rPr>
                <w:sz w:val="20"/>
              </w:rPr>
              <w:t xml:space="preserve"> cCCyR</w:t>
            </w:r>
          </w:p>
        </w:tc>
        <w:tc>
          <w:tcPr>
            <w:tcW w:w="4394" w:type="dxa"/>
            <w:gridSpan w:val="3"/>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321347" w:rsidRPr="00ED7F0F" w:rsidRDefault="00321347" w:rsidP="00122C9F">
            <w:pPr>
              <w:spacing w:before="120" w:after="120" w:line="240" w:lineRule="auto"/>
              <w:jc w:val="center"/>
              <w:rPr>
                <w:spacing w:val="-1"/>
                <w:position w:val="2"/>
                <w:sz w:val="20"/>
              </w:rPr>
            </w:pPr>
            <w:r w:rsidRPr="00ED7F0F">
              <w:rPr>
                <w:spacing w:val="-1"/>
                <w:position w:val="2"/>
                <w:sz w:val="20"/>
              </w:rPr>
              <w:t>1</w:t>
            </w:r>
            <w:r w:rsidR="007426F9" w:rsidRPr="00ED7F0F">
              <w:rPr>
                <w:spacing w:val="-1"/>
                <w:position w:val="2"/>
                <w:sz w:val="20"/>
              </w:rPr>
              <w:t>,</w:t>
            </w:r>
            <w:r w:rsidRPr="00ED7F0F">
              <w:rPr>
                <w:spacing w:val="-1"/>
                <w:position w:val="2"/>
                <w:sz w:val="20"/>
              </w:rPr>
              <w:t>59 (1</w:t>
            </w:r>
            <w:r w:rsidR="007426F9" w:rsidRPr="00ED7F0F">
              <w:rPr>
                <w:spacing w:val="-1"/>
                <w:position w:val="2"/>
                <w:sz w:val="20"/>
              </w:rPr>
              <w:t>,</w:t>
            </w:r>
            <w:r w:rsidRPr="00ED7F0F">
              <w:rPr>
                <w:spacing w:val="-1"/>
                <w:position w:val="2"/>
                <w:sz w:val="20"/>
              </w:rPr>
              <w:t>28-1</w:t>
            </w:r>
            <w:r w:rsidR="007426F9" w:rsidRPr="00ED7F0F">
              <w:rPr>
                <w:spacing w:val="-1"/>
                <w:position w:val="2"/>
                <w:sz w:val="20"/>
              </w:rPr>
              <w:t>,</w:t>
            </w:r>
            <w:r w:rsidRPr="00ED7F0F">
              <w:rPr>
                <w:spacing w:val="-1"/>
                <w:position w:val="2"/>
                <w:sz w:val="20"/>
              </w:rPr>
              <w:t>99)</w:t>
            </w:r>
          </w:p>
          <w:p w:rsidR="00321347" w:rsidRPr="00ED7F0F" w:rsidRDefault="00321347" w:rsidP="00122C9F">
            <w:pPr>
              <w:spacing w:before="120" w:after="120" w:line="240" w:lineRule="auto"/>
              <w:jc w:val="center"/>
              <w:rPr>
                <w:spacing w:val="-1"/>
                <w:position w:val="2"/>
                <w:sz w:val="20"/>
              </w:rPr>
            </w:pPr>
            <w:r w:rsidRPr="00ED7F0F">
              <w:rPr>
                <w:spacing w:val="-1"/>
                <w:position w:val="2"/>
                <w:sz w:val="20"/>
              </w:rPr>
              <w:t>0</w:t>
            </w:r>
            <w:r w:rsidR="007426F9" w:rsidRPr="00ED7F0F">
              <w:rPr>
                <w:spacing w:val="-1"/>
                <w:position w:val="2"/>
                <w:sz w:val="20"/>
              </w:rPr>
              <w:t>,</w:t>
            </w:r>
            <w:r w:rsidRPr="00ED7F0F">
              <w:rPr>
                <w:spacing w:val="-1"/>
                <w:position w:val="2"/>
                <w:sz w:val="20"/>
              </w:rPr>
              <w:t>77 (0</w:t>
            </w:r>
            <w:r w:rsidR="007426F9" w:rsidRPr="00ED7F0F">
              <w:rPr>
                <w:spacing w:val="-1"/>
                <w:position w:val="2"/>
                <w:sz w:val="20"/>
              </w:rPr>
              <w:t>,</w:t>
            </w:r>
            <w:r w:rsidRPr="00ED7F0F">
              <w:rPr>
                <w:spacing w:val="-1"/>
                <w:position w:val="2"/>
                <w:sz w:val="20"/>
              </w:rPr>
              <w:t>53-1</w:t>
            </w:r>
            <w:r w:rsidR="007426F9" w:rsidRPr="00ED7F0F">
              <w:rPr>
                <w:spacing w:val="-1"/>
                <w:position w:val="2"/>
                <w:sz w:val="20"/>
              </w:rPr>
              <w:t>,</w:t>
            </w:r>
            <w:r w:rsidRPr="00ED7F0F">
              <w:rPr>
                <w:spacing w:val="-1"/>
                <w:position w:val="2"/>
                <w:sz w:val="20"/>
              </w:rPr>
              <w:t>11)</w:t>
            </w:r>
          </w:p>
          <w:p w:rsidR="00321347" w:rsidRPr="00ED7F0F" w:rsidRDefault="007426F9" w:rsidP="00122C9F">
            <w:pPr>
              <w:spacing w:before="120" w:after="120" w:line="240" w:lineRule="auto"/>
              <w:jc w:val="center"/>
              <w:rPr>
                <w:b/>
                <w:sz w:val="20"/>
              </w:rPr>
            </w:pPr>
            <w:r w:rsidRPr="00ED7F0F">
              <w:rPr>
                <w:b/>
                <w:spacing w:val="-1"/>
                <w:sz w:val="20"/>
              </w:rPr>
              <w:t>počas</w:t>
            </w:r>
            <w:r w:rsidR="00321347" w:rsidRPr="00ED7F0F">
              <w:rPr>
                <w:b/>
                <w:sz w:val="20"/>
              </w:rPr>
              <w:t xml:space="preserve"> </w:t>
            </w:r>
            <w:r w:rsidR="00321347" w:rsidRPr="00ED7F0F">
              <w:rPr>
                <w:b/>
                <w:spacing w:val="-1"/>
                <w:sz w:val="20"/>
              </w:rPr>
              <w:t>48</w:t>
            </w:r>
            <w:r w:rsidR="00321347" w:rsidRPr="00ED7F0F">
              <w:rPr>
                <w:b/>
                <w:spacing w:val="1"/>
                <w:sz w:val="20"/>
              </w:rPr>
              <w:t xml:space="preserve"> </w:t>
            </w:r>
            <w:r w:rsidR="00321347" w:rsidRPr="00ED7F0F">
              <w:rPr>
                <w:b/>
                <w:spacing w:val="-1"/>
                <w:sz w:val="20"/>
              </w:rPr>
              <w:t>m</w:t>
            </w:r>
            <w:r w:rsidRPr="00ED7F0F">
              <w:rPr>
                <w:b/>
                <w:spacing w:val="-1"/>
                <w:sz w:val="20"/>
              </w:rPr>
              <w:t>esiacov</w:t>
            </w:r>
            <w:r w:rsidR="00321347" w:rsidRPr="00ED7F0F">
              <w:rPr>
                <w:b/>
                <w:spacing w:val="-1"/>
                <w:sz w:val="20"/>
              </w:rPr>
              <w:t xml:space="preserve"> </w:t>
            </w:r>
            <w:r w:rsidR="00321347" w:rsidRPr="00ED7F0F">
              <w:rPr>
                <w:b/>
                <w:sz w:val="20"/>
              </w:rPr>
              <w:t>(95%</w:t>
            </w:r>
            <w:r w:rsidR="00321347" w:rsidRPr="00ED7F0F">
              <w:rPr>
                <w:b/>
                <w:spacing w:val="-4"/>
                <w:sz w:val="20"/>
              </w:rPr>
              <w:t xml:space="preserve"> </w:t>
            </w:r>
            <w:r w:rsidR="00321347" w:rsidRPr="00ED7F0F">
              <w:rPr>
                <w:b/>
                <w:sz w:val="20"/>
              </w:rPr>
              <w:t>CI)</w:t>
            </w:r>
          </w:p>
          <w:p w:rsidR="00321347" w:rsidRPr="00ED7F0F" w:rsidRDefault="00321347" w:rsidP="00122C9F">
            <w:pPr>
              <w:spacing w:before="120" w:after="120" w:line="240" w:lineRule="auto"/>
              <w:jc w:val="center"/>
              <w:rPr>
                <w:spacing w:val="-1"/>
                <w:position w:val="2"/>
                <w:sz w:val="20"/>
              </w:rPr>
            </w:pPr>
            <w:r w:rsidRPr="00ED7F0F">
              <w:rPr>
                <w:spacing w:val="-1"/>
                <w:position w:val="2"/>
                <w:sz w:val="20"/>
              </w:rPr>
              <w:t>1</w:t>
            </w:r>
            <w:r w:rsidR="007426F9" w:rsidRPr="00ED7F0F">
              <w:rPr>
                <w:spacing w:val="-1"/>
                <w:position w:val="2"/>
                <w:sz w:val="20"/>
              </w:rPr>
              <w:t>,</w:t>
            </w:r>
            <w:r w:rsidRPr="00ED7F0F">
              <w:rPr>
                <w:spacing w:val="-1"/>
                <w:position w:val="2"/>
                <w:sz w:val="20"/>
              </w:rPr>
              <w:t>45 (1</w:t>
            </w:r>
            <w:r w:rsidR="007426F9" w:rsidRPr="00ED7F0F">
              <w:rPr>
                <w:spacing w:val="-1"/>
                <w:position w:val="2"/>
                <w:sz w:val="20"/>
              </w:rPr>
              <w:t>,</w:t>
            </w:r>
            <w:r w:rsidRPr="00ED7F0F">
              <w:rPr>
                <w:spacing w:val="-1"/>
                <w:position w:val="2"/>
                <w:sz w:val="20"/>
              </w:rPr>
              <w:t>20-1</w:t>
            </w:r>
            <w:r w:rsidR="007426F9" w:rsidRPr="00ED7F0F">
              <w:rPr>
                <w:spacing w:val="-1"/>
                <w:position w:val="2"/>
                <w:sz w:val="20"/>
              </w:rPr>
              <w:t>,</w:t>
            </w:r>
            <w:r w:rsidRPr="00ED7F0F">
              <w:rPr>
                <w:spacing w:val="-1"/>
                <w:position w:val="2"/>
                <w:sz w:val="20"/>
              </w:rPr>
              <w:t>77)</w:t>
            </w:r>
          </w:p>
          <w:p w:rsidR="00321347" w:rsidRPr="00ED7F0F" w:rsidRDefault="00321347" w:rsidP="00122C9F">
            <w:pPr>
              <w:spacing w:before="120" w:after="120" w:line="240" w:lineRule="auto"/>
              <w:jc w:val="center"/>
              <w:rPr>
                <w:spacing w:val="-1"/>
                <w:position w:val="2"/>
                <w:sz w:val="20"/>
              </w:rPr>
            </w:pPr>
            <w:r w:rsidRPr="00ED7F0F">
              <w:rPr>
                <w:spacing w:val="-1"/>
                <w:position w:val="2"/>
                <w:sz w:val="20"/>
              </w:rPr>
              <w:t>1</w:t>
            </w:r>
            <w:r w:rsidR="007426F9" w:rsidRPr="00ED7F0F">
              <w:rPr>
                <w:spacing w:val="-1"/>
                <w:position w:val="2"/>
                <w:sz w:val="20"/>
              </w:rPr>
              <w:t>,</w:t>
            </w:r>
            <w:r w:rsidRPr="00ED7F0F">
              <w:rPr>
                <w:spacing w:val="-1"/>
                <w:position w:val="2"/>
                <w:sz w:val="20"/>
              </w:rPr>
              <w:t>55 (1</w:t>
            </w:r>
            <w:r w:rsidR="007426F9" w:rsidRPr="00ED7F0F">
              <w:rPr>
                <w:spacing w:val="-1"/>
                <w:position w:val="2"/>
                <w:sz w:val="20"/>
              </w:rPr>
              <w:t>,</w:t>
            </w:r>
            <w:r w:rsidRPr="00ED7F0F">
              <w:rPr>
                <w:spacing w:val="-1"/>
                <w:position w:val="2"/>
                <w:sz w:val="20"/>
              </w:rPr>
              <w:t>26-1</w:t>
            </w:r>
            <w:r w:rsidR="007426F9" w:rsidRPr="00ED7F0F">
              <w:rPr>
                <w:spacing w:val="-1"/>
                <w:position w:val="2"/>
                <w:sz w:val="20"/>
              </w:rPr>
              <w:t>,</w:t>
            </w:r>
            <w:r w:rsidRPr="00ED7F0F">
              <w:rPr>
                <w:spacing w:val="-1"/>
                <w:position w:val="2"/>
                <w:sz w:val="20"/>
              </w:rPr>
              <w:t>91)</w:t>
            </w:r>
          </w:p>
          <w:p w:rsidR="00321347" w:rsidRPr="00ED7F0F" w:rsidRDefault="00321347" w:rsidP="00122C9F">
            <w:pPr>
              <w:spacing w:before="120" w:after="120" w:line="240" w:lineRule="auto"/>
              <w:jc w:val="center"/>
              <w:rPr>
                <w:spacing w:val="-1"/>
                <w:position w:val="2"/>
                <w:sz w:val="20"/>
              </w:rPr>
            </w:pPr>
            <w:r w:rsidRPr="00ED7F0F">
              <w:rPr>
                <w:spacing w:val="-1"/>
                <w:position w:val="2"/>
                <w:sz w:val="20"/>
              </w:rPr>
              <w:t>0</w:t>
            </w:r>
            <w:r w:rsidR="007426F9" w:rsidRPr="00ED7F0F">
              <w:rPr>
                <w:spacing w:val="-1"/>
                <w:position w:val="2"/>
                <w:sz w:val="20"/>
              </w:rPr>
              <w:t>,</w:t>
            </w:r>
            <w:r w:rsidRPr="00ED7F0F">
              <w:rPr>
                <w:spacing w:val="-1"/>
                <w:position w:val="2"/>
                <w:sz w:val="20"/>
              </w:rPr>
              <w:t>81 (0</w:t>
            </w:r>
            <w:r w:rsidR="007426F9" w:rsidRPr="00ED7F0F">
              <w:rPr>
                <w:spacing w:val="-1"/>
                <w:position w:val="2"/>
                <w:sz w:val="20"/>
              </w:rPr>
              <w:t>,</w:t>
            </w:r>
            <w:r w:rsidRPr="00ED7F0F">
              <w:rPr>
                <w:spacing w:val="-1"/>
                <w:position w:val="2"/>
                <w:sz w:val="20"/>
              </w:rPr>
              <w:t>56-1</w:t>
            </w:r>
            <w:r w:rsidR="007426F9" w:rsidRPr="00ED7F0F">
              <w:rPr>
                <w:spacing w:val="-1"/>
                <w:position w:val="2"/>
                <w:sz w:val="20"/>
              </w:rPr>
              <w:t>,</w:t>
            </w:r>
            <w:r w:rsidRPr="00ED7F0F">
              <w:rPr>
                <w:spacing w:val="-1"/>
                <w:position w:val="2"/>
                <w:sz w:val="20"/>
              </w:rPr>
              <w:t>17)</w:t>
            </w:r>
          </w:p>
          <w:p w:rsidR="00321347" w:rsidRPr="00ED7F0F" w:rsidRDefault="007426F9" w:rsidP="00122C9F">
            <w:pPr>
              <w:spacing w:before="120" w:after="120" w:line="240" w:lineRule="auto"/>
              <w:jc w:val="center"/>
              <w:rPr>
                <w:b/>
                <w:sz w:val="20"/>
              </w:rPr>
            </w:pPr>
            <w:r w:rsidRPr="00ED7F0F">
              <w:rPr>
                <w:b/>
                <w:spacing w:val="-1"/>
                <w:sz w:val="20"/>
              </w:rPr>
              <w:t>počas</w:t>
            </w:r>
            <w:r w:rsidR="00321347" w:rsidRPr="00ED7F0F">
              <w:rPr>
                <w:b/>
                <w:sz w:val="20"/>
              </w:rPr>
              <w:t xml:space="preserve"> </w:t>
            </w:r>
            <w:r w:rsidR="00321347" w:rsidRPr="00ED7F0F">
              <w:rPr>
                <w:b/>
                <w:spacing w:val="-1"/>
                <w:sz w:val="20"/>
              </w:rPr>
              <w:t>60</w:t>
            </w:r>
            <w:r w:rsidR="00321347" w:rsidRPr="00ED7F0F">
              <w:rPr>
                <w:b/>
                <w:spacing w:val="1"/>
                <w:sz w:val="20"/>
              </w:rPr>
              <w:t xml:space="preserve"> </w:t>
            </w:r>
            <w:r w:rsidRPr="00ED7F0F">
              <w:rPr>
                <w:b/>
                <w:spacing w:val="-1"/>
                <w:sz w:val="20"/>
              </w:rPr>
              <w:t>mesiacov</w:t>
            </w:r>
            <w:r w:rsidR="00321347" w:rsidRPr="00ED7F0F">
              <w:rPr>
                <w:b/>
                <w:spacing w:val="-1"/>
                <w:sz w:val="20"/>
              </w:rPr>
              <w:t xml:space="preserve"> </w:t>
            </w:r>
            <w:r w:rsidR="00321347" w:rsidRPr="00ED7F0F">
              <w:rPr>
                <w:b/>
                <w:sz w:val="20"/>
              </w:rPr>
              <w:t>(95%</w:t>
            </w:r>
            <w:r w:rsidR="00321347" w:rsidRPr="00ED7F0F">
              <w:rPr>
                <w:b/>
                <w:spacing w:val="-4"/>
                <w:sz w:val="20"/>
              </w:rPr>
              <w:t xml:space="preserve"> </w:t>
            </w:r>
            <w:r w:rsidR="00321347" w:rsidRPr="00ED7F0F">
              <w:rPr>
                <w:b/>
                <w:sz w:val="20"/>
              </w:rPr>
              <w:t>CI)</w:t>
            </w:r>
          </w:p>
          <w:p w:rsidR="00321347" w:rsidRPr="00ED7F0F" w:rsidRDefault="00321347" w:rsidP="00122C9F">
            <w:pPr>
              <w:spacing w:before="120" w:after="120" w:line="240" w:lineRule="auto"/>
              <w:jc w:val="center"/>
              <w:rPr>
                <w:spacing w:val="-1"/>
                <w:sz w:val="20"/>
              </w:rPr>
            </w:pPr>
            <w:r w:rsidRPr="00ED7F0F">
              <w:rPr>
                <w:spacing w:val="-1"/>
                <w:sz w:val="20"/>
              </w:rPr>
              <w:t>1,46 (1,20-1,77)</w:t>
            </w:r>
          </w:p>
          <w:p w:rsidR="00321347" w:rsidRPr="00ED7F0F" w:rsidRDefault="00321347" w:rsidP="00122C9F">
            <w:pPr>
              <w:spacing w:before="120" w:after="120" w:line="240" w:lineRule="auto"/>
              <w:jc w:val="center"/>
              <w:rPr>
                <w:spacing w:val="-1"/>
                <w:sz w:val="20"/>
              </w:rPr>
            </w:pPr>
            <w:r w:rsidRPr="00ED7F0F">
              <w:rPr>
                <w:spacing w:val="-1"/>
                <w:sz w:val="20"/>
              </w:rPr>
              <w:t>1,54 (1,25-1,89)</w:t>
            </w:r>
          </w:p>
          <w:p w:rsidR="00321347" w:rsidRPr="00ED7F0F" w:rsidRDefault="00321347" w:rsidP="00122C9F">
            <w:pPr>
              <w:spacing w:before="120" w:after="120" w:line="240" w:lineRule="auto"/>
              <w:jc w:val="center"/>
              <w:rPr>
                <w:sz w:val="20"/>
              </w:rPr>
            </w:pPr>
            <w:r w:rsidRPr="00ED7F0F">
              <w:rPr>
                <w:spacing w:val="-1"/>
                <w:sz w:val="20"/>
              </w:rPr>
              <w:t>0,79 (0,55-1,13)</w:t>
            </w:r>
          </w:p>
        </w:tc>
        <w:tc>
          <w:tcPr>
            <w:tcW w:w="1417"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321347" w:rsidRPr="00ED7F0F" w:rsidRDefault="00321347" w:rsidP="00122C9F">
            <w:pPr>
              <w:spacing w:before="120" w:line="240" w:lineRule="auto"/>
              <w:jc w:val="center"/>
              <w:rPr>
                <w:sz w:val="20"/>
              </w:rPr>
            </w:pPr>
            <w:r w:rsidRPr="00ED7F0F">
              <w:rPr>
                <w:rFonts w:ascii="Cambria Math" w:eastAsia="Cambria Math" w:hAnsi="Cambria Math" w:cs="Cambria Math"/>
                <w:sz w:val="20"/>
              </w:rPr>
              <w:t>⎯</w:t>
            </w:r>
          </w:p>
          <w:p w:rsidR="00321347" w:rsidRPr="00ED7F0F" w:rsidRDefault="00321347" w:rsidP="00122C9F">
            <w:pPr>
              <w:spacing w:before="120" w:line="240" w:lineRule="auto"/>
              <w:jc w:val="center"/>
              <w:rPr>
                <w:sz w:val="20"/>
              </w:rPr>
            </w:pPr>
            <w:r w:rsidRPr="00ED7F0F">
              <w:rPr>
                <w:rFonts w:ascii="Cambria Math" w:eastAsia="Cambria Math" w:hAnsi="Cambria Math" w:cs="Cambria Math"/>
                <w:sz w:val="20"/>
              </w:rPr>
              <w:t>⎯</w:t>
            </w:r>
          </w:p>
          <w:p w:rsidR="00321347" w:rsidRPr="00ED7F0F" w:rsidRDefault="00321347" w:rsidP="00122C9F">
            <w:pPr>
              <w:spacing w:line="240" w:lineRule="auto"/>
              <w:jc w:val="both"/>
              <w:rPr>
                <w:sz w:val="20"/>
              </w:rPr>
            </w:pPr>
          </w:p>
          <w:p w:rsidR="00321347" w:rsidRPr="00ED7F0F" w:rsidRDefault="00321347" w:rsidP="00122C9F">
            <w:pPr>
              <w:spacing w:before="120" w:line="240" w:lineRule="auto"/>
              <w:jc w:val="center"/>
              <w:rPr>
                <w:sz w:val="20"/>
              </w:rPr>
            </w:pPr>
            <w:r w:rsidRPr="00ED7F0F">
              <w:rPr>
                <w:rFonts w:ascii="Cambria Math" w:eastAsia="Cambria Math" w:hAnsi="Cambria Math" w:cs="Cambria Math"/>
                <w:sz w:val="20"/>
              </w:rPr>
              <w:t>⎯</w:t>
            </w:r>
          </w:p>
          <w:p w:rsidR="00321347" w:rsidRPr="00ED7F0F" w:rsidRDefault="00321347" w:rsidP="00122C9F">
            <w:pPr>
              <w:spacing w:before="120" w:line="240" w:lineRule="auto"/>
              <w:jc w:val="center"/>
              <w:rPr>
                <w:sz w:val="20"/>
              </w:rPr>
            </w:pPr>
            <w:r w:rsidRPr="00ED7F0F">
              <w:rPr>
                <w:rFonts w:ascii="Cambria Math" w:eastAsia="Cambria Math" w:hAnsi="Cambria Math" w:cs="Cambria Math"/>
                <w:sz w:val="20"/>
              </w:rPr>
              <w:t>⎯</w:t>
            </w:r>
          </w:p>
          <w:p w:rsidR="00321347" w:rsidRPr="00ED7F0F" w:rsidRDefault="00321347" w:rsidP="00122C9F">
            <w:pPr>
              <w:spacing w:before="120" w:line="240" w:lineRule="auto"/>
              <w:jc w:val="center"/>
              <w:rPr>
                <w:sz w:val="20"/>
              </w:rPr>
            </w:pPr>
            <w:r w:rsidRPr="00ED7F0F">
              <w:rPr>
                <w:rFonts w:ascii="Cambria Math" w:eastAsia="Cambria Math" w:hAnsi="Cambria Math" w:cs="Cambria Math"/>
                <w:sz w:val="20"/>
              </w:rPr>
              <w:t>⎯</w:t>
            </w:r>
          </w:p>
          <w:p w:rsidR="00321347" w:rsidRPr="00ED7F0F" w:rsidRDefault="00321347" w:rsidP="00122C9F">
            <w:pPr>
              <w:spacing w:before="120" w:line="240" w:lineRule="auto"/>
              <w:jc w:val="both"/>
              <w:rPr>
                <w:spacing w:val="-1"/>
                <w:sz w:val="20"/>
              </w:rPr>
            </w:pPr>
          </w:p>
          <w:p w:rsidR="00321347" w:rsidRPr="00ED7F0F" w:rsidRDefault="00321347" w:rsidP="00122C9F">
            <w:pPr>
              <w:spacing w:before="120" w:after="120" w:line="240" w:lineRule="auto"/>
              <w:jc w:val="center"/>
              <w:rPr>
                <w:spacing w:val="-1"/>
                <w:sz w:val="20"/>
              </w:rPr>
            </w:pPr>
            <w:r w:rsidRPr="00ED7F0F">
              <w:rPr>
                <w:spacing w:val="-1"/>
                <w:sz w:val="20"/>
              </w:rPr>
              <w:t>p=0</w:t>
            </w:r>
            <w:r w:rsidR="007426F9" w:rsidRPr="00ED7F0F">
              <w:rPr>
                <w:spacing w:val="-1"/>
                <w:sz w:val="20"/>
              </w:rPr>
              <w:t>,</w:t>
            </w:r>
            <w:r w:rsidRPr="00ED7F0F">
              <w:rPr>
                <w:spacing w:val="-1"/>
                <w:sz w:val="20"/>
              </w:rPr>
              <w:t>0001</w:t>
            </w:r>
          </w:p>
          <w:p w:rsidR="00321347" w:rsidRPr="00ED7F0F" w:rsidRDefault="00321347" w:rsidP="00122C9F">
            <w:pPr>
              <w:spacing w:before="120" w:after="120" w:line="240" w:lineRule="auto"/>
              <w:jc w:val="center"/>
              <w:rPr>
                <w:spacing w:val="-1"/>
                <w:sz w:val="20"/>
              </w:rPr>
            </w:pPr>
            <w:r w:rsidRPr="00ED7F0F">
              <w:rPr>
                <w:spacing w:val="-1"/>
                <w:sz w:val="20"/>
              </w:rPr>
              <w:t>p&lt;0</w:t>
            </w:r>
            <w:r w:rsidR="007426F9" w:rsidRPr="00ED7F0F">
              <w:rPr>
                <w:spacing w:val="-1"/>
                <w:sz w:val="20"/>
              </w:rPr>
              <w:t>,</w:t>
            </w:r>
            <w:r w:rsidRPr="00ED7F0F">
              <w:rPr>
                <w:spacing w:val="-1"/>
                <w:sz w:val="20"/>
              </w:rPr>
              <w:t>0001</w:t>
            </w:r>
          </w:p>
          <w:p w:rsidR="00321347" w:rsidRPr="00ED7F0F" w:rsidRDefault="00321347" w:rsidP="00122C9F">
            <w:pPr>
              <w:spacing w:before="120" w:after="120" w:line="240" w:lineRule="auto"/>
              <w:jc w:val="center"/>
              <w:rPr>
                <w:sz w:val="20"/>
              </w:rPr>
            </w:pPr>
            <w:r w:rsidRPr="00ED7F0F">
              <w:rPr>
                <w:spacing w:val="-1"/>
                <w:sz w:val="20"/>
              </w:rPr>
              <w:t>p=0</w:t>
            </w:r>
            <w:r w:rsidR="007426F9" w:rsidRPr="00ED7F0F">
              <w:rPr>
                <w:spacing w:val="-1"/>
                <w:sz w:val="20"/>
              </w:rPr>
              <w:t>,</w:t>
            </w:r>
            <w:r w:rsidRPr="00ED7F0F">
              <w:rPr>
                <w:spacing w:val="-1"/>
                <w:sz w:val="20"/>
              </w:rPr>
              <w:t>1983</w:t>
            </w:r>
          </w:p>
        </w:tc>
      </w:tr>
    </w:tbl>
    <w:p w:rsidR="005010CA" w:rsidRPr="00ED7F0F" w:rsidRDefault="00AE6D42" w:rsidP="00122C9F">
      <w:pPr>
        <w:spacing w:line="261" w:lineRule="auto"/>
        <w:ind w:left="188" w:hanging="169"/>
        <w:rPr>
          <w:sz w:val="17"/>
        </w:rPr>
      </w:pPr>
      <w:r w:rsidRPr="00ED7F0F">
        <w:rPr>
          <w:sz w:val="17"/>
          <w:vertAlign w:val="superscript"/>
        </w:rPr>
        <w:t>a</w:t>
      </w:r>
      <w:r w:rsidR="005010CA" w:rsidRPr="00ED7F0F">
        <w:rPr>
          <w:sz w:val="17"/>
        </w:rPr>
        <w:tab/>
      </w:r>
      <w:r w:rsidRPr="00ED7F0F">
        <w:rPr>
          <w:sz w:val="17"/>
        </w:rPr>
        <w:t>Potvrdená kompletná cytogenetická odpoveď (cCCyR) je definovaná ako odpoveď známa z dvoch po sebe idúcich udalostí (najmenej 28 dní odstup).</w:t>
      </w:r>
    </w:p>
    <w:p w:rsidR="00AE6D42" w:rsidRPr="00ED7F0F" w:rsidRDefault="00AE6D42" w:rsidP="00122C9F">
      <w:pPr>
        <w:spacing w:line="261" w:lineRule="auto"/>
        <w:ind w:left="188" w:hanging="169"/>
      </w:pPr>
      <w:r w:rsidRPr="00ED7F0F">
        <w:rPr>
          <w:sz w:val="17"/>
          <w:vertAlign w:val="superscript"/>
        </w:rPr>
        <w:t>b</w:t>
      </w:r>
      <w:r w:rsidR="005010CA" w:rsidRPr="00ED7F0F">
        <w:rPr>
          <w:sz w:val="17"/>
          <w:vertAlign w:val="superscript"/>
        </w:rPr>
        <w:tab/>
      </w:r>
      <w:r w:rsidRPr="00ED7F0F">
        <w:rPr>
          <w:sz w:val="17"/>
        </w:rPr>
        <w:t xml:space="preserve">Kompletná cytogenetická odpoveď (CCyR) je založená na jednom cytogenetickom zhodnotení kostnej drene. </w:t>
      </w:r>
    </w:p>
    <w:p w:rsidR="00AE6D42" w:rsidRPr="00ED7F0F" w:rsidRDefault="00AE6D42" w:rsidP="00122C9F">
      <w:pPr>
        <w:spacing w:line="261" w:lineRule="auto"/>
        <w:ind w:left="188" w:hanging="169"/>
      </w:pPr>
      <w:r w:rsidRPr="00ED7F0F">
        <w:rPr>
          <w:sz w:val="17"/>
          <w:vertAlign w:val="superscript"/>
        </w:rPr>
        <w:t>c</w:t>
      </w:r>
      <w:r w:rsidR="005010CA" w:rsidRPr="00ED7F0F">
        <w:rPr>
          <w:sz w:val="17"/>
          <w:vertAlign w:val="superscript"/>
        </w:rPr>
        <w:tab/>
      </w:r>
      <w:r w:rsidRPr="00ED7F0F">
        <w:rPr>
          <w:sz w:val="17"/>
        </w:rPr>
        <w:t>Veľká molekulová odpoveď (v akomkoľvek čase) bola definovaná ako BCR-ABL podiely ≤ 0,1 % podľa RQ-PCR vo vzorkách periférnej krvi štandardizovaných na Medzinárodnej stupnici. Ide o kumulatívne miery predstavujúce minimálne sledovanie pre stanovený časový rámec.</w:t>
      </w:r>
    </w:p>
    <w:p w:rsidR="00AE6D42" w:rsidRPr="00ED7F0F" w:rsidRDefault="00AE6D42" w:rsidP="00122C9F">
      <w:pPr>
        <w:spacing w:line="261" w:lineRule="auto"/>
        <w:ind w:left="29"/>
      </w:pPr>
      <w:r w:rsidRPr="00ED7F0F">
        <w:rPr>
          <w:sz w:val="17"/>
          <w:vertAlign w:val="superscript"/>
        </w:rPr>
        <w:t>*</w:t>
      </w:r>
      <w:r w:rsidRPr="00ED7F0F">
        <w:rPr>
          <w:sz w:val="17"/>
        </w:rPr>
        <w:t>Upravené na Hasford</w:t>
      </w:r>
      <w:r w:rsidR="00B3270B" w:rsidRPr="00ED7F0F">
        <w:rPr>
          <w:sz w:val="17"/>
        </w:rPr>
        <w:t>ovo</w:t>
      </w:r>
      <w:r w:rsidRPr="00ED7F0F">
        <w:rPr>
          <w:sz w:val="17"/>
        </w:rPr>
        <w:t xml:space="preserve"> skóre a uvedená štatistická významnosť na preddefinovanú nominálnu hodnotu významnosti. CI = interval spoľahlivosti</w:t>
      </w:r>
      <w:r w:rsidR="000D39F2" w:rsidRPr="00ED7F0F">
        <w:rPr>
          <w:sz w:val="17"/>
        </w:rPr>
        <w:t>.</w:t>
      </w:r>
    </w:p>
    <w:p w:rsidR="00AE6D42" w:rsidRPr="00ED7F0F" w:rsidRDefault="00AE6D42" w:rsidP="00122C9F">
      <w:pPr>
        <w:spacing w:line="259" w:lineRule="auto"/>
        <w:ind w:left="34"/>
        <w:rPr>
          <w:highlight w:val="lightGray"/>
        </w:rPr>
      </w:pPr>
    </w:p>
    <w:p w:rsidR="00AE6D42" w:rsidRPr="00ED7F0F" w:rsidRDefault="00AE6D42" w:rsidP="00122C9F">
      <w:pPr>
        <w:ind w:left="29"/>
      </w:pPr>
      <w:r w:rsidRPr="00ED7F0F">
        <w:t>Po 60</w:t>
      </w:r>
      <w:r w:rsidR="000D39F2" w:rsidRPr="00ED7F0F">
        <w:t> </w:t>
      </w:r>
      <w:r w:rsidRPr="00ED7F0F">
        <w:t>mesačnom následnom sledovaní bol medián času do cCCyR 3,1 mesiaca v</w:t>
      </w:r>
      <w:r w:rsidR="000D39F2" w:rsidRPr="00ED7F0F">
        <w:t> </w:t>
      </w:r>
      <w:r w:rsidRPr="00ED7F0F">
        <w:t xml:space="preserve">skupine </w:t>
      </w:r>
      <w:r w:rsidR="000D39F2" w:rsidRPr="00ED7F0F">
        <w:t xml:space="preserve">s dasatinibom </w:t>
      </w:r>
      <w:r w:rsidRPr="00ED7F0F">
        <w:t>a 5,8 mesiaca v</w:t>
      </w:r>
      <w:r w:rsidR="000D39F2" w:rsidRPr="00ED7F0F">
        <w:t> </w:t>
      </w:r>
      <w:r w:rsidRPr="00ED7F0F">
        <w:t>imatinibovej skupine u</w:t>
      </w:r>
      <w:r w:rsidR="000D39F2" w:rsidRPr="00ED7F0F">
        <w:t> </w:t>
      </w:r>
      <w:r w:rsidRPr="00ED7F0F">
        <w:t>pacientov s</w:t>
      </w:r>
      <w:r w:rsidR="000D39F2" w:rsidRPr="00ED7F0F">
        <w:t> </w:t>
      </w:r>
      <w:r w:rsidRPr="00ED7F0F">
        <w:t>potvrdenou CCyR. Medián času do MMR bol po 60</w:t>
      </w:r>
      <w:r w:rsidR="000D39F2" w:rsidRPr="00ED7F0F">
        <w:t> </w:t>
      </w:r>
      <w:r w:rsidRPr="00ED7F0F">
        <w:t>mesačnom následnom sledovaní 9,3</w:t>
      </w:r>
      <w:r w:rsidR="000D39F2" w:rsidRPr="00ED7F0F">
        <w:t> </w:t>
      </w:r>
      <w:r w:rsidRPr="00ED7F0F">
        <w:t xml:space="preserve">mesiaca </w:t>
      </w:r>
      <w:r w:rsidR="000D39F2" w:rsidRPr="00ED7F0F">
        <w:t>v </w:t>
      </w:r>
      <w:r w:rsidRPr="00ED7F0F">
        <w:t xml:space="preserve">skupine </w:t>
      </w:r>
      <w:r w:rsidR="000D39F2" w:rsidRPr="00ED7F0F">
        <w:t xml:space="preserve">s dasatinibom </w:t>
      </w:r>
      <w:r w:rsidRPr="00ED7F0F">
        <w:t>a 15,0 mesiacov v</w:t>
      </w:r>
      <w:r w:rsidR="000D39F2" w:rsidRPr="00ED7F0F">
        <w:t> </w:t>
      </w:r>
      <w:r w:rsidRPr="00ED7F0F">
        <w:t>imatinibovej skupine pacientov s</w:t>
      </w:r>
      <w:r w:rsidR="000D39F2" w:rsidRPr="00ED7F0F">
        <w:t> </w:t>
      </w:r>
      <w:r w:rsidRPr="00ED7F0F">
        <w:t>MMR. Tieto výsledky sú zhodné s</w:t>
      </w:r>
      <w:r w:rsidR="000D39F2" w:rsidRPr="00ED7F0F">
        <w:t> </w:t>
      </w:r>
      <w:r w:rsidRPr="00ED7F0F">
        <w:t>tými, ktoré sa zistili po 12, 24 a 36 mesiacoch.</w:t>
      </w:r>
    </w:p>
    <w:p w:rsidR="00AE6D42" w:rsidRPr="00ED7F0F" w:rsidRDefault="00AE6D42" w:rsidP="00122C9F">
      <w:pPr>
        <w:spacing w:line="259" w:lineRule="auto"/>
        <w:ind w:left="34"/>
      </w:pPr>
    </w:p>
    <w:p w:rsidR="00AE6D42" w:rsidRPr="00ED7F0F" w:rsidRDefault="00AE6D42" w:rsidP="00122C9F">
      <w:pPr>
        <w:ind w:left="29"/>
      </w:pPr>
      <w:r w:rsidRPr="00ED7F0F">
        <w:t>Čas do MMR je zobrazený graficky na Grafe 1. Čas do MMR bol rovnomerne kratší u</w:t>
      </w:r>
      <w:r w:rsidR="000D39F2" w:rsidRPr="00ED7F0F">
        <w:t> </w:t>
      </w:r>
      <w:r w:rsidRPr="00ED7F0F">
        <w:t>pacientov liečených dasatinibom v</w:t>
      </w:r>
      <w:r w:rsidR="000D39F2" w:rsidRPr="00ED7F0F">
        <w:t> </w:t>
      </w:r>
      <w:r w:rsidRPr="00ED7F0F">
        <w:t>porovnaní s</w:t>
      </w:r>
      <w:r w:rsidR="000D39F2" w:rsidRPr="00ED7F0F">
        <w:t> </w:t>
      </w:r>
      <w:r w:rsidRPr="00ED7F0F">
        <w:t>pacientmi liečenými imatinibom.</w:t>
      </w:r>
    </w:p>
    <w:p w:rsidR="00AE6D42" w:rsidRPr="00ED7F0F" w:rsidRDefault="00AE6D42" w:rsidP="00122C9F">
      <w:pPr>
        <w:spacing w:line="259" w:lineRule="auto"/>
        <w:ind w:left="34"/>
        <w:rPr>
          <w:highlight w:val="lightGray"/>
        </w:rPr>
      </w:pPr>
    </w:p>
    <w:p w:rsidR="00AE6D42" w:rsidRPr="00ED7F0F" w:rsidRDefault="00AE6D42" w:rsidP="00122C9F">
      <w:pPr>
        <w:keepNext/>
        <w:tabs>
          <w:tab w:val="clear" w:pos="567"/>
          <w:tab w:val="left" w:pos="1140"/>
        </w:tabs>
        <w:spacing w:after="120" w:line="240" w:lineRule="auto"/>
        <w:ind w:left="1140" w:hanging="1140"/>
        <w:jc w:val="both"/>
        <w:rPr>
          <w:b/>
          <w:spacing w:val="-7"/>
          <w:szCs w:val="22"/>
          <w:lang w:eastAsia="en-GB" w:bidi="ar-SA"/>
        </w:rPr>
      </w:pPr>
      <w:r w:rsidRPr="00ED7F0F">
        <w:rPr>
          <w:b/>
          <w:spacing w:val="-7"/>
          <w:szCs w:val="22"/>
          <w:lang w:eastAsia="en-GB" w:bidi="ar-SA"/>
        </w:rPr>
        <w:t>Graf 1: Odhad času veľkej molekulárnej odpovede (MMR) podľa Kaplan</w:t>
      </w:r>
      <w:r w:rsidR="00C62460" w:rsidRPr="00ED7F0F">
        <w:rPr>
          <w:b/>
          <w:spacing w:val="-7"/>
          <w:szCs w:val="22"/>
          <w:lang w:eastAsia="en-GB" w:bidi="ar-SA"/>
        </w:rPr>
        <w:t>a</w:t>
      </w:r>
      <w:r w:rsidRPr="00ED7F0F">
        <w:rPr>
          <w:b/>
          <w:spacing w:val="-7"/>
          <w:szCs w:val="22"/>
          <w:lang w:eastAsia="en-GB" w:bidi="ar-SA"/>
        </w:rPr>
        <w:t>-Meiera</w:t>
      </w:r>
    </w:p>
    <w:p w:rsidR="00AE6D42" w:rsidRPr="00ED7F0F" w:rsidRDefault="00AE6D42" w:rsidP="00122C9F">
      <w:pPr>
        <w:tabs>
          <w:tab w:val="clear" w:pos="567"/>
        </w:tabs>
        <w:spacing w:line="259" w:lineRule="auto"/>
        <w:ind w:left="-284"/>
        <w:jc w:val="right"/>
      </w:pPr>
      <w:r w:rsidRPr="00ED7F0F">
        <w:rPr>
          <w:rFonts w:eastAsia="Calibri"/>
          <w:noProof/>
          <w:lang w:bidi="ar-SA"/>
        </w:rPr>
        <mc:AlternateContent>
          <mc:Choice Requires="wpg">
            <w:drawing>
              <wp:inline distT="0" distB="0" distL="0" distR="0" wp14:anchorId="35480B7E" wp14:editId="27EDC268">
                <wp:extent cx="5127938" cy="2499360"/>
                <wp:effectExtent l="0" t="0" r="0" b="0"/>
                <wp:docPr id="173197" name="Group 173197"/>
                <wp:cNvGraphicFramePr/>
                <a:graphic xmlns:a="http://schemas.openxmlformats.org/drawingml/2006/main">
                  <a:graphicData uri="http://schemas.microsoft.com/office/word/2010/wordprocessingGroup">
                    <wpg:wgp>
                      <wpg:cNvGrpSpPr/>
                      <wpg:grpSpPr>
                        <a:xfrm>
                          <a:off x="0" y="0"/>
                          <a:ext cx="5127938" cy="2499360"/>
                          <a:chOff x="0" y="0"/>
                          <a:chExt cx="5127938" cy="2499360"/>
                        </a:xfrm>
                      </wpg:grpSpPr>
                      <pic:pic xmlns:pic="http://schemas.openxmlformats.org/drawingml/2006/picture">
                        <pic:nvPicPr>
                          <pic:cNvPr id="2938" name="Picture 2938"/>
                          <pic:cNvPicPr/>
                        </pic:nvPicPr>
                        <pic:blipFill>
                          <a:blip r:embed="rId9"/>
                          <a:stretch>
                            <a:fillRect/>
                          </a:stretch>
                        </pic:blipFill>
                        <pic:spPr>
                          <a:xfrm>
                            <a:off x="302191" y="0"/>
                            <a:ext cx="4825746" cy="2499360"/>
                          </a:xfrm>
                          <a:prstGeom prst="rect">
                            <a:avLst/>
                          </a:prstGeom>
                        </pic:spPr>
                      </pic:pic>
                      <wps:wsp>
                        <wps:cNvPr id="2973" name="Rectangle 2973"/>
                        <wps:cNvSpPr/>
                        <wps:spPr>
                          <a:xfrm rot="-5399999">
                            <a:off x="-794554" y="731947"/>
                            <a:ext cx="1716909" cy="127800"/>
                          </a:xfrm>
                          <a:prstGeom prst="rect">
                            <a:avLst/>
                          </a:prstGeom>
                          <a:ln>
                            <a:noFill/>
                          </a:ln>
                        </wps:spPr>
                        <wps:txbx>
                          <w:txbxContent>
                            <w:p w:rsidR="004E7831" w:rsidRDefault="004E7831" w:rsidP="00AE6D42">
                              <w:pPr>
                                <w:spacing w:after="160" w:line="259" w:lineRule="auto"/>
                              </w:pPr>
                              <w:r>
                                <w:rPr>
                                  <w:b/>
                                  <w:sz w:val="17"/>
                                </w:rPr>
                                <w:t xml:space="preserve">PODIEL RESPONDÉROV </w:t>
                              </w:r>
                            </w:p>
                          </w:txbxContent>
                        </wps:txbx>
                        <wps:bodyPr horzOverflow="overflow" vert="horz" lIns="0" tIns="0" rIns="0" bIns="0" rtlCol="0">
                          <a:noAutofit/>
                        </wps:bodyPr>
                      </wps:wsp>
                    </wpg:wgp>
                  </a:graphicData>
                </a:graphic>
              </wp:inline>
            </w:drawing>
          </mc:Choice>
          <mc:Fallback>
            <w:pict>
              <v:group w14:anchorId="35480B7E" id="Group 173197" o:spid="_x0000_s1026" style="width:403.75pt;height:196.8pt;mso-position-horizontal-relative:char;mso-position-vertical-relative:line" coordsize="51279,2499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38" o:spid="_x0000_s1027" type="#_x0000_t75" style="position:absolute;left:3021;width:48258;height:249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JbKHCAAAA3QAAAA8AAABkcnMvZG93bnJldi54bWxET8uKwjAU3Q/4D+EK7sZUhTJWo4giuHFk&#10;6mN9aa5NsbkpTbT17yeLgVkeznu57m0tXtT6yrGCyTgBQVw4XXGp4HLef36B8AFZY+2YFLzJw3o1&#10;+Fhipl3HP/TKQyliCPsMFZgQmkxKXxiy6MeuIY7c3bUWQ4RtKXWLXQy3tZwmSSotVhwbDDa0NVQ8&#10;8qdVMNudLt38+v043p6nfN+UKZs0VWo07DcLEIH68C/+cx+0gul8FufGN/EJyNU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yyWyhwgAAAN0AAAAPAAAAAAAAAAAAAAAAAJ8C&#10;AABkcnMvZG93bnJldi54bWxQSwUGAAAAAAQABAD3AAAAjgMAAAAA&#10;">
                  <v:imagedata r:id="rId10" o:title=""/>
                </v:shape>
                <v:rect id="Rectangle 2973" o:spid="_x0000_s1028" style="position:absolute;left:-7946;top:7320;width:17169;height:127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QpH8cA&#10;AADdAAAADwAAAGRycy9kb3ducmV2LnhtbESPW2vCQBSE3wv9D8sp9K1utKVqdBUplPSlgld8PGZP&#10;Lpg9m2bXJP77rlDo4zAz3zDzZW8q0VLjSssKhoMIBHFqdcm5gv3u82UCwnlkjZVlUnAjB8vF48Mc&#10;Y2073lC79bkIEHYxKii8r2MpXVqQQTewNXHwMtsY9EE2udQNdgFuKjmKondpsOSwUGBNHwWll+3V&#10;KDgMd9dj4tZnPmU/47dvn6yzPFHq+alfzUB46v1/+K/9pRWMpuNXuL8JT0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bEKR/HAAAA3QAAAA8AAAAAAAAAAAAAAAAAmAIAAGRy&#10;cy9kb3ducmV2LnhtbFBLBQYAAAAABAAEAPUAAACMAwAAAAA=&#10;" filled="f" stroked="f">
                  <v:textbox inset="0,0,0,0">
                    <w:txbxContent>
                      <w:p w:rsidR="004E7831" w:rsidRDefault="004E7831" w:rsidP="00AE6D42">
                        <w:pPr>
                          <w:spacing w:after="160" w:line="259" w:lineRule="auto"/>
                        </w:pPr>
                        <w:r>
                          <w:rPr>
                            <w:b/>
                            <w:sz w:val="17"/>
                          </w:rPr>
                          <w:t xml:space="preserve">PODIEL RESPONDÉROV </w:t>
                        </w:r>
                      </w:p>
                    </w:txbxContent>
                  </v:textbox>
                </v:rect>
                <w10:anchorlock/>
              </v:group>
            </w:pict>
          </mc:Fallback>
        </mc:AlternateContent>
      </w:r>
      <w:r w:rsidRPr="00ED7F0F">
        <w:t xml:space="preserve"> </w:t>
      </w:r>
    </w:p>
    <w:p w:rsidR="00AE6D42" w:rsidRPr="00ED7F0F" w:rsidRDefault="00AE6D42" w:rsidP="00122C9F">
      <w:pPr>
        <w:tabs>
          <w:tab w:val="clear" w:pos="567"/>
          <w:tab w:val="center" w:pos="568"/>
          <w:tab w:val="center" w:pos="1100"/>
          <w:tab w:val="center" w:pos="1634"/>
          <w:tab w:val="center" w:pos="2167"/>
          <w:tab w:val="center" w:pos="2701"/>
          <w:tab w:val="center" w:pos="3234"/>
          <w:tab w:val="center" w:pos="3768"/>
          <w:tab w:val="center" w:pos="4301"/>
          <w:tab w:val="center" w:pos="4835"/>
          <w:tab w:val="center" w:pos="5369"/>
          <w:tab w:val="center" w:pos="5903"/>
          <w:tab w:val="center" w:pos="6436"/>
          <w:tab w:val="center" w:pos="7364"/>
        </w:tabs>
        <w:spacing w:line="259" w:lineRule="auto"/>
        <w:jc w:val="right"/>
      </w:pPr>
      <w:r w:rsidRPr="00ED7F0F">
        <w:rPr>
          <w:b/>
          <w:sz w:val="17"/>
        </w:rPr>
        <w:t>MESIACE</w:t>
      </w:r>
    </w:p>
    <w:p w:rsidR="00AE6D42" w:rsidRPr="00ED7F0F" w:rsidRDefault="00AE6D42" w:rsidP="00122C9F">
      <w:pPr>
        <w:spacing w:after="1" w:line="259" w:lineRule="auto"/>
        <w:ind w:left="34"/>
      </w:pPr>
    </w:p>
    <w:p w:rsidR="00AE6D42" w:rsidRPr="00ED7F0F" w:rsidRDefault="00AE6D42" w:rsidP="00122C9F">
      <w:pPr>
        <w:tabs>
          <w:tab w:val="center" w:pos="1634"/>
          <w:tab w:val="center" w:pos="2166"/>
          <w:tab w:val="center" w:pos="2700"/>
          <w:tab w:val="center" w:pos="3233"/>
          <w:tab w:val="center" w:pos="3767"/>
          <w:tab w:val="center" w:pos="4300"/>
          <w:tab w:val="center" w:pos="5375"/>
        </w:tabs>
        <w:spacing w:line="261" w:lineRule="auto"/>
      </w:pPr>
      <w:r w:rsidRPr="00ED7F0F">
        <w:rPr>
          <w:b/>
          <w:sz w:val="17"/>
        </w:rPr>
        <w:t xml:space="preserve">   ___</w:t>
      </w:r>
      <w:r w:rsidRPr="00ED7F0F">
        <w:rPr>
          <w:sz w:val="17"/>
        </w:rPr>
        <w:t xml:space="preserve">Dasatinib </w:t>
      </w:r>
      <w:r w:rsidRPr="00ED7F0F">
        <w:rPr>
          <w:sz w:val="17"/>
        </w:rPr>
        <w:tab/>
        <w:t xml:space="preserve"> </w:t>
      </w:r>
      <w:r w:rsidRPr="00ED7F0F">
        <w:rPr>
          <w:sz w:val="17"/>
        </w:rPr>
        <w:tab/>
        <w:t xml:space="preserve"> </w:t>
      </w:r>
      <w:r w:rsidRPr="00ED7F0F">
        <w:rPr>
          <w:sz w:val="17"/>
        </w:rPr>
        <w:tab/>
        <w:t xml:space="preserve"> </w:t>
      </w:r>
      <w:r w:rsidRPr="00ED7F0F">
        <w:rPr>
          <w:sz w:val="17"/>
        </w:rPr>
        <w:tab/>
        <w:t xml:space="preserve"> </w:t>
      </w:r>
      <w:r w:rsidRPr="00ED7F0F">
        <w:rPr>
          <w:sz w:val="17"/>
        </w:rPr>
        <w:tab/>
        <w:t xml:space="preserve"> </w:t>
      </w:r>
      <w:r w:rsidRPr="00ED7F0F">
        <w:rPr>
          <w:sz w:val="17"/>
        </w:rPr>
        <w:tab/>
        <w:t xml:space="preserve"> </w:t>
      </w:r>
      <w:r w:rsidRPr="00ED7F0F">
        <w:rPr>
          <w:sz w:val="17"/>
        </w:rPr>
        <w:tab/>
        <w:t xml:space="preserve">   ------Imatinib</w:t>
      </w:r>
    </w:p>
    <w:p w:rsidR="00AE6D42" w:rsidRPr="00ED7F0F" w:rsidRDefault="00AE6D42" w:rsidP="00122C9F">
      <w:pPr>
        <w:tabs>
          <w:tab w:val="center" w:pos="1635"/>
          <w:tab w:val="center" w:pos="2167"/>
          <w:tab w:val="center" w:pos="2701"/>
          <w:tab w:val="center" w:pos="3234"/>
          <w:tab w:val="center" w:pos="3768"/>
          <w:tab w:val="center" w:pos="4301"/>
          <w:tab w:val="center" w:pos="5475"/>
        </w:tabs>
        <w:spacing w:line="261" w:lineRule="auto"/>
      </w:pPr>
      <w:r w:rsidRPr="00ED7F0F">
        <w:rPr>
          <w:noProof/>
          <w:lang w:bidi="ar-SA"/>
        </w:rPr>
        <w:drawing>
          <wp:inline distT="0" distB="0" distL="0" distR="0" wp14:anchorId="6747DD41" wp14:editId="4AFFFFC6">
            <wp:extent cx="351282" cy="82296"/>
            <wp:effectExtent l="0" t="0" r="0" b="0"/>
            <wp:docPr id="2946" name="Picture 2946"/>
            <wp:cNvGraphicFramePr/>
            <a:graphic xmlns:a="http://schemas.openxmlformats.org/drawingml/2006/main">
              <a:graphicData uri="http://schemas.openxmlformats.org/drawingml/2006/picture">
                <pic:pic xmlns:pic="http://schemas.openxmlformats.org/drawingml/2006/picture">
                  <pic:nvPicPr>
                    <pic:cNvPr id="2946" name="Picture 2946"/>
                    <pic:cNvPicPr/>
                  </pic:nvPicPr>
                  <pic:blipFill>
                    <a:blip r:embed="rId11"/>
                    <a:stretch>
                      <a:fillRect/>
                    </a:stretch>
                  </pic:blipFill>
                  <pic:spPr>
                    <a:xfrm>
                      <a:off x="0" y="0"/>
                      <a:ext cx="351282" cy="82296"/>
                    </a:xfrm>
                    <a:prstGeom prst="rect">
                      <a:avLst/>
                    </a:prstGeom>
                  </pic:spPr>
                </pic:pic>
              </a:graphicData>
            </a:graphic>
          </wp:inline>
        </w:drawing>
      </w:r>
      <w:r w:rsidRPr="00ED7F0F">
        <w:rPr>
          <w:sz w:val="17"/>
        </w:rPr>
        <w:t xml:space="preserve">Cenzurovaní </w:t>
      </w:r>
      <w:r w:rsidRPr="00ED7F0F">
        <w:rPr>
          <w:sz w:val="17"/>
        </w:rPr>
        <w:tab/>
        <w:t xml:space="preserve"> </w:t>
      </w:r>
      <w:r w:rsidRPr="00ED7F0F">
        <w:rPr>
          <w:sz w:val="17"/>
        </w:rPr>
        <w:tab/>
        <w:t xml:space="preserve"> </w:t>
      </w:r>
      <w:r w:rsidRPr="00ED7F0F">
        <w:rPr>
          <w:sz w:val="17"/>
        </w:rPr>
        <w:tab/>
        <w:t xml:space="preserve"> </w:t>
      </w:r>
      <w:r w:rsidRPr="00ED7F0F">
        <w:rPr>
          <w:sz w:val="17"/>
        </w:rPr>
        <w:tab/>
        <w:t xml:space="preserve"> </w:t>
      </w:r>
      <w:r w:rsidRPr="00ED7F0F">
        <w:rPr>
          <w:sz w:val="17"/>
        </w:rPr>
        <w:tab/>
        <w:t xml:space="preserve"> </w:t>
      </w:r>
      <w:r w:rsidRPr="00ED7F0F">
        <w:rPr>
          <w:sz w:val="17"/>
        </w:rPr>
        <w:tab/>
        <w:t xml:space="preserve"> </w:t>
      </w:r>
      <w:r w:rsidRPr="00ED7F0F">
        <w:rPr>
          <w:sz w:val="17"/>
        </w:rPr>
        <w:tab/>
      </w:r>
      <w:r w:rsidRPr="00ED7F0F">
        <w:rPr>
          <w:noProof/>
          <w:lang w:bidi="ar-SA"/>
        </w:rPr>
        <w:drawing>
          <wp:inline distT="0" distB="0" distL="0" distR="0" wp14:anchorId="5A041DC1" wp14:editId="6AF6523F">
            <wp:extent cx="262128" cy="82296"/>
            <wp:effectExtent l="0" t="0" r="0" b="0"/>
            <wp:docPr id="2949" name="Picture 2949"/>
            <wp:cNvGraphicFramePr/>
            <a:graphic xmlns:a="http://schemas.openxmlformats.org/drawingml/2006/main">
              <a:graphicData uri="http://schemas.openxmlformats.org/drawingml/2006/picture">
                <pic:pic xmlns:pic="http://schemas.openxmlformats.org/drawingml/2006/picture">
                  <pic:nvPicPr>
                    <pic:cNvPr id="2949" name="Picture 2949"/>
                    <pic:cNvPicPr/>
                  </pic:nvPicPr>
                  <pic:blipFill>
                    <a:blip r:embed="rId12"/>
                    <a:stretch>
                      <a:fillRect/>
                    </a:stretch>
                  </pic:blipFill>
                  <pic:spPr>
                    <a:xfrm>
                      <a:off x="0" y="0"/>
                      <a:ext cx="262128" cy="82296"/>
                    </a:xfrm>
                    <a:prstGeom prst="rect">
                      <a:avLst/>
                    </a:prstGeom>
                  </pic:spPr>
                </pic:pic>
              </a:graphicData>
            </a:graphic>
          </wp:inline>
        </w:drawing>
      </w:r>
      <w:r w:rsidRPr="00ED7F0F">
        <w:rPr>
          <w:sz w:val="17"/>
        </w:rPr>
        <w:t>Cenzurovaní</w:t>
      </w:r>
    </w:p>
    <w:p w:rsidR="00AE6D42" w:rsidRPr="00ED7F0F" w:rsidRDefault="00AE6D42" w:rsidP="00122C9F">
      <w:pPr>
        <w:spacing w:line="259" w:lineRule="auto"/>
        <w:ind w:left="34"/>
      </w:pPr>
    </w:p>
    <w:p w:rsidR="00AE6D42" w:rsidRPr="00ED7F0F" w:rsidRDefault="00AE6D42" w:rsidP="00122C9F">
      <w:pPr>
        <w:tabs>
          <w:tab w:val="center" w:pos="1101"/>
          <w:tab w:val="center" w:pos="1635"/>
          <w:tab w:val="center" w:pos="2167"/>
          <w:tab w:val="center" w:pos="4177"/>
          <w:tab w:val="center" w:pos="5902"/>
          <w:tab w:val="center" w:pos="7394"/>
        </w:tabs>
        <w:spacing w:line="259" w:lineRule="auto"/>
      </w:pPr>
      <w:r w:rsidRPr="00ED7F0F">
        <w:rPr>
          <w:sz w:val="17"/>
          <w:u w:val="single" w:color="000000"/>
        </w:rPr>
        <w:t xml:space="preserve">SKUPINA </w:t>
      </w:r>
      <w:r w:rsidRPr="00ED7F0F">
        <w:rPr>
          <w:sz w:val="17"/>
          <w:u w:val="single" w:color="000000"/>
        </w:rPr>
        <w:tab/>
        <w:t xml:space="preserve"> </w:t>
      </w:r>
      <w:r w:rsidRPr="00ED7F0F">
        <w:rPr>
          <w:sz w:val="17"/>
          <w:u w:val="single" w:color="000000"/>
        </w:rPr>
        <w:tab/>
        <w:t xml:space="preserve"> </w:t>
      </w:r>
      <w:r w:rsidRPr="00ED7F0F">
        <w:rPr>
          <w:sz w:val="17"/>
          <w:u w:val="single" w:color="000000"/>
        </w:rPr>
        <w:tab/>
        <w:t xml:space="preserve"> </w:t>
      </w:r>
      <w:r w:rsidRPr="00ED7F0F">
        <w:rPr>
          <w:sz w:val="17"/>
          <w:u w:val="single" w:color="000000"/>
        </w:rPr>
        <w:tab/>
        <w:t># RESPONDÉR</w:t>
      </w:r>
      <w:r w:rsidR="00C62460" w:rsidRPr="00ED7F0F">
        <w:rPr>
          <w:sz w:val="17"/>
          <w:u w:val="single" w:color="000000"/>
        </w:rPr>
        <w:t>I</w:t>
      </w:r>
      <w:r w:rsidRPr="00ED7F0F">
        <w:rPr>
          <w:sz w:val="17"/>
          <w:u w:val="single" w:color="000000"/>
        </w:rPr>
        <w:t xml:space="preserve"> / # RANDOMIZOVANÍ </w:t>
      </w:r>
      <w:r w:rsidRPr="00ED7F0F">
        <w:rPr>
          <w:sz w:val="17"/>
          <w:u w:val="single" w:color="000000"/>
        </w:rPr>
        <w:tab/>
        <w:t xml:space="preserve"> </w:t>
      </w:r>
      <w:r w:rsidRPr="00ED7F0F">
        <w:rPr>
          <w:sz w:val="17"/>
          <w:u w:val="single" w:color="000000"/>
        </w:rPr>
        <w:tab/>
        <w:t>POMER RIZIKA (95 % CI)</w:t>
      </w:r>
    </w:p>
    <w:p w:rsidR="00AE6D42" w:rsidRPr="00ED7F0F" w:rsidRDefault="00AE6D42" w:rsidP="00122C9F">
      <w:pPr>
        <w:spacing w:line="259" w:lineRule="auto"/>
        <w:ind w:left="34"/>
      </w:pPr>
    </w:p>
    <w:p w:rsidR="000D39F2" w:rsidRPr="00ED7F0F" w:rsidRDefault="00AE6D42" w:rsidP="00122C9F">
      <w:pPr>
        <w:spacing w:line="261" w:lineRule="auto"/>
        <w:ind w:left="29"/>
        <w:rPr>
          <w:sz w:val="17"/>
        </w:rPr>
      </w:pPr>
      <w:r w:rsidRPr="00ED7F0F">
        <w:rPr>
          <w:sz w:val="17"/>
        </w:rPr>
        <w:t>Dasatinib</w:t>
      </w:r>
      <w:r w:rsidR="000D39F2" w:rsidRPr="00ED7F0F">
        <w:rPr>
          <w:sz w:val="17"/>
        </w:rPr>
        <w:tab/>
      </w:r>
      <w:r w:rsidR="000D39F2" w:rsidRPr="00ED7F0F">
        <w:rPr>
          <w:sz w:val="17"/>
        </w:rPr>
        <w:tab/>
      </w:r>
      <w:r w:rsidR="000D39F2" w:rsidRPr="00ED7F0F">
        <w:rPr>
          <w:sz w:val="17"/>
        </w:rPr>
        <w:tab/>
      </w:r>
      <w:r w:rsidR="000D39F2" w:rsidRPr="00ED7F0F">
        <w:rPr>
          <w:sz w:val="17"/>
        </w:rPr>
        <w:tab/>
      </w:r>
      <w:r w:rsidRPr="00ED7F0F">
        <w:rPr>
          <w:sz w:val="17"/>
        </w:rPr>
        <w:t>198/259</w:t>
      </w:r>
    </w:p>
    <w:p w:rsidR="00AE6D42" w:rsidRPr="00ED7F0F" w:rsidRDefault="00AE6D42" w:rsidP="00122C9F">
      <w:pPr>
        <w:spacing w:line="261" w:lineRule="auto"/>
        <w:ind w:left="29"/>
      </w:pPr>
      <w:r w:rsidRPr="00ED7F0F">
        <w:rPr>
          <w:sz w:val="17"/>
        </w:rPr>
        <w:t>Imatinib</w:t>
      </w:r>
      <w:r w:rsidR="000D39F2" w:rsidRPr="00ED7F0F">
        <w:rPr>
          <w:sz w:val="17"/>
        </w:rPr>
        <w:tab/>
      </w:r>
      <w:r w:rsidR="000D39F2" w:rsidRPr="00ED7F0F">
        <w:rPr>
          <w:sz w:val="17"/>
        </w:rPr>
        <w:tab/>
      </w:r>
      <w:r w:rsidR="000D39F2" w:rsidRPr="00ED7F0F">
        <w:rPr>
          <w:sz w:val="17"/>
        </w:rPr>
        <w:tab/>
      </w:r>
      <w:r w:rsidR="000D39F2" w:rsidRPr="00ED7F0F">
        <w:rPr>
          <w:sz w:val="17"/>
        </w:rPr>
        <w:tab/>
      </w:r>
      <w:r w:rsidRPr="00ED7F0F">
        <w:rPr>
          <w:sz w:val="17"/>
        </w:rPr>
        <w:t>167/260</w:t>
      </w:r>
    </w:p>
    <w:p w:rsidR="00AE6D42" w:rsidRPr="00ED7F0F" w:rsidRDefault="00AE6D42" w:rsidP="00122C9F">
      <w:pPr>
        <w:tabs>
          <w:tab w:val="center" w:pos="2169"/>
          <w:tab w:val="center" w:pos="3316"/>
        </w:tabs>
        <w:spacing w:line="261" w:lineRule="auto"/>
      </w:pPr>
      <w:r w:rsidRPr="00ED7F0F">
        <w:rPr>
          <w:sz w:val="17"/>
        </w:rPr>
        <w:t xml:space="preserve">Dasatinib </w:t>
      </w:r>
      <w:r w:rsidR="00C62460" w:rsidRPr="00ED7F0F">
        <w:rPr>
          <w:sz w:val="17"/>
        </w:rPr>
        <w:t>v porovnaní s</w:t>
      </w:r>
      <w:r w:rsidRPr="00ED7F0F">
        <w:rPr>
          <w:sz w:val="17"/>
        </w:rPr>
        <w:t xml:space="preserve"> imatinibom</w:t>
      </w:r>
      <w:r w:rsidRPr="00ED7F0F">
        <w:rPr>
          <w:sz w:val="17"/>
        </w:rPr>
        <w:tab/>
      </w:r>
      <w:r w:rsidR="000D39F2" w:rsidRPr="00ED7F0F">
        <w:rPr>
          <w:sz w:val="17"/>
        </w:rPr>
        <w:tab/>
      </w:r>
      <w:r w:rsidR="000D39F2" w:rsidRPr="00ED7F0F">
        <w:rPr>
          <w:sz w:val="17"/>
        </w:rPr>
        <w:tab/>
      </w:r>
      <w:r w:rsidR="000D39F2" w:rsidRPr="00ED7F0F">
        <w:rPr>
          <w:sz w:val="17"/>
        </w:rPr>
        <w:tab/>
      </w:r>
      <w:r w:rsidR="000D39F2" w:rsidRPr="00ED7F0F">
        <w:rPr>
          <w:sz w:val="17"/>
        </w:rPr>
        <w:tab/>
      </w:r>
      <w:r w:rsidR="000D39F2" w:rsidRPr="00ED7F0F">
        <w:rPr>
          <w:sz w:val="17"/>
        </w:rPr>
        <w:tab/>
      </w:r>
      <w:r w:rsidR="000D39F2" w:rsidRPr="00ED7F0F">
        <w:rPr>
          <w:sz w:val="17"/>
        </w:rPr>
        <w:tab/>
      </w:r>
      <w:r w:rsidR="000D39F2" w:rsidRPr="00ED7F0F">
        <w:rPr>
          <w:sz w:val="17"/>
        </w:rPr>
        <w:tab/>
      </w:r>
      <w:r w:rsidRPr="00ED7F0F">
        <w:rPr>
          <w:sz w:val="17"/>
        </w:rPr>
        <w:t>1,54 ( 1,25 - 1,89)</w:t>
      </w:r>
    </w:p>
    <w:p w:rsidR="00AE6D42" w:rsidRPr="00ED7F0F" w:rsidRDefault="00AE6D42" w:rsidP="00122C9F">
      <w:pPr>
        <w:spacing w:after="22" w:line="259" w:lineRule="auto"/>
        <w:ind w:left="34"/>
      </w:pPr>
    </w:p>
    <w:p w:rsidR="00AE6D42" w:rsidRPr="00ED7F0F" w:rsidRDefault="00AE6D42" w:rsidP="00122C9F">
      <w:pPr>
        <w:ind w:left="29"/>
      </w:pPr>
      <w:r w:rsidRPr="00ED7F0F">
        <w:t>Miery cCCyR v</w:t>
      </w:r>
      <w:r w:rsidR="001D4B44" w:rsidRPr="00ED7F0F">
        <w:t> </w:t>
      </w:r>
      <w:r w:rsidR="000D39F2" w:rsidRPr="00ED7F0F">
        <w:t>dasatinibom</w:t>
      </w:r>
      <w:r w:rsidRPr="00ED7F0F">
        <w:t xml:space="preserve"> a imatinibom liečenej skupine, v</w:t>
      </w:r>
      <w:r w:rsidR="000D39F2" w:rsidRPr="00ED7F0F">
        <w:t> </w:t>
      </w:r>
      <w:r w:rsidRPr="00ED7F0F">
        <w:t>uvedenom poradí, počas 3</w:t>
      </w:r>
      <w:r w:rsidR="000D39F2" w:rsidRPr="00ED7F0F">
        <w:t> </w:t>
      </w:r>
      <w:r w:rsidRPr="00ED7F0F">
        <w:t>mesiacov (54</w:t>
      </w:r>
      <w:r w:rsidR="001D4B44" w:rsidRPr="00ED7F0F">
        <w:t> </w:t>
      </w:r>
      <w:r w:rsidRPr="00ED7F0F">
        <w:t>% a</w:t>
      </w:r>
      <w:r w:rsidR="001D4B44" w:rsidRPr="00ED7F0F">
        <w:t> </w:t>
      </w:r>
      <w:r w:rsidRPr="00ED7F0F">
        <w:t>30</w:t>
      </w:r>
      <w:r w:rsidR="001D4B44" w:rsidRPr="00ED7F0F">
        <w:t> </w:t>
      </w:r>
      <w:r w:rsidRPr="00ED7F0F">
        <w:t>%), počas 6 mesiacov (70</w:t>
      </w:r>
      <w:r w:rsidR="001D4B44" w:rsidRPr="00ED7F0F">
        <w:t> </w:t>
      </w:r>
      <w:r w:rsidRPr="00ED7F0F">
        <w:t>% a</w:t>
      </w:r>
      <w:r w:rsidR="001D4B44" w:rsidRPr="00ED7F0F">
        <w:t> </w:t>
      </w:r>
      <w:r w:rsidRPr="00ED7F0F">
        <w:t>56</w:t>
      </w:r>
      <w:r w:rsidR="001D4B44" w:rsidRPr="00ED7F0F">
        <w:t> </w:t>
      </w:r>
      <w:r w:rsidRPr="00ED7F0F">
        <w:t>%), a počas 9</w:t>
      </w:r>
      <w:r w:rsidR="001D4B44" w:rsidRPr="00ED7F0F">
        <w:t> </w:t>
      </w:r>
      <w:r w:rsidRPr="00ED7F0F">
        <w:t>mesiacov (75</w:t>
      </w:r>
      <w:r w:rsidR="001D4B44" w:rsidRPr="00ED7F0F">
        <w:t> </w:t>
      </w:r>
      <w:r w:rsidRPr="00ED7F0F">
        <w:t>% a</w:t>
      </w:r>
      <w:r w:rsidR="001D4B44" w:rsidRPr="00ED7F0F">
        <w:t> </w:t>
      </w:r>
      <w:r w:rsidRPr="00ED7F0F">
        <w:t>63</w:t>
      </w:r>
      <w:r w:rsidR="001D4B44" w:rsidRPr="00ED7F0F">
        <w:t> </w:t>
      </w:r>
      <w:r w:rsidRPr="00ED7F0F">
        <w:t>%), počas 24 mesiacov (80</w:t>
      </w:r>
      <w:r w:rsidR="001D4B44" w:rsidRPr="00ED7F0F">
        <w:t> </w:t>
      </w:r>
      <w:r w:rsidRPr="00ED7F0F">
        <w:t>% a</w:t>
      </w:r>
      <w:r w:rsidR="001D4B44" w:rsidRPr="00ED7F0F">
        <w:t> </w:t>
      </w:r>
      <w:r w:rsidRPr="00ED7F0F">
        <w:t>74</w:t>
      </w:r>
      <w:r w:rsidR="001D4B44" w:rsidRPr="00ED7F0F">
        <w:t> </w:t>
      </w:r>
      <w:r w:rsidRPr="00ED7F0F">
        <w:t>%), počas 36</w:t>
      </w:r>
      <w:r w:rsidR="001D4B44" w:rsidRPr="00ED7F0F">
        <w:t> </w:t>
      </w:r>
      <w:r w:rsidRPr="00ED7F0F">
        <w:t>mesiacov (83</w:t>
      </w:r>
      <w:r w:rsidR="001D4B44" w:rsidRPr="00ED7F0F">
        <w:t> </w:t>
      </w:r>
      <w:r w:rsidRPr="00ED7F0F">
        <w:t>% a</w:t>
      </w:r>
      <w:r w:rsidR="001D4B44" w:rsidRPr="00ED7F0F">
        <w:t> </w:t>
      </w:r>
      <w:r w:rsidRPr="00ED7F0F">
        <w:t>77</w:t>
      </w:r>
      <w:r w:rsidR="001D4B44" w:rsidRPr="00ED7F0F">
        <w:t> </w:t>
      </w:r>
      <w:r w:rsidRPr="00ED7F0F">
        <w:t>%), počas 48</w:t>
      </w:r>
      <w:r w:rsidR="001D4B44" w:rsidRPr="00ED7F0F">
        <w:t> </w:t>
      </w:r>
      <w:r w:rsidRPr="00ED7F0F">
        <w:t>mesiacov (83</w:t>
      </w:r>
      <w:r w:rsidR="001D4B44" w:rsidRPr="00ED7F0F">
        <w:t> </w:t>
      </w:r>
      <w:r w:rsidRPr="00ED7F0F">
        <w:t>% a</w:t>
      </w:r>
      <w:r w:rsidR="001D4B44" w:rsidRPr="00ED7F0F">
        <w:t> </w:t>
      </w:r>
      <w:r w:rsidRPr="00ED7F0F">
        <w:t>79</w:t>
      </w:r>
      <w:r w:rsidR="001D4B44" w:rsidRPr="00ED7F0F">
        <w:t> </w:t>
      </w:r>
      <w:r w:rsidRPr="00ED7F0F">
        <w:t>%) a počas 60</w:t>
      </w:r>
      <w:r w:rsidR="001D4B44" w:rsidRPr="00ED7F0F">
        <w:t> </w:t>
      </w:r>
      <w:r w:rsidRPr="00ED7F0F">
        <w:t>mesiacov (83</w:t>
      </w:r>
      <w:r w:rsidR="001D4B44" w:rsidRPr="00ED7F0F">
        <w:t> </w:t>
      </w:r>
      <w:r w:rsidRPr="00ED7F0F">
        <w:t>% a</w:t>
      </w:r>
      <w:r w:rsidR="001D4B44" w:rsidRPr="00ED7F0F">
        <w:t> </w:t>
      </w:r>
      <w:r w:rsidRPr="00ED7F0F">
        <w:t>79</w:t>
      </w:r>
      <w:r w:rsidR="001D4B44" w:rsidRPr="00ED7F0F">
        <w:t> </w:t>
      </w:r>
      <w:r w:rsidRPr="00ED7F0F">
        <w:t>%) boli zhodné s</w:t>
      </w:r>
      <w:r w:rsidR="001D4B44" w:rsidRPr="00ED7F0F">
        <w:t> </w:t>
      </w:r>
      <w:r w:rsidRPr="00ED7F0F">
        <w:t>primárnym koncovým ukazovateľom. Miery MMR v</w:t>
      </w:r>
      <w:r w:rsidR="001D4B44" w:rsidRPr="00ED7F0F">
        <w:t> dasatinibom</w:t>
      </w:r>
      <w:r w:rsidRPr="00ED7F0F">
        <w:t xml:space="preserve"> a imatinibom liečenej skupine, v</w:t>
      </w:r>
      <w:r w:rsidR="001D4B44" w:rsidRPr="00ED7F0F">
        <w:t> </w:t>
      </w:r>
      <w:r w:rsidRPr="00ED7F0F">
        <w:t>uvedenom poradí počas 3</w:t>
      </w:r>
      <w:r w:rsidR="001D4B44" w:rsidRPr="00ED7F0F">
        <w:t> </w:t>
      </w:r>
      <w:r w:rsidRPr="00ED7F0F">
        <w:t>mesiacov (8</w:t>
      </w:r>
      <w:r w:rsidR="001D4B44" w:rsidRPr="00ED7F0F">
        <w:t> </w:t>
      </w:r>
      <w:r w:rsidRPr="00ED7F0F">
        <w:t>% a 0,4</w:t>
      </w:r>
      <w:r w:rsidR="001D4B44" w:rsidRPr="00ED7F0F">
        <w:t> </w:t>
      </w:r>
      <w:r w:rsidRPr="00ED7F0F">
        <w:t>%), 6</w:t>
      </w:r>
      <w:r w:rsidR="001D4B44" w:rsidRPr="00ED7F0F">
        <w:t> </w:t>
      </w:r>
      <w:r w:rsidRPr="00ED7F0F">
        <w:t>mesiacov (27</w:t>
      </w:r>
      <w:r w:rsidR="001D4B44" w:rsidRPr="00ED7F0F">
        <w:t> </w:t>
      </w:r>
      <w:r w:rsidRPr="00ED7F0F">
        <w:t>% a</w:t>
      </w:r>
      <w:r w:rsidR="001D4B44" w:rsidRPr="00ED7F0F">
        <w:t> </w:t>
      </w:r>
      <w:r w:rsidRPr="00ED7F0F">
        <w:t>8</w:t>
      </w:r>
      <w:r w:rsidR="001D4B44" w:rsidRPr="00ED7F0F">
        <w:t> </w:t>
      </w:r>
      <w:r w:rsidRPr="00ED7F0F">
        <w:t>%), 9</w:t>
      </w:r>
      <w:r w:rsidR="001D4B44" w:rsidRPr="00ED7F0F">
        <w:t> </w:t>
      </w:r>
      <w:r w:rsidRPr="00ED7F0F">
        <w:t>mesiacov (39</w:t>
      </w:r>
      <w:r w:rsidR="001D4B44" w:rsidRPr="00ED7F0F">
        <w:t> </w:t>
      </w:r>
      <w:r w:rsidRPr="00ED7F0F">
        <w:t>% a</w:t>
      </w:r>
      <w:r w:rsidR="001D4B44" w:rsidRPr="00ED7F0F">
        <w:t> </w:t>
      </w:r>
      <w:r w:rsidRPr="00ED7F0F">
        <w:t>18</w:t>
      </w:r>
      <w:r w:rsidR="001D4B44" w:rsidRPr="00ED7F0F">
        <w:t> </w:t>
      </w:r>
      <w:r w:rsidRPr="00ED7F0F">
        <w:t>%), 12</w:t>
      </w:r>
      <w:r w:rsidR="001D4B44" w:rsidRPr="00ED7F0F">
        <w:t> </w:t>
      </w:r>
      <w:r w:rsidRPr="00ED7F0F">
        <w:t>mesiacov (46</w:t>
      </w:r>
      <w:r w:rsidR="001D4B44" w:rsidRPr="00ED7F0F">
        <w:t> </w:t>
      </w:r>
      <w:r w:rsidRPr="00ED7F0F">
        <w:t>% a</w:t>
      </w:r>
      <w:r w:rsidR="001D4B44" w:rsidRPr="00ED7F0F">
        <w:t> </w:t>
      </w:r>
      <w:r w:rsidRPr="00ED7F0F">
        <w:t>28</w:t>
      </w:r>
      <w:r w:rsidR="001D4B44" w:rsidRPr="00ED7F0F">
        <w:t> </w:t>
      </w:r>
      <w:r w:rsidRPr="00ED7F0F">
        <w:t>%), 24</w:t>
      </w:r>
      <w:r w:rsidR="001D4B44" w:rsidRPr="00ED7F0F">
        <w:t> </w:t>
      </w:r>
      <w:r w:rsidRPr="00ED7F0F">
        <w:t>mesiacov (64</w:t>
      </w:r>
      <w:r w:rsidR="001D4B44" w:rsidRPr="00ED7F0F">
        <w:t> </w:t>
      </w:r>
      <w:r w:rsidRPr="00ED7F0F">
        <w:t>% a</w:t>
      </w:r>
      <w:r w:rsidR="001D4B44" w:rsidRPr="00ED7F0F">
        <w:t> </w:t>
      </w:r>
      <w:r w:rsidRPr="00ED7F0F">
        <w:t>46</w:t>
      </w:r>
      <w:r w:rsidR="001D4B44" w:rsidRPr="00ED7F0F">
        <w:t> </w:t>
      </w:r>
      <w:r w:rsidRPr="00ED7F0F">
        <w:t>%), 36</w:t>
      </w:r>
      <w:r w:rsidR="001D4B44" w:rsidRPr="00ED7F0F">
        <w:t> </w:t>
      </w:r>
      <w:r w:rsidRPr="00ED7F0F">
        <w:t>mesiacov (67</w:t>
      </w:r>
      <w:r w:rsidR="001D4B44" w:rsidRPr="00ED7F0F">
        <w:t> </w:t>
      </w:r>
      <w:r w:rsidRPr="00ED7F0F">
        <w:t>% a</w:t>
      </w:r>
      <w:r w:rsidR="001D4B44" w:rsidRPr="00ED7F0F">
        <w:t> </w:t>
      </w:r>
      <w:r w:rsidRPr="00ED7F0F">
        <w:t>55</w:t>
      </w:r>
      <w:r w:rsidR="001D4B44" w:rsidRPr="00ED7F0F">
        <w:t> </w:t>
      </w:r>
      <w:r w:rsidRPr="00ED7F0F">
        <w:t>%), 48</w:t>
      </w:r>
      <w:r w:rsidR="001D4B44" w:rsidRPr="00ED7F0F">
        <w:t> </w:t>
      </w:r>
      <w:r w:rsidRPr="00ED7F0F">
        <w:t>mesiacov (73</w:t>
      </w:r>
      <w:r w:rsidR="001D4B44" w:rsidRPr="00ED7F0F">
        <w:t> </w:t>
      </w:r>
      <w:r w:rsidRPr="00ED7F0F">
        <w:t>% a</w:t>
      </w:r>
      <w:r w:rsidR="001D4B44" w:rsidRPr="00ED7F0F">
        <w:t> </w:t>
      </w:r>
      <w:r w:rsidRPr="00ED7F0F">
        <w:t>60</w:t>
      </w:r>
      <w:r w:rsidR="001D4B44" w:rsidRPr="00ED7F0F">
        <w:t> </w:t>
      </w:r>
      <w:r w:rsidRPr="00ED7F0F">
        <w:t>%) a počas 60</w:t>
      </w:r>
      <w:r w:rsidR="001D4B44" w:rsidRPr="00ED7F0F">
        <w:t> </w:t>
      </w:r>
      <w:r w:rsidRPr="00ED7F0F">
        <w:t>mesiacov (76</w:t>
      </w:r>
      <w:r w:rsidR="001D4B44" w:rsidRPr="00ED7F0F">
        <w:t> </w:t>
      </w:r>
      <w:r w:rsidRPr="00ED7F0F">
        <w:t>% a</w:t>
      </w:r>
      <w:r w:rsidR="001D4B44" w:rsidRPr="00ED7F0F">
        <w:t> </w:t>
      </w:r>
      <w:r w:rsidRPr="00ED7F0F">
        <w:t>64</w:t>
      </w:r>
      <w:r w:rsidR="001D4B44" w:rsidRPr="00ED7F0F">
        <w:t> </w:t>
      </w:r>
      <w:r w:rsidRPr="00ED7F0F">
        <w:t>%) boli tiež v</w:t>
      </w:r>
      <w:r w:rsidR="001D4B44" w:rsidRPr="00ED7F0F">
        <w:t> </w:t>
      </w:r>
      <w:r w:rsidRPr="00ED7F0F">
        <w:t>zhode s</w:t>
      </w:r>
      <w:r w:rsidR="001D4B44" w:rsidRPr="00ED7F0F">
        <w:t> </w:t>
      </w:r>
      <w:r w:rsidRPr="00ED7F0F">
        <w:t>primárnym koncovým ukazovateľom.</w:t>
      </w:r>
    </w:p>
    <w:p w:rsidR="00AE6D42" w:rsidRPr="00ED7F0F" w:rsidRDefault="00AE6D42" w:rsidP="00122C9F">
      <w:pPr>
        <w:spacing w:line="259" w:lineRule="auto"/>
        <w:ind w:left="34"/>
      </w:pPr>
    </w:p>
    <w:p w:rsidR="00AE6D42" w:rsidRPr="00ED7F0F" w:rsidRDefault="00AE6D42" w:rsidP="00122C9F">
      <w:pPr>
        <w:ind w:left="29"/>
      </w:pPr>
      <w:r w:rsidRPr="00ED7F0F">
        <w:t>Pomery MMR pri špecifických časových bodoch sú zobrazené graficky na Grafe 2. Pomery MMR boli rovnomerne vyššie u</w:t>
      </w:r>
      <w:r w:rsidR="00522919" w:rsidRPr="00ED7F0F">
        <w:t> </w:t>
      </w:r>
      <w:r w:rsidRPr="00ED7F0F">
        <w:t>pacientov liečených dasatinibom v</w:t>
      </w:r>
      <w:r w:rsidR="00522919" w:rsidRPr="00ED7F0F">
        <w:t> </w:t>
      </w:r>
      <w:r w:rsidRPr="00ED7F0F">
        <w:t>porovnaní s</w:t>
      </w:r>
      <w:r w:rsidR="00522919" w:rsidRPr="00ED7F0F">
        <w:t> </w:t>
      </w:r>
      <w:r w:rsidRPr="00ED7F0F">
        <w:t>pacientmi liečenými imatinibom.</w:t>
      </w:r>
    </w:p>
    <w:p w:rsidR="00AE6D42" w:rsidRPr="00ED7F0F" w:rsidRDefault="00AE6D42" w:rsidP="00122C9F">
      <w:pPr>
        <w:spacing w:line="259" w:lineRule="auto"/>
        <w:ind w:left="34"/>
        <w:rPr>
          <w:highlight w:val="lightGray"/>
        </w:rPr>
      </w:pPr>
    </w:p>
    <w:p w:rsidR="00AE6D42" w:rsidRPr="00ED7F0F" w:rsidRDefault="00AE6D42" w:rsidP="009A0932">
      <w:pPr>
        <w:keepNext/>
        <w:tabs>
          <w:tab w:val="clear" w:pos="567"/>
          <w:tab w:val="left" w:pos="1140"/>
        </w:tabs>
        <w:spacing w:after="120" w:line="240" w:lineRule="auto"/>
        <w:ind w:left="1140" w:hanging="1140"/>
        <w:rPr>
          <w:b/>
          <w:spacing w:val="-7"/>
          <w:szCs w:val="22"/>
          <w:lang w:eastAsia="en-GB" w:bidi="ar-SA"/>
        </w:rPr>
      </w:pPr>
      <w:r w:rsidRPr="00ED7F0F">
        <w:rPr>
          <w:b/>
          <w:spacing w:val="-7"/>
          <w:szCs w:val="22"/>
          <w:lang w:eastAsia="en-GB" w:bidi="ar-SA"/>
        </w:rPr>
        <w:t xml:space="preserve">Graf 2:  </w:t>
      </w:r>
      <w:r w:rsidRPr="00ED7F0F">
        <w:rPr>
          <w:b/>
          <w:spacing w:val="-7"/>
          <w:szCs w:val="22"/>
          <w:lang w:eastAsia="en-GB" w:bidi="ar-SA"/>
        </w:rPr>
        <w:tab/>
        <w:t>Hodnoty MMR v</w:t>
      </w:r>
      <w:r w:rsidR="00B8397F" w:rsidRPr="00ED7F0F">
        <w:rPr>
          <w:b/>
          <w:spacing w:val="-7"/>
          <w:szCs w:val="22"/>
          <w:lang w:eastAsia="en-GB" w:bidi="ar-SA"/>
        </w:rPr>
        <w:t> </w:t>
      </w:r>
      <w:r w:rsidRPr="00ED7F0F">
        <w:rPr>
          <w:b/>
          <w:spacing w:val="-7"/>
          <w:szCs w:val="22"/>
          <w:lang w:eastAsia="en-GB" w:bidi="ar-SA"/>
        </w:rPr>
        <w:t>priebehu času – všetci randomizovaní pacienti v</w:t>
      </w:r>
      <w:r w:rsidR="00C62460" w:rsidRPr="00ED7F0F">
        <w:rPr>
          <w:b/>
          <w:spacing w:val="-7"/>
          <w:szCs w:val="22"/>
          <w:lang w:eastAsia="en-GB" w:bidi="ar-SA"/>
        </w:rPr>
        <w:t> </w:t>
      </w:r>
      <w:r w:rsidRPr="00ED7F0F">
        <w:rPr>
          <w:b/>
          <w:spacing w:val="-7"/>
          <w:szCs w:val="22"/>
          <w:lang w:eastAsia="en-GB" w:bidi="ar-SA"/>
        </w:rPr>
        <w:t>štúdi</w:t>
      </w:r>
      <w:r w:rsidR="00C62460" w:rsidRPr="00ED7F0F">
        <w:rPr>
          <w:b/>
          <w:spacing w:val="-7"/>
          <w:szCs w:val="22"/>
          <w:lang w:eastAsia="en-GB" w:bidi="ar-SA"/>
        </w:rPr>
        <w:t>i fázy 3</w:t>
      </w:r>
      <w:r w:rsidRPr="00ED7F0F">
        <w:rPr>
          <w:b/>
          <w:spacing w:val="-7"/>
          <w:szCs w:val="22"/>
          <w:lang w:eastAsia="en-GB" w:bidi="ar-SA"/>
        </w:rPr>
        <w:t xml:space="preserve"> s</w:t>
      </w:r>
      <w:r w:rsidR="00B8397F" w:rsidRPr="00ED7F0F">
        <w:rPr>
          <w:b/>
          <w:spacing w:val="-7"/>
          <w:szCs w:val="22"/>
          <w:lang w:eastAsia="en-GB" w:bidi="ar-SA"/>
        </w:rPr>
        <w:t> </w:t>
      </w:r>
      <w:r w:rsidRPr="00ED7F0F">
        <w:rPr>
          <w:b/>
          <w:spacing w:val="-7"/>
          <w:szCs w:val="22"/>
          <w:lang w:eastAsia="en-GB" w:bidi="ar-SA"/>
        </w:rPr>
        <w:t>novodiagnostikovanými pacientmi v</w:t>
      </w:r>
      <w:r w:rsidR="00B8397F" w:rsidRPr="00ED7F0F">
        <w:rPr>
          <w:b/>
          <w:spacing w:val="-7"/>
          <w:szCs w:val="22"/>
          <w:lang w:eastAsia="en-GB" w:bidi="ar-SA"/>
        </w:rPr>
        <w:t> </w:t>
      </w:r>
      <w:r w:rsidRPr="00ED7F0F">
        <w:rPr>
          <w:b/>
          <w:spacing w:val="-7"/>
          <w:szCs w:val="22"/>
          <w:lang w:eastAsia="en-GB" w:bidi="ar-SA"/>
        </w:rPr>
        <w:t>chronickej fáze CML)</w:t>
      </w:r>
    </w:p>
    <w:p w:rsidR="00AE6D42" w:rsidRPr="00ED7F0F" w:rsidRDefault="00AE6D42" w:rsidP="00122C9F">
      <w:pPr>
        <w:spacing w:line="259" w:lineRule="auto"/>
        <w:jc w:val="right"/>
      </w:pPr>
      <w:r w:rsidRPr="00ED7F0F">
        <w:rPr>
          <w:rFonts w:eastAsia="Calibri"/>
          <w:noProof/>
          <w:lang w:bidi="ar-SA"/>
        </w:rPr>
        <mc:AlternateContent>
          <mc:Choice Requires="wpg">
            <w:drawing>
              <wp:inline distT="0" distB="0" distL="0" distR="0" wp14:anchorId="06BE32A0" wp14:editId="49A8E1CA">
                <wp:extent cx="5395399" cy="2844546"/>
                <wp:effectExtent l="0" t="0" r="0" b="0"/>
                <wp:docPr id="171886" name="Group 171886"/>
                <wp:cNvGraphicFramePr/>
                <a:graphic xmlns:a="http://schemas.openxmlformats.org/drawingml/2006/main">
                  <a:graphicData uri="http://schemas.microsoft.com/office/word/2010/wordprocessingGroup">
                    <wpg:wgp>
                      <wpg:cNvGrpSpPr/>
                      <wpg:grpSpPr>
                        <a:xfrm>
                          <a:off x="0" y="0"/>
                          <a:ext cx="5395399" cy="2844546"/>
                          <a:chOff x="0" y="0"/>
                          <a:chExt cx="5395399" cy="2844546"/>
                        </a:xfrm>
                      </wpg:grpSpPr>
                      <pic:pic xmlns:pic="http://schemas.openxmlformats.org/drawingml/2006/picture">
                        <pic:nvPicPr>
                          <pic:cNvPr id="2986" name="Picture 2986"/>
                          <pic:cNvPicPr/>
                        </pic:nvPicPr>
                        <pic:blipFill>
                          <a:blip r:embed="rId13"/>
                          <a:stretch>
                            <a:fillRect/>
                          </a:stretch>
                        </pic:blipFill>
                        <pic:spPr>
                          <a:xfrm>
                            <a:off x="313621" y="0"/>
                            <a:ext cx="5081778" cy="2844546"/>
                          </a:xfrm>
                          <a:prstGeom prst="rect">
                            <a:avLst/>
                          </a:prstGeom>
                        </pic:spPr>
                      </pic:pic>
                      <wps:wsp>
                        <wps:cNvPr id="3005" name="Rectangle 3005"/>
                        <wps:cNvSpPr/>
                        <wps:spPr>
                          <a:xfrm rot="-5399999">
                            <a:off x="-275661" y="878223"/>
                            <a:ext cx="679124" cy="127800"/>
                          </a:xfrm>
                          <a:prstGeom prst="rect">
                            <a:avLst/>
                          </a:prstGeom>
                          <a:ln>
                            <a:noFill/>
                          </a:ln>
                        </wps:spPr>
                        <wps:txbx>
                          <w:txbxContent>
                            <w:p w:rsidR="004E7831" w:rsidRDefault="004E7831" w:rsidP="00AE6D42">
                              <w:pPr>
                                <w:spacing w:after="160" w:line="259" w:lineRule="auto"/>
                              </w:pPr>
                              <w:r>
                                <w:rPr>
                                  <w:b/>
                                  <w:sz w:val="17"/>
                                </w:rPr>
                                <w:t xml:space="preserve">% s MMR </w:t>
                              </w:r>
                            </w:p>
                          </w:txbxContent>
                        </wps:txbx>
                        <wps:bodyPr horzOverflow="overflow" vert="horz" lIns="0" tIns="0" rIns="0" bIns="0" rtlCol="0">
                          <a:noAutofit/>
                        </wps:bodyPr>
                      </wps:wsp>
                      <wps:wsp>
                        <wps:cNvPr id="171862" name="Rectangle 171862"/>
                        <wps:cNvSpPr/>
                        <wps:spPr>
                          <a:xfrm>
                            <a:off x="943795" y="1152340"/>
                            <a:ext cx="635830" cy="134434"/>
                          </a:xfrm>
                          <a:prstGeom prst="rect">
                            <a:avLst/>
                          </a:prstGeom>
                          <a:ln>
                            <a:noFill/>
                          </a:ln>
                        </wps:spPr>
                        <wps:txbx>
                          <w:txbxContent>
                            <w:p w:rsidR="004E7831" w:rsidRDefault="004E7831" w:rsidP="00AE6D42">
                              <w:pPr>
                                <w:spacing w:after="160" w:line="259" w:lineRule="auto"/>
                              </w:pPr>
                              <w:r>
                                <w:rPr>
                                  <w:rFonts w:ascii="Arial" w:eastAsia="Arial" w:hAnsi="Arial" w:cs="Arial"/>
                                  <w:sz w:val="17"/>
                                  <w:u w:val="single" w:color="000000"/>
                                </w:rPr>
                                <w:t>po 1. roku</w:t>
                              </w:r>
                            </w:p>
                          </w:txbxContent>
                        </wps:txbx>
                        <wps:bodyPr horzOverflow="overflow" vert="horz" lIns="0" tIns="0" rIns="0" bIns="0" rtlCol="0">
                          <a:noAutofit/>
                        </wps:bodyPr>
                      </wps:wsp>
                      <wps:wsp>
                        <wps:cNvPr id="171863" name="Rectangle 171863"/>
                        <wps:cNvSpPr/>
                        <wps:spPr>
                          <a:xfrm>
                            <a:off x="1422250" y="1152340"/>
                            <a:ext cx="39761" cy="134434"/>
                          </a:xfrm>
                          <a:prstGeom prst="rect">
                            <a:avLst/>
                          </a:prstGeom>
                          <a:ln>
                            <a:noFill/>
                          </a:ln>
                        </wps:spPr>
                        <wps:txbx>
                          <w:txbxContent>
                            <w:p w:rsidR="004E7831" w:rsidRDefault="004E7831" w:rsidP="00AE6D42">
                              <w:pPr>
                                <w:spacing w:after="160" w:line="259" w:lineRule="auto"/>
                              </w:pPr>
                              <w:r>
                                <w:rPr>
                                  <w:rFonts w:ascii="Arial" w:eastAsia="Arial" w:hAnsi="Arial" w:cs="Arial"/>
                                  <w:sz w:val="17"/>
                                </w:rPr>
                                <w:t xml:space="preserve"> </w:t>
                              </w:r>
                            </w:p>
                          </w:txbxContent>
                        </wps:txbx>
                        <wps:bodyPr horzOverflow="overflow" vert="horz" lIns="0" tIns="0" rIns="0" bIns="0" rtlCol="0">
                          <a:noAutofit/>
                        </wps:bodyPr>
                      </wps:wsp>
                      <wps:wsp>
                        <wps:cNvPr id="171800" name="Rectangle 171800"/>
                        <wps:cNvSpPr/>
                        <wps:spPr>
                          <a:xfrm>
                            <a:off x="829495" y="1272466"/>
                            <a:ext cx="140420" cy="119197"/>
                          </a:xfrm>
                          <a:prstGeom prst="rect">
                            <a:avLst/>
                          </a:prstGeom>
                          <a:ln>
                            <a:noFill/>
                          </a:ln>
                        </wps:spPr>
                        <wps:txbx>
                          <w:txbxContent>
                            <w:p w:rsidR="004E7831" w:rsidRDefault="004E7831" w:rsidP="00AE6D42">
                              <w:pPr>
                                <w:spacing w:after="160" w:line="259" w:lineRule="auto"/>
                              </w:pPr>
                              <w:r>
                                <w:rPr>
                                  <w:rFonts w:ascii="Arial" w:eastAsia="Arial" w:hAnsi="Arial" w:cs="Arial"/>
                                  <w:sz w:val="15"/>
                                </w:rPr>
                                <w:t>46</w:t>
                              </w:r>
                            </w:p>
                          </w:txbxContent>
                        </wps:txbx>
                        <wps:bodyPr horzOverflow="overflow" vert="horz" lIns="0" tIns="0" rIns="0" bIns="0" rtlCol="0">
                          <a:noAutofit/>
                        </wps:bodyPr>
                      </wps:wsp>
                      <wps:wsp>
                        <wps:cNvPr id="171801" name="Rectangle 171801"/>
                        <wps:cNvSpPr/>
                        <wps:spPr>
                          <a:xfrm>
                            <a:off x="935388" y="1272466"/>
                            <a:ext cx="682962" cy="119197"/>
                          </a:xfrm>
                          <a:prstGeom prst="rect">
                            <a:avLst/>
                          </a:prstGeom>
                          <a:ln>
                            <a:noFill/>
                          </a:ln>
                        </wps:spPr>
                        <wps:txbx>
                          <w:txbxContent>
                            <w:p w:rsidR="004E7831" w:rsidRDefault="004E7831" w:rsidP="00AE6D42">
                              <w:pPr>
                                <w:spacing w:after="160" w:line="259" w:lineRule="auto"/>
                              </w:pPr>
                              <w:r>
                                <w:rPr>
                                  <w:rFonts w:ascii="Arial" w:eastAsia="Arial" w:hAnsi="Arial" w:cs="Arial"/>
                                  <w:sz w:val="15"/>
                                </w:rPr>
                                <w:t xml:space="preserve">%, p&lt;,0001 </w:t>
                              </w:r>
                            </w:p>
                          </w:txbxContent>
                        </wps:txbx>
                        <wps:bodyPr horzOverflow="overflow" vert="horz" lIns="0" tIns="0" rIns="0" bIns="0" rtlCol="0">
                          <a:noAutofit/>
                        </wps:bodyPr>
                      </wps:wsp>
                      <wps:wsp>
                        <wps:cNvPr id="171858" name="Rectangle 171858"/>
                        <wps:cNvSpPr/>
                        <wps:spPr>
                          <a:xfrm>
                            <a:off x="1816285" y="622749"/>
                            <a:ext cx="785577" cy="134434"/>
                          </a:xfrm>
                          <a:prstGeom prst="rect">
                            <a:avLst/>
                          </a:prstGeom>
                          <a:ln>
                            <a:noFill/>
                          </a:ln>
                        </wps:spPr>
                        <wps:txbx>
                          <w:txbxContent>
                            <w:p w:rsidR="004E7831" w:rsidRDefault="004E7831" w:rsidP="00AE6D42">
                              <w:pPr>
                                <w:spacing w:after="160" w:line="259" w:lineRule="auto"/>
                              </w:pPr>
                              <w:r>
                                <w:rPr>
                                  <w:rFonts w:ascii="Arial" w:eastAsia="Arial" w:hAnsi="Arial" w:cs="Arial"/>
                                  <w:sz w:val="17"/>
                                  <w:u w:val="single" w:color="000000"/>
                                </w:rPr>
                                <w:t>po 2. rokoch</w:t>
                              </w:r>
                            </w:p>
                          </w:txbxContent>
                        </wps:txbx>
                        <wps:bodyPr horzOverflow="overflow" vert="horz" lIns="0" tIns="0" rIns="0" bIns="0" rtlCol="0">
                          <a:noAutofit/>
                        </wps:bodyPr>
                      </wps:wsp>
                      <wps:wsp>
                        <wps:cNvPr id="171859" name="Rectangle 171859"/>
                        <wps:cNvSpPr/>
                        <wps:spPr>
                          <a:xfrm>
                            <a:off x="2407331" y="622749"/>
                            <a:ext cx="39761" cy="134434"/>
                          </a:xfrm>
                          <a:prstGeom prst="rect">
                            <a:avLst/>
                          </a:prstGeom>
                          <a:ln>
                            <a:noFill/>
                          </a:ln>
                        </wps:spPr>
                        <wps:txbx>
                          <w:txbxContent>
                            <w:p w:rsidR="004E7831" w:rsidRDefault="004E7831" w:rsidP="00AE6D42">
                              <w:pPr>
                                <w:spacing w:after="160" w:line="259" w:lineRule="auto"/>
                              </w:pPr>
                              <w:r>
                                <w:rPr>
                                  <w:rFonts w:ascii="Arial" w:eastAsia="Arial" w:hAnsi="Arial" w:cs="Arial"/>
                                  <w:sz w:val="17"/>
                                </w:rPr>
                                <w:t xml:space="preserve"> </w:t>
                              </w:r>
                            </w:p>
                          </w:txbxContent>
                        </wps:txbx>
                        <wps:bodyPr horzOverflow="overflow" vert="horz" lIns="0" tIns="0" rIns="0" bIns="0" rtlCol="0">
                          <a:noAutofit/>
                        </wps:bodyPr>
                      </wps:wsp>
                      <wps:wsp>
                        <wps:cNvPr id="171798" name="Rectangle 171798"/>
                        <wps:cNvSpPr/>
                        <wps:spPr>
                          <a:xfrm>
                            <a:off x="1814761" y="743638"/>
                            <a:ext cx="141358" cy="119197"/>
                          </a:xfrm>
                          <a:prstGeom prst="rect">
                            <a:avLst/>
                          </a:prstGeom>
                          <a:ln>
                            <a:noFill/>
                          </a:ln>
                        </wps:spPr>
                        <wps:txbx>
                          <w:txbxContent>
                            <w:p w:rsidR="004E7831" w:rsidRDefault="004E7831" w:rsidP="00AE6D42">
                              <w:pPr>
                                <w:spacing w:after="160" w:line="259" w:lineRule="auto"/>
                              </w:pPr>
                              <w:r>
                                <w:rPr>
                                  <w:rFonts w:ascii="Arial" w:eastAsia="Arial" w:hAnsi="Arial" w:cs="Arial"/>
                                  <w:sz w:val="15"/>
                                </w:rPr>
                                <w:t>64</w:t>
                              </w:r>
                            </w:p>
                          </w:txbxContent>
                        </wps:txbx>
                        <wps:bodyPr horzOverflow="overflow" vert="horz" lIns="0" tIns="0" rIns="0" bIns="0" rtlCol="0">
                          <a:noAutofit/>
                        </wps:bodyPr>
                      </wps:wsp>
                      <wps:wsp>
                        <wps:cNvPr id="171799" name="Rectangle 171799"/>
                        <wps:cNvSpPr/>
                        <wps:spPr>
                          <a:xfrm>
                            <a:off x="1921303" y="743638"/>
                            <a:ext cx="682100" cy="119197"/>
                          </a:xfrm>
                          <a:prstGeom prst="rect">
                            <a:avLst/>
                          </a:prstGeom>
                          <a:ln>
                            <a:noFill/>
                          </a:ln>
                        </wps:spPr>
                        <wps:txbx>
                          <w:txbxContent>
                            <w:p w:rsidR="004E7831" w:rsidRDefault="004E7831" w:rsidP="00AE6D42">
                              <w:pPr>
                                <w:spacing w:after="160" w:line="259" w:lineRule="auto"/>
                              </w:pPr>
                              <w:r>
                                <w:rPr>
                                  <w:rFonts w:ascii="Arial" w:eastAsia="Arial" w:hAnsi="Arial" w:cs="Arial"/>
                                  <w:sz w:val="15"/>
                                </w:rPr>
                                <w:t xml:space="preserve">%, p&lt;,0001 </w:t>
                              </w:r>
                            </w:p>
                          </w:txbxContent>
                        </wps:txbx>
                        <wps:bodyPr horzOverflow="overflow" vert="horz" lIns="0" tIns="0" rIns="0" bIns="0" rtlCol="0">
                          <a:noAutofit/>
                        </wps:bodyPr>
                      </wps:wsp>
                      <wps:wsp>
                        <wps:cNvPr id="171856" name="Rectangle 171856"/>
                        <wps:cNvSpPr/>
                        <wps:spPr>
                          <a:xfrm>
                            <a:off x="2730685" y="515309"/>
                            <a:ext cx="785949" cy="134434"/>
                          </a:xfrm>
                          <a:prstGeom prst="rect">
                            <a:avLst/>
                          </a:prstGeom>
                          <a:ln>
                            <a:noFill/>
                          </a:ln>
                        </wps:spPr>
                        <wps:txbx>
                          <w:txbxContent>
                            <w:p w:rsidR="004E7831" w:rsidRDefault="004E7831" w:rsidP="00AE6D42">
                              <w:pPr>
                                <w:spacing w:after="160" w:line="259" w:lineRule="auto"/>
                              </w:pPr>
                              <w:r>
                                <w:rPr>
                                  <w:rFonts w:ascii="Arial" w:eastAsia="Arial" w:hAnsi="Arial" w:cs="Arial"/>
                                  <w:sz w:val="17"/>
                                  <w:u w:val="single" w:color="000000"/>
                                </w:rPr>
                                <w:t>po 3. rokoch</w:t>
                              </w:r>
                            </w:p>
                          </w:txbxContent>
                        </wps:txbx>
                        <wps:bodyPr horzOverflow="overflow" vert="horz" lIns="0" tIns="0" rIns="0" bIns="0" rtlCol="0">
                          <a:noAutofit/>
                        </wps:bodyPr>
                      </wps:wsp>
                      <wps:wsp>
                        <wps:cNvPr id="171857" name="Rectangle 171857"/>
                        <wps:cNvSpPr/>
                        <wps:spPr>
                          <a:xfrm>
                            <a:off x="3322011" y="515309"/>
                            <a:ext cx="39761" cy="134434"/>
                          </a:xfrm>
                          <a:prstGeom prst="rect">
                            <a:avLst/>
                          </a:prstGeom>
                          <a:ln>
                            <a:noFill/>
                          </a:ln>
                        </wps:spPr>
                        <wps:txbx>
                          <w:txbxContent>
                            <w:p w:rsidR="004E7831" w:rsidRDefault="004E7831" w:rsidP="00AE6D42">
                              <w:pPr>
                                <w:spacing w:after="160" w:line="259" w:lineRule="auto"/>
                              </w:pPr>
                              <w:r>
                                <w:rPr>
                                  <w:rFonts w:ascii="Arial" w:eastAsia="Arial" w:hAnsi="Arial" w:cs="Arial"/>
                                  <w:sz w:val="17"/>
                                </w:rPr>
                                <w:t xml:space="preserve"> </w:t>
                              </w:r>
                            </w:p>
                          </w:txbxContent>
                        </wps:txbx>
                        <wps:bodyPr horzOverflow="overflow" vert="horz" lIns="0" tIns="0" rIns="0" bIns="0" rtlCol="0">
                          <a:noAutofit/>
                        </wps:bodyPr>
                      </wps:wsp>
                      <wps:wsp>
                        <wps:cNvPr id="171796" name="Rectangle 171796"/>
                        <wps:cNvSpPr/>
                        <wps:spPr>
                          <a:xfrm>
                            <a:off x="2729161" y="636196"/>
                            <a:ext cx="141421" cy="119197"/>
                          </a:xfrm>
                          <a:prstGeom prst="rect">
                            <a:avLst/>
                          </a:prstGeom>
                          <a:ln>
                            <a:noFill/>
                          </a:ln>
                        </wps:spPr>
                        <wps:txbx>
                          <w:txbxContent>
                            <w:p w:rsidR="004E7831" w:rsidRDefault="004E7831" w:rsidP="00AE6D42">
                              <w:pPr>
                                <w:spacing w:after="160" w:line="259" w:lineRule="auto"/>
                              </w:pPr>
                              <w:r>
                                <w:rPr>
                                  <w:rFonts w:ascii="Arial" w:eastAsia="Arial" w:hAnsi="Arial" w:cs="Arial"/>
                                  <w:sz w:val="15"/>
                                </w:rPr>
                                <w:t>67</w:t>
                              </w:r>
                            </w:p>
                          </w:txbxContent>
                        </wps:txbx>
                        <wps:bodyPr horzOverflow="overflow" vert="horz" lIns="0" tIns="0" rIns="0" bIns="0" rtlCol="0">
                          <a:noAutofit/>
                        </wps:bodyPr>
                      </wps:wsp>
                      <wps:wsp>
                        <wps:cNvPr id="171797" name="Rectangle 171797"/>
                        <wps:cNvSpPr/>
                        <wps:spPr>
                          <a:xfrm>
                            <a:off x="2835045" y="636196"/>
                            <a:ext cx="682759" cy="119197"/>
                          </a:xfrm>
                          <a:prstGeom prst="rect">
                            <a:avLst/>
                          </a:prstGeom>
                          <a:ln>
                            <a:noFill/>
                          </a:ln>
                        </wps:spPr>
                        <wps:txbx>
                          <w:txbxContent>
                            <w:p w:rsidR="004E7831" w:rsidRDefault="004E7831" w:rsidP="00AE6D42">
                              <w:pPr>
                                <w:spacing w:after="160" w:line="259" w:lineRule="auto"/>
                              </w:pPr>
                              <w:r>
                                <w:rPr>
                                  <w:rFonts w:ascii="Arial" w:eastAsia="Arial" w:hAnsi="Arial" w:cs="Arial"/>
                                  <w:sz w:val="15"/>
                                </w:rPr>
                                <w:t xml:space="preserve">%, p&lt;,0055 </w:t>
                              </w:r>
                            </w:p>
                          </w:txbxContent>
                        </wps:txbx>
                        <wps:bodyPr horzOverflow="overflow" vert="horz" lIns="0" tIns="0" rIns="0" bIns="0" rtlCol="0">
                          <a:noAutofit/>
                        </wps:bodyPr>
                      </wps:wsp>
                      <wps:wsp>
                        <wps:cNvPr id="171849" name="Rectangle 171849"/>
                        <wps:cNvSpPr/>
                        <wps:spPr>
                          <a:xfrm>
                            <a:off x="3646609" y="345383"/>
                            <a:ext cx="785576" cy="134434"/>
                          </a:xfrm>
                          <a:prstGeom prst="rect">
                            <a:avLst/>
                          </a:prstGeom>
                          <a:ln>
                            <a:noFill/>
                          </a:ln>
                        </wps:spPr>
                        <wps:txbx>
                          <w:txbxContent>
                            <w:p w:rsidR="004E7831" w:rsidRDefault="004E7831" w:rsidP="00AE6D42">
                              <w:pPr>
                                <w:spacing w:after="160" w:line="259" w:lineRule="auto"/>
                              </w:pPr>
                              <w:r>
                                <w:rPr>
                                  <w:rFonts w:ascii="Arial" w:eastAsia="Arial" w:hAnsi="Arial" w:cs="Arial"/>
                                  <w:sz w:val="17"/>
                                  <w:u w:val="single" w:color="000000"/>
                                </w:rPr>
                                <w:t>po 4. rokoch</w:t>
                              </w:r>
                            </w:p>
                          </w:txbxContent>
                        </wps:txbx>
                        <wps:bodyPr horzOverflow="overflow" vert="horz" lIns="0" tIns="0" rIns="0" bIns="0" rtlCol="0">
                          <a:noAutofit/>
                        </wps:bodyPr>
                      </wps:wsp>
                      <wps:wsp>
                        <wps:cNvPr id="171850" name="Rectangle 171850"/>
                        <wps:cNvSpPr/>
                        <wps:spPr>
                          <a:xfrm>
                            <a:off x="4237656" y="345383"/>
                            <a:ext cx="39761" cy="134434"/>
                          </a:xfrm>
                          <a:prstGeom prst="rect">
                            <a:avLst/>
                          </a:prstGeom>
                          <a:ln>
                            <a:noFill/>
                          </a:ln>
                        </wps:spPr>
                        <wps:txbx>
                          <w:txbxContent>
                            <w:p w:rsidR="004E7831" w:rsidRDefault="004E7831" w:rsidP="00AE6D42">
                              <w:pPr>
                                <w:spacing w:after="160" w:line="259" w:lineRule="auto"/>
                              </w:pPr>
                              <w:r>
                                <w:rPr>
                                  <w:rFonts w:ascii="Arial" w:eastAsia="Arial" w:hAnsi="Arial" w:cs="Arial"/>
                                  <w:sz w:val="17"/>
                                </w:rPr>
                                <w:t xml:space="preserve"> </w:t>
                              </w:r>
                            </w:p>
                          </w:txbxContent>
                        </wps:txbx>
                        <wps:bodyPr horzOverflow="overflow" vert="horz" lIns="0" tIns="0" rIns="0" bIns="0" rtlCol="0">
                          <a:noAutofit/>
                        </wps:bodyPr>
                      </wps:wsp>
                      <wps:wsp>
                        <wps:cNvPr id="171794" name="Rectangle 171794"/>
                        <wps:cNvSpPr/>
                        <wps:spPr>
                          <a:xfrm>
                            <a:off x="3645085" y="466271"/>
                            <a:ext cx="141358" cy="119197"/>
                          </a:xfrm>
                          <a:prstGeom prst="rect">
                            <a:avLst/>
                          </a:prstGeom>
                          <a:ln>
                            <a:noFill/>
                          </a:ln>
                        </wps:spPr>
                        <wps:txbx>
                          <w:txbxContent>
                            <w:p w:rsidR="004E7831" w:rsidRDefault="004E7831" w:rsidP="00AE6D42">
                              <w:pPr>
                                <w:spacing w:after="160" w:line="259" w:lineRule="auto"/>
                              </w:pPr>
                              <w:r>
                                <w:rPr>
                                  <w:rFonts w:ascii="Arial" w:eastAsia="Arial" w:hAnsi="Arial" w:cs="Arial"/>
                                  <w:sz w:val="15"/>
                                </w:rPr>
                                <w:t>73</w:t>
                              </w:r>
                            </w:p>
                          </w:txbxContent>
                        </wps:txbx>
                        <wps:bodyPr horzOverflow="overflow" vert="horz" lIns="0" tIns="0" rIns="0" bIns="0" rtlCol="0">
                          <a:noAutofit/>
                        </wps:bodyPr>
                      </wps:wsp>
                      <wps:wsp>
                        <wps:cNvPr id="171795" name="Rectangle 171795"/>
                        <wps:cNvSpPr/>
                        <wps:spPr>
                          <a:xfrm>
                            <a:off x="3751627" y="466271"/>
                            <a:ext cx="682099" cy="119197"/>
                          </a:xfrm>
                          <a:prstGeom prst="rect">
                            <a:avLst/>
                          </a:prstGeom>
                          <a:ln>
                            <a:noFill/>
                          </a:ln>
                        </wps:spPr>
                        <wps:txbx>
                          <w:txbxContent>
                            <w:p w:rsidR="004E7831" w:rsidRDefault="004E7831" w:rsidP="00AE6D42">
                              <w:pPr>
                                <w:spacing w:after="160" w:line="259" w:lineRule="auto"/>
                              </w:pPr>
                              <w:r>
                                <w:rPr>
                                  <w:rFonts w:ascii="Arial" w:eastAsia="Arial" w:hAnsi="Arial" w:cs="Arial"/>
                                  <w:sz w:val="15"/>
                                </w:rPr>
                                <w:t xml:space="preserve">%, p&lt;,0021 </w:t>
                              </w:r>
                            </w:p>
                          </w:txbxContent>
                        </wps:txbx>
                        <wps:bodyPr horzOverflow="overflow" vert="horz" lIns="0" tIns="0" rIns="0" bIns="0" rtlCol="0">
                          <a:noAutofit/>
                        </wps:bodyPr>
                      </wps:wsp>
                      <wps:wsp>
                        <wps:cNvPr id="171846" name="Rectangle 171846"/>
                        <wps:cNvSpPr/>
                        <wps:spPr>
                          <a:xfrm>
                            <a:off x="4623493" y="273753"/>
                            <a:ext cx="785920" cy="134434"/>
                          </a:xfrm>
                          <a:prstGeom prst="rect">
                            <a:avLst/>
                          </a:prstGeom>
                          <a:ln>
                            <a:noFill/>
                          </a:ln>
                        </wps:spPr>
                        <wps:txbx>
                          <w:txbxContent>
                            <w:p w:rsidR="004E7831" w:rsidRDefault="004E7831" w:rsidP="00AE6D42">
                              <w:pPr>
                                <w:spacing w:after="160" w:line="259" w:lineRule="auto"/>
                              </w:pPr>
                              <w:r>
                                <w:rPr>
                                  <w:rFonts w:ascii="Arial" w:eastAsia="Arial" w:hAnsi="Arial" w:cs="Arial"/>
                                  <w:sz w:val="17"/>
                                  <w:u w:val="single" w:color="000000"/>
                                </w:rPr>
                                <w:t>po 5. rokoch</w:t>
                              </w:r>
                            </w:p>
                          </w:txbxContent>
                        </wps:txbx>
                        <wps:bodyPr horzOverflow="overflow" vert="horz" lIns="0" tIns="0" rIns="0" bIns="0" rtlCol="0">
                          <a:noAutofit/>
                        </wps:bodyPr>
                      </wps:wsp>
                      <wps:wsp>
                        <wps:cNvPr id="171847" name="Rectangle 171847"/>
                        <wps:cNvSpPr/>
                        <wps:spPr>
                          <a:xfrm>
                            <a:off x="5214797" y="273753"/>
                            <a:ext cx="39761" cy="134434"/>
                          </a:xfrm>
                          <a:prstGeom prst="rect">
                            <a:avLst/>
                          </a:prstGeom>
                          <a:ln>
                            <a:noFill/>
                          </a:ln>
                        </wps:spPr>
                        <wps:txbx>
                          <w:txbxContent>
                            <w:p w:rsidR="004E7831" w:rsidRDefault="004E7831" w:rsidP="00AE6D42">
                              <w:pPr>
                                <w:spacing w:after="160" w:line="259" w:lineRule="auto"/>
                              </w:pPr>
                              <w:r>
                                <w:rPr>
                                  <w:rFonts w:ascii="Arial" w:eastAsia="Arial" w:hAnsi="Arial" w:cs="Arial"/>
                                  <w:sz w:val="17"/>
                                </w:rPr>
                                <w:t xml:space="preserve"> </w:t>
                              </w:r>
                            </w:p>
                          </w:txbxContent>
                        </wps:txbx>
                        <wps:bodyPr horzOverflow="overflow" vert="horz" lIns="0" tIns="0" rIns="0" bIns="0" rtlCol="0">
                          <a:noAutofit/>
                        </wps:bodyPr>
                      </wps:wsp>
                      <wps:wsp>
                        <wps:cNvPr id="171792" name="Rectangle 171792"/>
                        <wps:cNvSpPr/>
                        <wps:spPr>
                          <a:xfrm>
                            <a:off x="4621969" y="394642"/>
                            <a:ext cx="140419" cy="119197"/>
                          </a:xfrm>
                          <a:prstGeom prst="rect">
                            <a:avLst/>
                          </a:prstGeom>
                          <a:ln>
                            <a:noFill/>
                          </a:ln>
                        </wps:spPr>
                        <wps:txbx>
                          <w:txbxContent>
                            <w:p w:rsidR="004E7831" w:rsidRDefault="004E7831" w:rsidP="00AE6D42">
                              <w:pPr>
                                <w:spacing w:after="160" w:line="259" w:lineRule="auto"/>
                              </w:pPr>
                              <w:r>
                                <w:rPr>
                                  <w:rFonts w:ascii="Arial" w:eastAsia="Arial" w:hAnsi="Arial" w:cs="Arial"/>
                                  <w:sz w:val="15"/>
                                </w:rPr>
                                <w:t>76</w:t>
                              </w:r>
                            </w:p>
                          </w:txbxContent>
                        </wps:txbx>
                        <wps:bodyPr horzOverflow="overflow" vert="horz" lIns="0" tIns="0" rIns="0" bIns="0" rtlCol="0">
                          <a:noAutofit/>
                        </wps:bodyPr>
                      </wps:wsp>
                      <wps:wsp>
                        <wps:cNvPr id="171793" name="Rectangle 171793"/>
                        <wps:cNvSpPr/>
                        <wps:spPr>
                          <a:xfrm>
                            <a:off x="4727862" y="394642"/>
                            <a:ext cx="682962" cy="119197"/>
                          </a:xfrm>
                          <a:prstGeom prst="rect">
                            <a:avLst/>
                          </a:prstGeom>
                          <a:ln>
                            <a:noFill/>
                          </a:ln>
                        </wps:spPr>
                        <wps:txbx>
                          <w:txbxContent>
                            <w:p w:rsidR="004E7831" w:rsidRDefault="004E7831" w:rsidP="00AE6D42">
                              <w:pPr>
                                <w:spacing w:after="160" w:line="259" w:lineRule="auto"/>
                              </w:pPr>
                              <w:r>
                                <w:rPr>
                                  <w:rFonts w:ascii="Arial" w:eastAsia="Arial" w:hAnsi="Arial" w:cs="Arial"/>
                                  <w:sz w:val="15"/>
                                </w:rPr>
                                <w:t xml:space="preserve">%, p&lt;,0022 </w:t>
                              </w:r>
                            </w:p>
                          </w:txbxContent>
                        </wps:txbx>
                        <wps:bodyPr horzOverflow="overflow" vert="horz" lIns="0" tIns="0" rIns="0" bIns="0" rtlCol="0">
                          <a:noAutofit/>
                        </wps:bodyPr>
                      </wps:wsp>
                    </wpg:wgp>
                  </a:graphicData>
                </a:graphic>
              </wp:inline>
            </w:drawing>
          </mc:Choice>
          <mc:Fallback>
            <w:pict>
              <v:group w14:anchorId="06BE32A0" id="Group 171886" o:spid="_x0000_s1029" style="width:424.85pt;height:224pt;mso-position-horizontal-relative:char;mso-position-vertical-relative:line" coordsize="53953,2844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">
                <v:shape id="Picture 2986" o:spid="_x0000_s1030" type="#_x0000_t75" style="position:absolute;left:3136;width:50817;height:284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yO//FAAAA3QAAAA8AAABkcnMvZG93bnJldi54bWxEj0+LwjAUxO8LfofwBG9rqou1VqOIsLLs&#10;ZfHf/dE822LzEpqo1U+/WVjwOMzMb5jFqjONuFHra8sKRsMEBHFhdc2lguPh8z0D4QOyxsYyKXiQ&#10;h9Wy97bAXNs77+i2D6WIEPY5KqhCcLmUvqjIoB9aRxy9s20NhijbUuoW7xFuGjlOklQarDkuVOho&#10;U1Fx2V+Ngkv2sf3+kc9jelofymk2cW5mJ0oN+t16DiJQF17h//aXVjCeZSn8vYlPQC5/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Ycjv/xQAAAN0AAAAPAAAAAAAAAAAAAAAA&#10;AJ8CAABkcnMvZG93bnJldi54bWxQSwUGAAAAAAQABAD3AAAAkQMAAAAA&#10;">
                  <v:imagedata r:id="rId14" o:title=""/>
                </v:shape>
                <v:rect id="Rectangle 3005" o:spid="_x0000_s1031" style="position:absolute;left:-2757;top:8782;width:6791;height:127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PKmsYA&#10;AADdAAAADwAAAGRycy9kb3ducmV2LnhtbESPW2sCMRSE34X+h3AKfdNEW2vZGqUIZfui4JU+nm7O&#10;XujmZLuJuv57Iwh9HGbmG2Y672wtTtT6yrGG4UCBIM6cqbjQsNt+9t9A+IBssHZMGi7kYT576E0x&#10;Me7MazptQiEihH2CGsoQmkRKn5Vk0Q9cQxy93LUWQ5RtIU2L5wi3tRwp9SotVhwXSmxoUVL2uzla&#10;Dfvh9nhI/eqHv/O/ycsypKu8SLV+euw+3kEE6sJ/+N7+MhqelRrD7U18An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PKmsYAAADdAAAADwAAAAAAAAAAAAAAAACYAgAAZHJz&#10;L2Rvd25yZXYueG1sUEsFBgAAAAAEAAQA9QAAAIsDAAAAAA==&#10;" filled="f" stroked="f">
                  <v:textbox inset="0,0,0,0">
                    <w:txbxContent>
                      <w:p w:rsidR="004E7831" w:rsidRDefault="004E7831" w:rsidP="00AE6D42">
                        <w:pPr>
                          <w:spacing w:after="160" w:line="259" w:lineRule="auto"/>
                        </w:pPr>
                        <w:r>
                          <w:rPr>
                            <w:b/>
                            <w:sz w:val="17"/>
                          </w:rPr>
                          <w:t xml:space="preserve">% s MMR </w:t>
                        </w:r>
                      </w:p>
                    </w:txbxContent>
                  </v:textbox>
                </v:rect>
                <v:rect id="Rectangle 171862" o:spid="_x0000_s1032" style="position:absolute;left:9437;top:11523;width:6359;height:1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mV1cUA&#10;AADfAAAADwAAAGRycy9kb3ducmV2LnhtbERPTWvCQBC9C/6HZYTedKMHG1NXEdtijm0ipL0N2WkS&#10;zM6G7Nak/fXdguDx8b63+9G04kq9aywrWC4iEMSl1Q1XCs756zwG4TyyxtYyKfghB/vddLLFRNuB&#10;3+ma+UqEEHYJKqi97xIpXVmTQbewHXHgvmxv0AfYV1L3OIRw08pVFK2lwYZDQ40dHWsqL9m3UXCK&#10;u8NHan+Hqn35PBVvxeY533ilHmbj4QmEp9HfxTd3qsP8x2W8XsH/nwBA7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yZXVxQAAAN8AAAAPAAAAAAAAAAAAAAAAAJgCAABkcnMv&#10;ZG93bnJldi54bWxQSwUGAAAAAAQABAD1AAAAigMAAAAA&#10;" filled="f" stroked="f">
                  <v:textbox inset="0,0,0,0">
                    <w:txbxContent>
                      <w:p w:rsidR="004E7831" w:rsidRDefault="004E7831" w:rsidP="00AE6D42">
                        <w:pPr>
                          <w:spacing w:after="160" w:line="259" w:lineRule="auto"/>
                        </w:pPr>
                        <w:r>
                          <w:rPr>
                            <w:rFonts w:ascii="Arial" w:eastAsia="Arial" w:hAnsi="Arial" w:cs="Arial"/>
                            <w:sz w:val="17"/>
                            <w:u w:val="single" w:color="000000"/>
                          </w:rPr>
                          <w:t>po 1. roku</w:t>
                        </w:r>
                      </w:p>
                    </w:txbxContent>
                  </v:textbox>
                </v:rect>
                <v:rect id="Rectangle 171863" o:spid="_x0000_s1033" style="position:absolute;left:14222;top:11523;width:398;height:1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UwTsQA&#10;AADfAAAADwAAAGRycy9kb3ducmV2LnhtbERPy2rCQBTdF/yH4Qru6kQLNkZHEa3osj5A3V0y1ySY&#10;uRMyo4n9+k6h4PJw3tN5a0rxoNoVlhUM+hEI4tTqgjMFx8P6PQbhPLLG0jIpeJKD+azzNsVE24Z3&#10;9Nj7TIQQdgkqyL2vEildmpNB17cVceCutjboA6wzqWtsQrgp5TCKRtJgwaEhx4qWOaW3/d0o2MTV&#10;4ry1P01Wfl02p+/TeHUYe6V63XYxAeGp9S/xv3urw/zPQTz6gL8/AYC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FME7EAAAA3wAAAA8AAAAAAAAAAAAAAAAAmAIAAGRycy9k&#10;b3ducmV2LnhtbFBLBQYAAAAABAAEAPUAAACJAwAAAAA=&#10;" filled="f" stroked="f">
                  <v:textbox inset="0,0,0,0">
                    <w:txbxContent>
                      <w:p w:rsidR="004E7831" w:rsidRDefault="004E7831" w:rsidP="00AE6D42">
                        <w:pPr>
                          <w:spacing w:after="160" w:line="259" w:lineRule="auto"/>
                        </w:pPr>
                        <w:r>
                          <w:rPr>
                            <w:rFonts w:ascii="Arial" w:eastAsia="Arial" w:hAnsi="Arial" w:cs="Arial"/>
                            <w:sz w:val="17"/>
                          </w:rPr>
                          <w:t xml:space="preserve"> </w:t>
                        </w:r>
                      </w:p>
                    </w:txbxContent>
                  </v:textbox>
                </v:rect>
                <v:rect id="Rectangle 171800" o:spid="_x0000_s1034" style="position:absolute;left:8294;top:12724;width:1405;height:1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hLmcQA&#10;AADfAAAADwAAAGRycy9kb3ducmV2LnhtbERPTU/CQBC9m/gfNmPCTbZwwLayECIQOAqYoLdJd2wb&#10;u7NNd6HFX+8cSDy+vO/5cnCNulIXas8GJuMEFHHhbc2lgY/T9jkFFSKyxcYzGbhRgOXi8WGOufU9&#10;H+h6jKWSEA45GqhibHOtQ1GRwzD2LbFw375zGAV2pbYd9hLuGj1Nkpl2WLM0VNjSW0XFz/HiDOzS&#10;dvW597992Wy+duf3c7Y+ZdGY0dOwegUVaYj/4rt7b2X+yyRN5IH8EQB6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IS5nEAAAA3wAAAA8AAAAAAAAAAAAAAAAAmAIAAGRycy9k&#10;b3ducmV2LnhtbFBLBQYAAAAABAAEAPUAAACJAwAAAAA=&#10;" filled="f" stroked="f">
                  <v:textbox inset="0,0,0,0">
                    <w:txbxContent>
                      <w:p w:rsidR="004E7831" w:rsidRDefault="004E7831" w:rsidP="00AE6D42">
                        <w:pPr>
                          <w:spacing w:after="160" w:line="259" w:lineRule="auto"/>
                        </w:pPr>
                        <w:r>
                          <w:rPr>
                            <w:rFonts w:ascii="Arial" w:eastAsia="Arial" w:hAnsi="Arial" w:cs="Arial"/>
                            <w:sz w:val="15"/>
                          </w:rPr>
                          <w:t>46</w:t>
                        </w:r>
                      </w:p>
                    </w:txbxContent>
                  </v:textbox>
                </v:rect>
                <v:rect id="Rectangle 171801" o:spid="_x0000_s1035" style="position:absolute;left:9353;top:12724;width:6830;height:1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TuAsUA&#10;AADfAAAADwAAAGRycy9kb3ducmV2LnhtbERPTWvCQBC9C/0PyxR600081BizEaktemxNQb0N2TEJ&#10;zc6G7Nak/vpuQejx8b6z9WhacaXeNZYVxLMIBHFpdcOVgs/ibZqAcB5ZY2uZFPyQg3X+MMkw1Xbg&#10;D7oefCVCCLsUFdTed6mUrqzJoJvZjjhwF9sb9AH2ldQ9DiHctHIeRc/SYMOhocaOXmoqvw7fRsEu&#10;6Tanvb0NVft63h3fj8ttsfRKPT2OmxUIT6P/F9/dex3mL+IkiuHvTwA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xO4CxQAAAN8AAAAPAAAAAAAAAAAAAAAAAJgCAABkcnMv&#10;ZG93bnJldi54bWxQSwUGAAAAAAQABAD1AAAAigMAAAAA&#10;" filled="f" stroked="f">
                  <v:textbox inset="0,0,0,0">
                    <w:txbxContent>
                      <w:p w:rsidR="004E7831" w:rsidRDefault="004E7831" w:rsidP="00AE6D42">
                        <w:pPr>
                          <w:spacing w:after="160" w:line="259" w:lineRule="auto"/>
                        </w:pPr>
                        <w:r>
                          <w:rPr>
                            <w:rFonts w:ascii="Arial" w:eastAsia="Arial" w:hAnsi="Arial" w:cs="Arial"/>
                            <w:sz w:val="15"/>
                          </w:rPr>
                          <w:t xml:space="preserve">%, p&lt;,0001 </w:t>
                        </w:r>
                      </w:p>
                    </w:txbxContent>
                  </v:textbox>
                </v:rect>
                <v:rect id="Rectangle 171858" o:spid="_x0000_s1036" style="position:absolute;left:18162;top:6227;width:7856;height:1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1ogsQA&#10;AADfAAAADwAAAGRycy9kb3ducmV2LnhtbERPTWvCQBC9F/oflin0VjcKtjG6ilSLHq0WbG9DdkxC&#10;s7MhuzXRX+8cCh4f73u26F2tztSGyrOB4SABRZx7W3Fh4Ovw8ZKCChHZYu2ZDFwowGL++DDDzPqO&#10;P+m8j4WSEA4ZGihjbDKtQ16SwzDwDbFwJ986jALbQtsWOwl3tR4lyat2WLE0lNjQe0n57/7PGdik&#10;zfJ7669dUa9/NsfdcbI6TKIxz0/9cgoqUh/v4n/31sr8t2E6lsHyRwDo+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NaILEAAAA3wAAAA8AAAAAAAAAAAAAAAAAmAIAAGRycy9k&#10;b3ducmV2LnhtbFBLBQYAAAAABAAEAPUAAACJAwAAAAA=&#10;" filled="f" stroked="f">
                  <v:textbox inset="0,0,0,0">
                    <w:txbxContent>
                      <w:p w:rsidR="004E7831" w:rsidRDefault="004E7831" w:rsidP="00AE6D42">
                        <w:pPr>
                          <w:spacing w:after="160" w:line="259" w:lineRule="auto"/>
                        </w:pPr>
                        <w:r>
                          <w:rPr>
                            <w:rFonts w:ascii="Arial" w:eastAsia="Arial" w:hAnsi="Arial" w:cs="Arial"/>
                            <w:sz w:val="17"/>
                            <w:u w:val="single" w:color="000000"/>
                          </w:rPr>
                          <w:t>po 2. rokoch</w:t>
                        </w:r>
                      </w:p>
                    </w:txbxContent>
                  </v:textbox>
                </v:rect>
                <v:rect id="Rectangle 171859" o:spid="_x0000_s1037" style="position:absolute;left:24073;top:6227;width:397;height:1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HNGcUA&#10;AADfAAAADwAAAGRycy9kb3ducmV2LnhtbERPTWvCQBC9F/wPywje6kbBNonZiNgWPbYqqLchOybB&#10;7GzIbk3aX98tFHp8vO9sNZhG3KlztWUFs2kEgriwuuZSwfHw9hiDcB5ZY2OZFHyRg1U+esgw1bbn&#10;D7rvfSlCCLsUFVTet6mUrqjIoJvaljhwV9sZ9AF2pdQd9iHcNHIeRU/SYM2hocKWNhUVt/2nUbCN&#10;2/V5Z7/7snm9bE/vp+TlkHilJuNhvQThafD/4j/3Tof5z7N4kcDvnwBA5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Ac0ZxQAAAN8AAAAPAAAAAAAAAAAAAAAAAJgCAABkcnMv&#10;ZG93bnJldi54bWxQSwUGAAAAAAQABAD1AAAAigMAAAAA&#10;" filled="f" stroked="f">
                  <v:textbox inset="0,0,0,0">
                    <w:txbxContent>
                      <w:p w:rsidR="004E7831" w:rsidRDefault="004E7831" w:rsidP="00AE6D42">
                        <w:pPr>
                          <w:spacing w:after="160" w:line="259" w:lineRule="auto"/>
                        </w:pPr>
                        <w:r>
                          <w:rPr>
                            <w:rFonts w:ascii="Arial" w:eastAsia="Arial" w:hAnsi="Arial" w:cs="Arial"/>
                            <w:sz w:val="17"/>
                          </w:rPr>
                          <w:t xml:space="preserve"> </w:t>
                        </w:r>
                      </w:p>
                    </w:txbxContent>
                  </v:textbox>
                </v:rect>
                <v:rect id="Rectangle 171798" o:spid="_x0000_s1038" style="position:absolute;left:18147;top:7436;width:1414;height:1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BGTsQA&#10;AADfAAAADwAAAGRycy9kb3ducmV2LnhtbERPTWvCQBC9F/oflil4qxs9qImuIq2ix1YL1tuQnSah&#10;2dmQXU3013cOBY+P971Y9a5WV2pD5dnAaJiAIs69rbgw8HXcvs5AhYhssfZMBm4UYLV8flpgZn3H&#10;n3Q9xEJJCIcMDZQxNpnWIS/JYRj6hli4H986jALbQtsWOwl3tR4nyUQ7rFgaSmzoraT893BxBnaz&#10;Zv299/euqDfn3enjlL4f02jM4KVfz0FF6uND/O/eW5k/HU1TGSx/BIB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ARk7EAAAA3wAAAA8AAAAAAAAAAAAAAAAAmAIAAGRycy9k&#10;b3ducmV2LnhtbFBLBQYAAAAABAAEAPUAAACJAwAAAAA=&#10;" filled="f" stroked="f">
                  <v:textbox inset="0,0,0,0">
                    <w:txbxContent>
                      <w:p w:rsidR="004E7831" w:rsidRDefault="004E7831" w:rsidP="00AE6D42">
                        <w:pPr>
                          <w:spacing w:after="160" w:line="259" w:lineRule="auto"/>
                        </w:pPr>
                        <w:r>
                          <w:rPr>
                            <w:rFonts w:ascii="Arial" w:eastAsia="Arial" w:hAnsi="Arial" w:cs="Arial"/>
                            <w:sz w:val="15"/>
                          </w:rPr>
                          <w:t>64</w:t>
                        </w:r>
                      </w:p>
                    </w:txbxContent>
                  </v:textbox>
                </v:rect>
                <v:rect id="Rectangle 171799" o:spid="_x0000_s1039" style="position:absolute;left:19213;top:7436;width:6821;height:1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zj1cMA&#10;AADfAAAADwAAAGRycy9kb3ducmV2LnhtbERPy4rCMBTdC/5DuMLsNNXFaKtRxAe6nFFB3V2aa1ts&#10;bkoTbWe+fjIguDyc92zRmlI8qXaFZQXDQQSCOLW64EzB6bjtT0A4j6yxtEwKfsjBYt7tzDDRtuFv&#10;eh58JkIIuwQV5N5XiZQuzcmgG9iKOHA3Wxv0AdaZ1DU2IdyUchRFn9JgwaEhx4pWOaX3w8Mo2E2q&#10;5WVvf5us3Fx3569zvD7GXqmPXrucgvDU+rf45d7rMH88HMcx/P8JAO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zj1cMAAADfAAAADwAAAAAAAAAAAAAAAACYAgAAZHJzL2Rv&#10;d25yZXYueG1sUEsFBgAAAAAEAAQA9QAAAIgDAAAAAA==&#10;" filled="f" stroked="f">
                  <v:textbox inset="0,0,0,0">
                    <w:txbxContent>
                      <w:p w:rsidR="004E7831" w:rsidRDefault="004E7831" w:rsidP="00AE6D42">
                        <w:pPr>
                          <w:spacing w:after="160" w:line="259" w:lineRule="auto"/>
                        </w:pPr>
                        <w:r>
                          <w:rPr>
                            <w:rFonts w:ascii="Arial" w:eastAsia="Arial" w:hAnsi="Arial" w:cs="Arial"/>
                            <w:sz w:val="15"/>
                          </w:rPr>
                          <w:t xml:space="preserve">%, p&lt;,0001 </w:t>
                        </w:r>
                      </w:p>
                    </w:txbxContent>
                  </v:textbox>
                </v:rect>
                <v:rect id="Rectangle 171856" o:spid="_x0000_s1040" style="position:absolute;left:27306;top:5153;width:7860;height:1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5Za8QA&#10;AADfAAAADwAAAGRycy9kb3ducmV2LnhtbERPy2rCQBTdF/yH4Qru6kShNkZHEa3osj5A3V0y1ySY&#10;uRMyo4n9+k6h4PJw3tN5a0rxoNoVlhUM+hEI4tTqgjMFx8P6PQbhPLLG0jIpeJKD+azzNsVE24Z3&#10;9Nj7TIQQdgkqyL2vEildmpNB17cVceCutjboA6wzqWtsQrgp5TCKRtJgwaEhx4qWOaW3/d0o2MTV&#10;4ry1P01Wfl02p+/TeHUYe6V63XYxAeGp9S/xv3urw/zPQfwxgr8/AYC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WWvEAAAA3wAAAA8AAAAAAAAAAAAAAAAAmAIAAGRycy9k&#10;b3ducmV2LnhtbFBLBQYAAAAABAAEAPUAAACJAwAAAAA=&#10;" filled="f" stroked="f">
                  <v:textbox inset="0,0,0,0">
                    <w:txbxContent>
                      <w:p w:rsidR="004E7831" w:rsidRDefault="004E7831" w:rsidP="00AE6D42">
                        <w:pPr>
                          <w:spacing w:after="160" w:line="259" w:lineRule="auto"/>
                        </w:pPr>
                        <w:r>
                          <w:rPr>
                            <w:rFonts w:ascii="Arial" w:eastAsia="Arial" w:hAnsi="Arial" w:cs="Arial"/>
                            <w:sz w:val="17"/>
                            <w:u w:val="single" w:color="000000"/>
                          </w:rPr>
                          <w:t>po 3. rokoch</w:t>
                        </w:r>
                      </w:p>
                    </w:txbxContent>
                  </v:textbox>
                </v:rect>
                <v:rect id="Rectangle 171857" o:spid="_x0000_s1041" style="position:absolute;left:33220;top:5153;width:397;height:1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L88MUA&#10;AADfAAAADwAAAGRycy9kb3ducmV2LnhtbERPTWvCQBC9F/wPywi91Y1Ca0yzEdEWPdYo2N6G7DQJ&#10;ZmdDdmvS/npXKHh8vO90OZhGXKhztWUF00kEgriwuuZSwfHw/hSDcB5ZY2OZFPySg2U2ekgx0bbn&#10;PV1yX4oQwi5BBZX3bSKlKyoy6Ca2JQ7ct+0M+gC7UuoO+xBuGjmLohdpsObQUGFL64qKc/5jFGzj&#10;dvW5s3992bx9bU8fp8XmsPBKPY6H1SsIT4O/i//dOx3mz6fx8xxufwIAm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0vzwxQAAAN8AAAAPAAAAAAAAAAAAAAAAAJgCAABkcnMv&#10;ZG93bnJldi54bWxQSwUGAAAAAAQABAD1AAAAigMAAAAA&#10;" filled="f" stroked="f">
                  <v:textbox inset="0,0,0,0">
                    <w:txbxContent>
                      <w:p w:rsidR="004E7831" w:rsidRDefault="004E7831" w:rsidP="00AE6D42">
                        <w:pPr>
                          <w:spacing w:after="160" w:line="259" w:lineRule="auto"/>
                        </w:pPr>
                        <w:r>
                          <w:rPr>
                            <w:rFonts w:ascii="Arial" w:eastAsia="Arial" w:hAnsi="Arial" w:cs="Arial"/>
                            <w:sz w:val="17"/>
                          </w:rPr>
                          <w:t xml:space="preserve"> </w:t>
                        </w:r>
                      </w:p>
                    </w:txbxContent>
                  </v:textbox>
                </v:rect>
                <v:rect id="Rectangle 171796" o:spid="_x0000_s1042" style="position:absolute;left:27291;top:6361;width:1414;height:1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N3p8QA&#10;AADfAAAADwAAAGRycy9kb3ducmV2LnhtbERPy4rCMBTdD8w/hDvgbkx1obYaRUZFlz4G1N2lubZl&#10;mpvSRFv9eiMIszyc92TWmlLcqHaFZQW9bgSCOLW64EzB72H1PQLhPLLG0jIpuJOD2fTzY4KJtg3v&#10;6Lb3mQgh7BJUkHtfJVK6NCeDrmsr4sBdbG3QB1hnUtfYhHBTyn4UDaTBgkNDjhX95JT+7a9GwXpU&#10;zU8b+2iycnleH7fHeHGIvVKdr3Y+BuGp9f/it3ujw/xhbxgP4PUnAJ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Td6fEAAAA3wAAAA8AAAAAAAAAAAAAAAAAmAIAAGRycy9k&#10;b3ducmV2LnhtbFBLBQYAAAAABAAEAPUAAACJAwAAAAA=&#10;" filled="f" stroked="f">
                  <v:textbox inset="0,0,0,0">
                    <w:txbxContent>
                      <w:p w:rsidR="004E7831" w:rsidRDefault="004E7831" w:rsidP="00AE6D42">
                        <w:pPr>
                          <w:spacing w:after="160" w:line="259" w:lineRule="auto"/>
                        </w:pPr>
                        <w:r>
                          <w:rPr>
                            <w:rFonts w:ascii="Arial" w:eastAsia="Arial" w:hAnsi="Arial" w:cs="Arial"/>
                            <w:sz w:val="15"/>
                          </w:rPr>
                          <w:t>67</w:t>
                        </w:r>
                      </w:p>
                    </w:txbxContent>
                  </v:textbox>
                </v:rect>
                <v:rect id="Rectangle 171797" o:spid="_x0000_s1043" style="position:absolute;left:28350;top:6361;width:6828;height:1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SPMQA&#10;AADfAAAADwAAAGRycy9kb3ducmV2LnhtbERPy2rCQBTdF/yH4Qru6kQXxqSOIj7QpdWC7e6SuSbB&#10;zJ2QGU3ar3cKgsvDec8WnanEnRpXWlYwGkYgiDOrS84VfJ2271MQziNrrCyTgl9ysJj33maYatvy&#10;J92PPhchhF2KCgrv61RKlxVk0A1tTRy4i20M+gCbXOoG2xBuKjmOook0WHJoKLCmVUHZ9XgzCnbT&#10;evm9t39tXm1+dufDOVmfEq/UoN8tP0B46vxL/HTvdZgfj+Ikhv8/AY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3f0jzEAAAA3wAAAA8AAAAAAAAAAAAAAAAAmAIAAGRycy9k&#10;b3ducmV2LnhtbFBLBQYAAAAABAAEAPUAAACJAwAAAAA=&#10;" filled="f" stroked="f">
                  <v:textbox inset="0,0,0,0">
                    <w:txbxContent>
                      <w:p w:rsidR="004E7831" w:rsidRDefault="004E7831" w:rsidP="00AE6D42">
                        <w:pPr>
                          <w:spacing w:after="160" w:line="259" w:lineRule="auto"/>
                        </w:pPr>
                        <w:r>
                          <w:rPr>
                            <w:rFonts w:ascii="Arial" w:eastAsia="Arial" w:hAnsi="Arial" w:cs="Arial"/>
                            <w:sz w:val="15"/>
                          </w:rPr>
                          <w:t xml:space="preserve">%, p&lt;,0055 </w:t>
                        </w:r>
                      </w:p>
                    </w:txbxContent>
                  </v:textbox>
                </v:rect>
                <v:rect id="Rectangle 171849" o:spid="_x0000_s1044" style="position:absolute;left:36466;top:3453;width:7855;height:1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hbxMUA&#10;AADfAAAADwAAAGRycy9kb3ducmV2LnhtbERPTWvCQBC9F/wPywje6kaRNonZiNgWPbYqqLchOybB&#10;7GzIbk3aX98tFHp8vO9sNZhG3KlztWUFs2kEgriwuuZSwfHw9hiDcB5ZY2OZFHyRg1U+esgw1bbn&#10;D7rvfSlCCLsUFVTet6mUrqjIoJvaljhwV9sZ9AF2pdQd9iHcNHIeRU/SYM2hocKWNhUVt/2nUbCN&#10;2/V5Z7/7snm9bE/vp+TlkHilJuNhvQThafD/4j/3Tof5z7N4kcDvnwBA5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2FvExQAAAN8AAAAPAAAAAAAAAAAAAAAAAJgCAABkcnMv&#10;ZG93bnJldi54bWxQSwUGAAAAAAQABAD1AAAAigMAAAAA&#10;" filled="f" stroked="f">
                  <v:textbox inset="0,0,0,0">
                    <w:txbxContent>
                      <w:p w:rsidR="004E7831" w:rsidRDefault="004E7831" w:rsidP="00AE6D42">
                        <w:pPr>
                          <w:spacing w:after="160" w:line="259" w:lineRule="auto"/>
                        </w:pPr>
                        <w:r>
                          <w:rPr>
                            <w:rFonts w:ascii="Arial" w:eastAsia="Arial" w:hAnsi="Arial" w:cs="Arial"/>
                            <w:sz w:val="17"/>
                            <w:u w:val="single" w:color="000000"/>
                          </w:rPr>
                          <w:t>po 4. rokoch</w:t>
                        </w:r>
                      </w:p>
                    </w:txbxContent>
                  </v:textbox>
                </v:rect>
                <v:rect id="Rectangle 171850" o:spid="_x0000_s1045" style="position:absolute;left:42376;top:3453;width:398;height:1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tkhMQA&#10;AADfAAAADwAAAGRycy9kb3ducmV2LnhtbERPTWvCQBC9F/oflin0VjcKtjG6ilSLHq0WbG9DdkxC&#10;s7MhuzXRX+8cCh4f73u26F2tztSGyrOB4SABRZx7W3Fh4Ovw8ZKCChHZYu2ZDFwowGL++DDDzPqO&#10;P+m8j4WSEA4ZGihjbDKtQ16SwzDwDbFwJ986jALbQtsWOwl3tR4lyat2WLE0lNjQe0n57/7PGdik&#10;zfJ7669dUa9/NsfdcbI6TKIxz0/9cgoqUh/v4n/31sr8t2E6lgfyRwDo+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7ZITEAAAA3wAAAA8AAAAAAAAAAAAAAAAAmAIAAGRycy9k&#10;b3ducmV2LnhtbFBLBQYAAAAABAAEAPUAAACJAwAAAAA=&#10;" filled="f" stroked="f">
                  <v:textbox inset="0,0,0,0">
                    <w:txbxContent>
                      <w:p w:rsidR="004E7831" w:rsidRDefault="004E7831" w:rsidP="00AE6D42">
                        <w:pPr>
                          <w:spacing w:after="160" w:line="259" w:lineRule="auto"/>
                        </w:pPr>
                        <w:r>
                          <w:rPr>
                            <w:rFonts w:ascii="Arial" w:eastAsia="Arial" w:hAnsi="Arial" w:cs="Arial"/>
                            <w:sz w:val="17"/>
                          </w:rPr>
                          <w:t xml:space="preserve"> </w:t>
                        </w:r>
                      </w:p>
                    </w:txbxContent>
                  </v:textbox>
                </v:rect>
                <v:rect id="Rectangle 171794" o:spid="_x0000_s1046" style="position:absolute;left:36450;top:4662;width:1414;height:1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1MS8QA&#10;AADfAAAADwAAAGRycy9kb3ducmV2LnhtbERPy2rCQBTdF/yH4Qrd1YlSapI6imiLLn2B7e6SuU2C&#10;mTshMzXRr3cEweXhvCezzlTiTI0rLSsYDiIQxJnVJecKDvvvtxiE88gaK8uk4EIOZtPeywRTbVve&#10;0nnncxFC2KWooPC+TqV0WUEG3cDWxIH7s41BH2CTS91gG8JNJUdR9CENlhwaCqxpUVB22v0bBau4&#10;nv+s7bXNq6/f1XFzTJb7xCv12u/mnyA8df4pfrjXOswfD8fJO9z/BAB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NTEvEAAAA3wAAAA8AAAAAAAAAAAAAAAAAmAIAAGRycy9k&#10;b3ducmV2LnhtbFBLBQYAAAAABAAEAPUAAACJAwAAAAA=&#10;" filled="f" stroked="f">
                  <v:textbox inset="0,0,0,0">
                    <w:txbxContent>
                      <w:p w:rsidR="004E7831" w:rsidRDefault="004E7831" w:rsidP="00AE6D42">
                        <w:pPr>
                          <w:spacing w:after="160" w:line="259" w:lineRule="auto"/>
                        </w:pPr>
                        <w:r>
                          <w:rPr>
                            <w:rFonts w:ascii="Arial" w:eastAsia="Arial" w:hAnsi="Arial" w:cs="Arial"/>
                            <w:sz w:val="15"/>
                          </w:rPr>
                          <w:t>73</w:t>
                        </w:r>
                      </w:p>
                    </w:txbxContent>
                  </v:textbox>
                </v:rect>
                <v:rect id="Rectangle 171795" o:spid="_x0000_s1047" style="position:absolute;left:37516;top:4662;width:6821;height:1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Hp0MQA&#10;AADfAAAADwAAAGRycy9kb3ducmV2LnhtbERPy2rCQBTdF/yH4Qrd1YlCa5I6imiLLn2B7e6SuU2C&#10;mTshMzXRr3cEweXhvCezzlTiTI0rLSsYDiIQxJnVJecKDvvvtxiE88gaK8uk4EIOZtPeywRTbVve&#10;0nnncxFC2KWooPC+TqV0WUEG3cDWxIH7s41BH2CTS91gG8JNJUdR9CENlhwaCqxpUVB22v0bBau4&#10;nv+s7bXNq6/f1XFzTJb7xCv12u/mnyA8df4pfrjXOswfD8fJO9z/BAB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B6dDEAAAA3wAAAA8AAAAAAAAAAAAAAAAAmAIAAGRycy9k&#10;b3ducmV2LnhtbFBLBQYAAAAABAAEAPUAAACJAwAAAAA=&#10;" filled="f" stroked="f">
                  <v:textbox inset="0,0,0,0">
                    <w:txbxContent>
                      <w:p w:rsidR="004E7831" w:rsidRDefault="004E7831" w:rsidP="00AE6D42">
                        <w:pPr>
                          <w:spacing w:after="160" w:line="259" w:lineRule="auto"/>
                        </w:pPr>
                        <w:r>
                          <w:rPr>
                            <w:rFonts w:ascii="Arial" w:eastAsia="Arial" w:hAnsi="Arial" w:cs="Arial"/>
                            <w:sz w:val="15"/>
                          </w:rPr>
                          <w:t xml:space="preserve">%, p&lt;,0021 </w:t>
                        </w:r>
                      </w:p>
                    </w:txbxContent>
                  </v:textbox>
                </v:rect>
                <v:rect id="Rectangle 171846" o:spid="_x0000_s1048" style="position:absolute;left:46234;top:2737;width:7860;height:1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fPtsQA&#10;AADfAAAADwAAAGRycy9kb3ducmV2LnhtbERPy2rCQBTdF/yH4Qru6kQpNkZHEa3osj5A3V0y1ySY&#10;uRMyo4n9+k6h4PJw3tN5a0rxoNoVlhUM+hEI4tTqgjMFx8P6PQbhPLLG0jIpeJKD+azzNsVE24Z3&#10;9Nj7TIQQdgkqyL2vEildmpNB17cVceCutjboA6wzqWtsQrgp5TCKRtJgwaEhx4qWOaW3/d0o2MTV&#10;4ry1P01Wfl02p+/TeHUYe6V63XYxAeGp9S/xv3urw/zPQfwxgr8/AYC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Hz7bEAAAA3wAAAA8AAAAAAAAAAAAAAAAAmAIAAGRycy9k&#10;b3ducmV2LnhtbFBLBQYAAAAABAAEAPUAAACJAwAAAAA=&#10;" filled="f" stroked="f">
                  <v:textbox inset="0,0,0,0">
                    <w:txbxContent>
                      <w:p w:rsidR="004E7831" w:rsidRDefault="004E7831" w:rsidP="00AE6D42">
                        <w:pPr>
                          <w:spacing w:after="160" w:line="259" w:lineRule="auto"/>
                        </w:pPr>
                        <w:r>
                          <w:rPr>
                            <w:rFonts w:ascii="Arial" w:eastAsia="Arial" w:hAnsi="Arial" w:cs="Arial"/>
                            <w:sz w:val="17"/>
                            <w:u w:val="single" w:color="000000"/>
                          </w:rPr>
                          <w:t>po 5. rokoch</w:t>
                        </w:r>
                      </w:p>
                    </w:txbxContent>
                  </v:textbox>
                </v:rect>
                <v:rect id="Rectangle 171847" o:spid="_x0000_s1049" style="position:absolute;left:52147;top:2737;width:398;height:1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tqLcUA&#10;AADfAAAADwAAAGRycy9kb3ducmV2LnhtbERPTWvCQBC9F/wPywi91Y1SakyzEdEWPdYo2N6G7DQJ&#10;ZmdDdmvS/npXKHh8vO90OZhGXKhztWUF00kEgriwuuZSwfHw/hSDcB5ZY2OZFPySg2U2ekgx0bbn&#10;PV1yX4oQwi5BBZX3bSKlKyoy6Ca2JQ7ct+0M+gC7UuoO+xBuGjmLohdpsObQUGFL64qKc/5jFGzj&#10;dvW5s3992bx9bU8fp8XmsPBKPY6H1SsIT4O/i//dOx3mz6fx8xxufwIAm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C2otxQAAAN8AAAAPAAAAAAAAAAAAAAAAAJgCAABkcnMv&#10;ZG93bnJldi54bWxQSwUGAAAAAAQABAD1AAAAigMAAAAA&#10;" filled="f" stroked="f">
                  <v:textbox inset="0,0,0,0">
                    <w:txbxContent>
                      <w:p w:rsidR="004E7831" w:rsidRDefault="004E7831" w:rsidP="00AE6D42">
                        <w:pPr>
                          <w:spacing w:after="160" w:line="259" w:lineRule="auto"/>
                        </w:pPr>
                        <w:r>
                          <w:rPr>
                            <w:rFonts w:ascii="Arial" w:eastAsia="Arial" w:hAnsi="Arial" w:cs="Arial"/>
                            <w:sz w:val="17"/>
                          </w:rPr>
                          <w:t xml:space="preserve"> </w:t>
                        </w:r>
                      </w:p>
                    </w:txbxContent>
                  </v:textbox>
                </v:rect>
                <v:rect id="Rectangle 171792" o:spid="_x0000_s1050" style="position:absolute;left:46219;top:3946;width:1404;height:1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hxpMQA&#10;AADfAAAADwAAAGRycy9kb3ducmV2LnhtbERPy4rCMBTdD8w/hDvgbkx1obYaRUZFlz4G1N2lubZl&#10;mpvSRFv9eiMIszyc92TWmlLcqHaFZQW9bgSCOLW64EzB72H1PQLhPLLG0jIpuJOD2fTzY4KJtg3v&#10;6Lb3mQgh7BJUkHtfJVK6NCeDrmsr4sBdbG3QB1hnUtfYhHBTyn4UDaTBgkNDjhX95JT+7a9GwXpU&#10;zU8b+2iycnleH7fHeHGIvVKdr3Y+BuGp9f/it3ujw/xhbxj34fUnAJ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ocaTEAAAA3wAAAA8AAAAAAAAAAAAAAAAAmAIAAGRycy9k&#10;b3ducmV2LnhtbFBLBQYAAAAABAAEAPUAAACJAwAAAAA=&#10;" filled="f" stroked="f">
                  <v:textbox inset="0,0,0,0">
                    <w:txbxContent>
                      <w:p w:rsidR="004E7831" w:rsidRDefault="004E7831" w:rsidP="00AE6D42">
                        <w:pPr>
                          <w:spacing w:after="160" w:line="259" w:lineRule="auto"/>
                        </w:pPr>
                        <w:r>
                          <w:rPr>
                            <w:rFonts w:ascii="Arial" w:eastAsia="Arial" w:hAnsi="Arial" w:cs="Arial"/>
                            <w:sz w:val="15"/>
                          </w:rPr>
                          <w:t>76</w:t>
                        </w:r>
                      </w:p>
                    </w:txbxContent>
                  </v:textbox>
                </v:rect>
                <v:rect id="Rectangle 171793" o:spid="_x0000_s1051" style="position:absolute;left:47278;top:3946;width:6830;height:1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TUP8QA&#10;AADfAAAADwAAAGRycy9kb3ducmV2LnhtbERPy2rCQBTdF/yH4Qrd1YkWapI6imiLLn2B7e6SuU2C&#10;mTshMzXRr3cEweXhvCezzlTiTI0rLSsYDiIQxJnVJecKDvvvtxiE88gaK8uk4EIOZtPeywRTbVve&#10;0nnncxFC2KWooPC+TqV0WUEG3cDWxIH7s41BH2CTS91gG8JNJUdR9CENlhwaCqxpUVB22v0bBau4&#10;nv+s7bXNq6/f1XFzTJb7xCv12u/mnyA8df4pfrjXOswfD8fJO9z/BAB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k1D/EAAAA3wAAAA8AAAAAAAAAAAAAAAAAmAIAAGRycy9k&#10;b3ducmV2LnhtbFBLBQYAAAAABAAEAPUAAACJAwAAAAA=&#10;" filled="f" stroked="f">
                  <v:textbox inset="0,0,0,0">
                    <w:txbxContent>
                      <w:p w:rsidR="004E7831" w:rsidRDefault="004E7831" w:rsidP="00AE6D42">
                        <w:pPr>
                          <w:spacing w:after="160" w:line="259" w:lineRule="auto"/>
                        </w:pPr>
                        <w:r>
                          <w:rPr>
                            <w:rFonts w:ascii="Arial" w:eastAsia="Arial" w:hAnsi="Arial" w:cs="Arial"/>
                            <w:sz w:val="15"/>
                          </w:rPr>
                          <w:t xml:space="preserve">%, p&lt;,0022 </w:t>
                        </w:r>
                      </w:p>
                    </w:txbxContent>
                  </v:textbox>
                </v:rect>
                <w10:anchorlock/>
              </v:group>
            </w:pict>
          </mc:Fallback>
        </mc:AlternateContent>
      </w:r>
    </w:p>
    <w:p w:rsidR="00AE6D42" w:rsidRPr="00ED7F0F" w:rsidRDefault="00AE6D42" w:rsidP="00122C9F">
      <w:pPr>
        <w:spacing w:after="2" w:line="259" w:lineRule="auto"/>
        <w:ind w:left="10"/>
        <w:jc w:val="right"/>
      </w:pPr>
      <w:r w:rsidRPr="00ED7F0F">
        <w:rPr>
          <w:b/>
        </w:rPr>
        <w:t>Mesiace od randomizácie</w:t>
      </w:r>
    </w:p>
    <w:p w:rsidR="00AE6D42" w:rsidRPr="00ED7F0F" w:rsidRDefault="00AE6D42" w:rsidP="00122C9F">
      <w:pPr>
        <w:tabs>
          <w:tab w:val="clear" w:pos="567"/>
          <w:tab w:val="center" w:pos="568"/>
          <w:tab w:val="center" w:pos="1100"/>
          <w:tab w:val="center" w:pos="1634"/>
          <w:tab w:val="center" w:pos="2167"/>
          <w:tab w:val="center" w:pos="2701"/>
          <w:tab w:val="center" w:pos="3234"/>
          <w:tab w:val="center" w:pos="3843"/>
        </w:tabs>
        <w:spacing w:line="249" w:lineRule="auto"/>
      </w:pPr>
      <w:r w:rsidRPr="00ED7F0F">
        <w:t xml:space="preserve"> </w:t>
      </w:r>
      <w:r w:rsidRPr="00ED7F0F">
        <w:tab/>
        <w:t xml:space="preserve"> </w:t>
      </w:r>
      <w:r w:rsidRPr="00ED7F0F">
        <w:tab/>
        <w:t xml:space="preserve"> </w:t>
      </w:r>
      <w:r w:rsidRPr="00ED7F0F">
        <w:tab/>
        <w:t xml:space="preserve"> </w:t>
      </w:r>
      <w:r w:rsidRPr="00ED7F0F">
        <w:tab/>
        <w:t xml:space="preserve"> </w:t>
      </w:r>
      <w:r w:rsidRPr="00ED7F0F">
        <w:tab/>
        <w:t xml:space="preserve"> </w:t>
      </w:r>
      <w:r w:rsidRPr="00ED7F0F">
        <w:tab/>
        <w:t xml:space="preserve"> </w:t>
      </w:r>
      <w:r w:rsidRPr="00ED7F0F">
        <w:tab/>
      </w:r>
      <w:r w:rsidR="00B8397F" w:rsidRPr="00ED7F0F">
        <w:tab/>
      </w:r>
      <w:r w:rsidRPr="00ED7F0F">
        <w:rPr>
          <w:u w:val="single" w:color="000000"/>
        </w:rPr>
        <w:t>N</w:t>
      </w:r>
    </w:p>
    <w:p w:rsidR="00B8397F" w:rsidRPr="00ED7F0F" w:rsidRDefault="00AE6D42" w:rsidP="00122C9F">
      <w:pPr>
        <w:spacing w:after="25" w:line="261" w:lineRule="auto"/>
        <w:ind w:left="29"/>
        <w:rPr>
          <w:sz w:val="17"/>
        </w:rPr>
      </w:pPr>
      <w:r w:rsidRPr="00ED7F0F">
        <w:rPr>
          <w:b/>
          <w:sz w:val="17"/>
        </w:rPr>
        <w:t>______</w:t>
      </w:r>
      <w:r w:rsidRPr="00ED7F0F">
        <w:rPr>
          <w:sz w:val="17"/>
        </w:rPr>
        <w:t xml:space="preserve">Dasatinib 100 mg jedenkrát denne   </w:t>
      </w:r>
      <w:r w:rsidRPr="00ED7F0F">
        <w:rPr>
          <w:sz w:val="17"/>
        </w:rPr>
        <w:tab/>
      </w:r>
      <w:r w:rsidR="00B8397F" w:rsidRPr="00ED7F0F">
        <w:rPr>
          <w:sz w:val="17"/>
        </w:rPr>
        <w:tab/>
      </w:r>
      <w:r w:rsidRPr="00ED7F0F">
        <w:rPr>
          <w:sz w:val="17"/>
        </w:rPr>
        <w:t>259</w:t>
      </w:r>
    </w:p>
    <w:p w:rsidR="00AE6D42" w:rsidRPr="00ED7F0F" w:rsidRDefault="00AE6D42" w:rsidP="00122C9F">
      <w:pPr>
        <w:spacing w:after="25" w:line="261" w:lineRule="auto"/>
        <w:ind w:left="29"/>
      </w:pPr>
      <w:r w:rsidRPr="00ED7F0F">
        <w:rPr>
          <w:sz w:val="17"/>
        </w:rPr>
        <w:t xml:space="preserve">--------- Imatinib 400 mg jedenkrát denne </w:t>
      </w:r>
      <w:r w:rsidRPr="00ED7F0F">
        <w:rPr>
          <w:sz w:val="17"/>
        </w:rPr>
        <w:tab/>
        <w:t xml:space="preserve"> </w:t>
      </w:r>
      <w:r w:rsidRPr="00ED7F0F">
        <w:rPr>
          <w:sz w:val="17"/>
        </w:rPr>
        <w:tab/>
        <w:t>260</w:t>
      </w:r>
    </w:p>
    <w:p w:rsidR="00AE6D42" w:rsidRPr="00ED7F0F" w:rsidRDefault="00AE6D42" w:rsidP="00122C9F">
      <w:pPr>
        <w:spacing w:line="259" w:lineRule="auto"/>
        <w:ind w:left="34"/>
      </w:pPr>
    </w:p>
    <w:p w:rsidR="00AE6D42" w:rsidRPr="00ED7F0F" w:rsidRDefault="00AE6D42" w:rsidP="00122C9F">
      <w:pPr>
        <w:ind w:left="29"/>
      </w:pPr>
      <w:r w:rsidRPr="00ED7F0F">
        <w:t>Podiel pacientov, ktorí dosiahli pomer BCR-ABL ≤0,01</w:t>
      </w:r>
      <w:r w:rsidR="00B8397F" w:rsidRPr="00ED7F0F">
        <w:t> </w:t>
      </w:r>
      <w:r w:rsidRPr="00ED7F0F">
        <w:t>% (4-log zníženie) v</w:t>
      </w:r>
      <w:r w:rsidR="00B8397F" w:rsidRPr="00ED7F0F">
        <w:t> </w:t>
      </w:r>
      <w:r w:rsidRPr="00ED7F0F">
        <w:t>akomkoľvek čase bol vyšší v</w:t>
      </w:r>
      <w:r w:rsidR="00B8397F" w:rsidRPr="00ED7F0F">
        <w:t> dasatinibom</w:t>
      </w:r>
      <w:r w:rsidRPr="00ED7F0F">
        <w:t xml:space="preserve"> liečenej skupine v</w:t>
      </w:r>
      <w:r w:rsidR="00B8397F" w:rsidRPr="00ED7F0F">
        <w:t> </w:t>
      </w:r>
      <w:r w:rsidRPr="00ED7F0F">
        <w:t>porovnaní s</w:t>
      </w:r>
      <w:r w:rsidR="00B8397F" w:rsidRPr="00ED7F0F">
        <w:t> </w:t>
      </w:r>
      <w:r w:rsidRPr="00ED7F0F">
        <w:t>imatinibom liečenej skupine (54,1</w:t>
      </w:r>
      <w:r w:rsidR="00B8397F" w:rsidRPr="00ED7F0F">
        <w:t> </w:t>
      </w:r>
      <w:r w:rsidRPr="00ED7F0F">
        <w:t>% proti 45</w:t>
      </w:r>
      <w:r w:rsidR="00B8397F" w:rsidRPr="00ED7F0F">
        <w:t> </w:t>
      </w:r>
      <w:r w:rsidRPr="00ED7F0F">
        <w:t>%). Podiel pacientov, ktorí dosiahli pomer BCR-ABL ≤0,032</w:t>
      </w:r>
      <w:r w:rsidR="00B8397F" w:rsidRPr="00ED7F0F">
        <w:t> </w:t>
      </w:r>
      <w:r w:rsidRPr="00ED7F0F">
        <w:t>% (4,5-log zníženie) v</w:t>
      </w:r>
      <w:r w:rsidR="00B8397F" w:rsidRPr="00ED7F0F">
        <w:t> </w:t>
      </w:r>
      <w:r w:rsidRPr="00ED7F0F">
        <w:t>akomkoľvek čase bol vyšší v</w:t>
      </w:r>
      <w:r w:rsidR="00B8397F" w:rsidRPr="00ED7F0F">
        <w:t> dasatinibom</w:t>
      </w:r>
      <w:r w:rsidRPr="00ED7F0F">
        <w:t xml:space="preserve"> liečenej skupine v</w:t>
      </w:r>
      <w:r w:rsidR="00B8397F" w:rsidRPr="00ED7F0F">
        <w:t> </w:t>
      </w:r>
      <w:r w:rsidRPr="00ED7F0F">
        <w:t>porovnaní s</w:t>
      </w:r>
      <w:r w:rsidR="00B8397F" w:rsidRPr="00ED7F0F">
        <w:t> </w:t>
      </w:r>
      <w:r w:rsidRPr="00ED7F0F">
        <w:t>imatinibom liečenej skupine (44</w:t>
      </w:r>
      <w:r w:rsidR="00B8397F" w:rsidRPr="00ED7F0F">
        <w:t> </w:t>
      </w:r>
      <w:r w:rsidRPr="00ED7F0F">
        <w:t xml:space="preserve">% </w:t>
      </w:r>
      <w:r w:rsidR="00C62460" w:rsidRPr="00ED7F0F">
        <w:t>o</w:t>
      </w:r>
      <w:r w:rsidRPr="00ED7F0F">
        <w:t>proti 34</w:t>
      </w:r>
      <w:r w:rsidR="00B8397F" w:rsidRPr="00ED7F0F">
        <w:t> </w:t>
      </w:r>
      <w:r w:rsidRPr="00ED7F0F">
        <w:t>%).</w:t>
      </w:r>
    </w:p>
    <w:p w:rsidR="00AE6D42" w:rsidRPr="00ED7F0F" w:rsidRDefault="00AE6D42" w:rsidP="00122C9F">
      <w:pPr>
        <w:spacing w:line="259" w:lineRule="auto"/>
        <w:ind w:left="34"/>
        <w:rPr>
          <w:highlight w:val="lightGray"/>
        </w:rPr>
      </w:pPr>
    </w:p>
    <w:p w:rsidR="00AE6D42" w:rsidRPr="00ED7F0F" w:rsidRDefault="00AE6D42" w:rsidP="00122C9F">
      <w:pPr>
        <w:ind w:left="29"/>
      </w:pPr>
      <w:r w:rsidRPr="00ED7F0F">
        <w:t>Pomery MR4.5 v priebehu času sú zobrazené graficky na Grafe 3. Pomery MR4.5 boli v</w:t>
      </w:r>
      <w:r w:rsidR="00B8397F" w:rsidRPr="00ED7F0F">
        <w:t> </w:t>
      </w:r>
      <w:r w:rsidRPr="00ED7F0F">
        <w:t>priebehu času rovnomerne vyššie u</w:t>
      </w:r>
      <w:r w:rsidR="00B8397F" w:rsidRPr="00ED7F0F">
        <w:t> </w:t>
      </w:r>
      <w:r w:rsidRPr="00ED7F0F">
        <w:t>pacientov liečených dasatinibom v</w:t>
      </w:r>
      <w:r w:rsidR="00B8397F" w:rsidRPr="00ED7F0F">
        <w:t> </w:t>
      </w:r>
      <w:r w:rsidRPr="00ED7F0F">
        <w:t>porovnaní s</w:t>
      </w:r>
      <w:r w:rsidR="00B8397F" w:rsidRPr="00ED7F0F">
        <w:t> </w:t>
      </w:r>
      <w:r w:rsidRPr="00ED7F0F">
        <w:t>pacientmi liečenými imatinibom.</w:t>
      </w:r>
    </w:p>
    <w:p w:rsidR="00AE6D42" w:rsidRPr="00ED7F0F" w:rsidRDefault="00AE6D42" w:rsidP="00122C9F">
      <w:pPr>
        <w:spacing w:line="259" w:lineRule="auto"/>
        <w:ind w:left="34"/>
      </w:pPr>
    </w:p>
    <w:p w:rsidR="00AE6D42" w:rsidRPr="00ED7F0F" w:rsidRDefault="00AE6D42" w:rsidP="009A0932">
      <w:pPr>
        <w:keepNext/>
        <w:tabs>
          <w:tab w:val="clear" w:pos="567"/>
          <w:tab w:val="left" w:pos="1140"/>
        </w:tabs>
        <w:spacing w:after="120" w:line="240" w:lineRule="auto"/>
        <w:ind w:left="1140" w:hanging="1140"/>
        <w:rPr>
          <w:b/>
          <w:spacing w:val="-7"/>
          <w:szCs w:val="22"/>
          <w:lang w:eastAsia="en-GB" w:bidi="ar-SA"/>
        </w:rPr>
      </w:pPr>
      <w:r w:rsidRPr="00ED7F0F">
        <w:rPr>
          <w:b/>
          <w:spacing w:val="-7"/>
          <w:szCs w:val="22"/>
          <w:lang w:eastAsia="en-GB" w:bidi="ar-SA"/>
        </w:rPr>
        <w:t xml:space="preserve">Graf 3: </w:t>
      </w:r>
      <w:r w:rsidRPr="00ED7F0F">
        <w:rPr>
          <w:b/>
          <w:spacing w:val="-7"/>
          <w:szCs w:val="22"/>
          <w:lang w:eastAsia="en-GB" w:bidi="ar-SA"/>
        </w:rPr>
        <w:tab/>
        <w:t>Hodnoty MR4.5 v priebehu času – všetci randomizovaní pacienti v</w:t>
      </w:r>
      <w:r w:rsidR="00C62460" w:rsidRPr="00ED7F0F">
        <w:rPr>
          <w:b/>
          <w:spacing w:val="-7"/>
          <w:szCs w:val="22"/>
          <w:lang w:eastAsia="en-GB" w:bidi="ar-SA"/>
        </w:rPr>
        <w:t> </w:t>
      </w:r>
      <w:r w:rsidRPr="00ED7F0F">
        <w:rPr>
          <w:b/>
          <w:spacing w:val="-7"/>
          <w:szCs w:val="22"/>
          <w:lang w:eastAsia="en-GB" w:bidi="ar-SA"/>
        </w:rPr>
        <w:t>štúdi</w:t>
      </w:r>
      <w:r w:rsidR="00C62460" w:rsidRPr="00ED7F0F">
        <w:rPr>
          <w:b/>
          <w:spacing w:val="-7"/>
          <w:szCs w:val="22"/>
          <w:lang w:eastAsia="en-GB" w:bidi="ar-SA"/>
        </w:rPr>
        <w:t>i fázy 3</w:t>
      </w:r>
      <w:r w:rsidRPr="00ED7F0F">
        <w:rPr>
          <w:b/>
          <w:spacing w:val="-7"/>
          <w:szCs w:val="22"/>
          <w:lang w:eastAsia="en-GB" w:bidi="ar-SA"/>
        </w:rPr>
        <w:t xml:space="preserve"> s novodiagnostikovanými pacientmi v chronickej fáze CML</w:t>
      </w:r>
    </w:p>
    <w:p w:rsidR="00AE6D42" w:rsidRPr="00ED7F0F" w:rsidRDefault="00AE6D42" w:rsidP="00122C9F">
      <w:pPr>
        <w:spacing w:line="259" w:lineRule="auto"/>
        <w:ind w:left="34"/>
      </w:pPr>
    </w:p>
    <w:p w:rsidR="00AE6D42" w:rsidRPr="00ED7F0F" w:rsidRDefault="00AE6D42" w:rsidP="00122C9F">
      <w:pPr>
        <w:tabs>
          <w:tab w:val="clear" w:pos="567"/>
        </w:tabs>
        <w:spacing w:line="259" w:lineRule="auto"/>
        <w:jc w:val="right"/>
      </w:pPr>
      <w:r w:rsidRPr="00ED7F0F">
        <w:rPr>
          <w:rFonts w:eastAsia="Calibri"/>
          <w:noProof/>
          <w:lang w:bidi="ar-SA"/>
        </w:rPr>
        <mc:AlternateContent>
          <mc:Choice Requires="wpg">
            <w:drawing>
              <wp:inline distT="0" distB="0" distL="0" distR="0" wp14:anchorId="6EEAEF07" wp14:editId="45E0C7EB">
                <wp:extent cx="5184325" cy="2663190"/>
                <wp:effectExtent l="0" t="0" r="0" b="0"/>
                <wp:docPr id="177349" name="Group 177349"/>
                <wp:cNvGraphicFramePr/>
                <a:graphic xmlns:a="http://schemas.openxmlformats.org/drawingml/2006/main">
                  <a:graphicData uri="http://schemas.microsoft.com/office/word/2010/wordprocessingGroup">
                    <wpg:wgp>
                      <wpg:cNvGrpSpPr/>
                      <wpg:grpSpPr>
                        <a:xfrm>
                          <a:off x="0" y="0"/>
                          <a:ext cx="5184325" cy="2663190"/>
                          <a:chOff x="0" y="0"/>
                          <a:chExt cx="5184325" cy="2663190"/>
                        </a:xfrm>
                      </wpg:grpSpPr>
                      <pic:pic xmlns:pic="http://schemas.openxmlformats.org/drawingml/2006/picture">
                        <pic:nvPicPr>
                          <pic:cNvPr id="3046" name="Picture 3046"/>
                          <pic:cNvPicPr/>
                        </pic:nvPicPr>
                        <pic:blipFill>
                          <a:blip r:embed="rId15"/>
                          <a:stretch>
                            <a:fillRect/>
                          </a:stretch>
                        </pic:blipFill>
                        <pic:spPr>
                          <a:xfrm>
                            <a:off x="362389" y="0"/>
                            <a:ext cx="4821936" cy="2663190"/>
                          </a:xfrm>
                          <a:prstGeom prst="rect">
                            <a:avLst/>
                          </a:prstGeom>
                        </pic:spPr>
                      </pic:pic>
                      <wps:wsp>
                        <wps:cNvPr id="3092" name="Rectangle 3092"/>
                        <wps:cNvSpPr/>
                        <wps:spPr>
                          <a:xfrm rot="-5399999">
                            <a:off x="-297715" y="1021521"/>
                            <a:ext cx="723232" cy="127800"/>
                          </a:xfrm>
                          <a:prstGeom prst="rect">
                            <a:avLst/>
                          </a:prstGeom>
                          <a:ln>
                            <a:noFill/>
                          </a:ln>
                        </wps:spPr>
                        <wps:txbx>
                          <w:txbxContent>
                            <w:p w:rsidR="004E7831" w:rsidRDefault="004E7831" w:rsidP="00AE6D42">
                              <w:pPr>
                                <w:spacing w:after="160" w:line="259" w:lineRule="auto"/>
                              </w:pPr>
                              <w:r>
                                <w:rPr>
                                  <w:b/>
                                  <w:sz w:val="17"/>
                                </w:rPr>
                                <w:t xml:space="preserve">% s MR4.5 </w:t>
                              </w:r>
                            </w:p>
                          </w:txbxContent>
                        </wps:txbx>
                        <wps:bodyPr horzOverflow="overflow" vert="horz" lIns="0" tIns="0" rIns="0" bIns="0" rtlCol="0">
                          <a:noAutofit/>
                        </wps:bodyPr>
                      </wps:wsp>
                      <wps:wsp>
                        <wps:cNvPr id="175078" name="Rectangle 175078"/>
                        <wps:cNvSpPr/>
                        <wps:spPr>
                          <a:xfrm>
                            <a:off x="4274497" y="904690"/>
                            <a:ext cx="786034" cy="134434"/>
                          </a:xfrm>
                          <a:prstGeom prst="rect">
                            <a:avLst/>
                          </a:prstGeom>
                          <a:ln>
                            <a:noFill/>
                          </a:ln>
                        </wps:spPr>
                        <wps:txbx>
                          <w:txbxContent>
                            <w:p w:rsidR="004E7831" w:rsidRDefault="004E7831" w:rsidP="00AE6D42">
                              <w:pPr>
                                <w:spacing w:after="160" w:line="259" w:lineRule="auto"/>
                              </w:pPr>
                              <w:r>
                                <w:rPr>
                                  <w:rFonts w:ascii="Arial" w:eastAsia="Arial" w:hAnsi="Arial" w:cs="Arial"/>
                                  <w:sz w:val="17"/>
                                  <w:u w:val="single" w:color="000000"/>
                                </w:rPr>
                                <w:t>po 5. rokoch</w:t>
                              </w:r>
                            </w:p>
                          </w:txbxContent>
                        </wps:txbx>
                        <wps:bodyPr horzOverflow="overflow" vert="horz" lIns="0" tIns="0" rIns="0" bIns="0" rtlCol="0">
                          <a:noAutofit/>
                        </wps:bodyPr>
                      </wps:wsp>
                      <wps:wsp>
                        <wps:cNvPr id="175079" name="Rectangle 175079"/>
                        <wps:cNvSpPr/>
                        <wps:spPr>
                          <a:xfrm>
                            <a:off x="4865888" y="904690"/>
                            <a:ext cx="39761" cy="134434"/>
                          </a:xfrm>
                          <a:prstGeom prst="rect">
                            <a:avLst/>
                          </a:prstGeom>
                          <a:ln>
                            <a:noFill/>
                          </a:ln>
                        </wps:spPr>
                        <wps:txbx>
                          <w:txbxContent>
                            <w:p w:rsidR="004E7831" w:rsidRDefault="004E7831" w:rsidP="00AE6D42">
                              <w:pPr>
                                <w:spacing w:after="160" w:line="259" w:lineRule="auto"/>
                              </w:pPr>
                              <w:r>
                                <w:rPr>
                                  <w:rFonts w:ascii="Arial" w:eastAsia="Arial" w:hAnsi="Arial" w:cs="Arial"/>
                                  <w:sz w:val="17"/>
                                </w:rPr>
                                <w:t xml:space="preserve"> </w:t>
                              </w:r>
                            </w:p>
                          </w:txbxContent>
                        </wps:txbx>
                        <wps:bodyPr horzOverflow="overflow" vert="horz" lIns="0" tIns="0" rIns="0" bIns="0" rtlCol="0">
                          <a:noAutofit/>
                        </wps:bodyPr>
                      </wps:wsp>
                      <wps:wsp>
                        <wps:cNvPr id="174735" name="Rectangle 174735"/>
                        <wps:cNvSpPr/>
                        <wps:spPr>
                          <a:xfrm>
                            <a:off x="4621969" y="1026340"/>
                            <a:ext cx="141434" cy="119197"/>
                          </a:xfrm>
                          <a:prstGeom prst="rect">
                            <a:avLst/>
                          </a:prstGeom>
                          <a:ln>
                            <a:noFill/>
                          </a:ln>
                        </wps:spPr>
                        <wps:txbx>
                          <w:txbxContent>
                            <w:p w:rsidR="004E7831" w:rsidRDefault="004E7831" w:rsidP="00AE6D42">
                              <w:pPr>
                                <w:spacing w:after="160" w:line="259" w:lineRule="auto"/>
                              </w:pPr>
                              <w:r>
                                <w:rPr>
                                  <w:rFonts w:ascii="Arial" w:eastAsia="Arial" w:hAnsi="Arial" w:cs="Arial"/>
                                  <w:sz w:val="15"/>
                                </w:rPr>
                                <w:t>42</w:t>
                              </w:r>
                            </w:p>
                          </w:txbxContent>
                        </wps:txbx>
                        <wps:bodyPr horzOverflow="overflow" vert="horz" lIns="0" tIns="0" rIns="0" bIns="0" rtlCol="0">
                          <a:noAutofit/>
                        </wps:bodyPr>
                      </wps:wsp>
                      <wps:wsp>
                        <wps:cNvPr id="174736" name="Rectangle 174736"/>
                        <wps:cNvSpPr/>
                        <wps:spPr>
                          <a:xfrm>
                            <a:off x="4728625" y="1026340"/>
                            <a:ext cx="217699" cy="119197"/>
                          </a:xfrm>
                          <a:prstGeom prst="rect">
                            <a:avLst/>
                          </a:prstGeom>
                          <a:ln>
                            <a:noFill/>
                          </a:ln>
                        </wps:spPr>
                        <wps:txbx>
                          <w:txbxContent>
                            <w:p w:rsidR="004E7831" w:rsidRDefault="004E7831" w:rsidP="00AE6D42">
                              <w:pPr>
                                <w:spacing w:after="160" w:line="259" w:lineRule="auto"/>
                              </w:pPr>
                              <w:r>
                                <w:rPr>
                                  <w:rFonts w:ascii="Arial" w:eastAsia="Arial" w:hAnsi="Arial" w:cs="Arial"/>
                                  <w:sz w:val="15"/>
                                </w:rPr>
                                <w:t xml:space="preserve"> %, </w:t>
                              </w:r>
                            </w:p>
                          </w:txbxContent>
                        </wps:txbx>
                        <wps:bodyPr horzOverflow="overflow" vert="horz" lIns="0" tIns="0" rIns="0" bIns="0" rtlCol="0">
                          <a:noAutofit/>
                        </wps:bodyPr>
                      </wps:wsp>
                      <wps:wsp>
                        <wps:cNvPr id="3097" name="Rectangle 3097"/>
                        <wps:cNvSpPr/>
                        <wps:spPr>
                          <a:xfrm>
                            <a:off x="4517573" y="1134540"/>
                            <a:ext cx="498411" cy="119197"/>
                          </a:xfrm>
                          <a:prstGeom prst="rect">
                            <a:avLst/>
                          </a:prstGeom>
                          <a:ln>
                            <a:noFill/>
                          </a:ln>
                        </wps:spPr>
                        <wps:txbx>
                          <w:txbxContent>
                            <w:p w:rsidR="004E7831" w:rsidRDefault="004E7831" w:rsidP="00AE6D42">
                              <w:pPr>
                                <w:spacing w:after="160" w:line="259" w:lineRule="auto"/>
                              </w:pPr>
                              <w:r>
                                <w:rPr>
                                  <w:rFonts w:ascii="Arial" w:eastAsia="Arial" w:hAnsi="Arial" w:cs="Arial"/>
                                  <w:sz w:val="15"/>
                                </w:rPr>
                                <w:t xml:space="preserve">p&lt;,0251 </w:t>
                              </w:r>
                            </w:p>
                          </w:txbxContent>
                        </wps:txbx>
                        <wps:bodyPr horzOverflow="overflow" vert="horz" lIns="0" tIns="0" rIns="0" bIns="0" rtlCol="0">
                          <a:noAutofit/>
                        </wps:bodyPr>
                      </wps:wsp>
                      <wps:wsp>
                        <wps:cNvPr id="175088" name="Rectangle 175088"/>
                        <wps:cNvSpPr/>
                        <wps:spPr>
                          <a:xfrm>
                            <a:off x="885883" y="1804612"/>
                            <a:ext cx="634915" cy="134434"/>
                          </a:xfrm>
                          <a:prstGeom prst="rect">
                            <a:avLst/>
                          </a:prstGeom>
                          <a:ln>
                            <a:noFill/>
                          </a:ln>
                        </wps:spPr>
                        <wps:txbx>
                          <w:txbxContent>
                            <w:p w:rsidR="004E7831" w:rsidRDefault="004E7831" w:rsidP="00AE6D42">
                              <w:pPr>
                                <w:spacing w:after="160" w:line="259" w:lineRule="auto"/>
                              </w:pPr>
                              <w:r>
                                <w:rPr>
                                  <w:rFonts w:ascii="Arial" w:eastAsia="Arial" w:hAnsi="Arial" w:cs="Arial"/>
                                  <w:sz w:val="17"/>
                                  <w:u w:val="single" w:color="000000"/>
                                </w:rPr>
                                <w:t>po 1. roku</w:t>
                              </w:r>
                            </w:p>
                          </w:txbxContent>
                        </wps:txbx>
                        <wps:bodyPr horzOverflow="overflow" vert="horz" lIns="0" tIns="0" rIns="0" bIns="0" rtlCol="0">
                          <a:noAutofit/>
                        </wps:bodyPr>
                      </wps:wsp>
                      <wps:wsp>
                        <wps:cNvPr id="175089" name="Rectangle 175089"/>
                        <wps:cNvSpPr/>
                        <wps:spPr>
                          <a:xfrm>
                            <a:off x="1363650" y="1804612"/>
                            <a:ext cx="39761" cy="134434"/>
                          </a:xfrm>
                          <a:prstGeom prst="rect">
                            <a:avLst/>
                          </a:prstGeom>
                          <a:ln>
                            <a:noFill/>
                          </a:ln>
                        </wps:spPr>
                        <wps:txbx>
                          <w:txbxContent>
                            <w:p w:rsidR="004E7831" w:rsidRDefault="004E7831" w:rsidP="00AE6D42">
                              <w:pPr>
                                <w:spacing w:after="160" w:line="259" w:lineRule="auto"/>
                              </w:pPr>
                              <w:r>
                                <w:rPr>
                                  <w:rFonts w:ascii="Arial" w:eastAsia="Arial" w:hAnsi="Arial" w:cs="Arial"/>
                                  <w:sz w:val="17"/>
                                </w:rPr>
                                <w:t xml:space="preserve"> </w:t>
                              </w:r>
                            </w:p>
                          </w:txbxContent>
                        </wps:txbx>
                        <wps:bodyPr horzOverflow="overflow" vert="horz" lIns="0" tIns="0" rIns="0" bIns="0" rtlCol="0">
                          <a:noAutofit/>
                        </wps:bodyPr>
                      </wps:wsp>
                      <wps:wsp>
                        <wps:cNvPr id="174743" name="Rectangle 174743"/>
                        <wps:cNvSpPr/>
                        <wps:spPr>
                          <a:xfrm>
                            <a:off x="824923" y="1925500"/>
                            <a:ext cx="70508" cy="119197"/>
                          </a:xfrm>
                          <a:prstGeom prst="rect">
                            <a:avLst/>
                          </a:prstGeom>
                          <a:ln>
                            <a:noFill/>
                          </a:ln>
                        </wps:spPr>
                        <wps:txbx>
                          <w:txbxContent>
                            <w:p w:rsidR="004E7831" w:rsidRDefault="004E7831" w:rsidP="00AE6D42">
                              <w:pPr>
                                <w:spacing w:after="160" w:line="259" w:lineRule="auto"/>
                              </w:pPr>
                              <w:r>
                                <w:rPr>
                                  <w:rFonts w:ascii="Arial" w:eastAsia="Arial" w:hAnsi="Arial" w:cs="Arial"/>
                                  <w:sz w:val="15"/>
                                </w:rPr>
                                <w:t>5</w:t>
                              </w:r>
                            </w:p>
                          </w:txbxContent>
                        </wps:txbx>
                        <wps:bodyPr horzOverflow="overflow" vert="horz" lIns="0" tIns="0" rIns="0" bIns="0" rtlCol="0">
                          <a:noAutofit/>
                        </wps:bodyPr>
                      </wps:wsp>
                      <wps:wsp>
                        <wps:cNvPr id="174744" name="Rectangle 174744"/>
                        <wps:cNvSpPr/>
                        <wps:spPr>
                          <a:xfrm>
                            <a:off x="877489" y="1925500"/>
                            <a:ext cx="681922" cy="119197"/>
                          </a:xfrm>
                          <a:prstGeom prst="rect">
                            <a:avLst/>
                          </a:prstGeom>
                          <a:ln>
                            <a:noFill/>
                          </a:ln>
                        </wps:spPr>
                        <wps:txbx>
                          <w:txbxContent>
                            <w:p w:rsidR="004E7831" w:rsidRDefault="004E7831" w:rsidP="00AE6D42">
                              <w:pPr>
                                <w:spacing w:after="160" w:line="259" w:lineRule="auto"/>
                              </w:pPr>
                              <w:r>
                                <w:rPr>
                                  <w:rFonts w:ascii="Arial" w:eastAsia="Arial" w:hAnsi="Arial" w:cs="Arial"/>
                                  <w:sz w:val="15"/>
                                </w:rPr>
                                <w:t xml:space="preserve">%, p&lt;,2394 </w:t>
                              </w:r>
                            </w:p>
                          </w:txbxContent>
                        </wps:txbx>
                        <wps:bodyPr horzOverflow="overflow" vert="horz" lIns="0" tIns="0" rIns="0" bIns="0" rtlCol="0">
                          <a:noAutofit/>
                        </wps:bodyPr>
                      </wps:wsp>
                      <wps:wsp>
                        <wps:cNvPr id="175086" name="Rectangle 175086"/>
                        <wps:cNvSpPr/>
                        <wps:spPr>
                          <a:xfrm>
                            <a:off x="1641025" y="1643067"/>
                            <a:ext cx="786778" cy="134434"/>
                          </a:xfrm>
                          <a:prstGeom prst="rect">
                            <a:avLst/>
                          </a:prstGeom>
                          <a:ln>
                            <a:noFill/>
                          </a:ln>
                        </wps:spPr>
                        <wps:txbx>
                          <w:txbxContent>
                            <w:p w:rsidR="004E7831" w:rsidRDefault="004E7831" w:rsidP="00AE6D42">
                              <w:pPr>
                                <w:spacing w:after="160" w:line="259" w:lineRule="auto"/>
                              </w:pPr>
                              <w:r>
                                <w:rPr>
                                  <w:rFonts w:ascii="Arial" w:eastAsia="Arial" w:hAnsi="Arial" w:cs="Arial"/>
                                  <w:sz w:val="17"/>
                                  <w:u w:val="single" w:color="000000"/>
                                </w:rPr>
                                <w:t>po 2. rokoch</w:t>
                              </w:r>
                            </w:p>
                          </w:txbxContent>
                        </wps:txbx>
                        <wps:bodyPr horzOverflow="overflow" vert="horz" lIns="0" tIns="0" rIns="0" bIns="0" rtlCol="0">
                          <a:noAutofit/>
                        </wps:bodyPr>
                      </wps:wsp>
                      <wps:wsp>
                        <wps:cNvPr id="175087" name="Rectangle 175087"/>
                        <wps:cNvSpPr/>
                        <wps:spPr>
                          <a:xfrm>
                            <a:off x="2232975" y="1643067"/>
                            <a:ext cx="39760" cy="134434"/>
                          </a:xfrm>
                          <a:prstGeom prst="rect">
                            <a:avLst/>
                          </a:prstGeom>
                          <a:ln>
                            <a:noFill/>
                          </a:ln>
                        </wps:spPr>
                        <wps:txbx>
                          <w:txbxContent>
                            <w:p w:rsidR="004E7831" w:rsidRDefault="004E7831" w:rsidP="00AE6D42">
                              <w:pPr>
                                <w:spacing w:after="160" w:line="259" w:lineRule="auto"/>
                              </w:pPr>
                              <w:r>
                                <w:rPr>
                                  <w:rFonts w:ascii="Arial" w:eastAsia="Arial" w:hAnsi="Arial" w:cs="Arial"/>
                                  <w:sz w:val="17"/>
                                </w:rPr>
                                <w:t xml:space="preserve"> </w:t>
                              </w:r>
                            </w:p>
                          </w:txbxContent>
                        </wps:txbx>
                        <wps:bodyPr horzOverflow="overflow" vert="horz" lIns="0" tIns="0" rIns="0" bIns="0" rtlCol="0">
                          <a:noAutofit/>
                        </wps:bodyPr>
                      </wps:wsp>
                      <wps:wsp>
                        <wps:cNvPr id="174741" name="Rectangle 174741"/>
                        <wps:cNvSpPr/>
                        <wps:spPr>
                          <a:xfrm>
                            <a:off x="1639501" y="1763956"/>
                            <a:ext cx="141332" cy="119197"/>
                          </a:xfrm>
                          <a:prstGeom prst="rect">
                            <a:avLst/>
                          </a:prstGeom>
                          <a:ln>
                            <a:noFill/>
                          </a:ln>
                        </wps:spPr>
                        <wps:txbx>
                          <w:txbxContent>
                            <w:p w:rsidR="004E7831" w:rsidRDefault="004E7831" w:rsidP="00AE6D42">
                              <w:pPr>
                                <w:spacing w:after="160" w:line="259" w:lineRule="auto"/>
                              </w:pPr>
                              <w:r>
                                <w:rPr>
                                  <w:rFonts w:ascii="Arial" w:eastAsia="Arial" w:hAnsi="Arial" w:cs="Arial"/>
                                  <w:sz w:val="15"/>
                                </w:rPr>
                                <w:t>19</w:t>
                              </w:r>
                            </w:p>
                          </w:txbxContent>
                        </wps:txbx>
                        <wps:bodyPr horzOverflow="overflow" vert="horz" lIns="0" tIns="0" rIns="0" bIns="0" rtlCol="0">
                          <a:noAutofit/>
                        </wps:bodyPr>
                      </wps:wsp>
                      <wps:wsp>
                        <wps:cNvPr id="174742" name="Rectangle 174742"/>
                        <wps:cNvSpPr/>
                        <wps:spPr>
                          <a:xfrm>
                            <a:off x="1746005" y="1763956"/>
                            <a:ext cx="683089" cy="119197"/>
                          </a:xfrm>
                          <a:prstGeom prst="rect">
                            <a:avLst/>
                          </a:prstGeom>
                          <a:ln>
                            <a:noFill/>
                          </a:ln>
                        </wps:spPr>
                        <wps:txbx>
                          <w:txbxContent>
                            <w:p w:rsidR="004E7831" w:rsidRDefault="004E7831" w:rsidP="00AE6D42">
                              <w:pPr>
                                <w:spacing w:after="160" w:line="259" w:lineRule="auto"/>
                              </w:pPr>
                              <w:r>
                                <w:rPr>
                                  <w:rFonts w:ascii="Arial" w:eastAsia="Arial" w:hAnsi="Arial" w:cs="Arial"/>
                                  <w:sz w:val="15"/>
                                </w:rPr>
                                <w:t xml:space="preserve">%, p&lt;,0008 </w:t>
                              </w:r>
                            </w:p>
                          </w:txbxContent>
                        </wps:txbx>
                        <wps:bodyPr horzOverflow="overflow" vert="horz" lIns="0" tIns="0" rIns="0" bIns="0" rtlCol="0">
                          <a:noAutofit/>
                        </wps:bodyPr>
                      </wps:wsp>
                      <wps:wsp>
                        <wps:cNvPr id="175084" name="Rectangle 175084"/>
                        <wps:cNvSpPr/>
                        <wps:spPr>
                          <a:xfrm>
                            <a:off x="2539423" y="1438852"/>
                            <a:ext cx="785820" cy="134434"/>
                          </a:xfrm>
                          <a:prstGeom prst="rect">
                            <a:avLst/>
                          </a:prstGeom>
                          <a:ln>
                            <a:noFill/>
                          </a:ln>
                        </wps:spPr>
                        <wps:txbx>
                          <w:txbxContent>
                            <w:p w:rsidR="004E7831" w:rsidRDefault="004E7831" w:rsidP="00AE6D42">
                              <w:pPr>
                                <w:spacing w:after="160" w:line="259" w:lineRule="auto"/>
                              </w:pPr>
                              <w:r>
                                <w:rPr>
                                  <w:rFonts w:ascii="Arial" w:eastAsia="Arial" w:hAnsi="Arial" w:cs="Arial"/>
                                  <w:sz w:val="17"/>
                                  <w:u w:val="single" w:color="000000"/>
                                </w:rPr>
                                <w:t>po 3. rokoch</w:t>
                              </w:r>
                            </w:p>
                          </w:txbxContent>
                        </wps:txbx>
                        <wps:bodyPr horzOverflow="overflow" vert="horz" lIns="0" tIns="0" rIns="0" bIns="0" rtlCol="0">
                          <a:noAutofit/>
                        </wps:bodyPr>
                      </wps:wsp>
                      <wps:wsp>
                        <wps:cNvPr id="175085" name="Rectangle 175085"/>
                        <wps:cNvSpPr/>
                        <wps:spPr>
                          <a:xfrm>
                            <a:off x="3130652" y="1438852"/>
                            <a:ext cx="39761" cy="134434"/>
                          </a:xfrm>
                          <a:prstGeom prst="rect">
                            <a:avLst/>
                          </a:prstGeom>
                          <a:ln>
                            <a:noFill/>
                          </a:ln>
                        </wps:spPr>
                        <wps:txbx>
                          <w:txbxContent>
                            <w:p w:rsidR="004E7831" w:rsidRDefault="004E7831" w:rsidP="00AE6D42">
                              <w:pPr>
                                <w:spacing w:after="160" w:line="259" w:lineRule="auto"/>
                              </w:pPr>
                              <w:r>
                                <w:rPr>
                                  <w:rFonts w:ascii="Arial" w:eastAsia="Arial" w:hAnsi="Arial" w:cs="Arial"/>
                                  <w:sz w:val="17"/>
                                </w:rPr>
                                <w:t xml:space="preserve"> </w:t>
                              </w:r>
                            </w:p>
                          </w:txbxContent>
                        </wps:txbx>
                        <wps:bodyPr horzOverflow="overflow" vert="horz" lIns="0" tIns="0" rIns="0" bIns="0" rtlCol="0">
                          <a:noAutofit/>
                        </wps:bodyPr>
                      </wps:wsp>
                      <wps:wsp>
                        <wps:cNvPr id="174739" name="Rectangle 174739"/>
                        <wps:cNvSpPr/>
                        <wps:spPr>
                          <a:xfrm>
                            <a:off x="2537899" y="1559740"/>
                            <a:ext cx="141358" cy="119197"/>
                          </a:xfrm>
                          <a:prstGeom prst="rect">
                            <a:avLst/>
                          </a:prstGeom>
                          <a:ln>
                            <a:noFill/>
                          </a:ln>
                        </wps:spPr>
                        <wps:txbx>
                          <w:txbxContent>
                            <w:p w:rsidR="004E7831" w:rsidRDefault="004E7831" w:rsidP="00AE6D42">
                              <w:pPr>
                                <w:spacing w:after="160" w:line="259" w:lineRule="auto"/>
                              </w:pPr>
                              <w:r>
                                <w:rPr>
                                  <w:rFonts w:ascii="Arial" w:eastAsia="Arial" w:hAnsi="Arial" w:cs="Arial"/>
                                  <w:sz w:val="15"/>
                                </w:rPr>
                                <w:t>24</w:t>
                              </w:r>
                            </w:p>
                          </w:txbxContent>
                        </wps:txbx>
                        <wps:bodyPr horzOverflow="overflow" vert="horz" lIns="0" tIns="0" rIns="0" bIns="0" rtlCol="0">
                          <a:noAutofit/>
                        </wps:bodyPr>
                      </wps:wsp>
                      <wps:wsp>
                        <wps:cNvPr id="174740" name="Rectangle 174740"/>
                        <wps:cNvSpPr/>
                        <wps:spPr>
                          <a:xfrm>
                            <a:off x="2644441" y="1559740"/>
                            <a:ext cx="682099" cy="119197"/>
                          </a:xfrm>
                          <a:prstGeom prst="rect">
                            <a:avLst/>
                          </a:prstGeom>
                          <a:ln>
                            <a:noFill/>
                          </a:ln>
                        </wps:spPr>
                        <wps:txbx>
                          <w:txbxContent>
                            <w:p w:rsidR="004E7831" w:rsidRDefault="004E7831" w:rsidP="00AE6D42">
                              <w:pPr>
                                <w:spacing w:after="160" w:line="259" w:lineRule="auto"/>
                              </w:pPr>
                              <w:r>
                                <w:rPr>
                                  <w:rFonts w:ascii="Arial" w:eastAsia="Arial" w:hAnsi="Arial" w:cs="Arial"/>
                                  <w:sz w:val="15"/>
                                </w:rPr>
                                <w:t xml:space="preserve">%, p&lt;,0013 </w:t>
                              </w:r>
                            </w:p>
                          </w:txbxContent>
                        </wps:txbx>
                        <wps:bodyPr horzOverflow="overflow" vert="horz" lIns="0" tIns="0" rIns="0" bIns="0" rtlCol="0">
                          <a:noAutofit/>
                        </wps:bodyPr>
                      </wps:wsp>
                      <wps:wsp>
                        <wps:cNvPr id="175082" name="Rectangle 175082"/>
                        <wps:cNvSpPr/>
                        <wps:spPr>
                          <a:xfrm>
                            <a:off x="3443917" y="1191964"/>
                            <a:ext cx="785949" cy="134434"/>
                          </a:xfrm>
                          <a:prstGeom prst="rect">
                            <a:avLst/>
                          </a:prstGeom>
                          <a:ln>
                            <a:noFill/>
                          </a:ln>
                        </wps:spPr>
                        <wps:txbx>
                          <w:txbxContent>
                            <w:p w:rsidR="004E7831" w:rsidRDefault="004E7831" w:rsidP="00AE6D42">
                              <w:pPr>
                                <w:spacing w:after="160" w:line="259" w:lineRule="auto"/>
                              </w:pPr>
                              <w:r>
                                <w:rPr>
                                  <w:rFonts w:ascii="Arial" w:eastAsia="Arial" w:hAnsi="Arial" w:cs="Arial"/>
                                  <w:sz w:val="17"/>
                                  <w:u w:val="single" w:color="000000"/>
                                </w:rPr>
                                <w:t>po 4. rokoch</w:t>
                              </w:r>
                            </w:p>
                          </w:txbxContent>
                        </wps:txbx>
                        <wps:bodyPr horzOverflow="overflow" vert="horz" lIns="0" tIns="0" rIns="0" bIns="0" rtlCol="0">
                          <a:noAutofit/>
                        </wps:bodyPr>
                      </wps:wsp>
                      <wps:wsp>
                        <wps:cNvPr id="175083" name="Rectangle 175083"/>
                        <wps:cNvSpPr/>
                        <wps:spPr>
                          <a:xfrm>
                            <a:off x="4035243" y="1191964"/>
                            <a:ext cx="39760" cy="134434"/>
                          </a:xfrm>
                          <a:prstGeom prst="rect">
                            <a:avLst/>
                          </a:prstGeom>
                          <a:ln>
                            <a:noFill/>
                          </a:ln>
                        </wps:spPr>
                        <wps:txbx>
                          <w:txbxContent>
                            <w:p w:rsidR="004E7831" w:rsidRDefault="004E7831" w:rsidP="00AE6D42">
                              <w:pPr>
                                <w:spacing w:after="160" w:line="259" w:lineRule="auto"/>
                              </w:pPr>
                              <w:r>
                                <w:rPr>
                                  <w:rFonts w:ascii="Arial" w:eastAsia="Arial" w:hAnsi="Arial" w:cs="Arial"/>
                                  <w:sz w:val="17"/>
                                </w:rPr>
                                <w:t xml:space="preserve"> </w:t>
                              </w:r>
                            </w:p>
                          </w:txbxContent>
                        </wps:txbx>
                        <wps:bodyPr horzOverflow="overflow" vert="horz" lIns="0" tIns="0" rIns="0" bIns="0" rtlCol="0">
                          <a:noAutofit/>
                        </wps:bodyPr>
                      </wps:wsp>
                      <wps:wsp>
                        <wps:cNvPr id="174737" name="Rectangle 174737"/>
                        <wps:cNvSpPr/>
                        <wps:spPr>
                          <a:xfrm>
                            <a:off x="3442393" y="1312852"/>
                            <a:ext cx="140419" cy="119197"/>
                          </a:xfrm>
                          <a:prstGeom prst="rect">
                            <a:avLst/>
                          </a:prstGeom>
                          <a:ln>
                            <a:noFill/>
                          </a:ln>
                        </wps:spPr>
                        <wps:txbx>
                          <w:txbxContent>
                            <w:p w:rsidR="004E7831" w:rsidRDefault="004E7831" w:rsidP="00AE6D42">
                              <w:pPr>
                                <w:spacing w:after="160" w:line="259" w:lineRule="auto"/>
                              </w:pPr>
                              <w:r>
                                <w:rPr>
                                  <w:rFonts w:ascii="Arial" w:eastAsia="Arial" w:hAnsi="Arial" w:cs="Arial"/>
                                  <w:sz w:val="15"/>
                                </w:rPr>
                                <w:t>34</w:t>
                              </w:r>
                            </w:p>
                          </w:txbxContent>
                        </wps:txbx>
                        <wps:bodyPr horzOverflow="overflow" vert="horz" lIns="0" tIns="0" rIns="0" bIns="0" rtlCol="0">
                          <a:noAutofit/>
                        </wps:bodyPr>
                      </wps:wsp>
                      <wps:wsp>
                        <wps:cNvPr id="174738" name="Rectangle 174738"/>
                        <wps:cNvSpPr/>
                        <wps:spPr>
                          <a:xfrm>
                            <a:off x="3548287" y="1312852"/>
                            <a:ext cx="682962" cy="119197"/>
                          </a:xfrm>
                          <a:prstGeom prst="rect">
                            <a:avLst/>
                          </a:prstGeom>
                          <a:ln>
                            <a:noFill/>
                          </a:ln>
                        </wps:spPr>
                        <wps:txbx>
                          <w:txbxContent>
                            <w:p w:rsidR="004E7831" w:rsidRDefault="004E7831" w:rsidP="00AE6D42">
                              <w:pPr>
                                <w:spacing w:after="160" w:line="259" w:lineRule="auto"/>
                              </w:pPr>
                              <w:r>
                                <w:rPr>
                                  <w:rFonts w:ascii="Arial" w:eastAsia="Arial" w:hAnsi="Arial" w:cs="Arial"/>
                                  <w:sz w:val="15"/>
                                </w:rPr>
                                <w:t xml:space="preserve">%, p&lt;,0055 </w:t>
                              </w:r>
                            </w:p>
                          </w:txbxContent>
                        </wps:txbx>
                        <wps:bodyPr horzOverflow="overflow" vert="horz" lIns="0" tIns="0" rIns="0" bIns="0" rtlCol="0">
                          <a:noAutofit/>
                        </wps:bodyPr>
                      </wps:wsp>
                    </wpg:wgp>
                  </a:graphicData>
                </a:graphic>
              </wp:inline>
            </w:drawing>
          </mc:Choice>
          <mc:Fallback>
            <w:pict>
              <v:group w14:anchorId="6EEAEF07" id="Group 177349" o:spid="_x0000_s1052" style="width:408.2pt;height:209.7pt;mso-position-horizontal-relative:char;mso-position-vertical-relative:line" coordsize="51843,2663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">
                <v:shape id="Picture 3046" o:spid="_x0000_s1053" type="#_x0000_t75" style="position:absolute;left:3623;width:48220;height:266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827TGAAAA3QAAAA8AAABkcnMvZG93bnJldi54bWxEj09rAjEUxO8Fv0N4Qm81sX9EVqMUi+Cl&#10;Uq2gx+fmubu6eVk26br66Y0g9DjMzG+Y8bS1pWio9oVjDf2eAkGcOlNwpmHzO38ZgvAB2WDpmDRc&#10;yMN00nkaY2LcmVfUrEMmIoR9ghryEKpESp/mZNH3XEUcvYOrLYYo60yaGs8Rbkv5qtRAWiw4LuRY&#10;0Syn9LT+sxp+lquFo93so/y+qGa7/7rydX7U+rnbfo5ABGrDf/jRXhgNb+p9APc38QnIyQ0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TzbtMYAAADdAAAADwAAAAAAAAAAAAAA&#10;AACfAgAAZHJzL2Rvd25yZXYueG1sUEsFBgAAAAAEAAQA9wAAAJIDAAAAAA==&#10;">
                  <v:imagedata r:id="rId16" o:title=""/>
                </v:shape>
                <v:rect id="Rectangle 3092" o:spid="_x0000_s1054" style="position:absolute;left:-2977;top:10215;width:7232;height:127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DHaccA&#10;AADdAAAADwAAAGRycy9kb3ducmV2LnhtbESPT2vCQBTE74V+h+UJvdVNrNQaXUMpSLxUqFrx+My+&#10;/KHZtzG7avrtXaHQ4zAzv2HmaW8acaHO1ZYVxMMIBHFudc2lgt12+fwGwnlkjY1lUvBLDtLF48Mc&#10;E22v/EWXjS9FgLBLUEHlfZtI6fKKDLqhbYmDV9jOoA+yK6Xu8BrgppGjKHqVBmsOCxW29FFR/rM5&#10;GwXf8fa8z9z6yIfiNBl/+mxdlJlST4P+fQbCU+//w3/tlVbwEk1HcH8TnoBc3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Ggx2nHAAAA3QAAAA8AAAAAAAAAAAAAAAAAmAIAAGRy&#10;cy9kb3ducmV2LnhtbFBLBQYAAAAABAAEAPUAAACMAwAAAAA=&#10;" filled="f" stroked="f">
                  <v:textbox inset="0,0,0,0">
                    <w:txbxContent>
                      <w:p w:rsidR="004E7831" w:rsidRDefault="004E7831" w:rsidP="00AE6D42">
                        <w:pPr>
                          <w:spacing w:after="160" w:line="259" w:lineRule="auto"/>
                        </w:pPr>
                        <w:r>
                          <w:rPr>
                            <w:b/>
                            <w:sz w:val="17"/>
                          </w:rPr>
                          <w:t xml:space="preserve">% s MR4.5 </w:t>
                        </w:r>
                      </w:p>
                    </w:txbxContent>
                  </v:textbox>
                </v:rect>
                <v:rect id="Rectangle 175078" o:spid="_x0000_s1055" style="position:absolute;left:42744;top:9046;width:7861;height:1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MRW8QA&#10;AADfAAAADwAAAGRycy9kb3ducmV2LnhtbERPS2vCQBC+C/6HZQRvurHgK3UV6QM91gfY3obsNAlm&#10;Z0N2a2J/fedQ8PjxvVebzlXqRk0oPRuYjBNQxJm3JecGzqf30QJUiMgWK89k4E4BNut+b4Wp9S0f&#10;6HaMuZIQDikaKGKsU61DVpDDMPY1sXDfvnEYBTa5tg22Eu4q/ZQkM+2wZGkosKaXgrLr8ccZ2C3q&#10;7efe/7Z59fa1u3xclq+nZTRmOOi2z6AidfEh/nfvrcyfT5O5DJY/Ak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EVvEAAAA3wAAAA8AAAAAAAAAAAAAAAAAmAIAAGRycy9k&#10;b3ducmV2LnhtbFBLBQYAAAAABAAEAPUAAACJAwAAAAA=&#10;" filled="f" stroked="f">
                  <v:textbox inset="0,0,0,0">
                    <w:txbxContent>
                      <w:p w:rsidR="004E7831" w:rsidRDefault="004E7831" w:rsidP="00AE6D42">
                        <w:pPr>
                          <w:spacing w:after="160" w:line="259" w:lineRule="auto"/>
                        </w:pPr>
                        <w:r>
                          <w:rPr>
                            <w:rFonts w:ascii="Arial" w:eastAsia="Arial" w:hAnsi="Arial" w:cs="Arial"/>
                            <w:sz w:val="17"/>
                            <w:u w:val="single" w:color="000000"/>
                          </w:rPr>
                          <w:t>po 5. rokoch</w:t>
                        </w:r>
                      </w:p>
                    </w:txbxContent>
                  </v:textbox>
                </v:rect>
                <v:rect id="Rectangle 175079" o:spid="_x0000_s1056" style="position:absolute;left:48658;top:9046;width:398;height:1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0wMQA&#10;AADfAAAADwAAAGRycy9kb3ducmV2LnhtbERPTWvCQBC9C/0PyxS86aZC1URXkVrRo9WC9TZkxySY&#10;nQ3Z1UR/vSsIPT7e93TemlJcqXaFZQUf/QgEcWp1wZmC3/2qNwbhPLLG0jIpuJGD+eytM8VE24Z/&#10;6LrzmQgh7BJUkHtfJVK6NCeDrm8r4sCdbG3QB1hnUtfYhHBTykEUDaXBgkNDjhV95ZSedxejYD2u&#10;Fn8be2+y8vu4PmwP8XIfe6W67+1iAsJT6//FL/dGh/mjz2gUw/NPA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PtMDEAAAA3wAAAA8AAAAAAAAAAAAAAAAAmAIAAGRycy9k&#10;b3ducmV2LnhtbFBLBQYAAAAABAAEAPUAAACJAwAAAAA=&#10;" filled="f" stroked="f">
                  <v:textbox inset="0,0,0,0">
                    <w:txbxContent>
                      <w:p w:rsidR="004E7831" w:rsidRDefault="004E7831" w:rsidP="00AE6D42">
                        <w:pPr>
                          <w:spacing w:after="160" w:line="259" w:lineRule="auto"/>
                        </w:pPr>
                        <w:r>
                          <w:rPr>
                            <w:rFonts w:ascii="Arial" w:eastAsia="Arial" w:hAnsi="Arial" w:cs="Arial"/>
                            <w:sz w:val="17"/>
                          </w:rPr>
                          <w:t xml:space="preserve"> </w:t>
                        </w:r>
                      </w:p>
                    </w:txbxContent>
                  </v:textbox>
                </v:rect>
                <v:rect id="Rectangle 174735" o:spid="_x0000_s1057" style="position:absolute;left:46219;top:10263;width:1415;height:1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kx2cUA&#10;AADfAAAADwAAAGRycy9kb3ducmV2LnhtbERPy2rCQBTdC/2H4Rbc6aS1Vo2OIrWiS1+g7i6ZaxKa&#10;uRMyo4n9eqcgdHk478msMYW4UeVyywreuhEI4sTqnFMFh/2yMwThPLLGwjIpuJOD2fSlNcFY25q3&#10;dNv5VIQQdjEqyLwvYyldkpFB17UlceAutjLoA6xSqSusQ7gp5HsUfUqDOYeGDEv6yij52V2NgtWw&#10;nJ/W9rdOi+/z6rg5jhb7kVeq/drMxyA8Nf5f/HSvdZg/+Bj0+vD3JwCQ0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THZxQAAAN8AAAAPAAAAAAAAAAAAAAAAAJgCAABkcnMv&#10;ZG93bnJldi54bWxQSwUGAAAAAAQABAD1AAAAigMAAAAA&#10;" filled="f" stroked="f">
                  <v:textbox inset="0,0,0,0">
                    <w:txbxContent>
                      <w:p w:rsidR="004E7831" w:rsidRDefault="004E7831" w:rsidP="00AE6D42">
                        <w:pPr>
                          <w:spacing w:after="160" w:line="259" w:lineRule="auto"/>
                        </w:pPr>
                        <w:r>
                          <w:rPr>
                            <w:rFonts w:ascii="Arial" w:eastAsia="Arial" w:hAnsi="Arial" w:cs="Arial"/>
                            <w:sz w:val="15"/>
                          </w:rPr>
                          <w:t>42</w:t>
                        </w:r>
                      </w:p>
                    </w:txbxContent>
                  </v:textbox>
                </v:rect>
                <v:rect id="Rectangle 174736" o:spid="_x0000_s1058" style="position:absolute;left:47286;top:10263;width:2177;height:1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uvrsUA&#10;AADfAAAADwAAAGRycy9kb3ducmV2LnhtbERPTWvCQBC9C/0PyxR6001b0RhdRVpFjzYpWG9DdpqE&#10;ZmdDdjWxv74rCD0+3vdi1ZtaXKh1lWUFz6MIBHFudcWFgs9sO4xBOI+ssbZMCq7kYLV8GCww0bbj&#10;D7qkvhAhhF2CCkrvm0RKl5dk0I1sQxy4b9sa9AG2hdQtdiHc1PIliibSYMWhocSG3krKf9KzUbCL&#10;m/XX3v52Rb057Y6H4+w9m3mlnh779RyEp97/i+/uvQ7zp+Pp6wRufwI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S6+uxQAAAN8AAAAPAAAAAAAAAAAAAAAAAJgCAABkcnMv&#10;ZG93bnJldi54bWxQSwUGAAAAAAQABAD1AAAAigMAAAAA&#10;" filled="f" stroked="f">
                  <v:textbox inset="0,0,0,0">
                    <w:txbxContent>
                      <w:p w:rsidR="004E7831" w:rsidRDefault="004E7831" w:rsidP="00AE6D42">
                        <w:pPr>
                          <w:spacing w:after="160" w:line="259" w:lineRule="auto"/>
                        </w:pPr>
                        <w:r>
                          <w:rPr>
                            <w:rFonts w:ascii="Arial" w:eastAsia="Arial" w:hAnsi="Arial" w:cs="Arial"/>
                            <w:sz w:val="15"/>
                          </w:rPr>
                          <w:t xml:space="preserve"> %, </w:t>
                        </w:r>
                      </w:p>
                    </w:txbxContent>
                  </v:textbox>
                </v:rect>
                <v:rect id="Rectangle 3097" o:spid="_x0000_s1059" style="position:absolute;left:45175;top:11345;width:4984;height:1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h0sYA&#10;AADdAAAADwAAAGRycy9kb3ducmV2LnhtbESPT2vCQBTE70K/w/IK3nTTCppEV5Gq6NE/BdvbI/tM&#10;QrNvQ3Y1sZ++Kwg9DjPzG2a26EwlbtS40rKCt2EEgjizuuRcwedpM4hBOI+ssbJMCu7kYDF/6c0w&#10;1bblA92OPhcBwi5FBYX3dSqlywoy6Ia2Jg7exTYGfZBNLnWDbYCbSr5H0VgaLDksFFjTR0HZz/Fq&#10;FGzjevm1s79tXq2/t+f9OVmdEq9U/7VbTkF46vx/+NneaQWjKJnA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h0sYAAADdAAAADwAAAAAAAAAAAAAAAACYAgAAZHJz&#10;L2Rvd25yZXYueG1sUEsFBgAAAAAEAAQA9QAAAIsDAAAAAA==&#10;" filled="f" stroked="f">
                  <v:textbox inset="0,0,0,0">
                    <w:txbxContent>
                      <w:p w:rsidR="004E7831" w:rsidRDefault="004E7831" w:rsidP="00AE6D42">
                        <w:pPr>
                          <w:spacing w:after="160" w:line="259" w:lineRule="auto"/>
                        </w:pPr>
                        <w:r>
                          <w:rPr>
                            <w:rFonts w:ascii="Arial" w:eastAsia="Arial" w:hAnsi="Arial" w:cs="Arial"/>
                            <w:sz w:val="15"/>
                          </w:rPr>
                          <w:t xml:space="preserve">p&lt;,0251 </w:t>
                        </w:r>
                      </w:p>
                    </w:txbxContent>
                  </v:textbox>
                </v:rect>
                <v:rect id="Rectangle 175088" o:spid="_x0000_s1060" style="position:absolute;left:8858;top:18046;width:6349;height:1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ZhfMQA&#10;AADfAAAADwAAAGRycy9kb3ducmV2LnhtbERPTWvCQBC9F/oflil4q5sK2hhdRaqix1YL1tuQHZNg&#10;djZkV5P213cOhR4f73u+7F2t7tSGyrOBl2ECijj3tuLCwOdx+5yCChHZYu2ZDHxTgOXi8WGOmfUd&#10;f9D9EAslIRwyNFDG2GRah7wkh2HoG2LhLr51GAW2hbYtdhLuaj1Kkol2WLE0lNjQW0n59XBzBnZp&#10;s/ra+5+uqDfn3en9NF0fp9GYwVO/moGK1Md/8Z97b2X+6zhJZbD8EQB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WYXzEAAAA3wAAAA8AAAAAAAAAAAAAAAAAmAIAAGRycy9k&#10;b3ducmV2LnhtbFBLBQYAAAAABAAEAPUAAACJAwAAAAA=&#10;" filled="f" stroked="f">
                  <v:textbox inset="0,0,0,0">
                    <w:txbxContent>
                      <w:p w:rsidR="004E7831" w:rsidRDefault="004E7831" w:rsidP="00AE6D42">
                        <w:pPr>
                          <w:spacing w:after="160" w:line="259" w:lineRule="auto"/>
                        </w:pPr>
                        <w:r>
                          <w:rPr>
                            <w:rFonts w:ascii="Arial" w:eastAsia="Arial" w:hAnsi="Arial" w:cs="Arial"/>
                            <w:sz w:val="17"/>
                            <w:u w:val="single" w:color="000000"/>
                          </w:rPr>
                          <w:t>po 1. roku</w:t>
                        </w:r>
                      </w:p>
                    </w:txbxContent>
                  </v:textbox>
                </v:rect>
                <v:rect id="Rectangle 175089" o:spid="_x0000_s1061" style="position:absolute;left:13636;top:18046;width:398;height:1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rE58UA&#10;AADfAAAADwAAAGRycy9kb3ducmV2LnhtbERPTWvCQBC9F/oflil4q5sWrEnMRqQqeqxaUG9DdkxC&#10;s7Mhu5q0v75bEHp8vO9sPphG3KhztWUFL+MIBHFhdc2lgs/D+jkG4TyyxsYyKfgmB/P88SHDVNue&#10;d3Tb+1KEEHYpKqi8b1MpXVGRQTe2LXHgLrYz6APsSqk77EO4aeRrFL1JgzWHhgpbeq+o+NpfjYJN&#10;3C5OW/vTl83qvDl+HJPlIfFKjZ6GxQyEp8H/i+/urQ7zp5MoTuDvTwA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GsTnxQAAAN8AAAAPAAAAAAAAAAAAAAAAAJgCAABkcnMv&#10;ZG93bnJldi54bWxQSwUGAAAAAAQABAD1AAAAigMAAAAA&#10;" filled="f" stroked="f">
                  <v:textbox inset="0,0,0,0">
                    <w:txbxContent>
                      <w:p w:rsidR="004E7831" w:rsidRDefault="004E7831" w:rsidP="00AE6D42">
                        <w:pPr>
                          <w:spacing w:after="160" w:line="259" w:lineRule="auto"/>
                        </w:pPr>
                        <w:r>
                          <w:rPr>
                            <w:rFonts w:ascii="Arial" w:eastAsia="Arial" w:hAnsi="Arial" w:cs="Arial"/>
                            <w:sz w:val="17"/>
                          </w:rPr>
                          <w:t xml:space="preserve"> </w:t>
                        </w:r>
                      </w:p>
                    </w:txbxContent>
                  </v:textbox>
                </v:rect>
                <v:rect id="Rectangle 174743" o:spid="_x0000_s1062" style="position:absolute;left:8249;top:19255;width:705;height:1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p/S8UA&#10;AADfAAAADwAAAGRycy9kb3ducmV2LnhtbERPTWvCQBC9C/0PyxS86aZVaoyuIq2ix9YI6m3ITpPQ&#10;7GzIrib667tCocfH+54vO1OJKzWutKzgZRiBIM6sLjlXcEg3gxiE88gaK8uk4EYOloun3hwTbVv+&#10;ouve5yKEsEtQQeF9nUjpsoIMuqGtiQP3bRuDPsAml7rBNoSbSr5G0Zs0WHJoKLCm94Kyn/3FKNjG&#10;9eq0s/c2r9bn7fHzOP1Ip16p/nO3moHw1Pl/8Z97p8P8yXgyHsHjTwA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On9LxQAAAN8AAAAPAAAAAAAAAAAAAAAAAJgCAABkcnMv&#10;ZG93bnJldi54bWxQSwUGAAAAAAQABAD1AAAAigMAAAAA&#10;" filled="f" stroked="f">
                  <v:textbox inset="0,0,0,0">
                    <w:txbxContent>
                      <w:p w:rsidR="004E7831" w:rsidRDefault="004E7831" w:rsidP="00AE6D42">
                        <w:pPr>
                          <w:spacing w:after="160" w:line="259" w:lineRule="auto"/>
                        </w:pPr>
                        <w:r>
                          <w:rPr>
                            <w:rFonts w:ascii="Arial" w:eastAsia="Arial" w:hAnsi="Arial" w:cs="Arial"/>
                            <w:sz w:val="15"/>
                          </w:rPr>
                          <w:t>5</w:t>
                        </w:r>
                      </w:p>
                    </w:txbxContent>
                  </v:textbox>
                </v:rect>
                <v:rect id="Rectangle 174744" o:spid="_x0000_s1063" style="position:absolute;left:8774;top:19255;width:6820;height:1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PnP8UA&#10;AADfAAAADwAAAGRycy9kb3ducmV2LnhtbERPy2rCQBTdC/2H4Rbc6aQl+EgzEamKLusDbHeXzG0S&#10;mrkTMqOJfn2nUHB5OO900ZtaXKl1lWUFL+MIBHFudcWFgtNxM5qBcB5ZY22ZFNzIwSJ7GqSYaNvx&#10;nq4HX4gQwi5BBaX3TSKly0sy6Ma2IQ7ct20N+gDbQuoWuxBuavkaRRNpsOLQUGJD7yXlP4eLUbCd&#10;NcvPnb13Rb3+2p4/zvPVce6VGj73yzcQnnr/EP+7dzrMn8bTOIa/PwGA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0+c/xQAAAN8AAAAPAAAAAAAAAAAAAAAAAJgCAABkcnMv&#10;ZG93bnJldi54bWxQSwUGAAAAAAQABAD1AAAAigMAAAAA&#10;" filled="f" stroked="f">
                  <v:textbox inset="0,0,0,0">
                    <w:txbxContent>
                      <w:p w:rsidR="004E7831" w:rsidRDefault="004E7831" w:rsidP="00AE6D42">
                        <w:pPr>
                          <w:spacing w:after="160" w:line="259" w:lineRule="auto"/>
                        </w:pPr>
                        <w:r>
                          <w:rPr>
                            <w:rFonts w:ascii="Arial" w:eastAsia="Arial" w:hAnsi="Arial" w:cs="Arial"/>
                            <w:sz w:val="15"/>
                          </w:rPr>
                          <w:t xml:space="preserve">%, p&lt;,2394 </w:t>
                        </w:r>
                      </w:p>
                    </w:txbxContent>
                  </v:textbox>
                </v:rect>
                <v:rect id="Rectangle 175086" o:spid="_x0000_s1064" style="position:absolute;left:16410;top:16430;width:7868;height:1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VQlcQA&#10;AADfAAAADwAAAGRycy9kb3ducmV2LnhtbERPy2rCQBTdF/yH4Qru6kRBG6OjiFp0WR+g7i6ZaxLM&#10;3AmZ0aT9+k6h4PJw3rNFa0rxpNoVlhUM+hEI4tTqgjMFp+PnewzCeWSNpWVS8E0OFvPO2wwTbRve&#10;0/PgMxFC2CWoIPe+SqR0aU4GXd9WxIG72dqgD7DOpK6xCeGmlMMoGkuDBYeGHCta5ZTeDw+jYBtX&#10;y8vO/jRZubluz1/nyfo48Ur1uu1yCsJT61/if/dOh/kfoygew9+fAE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FUJXEAAAA3wAAAA8AAAAAAAAAAAAAAAAAmAIAAGRycy9k&#10;b3ducmV2LnhtbFBLBQYAAAAABAAEAPUAAACJAwAAAAA=&#10;" filled="f" stroked="f">
                  <v:textbox inset="0,0,0,0">
                    <w:txbxContent>
                      <w:p w:rsidR="004E7831" w:rsidRDefault="004E7831" w:rsidP="00AE6D42">
                        <w:pPr>
                          <w:spacing w:after="160" w:line="259" w:lineRule="auto"/>
                        </w:pPr>
                        <w:r>
                          <w:rPr>
                            <w:rFonts w:ascii="Arial" w:eastAsia="Arial" w:hAnsi="Arial" w:cs="Arial"/>
                            <w:sz w:val="17"/>
                            <w:u w:val="single" w:color="000000"/>
                          </w:rPr>
                          <w:t>po 2. rokoch</w:t>
                        </w:r>
                      </w:p>
                    </w:txbxContent>
                  </v:textbox>
                </v:rect>
                <v:rect id="Rectangle 175087" o:spid="_x0000_s1065" style="position:absolute;left:22329;top:16430;width:398;height:1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n1DsQA&#10;AADfAAAADwAAAGRycy9kb3ducmV2LnhtbERPTWvCQBC9C/6HZYTezMaCNUZXEWvRo1Uhehuy0yQ0&#10;OxuyW5P213cLQo+P971c96YWd2pdZVnBJIpBEOdWV1wouJzfxgkI55E11pZJwTc5WK+GgyWm2nb8&#10;TveTL0QIYZeigtL7JpXS5SUZdJFtiAP3YVuDPsC2kLrFLoSbWj7H8Ys0WHFoKLGhbUn55+nLKNgn&#10;zeZ6sD9dUe9u++yYzV/Pc6/U06jfLEB46v2/+OE+6DB/No2TGfz9CQD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J9Q7EAAAA3wAAAA8AAAAAAAAAAAAAAAAAmAIAAGRycy9k&#10;b3ducmV2LnhtbFBLBQYAAAAABAAEAPUAAACJAwAAAAA=&#10;" filled="f" stroked="f">
                  <v:textbox inset="0,0,0,0">
                    <w:txbxContent>
                      <w:p w:rsidR="004E7831" w:rsidRDefault="004E7831" w:rsidP="00AE6D42">
                        <w:pPr>
                          <w:spacing w:after="160" w:line="259" w:lineRule="auto"/>
                        </w:pPr>
                        <w:r>
                          <w:rPr>
                            <w:rFonts w:ascii="Arial" w:eastAsia="Arial" w:hAnsi="Arial" w:cs="Arial"/>
                            <w:sz w:val="17"/>
                          </w:rPr>
                          <w:t xml:space="preserve"> </w:t>
                        </w:r>
                      </w:p>
                    </w:txbxContent>
                  </v:textbox>
                </v:rect>
                <v:rect id="Rectangle 174741" o:spid="_x0000_s1066" style="position:absolute;left:16395;top:17639;width:1413;height:1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REp8MA&#10;AADfAAAADwAAAGRycy9kb3ducmV2LnhtbERPTYvCMBC9L/gfwgje1lSRVatRRF30uKuCehuasS02&#10;k9JEW/31RljY4+N9T+eNKcSdKpdbVtDrRiCIE6tzThUc9t+fIxDOI2ssLJOCBzmYz1ofU4y1rfmX&#10;7jufihDCLkYFmfdlLKVLMjLourYkDtzFVgZ9gFUqdYV1CDeF7EfRlzSYc2jIsKRlRsl1dzMKNqNy&#10;cdraZ50W6/Pm+HMcr/Zjr1Sn3SwmIDw1/l/8597qMH84GA568P4TAMj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REp8MAAADfAAAADwAAAAAAAAAAAAAAAACYAgAAZHJzL2Rv&#10;d25yZXYueG1sUEsFBgAAAAAEAAQA9QAAAIgDAAAAAA==&#10;" filled="f" stroked="f">
                  <v:textbox inset="0,0,0,0">
                    <w:txbxContent>
                      <w:p w:rsidR="004E7831" w:rsidRDefault="004E7831" w:rsidP="00AE6D42">
                        <w:pPr>
                          <w:spacing w:after="160" w:line="259" w:lineRule="auto"/>
                        </w:pPr>
                        <w:r>
                          <w:rPr>
                            <w:rFonts w:ascii="Arial" w:eastAsia="Arial" w:hAnsi="Arial" w:cs="Arial"/>
                            <w:sz w:val="15"/>
                          </w:rPr>
                          <w:t>19</w:t>
                        </w:r>
                      </w:p>
                    </w:txbxContent>
                  </v:textbox>
                </v:rect>
                <v:rect id="Rectangle 174742" o:spid="_x0000_s1067" style="position:absolute;left:17460;top:17639;width:6830;height:1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ba0MQA&#10;AADfAAAADwAAAGRycy9kb3ducmV2LnhtbERPy4rCMBTdC/MP4Qqz01QRHx2jyKjo0hfo7C7NnbZM&#10;c1OajK1+vREEl4fzns4bU4grVS63rKDXjUAQJ1bnnCo4HdedMQjnkTUWlknBjRzMZx+tKcba1ryn&#10;68GnIoSwi1FB5n0ZS+mSjAy6ri2JA/drK4M+wCqVusI6hJtC9qNoKA3mHBoyLOk7o+Tv8G8UbMbl&#10;4rK19zotVj+b8+48WR4nXqnPdrP4AuGp8W/xy73VYf5oMBr04fknAJ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22tDEAAAA3wAAAA8AAAAAAAAAAAAAAAAAmAIAAGRycy9k&#10;b3ducmV2LnhtbFBLBQYAAAAABAAEAPUAAACJAwAAAAA=&#10;" filled="f" stroked="f">
                  <v:textbox inset="0,0,0,0">
                    <w:txbxContent>
                      <w:p w:rsidR="004E7831" w:rsidRDefault="004E7831" w:rsidP="00AE6D42">
                        <w:pPr>
                          <w:spacing w:after="160" w:line="259" w:lineRule="auto"/>
                        </w:pPr>
                        <w:r>
                          <w:rPr>
                            <w:rFonts w:ascii="Arial" w:eastAsia="Arial" w:hAnsi="Arial" w:cs="Arial"/>
                            <w:sz w:val="15"/>
                          </w:rPr>
                          <w:t xml:space="preserve">%, p&lt;,0008 </w:t>
                        </w:r>
                      </w:p>
                    </w:txbxContent>
                  </v:textbox>
                </v:rect>
                <v:rect id="Rectangle 175084" o:spid="_x0000_s1068" style="position:absolute;left:25394;top:14388;width:7858;height:1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trecQA&#10;AADfAAAADwAAAGRycy9kb3ducmV2LnhtbERPTWvCQBC9C/6HZQRvummxGqOriFr0WLVgvQ3ZaRKa&#10;nQ3Z1UR/fbcg9Ph43/Nla0pxo9oVlhW8DCMQxKnVBWcKPk/vgxiE88gaS8uk4E4OlotuZ46Jtg0f&#10;6Hb0mQgh7BJUkHtfJVK6NCeDbmgr4sB929qgD7DOpK6xCeGmlK9RNJYGCw4NOVa0zin9OV6Ngl1c&#10;rb729tFk5fayO3+cp5vT1CvV77WrGQhPrf8XP917HeZP3qJ4BH9/Ag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ba3nEAAAA3wAAAA8AAAAAAAAAAAAAAAAAmAIAAGRycy9k&#10;b3ducmV2LnhtbFBLBQYAAAAABAAEAPUAAACJAwAAAAA=&#10;" filled="f" stroked="f">
                  <v:textbox inset="0,0,0,0">
                    <w:txbxContent>
                      <w:p w:rsidR="004E7831" w:rsidRDefault="004E7831" w:rsidP="00AE6D42">
                        <w:pPr>
                          <w:spacing w:after="160" w:line="259" w:lineRule="auto"/>
                        </w:pPr>
                        <w:r>
                          <w:rPr>
                            <w:rFonts w:ascii="Arial" w:eastAsia="Arial" w:hAnsi="Arial" w:cs="Arial"/>
                            <w:sz w:val="17"/>
                            <w:u w:val="single" w:color="000000"/>
                          </w:rPr>
                          <w:t>po 3. rokoch</w:t>
                        </w:r>
                      </w:p>
                    </w:txbxContent>
                  </v:textbox>
                </v:rect>
                <v:rect id="Rectangle 175085" o:spid="_x0000_s1069" style="position:absolute;left:31306;top:14388;width:398;height:1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fO4sUA&#10;AADfAAAADwAAAGRycy9kb3ducmV2LnhtbERPy2rCQBTdF/oPwxW6ayYWtDE6ivSBLtsoRHeXzDUJ&#10;Zu6EzNREv94pFLo8nPdiNZhGXKhztWUF4ygGQVxYXXOpYL/7fE5AOI+ssbFMCq7kYLV8fFhgqm3P&#10;33TJfClCCLsUFVTet6mUrqjIoItsSxy4k+0M+gC7UuoO+xBuGvkSx1NpsObQUGFLbxUV5+zHKNgk&#10;7fqwtbe+bD6Om/wrn73vZl6pp9GwnoPwNPh/8Z97q8P810mcTOD3TwA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V87ixQAAAN8AAAAPAAAAAAAAAAAAAAAAAJgCAABkcnMv&#10;ZG93bnJldi54bWxQSwUGAAAAAAQABAD1AAAAigMAAAAA&#10;" filled="f" stroked="f">
                  <v:textbox inset="0,0,0,0">
                    <w:txbxContent>
                      <w:p w:rsidR="004E7831" w:rsidRDefault="004E7831" w:rsidP="00AE6D42">
                        <w:pPr>
                          <w:spacing w:after="160" w:line="259" w:lineRule="auto"/>
                        </w:pPr>
                        <w:r>
                          <w:rPr>
                            <w:rFonts w:ascii="Arial" w:eastAsia="Arial" w:hAnsi="Arial" w:cs="Arial"/>
                            <w:sz w:val="17"/>
                          </w:rPr>
                          <w:t xml:space="preserve"> </w:t>
                        </w:r>
                      </w:p>
                    </w:txbxContent>
                  </v:textbox>
                </v:rect>
                <v:rect id="Rectangle 174739" o:spid="_x0000_s1070" style="position:absolute;left:25378;top:15597;width:1414;height:1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73MQA&#10;AADfAAAADwAAAGRycy9kb3ducmV2LnhtbERPy2rCQBTdF/oPwy24q5NaURMdRWyLLn2Burtkrklo&#10;5k7IjCb69Y5Q6PJw3pNZa0pxpdoVlhV8dCMQxKnVBWcK9ruf9xEI55E1lpZJwY0czKavLxNMtG14&#10;Q9etz0QIYZeggtz7KpHSpTkZdF1bEQfubGuDPsA6k7rGJoSbUvaiaCANFhwacqxokVP6u70YBctR&#10;NT+u7L3Jyu/T8rA+xF+72CvVeWvnYxCeWv8v/nOvdJg/7A8/Y3j+CQD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UO9zEAAAA3wAAAA8AAAAAAAAAAAAAAAAAmAIAAGRycy9k&#10;b3ducmV2LnhtbFBLBQYAAAAABAAEAPUAAACJAwAAAAA=&#10;" filled="f" stroked="f">
                  <v:textbox inset="0,0,0,0">
                    <w:txbxContent>
                      <w:p w:rsidR="004E7831" w:rsidRDefault="004E7831" w:rsidP="00AE6D42">
                        <w:pPr>
                          <w:spacing w:after="160" w:line="259" w:lineRule="auto"/>
                        </w:pPr>
                        <w:r>
                          <w:rPr>
                            <w:rFonts w:ascii="Arial" w:eastAsia="Arial" w:hAnsi="Arial" w:cs="Arial"/>
                            <w:sz w:val="15"/>
                          </w:rPr>
                          <w:t>24</w:t>
                        </w:r>
                      </w:p>
                    </w:txbxContent>
                  </v:textbox>
                </v:rect>
                <v:rect id="Rectangle 174740" o:spid="_x0000_s1071" style="position:absolute;left:26444;top:15597;width:6821;height:1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hPMQA&#10;AADfAAAADwAAAGRycy9kb3ducmV2LnhtbERPS2vCQBC+F/wPywje6sYiPlJXEWvRY6uC9jZkp0lo&#10;djZktyb6651DoceP771Yda5SV2pC6dnAaJiAIs68LTk3cDq+P89AhYhssfJMBm4UYLXsPS0wtb7l&#10;T7oeYq4khEOKBooY61TrkBXkMAx9TSzct28cRoFNrm2DrYS7Sr8kyUQ7LFkaCqxpU1D2c/h1Bnaz&#10;en3Z+3ubV9uv3fnjPH87zqMxg363fgUVqYv/4j/33sr86Xg6lgfyRwDo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o4TzEAAAA3wAAAA8AAAAAAAAAAAAAAAAAmAIAAGRycy9k&#10;b3ducmV2LnhtbFBLBQYAAAAABAAEAPUAAACJAwAAAAA=&#10;" filled="f" stroked="f">
                  <v:textbox inset="0,0,0,0">
                    <w:txbxContent>
                      <w:p w:rsidR="004E7831" w:rsidRDefault="004E7831" w:rsidP="00AE6D42">
                        <w:pPr>
                          <w:spacing w:after="160" w:line="259" w:lineRule="auto"/>
                        </w:pPr>
                        <w:r>
                          <w:rPr>
                            <w:rFonts w:ascii="Arial" w:eastAsia="Arial" w:hAnsi="Arial" w:cs="Arial"/>
                            <w:sz w:val="15"/>
                          </w:rPr>
                          <w:t xml:space="preserve">%, p&lt;,0013 </w:t>
                        </w:r>
                      </w:p>
                    </w:txbxContent>
                  </v:textbox>
                </v:rect>
                <v:rect id="Rectangle 175082" o:spid="_x0000_s1072" style="position:absolute;left:34439;top:11919;width:7859;height:1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5WlsUA&#10;AADfAAAADwAAAGRycy9kb3ducmV2LnhtbERPTWvCQBC9F/oflin01mwqVGN0FWkretRYSL0N2WkS&#10;mp0N2dXE/vquIHh8vO/5cjCNOFPnassKXqMYBHFhdc2lgq/D+iUB4TyyxsYyKbiQg+Xi8WGOqbY9&#10;7+mc+VKEEHYpKqi8b1MpXVGRQRfZljhwP7Yz6APsSqk77EO4aeQojsfSYM2hocKW3isqfrOTUbBJ&#10;2tX31v71ZfN53OS7fPpxmHqlnp+G1QyEp8HfxTf3Vof5k7c4GcH1TwA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vlaWxQAAAN8AAAAPAAAAAAAAAAAAAAAAAJgCAABkcnMv&#10;ZG93bnJldi54bWxQSwUGAAAAAAQABAD1AAAAigMAAAAA&#10;" filled="f" stroked="f">
                  <v:textbox inset="0,0,0,0">
                    <w:txbxContent>
                      <w:p w:rsidR="004E7831" w:rsidRDefault="004E7831" w:rsidP="00AE6D42">
                        <w:pPr>
                          <w:spacing w:after="160" w:line="259" w:lineRule="auto"/>
                        </w:pPr>
                        <w:r>
                          <w:rPr>
                            <w:rFonts w:ascii="Arial" w:eastAsia="Arial" w:hAnsi="Arial" w:cs="Arial"/>
                            <w:sz w:val="17"/>
                            <w:u w:val="single" w:color="000000"/>
                          </w:rPr>
                          <w:t>po 4. rokoch</w:t>
                        </w:r>
                      </w:p>
                    </w:txbxContent>
                  </v:textbox>
                </v:rect>
                <v:rect id="Rectangle 175083" o:spid="_x0000_s1073" style="position:absolute;left:40352;top:11919;width:398;height:1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LzDcQA&#10;AADfAAAADwAAAGRycy9kb3ducmV2LnhtbERPTWvCQBC9C/6HZQRvummlGqOriFr0WLVgvQ3ZaRKa&#10;nQ3Z1UR/fbcg9Ph43/Nla0pxo9oVlhW8DCMQxKnVBWcKPk/vgxiE88gaS8uk4E4OlotuZ46Jtg0f&#10;6Hb0mQgh7BJUkHtfJVK6NCeDbmgr4sB929qgD7DOpK6xCeGmlK9RNJYGCw4NOVa0zin9OV6Ngl1c&#10;rb729tFk5fayO3+cp5vT1CvV77WrGQhPrf8XP917HeZP3qJ4BH9/Ag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y8w3EAAAA3wAAAA8AAAAAAAAAAAAAAAAAmAIAAGRycy9k&#10;b3ducmV2LnhtbFBLBQYAAAAABAAEAPUAAACJAwAAAAA=&#10;" filled="f" stroked="f">
                  <v:textbox inset="0,0,0,0">
                    <w:txbxContent>
                      <w:p w:rsidR="004E7831" w:rsidRDefault="004E7831" w:rsidP="00AE6D42">
                        <w:pPr>
                          <w:spacing w:after="160" w:line="259" w:lineRule="auto"/>
                        </w:pPr>
                        <w:r>
                          <w:rPr>
                            <w:rFonts w:ascii="Arial" w:eastAsia="Arial" w:hAnsi="Arial" w:cs="Arial"/>
                            <w:sz w:val="17"/>
                          </w:rPr>
                          <w:t xml:space="preserve"> </w:t>
                        </w:r>
                      </w:p>
                    </w:txbxContent>
                  </v:textbox>
                </v:rect>
                <v:rect id="Rectangle 174737" o:spid="_x0000_s1074" style="position:absolute;left:34423;top:13128;width:1405;height:1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cKNcQA&#10;AADfAAAADwAAAGRycy9kb3ducmV2LnhtbERPy2rCQBTdF/oPwy24q5NaMRodRWyLLn2Burtkrklo&#10;5k7IjCb69Y5Q6PJw3pNZa0pxpdoVlhV8dCMQxKnVBWcK9ruf9yEI55E1lpZJwY0czKavLxNMtG14&#10;Q9etz0QIYZeggtz7KpHSpTkZdF1bEQfubGuDPsA6k7rGJoSbUvaiaCANFhwacqxokVP6u70YBcth&#10;NT+u7L3Jyu/T8rA+jL52I69U562dj0F4av2/+M+90mF+3I8/Y3j+CQD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HCjXEAAAA3wAAAA8AAAAAAAAAAAAAAAAAmAIAAGRycy9k&#10;b3ducmV2LnhtbFBLBQYAAAAABAAEAPUAAACJAwAAAAA=&#10;" filled="f" stroked="f">
                  <v:textbox inset="0,0,0,0">
                    <w:txbxContent>
                      <w:p w:rsidR="004E7831" w:rsidRDefault="004E7831" w:rsidP="00AE6D42">
                        <w:pPr>
                          <w:spacing w:after="160" w:line="259" w:lineRule="auto"/>
                        </w:pPr>
                        <w:r>
                          <w:rPr>
                            <w:rFonts w:ascii="Arial" w:eastAsia="Arial" w:hAnsi="Arial" w:cs="Arial"/>
                            <w:sz w:val="15"/>
                          </w:rPr>
                          <w:t>34</w:t>
                        </w:r>
                      </w:p>
                    </w:txbxContent>
                  </v:textbox>
                </v:rect>
                <v:rect id="Rectangle 174738" o:spid="_x0000_s1075" style="position:absolute;left:35482;top:13128;width:6830;height:1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ieR8UA&#10;AADfAAAADwAAAGRycy9kb3ducmV2LnhtbERPS2vCQBC+F/oflil4q5u24iN1FWkVPdYH2N6G7DQJ&#10;zc6G7Gqiv945CD1+fO/pvHOVOlMTSs8GXvoJKOLM25JzA4f96nkMKkRki5VnMnChAPPZ48MUU+tb&#10;3tJ5F3MlIRxSNFDEWKdah6wgh6Hva2Lhfn3jMApscm0bbCXcVfo1SYbaYcnSUGBNHwVlf7uTM7Ae&#10;14vvjb+2ebX8WR+/jpPP/SQa03vqFu+gInXxX3x3b6zMHw1GbzJY/ggAPb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mJ5HxQAAAN8AAAAPAAAAAAAAAAAAAAAAAJgCAABkcnMv&#10;ZG93bnJldi54bWxQSwUGAAAAAAQABAD1AAAAigMAAAAA&#10;" filled="f" stroked="f">
                  <v:textbox inset="0,0,0,0">
                    <w:txbxContent>
                      <w:p w:rsidR="004E7831" w:rsidRDefault="004E7831" w:rsidP="00AE6D42">
                        <w:pPr>
                          <w:spacing w:after="160" w:line="259" w:lineRule="auto"/>
                        </w:pPr>
                        <w:r>
                          <w:rPr>
                            <w:rFonts w:ascii="Arial" w:eastAsia="Arial" w:hAnsi="Arial" w:cs="Arial"/>
                            <w:sz w:val="15"/>
                          </w:rPr>
                          <w:t xml:space="preserve">%, p&lt;,0055 </w:t>
                        </w:r>
                      </w:p>
                    </w:txbxContent>
                  </v:textbox>
                </v:rect>
                <w10:anchorlock/>
              </v:group>
            </w:pict>
          </mc:Fallback>
        </mc:AlternateContent>
      </w:r>
    </w:p>
    <w:p w:rsidR="00AE6D42" w:rsidRPr="00ED7F0F" w:rsidRDefault="00AE6D42" w:rsidP="00122C9F">
      <w:pPr>
        <w:spacing w:after="2" w:line="259" w:lineRule="auto"/>
        <w:ind w:left="10"/>
        <w:jc w:val="right"/>
        <w:rPr>
          <w:b/>
        </w:rPr>
      </w:pPr>
      <w:r w:rsidRPr="00ED7F0F">
        <w:rPr>
          <w:b/>
        </w:rPr>
        <w:t>Mesiace od randomizácie</w:t>
      </w:r>
    </w:p>
    <w:p w:rsidR="00C62460" w:rsidRPr="00ED7F0F" w:rsidRDefault="00C62460" w:rsidP="00122C9F">
      <w:pPr>
        <w:spacing w:after="2" w:line="259" w:lineRule="auto"/>
        <w:ind w:left="10"/>
        <w:jc w:val="right"/>
      </w:pPr>
    </w:p>
    <w:p w:rsidR="00AE6D42" w:rsidRPr="00ED7F0F" w:rsidRDefault="00AE6D42" w:rsidP="00122C9F">
      <w:pPr>
        <w:tabs>
          <w:tab w:val="clear" w:pos="567"/>
          <w:tab w:val="center" w:pos="568"/>
          <w:tab w:val="center" w:pos="1100"/>
          <w:tab w:val="center" w:pos="1634"/>
          <w:tab w:val="center" w:pos="2167"/>
          <w:tab w:val="center" w:pos="2701"/>
          <w:tab w:val="center" w:pos="3234"/>
          <w:tab w:val="center" w:pos="3544"/>
        </w:tabs>
        <w:spacing w:line="249" w:lineRule="auto"/>
      </w:pPr>
      <w:r w:rsidRPr="00ED7F0F">
        <w:tab/>
      </w:r>
      <w:r w:rsidRPr="00ED7F0F">
        <w:tab/>
      </w:r>
      <w:r w:rsidRPr="00ED7F0F">
        <w:tab/>
      </w:r>
      <w:r w:rsidRPr="00ED7F0F">
        <w:tab/>
      </w:r>
      <w:r w:rsidR="00173AB0" w:rsidRPr="00ED7F0F">
        <w:tab/>
      </w:r>
      <w:r w:rsidR="00173AB0" w:rsidRPr="00ED7F0F">
        <w:tab/>
      </w:r>
      <w:r w:rsidR="00173AB0" w:rsidRPr="00ED7F0F">
        <w:tab/>
      </w:r>
      <w:r w:rsidRPr="00ED7F0F">
        <w:rPr>
          <w:u w:val="single" w:color="000000"/>
        </w:rPr>
        <w:t>N</w:t>
      </w:r>
    </w:p>
    <w:p w:rsidR="00173AB0" w:rsidRPr="00ED7F0F" w:rsidRDefault="00AE6D42" w:rsidP="00122C9F">
      <w:pPr>
        <w:spacing w:after="25" w:line="261" w:lineRule="auto"/>
        <w:ind w:left="29"/>
        <w:rPr>
          <w:sz w:val="17"/>
        </w:rPr>
      </w:pPr>
      <w:r w:rsidRPr="00ED7F0F">
        <w:rPr>
          <w:b/>
          <w:sz w:val="17"/>
        </w:rPr>
        <w:t>______</w:t>
      </w:r>
      <w:r w:rsidRPr="00ED7F0F">
        <w:rPr>
          <w:sz w:val="17"/>
        </w:rPr>
        <w:t xml:space="preserve">Dasatinib 100 mg jedenkrát denne   </w:t>
      </w:r>
      <w:r w:rsidRPr="00ED7F0F">
        <w:rPr>
          <w:sz w:val="17"/>
        </w:rPr>
        <w:tab/>
        <w:t>259</w:t>
      </w:r>
    </w:p>
    <w:p w:rsidR="00AE6D42" w:rsidRPr="00ED7F0F" w:rsidRDefault="00173AB0" w:rsidP="00122C9F">
      <w:pPr>
        <w:spacing w:after="25" w:line="261" w:lineRule="auto"/>
        <w:ind w:left="29"/>
      </w:pPr>
      <w:r w:rsidRPr="00ED7F0F">
        <w:rPr>
          <w:b/>
          <w:sz w:val="17"/>
        </w:rPr>
        <w:t>______</w:t>
      </w:r>
      <w:r w:rsidR="00AE6D42" w:rsidRPr="00ED7F0F">
        <w:rPr>
          <w:sz w:val="17"/>
        </w:rPr>
        <w:t xml:space="preserve">Imatinib 400 mg jedenkrát denne </w:t>
      </w:r>
      <w:r w:rsidR="00AE6D42" w:rsidRPr="00ED7F0F">
        <w:rPr>
          <w:sz w:val="17"/>
        </w:rPr>
        <w:tab/>
        <w:t>260</w:t>
      </w:r>
    </w:p>
    <w:p w:rsidR="00AE6D42" w:rsidRPr="00ED7F0F" w:rsidRDefault="00AE6D42" w:rsidP="00122C9F">
      <w:pPr>
        <w:spacing w:line="259" w:lineRule="auto"/>
        <w:ind w:left="34"/>
      </w:pPr>
    </w:p>
    <w:p w:rsidR="00AE6D42" w:rsidRPr="00ED7F0F" w:rsidRDefault="00AE6D42" w:rsidP="00122C9F">
      <w:pPr>
        <w:ind w:left="29"/>
      </w:pPr>
      <w:r w:rsidRPr="00ED7F0F">
        <w:t>Miera MMR v</w:t>
      </w:r>
      <w:r w:rsidR="00173AB0" w:rsidRPr="00ED7F0F">
        <w:t> </w:t>
      </w:r>
      <w:r w:rsidRPr="00ED7F0F">
        <w:t>akomkoľvek čase v</w:t>
      </w:r>
      <w:r w:rsidR="00173AB0" w:rsidRPr="00ED7F0F">
        <w:t> </w:t>
      </w:r>
      <w:r w:rsidRPr="00ED7F0F">
        <w:t>každej rizikovej skupine určená Hasfordovým skóre bola vyššia v</w:t>
      </w:r>
      <w:r w:rsidR="00173AB0" w:rsidRPr="00ED7F0F">
        <w:t> dasatinibom</w:t>
      </w:r>
      <w:r w:rsidRPr="00ED7F0F">
        <w:t xml:space="preserve"> liečenej skupine v</w:t>
      </w:r>
      <w:r w:rsidR="00173AB0" w:rsidRPr="00ED7F0F">
        <w:t> </w:t>
      </w:r>
      <w:r w:rsidRPr="00ED7F0F">
        <w:t>porovnaní s</w:t>
      </w:r>
      <w:r w:rsidR="00173AB0" w:rsidRPr="00ED7F0F">
        <w:t> </w:t>
      </w:r>
      <w:r w:rsidRPr="00ED7F0F">
        <w:t>imatinibom liečenej skupine (nízke riziko: 90</w:t>
      </w:r>
      <w:r w:rsidR="00173AB0" w:rsidRPr="00ED7F0F">
        <w:t> </w:t>
      </w:r>
      <w:r w:rsidRPr="00ED7F0F">
        <w:t>% a</w:t>
      </w:r>
      <w:r w:rsidR="00173AB0" w:rsidRPr="00ED7F0F">
        <w:t> </w:t>
      </w:r>
      <w:r w:rsidRPr="00ED7F0F">
        <w:t>69</w:t>
      </w:r>
      <w:r w:rsidR="00173AB0" w:rsidRPr="00ED7F0F">
        <w:t> </w:t>
      </w:r>
      <w:r w:rsidRPr="00ED7F0F">
        <w:t>%; stredné riziko: 71</w:t>
      </w:r>
      <w:r w:rsidR="00173AB0" w:rsidRPr="00ED7F0F">
        <w:t> </w:t>
      </w:r>
      <w:r w:rsidRPr="00ED7F0F">
        <w:t>% a</w:t>
      </w:r>
      <w:r w:rsidR="00173AB0" w:rsidRPr="00ED7F0F">
        <w:t> </w:t>
      </w:r>
      <w:r w:rsidRPr="00ED7F0F">
        <w:t>65</w:t>
      </w:r>
      <w:r w:rsidR="00173AB0" w:rsidRPr="00ED7F0F">
        <w:t> </w:t>
      </w:r>
      <w:r w:rsidRPr="00ED7F0F">
        <w:t>%; vysoké riziko: 67</w:t>
      </w:r>
      <w:r w:rsidR="00173AB0" w:rsidRPr="00ED7F0F">
        <w:t> </w:t>
      </w:r>
      <w:r w:rsidRPr="00ED7F0F">
        <w:t>% a</w:t>
      </w:r>
      <w:r w:rsidR="00173AB0" w:rsidRPr="00ED7F0F">
        <w:t> </w:t>
      </w:r>
      <w:r w:rsidRPr="00ED7F0F">
        <w:t>54</w:t>
      </w:r>
      <w:r w:rsidR="00173AB0" w:rsidRPr="00ED7F0F">
        <w:t> </w:t>
      </w:r>
      <w:r w:rsidRPr="00ED7F0F">
        <w:t>%) v</w:t>
      </w:r>
      <w:r w:rsidR="00173AB0" w:rsidRPr="00ED7F0F">
        <w:t> </w:t>
      </w:r>
      <w:r w:rsidRPr="00ED7F0F">
        <w:t>uvedenom poradí.</w:t>
      </w:r>
    </w:p>
    <w:p w:rsidR="00AE6D42" w:rsidRPr="00ED7F0F" w:rsidRDefault="00AE6D42" w:rsidP="00122C9F">
      <w:pPr>
        <w:spacing w:line="259" w:lineRule="auto"/>
        <w:ind w:left="34"/>
      </w:pPr>
    </w:p>
    <w:p w:rsidR="00AE6D42" w:rsidRPr="00ED7F0F" w:rsidRDefault="00AE6D42" w:rsidP="00122C9F">
      <w:pPr>
        <w:ind w:left="29"/>
      </w:pPr>
      <w:r w:rsidRPr="00ED7F0F">
        <w:t>V</w:t>
      </w:r>
      <w:r w:rsidR="00173AB0" w:rsidRPr="00ED7F0F">
        <w:t> </w:t>
      </w:r>
      <w:r w:rsidRPr="00ED7F0F">
        <w:t>ďalšej analýze dosiahlo viac pacientov liečených dasatinibom (84</w:t>
      </w:r>
      <w:r w:rsidR="00173AB0" w:rsidRPr="00ED7F0F">
        <w:t> </w:t>
      </w:r>
      <w:r w:rsidRPr="00ED7F0F">
        <w:t>%) skorú molekulárnu odpoveď (definovanú ako hladiny BCR-ABL</w:t>
      </w:r>
      <w:r w:rsidR="006F26F8" w:rsidRPr="00ED7F0F">
        <w:rPr>
          <w:spacing w:val="-5"/>
        </w:rPr>
        <w:t xml:space="preserve"> </w:t>
      </w:r>
      <w:r w:rsidR="006F26F8" w:rsidRPr="00ED7F0F">
        <w:t>≤</w:t>
      </w:r>
      <w:r w:rsidRPr="00ED7F0F">
        <w:t xml:space="preserve"> 10</w:t>
      </w:r>
      <w:r w:rsidR="00173AB0" w:rsidRPr="00ED7F0F">
        <w:t> </w:t>
      </w:r>
      <w:r w:rsidRPr="00ED7F0F">
        <w:t>% po 3</w:t>
      </w:r>
      <w:r w:rsidR="00173AB0" w:rsidRPr="00ED7F0F">
        <w:t> </w:t>
      </w:r>
      <w:r w:rsidRPr="00ED7F0F">
        <w:t>mesiacoch) v</w:t>
      </w:r>
      <w:r w:rsidR="00173AB0" w:rsidRPr="00ED7F0F">
        <w:t> </w:t>
      </w:r>
      <w:r w:rsidRPr="00ED7F0F">
        <w:t>porovnaní s</w:t>
      </w:r>
      <w:r w:rsidR="00173AB0" w:rsidRPr="00ED7F0F">
        <w:t> </w:t>
      </w:r>
      <w:r w:rsidRPr="00ED7F0F">
        <w:t>pacientmi liečenými imatinibom (64</w:t>
      </w:r>
      <w:r w:rsidR="00173AB0" w:rsidRPr="00ED7F0F">
        <w:t> </w:t>
      </w:r>
      <w:r w:rsidRPr="00ED7F0F">
        <w:t>%). Pacienti s</w:t>
      </w:r>
      <w:r w:rsidR="00173AB0" w:rsidRPr="00ED7F0F">
        <w:t> </w:t>
      </w:r>
      <w:r w:rsidRPr="00ED7F0F">
        <w:t>dosiahnutou skorou molekulárnou odpoveďou mali nižšie riziko transformácie, vyšší pomer prežívania bez progresie (PFS, progression-free survival) a</w:t>
      </w:r>
      <w:r w:rsidR="00173AB0" w:rsidRPr="00ED7F0F">
        <w:t> </w:t>
      </w:r>
      <w:r w:rsidRPr="00ED7F0F">
        <w:t>vyšší pomer celkového prežívania (OS, overall survival), ako je uvedené v</w:t>
      </w:r>
      <w:r w:rsidR="00173AB0" w:rsidRPr="00ED7F0F">
        <w:t> </w:t>
      </w:r>
      <w:r w:rsidRPr="00ED7F0F">
        <w:t>tabuľke</w:t>
      </w:r>
      <w:r w:rsidR="00173AB0" w:rsidRPr="00ED7F0F">
        <w:t> </w:t>
      </w:r>
      <w:r w:rsidRPr="00ED7F0F">
        <w:t>10.</w:t>
      </w:r>
    </w:p>
    <w:p w:rsidR="00AE6D42" w:rsidRPr="00ED7F0F" w:rsidRDefault="00AE6D42" w:rsidP="00122C9F">
      <w:pPr>
        <w:spacing w:after="10" w:line="259" w:lineRule="auto"/>
        <w:ind w:left="34"/>
      </w:pPr>
    </w:p>
    <w:p w:rsidR="00AE6D42" w:rsidRPr="00ED7F0F" w:rsidRDefault="00AE6D42" w:rsidP="00122C9F">
      <w:pPr>
        <w:rPr>
          <w:b/>
        </w:rPr>
      </w:pPr>
      <w:r w:rsidRPr="00ED7F0F">
        <w:rPr>
          <w:b/>
        </w:rPr>
        <w:t xml:space="preserve">Tabuľka 10: </w:t>
      </w:r>
      <w:r w:rsidRPr="00ED7F0F">
        <w:rPr>
          <w:b/>
        </w:rPr>
        <w:tab/>
        <w:t>Pacienti s</w:t>
      </w:r>
      <w:r w:rsidR="006F26F8" w:rsidRPr="00ED7F0F">
        <w:rPr>
          <w:b/>
        </w:rPr>
        <w:t> </w:t>
      </w:r>
      <w:r w:rsidRPr="00ED7F0F">
        <w:rPr>
          <w:b/>
        </w:rPr>
        <w:t>dasatinibom s</w:t>
      </w:r>
      <w:r w:rsidR="006F26F8" w:rsidRPr="00ED7F0F">
        <w:rPr>
          <w:b/>
        </w:rPr>
        <w:t> </w:t>
      </w:r>
      <w:r w:rsidRPr="00ED7F0F">
        <w:rPr>
          <w:b/>
        </w:rPr>
        <w:t xml:space="preserve">BCR-ABL </w:t>
      </w:r>
      <w:r w:rsidR="006F26F8" w:rsidRPr="00ED7F0F">
        <w:rPr>
          <w:b/>
        </w:rPr>
        <w:t>≤</w:t>
      </w:r>
      <w:r w:rsidR="006F26F8" w:rsidRPr="00ED7F0F">
        <w:rPr>
          <w:b/>
          <w:spacing w:val="-6"/>
        </w:rPr>
        <w:t xml:space="preserve"> </w:t>
      </w:r>
      <w:r w:rsidRPr="00ED7F0F">
        <w:rPr>
          <w:b/>
        </w:rPr>
        <w:t>10</w:t>
      </w:r>
      <w:r w:rsidR="006F26F8" w:rsidRPr="00ED7F0F">
        <w:rPr>
          <w:b/>
        </w:rPr>
        <w:t> </w:t>
      </w:r>
      <w:r w:rsidRPr="00ED7F0F">
        <w:rPr>
          <w:b/>
        </w:rPr>
        <w:t>% a &gt; 10</w:t>
      </w:r>
      <w:r w:rsidR="006F26F8" w:rsidRPr="00ED7F0F">
        <w:rPr>
          <w:b/>
        </w:rPr>
        <w:t> </w:t>
      </w:r>
      <w:r w:rsidRPr="00ED7F0F">
        <w:rPr>
          <w:b/>
        </w:rPr>
        <w:t>% po 3</w:t>
      </w:r>
      <w:r w:rsidR="006F26F8" w:rsidRPr="00ED7F0F">
        <w:rPr>
          <w:b/>
        </w:rPr>
        <w:t> </w:t>
      </w:r>
      <w:r w:rsidRPr="00ED7F0F">
        <w:rPr>
          <w:b/>
        </w:rPr>
        <w:t>mesiacoch</w:t>
      </w:r>
    </w:p>
    <w:tbl>
      <w:tblPr>
        <w:tblStyle w:val="TableGrid"/>
        <w:tblW w:w="8918" w:type="dxa"/>
        <w:tblInd w:w="-82" w:type="dxa"/>
        <w:tblCellMar>
          <w:top w:w="25" w:type="dxa"/>
          <w:bottom w:w="5" w:type="dxa"/>
          <w:right w:w="115" w:type="dxa"/>
        </w:tblCellMar>
        <w:tblLook w:val="04A0" w:firstRow="1" w:lastRow="0" w:firstColumn="1" w:lastColumn="0" w:noHBand="0" w:noVBand="1"/>
      </w:tblPr>
      <w:tblGrid>
        <w:gridCol w:w="3536"/>
        <w:gridCol w:w="3018"/>
        <w:gridCol w:w="2364"/>
      </w:tblGrid>
      <w:tr w:rsidR="00AE6D42" w:rsidRPr="00ED7F0F" w:rsidTr="00794CE7">
        <w:trPr>
          <w:trHeight w:val="488"/>
        </w:trPr>
        <w:tc>
          <w:tcPr>
            <w:tcW w:w="3536" w:type="dxa"/>
            <w:tcBorders>
              <w:top w:val="single" w:sz="4" w:space="0" w:color="000000"/>
              <w:left w:val="single" w:sz="4" w:space="0" w:color="auto"/>
              <w:bottom w:val="single" w:sz="5" w:space="0" w:color="000000"/>
              <w:right w:val="single" w:sz="4" w:space="0" w:color="auto"/>
            </w:tcBorders>
            <w:vAlign w:val="bottom"/>
          </w:tcPr>
          <w:p w:rsidR="00AE6D42" w:rsidRPr="00ED7F0F" w:rsidRDefault="00AE6D42" w:rsidP="00122C9F">
            <w:pPr>
              <w:spacing w:line="259" w:lineRule="auto"/>
              <w:ind w:left="115"/>
              <w:rPr>
                <w:rFonts w:ascii="Times New Roman" w:hAnsi="Times New Roman" w:cs="Times New Roman"/>
              </w:rPr>
            </w:pPr>
            <w:r w:rsidRPr="00ED7F0F">
              <w:rPr>
                <w:rFonts w:ascii="Times New Roman" w:hAnsi="Times New Roman" w:cs="Times New Roman"/>
                <w:b/>
              </w:rPr>
              <w:t>Dasatinib N</w:t>
            </w:r>
            <w:r w:rsidR="006F26F8" w:rsidRPr="00ED7F0F">
              <w:rPr>
                <w:rFonts w:ascii="Times New Roman" w:hAnsi="Times New Roman" w:cs="Times New Roman"/>
                <w:b/>
              </w:rPr>
              <w:t> </w:t>
            </w:r>
            <w:r w:rsidRPr="00ED7F0F">
              <w:rPr>
                <w:rFonts w:ascii="Times New Roman" w:hAnsi="Times New Roman" w:cs="Times New Roman"/>
                <w:b/>
              </w:rPr>
              <w:t>=</w:t>
            </w:r>
            <w:r w:rsidR="006F26F8" w:rsidRPr="00ED7F0F">
              <w:rPr>
                <w:rFonts w:ascii="Times New Roman" w:hAnsi="Times New Roman" w:cs="Times New Roman"/>
                <w:b/>
              </w:rPr>
              <w:t> </w:t>
            </w:r>
            <w:r w:rsidRPr="00ED7F0F">
              <w:rPr>
                <w:rFonts w:ascii="Times New Roman" w:hAnsi="Times New Roman" w:cs="Times New Roman"/>
                <w:b/>
              </w:rPr>
              <w:t>235</w:t>
            </w:r>
          </w:p>
        </w:tc>
        <w:tc>
          <w:tcPr>
            <w:tcW w:w="3018" w:type="dxa"/>
            <w:tcBorders>
              <w:top w:val="single" w:sz="4" w:space="0" w:color="000000"/>
              <w:left w:val="single" w:sz="4" w:space="0" w:color="auto"/>
              <w:bottom w:val="single" w:sz="5" w:space="0" w:color="000000"/>
              <w:right w:val="single" w:sz="4" w:space="0" w:color="auto"/>
            </w:tcBorders>
          </w:tcPr>
          <w:p w:rsidR="00AE6D42" w:rsidRPr="00ED7F0F" w:rsidRDefault="00AE6D42" w:rsidP="00122C9F">
            <w:pPr>
              <w:spacing w:line="259" w:lineRule="auto"/>
              <w:ind w:left="612" w:hanging="612"/>
              <w:jc w:val="both"/>
              <w:rPr>
                <w:rFonts w:ascii="Times New Roman" w:hAnsi="Times New Roman" w:cs="Times New Roman"/>
              </w:rPr>
            </w:pPr>
            <w:r w:rsidRPr="00ED7F0F">
              <w:rPr>
                <w:rFonts w:ascii="Times New Roman" w:hAnsi="Times New Roman" w:cs="Times New Roman"/>
                <w:b/>
              </w:rPr>
              <w:t>Pacienti s</w:t>
            </w:r>
            <w:r w:rsidR="006F26F8" w:rsidRPr="00ED7F0F">
              <w:rPr>
                <w:rFonts w:ascii="Times New Roman" w:hAnsi="Times New Roman" w:cs="Times New Roman"/>
                <w:b/>
              </w:rPr>
              <w:t> </w:t>
            </w:r>
            <w:r w:rsidRPr="00ED7F0F">
              <w:rPr>
                <w:rFonts w:ascii="Times New Roman" w:hAnsi="Times New Roman" w:cs="Times New Roman"/>
                <w:b/>
              </w:rPr>
              <w:t xml:space="preserve">BCR-ABL </w:t>
            </w:r>
            <w:r w:rsidR="006F26F8" w:rsidRPr="00ED7F0F">
              <w:rPr>
                <w:rFonts w:ascii="Times New Roman" w:hAnsi="Times New Roman" w:cs="Times New Roman"/>
                <w:b/>
              </w:rPr>
              <w:t>≤</w:t>
            </w:r>
            <w:r w:rsidR="006F26F8" w:rsidRPr="00ED7F0F">
              <w:rPr>
                <w:rFonts w:ascii="Times New Roman" w:hAnsi="Times New Roman" w:cs="Times New Roman"/>
                <w:b/>
                <w:spacing w:val="-6"/>
              </w:rPr>
              <w:t> </w:t>
            </w:r>
            <w:r w:rsidRPr="00ED7F0F">
              <w:rPr>
                <w:rFonts w:ascii="Times New Roman" w:hAnsi="Times New Roman" w:cs="Times New Roman"/>
                <w:b/>
              </w:rPr>
              <w:t>10</w:t>
            </w:r>
            <w:r w:rsidR="006F26F8" w:rsidRPr="00ED7F0F">
              <w:rPr>
                <w:rFonts w:ascii="Times New Roman" w:hAnsi="Times New Roman" w:cs="Times New Roman"/>
                <w:b/>
              </w:rPr>
              <w:t> </w:t>
            </w:r>
            <w:r w:rsidRPr="00ED7F0F">
              <w:rPr>
                <w:rFonts w:ascii="Times New Roman" w:hAnsi="Times New Roman" w:cs="Times New Roman"/>
                <w:b/>
              </w:rPr>
              <w:t>% po 3</w:t>
            </w:r>
            <w:r w:rsidR="006F26F8" w:rsidRPr="00ED7F0F">
              <w:rPr>
                <w:rFonts w:ascii="Times New Roman" w:hAnsi="Times New Roman" w:cs="Times New Roman"/>
                <w:b/>
              </w:rPr>
              <w:t> </w:t>
            </w:r>
            <w:r w:rsidRPr="00ED7F0F">
              <w:rPr>
                <w:rFonts w:ascii="Times New Roman" w:hAnsi="Times New Roman" w:cs="Times New Roman"/>
                <w:b/>
              </w:rPr>
              <w:t>mesiacoch</w:t>
            </w:r>
          </w:p>
        </w:tc>
        <w:tc>
          <w:tcPr>
            <w:tcW w:w="2364" w:type="dxa"/>
            <w:tcBorders>
              <w:top w:val="single" w:sz="4" w:space="0" w:color="000000"/>
              <w:left w:val="single" w:sz="4" w:space="0" w:color="auto"/>
              <w:bottom w:val="single" w:sz="5" w:space="0" w:color="000000"/>
              <w:right w:val="nil"/>
            </w:tcBorders>
          </w:tcPr>
          <w:p w:rsidR="00AE6D42" w:rsidRPr="00ED7F0F" w:rsidRDefault="00AE6D42" w:rsidP="00122C9F">
            <w:pPr>
              <w:spacing w:line="259" w:lineRule="auto"/>
              <w:ind w:firstLine="97"/>
              <w:rPr>
                <w:rFonts w:ascii="Times New Roman" w:hAnsi="Times New Roman" w:cs="Times New Roman"/>
              </w:rPr>
            </w:pPr>
            <w:r w:rsidRPr="00ED7F0F">
              <w:rPr>
                <w:rFonts w:ascii="Times New Roman" w:hAnsi="Times New Roman" w:cs="Times New Roman"/>
                <w:b/>
              </w:rPr>
              <w:t>Pacienti s</w:t>
            </w:r>
            <w:r w:rsidR="006F26F8" w:rsidRPr="00ED7F0F">
              <w:rPr>
                <w:rFonts w:ascii="Times New Roman" w:hAnsi="Times New Roman" w:cs="Times New Roman"/>
                <w:b/>
              </w:rPr>
              <w:t> </w:t>
            </w:r>
            <w:r w:rsidRPr="00ED7F0F">
              <w:rPr>
                <w:rFonts w:ascii="Times New Roman" w:hAnsi="Times New Roman" w:cs="Times New Roman"/>
                <w:b/>
              </w:rPr>
              <w:t>BCR-ABL &gt;</w:t>
            </w:r>
            <w:r w:rsidR="006F26F8" w:rsidRPr="00ED7F0F">
              <w:rPr>
                <w:rFonts w:ascii="Times New Roman" w:hAnsi="Times New Roman" w:cs="Times New Roman"/>
                <w:b/>
              </w:rPr>
              <w:t> </w:t>
            </w:r>
            <w:r w:rsidRPr="00ED7F0F">
              <w:rPr>
                <w:rFonts w:ascii="Times New Roman" w:hAnsi="Times New Roman" w:cs="Times New Roman"/>
                <w:b/>
              </w:rPr>
              <w:t>10</w:t>
            </w:r>
            <w:r w:rsidR="006F26F8" w:rsidRPr="00ED7F0F">
              <w:rPr>
                <w:rFonts w:ascii="Times New Roman" w:hAnsi="Times New Roman" w:cs="Times New Roman"/>
                <w:b/>
              </w:rPr>
              <w:t> </w:t>
            </w:r>
            <w:r w:rsidRPr="00ED7F0F">
              <w:rPr>
                <w:rFonts w:ascii="Times New Roman" w:hAnsi="Times New Roman" w:cs="Times New Roman"/>
                <w:b/>
              </w:rPr>
              <w:t>% po 3 mesiacoch</w:t>
            </w:r>
          </w:p>
        </w:tc>
      </w:tr>
      <w:tr w:rsidR="00AE6D42" w:rsidRPr="00ED7F0F" w:rsidTr="00794CE7">
        <w:trPr>
          <w:trHeight w:val="270"/>
        </w:trPr>
        <w:tc>
          <w:tcPr>
            <w:tcW w:w="3536" w:type="dxa"/>
            <w:tcBorders>
              <w:top w:val="single" w:sz="5" w:space="0" w:color="000000"/>
              <w:left w:val="single" w:sz="4" w:space="0" w:color="auto"/>
              <w:bottom w:val="nil"/>
              <w:right w:val="single" w:sz="4" w:space="0" w:color="auto"/>
            </w:tcBorders>
          </w:tcPr>
          <w:p w:rsidR="00AE6D42" w:rsidRPr="00ED7F0F" w:rsidRDefault="00AE6D42" w:rsidP="00122C9F">
            <w:pPr>
              <w:spacing w:line="259" w:lineRule="auto"/>
              <w:ind w:left="115"/>
              <w:rPr>
                <w:rFonts w:ascii="Times New Roman" w:hAnsi="Times New Roman" w:cs="Times New Roman"/>
              </w:rPr>
            </w:pPr>
            <w:r w:rsidRPr="00ED7F0F">
              <w:rPr>
                <w:rFonts w:ascii="Times New Roman" w:hAnsi="Times New Roman" w:cs="Times New Roman"/>
              </w:rPr>
              <w:t>Počet pacientov (%)</w:t>
            </w:r>
          </w:p>
        </w:tc>
        <w:tc>
          <w:tcPr>
            <w:tcW w:w="3018" w:type="dxa"/>
            <w:tcBorders>
              <w:top w:val="single" w:sz="5" w:space="0" w:color="000000"/>
              <w:left w:val="single" w:sz="4" w:space="0" w:color="auto"/>
              <w:bottom w:val="nil"/>
              <w:right w:val="single" w:sz="4" w:space="0" w:color="auto"/>
            </w:tcBorders>
          </w:tcPr>
          <w:p w:rsidR="00AE6D42" w:rsidRPr="00ED7F0F" w:rsidRDefault="00AE6D42" w:rsidP="00122C9F">
            <w:pPr>
              <w:spacing w:line="259" w:lineRule="auto"/>
              <w:ind w:left="847"/>
              <w:rPr>
                <w:rFonts w:ascii="Times New Roman" w:hAnsi="Times New Roman" w:cs="Times New Roman"/>
              </w:rPr>
            </w:pPr>
            <w:r w:rsidRPr="00ED7F0F">
              <w:rPr>
                <w:rFonts w:ascii="Times New Roman" w:hAnsi="Times New Roman" w:cs="Times New Roman"/>
              </w:rPr>
              <w:t>198 (84,3)</w:t>
            </w:r>
          </w:p>
        </w:tc>
        <w:tc>
          <w:tcPr>
            <w:tcW w:w="2364" w:type="dxa"/>
            <w:tcBorders>
              <w:top w:val="single" w:sz="5" w:space="0" w:color="000000"/>
              <w:left w:val="single" w:sz="4" w:space="0" w:color="auto"/>
              <w:bottom w:val="nil"/>
              <w:right w:val="nil"/>
            </w:tcBorders>
          </w:tcPr>
          <w:p w:rsidR="00AE6D42" w:rsidRPr="00ED7F0F" w:rsidRDefault="00AE6D42" w:rsidP="00122C9F">
            <w:pPr>
              <w:spacing w:line="259" w:lineRule="auto"/>
              <w:ind w:left="632"/>
              <w:rPr>
                <w:rFonts w:ascii="Times New Roman" w:hAnsi="Times New Roman" w:cs="Times New Roman"/>
              </w:rPr>
            </w:pPr>
            <w:r w:rsidRPr="00ED7F0F">
              <w:rPr>
                <w:rFonts w:ascii="Times New Roman" w:hAnsi="Times New Roman" w:cs="Times New Roman"/>
              </w:rPr>
              <w:t>37 (15,7)</w:t>
            </w:r>
          </w:p>
        </w:tc>
      </w:tr>
      <w:tr w:rsidR="00AE6D42" w:rsidRPr="00ED7F0F" w:rsidTr="00794CE7">
        <w:trPr>
          <w:trHeight w:val="476"/>
        </w:trPr>
        <w:tc>
          <w:tcPr>
            <w:tcW w:w="3536" w:type="dxa"/>
            <w:tcBorders>
              <w:top w:val="nil"/>
              <w:left w:val="single" w:sz="4" w:space="0" w:color="auto"/>
              <w:bottom w:val="nil"/>
              <w:right w:val="single" w:sz="4" w:space="0" w:color="auto"/>
            </w:tcBorders>
          </w:tcPr>
          <w:p w:rsidR="00AE6D42" w:rsidRPr="00ED7F0F" w:rsidRDefault="00AE6D42" w:rsidP="00122C9F">
            <w:pPr>
              <w:spacing w:line="259" w:lineRule="auto"/>
              <w:ind w:left="115"/>
              <w:rPr>
                <w:rFonts w:ascii="Times New Roman" w:hAnsi="Times New Roman" w:cs="Times New Roman"/>
              </w:rPr>
            </w:pPr>
            <w:r w:rsidRPr="00ED7F0F">
              <w:rPr>
                <w:rFonts w:ascii="Times New Roman" w:hAnsi="Times New Roman" w:cs="Times New Roman"/>
              </w:rPr>
              <w:t>Transformácia po 60 mesiacoch, n/N</w:t>
            </w:r>
            <w:r w:rsidR="006F26F8" w:rsidRPr="00ED7F0F">
              <w:rPr>
                <w:rFonts w:ascii="Times New Roman" w:hAnsi="Times New Roman" w:cs="Times New Roman"/>
              </w:rPr>
              <w:t> </w:t>
            </w:r>
            <w:r w:rsidRPr="00ED7F0F">
              <w:rPr>
                <w:rFonts w:ascii="Times New Roman" w:hAnsi="Times New Roman" w:cs="Times New Roman"/>
              </w:rPr>
              <w:t>(%)</w:t>
            </w:r>
          </w:p>
        </w:tc>
        <w:tc>
          <w:tcPr>
            <w:tcW w:w="3018" w:type="dxa"/>
            <w:tcBorders>
              <w:top w:val="nil"/>
              <w:left w:val="single" w:sz="4" w:space="0" w:color="auto"/>
              <w:bottom w:val="nil"/>
              <w:right w:val="single" w:sz="4" w:space="0" w:color="auto"/>
            </w:tcBorders>
          </w:tcPr>
          <w:p w:rsidR="00AE6D42" w:rsidRPr="00ED7F0F" w:rsidRDefault="00AE6D42" w:rsidP="00122C9F">
            <w:pPr>
              <w:spacing w:line="259" w:lineRule="auto"/>
              <w:ind w:left="818"/>
              <w:rPr>
                <w:rFonts w:ascii="Times New Roman" w:hAnsi="Times New Roman" w:cs="Times New Roman"/>
              </w:rPr>
            </w:pPr>
            <w:r w:rsidRPr="00ED7F0F">
              <w:rPr>
                <w:rFonts w:ascii="Times New Roman" w:hAnsi="Times New Roman" w:cs="Times New Roman"/>
              </w:rPr>
              <w:t>6/198 (3,0)</w:t>
            </w:r>
          </w:p>
        </w:tc>
        <w:tc>
          <w:tcPr>
            <w:tcW w:w="2364" w:type="dxa"/>
            <w:tcBorders>
              <w:top w:val="nil"/>
              <w:left w:val="single" w:sz="4" w:space="0" w:color="auto"/>
              <w:bottom w:val="nil"/>
              <w:right w:val="nil"/>
            </w:tcBorders>
          </w:tcPr>
          <w:p w:rsidR="00AE6D42" w:rsidRPr="00ED7F0F" w:rsidRDefault="00AE6D42" w:rsidP="00122C9F">
            <w:pPr>
              <w:spacing w:line="259" w:lineRule="auto"/>
              <w:ind w:left="551"/>
              <w:rPr>
                <w:rFonts w:ascii="Times New Roman" w:hAnsi="Times New Roman" w:cs="Times New Roman"/>
              </w:rPr>
            </w:pPr>
            <w:r w:rsidRPr="00ED7F0F">
              <w:rPr>
                <w:rFonts w:ascii="Times New Roman" w:hAnsi="Times New Roman" w:cs="Times New Roman"/>
              </w:rPr>
              <w:t>5/37 (13,5)</w:t>
            </w:r>
          </w:p>
        </w:tc>
      </w:tr>
      <w:tr w:rsidR="00AE6D42" w:rsidRPr="00ED7F0F" w:rsidTr="00794CE7">
        <w:trPr>
          <w:trHeight w:val="476"/>
        </w:trPr>
        <w:tc>
          <w:tcPr>
            <w:tcW w:w="3536" w:type="dxa"/>
            <w:tcBorders>
              <w:top w:val="nil"/>
              <w:left w:val="single" w:sz="4" w:space="0" w:color="auto"/>
              <w:bottom w:val="nil"/>
              <w:right w:val="single" w:sz="4" w:space="0" w:color="auto"/>
            </w:tcBorders>
          </w:tcPr>
          <w:p w:rsidR="00AE6D42" w:rsidRPr="00ED7F0F" w:rsidRDefault="00AE6D42" w:rsidP="00122C9F">
            <w:pPr>
              <w:spacing w:line="259" w:lineRule="auto"/>
              <w:ind w:left="115"/>
              <w:rPr>
                <w:rFonts w:ascii="Times New Roman" w:hAnsi="Times New Roman" w:cs="Times New Roman"/>
              </w:rPr>
            </w:pPr>
            <w:r w:rsidRPr="00ED7F0F">
              <w:rPr>
                <w:rFonts w:ascii="Times New Roman" w:hAnsi="Times New Roman" w:cs="Times New Roman"/>
              </w:rPr>
              <w:t>Pomer PFS po 60 mesiacoch (95</w:t>
            </w:r>
            <w:r w:rsidR="006F26F8" w:rsidRPr="00ED7F0F">
              <w:rPr>
                <w:rFonts w:ascii="Times New Roman" w:hAnsi="Times New Roman" w:cs="Times New Roman"/>
              </w:rPr>
              <w:t> </w:t>
            </w:r>
            <w:r w:rsidRPr="00ED7F0F">
              <w:rPr>
                <w:rFonts w:ascii="Times New Roman" w:hAnsi="Times New Roman" w:cs="Times New Roman"/>
              </w:rPr>
              <w:t>% CI)</w:t>
            </w:r>
          </w:p>
        </w:tc>
        <w:tc>
          <w:tcPr>
            <w:tcW w:w="3018" w:type="dxa"/>
            <w:tcBorders>
              <w:top w:val="nil"/>
              <w:left w:val="single" w:sz="4" w:space="0" w:color="auto"/>
              <w:bottom w:val="nil"/>
              <w:right w:val="single" w:sz="4" w:space="0" w:color="auto"/>
            </w:tcBorders>
          </w:tcPr>
          <w:p w:rsidR="00AE6D42" w:rsidRPr="00ED7F0F" w:rsidRDefault="00AE6D42" w:rsidP="00122C9F">
            <w:pPr>
              <w:spacing w:line="259" w:lineRule="auto"/>
              <w:ind w:left="473"/>
              <w:rPr>
                <w:rFonts w:ascii="Times New Roman" w:hAnsi="Times New Roman" w:cs="Times New Roman"/>
              </w:rPr>
            </w:pPr>
            <w:r w:rsidRPr="00ED7F0F">
              <w:rPr>
                <w:rFonts w:ascii="Times New Roman" w:hAnsi="Times New Roman" w:cs="Times New Roman"/>
              </w:rPr>
              <w:t>92,0</w:t>
            </w:r>
            <w:r w:rsidR="006F26F8" w:rsidRPr="00ED7F0F">
              <w:rPr>
                <w:rFonts w:ascii="Times New Roman" w:hAnsi="Times New Roman" w:cs="Times New Roman"/>
              </w:rPr>
              <w:t> </w:t>
            </w:r>
            <w:r w:rsidRPr="00ED7F0F">
              <w:rPr>
                <w:rFonts w:ascii="Times New Roman" w:hAnsi="Times New Roman" w:cs="Times New Roman"/>
              </w:rPr>
              <w:t>% (89,6; 95,2)</w:t>
            </w:r>
          </w:p>
        </w:tc>
        <w:tc>
          <w:tcPr>
            <w:tcW w:w="2364" w:type="dxa"/>
            <w:tcBorders>
              <w:top w:val="nil"/>
              <w:left w:val="single" w:sz="4" w:space="0" w:color="auto"/>
              <w:bottom w:val="nil"/>
              <w:right w:val="nil"/>
            </w:tcBorders>
          </w:tcPr>
          <w:p w:rsidR="00AE6D42" w:rsidRPr="00ED7F0F" w:rsidRDefault="00AE6D42" w:rsidP="00122C9F">
            <w:pPr>
              <w:spacing w:line="259" w:lineRule="auto"/>
              <w:ind w:left="206"/>
              <w:rPr>
                <w:rFonts w:ascii="Times New Roman" w:hAnsi="Times New Roman" w:cs="Times New Roman"/>
              </w:rPr>
            </w:pPr>
            <w:r w:rsidRPr="00ED7F0F">
              <w:rPr>
                <w:rFonts w:ascii="Times New Roman" w:hAnsi="Times New Roman" w:cs="Times New Roman"/>
              </w:rPr>
              <w:t>73,8 % (52,0; 86,8)</w:t>
            </w:r>
          </w:p>
        </w:tc>
      </w:tr>
      <w:tr w:rsidR="00AE6D42" w:rsidRPr="00ED7F0F" w:rsidTr="00794CE7">
        <w:trPr>
          <w:trHeight w:val="218"/>
        </w:trPr>
        <w:tc>
          <w:tcPr>
            <w:tcW w:w="3536" w:type="dxa"/>
            <w:tcBorders>
              <w:top w:val="nil"/>
              <w:left w:val="single" w:sz="4" w:space="0" w:color="auto"/>
              <w:bottom w:val="single" w:sz="4" w:space="0" w:color="000000"/>
              <w:right w:val="single" w:sz="4" w:space="0" w:color="auto"/>
            </w:tcBorders>
          </w:tcPr>
          <w:p w:rsidR="00AE6D42" w:rsidRPr="00ED7F0F" w:rsidRDefault="00AE6D42" w:rsidP="00122C9F">
            <w:pPr>
              <w:spacing w:line="259" w:lineRule="auto"/>
              <w:ind w:left="115"/>
              <w:rPr>
                <w:rFonts w:ascii="Times New Roman" w:hAnsi="Times New Roman" w:cs="Times New Roman"/>
              </w:rPr>
            </w:pPr>
            <w:r w:rsidRPr="00ED7F0F">
              <w:rPr>
                <w:rFonts w:ascii="Times New Roman" w:hAnsi="Times New Roman" w:cs="Times New Roman"/>
              </w:rPr>
              <w:t>Pomer OS po 60 mesiacoch (95</w:t>
            </w:r>
            <w:r w:rsidR="006F26F8" w:rsidRPr="00ED7F0F">
              <w:rPr>
                <w:rFonts w:ascii="Times New Roman" w:hAnsi="Times New Roman" w:cs="Times New Roman"/>
              </w:rPr>
              <w:t> </w:t>
            </w:r>
            <w:r w:rsidRPr="00ED7F0F">
              <w:rPr>
                <w:rFonts w:ascii="Times New Roman" w:hAnsi="Times New Roman" w:cs="Times New Roman"/>
              </w:rPr>
              <w:t>%</w:t>
            </w:r>
            <w:r w:rsidR="006F26F8" w:rsidRPr="00ED7F0F">
              <w:rPr>
                <w:rFonts w:ascii="Times New Roman" w:hAnsi="Times New Roman" w:cs="Times New Roman"/>
              </w:rPr>
              <w:t> </w:t>
            </w:r>
            <w:r w:rsidRPr="00ED7F0F">
              <w:rPr>
                <w:rFonts w:ascii="Times New Roman" w:hAnsi="Times New Roman" w:cs="Times New Roman"/>
              </w:rPr>
              <w:t>CI)</w:t>
            </w:r>
          </w:p>
        </w:tc>
        <w:tc>
          <w:tcPr>
            <w:tcW w:w="3018" w:type="dxa"/>
            <w:tcBorders>
              <w:top w:val="nil"/>
              <w:left w:val="single" w:sz="4" w:space="0" w:color="auto"/>
              <w:bottom w:val="single" w:sz="4" w:space="0" w:color="000000"/>
              <w:right w:val="single" w:sz="4" w:space="0" w:color="auto"/>
            </w:tcBorders>
          </w:tcPr>
          <w:p w:rsidR="00AE6D42" w:rsidRPr="00ED7F0F" w:rsidRDefault="00AE6D42" w:rsidP="00122C9F">
            <w:pPr>
              <w:spacing w:line="259" w:lineRule="auto"/>
              <w:ind w:left="472"/>
              <w:rPr>
                <w:rFonts w:ascii="Times New Roman" w:hAnsi="Times New Roman" w:cs="Times New Roman"/>
              </w:rPr>
            </w:pPr>
            <w:r w:rsidRPr="00ED7F0F">
              <w:rPr>
                <w:rFonts w:ascii="Times New Roman" w:hAnsi="Times New Roman" w:cs="Times New Roman"/>
              </w:rPr>
              <w:t>93,8</w:t>
            </w:r>
            <w:r w:rsidR="006F26F8" w:rsidRPr="00ED7F0F">
              <w:rPr>
                <w:rFonts w:ascii="Times New Roman" w:hAnsi="Times New Roman" w:cs="Times New Roman"/>
              </w:rPr>
              <w:t> </w:t>
            </w:r>
            <w:r w:rsidRPr="00ED7F0F">
              <w:rPr>
                <w:rFonts w:ascii="Times New Roman" w:hAnsi="Times New Roman" w:cs="Times New Roman"/>
              </w:rPr>
              <w:t>% (89,3; 96,4)</w:t>
            </w:r>
          </w:p>
        </w:tc>
        <w:tc>
          <w:tcPr>
            <w:tcW w:w="2364" w:type="dxa"/>
            <w:tcBorders>
              <w:top w:val="nil"/>
              <w:left w:val="single" w:sz="4" w:space="0" w:color="auto"/>
              <w:bottom w:val="single" w:sz="4" w:space="0" w:color="000000"/>
              <w:right w:val="nil"/>
            </w:tcBorders>
          </w:tcPr>
          <w:p w:rsidR="00AE6D42" w:rsidRPr="00ED7F0F" w:rsidRDefault="00AE6D42" w:rsidP="00122C9F">
            <w:pPr>
              <w:spacing w:line="259" w:lineRule="auto"/>
              <w:ind w:left="204"/>
              <w:rPr>
                <w:rFonts w:ascii="Times New Roman" w:hAnsi="Times New Roman" w:cs="Times New Roman"/>
              </w:rPr>
            </w:pPr>
            <w:r w:rsidRPr="00ED7F0F">
              <w:rPr>
                <w:rFonts w:ascii="Times New Roman" w:hAnsi="Times New Roman" w:cs="Times New Roman"/>
              </w:rPr>
              <w:t>80,6 % (63,5; 90,2)</w:t>
            </w:r>
          </w:p>
        </w:tc>
      </w:tr>
    </w:tbl>
    <w:p w:rsidR="00AE6D42" w:rsidRPr="00ED7F0F" w:rsidRDefault="00AE6D42" w:rsidP="00122C9F">
      <w:pPr>
        <w:spacing w:line="259" w:lineRule="auto"/>
        <w:ind w:left="34"/>
      </w:pPr>
    </w:p>
    <w:p w:rsidR="00AE6D42" w:rsidRPr="00ED7F0F" w:rsidRDefault="00AE6D42" w:rsidP="00122C9F">
      <w:pPr>
        <w:ind w:left="29"/>
      </w:pPr>
      <w:r w:rsidRPr="00ED7F0F">
        <w:t xml:space="preserve">Hodnoty OS pri špecifických časových bodoch sú zobrazené na </w:t>
      </w:r>
      <w:r w:rsidR="006F26F8" w:rsidRPr="00ED7F0F">
        <w:t>g</w:t>
      </w:r>
      <w:r w:rsidRPr="00ED7F0F">
        <w:t>rafe 4. Hodnota OS bola rovnomerne vyššia u</w:t>
      </w:r>
      <w:r w:rsidR="006F26F8" w:rsidRPr="00ED7F0F">
        <w:t> </w:t>
      </w:r>
      <w:r w:rsidRPr="00ED7F0F">
        <w:t>pacientov liečených dasatinibom, ktorí dosiahli hladinu BCR-ABL ≤ 10</w:t>
      </w:r>
      <w:r w:rsidR="006F26F8" w:rsidRPr="00ED7F0F">
        <w:t> </w:t>
      </w:r>
      <w:r w:rsidRPr="00ED7F0F">
        <w:t>% po 3</w:t>
      </w:r>
      <w:r w:rsidR="006F26F8" w:rsidRPr="00ED7F0F">
        <w:t> </w:t>
      </w:r>
      <w:r w:rsidRPr="00ED7F0F">
        <w:t>mesiacoch než u</w:t>
      </w:r>
      <w:r w:rsidR="006F26F8" w:rsidRPr="00ED7F0F">
        <w:t> </w:t>
      </w:r>
      <w:r w:rsidRPr="00ED7F0F">
        <w:t>tých, ktorí ju nedosiahli.</w:t>
      </w:r>
    </w:p>
    <w:p w:rsidR="00AE6D42" w:rsidRPr="00ED7F0F" w:rsidRDefault="00AE6D42" w:rsidP="00122C9F">
      <w:pPr>
        <w:spacing w:line="259" w:lineRule="auto"/>
        <w:ind w:left="34"/>
      </w:pPr>
    </w:p>
    <w:p w:rsidR="00AE6D42" w:rsidRPr="00ED7F0F" w:rsidRDefault="00AE6D42" w:rsidP="00122C9F">
      <w:pPr>
        <w:ind w:left="1134" w:hanging="1134"/>
        <w:rPr>
          <w:b/>
        </w:rPr>
      </w:pPr>
      <w:r w:rsidRPr="00ED7F0F">
        <w:rPr>
          <w:b/>
          <w:spacing w:val="-7"/>
          <w:szCs w:val="22"/>
          <w:lang w:eastAsia="en-GB" w:bidi="ar-SA"/>
        </w:rPr>
        <w:t xml:space="preserve">Graf 4: </w:t>
      </w:r>
      <w:r w:rsidRPr="00ED7F0F">
        <w:rPr>
          <w:b/>
          <w:spacing w:val="-7"/>
          <w:szCs w:val="22"/>
          <w:lang w:eastAsia="en-GB" w:bidi="ar-SA"/>
        </w:rPr>
        <w:tab/>
        <w:t>Grafické znázornenie orientačných bodov celkového prežívania p</w:t>
      </w:r>
      <w:r w:rsidR="00A81ECE" w:rsidRPr="00ED7F0F">
        <w:rPr>
          <w:b/>
          <w:spacing w:val="-7"/>
          <w:szCs w:val="22"/>
          <w:lang w:eastAsia="en-GB" w:bidi="ar-SA"/>
        </w:rPr>
        <w:t>ri</w:t>
      </w:r>
      <w:r w:rsidRPr="00ED7F0F">
        <w:rPr>
          <w:b/>
          <w:spacing w:val="-7"/>
          <w:szCs w:val="22"/>
          <w:lang w:eastAsia="en-GB" w:bidi="ar-SA"/>
        </w:rPr>
        <w:t xml:space="preserve"> dasatinibe pomocou hladiny BCR-ABL (</w:t>
      </w:r>
      <w:r w:rsidR="006F26F8" w:rsidRPr="00ED7F0F">
        <w:rPr>
          <w:b/>
          <w:spacing w:val="-7"/>
          <w:szCs w:val="22"/>
          <w:lang w:eastAsia="en-GB" w:bidi="ar-SA"/>
        </w:rPr>
        <w:t>≤ </w:t>
      </w:r>
      <w:r w:rsidRPr="00ED7F0F">
        <w:rPr>
          <w:b/>
          <w:spacing w:val="-7"/>
          <w:szCs w:val="22"/>
          <w:lang w:eastAsia="en-GB" w:bidi="ar-SA"/>
        </w:rPr>
        <w:t>10</w:t>
      </w:r>
      <w:r w:rsidR="006F26F8" w:rsidRPr="00ED7F0F">
        <w:rPr>
          <w:b/>
          <w:spacing w:val="-7"/>
          <w:szCs w:val="22"/>
          <w:lang w:eastAsia="en-GB" w:bidi="ar-SA"/>
        </w:rPr>
        <w:t> </w:t>
      </w:r>
      <w:r w:rsidRPr="00ED7F0F">
        <w:rPr>
          <w:b/>
          <w:spacing w:val="-7"/>
          <w:szCs w:val="22"/>
          <w:lang w:eastAsia="en-GB" w:bidi="ar-SA"/>
        </w:rPr>
        <w:t>% alebo &gt; 10</w:t>
      </w:r>
      <w:r w:rsidR="006F26F8" w:rsidRPr="00ED7F0F">
        <w:rPr>
          <w:b/>
          <w:spacing w:val="-7"/>
          <w:szCs w:val="22"/>
          <w:lang w:eastAsia="en-GB" w:bidi="ar-SA"/>
        </w:rPr>
        <w:t> </w:t>
      </w:r>
      <w:r w:rsidRPr="00ED7F0F">
        <w:rPr>
          <w:b/>
          <w:spacing w:val="-7"/>
          <w:szCs w:val="22"/>
          <w:lang w:eastAsia="en-GB" w:bidi="ar-SA"/>
        </w:rPr>
        <w:t>%) po 3</w:t>
      </w:r>
      <w:r w:rsidR="006F26F8" w:rsidRPr="00ED7F0F">
        <w:rPr>
          <w:b/>
          <w:spacing w:val="-7"/>
          <w:szCs w:val="22"/>
          <w:lang w:eastAsia="en-GB" w:bidi="ar-SA"/>
        </w:rPr>
        <w:t> </w:t>
      </w:r>
      <w:r w:rsidRPr="00ED7F0F">
        <w:rPr>
          <w:b/>
          <w:spacing w:val="-7"/>
          <w:szCs w:val="22"/>
          <w:lang w:eastAsia="en-GB" w:bidi="ar-SA"/>
        </w:rPr>
        <w:t>mesiacoch v</w:t>
      </w:r>
      <w:r w:rsidR="00A81ECE" w:rsidRPr="00ED7F0F">
        <w:rPr>
          <w:b/>
          <w:spacing w:val="-7"/>
          <w:szCs w:val="22"/>
          <w:lang w:eastAsia="en-GB" w:bidi="ar-SA"/>
        </w:rPr>
        <w:t> </w:t>
      </w:r>
      <w:r w:rsidRPr="00ED7F0F">
        <w:rPr>
          <w:b/>
          <w:spacing w:val="-7"/>
          <w:szCs w:val="22"/>
          <w:lang w:eastAsia="en-GB" w:bidi="ar-SA"/>
        </w:rPr>
        <w:t>štúdi</w:t>
      </w:r>
      <w:r w:rsidR="00A81ECE" w:rsidRPr="00ED7F0F">
        <w:rPr>
          <w:b/>
          <w:spacing w:val="-7"/>
          <w:szCs w:val="22"/>
          <w:lang w:eastAsia="en-GB" w:bidi="ar-SA"/>
        </w:rPr>
        <w:t>i fázy 3</w:t>
      </w:r>
      <w:r w:rsidRPr="00ED7F0F">
        <w:rPr>
          <w:b/>
          <w:spacing w:val="-7"/>
          <w:szCs w:val="22"/>
          <w:lang w:eastAsia="en-GB" w:bidi="ar-SA"/>
        </w:rPr>
        <w:t xml:space="preserve"> s</w:t>
      </w:r>
      <w:r w:rsidR="006F26F8" w:rsidRPr="00ED7F0F">
        <w:rPr>
          <w:b/>
          <w:spacing w:val="-7"/>
          <w:szCs w:val="22"/>
          <w:lang w:eastAsia="en-GB" w:bidi="ar-SA"/>
        </w:rPr>
        <w:t> </w:t>
      </w:r>
      <w:r w:rsidRPr="00ED7F0F">
        <w:rPr>
          <w:b/>
          <w:spacing w:val="-7"/>
          <w:szCs w:val="22"/>
          <w:lang w:eastAsia="en-GB" w:bidi="ar-SA"/>
        </w:rPr>
        <w:t>novodiagnostikovanými pacientmi s</w:t>
      </w:r>
      <w:r w:rsidR="006F26F8" w:rsidRPr="00ED7F0F">
        <w:rPr>
          <w:b/>
          <w:spacing w:val="-7"/>
          <w:szCs w:val="22"/>
          <w:lang w:eastAsia="en-GB" w:bidi="ar-SA"/>
        </w:rPr>
        <w:t> </w:t>
      </w:r>
      <w:r w:rsidRPr="00ED7F0F">
        <w:rPr>
          <w:b/>
          <w:spacing w:val="-7"/>
          <w:szCs w:val="22"/>
          <w:lang w:eastAsia="en-GB" w:bidi="ar-SA"/>
        </w:rPr>
        <w:t>chronickou fázou CML</w:t>
      </w:r>
    </w:p>
    <w:p w:rsidR="00AE6D42" w:rsidRPr="00ED7F0F" w:rsidRDefault="00AE6D42" w:rsidP="00122C9F">
      <w:pPr>
        <w:spacing w:line="259" w:lineRule="auto"/>
        <w:ind w:left="34"/>
      </w:pPr>
    </w:p>
    <w:p w:rsidR="00AE6D42" w:rsidRPr="00ED7F0F" w:rsidRDefault="00AE6D42" w:rsidP="00122C9F">
      <w:pPr>
        <w:spacing w:line="259" w:lineRule="auto"/>
        <w:ind w:left="-265"/>
        <w:jc w:val="right"/>
      </w:pPr>
      <w:r w:rsidRPr="00ED7F0F">
        <w:rPr>
          <w:rFonts w:eastAsia="Calibri"/>
          <w:noProof/>
          <w:lang w:bidi="ar-SA"/>
        </w:rPr>
        <mc:AlternateContent>
          <mc:Choice Requires="wpg">
            <w:drawing>
              <wp:inline distT="0" distB="0" distL="0" distR="0" wp14:anchorId="5B625D42" wp14:editId="67A0937A">
                <wp:extent cx="5614856" cy="1911096"/>
                <wp:effectExtent l="0" t="0" r="0" b="0"/>
                <wp:docPr id="174781" name="Group 174781"/>
                <wp:cNvGraphicFramePr/>
                <a:graphic xmlns:a="http://schemas.openxmlformats.org/drawingml/2006/main">
                  <a:graphicData uri="http://schemas.microsoft.com/office/word/2010/wordprocessingGroup">
                    <wpg:wgp>
                      <wpg:cNvGrpSpPr/>
                      <wpg:grpSpPr>
                        <a:xfrm>
                          <a:off x="0" y="0"/>
                          <a:ext cx="5614856" cy="1911096"/>
                          <a:chOff x="0" y="0"/>
                          <a:chExt cx="5614856" cy="1911096"/>
                        </a:xfrm>
                      </wpg:grpSpPr>
                      <pic:pic xmlns:pic="http://schemas.openxmlformats.org/drawingml/2006/picture">
                        <pic:nvPicPr>
                          <pic:cNvPr id="234602" name="Picture 234602"/>
                          <pic:cNvPicPr/>
                        </pic:nvPicPr>
                        <pic:blipFill>
                          <a:blip r:embed="rId17"/>
                          <a:stretch>
                            <a:fillRect/>
                          </a:stretch>
                        </pic:blipFill>
                        <pic:spPr>
                          <a:xfrm>
                            <a:off x="198813" y="-4063"/>
                            <a:ext cx="5416297" cy="1914144"/>
                          </a:xfrm>
                          <a:prstGeom prst="rect">
                            <a:avLst/>
                          </a:prstGeom>
                        </pic:spPr>
                      </pic:pic>
                      <wps:wsp>
                        <wps:cNvPr id="3327" name="Rectangle 3327"/>
                        <wps:cNvSpPr/>
                        <wps:spPr>
                          <a:xfrm rot="-5399999">
                            <a:off x="-594891" y="601664"/>
                            <a:ext cx="1317585" cy="127800"/>
                          </a:xfrm>
                          <a:prstGeom prst="rect">
                            <a:avLst/>
                          </a:prstGeom>
                          <a:ln>
                            <a:noFill/>
                          </a:ln>
                        </wps:spPr>
                        <wps:txbx>
                          <w:txbxContent>
                            <w:p w:rsidR="004E7831" w:rsidRDefault="004E7831" w:rsidP="00AE6D42">
                              <w:pPr>
                                <w:spacing w:after="160" w:line="259" w:lineRule="auto"/>
                              </w:pPr>
                              <w:r>
                                <w:rPr>
                                  <w:b/>
                                  <w:sz w:val="17"/>
                                </w:rPr>
                                <w:t xml:space="preserve">PODIEL ŽIJÚCICH </w:t>
                              </w:r>
                            </w:p>
                          </w:txbxContent>
                        </wps:txbx>
                        <wps:bodyPr horzOverflow="overflow" vert="horz" lIns="0" tIns="0" rIns="0" bIns="0" rtlCol="0">
                          <a:noAutofit/>
                        </wps:bodyPr>
                      </wps:wsp>
                    </wpg:wgp>
                  </a:graphicData>
                </a:graphic>
              </wp:inline>
            </w:drawing>
          </mc:Choice>
          <mc:Fallback>
            <w:pict>
              <v:group w14:anchorId="5B625D42" id="Group 174781" o:spid="_x0000_s1076" style="width:442.1pt;height:150.5pt;mso-position-horizontal-relative:char;mso-position-vertical-relative:line" coordsize="56148,19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">
                <v:shape id="Picture 234602" o:spid="_x0000_s1077" type="#_x0000_t75" style="position:absolute;left:1988;top:-40;width:54163;height:191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0LKYPIAAAA3wAAAA8AAABkcnMvZG93bnJldi54bWxEj0FrAjEUhO9C/0N4BW+a7dqKrkYpLRZP&#10;gqs99PbYPDdpNy/LJur23zdCweMwM98wy3XvGnGhLljPCp7GGQjiymvLtYLjYTOagQgRWWPjmRT8&#10;UoD16mGwxEL7K+/pUsZaJAiHAhWYGNtCylAZchjGviVO3sl3DmOSXS11h9cEd43Ms2wqHVpOCwZb&#10;ejNU/ZRnp+BwnM/lrvrqN5/W1h8v5fvWnL+VGj72rwsQkfp4D/+3t1pBPnmeZjnc/qQvIFd/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dCymDyAAAAN8AAAAPAAAAAAAAAAAA&#10;AAAAAJ8CAABkcnMvZG93bnJldi54bWxQSwUGAAAAAAQABAD3AAAAlAMAAAAA&#10;">
                  <v:imagedata r:id="rId18" o:title=""/>
                </v:shape>
                <v:rect id="Rectangle 3327" o:spid="_x0000_s1078" style="position:absolute;left:-5949;top:6016;width:13176;height:127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3MascA&#10;AADdAAAADwAAAGRycy9kb3ducmV2LnhtbESPT2vCQBTE70K/w/IEb7pRS5XoJpSCpJcK1Soen9mX&#10;P5h9m2ZXTb99tyD0OMzMb5h12ptG3KhztWUF00kEgji3uuZSwdd+M16CcB5ZY2OZFPyQgzR5Gqwx&#10;1vbOn3Tb+VIECLsYFVTet7GULq/IoJvYljh4he0M+iC7UuoO7wFuGjmLohdpsOawUGFLbxXll93V&#10;KDhM99dj5rZnPhXfi+cPn22LMlNqNOxfVyA89f4//Gi/awXz+WwBf2/CE5DJ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lNzGrHAAAA3QAAAA8AAAAAAAAAAAAAAAAAmAIAAGRy&#10;cy9kb3ducmV2LnhtbFBLBQYAAAAABAAEAPUAAACMAwAAAAA=&#10;" filled="f" stroked="f">
                  <v:textbox inset="0,0,0,0">
                    <w:txbxContent>
                      <w:p w:rsidR="004E7831" w:rsidRDefault="004E7831" w:rsidP="00AE6D42">
                        <w:pPr>
                          <w:spacing w:after="160" w:line="259" w:lineRule="auto"/>
                        </w:pPr>
                        <w:r>
                          <w:rPr>
                            <w:b/>
                            <w:sz w:val="17"/>
                          </w:rPr>
                          <w:t xml:space="preserve">PODIEL ŽIJÚCICH </w:t>
                        </w:r>
                      </w:p>
                    </w:txbxContent>
                  </v:textbox>
                </v:rect>
                <w10:anchorlock/>
              </v:group>
            </w:pict>
          </mc:Fallback>
        </mc:AlternateContent>
      </w:r>
    </w:p>
    <w:p w:rsidR="006F26F8" w:rsidRPr="00ED7F0F" w:rsidRDefault="006F26F8" w:rsidP="00122C9F">
      <w:pPr>
        <w:spacing w:line="259" w:lineRule="auto"/>
      </w:pPr>
    </w:p>
    <w:tbl>
      <w:tblPr>
        <w:tblW w:w="0" w:type="auto"/>
        <w:tblCellMar>
          <w:left w:w="10" w:type="dxa"/>
          <w:right w:w="10" w:type="dxa"/>
        </w:tblCellMar>
        <w:tblLook w:val="04A0" w:firstRow="1" w:lastRow="0" w:firstColumn="1" w:lastColumn="0" w:noHBand="0" w:noVBand="1"/>
      </w:tblPr>
      <w:tblGrid>
        <w:gridCol w:w="1560"/>
        <w:gridCol w:w="425"/>
        <w:gridCol w:w="425"/>
        <w:gridCol w:w="284"/>
        <w:gridCol w:w="283"/>
        <w:gridCol w:w="425"/>
        <w:gridCol w:w="284"/>
        <w:gridCol w:w="283"/>
        <w:gridCol w:w="284"/>
        <w:gridCol w:w="283"/>
        <w:gridCol w:w="1134"/>
        <w:gridCol w:w="284"/>
        <w:gridCol w:w="2051"/>
        <w:gridCol w:w="574"/>
        <w:gridCol w:w="242"/>
        <w:gridCol w:w="205"/>
      </w:tblGrid>
      <w:tr w:rsidR="008B5322" w:rsidRPr="00ED7F0F" w:rsidTr="009A0932">
        <w:tc>
          <w:tcPr>
            <w:tcW w:w="5954" w:type="dxa"/>
            <w:gridSpan w:val="12"/>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8B5322" w:rsidRPr="00ED7F0F" w:rsidRDefault="008B5322" w:rsidP="00122C9F">
            <w:pPr>
              <w:tabs>
                <w:tab w:val="clear" w:pos="567"/>
              </w:tabs>
              <w:spacing w:line="240" w:lineRule="auto"/>
              <w:rPr>
                <w:rFonts w:eastAsia="Calibri"/>
              </w:rPr>
            </w:pPr>
          </w:p>
        </w:tc>
        <w:tc>
          <w:tcPr>
            <w:tcW w:w="2051"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8B5322" w:rsidRPr="00ED7F0F" w:rsidRDefault="008B5322" w:rsidP="00122C9F">
            <w:pPr>
              <w:spacing w:before="76" w:line="240" w:lineRule="auto"/>
              <w:ind w:left="380"/>
            </w:pPr>
            <w:r w:rsidRPr="00ED7F0F">
              <w:rPr>
                <w:b/>
                <w:sz w:val="17"/>
              </w:rPr>
              <w:t>MESIACE</w:t>
            </w:r>
          </w:p>
        </w:tc>
        <w:tc>
          <w:tcPr>
            <w:tcW w:w="1021" w:type="dxa"/>
            <w:gridSpan w:val="3"/>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8B5322" w:rsidRPr="00ED7F0F" w:rsidRDefault="008B5322" w:rsidP="00122C9F">
            <w:pPr>
              <w:spacing w:line="260" w:lineRule="auto"/>
              <w:jc w:val="both"/>
              <w:rPr>
                <w:rFonts w:eastAsia="Calibri"/>
              </w:rPr>
            </w:pPr>
          </w:p>
        </w:tc>
      </w:tr>
      <w:tr w:rsidR="008B5322" w:rsidRPr="00ED7F0F" w:rsidTr="009A0932">
        <w:tc>
          <w:tcPr>
            <w:tcW w:w="156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8B5322" w:rsidRPr="00ED7F0F" w:rsidRDefault="008B5322" w:rsidP="00122C9F">
            <w:pPr>
              <w:spacing w:line="240" w:lineRule="auto"/>
              <w:rPr>
                <w:b/>
                <w:sz w:val="17"/>
              </w:rPr>
            </w:pPr>
            <w:r w:rsidRPr="00ED7F0F">
              <w:rPr>
                <w:b/>
                <w:sz w:val="17"/>
              </w:rPr>
              <w:t xml:space="preserve">Rizikoví pacienti </w:t>
            </w:r>
          </w:p>
          <w:p w:rsidR="008B5322" w:rsidRPr="00ED7F0F" w:rsidRDefault="008B5322" w:rsidP="00122C9F">
            <w:pPr>
              <w:spacing w:line="240" w:lineRule="auto"/>
            </w:pPr>
            <w:r w:rsidRPr="00ED7F0F">
              <w:rPr>
                <w:rFonts w:eastAsia="Arial Narrow"/>
                <w:spacing w:val="-18"/>
                <w:sz w:val="16"/>
              </w:rPr>
              <w:t>&lt;=10%</w:t>
            </w:r>
            <w:r w:rsidRPr="00ED7F0F">
              <w:rPr>
                <w:rFonts w:eastAsia="Arial Narrow"/>
                <w:sz w:val="16"/>
              </w:rPr>
              <w:t xml:space="preserve">    </w:t>
            </w:r>
            <w:r w:rsidRPr="00ED7F0F">
              <w:rPr>
                <w:rFonts w:eastAsia="Arial Narrow"/>
                <w:spacing w:val="14"/>
                <w:sz w:val="16"/>
              </w:rPr>
              <w:t xml:space="preserve"> </w:t>
            </w:r>
            <w:r w:rsidRPr="00ED7F0F">
              <w:rPr>
                <w:rFonts w:eastAsia="Arial Narrow"/>
                <w:spacing w:val="-15"/>
                <w:sz w:val="16"/>
              </w:rPr>
              <w:t>198</w:t>
            </w:r>
            <w:r w:rsidRPr="00ED7F0F">
              <w:rPr>
                <w:rFonts w:eastAsia="Arial Narrow"/>
                <w:sz w:val="16"/>
              </w:rPr>
              <w:t xml:space="preserve">   </w:t>
            </w:r>
            <w:r w:rsidRPr="00ED7F0F">
              <w:rPr>
                <w:rFonts w:eastAsia="Arial Narrow"/>
                <w:spacing w:val="15"/>
                <w:sz w:val="16"/>
              </w:rPr>
              <w:t xml:space="preserve"> </w:t>
            </w:r>
            <w:r w:rsidRPr="00ED7F0F">
              <w:rPr>
                <w:rFonts w:eastAsia="Arial Narrow"/>
                <w:spacing w:val="-15"/>
                <w:sz w:val="16"/>
              </w:rPr>
              <w:t>198</w:t>
            </w:r>
          </w:p>
        </w:tc>
        <w:tc>
          <w:tcPr>
            <w:tcW w:w="425"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8B5322" w:rsidRPr="00ED7F0F" w:rsidRDefault="008B5322" w:rsidP="00122C9F">
            <w:pPr>
              <w:spacing w:before="11" w:line="240" w:lineRule="auto"/>
              <w:rPr>
                <w:b/>
                <w:sz w:val="16"/>
              </w:rPr>
            </w:pPr>
          </w:p>
          <w:p w:rsidR="008B5322" w:rsidRPr="00ED7F0F" w:rsidRDefault="008B5322" w:rsidP="00122C9F">
            <w:pPr>
              <w:spacing w:line="240" w:lineRule="auto"/>
            </w:pPr>
            <w:r w:rsidRPr="00ED7F0F">
              <w:rPr>
                <w:rFonts w:eastAsia="Arial Narrow"/>
                <w:spacing w:val="-15"/>
                <w:sz w:val="16"/>
              </w:rPr>
              <w:t>197</w:t>
            </w:r>
          </w:p>
        </w:tc>
        <w:tc>
          <w:tcPr>
            <w:tcW w:w="425"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8B5322" w:rsidRPr="00ED7F0F" w:rsidRDefault="008B5322" w:rsidP="00122C9F">
            <w:pPr>
              <w:spacing w:before="11" w:line="240" w:lineRule="auto"/>
              <w:rPr>
                <w:b/>
                <w:sz w:val="16"/>
              </w:rPr>
            </w:pPr>
          </w:p>
          <w:p w:rsidR="008B5322" w:rsidRPr="00ED7F0F" w:rsidRDefault="008B5322" w:rsidP="00122C9F">
            <w:pPr>
              <w:spacing w:line="240" w:lineRule="auto"/>
            </w:pPr>
            <w:r w:rsidRPr="00ED7F0F">
              <w:rPr>
                <w:rFonts w:eastAsia="Arial Narrow"/>
                <w:spacing w:val="-15"/>
                <w:sz w:val="16"/>
              </w:rPr>
              <w:t>196</w:t>
            </w:r>
          </w:p>
        </w:tc>
        <w:tc>
          <w:tcPr>
            <w:tcW w:w="28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8B5322" w:rsidRPr="00ED7F0F" w:rsidRDefault="008B5322" w:rsidP="00122C9F">
            <w:pPr>
              <w:spacing w:before="11" w:line="240" w:lineRule="auto"/>
              <w:rPr>
                <w:b/>
                <w:sz w:val="16"/>
              </w:rPr>
            </w:pPr>
          </w:p>
          <w:p w:rsidR="008B5322" w:rsidRPr="00ED7F0F" w:rsidRDefault="008B5322" w:rsidP="00122C9F">
            <w:pPr>
              <w:spacing w:line="240" w:lineRule="auto"/>
            </w:pPr>
            <w:r w:rsidRPr="00ED7F0F">
              <w:rPr>
                <w:rFonts w:eastAsia="Arial Narrow"/>
                <w:spacing w:val="-15"/>
                <w:sz w:val="16"/>
              </w:rPr>
              <w:t>195</w:t>
            </w:r>
          </w:p>
        </w:tc>
        <w:tc>
          <w:tcPr>
            <w:tcW w:w="283"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8B5322" w:rsidRPr="00ED7F0F" w:rsidRDefault="008B5322" w:rsidP="00122C9F">
            <w:pPr>
              <w:spacing w:before="11" w:line="240" w:lineRule="auto"/>
              <w:rPr>
                <w:b/>
                <w:sz w:val="16"/>
              </w:rPr>
            </w:pPr>
          </w:p>
          <w:p w:rsidR="008B5322" w:rsidRPr="00ED7F0F" w:rsidRDefault="008B5322" w:rsidP="00122C9F">
            <w:pPr>
              <w:spacing w:line="240" w:lineRule="auto"/>
            </w:pPr>
            <w:r w:rsidRPr="00ED7F0F">
              <w:rPr>
                <w:rFonts w:eastAsia="Arial Narrow"/>
                <w:spacing w:val="-15"/>
                <w:sz w:val="16"/>
              </w:rPr>
              <w:t>193</w:t>
            </w:r>
          </w:p>
        </w:tc>
        <w:tc>
          <w:tcPr>
            <w:tcW w:w="425"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8B5322" w:rsidRPr="00ED7F0F" w:rsidRDefault="008B5322" w:rsidP="00122C9F">
            <w:pPr>
              <w:spacing w:before="11" w:line="240" w:lineRule="auto"/>
              <w:rPr>
                <w:b/>
                <w:sz w:val="16"/>
              </w:rPr>
            </w:pPr>
          </w:p>
          <w:p w:rsidR="008B5322" w:rsidRPr="00ED7F0F" w:rsidRDefault="008B5322" w:rsidP="00122C9F">
            <w:pPr>
              <w:spacing w:line="240" w:lineRule="auto"/>
            </w:pPr>
            <w:r w:rsidRPr="00ED7F0F">
              <w:rPr>
                <w:rFonts w:eastAsia="Arial Narrow"/>
                <w:spacing w:val="-15"/>
                <w:sz w:val="16"/>
              </w:rPr>
              <w:t>193</w:t>
            </w:r>
          </w:p>
        </w:tc>
        <w:tc>
          <w:tcPr>
            <w:tcW w:w="28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8B5322" w:rsidRPr="00ED7F0F" w:rsidRDefault="008B5322" w:rsidP="00122C9F">
            <w:pPr>
              <w:spacing w:before="11" w:line="240" w:lineRule="auto"/>
              <w:rPr>
                <w:b/>
                <w:sz w:val="16"/>
              </w:rPr>
            </w:pPr>
          </w:p>
          <w:p w:rsidR="008B5322" w:rsidRPr="00ED7F0F" w:rsidRDefault="008B5322" w:rsidP="00122C9F">
            <w:pPr>
              <w:spacing w:line="240" w:lineRule="auto"/>
            </w:pPr>
            <w:r w:rsidRPr="00ED7F0F">
              <w:rPr>
                <w:rFonts w:eastAsia="Arial Narrow"/>
                <w:spacing w:val="-21"/>
                <w:sz w:val="16"/>
              </w:rPr>
              <w:t>191</w:t>
            </w:r>
          </w:p>
        </w:tc>
        <w:tc>
          <w:tcPr>
            <w:tcW w:w="283"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8B5322" w:rsidRPr="00ED7F0F" w:rsidRDefault="008B5322" w:rsidP="00122C9F">
            <w:pPr>
              <w:spacing w:before="11" w:line="240" w:lineRule="auto"/>
              <w:rPr>
                <w:b/>
                <w:sz w:val="16"/>
              </w:rPr>
            </w:pPr>
          </w:p>
          <w:p w:rsidR="008B5322" w:rsidRPr="00ED7F0F" w:rsidRDefault="008B5322" w:rsidP="00122C9F">
            <w:pPr>
              <w:spacing w:line="240" w:lineRule="auto"/>
            </w:pPr>
            <w:r w:rsidRPr="00ED7F0F">
              <w:rPr>
                <w:rFonts w:eastAsia="Arial Narrow"/>
                <w:spacing w:val="-21"/>
                <w:sz w:val="16"/>
              </w:rPr>
              <w:t>191</w:t>
            </w:r>
          </w:p>
        </w:tc>
        <w:tc>
          <w:tcPr>
            <w:tcW w:w="28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8B5322" w:rsidRPr="00ED7F0F" w:rsidRDefault="008B5322" w:rsidP="00122C9F">
            <w:pPr>
              <w:spacing w:before="11" w:line="240" w:lineRule="auto"/>
              <w:rPr>
                <w:b/>
                <w:sz w:val="16"/>
              </w:rPr>
            </w:pPr>
          </w:p>
          <w:p w:rsidR="008B5322" w:rsidRPr="00ED7F0F" w:rsidRDefault="008B5322" w:rsidP="00122C9F">
            <w:pPr>
              <w:spacing w:line="240" w:lineRule="auto"/>
            </w:pPr>
            <w:r w:rsidRPr="00ED7F0F">
              <w:rPr>
                <w:rFonts w:eastAsia="Arial Narrow"/>
                <w:spacing w:val="-15"/>
                <w:sz w:val="16"/>
              </w:rPr>
              <w:t>190</w:t>
            </w:r>
          </w:p>
        </w:tc>
        <w:tc>
          <w:tcPr>
            <w:tcW w:w="283"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8B5322" w:rsidRPr="00ED7F0F" w:rsidRDefault="008B5322" w:rsidP="00122C9F">
            <w:pPr>
              <w:spacing w:before="11" w:line="240" w:lineRule="auto"/>
              <w:rPr>
                <w:b/>
                <w:sz w:val="16"/>
              </w:rPr>
            </w:pPr>
          </w:p>
          <w:p w:rsidR="008B5322" w:rsidRPr="00ED7F0F" w:rsidRDefault="008B5322" w:rsidP="00122C9F">
            <w:pPr>
              <w:spacing w:line="240" w:lineRule="auto"/>
            </w:pPr>
            <w:r w:rsidRPr="00ED7F0F">
              <w:rPr>
                <w:rFonts w:eastAsia="Arial Narrow"/>
                <w:spacing w:val="-15"/>
                <w:sz w:val="16"/>
              </w:rPr>
              <w:t>188</w:t>
            </w:r>
          </w:p>
        </w:tc>
        <w:tc>
          <w:tcPr>
            <w:tcW w:w="113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8B5322" w:rsidRPr="00ED7F0F" w:rsidRDefault="008B5322" w:rsidP="00122C9F">
            <w:pPr>
              <w:spacing w:before="11" w:line="240" w:lineRule="auto"/>
              <w:rPr>
                <w:b/>
                <w:sz w:val="16"/>
              </w:rPr>
            </w:pPr>
          </w:p>
          <w:p w:rsidR="008B5322" w:rsidRPr="00ED7F0F" w:rsidRDefault="008B5322" w:rsidP="00122C9F">
            <w:pPr>
              <w:spacing w:line="240" w:lineRule="auto"/>
            </w:pPr>
            <w:r w:rsidRPr="00ED7F0F">
              <w:rPr>
                <w:rFonts w:eastAsia="Arial Narrow"/>
                <w:spacing w:val="-15"/>
                <w:sz w:val="16"/>
              </w:rPr>
              <w:t>187</w:t>
            </w:r>
            <w:r w:rsidRPr="00ED7F0F">
              <w:rPr>
                <w:rFonts w:eastAsia="Arial Narrow"/>
                <w:sz w:val="16"/>
              </w:rPr>
              <w:t xml:space="preserve">  </w:t>
            </w:r>
            <w:r w:rsidRPr="00ED7F0F">
              <w:rPr>
                <w:rFonts w:eastAsia="Arial Narrow"/>
                <w:spacing w:val="-15"/>
                <w:sz w:val="16"/>
              </w:rPr>
              <w:t>187</w:t>
            </w:r>
            <w:r w:rsidRPr="00ED7F0F">
              <w:rPr>
                <w:rFonts w:eastAsia="Arial Narrow"/>
                <w:sz w:val="16"/>
              </w:rPr>
              <w:t xml:space="preserve">  </w:t>
            </w:r>
            <w:r w:rsidRPr="00ED7F0F">
              <w:rPr>
                <w:rFonts w:eastAsia="Arial Narrow"/>
                <w:spacing w:val="-15"/>
                <w:sz w:val="16"/>
              </w:rPr>
              <w:t>184</w:t>
            </w:r>
            <w:r w:rsidRPr="00ED7F0F">
              <w:rPr>
                <w:rFonts w:eastAsia="Arial Narrow"/>
                <w:sz w:val="16"/>
              </w:rPr>
              <w:t xml:space="preserve"> </w:t>
            </w:r>
            <w:r w:rsidR="00A81ECE" w:rsidRPr="00ED7F0F">
              <w:rPr>
                <w:rFonts w:eastAsia="Arial Narrow"/>
                <w:sz w:val="16"/>
              </w:rPr>
              <w:t xml:space="preserve"> </w:t>
            </w:r>
            <w:r w:rsidRPr="00ED7F0F">
              <w:rPr>
                <w:rFonts w:eastAsia="Arial Narrow"/>
                <w:spacing w:val="-21"/>
                <w:sz w:val="16"/>
              </w:rPr>
              <w:t>182</w:t>
            </w:r>
          </w:p>
        </w:tc>
        <w:tc>
          <w:tcPr>
            <w:tcW w:w="28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8B5322" w:rsidRPr="00ED7F0F" w:rsidRDefault="008B5322" w:rsidP="00122C9F">
            <w:pPr>
              <w:spacing w:before="11" w:line="240" w:lineRule="auto"/>
              <w:rPr>
                <w:b/>
                <w:sz w:val="16"/>
              </w:rPr>
            </w:pPr>
          </w:p>
          <w:p w:rsidR="008B5322" w:rsidRPr="00ED7F0F" w:rsidRDefault="008B5322" w:rsidP="00122C9F">
            <w:pPr>
              <w:spacing w:line="240" w:lineRule="auto"/>
            </w:pPr>
            <w:r w:rsidRPr="00ED7F0F">
              <w:rPr>
                <w:rFonts w:eastAsia="Arial Narrow"/>
                <w:spacing w:val="-21"/>
                <w:sz w:val="16"/>
              </w:rPr>
              <w:t>181</w:t>
            </w:r>
          </w:p>
        </w:tc>
        <w:tc>
          <w:tcPr>
            <w:tcW w:w="2051"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8B5322" w:rsidRPr="00ED7F0F" w:rsidRDefault="008B5322" w:rsidP="00122C9F">
            <w:pPr>
              <w:spacing w:before="11" w:line="240" w:lineRule="auto"/>
              <w:rPr>
                <w:b/>
                <w:sz w:val="16"/>
              </w:rPr>
            </w:pPr>
          </w:p>
          <w:p w:rsidR="008B5322" w:rsidRPr="00ED7F0F" w:rsidRDefault="008B5322" w:rsidP="00122C9F">
            <w:pPr>
              <w:spacing w:line="240" w:lineRule="auto"/>
            </w:pPr>
            <w:r w:rsidRPr="00ED7F0F">
              <w:rPr>
                <w:rFonts w:eastAsia="Arial Narrow"/>
                <w:spacing w:val="-15"/>
                <w:sz w:val="16"/>
              </w:rPr>
              <w:t>180</w:t>
            </w:r>
            <w:r w:rsidRPr="00ED7F0F">
              <w:rPr>
                <w:rFonts w:eastAsia="Arial Narrow"/>
                <w:sz w:val="16"/>
              </w:rPr>
              <w:t xml:space="preserve">    </w:t>
            </w:r>
            <w:r w:rsidRPr="00ED7F0F">
              <w:rPr>
                <w:rFonts w:eastAsia="Arial Narrow"/>
                <w:spacing w:val="-15"/>
                <w:sz w:val="16"/>
              </w:rPr>
              <w:t>179</w:t>
            </w:r>
            <w:r w:rsidRPr="00ED7F0F">
              <w:rPr>
                <w:rFonts w:eastAsia="Arial Narrow"/>
                <w:sz w:val="16"/>
              </w:rPr>
              <w:t xml:space="preserve">    </w:t>
            </w:r>
            <w:r w:rsidRPr="00ED7F0F">
              <w:rPr>
                <w:rFonts w:eastAsia="Arial Narrow"/>
                <w:spacing w:val="14"/>
                <w:sz w:val="16"/>
              </w:rPr>
              <w:t xml:space="preserve"> </w:t>
            </w:r>
            <w:r w:rsidRPr="00ED7F0F">
              <w:rPr>
                <w:rFonts w:eastAsia="Arial Narrow"/>
                <w:spacing w:val="-15"/>
                <w:sz w:val="16"/>
              </w:rPr>
              <w:t>179</w:t>
            </w:r>
            <w:r w:rsidRPr="00ED7F0F">
              <w:rPr>
                <w:rFonts w:eastAsia="Arial Narrow"/>
                <w:sz w:val="16"/>
              </w:rPr>
              <w:t xml:space="preserve">   </w:t>
            </w:r>
            <w:r w:rsidRPr="00ED7F0F">
              <w:rPr>
                <w:rFonts w:eastAsia="Arial Narrow"/>
                <w:spacing w:val="15"/>
                <w:sz w:val="16"/>
              </w:rPr>
              <w:t xml:space="preserve"> </w:t>
            </w:r>
            <w:r w:rsidRPr="00ED7F0F">
              <w:rPr>
                <w:rFonts w:eastAsia="Arial Narrow"/>
                <w:spacing w:val="-15"/>
                <w:sz w:val="16"/>
              </w:rPr>
              <w:t>177</w:t>
            </w:r>
            <w:r w:rsidRPr="00ED7F0F">
              <w:rPr>
                <w:rFonts w:eastAsia="Arial Narrow"/>
                <w:sz w:val="16"/>
              </w:rPr>
              <w:t xml:space="preserve">   </w:t>
            </w:r>
            <w:r w:rsidRPr="00ED7F0F">
              <w:rPr>
                <w:rFonts w:eastAsia="Arial Narrow"/>
                <w:spacing w:val="14"/>
                <w:sz w:val="16"/>
              </w:rPr>
              <w:t xml:space="preserve"> </w:t>
            </w:r>
            <w:r w:rsidRPr="00ED7F0F">
              <w:rPr>
                <w:rFonts w:eastAsia="Arial Narrow"/>
                <w:spacing w:val="-15"/>
                <w:sz w:val="16"/>
              </w:rPr>
              <w:t>171</w:t>
            </w:r>
            <w:r w:rsidRPr="00ED7F0F">
              <w:rPr>
                <w:rFonts w:eastAsia="Arial Narrow"/>
                <w:sz w:val="16"/>
              </w:rPr>
              <w:t xml:space="preserve">   </w:t>
            </w:r>
            <w:r w:rsidRPr="00ED7F0F">
              <w:rPr>
                <w:rFonts w:eastAsia="Arial Narrow"/>
                <w:spacing w:val="-11"/>
                <w:sz w:val="16"/>
              </w:rPr>
              <w:t>96</w:t>
            </w:r>
          </w:p>
        </w:tc>
        <w:tc>
          <w:tcPr>
            <w:tcW w:w="57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8B5322" w:rsidRPr="00ED7F0F" w:rsidRDefault="008B5322" w:rsidP="00122C9F">
            <w:pPr>
              <w:spacing w:before="11" w:line="240" w:lineRule="auto"/>
              <w:rPr>
                <w:b/>
                <w:sz w:val="16"/>
              </w:rPr>
            </w:pPr>
          </w:p>
          <w:p w:rsidR="008B5322" w:rsidRPr="00ED7F0F" w:rsidRDefault="008B5322" w:rsidP="00122C9F">
            <w:pPr>
              <w:spacing w:line="240" w:lineRule="auto"/>
            </w:pPr>
            <w:r w:rsidRPr="00ED7F0F">
              <w:rPr>
                <w:rFonts w:eastAsia="Arial Narrow"/>
                <w:spacing w:val="-11"/>
                <w:sz w:val="16"/>
              </w:rPr>
              <w:t>54</w:t>
            </w:r>
            <w:r w:rsidRPr="00ED7F0F">
              <w:rPr>
                <w:rFonts w:eastAsia="Arial Narrow"/>
                <w:sz w:val="16"/>
              </w:rPr>
              <w:t xml:space="preserve">    </w:t>
            </w:r>
            <w:r w:rsidRPr="00ED7F0F">
              <w:rPr>
                <w:rFonts w:eastAsia="Arial Narrow"/>
                <w:spacing w:val="14"/>
                <w:sz w:val="16"/>
              </w:rPr>
              <w:t xml:space="preserve"> </w:t>
            </w:r>
            <w:r w:rsidRPr="00ED7F0F">
              <w:rPr>
                <w:rFonts w:eastAsia="Arial Narrow"/>
                <w:spacing w:val="-11"/>
                <w:sz w:val="16"/>
              </w:rPr>
              <w:t>29</w:t>
            </w:r>
          </w:p>
        </w:tc>
        <w:tc>
          <w:tcPr>
            <w:tcW w:w="242"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8B5322" w:rsidRPr="00ED7F0F" w:rsidRDefault="008B5322" w:rsidP="00122C9F">
            <w:pPr>
              <w:spacing w:before="11" w:line="240" w:lineRule="auto"/>
              <w:rPr>
                <w:b/>
                <w:sz w:val="16"/>
              </w:rPr>
            </w:pPr>
          </w:p>
          <w:p w:rsidR="008B5322" w:rsidRPr="00ED7F0F" w:rsidRDefault="008B5322" w:rsidP="00122C9F">
            <w:pPr>
              <w:spacing w:line="240" w:lineRule="auto"/>
            </w:pPr>
            <w:r w:rsidRPr="00ED7F0F">
              <w:rPr>
                <w:rFonts w:eastAsia="Arial Narrow"/>
                <w:sz w:val="16"/>
              </w:rPr>
              <w:t>3</w:t>
            </w:r>
          </w:p>
        </w:tc>
        <w:tc>
          <w:tcPr>
            <w:tcW w:w="205"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8B5322" w:rsidRPr="00ED7F0F" w:rsidRDefault="008B5322" w:rsidP="00122C9F">
            <w:pPr>
              <w:spacing w:before="11" w:line="240" w:lineRule="auto"/>
              <w:rPr>
                <w:b/>
                <w:sz w:val="16"/>
              </w:rPr>
            </w:pPr>
          </w:p>
          <w:p w:rsidR="008B5322" w:rsidRPr="00ED7F0F" w:rsidRDefault="008B5322" w:rsidP="00122C9F">
            <w:pPr>
              <w:spacing w:line="240" w:lineRule="auto"/>
              <w:jc w:val="both"/>
            </w:pPr>
            <w:r w:rsidRPr="00ED7F0F">
              <w:rPr>
                <w:rFonts w:eastAsia="Arial Narrow"/>
                <w:sz w:val="16"/>
              </w:rPr>
              <w:t>0</w:t>
            </w:r>
          </w:p>
        </w:tc>
      </w:tr>
      <w:tr w:rsidR="008B5322" w:rsidRPr="00ED7F0F" w:rsidTr="009A0932">
        <w:tc>
          <w:tcPr>
            <w:tcW w:w="156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8B5322" w:rsidRPr="00ED7F0F" w:rsidRDefault="008B5322" w:rsidP="00122C9F">
            <w:pPr>
              <w:tabs>
                <w:tab w:val="clear" w:pos="567"/>
                <w:tab w:val="left" w:pos="586"/>
                <w:tab w:val="left" w:pos="962"/>
              </w:tabs>
              <w:spacing w:line="240" w:lineRule="auto"/>
            </w:pPr>
            <w:r w:rsidRPr="00ED7F0F">
              <w:rPr>
                <w:rFonts w:eastAsia="Arial Narrow"/>
                <w:spacing w:val="-16"/>
                <w:sz w:val="16"/>
              </w:rPr>
              <w:t xml:space="preserve">&gt;10%              </w:t>
            </w:r>
            <w:r w:rsidRPr="00ED7F0F">
              <w:rPr>
                <w:rFonts w:eastAsia="Arial Narrow"/>
                <w:spacing w:val="-11"/>
                <w:sz w:val="16"/>
              </w:rPr>
              <w:t>37        37</w:t>
            </w:r>
          </w:p>
        </w:tc>
        <w:tc>
          <w:tcPr>
            <w:tcW w:w="425"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8B5322" w:rsidRPr="00ED7F0F" w:rsidRDefault="008B5322" w:rsidP="00122C9F">
            <w:pPr>
              <w:spacing w:line="240" w:lineRule="auto"/>
            </w:pPr>
            <w:r w:rsidRPr="00ED7F0F">
              <w:rPr>
                <w:rFonts w:eastAsia="Arial Narrow"/>
                <w:spacing w:val="-11"/>
                <w:sz w:val="16"/>
              </w:rPr>
              <w:t xml:space="preserve"> 37</w:t>
            </w:r>
          </w:p>
        </w:tc>
        <w:tc>
          <w:tcPr>
            <w:tcW w:w="425"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8B5322" w:rsidRPr="00ED7F0F" w:rsidRDefault="008B5322" w:rsidP="00122C9F">
            <w:pPr>
              <w:spacing w:line="240" w:lineRule="auto"/>
            </w:pPr>
            <w:r w:rsidRPr="00ED7F0F">
              <w:rPr>
                <w:rFonts w:eastAsia="Arial Narrow"/>
                <w:spacing w:val="-11"/>
                <w:sz w:val="16"/>
              </w:rPr>
              <w:t xml:space="preserve">  35</w:t>
            </w:r>
          </w:p>
        </w:tc>
        <w:tc>
          <w:tcPr>
            <w:tcW w:w="28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8B5322" w:rsidRPr="00ED7F0F" w:rsidRDefault="008B5322" w:rsidP="00122C9F">
            <w:pPr>
              <w:spacing w:line="240" w:lineRule="auto"/>
            </w:pPr>
            <w:r w:rsidRPr="00ED7F0F">
              <w:rPr>
                <w:rFonts w:eastAsia="Arial Narrow"/>
                <w:spacing w:val="-21"/>
                <w:sz w:val="16"/>
              </w:rPr>
              <w:t>34</w:t>
            </w:r>
          </w:p>
        </w:tc>
        <w:tc>
          <w:tcPr>
            <w:tcW w:w="283"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8B5322" w:rsidRPr="00ED7F0F" w:rsidRDefault="008B5322" w:rsidP="00122C9F">
            <w:pPr>
              <w:spacing w:line="240" w:lineRule="auto"/>
            </w:pPr>
            <w:r w:rsidRPr="00ED7F0F">
              <w:rPr>
                <w:rFonts w:eastAsia="Arial Narrow"/>
                <w:spacing w:val="-21"/>
                <w:sz w:val="16"/>
              </w:rPr>
              <w:t>34</w:t>
            </w:r>
          </w:p>
        </w:tc>
        <w:tc>
          <w:tcPr>
            <w:tcW w:w="425"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8B5322" w:rsidRPr="00ED7F0F" w:rsidRDefault="008B5322" w:rsidP="00122C9F">
            <w:pPr>
              <w:spacing w:line="240" w:lineRule="auto"/>
            </w:pPr>
            <w:r w:rsidRPr="00ED7F0F">
              <w:rPr>
                <w:rFonts w:eastAsia="Arial Narrow"/>
                <w:spacing w:val="-21"/>
                <w:sz w:val="16"/>
              </w:rPr>
              <w:t>34</w:t>
            </w:r>
          </w:p>
        </w:tc>
        <w:tc>
          <w:tcPr>
            <w:tcW w:w="28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8B5322" w:rsidRPr="00ED7F0F" w:rsidRDefault="008B5322" w:rsidP="00122C9F">
            <w:pPr>
              <w:spacing w:line="240" w:lineRule="auto"/>
            </w:pPr>
            <w:r w:rsidRPr="00ED7F0F">
              <w:rPr>
                <w:rFonts w:eastAsia="Arial Narrow"/>
                <w:spacing w:val="-11"/>
                <w:sz w:val="16"/>
              </w:rPr>
              <w:t>33</w:t>
            </w:r>
          </w:p>
        </w:tc>
        <w:tc>
          <w:tcPr>
            <w:tcW w:w="283"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8B5322" w:rsidRPr="00ED7F0F" w:rsidRDefault="008B5322" w:rsidP="00122C9F">
            <w:pPr>
              <w:spacing w:line="240" w:lineRule="auto"/>
            </w:pPr>
            <w:r w:rsidRPr="00ED7F0F">
              <w:rPr>
                <w:rFonts w:eastAsia="Arial Narrow"/>
                <w:spacing w:val="-11"/>
                <w:sz w:val="16"/>
              </w:rPr>
              <w:t>33</w:t>
            </w:r>
          </w:p>
        </w:tc>
        <w:tc>
          <w:tcPr>
            <w:tcW w:w="28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8B5322" w:rsidRPr="00ED7F0F" w:rsidRDefault="008B5322" w:rsidP="00122C9F">
            <w:pPr>
              <w:spacing w:line="240" w:lineRule="auto"/>
            </w:pPr>
            <w:r w:rsidRPr="00ED7F0F">
              <w:rPr>
                <w:rFonts w:eastAsia="Arial Narrow"/>
                <w:spacing w:val="-21"/>
                <w:sz w:val="16"/>
              </w:rPr>
              <w:t>31</w:t>
            </w:r>
          </w:p>
        </w:tc>
        <w:tc>
          <w:tcPr>
            <w:tcW w:w="283"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8B5322" w:rsidRPr="00ED7F0F" w:rsidRDefault="008B5322" w:rsidP="00122C9F">
            <w:pPr>
              <w:spacing w:line="240" w:lineRule="auto"/>
            </w:pPr>
            <w:r w:rsidRPr="00ED7F0F">
              <w:rPr>
                <w:rFonts w:eastAsia="Arial Narrow"/>
                <w:spacing w:val="-11"/>
                <w:sz w:val="16"/>
              </w:rPr>
              <w:t>30</w:t>
            </w:r>
          </w:p>
        </w:tc>
        <w:tc>
          <w:tcPr>
            <w:tcW w:w="113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8B5322" w:rsidRPr="00ED7F0F" w:rsidRDefault="008B5322" w:rsidP="00122C9F">
            <w:pPr>
              <w:tabs>
                <w:tab w:val="left" w:pos="472"/>
                <w:tab w:val="left" w:pos="848"/>
                <w:tab w:val="left" w:pos="1222"/>
              </w:tabs>
              <w:spacing w:line="240" w:lineRule="auto"/>
            </w:pPr>
            <w:r w:rsidRPr="00ED7F0F">
              <w:rPr>
                <w:rFonts w:eastAsia="Arial Narrow"/>
                <w:spacing w:val="-11"/>
                <w:sz w:val="16"/>
              </w:rPr>
              <w:t>29      29     29   28</w:t>
            </w:r>
          </w:p>
        </w:tc>
        <w:tc>
          <w:tcPr>
            <w:tcW w:w="28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8B5322" w:rsidRPr="00ED7F0F" w:rsidRDefault="008B5322" w:rsidP="00122C9F">
            <w:pPr>
              <w:spacing w:line="240" w:lineRule="auto"/>
            </w:pPr>
            <w:r w:rsidRPr="00ED7F0F">
              <w:rPr>
                <w:rFonts w:eastAsia="Arial Narrow"/>
                <w:spacing w:val="-11"/>
                <w:sz w:val="16"/>
              </w:rPr>
              <w:t>28</w:t>
            </w:r>
          </w:p>
        </w:tc>
        <w:tc>
          <w:tcPr>
            <w:tcW w:w="2051"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8B5322" w:rsidRPr="00ED7F0F" w:rsidRDefault="008B5322" w:rsidP="00122C9F">
            <w:pPr>
              <w:tabs>
                <w:tab w:val="left" w:pos="483"/>
                <w:tab w:val="left" w:pos="857"/>
                <w:tab w:val="left" w:pos="1233"/>
                <w:tab w:val="left" w:pos="1607"/>
                <w:tab w:val="left" w:pos="1983"/>
              </w:tabs>
              <w:spacing w:line="240" w:lineRule="auto"/>
            </w:pPr>
            <w:r w:rsidRPr="00ED7F0F">
              <w:rPr>
                <w:rFonts w:eastAsia="Arial Narrow"/>
                <w:spacing w:val="-11"/>
                <w:sz w:val="16"/>
              </w:rPr>
              <w:t>28        27</w:t>
            </w:r>
            <w:r w:rsidRPr="00ED7F0F">
              <w:rPr>
                <w:rFonts w:eastAsia="Arial Narrow"/>
                <w:spacing w:val="-11"/>
                <w:sz w:val="16"/>
              </w:rPr>
              <w:tab/>
              <w:t xml:space="preserve">        27       27       26      15</w:t>
            </w:r>
          </w:p>
        </w:tc>
        <w:tc>
          <w:tcPr>
            <w:tcW w:w="57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8B5322" w:rsidRPr="00ED7F0F" w:rsidRDefault="008B5322" w:rsidP="00122C9F">
            <w:pPr>
              <w:spacing w:line="240" w:lineRule="auto"/>
            </w:pPr>
            <w:r w:rsidRPr="00ED7F0F">
              <w:rPr>
                <w:rFonts w:eastAsia="Arial Narrow"/>
                <w:spacing w:val="-11"/>
                <w:sz w:val="16"/>
              </w:rPr>
              <w:t>10</w:t>
            </w:r>
            <w:r w:rsidRPr="00ED7F0F">
              <w:rPr>
                <w:rFonts w:eastAsia="Arial Narrow"/>
                <w:sz w:val="16"/>
              </w:rPr>
              <w:t xml:space="preserve">    </w:t>
            </w:r>
            <w:r w:rsidRPr="00ED7F0F">
              <w:rPr>
                <w:rFonts w:eastAsia="Arial Narrow"/>
                <w:spacing w:val="12"/>
                <w:sz w:val="16"/>
              </w:rPr>
              <w:t xml:space="preserve"> </w:t>
            </w:r>
            <w:r w:rsidRPr="00ED7F0F">
              <w:rPr>
                <w:rFonts w:eastAsia="Arial Narrow"/>
                <w:sz w:val="16"/>
              </w:rPr>
              <w:t>6</w:t>
            </w:r>
          </w:p>
        </w:tc>
        <w:tc>
          <w:tcPr>
            <w:tcW w:w="242"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8B5322" w:rsidRPr="00ED7F0F" w:rsidRDefault="008B5322" w:rsidP="00122C9F">
            <w:pPr>
              <w:spacing w:line="240" w:lineRule="auto"/>
            </w:pPr>
            <w:r w:rsidRPr="00ED7F0F">
              <w:rPr>
                <w:rFonts w:eastAsia="Arial Narrow"/>
                <w:sz w:val="16"/>
              </w:rPr>
              <w:t>0</w:t>
            </w:r>
          </w:p>
        </w:tc>
        <w:tc>
          <w:tcPr>
            <w:tcW w:w="205"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8B5322" w:rsidRPr="00ED7F0F" w:rsidRDefault="008B5322" w:rsidP="00122C9F">
            <w:pPr>
              <w:spacing w:line="240" w:lineRule="auto"/>
            </w:pPr>
            <w:r w:rsidRPr="00ED7F0F">
              <w:rPr>
                <w:rFonts w:eastAsia="Arial Narrow"/>
                <w:sz w:val="16"/>
              </w:rPr>
              <w:t>0</w:t>
            </w:r>
          </w:p>
        </w:tc>
      </w:tr>
    </w:tbl>
    <w:p w:rsidR="008B5322" w:rsidRPr="00ED7F0F" w:rsidRDefault="008B5322" w:rsidP="00657D4A">
      <w:pPr>
        <w:tabs>
          <w:tab w:val="clear" w:pos="567"/>
        </w:tabs>
        <w:spacing w:before="110" w:line="240" w:lineRule="auto"/>
        <w:ind w:left="284"/>
        <w:jc w:val="both"/>
        <w:rPr>
          <w:sz w:val="18"/>
        </w:rPr>
      </w:pPr>
      <w:r w:rsidRPr="00ED7F0F">
        <w:rPr>
          <w:sz w:val="18"/>
          <w:u w:val="single"/>
        </w:rPr>
        <w:tab/>
      </w:r>
      <w:r w:rsidR="00A81ECE" w:rsidRPr="00ED7F0F">
        <w:rPr>
          <w:sz w:val="18"/>
          <w:u w:val="single"/>
        </w:rPr>
        <w:tab/>
      </w:r>
      <w:r w:rsidRPr="00ED7F0F">
        <w:rPr>
          <w:spacing w:val="-1"/>
          <w:sz w:val="18"/>
        </w:rPr>
        <w:t>≤10 %</w:t>
      </w:r>
      <w:r w:rsidRPr="00ED7F0F">
        <w:rPr>
          <w:spacing w:val="-1"/>
          <w:sz w:val="18"/>
        </w:rPr>
        <w:tab/>
      </w:r>
      <w:r w:rsidRPr="00ED7F0F">
        <w:rPr>
          <w:sz w:val="18"/>
        </w:rPr>
        <w:t>------</w:t>
      </w:r>
      <w:r w:rsidRPr="00ED7F0F">
        <w:rPr>
          <w:spacing w:val="-6"/>
          <w:sz w:val="18"/>
        </w:rPr>
        <w:t xml:space="preserve"> </w:t>
      </w:r>
      <w:r w:rsidR="00A81ECE" w:rsidRPr="00ED7F0F">
        <w:rPr>
          <w:spacing w:val="-6"/>
          <w:sz w:val="18"/>
        </w:rPr>
        <w:tab/>
      </w:r>
      <w:r w:rsidR="00A81ECE" w:rsidRPr="00ED7F0F">
        <w:rPr>
          <w:spacing w:val="-6"/>
          <w:sz w:val="18"/>
        </w:rPr>
        <w:tab/>
      </w:r>
      <w:r w:rsidR="00A81ECE" w:rsidRPr="00ED7F0F">
        <w:rPr>
          <w:spacing w:val="-6"/>
          <w:sz w:val="18"/>
        </w:rPr>
        <w:tab/>
      </w:r>
      <w:r w:rsidR="00A81ECE" w:rsidRPr="00ED7F0F">
        <w:rPr>
          <w:spacing w:val="-6"/>
          <w:sz w:val="18"/>
        </w:rPr>
        <w:tab/>
      </w:r>
      <w:r w:rsidR="00A81ECE" w:rsidRPr="00ED7F0F">
        <w:rPr>
          <w:spacing w:val="-6"/>
          <w:sz w:val="18"/>
        </w:rPr>
        <w:tab/>
      </w:r>
      <w:r w:rsidR="00A81ECE" w:rsidRPr="00ED7F0F">
        <w:rPr>
          <w:spacing w:val="-6"/>
          <w:sz w:val="18"/>
        </w:rPr>
        <w:tab/>
      </w:r>
      <w:r w:rsidRPr="00ED7F0F">
        <w:rPr>
          <w:sz w:val="18"/>
        </w:rPr>
        <w:t>&gt;10 %</w:t>
      </w:r>
    </w:p>
    <w:p w:rsidR="008B5322" w:rsidRPr="00ED7F0F" w:rsidRDefault="008B5322" w:rsidP="00122C9F">
      <w:pPr>
        <w:tabs>
          <w:tab w:val="left" w:pos="4693"/>
        </w:tabs>
        <w:spacing w:line="240" w:lineRule="auto"/>
        <w:ind w:left="741"/>
        <w:jc w:val="both"/>
        <w:rPr>
          <w:sz w:val="18"/>
        </w:rPr>
      </w:pPr>
      <w:r w:rsidRPr="00ED7F0F">
        <w:object w:dxaOrig="562" w:dyaOrig="128">
          <v:rect id="_x0000_i1025" style="width:27.75pt;height:6pt" o:ole="" o:preferrelative="t" stroked="f">
            <v:imagedata r:id="rId19" o:title=""/>
          </v:rect>
          <o:OLEObject Type="Embed" ProgID="StaticMetafile" ShapeID="_x0000_i1025" DrawAspect="Content" ObjectID="_1672143223" r:id="rId20"/>
        </w:object>
      </w:r>
      <w:r w:rsidRPr="00ED7F0F">
        <w:rPr>
          <w:sz w:val="18"/>
        </w:rPr>
        <w:t xml:space="preserve">  </w:t>
      </w:r>
      <w:r w:rsidRPr="00ED7F0F">
        <w:rPr>
          <w:sz w:val="17"/>
        </w:rPr>
        <w:t>Cenzurovaní</w:t>
      </w:r>
      <w:r w:rsidRPr="00ED7F0F">
        <w:rPr>
          <w:sz w:val="18"/>
        </w:rPr>
        <w:tab/>
      </w:r>
      <w:r w:rsidRPr="00ED7F0F">
        <w:object w:dxaOrig="418" w:dyaOrig="129">
          <v:rect id="_x0000_i1026" style="width:21pt;height:6pt" o:ole="" o:preferrelative="t" stroked="f">
            <v:imagedata r:id="rId21" o:title=""/>
          </v:rect>
          <o:OLEObject Type="Embed" ProgID="StaticMetafile" ShapeID="_x0000_i1026" DrawAspect="Content" ObjectID="_1672143224" r:id="rId22"/>
        </w:object>
      </w:r>
      <w:r w:rsidRPr="00ED7F0F">
        <w:rPr>
          <w:sz w:val="17"/>
        </w:rPr>
        <w:t xml:space="preserve"> Cenzurovaní</w:t>
      </w:r>
    </w:p>
    <w:p w:rsidR="008B5322" w:rsidRPr="00ED7F0F" w:rsidRDefault="008B5322" w:rsidP="00122C9F">
      <w:pPr>
        <w:spacing w:before="4" w:line="260" w:lineRule="auto"/>
        <w:jc w:val="both"/>
        <w:rPr>
          <w:sz w:val="11"/>
        </w:rPr>
      </w:pPr>
    </w:p>
    <w:tbl>
      <w:tblPr>
        <w:tblW w:w="0" w:type="auto"/>
        <w:tblInd w:w="102" w:type="dxa"/>
        <w:tblCellMar>
          <w:left w:w="10" w:type="dxa"/>
          <w:right w:w="10" w:type="dxa"/>
        </w:tblCellMar>
        <w:tblLook w:val="04A0" w:firstRow="1" w:lastRow="0" w:firstColumn="1" w:lastColumn="0" w:noHBand="0" w:noVBand="1"/>
      </w:tblPr>
      <w:tblGrid>
        <w:gridCol w:w="1209"/>
        <w:gridCol w:w="2977"/>
        <w:gridCol w:w="2253"/>
        <w:gridCol w:w="2530"/>
      </w:tblGrid>
      <w:tr w:rsidR="008B5322" w:rsidRPr="00ED7F0F" w:rsidTr="008B5322">
        <w:tc>
          <w:tcPr>
            <w:tcW w:w="121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8B5322" w:rsidRPr="00ED7F0F" w:rsidRDefault="008B5322" w:rsidP="00122C9F">
            <w:pPr>
              <w:spacing w:before="76" w:line="240" w:lineRule="auto"/>
              <w:ind w:left="55"/>
            </w:pPr>
            <w:r w:rsidRPr="00ED7F0F">
              <w:rPr>
                <w:spacing w:val="-1"/>
                <w:sz w:val="18"/>
              </w:rPr>
              <w:t>SKUPINA</w:t>
            </w:r>
          </w:p>
        </w:tc>
        <w:tc>
          <w:tcPr>
            <w:tcW w:w="2979"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8B5322" w:rsidRPr="00ED7F0F" w:rsidRDefault="008B5322" w:rsidP="00122C9F">
            <w:pPr>
              <w:tabs>
                <w:tab w:val="clear" w:pos="567"/>
                <w:tab w:val="left" w:pos="250"/>
              </w:tabs>
              <w:spacing w:before="76" w:line="240" w:lineRule="auto"/>
              <w:ind w:left="250"/>
            </w:pPr>
            <w:r w:rsidRPr="00ED7F0F">
              <w:rPr>
                <w:sz w:val="17"/>
              </w:rPr>
              <w:t>ÚMRTIA / # Pacient, ktorý ukončil štúdiu</w:t>
            </w:r>
          </w:p>
        </w:tc>
        <w:tc>
          <w:tcPr>
            <w:tcW w:w="225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8B5322" w:rsidRPr="00ED7F0F" w:rsidRDefault="008B5322" w:rsidP="00122C9F">
            <w:pPr>
              <w:spacing w:before="76" w:line="240" w:lineRule="auto"/>
              <w:ind w:left="400"/>
            </w:pPr>
            <w:r w:rsidRPr="00ED7F0F">
              <w:rPr>
                <w:spacing w:val="-1"/>
                <w:sz w:val="18"/>
              </w:rPr>
              <w:t>MEDIÁN</w:t>
            </w:r>
            <w:r w:rsidRPr="00ED7F0F">
              <w:rPr>
                <w:sz w:val="18"/>
              </w:rPr>
              <w:t xml:space="preserve"> </w:t>
            </w:r>
            <w:r w:rsidRPr="00ED7F0F">
              <w:rPr>
                <w:spacing w:val="-1"/>
                <w:sz w:val="18"/>
              </w:rPr>
              <w:t>(95 %</w:t>
            </w:r>
            <w:r w:rsidRPr="00ED7F0F">
              <w:rPr>
                <w:sz w:val="18"/>
              </w:rPr>
              <w:t xml:space="preserve"> </w:t>
            </w:r>
            <w:r w:rsidRPr="00ED7F0F">
              <w:rPr>
                <w:spacing w:val="-1"/>
                <w:sz w:val="18"/>
              </w:rPr>
              <w:t>CI)</w:t>
            </w:r>
          </w:p>
        </w:tc>
        <w:tc>
          <w:tcPr>
            <w:tcW w:w="2532"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8B5322" w:rsidRPr="00ED7F0F" w:rsidRDefault="006F26F8" w:rsidP="00122C9F">
            <w:pPr>
              <w:spacing w:before="76" w:line="240" w:lineRule="auto"/>
              <w:ind w:left="413"/>
            </w:pPr>
            <w:r w:rsidRPr="00ED7F0F">
              <w:rPr>
                <w:sz w:val="17"/>
              </w:rPr>
              <w:t xml:space="preserve">POMER RIZIKA </w:t>
            </w:r>
            <w:r w:rsidR="008B5322" w:rsidRPr="00ED7F0F">
              <w:rPr>
                <w:spacing w:val="-1"/>
                <w:sz w:val="18"/>
              </w:rPr>
              <w:t>(95</w:t>
            </w:r>
            <w:r w:rsidRPr="00ED7F0F">
              <w:rPr>
                <w:spacing w:val="-1"/>
                <w:sz w:val="18"/>
              </w:rPr>
              <w:t> </w:t>
            </w:r>
            <w:r w:rsidR="008B5322" w:rsidRPr="00ED7F0F">
              <w:rPr>
                <w:spacing w:val="-1"/>
                <w:sz w:val="18"/>
              </w:rPr>
              <w:t>%</w:t>
            </w:r>
            <w:r w:rsidR="008B5322" w:rsidRPr="00ED7F0F">
              <w:rPr>
                <w:sz w:val="18"/>
              </w:rPr>
              <w:t xml:space="preserve"> </w:t>
            </w:r>
            <w:r w:rsidR="008B5322" w:rsidRPr="00ED7F0F">
              <w:rPr>
                <w:spacing w:val="-1"/>
                <w:sz w:val="18"/>
              </w:rPr>
              <w:t>CI)</w:t>
            </w:r>
          </w:p>
        </w:tc>
      </w:tr>
      <w:tr w:rsidR="008B5322" w:rsidRPr="00ED7F0F" w:rsidTr="008B5322">
        <w:tc>
          <w:tcPr>
            <w:tcW w:w="121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8B5322" w:rsidRPr="00ED7F0F" w:rsidRDefault="008B5322" w:rsidP="00122C9F">
            <w:pPr>
              <w:spacing w:line="240" w:lineRule="auto"/>
              <w:ind w:left="55"/>
            </w:pPr>
            <w:r w:rsidRPr="00ED7F0F">
              <w:rPr>
                <w:spacing w:val="-1"/>
                <w:sz w:val="18"/>
              </w:rPr>
              <w:t>≤10</w:t>
            </w:r>
            <w:r w:rsidR="006F26F8" w:rsidRPr="00ED7F0F">
              <w:rPr>
                <w:spacing w:val="-1"/>
                <w:sz w:val="18"/>
              </w:rPr>
              <w:t> </w:t>
            </w:r>
            <w:r w:rsidRPr="00ED7F0F">
              <w:rPr>
                <w:spacing w:val="-1"/>
                <w:sz w:val="18"/>
              </w:rPr>
              <w:t>%</w:t>
            </w:r>
          </w:p>
        </w:tc>
        <w:tc>
          <w:tcPr>
            <w:tcW w:w="2979"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8B5322" w:rsidRPr="00ED7F0F" w:rsidRDefault="008B5322" w:rsidP="00122C9F">
            <w:pPr>
              <w:spacing w:line="240" w:lineRule="auto"/>
              <w:ind w:left="546"/>
            </w:pPr>
            <w:r w:rsidRPr="00ED7F0F">
              <w:rPr>
                <w:sz w:val="18"/>
              </w:rPr>
              <w:t>14/198</w:t>
            </w:r>
          </w:p>
        </w:tc>
        <w:tc>
          <w:tcPr>
            <w:tcW w:w="225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8B5322" w:rsidRPr="00ED7F0F" w:rsidRDefault="008B5322" w:rsidP="00122C9F">
            <w:pPr>
              <w:spacing w:line="240" w:lineRule="auto"/>
              <w:ind w:left="401"/>
            </w:pPr>
            <w:r w:rsidRPr="00ED7F0F">
              <w:rPr>
                <w:sz w:val="18"/>
              </w:rPr>
              <w:t>.(. -</w:t>
            </w:r>
            <w:r w:rsidRPr="00ED7F0F">
              <w:rPr>
                <w:spacing w:val="-1"/>
                <w:sz w:val="18"/>
              </w:rPr>
              <w:t xml:space="preserve"> </w:t>
            </w:r>
            <w:r w:rsidRPr="00ED7F0F">
              <w:rPr>
                <w:sz w:val="18"/>
              </w:rPr>
              <w:t>.)</w:t>
            </w:r>
          </w:p>
        </w:tc>
        <w:tc>
          <w:tcPr>
            <w:tcW w:w="2532"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8B5322" w:rsidRPr="00ED7F0F" w:rsidRDefault="008B5322" w:rsidP="00122C9F">
            <w:pPr>
              <w:spacing w:line="260" w:lineRule="auto"/>
              <w:jc w:val="both"/>
              <w:rPr>
                <w:rFonts w:eastAsia="Calibri"/>
              </w:rPr>
            </w:pPr>
          </w:p>
        </w:tc>
      </w:tr>
      <w:tr w:rsidR="008B5322" w:rsidRPr="00ED7F0F" w:rsidTr="008B5322">
        <w:tc>
          <w:tcPr>
            <w:tcW w:w="121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8B5322" w:rsidRPr="00ED7F0F" w:rsidRDefault="008B5322" w:rsidP="00122C9F">
            <w:pPr>
              <w:spacing w:line="240" w:lineRule="auto"/>
              <w:ind w:left="55"/>
            </w:pPr>
            <w:r w:rsidRPr="00ED7F0F">
              <w:rPr>
                <w:sz w:val="18"/>
              </w:rPr>
              <w:t>&gt;10</w:t>
            </w:r>
            <w:r w:rsidR="006F26F8" w:rsidRPr="00ED7F0F">
              <w:rPr>
                <w:sz w:val="18"/>
              </w:rPr>
              <w:t> </w:t>
            </w:r>
            <w:r w:rsidRPr="00ED7F0F">
              <w:rPr>
                <w:sz w:val="18"/>
              </w:rPr>
              <w:t>%</w:t>
            </w:r>
          </w:p>
        </w:tc>
        <w:tc>
          <w:tcPr>
            <w:tcW w:w="2979"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8B5322" w:rsidRPr="00ED7F0F" w:rsidRDefault="008B5322" w:rsidP="00122C9F">
            <w:pPr>
              <w:spacing w:line="240" w:lineRule="auto"/>
              <w:ind w:left="546"/>
            </w:pPr>
            <w:r w:rsidRPr="00ED7F0F">
              <w:rPr>
                <w:sz w:val="18"/>
              </w:rPr>
              <w:t>8/37</w:t>
            </w:r>
          </w:p>
        </w:tc>
        <w:tc>
          <w:tcPr>
            <w:tcW w:w="225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8B5322" w:rsidRPr="00ED7F0F" w:rsidRDefault="008B5322" w:rsidP="00122C9F">
            <w:pPr>
              <w:spacing w:line="240" w:lineRule="auto"/>
              <w:ind w:left="401"/>
            </w:pPr>
            <w:r w:rsidRPr="00ED7F0F">
              <w:rPr>
                <w:sz w:val="18"/>
              </w:rPr>
              <w:t>.(. -</w:t>
            </w:r>
            <w:r w:rsidRPr="00ED7F0F">
              <w:rPr>
                <w:spacing w:val="-1"/>
                <w:sz w:val="18"/>
              </w:rPr>
              <w:t xml:space="preserve"> </w:t>
            </w:r>
            <w:r w:rsidRPr="00ED7F0F">
              <w:rPr>
                <w:sz w:val="18"/>
              </w:rPr>
              <w:t>.)</w:t>
            </w:r>
          </w:p>
        </w:tc>
        <w:tc>
          <w:tcPr>
            <w:tcW w:w="2532"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8B5322" w:rsidRPr="00ED7F0F" w:rsidRDefault="008B5322" w:rsidP="00122C9F">
            <w:pPr>
              <w:spacing w:line="260" w:lineRule="auto"/>
              <w:jc w:val="both"/>
              <w:rPr>
                <w:rFonts w:eastAsia="Calibri"/>
              </w:rPr>
            </w:pPr>
          </w:p>
        </w:tc>
      </w:tr>
      <w:tr w:rsidR="008B5322" w:rsidRPr="00ED7F0F" w:rsidTr="008B5322">
        <w:tc>
          <w:tcPr>
            <w:tcW w:w="121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8B5322" w:rsidRPr="00ED7F0F" w:rsidRDefault="008B5322" w:rsidP="00122C9F">
            <w:pPr>
              <w:spacing w:line="260" w:lineRule="auto"/>
              <w:jc w:val="both"/>
              <w:rPr>
                <w:rFonts w:eastAsia="Calibri"/>
              </w:rPr>
            </w:pPr>
          </w:p>
        </w:tc>
        <w:tc>
          <w:tcPr>
            <w:tcW w:w="2979"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8B5322" w:rsidRPr="00ED7F0F" w:rsidRDefault="008B5322" w:rsidP="00122C9F">
            <w:pPr>
              <w:spacing w:line="260" w:lineRule="auto"/>
              <w:jc w:val="both"/>
              <w:rPr>
                <w:rFonts w:eastAsia="Calibri"/>
              </w:rPr>
            </w:pPr>
          </w:p>
        </w:tc>
        <w:tc>
          <w:tcPr>
            <w:tcW w:w="225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8B5322" w:rsidRPr="00ED7F0F" w:rsidRDefault="008B5322" w:rsidP="00A81ECE">
            <w:pPr>
              <w:spacing w:line="260" w:lineRule="auto"/>
              <w:ind w:left="391"/>
              <w:jc w:val="both"/>
              <w:rPr>
                <w:rFonts w:eastAsia="Calibri"/>
              </w:rPr>
            </w:pPr>
          </w:p>
        </w:tc>
        <w:tc>
          <w:tcPr>
            <w:tcW w:w="2532"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8B5322" w:rsidRPr="00ED7F0F" w:rsidRDefault="008B5322" w:rsidP="00122C9F">
            <w:pPr>
              <w:spacing w:line="240" w:lineRule="auto"/>
              <w:ind w:left="414"/>
            </w:pPr>
            <w:r w:rsidRPr="00ED7F0F">
              <w:rPr>
                <w:sz w:val="18"/>
              </w:rPr>
              <w:t>0</w:t>
            </w:r>
            <w:r w:rsidR="00A81ECE" w:rsidRPr="00ED7F0F">
              <w:rPr>
                <w:sz w:val="18"/>
              </w:rPr>
              <w:t>,</w:t>
            </w:r>
            <w:r w:rsidRPr="00ED7F0F">
              <w:rPr>
                <w:sz w:val="18"/>
              </w:rPr>
              <w:t xml:space="preserve">29 </w:t>
            </w:r>
            <w:r w:rsidRPr="00ED7F0F">
              <w:rPr>
                <w:spacing w:val="-1"/>
                <w:sz w:val="18"/>
              </w:rPr>
              <w:t>(0</w:t>
            </w:r>
            <w:r w:rsidR="00A81ECE" w:rsidRPr="00ED7F0F">
              <w:rPr>
                <w:spacing w:val="-1"/>
                <w:sz w:val="18"/>
              </w:rPr>
              <w:t>,</w:t>
            </w:r>
            <w:r w:rsidRPr="00ED7F0F">
              <w:rPr>
                <w:spacing w:val="-1"/>
                <w:sz w:val="18"/>
              </w:rPr>
              <w:t>12</w:t>
            </w:r>
            <w:r w:rsidRPr="00ED7F0F">
              <w:rPr>
                <w:sz w:val="18"/>
              </w:rPr>
              <w:t xml:space="preserve"> </w:t>
            </w:r>
            <w:r w:rsidR="00A81ECE" w:rsidRPr="00ED7F0F">
              <w:rPr>
                <w:sz w:val="18"/>
              </w:rPr>
              <w:t>–</w:t>
            </w:r>
            <w:r w:rsidRPr="00ED7F0F">
              <w:rPr>
                <w:spacing w:val="-1"/>
                <w:sz w:val="18"/>
              </w:rPr>
              <w:t xml:space="preserve"> 0</w:t>
            </w:r>
            <w:r w:rsidR="00A81ECE" w:rsidRPr="00ED7F0F">
              <w:rPr>
                <w:spacing w:val="-1"/>
                <w:sz w:val="18"/>
              </w:rPr>
              <w:t>,</w:t>
            </w:r>
            <w:r w:rsidRPr="00ED7F0F">
              <w:rPr>
                <w:spacing w:val="-1"/>
                <w:sz w:val="18"/>
              </w:rPr>
              <w:t>69)</w:t>
            </w:r>
          </w:p>
        </w:tc>
      </w:tr>
    </w:tbl>
    <w:p w:rsidR="00AE6D42" w:rsidRPr="00ED7F0F" w:rsidRDefault="00AE6D42" w:rsidP="00122C9F">
      <w:pPr>
        <w:spacing w:line="259" w:lineRule="auto"/>
        <w:ind w:left="34"/>
        <w:rPr>
          <w:highlight w:val="lightGray"/>
        </w:rPr>
      </w:pPr>
    </w:p>
    <w:p w:rsidR="00AE6D42" w:rsidRPr="00ED7F0F" w:rsidRDefault="00AE6D42" w:rsidP="00122C9F">
      <w:pPr>
        <w:ind w:left="29"/>
      </w:pPr>
      <w:r w:rsidRPr="00ED7F0F">
        <w:t>Progresia ochorenia bola definovaná ako zvýšenie bielych krviniek napriek zodpovedajúcej liečbe, strata CHR, čiastočná CyR alebo CCyR, progresia do akcelerovanej fázy alebo blastovej fázy alebo smrť. Odhadovaná miera 60-mesačného PFS bola 88,9</w:t>
      </w:r>
      <w:r w:rsidR="002A6686" w:rsidRPr="00ED7F0F">
        <w:t> </w:t>
      </w:r>
      <w:r w:rsidRPr="00ED7F0F">
        <w:t>% (CI: 84</w:t>
      </w:r>
      <w:r w:rsidR="002A6686" w:rsidRPr="00ED7F0F">
        <w:t> </w:t>
      </w:r>
      <w:r w:rsidRPr="00ED7F0F">
        <w:t>% – 92,4</w:t>
      </w:r>
      <w:r w:rsidR="002A6686" w:rsidRPr="00ED7F0F">
        <w:t> </w:t>
      </w:r>
      <w:r w:rsidRPr="00ED7F0F">
        <w:t>%) v</w:t>
      </w:r>
      <w:r w:rsidR="002A6686" w:rsidRPr="00ED7F0F">
        <w:t> </w:t>
      </w:r>
      <w:r w:rsidRPr="00ED7F0F">
        <w:t>dasatinibom a</w:t>
      </w:r>
      <w:r w:rsidR="002A6686" w:rsidRPr="00ED7F0F">
        <w:t> </w:t>
      </w:r>
      <w:r w:rsidRPr="00ED7F0F">
        <w:t>imatinibom liečenej skupine. Zmena na akcelerovanú alebo blastovú fázu po 60</w:t>
      </w:r>
      <w:r w:rsidR="002A6686" w:rsidRPr="00ED7F0F">
        <w:t> </w:t>
      </w:r>
      <w:r w:rsidRPr="00ED7F0F">
        <w:t>mesiacoch sa vyskytla u</w:t>
      </w:r>
      <w:r w:rsidR="002A6686" w:rsidRPr="00ED7F0F">
        <w:t> </w:t>
      </w:r>
      <w:r w:rsidRPr="00ED7F0F">
        <w:t>niekoľkých dasatinibom liečených pacientov (n=8; 3</w:t>
      </w:r>
      <w:r w:rsidR="002A6686" w:rsidRPr="00ED7F0F">
        <w:t> </w:t>
      </w:r>
      <w:r w:rsidRPr="00ED7F0F">
        <w:t>%) v</w:t>
      </w:r>
      <w:r w:rsidR="002A6686" w:rsidRPr="00ED7F0F">
        <w:t> </w:t>
      </w:r>
      <w:r w:rsidRPr="00ED7F0F">
        <w:t>porovnaní s</w:t>
      </w:r>
      <w:r w:rsidR="002A6686" w:rsidRPr="00ED7F0F">
        <w:t> </w:t>
      </w:r>
      <w:r w:rsidRPr="00ED7F0F">
        <w:t>pacientmi liečenými imatinibom (n = 15; 5,8</w:t>
      </w:r>
      <w:r w:rsidR="002A6686" w:rsidRPr="00ED7F0F">
        <w:t> </w:t>
      </w:r>
      <w:r w:rsidRPr="00ED7F0F">
        <w:t>%). Odhadovaná miera 60-mesačného prežitia pre dasatinibom a</w:t>
      </w:r>
      <w:r w:rsidR="002A6686" w:rsidRPr="00ED7F0F">
        <w:t> </w:t>
      </w:r>
      <w:r w:rsidRPr="00ED7F0F">
        <w:t>imatinibom liečených pacientov bola 90,9</w:t>
      </w:r>
      <w:r w:rsidR="002A6686" w:rsidRPr="00ED7F0F">
        <w:t> </w:t>
      </w:r>
      <w:r w:rsidRPr="00ED7F0F">
        <w:t>% (CI: 86,6</w:t>
      </w:r>
      <w:r w:rsidR="002A6686" w:rsidRPr="00ED7F0F">
        <w:t> </w:t>
      </w:r>
      <w:r w:rsidRPr="00ED7F0F">
        <w:t>% – 93,8</w:t>
      </w:r>
      <w:r w:rsidR="002A6686" w:rsidRPr="00ED7F0F">
        <w:t> </w:t>
      </w:r>
      <w:r w:rsidRPr="00ED7F0F">
        <w:t>%) a 89,6</w:t>
      </w:r>
      <w:r w:rsidR="002A6686" w:rsidRPr="00ED7F0F">
        <w:t> </w:t>
      </w:r>
      <w:r w:rsidRPr="00ED7F0F">
        <w:t>% (CI: 85,2</w:t>
      </w:r>
      <w:r w:rsidR="002A6686" w:rsidRPr="00ED7F0F">
        <w:t> </w:t>
      </w:r>
      <w:r w:rsidRPr="00ED7F0F">
        <w:t>% – 92,8</w:t>
      </w:r>
      <w:r w:rsidR="002A6686" w:rsidRPr="00ED7F0F">
        <w:t> </w:t>
      </w:r>
      <w:r w:rsidRPr="00ED7F0F">
        <w:t>%), v</w:t>
      </w:r>
      <w:r w:rsidR="002A6686" w:rsidRPr="00ED7F0F">
        <w:t> </w:t>
      </w:r>
      <w:r w:rsidRPr="00ED7F0F">
        <w:t>uvedenom poradí. Medzi dasatinibom a imatinibom nebol rozdiel v</w:t>
      </w:r>
      <w:r w:rsidR="002A6686" w:rsidRPr="00ED7F0F">
        <w:t> </w:t>
      </w:r>
      <w:r w:rsidRPr="00ED7F0F">
        <w:t>OS (HR 1,01; 95</w:t>
      </w:r>
      <w:r w:rsidR="002A6686" w:rsidRPr="00ED7F0F">
        <w:t> </w:t>
      </w:r>
      <w:r w:rsidRPr="00ED7F0F">
        <w:t>% CI: 0,58 – 1,73; p= 0,9800) a PFS (HR 1,00, 95</w:t>
      </w:r>
      <w:r w:rsidR="002A6686" w:rsidRPr="00ED7F0F">
        <w:t> </w:t>
      </w:r>
      <w:r w:rsidRPr="00ED7F0F">
        <w:t>% CI: 0,58 – 1,72, p = 0,9998).</w:t>
      </w:r>
    </w:p>
    <w:p w:rsidR="00AE6D42" w:rsidRPr="00ED7F0F" w:rsidRDefault="00AE6D42" w:rsidP="00122C9F">
      <w:pPr>
        <w:spacing w:line="259" w:lineRule="auto"/>
        <w:ind w:left="34"/>
      </w:pPr>
    </w:p>
    <w:p w:rsidR="00AE6D42" w:rsidRPr="00ED7F0F" w:rsidRDefault="00AE6D42" w:rsidP="00122C9F">
      <w:pPr>
        <w:ind w:left="29"/>
        <w:rPr>
          <w:highlight w:val="lightGray"/>
        </w:rPr>
      </w:pPr>
      <w:r w:rsidRPr="00ED7F0F">
        <w:t>U</w:t>
      </w:r>
      <w:r w:rsidR="002A6686" w:rsidRPr="00ED7F0F">
        <w:t> </w:t>
      </w:r>
      <w:r w:rsidRPr="00ED7F0F">
        <w:t>pacientov, u</w:t>
      </w:r>
      <w:r w:rsidR="002A6686" w:rsidRPr="00ED7F0F">
        <w:t> </w:t>
      </w:r>
      <w:r w:rsidRPr="00ED7F0F">
        <w:t>ktorých sa zaznamenala progresia ochorenia alebo ukončenie liečby dasatinibom alebo imatinibom, sa vykonalo sekvenovanie BCR-ABL na krvných vzorkách od pacientov, u</w:t>
      </w:r>
      <w:r w:rsidR="002A6686" w:rsidRPr="00ED7F0F">
        <w:t> </w:t>
      </w:r>
      <w:r w:rsidRPr="00ED7F0F">
        <w:t>ktorých boli dostupné. V</w:t>
      </w:r>
      <w:r w:rsidR="002A6686" w:rsidRPr="00ED7F0F">
        <w:t> </w:t>
      </w:r>
      <w:r w:rsidRPr="00ED7F0F">
        <w:t xml:space="preserve">obidvoch liečených ramenách sa pozoroval podobný pomer výskytu mutácií. Mutácie </w:t>
      </w:r>
      <w:r w:rsidR="00A81ECE" w:rsidRPr="00ED7F0F">
        <w:t>detegované</w:t>
      </w:r>
      <w:r w:rsidRPr="00ED7F0F">
        <w:t xml:space="preserve"> u</w:t>
      </w:r>
      <w:r w:rsidR="002A6686" w:rsidRPr="00ED7F0F">
        <w:t> </w:t>
      </w:r>
      <w:r w:rsidRPr="00ED7F0F">
        <w:t>pacientov liečených dasatinibom boli T315I, F317I/L a V299L. V</w:t>
      </w:r>
      <w:r w:rsidR="002A6686" w:rsidRPr="00ED7F0F">
        <w:t> </w:t>
      </w:r>
      <w:r w:rsidRPr="00ED7F0F">
        <w:t xml:space="preserve">ramene liečenom imatinibom sa </w:t>
      </w:r>
      <w:r w:rsidR="00A81ECE" w:rsidRPr="00ED7F0F">
        <w:t>detegovalo</w:t>
      </w:r>
      <w:r w:rsidRPr="00ED7F0F">
        <w:t xml:space="preserve"> iné spektrum mutácií. Na základe </w:t>
      </w:r>
      <w:r w:rsidRPr="00ED7F0F">
        <w:rPr>
          <w:i/>
        </w:rPr>
        <w:t>in vitro</w:t>
      </w:r>
      <w:r w:rsidRPr="00ED7F0F">
        <w:t xml:space="preserve"> údajov sa dasatinib neprejavuje ako účinný voči mutácii T315I</w:t>
      </w:r>
      <w:r w:rsidRPr="00ED7F0F">
        <w:rPr>
          <w:highlight w:val="lightGray"/>
        </w:rPr>
        <w:t>.</w:t>
      </w:r>
    </w:p>
    <w:p w:rsidR="00AE6D42" w:rsidRPr="00ED7F0F" w:rsidRDefault="00AE6D42" w:rsidP="00122C9F">
      <w:pPr>
        <w:spacing w:line="259" w:lineRule="auto"/>
        <w:ind w:left="34"/>
        <w:rPr>
          <w:highlight w:val="lightGray"/>
        </w:rPr>
      </w:pPr>
    </w:p>
    <w:p w:rsidR="00AE6D42" w:rsidRPr="00ED7F0F" w:rsidRDefault="00AE6D42" w:rsidP="00122C9F">
      <w:pPr>
        <w:spacing w:line="249" w:lineRule="auto"/>
        <w:ind w:left="29"/>
      </w:pPr>
      <w:r w:rsidRPr="00ED7F0F">
        <w:rPr>
          <w:i/>
          <w:u w:val="single" w:color="000000"/>
        </w:rPr>
        <w:t>Chronická fáza CML – Rezistencia alebo intolerancia na predošlú liečbu imatinibom</w:t>
      </w:r>
    </w:p>
    <w:p w:rsidR="00AE6D42" w:rsidRPr="00ED7F0F" w:rsidRDefault="00AE6D42" w:rsidP="00122C9F">
      <w:pPr>
        <w:ind w:left="29"/>
      </w:pPr>
      <w:r w:rsidRPr="00ED7F0F">
        <w:t>Vykonali sa dve klinické štúdie s</w:t>
      </w:r>
      <w:r w:rsidR="00E73E9E" w:rsidRPr="00ED7F0F">
        <w:t> </w:t>
      </w:r>
      <w:r w:rsidRPr="00ED7F0F">
        <w:t>pacientmi rezistentnými alebo intolerantnými na imatinib; koncovým ukazovateľom primárnej účinnosti v</w:t>
      </w:r>
      <w:r w:rsidR="00E73E9E" w:rsidRPr="00ED7F0F">
        <w:t> </w:t>
      </w:r>
      <w:r w:rsidRPr="00ED7F0F">
        <w:t>týchto štúdiách bola veľká cytogenetická odpoveď (MCyR).</w:t>
      </w:r>
    </w:p>
    <w:p w:rsidR="00AE6D42" w:rsidRPr="00ED7F0F" w:rsidRDefault="00AE6D42" w:rsidP="00122C9F">
      <w:pPr>
        <w:spacing w:line="259" w:lineRule="auto"/>
        <w:ind w:left="34"/>
      </w:pPr>
    </w:p>
    <w:p w:rsidR="00AE6D42" w:rsidRPr="00ED7F0F" w:rsidRDefault="00AE6D42" w:rsidP="00122C9F">
      <w:pPr>
        <w:spacing w:line="259" w:lineRule="auto"/>
        <w:ind w:left="29"/>
      </w:pPr>
      <w:r w:rsidRPr="00ED7F0F">
        <w:rPr>
          <w:i/>
        </w:rPr>
        <w:t>1.</w:t>
      </w:r>
      <w:r w:rsidR="00E73E9E" w:rsidRPr="00ED7F0F">
        <w:rPr>
          <w:i/>
        </w:rPr>
        <w:t> </w:t>
      </w:r>
      <w:r w:rsidRPr="00ED7F0F">
        <w:rPr>
          <w:i/>
        </w:rPr>
        <w:t>štúdia</w:t>
      </w:r>
    </w:p>
    <w:p w:rsidR="00AE6D42" w:rsidRPr="00ED7F0F" w:rsidRDefault="00AE6D42" w:rsidP="00122C9F">
      <w:pPr>
        <w:ind w:left="29"/>
      </w:pPr>
      <w:r w:rsidRPr="00ED7F0F">
        <w:t>Otvorená, randomizovaná, nekomparatívna, multicentrická štúdia sa vykonala s</w:t>
      </w:r>
      <w:r w:rsidR="00E73E9E" w:rsidRPr="00ED7F0F">
        <w:t> </w:t>
      </w:r>
      <w:r w:rsidRPr="00ED7F0F">
        <w:t>pacientmi, u</w:t>
      </w:r>
      <w:r w:rsidR="00E73E9E" w:rsidRPr="00ED7F0F">
        <w:t> </w:t>
      </w:r>
      <w:r w:rsidRPr="00ED7F0F">
        <w:t xml:space="preserve">ktorých zlyhala </w:t>
      </w:r>
      <w:r w:rsidR="00412D70" w:rsidRPr="00ED7F0F">
        <w:t>začiatočná</w:t>
      </w:r>
      <w:r w:rsidRPr="00ED7F0F">
        <w:t xml:space="preserve"> liečba so 400</w:t>
      </w:r>
      <w:r w:rsidR="00E73E9E" w:rsidRPr="00ED7F0F">
        <w:t xml:space="preserve"> </w:t>
      </w:r>
      <w:r w:rsidRPr="00ED7F0F">
        <w:t>alebo 600</w:t>
      </w:r>
      <w:r w:rsidR="00E73E9E" w:rsidRPr="00ED7F0F">
        <w:t> </w:t>
      </w:r>
      <w:r w:rsidRPr="00ED7F0F">
        <w:t>mg imatinibu. Boli randomizovaní (2:1) buď do skupiny s</w:t>
      </w:r>
      <w:r w:rsidR="00E73E9E" w:rsidRPr="00ED7F0F">
        <w:t> </w:t>
      </w:r>
      <w:r w:rsidRPr="00ED7F0F">
        <w:t>dasatinibom (70</w:t>
      </w:r>
      <w:r w:rsidR="00E73E9E" w:rsidRPr="00ED7F0F">
        <w:t> </w:t>
      </w:r>
      <w:r w:rsidRPr="00ED7F0F">
        <w:t>mg dvakrát denne) alebo s</w:t>
      </w:r>
      <w:r w:rsidR="00E73E9E" w:rsidRPr="00ED7F0F">
        <w:t> </w:t>
      </w:r>
      <w:r w:rsidRPr="00ED7F0F">
        <w:t>imatinibom (400</w:t>
      </w:r>
      <w:r w:rsidR="00E73E9E" w:rsidRPr="00ED7F0F">
        <w:t> </w:t>
      </w:r>
      <w:r w:rsidRPr="00ED7F0F">
        <w:t xml:space="preserve">mg dvakrát denne). Prechod do alternatívnej liečebnej skupiny bol povolený vtedy, ak pacienti vykazovali </w:t>
      </w:r>
      <w:r w:rsidR="00E73E9E" w:rsidRPr="00ED7F0F">
        <w:t xml:space="preserve">prejavy </w:t>
      </w:r>
      <w:r w:rsidRPr="00ED7F0F">
        <w:t>progresie ochorenia alebo intoleranciu, ktorú nebolo možné zvládnuť úpravou dávky. Primárny koncový ukazovateľ bol MCyR po 12</w:t>
      </w:r>
      <w:r w:rsidR="00E73E9E" w:rsidRPr="00ED7F0F">
        <w:t> </w:t>
      </w:r>
      <w:r w:rsidRPr="00ED7F0F">
        <w:t>týždňoch. Sú dostupné výsledky u</w:t>
      </w:r>
      <w:r w:rsidR="00E73E9E" w:rsidRPr="00ED7F0F">
        <w:t> </w:t>
      </w:r>
      <w:r w:rsidRPr="00ED7F0F">
        <w:t>150</w:t>
      </w:r>
      <w:r w:rsidR="00E73E9E" w:rsidRPr="00ED7F0F">
        <w:t> </w:t>
      </w:r>
      <w:r w:rsidRPr="00ED7F0F">
        <w:t>pacientov: 101</w:t>
      </w:r>
      <w:r w:rsidR="00E73E9E" w:rsidRPr="00ED7F0F">
        <w:t> </w:t>
      </w:r>
      <w:r w:rsidRPr="00ED7F0F">
        <w:t>pacientov bolo randomizovaných do skupiny s</w:t>
      </w:r>
      <w:r w:rsidR="00E73E9E" w:rsidRPr="00ED7F0F">
        <w:t> </w:t>
      </w:r>
      <w:r w:rsidRPr="00ED7F0F">
        <w:t>dasatinibom a</w:t>
      </w:r>
      <w:r w:rsidR="00E73E9E" w:rsidRPr="00ED7F0F">
        <w:t> </w:t>
      </w:r>
      <w:r w:rsidRPr="00ED7F0F">
        <w:t>49</w:t>
      </w:r>
      <w:r w:rsidR="00E73E9E" w:rsidRPr="00ED7F0F">
        <w:t> </w:t>
      </w:r>
      <w:r w:rsidRPr="00ED7F0F">
        <w:t>pacientov do skupiny s</w:t>
      </w:r>
      <w:r w:rsidR="00E73E9E" w:rsidRPr="00ED7F0F">
        <w:t> </w:t>
      </w:r>
      <w:r w:rsidRPr="00ED7F0F">
        <w:t>imatinibom (všetci pacienti boli rezistentní na imatinib). Medián času od stanovenia diagnózy po randomizáciu bol 64</w:t>
      </w:r>
      <w:r w:rsidR="00E73E9E" w:rsidRPr="00ED7F0F">
        <w:t> </w:t>
      </w:r>
      <w:r w:rsidRPr="00ED7F0F">
        <w:t>mesiacov v</w:t>
      </w:r>
      <w:r w:rsidR="00E73E9E" w:rsidRPr="00ED7F0F">
        <w:t> </w:t>
      </w:r>
      <w:r w:rsidRPr="00ED7F0F">
        <w:t>skupine s</w:t>
      </w:r>
      <w:r w:rsidR="00E73E9E" w:rsidRPr="00ED7F0F">
        <w:t> </w:t>
      </w:r>
      <w:r w:rsidRPr="00ED7F0F">
        <w:t>dasatinibom a</w:t>
      </w:r>
      <w:r w:rsidR="00E73E9E" w:rsidRPr="00ED7F0F">
        <w:t> </w:t>
      </w:r>
      <w:r w:rsidRPr="00ED7F0F">
        <w:t>52</w:t>
      </w:r>
      <w:r w:rsidR="00E73E9E" w:rsidRPr="00ED7F0F">
        <w:t> </w:t>
      </w:r>
      <w:r w:rsidRPr="00ED7F0F">
        <w:t>mesiacov v</w:t>
      </w:r>
      <w:r w:rsidR="00E73E9E" w:rsidRPr="00ED7F0F">
        <w:t> </w:t>
      </w:r>
      <w:r w:rsidRPr="00ED7F0F">
        <w:t>skupine s</w:t>
      </w:r>
      <w:r w:rsidR="00E73E9E" w:rsidRPr="00ED7F0F">
        <w:t> </w:t>
      </w:r>
      <w:r w:rsidRPr="00ED7F0F">
        <w:t>imatinibom. Všetci pacienti boli po predošlej intenzívnej liečbe. Predošlá úplná hematologická odpoveď (CHR) na imatinib sa dosiahla u</w:t>
      </w:r>
      <w:r w:rsidR="00E73E9E" w:rsidRPr="00ED7F0F">
        <w:t> </w:t>
      </w:r>
      <w:r w:rsidRPr="00ED7F0F">
        <w:t>93</w:t>
      </w:r>
      <w:r w:rsidR="00E73E9E" w:rsidRPr="00ED7F0F">
        <w:t> </w:t>
      </w:r>
      <w:r w:rsidRPr="00ED7F0F">
        <w:t>% z</w:t>
      </w:r>
      <w:r w:rsidR="00E73E9E" w:rsidRPr="00ED7F0F">
        <w:t> </w:t>
      </w:r>
      <w:r w:rsidRPr="00ED7F0F">
        <w:t>celkovej populácie pacientov. Predošlá MCyR na imatinib sa dosiahla u</w:t>
      </w:r>
      <w:r w:rsidR="00E73E9E" w:rsidRPr="00ED7F0F">
        <w:t> </w:t>
      </w:r>
      <w:r w:rsidRPr="00ED7F0F">
        <w:t>28</w:t>
      </w:r>
      <w:r w:rsidR="00E73E9E" w:rsidRPr="00ED7F0F">
        <w:t> </w:t>
      </w:r>
      <w:r w:rsidRPr="00ED7F0F">
        <w:t>% pacientov v</w:t>
      </w:r>
      <w:r w:rsidR="00E73E9E" w:rsidRPr="00ED7F0F">
        <w:t> </w:t>
      </w:r>
      <w:r w:rsidRPr="00ED7F0F">
        <w:t>skupine s</w:t>
      </w:r>
      <w:r w:rsidR="00E73E9E" w:rsidRPr="00ED7F0F">
        <w:t> </w:t>
      </w:r>
      <w:r w:rsidRPr="00ED7F0F">
        <w:t>dasatinibom a u</w:t>
      </w:r>
      <w:r w:rsidR="00E73E9E" w:rsidRPr="00ED7F0F">
        <w:t> </w:t>
      </w:r>
      <w:r w:rsidRPr="00ED7F0F">
        <w:t>29</w:t>
      </w:r>
      <w:r w:rsidR="00E73E9E" w:rsidRPr="00ED7F0F">
        <w:t> </w:t>
      </w:r>
      <w:r w:rsidRPr="00ED7F0F">
        <w:t>% pacientov v skupine s</w:t>
      </w:r>
      <w:r w:rsidR="00E73E9E" w:rsidRPr="00ED7F0F">
        <w:t> </w:t>
      </w:r>
      <w:r w:rsidRPr="00ED7F0F">
        <w:t>imatinibom.</w:t>
      </w:r>
      <w:r w:rsidR="00E73E9E" w:rsidRPr="00ED7F0F">
        <w:t xml:space="preserve"> </w:t>
      </w:r>
      <w:r w:rsidRPr="00ED7F0F">
        <w:t>Medián trvania liečby bol 23</w:t>
      </w:r>
      <w:r w:rsidR="00E73E9E" w:rsidRPr="00ED7F0F">
        <w:t> </w:t>
      </w:r>
      <w:r w:rsidRPr="00ED7F0F">
        <w:t>mesiacov pre skupinu s</w:t>
      </w:r>
      <w:r w:rsidR="00E73E9E" w:rsidRPr="00ED7F0F">
        <w:t> </w:t>
      </w:r>
      <w:r w:rsidRPr="00ED7F0F">
        <w:t>dasatinibom (pričom dosiaľ bolo 44</w:t>
      </w:r>
      <w:r w:rsidR="00E73E9E" w:rsidRPr="00ED7F0F">
        <w:t> </w:t>
      </w:r>
      <w:r w:rsidRPr="00ED7F0F">
        <w:t>% pacientov liečených počas &gt;</w:t>
      </w:r>
      <w:r w:rsidR="00E73E9E" w:rsidRPr="00ED7F0F">
        <w:t> </w:t>
      </w:r>
      <w:r w:rsidRPr="00ED7F0F">
        <w:t>24</w:t>
      </w:r>
      <w:r w:rsidR="00E73E9E" w:rsidRPr="00ED7F0F">
        <w:t> </w:t>
      </w:r>
      <w:r w:rsidRPr="00ED7F0F">
        <w:t>mesiacov) a</w:t>
      </w:r>
      <w:r w:rsidR="00E73E9E" w:rsidRPr="00ED7F0F">
        <w:t> </w:t>
      </w:r>
      <w:r w:rsidRPr="00ED7F0F">
        <w:t>3</w:t>
      </w:r>
      <w:r w:rsidR="00E73E9E" w:rsidRPr="00ED7F0F">
        <w:t> </w:t>
      </w:r>
      <w:r w:rsidRPr="00ED7F0F">
        <w:t>mesiace pre skupinu s</w:t>
      </w:r>
      <w:r w:rsidR="00E73E9E" w:rsidRPr="00ED7F0F">
        <w:t> </w:t>
      </w:r>
      <w:r w:rsidRPr="00ED7F0F">
        <w:t>imatinibom (pričom dosiaľ bolo 10</w:t>
      </w:r>
      <w:r w:rsidR="00E73E9E" w:rsidRPr="00ED7F0F">
        <w:t> </w:t>
      </w:r>
      <w:r w:rsidRPr="00ED7F0F">
        <w:t>% pacientov liečených počas &gt;</w:t>
      </w:r>
      <w:r w:rsidR="00E73E9E" w:rsidRPr="00ED7F0F">
        <w:t> </w:t>
      </w:r>
      <w:r w:rsidRPr="00ED7F0F">
        <w:t>24</w:t>
      </w:r>
      <w:r w:rsidR="00E73E9E" w:rsidRPr="00ED7F0F">
        <w:t> </w:t>
      </w:r>
      <w:r w:rsidRPr="00ED7F0F">
        <w:t>mesiacov). Pred prechodom do druhej skupiny liečby dosiahlo CHR v</w:t>
      </w:r>
      <w:r w:rsidR="00E73E9E" w:rsidRPr="00ED7F0F">
        <w:t> </w:t>
      </w:r>
      <w:r w:rsidRPr="00ED7F0F">
        <w:t>skupine s</w:t>
      </w:r>
      <w:r w:rsidR="00E73E9E" w:rsidRPr="00ED7F0F">
        <w:t> </w:t>
      </w:r>
      <w:r w:rsidRPr="00ED7F0F">
        <w:t>dasatinibom deväťdesiattri percent pacientov a</w:t>
      </w:r>
      <w:r w:rsidR="00E73E9E" w:rsidRPr="00ED7F0F">
        <w:t> </w:t>
      </w:r>
      <w:r w:rsidRPr="00ED7F0F">
        <w:t>imatinibom 82</w:t>
      </w:r>
      <w:r w:rsidR="00E73E9E" w:rsidRPr="00ED7F0F">
        <w:t> </w:t>
      </w:r>
      <w:r w:rsidRPr="00ED7F0F">
        <w:t>% pacientov.</w:t>
      </w:r>
    </w:p>
    <w:p w:rsidR="00AE6D42" w:rsidRPr="00ED7F0F" w:rsidRDefault="00AE6D42" w:rsidP="00122C9F">
      <w:pPr>
        <w:spacing w:line="259" w:lineRule="auto"/>
        <w:ind w:left="34"/>
        <w:rPr>
          <w:highlight w:val="lightGray"/>
        </w:rPr>
      </w:pPr>
    </w:p>
    <w:p w:rsidR="00AE6D42" w:rsidRPr="00ED7F0F" w:rsidRDefault="00AE6D42" w:rsidP="00122C9F">
      <w:pPr>
        <w:ind w:left="29"/>
      </w:pPr>
      <w:r w:rsidRPr="00ED7F0F">
        <w:t>Počas 3</w:t>
      </w:r>
      <w:r w:rsidR="00E73E9E" w:rsidRPr="00ED7F0F">
        <w:t> </w:t>
      </w:r>
      <w:r w:rsidRPr="00ED7F0F">
        <w:t>mesiacov sledovania došlo k</w:t>
      </w:r>
      <w:r w:rsidR="00E73E9E" w:rsidRPr="00ED7F0F">
        <w:t> </w:t>
      </w:r>
      <w:r w:rsidRPr="00ED7F0F">
        <w:t>MCyR častejšie v</w:t>
      </w:r>
      <w:r w:rsidR="00E73E9E" w:rsidRPr="00ED7F0F">
        <w:t> </w:t>
      </w:r>
      <w:r w:rsidRPr="00ED7F0F">
        <w:t>skupine s</w:t>
      </w:r>
      <w:r w:rsidR="00E73E9E" w:rsidRPr="00ED7F0F">
        <w:t> </w:t>
      </w:r>
      <w:r w:rsidRPr="00ED7F0F">
        <w:t>dasatinibom (36</w:t>
      </w:r>
      <w:r w:rsidR="00E73E9E" w:rsidRPr="00ED7F0F">
        <w:t> </w:t>
      </w:r>
      <w:r w:rsidRPr="00ED7F0F">
        <w:t>%) ako v</w:t>
      </w:r>
      <w:r w:rsidR="00E73E9E" w:rsidRPr="00ED7F0F">
        <w:t> </w:t>
      </w:r>
      <w:r w:rsidRPr="00ED7F0F">
        <w:t>skupine s</w:t>
      </w:r>
      <w:r w:rsidR="00E73E9E" w:rsidRPr="00ED7F0F">
        <w:t> </w:t>
      </w:r>
      <w:r w:rsidRPr="00ED7F0F">
        <w:t>imatinibom (29</w:t>
      </w:r>
      <w:r w:rsidR="00E73E9E" w:rsidRPr="00ED7F0F">
        <w:t> </w:t>
      </w:r>
      <w:r w:rsidRPr="00ED7F0F">
        <w:t>%). Pozoruhodné je, že v</w:t>
      </w:r>
      <w:r w:rsidR="00E73E9E" w:rsidRPr="00ED7F0F">
        <w:t> </w:t>
      </w:r>
      <w:r w:rsidRPr="00ED7F0F">
        <w:t>skupine s</w:t>
      </w:r>
      <w:r w:rsidR="00E73E9E" w:rsidRPr="00ED7F0F">
        <w:t> </w:t>
      </w:r>
      <w:r w:rsidRPr="00ED7F0F">
        <w:t>dasatinibom hlásilo úplnú cytogenetickú odpoveď (CCyR) 22</w:t>
      </w:r>
      <w:r w:rsidR="00E73E9E" w:rsidRPr="00ED7F0F">
        <w:t> </w:t>
      </w:r>
      <w:r w:rsidRPr="00ED7F0F">
        <w:t>% pacientov, pričom v</w:t>
      </w:r>
      <w:r w:rsidR="00E73E9E" w:rsidRPr="00ED7F0F">
        <w:t> </w:t>
      </w:r>
      <w:r w:rsidRPr="00ED7F0F">
        <w:t>skupine s</w:t>
      </w:r>
      <w:r w:rsidR="00E73E9E" w:rsidRPr="00ED7F0F">
        <w:t> </w:t>
      </w:r>
      <w:r w:rsidRPr="00ED7F0F">
        <w:t>imatinibom dosiahlo CcyR len 8</w:t>
      </w:r>
      <w:r w:rsidR="00E73E9E" w:rsidRPr="00ED7F0F">
        <w:t> </w:t>
      </w:r>
      <w:r w:rsidRPr="00ED7F0F">
        <w:t>%. Pri dlhšej liečbe a sledovaní (medián 24</w:t>
      </w:r>
      <w:r w:rsidR="00E73E9E" w:rsidRPr="00ED7F0F">
        <w:t> </w:t>
      </w:r>
      <w:r w:rsidRPr="00ED7F0F">
        <w:t>mesiacov) sa MCyR dosiahla u</w:t>
      </w:r>
      <w:r w:rsidR="00E73E9E" w:rsidRPr="00ED7F0F">
        <w:t> </w:t>
      </w:r>
      <w:r w:rsidRPr="00ED7F0F">
        <w:t>53</w:t>
      </w:r>
      <w:r w:rsidR="00E73E9E" w:rsidRPr="00ED7F0F">
        <w:t> </w:t>
      </w:r>
      <w:r w:rsidRPr="00ED7F0F">
        <w:t>% pacientov liečených dasatinibom (CCyR u</w:t>
      </w:r>
      <w:r w:rsidR="00E73E9E" w:rsidRPr="00ED7F0F">
        <w:t> </w:t>
      </w:r>
      <w:r w:rsidRPr="00ED7F0F">
        <w:t>44</w:t>
      </w:r>
      <w:r w:rsidR="00E73E9E" w:rsidRPr="00ED7F0F">
        <w:t> </w:t>
      </w:r>
      <w:r w:rsidRPr="00ED7F0F">
        <w:t>%) a u</w:t>
      </w:r>
      <w:r w:rsidR="00E73E9E" w:rsidRPr="00ED7F0F">
        <w:t> </w:t>
      </w:r>
      <w:r w:rsidRPr="00ED7F0F">
        <w:t>33</w:t>
      </w:r>
      <w:r w:rsidR="00E73E9E" w:rsidRPr="00ED7F0F">
        <w:t> </w:t>
      </w:r>
      <w:r w:rsidRPr="00ED7F0F">
        <w:t>% pacientov liečených imatinibom (CCyR u</w:t>
      </w:r>
      <w:r w:rsidR="00E73E9E" w:rsidRPr="00ED7F0F">
        <w:t> </w:t>
      </w:r>
      <w:r w:rsidRPr="00ED7F0F">
        <w:t>18</w:t>
      </w:r>
      <w:r w:rsidR="00E73E9E" w:rsidRPr="00ED7F0F">
        <w:t> </w:t>
      </w:r>
      <w:r w:rsidRPr="00ED7F0F">
        <w:t>%) pred prechodom do druhej skupiny. Medzi pacientmi, ktorí užívali imatinib v</w:t>
      </w:r>
      <w:r w:rsidR="00E73E9E" w:rsidRPr="00ED7F0F">
        <w:t> </w:t>
      </w:r>
      <w:r w:rsidRPr="00ED7F0F">
        <w:t>dávke 400</w:t>
      </w:r>
      <w:r w:rsidR="00E73E9E" w:rsidRPr="00ED7F0F">
        <w:t> </w:t>
      </w:r>
      <w:r w:rsidRPr="00ED7F0F">
        <w:t>mg pred vstupom do štúdie, MCyR dosiahlo 61</w:t>
      </w:r>
      <w:r w:rsidR="00E73E9E" w:rsidRPr="00ED7F0F">
        <w:t> </w:t>
      </w:r>
      <w:r w:rsidRPr="00ED7F0F">
        <w:t>% pacientov v</w:t>
      </w:r>
      <w:r w:rsidR="00E73E9E" w:rsidRPr="00ED7F0F">
        <w:t> </w:t>
      </w:r>
      <w:r w:rsidRPr="00ED7F0F">
        <w:t>ramene s dasatinibom a</w:t>
      </w:r>
      <w:r w:rsidR="00E73E9E" w:rsidRPr="00ED7F0F">
        <w:t> </w:t>
      </w:r>
      <w:r w:rsidRPr="00ED7F0F">
        <w:t>50</w:t>
      </w:r>
      <w:r w:rsidR="00E73E9E" w:rsidRPr="00ED7F0F">
        <w:t> </w:t>
      </w:r>
      <w:r w:rsidRPr="00ED7F0F">
        <w:t>% v</w:t>
      </w:r>
      <w:r w:rsidR="00E73E9E" w:rsidRPr="00ED7F0F">
        <w:t> </w:t>
      </w:r>
      <w:r w:rsidRPr="00ED7F0F">
        <w:t>ramene s</w:t>
      </w:r>
      <w:r w:rsidR="00E73E9E" w:rsidRPr="00ED7F0F">
        <w:t>  </w:t>
      </w:r>
      <w:r w:rsidRPr="00ED7F0F">
        <w:t>imatinibom.</w:t>
      </w:r>
    </w:p>
    <w:p w:rsidR="00AE6D42" w:rsidRPr="00ED7F0F" w:rsidRDefault="00AE6D42" w:rsidP="00122C9F">
      <w:pPr>
        <w:ind w:left="29"/>
      </w:pPr>
      <w:r w:rsidRPr="00ED7F0F">
        <w:t>Na základe Kaplan</w:t>
      </w:r>
      <w:r w:rsidR="007C3441" w:rsidRPr="00ED7F0F">
        <w:t>ových</w:t>
      </w:r>
      <w:r w:rsidRPr="00ED7F0F">
        <w:t>-Meierových odhadov pomer pacientov, ktorí si udržali MCyR počas 1 roka bol 92</w:t>
      </w:r>
      <w:r w:rsidR="00E73E9E" w:rsidRPr="00ED7F0F">
        <w:t> </w:t>
      </w:r>
      <w:r w:rsidRPr="00ED7F0F">
        <w:t>% (95</w:t>
      </w:r>
      <w:r w:rsidR="00E73E9E" w:rsidRPr="00ED7F0F">
        <w:t> </w:t>
      </w:r>
      <w:r w:rsidRPr="00ED7F0F">
        <w:t>% CI: [85</w:t>
      </w:r>
      <w:r w:rsidR="00E73E9E" w:rsidRPr="00ED7F0F">
        <w:t> </w:t>
      </w:r>
      <w:r w:rsidRPr="00ED7F0F">
        <w:t>% – 100</w:t>
      </w:r>
      <w:r w:rsidR="00E73E9E" w:rsidRPr="00ED7F0F">
        <w:t> </w:t>
      </w:r>
      <w:r w:rsidRPr="00ED7F0F">
        <w:t>%]) pre dasatinib (CCyR 97</w:t>
      </w:r>
      <w:r w:rsidR="00E73E9E" w:rsidRPr="00ED7F0F">
        <w:t> </w:t>
      </w:r>
      <w:r w:rsidRPr="00ED7F0F">
        <w:t>%, 95</w:t>
      </w:r>
      <w:r w:rsidR="00E73E9E" w:rsidRPr="00ED7F0F">
        <w:t> </w:t>
      </w:r>
      <w:r w:rsidRPr="00ED7F0F">
        <w:t>% CI: [92</w:t>
      </w:r>
      <w:r w:rsidR="00E73E9E" w:rsidRPr="00ED7F0F">
        <w:t> </w:t>
      </w:r>
      <w:r w:rsidRPr="00ED7F0F">
        <w:t>% – 100</w:t>
      </w:r>
      <w:r w:rsidR="00E73E9E" w:rsidRPr="00ED7F0F">
        <w:t> </w:t>
      </w:r>
      <w:r w:rsidRPr="00ED7F0F">
        <w:t>%]) a</w:t>
      </w:r>
      <w:r w:rsidR="00E73E9E" w:rsidRPr="00ED7F0F">
        <w:t> </w:t>
      </w:r>
      <w:r w:rsidRPr="00ED7F0F">
        <w:t>74</w:t>
      </w:r>
      <w:r w:rsidR="00E73E9E" w:rsidRPr="00ED7F0F">
        <w:t> </w:t>
      </w:r>
      <w:r w:rsidRPr="00ED7F0F">
        <w:t>% (95</w:t>
      </w:r>
      <w:r w:rsidR="00E73E9E" w:rsidRPr="00ED7F0F">
        <w:t> </w:t>
      </w:r>
      <w:r w:rsidRPr="00ED7F0F">
        <w:t>% CI: [49</w:t>
      </w:r>
      <w:r w:rsidR="002A6686" w:rsidRPr="00ED7F0F">
        <w:t> </w:t>
      </w:r>
      <w:r w:rsidRPr="00ED7F0F">
        <w:t>% – 100</w:t>
      </w:r>
      <w:r w:rsidR="002A6686" w:rsidRPr="00ED7F0F">
        <w:t> </w:t>
      </w:r>
      <w:r w:rsidRPr="00ED7F0F">
        <w:t>%]) pre imatinib (CCyR 100</w:t>
      </w:r>
      <w:r w:rsidR="002A6686" w:rsidRPr="00ED7F0F">
        <w:t> </w:t>
      </w:r>
      <w:r w:rsidRPr="00ED7F0F">
        <w:t>%). Pomer pacientov, ktorí si udržali MCyR počas 18</w:t>
      </w:r>
      <w:r w:rsidR="002A6686" w:rsidRPr="00ED7F0F">
        <w:t> </w:t>
      </w:r>
      <w:r w:rsidRPr="00ED7F0F">
        <w:t>mesiacov bol 90</w:t>
      </w:r>
      <w:r w:rsidR="002A6686" w:rsidRPr="00ED7F0F">
        <w:t> </w:t>
      </w:r>
      <w:r w:rsidRPr="00ED7F0F">
        <w:t>% (95</w:t>
      </w:r>
      <w:r w:rsidR="002A6686" w:rsidRPr="00ED7F0F">
        <w:t> </w:t>
      </w:r>
      <w:r w:rsidRPr="00ED7F0F">
        <w:t>% CI: [82</w:t>
      </w:r>
      <w:r w:rsidR="002A6686" w:rsidRPr="00ED7F0F">
        <w:t> </w:t>
      </w:r>
      <w:r w:rsidRPr="00ED7F0F">
        <w:t>% – 98</w:t>
      </w:r>
      <w:r w:rsidR="002A6686" w:rsidRPr="00ED7F0F">
        <w:t> </w:t>
      </w:r>
      <w:r w:rsidRPr="00ED7F0F">
        <w:t>%]) pre dasatinib (CCyR 94</w:t>
      </w:r>
      <w:r w:rsidR="002A6686" w:rsidRPr="00ED7F0F">
        <w:t> </w:t>
      </w:r>
      <w:r w:rsidRPr="00ED7F0F">
        <w:t>%, 95</w:t>
      </w:r>
      <w:r w:rsidR="002A6686" w:rsidRPr="00ED7F0F">
        <w:t> </w:t>
      </w:r>
      <w:r w:rsidRPr="00ED7F0F">
        <w:t>% CI: [87</w:t>
      </w:r>
      <w:r w:rsidR="002A6686" w:rsidRPr="00ED7F0F">
        <w:t> </w:t>
      </w:r>
      <w:r w:rsidRPr="00ED7F0F">
        <w:t>% – 100</w:t>
      </w:r>
      <w:r w:rsidR="002A6686" w:rsidRPr="00ED7F0F">
        <w:t> </w:t>
      </w:r>
      <w:r w:rsidRPr="00ED7F0F">
        <w:t>%]) a</w:t>
      </w:r>
      <w:r w:rsidR="002A6686" w:rsidRPr="00ED7F0F">
        <w:t> </w:t>
      </w:r>
      <w:r w:rsidRPr="00ED7F0F">
        <w:t>74</w:t>
      </w:r>
      <w:r w:rsidR="002A6686" w:rsidRPr="00ED7F0F">
        <w:t> </w:t>
      </w:r>
      <w:r w:rsidRPr="00ED7F0F">
        <w:t>% (95</w:t>
      </w:r>
      <w:r w:rsidR="002A6686" w:rsidRPr="00ED7F0F">
        <w:t> </w:t>
      </w:r>
      <w:r w:rsidRPr="00ED7F0F">
        <w:t>% CI: [49</w:t>
      </w:r>
      <w:r w:rsidR="002A6686" w:rsidRPr="00ED7F0F">
        <w:t> </w:t>
      </w:r>
      <w:r w:rsidRPr="00ED7F0F">
        <w:t>% – 100</w:t>
      </w:r>
      <w:r w:rsidR="002A6686" w:rsidRPr="00ED7F0F">
        <w:t> </w:t>
      </w:r>
      <w:r w:rsidRPr="00ED7F0F">
        <w:t>%]) pre imatinib (CCyR 100</w:t>
      </w:r>
      <w:r w:rsidR="002A6686" w:rsidRPr="00ED7F0F">
        <w:t> </w:t>
      </w:r>
      <w:r w:rsidRPr="00ED7F0F">
        <w:t>%).</w:t>
      </w:r>
    </w:p>
    <w:p w:rsidR="00AE6D42" w:rsidRPr="00ED7F0F" w:rsidRDefault="00AE6D42" w:rsidP="00122C9F">
      <w:pPr>
        <w:spacing w:line="259" w:lineRule="auto"/>
        <w:ind w:left="34"/>
      </w:pPr>
    </w:p>
    <w:p w:rsidR="00AE6D42" w:rsidRPr="00ED7F0F" w:rsidRDefault="00AE6D42" w:rsidP="00122C9F">
      <w:pPr>
        <w:ind w:left="29"/>
      </w:pPr>
      <w:r w:rsidRPr="00ED7F0F">
        <w:t>Na základe Kaplan</w:t>
      </w:r>
      <w:r w:rsidR="007C3441" w:rsidRPr="00ED7F0F">
        <w:t>ových</w:t>
      </w:r>
      <w:r w:rsidRPr="00ED7F0F">
        <w:t xml:space="preserve">-Meierových odhadov </w:t>
      </w:r>
      <w:r w:rsidR="007C3441" w:rsidRPr="00ED7F0F">
        <w:t xml:space="preserve">bol </w:t>
      </w:r>
      <w:r w:rsidRPr="00ED7F0F">
        <w:t>pomer pacientov, ktorí mali progresiu prežívania (PFS) počas 1</w:t>
      </w:r>
      <w:r w:rsidR="002A6686" w:rsidRPr="00ED7F0F">
        <w:t> </w:t>
      </w:r>
      <w:r w:rsidRPr="00ED7F0F">
        <w:t>roka 91</w:t>
      </w:r>
      <w:r w:rsidR="002A6686" w:rsidRPr="00ED7F0F">
        <w:t> </w:t>
      </w:r>
      <w:r w:rsidRPr="00ED7F0F">
        <w:t>% (95</w:t>
      </w:r>
      <w:r w:rsidR="002A6686" w:rsidRPr="00ED7F0F">
        <w:t> </w:t>
      </w:r>
      <w:r w:rsidRPr="00ED7F0F">
        <w:t>% CI: [85</w:t>
      </w:r>
      <w:r w:rsidR="002A6686" w:rsidRPr="00ED7F0F">
        <w:t> </w:t>
      </w:r>
      <w:r w:rsidRPr="00ED7F0F">
        <w:t>% – 97</w:t>
      </w:r>
      <w:r w:rsidR="002A6686" w:rsidRPr="00ED7F0F">
        <w:t> </w:t>
      </w:r>
      <w:r w:rsidRPr="00ED7F0F">
        <w:t>%]) pre dasatinib a</w:t>
      </w:r>
      <w:r w:rsidR="002A6686" w:rsidRPr="00ED7F0F">
        <w:t> </w:t>
      </w:r>
      <w:r w:rsidRPr="00ED7F0F">
        <w:t>73</w:t>
      </w:r>
      <w:r w:rsidR="002A6686" w:rsidRPr="00ED7F0F">
        <w:t> </w:t>
      </w:r>
      <w:r w:rsidRPr="00ED7F0F">
        <w:t>% (95</w:t>
      </w:r>
      <w:r w:rsidR="002A6686" w:rsidRPr="00ED7F0F">
        <w:t> </w:t>
      </w:r>
      <w:r w:rsidRPr="00ED7F0F">
        <w:t>% CI: [54</w:t>
      </w:r>
      <w:r w:rsidR="002A6686" w:rsidRPr="00ED7F0F">
        <w:t> </w:t>
      </w:r>
      <w:r w:rsidRPr="00ED7F0F">
        <w:t xml:space="preserve"> % – 91</w:t>
      </w:r>
      <w:r w:rsidR="002A6686" w:rsidRPr="00ED7F0F">
        <w:t> </w:t>
      </w:r>
      <w:r w:rsidRPr="00ED7F0F">
        <w:t xml:space="preserve"> %]) pre imatinib. Pomer pacientov, ktorí mali PFS počas 2</w:t>
      </w:r>
      <w:r w:rsidR="002A6686" w:rsidRPr="00ED7F0F">
        <w:t> </w:t>
      </w:r>
      <w:r w:rsidRPr="00ED7F0F">
        <w:t>rokov bol 86</w:t>
      </w:r>
      <w:r w:rsidR="002A6686" w:rsidRPr="00ED7F0F">
        <w:t> </w:t>
      </w:r>
      <w:r w:rsidRPr="00ED7F0F">
        <w:t>% (95</w:t>
      </w:r>
      <w:r w:rsidR="002A6686" w:rsidRPr="00ED7F0F">
        <w:t> </w:t>
      </w:r>
      <w:r w:rsidRPr="00ED7F0F">
        <w:t>% CI: [78</w:t>
      </w:r>
      <w:r w:rsidR="002A6686" w:rsidRPr="00ED7F0F">
        <w:t> </w:t>
      </w:r>
      <w:r w:rsidRPr="00ED7F0F">
        <w:t>% – 93</w:t>
      </w:r>
      <w:r w:rsidR="002A6686" w:rsidRPr="00ED7F0F">
        <w:t> </w:t>
      </w:r>
      <w:r w:rsidRPr="00ED7F0F">
        <w:t>%]) pre dasatinib a</w:t>
      </w:r>
      <w:r w:rsidR="002A6686" w:rsidRPr="00ED7F0F">
        <w:t> </w:t>
      </w:r>
      <w:r w:rsidRPr="00ED7F0F">
        <w:t>65</w:t>
      </w:r>
      <w:r w:rsidR="002A6686" w:rsidRPr="00ED7F0F">
        <w:t> </w:t>
      </w:r>
      <w:r w:rsidRPr="00ED7F0F">
        <w:t>% (95</w:t>
      </w:r>
      <w:r w:rsidR="002A6686" w:rsidRPr="00ED7F0F">
        <w:t> </w:t>
      </w:r>
      <w:r w:rsidRPr="00ED7F0F">
        <w:t>% CI: [43</w:t>
      </w:r>
      <w:r w:rsidR="002A6686" w:rsidRPr="00ED7F0F">
        <w:t> </w:t>
      </w:r>
      <w:r w:rsidRPr="00ED7F0F">
        <w:t>% – 87</w:t>
      </w:r>
      <w:r w:rsidR="002A6686" w:rsidRPr="00ED7F0F">
        <w:t> </w:t>
      </w:r>
      <w:r w:rsidRPr="00ED7F0F">
        <w:t>%]) pre imatinib.</w:t>
      </w:r>
    </w:p>
    <w:p w:rsidR="00AE6D42" w:rsidRPr="00ED7F0F" w:rsidRDefault="00AE6D42" w:rsidP="00122C9F">
      <w:pPr>
        <w:spacing w:line="259" w:lineRule="auto"/>
        <w:ind w:left="34"/>
      </w:pPr>
    </w:p>
    <w:p w:rsidR="00AE6D42" w:rsidRPr="00ED7F0F" w:rsidRDefault="00AE6D42" w:rsidP="00122C9F">
      <w:pPr>
        <w:ind w:left="29"/>
      </w:pPr>
      <w:r w:rsidRPr="00ED7F0F">
        <w:t>Z</w:t>
      </w:r>
      <w:r w:rsidR="002A6686" w:rsidRPr="00ED7F0F">
        <w:t> </w:t>
      </w:r>
      <w:r w:rsidRPr="00ED7F0F">
        <w:t>celkového počtu 43</w:t>
      </w:r>
      <w:r w:rsidR="002A6686" w:rsidRPr="00ED7F0F">
        <w:t> </w:t>
      </w:r>
      <w:r w:rsidRPr="00ED7F0F">
        <w:t>% pacientov v</w:t>
      </w:r>
      <w:r w:rsidR="002A6686" w:rsidRPr="00ED7F0F">
        <w:t> </w:t>
      </w:r>
      <w:r w:rsidRPr="00ED7F0F">
        <w:t>skupine s</w:t>
      </w:r>
      <w:r w:rsidR="002A6686" w:rsidRPr="00ED7F0F">
        <w:t> </w:t>
      </w:r>
      <w:r w:rsidRPr="00ED7F0F">
        <w:t>dasatinibom a</w:t>
      </w:r>
      <w:r w:rsidR="002A6686" w:rsidRPr="00ED7F0F">
        <w:t> </w:t>
      </w:r>
      <w:r w:rsidRPr="00ED7F0F">
        <w:t>82</w:t>
      </w:r>
      <w:r w:rsidR="002A6686" w:rsidRPr="00ED7F0F">
        <w:t> </w:t>
      </w:r>
      <w:r w:rsidRPr="00ED7F0F">
        <w:t>% pacientov v</w:t>
      </w:r>
      <w:r w:rsidR="002A6686" w:rsidRPr="00ED7F0F">
        <w:t> </w:t>
      </w:r>
      <w:r w:rsidRPr="00ED7F0F">
        <w:t>skupine s</w:t>
      </w:r>
      <w:r w:rsidR="002A6686" w:rsidRPr="00ED7F0F">
        <w:t> </w:t>
      </w:r>
      <w:r w:rsidRPr="00ED7F0F">
        <w:t>imatinibom došlo k</w:t>
      </w:r>
      <w:r w:rsidR="002A6686" w:rsidRPr="00ED7F0F">
        <w:t> </w:t>
      </w:r>
      <w:r w:rsidRPr="00ED7F0F">
        <w:t>zlyhaniu liečby, ktoré bolo definované ako progresia ochorenia alebo prechod do druhej skupiny liečby (nedostatočná odpoveď, intolerancia skúšaného lieku, atď.).</w:t>
      </w:r>
    </w:p>
    <w:p w:rsidR="00AE6D42" w:rsidRPr="00ED7F0F" w:rsidRDefault="00AE6D42" w:rsidP="00122C9F">
      <w:pPr>
        <w:spacing w:line="259" w:lineRule="auto"/>
        <w:ind w:left="34"/>
      </w:pPr>
    </w:p>
    <w:p w:rsidR="00AE6D42" w:rsidRPr="00ED7F0F" w:rsidRDefault="00AE6D42" w:rsidP="00122C9F">
      <w:pPr>
        <w:ind w:left="29"/>
      </w:pPr>
      <w:r w:rsidRPr="00ED7F0F">
        <w:t>Výskyt veľkej cytogenetickej odpovede (definovaný ako BCR-ABL/kontrola transkriptov ≤</w:t>
      </w:r>
      <w:r w:rsidR="002A6686" w:rsidRPr="00ED7F0F">
        <w:t> </w:t>
      </w:r>
      <w:r w:rsidRPr="00ED7F0F">
        <w:t>0,1</w:t>
      </w:r>
      <w:r w:rsidR="002A6686" w:rsidRPr="00ED7F0F">
        <w:t> </w:t>
      </w:r>
      <w:r w:rsidRPr="00ED7F0F">
        <w:t>% s</w:t>
      </w:r>
      <w:r w:rsidR="002A6686" w:rsidRPr="00ED7F0F">
        <w:t> </w:t>
      </w:r>
      <w:r w:rsidRPr="00ED7F0F">
        <w:t>RQ-PCR vo vzorke periférnej krvi) pred prechodom do druhej skupiny bol 29</w:t>
      </w:r>
      <w:r w:rsidR="002A6686" w:rsidRPr="00ED7F0F">
        <w:t> </w:t>
      </w:r>
      <w:r w:rsidRPr="00ED7F0F">
        <w:t>% pre dasatinib a</w:t>
      </w:r>
      <w:r w:rsidR="002A6686" w:rsidRPr="00ED7F0F">
        <w:t> </w:t>
      </w:r>
      <w:r w:rsidRPr="00ED7F0F">
        <w:t>12</w:t>
      </w:r>
      <w:r w:rsidR="002A6686" w:rsidRPr="00ED7F0F">
        <w:t> </w:t>
      </w:r>
      <w:r w:rsidRPr="00ED7F0F">
        <w:t>% pre imatinib.</w:t>
      </w:r>
    </w:p>
    <w:p w:rsidR="00AE6D42" w:rsidRPr="00ED7F0F" w:rsidRDefault="00AE6D42" w:rsidP="00122C9F">
      <w:pPr>
        <w:spacing w:line="259" w:lineRule="auto"/>
        <w:ind w:left="34"/>
      </w:pPr>
    </w:p>
    <w:p w:rsidR="00AE6D42" w:rsidRPr="00ED7F0F" w:rsidRDefault="00AE6D42" w:rsidP="00122C9F">
      <w:pPr>
        <w:spacing w:line="259" w:lineRule="auto"/>
        <w:ind w:left="29"/>
      </w:pPr>
      <w:r w:rsidRPr="00ED7F0F">
        <w:rPr>
          <w:i/>
        </w:rPr>
        <w:t>2.</w:t>
      </w:r>
      <w:r w:rsidR="002A6686" w:rsidRPr="00ED7F0F">
        <w:rPr>
          <w:i/>
        </w:rPr>
        <w:t> </w:t>
      </w:r>
      <w:r w:rsidRPr="00ED7F0F">
        <w:rPr>
          <w:i/>
        </w:rPr>
        <w:t>štúdia</w:t>
      </w:r>
    </w:p>
    <w:p w:rsidR="00AE6D42" w:rsidRPr="00ED7F0F" w:rsidRDefault="00AE6D42" w:rsidP="00122C9F">
      <w:pPr>
        <w:ind w:left="29"/>
      </w:pPr>
      <w:r w:rsidRPr="00ED7F0F">
        <w:t>Otvorená, multicentrická štúdia s</w:t>
      </w:r>
      <w:r w:rsidR="002A6686" w:rsidRPr="00ED7F0F">
        <w:t> </w:t>
      </w:r>
      <w:r w:rsidRPr="00ED7F0F">
        <w:t>jednou skupinou sa vykonala s</w:t>
      </w:r>
      <w:r w:rsidR="002A6686" w:rsidRPr="00ED7F0F">
        <w:t> </w:t>
      </w:r>
      <w:r w:rsidRPr="00ED7F0F">
        <w:t>pacientmi rezistentnými alebo intolerantnými na imatinib (napr. pacienti, ktorí majú skúsenosť so signifikantnou toxicitou počas liečby imatinibom, ktor</w:t>
      </w:r>
      <w:r w:rsidR="007C3441" w:rsidRPr="00ED7F0F">
        <w:t>á</w:t>
      </w:r>
      <w:r w:rsidRPr="00ED7F0F">
        <w:t xml:space="preserve"> vylučuje ďalšiu liečbu).</w:t>
      </w:r>
    </w:p>
    <w:p w:rsidR="00AE6D42" w:rsidRPr="00ED7F0F" w:rsidRDefault="00AE6D42" w:rsidP="00122C9F">
      <w:pPr>
        <w:ind w:left="29"/>
      </w:pPr>
      <w:r w:rsidRPr="00ED7F0F">
        <w:t>Dasatinib 70</w:t>
      </w:r>
      <w:r w:rsidR="002A6686" w:rsidRPr="00ED7F0F">
        <w:t> </w:t>
      </w:r>
      <w:r w:rsidRPr="00ED7F0F">
        <w:t>mg dvakrát denne užívalo celkovo 387</w:t>
      </w:r>
      <w:r w:rsidR="002A6686" w:rsidRPr="00ED7F0F">
        <w:t> </w:t>
      </w:r>
      <w:r w:rsidRPr="00ED7F0F">
        <w:t>pacientov (288</w:t>
      </w:r>
      <w:r w:rsidR="002A6686" w:rsidRPr="00ED7F0F">
        <w:t> </w:t>
      </w:r>
      <w:r w:rsidRPr="00ED7F0F">
        <w:t>rezistentní a</w:t>
      </w:r>
      <w:r w:rsidR="002A6686" w:rsidRPr="00ED7F0F">
        <w:t> </w:t>
      </w:r>
      <w:r w:rsidRPr="00ED7F0F">
        <w:t>99</w:t>
      </w:r>
      <w:r w:rsidR="002A6686" w:rsidRPr="00ED7F0F">
        <w:t> </w:t>
      </w:r>
      <w:r w:rsidRPr="00ED7F0F">
        <w:t>intolerantní na imatinib). Medián času od stanovenia diagnózy po začiatok liečby bol 61</w:t>
      </w:r>
      <w:r w:rsidR="002A6686" w:rsidRPr="00ED7F0F">
        <w:t> </w:t>
      </w:r>
      <w:r w:rsidRPr="00ED7F0F">
        <w:t>mesiacov. Väčšina pacientov (53</w:t>
      </w:r>
      <w:r w:rsidR="002A6686" w:rsidRPr="00ED7F0F">
        <w:t> </w:t>
      </w:r>
      <w:r w:rsidRPr="00ED7F0F">
        <w:t>%) dostala predošlú liečbu imatinibom trvajúcu viac ako 3</w:t>
      </w:r>
      <w:r w:rsidR="002A6686" w:rsidRPr="00ED7F0F">
        <w:t> </w:t>
      </w:r>
      <w:r w:rsidRPr="00ED7F0F">
        <w:t>roky. Väčšina rezistentných pacientov (72</w:t>
      </w:r>
      <w:r w:rsidR="002A6686" w:rsidRPr="00ED7F0F">
        <w:t> </w:t>
      </w:r>
      <w:r w:rsidRPr="00ED7F0F">
        <w:t>%) užívala &gt; 600</w:t>
      </w:r>
      <w:r w:rsidR="002A6686" w:rsidRPr="00ED7F0F">
        <w:t> </w:t>
      </w:r>
      <w:r w:rsidRPr="00ED7F0F">
        <w:t>mg imatinibu. Okrem imatinibu dostalo 35</w:t>
      </w:r>
      <w:r w:rsidR="002A6686" w:rsidRPr="00ED7F0F">
        <w:t> </w:t>
      </w:r>
      <w:r w:rsidRPr="00ED7F0F">
        <w:t>% pacientov aj predošlú cytotoxickú chemoterapiu, 65</w:t>
      </w:r>
      <w:r w:rsidR="002A6686" w:rsidRPr="00ED7F0F">
        <w:t> </w:t>
      </w:r>
      <w:r w:rsidRPr="00ED7F0F">
        <w:t>% dostalo predošlú liečbu interferónom a</w:t>
      </w:r>
      <w:r w:rsidR="002A6686" w:rsidRPr="00ED7F0F">
        <w:t> </w:t>
      </w:r>
      <w:r w:rsidRPr="00ED7F0F">
        <w:t>10</w:t>
      </w:r>
      <w:r w:rsidR="002A6686" w:rsidRPr="00ED7F0F">
        <w:t> </w:t>
      </w:r>
      <w:r w:rsidRPr="00ED7F0F">
        <w:t>% bolo po predošlej transplantácii kmeňových buniek. Tridsaťosem percent pacientov malo na začiatku liečby mutácie, o</w:t>
      </w:r>
      <w:r w:rsidR="002A6686" w:rsidRPr="00ED7F0F">
        <w:t> </w:t>
      </w:r>
      <w:r w:rsidRPr="00ED7F0F">
        <w:t>ktorých je známe, že vyvolávajú rezistenciu na imatinib. Medián trvania liečby dasatinibom bol 24</w:t>
      </w:r>
      <w:r w:rsidR="002A6686" w:rsidRPr="00ED7F0F">
        <w:t> </w:t>
      </w:r>
      <w:r w:rsidRPr="00ED7F0F">
        <w:t>mesiacov, pričom dosiaľ bolo 51</w:t>
      </w:r>
      <w:r w:rsidR="002A6686" w:rsidRPr="00ED7F0F">
        <w:t> </w:t>
      </w:r>
      <w:r w:rsidRPr="00ED7F0F">
        <w:t>% pacientov liečených počas &gt;</w:t>
      </w:r>
      <w:r w:rsidR="002A6686" w:rsidRPr="00ED7F0F">
        <w:t> </w:t>
      </w:r>
      <w:r w:rsidRPr="00ED7F0F">
        <w:t>24</w:t>
      </w:r>
      <w:r w:rsidR="002A6686" w:rsidRPr="00ED7F0F">
        <w:t> </w:t>
      </w:r>
      <w:r w:rsidRPr="00ED7F0F">
        <w:t>mesiacov. Výsledky účinnosti sú uvedené v</w:t>
      </w:r>
      <w:r w:rsidR="002A6686" w:rsidRPr="00ED7F0F">
        <w:t> </w:t>
      </w:r>
      <w:r w:rsidRPr="00ED7F0F">
        <w:t>tabuľke 11. MCyR sa dosiahla u</w:t>
      </w:r>
      <w:r w:rsidR="002A6686" w:rsidRPr="00ED7F0F">
        <w:t> </w:t>
      </w:r>
      <w:r w:rsidRPr="00ED7F0F">
        <w:t>55</w:t>
      </w:r>
      <w:r w:rsidR="002A6686" w:rsidRPr="00ED7F0F">
        <w:t> </w:t>
      </w:r>
      <w:r w:rsidRPr="00ED7F0F">
        <w:t>% pacientov rezistentných na imatinib a</w:t>
      </w:r>
      <w:r w:rsidR="002A6686" w:rsidRPr="00ED7F0F">
        <w:t> </w:t>
      </w:r>
      <w:r w:rsidRPr="00ED7F0F">
        <w:t>82</w:t>
      </w:r>
      <w:r w:rsidR="002A6686" w:rsidRPr="00ED7F0F">
        <w:t> </w:t>
      </w:r>
      <w:r w:rsidRPr="00ED7F0F">
        <w:t>% pacientov intolerantných na imatinib. Pri minimálne 24-mesačnom sledovaní malo len 21 z</w:t>
      </w:r>
      <w:r w:rsidR="002A6686" w:rsidRPr="00ED7F0F">
        <w:t> </w:t>
      </w:r>
      <w:r w:rsidRPr="00ED7F0F">
        <w:t>240</w:t>
      </w:r>
      <w:r w:rsidR="002A6686" w:rsidRPr="00ED7F0F">
        <w:t> </w:t>
      </w:r>
      <w:r w:rsidRPr="00ED7F0F">
        <w:t>pacientov, ktorí dosiahli McyR, progresiu ochorenia a</w:t>
      </w:r>
      <w:r w:rsidR="002A6686" w:rsidRPr="00ED7F0F">
        <w:t> </w:t>
      </w:r>
      <w:r w:rsidRPr="00ED7F0F">
        <w:t>nedosiahli medián trvania MCyR.</w:t>
      </w:r>
    </w:p>
    <w:p w:rsidR="00AE6D42" w:rsidRPr="00ED7F0F" w:rsidRDefault="00AE6D42" w:rsidP="00122C9F">
      <w:pPr>
        <w:spacing w:line="259" w:lineRule="auto"/>
        <w:ind w:left="34"/>
        <w:rPr>
          <w:highlight w:val="lightGray"/>
        </w:rPr>
      </w:pPr>
    </w:p>
    <w:p w:rsidR="00AE6D42" w:rsidRPr="00ED7F0F" w:rsidRDefault="00AE6D42" w:rsidP="00122C9F">
      <w:pPr>
        <w:ind w:left="29"/>
      </w:pPr>
      <w:r w:rsidRPr="00ED7F0F">
        <w:t>Na základe Kaplan</w:t>
      </w:r>
      <w:r w:rsidR="007C3441" w:rsidRPr="00ED7F0F">
        <w:t>ových</w:t>
      </w:r>
      <w:r w:rsidRPr="00ED7F0F">
        <w:t>-Meierových odhadov si 95</w:t>
      </w:r>
      <w:r w:rsidR="00620849" w:rsidRPr="00ED7F0F">
        <w:t> </w:t>
      </w:r>
      <w:r w:rsidRPr="00ED7F0F">
        <w:t>% (95</w:t>
      </w:r>
      <w:r w:rsidR="00620849" w:rsidRPr="00ED7F0F">
        <w:t> </w:t>
      </w:r>
      <w:r w:rsidRPr="00ED7F0F">
        <w:t>% CI: [92</w:t>
      </w:r>
      <w:r w:rsidR="00620849" w:rsidRPr="00ED7F0F">
        <w:t> </w:t>
      </w:r>
      <w:r w:rsidRPr="00ED7F0F">
        <w:t>% – 98</w:t>
      </w:r>
      <w:r w:rsidR="00620849" w:rsidRPr="00ED7F0F">
        <w:t> </w:t>
      </w:r>
      <w:r w:rsidRPr="00ED7F0F">
        <w:t>%]) pacientov udržalo MCyR počas 1</w:t>
      </w:r>
      <w:r w:rsidR="00620849" w:rsidRPr="00ED7F0F">
        <w:t> </w:t>
      </w:r>
      <w:r w:rsidRPr="00ED7F0F">
        <w:t>roka a</w:t>
      </w:r>
      <w:r w:rsidR="00620849" w:rsidRPr="00ED7F0F">
        <w:t> </w:t>
      </w:r>
      <w:r w:rsidRPr="00ED7F0F">
        <w:t>88</w:t>
      </w:r>
      <w:r w:rsidR="00620849" w:rsidRPr="00ED7F0F">
        <w:t> </w:t>
      </w:r>
      <w:r w:rsidRPr="00ED7F0F">
        <w:t>% (95 %</w:t>
      </w:r>
      <w:r w:rsidR="00620849" w:rsidRPr="00ED7F0F">
        <w:t> </w:t>
      </w:r>
      <w:r w:rsidRPr="00ED7F0F">
        <w:t>CI: [83</w:t>
      </w:r>
      <w:r w:rsidR="00620849" w:rsidRPr="00ED7F0F">
        <w:t> </w:t>
      </w:r>
      <w:r w:rsidRPr="00ED7F0F">
        <w:t>% – 93 %]) si udržalo MCyR počas 2</w:t>
      </w:r>
      <w:r w:rsidR="00620849" w:rsidRPr="00ED7F0F">
        <w:t> </w:t>
      </w:r>
      <w:r w:rsidRPr="00ED7F0F">
        <w:t>rokov. Pomer pacientov, ktorí si udržali CCyR počas roka bol 97</w:t>
      </w:r>
      <w:r w:rsidR="00620849" w:rsidRPr="00ED7F0F">
        <w:t> </w:t>
      </w:r>
      <w:r w:rsidRPr="00ED7F0F">
        <w:t>% (95</w:t>
      </w:r>
      <w:r w:rsidR="00620849" w:rsidRPr="00ED7F0F">
        <w:t> </w:t>
      </w:r>
      <w:r w:rsidRPr="00ED7F0F">
        <w:t>% CI: [94</w:t>
      </w:r>
      <w:r w:rsidR="00620849" w:rsidRPr="00ED7F0F">
        <w:t> </w:t>
      </w:r>
      <w:r w:rsidRPr="00ED7F0F">
        <w:t>% – 99</w:t>
      </w:r>
      <w:r w:rsidR="00620849" w:rsidRPr="00ED7F0F">
        <w:t> </w:t>
      </w:r>
      <w:r w:rsidRPr="00ED7F0F">
        <w:t>%]) a počas 2</w:t>
      </w:r>
      <w:r w:rsidR="00620849" w:rsidRPr="00ED7F0F">
        <w:t> </w:t>
      </w:r>
      <w:r w:rsidRPr="00ED7F0F">
        <w:t>rokov bol 90</w:t>
      </w:r>
      <w:r w:rsidR="00620849" w:rsidRPr="00ED7F0F">
        <w:t> </w:t>
      </w:r>
      <w:r w:rsidRPr="00ED7F0F">
        <w:t>% (95</w:t>
      </w:r>
      <w:r w:rsidR="00620849" w:rsidRPr="00ED7F0F">
        <w:t> </w:t>
      </w:r>
      <w:r w:rsidRPr="00ED7F0F">
        <w:t>% CI: [86</w:t>
      </w:r>
      <w:r w:rsidR="00620849" w:rsidRPr="00ED7F0F">
        <w:t> </w:t>
      </w:r>
      <w:r w:rsidRPr="00ED7F0F">
        <w:t>% – 95</w:t>
      </w:r>
      <w:r w:rsidR="00620849" w:rsidRPr="00ED7F0F">
        <w:t> </w:t>
      </w:r>
      <w:r w:rsidRPr="00ED7F0F">
        <w:t>%]). Štyridsaťdva percent pacientov rezistentných na imatinib bez predchádzajúcej MCyR na imatinib (n</w:t>
      </w:r>
      <w:r w:rsidR="002A6686" w:rsidRPr="00ED7F0F">
        <w:t> </w:t>
      </w:r>
      <w:r w:rsidRPr="00ED7F0F">
        <w:t>=</w:t>
      </w:r>
      <w:r w:rsidR="002A6686" w:rsidRPr="00ED7F0F">
        <w:t> </w:t>
      </w:r>
      <w:r w:rsidRPr="00ED7F0F">
        <w:t>188) dosiahlo MCyR s</w:t>
      </w:r>
      <w:r w:rsidR="002A6686" w:rsidRPr="00ED7F0F">
        <w:t> </w:t>
      </w:r>
      <w:r w:rsidRPr="00ED7F0F">
        <w:t>dasatinibom.</w:t>
      </w:r>
    </w:p>
    <w:p w:rsidR="00AE6D42" w:rsidRPr="00ED7F0F" w:rsidRDefault="00AE6D42" w:rsidP="00122C9F">
      <w:pPr>
        <w:ind w:left="29"/>
      </w:pPr>
      <w:r w:rsidRPr="00ED7F0F">
        <w:t>Vyskytlo sa 45</w:t>
      </w:r>
      <w:r w:rsidR="002A6686" w:rsidRPr="00ED7F0F">
        <w:t> </w:t>
      </w:r>
      <w:r w:rsidRPr="00ED7F0F">
        <w:t>odlišných BCR-ABL mutácií u</w:t>
      </w:r>
      <w:r w:rsidR="002A6686" w:rsidRPr="00ED7F0F">
        <w:t> </w:t>
      </w:r>
      <w:r w:rsidRPr="00ED7F0F">
        <w:t>38</w:t>
      </w:r>
      <w:r w:rsidR="002A6686" w:rsidRPr="00ED7F0F">
        <w:t> </w:t>
      </w:r>
      <w:r w:rsidRPr="00ED7F0F">
        <w:t>% pacientov zúčastnených v</w:t>
      </w:r>
      <w:r w:rsidR="002A6686" w:rsidRPr="00ED7F0F">
        <w:t> </w:t>
      </w:r>
      <w:r w:rsidRPr="00ED7F0F">
        <w:t>tejto štúdii. Úplná hematologická odpoveď alebo MCyR bola dosiahnutá u</w:t>
      </w:r>
      <w:r w:rsidR="002A6686" w:rsidRPr="00ED7F0F">
        <w:t> </w:t>
      </w:r>
      <w:r w:rsidRPr="00ED7F0F">
        <w:t>pacientov majúcich množstvo BCR-ABL mutácií súvisiacich s</w:t>
      </w:r>
      <w:r w:rsidR="002A6686" w:rsidRPr="00ED7F0F">
        <w:t> </w:t>
      </w:r>
      <w:r w:rsidRPr="00ED7F0F">
        <w:t>rezistenciou na imatinib okrem T315I. Podiel MCyR v</w:t>
      </w:r>
      <w:r w:rsidR="002A6686" w:rsidRPr="00ED7F0F">
        <w:t> </w:t>
      </w:r>
      <w:r w:rsidRPr="00ED7F0F">
        <w:t>2.</w:t>
      </w:r>
      <w:r w:rsidR="002A6686" w:rsidRPr="00ED7F0F">
        <w:t> </w:t>
      </w:r>
      <w:r w:rsidRPr="00ED7F0F">
        <w:t>roku bol podobný či pacienti mali nejakú základnú BCR-ABL mutáciu, P-loop mutáciu alebo nemali mutáciu (63</w:t>
      </w:r>
      <w:r w:rsidR="002A6686" w:rsidRPr="00ED7F0F">
        <w:t> </w:t>
      </w:r>
      <w:r w:rsidRPr="00ED7F0F">
        <w:t>%, 61</w:t>
      </w:r>
      <w:r w:rsidR="002A6686" w:rsidRPr="00ED7F0F">
        <w:t> </w:t>
      </w:r>
      <w:r w:rsidRPr="00ED7F0F">
        <w:t>% a</w:t>
      </w:r>
      <w:r w:rsidR="002A6686" w:rsidRPr="00ED7F0F">
        <w:t> </w:t>
      </w:r>
      <w:r w:rsidRPr="00ED7F0F">
        <w:t>62</w:t>
      </w:r>
      <w:r w:rsidR="002A6686" w:rsidRPr="00ED7F0F">
        <w:t> </w:t>
      </w:r>
      <w:r w:rsidRPr="00ED7F0F">
        <w:t>%).</w:t>
      </w:r>
    </w:p>
    <w:p w:rsidR="00AE6D42" w:rsidRPr="00ED7F0F" w:rsidRDefault="00AE6D42" w:rsidP="00122C9F">
      <w:pPr>
        <w:spacing w:line="259" w:lineRule="auto"/>
        <w:ind w:left="34"/>
        <w:rPr>
          <w:highlight w:val="lightGray"/>
        </w:rPr>
      </w:pPr>
    </w:p>
    <w:p w:rsidR="00AE6D42" w:rsidRPr="00ED7F0F" w:rsidRDefault="00AE6D42" w:rsidP="00122C9F">
      <w:pPr>
        <w:ind w:left="29"/>
      </w:pPr>
      <w:r w:rsidRPr="00ED7F0F">
        <w:t>Medzi pacientmi rezistentnými na imatinib bol odhadovaný pomer PFS 88</w:t>
      </w:r>
      <w:r w:rsidR="00620849" w:rsidRPr="00ED7F0F">
        <w:t> </w:t>
      </w:r>
      <w:r w:rsidRPr="00ED7F0F">
        <w:t>% (95</w:t>
      </w:r>
      <w:r w:rsidR="00620849" w:rsidRPr="00ED7F0F">
        <w:t> </w:t>
      </w:r>
      <w:r w:rsidRPr="00ED7F0F">
        <w:t>%</w:t>
      </w:r>
      <w:r w:rsidR="00620849" w:rsidRPr="00ED7F0F">
        <w:t> </w:t>
      </w:r>
      <w:r w:rsidRPr="00ED7F0F">
        <w:t>CI: [84</w:t>
      </w:r>
      <w:r w:rsidR="00620849" w:rsidRPr="00ED7F0F">
        <w:t> </w:t>
      </w:r>
      <w:r w:rsidRPr="00ED7F0F">
        <w:t>%</w:t>
      </w:r>
      <w:r w:rsidR="00620849" w:rsidRPr="00ED7F0F">
        <w:t> </w:t>
      </w:r>
      <w:r w:rsidRPr="00ED7F0F">
        <w:t>–</w:t>
      </w:r>
      <w:r w:rsidR="00620849" w:rsidRPr="00ED7F0F">
        <w:t> </w:t>
      </w:r>
      <w:r w:rsidRPr="00ED7F0F">
        <w:t>92 %]) v 1.</w:t>
      </w:r>
      <w:r w:rsidR="00620849" w:rsidRPr="00ED7F0F">
        <w:t> </w:t>
      </w:r>
      <w:r w:rsidRPr="00ED7F0F">
        <w:t>roku a</w:t>
      </w:r>
      <w:r w:rsidR="00620849" w:rsidRPr="00ED7F0F">
        <w:t> </w:t>
      </w:r>
      <w:r w:rsidRPr="00ED7F0F">
        <w:t>75</w:t>
      </w:r>
      <w:r w:rsidR="00620849" w:rsidRPr="00ED7F0F">
        <w:t> </w:t>
      </w:r>
      <w:r w:rsidRPr="00ED7F0F">
        <w:t>% (95</w:t>
      </w:r>
      <w:r w:rsidR="00620849" w:rsidRPr="00ED7F0F">
        <w:t xml:space="preserve"> </w:t>
      </w:r>
      <w:r w:rsidRPr="00ED7F0F">
        <w:t>% CI: [69</w:t>
      </w:r>
      <w:r w:rsidR="00620849" w:rsidRPr="00ED7F0F">
        <w:t> </w:t>
      </w:r>
      <w:r w:rsidRPr="00ED7F0F">
        <w:t>% – 81</w:t>
      </w:r>
      <w:r w:rsidR="00620849" w:rsidRPr="00ED7F0F">
        <w:t> </w:t>
      </w:r>
      <w:r w:rsidRPr="00ED7F0F">
        <w:t>%]) v</w:t>
      </w:r>
      <w:r w:rsidR="00620849" w:rsidRPr="00ED7F0F">
        <w:t> </w:t>
      </w:r>
      <w:r w:rsidRPr="00ED7F0F">
        <w:t>2</w:t>
      </w:r>
      <w:r w:rsidR="00620849" w:rsidRPr="00ED7F0F">
        <w:t> </w:t>
      </w:r>
      <w:r w:rsidRPr="00ED7F0F">
        <w:t>roku. Medzi pacientmi intolerantnými na imatinib bol odhadovaný pomer PFS 98</w:t>
      </w:r>
      <w:r w:rsidR="00620849" w:rsidRPr="00ED7F0F">
        <w:t> </w:t>
      </w:r>
      <w:r w:rsidRPr="00ED7F0F">
        <w:t>% (95</w:t>
      </w:r>
      <w:r w:rsidR="00620849" w:rsidRPr="00ED7F0F">
        <w:t> </w:t>
      </w:r>
      <w:r w:rsidRPr="00ED7F0F">
        <w:t>%</w:t>
      </w:r>
      <w:r w:rsidR="00620849" w:rsidRPr="00ED7F0F">
        <w:t> </w:t>
      </w:r>
      <w:r w:rsidRPr="00ED7F0F">
        <w:t>CI: [95</w:t>
      </w:r>
      <w:r w:rsidR="00620849" w:rsidRPr="00ED7F0F">
        <w:t> </w:t>
      </w:r>
      <w:r w:rsidRPr="00ED7F0F">
        <w:t>% – 100</w:t>
      </w:r>
      <w:r w:rsidR="00620849" w:rsidRPr="00ED7F0F">
        <w:t> </w:t>
      </w:r>
      <w:r w:rsidRPr="00ED7F0F">
        <w:t>%]) v</w:t>
      </w:r>
      <w:r w:rsidR="00620849" w:rsidRPr="00ED7F0F">
        <w:t> </w:t>
      </w:r>
      <w:r w:rsidRPr="00ED7F0F">
        <w:t>1.</w:t>
      </w:r>
      <w:r w:rsidR="00620849" w:rsidRPr="00ED7F0F">
        <w:t> </w:t>
      </w:r>
      <w:r w:rsidRPr="00ED7F0F">
        <w:t>roku a</w:t>
      </w:r>
      <w:r w:rsidR="00620849" w:rsidRPr="00ED7F0F">
        <w:t> </w:t>
      </w:r>
      <w:r w:rsidRPr="00ED7F0F">
        <w:t>94</w:t>
      </w:r>
      <w:r w:rsidR="00620849" w:rsidRPr="00ED7F0F">
        <w:t> </w:t>
      </w:r>
      <w:r w:rsidRPr="00ED7F0F">
        <w:t>% (95</w:t>
      </w:r>
      <w:r w:rsidR="00620849" w:rsidRPr="00ED7F0F">
        <w:t> </w:t>
      </w:r>
      <w:r w:rsidRPr="00ED7F0F">
        <w:t>% CI: [88</w:t>
      </w:r>
      <w:r w:rsidR="00620849" w:rsidRPr="00ED7F0F">
        <w:t> </w:t>
      </w:r>
      <w:r w:rsidRPr="00ED7F0F">
        <w:t>% – 99</w:t>
      </w:r>
      <w:r w:rsidR="00620849" w:rsidRPr="00ED7F0F">
        <w:t> </w:t>
      </w:r>
      <w:r w:rsidRPr="00ED7F0F">
        <w:t>%]) v</w:t>
      </w:r>
      <w:r w:rsidR="00620849" w:rsidRPr="00ED7F0F">
        <w:t> </w:t>
      </w:r>
      <w:r w:rsidRPr="00ED7F0F">
        <w:t>2</w:t>
      </w:r>
      <w:r w:rsidR="00620849" w:rsidRPr="00ED7F0F">
        <w:t> </w:t>
      </w:r>
      <w:r w:rsidRPr="00ED7F0F">
        <w:t>roku.</w:t>
      </w:r>
    </w:p>
    <w:p w:rsidR="00AE6D42" w:rsidRPr="00ED7F0F" w:rsidRDefault="00AE6D42" w:rsidP="00122C9F">
      <w:pPr>
        <w:spacing w:line="259" w:lineRule="auto"/>
        <w:ind w:left="34"/>
      </w:pPr>
    </w:p>
    <w:p w:rsidR="00AE6D42" w:rsidRPr="00ED7F0F" w:rsidRDefault="00AE6D42" w:rsidP="00122C9F">
      <w:pPr>
        <w:ind w:left="29"/>
      </w:pPr>
      <w:r w:rsidRPr="00ED7F0F">
        <w:t>Pomer veľkej molekulárnej odpovede po 24</w:t>
      </w:r>
      <w:r w:rsidR="00620849" w:rsidRPr="00ED7F0F">
        <w:t> </w:t>
      </w:r>
      <w:r w:rsidRPr="00ED7F0F">
        <w:t>mesiacoch bol 45</w:t>
      </w:r>
      <w:r w:rsidR="00620849" w:rsidRPr="00ED7F0F">
        <w:t> </w:t>
      </w:r>
      <w:r w:rsidRPr="00ED7F0F">
        <w:t>% (35</w:t>
      </w:r>
      <w:r w:rsidR="00620849" w:rsidRPr="00ED7F0F">
        <w:t> </w:t>
      </w:r>
      <w:r w:rsidRPr="00ED7F0F">
        <w:t>% pre imatinib rezistentných pacientov a</w:t>
      </w:r>
      <w:r w:rsidR="00620849" w:rsidRPr="00ED7F0F">
        <w:t> </w:t>
      </w:r>
      <w:r w:rsidRPr="00ED7F0F">
        <w:t>74</w:t>
      </w:r>
      <w:r w:rsidR="00620849" w:rsidRPr="00ED7F0F">
        <w:t> </w:t>
      </w:r>
      <w:r w:rsidRPr="00ED7F0F">
        <w:t>% pre imatinib intolerantných pacientov).</w:t>
      </w:r>
    </w:p>
    <w:p w:rsidR="00AE6D42" w:rsidRPr="00ED7F0F" w:rsidRDefault="00AE6D42" w:rsidP="00122C9F">
      <w:pPr>
        <w:spacing w:line="259" w:lineRule="auto"/>
        <w:ind w:left="34"/>
        <w:rPr>
          <w:highlight w:val="lightGray"/>
        </w:rPr>
      </w:pPr>
    </w:p>
    <w:p w:rsidR="00AE6D42" w:rsidRPr="00ED7F0F" w:rsidRDefault="00AE6D42" w:rsidP="00122C9F">
      <w:pPr>
        <w:spacing w:line="249" w:lineRule="auto"/>
        <w:ind w:left="29"/>
      </w:pPr>
      <w:r w:rsidRPr="00ED7F0F">
        <w:rPr>
          <w:i/>
          <w:u w:val="single" w:color="000000"/>
        </w:rPr>
        <w:t>Akcelerovaná fáza CML</w:t>
      </w:r>
    </w:p>
    <w:p w:rsidR="00AE6D42" w:rsidRPr="00ED7F0F" w:rsidRDefault="00AE6D42" w:rsidP="00122C9F">
      <w:pPr>
        <w:ind w:left="29"/>
      </w:pPr>
      <w:r w:rsidRPr="00ED7F0F">
        <w:t>Otvorená, multicentrická štúdia s</w:t>
      </w:r>
      <w:r w:rsidR="00620849" w:rsidRPr="00ED7F0F">
        <w:t> </w:t>
      </w:r>
      <w:r w:rsidRPr="00ED7F0F">
        <w:t>jednou skupinou sa vykonala s</w:t>
      </w:r>
      <w:r w:rsidR="00620849" w:rsidRPr="00ED7F0F">
        <w:t> </w:t>
      </w:r>
      <w:r w:rsidRPr="00ED7F0F">
        <w:t>pacientmi intolerantnými alebo rezistentnými na imatinib. Dasatinib 70</w:t>
      </w:r>
      <w:r w:rsidR="00620849" w:rsidRPr="00ED7F0F">
        <w:t> </w:t>
      </w:r>
      <w:r w:rsidRPr="00ED7F0F">
        <w:t>mg dvakrát denne užívalo celkovo 174</w:t>
      </w:r>
      <w:r w:rsidR="00620849" w:rsidRPr="00ED7F0F">
        <w:t> </w:t>
      </w:r>
      <w:r w:rsidRPr="00ED7F0F">
        <w:t>pacientov (161</w:t>
      </w:r>
      <w:r w:rsidR="00620849" w:rsidRPr="00ED7F0F">
        <w:t> </w:t>
      </w:r>
      <w:r w:rsidRPr="00ED7F0F">
        <w:t>rezistentní a</w:t>
      </w:r>
      <w:r w:rsidR="00620849" w:rsidRPr="00ED7F0F">
        <w:t> </w:t>
      </w:r>
      <w:r w:rsidRPr="00ED7F0F">
        <w:t>13</w:t>
      </w:r>
      <w:r w:rsidR="00620849" w:rsidRPr="00ED7F0F">
        <w:t> </w:t>
      </w:r>
      <w:r w:rsidRPr="00ED7F0F">
        <w:t>intolerantní na imatinib). Medián času od stanovenia diagnózy po začiatok liečby bol 82</w:t>
      </w:r>
      <w:r w:rsidR="00620849" w:rsidRPr="00ED7F0F">
        <w:t> </w:t>
      </w:r>
      <w:r w:rsidRPr="00ED7F0F">
        <w:t>mesiacov. Medián trvania liečby dasatinibom bol 14</w:t>
      </w:r>
      <w:r w:rsidR="00620849" w:rsidRPr="00ED7F0F">
        <w:t> </w:t>
      </w:r>
      <w:r w:rsidRPr="00ED7F0F">
        <w:t>mesiacov, pričom dosiaľ bolo 31</w:t>
      </w:r>
      <w:r w:rsidR="00620849" w:rsidRPr="00ED7F0F">
        <w:t> </w:t>
      </w:r>
      <w:r w:rsidRPr="00ED7F0F">
        <w:t>% pacientov liečených počas &gt;</w:t>
      </w:r>
      <w:r w:rsidR="00620849" w:rsidRPr="00ED7F0F">
        <w:t> </w:t>
      </w:r>
      <w:r w:rsidRPr="00ED7F0F">
        <w:t>24 mesiacov. Pomer veľkej molekulárnej odpovede (hodnotený u</w:t>
      </w:r>
      <w:r w:rsidR="00620849" w:rsidRPr="00ED7F0F">
        <w:t> </w:t>
      </w:r>
      <w:r w:rsidRPr="00ED7F0F">
        <w:t>41</w:t>
      </w:r>
      <w:r w:rsidR="00620849" w:rsidRPr="00ED7F0F">
        <w:t> </w:t>
      </w:r>
      <w:r w:rsidRPr="00ED7F0F">
        <w:t>pacientov s</w:t>
      </w:r>
      <w:r w:rsidR="00620849" w:rsidRPr="00ED7F0F">
        <w:t> </w:t>
      </w:r>
      <w:r w:rsidRPr="00ED7F0F">
        <w:t>CCyR) po 24</w:t>
      </w:r>
      <w:r w:rsidR="00620849" w:rsidRPr="00ED7F0F">
        <w:t> </w:t>
      </w:r>
      <w:r w:rsidRPr="00ED7F0F">
        <w:t>mesiacoch bol 46</w:t>
      </w:r>
      <w:r w:rsidR="00620849" w:rsidRPr="00ED7F0F">
        <w:t> </w:t>
      </w:r>
      <w:r w:rsidRPr="00ED7F0F">
        <w:t>%. Ďalšie výsledky účinnosti sú uvedené v</w:t>
      </w:r>
      <w:r w:rsidR="00620849" w:rsidRPr="00ED7F0F">
        <w:t> </w:t>
      </w:r>
      <w:r w:rsidRPr="00ED7F0F">
        <w:t>tabuľke</w:t>
      </w:r>
      <w:r w:rsidR="00620849" w:rsidRPr="00ED7F0F">
        <w:t> </w:t>
      </w:r>
      <w:r w:rsidRPr="00ED7F0F">
        <w:t>11.</w:t>
      </w:r>
    </w:p>
    <w:p w:rsidR="00AE6D42" w:rsidRPr="00ED7F0F" w:rsidRDefault="00AE6D42" w:rsidP="00122C9F">
      <w:pPr>
        <w:spacing w:line="259" w:lineRule="auto"/>
        <w:ind w:left="34"/>
        <w:rPr>
          <w:highlight w:val="lightGray"/>
        </w:rPr>
      </w:pPr>
    </w:p>
    <w:p w:rsidR="00AE6D42" w:rsidRPr="00ED7F0F" w:rsidRDefault="00AE6D42" w:rsidP="00122C9F">
      <w:pPr>
        <w:spacing w:line="249" w:lineRule="auto"/>
        <w:ind w:left="29"/>
      </w:pPr>
      <w:r w:rsidRPr="00ED7F0F">
        <w:rPr>
          <w:i/>
          <w:u w:val="single" w:color="000000"/>
        </w:rPr>
        <w:t>Myeloidná blastická fáza CML</w:t>
      </w:r>
    </w:p>
    <w:p w:rsidR="00AE6D42" w:rsidRPr="00ED7F0F" w:rsidRDefault="00AE6D42" w:rsidP="00122C9F">
      <w:pPr>
        <w:ind w:left="29"/>
      </w:pPr>
      <w:r w:rsidRPr="00ED7F0F">
        <w:t>Otvorená, multicentrická štúdia s</w:t>
      </w:r>
      <w:r w:rsidR="00620849" w:rsidRPr="00ED7F0F">
        <w:t> </w:t>
      </w:r>
      <w:r w:rsidRPr="00ED7F0F">
        <w:t>jednou skupinou sa vykonala s</w:t>
      </w:r>
      <w:r w:rsidR="00620849" w:rsidRPr="00ED7F0F">
        <w:t> </w:t>
      </w:r>
      <w:r w:rsidRPr="00ED7F0F">
        <w:t>pacientmi intolerantnými alebo rezistentnými na imatinib. Dasatinib 70</w:t>
      </w:r>
      <w:r w:rsidR="00620849" w:rsidRPr="00ED7F0F">
        <w:t> </w:t>
      </w:r>
      <w:r w:rsidRPr="00ED7F0F">
        <w:t>mg dvakrát denne užívalo celkovo 109</w:t>
      </w:r>
      <w:r w:rsidR="00620849" w:rsidRPr="00ED7F0F">
        <w:t> </w:t>
      </w:r>
      <w:r w:rsidRPr="00ED7F0F">
        <w:t xml:space="preserve"> pacientov (99</w:t>
      </w:r>
      <w:r w:rsidR="00620849" w:rsidRPr="00ED7F0F">
        <w:t> </w:t>
      </w:r>
      <w:r w:rsidRPr="00ED7F0F">
        <w:t>rezistentní a</w:t>
      </w:r>
      <w:r w:rsidR="00620849" w:rsidRPr="00ED7F0F">
        <w:t> </w:t>
      </w:r>
      <w:r w:rsidRPr="00ED7F0F">
        <w:t>10</w:t>
      </w:r>
      <w:r w:rsidR="00620849" w:rsidRPr="00ED7F0F">
        <w:t> </w:t>
      </w:r>
      <w:r w:rsidRPr="00ED7F0F">
        <w:t>intolerantní na imatinib). Medián času od stanovenia diagnózy po začiatok liečby bol 48</w:t>
      </w:r>
      <w:r w:rsidR="00620849" w:rsidRPr="00ED7F0F">
        <w:t> </w:t>
      </w:r>
      <w:r w:rsidRPr="00ED7F0F">
        <w:t>mesiacov. Medián trvania liečby dasatinibom bol 3,5</w:t>
      </w:r>
      <w:r w:rsidR="00620849" w:rsidRPr="00ED7F0F">
        <w:t> </w:t>
      </w:r>
      <w:r w:rsidRPr="00ED7F0F">
        <w:t>mesiacov, pričom dosiaľ bolo 12</w:t>
      </w:r>
      <w:r w:rsidR="00620849" w:rsidRPr="00ED7F0F">
        <w:t> </w:t>
      </w:r>
      <w:r w:rsidRPr="00ED7F0F">
        <w:t>% pacientov liečených počas &gt;</w:t>
      </w:r>
      <w:r w:rsidR="00620849" w:rsidRPr="00ED7F0F">
        <w:t> </w:t>
      </w:r>
      <w:r w:rsidRPr="00ED7F0F">
        <w:t>24</w:t>
      </w:r>
      <w:r w:rsidR="00620849" w:rsidRPr="00ED7F0F">
        <w:t> </w:t>
      </w:r>
      <w:r w:rsidRPr="00ED7F0F">
        <w:t>mesiacov. Pomer veľkej molekulárnej odpovede (hodnotený u</w:t>
      </w:r>
      <w:r w:rsidR="00620849" w:rsidRPr="00ED7F0F">
        <w:t> </w:t>
      </w:r>
      <w:r w:rsidRPr="00ED7F0F">
        <w:t>19</w:t>
      </w:r>
      <w:r w:rsidR="00620849" w:rsidRPr="00ED7F0F">
        <w:t> </w:t>
      </w:r>
      <w:r w:rsidRPr="00ED7F0F">
        <w:t>pacientov s CCyR) po 24 mesiacoch bol 68</w:t>
      </w:r>
      <w:r w:rsidR="00620849" w:rsidRPr="00ED7F0F">
        <w:t> </w:t>
      </w:r>
      <w:r w:rsidRPr="00ED7F0F">
        <w:t>%. Ďalšie výsledky účinnosti sú uvedené v</w:t>
      </w:r>
      <w:r w:rsidR="00620849" w:rsidRPr="00ED7F0F">
        <w:t> </w:t>
      </w:r>
      <w:r w:rsidRPr="00ED7F0F">
        <w:t>tabuľke</w:t>
      </w:r>
      <w:r w:rsidR="00620849" w:rsidRPr="00ED7F0F">
        <w:t> </w:t>
      </w:r>
      <w:r w:rsidRPr="00ED7F0F">
        <w:t>11.</w:t>
      </w:r>
    </w:p>
    <w:p w:rsidR="00AE6D42" w:rsidRPr="00ED7F0F" w:rsidRDefault="00AE6D42" w:rsidP="00122C9F">
      <w:pPr>
        <w:spacing w:line="259" w:lineRule="auto"/>
        <w:ind w:left="34"/>
      </w:pPr>
    </w:p>
    <w:p w:rsidR="00AE6D42" w:rsidRPr="00ED7F0F" w:rsidRDefault="00AE6D42" w:rsidP="00122C9F">
      <w:pPr>
        <w:spacing w:line="249" w:lineRule="auto"/>
        <w:ind w:left="29"/>
      </w:pPr>
      <w:r w:rsidRPr="00ED7F0F">
        <w:rPr>
          <w:i/>
          <w:u w:val="single" w:color="000000"/>
        </w:rPr>
        <w:t>Lymfoidná blastická fáza CML a Ph+ ALL</w:t>
      </w:r>
    </w:p>
    <w:p w:rsidR="00AE6D42" w:rsidRPr="00ED7F0F" w:rsidRDefault="00AE6D42" w:rsidP="00122C9F">
      <w:pPr>
        <w:ind w:left="29"/>
      </w:pPr>
      <w:r w:rsidRPr="00ED7F0F">
        <w:t>Otvorená, multicentrická štúdia s jednou skupinou sa vykonala s</w:t>
      </w:r>
      <w:r w:rsidR="00C41008" w:rsidRPr="00ED7F0F">
        <w:t> </w:t>
      </w:r>
      <w:r w:rsidRPr="00ED7F0F">
        <w:t>pacientmi v</w:t>
      </w:r>
      <w:r w:rsidR="00C41008" w:rsidRPr="00ED7F0F">
        <w:t> </w:t>
      </w:r>
      <w:r w:rsidRPr="00ED7F0F">
        <w:t>lymfoidnej blastickej fáze CML alebo s</w:t>
      </w:r>
      <w:r w:rsidR="00C41008" w:rsidRPr="00ED7F0F">
        <w:t> </w:t>
      </w:r>
      <w:r w:rsidRPr="00ED7F0F">
        <w:t>Ph+ ALL, ktorí boli rezistentní alebo intolerantní na predošlú liečbu imatinibom. Dasatinib 70</w:t>
      </w:r>
      <w:r w:rsidR="00C41008" w:rsidRPr="00ED7F0F">
        <w:t> </w:t>
      </w:r>
      <w:r w:rsidRPr="00ED7F0F">
        <w:t>mg dvakrát denne užívalo celkovo 48</w:t>
      </w:r>
      <w:r w:rsidR="00C41008" w:rsidRPr="00ED7F0F">
        <w:t> </w:t>
      </w:r>
      <w:r w:rsidRPr="00ED7F0F">
        <w:t>pacientov v</w:t>
      </w:r>
      <w:r w:rsidR="00C41008" w:rsidRPr="00ED7F0F">
        <w:t> </w:t>
      </w:r>
      <w:r w:rsidRPr="00ED7F0F">
        <w:t>lymfoidnej blastickej fáze CML (42 rezistentní a</w:t>
      </w:r>
      <w:r w:rsidR="00C41008" w:rsidRPr="00ED7F0F">
        <w:t> </w:t>
      </w:r>
      <w:r w:rsidRPr="00ED7F0F">
        <w:t>6</w:t>
      </w:r>
      <w:r w:rsidR="00C41008" w:rsidRPr="00ED7F0F">
        <w:t> </w:t>
      </w:r>
      <w:r w:rsidRPr="00ED7F0F">
        <w:t>intolerantní na imatinib). Medián času od stanovenia diagnózy po začiatok liečby bol 28</w:t>
      </w:r>
      <w:r w:rsidR="00C41008" w:rsidRPr="00ED7F0F">
        <w:t> </w:t>
      </w:r>
      <w:r w:rsidRPr="00ED7F0F">
        <w:t>mesiacov. Medián trvania liečby dasatinibom bol 3</w:t>
      </w:r>
      <w:r w:rsidR="00C41008" w:rsidRPr="00ED7F0F">
        <w:t> </w:t>
      </w:r>
      <w:r w:rsidRPr="00ED7F0F">
        <w:t>mesiace s</w:t>
      </w:r>
      <w:r w:rsidR="00C41008" w:rsidRPr="00ED7F0F">
        <w:t> </w:t>
      </w:r>
      <w:r w:rsidRPr="00ED7F0F">
        <w:t>2</w:t>
      </w:r>
      <w:r w:rsidR="00C41008" w:rsidRPr="00ED7F0F">
        <w:t> </w:t>
      </w:r>
      <w:r w:rsidRPr="00ED7F0F">
        <w:t>% pacientov liečených počas &gt;</w:t>
      </w:r>
      <w:r w:rsidR="00C41008" w:rsidRPr="00ED7F0F">
        <w:t> </w:t>
      </w:r>
      <w:r w:rsidRPr="00ED7F0F">
        <w:t>24</w:t>
      </w:r>
      <w:r w:rsidR="00C41008" w:rsidRPr="00ED7F0F">
        <w:t> </w:t>
      </w:r>
      <w:r w:rsidRPr="00ED7F0F">
        <w:t>mesiacov. Pomer veľkej molekulárnej odpovede (všetkých 22</w:t>
      </w:r>
      <w:r w:rsidR="00C41008" w:rsidRPr="00ED7F0F">
        <w:t> </w:t>
      </w:r>
      <w:r w:rsidRPr="00ED7F0F">
        <w:t>liečených pacientov s</w:t>
      </w:r>
      <w:r w:rsidR="00C41008" w:rsidRPr="00ED7F0F">
        <w:t> </w:t>
      </w:r>
      <w:r w:rsidRPr="00ED7F0F">
        <w:t>CCyR) po 24</w:t>
      </w:r>
      <w:r w:rsidR="00C41008" w:rsidRPr="00ED7F0F">
        <w:t> </w:t>
      </w:r>
      <w:r w:rsidRPr="00ED7F0F">
        <w:t>mesiacoch bol 50</w:t>
      </w:r>
      <w:r w:rsidR="00C41008" w:rsidRPr="00ED7F0F">
        <w:t> </w:t>
      </w:r>
      <w:r w:rsidRPr="00ED7F0F">
        <w:t>%. Okrem toho dasatinib 70</w:t>
      </w:r>
      <w:r w:rsidR="005153F5" w:rsidRPr="00ED7F0F">
        <w:t> </w:t>
      </w:r>
      <w:r w:rsidRPr="00ED7F0F">
        <w:t>mg dvakrát denne užívalo 46</w:t>
      </w:r>
      <w:r w:rsidR="005153F5" w:rsidRPr="00ED7F0F">
        <w:t> </w:t>
      </w:r>
      <w:r w:rsidRPr="00ED7F0F">
        <w:t>pacientov s</w:t>
      </w:r>
      <w:r w:rsidR="005153F5" w:rsidRPr="00ED7F0F">
        <w:t> </w:t>
      </w:r>
      <w:r w:rsidRPr="00ED7F0F">
        <w:t>Ph+ ALL (44</w:t>
      </w:r>
      <w:r w:rsidR="005153F5" w:rsidRPr="00ED7F0F">
        <w:t> </w:t>
      </w:r>
      <w:r w:rsidRPr="00ED7F0F">
        <w:t>rezistentní a</w:t>
      </w:r>
      <w:r w:rsidR="005153F5" w:rsidRPr="00ED7F0F">
        <w:t> </w:t>
      </w:r>
      <w:r w:rsidRPr="00ED7F0F">
        <w:t>2</w:t>
      </w:r>
      <w:r w:rsidR="005153F5" w:rsidRPr="00ED7F0F">
        <w:t> </w:t>
      </w:r>
      <w:r w:rsidRPr="00ED7F0F">
        <w:t>intolerantní na imatinib). Medián času od stanovenia diagnózy po začiatok liečby bol 18</w:t>
      </w:r>
      <w:r w:rsidR="00620849" w:rsidRPr="00ED7F0F">
        <w:t> </w:t>
      </w:r>
      <w:r w:rsidRPr="00ED7F0F">
        <w:t>mesiacov. Medián trvania liečby dasatinibom bol 3</w:t>
      </w:r>
      <w:r w:rsidR="00620849" w:rsidRPr="00ED7F0F">
        <w:t> </w:t>
      </w:r>
      <w:r w:rsidRPr="00ED7F0F">
        <w:t>mesiace, pričom dosiaľ bolo 7</w:t>
      </w:r>
      <w:r w:rsidR="00620849" w:rsidRPr="00ED7F0F">
        <w:t> </w:t>
      </w:r>
      <w:r w:rsidRPr="00ED7F0F">
        <w:t>% pacientov liečených počas &gt;</w:t>
      </w:r>
      <w:r w:rsidR="00620849" w:rsidRPr="00ED7F0F">
        <w:t> </w:t>
      </w:r>
      <w:r w:rsidRPr="00ED7F0F">
        <w:t>24 mesiacov. Pomer veľkej molekulárnej odpovede (všetkých 25</w:t>
      </w:r>
      <w:r w:rsidR="00620849" w:rsidRPr="00ED7F0F">
        <w:t> </w:t>
      </w:r>
      <w:r w:rsidRPr="00ED7F0F">
        <w:t>liečených pacientov s</w:t>
      </w:r>
      <w:r w:rsidR="00620849" w:rsidRPr="00ED7F0F">
        <w:t> </w:t>
      </w:r>
      <w:r w:rsidRPr="00ED7F0F">
        <w:t>CCyR) po 24</w:t>
      </w:r>
      <w:r w:rsidR="00620849" w:rsidRPr="00ED7F0F">
        <w:t> </w:t>
      </w:r>
      <w:r w:rsidRPr="00ED7F0F">
        <w:t>mesiacoch bol 52</w:t>
      </w:r>
      <w:r w:rsidR="00620849" w:rsidRPr="00ED7F0F">
        <w:t> </w:t>
      </w:r>
      <w:r w:rsidRPr="00ED7F0F">
        <w:t>%. Výsledky účinnosti sú uvedené v</w:t>
      </w:r>
      <w:r w:rsidR="00620849" w:rsidRPr="00ED7F0F">
        <w:t> </w:t>
      </w:r>
      <w:r w:rsidRPr="00ED7F0F">
        <w:t>tabuľke 11. Za zmienku stojí, že veľká hematologická odpoveď (MaHR) bola dosiahnutá rýchlo (väčšinou do 35</w:t>
      </w:r>
      <w:r w:rsidR="00620849" w:rsidRPr="00ED7F0F">
        <w:t> </w:t>
      </w:r>
      <w:r w:rsidRPr="00ED7F0F">
        <w:t>dní od prvého podania dasatinibu u</w:t>
      </w:r>
      <w:r w:rsidR="00620849" w:rsidRPr="00ED7F0F">
        <w:t> </w:t>
      </w:r>
      <w:r w:rsidRPr="00ED7F0F">
        <w:t>pacientov v</w:t>
      </w:r>
      <w:r w:rsidR="00620849" w:rsidRPr="00ED7F0F">
        <w:t> </w:t>
      </w:r>
      <w:r w:rsidRPr="00ED7F0F">
        <w:t>lymfoidnej blastickej fáze CML, a do 55</w:t>
      </w:r>
      <w:r w:rsidR="00620849" w:rsidRPr="00ED7F0F">
        <w:t> </w:t>
      </w:r>
      <w:r w:rsidRPr="00ED7F0F">
        <w:t>dní u</w:t>
      </w:r>
      <w:r w:rsidR="00620849" w:rsidRPr="00ED7F0F">
        <w:t> </w:t>
      </w:r>
      <w:r w:rsidRPr="00ED7F0F">
        <w:t>pacientov s</w:t>
      </w:r>
      <w:r w:rsidR="00620849" w:rsidRPr="00ED7F0F">
        <w:t> </w:t>
      </w:r>
      <w:r w:rsidRPr="00ED7F0F">
        <w:t>Ph+ ALL).</w:t>
      </w:r>
    </w:p>
    <w:p w:rsidR="00AE6D42" w:rsidRPr="00ED7F0F" w:rsidRDefault="00AE6D42" w:rsidP="00122C9F">
      <w:pPr>
        <w:spacing w:line="259" w:lineRule="auto"/>
        <w:ind w:left="34"/>
      </w:pPr>
    </w:p>
    <w:p w:rsidR="00AE6D42" w:rsidRPr="00ED7F0F" w:rsidRDefault="00AE6D42" w:rsidP="00122C9F">
      <w:pPr>
        <w:rPr>
          <w:b/>
          <w:vertAlign w:val="superscript"/>
        </w:rPr>
      </w:pPr>
      <w:r w:rsidRPr="00ED7F0F">
        <w:rPr>
          <w:b/>
        </w:rPr>
        <w:t xml:space="preserve">Tabuľka 11: </w:t>
      </w:r>
      <w:r w:rsidRPr="00ED7F0F">
        <w:rPr>
          <w:b/>
        </w:rPr>
        <w:tab/>
        <w:t xml:space="preserve">Účinnosť </w:t>
      </w:r>
      <w:r w:rsidR="00346B1F" w:rsidRPr="00ED7F0F">
        <w:rPr>
          <w:b/>
        </w:rPr>
        <w:t>dasatin</w:t>
      </w:r>
      <w:r w:rsidR="00412D70" w:rsidRPr="00ED7F0F">
        <w:rPr>
          <w:b/>
        </w:rPr>
        <w:t>i</w:t>
      </w:r>
      <w:r w:rsidR="00346B1F" w:rsidRPr="00ED7F0F">
        <w:rPr>
          <w:b/>
        </w:rPr>
        <w:t>bu</w:t>
      </w:r>
      <w:r w:rsidRPr="00ED7F0F">
        <w:rPr>
          <w:b/>
        </w:rPr>
        <w:t xml:space="preserve"> vo fáze II klinických štúdií s</w:t>
      </w:r>
      <w:r w:rsidR="00346E3B" w:rsidRPr="00ED7F0F">
        <w:rPr>
          <w:b/>
        </w:rPr>
        <w:t> </w:t>
      </w:r>
      <w:r w:rsidRPr="00ED7F0F">
        <w:rPr>
          <w:b/>
        </w:rPr>
        <w:t>jednou skupinou</w:t>
      </w:r>
      <w:r w:rsidRPr="00ED7F0F">
        <w:rPr>
          <w:b/>
          <w:vertAlign w:val="superscript"/>
        </w:rPr>
        <w:t>a</w:t>
      </w:r>
    </w:p>
    <w:p w:rsidR="00C73C37" w:rsidRPr="00ED7F0F" w:rsidRDefault="00C73C37" w:rsidP="00122C9F">
      <w:pPr>
        <w:rPr>
          <w:b/>
        </w:rPr>
      </w:pPr>
    </w:p>
    <w:tbl>
      <w:tblPr>
        <w:tblStyle w:val="TableGrid"/>
        <w:tblW w:w="9205" w:type="dxa"/>
        <w:tblInd w:w="20" w:type="dxa"/>
        <w:tblLayout w:type="fixed"/>
        <w:tblCellMar>
          <w:top w:w="24" w:type="dxa"/>
          <w:bottom w:w="3" w:type="dxa"/>
          <w:right w:w="61" w:type="dxa"/>
        </w:tblCellMar>
        <w:tblLook w:val="04A0" w:firstRow="1" w:lastRow="0" w:firstColumn="1" w:lastColumn="0" w:noHBand="0" w:noVBand="1"/>
      </w:tblPr>
      <w:tblGrid>
        <w:gridCol w:w="1820"/>
        <w:gridCol w:w="81"/>
        <w:gridCol w:w="1618"/>
        <w:gridCol w:w="1426"/>
        <w:gridCol w:w="1419"/>
        <w:gridCol w:w="1415"/>
        <w:gridCol w:w="1416"/>
        <w:gridCol w:w="10"/>
      </w:tblGrid>
      <w:tr w:rsidR="00AC030B" w:rsidRPr="00ED7F0F" w:rsidTr="009A0932">
        <w:trPr>
          <w:gridAfter w:val="1"/>
          <w:wAfter w:w="10" w:type="dxa"/>
        </w:trPr>
        <w:tc>
          <w:tcPr>
            <w:tcW w:w="3519" w:type="dxa"/>
            <w:gridSpan w:val="3"/>
            <w:tcBorders>
              <w:top w:val="single" w:sz="3" w:space="0" w:color="000000"/>
              <w:left w:val="single" w:sz="4" w:space="0" w:color="auto"/>
              <w:bottom w:val="single" w:sz="4" w:space="0" w:color="000000"/>
              <w:right w:val="single" w:sz="4" w:space="0" w:color="auto"/>
            </w:tcBorders>
            <w:vAlign w:val="bottom"/>
          </w:tcPr>
          <w:p w:rsidR="00346B1F" w:rsidRPr="00ED7F0F" w:rsidRDefault="00346B1F" w:rsidP="002A76AC">
            <w:pPr>
              <w:tabs>
                <w:tab w:val="center" w:pos="2617"/>
                <w:tab w:val="center" w:pos="3925"/>
              </w:tabs>
              <w:spacing w:line="259" w:lineRule="auto"/>
              <w:ind w:left="2251"/>
              <w:rPr>
                <w:rFonts w:ascii="Times New Roman" w:hAnsi="Times New Roman" w:cs="Times New Roman"/>
                <w:sz w:val="20"/>
                <w:szCs w:val="20"/>
              </w:rPr>
            </w:pPr>
            <w:r w:rsidRPr="00ED7F0F">
              <w:rPr>
                <w:rFonts w:ascii="Times New Roman" w:hAnsi="Times New Roman" w:cs="Times New Roman"/>
                <w:b/>
                <w:sz w:val="20"/>
              </w:rPr>
              <w:t>Chronická fáza</w:t>
            </w:r>
          </w:p>
          <w:p w:rsidR="00346B1F" w:rsidRPr="00ED7F0F" w:rsidRDefault="00346B1F" w:rsidP="002A76AC">
            <w:pPr>
              <w:tabs>
                <w:tab w:val="center" w:pos="2617"/>
                <w:tab w:val="center" w:pos="3923"/>
              </w:tabs>
              <w:spacing w:line="259" w:lineRule="auto"/>
              <w:ind w:left="2251"/>
              <w:rPr>
                <w:rFonts w:ascii="Times New Roman" w:hAnsi="Times New Roman" w:cs="Times New Roman"/>
                <w:sz w:val="20"/>
                <w:szCs w:val="20"/>
              </w:rPr>
            </w:pPr>
            <w:r w:rsidRPr="00ED7F0F">
              <w:rPr>
                <w:rFonts w:ascii="Times New Roman" w:hAnsi="Times New Roman" w:cs="Times New Roman"/>
                <w:b/>
                <w:sz w:val="20"/>
              </w:rPr>
              <w:t>(n= 387)</w:t>
            </w:r>
          </w:p>
        </w:tc>
        <w:tc>
          <w:tcPr>
            <w:tcW w:w="1426" w:type="dxa"/>
            <w:tcBorders>
              <w:top w:val="single" w:sz="3" w:space="0" w:color="000000"/>
              <w:left w:val="single" w:sz="4" w:space="0" w:color="auto"/>
              <w:bottom w:val="single" w:sz="4" w:space="0" w:color="000000"/>
              <w:right w:val="single" w:sz="4" w:space="0" w:color="auto"/>
            </w:tcBorders>
            <w:vAlign w:val="bottom"/>
          </w:tcPr>
          <w:p w:rsidR="00346B1F" w:rsidRPr="00ED7F0F" w:rsidRDefault="00346B1F" w:rsidP="00122C9F">
            <w:pPr>
              <w:tabs>
                <w:tab w:val="clear" w:pos="567"/>
              </w:tabs>
              <w:spacing w:line="240" w:lineRule="auto"/>
              <w:jc w:val="center"/>
              <w:rPr>
                <w:rFonts w:ascii="Times New Roman" w:hAnsi="Times New Roman" w:cs="Times New Roman"/>
                <w:sz w:val="20"/>
                <w:szCs w:val="20"/>
              </w:rPr>
            </w:pPr>
            <w:r w:rsidRPr="00ED7F0F">
              <w:rPr>
                <w:rFonts w:ascii="Times New Roman" w:hAnsi="Times New Roman" w:cs="Times New Roman"/>
                <w:b/>
                <w:sz w:val="20"/>
              </w:rPr>
              <w:t>Akcelerovaná</w:t>
            </w:r>
          </w:p>
          <w:p w:rsidR="00346B1F" w:rsidRPr="00ED7F0F" w:rsidRDefault="00346B1F" w:rsidP="00122C9F">
            <w:pPr>
              <w:tabs>
                <w:tab w:val="center" w:pos="2617"/>
                <w:tab w:val="center" w:pos="3923"/>
              </w:tabs>
              <w:spacing w:line="259" w:lineRule="auto"/>
              <w:jc w:val="center"/>
              <w:rPr>
                <w:rFonts w:ascii="Times New Roman" w:hAnsi="Times New Roman" w:cs="Times New Roman"/>
                <w:sz w:val="20"/>
                <w:szCs w:val="20"/>
              </w:rPr>
            </w:pPr>
            <w:r w:rsidRPr="00ED7F0F">
              <w:rPr>
                <w:rFonts w:ascii="Times New Roman" w:hAnsi="Times New Roman" w:cs="Times New Roman"/>
                <w:b/>
                <w:sz w:val="20"/>
              </w:rPr>
              <w:t>(n= 174)</w:t>
            </w:r>
          </w:p>
        </w:tc>
        <w:tc>
          <w:tcPr>
            <w:tcW w:w="1419" w:type="dxa"/>
            <w:tcBorders>
              <w:top w:val="single" w:sz="3" w:space="0" w:color="000000"/>
              <w:left w:val="single" w:sz="4" w:space="0" w:color="auto"/>
              <w:bottom w:val="single" w:sz="4" w:space="0" w:color="000000"/>
              <w:right w:val="single" w:sz="4" w:space="0" w:color="auto"/>
            </w:tcBorders>
            <w:vAlign w:val="bottom"/>
          </w:tcPr>
          <w:p w:rsidR="00346B1F" w:rsidRPr="00ED7F0F" w:rsidRDefault="00346B1F" w:rsidP="00122C9F">
            <w:pPr>
              <w:spacing w:line="239" w:lineRule="auto"/>
              <w:ind w:left="124" w:hanging="104"/>
              <w:jc w:val="center"/>
              <w:rPr>
                <w:rFonts w:ascii="Times New Roman" w:hAnsi="Times New Roman" w:cs="Times New Roman"/>
                <w:sz w:val="20"/>
                <w:szCs w:val="20"/>
              </w:rPr>
            </w:pPr>
            <w:r w:rsidRPr="00ED7F0F">
              <w:rPr>
                <w:rFonts w:ascii="Times New Roman" w:hAnsi="Times New Roman" w:cs="Times New Roman"/>
                <w:b/>
                <w:sz w:val="20"/>
              </w:rPr>
              <w:t>Myeloidná blastová fáza</w:t>
            </w:r>
          </w:p>
          <w:p w:rsidR="00346B1F" w:rsidRPr="00ED7F0F" w:rsidRDefault="00346B1F" w:rsidP="00122C9F">
            <w:pPr>
              <w:spacing w:line="259" w:lineRule="auto"/>
              <w:ind w:left="126"/>
              <w:jc w:val="center"/>
              <w:rPr>
                <w:rFonts w:ascii="Times New Roman" w:hAnsi="Times New Roman" w:cs="Times New Roman"/>
                <w:sz w:val="20"/>
                <w:szCs w:val="20"/>
              </w:rPr>
            </w:pPr>
            <w:r w:rsidRPr="00ED7F0F">
              <w:rPr>
                <w:rFonts w:ascii="Times New Roman" w:hAnsi="Times New Roman" w:cs="Times New Roman"/>
                <w:b/>
                <w:sz w:val="20"/>
              </w:rPr>
              <w:t>(n= 109)</w:t>
            </w:r>
          </w:p>
        </w:tc>
        <w:tc>
          <w:tcPr>
            <w:tcW w:w="1415" w:type="dxa"/>
            <w:tcBorders>
              <w:top w:val="single" w:sz="3" w:space="0" w:color="000000"/>
              <w:left w:val="single" w:sz="4" w:space="0" w:color="auto"/>
              <w:bottom w:val="single" w:sz="4" w:space="0" w:color="000000"/>
              <w:right w:val="single" w:sz="4" w:space="0" w:color="auto"/>
            </w:tcBorders>
            <w:vAlign w:val="bottom"/>
          </w:tcPr>
          <w:p w:rsidR="00346B1F" w:rsidRPr="00ED7F0F" w:rsidRDefault="00346B1F" w:rsidP="00122C9F">
            <w:pPr>
              <w:spacing w:line="259" w:lineRule="auto"/>
              <w:ind w:left="18" w:firstLine="36"/>
              <w:jc w:val="center"/>
              <w:rPr>
                <w:rFonts w:ascii="Times New Roman" w:hAnsi="Times New Roman" w:cs="Times New Roman"/>
                <w:sz w:val="20"/>
                <w:szCs w:val="20"/>
              </w:rPr>
            </w:pPr>
            <w:r w:rsidRPr="00ED7F0F">
              <w:rPr>
                <w:rFonts w:ascii="Times New Roman" w:hAnsi="Times New Roman" w:cs="Times New Roman"/>
                <w:b/>
                <w:sz w:val="20"/>
              </w:rPr>
              <w:t>Lymfoidná blastová fáza (n= 48)</w:t>
            </w:r>
          </w:p>
        </w:tc>
        <w:tc>
          <w:tcPr>
            <w:tcW w:w="1416" w:type="dxa"/>
            <w:tcBorders>
              <w:top w:val="single" w:sz="3" w:space="0" w:color="000000"/>
              <w:left w:val="single" w:sz="4" w:space="0" w:color="auto"/>
              <w:bottom w:val="single" w:sz="4" w:space="0" w:color="000000"/>
              <w:right w:val="single" w:sz="4" w:space="0" w:color="auto"/>
            </w:tcBorders>
            <w:vAlign w:val="bottom"/>
          </w:tcPr>
          <w:p w:rsidR="00AC030B" w:rsidRPr="00ED7F0F" w:rsidRDefault="00346B1F" w:rsidP="00122C9F">
            <w:pPr>
              <w:spacing w:line="259" w:lineRule="auto"/>
              <w:ind w:left="228" w:hanging="103"/>
              <w:jc w:val="center"/>
              <w:rPr>
                <w:rFonts w:ascii="Times New Roman" w:hAnsi="Times New Roman" w:cs="Times New Roman"/>
                <w:b/>
                <w:sz w:val="20"/>
                <w:szCs w:val="20"/>
              </w:rPr>
            </w:pPr>
            <w:r w:rsidRPr="00ED7F0F">
              <w:rPr>
                <w:rFonts w:ascii="Times New Roman" w:hAnsi="Times New Roman" w:cs="Times New Roman"/>
                <w:b/>
                <w:sz w:val="20"/>
              </w:rPr>
              <w:t>Ph+ ALL</w:t>
            </w:r>
          </w:p>
          <w:p w:rsidR="00346B1F" w:rsidRPr="00ED7F0F" w:rsidRDefault="00346B1F" w:rsidP="00122C9F">
            <w:pPr>
              <w:spacing w:line="259" w:lineRule="auto"/>
              <w:ind w:left="228" w:hanging="103"/>
              <w:jc w:val="center"/>
              <w:rPr>
                <w:rFonts w:ascii="Times New Roman" w:hAnsi="Times New Roman" w:cs="Times New Roman"/>
                <w:sz w:val="20"/>
                <w:szCs w:val="20"/>
              </w:rPr>
            </w:pPr>
            <w:r w:rsidRPr="00ED7F0F">
              <w:rPr>
                <w:rFonts w:ascii="Times New Roman" w:hAnsi="Times New Roman" w:cs="Times New Roman"/>
                <w:b/>
                <w:sz w:val="20"/>
              </w:rPr>
              <w:t>(n= 46)</w:t>
            </w:r>
          </w:p>
        </w:tc>
      </w:tr>
      <w:tr w:rsidR="00AC030B" w:rsidRPr="00ED7F0F" w:rsidTr="009A0932">
        <w:trPr>
          <w:gridAfter w:val="1"/>
          <w:wAfter w:w="10" w:type="dxa"/>
        </w:trPr>
        <w:tc>
          <w:tcPr>
            <w:tcW w:w="3519" w:type="dxa"/>
            <w:gridSpan w:val="3"/>
            <w:tcBorders>
              <w:top w:val="single" w:sz="4" w:space="0" w:color="000000"/>
              <w:left w:val="single" w:sz="4" w:space="0" w:color="auto"/>
              <w:bottom w:val="single" w:sz="3" w:space="0" w:color="000000"/>
              <w:right w:val="single" w:sz="4" w:space="0" w:color="auto"/>
            </w:tcBorders>
            <w:vAlign w:val="bottom"/>
          </w:tcPr>
          <w:p w:rsidR="00346B1F" w:rsidRPr="00ED7F0F" w:rsidRDefault="00346B1F" w:rsidP="00122C9F">
            <w:pPr>
              <w:tabs>
                <w:tab w:val="center" w:pos="2617"/>
                <w:tab w:val="center" w:pos="3925"/>
              </w:tabs>
              <w:spacing w:line="259" w:lineRule="auto"/>
              <w:ind w:left="122"/>
              <w:rPr>
                <w:rFonts w:ascii="Times New Roman" w:hAnsi="Times New Roman" w:cs="Times New Roman"/>
                <w:sz w:val="20"/>
                <w:szCs w:val="20"/>
              </w:rPr>
            </w:pPr>
            <w:r w:rsidRPr="00ED7F0F">
              <w:rPr>
                <w:rFonts w:ascii="Times New Roman" w:hAnsi="Times New Roman" w:cs="Times New Roman"/>
                <w:b/>
                <w:sz w:val="20"/>
              </w:rPr>
              <w:t>Pomer hematologickej odpovede (%)</w:t>
            </w:r>
            <w:r w:rsidR="00AC030B" w:rsidRPr="00ED7F0F">
              <w:rPr>
                <w:rFonts w:ascii="Times New Roman" w:hAnsi="Times New Roman" w:cs="Times New Roman"/>
                <w:b/>
                <w:sz w:val="20"/>
                <w:vertAlign w:val="superscript"/>
              </w:rPr>
              <w:t>b</w:t>
            </w:r>
          </w:p>
        </w:tc>
        <w:tc>
          <w:tcPr>
            <w:tcW w:w="1426" w:type="dxa"/>
            <w:tcBorders>
              <w:top w:val="single" w:sz="4" w:space="0" w:color="000000"/>
              <w:left w:val="single" w:sz="4" w:space="0" w:color="auto"/>
              <w:bottom w:val="single" w:sz="3" w:space="0" w:color="000000"/>
              <w:right w:val="single" w:sz="4" w:space="0" w:color="auto"/>
            </w:tcBorders>
            <w:vAlign w:val="bottom"/>
          </w:tcPr>
          <w:p w:rsidR="00346B1F" w:rsidRPr="00ED7F0F" w:rsidRDefault="00346B1F" w:rsidP="00122C9F">
            <w:pPr>
              <w:spacing w:line="259" w:lineRule="auto"/>
              <w:ind w:left="115"/>
              <w:jc w:val="center"/>
              <w:rPr>
                <w:rFonts w:ascii="Times New Roman" w:hAnsi="Times New Roman" w:cs="Times New Roman"/>
                <w:sz w:val="20"/>
                <w:szCs w:val="20"/>
              </w:rPr>
            </w:pPr>
          </w:p>
        </w:tc>
        <w:tc>
          <w:tcPr>
            <w:tcW w:w="1419" w:type="dxa"/>
            <w:tcBorders>
              <w:top w:val="single" w:sz="4" w:space="0" w:color="000000"/>
              <w:left w:val="single" w:sz="4" w:space="0" w:color="auto"/>
              <w:bottom w:val="single" w:sz="3" w:space="0" w:color="000000"/>
              <w:right w:val="single" w:sz="4" w:space="0" w:color="auto"/>
            </w:tcBorders>
            <w:vAlign w:val="bottom"/>
          </w:tcPr>
          <w:p w:rsidR="00346B1F" w:rsidRPr="00ED7F0F" w:rsidRDefault="00346B1F" w:rsidP="00122C9F">
            <w:pPr>
              <w:spacing w:after="160" w:line="259" w:lineRule="auto"/>
              <w:jc w:val="center"/>
              <w:rPr>
                <w:rFonts w:ascii="Times New Roman" w:hAnsi="Times New Roman" w:cs="Times New Roman"/>
                <w:sz w:val="20"/>
                <w:szCs w:val="20"/>
              </w:rPr>
            </w:pPr>
          </w:p>
        </w:tc>
        <w:tc>
          <w:tcPr>
            <w:tcW w:w="1415" w:type="dxa"/>
            <w:tcBorders>
              <w:top w:val="single" w:sz="4" w:space="0" w:color="000000"/>
              <w:left w:val="single" w:sz="4" w:space="0" w:color="auto"/>
              <w:bottom w:val="single" w:sz="3" w:space="0" w:color="000000"/>
              <w:right w:val="single" w:sz="4" w:space="0" w:color="auto"/>
            </w:tcBorders>
            <w:vAlign w:val="bottom"/>
          </w:tcPr>
          <w:p w:rsidR="00346B1F" w:rsidRPr="00ED7F0F" w:rsidRDefault="00346B1F" w:rsidP="00122C9F">
            <w:pPr>
              <w:spacing w:after="160" w:line="259" w:lineRule="auto"/>
              <w:jc w:val="center"/>
              <w:rPr>
                <w:rFonts w:ascii="Times New Roman" w:hAnsi="Times New Roman" w:cs="Times New Roman"/>
                <w:sz w:val="20"/>
                <w:szCs w:val="20"/>
              </w:rPr>
            </w:pPr>
          </w:p>
        </w:tc>
        <w:tc>
          <w:tcPr>
            <w:tcW w:w="1416" w:type="dxa"/>
            <w:tcBorders>
              <w:top w:val="single" w:sz="4" w:space="0" w:color="000000"/>
              <w:left w:val="single" w:sz="4" w:space="0" w:color="auto"/>
              <w:bottom w:val="single" w:sz="3" w:space="0" w:color="000000"/>
              <w:right w:val="single" w:sz="4" w:space="0" w:color="auto"/>
            </w:tcBorders>
            <w:vAlign w:val="bottom"/>
          </w:tcPr>
          <w:p w:rsidR="00346B1F" w:rsidRPr="00ED7F0F" w:rsidRDefault="00346B1F" w:rsidP="00122C9F">
            <w:pPr>
              <w:spacing w:after="160" w:line="259" w:lineRule="auto"/>
              <w:jc w:val="center"/>
              <w:rPr>
                <w:rFonts w:ascii="Times New Roman" w:hAnsi="Times New Roman" w:cs="Times New Roman"/>
                <w:sz w:val="20"/>
                <w:szCs w:val="20"/>
              </w:rPr>
            </w:pPr>
          </w:p>
        </w:tc>
      </w:tr>
      <w:tr w:rsidR="00657D4A" w:rsidRPr="00ED7F0F" w:rsidTr="009A0932">
        <w:trPr>
          <w:gridAfter w:val="1"/>
          <w:wAfter w:w="10" w:type="dxa"/>
        </w:trPr>
        <w:tc>
          <w:tcPr>
            <w:tcW w:w="1820" w:type="dxa"/>
            <w:tcBorders>
              <w:top w:val="single" w:sz="3" w:space="0" w:color="000000"/>
              <w:left w:val="single" w:sz="4" w:space="0" w:color="auto"/>
              <w:bottom w:val="nil"/>
              <w:right w:val="single" w:sz="4" w:space="0" w:color="auto"/>
            </w:tcBorders>
            <w:vAlign w:val="bottom"/>
          </w:tcPr>
          <w:p w:rsidR="00657D4A" w:rsidRPr="00ED7F0F" w:rsidRDefault="00657D4A" w:rsidP="00122C9F">
            <w:pPr>
              <w:tabs>
                <w:tab w:val="center" w:pos="2617"/>
                <w:tab w:val="center" w:pos="3925"/>
              </w:tabs>
              <w:spacing w:line="259" w:lineRule="auto"/>
              <w:ind w:left="122"/>
              <w:rPr>
                <w:rFonts w:ascii="Times New Roman" w:hAnsi="Times New Roman" w:cs="Times New Roman"/>
                <w:sz w:val="20"/>
                <w:szCs w:val="20"/>
              </w:rPr>
            </w:pPr>
            <w:r w:rsidRPr="00ED7F0F">
              <w:rPr>
                <w:rFonts w:ascii="Times New Roman" w:hAnsi="Times New Roman" w:cs="Times New Roman"/>
                <w:sz w:val="20"/>
              </w:rPr>
              <w:t>MaHR (95% CI)</w:t>
            </w:r>
          </w:p>
        </w:tc>
        <w:tc>
          <w:tcPr>
            <w:tcW w:w="1699" w:type="dxa"/>
            <w:gridSpan w:val="2"/>
            <w:tcBorders>
              <w:top w:val="single" w:sz="4" w:space="0" w:color="000000"/>
              <w:left w:val="nil"/>
              <w:right w:val="single" w:sz="4" w:space="0" w:color="auto"/>
            </w:tcBorders>
            <w:vAlign w:val="bottom"/>
          </w:tcPr>
          <w:p w:rsidR="00657D4A" w:rsidRPr="00ED7F0F" w:rsidRDefault="00657D4A" w:rsidP="00122C9F">
            <w:pPr>
              <w:tabs>
                <w:tab w:val="center" w:pos="2617"/>
                <w:tab w:val="center" w:pos="3925"/>
              </w:tabs>
              <w:spacing w:line="259" w:lineRule="auto"/>
              <w:jc w:val="center"/>
              <w:rPr>
                <w:rFonts w:ascii="Times New Roman" w:hAnsi="Times New Roman" w:cs="Times New Roman"/>
                <w:sz w:val="20"/>
                <w:szCs w:val="20"/>
              </w:rPr>
            </w:pPr>
            <w:r w:rsidRPr="00ED7F0F">
              <w:rPr>
                <w:rFonts w:ascii="Times New Roman" w:hAnsi="Times New Roman" w:cs="Times New Roman"/>
                <w:sz w:val="20"/>
              </w:rPr>
              <w:t>n/a</w:t>
            </w:r>
          </w:p>
        </w:tc>
        <w:tc>
          <w:tcPr>
            <w:tcW w:w="1426" w:type="dxa"/>
            <w:tcBorders>
              <w:top w:val="single" w:sz="3" w:space="0" w:color="000000"/>
              <w:left w:val="single" w:sz="4" w:space="0" w:color="auto"/>
              <w:right w:val="single" w:sz="4" w:space="0" w:color="auto"/>
            </w:tcBorders>
            <w:vAlign w:val="bottom"/>
          </w:tcPr>
          <w:p w:rsidR="00657D4A" w:rsidRPr="00ED7F0F" w:rsidRDefault="00657D4A" w:rsidP="00122C9F">
            <w:pPr>
              <w:spacing w:line="259" w:lineRule="auto"/>
              <w:ind w:left="302" w:hanging="310"/>
              <w:jc w:val="center"/>
              <w:rPr>
                <w:rFonts w:ascii="Times New Roman" w:hAnsi="Times New Roman" w:cs="Times New Roman"/>
                <w:sz w:val="20"/>
                <w:szCs w:val="20"/>
              </w:rPr>
            </w:pPr>
            <w:r w:rsidRPr="00ED7F0F">
              <w:rPr>
                <w:rFonts w:ascii="Times New Roman" w:hAnsi="Times New Roman" w:cs="Times New Roman"/>
                <w:b/>
                <w:sz w:val="20"/>
              </w:rPr>
              <w:t>64% (57 – 72)</w:t>
            </w:r>
          </w:p>
        </w:tc>
        <w:tc>
          <w:tcPr>
            <w:tcW w:w="1419" w:type="dxa"/>
            <w:tcBorders>
              <w:top w:val="single" w:sz="3" w:space="0" w:color="000000"/>
              <w:left w:val="single" w:sz="4" w:space="0" w:color="auto"/>
              <w:right w:val="single" w:sz="4" w:space="0" w:color="auto"/>
            </w:tcBorders>
            <w:vAlign w:val="bottom"/>
          </w:tcPr>
          <w:p w:rsidR="00657D4A" w:rsidRPr="00ED7F0F" w:rsidRDefault="00657D4A" w:rsidP="00122C9F">
            <w:pPr>
              <w:spacing w:line="259" w:lineRule="auto"/>
              <w:ind w:left="354" w:hanging="310"/>
              <w:jc w:val="center"/>
              <w:rPr>
                <w:rFonts w:ascii="Times New Roman" w:hAnsi="Times New Roman" w:cs="Times New Roman"/>
                <w:sz w:val="20"/>
                <w:szCs w:val="20"/>
              </w:rPr>
            </w:pPr>
            <w:r w:rsidRPr="00ED7F0F">
              <w:rPr>
                <w:rFonts w:ascii="Times New Roman" w:hAnsi="Times New Roman" w:cs="Times New Roman"/>
                <w:b/>
                <w:sz w:val="20"/>
              </w:rPr>
              <w:t>33% (24 – 43)</w:t>
            </w:r>
          </w:p>
        </w:tc>
        <w:tc>
          <w:tcPr>
            <w:tcW w:w="1415" w:type="dxa"/>
            <w:tcBorders>
              <w:top w:val="single" w:sz="3" w:space="0" w:color="000000"/>
              <w:left w:val="single" w:sz="4" w:space="0" w:color="auto"/>
              <w:right w:val="single" w:sz="4" w:space="0" w:color="auto"/>
            </w:tcBorders>
            <w:vAlign w:val="bottom"/>
          </w:tcPr>
          <w:p w:rsidR="00657D4A" w:rsidRPr="00ED7F0F" w:rsidRDefault="00657D4A" w:rsidP="00122C9F">
            <w:pPr>
              <w:spacing w:line="259" w:lineRule="auto"/>
              <w:ind w:left="405" w:hanging="310"/>
              <w:jc w:val="center"/>
              <w:rPr>
                <w:rFonts w:ascii="Times New Roman" w:hAnsi="Times New Roman" w:cs="Times New Roman"/>
                <w:sz w:val="20"/>
                <w:szCs w:val="20"/>
              </w:rPr>
            </w:pPr>
            <w:r w:rsidRPr="00ED7F0F">
              <w:rPr>
                <w:rFonts w:ascii="Times New Roman" w:hAnsi="Times New Roman" w:cs="Times New Roman"/>
                <w:b/>
                <w:sz w:val="20"/>
              </w:rPr>
              <w:t>35% (22 – 51)</w:t>
            </w:r>
          </w:p>
        </w:tc>
        <w:tc>
          <w:tcPr>
            <w:tcW w:w="1416" w:type="dxa"/>
            <w:tcBorders>
              <w:top w:val="single" w:sz="3" w:space="0" w:color="000000"/>
              <w:left w:val="single" w:sz="4" w:space="0" w:color="auto"/>
              <w:right w:val="single" w:sz="4" w:space="0" w:color="auto"/>
            </w:tcBorders>
            <w:vAlign w:val="bottom"/>
          </w:tcPr>
          <w:p w:rsidR="00657D4A" w:rsidRPr="00ED7F0F" w:rsidRDefault="00657D4A" w:rsidP="00122C9F">
            <w:pPr>
              <w:spacing w:line="259" w:lineRule="auto"/>
              <w:ind w:left="406" w:hanging="310"/>
              <w:jc w:val="center"/>
              <w:rPr>
                <w:rFonts w:ascii="Times New Roman" w:hAnsi="Times New Roman" w:cs="Times New Roman"/>
                <w:sz w:val="20"/>
                <w:szCs w:val="20"/>
              </w:rPr>
            </w:pPr>
            <w:r w:rsidRPr="00ED7F0F">
              <w:rPr>
                <w:rFonts w:ascii="Times New Roman" w:hAnsi="Times New Roman" w:cs="Times New Roman"/>
                <w:b/>
                <w:sz w:val="20"/>
              </w:rPr>
              <w:t>41% (27 – 57)</w:t>
            </w:r>
          </w:p>
        </w:tc>
      </w:tr>
      <w:tr w:rsidR="00657D4A" w:rsidRPr="00ED7F0F" w:rsidTr="009A0932">
        <w:trPr>
          <w:gridAfter w:val="1"/>
          <w:wAfter w:w="10" w:type="dxa"/>
          <w:trHeight w:val="641"/>
        </w:trPr>
        <w:tc>
          <w:tcPr>
            <w:tcW w:w="1820" w:type="dxa"/>
            <w:tcBorders>
              <w:top w:val="nil"/>
              <w:left w:val="single" w:sz="4" w:space="0" w:color="auto"/>
              <w:bottom w:val="nil"/>
              <w:right w:val="single" w:sz="4" w:space="0" w:color="auto"/>
            </w:tcBorders>
            <w:vAlign w:val="bottom"/>
          </w:tcPr>
          <w:p w:rsidR="00657D4A" w:rsidRPr="00ED7F0F" w:rsidRDefault="00657D4A" w:rsidP="009A0932">
            <w:pPr>
              <w:tabs>
                <w:tab w:val="center" w:pos="2617"/>
                <w:tab w:val="center" w:pos="3925"/>
              </w:tabs>
              <w:spacing w:line="259" w:lineRule="auto"/>
              <w:ind w:left="267"/>
              <w:rPr>
                <w:rFonts w:ascii="Times New Roman" w:hAnsi="Times New Roman" w:cs="Times New Roman"/>
                <w:sz w:val="20"/>
                <w:szCs w:val="20"/>
              </w:rPr>
            </w:pPr>
            <w:r w:rsidRPr="00ED7F0F">
              <w:rPr>
                <w:rFonts w:ascii="Times New Roman" w:hAnsi="Times New Roman" w:cs="Times New Roman"/>
                <w:sz w:val="20"/>
              </w:rPr>
              <w:t>CHR (95% CI)</w:t>
            </w:r>
          </w:p>
        </w:tc>
        <w:tc>
          <w:tcPr>
            <w:tcW w:w="1699" w:type="dxa"/>
            <w:gridSpan w:val="2"/>
            <w:tcBorders>
              <w:top w:val="nil"/>
              <w:left w:val="nil"/>
              <w:right w:val="single" w:sz="4" w:space="0" w:color="auto"/>
            </w:tcBorders>
            <w:vAlign w:val="bottom"/>
          </w:tcPr>
          <w:p w:rsidR="00657D4A" w:rsidRPr="00ED7F0F" w:rsidRDefault="00657D4A" w:rsidP="00122C9F">
            <w:pPr>
              <w:tabs>
                <w:tab w:val="center" w:pos="2617"/>
                <w:tab w:val="center" w:pos="3925"/>
              </w:tabs>
              <w:spacing w:line="259" w:lineRule="auto"/>
              <w:ind w:left="122"/>
              <w:rPr>
                <w:rFonts w:ascii="Times New Roman" w:hAnsi="Times New Roman" w:cs="Times New Roman"/>
                <w:sz w:val="20"/>
                <w:szCs w:val="20"/>
              </w:rPr>
            </w:pPr>
            <w:r w:rsidRPr="00ED7F0F">
              <w:rPr>
                <w:rFonts w:ascii="Times New Roman" w:hAnsi="Times New Roman" w:cs="Times New Roman"/>
                <w:sz w:val="20"/>
              </w:rPr>
              <w:t>91% (88 – 94)</w:t>
            </w:r>
          </w:p>
        </w:tc>
        <w:tc>
          <w:tcPr>
            <w:tcW w:w="1426" w:type="dxa"/>
            <w:tcBorders>
              <w:top w:val="nil"/>
              <w:left w:val="single" w:sz="4" w:space="0" w:color="auto"/>
              <w:bottom w:val="nil"/>
              <w:right w:val="single" w:sz="4" w:space="0" w:color="auto"/>
            </w:tcBorders>
            <w:vAlign w:val="bottom"/>
          </w:tcPr>
          <w:p w:rsidR="00657D4A" w:rsidRPr="00ED7F0F" w:rsidRDefault="00657D4A" w:rsidP="00122C9F">
            <w:pPr>
              <w:tabs>
                <w:tab w:val="center" w:pos="2617"/>
                <w:tab w:val="center" w:pos="3925"/>
              </w:tabs>
              <w:spacing w:line="259" w:lineRule="auto"/>
              <w:ind w:left="122"/>
              <w:jc w:val="center"/>
              <w:rPr>
                <w:rFonts w:ascii="Times New Roman" w:hAnsi="Times New Roman" w:cs="Times New Roman"/>
                <w:sz w:val="20"/>
                <w:szCs w:val="20"/>
              </w:rPr>
            </w:pPr>
            <w:r w:rsidRPr="00ED7F0F">
              <w:rPr>
                <w:rFonts w:ascii="Times New Roman" w:hAnsi="Times New Roman" w:cs="Times New Roman"/>
                <w:sz w:val="20"/>
              </w:rPr>
              <w:t>50% (42 – 58)</w:t>
            </w:r>
          </w:p>
        </w:tc>
        <w:tc>
          <w:tcPr>
            <w:tcW w:w="1419" w:type="dxa"/>
            <w:tcBorders>
              <w:top w:val="nil"/>
              <w:left w:val="single" w:sz="4" w:space="0" w:color="auto"/>
              <w:bottom w:val="nil"/>
              <w:right w:val="single" w:sz="4" w:space="0" w:color="auto"/>
            </w:tcBorders>
            <w:vAlign w:val="bottom"/>
          </w:tcPr>
          <w:p w:rsidR="00657D4A" w:rsidRPr="00ED7F0F" w:rsidRDefault="00657D4A" w:rsidP="00122C9F">
            <w:pPr>
              <w:tabs>
                <w:tab w:val="center" w:pos="2617"/>
                <w:tab w:val="center" w:pos="3925"/>
              </w:tabs>
              <w:spacing w:line="259" w:lineRule="auto"/>
              <w:ind w:left="122"/>
              <w:jc w:val="center"/>
              <w:rPr>
                <w:rFonts w:ascii="Times New Roman" w:hAnsi="Times New Roman" w:cs="Times New Roman"/>
                <w:sz w:val="20"/>
                <w:szCs w:val="20"/>
              </w:rPr>
            </w:pPr>
            <w:r w:rsidRPr="00ED7F0F">
              <w:rPr>
                <w:rFonts w:ascii="Times New Roman" w:hAnsi="Times New Roman" w:cs="Times New Roman"/>
                <w:sz w:val="20"/>
              </w:rPr>
              <w:t>26% (18 – 35)</w:t>
            </w:r>
          </w:p>
        </w:tc>
        <w:tc>
          <w:tcPr>
            <w:tcW w:w="1415" w:type="dxa"/>
            <w:tcBorders>
              <w:top w:val="nil"/>
              <w:left w:val="single" w:sz="4" w:space="0" w:color="auto"/>
              <w:bottom w:val="nil"/>
              <w:right w:val="single" w:sz="4" w:space="0" w:color="auto"/>
            </w:tcBorders>
            <w:vAlign w:val="bottom"/>
          </w:tcPr>
          <w:p w:rsidR="00657D4A" w:rsidRPr="00ED7F0F" w:rsidRDefault="00657D4A" w:rsidP="00122C9F">
            <w:pPr>
              <w:tabs>
                <w:tab w:val="center" w:pos="2617"/>
                <w:tab w:val="center" w:pos="3925"/>
              </w:tabs>
              <w:spacing w:line="259" w:lineRule="auto"/>
              <w:ind w:left="122"/>
              <w:jc w:val="center"/>
              <w:rPr>
                <w:rFonts w:ascii="Times New Roman" w:hAnsi="Times New Roman" w:cs="Times New Roman"/>
                <w:sz w:val="20"/>
                <w:szCs w:val="20"/>
              </w:rPr>
            </w:pPr>
            <w:r w:rsidRPr="00ED7F0F">
              <w:rPr>
                <w:rFonts w:ascii="Times New Roman" w:hAnsi="Times New Roman" w:cs="Times New Roman"/>
                <w:sz w:val="20"/>
              </w:rPr>
              <w:t>29% (17 – 44)</w:t>
            </w:r>
          </w:p>
        </w:tc>
        <w:tc>
          <w:tcPr>
            <w:tcW w:w="1416" w:type="dxa"/>
            <w:tcBorders>
              <w:top w:val="nil"/>
              <w:left w:val="single" w:sz="4" w:space="0" w:color="auto"/>
              <w:bottom w:val="nil"/>
              <w:right w:val="single" w:sz="4" w:space="0" w:color="auto"/>
            </w:tcBorders>
            <w:vAlign w:val="bottom"/>
          </w:tcPr>
          <w:p w:rsidR="00657D4A" w:rsidRPr="00ED7F0F" w:rsidRDefault="00657D4A" w:rsidP="00122C9F">
            <w:pPr>
              <w:tabs>
                <w:tab w:val="center" w:pos="2617"/>
                <w:tab w:val="center" w:pos="3925"/>
              </w:tabs>
              <w:spacing w:line="259" w:lineRule="auto"/>
              <w:ind w:left="122"/>
              <w:jc w:val="center"/>
              <w:rPr>
                <w:rFonts w:ascii="Times New Roman" w:hAnsi="Times New Roman" w:cs="Times New Roman"/>
                <w:sz w:val="20"/>
                <w:szCs w:val="20"/>
              </w:rPr>
            </w:pPr>
            <w:r w:rsidRPr="00ED7F0F">
              <w:rPr>
                <w:rFonts w:ascii="Times New Roman" w:hAnsi="Times New Roman" w:cs="Times New Roman"/>
                <w:sz w:val="20"/>
              </w:rPr>
              <w:t>35% (21 – 50)</w:t>
            </w:r>
          </w:p>
        </w:tc>
      </w:tr>
      <w:tr w:rsidR="00657D4A" w:rsidRPr="00ED7F0F" w:rsidTr="009A0932">
        <w:trPr>
          <w:gridAfter w:val="1"/>
          <w:wAfter w:w="10" w:type="dxa"/>
        </w:trPr>
        <w:tc>
          <w:tcPr>
            <w:tcW w:w="1820" w:type="dxa"/>
            <w:tcBorders>
              <w:top w:val="nil"/>
              <w:left w:val="single" w:sz="4" w:space="0" w:color="auto"/>
              <w:bottom w:val="single" w:sz="4" w:space="0" w:color="auto"/>
              <w:right w:val="single" w:sz="4" w:space="0" w:color="auto"/>
            </w:tcBorders>
            <w:vAlign w:val="bottom"/>
          </w:tcPr>
          <w:p w:rsidR="00657D4A" w:rsidRPr="00ED7F0F" w:rsidRDefault="00657D4A" w:rsidP="009A0932">
            <w:pPr>
              <w:tabs>
                <w:tab w:val="center" w:pos="2617"/>
                <w:tab w:val="center" w:pos="3925"/>
              </w:tabs>
              <w:spacing w:line="259" w:lineRule="auto"/>
              <w:ind w:left="267"/>
              <w:rPr>
                <w:rFonts w:ascii="Times New Roman" w:hAnsi="Times New Roman" w:cs="Times New Roman"/>
                <w:sz w:val="20"/>
                <w:szCs w:val="20"/>
              </w:rPr>
            </w:pPr>
            <w:r w:rsidRPr="00ED7F0F">
              <w:rPr>
                <w:rFonts w:ascii="Times New Roman" w:hAnsi="Times New Roman" w:cs="Times New Roman"/>
                <w:sz w:val="20"/>
              </w:rPr>
              <w:t>NEL (95% CI)</w:t>
            </w:r>
          </w:p>
        </w:tc>
        <w:tc>
          <w:tcPr>
            <w:tcW w:w="1699" w:type="dxa"/>
            <w:gridSpan w:val="2"/>
            <w:tcBorders>
              <w:left w:val="nil"/>
              <w:bottom w:val="single" w:sz="4" w:space="0" w:color="auto"/>
              <w:right w:val="single" w:sz="4" w:space="0" w:color="auto"/>
            </w:tcBorders>
            <w:vAlign w:val="bottom"/>
          </w:tcPr>
          <w:p w:rsidR="00657D4A" w:rsidRPr="00ED7F0F" w:rsidRDefault="00657D4A" w:rsidP="00122C9F">
            <w:pPr>
              <w:tabs>
                <w:tab w:val="center" w:pos="2617"/>
                <w:tab w:val="center" w:pos="3925"/>
              </w:tabs>
              <w:spacing w:line="259" w:lineRule="auto"/>
              <w:ind w:left="622"/>
              <w:rPr>
                <w:rFonts w:ascii="Times New Roman" w:hAnsi="Times New Roman" w:cs="Times New Roman"/>
                <w:sz w:val="20"/>
                <w:szCs w:val="20"/>
              </w:rPr>
            </w:pPr>
            <w:r w:rsidRPr="00ED7F0F">
              <w:rPr>
                <w:rFonts w:ascii="Times New Roman" w:hAnsi="Times New Roman" w:cs="Times New Roman"/>
                <w:sz w:val="20"/>
              </w:rPr>
              <w:t>n/a</w:t>
            </w:r>
          </w:p>
        </w:tc>
        <w:tc>
          <w:tcPr>
            <w:tcW w:w="1426" w:type="dxa"/>
            <w:tcBorders>
              <w:top w:val="nil"/>
              <w:left w:val="single" w:sz="4" w:space="0" w:color="auto"/>
              <w:bottom w:val="single" w:sz="4" w:space="0" w:color="auto"/>
              <w:right w:val="single" w:sz="4" w:space="0" w:color="auto"/>
            </w:tcBorders>
            <w:vAlign w:val="bottom"/>
          </w:tcPr>
          <w:p w:rsidR="00657D4A" w:rsidRPr="00ED7F0F" w:rsidRDefault="00657D4A" w:rsidP="00122C9F">
            <w:pPr>
              <w:spacing w:line="259" w:lineRule="auto"/>
              <w:ind w:left="301" w:hanging="293"/>
              <w:jc w:val="center"/>
              <w:rPr>
                <w:rFonts w:ascii="Times New Roman" w:hAnsi="Times New Roman" w:cs="Times New Roman"/>
                <w:sz w:val="20"/>
                <w:szCs w:val="20"/>
              </w:rPr>
            </w:pPr>
            <w:r w:rsidRPr="00ED7F0F">
              <w:rPr>
                <w:rFonts w:ascii="Times New Roman" w:hAnsi="Times New Roman" w:cs="Times New Roman"/>
                <w:sz w:val="20"/>
              </w:rPr>
              <w:t>14% (10 – 21)</w:t>
            </w:r>
          </w:p>
        </w:tc>
        <w:tc>
          <w:tcPr>
            <w:tcW w:w="1419" w:type="dxa"/>
            <w:tcBorders>
              <w:top w:val="nil"/>
              <w:left w:val="single" w:sz="4" w:space="0" w:color="auto"/>
              <w:bottom w:val="single" w:sz="4" w:space="0" w:color="auto"/>
              <w:right w:val="single" w:sz="4" w:space="0" w:color="auto"/>
            </w:tcBorders>
            <w:vAlign w:val="bottom"/>
          </w:tcPr>
          <w:p w:rsidR="00657D4A" w:rsidRPr="00ED7F0F" w:rsidRDefault="00657D4A" w:rsidP="00122C9F">
            <w:pPr>
              <w:spacing w:line="259" w:lineRule="auto"/>
              <w:jc w:val="center"/>
              <w:rPr>
                <w:rFonts w:ascii="Times New Roman" w:hAnsi="Times New Roman" w:cs="Times New Roman"/>
                <w:sz w:val="20"/>
                <w:szCs w:val="20"/>
              </w:rPr>
            </w:pPr>
            <w:r w:rsidRPr="00ED7F0F">
              <w:rPr>
                <w:rFonts w:ascii="Times New Roman" w:hAnsi="Times New Roman" w:cs="Times New Roman"/>
                <w:sz w:val="20"/>
              </w:rPr>
              <w:t>7% (3 – 14)</w:t>
            </w:r>
          </w:p>
        </w:tc>
        <w:tc>
          <w:tcPr>
            <w:tcW w:w="1415" w:type="dxa"/>
            <w:tcBorders>
              <w:top w:val="nil"/>
              <w:left w:val="single" w:sz="4" w:space="0" w:color="auto"/>
              <w:bottom w:val="single" w:sz="4" w:space="0" w:color="auto"/>
              <w:right w:val="single" w:sz="4" w:space="0" w:color="auto"/>
            </w:tcBorders>
            <w:vAlign w:val="bottom"/>
          </w:tcPr>
          <w:p w:rsidR="00657D4A" w:rsidRPr="00ED7F0F" w:rsidRDefault="00657D4A" w:rsidP="00122C9F">
            <w:pPr>
              <w:spacing w:line="259" w:lineRule="auto"/>
              <w:ind w:left="50"/>
              <w:jc w:val="center"/>
              <w:rPr>
                <w:rFonts w:ascii="Times New Roman" w:hAnsi="Times New Roman" w:cs="Times New Roman"/>
                <w:sz w:val="20"/>
                <w:szCs w:val="20"/>
              </w:rPr>
            </w:pPr>
            <w:r w:rsidRPr="00ED7F0F">
              <w:rPr>
                <w:rFonts w:ascii="Times New Roman" w:hAnsi="Times New Roman" w:cs="Times New Roman"/>
                <w:sz w:val="20"/>
              </w:rPr>
              <w:t>6% (1 – 17)</w:t>
            </w:r>
          </w:p>
        </w:tc>
        <w:tc>
          <w:tcPr>
            <w:tcW w:w="1416" w:type="dxa"/>
            <w:tcBorders>
              <w:top w:val="nil"/>
              <w:left w:val="single" w:sz="4" w:space="0" w:color="auto"/>
              <w:bottom w:val="single" w:sz="4" w:space="0" w:color="auto"/>
              <w:right w:val="single" w:sz="4" w:space="0" w:color="auto"/>
            </w:tcBorders>
            <w:vAlign w:val="bottom"/>
          </w:tcPr>
          <w:p w:rsidR="00657D4A" w:rsidRPr="00ED7F0F" w:rsidRDefault="00657D4A" w:rsidP="00122C9F">
            <w:pPr>
              <w:spacing w:line="259" w:lineRule="auto"/>
              <w:ind w:left="52"/>
              <w:jc w:val="center"/>
              <w:rPr>
                <w:rFonts w:ascii="Times New Roman" w:hAnsi="Times New Roman" w:cs="Times New Roman"/>
                <w:sz w:val="20"/>
                <w:szCs w:val="20"/>
              </w:rPr>
            </w:pPr>
            <w:r w:rsidRPr="00ED7F0F">
              <w:rPr>
                <w:rFonts w:ascii="Times New Roman" w:hAnsi="Times New Roman" w:cs="Times New Roman"/>
                <w:sz w:val="20"/>
              </w:rPr>
              <w:t>7% (1 – 18)</w:t>
            </w:r>
          </w:p>
        </w:tc>
      </w:tr>
      <w:tr w:rsidR="00C73C37" w:rsidRPr="00ED7F0F" w:rsidTr="0089585B">
        <w:trPr>
          <w:gridAfter w:val="1"/>
          <w:wAfter w:w="10" w:type="dxa"/>
          <w:trHeight w:val="341"/>
        </w:trPr>
        <w:tc>
          <w:tcPr>
            <w:tcW w:w="4945" w:type="dxa"/>
            <w:gridSpan w:val="4"/>
            <w:tcBorders>
              <w:top w:val="nil"/>
              <w:left w:val="single" w:sz="4" w:space="0" w:color="auto"/>
              <w:bottom w:val="single" w:sz="4" w:space="0" w:color="auto"/>
              <w:right w:val="single" w:sz="4" w:space="0" w:color="auto"/>
            </w:tcBorders>
            <w:vAlign w:val="bottom"/>
          </w:tcPr>
          <w:p w:rsidR="00C73C37" w:rsidRPr="00ED7F0F" w:rsidRDefault="00C73C37" w:rsidP="009A0932">
            <w:pPr>
              <w:tabs>
                <w:tab w:val="clear" w:pos="567"/>
              </w:tabs>
              <w:spacing w:line="259" w:lineRule="auto"/>
              <w:ind w:left="-92" w:firstLine="204"/>
              <w:rPr>
                <w:rFonts w:ascii="Times New Roman" w:hAnsi="Times New Roman" w:cs="Times New Roman"/>
                <w:sz w:val="20"/>
                <w:szCs w:val="20"/>
              </w:rPr>
            </w:pPr>
            <w:r w:rsidRPr="00ED7F0F">
              <w:rPr>
                <w:rFonts w:ascii="Times New Roman" w:hAnsi="Times New Roman" w:cs="Times New Roman"/>
                <w:sz w:val="20"/>
              </w:rPr>
              <w:t>Trvanie MaHR (%; Kaplan</w:t>
            </w:r>
            <w:r w:rsidR="001042F4" w:rsidRPr="00ED7F0F">
              <w:rPr>
                <w:rFonts w:ascii="Times New Roman" w:hAnsi="Times New Roman" w:cs="Times New Roman"/>
                <w:sz w:val="20"/>
              </w:rPr>
              <w:t>ove</w:t>
            </w:r>
            <w:r w:rsidRPr="00ED7F0F">
              <w:rPr>
                <w:rFonts w:ascii="Times New Roman" w:hAnsi="Times New Roman" w:cs="Times New Roman"/>
                <w:sz w:val="20"/>
              </w:rPr>
              <w:t>-Meierove odhady)</w:t>
            </w:r>
          </w:p>
        </w:tc>
        <w:tc>
          <w:tcPr>
            <w:tcW w:w="1419" w:type="dxa"/>
            <w:tcBorders>
              <w:top w:val="nil"/>
              <w:left w:val="single" w:sz="4" w:space="0" w:color="auto"/>
              <w:bottom w:val="single" w:sz="4" w:space="0" w:color="auto"/>
              <w:right w:val="single" w:sz="4" w:space="0" w:color="auto"/>
            </w:tcBorders>
            <w:vAlign w:val="bottom"/>
          </w:tcPr>
          <w:p w:rsidR="00C73C37" w:rsidRPr="00ED7F0F" w:rsidRDefault="00C73C37" w:rsidP="00122C9F">
            <w:pPr>
              <w:spacing w:line="259" w:lineRule="auto"/>
              <w:ind w:left="61"/>
              <w:jc w:val="center"/>
              <w:rPr>
                <w:rFonts w:ascii="Times New Roman" w:hAnsi="Times New Roman" w:cs="Times New Roman"/>
                <w:sz w:val="20"/>
                <w:szCs w:val="20"/>
              </w:rPr>
            </w:pPr>
          </w:p>
        </w:tc>
        <w:tc>
          <w:tcPr>
            <w:tcW w:w="1415" w:type="dxa"/>
            <w:tcBorders>
              <w:top w:val="nil"/>
              <w:left w:val="single" w:sz="4" w:space="0" w:color="auto"/>
              <w:bottom w:val="single" w:sz="4" w:space="0" w:color="auto"/>
              <w:right w:val="single" w:sz="4" w:space="0" w:color="auto"/>
            </w:tcBorders>
            <w:vAlign w:val="bottom"/>
          </w:tcPr>
          <w:p w:rsidR="00C73C37" w:rsidRPr="00ED7F0F" w:rsidRDefault="00C73C37" w:rsidP="00122C9F">
            <w:pPr>
              <w:spacing w:line="259" w:lineRule="auto"/>
              <w:jc w:val="center"/>
              <w:rPr>
                <w:rFonts w:ascii="Times New Roman" w:hAnsi="Times New Roman" w:cs="Times New Roman"/>
                <w:sz w:val="20"/>
                <w:szCs w:val="20"/>
              </w:rPr>
            </w:pPr>
          </w:p>
        </w:tc>
        <w:tc>
          <w:tcPr>
            <w:tcW w:w="1416" w:type="dxa"/>
            <w:tcBorders>
              <w:top w:val="nil"/>
              <w:left w:val="single" w:sz="4" w:space="0" w:color="auto"/>
              <w:bottom w:val="single" w:sz="4" w:space="0" w:color="auto"/>
              <w:right w:val="single" w:sz="4" w:space="0" w:color="auto"/>
            </w:tcBorders>
            <w:vAlign w:val="bottom"/>
          </w:tcPr>
          <w:p w:rsidR="00C73C37" w:rsidRPr="00ED7F0F" w:rsidRDefault="00C73C37" w:rsidP="00122C9F">
            <w:pPr>
              <w:spacing w:line="259" w:lineRule="auto"/>
              <w:jc w:val="center"/>
              <w:rPr>
                <w:rFonts w:ascii="Times New Roman" w:hAnsi="Times New Roman" w:cs="Times New Roman"/>
                <w:sz w:val="20"/>
                <w:szCs w:val="20"/>
              </w:rPr>
            </w:pPr>
          </w:p>
        </w:tc>
      </w:tr>
      <w:tr w:rsidR="00657D4A" w:rsidRPr="00ED7F0F" w:rsidTr="009A0932">
        <w:trPr>
          <w:gridAfter w:val="1"/>
          <w:wAfter w:w="10" w:type="dxa"/>
          <w:trHeight w:val="340"/>
        </w:trPr>
        <w:tc>
          <w:tcPr>
            <w:tcW w:w="1820" w:type="dxa"/>
            <w:tcBorders>
              <w:top w:val="single" w:sz="4" w:space="0" w:color="auto"/>
              <w:left w:val="single" w:sz="4" w:space="0" w:color="auto"/>
              <w:bottom w:val="nil"/>
              <w:right w:val="nil"/>
            </w:tcBorders>
            <w:vAlign w:val="bottom"/>
          </w:tcPr>
          <w:p w:rsidR="00657D4A" w:rsidRPr="00ED7F0F" w:rsidRDefault="00657D4A" w:rsidP="009A0932">
            <w:pPr>
              <w:tabs>
                <w:tab w:val="center" w:pos="2617"/>
                <w:tab w:val="center" w:pos="3925"/>
              </w:tabs>
              <w:spacing w:line="259" w:lineRule="auto"/>
              <w:ind w:left="267"/>
              <w:rPr>
                <w:rFonts w:ascii="Times New Roman" w:hAnsi="Times New Roman" w:cs="Times New Roman"/>
                <w:sz w:val="20"/>
                <w:szCs w:val="20"/>
              </w:rPr>
            </w:pPr>
            <w:r w:rsidRPr="00ED7F0F">
              <w:rPr>
                <w:rFonts w:ascii="Times New Roman" w:hAnsi="Times New Roman" w:cs="Times New Roman"/>
                <w:sz w:val="20"/>
              </w:rPr>
              <w:t>1. rok</w:t>
            </w:r>
          </w:p>
        </w:tc>
        <w:tc>
          <w:tcPr>
            <w:tcW w:w="1699" w:type="dxa"/>
            <w:gridSpan w:val="2"/>
            <w:tcBorders>
              <w:top w:val="single" w:sz="4" w:space="0" w:color="auto"/>
              <w:left w:val="single" w:sz="4" w:space="0" w:color="auto"/>
              <w:right w:val="single" w:sz="4" w:space="0" w:color="auto"/>
            </w:tcBorders>
            <w:vAlign w:val="bottom"/>
          </w:tcPr>
          <w:p w:rsidR="00657D4A" w:rsidRPr="00ED7F0F" w:rsidRDefault="00657D4A" w:rsidP="00122C9F">
            <w:pPr>
              <w:tabs>
                <w:tab w:val="center" w:pos="2617"/>
                <w:tab w:val="center" w:pos="3925"/>
              </w:tabs>
              <w:spacing w:line="259" w:lineRule="auto"/>
              <w:ind w:left="552"/>
              <w:rPr>
                <w:rFonts w:ascii="Times New Roman" w:hAnsi="Times New Roman" w:cs="Times New Roman"/>
                <w:sz w:val="20"/>
                <w:szCs w:val="20"/>
              </w:rPr>
            </w:pPr>
            <w:r w:rsidRPr="00ED7F0F">
              <w:rPr>
                <w:rFonts w:ascii="Times New Roman" w:hAnsi="Times New Roman" w:cs="Times New Roman"/>
                <w:sz w:val="20"/>
              </w:rPr>
              <w:t>n/a</w:t>
            </w:r>
          </w:p>
        </w:tc>
        <w:tc>
          <w:tcPr>
            <w:tcW w:w="1426" w:type="dxa"/>
            <w:tcBorders>
              <w:top w:val="single" w:sz="4" w:space="0" w:color="auto"/>
              <w:left w:val="single" w:sz="4" w:space="0" w:color="auto"/>
              <w:bottom w:val="nil"/>
              <w:right w:val="single" w:sz="4" w:space="0" w:color="auto"/>
            </w:tcBorders>
            <w:vAlign w:val="bottom"/>
          </w:tcPr>
          <w:p w:rsidR="00657D4A" w:rsidRPr="00ED7F0F" w:rsidRDefault="00657D4A" w:rsidP="00122C9F">
            <w:pPr>
              <w:spacing w:line="259" w:lineRule="auto"/>
              <w:ind w:left="-92"/>
              <w:jc w:val="center"/>
              <w:rPr>
                <w:rFonts w:ascii="Times New Roman" w:hAnsi="Times New Roman" w:cs="Times New Roman"/>
                <w:sz w:val="20"/>
                <w:szCs w:val="20"/>
              </w:rPr>
            </w:pPr>
            <w:r w:rsidRPr="00ED7F0F">
              <w:rPr>
                <w:rFonts w:ascii="Times New Roman" w:hAnsi="Times New Roman" w:cs="Times New Roman"/>
                <w:sz w:val="20"/>
              </w:rPr>
              <w:t>79% (71 –87)</w:t>
            </w:r>
          </w:p>
        </w:tc>
        <w:tc>
          <w:tcPr>
            <w:tcW w:w="1419" w:type="dxa"/>
            <w:tcBorders>
              <w:top w:val="single" w:sz="4" w:space="0" w:color="auto"/>
              <w:left w:val="single" w:sz="4" w:space="0" w:color="auto"/>
              <w:bottom w:val="nil"/>
              <w:right w:val="single" w:sz="4" w:space="0" w:color="auto"/>
            </w:tcBorders>
            <w:vAlign w:val="bottom"/>
          </w:tcPr>
          <w:p w:rsidR="00657D4A" w:rsidRPr="00ED7F0F" w:rsidRDefault="00657D4A" w:rsidP="00122C9F">
            <w:pPr>
              <w:spacing w:line="259" w:lineRule="auto"/>
              <w:ind w:left="61"/>
              <w:jc w:val="center"/>
              <w:rPr>
                <w:rFonts w:ascii="Times New Roman" w:hAnsi="Times New Roman" w:cs="Times New Roman"/>
                <w:sz w:val="20"/>
                <w:szCs w:val="20"/>
              </w:rPr>
            </w:pPr>
            <w:r w:rsidRPr="00ED7F0F">
              <w:rPr>
                <w:rFonts w:ascii="Times New Roman" w:hAnsi="Times New Roman" w:cs="Times New Roman"/>
                <w:sz w:val="20"/>
              </w:rPr>
              <w:t>71% (55 –87)</w:t>
            </w:r>
          </w:p>
        </w:tc>
        <w:tc>
          <w:tcPr>
            <w:tcW w:w="1415" w:type="dxa"/>
            <w:tcBorders>
              <w:top w:val="single" w:sz="4" w:space="0" w:color="auto"/>
              <w:left w:val="single" w:sz="4" w:space="0" w:color="auto"/>
              <w:bottom w:val="nil"/>
              <w:right w:val="single" w:sz="4" w:space="0" w:color="auto"/>
            </w:tcBorders>
            <w:vAlign w:val="bottom"/>
          </w:tcPr>
          <w:p w:rsidR="00657D4A" w:rsidRPr="00ED7F0F" w:rsidRDefault="00657D4A" w:rsidP="00122C9F">
            <w:pPr>
              <w:spacing w:line="259" w:lineRule="auto"/>
              <w:jc w:val="center"/>
              <w:rPr>
                <w:rFonts w:ascii="Times New Roman" w:hAnsi="Times New Roman" w:cs="Times New Roman"/>
                <w:sz w:val="20"/>
                <w:szCs w:val="20"/>
              </w:rPr>
            </w:pPr>
            <w:r w:rsidRPr="00ED7F0F">
              <w:rPr>
                <w:rFonts w:ascii="Times New Roman" w:hAnsi="Times New Roman" w:cs="Times New Roman"/>
                <w:sz w:val="20"/>
              </w:rPr>
              <w:t>29% (3 – 56)</w:t>
            </w:r>
          </w:p>
        </w:tc>
        <w:tc>
          <w:tcPr>
            <w:tcW w:w="1416" w:type="dxa"/>
            <w:tcBorders>
              <w:top w:val="single" w:sz="4" w:space="0" w:color="auto"/>
              <w:left w:val="single" w:sz="4" w:space="0" w:color="auto"/>
              <w:bottom w:val="nil"/>
              <w:right w:val="single" w:sz="4" w:space="0" w:color="auto"/>
            </w:tcBorders>
            <w:vAlign w:val="bottom"/>
          </w:tcPr>
          <w:p w:rsidR="00657D4A" w:rsidRPr="00ED7F0F" w:rsidRDefault="00657D4A" w:rsidP="00122C9F">
            <w:pPr>
              <w:spacing w:line="259" w:lineRule="auto"/>
              <w:jc w:val="center"/>
              <w:rPr>
                <w:rFonts w:ascii="Times New Roman" w:hAnsi="Times New Roman" w:cs="Times New Roman"/>
                <w:sz w:val="20"/>
                <w:szCs w:val="20"/>
              </w:rPr>
            </w:pPr>
            <w:r w:rsidRPr="00ED7F0F">
              <w:rPr>
                <w:rFonts w:ascii="Times New Roman" w:hAnsi="Times New Roman" w:cs="Times New Roman"/>
                <w:sz w:val="20"/>
              </w:rPr>
              <w:t>32% (8 – 56)</w:t>
            </w:r>
          </w:p>
        </w:tc>
      </w:tr>
      <w:tr w:rsidR="00657D4A" w:rsidRPr="00ED7F0F" w:rsidTr="009A0932">
        <w:trPr>
          <w:gridAfter w:val="1"/>
          <w:wAfter w:w="10" w:type="dxa"/>
        </w:trPr>
        <w:tc>
          <w:tcPr>
            <w:tcW w:w="1820" w:type="dxa"/>
            <w:tcBorders>
              <w:top w:val="nil"/>
              <w:left w:val="single" w:sz="4" w:space="0" w:color="auto"/>
              <w:bottom w:val="single" w:sz="4" w:space="0" w:color="000000"/>
              <w:right w:val="single" w:sz="4" w:space="0" w:color="auto"/>
            </w:tcBorders>
            <w:vAlign w:val="bottom"/>
          </w:tcPr>
          <w:p w:rsidR="00657D4A" w:rsidRPr="00ED7F0F" w:rsidRDefault="00657D4A" w:rsidP="009A0932">
            <w:pPr>
              <w:tabs>
                <w:tab w:val="center" w:pos="2616"/>
                <w:tab w:val="center" w:pos="3925"/>
              </w:tabs>
              <w:spacing w:line="259" w:lineRule="auto"/>
              <w:ind w:left="267"/>
              <w:rPr>
                <w:rFonts w:ascii="Times New Roman" w:hAnsi="Times New Roman" w:cs="Times New Roman"/>
                <w:sz w:val="20"/>
                <w:szCs w:val="20"/>
              </w:rPr>
            </w:pPr>
            <w:r w:rsidRPr="00ED7F0F">
              <w:rPr>
                <w:rFonts w:ascii="Times New Roman" w:hAnsi="Times New Roman" w:cs="Times New Roman"/>
                <w:sz w:val="20"/>
              </w:rPr>
              <w:t>2. rok</w:t>
            </w:r>
          </w:p>
        </w:tc>
        <w:tc>
          <w:tcPr>
            <w:tcW w:w="1699" w:type="dxa"/>
            <w:gridSpan w:val="2"/>
            <w:tcBorders>
              <w:top w:val="nil"/>
              <w:left w:val="single" w:sz="4" w:space="0" w:color="auto"/>
              <w:bottom w:val="single" w:sz="4" w:space="0" w:color="000000"/>
              <w:right w:val="single" w:sz="4" w:space="0" w:color="auto"/>
            </w:tcBorders>
            <w:vAlign w:val="bottom"/>
          </w:tcPr>
          <w:p w:rsidR="00657D4A" w:rsidRPr="00ED7F0F" w:rsidRDefault="00657D4A" w:rsidP="00122C9F">
            <w:pPr>
              <w:tabs>
                <w:tab w:val="center" w:pos="2616"/>
                <w:tab w:val="center" w:pos="3925"/>
              </w:tabs>
              <w:spacing w:line="259" w:lineRule="auto"/>
              <w:ind w:left="542"/>
              <w:rPr>
                <w:rFonts w:ascii="Times New Roman" w:hAnsi="Times New Roman" w:cs="Times New Roman"/>
                <w:sz w:val="20"/>
                <w:szCs w:val="20"/>
              </w:rPr>
            </w:pPr>
            <w:r w:rsidRPr="00ED7F0F">
              <w:rPr>
                <w:rFonts w:ascii="Times New Roman" w:hAnsi="Times New Roman" w:cs="Times New Roman"/>
                <w:sz w:val="20"/>
              </w:rPr>
              <w:t>n/a</w:t>
            </w:r>
          </w:p>
        </w:tc>
        <w:tc>
          <w:tcPr>
            <w:tcW w:w="1426" w:type="dxa"/>
            <w:tcBorders>
              <w:top w:val="nil"/>
              <w:left w:val="single" w:sz="4" w:space="0" w:color="auto"/>
              <w:bottom w:val="single" w:sz="4" w:space="0" w:color="000000"/>
              <w:right w:val="single" w:sz="4" w:space="0" w:color="auto"/>
            </w:tcBorders>
            <w:vAlign w:val="bottom"/>
          </w:tcPr>
          <w:p w:rsidR="00657D4A" w:rsidRPr="00ED7F0F" w:rsidRDefault="00657D4A" w:rsidP="00122C9F">
            <w:pPr>
              <w:spacing w:line="259" w:lineRule="auto"/>
              <w:ind w:left="301" w:hanging="293"/>
              <w:jc w:val="center"/>
              <w:rPr>
                <w:rFonts w:ascii="Times New Roman" w:hAnsi="Times New Roman" w:cs="Times New Roman"/>
                <w:sz w:val="20"/>
                <w:szCs w:val="20"/>
              </w:rPr>
            </w:pPr>
            <w:r w:rsidRPr="00ED7F0F">
              <w:rPr>
                <w:rFonts w:ascii="Times New Roman" w:hAnsi="Times New Roman" w:cs="Times New Roman"/>
                <w:sz w:val="20"/>
              </w:rPr>
              <w:t>60% (50 – 70)</w:t>
            </w:r>
          </w:p>
        </w:tc>
        <w:tc>
          <w:tcPr>
            <w:tcW w:w="1419" w:type="dxa"/>
            <w:tcBorders>
              <w:top w:val="nil"/>
              <w:left w:val="single" w:sz="4" w:space="0" w:color="auto"/>
              <w:bottom w:val="single" w:sz="4" w:space="0" w:color="000000"/>
              <w:right w:val="single" w:sz="4" w:space="0" w:color="auto"/>
            </w:tcBorders>
            <w:vAlign w:val="bottom"/>
          </w:tcPr>
          <w:p w:rsidR="00657D4A" w:rsidRPr="00ED7F0F" w:rsidRDefault="00657D4A" w:rsidP="00122C9F">
            <w:pPr>
              <w:spacing w:line="259" w:lineRule="auto"/>
              <w:ind w:left="354" w:hanging="293"/>
              <w:jc w:val="center"/>
              <w:rPr>
                <w:rFonts w:ascii="Times New Roman" w:hAnsi="Times New Roman" w:cs="Times New Roman"/>
                <w:sz w:val="20"/>
                <w:szCs w:val="20"/>
              </w:rPr>
            </w:pPr>
            <w:r w:rsidRPr="00ED7F0F">
              <w:rPr>
                <w:rFonts w:ascii="Times New Roman" w:hAnsi="Times New Roman" w:cs="Times New Roman"/>
                <w:sz w:val="20"/>
              </w:rPr>
              <w:t>41% (21 – 60)</w:t>
            </w:r>
          </w:p>
        </w:tc>
        <w:tc>
          <w:tcPr>
            <w:tcW w:w="1415" w:type="dxa"/>
            <w:tcBorders>
              <w:top w:val="nil"/>
              <w:left w:val="single" w:sz="4" w:space="0" w:color="auto"/>
              <w:bottom w:val="single" w:sz="4" w:space="0" w:color="000000"/>
              <w:right w:val="single" w:sz="4" w:space="0" w:color="auto"/>
            </w:tcBorders>
            <w:vAlign w:val="bottom"/>
          </w:tcPr>
          <w:p w:rsidR="00657D4A" w:rsidRPr="00ED7F0F" w:rsidRDefault="00657D4A" w:rsidP="00122C9F">
            <w:pPr>
              <w:spacing w:line="259" w:lineRule="auto"/>
              <w:jc w:val="center"/>
              <w:rPr>
                <w:rFonts w:ascii="Times New Roman" w:hAnsi="Times New Roman" w:cs="Times New Roman"/>
                <w:sz w:val="20"/>
                <w:szCs w:val="20"/>
              </w:rPr>
            </w:pPr>
            <w:r w:rsidRPr="00ED7F0F">
              <w:rPr>
                <w:rFonts w:ascii="Times New Roman" w:hAnsi="Times New Roman" w:cs="Times New Roman"/>
                <w:sz w:val="20"/>
              </w:rPr>
              <w:t>10% (0 – 28)</w:t>
            </w:r>
          </w:p>
        </w:tc>
        <w:tc>
          <w:tcPr>
            <w:tcW w:w="1416" w:type="dxa"/>
            <w:tcBorders>
              <w:top w:val="nil"/>
              <w:left w:val="single" w:sz="4" w:space="0" w:color="auto"/>
              <w:bottom w:val="single" w:sz="4" w:space="0" w:color="000000"/>
              <w:right w:val="single" w:sz="4" w:space="0" w:color="auto"/>
            </w:tcBorders>
            <w:vAlign w:val="bottom"/>
          </w:tcPr>
          <w:p w:rsidR="00657D4A" w:rsidRPr="00ED7F0F" w:rsidRDefault="00657D4A" w:rsidP="00122C9F">
            <w:pPr>
              <w:spacing w:line="259" w:lineRule="auto"/>
              <w:jc w:val="center"/>
              <w:rPr>
                <w:rFonts w:ascii="Times New Roman" w:hAnsi="Times New Roman" w:cs="Times New Roman"/>
                <w:sz w:val="20"/>
                <w:szCs w:val="20"/>
              </w:rPr>
            </w:pPr>
            <w:r w:rsidRPr="00ED7F0F">
              <w:rPr>
                <w:rFonts w:ascii="Times New Roman" w:hAnsi="Times New Roman" w:cs="Times New Roman"/>
                <w:sz w:val="20"/>
              </w:rPr>
              <w:t>24% (2 – 47)</w:t>
            </w:r>
          </w:p>
        </w:tc>
      </w:tr>
      <w:tr w:rsidR="00C41008" w:rsidRPr="00ED7F0F" w:rsidTr="009A0932">
        <w:trPr>
          <w:gridAfter w:val="1"/>
          <w:wAfter w:w="10" w:type="dxa"/>
        </w:trPr>
        <w:tc>
          <w:tcPr>
            <w:tcW w:w="3519" w:type="dxa"/>
            <w:gridSpan w:val="3"/>
            <w:tcBorders>
              <w:top w:val="single" w:sz="4" w:space="0" w:color="000000"/>
              <w:left w:val="single" w:sz="4" w:space="0" w:color="auto"/>
              <w:bottom w:val="single" w:sz="3" w:space="0" w:color="000000"/>
              <w:right w:val="single" w:sz="4" w:space="0" w:color="auto"/>
            </w:tcBorders>
            <w:vAlign w:val="bottom"/>
          </w:tcPr>
          <w:p w:rsidR="00C73C37" w:rsidRPr="00ED7F0F" w:rsidRDefault="00C73C37" w:rsidP="00122C9F">
            <w:pPr>
              <w:spacing w:line="259" w:lineRule="auto"/>
              <w:ind w:left="122"/>
              <w:rPr>
                <w:rFonts w:ascii="Times New Roman" w:hAnsi="Times New Roman" w:cs="Times New Roman"/>
                <w:sz w:val="20"/>
                <w:szCs w:val="20"/>
              </w:rPr>
            </w:pPr>
            <w:r w:rsidRPr="00ED7F0F">
              <w:rPr>
                <w:rFonts w:ascii="Times New Roman" w:hAnsi="Times New Roman" w:cs="Times New Roman"/>
                <w:b/>
                <w:sz w:val="20"/>
              </w:rPr>
              <w:t>Cytogenetická odpoveď (%)</w:t>
            </w:r>
            <w:r w:rsidRPr="00ED7F0F">
              <w:rPr>
                <w:rFonts w:ascii="Times New Roman" w:hAnsi="Times New Roman" w:cs="Times New Roman"/>
                <w:b/>
                <w:sz w:val="20"/>
                <w:vertAlign w:val="superscript"/>
              </w:rPr>
              <w:t>c</w:t>
            </w:r>
          </w:p>
        </w:tc>
        <w:tc>
          <w:tcPr>
            <w:tcW w:w="1426" w:type="dxa"/>
            <w:tcBorders>
              <w:top w:val="single" w:sz="4" w:space="0" w:color="000000"/>
              <w:left w:val="single" w:sz="4" w:space="0" w:color="auto"/>
              <w:bottom w:val="single" w:sz="3" w:space="0" w:color="000000"/>
              <w:right w:val="single" w:sz="4" w:space="0" w:color="auto"/>
            </w:tcBorders>
            <w:vAlign w:val="bottom"/>
          </w:tcPr>
          <w:p w:rsidR="00C73C37" w:rsidRPr="00ED7F0F" w:rsidRDefault="00C73C37" w:rsidP="00122C9F">
            <w:pPr>
              <w:spacing w:line="259" w:lineRule="auto"/>
              <w:ind w:left="122"/>
              <w:rPr>
                <w:rFonts w:ascii="Times New Roman" w:hAnsi="Times New Roman" w:cs="Times New Roman"/>
                <w:b/>
                <w:sz w:val="20"/>
                <w:szCs w:val="20"/>
              </w:rPr>
            </w:pPr>
          </w:p>
        </w:tc>
        <w:tc>
          <w:tcPr>
            <w:tcW w:w="1419" w:type="dxa"/>
            <w:tcBorders>
              <w:top w:val="single" w:sz="4" w:space="0" w:color="000000"/>
              <w:left w:val="single" w:sz="4" w:space="0" w:color="auto"/>
              <w:bottom w:val="single" w:sz="3" w:space="0" w:color="000000"/>
              <w:right w:val="single" w:sz="4" w:space="0" w:color="auto"/>
            </w:tcBorders>
            <w:vAlign w:val="bottom"/>
          </w:tcPr>
          <w:p w:rsidR="00C73C37" w:rsidRPr="00ED7F0F" w:rsidRDefault="00C73C37" w:rsidP="00122C9F">
            <w:pPr>
              <w:spacing w:line="259" w:lineRule="auto"/>
              <w:ind w:left="122"/>
              <w:rPr>
                <w:rFonts w:ascii="Times New Roman" w:hAnsi="Times New Roman" w:cs="Times New Roman"/>
                <w:b/>
                <w:sz w:val="20"/>
                <w:szCs w:val="20"/>
              </w:rPr>
            </w:pPr>
          </w:p>
        </w:tc>
        <w:tc>
          <w:tcPr>
            <w:tcW w:w="1415" w:type="dxa"/>
            <w:tcBorders>
              <w:top w:val="single" w:sz="4" w:space="0" w:color="000000"/>
              <w:left w:val="single" w:sz="4" w:space="0" w:color="auto"/>
              <w:bottom w:val="single" w:sz="3" w:space="0" w:color="000000"/>
              <w:right w:val="single" w:sz="4" w:space="0" w:color="auto"/>
            </w:tcBorders>
            <w:vAlign w:val="bottom"/>
          </w:tcPr>
          <w:p w:rsidR="00C73C37" w:rsidRPr="00ED7F0F" w:rsidRDefault="00C73C37" w:rsidP="00122C9F">
            <w:pPr>
              <w:spacing w:line="259" w:lineRule="auto"/>
              <w:ind w:left="122"/>
              <w:rPr>
                <w:rFonts w:ascii="Times New Roman" w:hAnsi="Times New Roman" w:cs="Times New Roman"/>
                <w:b/>
                <w:sz w:val="20"/>
                <w:szCs w:val="20"/>
              </w:rPr>
            </w:pPr>
          </w:p>
        </w:tc>
        <w:tc>
          <w:tcPr>
            <w:tcW w:w="1416" w:type="dxa"/>
            <w:tcBorders>
              <w:top w:val="single" w:sz="4" w:space="0" w:color="000000"/>
              <w:left w:val="single" w:sz="4" w:space="0" w:color="auto"/>
              <w:bottom w:val="single" w:sz="3" w:space="0" w:color="000000"/>
              <w:right w:val="single" w:sz="4" w:space="0" w:color="auto"/>
            </w:tcBorders>
            <w:vAlign w:val="bottom"/>
          </w:tcPr>
          <w:p w:rsidR="00C73C37" w:rsidRPr="00ED7F0F" w:rsidRDefault="00C73C37" w:rsidP="00122C9F">
            <w:pPr>
              <w:spacing w:line="259" w:lineRule="auto"/>
              <w:ind w:left="122"/>
              <w:rPr>
                <w:rFonts w:ascii="Times New Roman" w:hAnsi="Times New Roman" w:cs="Times New Roman"/>
                <w:b/>
                <w:sz w:val="20"/>
                <w:szCs w:val="20"/>
              </w:rPr>
            </w:pPr>
          </w:p>
        </w:tc>
      </w:tr>
      <w:tr w:rsidR="00C73C37" w:rsidRPr="00ED7F0F" w:rsidTr="009A0932">
        <w:trPr>
          <w:gridAfter w:val="1"/>
          <w:wAfter w:w="10" w:type="dxa"/>
        </w:trPr>
        <w:tc>
          <w:tcPr>
            <w:tcW w:w="1820" w:type="dxa"/>
            <w:tcBorders>
              <w:top w:val="single" w:sz="3" w:space="0" w:color="000000"/>
              <w:left w:val="single" w:sz="4" w:space="0" w:color="auto"/>
              <w:bottom w:val="nil"/>
              <w:right w:val="single" w:sz="4" w:space="0" w:color="auto"/>
            </w:tcBorders>
            <w:vAlign w:val="bottom"/>
          </w:tcPr>
          <w:p w:rsidR="00C73C37" w:rsidRPr="00ED7F0F" w:rsidRDefault="00C73C37" w:rsidP="00122C9F">
            <w:pPr>
              <w:spacing w:line="259" w:lineRule="auto"/>
              <w:ind w:left="115"/>
              <w:rPr>
                <w:rFonts w:ascii="Times New Roman" w:hAnsi="Times New Roman" w:cs="Times New Roman"/>
                <w:sz w:val="20"/>
                <w:szCs w:val="20"/>
              </w:rPr>
            </w:pPr>
            <w:r w:rsidRPr="00ED7F0F">
              <w:rPr>
                <w:rFonts w:ascii="Times New Roman" w:hAnsi="Times New Roman" w:cs="Times New Roman"/>
                <w:sz w:val="20"/>
              </w:rPr>
              <w:t>MCyR (95% CI)</w:t>
            </w:r>
          </w:p>
        </w:tc>
        <w:tc>
          <w:tcPr>
            <w:tcW w:w="1699" w:type="dxa"/>
            <w:gridSpan w:val="2"/>
            <w:tcBorders>
              <w:top w:val="single" w:sz="3" w:space="0" w:color="000000"/>
              <w:left w:val="single" w:sz="4" w:space="0" w:color="auto"/>
              <w:bottom w:val="nil"/>
              <w:right w:val="single" w:sz="4" w:space="0" w:color="auto"/>
            </w:tcBorders>
            <w:vAlign w:val="bottom"/>
          </w:tcPr>
          <w:p w:rsidR="00C73C37" w:rsidRPr="00ED7F0F" w:rsidRDefault="00C73C37" w:rsidP="00122C9F">
            <w:pPr>
              <w:tabs>
                <w:tab w:val="center" w:pos="2617"/>
                <w:tab w:val="center" w:pos="3925"/>
              </w:tabs>
              <w:spacing w:line="259" w:lineRule="auto"/>
              <w:ind w:left="122"/>
              <w:rPr>
                <w:rFonts w:ascii="Times New Roman" w:hAnsi="Times New Roman" w:cs="Times New Roman"/>
                <w:sz w:val="20"/>
                <w:szCs w:val="20"/>
              </w:rPr>
            </w:pPr>
            <w:r w:rsidRPr="00ED7F0F">
              <w:rPr>
                <w:rFonts w:ascii="Times New Roman" w:hAnsi="Times New Roman" w:cs="Times New Roman"/>
                <w:b/>
                <w:sz w:val="20"/>
              </w:rPr>
              <w:t>62% (57 –67)</w:t>
            </w:r>
          </w:p>
        </w:tc>
        <w:tc>
          <w:tcPr>
            <w:tcW w:w="1426" w:type="dxa"/>
            <w:tcBorders>
              <w:top w:val="single" w:sz="3" w:space="0" w:color="000000"/>
              <w:left w:val="single" w:sz="4" w:space="0" w:color="auto"/>
              <w:bottom w:val="nil"/>
              <w:right w:val="single" w:sz="4" w:space="0" w:color="auto"/>
            </w:tcBorders>
            <w:vAlign w:val="bottom"/>
          </w:tcPr>
          <w:p w:rsidR="00C73C37" w:rsidRPr="00ED7F0F" w:rsidRDefault="00C73C37" w:rsidP="00122C9F">
            <w:pPr>
              <w:spacing w:line="259" w:lineRule="auto"/>
              <w:ind w:left="301" w:hanging="293"/>
              <w:jc w:val="center"/>
              <w:rPr>
                <w:rFonts w:ascii="Times New Roman" w:hAnsi="Times New Roman" w:cs="Times New Roman"/>
                <w:sz w:val="20"/>
                <w:szCs w:val="20"/>
              </w:rPr>
            </w:pPr>
            <w:r w:rsidRPr="00ED7F0F">
              <w:rPr>
                <w:rFonts w:ascii="Times New Roman" w:hAnsi="Times New Roman" w:cs="Times New Roman"/>
                <w:sz w:val="20"/>
              </w:rPr>
              <w:t>40% (33 – 48)</w:t>
            </w:r>
          </w:p>
        </w:tc>
        <w:tc>
          <w:tcPr>
            <w:tcW w:w="1419" w:type="dxa"/>
            <w:tcBorders>
              <w:top w:val="single" w:sz="3" w:space="0" w:color="000000"/>
              <w:left w:val="single" w:sz="4" w:space="0" w:color="auto"/>
              <w:bottom w:val="nil"/>
              <w:right w:val="single" w:sz="4" w:space="0" w:color="auto"/>
            </w:tcBorders>
            <w:vAlign w:val="bottom"/>
          </w:tcPr>
          <w:p w:rsidR="00C73C37" w:rsidRPr="00ED7F0F" w:rsidRDefault="00C73C37" w:rsidP="00122C9F">
            <w:pPr>
              <w:spacing w:line="259" w:lineRule="auto"/>
              <w:ind w:left="354" w:hanging="293"/>
              <w:jc w:val="center"/>
              <w:rPr>
                <w:rFonts w:ascii="Times New Roman" w:hAnsi="Times New Roman" w:cs="Times New Roman"/>
                <w:sz w:val="20"/>
                <w:szCs w:val="20"/>
              </w:rPr>
            </w:pPr>
            <w:r w:rsidRPr="00ED7F0F">
              <w:rPr>
                <w:rFonts w:ascii="Times New Roman" w:hAnsi="Times New Roman" w:cs="Times New Roman"/>
                <w:sz w:val="20"/>
              </w:rPr>
              <w:t>34% (25 – 44)</w:t>
            </w:r>
          </w:p>
        </w:tc>
        <w:tc>
          <w:tcPr>
            <w:tcW w:w="1415" w:type="dxa"/>
            <w:tcBorders>
              <w:top w:val="single" w:sz="3" w:space="0" w:color="000000"/>
              <w:left w:val="single" w:sz="4" w:space="0" w:color="auto"/>
              <w:bottom w:val="nil"/>
              <w:right w:val="single" w:sz="4" w:space="0" w:color="auto"/>
            </w:tcBorders>
            <w:vAlign w:val="bottom"/>
          </w:tcPr>
          <w:p w:rsidR="00C73C37" w:rsidRPr="00ED7F0F" w:rsidRDefault="00C73C37" w:rsidP="00122C9F">
            <w:pPr>
              <w:spacing w:line="259" w:lineRule="auto"/>
              <w:ind w:left="405" w:hanging="293"/>
              <w:jc w:val="center"/>
              <w:rPr>
                <w:rFonts w:ascii="Times New Roman" w:hAnsi="Times New Roman" w:cs="Times New Roman"/>
                <w:sz w:val="20"/>
                <w:szCs w:val="20"/>
              </w:rPr>
            </w:pPr>
            <w:r w:rsidRPr="00ED7F0F">
              <w:rPr>
                <w:rFonts w:ascii="Times New Roman" w:hAnsi="Times New Roman" w:cs="Times New Roman"/>
                <w:sz w:val="20"/>
              </w:rPr>
              <w:t>52% (37 – 67)</w:t>
            </w:r>
          </w:p>
        </w:tc>
        <w:tc>
          <w:tcPr>
            <w:tcW w:w="1416" w:type="dxa"/>
            <w:tcBorders>
              <w:top w:val="single" w:sz="3" w:space="0" w:color="000000"/>
              <w:left w:val="single" w:sz="4" w:space="0" w:color="auto"/>
              <w:bottom w:val="nil"/>
              <w:right w:val="single" w:sz="4" w:space="0" w:color="auto"/>
            </w:tcBorders>
            <w:vAlign w:val="bottom"/>
          </w:tcPr>
          <w:p w:rsidR="00C73C37" w:rsidRPr="00ED7F0F" w:rsidRDefault="00C73C37" w:rsidP="00122C9F">
            <w:pPr>
              <w:spacing w:line="259" w:lineRule="auto"/>
              <w:ind w:left="406" w:hanging="293"/>
              <w:jc w:val="center"/>
              <w:rPr>
                <w:rFonts w:ascii="Times New Roman" w:hAnsi="Times New Roman" w:cs="Times New Roman"/>
                <w:sz w:val="20"/>
                <w:szCs w:val="20"/>
              </w:rPr>
            </w:pPr>
            <w:r w:rsidRPr="00ED7F0F">
              <w:rPr>
                <w:rFonts w:ascii="Times New Roman" w:hAnsi="Times New Roman" w:cs="Times New Roman"/>
                <w:sz w:val="20"/>
              </w:rPr>
              <w:t>57% (41 – 71)</w:t>
            </w:r>
          </w:p>
        </w:tc>
      </w:tr>
      <w:tr w:rsidR="00C73C37" w:rsidRPr="00ED7F0F" w:rsidTr="009A0932">
        <w:trPr>
          <w:gridAfter w:val="1"/>
          <w:wAfter w:w="10" w:type="dxa"/>
          <w:trHeight w:val="294"/>
        </w:trPr>
        <w:tc>
          <w:tcPr>
            <w:tcW w:w="1820" w:type="dxa"/>
            <w:tcBorders>
              <w:top w:val="nil"/>
              <w:left w:val="single" w:sz="4" w:space="0" w:color="auto"/>
              <w:bottom w:val="single" w:sz="4" w:space="0" w:color="000000"/>
              <w:right w:val="single" w:sz="4" w:space="0" w:color="auto"/>
            </w:tcBorders>
            <w:vAlign w:val="bottom"/>
          </w:tcPr>
          <w:p w:rsidR="00C73C37" w:rsidRPr="00ED7F0F" w:rsidRDefault="00C73C37" w:rsidP="00122C9F">
            <w:pPr>
              <w:spacing w:line="216" w:lineRule="auto"/>
              <w:ind w:left="115" w:firstLine="2071"/>
              <w:rPr>
                <w:rFonts w:ascii="Times New Roman" w:hAnsi="Times New Roman" w:cs="Times New Roman"/>
                <w:sz w:val="20"/>
                <w:szCs w:val="20"/>
              </w:rPr>
            </w:pPr>
          </w:p>
          <w:p w:rsidR="00C73C37" w:rsidRPr="00ED7F0F" w:rsidRDefault="00C73C37" w:rsidP="002A76AC">
            <w:pPr>
              <w:spacing w:line="216" w:lineRule="auto"/>
              <w:ind w:left="-1151" w:firstLine="1418"/>
              <w:rPr>
                <w:rFonts w:ascii="Times New Roman" w:hAnsi="Times New Roman" w:cs="Times New Roman"/>
                <w:sz w:val="20"/>
                <w:szCs w:val="20"/>
              </w:rPr>
            </w:pPr>
            <w:r w:rsidRPr="00ED7F0F">
              <w:rPr>
                <w:rFonts w:ascii="Times New Roman" w:hAnsi="Times New Roman" w:cs="Times New Roman"/>
                <w:sz w:val="20"/>
              </w:rPr>
              <w:t>CCyR (95% CI)</w:t>
            </w:r>
          </w:p>
        </w:tc>
        <w:tc>
          <w:tcPr>
            <w:tcW w:w="1699" w:type="dxa"/>
            <w:gridSpan w:val="2"/>
            <w:tcBorders>
              <w:top w:val="nil"/>
              <w:left w:val="single" w:sz="4" w:space="0" w:color="auto"/>
              <w:bottom w:val="single" w:sz="4" w:space="0" w:color="000000"/>
              <w:right w:val="single" w:sz="4" w:space="0" w:color="auto"/>
            </w:tcBorders>
            <w:vAlign w:val="bottom"/>
          </w:tcPr>
          <w:p w:rsidR="00C73C37" w:rsidRPr="00ED7F0F" w:rsidRDefault="00C73C37" w:rsidP="00122C9F">
            <w:pPr>
              <w:tabs>
                <w:tab w:val="center" w:pos="695"/>
              </w:tabs>
              <w:spacing w:line="259" w:lineRule="auto"/>
              <w:ind w:left="122"/>
              <w:rPr>
                <w:rFonts w:ascii="Times New Roman" w:hAnsi="Times New Roman" w:cs="Times New Roman"/>
                <w:sz w:val="20"/>
                <w:szCs w:val="20"/>
              </w:rPr>
            </w:pPr>
            <w:r w:rsidRPr="00ED7F0F">
              <w:rPr>
                <w:rFonts w:ascii="Times New Roman" w:hAnsi="Times New Roman" w:cs="Times New Roman"/>
                <w:sz w:val="20"/>
              </w:rPr>
              <w:t>54% (48 – 59)</w:t>
            </w:r>
          </w:p>
        </w:tc>
        <w:tc>
          <w:tcPr>
            <w:tcW w:w="1426" w:type="dxa"/>
            <w:tcBorders>
              <w:top w:val="nil"/>
              <w:left w:val="single" w:sz="4" w:space="0" w:color="auto"/>
              <w:bottom w:val="single" w:sz="4" w:space="0" w:color="000000"/>
              <w:right w:val="single" w:sz="4" w:space="0" w:color="auto"/>
            </w:tcBorders>
            <w:vAlign w:val="bottom"/>
          </w:tcPr>
          <w:p w:rsidR="00C73C37" w:rsidRPr="00ED7F0F" w:rsidRDefault="00C73C37" w:rsidP="00122C9F">
            <w:pPr>
              <w:spacing w:line="259" w:lineRule="auto"/>
              <w:ind w:left="301" w:hanging="293"/>
              <w:jc w:val="center"/>
              <w:rPr>
                <w:rFonts w:ascii="Times New Roman" w:hAnsi="Times New Roman" w:cs="Times New Roman"/>
                <w:sz w:val="20"/>
                <w:szCs w:val="20"/>
              </w:rPr>
            </w:pPr>
            <w:r w:rsidRPr="00ED7F0F">
              <w:rPr>
                <w:rFonts w:ascii="Times New Roman" w:hAnsi="Times New Roman" w:cs="Times New Roman"/>
                <w:sz w:val="20"/>
              </w:rPr>
              <w:t>33% (26 – 41)</w:t>
            </w:r>
          </w:p>
        </w:tc>
        <w:tc>
          <w:tcPr>
            <w:tcW w:w="1419" w:type="dxa"/>
            <w:tcBorders>
              <w:top w:val="nil"/>
              <w:left w:val="single" w:sz="4" w:space="0" w:color="auto"/>
              <w:bottom w:val="single" w:sz="4" w:space="0" w:color="000000"/>
              <w:right w:val="single" w:sz="4" w:space="0" w:color="auto"/>
            </w:tcBorders>
            <w:vAlign w:val="bottom"/>
          </w:tcPr>
          <w:p w:rsidR="00C73C37" w:rsidRPr="00ED7F0F" w:rsidRDefault="00C73C37" w:rsidP="00122C9F">
            <w:pPr>
              <w:spacing w:line="259" w:lineRule="auto"/>
              <w:ind w:left="354" w:hanging="293"/>
              <w:jc w:val="center"/>
              <w:rPr>
                <w:rFonts w:ascii="Times New Roman" w:hAnsi="Times New Roman" w:cs="Times New Roman"/>
                <w:sz w:val="20"/>
                <w:szCs w:val="20"/>
              </w:rPr>
            </w:pPr>
            <w:r w:rsidRPr="00ED7F0F">
              <w:rPr>
                <w:rFonts w:ascii="Times New Roman" w:hAnsi="Times New Roman" w:cs="Times New Roman"/>
                <w:sz w:val="20"/>
              </w:rPr>
              <w:t>27% (19 – 36)</w:t>
            </w:r>
          </w:p>
        </w:tc>
        <w:tc>
          <w:tcPr>
            <w:tcW w:w="1415" w:type="dxa"/>
            <w:tcBorders>
              <w:top w:val="nil"/>
              <w:left w:val="single" w:sz="4" w:space="0" w:color="auto"/>
              <w:bottom w:val="single" w:sz="4" w:space="0" w:color="000000"/>
              <w:right w:val="single" w:sz="4" w:space="0" w:color="auto"/>
            </w:tcBorders>
            <w:vAlign w:val="bottom"/>
          </w:tcPr>
          <w:p w:rsidR="00C73C37" w:rsidRPr="00ED7F0F" w:rsidRDefault="00C73C37" w:rsidP="00122C9F">
            <w:pPr>
              <w:spacing w:line="259" w:lineRule="auto"/>
              <w:ind w:left="405" w:hanging="293"/>
              <w:jc w:val="center"/>
              <w:rPr>
                <w:rFonts w:ascii="Times New Roman" w:hAnsi="Times New Roman" w:cs="Times New Roman"/>
                <w:sz w:val="20"/>
                <w:szCs w:val="20"/>
              </w:rPr>
            </w:pPr>
            <w:r w:rsidRPr="00ED7F0F">
              <w:rPr>
                <w:rFonts w:ascii="Times New Roman" w:hAnsi="Times New Roman" w:cs="Times New Roman"/>
                <w:sz w:val="20"/>
              </w:rPr>
              <w:t>46% (31 – 61)</w:t>
            </w:r>
          </w:p>
        </w:tc>
        <w:tc>
          <w:tcPr>
            <w:tcW w:w="1416" w:type="dxa"/>
            <w:tcBorders>
              <w:top w:val="nil"/>
              <w:left w:val="single" w:sz="4" w:space="0" w:color="auto"/>
              <w:bottom w:val="single" w:sz="4" w:space="0" w:color="000000"/>
              <w:right w:val="single" w:sz="4" w:space="0" w:color="auto"/>
            </w:tcBorders>
            <w:vAlign w:val="bottom"/>
          </w:tcPr>
          <w:p w:rsidR="00C73C37" w:rsidRPr="00ED7F0F" w:rsidRDefault="00C73C37" w:rsidP="00122C9F">
            <w:pPr>
              <w:spacing w:line="259" w:lineRule="auto"/>
              <w:ind w:left="406" w:hanging="293"/>
              <w:jc w:val="center"/>
              <w:rPr>
                <w:rFonts w:ascii="Times New Roman" w:hAnsi="Times New Roman" w:cs="Times New Roman"/>
                <w:sz w:val="20"/>
                <w:szCs w:val="20"/>
              </w:rPr>
            </w:pPr>
            <w:r w:rsidRPr="00ED7F0F">
              <w:rPr>
                <w:rFonts w:ascii="Times New Roman" w:hAnsi="Times New Roman" w:cs="Times New Roman"/>
                <w:sz w:val="20"/>
              </w:rPr>
              <w:t>54% (39 – 69)</w:t>
            </w:r>
          </w:p>
        </w:tc>
      </w:tr>
      <w:tr w:rsidR="0089585B" w:rsidRPr="00ED7F0F" w:rsidTr="009A0932">
        <w:tc>
          <w:tcPr>
            <w:tcW w:w="3519" w:type="dxa"/>
            <w:gridSpan w:val="3"/>
            <w:tcBorders>
              <w:top w:val="single" w:sz="4" w:space="0" w:color="000000"/>
              <w:left w:val="single" w:sz="4" w:space="0" w:color="auto"/>
              <w:bottom w:val="single" w:sz="4" w:space="0" w:color="000000"/>
              <w:right w:val="single" w:sz="4" w:space="0" w:color="auto"/>
            </w:tcBorders>
            <w:vAlign w:val="bottom"/>
          </w:tcPr>
          <w:p w:rsidR="0089585B" w:rsidRPr="00ED7F0F" w:rsidRDefault="0089585B" w:rsidP="00122C9F">
            <w:pPr>
              <w:spacing w:line="259" w:lineRule="auto"/>
              <w:ind w:left="115"/>
              <w:rPr>
                <w:rFonts w:ascii="Times New Roman" w:hAnsi="Times New Roman" w:cs="Times New Roman"/>
                <w:sz w:val="20"/>
                <w:szCs w:val="20"/>
              </w:rPr>
            </w:pPr>
            <w:r w:rsidRPr="00ED7F0F">
              <w:rPr>
                <w:rFonts w:ascii="Times New Roman" w:hAnsi="Times New Roman" w:cs="Times New Roman"/>
                <w:b/>
                <w:sz w:val="20"/>
              </w:rPr>
              <w:t>Prežívanie (%; Kaplan</w:t>
            </w:r>
            <w:r w:rsidR="001042F4" w:rsidRPr="00ED7F0F">
              <w:rPr>
                <w:rFonts w:ascii="Times New Roman" w:hAnsi="Times New Roman" w:cs="Times New Roman"/>
                <w:b/>
                <w:sz w:val="20"/>
              </w:rPr>
              <w:t>ove</w:t>
            </w:r>
            <w:r w:rsidRPr="00ED7F0F">
              <w:rPr>
                <w:rFonts w:ascii="Times New Roman" w:hAnsi="Times New Roman" w:cs="Times New Roman"/>
                <w:b/>
                <w:sz w:val="20"/>
              </w:rPr>
              <w:t>-Meierove odhady)</w:t>
            </w:r>
          </w:p>
        </w:tc>
        <w:tc>
          <w:tcPr>
            <w:tcW w:w="1426" w:type="dxa"/>
            <w:tcBorders>
              <w:top w:val="single" w:sz="4" w:space="0" w:color="000000"/>
              <w:left w:val="single" w:sz="4" w:space="0" w:color="auto"/>
              <w:bottom w:val="single" w:sz="4" w:space="0" w:color="000000"/>
              <w:right w:val="single" w:sz="4" w:space="0" w:color="auto"/>
            </w:tcBorders>
            <w:vAlign w:val="bottom"/>
          </w:tcPr>
          <w:p w:rsidR="0089585B" w:rsidRPr="00ED7F0F" w:rsidRDefault="0089585B" w:rsidP="00122C9F">
            <w:pPr>
              <w:spacing w:line="259" w:lineRule="auto"/>
              <w:ind w:left="115"/>
              <w:rPr>
                <w:rFonts w:ascii="Times New Roman" w:hAnsi="Times New Roman" w:cs="Times New Roman"/>
                <w:sz w:val="20"/>
                <w:szCs w:val="20"/>
              </w:rPr>
            </w:pPr>
          </w:p>
        </w:tc>
        <w:tc>
          <w:tcPr>
            <w:tcW w:w="1419" w:type="dxa"/>
            <w:tcBorders>
              <w:top w:val="single" w:sz="4" w:space="0" w:color="000000"/>
              <w:left w:val="single" w:sz="4" w:space="0" w:color="auto"/>
              <w:bottom w:val="single" w:sz="4" w:space="0" w:color="000000"/>
              <w:right w:val="single" w:sz="4" w:space="0" w:color="auto"/>
            </w:tcBorders>
            <w:vAlign w:val="bottom"/>
          </w:tcPr>
          <w:p w:rsidR="0089585B" w:rsidRPr="00ED7F0F" w:rsidRDefault="0089585B" w:rsidP="00122C9F">
            <w:pPr>
              <w:spacing w:after="160" w:line="259" w:lineRule="auto"/>
              <w:jc w:val="center"/>
              <w:rPr>
                <w:rFonts w:ascii="Times New Roman" w:hAnsi="Times New Roman" w:cs="Times New Roman"/>
                <w:sz w:val="20"/>
                <w:szCs w:val="20"/>
              </w:rPr>
            </w:pPr>
          </w:p>
        </w:tc>
        <w:tc>
          <w:tcPr>
            <w:tcW w:w="1415" w:type="dxa"/>
            <w:tcBorders>
              <w:top w:val="single" w:sz="4" w:space="0" w:color="000000"/>
              <w:left w:val="single" w:sz="4" w:space="0" w:color="auto"/>
              <w:bottom w:val="single" w:sz="4" w:space="0" w:color="000000"/>
              <w:right w:val="single" w:sz="4" w:space="0" w:color="auto"/>
            </w:tcBorders>
            <w:vAlign w:val="bottom"/>
          </w:tcPr>
          <w:p w:rsidR="0089585B" w:rsidRPr="00ED7F0F" w:rsidRDefault="0089585B" w:rsidP="00122C9F">
            <w:pPr>
              <w:spacing w:after="160" w:line="259" w:lineRule="auto"/>
              <w:jc w:val="center"/>
              <w:rPr>
                <w:rFonts w:ascii="Times New Roman" w:hAnsi="Times New Roman" w:cs="Times New Roman"/>
                <w:sz w:val="20"/>
                <w:szCs w:val="20"/>
              </w:rPr>
            </w:pPr>
          </w:p>
        </w:tc>
        <w:tc>
          <w:tcPr>
            <w:tcW w:w="1426" w:type="dxa"/>
            <w:gridSpan w:val="2"/>
            <w:tcBorders>
              <w:top w:val="single" w:sz="4" w:space="0" w:color="000000"/>
              <w:left w:val="single" w:sz="4" w:space="0" w:color="auto"/>
              <w:bottom w:val="single" w:sz="4" w:space="0" w:color="000000"/>
              <w:right w:val="single" w:sz="4" w:space="0" w:color="auto"/>
            </w:tcBorders>
            <w:vAlign w:val="bottom"/>
          </w:tcPr>
          <w:p w:rsidR="0089585B" w:rsidRPr="00ED7F0F" w:rsidRDefault="0089585B" w:rsidP="00122C9F">
            <w:pPr>
              <w:spacing w:after="160" w:line="259" w:lineRule="auto"/>
              <w:jc w:val="center"/>
              <w:rPr>
                <w:rFonts w:ascii="Times New Roman" w:hAnsi="Times New Roman" w:cs="Times New Roman"/>
                <w:sz w:val="20"/>
                <w:szCs w:val="20"/>
              </w:rPr>
            </w:pPr>
          </w:p>
        </w:tc>
      </w:tr>
      <w:tr w:rsidR="00657D4A" w:rsidRPr="00ED7F0F" w:rsidTr="009A0932">
        <w:trPr>
          <w:gridAfter w:val="1"/>
          <w:wAfter w:w="10" w:type="dxa"/>
        </w:trPr>
        <w:tc>
          <w:tcPr>
            <w:tcW w:w="1901" w:type="dxa"/>
            <w:gridSpan w:val="2"/>
            <w:tcBorders>
              <w:top w:val="single" w:sz="4" w:space="0" w:color="000000"/>
              <w:left w:val="single" w:sz="4" w:space="0" w:color="auto"/>
              <w:bottom w:val="nil"/>
              <w:right w:val="single" w:sz="4" w:space="0" w:color="auto"/>
            </w:tcBorders>
            <w:vAlign w:val="bottom"/>
          </w:tcPr>
          <w:p w:rsidR="00657D4A" w:rsidRPr="00ED7F0F" w:rsidRDefault="00657D4A" w:rsidP="00122C9F">
            <w:pPr>
              <w:spacing w:line="259" w:lineRule="auto"/>
              <w:ind w:left="115"/>
              <w:rPr>
                <w:rFonts w:ascii="Times New Roman" w:hAnsi="Times New Roman" w:cs="Times New Roman"/>
                <w:sz w:val="20"/>
                <w:szCs w:val="20"/>
              </w:rPr>
            </w:pPr>
            <w:r w:rsidRPr="00ED7F0F">
              <w:rPr>
                <w:rFonts w:ascii="Times New Roman" w:hAnsi="Times New Roman" w:cs="Times New Roman"/>
                <w:sz w:val="20"/>
              </w:rPr>
              <w:t>Bez progresie</w:t>
            </w:r>
          </w:p>
          <w:p w:rsidR="00657D4A" w:rsidRPr="00ED7F0F" w:rsidRDefault="00657D4A" w:rsidP="002A76AC">
            <w:pPr>
              <w:tabs>
                <w:tab w:val="clear" w:pos="567"/>
                <w:tab w:val="left" w:pos="267"/>
              </w:tabs>
              <w:spacing w:line="216" w:lineRule="auto"/>
              <w:ind w:left="-452" w:right="158" w:firstLine="9"/>
              <w:rPr>
                <w:rFonts w:ascii="Times New Roman" w:hAnsi="Times New Roman" w:cs="Times New Roman"/>
                <w:sz w:val="20"/>
                <w:szCs w:val="20"/>
              </w:rPr>
            </w:pPr>
            <w:r w:rsidRPr="00ED7F0F">
              <w:rPr>
                <w:rFonts w:ascii="Times New Roman" w:hAnsi="Times New Roman" w:cs="Times New Roman"/>
                <w:sz w:val="20"/>
              </w:rPr>
              <w:tab/>
              <w:t>1.rok</w:t>
            </w:r>
          </w:p>
        </w:tc>
        <w:tc>
          <w:tcPr>
            <w:tcW w:w="1618" w:type="dxa"/>
            <w:tcBorders>
              <w:top w:val="single" w:sz="4" w:space="0" w:color="000000"/>
              <w:left w:val="single" w:sz="4" w:space="0" w:color="auto"/>
              <w:right w:val="single" w:sz="4" w:space="0" w:color="auto"/>
            </w:tcBorders>
            <w:vAlign w:val="bottom"/>
          </w:tcPr>
          <w:p w:rsidR="00657D4A" w:rsidRPr="00ED7F0F" w:rsidRDefault="00657D4A" w:rsidP="00657D4A">
            <w:pPr>
              <w:tabs>
                <w:tab w:val="clear" w:pos="567"/>
              </w:tabs>
              <w:spacing w:line="240" w:lineRule="auto"/>
              <w:ind w:left="342" w:hanging="141"/>
              <w:rPr>
                <w:rFonts w:ascii="Times New Roman" w:hAnsi="Times New Roman" w:cs="Times New Roman"/>
                <w:sz w:val="20"/>
                <w:szCs w:val="20"/>
              </w:rPr>
            </w:pPr>
            <w:r w:rsidRPr="00ED7F0F">
              <w:rPr>
                <w:rFonts w:ascii="Times New Roman" w:hAnsi="Times New Roman" w:cs="Times New Roman"/>
                <w:sz w:val="20"/>
              </w:rPr>
              <w:t>91% (88 –94)</w:t>
            </w:r>
          </w:p>
        </w:tc>
        <w:tc>
          <w:tcPr>
            <w:tcW w:w="1426" w:type="dxa"/>
            <w:tcBorders>
              <w:top w:val="single" w:sz="4" w:space="0" w:color="000000"/>
              <w:left w:val="single" w:sz="4" w:space="0" w:color="auto"/>
              <w:bottom w:val="nil"/>
              <w:right w:val="single" w:sz="4" w:space="0" w:color="auto"/>
            </w:tcBorders>
            <w:vAlign w:val="bottom"/>
          </w:tcPr>
          <w:p w:rsidR="00657D4A" w:rsidRPr="00ED7F0F" w:rsidRDefault="00657D4A" w:rsidP="00122C9F">
            <w:pPr>
              <w:spacing w:line="259" w:lineRule="auto"/>
              <w:ind w:left="8"/>
              <w:jc w:val="center"/>
              <w:rPr>
                <w:rFonts w:ascii="Times New Roman" w:hAnsi="Times New Roman" w:cs="Times New Roman"/>
                <w:sz w:val="20"/>
                <w:szCs w:val="20"/>
              </w:rPr>
            </w:pPr>
            <w:r w:rsidRPr="00ED7F0F">
              <w:rPr>
                <w:rFonts w:ascii="Times New Roman" w:hAnsi="Times New Roman" w:cs="Times New Roman"/>
                <w:sz w:val="20"/>
              </w:rPr>
              <w:t>64% (57 –72)</w:t>
            </w:r>
          </w:p>
        </w:tc>
        <w:tc>
          <w:tcPr>
            <w:tcW w:w="1419" w:type="dxa"/>
            <w:tcBorders>
              <w:top w:val="single" w:sz="4" w:space="0" w:color="000000"/>
              <w:left w:val="single" w:sz="4" w:space="0" w:color="auto"/>
              <w:bottom w:val="nil"/>
              <w:right w:val="single" w:sz="4" w:space="0" w:color="auto"/>
            </w:tcBorders>
            <w:vAlign w:val="bottom"/>
          </w:tcPr>
          <w:p w:rsidR="00657D4A" w:rsidRPr="00ED7F0F" w:rsidRDefault="00657D4A" w:rsidP="00122C9F">
            <w:pPr>
              <w:spacing w:line="259" w:lineRule="auto"/>
              <w:ind w:left="61"/>
              <w:jc w:val="center"/>
              <w:rPr>
                <w:rFonts w:ascii="Times New Roman" w:hAnsi="Times New Roman" w:cs="Times New Roman"/>
                <w:sz w:val="20"/>
                <w:szCs w:val="20"/>
              </w:rPr>
            </w:pPr>
            <w:r w:rsidRPr="00ED7F0F">
              <w:rPr>
                <w:rFonts w:ascii="Times New Roman" w:hAnsi="Times New Roman" w:cs="Times New Roman"/>
                <w:sz w:val="20"/>
              </w:rPr>
              <w:t>35% (25 –45)</w:t>
            </w:r>
          </w:p>
        </w:tc>
        <w:tc>
          <w:tcPr>
            <w:tcW w:w="1415" w:type="dxa"/>
            <w:tcBorders>
              <w:top w:val="single" w:sz="4" w:space="0" w:color="000000"/>
              <w:left w:val="single" w:sz="4" w:space="0" w:color="auto"/>
              <w:bottom w:val="nil"/>
              <w:right w:val="single" w:sz="4" w:space="0" w:color="auto"/>
            </w:tcBorders>
            <w:vAlign w:val="bottom"/>
          </w:tcPr>
          <w:p w:rsidR="00657D4A" w:rsidRPr="00ED7F0F" w:rsidRDefault="00657D4A" w:rsidP="00122C9F">
            <w:pPr>
              <w:spacing w:line="259" w:lineRule="auto"/>
              <w:jc w:val="center"/>
              <w:rPr>
                <w:rFonts w:ascii="Times New Roman" w:hAnsi="Times New Roman" w:cs="Times New Roman"/>
                <w:sz w:val="20"/>
                <w:szCs w:val="20"/>
              </w:rPr>
            </w:pPr>
            <w:r w:rsidRPr="00ED7F0F">
              <w:rPr>
                <w:rFonts w:ascii="Times New Roman" w:hAnsi="Times New Roman" w:cs="Times New Roman"/>
                <w:sz w:val="20"/>
              </w:rPr>
              <w:t>14% (3 – 25)</w:t>
            </w:r>
          </w:p>
        </w:tc>
        <w:tc>
          <w:tcPr>
            <w:tcW w:w="1416" w:type="dxa"/>
            <w:tcBorders>
              <w:top w:val="single" w:sz="4" w:space="0" w:color="000000"/>
              <w:left w:val="single" w:sz="4" w:space="0" w:color="auto"/>
              <w:bottom w:val="nil"/>
              <w:right w:val="single" w:sz="4" w:space="0" w:color="auto"/>
            </w:tcBorders>
            <w:vAlign w:val="bottom"/>
          </w:tcPr>
          <w:p w:rsidR="00657D4A" w:rsidRPr="00ED7F0F" w:rsidRDefault="00657D4A" w:rsidP="00122C9F">
            <w:pPr>
              <w:spacing w:line="259" w:lineRule="auto"/>
              <w:jc w:val="center"/>
              <w:rPr>
                <w:rFonts w:ascii="Times New Roman" w:hAnsi="Times New Roman" w:cs="Times New Roman"/>
                <w:sz w:val="20"/>
                <w:szCs w:val="20"/>
              </w:rPr>
            </w:pPr>
            <w:r w:rsidRPr="00ED7F0F">
              <w:rPr>
                <w:rFonts w:ascii="Times New Roman" w:hAnsi="Times New Roman" w:cs="Times New Roman"/>
                <w:sz w:val="20"/>
              </w:rPr>
              <w:t>21% (9 – 34)</w:t>
            </w:r>
          </w:p>
        </w:tc>
      </w:tr>
      <w:tr w:rsidR="00657D4A" w:rsidRPr="00ED7F0F" w:rsidTr="009A0932">
        <w:trPr>
          <w:gridAfter w:val="1"/>
          <w:wAfter w:w="10" w:type="dxa"/>
        </w:trPr>
        <w:tc>
          <w:tcPr>
            <w:tcW w:w="1901" w:type="dxa"/>
            <w:gridSpan w:val="2"/>
            <w:tcBorders>
              <w:top w:val="nil"/>
              <w:left w:val="single" w:sz="4" w:space="0" w:color="auto"/>
              <w:bottom w:val="single" w:sz="3" w:space="0" w:color="000000"/>
              <w:right w:val="single" w:sz="4" w:space="0" w:color="auto"/>
            </w:tcBorders>
            <w:vAlign w:val="bottom"/>
          </w:tcPr>
          <w:p w:rsidR="00657D4A" w:rsidRPr="00ED7F0F" w:rsidRDefault="00657D4A" w:rsidP="002A76AC">
            <w:pPr>
              <w:tabs>
                <w:tab w:val="center" w:pos="695"/>
              </w:tabs>
              <w:spacing w:line="259" w:lineRule="auto"/>
              <w:ind w:left="267"/>
              <w:rPr>
                <w:rFonts w:ascii="Times New Roman" w:hAnsi="Times New Roman" w:cs="Times New Roman"/>
                <w:sz w:val="20"/>
                <w:szCs w:val="20"/>
              </w:rPr>
            </w:pPr>
            <w:r w:rsidRPr="00ED7F0F">
              <w:rPr>
                <w:rFonts w:ascii="Times New Roman" w:hAnsi="Times New Roman" w:cs="Times New Roman"/>
                <w:sz w:val="20"/>
              </w:rPr>
              <w:t>2. rok</w:t>
            </w:r>
          </w:p>
        </w:tc>
        <w:tc>
          <w:tcPr>
            <w:tcW w:w="1618" w:type="dxa"/>
            <w:tcBorders>
              <w:top w:val="nil"/>
              <w:left w:val="single" w:sz="4" w:space="0" w:color="auto"/>
              <w:bottom w:val="single" w:sz="4" w:space="0" w:color="auto"/>
              <w:right w:val="single" w:sz="4" w:space="0" w:color="auto"/>
            </w:tcBorders>
            <w:vAlign w:val="bottom"/>
          </w:tcPr>
          <w:p w:rsidR="00657D4A" w:rsidRPr="00ED7F0F" w:rsidRDefault="00657D4A" w:rsidP="00657D4A">
            <w:pPr>
              <w:spacing w:line="259" w:lineRule="auto"/>
              <w:ind w:left="-83"/>
              <w:jc w:val="center"/>
              <w:rPr>
                <w:rFonts w:ascii="Times New Roman" w:hAnsi="Times New Roman" w:cs="Times New Roman"/>
                <w:sz w:val="20"/>
                <w:szCs w:val="20"/>
              </w:rPr>
            </w:pPr>
            <w:r w:rsidRPr="00ED7F0F">
              <w:rPr>
                <w:rFonts w:ascii="Times New Roman" w:hAnsi="Times New Roman" w:cs="Times New Roman"/>
                <w:sz w:val="20"/>
              </w:rPr>
              <w:t>80% (75–84)</w:t>
            </w:r>
          </w:p>
        </w:tc>
        <w:tc>
          <w:tcPr>
            <w:tcW w:w="1426" w:type="dxa"/>
            <w:tcBorders>
              <w:top w:val="nil"/>
              <w:left w:val="single" w:sz="4" w:space="0" w:color="auto"/>
              <w:bottom w:val="single" w:sz="3" w:space="0" w:color="000000"/>
              <w:right w:val="single" w:sz="4" w:space="0" w:color="auto"/>
            </w:tcBorders>
            <w:vAlign w:val="bottom"/>
          </w:tcPr>
          <w:p w:rsidR="00657D4A" w:rsidRPr="00ED7F0F" w:rsidRDefault="00657D4A" w:rsidP="00122C9F">
            <w:pPr>
              <w:spacing w:line="259" w:lineRule="auto"/>
              <w:ind w:left="301" w:hanging="293"/>
              <w:jc w:val="center"/>
              <w:rPr>
                <w:rFonts w:ascii="Times New Roman" w:hAnsi="Times New Roman" w:cs="Times New Roman"/>
                <w:sz w:val="20"/>
                <w:szCs w:val="20"/>
              </w:rPr>
            </w:pPr>
            <w:r w:rsidRPr="00ED7F0F">
              <w:rPr>
                <w:rFonts w:ascii="Times New Roman" w:hAnsi="Times New Roman" w:cs="Times New Roman"/>
                <w:sz w:val="20"/>
              </w:rPr>
              <w:t>46% (38 – 54)</w:t>
            </w:r>
          </w:p>
        </w:tc>
        <w:tc>
          <w:tcPr>
            <w:tcW w:w="1419" w:type="dxa"/>
            <w:tcBorders>
              <w:top w:val="nil"/>
              <w:left w:val="single" w:sz="4" w:space="0" w:color="auto"/>
              <w:bottom w:val="single" w:sz="3" w:space="0" w:color="000000"/>
              <w:right w:val="single" w:sz="4" w:space="0" w:color="auto"/>
            </w:tcBorders>
            <w:vAlign w:val="bottom"/>
          </w:tcPr>
          <w:p w:rsidR="00657D4A" w:rsidRPr="00ED7F0F" w:rsidRDefault="00657D4A" w:rsidP="00122C9F">
            <w:pPr>
              <w:spacing w:line="259" w:lineRule="auto"/>
              <w:ind w:left="354" w:hanging="293"/>
              <w:jc w:val="center"/>
              <w:rPr>
                <w:rFonts w:ascii="Times New Roman" w:hAnsi="Times New Roman" w:cs="Times New Roman"/>
                <w:sz w:val="20"/>
                <w:szCs w:val="20"/>
              </w:rPr>
            </w:pPr>
            <w:r w:rsidRPr="00ED7F0F">
              <w:rPr>
                <w:rFonts w:ascii="Times New Roman" w:hAnsi="Times New Roman" w:cs="Times New Roman"/>
                <w:sz w:val="20"/>
              </w:rPr>
              <w:t>20% (11 – 29)</w:t>
            </w:r>
          </w:p>
        </w:tc>
        <w:tc>
          <w:tcPr>
            <w:tcW w:w="1415" w:type="dxa"/>
            <w:tcBorders>
              <w:top w:val="nil"/>
              <w:left w:val="single" w:sz="4" w:space="0" w:color="auto"/>
              <w:bottom w:val="single" w:sz="3" w:space="0" w:color="000000"/>
              <w:right w:val="single" w:sz="4" w:space="0" w:color="auto"/>
            </w:tcBorders>
            <w:vAlign w:val="bottom"/>
          </w:tcPr>
          <w:p w:rsidR="00657D4A" w:rsidRPr="00ED7F0F" w:rsidRDefault="00657D4A" w:rsidP="00122C9F">
            <w:pPr>
              <w:spacing w:line="259" w:lineRule="auto"/>
              <w:ind w:left="50"/>
              <w:jc w:val="center"/>
              <w:rPr>
                <w:rFonts w:ascii="Times New Roman" w:hAnsi="Times New Roman" w:cs="Times New Roman"/>
                <w:sz w:val="20"/>
                <w:szCs w:val="20"/>
              </w:rPr>
            </w:pPr>
            <w:r w:rsidRPr="00ED7F0F">
              <w:rPr>
                <w:rFonts w:ascii="Times New Roman" w:hAnsi="Times New Roman" w:cs="Times New Roman"/>
                <w:sz w:val="20"/>
              </w:rPr>
              <w:t>5% (0 – 13)</w:t>
            </w:r>
          </w:p>
        </w:tc>
        <w:tc>
          <w:tcPr>
            <w:tcW w:w="1416" w:type="dxa"/>
            <w:tcBorders>
              <w:top w:val="nil"/>
              <w:left w:val="single" w:sz="4" w:space="0" w:color="auto"/>
              <w:bottom w:val="single" w:sz="3" w:space="0" w:color="000000"/>
              <w:right w:val="single" w:sz="4" w:space="0" w:color="auto"/>
            </w:tcBorders>
            <w:vAlign w:val="bottom"/>
          </w:tcPr>
          <w:p w:rsidR="00657D4A" w:rsidRPr="00ED7F0F" w:rsidRDefault="00657D4A" w:rsidP="00122C9F">
            <w:pPr>
              <w:spacing w:line="259" w:lineRule="auto"/>
              <w:ind w:left="1"/>
              <w:jc w:val="center"/>
              <w:rPr>
                <w:rFonts w:ascii="Times New Roman" w:hAnsi="Times New Roman" w:cs="Times New Roman"/>
                <w:sz w:val="20"/>
                <w:szCs w:val="20"/>
              </w:rPr>
            </w:pPr>
            <w:r w:rsidRPr="00ED7F0F">
              <w:rPr>
                <w:rFonts w:ascii="Times New Roman" w:hAnsi="Times New Roman" w:cs="Times New Roman"/>
                <w:sz w:val="20"/>
              </w:rPr>
              <w:t>12% (2 – 23)</w:t>
            </w:r>
          </w:p>
        </w:tc>
      </w:tr>
      <w:tr w:rsidR="004E7831" w:rsidRPr="00ED7F0F" w:rsidTr="004E7831">
        <w:trPr>
          <w:gridAfter w:val="1"/>
          <w:wAfter w:w="10" w:type="dxa"/>
          <w:trHeight w:val="210"/>
        </w:trPr>
        <w:tc>
          <w:tcPr>
            <w:tcW w:w="1901" w:type="dxa"/>
            <w:gridSpan w:val="2"/>
            <w:tcBorders>
              <w:top w:val="single" w:sz="3" w:space="0" w:color="000000"/>
              <w:left w:val="single" w:sz="4" w:space="0" w:color="auto"/>
              <w:bottom w:val="single" w:sz="4" w:space="0" w:color="auto"/>
              <w:right w:val="single" w:sz="4" w:space="0" w:color="auto"/>
            </w:tcBorders>
            <w:vAlign w:val="bottom"/>
          </w:tcPr>
          <w:p w:rsidR="004E7831" w:rsidRPr="00ED7F0F" w:rsidRDefault="004E7831" w:rsidP="00122C9F">
            <w:pPr>
              <w:tabs>
                <w:tab w:val="center" w:pos="695"/>
              </w:tabs>
              <w:spacing w:line="259" w:lineRule="auto"/>
              <w:ind w:left="122"/>
              <w:rPr>
                <w:rFonts w:ascii="Times New Roman" w:hAnsi="Times New Roman" w:cs="Times New Roman"/>
                <w:sz w:val="20"/>
                <w:szCs w:val="20"/>
              </w:rPr>
            </w:pPr>
            <w:r w:rsidRPr="00ED7F0F">
              <w:rPr>
                <w:rFonts w:ascii="Times New Roman" w:hAnsi="Times New Roman" w:cs="Times New Roman"/>
                <w:sz w:val="20"/>
              </w:rPr>
              <w:t>Celkovo</w:t>
            </w:r>
          </w:p>
        </w:tc>
        <w:tc>
          <w:tcPr>
            <w:tcW w:w="1618" w:type="dxa"/>
            <w:tcBorders>
              <w:top w:val="single" w:sz="4" w:space="0" w:color="auto"/>
              <w:left w:val="single" w:sz="4" w:space="0" w:color="auto"/>
              <w:bottom w:val="single" w:sz="4" w:space="0" w:color="auto"/>
              <w:right w:val="single" w:sz="4" w:space="0" w:color="auto"/>
            </w:tcBorders>
            <w:vAlign w:val="bottom"/>
          </w:tcPr>
          <w:p w:rsidR="004E7831" w:rsidRPr="00ED7F0F" w:rsidRDefault="004E7831" w:rsidP="00122C9F">
            <w:pPr>
              <w:spacing w:line="259" w:lineRule="auto"/>
              <w:rPr>
                <w:rFonts w:ascii="Times New Roman" w:hAnsi="Times New Roman" w:cs="Times New Roman"/>
                <w:sz w:val="20"/>
                <w:szCs w:val="20"/>
              </w:rPr>
            </w:pPr>
          </w:p>
        </w:tc>
        <w:tc>
          <w:tcPr>
            <w:tcW w:w="1426" w:type="dxa"/>
            <w:tcBorders>
              <w:top w:val="single" w:sz="3" w:space="0" w:color="000000"/>
              <w:left w:val="single" w:sz="4" w:space="0" w:color="auto"/>
              <w:bottom w:val="single" w:sz="4" w:space="0" w:color="auto"/>
              <w:right w:val="single" w:sz="4" w:space="0" w:color="auto"/>
            </w:tcBorders>
            <w:vAlign w:val="bottom"/>
          </w:tcPr>
          <w:p w:rsidR="004E7831" w:rsidRPr="00ED7F0F" w:rsidRDefault="004E7831" w:rsidP="00122C9F">
            <w:pPr>
              <w:spacing w:line="259" w:lineRule="auto"/>
              <w:ind w:left="8"/>
              <w:jc w:val="center"/>
              <w:rPr>
                <w:rFonts w:ascii="Times New Roman" w:hAnsi="Times New Roman" w:cs="Times New Roman"/>
                <w:sz w:val="20"/>
                <w:szCs w:val="20"/>
              </w:rPr>
            </w:pPr>
          </w:p>
        </w:tc>
        <w:tc>
          <w:tcPr>
            <w:tcW w:w="1419" w:type="dxa"/>
            <w:tcBorders>
              <w:top w:val="single" w:sz="3" w:space="0" w:color="000000"/>
              <w:left w:val="single" w:sz="4" w:space="0" w:color="auto"/>
              <w:bottom w:val="single" w:sz="4" w:space="0" w:color="auto"/>
              <w:right w:val="single" w:sz="4" w:space="0" w:color="auto"/>
            </w:tcBorders>
            <w:vAlign w:val="bottom"/>
          </w:tcPr>
          <w:p w:rsidR="004E7831" w:rsidRPr="00ED7F0F" w:rsidRDefault="004E7831" w:rsidP="00122C9F">
            <w:pPr>
              <w:spacing w:line="259" w:lineRule="auto"/>
              <w:ind w:left="61"/>
              <w:jc w:val="center"/>
              <w:rPr>
                <w:rFonts w:ascii="Times New Roman" w:hAnsi="Times New Roman" w:cs="Times New Roman"/>
                <w:sz w:val="20"/>
                <w:szCs w:val="20"/>
              </w:rPr>
            </w:pPr>
          </w:p>
        </w:tc>
        <w:tc>
          <w:tcPr>
            <w:tcW w:w="1415" w:type="dxa"/>
            <w:tcBorders>
              <w:top w:val="single" w:sz="3" w:space="0" w:color="000000"/>
              <w:left w:val="single" w:sz="4" w:space="0" w:color="auto"/>
              <w:bottom w:val="single" w:sz="4" w:space="0" w:color="auto"/>
              <w:right w:val="single" w:sz="4" w:space="0" w:color="auto"/>
            </w:tcBorders>
            <w:vAlign w:val="bottom"/>
          </w:tcPr>
          <w:p w:rsidR="004E7831" w:rsidRPr="00ED7F0F" w:rsidRDefault="004E7831" w:rsidP="00122C9F">
            <w:pPr>
              <w:spacing w:line="259" w:lineRule="auto"/>
              <w:ind w:left="112"/>
              <w:jc w:val="center"/>
              <w:rPr>
                <w:rFonts w:ascii="Times New Roman" w:hAnsi="Times New Roman" w:cs="Times New Roman"/>
                <w:sz w:val="20"/>
                <w:szCs w:val="20"/>
              </w:rPr>
            </w:pPr>
          </w:p>
        </w:tc>
        <w:tc>
          <w:tcPr>
            <w:tcW w:w="1416" w:type="dxa"/>
            <w:tcBorders>
              <w:top w:val="single" w:sz="3" w:space="0" w:color="000000"/>
              <w:left w:val="single" w:sz="4" w:space="0" w:color="auto"/>
              <w:bottom w:val="single" w:sz="4" w:space="0" w:color="auto"/>
              <w:right w:val="single" w:sz="4" w:space="0" w:color="auto"/>
            </w:tcBorders>
            <w:vAlign w:val="bottom"/>
          </w:tcPr>
          <w:p w:rsidR="004E7831" w:rsidRPr="00ED7F0F" w:rsidRDefault="004E7831" w:rsidP="00122C9F">
            <w:pPr>
              <w:spacing w:line="259" w:lineRule="auto"/>
              <w:ind w:left="113"/>
              <w:jc w:val="center"/>
              <w:rPr>
                <w:rFonts w:ascii="Times New Roman" w:hAnsi="Times New Roman" w:cs="Times New Roman"/>
                <w:sz w:val="20"/>
                <w:szCs w:val="20"/>
              </w:rPr>
            </w:pPr>
          </w:p>
        </w:tc>
      </w:tr>
      <w:tr w:rsidR="00657D4A" w:rsidRPr="00ED7F0F" w:rsidTr="009A0932">
        <w:trPr>
          <w:gridAfter w:val="1"/>
          <w:wAfter w:w="10" w:type="dxa"/>
          <w:trHeight w:val="290"/>
        </w:trPr>
        <w:tc>
          <w:tcPr>
            <w:tcW w:w="1901" w:type="dxa"/>
            <w:gridSpan w:val="2"/>
            <w:tcBorders>
              <w:top w:val="single" w:sz="4" w:space="0" w:color="auto"/>
              <w:left w:val="single" w:sz="4" w:space="0" w:color="auto"/>
              <w:bottom w:val="nil"/>
              <w:right w:val="single" w:sz="4" w:space="0" w:color="auto"/>
            </w:tcBorders>
            <w:vAlign w:val="bottom"/>
          </w:tcPr>
          <w:p w:rsidR="00657D4A" w:rsidRPr="00ED7F0F" w:rsidRDefault="00657D4A" w:rsidP="002A76AC">
            <w:pPr>
              <w:tabs>
                <w:tab w:val="center" w:pos="695"/>
              </w:tabs>
              <w:spacing w:line="259" w:lineRule="auto"/>
              <w:ind w:left="267"/>
              <w:rPr>
                <w:rFonts w:ascii="Times New Roman" w:hAnsi="Times New Roman" w:cs="Times New Roman"/>
                <w:sz w:val="20"/>
                <w:szCs w:val="20"/>
              </w:rPr>
            </w:pPr>
            <w:r w:rsidRPr="00ED7F0F">
              <w:rPr>
                <w:rFonts w:ascii="Times New Roman" w:hAnsi="Times New Roman" w:cs="Times New Roman"/>
                <w:sz w:val="20"/>
              </w:rPr>
              <w:t>1. rok</w:t>
            </w:r>
          </w:p>
        </w:tc>
        <w:tc>
          <w:tcPr>
            <w:tcW w:w="1618" w:type="dxa"/>
            <w:tcBorders>
              <w:top w:val="single" w:sz="4" w:space="0" w:color="auto"/>
              <w:left w:val="single" w:sz="4" w:space="0" w:color="auto"/>
              <w:right w:val="single" w:sz="4" w:space="0" w:color="auto"/>
            </w:tcBorders>
            <w:vAlign w:val="bottom"/>
          </w:tcPr>
          <w:p w:rsidR="00657D4A" w:rsidRPr="00ED7F0F" w:rsidRDefault="00657D4A" w:rsidP="00122C9F">
            <w:pPr>
              <w:spacing w:line="259" w:lineRule="auto"/>
              <w:ind w:left="8"/>
              <w:jc w:val="center"/>
              <w:rPr>
                <w:rFonts w:ascii="Times New Roman" w:hAnsi="Times New Roman" w:cs="Times New Roman"/>
                <w:sz w:val="20"/>
                <w:szCs w:val="20"/>
              </w:rPr>
            </w:pPr>
            <w:r w:rsidRPr="00ED7F0F">
              <w:rPr>
                <w:rFonts w:ascii="Times New Roman" w:hAnsi="Times New Roman" w:cs="Times New Roman"/>
                <w:sz w:val="20"/>
              </w:rPr>
              <w:t>97% (95–99)</w:t>
            </w:r>
          </w:p>
        </w:tc>
        <w:tc>
          <w:tcPr>
            <w:tcW w:w="1426" w:type="dxa"/>
            <w:tcBorders>
              <w:top w:val="single" w:sz="4" w:space="0" w:color="auto"/>
              <w:left w:val="single" w:sz="4" w:space="0" w:color="auto"/>
              <w:bottom w:val="nil"/>
              <w:right w:val="single" w:sz="4" w:space="0" w:color="auto"/>
            </w:tcBorders>
            <w:vAlign w:val="bottom"/>
          </w:tcPr>
          <w:p w:rsidR="00657D4A" w:rsidRPr="00ED7F0F" w:rsidRDefault="00657D4A" w:rsidP="00122C9F">
            <w:pPr>
              <w:spacing w:line="259" w:lineRule="auto"/>
              <w:ind w:left="8"/>
              <w:jc w:val="center"/>
              <w:rPr>
                <w:rFonts w:ascii="Times New Roman" w:hAnsi="Times New Roman" w:cs="Times New Roman"/>
                <w:sz w:val="20"/>
                <w:szCs w:val="20"/>
              </w:rPr>
            </w:pPr>
            <w:r w:rsidRPr="00ED7F0F">
              <w:rPr>
                <w:rFonts w:ascii="Times New Roman" w:hAnsi="Times New Roman" w:cs="Times New Roman"/>
                <w:sz w:val="20"/>
              </w:rPr>
              <w:t>83% (77 –89)</w:t>
            </w:r>
          </w:p>
        </w:tc>
        <w:tc>
          <w:tcPr>
            <w:tcW w:w="1419" w:type="dxa"/>
            <w:tcBorders>
              <w:top w:val="single" w:sz="4" w:space="0" w:color="auto"/>
              <w:left w:val="single" w:sz="4" w:space="0" w:color="auto"/>
              <w:bottom w:val="nil"/>
              <w:right w:val="single" w:sz="4" w:space="0" w:color="auto"/>
            </w:tcBorders>
            <w:vAlign w:val="bottom"/>
          </w:tcPr>
          <w:p w:rsidR="00657D4A" w:rsidRPr="00ED7F0F" w:rsidRDefault="00657D4A" w:rsidP="00122C9F">
            <w:pPr>
              <w:spacing w:line="259" w:lineRule="auto"/>
              <w:ind w:left="61"/>
              <w:jc w:val="center"/>
              <w:rPr>
                <w:rFonts w:ascii="Times New Roman" w:hAnsi="Times New Roman" w:cs="Times New Roman"/>
                <w:sz w:val="20"/>
                <w:szCs w:val="20"/>
              </w:rPr>
            </w:pPr>
            <w:r w:rsidRPr="00ED7F0F">
              <w:rPr>
                <w:rFonts w:ascii="Times New Roman" w:hAnsi="Times New Roman" w:cs="Times New Roman"/>
                <w:sz w:val="20"/>
              </w:rPr>
              <w:t>48% (38 –59)</w:t>
            </w:r>
          </w:p>
        </w:tc>
        <w:tc>
          <w:tcPr>
            <w:tcW w:w="1415" w:type="dxa"/>
            <w:tcBorders>
              <w:top w:val="single" w:sz="4" w:space="0" w:color="auto"/>
              <w:left w:val="single" w:sz="4" w:space="0" w:color="auto"/>
              <w:bottom w:val="nil"/>
              <w:right w:val="single" w:sz="4" w:space="0" w:color="auto"/>
            </w:tcBorders>
            <w:vAlign w:val="bottom"/>
          </w:tcPr>
          <w:p w:rsidR="00657D4A" w:rsidRPr="00ED7F0F" w:rsidRDefault="00657D4A" w:rsidP="00122C9F">
            <w:pPr>
              <w:spacing w:line="259" w:lineRule="auto"/>
              <w:ind w:left="112"/>
              <w:jc w:val="center"/>
              <w:rPr>
                <w:rFonts w:ascii="Times New Roman" w:hAnsi="Times New Roman" w:cs="Times New Roman"/>
                <w:sz w:val="20"/>
                <w:szCs w:val="20"/>
              </w:rPr>
            </w:pPr>
            <w:r w:rsidRPr="00ED7F0F">
              <w:rPr>
                <w:rFonts w:ascii="Times New Roman" w:hAnsi="Times New Roman" w:cs="Times New Roman"/>
                <w:sz w:val="20"/>
              </w:rPr>
              <w:t>30% (14 –47)</w:t>
            </w:r>
          </w:p>
        </w:tc>
        <w:tc>
          <w:tcPr>
            <w:tcW w:w="1416" w:type="dxa"/>
            <w:tcBorders>
              <w:top w:val="single" w:sz="4" w:space="0" w:color="auto"/>
              <w:left w:val="single" w:sz="4" w:space="0" w:color="auto"/>
              <w:bottom w:val="nil"/>
              <w:right w:val="single" w:sz="4" w:space="0" w:color="auto"/>
            </w:tcBorders>
            <w:vAlign w:val="bottom"/>
          </w:tcPr>
          <w:p w:rsidR="00657D4A" w:rsidRPr="00ED7F0F" w:rsidRDefault="00657D4A" w:rsidP="00122C9F">
            <w:pPr>
              <w:spacing w:line="259" w:lineRule="auto"/>
              <w:ind w:left="113"/>
              <w:jc w:val="center"/>
              <w:rPr>
                <w:rFonts w:ascii="Times New Roman" w:hAnsi="Times New Roman" w:cs="Times New Roman"/>
                <w:sz w:val="20"/>
                <w:szCs w:val="20"/>
              </w:rPr>
            </w:pPr>
            <w:r w:rsidRPr="00ED7F0F">
              <w:rPr>
                <w:rFonts w:ascii="Times New Roman" w:hAnsi="Times New Roman" w:cs="Times New Roman"/>
                <w:sz w:val="20"/>
              </w:rPr>
              <w:t>35% (20 –51)</w:t>
            </w:r>
          </w:p>
        </w:tc>
      </w:tr>
      <w:tr w:rsidR="00657D4A" w:rsidRPr="00ED7F0F" w:rsidTr="009A0932">
        <w:trPr>
          <w:gridAfter w:val="1"/>
          <w:wAfter w:w="10" w:type="dxa"/>
        </w:trPr>
        <w:tc>
          <w:tcPr>
            <w:tcW w:w="1901" w:type="dxa"/>
            <w:gridSpan w:val="2"/>
            <w:tcBorders>
              <w:top w:val="nil"/>
              <w:left w:val="single" w:sz="4" w:space="0" w:color="auto"/>
              <w:bottom w:val="single" w:sz="3" w:space="0" w:color="000000"/>
              <w:right w:val="single" w:sz="4" w:space="0" w:color="auto"/>
            </w:tcBorders>
            <w:vAlign w:val="bottom"/>
          </w:tcPr>
          <w:p w:rsidR="00657D4A" w:rsidRPr="00ED7F0F" w:rsidRDefault="00657D4A" w:rsidP="002A76AC">
            <w:pPr>
              <w:tabs>
                <w:tab w:val="center" w:pos="695"/>
              </w:tabs>
              <w:spacing w:line="259" w:lineRule="auto"/>
              <w:ind w:left="267"/>
              <w:rPr>
                <w:rFonts w:ascii="Times New Roman" w:hAnsi="Times New Roman" w:cs="Times New Roman"/>
                <w:sz w:val="20"/>
                <w:szCs w:val="20"/>
              </w:rPr>
            </w:pPr>
            <w:r w:rsidRPr="00ED7F0F">
              <w:rPr>
                <w:rFonts w:ascii="Times New Roman" w:hAnsi="Times New Roman" w:cs="Times New Roman"/>
                <w:sz w:val="20"/>
              </w:rPr>
              <w:t>2. rok</w:t>
            </w:r>
          </w:p>
        </w:tc>
        <w:tc>
          <w:tcPr>
            <w:tcW w:w="1618" w:type="dxa"/>
            <w:tcBorders>
              <w:top w:val="nil"/>
              <w:left w:val="nil"/>
              <w:bottom w:val="single" w:sz="4" w:space="0" w:color="000000"/>
              <w:right w:val="single" w:sz="4" w:space="0" w:color="auto"/>
            </w:tcBorders>
            <w:vAlign w:val="bottom"/>
          </w:tcPr>
          <w:p w:rsidR="00657D4A" w:rsidRPr="00ED7F0F" w:rsidRDefault="00657D4A" w:rsidP="00122C9F">
            <w:pPr>
              <w:spacing w:line="259" w:lineRule="auto"/>
              <w:ind w:left="8"/>
              <w:jc w:val="center"/>
              <w:rPr>
                <w:rFonts w:ascii="Times New Roman" w:hAnsi="Times New Roman" w:cs="Times New Roman"/>
                <w:sz w:val="20"/>
                <w:szCs w:val="20"/>
              </w:rPr>
            </w:pPr>
            <w:r w:rsidRPr="00ED7F0F">
              <w:rPr>
                <w:rFonts w:ascii="Times New Roman" w:hAnsi="Times New Roman" w:cs="Times New Roman"/>
                <w:sz w:val="20"/>
              </w:rPr>
              <w:t>94% (91 –97)</w:t>
            </w:r>
          </w:p>
        </w:tc>
        <w:tc>
          <w:tcPr>
            <w:tcW w:w="1426" w:type="dxa"/>
            <w:tcBorders>
              <w:top w:val="nil"/>
              <w:left w:val="single" w:sz="4" w:space="0" w:color="auto"/>
              <w:bottom w:val="single" w:sz="3" w:space="0" w:color="000000"/>
              <w:right w:val="single" w:sz="4" w:space="0" w:color="auto"/>
            </w:tcBorders>
            <w:vAlign w:val="bottom"/>
          </w:tcPr>
          <w:p w:rsidR="00657D4A" w:rsidRPr="00ED7F0F" w:rsidRDefault="00657D4A" w:rsidP="00122C9F">
            <w:pPr>
              <w:spacing w:line="259" w:lineRule="auto"/>
              <w:ind w:left="301" w:hanging="293"/>
              <w:jc w:val="center"/>
              <w:rPr>
                <w:rFonts w:ascii="Times New Roman" w:hAnsi="Times New Roman" w:cs="Times New Roman"/>
                <w:sz w:val="20"/>
                <w:szCs w:val="20"/>
              </w:rPr>
            </w:pPr>
            <w:r w:rsidRPr="00ED7F0F">
              <w:rPr>
                <w:rFonts w:ascii="Times New Roman" w:hAnsi="Times New Roman" w:cs="Times New Roman"/>
                <w:sz w:val="20"/>
              </w:rPr>
              <w:t>72% (64 – 79)</w:t>
            </w:r>
          </w:p>
        </w:tc>
        <w:tc>
          <w:tcPr>
            <w:tcW w:w="1419" w:type="dxa"/>
            <w:tcBorders>
              <w:top w:val="nil"/>
              <w:left w:val="single" w:sz="4" w:space="0" w:color="auto"/>
              <w:bottom w:val="single" w:sz="3" w:space="0" w:color="000000"/>
              <w:right w:val="single" w:sz="4" w:space="0" w:color="auto"/>
            </w:tcBorders>
            <w:vAlign w:val="bottom"/>
          </w:tcPr>
          <w:p w:rsidR="00657D4A" w:rsidRPr="00ED7F0F" w:rsidRDefault="00657D4A" w:rsidP="00122C9F">
            <w:pPr>
              <w:spacing w:line="259" w:lineRule="auto"/>
              <w:ind w:left="354" w:hanging="293"/>
              <w:jc w:val="center"/>
              <w:rPr>
                <w:rFonts w:ascii="Times New Roman" w:hAnsi="Times New Roman" w:cs="Times New Roman"/>
                <w:sz w:val="20"/>
                <w:szCs w:val="20"/>
              </w:rPr>
            </w:pPr>
            <w:r w:rsidRPr="00ED7F0F">
              <w:rPr>
                <w:rFonts w:ascii="Times New Roman" w:hAnsi="Times New Roman" w:cs="Times New Roman"/>
                <w:sz w:val="20"/>
              </w:rPr>
              <w:t>38% (27 – 50)</w:t>
            </w:r>
          </w:p>
        </w:tc>
        <w:tc>
          <w:tcPr>
            <w:tcW w:w="1415" w:type="dxa"/>
            <w:tcBorders>
              <w:top w:val="nil"/>
              <w:left w:val="single" w:sz="4" w:space="0" w:color="auto"/>
              <w:bottom w:val="single" w:sz="3" w:space="0" w:color="000000"/>
              <w:right w:val="single" w:sz="4" w:space="0" w:color="auto"/>
            </w:tcBorders>
            <w:vAlign w:val="bottom"/>
          </w:tcPr>
          <w:p w:rsidR="00657D4A" w:rsidRPr="00ED7F0F" w:rsidRDefault="00657D4A" w:rsidP="00122C9F">
            <w:pPr>
              <w:spacing w:line="259" w:lineRule="auto"/>
              <w:ind w:left="405" w:hanging="293"/>
              <w:jc w:val="center"/>
              <w:rPr>
                <w:rFonts w:ascii="Times New Roman" w:hAnsi="Times New Roman" w:cs="Times New Roman"/>
                <w:sz w:val="20"/>
                <w:szCs w:val="20"/>
              </w:rPr>
            </w:pPr>
            <w:r w:rsidRPr="00ED7F0F">
              <w:rPr>
                <w:rFonts w:ascii="Times New Roman" w:hAnsi="Times New Roman" w:cs="Times New Roman"/>
                <w:sz w:val="20"/>
              </w:rPr>
              <w:t>26% (10 – 42)</w:t>
            </w:r>
          </w:p>
        </w:tc>
        <w:tc>
          <w:tcPr>
            <w:tcW w:w="1416" w:type="dxa"/>
            <w:tcBorders>
              <w:top w:val="nil"/>
              <w:left w:val="single" w:sz="4" w:space="0" w:color="auto"/>
              <w:bottom w:val="single" w:sz="3" w:space="0" w:color="000000"/>
              <w:right w:val="single" w:sz="4" w:space="0" w:color="auto"/>
            </w:tcBorders>
            <w:vAlign w:val="bottom"/>
          </w:tcPr>
          <w:p w:rsidR="00657D4A" w:rsidRPr="00ED7F0F" w:rsidRDefault="00657D4A" w:rsidP="00122C9F">
            <w:pPr>
              <w:spacing w:line="259" w:lineRule="auto"/>
              <w:ind w:left="406" w:hanging="293"/>
              <w:jc w:val="center"/>
              <w:rPr>
                <w:rFonts w:ascii="Times New Roman" w:hAnsi="Times New Roman" w:cs="Times New Roman"/>
                <w:sz w:val="20"/>
                <w:szCs w:val="20"/>
              </w:rPr>
            </w:pPr>
            <w:r w:rsidRPr="00ED7F0F">
              <w:rPr>
                <w:rFonts w:ascii="Times New Roman" w:hAnsi="Times New Roman" w:cs="Times New Roman"/>
                <w:sz w:val="20"/>
              </w:rPr>
              <w:t>31% (16 – 47)</w:t>
            </w:r>
          </w:p>
        </w:tc>
      </w:tr>
    </w:tbl>
    <w:p w:rsidR="00346B1F" w:rsidRPr="00ED7F0F" w:rsidRDefault="00AE6D42" w:rsidP="00122C9F">
      <w:pPr>
        <w:spacing w:after="3" w:line="247" w:lineRule="auto"/>
        <w:ind w:left="19" w:firstLine="7"/>
        <w:rPr>
          <w:sz w:val="17"/>
        </w:rPr>
      </w:pPr>
      <w:r w:rsidRPr="00ED7F0F">
        <w:rPr>
          <w:sz w:val="17"/>
        </w:rPr>
        <w:t>Údaje uvedené v</w:t>
      </w:r>
      <w:r w:rsidR="00AC030B" w:rsidRPr="00ED7F0F">
        <w:rPr>
          <w:sz w:val="17"/>
        </w:rPr>
        <w:t> </w:t>
      </w:r>
      <w:r w:rsidRPr="00ED7F0F">
        <w:rPr>
          <w:sz w:val="17"/>
        </w:rPr>
        <w:t>tabuľke sú zo štúdií s</w:t>
      </w:r>
      <w:r w:rsidR="00AC030B" w:rsidRPr="00ED7F0F">
        <w:rPr>
          <w:sz w:val="17"/>
        </w:rPr>
        <w:t> </w:t>
      </w:r>
      <w:r w:rsidRPr="00ED7F0F">
        <w:rPr>
          <w:sz w:val="17"/>
        </w:rPr>
        <w:t xml:space="preserve">užívanou </w:t>
      </w:r>
      <w:r w:rsidR="00AC030B" w:rsidRPr="00ED7F0F">
        <w:rPr>
          <w:sz w:val="17"/>
        </w:rPr>
        <w:t>začiatočnou</w:t>
      </w:r>
      <w:r w:rsidRPr="00ED7F0F">
        <w:rPr>
          <w:sz w:val="17"/>
        </w:rPr>
        <w:t xml:space="preserve"> dávkou 70</w:t>
      </w:r>
      <w:r w:rsidR="00AC030B" w:rsidRPr="00ED7F0F">
        <w:rPr>
          <w:sz w:val="17"/>
        </w:rPr>
        <w:t> </w:t>
      </w:r>
      <w:r w:rsidRPr="00ED7F0F">
        <w:rPr>
          <w:sz w:val="17"/>
        </w:rPr>
        <w:t>mg dvakrát denne. Pozri časť</w:t>
      </w:r>
      <w:r w:rsidR="00AC030B" w:rsidRPr="00ED7F0F">
        <w:rPr>
          <w:sz w:val="17"/>
        </w:rPr>
        <w:t> </w:t>
      </w:r>
      <w:r w:rsidRPr="00ED7F0F">
        <w:rPr>
          <w:sz w:val="17"/>
        </w:rPr>
        <w:t xml:space="preserve">4.2 pre odporučenú </w:t>
      </w:r>
      <w:r w:rsidR="00346B1F" w:rsidRPr="00ED7F0F">
        <w:rPr>
          <w:sz w:val="17"/>
        </w:rPr>
        <w:t>začiatočnú</w:t>
      </w:r>
      <w:r w:rsidRPr="00ED7F0F">
        <w:rPr>
          <w:sz w:val="17"/>
        </w:rPr>
        <w:t xml:space="preserve"> dávku.</w:t>
      </w:r>
    </w:p>
    <w:p w:rsidR="00346B1F" w:rsidRPr="00ED7F0F" w:rsidRDefault="00346B1F" w:rsidP="009A0932">
      <w:pPr>
        <w:spacing w:after="3" w:line="247" w:lineRule="auto"/>
        <w:ind w:left="426" w:hanging="426"/>
        <w:rPr>
          <w:sz w:val="17"/>
        </w:rPr>
      </w:pPr>
      <w:r w:rsidRPr="00ED7F0F">
        <w:rPr>
          <w:sz w:val="17"/>
          <w:vertAlign w:val="superscript"/>
        </w:rPr>
        <w:t>a</w:t>
      </w:r>
      <w:r w:rsidRPr="00ED7F0F">
        <w:rPr>
          <w:sz w:val="17"/>
        </w:rPr>
        <w:tab/>
      </w:r>
      <w:r w:rsidR="00AE6D42" w:rsidRPr="00ED7F0F">
        <w:rPr>
          <w:sz w:val="17"/>
        </w:rPr>
        <w:t xml:space="preserve">Čísla </w:t>
      </w:r>
      <w:r w:rsidR="004A2D6C" w:rsidRPr="00ED7F0F">
        <w:rPr>
          <w:sz w:val="17"/>
        </w:rPr>
        <w:t>uvedené zvýrazneným písmom</w:t>
      </w:r>
      <w:r w:rsidR="00AE6D42" w:rsidRPr="00ED7F0F">
        <w:rPr>
          <w:sz w:val="17"/>
        </w:rPr>
        <w:t xml:space="preserve"> sú výsledky primárn</w:t>
      </w:r>
      <w:r w:rsidR="004A2D6C" w:rsidRPr="00ED7F0F">
        <w:rPr>
          <w:sz w:val="17"/>
        </w:rPr>
        <w:t>ych</w:t>
      </w:r>
      <w:r w:rsidR="00AE6D42" w:rsidRPr="00ED7F0F">
        <w:rPr>
          <w:sz w:val="17"/>
        </w:rPr>
        <w:t xml:space="preserve"> koncov</w:t>
      </w:r>
      <w:r w:rsidR="004A2D6C" w:rsidRPr="00ED7F0F">
        <w:rPr>
          <w:sz w:val="17"/>
        </w:rPr>
        <w:t>ých</w:t>
      </w:r>
      <w:r w:rsidR="00AE6D42" w:rsidRPr="00ED7F0F">
        <w:rPr>
          <w:sz w:val="17"/>
        </w:rPr>
        <w:t xml:space="preserve"> ukazovateľ</w:t>
      </w:r>
      <w:r w:rsidR="004A2D6C" w:rsidRPr="00ED7F0F">
        <w:rPr>
          <w:sz w:val="17"/>
        </w:rPr>
        <w:t>ov</w:t>
      </w:r>
      <w:r w:rsidR="00AE6D42" w:rsidRPr="00ED7F0F">
        <w:rPr>
          <w:sz w:val="17"/>
        </w:rPr>
        <w:t>.</w:t>
      </w:r>
    </w:p>
    <w:p w:rsidR="00AE6D42" w:rsidRPr="00ED7F0F" w:rsidRDefault="00346B1F" w:rsidP="009A0932">
      <w:pPr>
        <w:spacing w:after="3" w:line="247" w:lineRule="auto"/>
        <w:ind w:left="426" w:hanging="426"/>
      </w:pPr>
      <w:r w:rsidRPr="00ED7F0F">
        <w:rPr>
          <w:sz w:val="17"/>
          <w:vertAlign w:val="superscript"/>
        </w:rPr>
        <w:t>b</w:t>
      </w:r>
      <w:r w:rsidRPr="00ED7F0F">
        <w:rPr>
          <w:sz w:val="17"/>
          <w:vertAlign w:val="superscript"/>
        </w:rPr>
        <w:tab/>
      </w:r>
      <w:r w:rsidR="00AE6D42" w:rsidRPr="00ED7F0F">
        <w:rPr>
          <w:sz w:val="17"/>
        </w:rPr>
        <w:t>Kritéria hematologickej odpovede (všetky odpovede boli potvrdené po 4 týždňoch): Veľká hematologická odpoveď: (MaHR) = úplná hematologická odpoveď (CHR) + žiadna prítomnosť leukémie (NEL).</w:t>
      </w:r>
    </w:p>
    <w:p w:rsidR="00AE6D42" w:rsidRPr="00ED7F0F" w:rsidRDefault="00AE6D42" w:rsidP="009A0932">
      <w:pPr>
        <w:spacing w:after="3" w:line="247" w:lineRule="auto"/>
        <w:ind w:left="426"/>
        <w:rPr>
          <w:sz w:val="17"/>
        </w:rPr>
      </w:pPr>
      <w:r w:rsidRPr="00ED7F0F">
        <w:rPr>
          <w:sz w:val="17"/>
        </w:rPr>
        <w:t>CHR (chronická CML): WBC ≤ zdravotníckeho zariadenia ULN, trombocyty &lt; 450 000/mm</w:t>
      </w:r>
      <w:r w:rsidRPr="00ED7F0F">
        <w:rPr>
          <w:sz w:val="17"/>
          <w:vertAlign w:val="superscript"/>
        </w:rPr>
        <w:t>3</w:t>
      </w:r>
      <w:r w:rsidRPr="00ED7F0F">
        <w:rPr>
          <w:sz w:val="17"/>
        </w:rPr>
        <w:t xml:space="preserve">, bez blastov alebo promyelocytov v periférnej krvi, &lt; 5% myelocytov plus metamyelocyty v periférnej krvi, bazofily v periférnej krvi &lt; 20% a žiadne extramedulárne postihnutie. </w:t>
      </w:r>
    </w:p>
    <w:p w:rsidR="004A2D6C" w:rsidRPr="00ED7F0F" w:rsidRDefault="00AE6D42" w:rsidP="009A0932">
      <w:pPr>
        <w:spacing w:after="3" w:line="247" w:lineRule="auto"/>
        <w:ind w:left="426"/>
        <w:rPr>
          <w:sz w:val="17"/>
        </w:rPr>
      </w:pPr>
      <w:r w:rsidRPr="00ED7F0F">
        <w:rPr>
          <w:sz w:val="17"/>
        </w:rPr>
        <w:t>CHR (pokročilá CML/Ph+ ALL): WBC ≤</w:t>
      </w:r>
      <w:r w:rsidR="004A2D6C" w:rsidRPr="00ED7F0F">
        <w:rPr>
          <w:sz w:val="17"/>
        </w:rPr>
        <w:t xml:space="preserve"> ULN</w:t>
      </w:r>
      <w:r w:rsidRPr="00ED7F0F">
        <w:rPr>
          <w:sz w:val="17"/>
        </w:rPr>
        <w:t xml:space="preserve"> zdravotníckeho zariadenia, ANC ≥ 1 000/mm</w:t>
      </w:r>
      <w:r w:rsidRPr="00ED7F0F">
        <w:rPr>
          <w:sz w:val="17"/>
          <w:vertAlign w:val="superscript"/>
        </w:rPr>
        <w:t>3</w:t>
      </w:r>
      <w:r w:rsidRPr="00ED7F0F">
        <w:rPr>
          <w:sz w:val="17"/>
        </w:rPr>
        <w:t>, trombocyty ≥ 100 000/mm</w:t>
      </w:r>
      <w:r w:rsidRPr="00ED7F0F">
        <w:rPr>
          <w:sz w:val="17"/>
          <w:vertAlign w:val="superscript"/>
        </w:rPr>
        <w:t>3</w:t>
      </w:r>
      <w:r w:rsidRPr="00ED7F0F">
        <w:rPr>
          <w:sz w:val="17"/>
        </w:rPr>
        <w:t xml:space="preserve">, bez blastov alebo promyelocytov v periférnej krvi, blasty kostnej drene ≤ 5%, &lt; 5% myelocyty plus metamyelocyty v periférnej krvi, bazofily v periférnej krvi &lt; 20% a žiadne extramedulárne postihnutie. </w:t>
      </w:r>
    </w:p>
    <w:p w:rsidR="00AE6D42" w:rsidRPr="00ED7F0F" w:rsidRDefault="00AE6D42" w:rsidP="009A0932">
      <w:pPr>
        <w:spacing w:after="3" w:line="247" w:lineRule="auto"/>
        <w:ind w:left="426"/>
      </w:pPr>
      <w:r w:rsidRPr="00ED7F0F">
        <w:rPr>
          <w:sz w:val="17"/>
        </w:rPr>
        <w:t>NEL: rovnaké kritéria ako pre CHR ale ANC ≥ 500/mm</w:t>
      </w:r>
      <w:r w:rsidRPr="00ED7F0F">
        <w:rPr>
          <w:sz w:val="17"/>
          <w:vertAlign w:val="superscript"/>
        </w:rPr>
        <w:t>3</w:t>
      </w:r>
      <w:r w:rsidRPr="00ED7F0F">
        <w:rPr>
          <w:sz w:val="17"/>
        </w:rPr>
        <w:t xml:space="preserve"> a &lt; 1 000/mm</w:t>
      </w:r>
      <w:r w:rsidRPr="00ED7F0F">
        <w:rPr>
          <w:sz w:val="17"/>
          <w:vertAlign w:val="superscript"/>
        </w:rPr>
        <w:t>3</w:t>
      </w:r>
      <w:r w:rsidRPr="00ED7F0F">
        <w:rPr>
          <w:sz w:val="17"/>
        </w:rPr>
        <w:t>, alebo trombocyty ≥ 20 000/mm</w:t>
      </w:r>
      <w:r w:rsidRPr="00ED7F0F">
        <w:rPr>
          <w:sz w:val="17"/>
          <w:vertAlign w:val="superscript"/>
        </w:rPr>
        <w:t>3</w:t>
      </w:r>
      <w:r w:rsidRPr="00ED7F0F">
        <w:rPr>
          <w:sz w:val="17"/>
        </w:rPr>
        <w:t xml:space="preserve"> a ≤ 100 000/mm</w:t>
      </w:r>
      <w:r w:rsidRPr="00ED7F0F">
        <w:rPr>
          <w:sz w:val="17"/>
          <w:vertAlign w:val="superscript"/>
        </w:rPr>
        <w:t>3</w:t>
      </w:r>
      <w:r w:rsidRPr="00ED7F0F">
        <w:rPr>
          <w:sz w:val="17"/>
        </w:rPr>
        <w:t xml:space="preserve">. </w:t>
      </w:r>
    </w:p>
    <w:p w:rsidR="00AE6D42" w:rsidRPr="00ED7F0F" w:rsidRDefault="00AE6D42" w:rsidP="009A0932">
      <w:pPr>
        <w:spacing w:after="3" w:line="247" w:lineRule="auto"/>
        <w:ind w:left="426" w:hanging="426"/>
      </w:pPr>
      <w:r w:rsidRPr="00ED7F0F">
        <w:rPr>
          <w:sz w:val="17"/>
          <w:vertAlign w:val="superscript"/>
        </w:rPr>
        <w:t>c</w:t>
      </w:r>
      <w:r w:rsidR="00346B1F" w:rsidRPr="00ED7F0F">
        <w:rPr>
          <w:sz w:val="17"/>
          <w:vertAlign w:val="superscript"/>
        </w:rPr>
        <w:tab/>
      </w:r>
      <w:r w:rsidRPr="00ED7F0F">
        <w:rPr>
          <w:sz w:val="17"/>
        </w:rPr>
        <w:t xml:space="preserve">Kritéria cytogenetickej odpovede: úplná (0 % Ph+ metafáza) alebo čiastočná (&gt; 0 % – 35 %). MCyR (0 % – 35 %) </w:t>
      </w:r>
      <w:r w:rsidR="00F8785F" w:rsidRPr="00ED7F0F">
        <w:rPr>
          <w:sz w:val="17"/>
        </w:rPr>
        <w:t>zahŕňa</w:t>
      </w:r>
      <w:r w:rsidRPr="00ED7F0F">
        <w:rPr>
          <w:sz w:val="17"/>
        </w:rPr>
        <w:t xml:space="preserve"> </w:t>
      </w:r>
      <w:r w:rsidR="00346E3B" w:rsidRPr="00ED7F0F">
        <w:rPr>
          <w:sz w:val="17"/>
        </w:rPr>
        <w:t>úpln</w:t>
      </w:r>
      <w:r w:rsidR="00F8785F" w:rsidRPr="00ED7F0F">
        <w:rPr>
          <w:sz w:val="17"/>
        </w:rPr>
        <w:t>é</w:t>
      </w:r>
      <w:r w:rsidRPr="00ED7F0F">
        <w:rPr>
          <w:sz w:val="17"/>
        </w:rPr>
        <w:t xml:space="preserve"> a</w:t>
      </w:r>
      <w:r w:rsidR="00F8785F" w:rsidRPr="00ED7F0F">
        <w:rPr>
          <w:sz w:val="17"/>
        </w:rPr>
        <w:t>j</w:t>
      </w:r>
      <w:r w:rsidRPr="00ED7F0F">
        <w:rPr>
          <w:sz w:val="17"/>
        </w:rPr>
        <w:t xml:space="preserve"> čiastočn</w:t>
      </w:r>
      <w:r w:rsidR="00F8785F" w:rsidRPr="00ED7F0F">
        <w:rPr>
          <w:sz w:val="17"/>
        </w:rPr>
        <w:t>é</w:t>
      </w:r>
      <w:r w:rsidRPr="00ED7F0F">
        <w:rPr>
          <w:sz w:val="17"/>
        </w:rPr>
        <w:t xml:space="preserve"> odpove</w:t>
      </w:r>
      <w:r w:rsidR="00F8785F" w:rsidRPr="00ED7F0F">
        <w:rPr>
          <w:sz w:val="17"/>
        </w:rPr>
        <w:t>de</w:t>
      </w:r>
      <w:r w:rsidRPr="00ED7F0F">
        <w:rPr>
          <w:sz w:val="17"/>
        </w:rPr>
        <w:t xml:space="preserve">. </w:t>
      </w:r>
    </w:p>
    <w:p w:rsidR="00AE6D42" w:rsidRPr="00ED7F0F" w:rsidRDefault="00AE6D42" w:rsidP="00122C9F">
      <w:pPr>
        <w:spacing w:line="261" w:lineRule="auto"/>
        <w:ind w:left="29"/>
      </w:pPr>
      <w:r w:rsidRPr="00ED7F0F">
        <w:rPr>
          <w:sz w:val="17"/>
        </w:rPr>
        <w:t xml:space="preserve">n/a = neaplikovateľný; CI = interval spoľahlivosti; ULN = horný limit normálneho rozpätia. </w:t>
      </w:r>
    </w:p>
    <w:p w:rsidR="00AE6D42" w:rsidRPr="00ED7F0F" w:rsidRDefault="00AE6D42" w:rsidP="00122C9F">
      <w:pPr>
        <w:spacing w:line="259" w:lineRule="auto"/>
        <w:ind w:left="34"/>
      </w:pPr>
    </w:p>
    <w:p w:rsidR="00AE6D42" w:rsidRPr="00ED7F0F" w:rsidRDefault="00AE6D42" w:rsidP="00122C9F">
      <w:pPr>
        <w:ind w:left="29"/>
      </w:pPr>
      <w:r w:rsidRPr="00ED7F0F">
        <w:t>Výsledok u</w:t>
      </w:r>
      <w:r w:rsidR="00346B1F" w:rsidRPr="00ED7F0F">
        <w:t> </w:t>
      </w:r>
      <w:r w:rsidRPr="00ED7F0F">
        <w:t>pacientov s</w:t>
      </w:r>
      <w:r w:rsidR="00346B1F" w:rsidRPr="00ED7F0F">
        <w:t> </w:t>
      </w:r>
      <w:r w:rsidRPr="00ED7F0F">
        <w:t>tran</w:t>
      </w:r>
      <w:r w:rsidR="00BF2F0B" w:rsidRPr="00ED7F0F">
        <w:t>s</w:t>
      </w:r>
      <w:r w:rsidRPr="00ED7F0F">
        <w:t>plantáciou kostnej drene po liečbe dasatinibom nie je úplne zhodnotený.</w:t>
      </w:r>
    </w:p>
    <w:p w:rsidR="00AE6D42" w:rsidRPr="00ED7F0F" w:rsidRDefault="00AE6D42" w:rsidP="00122C9F">
      <w:pPr>
        <w:spacing w:line="259" w:lineRule="auto"/>
        <w:ind w:left="34"/>
      </w:pPr>
    </w:p>
    <w:p w:rsidR="00AE6D42" w:rsidRPr="00ED7F0F" w:rsidRDefault="00AE6D42" w:rsidP="00122C9F">
      <w:pPr>
        <w:spacing w:line="249" w:lineRule="auto"/>
        <w:ind w:left="29"/>
      </w:pPr>
      <w:r w:rsidRPr="00ED7F0F">
        <w:rPr>
          <w:i/>
          <w:u w:val="single" w:color="000000"/>
        </w:rPr>
        <w:t>Klinické štúdie fázy III u</w:t>
      </w:r>
      <w:r w:rsidR="00346B1F" w:rsidRPr="00ED7F0F">
        <w:rPr>
          <w:i/>
          <w:u w:val="single" w:color="000000"/>
        </w:rPr>
        <w:t> </w:t>
      </w:r>
      <w:r w:rsidRPr="00ED7F0F">
        <w:rPr>
          <w:i/>
          <w:u w:val="single" w:color="000000"/>
        </w:rPr>
        <w:t>pacientov s</w:t>
      </w:r>
      <w:r w:rsidR="00346B1F" w:rsidRPr="00ED7F0F">
        <w:rPr>
          <w:i/>
          <w:u w:val="single" w:color="000000"/>
        </w:rPr>
        <w:t> </w:t>
      </w:r>
      <w:r w:rsidRPr="00ED7F0F">
        <w:rPr>
          <w:i/>
          <w:u w:val="single" w:color="000000"/>
        </w:rPr>
        <w:t>CML v</w:t>
      </w:r>
      <w:r w:rsidR="00346B1F" w:rsidRPr="00ED7F0F">
        <w:rPr>
          <w:i/>
          <w:u w:val="single" w:color="000000"/>
        </w:rPr>
        <w:t> </w:t>
      </w:r>
      <w:r w:rsidRPr="00ED7F0F">
        <w:rPr>
          <w:i/>
          <w:u w:val="single" w:color="000000"/>
        </w:rPr>
        <w:t xml:space="preserve">chronickej, akcelerovanej alebo myeloidnej blastovej </w:t>
      </w:r>
      <w:r w:rsidRPr="00ED7F0F">
        <w:rPr>
          <w:i/>
          <w:u w:val="single"/>
        </w:rPr>
        <w:t>fáze a Ph</w:t>
      </w:r>
      <w:r w:rsidRPr="00ED7F0F">
        <w:rPr>
          <w:i/>
          <w:u w:val="single" w:color="000000"/>
        </w:rPr>
        <w:t>+ ALL, ktorí boli rezistentní alebo netolerovali imatinib</w:t>
      </w:r>
    </w:p>
    <w:p w:rsidR="00AE6D42" w:rsidRPr="00ED7F0F" w:rsidRDefault="00F8785F" w:rsidP="00122C9F">
      <w:pPr>
        <w:ind w:left="29"/>
      </w:pPr>
      <w:r w:rsidRPr="00ED7F0F">
        <w:t>Jedna</w:t>
      </w:r>
      <w:r w:rsidR="00AE6D42" w:rsidRPr="00ED7F0F">
        <w:t xml:space="preserve"> randomizovan</w:t>
      </w:r>
      <w:r w:rsidRPr="00ED7F0F">
        <w:t>á</w:t>
      </w:r>
      <w:r w:rsidR="00AE6D42" w:rsidRPr="00ED7F0F">
        <w:t>, otvoren</w:t>
      </w:r>
      <w:r w:rsidRPr="00ED7F0F">
        <w:t>á</w:t>
      </w:r>
      <w:r w:rsidR="00AE6D42" w:rsidRPr="00ED7F0F">
        <w:t xml:space="preserve"> štúdi</w:t>
      </w:r>
      <w:r w:rsidRPr="00ED7F0F">
        <w:t>a</w:t>
      </w:r>
      <w:r w:rsidR="00AE6D42" w:rsidRPr="00ED7F0F">
        <w:t xml:space="preserve"> sa vykonal</w:t>
      </w:r>
      <w:r w:rsidRPr="00ED7F0F">
        <w:t>a</w:t>
      </w:r>
      <w:r w:rsidR="00AE6D42" w:rsidRPr="00ED7F0F">
        <w:t xml:space="preserve"> na zhodnotenie účinnosti dasatinibu podávaného jedenkrát denne v</w:t>
      </w:r>
      <w:r w:rsidR="00346B1F" w:rsidRPr="00ED7F0F">
        <w:t> </w:t>
      </w:r>
      <w:r w:rsidR="00AE6D42" w:rsidRPr="00ED7F0F">
        <w:t>porovnaní s</w:t>
      </w:r>
      <w:r w:rsidR="00346B1F" w:rsidRPr="00ED7F0F">
        <w:t> </w:t>
      </w:r>
      <w:r w:rsidR="00AE6D42" w:rsidRPr="00ED7F0F">
        <w:t>dasatinibom podávaným dvakrát denne. Výsledky uvedené nižšie sú založené na minimálne 2-ročnom a 7-ročnom následnom sledovaní po začatí liečby dasatinibom.</w:t>
      </w:r>
    </w:p>
    <w:p w:rsidR="00AE6D42" w:rsidRPr="00ED7F0F" w:rsidRDefault="00AE6D42" w:rsidP="00122C9F">
      <w:pPr>
        <w:spacing w:line="259" w:lineRule="auto"/>
        <w:ind w:left="34"/>
      </w:pPr>
    </w:p>
    <w:p w:rsidR="00AE6D42" w:rsidRPr="00ED7F0F" w:rsidRDefault="00AE6D42" w:rsidP="00122C9F">
      <w:pPr>
        <w:spacing w:line="259" w:lineRule="auto"/>
        <w:ind w:left="29"/>
      </w:pPr>
      <w:r w:rsidRPr="00ED7F0F">
        <w:rPr>
          <w:i/>
        </w:rPr>
        <w:t>1. štúdia</w:t>
      </w:r>
    </w:p>
    <w:p w:rsidR="00AE6D42" w:rsidRPr="00ED7F0F" w:rsidRDefault="00AE6D42" w:rsidP="00122C9F">
      <w:pPr>
        <w:ind w:left="29"/>
      </w:pPr>
      <w:r w:rsidRPr="00ED7F0F">
        <w:t>V</w:t>
      </w:r>
      <w:r w:rsidR="00346B1F" w:rsidRPr="00ED7F0F">
        <w:t> </w:t>
      </w:r>
      <w:r w:rsidRPr="00ED7F0F">
        <w:t>štúdii s</w:t>
      </w:r>
      <w:r w:rsidR="00346B1F" w:rsidRPr="00ED7F0F">
        <w:t> </w:t>
      </w:r>
      <w:r w:rsidRPr="00ED7F0F">
        <w:t>chronickou fázou CML bola MCyR primárnym koncovým ukazovateľom u</w:t>
      </w:r>
      <w:r w:rsidR="00346B1F" w:rsidRPr="00ED7F0F">
        <w:t> </w:t>
      </w:r>
      <w:r w:rsidRPr="00ED7F0F">
        <w:t>pacientov rezistentných na imatinib. MCyR bola hlavným sekundárnym koncovým ukazovateľom pri celkovej dennej dávke u</w:t>
      </w:r>
      <w:r w:rsidR="00346B1F" w:rsidRPr="00ED7F0F">
        <w:t> </w:t>
      </w:r>
      <w:r w:rsidRPr="00ED7F0F">
        <w:t>pacientov rezistentných na imatinib. Ďalšie sekundárne koncové ukazovatele zahŕňali trvania MCyR, PFS a celkového prežitia. Z</w:t>
      </w:r>
      <w:r w:rsidR="00346B1F" w:rsidRPr="00ED7F0F">
        <w:t> </w:t>
      </w:r>
      <w:r w:rsidRPr="00ED7F0F">
        <w:t>celkového počtu 670</w:t>
      </w:r>
      <w:r w:rsidR="00346B1F" w:rsidRPr="00ED7F0F">
        <w:t> </w:t>
      </w:r>
      <w:r w:rsidRPr="00ED7F0F">
        <w:t>pacientov, z</w:t>
      </w:r>
      <w:r w:rsidR="00346B1F" w:rsidRPr="00ED7F0F">
        <w:t> </w:t>
      </w:r>
      <w:r w:rsidRPr="00ED7F0F">
        <w:t>ktorých bolo 497</w:t>
      </w:r>
      <w:r w:rsidR="00346B1F" w:rsidRPr="00ED7F0F">
        <w:t> </w:t>
      </w:r>
      <w:r w:rsidRPr="00ED7F0F">
        <w:t>rezistentných na imatinib, boli pacienti v</w:t>
      </w:r>
      <w:r w:rsidR="00346B1F" w:rsidRPr="00ED7F0F">
        <w:t> </w:t>
      </w:r>
      <w:r w:rsidRPr="00ED7F0F">
        <w:t>skupinách randomizovaní na dasatinib v</w:t>
      </w:r>
      <w:r w:rsidR="00346B1F" w:rsidRPr="00ED7F0F">
        <w:t> </w:t>
      </w:r>
      <w:r w:rsidRPr="00ED7F0F">
        <w:t>dávke 100</w:t>
      </w:r>
      <w:r w:rsidR="00346B1F" w:rsidRPr="00ED7F0F">
        <w:t> </w:t>
      </w:r>
      <w:r w:rsidRPr="00ED7F0F">
        <w:t>mg jedenkrát denne, 140</w:t>
      </w:r>
      <w:r w:rsidR="00346B1F" w:rsidRPr="00ED7F0F">
        <w:t> </w:t>
      </w:r>
      <w:r w:rsidRPr="00ED7F0F">
        <w:t>mg jedenkrát denne, 50</w:t>
      </w:r>
      <w:r w:rsidR="00346B1F" w:rsidRPr="00ED7F0F">
        <w:t> </w:t>
      </w:r>
      <w:r w:rsidRPr="00ED7F0F">
        <w:t>mg dvakrát denne alebo 70</w:t>
      </w:r>
      <w:r w:rsidR="00346B1F" w:rsidRPr="00ED7F0F">
        <w:t> </w:t>
      </w:r>
      <w:r w:rsidRPr="00ED7F0F">
        <w:t>mg dvakrát denne. Medián trvania liečby všetkých pacientov stále liečených s</w:t>
      </w:r>
      <w:r w:rsidR="00346B1F" w:rsidRPr="00ED7F0F">
        <w:t> </w:t>
      </w:r>
      <w:r w:rsidRPr="00ED7F0F">
        <w:t>minimálne 5-ročným následným sledovaním (n=205) bol 59</w:t>
      </w:r>
      <w:r w:rsidR="00346B1F" w:rsidRPr="00ED7F0F">
        <w:t> </w:t>
      </w:r>
      <w:r w:rsidRPr="00ED7F0F">
        <w:t>mesiacov (rozpätie 28 – 66</w:t>
      </w:r>
      <w:r w:rsidR="00346B1F" w:rsidRPr="00ED7F0F">
        <w:t> </w:t>
      </w:r>
      <w:r w:rsidRPr="00ED7F0F">
        <w:t>mesiacov). Medián trvania liečby všetkých pacientov po 7</w:t>
      </w:r>
      <w:r w:rsidR="00346B1F" w:rsidRPr="00ED7F0F">
        <w:t>-</w:t>
      </w:r>
      <w:r w:rsidRPr="00ED7F0F">
        <w:t>ročnom následnom sledovaní bol 29,8</w:t>
      </w:r>
      <w:r w:rsidR="00346B1F" w:rsidRPr="00ED7F0F">
        <w:t> </w:t>
      </w:r>
      <w:r w:rsidRPr="00ED7F0F">
        <w:t>mesiaca (rozpätie</w:t>
      </w:r>
      <w:r w:rsidR="00346B1F" w:rsidRPr="00ED7F0F">
        <w:t> </w:t>
      </w:r>
      <w:r w:rsidRPr="00ED7F0F">
        <w:t>&lt;</w:t>
      </w:r>
      <w:r w:rsidR="00346B1F" w:rsidRPr="00ED7F0F">
        <w:t> </w:t>
      </w:r>
      <w:r w:rsidRPr="00ED7F0F">
        <w:t>1 – 92,9 mesiaca).</w:t>
      </w:r>
    </w:p>
    <w:p w:rsidR="00AE6D42" w:rsidRPr="00ED7F0F" w:rsidRDefault="00AE6D42" w:rsidP="00122C9F">
      <w:pPr>
        <w:spacing w:line="259" w:lineRule="auto"/>
        <w:ind w:left="34"/>
        <w:rPr>
          <w:highlight w:val="lightGray"/>
        </w:rPr>
      </w:pPr>
    </w:p>
    <w:p w:rsidR="00AE6D42" w:rsidRPr="00ED7F0F" w:rsidRDefault="00AE6D42" w:rsidP="00122C9F">
      <w:pPr>
        <w:ind w:left="29"/>
      </w:pPr>
      <w:r w:rsidRPr="00ED7F0F">
        <w:t>Účinnosť sa dosiahla vo všetkých skupinách liečených dasatinibom v</w:t>
      </w:r>
      <w:r w:rsidR="0012717A" w:rsidRPr="00ED7F0F">
        <w:t> </w:t>
      </w:r>
      <w:r w:rsidRPr="00ED7F0F">
        <w:t>dávkovacej schéme jedenkrát denne dokazujúc porovnateľnú účinnosť (nie horšiu) dávkovacej schémy dvakrát denne primárneho koncového ukazovateľa účinnosti (rozdiel v</w:t>
      </w:r>
      <w:r w:rsidR="00346B1F" w:rsidRPr="00ED7F0F">
        <w:t> </w:t>
      </w:r>
      <w:r w:rsidRPr="00ED7F0F">
        <w:t>MCyR 1,9</w:t>
      </w:r>
      <w:r w:rsidR="00346B1F" w:rsidRPr="00ED7F0F">
        <w:t> </w:t>
      </w:r>
      <w:r w:rsidRPr="00ED7F0F">
        <w:t>%, 95</w:t>
      </w:r>
      <w:r w:rsidR="00346B1F" w:rsidRPr="00ED7F0F">
        <w:t> </w:t>
      </w:r>
      <w:r w:rsidRPr="00ED7F0F">
        <w:t>% interval spoľahlivosti [-6,8</w:t>
      </w:r>
      <w:r w:rsidR="00346B1F" w:rsidRPr="00ED7F0F">
        <w:t> </w:t>
      </w:r>
      <w:r w:rsidRPr="00ED7F0F">
        <w:t>% – 10,6</w:t>
      </w:r>
      <w:r w:rsidR="00346B1F" w:rsidRPr="00ED7F0F">
        <w:t xml:space="preserve"> </w:t>
      </w:r>
      <w:r w:rsidRPr="00ED7F0F">
        <w:t>%]); schéma dávkovania 100</w:t>
      </w:r>
      <w:r w:rsidR="00346B1F" w:rsidRPr="00ED7F0F">
        <w:t> </w:t>
      </w:r>
      <w:r w:rsidRPr="00ED7F0F">
        <w:t>mg jedenkrát denne však potvrdila zlepšenú bezpečnosť a znášanlivosť. Výsledky účinnosti sú uvedené v</w:t>
      </w:r>
      <w:r w:rsidR="00346B1F" w:rsidRPr="00ED7F0F">
        <w:t> </w:t>
      </w:r>
      <w:r w:rsidRPr="00ED7F0F">
        <w:t>tabuľkách 12 a 13.</w:t>
      </w:r>
    </w:p>
    <w:p w:rsidR="00AE6D42" w:rsidRPr="00ED7F0F" w:rsidRDefault="00AE6D42" w:rsidP="00122C9F">
      <w:pPr>
        <w:spacing w:after="10" w:line="259" w:lineRule="auto"/>
        <w:ind w:left="34"/>
        <w:rPr>
          <w:highlight w:val="lightGray"/>
        </w:rPr>
      </w:pPr>
    </w:p>
    <w:p w:rsidR="00AE6D42" w:rsidRPr="00ED7F0F" w:rsidRDefault="00AE6D42" w:rsidP="00122C9F">
      <w:pPr>
        <w:tabs>
          <w:tab w:val="clear" w:pos="567"/>
        </w:tabs>
        <w:ind w:left="1276" w:hanging="1276"/>
        <w:rPr>
          <w:b/>
        </w:rPr>
      </w:pPr>
      <w:r w:rsidRPr="00ED7F0F">
        <w:rPr>
          <w:b/>
        </w:rPr>
        <w:t xml:space="preserve">Tabuľka 12: </w:t>
      </w:r>
      <w:r w:rsidRPr="00ED7F0F">
        <w:rPr>
          <w:b/>
        </w:rPr>
        <w:tab/>
        <w:t xml:space="preserve">Účinnosť </w:t>
      </w:r>
      <w:r w:rsidR="00A0050A" w:rsidRPr="00ED7F0F">
        <w:rPr>
          <w:b/>
        </w:rPr>
        <w:t>dasatinibu</w:t>
      </w:r>
      <w:r w:rsidRPr="00ED7F0F">
        <w:rPr>
          <w:b/>
        </w:rPr>
        <w:t xml:space="preserve"> v</w:t>
      </w:r>
      <w:r w:rsidR="00A0050A" w:rsidRPr="00ED7F0F">
        <w:rPr>
          <w:b/>
        </w:rPr>
        <w:t> </w:t>
      </w:r>
      <w:r w:rsidRPr="00ED7F0F">
        <w:rPr>
          <w:b/>
        </w:rPr>
        <w:t>štúdii fázy III optimalizácie dávky: rezistencia a alebo intolerancia na imatinib</w:t>
      </w:r>
      <w:r w:rsidR="002A76AC" w:rsidRPr="00ED7F0F">
        <w:rPr>
          <w:b/>
        </w:rPr>
        <w:t>,</w:t>
      </w:r>
      <w:r w:rsidRPr="00ED7F0F">
        <w:rPr>
          <w:b/>
        </w:rPr>
        <w:t xml:space="preserve"> chronická fáza CML (2-ročné výsledky)</w:t>
      </w:r>
      <w:r w:rsidR="0089585B" w:rsidRPr="00ED7F0F">
        <w:rPr>
          <w:b/>
          <w:vertAlign w:val="superscript"/>
        </w:rPr>
        <w:t>a</w:t>
      </w:r>
    </w:p>
    <w:tbl>
      <w:tblPr>
        <w:tblStyle w:val="TableGrid"/>
        <w:tblW w:w="9282" w:type="dxa"/>
        <w:tblInd w:w="-68" w:type="dxa"/>
        <w:tblLook w:val="04A0" w:firstRow="1" w:lastRow="0" w:firstColumn="1" w:lastColumn="0" w:noHBand="0" w:noVBand="1"/>
      </w:tblPr>
      <w:tblGrid>
        <w:gridCol w:w="5086"/>
        <w:gridCol w:w="4196"/>
      </w:tblGrid>
      <w:tr w:rsidR="008A39F5" w:rsidRPr="00ED7F0F" w:rsidTr="00346E3B">
        <w:trPr>
          <w:trHeight w:val="1"/>
        </w:trPr>
        <w:tc>
          <w:tcPr>
            <w:tcW w:w="5086" w:type="dxa"/>
            <w:tcBorders>
              <w:top w:val="single" w:sz="4" w:space="0" w:color="auto"/>
              <w:left w:val="single" w:sz="4" w:space="0" w:color="auto"/>
              <w:bottom w:val="single" w:sz="4" w:space="0" w:color="auto"/>
              <w:right w:val="single" w:sz="4" w:space="0" w:color="auto"/>
            </w:tcBorders>
          </w:tcPr>
          <w:p w:rsidR="008A39F5" w:rsidRPr="00ED7F0F" w:rsidRDefault="008A39F5" w:rsidP="00122C9F">
            <w:pPr>
              <w:spacing w:line="240" w:lineRule="auto"/>
              <w:ind w:left="212"/>
              <w:rPr>
                <w:rFonts w:ascii="Times New Roman" w:hAnsi="Times New Roman" w:cs="Times New Roman"/>
                <w:sz w:val="20"/>
                <w:szCs w:val="20"/>
              </w:rPr>
            </w:pPr>
            <w:r w:rsidRPr="00ED7F0F">
              <w:rPr>
                <w:rFonts w:ascii="Times New Roman" w:hAnsi="Times New Roman" w:cs="Times New Roman"/>
                <w:b/>
                <w:spacing w:val="-1"/>
                <w:sz w:val="20"/>
              </w:rPr>
              <w:t>Všetci pacienti</w:t>
            </w:r>
          </w:p>
        </w:tc>
        <w:tc>
          <w:tcPr>
            <w:tcW w:w="4196" w:type="dxa"/>
            <w:tcBorders>
              <w:top w:val="single" w:sz="4" w:space="0" w:color="auto"/>
              <w:left w:val="single" w:sz="4" w:space="0" w:color="auto"/>
              <w:bottom w:val="single" w:sz="4" w:space="0" w:color="auto"/>
              <w:right w:val="single" w:sz="4" w:space="0" w:color="auto"/>
            </w:tcBorders>
          </w:tcPr>
          <w:p w:rsidR="008A39F5" w:rsidRPr="00ED7F0F" w:rsidRDefault="008A39F5" w:rsidP="00122C9F">
            <w:pPr>
              <w:tabs>
                <w:tab w:val="left" w:pos="1801"/>
              </w:tabs>
              <w:spacing w:line="240" w:lineRule="auto"/>
              <w:jc w:val="center"/>
              <w:rPr>
                <w:rFonts w:ascii="Times New Roman" w:hAnsi="Times New Roman" w:cs="Times New Roman"/>
                <w:sz w:val="20"/>
                <w:szCs w:val="20"/>
              </w:rPr>
            </w:pPr>
            <w:r w:rsidRPr="00ED7F0F">
              <w:rPr>
                <w:rFonts w:ascii="Times New Roman" w:hAnsi="Times New Roman" w:cs="Times New Roman"/>
                <w:b/>
                <w:sz w:val="20"/>
              </w:rPr>
              <w:t>n=167</w:t>
            </w:r>
          </w:p>
        </w:tc>
      </w:tr>
      <w:tr w:rsidR="008A39F5" w:rsidRPr="00ED7F0F" w:rsidTr="00346E3B">
        <w:tc>
          <w:tcPr>
            <w:tcW w:w="5086" w:type="dxa"/>
            <w:tcBorders>
              <w:top w:val="single" w:sz="4" w:space="0" w:color="auto"/>
              <w:left w:val="single" w:sz="4" w:space="0" w:color="auto"/>
              <w:bottom w:val="single" w:sz="4" w:space="0" w:color="auto"/>
              <w:right w:val="single" w:sz="4" w:space="0" w:color="auto"/>
            </w:tcBorders>
          </w:tcPr>
          <w:p w:rsidR="008A39F5" w:rsidRPr="00ED7F0F" w:rsidRDefault="008A39F5" w:rsidP="00122C9F">
            <w:pPr>
              <w:spacing w:line="240" w:lineRule="auto"/>
              <w:ind w:left="212"/>
              <w:rPr>
                <w:rFonts w:ascii="Times New Roman" w:hAnsi="Times New Roman" w:cs="Times New Roman"/>
                <w:sz w:val="20"/>
                <w:szCs w:val="20"/>
              </w:rPr>
            </w:pPr>
            <w:r w:rsidRPr="00ED7F0F">
              <w:rPr>
                <w:rFonts w:ascii="Times New Roman" w:hAnsi="Times New Roman" w:cs="Times New Roman"/>
                <w:b/>
                <w:spacing w:val="-1"/>
                <w:sz w:val="20"/>
              </w:rPr>
              <w:t>Pacienti rezistentní na imatinib</w:t>
            </w:r>
          </w:p>
        </w:tc>
        <w:tc>
          <w:tcPr>
            <w:tcW w:w="4196" w:type="dxa"/>
            <w:tcBorders>
              <w:top w:val="single" w:sz="4" w:space="0" w:color="auto"/>
              <w:left w:val="single" w:sz="4" w:space="0" w:color="auto"/>
              <w:bottom w:val="single" w:sz="4" w:space="0" w:color="auto"/>
              <w:right w:val="single" w:sz="4" w:space="0" w:color="auto"/>
            </w:tcBorders>
          </w:tcPr>
          <w:p w:rsidR="008A39F5" w:rsidRPr="00ED7F0F" w:rsidRDefault="008A39F5" w:rsidP="00122C9F">
            <w:pPr>
              <w:spacing w:line="240" w:lineRule="auto"/>
              <w:jc w:val="center"/>
              <w:rPr>
                <w:rFonts w:ascii="Times New Roman" w:hAnsi="Times New Roman" w:cs="Times New Roman"/>
                <w:sz w:val="20"/>
                <w:szCs w:val="20"/>
              </w:rPr>
            </w:pPr>
            <w:r w:rsidRPr="00ED7F0F">
              <w:rPr>
                <w:rFonts w:ascii="Times New Roman" w:hAnsi="Times New Roman" w:cs="Times New Roman"/>
                <w:b/>
                <w:sz w:val="20"/>
              </w:rPr>
              <w:t>n=124</w:t>
            </w:r>
          </w:p>
        </w:tc>
      </w:tr>
      <w:tr w:rsidR="008A39F5" w:rsidRPr="00ED7F0F" w:rsidTr="00346E3B">
        <w:tc>
          <w:tcPr>
            <w:tcW w:w="5086" w:type="dxa"/>
            <w:tcBorders>
              <w:top w:val="single" w:sz="4" w:space="0" w:color="auto"/>
              <w:left w:val="single" w:sz="4" w:space="0" w:color="auto"/>
              <w:bottom w:val="single" w:sz="4" w:space="0" w:color="auto"/>
              <w:right w:val="single" w:sz="4" w:space="0" w:color="auto"/>
            </w:tcBorders>
          </w:tcPr>
          <w:p w:rsidR="008A39F5" w:rsidRPr="00ED7F0F" w:rsidRDefault="008A39F5" w:rsidP="00122C9F">
            <w:pPr>
              <w:spacing w:line="240" w:lineRule="auto"/>
              <w:ind w:left="212"/>
              <w:rPr>
                <w:rFonts w:ascii="Times New Roman" w:hAnsi="Times New Roman" w:cs="Times New Roman"/>
                <w:sz w:val="20"/>
                <w:szCs w:val="20"/>
              </w:rPr>
            </w:pPr>
            <w:r w:rsidRPr="00ED7F0F">
              <w:rPr>
                <w:rFonts w:ascii="Times New Roman" w:hAnsi="Times New Roman" w:cs="Times New Roman"/>
                <w:b/>
                <w:sz w:val="20"/>
              </w:rPr>
              <w:t>Pomer hematologickej odpovede</w:t>
            </w:r>
            <w:r w:rsidRPr="00ED7F0F">
              <w:rPr>
                <w:rFonts w:ascii="Times New Roman" w:hAnsi="Times New Roman" w:cs="Times New Roman"/>
                <w:b/>
                <w:spacing w:val="-1"/>
                <w:sz w:val="20"/>
                <w:vertAlign w:val="superscript"/>
              </w:rPr>
              <w:t>b</w:t>
            </w:r>
            <w:r w:rsidRPr="00ED7F0F">
              <w:rPr>
                <w:rFonts w:ascii="Times New Roman" w:hAnsi="Times New Roman" w:cs="Times New Roman"/>
                <w:b/>
                <w:spacing w:val="-1"/>
                <w:sz w:val="20"/>
              </w:rPr>
              <w:t xml:space="preserve"> (%)</w:t>
            </w:r>
            <w:r w:rsidRPr="00ED7F0F">
              <w:rPr>
                <w:rFonts w:ascii="Times New Roman" w:hAnsi="Times New Roman" w:cs="Times New Roman"/>
                <w:b/>
                <w:sz w:val="20"/>
              </w:rPr>
              <w:t xml:space="preserve"> (95</w:t>
            </w:r>
            <w:r w:rsidR="00A635CC" w:rsidRPr="00ED7F0F">
              <w:rPr>
                <w:rFonts w:ascii="Times New Roman" w:hAnsi="Times New Roman" w:cs="Times New Roman"/>
                <w:b/>
                <w:sz w:val="20"/>
              </w:rPr>
              <w:t> </w:t>
            </w:r>
            <w:r w:rsidRPr="00ED7F0F">
              <w:rPr>
                <w:rFonts w:ascii="Times New Roman" w:hAnsi="Times New Roman" w:cs="Times New Roman"/>
                <w:b/>
                <w:sz w:val="20"/>
              </w:rPr>
              <w:t>%</w:t>
            </w:r>
            <w:r w:rsidRPr="00ED7F0F">
              <w:rPr>
                <w:rFonts w:ascii="Times New Roman" w:hAnsi="Times New Roman" w:cs="Times New Roman"/>
                <w:b/>
                <w:spacing w:val="-4"/>
                <w:sz w:val="20"/>
              </w:rPr>
              <w:t xml:space="preserve"> </w:t>
            </w:r>
            <w:r w:rsidRPr="00ED7F0F">
              <w:rPr>
                <w:rFonts w:ascii="Times New Roman" w:hAnsi="Times New Roman" w:cs="Times New Roman"/>
                <w:b/>
                <w:sz w:val="20"/>
              </w:rPr>
              <w:t>CI)</w:t>
            </w:r>
          </w:p>
        </w:tc>
        <w:tc>
          <w:tcPr>
            <w:tcW w:w="4196" w:type="dxa"/>
            <w:tcBorders>
              <w:top w:val="single" w:sz="4" w:space="0" w:color="auto"/>
              <w:left w:val="single" w:sz="4" w:space="0" w:color="auto"/>
              <w:bottom w:val="single" w:sz="4" w:space="0" w:color="auto"/>
              <w:right w:val="single" w:sz="4" w:space="0" w:color="auto"/>
            </w:tcBorders>
          </w:tcPr>
          <w:p w:rsidR="008A39F5" w:rsidRPr="00ED7F0F" w:rsidRDefault="008A39F5" w:rsidP="00122C9F">
            <w:pPr>
              <w:spacing w:line="240" w:lineRule="auto"/>
              <w:jc w:val="center"/>
              <w:rPr>
                <w:rFonts w:ascii="Times New Roman" w:eastAsia="Calibri" w:hAnsi="Times New Roman" w:cs="Times New Roman"/>
                <w:sz w:val="20"/>
                <w:szCs w:val="20"/>
              </w:rPr>
            </w:pPr>
          </w:p>
        </w:tc>
      </w:tr>
      <w:tr w:rsidR="008A39F5" w:rsidRPr="00ED7F0F" w:rsidTr="00346E3B">
        <w:tc>
          <w:tcPr>
            <w:tcW w:w="5086" w:type="dxa"/>
            <w:tcBorders>
              <w:top w:val="single" w:sz="4" w:space="0" w:color="auto"/>
              <w:left w:val="single" w:sz="4" w:space="0" w:color="auto"/>
              <w:bottom w:val="single" w:sz="4" w:space="0" w:color="auto"/>
              <w:right w:val="single" w:sz="4" w:space="0" w:color="auto"/>
            </w:tcBorders>
          </w:tcPr>
          <w:p w:rsidR="008A39F5" w:rsidRPr="00ED7F0F" w:rsidRDefault="008A39F5" w:rsidP="00122C9F">
            <w:pPr>
              <w:spacing w:line="240" w:lineRule="auto"/>
              <w:ind w:left="212"/>
              <w:rPr>
                <w:rFonts w:ascii="Times New Roman" w:hAnsi="Times New Roman" w:cs="Times New Roman"/>
                <w:sz w:val="20"/>
                <w:szCs w:val="20"/>
              </w:rPr>
            </w:pPr>
            <w:r w:rsidRPr="00ED7F0F">
              <w:rPr>
                <w:rFonts w:ascii="Times New Roman" w:hAnsi="Times New Roman" w:cs="Times New Roman"/>
                <w:sz w:val="20"/>
              </w:rPr>
              <w:t>CHR</w:t>
            </w:r>
          </w:p>
        </w:tc>
        <w:tc>
          <w:tcPr>
            <w:tcW w:w="4196" w:type="dxa"/>
            <w:tcBorders>
              <w:top w:val="single" w:sz="4" w:space="0" w:color="auto"/>
              <w:left w:val="single" w:sz="4" w:space="0" w:color="auto"/>
              <w:bottom w:val="single" w:sz="4" w:space="0" w:color="auto"/>
              <w:right w:val="single" w:sz="4" w:space="0" w:color="auto"/>
            </w:tcBorders>
          </w:tcPr>
          <w:p w:rsidR="008A39F5" w:rsidRPr="00ED7F0F" w:rsidRDefault="008A39F5" w:rsidP="00122C9F">
            <w:pPr>
              <w:spacing w:line="240" w:lineRule="auto"/>
              <w:jc w:val="center"/>
              <w:rPr>
                <w:rFonts w:ascii="Times New Roman" w:hAnsi="Times New Roman" w:cs="Times New Roman"/>
                <w:sz w:val="20"/>
                <w:szCs w:val="20"/>
              </w:rPr>
            </w:pPr>
            <w:r w:rsidRPr="00ED7F0F">
              <w:rPr>
                <w:rFonts w:ascii="Times New Roman" w:hAnsi="Times New Roman" w:cs="Times New Roman"/>
                <w:b/>
                <w:sz w:val="20"/>
              </w:rPr>
              <w:t>92</w:t>
            </w:r>
            <w:r w:rsidR="00A635CC" w:rsidRPr="00ED7F0F">
              <w:rPr>
                <w:rFonts w:ascii="Times New Roman" w:hAnsi="Times New Roman" w:cs="Times New Roman"/>
                <w:b/>
                <w:sz w:val="20"/>
              </w:rPr>
              <w:t> </w:t>
            </w:r>
            <w:r w:rsidRPr="00ED7F0F">
              <w:rPr>
                <w:rFonts w:ascii="Times New Roman" w:hAnsi="Times New Roman" w:cs="Times New Roman"/>
                <w:b/>
                <w:sz w:val="20"/>
              </w:rPr>
              <w:t>%</w:t>
            </w:r>
            <w:r w:rsidRPr="00ED7F0F">
              <w:rPr>
                <w:rFonts w:ascii="Times New Roman" w:hAnsi="Times New Roman" w:cs="Times New Roman"/>
                <w:b/>
                <w:spacing w:val="-4"/>
                <w:sz w:val="20"/>
              </w:rPr>
              <w:t xml:space="preserve"> </w:t>
            </w:r>
            <w:r w:rsidRPr="00ED7F0F">
              <w:rPr>
                <w:rFonts w:ascii="Times New Roman" w:hAnsi="Times New Roman" w:cs="Times New Roman"/>
                <w:b/>
                <w:spacing w:val="-1"/>
                <w:sz w:val="20"/>
              </w:rPr>
              <w:t>(86–95)</w:t>
            </w:r>
          </w:p>
        </w:tc>
      </w:tr>
      <w:tr w:rsidR="008A39F5" w:rsidRPr="00ED7F0F" w:rsidTr="00346E3B">
        <w:tc>
          <w:tcPr>
            <w:tcW w:w="5086" w:type="dxa"/>
            <w:tcBorders>
              <w:top w:val="single" w:sz="4" w:space="0" w:color="auto"/>
              <w:left w:val="single" w:sz="4" w:space="0" w:color="auto"/>
              <w:bottom w:val="single" w:sz="4" w:space="0" w:color="auto"/>
              <w:right w:val="single" w:sz="4" w:space="0" w:color="auto"/>
            </w:tcBorders>
          </w:tcPr>
          <w:p w:rsidR="008A39F5" w:rsidRPr="00ED7F0F" w:rsidRDefault="008A39F5" w:rsidP="00122C9F">
            <w:pPr>
              <w:spacing w:line="240" w:lineRule="auto"/>
              <w:ind w:left="212"/>
              <w:rPr>
                <w:rFonts w:ascii="Times New Roman" w:hAnsi="Times New Roman" w:cs="Times New Roman"/>
                <w:sz w:val="20"/>
                <w:szCs w:val="20"/>
              </w:rPr>
            </w:pPr>
            <w:r w:rsidRPr="00ED7F0F">
              <w:rPr>
                <w:rFonts w:ascii="Times New Roman" w:hAnsi="Times New Roman" w:cs="Times New Roman"/>
                <w:b/>
                <w:sz w:val="20"/>
              </w:rPr>
              <w:t>Cytogenetická odpoveď</w:t>
            </w:r>
            <w:r w:rsidRPr="00ED7F0F">
              <w:rPr>
                <w:rFonts w:ascii="Times New Roman" w:hAnsi="Times New Roman" w:cs="Times New Roman"/>
                <w:b/>
                <w:sz w:val="20"/>
                <w:vertAlign w:val="superscript"/>
              </w:rPr>
              <w:t>c</w:t>
            </w:r>
            <w:r w:rsidRPr="00ED7F0F">
              <w:rPr>
                <w:rFonts w:ascii="Times New Roman" w:hAnsi="Times New Roman" w:cs="Times New Roman"/>
                <w:b/>
                <w:sz w:val="20"/>
              </w:rPr>
              <w:t xml:space="preserve"> </w:t>
            </w:r>
            <w:r w:rsidRPr="00ED7F0F">
              <w:rPr>
                <w:rFonts w:ascii="Times New Roman" w:hAnsi="Times New Roman" w:cs="Times New Roman"/>
                <w:b/>
                <w:spacing w:val="-1"/>
                <w:sz w:val="20"/>
              </w:rPr>
              <w:t>(%)</w:t>
            </w:r>
            <w:r w:rsidRPr="00ED7F0F">
              <w:rPr>
                <w:rFonts w:ascii="Times New Roman" w:hAnsi="Times New Roman" w:cs="Times New Roman"/>
                <w:b/>
                <w:sz w:val="20"/>
              </w:rPr>
              <w:t xml:space="preserve"> (95</w:t>
            </w:r>
            <w:r w:rsidR="00A635CC" w:rsidRPr="00ED7F0F">
              <w:rPr>
                <w:rFonts w:ascii="Times New Roman" w:hAnsi="Times New Roman" w:cs="Times New Roman"/>
                <w:b/>
                <w:sz w:val="20"/>
              </w:rPr>
              <w:t> </w:t>
            </w:r>
            <w:r w:rsidRPr="00ED7F0F">
              <w:rPr>
                <w:rFonts w:ascii="Times New Roman" w:hAnsi="Times New Roman" w:cs="Times New Roman"/>
                <w:b/>
                <w:sz w:val="20"/>
              </w:rPr>
              <w:t>%</w:t>
            </w:r>
            <w:r w:rsidRPr="00ED7F0F">
              <w:rPr>
                <w:rFonts w:ascii="Times New Roman" w:hAnsi="Times New Roman" w:cs="Times New Roman"/>
                <w:b/>
                <w:spacing w:val="-4"/>
                <w:sz w:val="20"/>
              </w:rPr>
              <w:t xml:space="preserve"> </w:t>
            </w:r>
            <w:r w:rsidRPr="00ED7F0F">
              <w:rPr>
                <w:rFonts w:ascii="Times New Roman" w:hAnsi="Times New Roman" w:cs="Times New Roman"/>
                <w:b/>
                <w:sz w:val="20"/>
              </w:rPr>
              <w:t>CI)</w:t>
            </w:r>
          </w:p>
        </w:tc>
        <w:tc>
          <w:tcPr>
            <w:tcW w:w="4196" w:type="dxa"/>
            <w:tcBorders>
              <w:top w:val="single" w:sz="4" w:space="0" w:color="auto"/>
              <w:left w:val="single" w:sz="4" w:space="0" w:color="auto"/>
              <w:bottom w:val="single" w:sz="4" w:space="0" w:color="auto"/>
              <w:right w:val="single" w:sz="4" w:space="0" w:color="auto"/>
            </w:tcBorders>
          </w:tcPr>
          <w:p w:rsidR="008A39F5" w:rsidRPr="00ED7F0F" w:rsidRDefault="008A39F5" w:rsidP="00122C9F">
            <w:pPr>
              <w:spacing w:line="240" w:lineRule="auto"/>
              <w:jc w:val="center"/>
              <w:rPr>
                <w:rFonts w:ascii="Times New Roman" w:eastAsia="Calibri" w:hAnsi="Times New Roman" w:cs="Times New Roman"/>
                <w:sz w:val="20"/>
                <w:szCs w:val="20"/>
              </w:rPr>
            </w:pPr>
          </w:p>
        </w:tc>
      </w:tr>
      <w:tr w:rsidR="008A39F5" w:rsidRPr="00ED7F0F" w:rsidTr="00346E3B">
        <w:tc>
          <w:tcPr>
            <w:tcW w:w="5086" w:type="dxa"/>
            <w:tcBorders>
              <w:top w:val="single" w:sz="4" w:space="0" w:color="auto"/>
              <w:left w:val="single" w:sz="4" w:space="0" w:color="auto"/>
              <w:bottom w:val="single" w:sz="4" w:space="0" w:color="auto"/>
              <w:right w:val="single" w:sz="4" w:space="0" w:color="auto"/>
            </w:tcBorders>
          </w:tcPr>
          <w:p w:rsidR="008A39F5" w:rsidRPr="00ED7F0F" w:rsidRDefault="008A39F5" w:rsidP="00122C9F">
            <w:pPr>
              <w:spacing w:line="240" w:lineRule="auto"/>
              <w:ind w:left="212"/>
              <w:rPr>
                <w:rFonts w:ascii="Times New Roman" w:hAnsi="Times New Roman" w:cs="Times New Roman"/>
                <w:sz w:val="20"/>
                <w:szCs w:val="20"/>
              </w:rPr>
            </w:pPr>
            <w:r w:rsidRPr="00ED7F0F">
              <w:rPr>
                <w:rFonts w:ascii="Times New Roman" w:hAnsi="Times New Roman" w:cs="Times New Roman"/>
                <w:sz w:val="20"/>
              </w:rPr>
              <w:t>MCyR</w:t>
            </w:r>
          </w:p>
          <w:p w:rsidR="008A39F5" w:rsidRPr="00ED7F0F" w:rsidRDefault="008A39F5" w:rsidP="00122C9F">
            <w:pPr>
              <w:tabs>
                <w:tab w:val="left" w:pos="637"/>
              </w:tabs>
              <w:spacing w:line="240" w:lineRule="auto"/>
              <w:ind w:left="212"/>
              <w:rPr>
                <w:rFonts w:ascii="Times New Roman" w:hAnsi="Times New Roman" w:cs="Times New Roman"/>
                <w:sz w:val="20"/>
                <w:szCs w:val="20"/>
              </w:rPr>
            </w:pPr>
            <w:r w:rsidRPr="00ED7F0F">
              <w:rPr>
                <w:rFonts w:ascii="Times New Roman" w:hAnsi="Times New Roman" w:cs="Times New Roman"/>
                <w:sz w:val="20"/>
              </w:rPr>
              <w:tab/>
              <w:t>Všetci pacienti</w:t>
            </w:r>
          </w:p>
          <w:p w:rsidR="008A39F5" w:rsidRPr="00ED7F0F" w:rsidRDefault="008A39F5" w:rsidP="002A76AC">
            <w:pPr>
              <w:tabs>
                <w:tab w:val="left" w:pos="637"/>
              </w:tabs>
              <w:spacing w:line="240" w:lineRule="auto"/>
              <w:ind w:left="634"/>
              <w:rPr>
                <w:rFonts w:ascii="Times New Roman" w:hAnsi="Times New Roman" w:cs="Times New Roman"/>
                <w:sz w:val="20"/>
                <w:szCs w:val="20"/>
              </w:rPr>
            </w:pPr>
            <w:r w:rsidRPr="00ED7F0F">
              <w:rPr>
                <w:rFonts w:ascii="Times New Roman" w:hAnsi="Times New Roman" w:cs="Times New Roman"/>
                <w:sz w:val="20"/>
              </w:rPr>
              <w:t>Pacienti rezistentní na imatinib</w:t>
            </w:r>
          </w:p>
          <w:p w:rsidR="008A39F5" w:rsidRPr="00ED7F0F" w:rsidRDefault="008A39F5" w:rsidP="00122C9F">
            <w:pPr>
              <w:spacing w:line="240" w:lineRule="auto"/>
              <w:ind w:left="212"/>
              <w:rPr>
                <w:rFonts w:ascii="Times New Roman" w:hAnsi="Times New Roman" w:cs="Times New Roman"/>
                <w:sz w:val="20"/>
                <w:szCs w:val="20"/>
              </w:rPr>
            </w:pPr>
            <w:r w:rsidRPr="00ED7F0F">
              <w:rPr>
                <w:rFonts w:ascii="Times New Roman" w:hAnsi="Times New Roman" w:cs="Times New Roman"/>
                <w:sz w:val="20"/>
              </w:rPr>
              <w:t>CCyR</w:t>
            </w:r>
          </w:p>
          <w:p w:rsidR="008A39F5" w:rsidRPr="00ED7F0F" w:rsidRDefault="008A39F5" w:rsidP="00122C9F">
            <w:pPr>
              <w:tabs>
                <w:tab w:val="left" w:pos="637"/>
              </w:tabs>
              <w:spacing w:line="240" w:lineRule="auto"/>
              <w:ind w:left="212"/>
              <w:rPr>
                <w:rFonts w:ascii="Times New Roman" w:hAnsi="Times New Roman" w:cs="Times New Roman"/>
                <w:sz w:val="20"/>
                <w:szCs w:val="20"/>
              </w:rPr>
            </w:pPr>
            <w:r w:rsidRPr="00ED7F0F">
              <w:rPr>
                <w:rFonts w:ascii="Times New Roman" w:hAnsi="Times New Roman" w:cs="Times New Roman"/>
                <w:sz w:val="20"/>
              </w:rPr>
              <w:tab/>
              <w:t>Všetci pacienti</w:t>
            </w:r>
          </w:p>
          <w:p w:rsidR="008A39F5" w:rsidRPr="00ED7F0F" w:rsidRDefault="008A39F5" w:rsidP="00122C9F">
            <w:pPr>
              <w:tabs>
                <w:tab w:val="left" w:pos="637"/>
              </w:tabs>
              <w:spacing w:line="240" w:lineRule="auto"/>
              <w:ind w:left="212"/>
              <w:rPr>
                <w:rFonts w:ascii="Times New Roman" w:hAnsi="Times New Roman" w:cs="Times New Roman"/>
                <w:sz w:val="20"/>
                <w:szCs w:val="20"/>
              </w:rPr>
            </w:pPr>
            <w:r w:rsidRPr="00ED7F0F">
              <w:rPr>
                <w:rFonts w:ascii="Times New Roman" w:hAnsi="Times New Roman" w:cs="Times New Roman"/>
                <w:sz w:val="20"/>
              </w:rPr>
              <w:tab/>
              <w:t>Pacienti rezistentní na imatinib</w:t>
            </w:r>
          </w:p>
        </w:tc>
        <w:tc>
          <w:tcPr>
            <w:tcW w:w="4196" w:type="dxa"/>
            <w:tcBorders>
              <w:top w:val="single" w:sz="4" w:space="0" w:color="auto"/>
              <w:left w:val="single" w:sz="4" w:space="0" w:color="auto"/>
              <w:bottom w:val="single" w:sz="4" w:space="0" w:color="auto"/>
              <w:right w:val="single" w:sz="4" w:space="0" w:color="auto"/>
            </w:tcBorders>
          </w:tcPr>
          <w:p w:rsidR="008A39F5" w:rsidRPr="00ED7F0F" w:rsidRDefault="008A39F5" w:rsidP="00122C9F">
            <w:pPr>
              <w:tabs>
                <w:tab w:val="left" w:pos="5585"/>
              </w:tabs>
              <w:spacing w:line="240" w:lineRule="auto"/>
              <w:jc w:val="center"/>
              <w:rPr>
                <w:rFonts w:ascii="Times New Roman" w:hAnsi="Times New Roman" w:cs="Times New Roman"/>
                <w:b/>
                <w:sz w:val="20"/>
                <w:szCs w:val="20"/>
              </w:rPr>
            </w:pPr>
          </w:p>
          <w:p w:rsidR="008A39F5" w:rsidRPr="00ED7F0F" w:rsidRDefault="008A39F5" w:rsidP="00122C9F">
            <w:pPr>
              <w:tabs>
                <w:tab w:val="left" w:pos="5585"/>
              </w:tabs>
              <w:spacing w:line="240" w:lineRule="auto"/>
              <w:jc w:val="center"/>
              <w:rPr>
                <w:rFonts w:ascii="Times New Roman" w:hAnsi="Times New Roman" w:cs="Times New Roman"/>
                <w:b/>
                <w:sz w:val="20"/>
                <w:szCs w:val="20"/>
              </w:rPr>
            </w:pPr>
            <w:r w:rsidRPr="00ED7F0F">
              <w:rPr>
                <w:rFonts w:ascii="Times New Roman" w:hAnsi="Times New Roman" w:cs="Times New Roman"/>
                <w:b/>
                <w:sz w:val="20"/>
              </w:rPr>
              <w:t>63</w:t>
            </w:r>
            <w:r w:rsidR="00A635CC" w:rsidRPr="00ED7F0F">
              <w:rPr>
                <w:rFonts w:ascii="Times New Roman" w:hAnsi="Times New Roman" w:cs="Times New Roman"/>
                <w:b/>
                <w:sz w:val="20"/>
              </w:rPr>
              <w:t> </w:t>
            </w:r>
            <w:r w:rsidRPr="00ED7F0F">
              <w:rPr>
                <w:rFonts w:ascii="Times New Roman" w:hAnsi="Times New Roman" w:cs="Times New Roman"/>
                <w:b/>
                <w:sz w:val="20"/>
              </w:rPr>
              <w:t>% (56–71)</w:t>
            </w:r>
          </w:p>
          <w:p w:rsidR="008A39F5" w:rsidRPr="00ED7F0F" w:rsidRDefault="008A39F5" w:rsidP="00122C9F">
            <w:pPr>
              <w:tabs>
                <w:tab w:val="left" w:pos="5585"/>
              </w:tabs>
              <w:spacing w:line="240" w:lineRule="auto"/>
              <w:jc w:val="center"/>
              <w:rPr>
                <w:rFonts w:ascii="Times New Roman" w:hAnsi="Times New Roman" w:cs="Times New Roman"/>
                <w:b/>
                <w:spacing w:val="-1"/>
                <w:sz w:val="20"/>
                <w:szCs w:val="20"/>
              </w:rPr>
            </w:pPr>
            <w:r w:rsidRPr="00ED7F0F">
              <w:rPr>
                <w:rFonts w:ascii="Times New Roman" w:hAnsi="Times New Roman" w:cs="Times New Roman"/>
                <w:b/>
                <w:sz w:val="20"/>
              </w:rPr>
              <w:t>59</w:t>
            </w:r>
            <w:r w:rsidR="00A635CC" w:rsidRPr="00ED7F0F">
              <w:rPr>
                <w:rFonts w:ascii="Times New Roman" w:hAnsi="Times New Roman" w:cs="Times New Roman"/>
                <w:b/>
                <w:sz w:val="20"/>
              </w:rPr>
              <w:t> </w:t>
            </w:r>
            <w:r w:rsidRPr="00ED7F0F">
              <w:rPr>
                <w:rFonts w:ascii="Times New Roman" w:hAnsi="Times New Roman" w:cs="Times New Roman"/>
                <w:b/>
                <w:sz w:val="20"/>
              </w:rPr>
              <w:t>%</w:t>
            </w:r>
            <w:r w:rsidRPr="00ED7F0F">
              <w:rPr>
                <w:rFonts w:ascii="Times New Roman" w:hAnsi="Times New Roman" w:cs="Times New Roman"/>
                <w:b/>
                <w:spacing w:val="-4"/>
                <w:sz w:val="20"/>
              </w:rPr>
              <w:t xml:space="preserve"> </w:t>
            </w:r>
            <w:r w:rsidRPr="00ED7F0F">
              <w:rPr>
                <w:rFonts w:ascii="Times New Roman" w:hAnsi="Times New Roman" w:cs="Times New Roman"/>
                <w:b/>
                <w:spacing w:val="-1"/>
                <w:sz w:val="20"/>
              </w:rPr>
              <w:t>(50–68)</w:t>
            </w:r>
          </w:p>
          <w:p w:rsidR="008A39F5" w:rsidRPr="00ED7F0F" w:rsidRDefault="008A39F5" w:rsidP="00122C9F">
            <w:pPr>
              <w:tabs>
                <w:tab w:val="left" w:pos="5585"/>
              </w:tabs>
              <w:spacing w:line="240" w:lineRule="auto"/>
              <w:jc w:val="center"/>
              <w:rPr>
                <w:rFonts w:ascii="Times New Roman" w:hAnsi="Times New Roman" w:cs="Times New Roman"/>
                <w:b/>
                <w:spacing w:val="-1"/>
                <w:sz w:val="20"/>
                <w:szCs w:val="20"/>
              </w:rPr>
            </w:pPr>
          </w:p>
          <w:p w:rsidR="008A39F5" w:rsidRPr="00ED7F0F" w:rsidRDefault="008A39F5" w:rsidP="00122C9F">
            <w:pPr>
              <w:tabs>
                <w:tab w:val="left" w:pos="5585"/>
              </w:tabs>
              <w:spacing w:line="240" w:lineRule="auto"/>
              <w:jc w:val="center"/>
              <w:rPr>
                <w:rFonts w:ascii="Times New Roman" w:hAnsi="Times New Roman" w:cs="Times New Roman"/>
                <w:b/>
                <w:spacing w:val="-1"/>
                <w:sz w:val="20"/>
                <w:szCs w:val="20"/>
              </w:rPr>
            </w:pPr>
            <w:r w:rsidRPr="00ED7F0F">
              <w:rPr>
                <w:rFonts w:ascii="Times New Roman" w:hAnsi="Times New Roman" w:cs="Times New Roman"/>
                <w:b/>
                <w:sz w:val="20"/>
              </w:rPr>
              <w:t>50</w:t>
            </w:r>
            <w:r w:rsidR="00A635CC" w:rsidRPr="00ED7F0F">
              <w:rPr>
                <w:rFonts w:ascii="Times New Roman" w:hAnsi="Times New Roman" w:cs="Times New Roman"/>
                <w:b/>
                <w:sz w:val="20"/>
              </w:rPr>
              <w:t> </w:t>
            </w:r>
            <w:r w:rsidRPr="00ED7F0F">
              <w:rPr>
                <w:rFonts w:ascii="Times New Roman" w:hAnsi="Times New Roman" w:cs="Times New Roman"/>
                <w:b/>
                <w:sz w:val="20"/>
              </w:rPr>
              <w:t>%</w:t>
            </w:r>
            <w:r w:rsidRPr="00ED7F0F">
              <w:rPr>
                <w:rFonts w:ascii="Times New Roman" w:hAnsi="Times New Roman" w:cs="Times New Roman"/>
                <w:b/>
                <w:spacing w:val="-4"/>
                <w:sz w:val="20"/>
              </w:rPr>
              <w:t xml:space="preserve"> </w:t>
            </w:r>
            <w:r w:rsidRPr="00ED7F0F">
              <w:rPr>
                <w:rFonts w:ascii="Times New Roman" w:hAnsi="Times New Roman" w:cs="Times New Roman"/>
                <w:b/>
                <w:spacing w:val="-1"/>
                <w:sz w:val="20"/>
              </w:rPr>
              <w:t>(42–58)</w:t>
            </w:r>
          </w:p>
          <w:p w:rsidR="008A39F5" w:rsidRPr="00ED7F0F" w:rsidRDefault="008A39F5" w:rsidP="00122C9F">
            <w:pPr>
              <w:tabs>
                <w:tab w:val="left" w:pos="5585"/>
              </w:tabs>
              <w:spacing w:line="240" w:lineRule="auto"/>
              <w:jc w:val="center"/>
              <w:rPr>
                <w:rFonts w:ascii="Times New Roman" w:hAnsi="Times New Roman" w:cs="Times New Roman"/>
                <w:sz w:val="20"/>
                <w:szCs w:val="20"/>
              </w:rPr>
            </w:pPr>
            <w:r w:rsidRPr="00ED7F0F">
              <w:rPr>
                <w:rFonts w:ascii="Times New Roman" w:hAnsi="Times New Roman" w:cs="Times New Roman"/>
                <w:b/>
                <w:sz w:val="20"/>
              </w:rPr>
              <w:t>44</w:t>
            </w:r>
            <w:r w:rsidR="00A635CC" w:rsidRPr="00ED7F0F">
              <w:rPr>
                <w:rFonts w:ascii="Times New Roman" w:hAnsi="Times New Roman" w:cs="Times New Roman"/>
                <w:b/>
                <w:sz w:val="20"/>
              </w:rPr>
              <w:t> </w:t>
            </w:r>
            <w:r w:rsidRPr="00ED7F0F">
              <w:rPr>
                <w:rFonts w:ascii="Times New Roman" w:hAnsi="Times New Roman" w:cs="Times New Roman"/>
                <w:b/>
                <w:sz w:val="20"/>
              </w:rPr>
              <w:t>%</w:t>
            </w:r>
            <w:r w:rsidRPr="00ED7F0F">
              <w:rPr>
                <w:rFonts w:ascii="Times New Roman" w:hAnsi="Times New Roman" w:cs="Times New Roman"/>
                <w:b/>
                <w:spacing w:val="-4"/>
                <w:sz w:val="20"/>
              </w:rPr>
              <w:t xml:space="preserve"> </w:t>
            </w:r>
            <w:r w:rsidRPr="00ED7F0F">
              <w:rPr>
                <w:rFonts w:ascii="Times New Roman" w:hAnsi="Times New Roman" w:cs="Times New Roman"/>
                <w:b/>
                <w:spacing w:val="-1"/>
                <w:sz w:val="20"/>
              </w:rPr>
              <w:t>(35–53)</w:t>
            </w:r>
          </w:p>
        </w:tc>
      </w:tr>
      <w:tr w:rsidR="00A635CC" w:rsidRPr="00ED7F0F" w:rsidTr="00346E3B">
        <w:tc>
          <w:tcPr>
            <w:tcW w:w="5086" w:type="dxa"/>
            <w:tcBorders>
              <w:top w:val="single" w:sz="4" w:space="0" w:color="auto"/>
              <w:left w:val="single" w:sz="4" w:space="0" w:color="auto"/>
              <w:bottom w:val="single" w:sz="4" w:space="0" w:color="auto"/>
              <w:right w:val="single" w:sz="4" w:space="0" w:color="auto"/>
            </w:tcBorders>
          </w:tcPr>
          <w:p w:rsidR="008A39F5" w:rsidRPr="00ED7F0F" w:rsidRDefault="008A39F5" w:rsidP="00122C9F">
            <w:pPr>
              <w:spacing w:line="240" w:lineRule="auto"/>
              <w:ind w:left="212"/>
              <w:rPr>
                <w:rFonts w:ascii="Times New Roman" w:hAnsi="Times New Roman" w:cs="Times New Roman"/>
                <w:sz w:val="20"/>
                <w:szCs w:val="20"/>
              </w:rPr>
            </w:pPr>
            <w:r w:rsidRPr="00ED7F0F">
              <w:rPr>
                <w:rFonts w:ascii="Times New Roman" w:hAnsi="Times New Roman" w:cs="Times New Roman"/>
                <w:b/>
                <w:sz w:val="20"/>
              </w:rPr>
              <w:t>Veľká molekulárna odpoveď u pacientov, ktorí dosiahli CCyR</w:t>
            </w:r>
            <w:r w:rsidRPr="00ED7F0F">
              <w:rPr>
                <w:rFonts w:ascii="Times New Roman" w:hAnsi="Times New Roman" w:cs="Times New Roman"/>
                <w:b/>
                <w:sz w:val="20"/>
                <w:vertAlign w:val="superscript"/>
              </w:rPr>
              <w:t xml:space="preserve">d </w:t>
            </w:r>
            <w:r w:rsidRPr="00ED7F0F">
              <w:rPr>
                <w:rFonts w:ascii="Times New Roman" w:hAnsi="Times New Roman" w:cs="Times New Roman"/>
                <w:b/>
                <w:sz w:val="20"/>
              </w:rPr>
              <w:t>(%) (95</w:t>
            </w:r>
            <w:r w:rsidR="00A635CC" w:rsidRPr="00ED7F0F">
              <w:rPr>
                <w:rFonts w:ascii="Times New Roman" w:hAnsi="Times New Roman" w:cs="Times New Roman"/>
                <w:b/>
                <w:sz w:val="20"/>
              </w:rPr>
              <w:t> </w:t>
            </w:r>
            <w:r w:rsidRPr="00ED7F0F">
              <w:rPr>
                <w:rFonts w:ascii="Times New Roman" w:hAnsi="Times New Roman" w:cs="Times New Roman"/>
                <w:b/>
                <w:sz w:val="20"/>
              </w:rPr>
              <w:t>% CI)</w:t>
            </w:r>
          </w:p>
        </w:tc>
        <w:tc>
          <w:tcPr>
            <w:tcW w:w="4196" w:type="dxa"/>
            <w:tcBorders>
              <w:right w:val="single" w:sz="4" w:space="0" w:color="auto"/>
            </w:tcBorders>
            <w:shd w:val="clear" w:color="auto" w:fill="auto"/>
          </w:tcPr>
          <w:p w:rsidR="00A635CC" w:rsidRPr="00ED7F0F" w:rsidRDefault="00A635CC" w:rsidP="00122C9F">
            <w:pPr>
              <w:tabs>
                <w:tab w:val="clear" w:pos="567"/>
              </w:tabs>
              <w:spacing w:line="240" w:lineRule="auto"/>
              <w:jc w:val="center"/>
              <w:rPr>
                <w:rFonts w:ascii="Times New Roman" w:hAnsi="Times New Roman" w:cs="Times New Roman"/>
                <w:sz w:val="20"/>
              </w:rPr>
            </w:pPr>
          </w:p>
        </w:tc>
      </w:tr>
      <w:tr w:rsidR="008A39F5" w:rsidRPr="00ED7F0F" w:rsidTr="00346E3B">
        <w:trPr>
          <w:trHeight w:val="1"/>
        </w:trPr>
        <w:tc>
          <w:tcPr>
            <w:tcW w:w="5086" w:type="dxa"/>
            <w:tcBorders>
              <w:top w:val="single" w:sz="4" w:space="0" w:color="auto"/>
              <w:left w:val="single" w:sz="4" w:space="0" w:color="auto"/>
              <w:bottom w:val="single" w:sz="4" w:space="0" w:color="auto"/>
              <w:right w:val="single" w:sz="4" w:space="0" w:color="auto"/>
            </w:tcBorders>
          </w:tcPr>
          <w:p w:rsidR="008A39F5" w:rsidRPr="00ED7F0F" w:rsidRDefault="008A39F5" w:rsidP="00122C9F">
            <w:pPr>
              <w:spacing w:line="240" w:lineRule="auto"/>
              <w:ind w:left="212"/>
              <w:rPr>
                <w:rFonts w:ascii="Times New Roman" w:hAnsi="Times New Roman" w:cs="Times New Roman"/>
                <w:sz w:val="20"/>
                <w:szCs w:val="20"/>
              </w:rPr>
            </w:pPr>
            <w:r w:rsidRPr="00ED7F0F">
              <w:rPr>
                <w:rFonts w:ascii="Times New Roman" w:hAnsi="Times New Roman" w:cs="Times New Roman"/>
                <w:spacing w:val="-1"/>
                <w:sz w:val="20"/>
              </w:rPr>
              <w:t>Všetci pacienti</w:t>
            </w:r>
          </w:p>
        </w:tc>
        <w:tc>
          <w:tcPr>
            <w:tcW w:w="4196" w:type="dxa"/>
            <w:tcBorders>
              <w:top w:val="single" w:sz="4" w:space="0" w:color="auto"/>
              <w:left w:val="single" w:sz="4" w:space="0" w:color="auto"/>
              <w:bottom w:val="single" w:sz="4" w:space="0" w:color="auto"/>
              <w:right w:val="single" w:sz="4" w:space="0" w:color="auto"/>
            </w:tcBorders>
          </w:tcPr>
          <w:p w:rsidR="008A39F5" w:rsidRPr="00ED7F0F" w:rsidRDefault="008A39F5" w:rsidP="00122C9F">
            <w:pPr>
              <w:spacing w:line="240" w:lineRule="auto"/>
              <w:jc w:val="center"/>
              <w:rPr>
                <w:rFonts w:ascii="Times New Roman" w:hAnsi="Times New Roman" w:cs="Times New Roman"/>
                <w:sz w:val="20"/>
                <w:szCs w:val="20"/>
              </w:rPr>
            </w:pPr>
            <w:r w:rsidRPr="00ED7F0F">
              <w:rPr>
                <w:rFonts w:ascii="Times New Roman" w:hAnsi="Times New Roman" w:cs="Times New Roman"/>
                <w:b/>
                <w:sz w:val="20"/>
              </w:rPr>
              <w:t>69</w:t>
            </w:r>
            <w:r w:rsidR="00A635CC" w:rsidRPr="00ED7F0F">
              <w:rPr>
                <w:rFonts w:ascii="Times New Roman" w:hAnsi="Times New Roman" w:cs="Times New Roman"/>
                <w:b/>
                <w:sz w:val="20"/>
              </w:rPr>
              <w:t> </w:t>
            </w:r>
            <w:r w:rsidRPr="00ED7F0F">
              <w:rPr>
                <w:rFonts w:ascii="Times New Roman" w:hAnsi="Times New Roman" w:cs="Times New Roman"/>
                <w:b/>
                <w:sz w:val="20"/>
              </w:rPr>
              <w:t>% (58–79)</w:t>
            </w:r>
          </w:p>
        </w:tc>
      </w:tr>
      <w:tr w:rsidR="008A39F5" w:rsidRPr="00ED7F0F" w:rsidTr="00346E3B">
        <w:tc>
          <w:tcPr>
            <w:tcW w:w="5086" w:type="dxa"/>
            <w:tcBorders>
              <w:top w:val="single" w:sz="4" w:space="0" w:color="auto"/>
              <w:left w:val="single" w:sz="4" w:space="0" w:color="auto"/>
              <w:bottom w:val="single" w:sz="4" w:space="0" w:color="auto"/>
              <w:right w:val="single" w:sz="4" w:space="0" w:color="auto"/>
            </w:tcBorders>
          </w:tcPr>
          <w:p w:rsidR="008A39F5" w:rsidRPr="00ED7F0F" w:rsidRDefault="008A39F5" w:rsidP="00122C9F">
            <w:pPr>
              <w:spacing w:line="240" w:lineRule="auto"/>
              <w:ind w:left="212"/>
              <w:rPr>
                <w:rFonts w:ascii="Times New Roman" w:hAnsi="Times New Roman" w:cs="Times New Roman"/>
                <w:sz w:val="20"/>
                <w:szCs w:val="20"/>
              </w:rPr>
            </w:pPr>
            <w:r w:rsidRPr="00ED7F0F">
              <w:rPr>
                <w:rFonts w:ascii="Times New Roman" w:hAnsi="Times New Roman" w:cs="Times New Roman"/>
                <w:spacing w:val="-1"/>
                <w:sz w:val="20"/>
              </w:rPr>
              <w:t>Pacienti rezistentní na imatinib</w:t>
            </w:r>
          </w:p>
        </w:tc>
        <w:tc>
          <w:tcPr>
            <w:tcW w:w="4196" w:type="dxa"/>
            <w:tcBorders>
              <w:top w:val="single" w:sz="4" w:space="0" w:color="auto"/>
              <w:left w:val="single" w:sz="4" w:space="0" w:color="auto"/>
              <w:bottom w:val="single" w:sz="4" w:space="0" w:color="auto"/>
              <w:right w:val="single" w:sz="4" w:space="0" w:color="auto"/>
            </w:tcBorders>
          </w:tcPr>
          <w:p w:rsidR="008A39F5" w:rsidRPr="00ED7F0F" w:rsidRDefault="008A39F5" w:rsidP="00122C9F">
            <w:pPr>
              <w:spacing w:line="240" w:lineRule="auto"/>
              <w:jc w:val="center"/>
              <w:rPr>
                <w:rFonts w:ascii="Times New Roman" w:hAnsi="Times New Roman" w:cs="Times New Roman"/>
                <w:sz w:val="20"/>
                <w:szCs w:val="20"/>
              </w:rPr>
            </w:pPr>
            <w:r w:rsidRPr="00ED7F0F">
              <w:rPr>
                <w:rFonts w:ascii="Times New Roman" w:hAnsi="Times New Roman" w:cs="Times New Roman"/>
                <w:b/>
                <w:sz w:val="20"/>
              </w:rPr>
              <w:t>72</w:t>
            </w:r>
            <w:r w:rsidR="00A635CC" w:rsidRPr="00ED7F0F">
              <w:rPr>
                <w:rFonts w:ascii="Times New Roman" w:hAnsi="Times New Roman" w:cs="Times New Roman"/>
                <w:b/>
                <w:sz w:val="20"/>
              </w:rPr>
              <w:t> </w:t>
            </w:r>
            <w:r w:rsidRPr="00ED7F0F">
              <w:rPr>
                <w:rFonts w:ascii="Times New Roman" w:hAnsi="Times New Roman" w:cs="Times New Roman"/>
                <w:b/>
                <w:sz w:val="20"/>
              </w:rPr>
              <w:t>% (58–83)</w:t>
            </w:r>
          </w:p>
        </w:tc>
      </w:tr>
    </w:tbl>
    <w:p w:rsidR="00AE6D42" w:rsidRPr="00ED7F0F" w:rsidRDefault="00AE6D42" w:rsidP="00122C9F">
      <w:pPr>
        <w:numPr>
          <w:ilvl w:val="0"/>
          <w:numId w:val="24"/>
        </w:numPr>
        <w:tabs>
          <w:tab w:val="clear" w:pos="567"/>
        </w:tabs>
        <w:spacing w:after="5" w:line="261" w:lineRule="auto"/>
        <w:ind w:hanging="169"/>
      </w:pPr>
      <w:r w:rsidRPr="00ED7F0F">
        <w:rPr>
          <w:sz w:val="17"/>
        </w:rPr>
        <w:t xml:space="preserve">Výsledky hlásené pri odporúčanej začiatočnej dávke 100 mg jedenkrát denne. </w:t>
      </w:r>
    </w:p>
    <w:p w:rsidR="00AE6D42" w:rsidRPr="00ED7F0F" w:rsidRDefault="00AE6D42" w:rsidP="00122C9F">
      <w:pPr>
        <w:numPr>
          <w:ilvl w:val="0"/>
          <w:numId w:val="24"/>
        </w:numPr>
        <w:tabs>
          <w:tab w:val="clear" w:pos="567"/>
        </w:tabs>
        <w:spacing w:after="5" w:line="261" w:lineRule="auto"/>
        <w:ind w:hanging="169"/>
      </w:pPr>
      <w:r w:rsidRPr="00ED7F0F">
        <w:rPr>
          <w:sz w:val="17"/>
        </w:rPr>
        <w:t>Kritéria hematologickej odpovede (všetky odpovede potvrdené po 4 týždňoch): Kompletná hematologická odpoveď (CHR) (chronická CML): WBC ≤ ULN zdravotníckeho zariadenia,  trombocyty &lt; 450,000/mm</w:t>
      </w:r>
      <w:r w:rsidRPr="00ED7F0F">
        <w:rPr>
          <w:sz w:val="17"/>
          <w:vertAlign w:val="superscript"/>
        </w:rPr>
        <w:t>3</w:t>
      </w:r>
      <w:r w:rsidRPr="00ED7F0F">
        <w:rPr>
          <w:sz w:val="17"/>
        </w:rPr>
        <w:t xml:space="preserve">, žiadne blasty alebo promyelocyty v periférnej krvi, &lt;5 % myelocytov plus metamyelocytov v periférnej krvi, bazofily v periférnej krvi &lt; 20 % a žiadne extramedulárne postihnutia. </w:t>
      </w:r>
    </w:p>
    <w:p w:rsidR="00AE6D42" w:rsidRPr="00ED7F0F" w:rsidRDefault="00AE6D42" w:rsidP="00122C9F">
      <w:pPr>
        <w:numPr>
          <w:ilvl w:val="0"/>
          <w:numId w:val="24"/>
        </w:numPr>
        <w:tabs>
          <w:tab w:val="clear" w:pos="567"/>
        </w:tabs>
        <w:spacing w:after="5" w:line="261" w:lineRule="auto"/>
        <w:ind w:hanging="169"/>
      </w:pPr>
      <w:r w:rsidRPr="00ED7F0F">
        <w:rPr>
          <w:sz w:val="17"/>
        </w:rPr>
        <w:t xml:space="preserve">Kritéria cytogenetickej odpovede: úplná (0 % Ph+ metafáza) alebo čiastočná (&gt; 0 %–35 %). MCyR (0 %–35 %) </w:t>
      </w:r>
    </w:p>
    <w:p w:rsidR="00AE6D42" w:rsidRPr="00ED7F0F" w:rsidRDefault="002A76AC" w:rsidP="00122C9F">
      <w:pPr>
        <w:spacing w:line="261" w:lineRule="auto"/>
        <w:ind w:left="213"/>
      </w:pPr>
      <w:r w:rsidRPr="00ED7F0F">
        <w:rPr>
          <w:sz w:val="18"/>
          <w:szCs w:val="18"/>
        </w:rPr>
        <w:t>zahŕňa úplné aj čiastočné odpovede</w:t>
      </w:r>
      <w:r w:rsidR="00AE6D42" w:rsidRPr="00ED7F0F">
        <w:rPr>
          <w:sz w:val="17"/>
        </w:rPr>
        <w:t xml:space="preserve">. </w:t>
      </w:r>
    </w:p>
    <w:p w:rsidR="00AE6D42" w:rsidRPr="00ED7F0F" w:rsidRDefault="00AE6D42" w:rsidP="00122C9F">
      <w:pPr>
        <w:numPr>
          <w:ilvl w:val="0"/>
          <w:numId w:val="24"/>
        </w:numPr>
        <w:tabs>
          <w:tab w:val="clear" w:pos="567"/>
        </w:tabs>
        <w:spacing w:after="5" w:line="261" w:lineRule="auto"/>
        <w:ind w:hanging="169"/>
      </w:pPr>
      <w:r w:rsidRPr="00ED7F0F">
        <w:rPr>
          <w:sz w:val="17"/>
        </w:rPr>
        <w:t xml:space="preserve">Kritéria veľkej molekulárnej odpovede: Definované ako BCR-ABL/kontrola transkriptorov ≤ 0,1 % pomocou RQ-PCR vo vzorkách periférnej krvi. </w:t>
      </w:r>
    </w:p>
    <w:p w:rsidR="008D1A43" w:rsidRPr="00ED7F0F" w:rsidRDefault="008D1A43" w:rsidP="00122C9F">
      <w:pPr>
        <w:spacing w:line="240" w:lineRule="auto"/>
        <w:ind w:left="34"/>
      </w:pPr>
    </w:p>
    <w:p w:rsidR="00750AED" w:rsidRPr="00ED7F0F" w:rsidRDefault="00AE6D42" w:rsidP="002A76AC">
      <w:pPr>
        <w:spacing w:line="240" w:lineRule="auto"/>
        <w:ind w:left="34"/>
        <w:rPr>
          <w:b/>
          <w:szCs w:val="22"/>
          <w:vertAlign w:val="superscript"/>
        </w:rPr>
      </w:pPr>
      <w:r w:rsidRPr="00ED7F0F">
        <w:rPr>
          <w:b/>
          <w:szCs w:val="22"/>
        </w:rPr>
        <w:t>Tabuľka 13: Dlhodobá účinnosť</w:t>
      </w:r>
      <w:r w:rsidR="00750AED" w:rsidRPr="00ED7F0F">
        <w:rPr>
          <w:b/>
          <w:szCs w:val="22"/>
        </w:rPr>
        <w:t xml:space="preserve"> dasatinibu</w:t>
      </w:r>
      <w:r w:rsidRPr="00ED7F0F">
        <w:rPr>
          <w:b/>
          <w:szCs w:val="22"/>
        </w:rPr>
        <w:t xml:space="preserve"> v</w:t>
      </w:r>
      <w:r w:rsidR="002A76AC" w:rsidRPr="00ED7F0F">
        <w:rPr>
          <w:b/>
          <w:szCs w:val="22"/>
        </w:rPr>
        <w:t> </w:t>
      </w:r>
      <w:r w:rsidRPr="00ED7F0F">
        <w:rPr>
          <w:b/>
          <w:szCs w:val="22"/>
        </w:rPr>
        <w:t>štúdi</w:t>
      </w:r>
      <w:r w:rsidR="002A76AC" w:rsidRPr="00ED7F0F">
        <w:rPr>
          <w:b/>
          <w:szCs w:val="22"/>
        </w:rPr>
        <w:t>i fázy 3</w:t>
      </w:r>
      <w:r w:rsidRPr="00ED7F0F">
        <w:rPr>
          <w:b/>
          <w:szCs w:val="22"/>
        </w:rPr>
        <w:t xml:space="preserve"> optimalizácie dávky: rezistencia a alebo intolerancia na imatinib pacienti s</w:t>
      </w:r>
      <w:r w:rsidR="008D1A43" w:rsidRPr="00ED7F0F">
        <w:rPr>
          <w:b/>
          <w:szCs w:val="22"/>
        </w:rPr>
        <w:t> </w:t>
      </w:r>
      <w:r w:rsidRPr="00ED7F0F">
        <w:rPr>
          <w:b/>
          <w:szCs w:val="22"/>
        </w:rPr>
        <w:t>chronickou fázou CML</w:t>
      </w:r>
      <w:r w:rsidR="00750AED" w:rsidRPr="00ED7F0F">
        <w:rPr>
          <w:b/>
          <w:szCs w:val="22"/>
          <w:vertAlign w:val="superscript"/>
        </w:rPr>
        <w:t>a</w:t>
      </w:r>
    </w:p>
    <w:p w:rsidR="00A2617A" w:rsidRPr="00ED7F0F" w:rsidRDefault="00A2617A" w:rsidP="002A76AC">
      <w:pPr>
        <w:spacing w:line="240" w:lineRule="auto"/>
        <w:ind w:left="34"/>
        <w:rPr>
          <w:b/>
          <w:szCs w:val="22"/>
        </w:rPr>
      </w:pPr>
    </w:p>
    <w:p w:rsidR="00AE6D42" w:rsidRPr="00ED7F0F" w:rsidRDefault="00750AED" w:rsidP="00A2617A">
      <w:pPr>
        <w:pStyle w:val="Nadpis1"/>
        <w:tabs>
          <w:tab w:val="clear" w:pos="567"/>
          <w:tab w:val="left" w:pos="1418"/>
        </w:tabs>
        <w:spacing w:before="0" w:line="240" w:lineRule="auto"/>
        <w:ind w:right="1559"/>
        <w:jc w:val="right"/>
        <w:rPr>
          <w:rFonts w:ascii="Times New Roman" w:hAnsi="Times New Roman" w:cs="Times New Roman"/>
          <w:b/>
          <w:color w:val="auto"/>
          <w:sz w:val="20"/>
          <w:szCs w:val="20"/>
        </w:rPr>
      </w:pPr>
      <w:r w:rsidRPr="00ED7F0F">
        <w:rPr>
          <w:rFonts w:ascii="Times New Roman" w:hAnsi="Times New Roman" w:cs="Times New Roman"/>
          <w:b/>
          <w:color w:val="auto"/>
          <w:sz w:val="22"/>
          <w:szCs w:val="22"/>
        </w:rPr>
        <w:tab/>
      </w:r>
      <w:r w:rsidR="00AE6D42" w:rsidRPr="00ED7F0F">
        <w:rPr>
          <w:rFonts w:ascii="Times New Roman" w:hAnsi="Times New Roman" w:cs="Times New Roman"/>
          <w:b/>
          <w:color w:val="auto"/>
          <w:sz w:val="20"/>
          <w:szCs w:val="20"/>
        </w:rPr>
        <w:t>Minimálne obdobie následného sledovania</w:t>
      </w:r>
    </w:p>
    <w:tbl>
      <w:tblPr>
        <w:tblStyle w:val="TableGrid"/>
        <w:tblW w:w="9062"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3" w:type="dxa"/>
          <w:right w:w="127" w:type="dxa"/>
        </w:tblCellMar>
        <w:tblLook w:val="04A0" w:firstRow="1" w:lastRow="0" w:firstColumn="1" w:lastColumn="0" w:noHBand="0" w:noVBand="1"/>
      </w:tblPr>
      <w:tblGrid>
        <w:gridCol w:w="2860"/>
        <w:gridCol w:w="1753"/>
        <w:gridCol w:w="1510"/>
        <w:gridCol w:w="1564"/>
        <w:gridCol w:w="1375"/>
      </w:tblGrid>
      <w:tr w:rsidR="008D1A43" w:rsidRPr="00ED7F0F" w:rsidTr="008D1A43">
        <w:trPr>
          <w:trHeight w:val="247"/>
        </w:trPr>
        <w:tc>
          <w:tcPr>
            <w:tcW w:w="2860" w:type="dxa"/>
          </w:tcPr>
          <w:p w:rsidR="008D1A43" w:rsidRPr="00ED7F0F" w:rsidRDefault="008D1A43" w:rsidP="00122C9F">
            <w:pPr>
              <w:spacing w:line="240" w:lineRule="auto"/>
              <w:ind w:left="80"/>
              <w:rPr>
                <w:rFonts w:ascii="Times New Roman" w:hAnsi="Times New Roman" w:cs="Times New Roman"/>
                <w:b/>
                <w:sz w:val="20"/>
                <w:szCs w:val="20"/>
              </w:rPr>
            </w:pPr>
          </w:p>
        </w:tc>
        <w:tc>
          <w:tcPr>
            <w:tcW w:w="1753" w:type="dxa"/>
          </w:tcPr>
          <w:p w:rsidR="008D1A43" w:rsidRPr="00ED7F0F" w:rsidRDefault="008D1A43" w:rsidP="00122C9F">
            <w:pPr>
              <w:tabs>
                <w:tab w:val="center" w:pos="3587"/>
              </w:tabs>
              <w:spacing w:line="240" w:lineRule="auto"/>
              <w:jc w:val="center"/>
              <w:rPr>
                <w:rFonts w:ascii="Times New Roman" w:hAnsi="Times New Roman" w:cs="Times New Roman"/>
                <w:sz w:val="20"/>
                <w:szCs w:val="20"/>
              </w:rPr>
            </w:pPr>
            <w:r w:rsidRPr="00ED7F0F">
              <w:rPr>
                <w:rFonts w:ascii="Times New Roman" w:hAnsi="Times New Roman" w:cs="Times New Roman"/>
                <w:b/>
                <w:sz w:val="20"/>
              </w:rPr>
              <w:t>1. rok</w:t>
            </w:r>
          </w:p>
        </w:tc>
        <w:tc>
          <w:tcPr>
            <w:tcW w:w="1510" w:type="dxa"/>
          </w:tcPr>
          <w:p w:rsidR="008D1A43" w:rsidRPr="00ED7F0F" w:rsidRDefault="008D1A43" w:rsidP="00122C9F">
            <w:pPr>
              <w:spacing w:line="240" w:lineRule="auto"/>
              <w:jc w:val="center"/>
              <w:rPr>
                <w:rFonts w:ascii="Times New Roman" w:hAnsi="Times New Roman" w:cs="Times New Roman"/>
                <w:sz w:val="20"/>
                <w:szCs w:val="20"/>
              </w:rPr>
            </w:pPr>
            <w:r w:rsidRPr="00ED7F0F">
              <w:rPr>
                <w:rFonts w:ascii="Times New Roman" w:hAnsi="Times New Roman" w:cs="Times New Roman"/>
                <w:b/>
                <w:sz w:val="20"/>
              </w:rPr>
              <w:t xml:space="preserve">2. roky </w:t>
            </w:r>
          </w:p>
        </w:tc>
        <w:tc>
          <w:tcPr>
            <w:tcW w:w="1564" w:type="dxa"/>
          </w:tcPr>
          <w:p w:rsidR="008D1A43" w:rsidRPr="00ED7F0F" w:rsidRDefault="008D1A43" w:rsidP="00122C9F">
            <w:pPr>
              <w:spacing w:line="240" w:lineRule="auto"/>
              <w:jc w:val="center"/>
              <w:rPr>
                <w:rFonts w:ascii="Times New Roman" w:hAnsi="Times New Roman" w:cs="Times New Roman"/>
                <w:sz w:val="20"/>
                <w:szCs w:val="20"/>
              </w:rPr>
            </w:pPr>
            <w:r w:rsidRPr="00ED7F0F">
              <w:rPr>
                <w:rFonts w:ascii="Times New Roman" w:hAnsi="Times New Roman" w:cs="Times New Roman"/>
                <w:b/>
                <w:sz w:val="20"/>
              </w:rPr>
              <w:t xml:space="preserve">5. rokov  </w:t>
            </w:r>
          </w:p>
        </w:tc>
        <w:tc>
          <w:tcPr>
            <w:tcW w:w="1375" w:type="dxa"/>
          </w:tcPr>
          <w:p w:rsidR="008D1A43" w:rsidRPr="00ED7F0F" w:rsidRDefault="008D1A43" w:rsidP="00122C9F">
            <w:pPr>
              <w:spacing w:line="240" w:lineRule="auto"/>
              <w:jc w:val="center"/>
              <w:rPr>
                <w:rFonts w:ascii="Times New Roman" w:hAnsi="Times New Roman" w:cs="Times New Roman"/>
                <w:sz w:val="20"/>
                <w:szCs w:val="20"/>
              </w:rPr>
            </w:pPr>
            <w:r w:rsidRPr="00ED7F0F">
              <w:rPr>
                <w:rFonts w:ascii="Times New Roman" w:hAnsi="Times New Roman" w:cs="Times New Roman"/>
                <w:b/>
                <w:sz w:val="20"/>
              </w:rPr>
              <w:t xml:space="preserve">7. rokov </w:t>
            </w:r>
          </w:p>
        </w:tc>
      </w:tr>
      <w:tr w:rsidR="008D1A43" w:rsidRPr="00ED7F0F" w:rsidTr="008D1A43">
        <w:trPr>
          <w:trHeight w:val="200"/>
        </w:trPr>
        <w:tc>
          <w:tcPr>
            <w:tcW w:w="2860" w:type="dxa"/>
          </w:tcPr>
          <w:p w:rsidR="008D1A43" w:rsidRPr="00ED7F0F" w:rsidRDefault="008D1A43" w:rsidP="00122C9F">
            <w:pPr>
              <w:tabs>
                <w:tab w:val="center" w:pos="936"/>
                <w:tab w:val="center" w:pos="3584"/>
              </w:tabs>
              <w:spacing w:line="240" w:lineRule="auto"/>
              <w:ind w:left="80"/>
              <w:rPr>
                <w:rFonts w:ascii="Times New Roman" w:hAnsi="Times New Roman" w:cs="Times New Roman"/>
                <w:sz w:val="20"/>
                <w:szCs w:val="20"/>
              </w:rPr>
            </w:pPr>
            <w:r w:rsidRPr="00ED7F0F">
              <w:rPr>
                <w:rFonts w:ascii="Times New Roman" w:hAnsi="Times New Roman" w:cs="Times New Roman"/>
                <w:b/>
                <w:sz w:val="20"/>
              </w:rPr>
              <w:t>Veľká molekulárna odpoveď</w:t>
            </w:r>
          </w:p>
        </w:tc>
        <w:tc>
          <w:tcPr>
            <w:tcW w:w="1753" w:type="dxa"/>
          </w:tcPr>
          <w:p w:rsidR="008D1A43" w:rsidRPr="00ED7F0F" w:rsidRDefault="008D1A43" w:rsidP="00122C9F">
            <w:pPr>
              <w:tabs>
                <w:tab w:val="center" w:pos="936"/>
                <w:tab w:val="center" w:pos="3584"/>
              </w:tabs>
              <w:spacing w:line="240" w:lineRule="auto"/>
              <w:jc w:val="center"/>
              <w:rPr>
                <w:rFonts w:ascii="Times New Roman" w:hAnsi="Times New Roman" w:cs="Times New Roman"/>
                <w:sz w:val="20"/>
                <w:szCs w:val="20"/>
              </w:rPr>
            </w:pPr>
          </w:p>
        </w:tc>
        <w:tc>
          <w:tcPr>
            <w:tcW w:w="1510" w:type="dxa"/>
            <w:vAlign w:val="bottom"/>
          </w:tcPr>
          <w:p w:rsidR="008D1A43" w:rsidRPr="00ED7F0F" w:rsidRDefault="008D1A43" w:rsidP="00122C9F">
            <w:pPr>
              <w:spacing w:line="240" w:lineRule="auto"/>
              <w:jc w:val="center"/>
              <w:rPr>
                <w:rFonts w:ascii="Times New Roman" w:hAnsi="Times New Roman" w:cs="Times New Roman"/>
                <w:sz w:val="20"/>
                <w:szCs w:val="20"/>
              </w:rPr>
            </w:pPr>
          </w:p>
        </w:tc>
        <w:tc>
          <w:tcPr>
            <w:tcW w:w="1564" w:type="dxa"/>
            <w:vAlign w:val="bottom"/>
          </w:tcPr>
          <w:p w:rsidR="008D1A43" w:rsidRPr="00ED7F0F" w:rsidRDefault="008D1A43" w:rsidP="00122C9F">
            <w:pPr>
              <w:spacing w:line="240" w:lineRule="auto"/>
              <w:jc w:val="center"/>
              <w:rPr>
                <w:rFonts w:ascii="Times New Roman" w:hAnsi="Times New Roman" w:cs="Times New Roman"/>
                <w:sz w:val="20"/>
                <w:szCs w:val="20"/>
              </w:rPr>
            </w:pPr>
          </w:p>
        </w:tc>
        <w:tc>
          <w:tcPr>
            <w:tcW w:w="1375" w:type="dxa"/>
            <w:vAlign w:val="bottom"/>
          </w:tcPr>
          <w:p w:rsidR="008D1A43" w:rsidRPr="00ED7F0F" w:rsidRDefault="008D1A43" w:rsidP="00122C9F">
            <w:pPr>
              <w:spacing w:line="240" w:lineRule="auto"/>
              <w:jc w:val="center"/>
              <w:rPr>
                <w:rFonts w:ascii="Times New Roman" w:hAnsi="Times New Roman" w:cs="Times New Roman"/>
                <w:sz w:val="20"/>
                <w:szCs w:val="20"/>
              </w:rPr>
            </w:pPr>
          </w:p>
        </w:tc>
      </w:tr>
      <w:tr w:rsidR="008D1A43" w:rsidRPr="00ED7F0F" w:rsidTr="008D1A43">
        <w:trPr>
          <w:trHeight w:val="260"/>
        </w:trPr>
        <w:tc>
          <w:tcPr>
            <w:tcW w:w="2860" w:type="dxa"/>
          </w:tcPr>
          <w:p w:rsidR="008D1A43" w:rsidRPr="00ED7F0F" w:rsidRDefault="008D1A43" w:rsidP="009A0932">
            <w:pPr>
              <w:spacing w:line="240" w:lineRule="auto"/>
              <w:ind w:left="368"/>
              <w:rPr>
                <w:rFonts w:ascii="Times New Roman" w:hAnsi="Times New Roman" w:cs="Times New Roman"/>
                <w:b/>
                <w:sz w:val="20"/>
                <w:szCs w:val="20"/>
              </w:rPr>
            </w:pPr>
            <w:r w:rsidRPr="00ED7F0F">
              <w:rPr>
                <w:rFonts w:ascii="Times New Roman" w:hAnsi="Times New Roman" w:cs="Times New Roman"/>
                <w:sz w:val="20"/>
              </w:rPr>
              <w:t>Všetci pacienti</w:t>
            </w:r>
          </w:p>
        </w:tc>
        <w:tc>
          <w:tcPr>
            <w:tcW w:w="1753" w:type="dxa"/>
          </w:tcPr>
          <w:p w:rsidR="008D1A43" w:rsidRPr="00ED7F0F" w:rsidRDefault="008D1A43" w:rsidP="00122C9F">
            <w:pPr>
              <w:tabs>
                <w:tab w:val="center" w:pos="936"/>
                <w:tab w:val="center" w:pos="3584"/>
              </w:tabs>
              <w:spacing w:line="240" w:lineRule="auto"/>
              <w:jc w:val="center"/>
              <w:rPr>
                <w:rFonts w:ascii="Times New Roman" w:hAnsi="Times New Roman" w:cs="Times New Roman"/>
                <w:sz w:val="20"/>
              </w:rPr>
            </w:pPr>
            <w:r w:rsidRPr="00ED7F0F">
              <w:rPr>
                <w:rFonts w:ascii="Times New Roman" w:hAnsi="Times New Roman" w:cs="Times New Roman"/>
                <w:sz w:val="20"/>
              </w:rPr>
              <w:t>NA</w:t>
            </w:r>
          </w:p>
        </w:tc>
        <w:tc>
          <w:tcPr>
            <w:tcW w:w="1510" w:type="dxa"/>
            <w:vAlign w:val="bottom"/>
          </w:tcPr>
          <w:p w:rsidR="008D1A43" w:rsidRPr="00ED7F0F" w:rsidRDefault="008D1A43" w:rsidP="00122C9F">
            <w:pPr>
              <w:spacing w:line="240" w:lineRule="auto"/>
              <w:jc w:val="center"/>
              <w:rPr>
                <w:rFonts w:ascii="Times New Roman" w:hAnsi="Times New Roman" w:cs="Times New Roman"/>
                <w:sz w:val="20"/>
                <w:szCs w:val="20"/>
              </w:rPr>
            </w:pPr>
            <w:r w:rsidRPr="00ED7F0F">
              <w:rPr>
                <w:rFonts w:ascii="Times New Roman" w:hAnsi="Times New Roman" w:cs="Times New Roman"/>
                <w:sz w:val="20"/>
              </w:rPr>
              <w:t xml:space="preserve">37 % (57/154) </w:t>
            </w:r>
          </w:p>
        </w:tc>
        <w:tc>
          <w:tcPr>
            <w:tcW w:w="1564" w:type="dxa"/>
            <w:vAlign w:val="bottom"/>
          </w:tcPr>
          <w:p w:rsidR="008D1A43" w:rsidRPr="00ED7F0F" w:rsidRDefault="008D1A43" w:rsidP="00122C9F">
            <w:pPr>
              <w:spacing w:line="240" w:lineRule="auto"/>
              <w:jc w:val="center"/>
              <w:rPr>
                <w:rFonts w:ascii="Times New Roman" w:hAnsi="Times New Roman" w:cs="Times New Roman"/>
                <w:sz w:val="20"/>
                <w:szCs w:val="20"/>
              </w:rPr>
            </w:pPr>
            <w:r w:rsidRPr="00ED7F0F">
              <w:rPr>
                <w:rFonts w:ascii="Times New Roman" w:hAnsi="Times New Roman" w:cs="Times New Roman"/>
                <w:sz w:val="20"/>
              </w:rPr>
              <w:t>44 % (71/160)</w:t>
            </w:r>
          </w:p>
        </w:tc>
        <w:tc>
          <w:tcPr>
            <w:tcW w:w="1375" w:type="dxa"/>
            <w:vAlign w:val="bottom"/>
          </w:tcPr>
          <w:p w:rsidR="008D1A43" w:rsidRPr="00ED7F0F" w:rsidRDefault="008D1A43" w:rsidP="00122C9F">
            <w:pPr>
              <w:spacing w:line="240" w:lineRule="auto"/>
              <w:jc w:val="center"/>
              <w:rPr>
                <w:rFonts w:ascii="Times New Roman" w:hAnsi="Times New Roman" w:cs="Times New Roman"/>
                <w:sz w:val="20"/>
                <w:szCs w:val="20"/>
              </w:rPr>
            </w:pPr>
            <w:r w:rsidRPr="00ED7F0F">
              <w:rPr>
                <w:rFonts w:ascii="Times New Roman" w:hAnsi="Times New Roman" w:cs="Times New Roman"/>
                <w:sz w:val="20"/>
              </w:rPr>
              <w:t>46 %(73/160)</w:t>
            </w:r>
          </w:p>
        </w:tc>
      </w:tr>
      <w:tr w:rsidR="008D1A43" w:rsidRPr="00ED7F0F" w:rsidTr="008D1A43">
        <w:trPr>
          <w:trHeight w:val="476"/>
        </w:trPr>
        <w:tc>
          <w:tcPr>
            <w:tcW w:w="2860" w:type="dxa"/>
          </w:tcPr>
          <w:p w:rsidR="008D1A43" w:rsidRPr="00ED7F0F" w:rsidRDefault="008D1A43" w:rsidP="009A0932">
            <w:pPr>
              <w:spacing w:line="240" w:lineRule="auto"/>
              <w:ind w:left="368"/>
              <w:rPr>
                <w:rFonts w:ascii="Times New Roman" w:hAnsi="Times New Roman" w:cs="Times New Roman"/>
                <w:sz w:val="20"/>
                <w:szCs w:val="20"/>
              </w:rPr>
            </w:pPr>
            <w:r w:rsidRPr="00ED7F0F">
              <w:rPr>
                <w:rFonts w:ascii="Times New Roman" w:hAnsi="Times New Roman" w:cs="Times New Roman"/>
                <w:sz w:val="20"/>
              </w:rPr>
              <w:t>Pacienti rezistentní na imatinib</w:t>
            </w:r>
          </w:p>
        </w:tc>
        <w:tc>
          <w:tcPr>
            <w:tcW w:w="1753" w:type="dxa"/>
          </w:tcPr>
          <w:p w:rsidR="008D1A43" w:rsidRPr="00ED7F0F" w:rsidRDefault="008D1A43" w:rsidP="00122C9F">
            <w:pPr>
              <w:spacing w:line="240" w:lineRule="auto"/>
              <w:jc w:val="center"/>
              <w:rPr>
                <w:rFonts w:ascii="Times New Roman" w:hAnsi="Times New Roman" w:cs="Times New Roman"/>
                <w:sz w:val="20"/>
                <w:szCs w:val="20"/>
              </w:rPr>
            </w:pPr>
            <w:r w:rsidRPr="00ED7F0F">
              <w:rPr>
                <w:rFonts w:ascii="Times New Roman" w:hAnsi="Times New Roman" w:cs="Times New Roman"/>
                <w:sz w:val="20"/>
              </w:rPr>
              <w:t>NA</w:t>
            </w:r>
          </w:p>
        </w:tc>
        <w:tc>
          <w:tcPr>
            <w:tcW w:w="1510" w:type="dxa"/>
          </w:tcPr>
          <w:p w:rsidR="008D1A43" w:rsidRPr="00ED7F0F" w:rsidRDefault="008D1A43" w:rsidP="00122C9F">
            <w:pPr>
              <w:spacing w:line="240" w:lineRule="auto"/>
              <w:jc w:val="center"/>
              <w:rPr>
                <w:rFonts w:ascii="Times New Roman" w:hAnsi="Times New Roman" w:cs="Times New Roman"/>
                <w:sz w:val="20"/>
                <w:szCs w:val="20"/>
              </w:rPr>
            </w:pPr>
            <w:r w:rsidRPr="00ED7F0F">
              <w:rPr>
                <w:rFonts w:ascii="Times New Roman" w:hAnsi="Times New Roman" w:cs="Times New Roman"/>
                <w:sz w:val="20"/>
              </w:rPr>
              <w:t>35 % (41/117)</w:t>
            </w:r>
          </w:p>
        </w:tc>
        <w:tc>
          <w:tcPr>
            <w:tcW w:w="1564" w:type="dxa"/>
          </w:tcPr>
          <w:p w:rsidR="008D1A43" w:rsidRPr="00ED7F0F" w:rsidRDefault="008D1A43" w:rsidP="00122C9F">
            <w:pPr>
              <w:spacing w:line="240" w:lineRule="auto"/>
              <w:jc w:val="center"/>
              <w:rPr>
                <w:rFonts w:ascii="Times New Roman" w:hAnsi="Times New Roman" w:cs="Times New Roman"/>
                <w:sz w:val="20"/>
                <w:szCs w:val="20"/>
              </w:rPr>
            </w:pPr>
            <w:r w:rsidRPr="00ED7F0F">
              <w:rPr>
                <w:rFonts w:ascii="Times New Roman" w:hAnsi="Times New Roman" w:cs="Times New Roman"/>
                <w:sz w:val="20"/>
              </w:rPr>
              <w:t>42 % (50/120)</w:t>
            </w:r>
          </w:p>
        </w:tc>
        <w:tc>
          <w:tcPr>
            <w:tcW w:w="1375" w:type="dxa"/>
          </w:tcPr>
          <w:p w:rsidR="008D1A43" w:rsidRPr="00ED7F0F" w:rsidRDefault="008D1A43" w:rsidP="00122C9F">
            <w:pPr>
              <w:spacing w:line="240" w:lineRule="auto"/>
              <w:jc w:val="center"/>
              <w:rPr>
                <w:rFonts w:ascii="Times New Roman" w:hAnsi="Times New Roman" w:cs="Times New Roman"/>
                <w:sz w:val="20"/>
                <w:szCs w:val="20"/>
              </w:rPr>
            </w:pPr>
            <w:r w:rsidRPr="00ED7F0F">
              <w:rPr>
                <w:rFonts w:ascii="Times New Roman" w:hAnsi="Times New Roman" w:cs="Times New Roman"/>
                <w:sz w:val="20"/>
              </w:rPr>
              <w:t>43 % (51/120)</w:t>
            </w:r>
          </w:p>
        </w:tc>
      </w:tr>
      <w:tr w:rsidR="008D1A43" w:rsidRPr="00ED7F0F" w:rsidTr="008D1A43">
        <w:trPr>
          <w:trHeight w:val="465"/>
        </w:trPr>
        <w:tc>
          <w:tcPr>
            <w:tcW w:w="2860" w:type="dxa"/>
          </w:tcPr>
          <w:p w:rsidR="008D1A43" w:rsidRPr="00ED7F0F" w:rsidRDefault="008D1A43" w:rsidP="009A0932">
            <w:pPr>
              <w:spacing w:line="240" w:lineRule="auto"/>
              <w:ind w:left="368"/>
              <w:rPr>
                <w:rFonts w:ascii="Times New Roman" w:hAnsi="Times New Roman" w:cs="Times New Roman"/>
                <w:sz w:val="20"/>
                <w:szCs w:val="20"/>
              </w:rPr>
            </w:pPr>
            <w:r w:rsidRPr="00ED7F0F">
              <w:rPr>
                <w:rFonts w:ascii="Times New Roman" w:hAnsi="Times New Roman" w:cs="Times New Roman"/>
                <w:sz w:val="20"/>
              </w:rPr>
              <w:t>Pacienti intolerantní na imatinib</w:t>
            </w:r>
          </w:p>
        </w:tc>
        <w:tc>
          <w:tcPr>
            <w:tcW w:w="1753" w:type="dxa"/>
          </w:tcPr>
          <w:p w:rsidR="008D1A43" w:rsidRPr="00ED7F0F" w:rsidRDefault="008D1A43" w:rsidP="00122C9F">
            <w:pPr>
              <w:spacing w:line="240" w:lineRule="auto"/>
              <w:jc w:val="center"/>
              <w:rPr>
                <w:rFonts w:ascii="Times New Roman" w:hAnsi="Times New Roman" w:cs="Times New Roman"/>
                <w:sz w:val="20"/>
                <w:szCs w:val="20"/>
              </w:rPr>
            </w:pPr>
            <w:r w:rsidRPr="00ED7F0F">
              <w:rPr>
                <w:rFonts w:ascii="Times New Roman" w:hAnsi="Times New Roman" w:cs="Times New Roman"/>
                <w:sz w:val="20"/>
              </w:rPr>
              <w:t>NA</w:t>
            </w:r>
          </w:p>
        </w:tc>
        <w:tc>
          <w:tcPr>
            <w:tcW w:w="1510" w:type="dxa"/>
          </w:tcPr>
          <w:p w:rsidR="008D1A43" w:rsidRPr="00ED7F0F" w:rsidRDefault="008D1A43" w:rsidP="00122C9F">
            <w:pPr>
              <w:spacing w:line="240" w:lineRule="auto"/>
              <w:jc w:val="center"/>
              <w:rPr>
                <w:rFonts w:ascii="Times New Roman" w:hAnsi="Times New Roman" w:cs="Times New Roman"/>
                <w:sz w:val="20"/>
                <w:szCs w:val="20"/>
              </w:rPr>
            </w:pPr>
            <w:r w:rsidRPr="00ED7F0F">
              <w:rPr>
                <w:rFonts w:ascii="Times New Roman" w:hAnsi="Times New Roman" w:cs="Times New Roman"/>
                <w:sz w:val="20"/>
              </w:rPr>
              <w:t>43 % (16/37)</w:t>
            </w:r>
          </w:p>
        </w:tc>
        <w:tc>
          <w:tcPr>
            <w:tcW w:w="1564" w:type="dxa"/>
          </w:tcPr>
          <w:p w:rsidR="008D1A43" w:rsidRPr="00ED7F0F" w:rsidRDefault="008D1A43" w:rsidP="00122C9F">
            <w:pPr>
              <w:spacing w:line="240" w:lineRule="auto"/>
              <w:jc w:val="center"/>
              <w:rPr>
                <w:rFonts w:ascii="Times New Roman" w:hAnsi="Times New Roman" w:cs="Times New Roman"/>
                <w:sz w:val="20"/>
                <w:szCs w:val="20"/>
              </w:rPr>
            </w:pPr>
            <w:r w:rsidRPr="00ED7F0F">
              <w:rPr>
                <w:rFonts w:ascii="Times New Roman" w:hAnsi="Times New Roman" w:cs="Times New Roman"/>
                <w:sz w:val="20"/>
              </w:rPr>
              <w:t>53 % (21/40)</w:t>
            </w:r>
          </w:p>
        </w:tc>
        <w:tc>
          <w:tcPr>
            <w:tcW w:w="1375" w:type="dxa"/>
          </w:tcPr>
          <w:p w:rsidR="008D1A43" w:rsidRPr="00ED7F0F" w:rsidRDefault="008D1A43" w:rsidP="00122C9F">
            <w:pPr>
              <w:spacing w:line="240" w:lineRule="auto"/>
              <w:jc w:val="center"/>
              <w:rPr>
                <w:rFonts w:ascii="Times New Roman" w:hAnsi="Times New Roman" w:cs="Times New Roman"/>
                <w:sz w:val="20"/>
                <w:szCs w:val="20"/>
              </w:rPr>
            </w:pPr>
            <w:r w:rsidRPr="00ED7F0F">
              <w:rPr>
                <w:rFonts w:ascii="Times New Roman" w:hAnsi="Times New Roman" w:cs="Times New Roman"/>
                <w:sz w:val="20"/>
              </w:rPr>
              <w:t>55 % (22/40)</w:t>
            </w:r>
          </w:p>
        </w:tc>
      </w:tr>
      <w:tr w:rsidR="008D1A43" w:rsidRPr="00ED7F0F" w:rsidTr="00A0050A">
        <w:trPr>
          <w:trHeight w:val="480"/>
        </w:trPr>
        <w:tc>
          <w:tcPr>
            <w:tcW w:w="2860" w:type="dxa"/>
            <w:vAlign w:val="bottom"/>
          </w:tcPr>
          <w:p w:rsidR="008D1A43" w:rsidRPr="00ED7F0F" w:rsidRDefault="008D1A43" w:rsidP="00122C9F">
            <w:pPr>
              <w:spacing w:line="240" w:lineRule="auto"/>
              <w:ind w:left="80"/>
              <w:rPr>
                <w:rFonts w:ascii="Times New Roman" w:hAnsi="Times New Roman" w:cs="Times New Roman"/>
                <w:sz w:val="20"/>
                <w:szCs w:val="20"/>
              </w:rPr>
            </w:pPr>
            <w:r w:rsidRPr="00ED7F0F">
              <w:rPr>
                <w:rFonts w:ascii="Times New Roman" w:hAnsi="Times New Roman" w:cs="Times New Roman"/>
                <w:b/>
                <w:sz w:val="20"/>
              </w:rPr>
              <w:t>Prežívanie bez progresie ochorenia</w:t>
            </w:r>
            <w:r w:rsidRPr="00ED7F0F">
              <w:rPr>
                <w:rFonts w:ascii="Times New Roman" w:hAnsi="Times New Roman" w:cs="Times New Roman"/>
                <w:b/>
                <w:sz w:val="20"/>
                <w:vertAlign w:val="superscript"/>
              </w:rPr>
              <w:t>b</w:t>
            </w:r>
          </w:p>
        </w:tc>
        <w:tc>
          <w:tcPr>
            <w:tcW w:w="1753" w:type="dxa"/>
            <w:vAlign w:val="bottom"/>
          </w:tcPr>
          <w:p w:rsidR="008D1A43" w:rsidRPr="00ED7F0F" w:rsidRDefault="008D1A43" w:rsidP="00122C9F">
            <w:pPr>
              <w:tabs>
                <w:tab w:val="center" w:pos="935"/>
                <w:tab w:val="center" w:pos="3584"/>
              </w:tabs>
              <w:spacing w:line="240" w:lineRule="auto"/>
              <w:jc w:val="center"/>
              <w:rPr>
                <w:rFonts w:ascii="Times New Roman" w:hAnsi="Times New Roman" w:cs="Times New Roman"/>
                <w:sz w:val="20"/>
                <w:szCs w:val="20"/>
              </w:rPr>
            </w:pPr>
          </w:p>
        </w:tc>
        <w:tc>
          <w:tcPr>
            <w:tcW w:w="1510" w:type="dxa"/>
            <w:vAlign w:val="bottom"/>
          </w:tcPr>
          <w:p w:rsidR="008D1A43" w:rsidRPr="00ED7F0F" w:rsidRDefault="008D1A43" w:rsidP="00122C9F">
            <w:pPr>
              <w:spacing w:line="240" w:lineRule="auto"/>
              <w:jc w:val="center"/>
              <w:rPr>
                <w:rFonts w:ascii="Times New Roman" w:hAnsi="Times New Roman" w:cs="Times New Roman"/>
                <w:sz w:val="20"/>
                <w:szCs w:val="20"/>
              </w:rPr>
            </w:pPr>
          </w:p>
        </w:tc>
        <w:tc>
          <w:tcPr>
            <w:tcW w:w="1564" w:type="dxa"/>
            <w:vAlign w:val="bottom"/>
          </w:tcPr>
          <w:p w:rsidR="008D1A43" w:rsidRPr="00ED7F0F" w:rsidRDefault="008D1A43" w:rsidP="00122C9F">
            <w:pPr>
              <w:spacing w:line="240" w:lineRule="auto"/>
              <w:jc w:val="center"/>
              <w:rPr>
                <w:rFonts w:ascii="Times New Roman" w:hAnsi="Times New Roman" w:cs="Times New Roman"/>
                <w:sz w:val="20"/>
                <w:szCs w:val="20"/>
              </w:rPr>
            </w:pPr>
          </w:p>
        </w:tc>
        <w:tc>
          <w:tcPr>
            <w:tcW w:w="1375" w:type="dxa"/>
            <w:vAlign w:val="bottom"/>
          </w:tcPr>
          <w:p w:rsidR="008D1A43" w:rsidRPr="00ED7F0F" w:rsidRDefault="008D1A43" w:rsidP="00122C9F">
            <w:pPr>
              <w:spacing w:line="240" w:lineRule="auto"/>
              <w:jc w:val="center"/>
              <w:rPr>
                <w:rFonts w:ascii="Times New Roman" w:hAnsi="Times New Roman" w:cs="Times New Roman"/>
                <w:sz w:val="20"/>
                <w:szCs w:val="20"/>
              </w:rPr>
            </w:pPr>
          </w:p>
        </w:tc>
      </w:tr>
      <w:tr w:rsidR="008D1A43" w:rsidRPr="00ED7F0F" w:rsidTr="00A0050A">
        <w:trPr>
          <w:trHeight w:val="350"/>
        </w:trPr>
        <w:tc>
          <w:tcPr>
            <w:tcW w:w="2860" w:type="dxa"/>
          </w:tcPr>
          <w:p w:rsidR="008D1A43" w:rsidRPr="00ED7F0F" w:rsidRDefault="008D1A43" w:rsidP="009A0932">
            <w:pPr>
              <w:tabs>
                <w:tab w:val="center" w:pos="935"/>
                <w:tab w:val="center" w:pos="3584"/>
              </w:tabs>
              <w:spacing w:line="240" w:lineRule="auto"/>
              <w:ind w:left="80" w:firstLine="288"/>
              <w:rPr>
                <w:rFonts w:ascii="Times New Roman" w:hAnsi="Times New Roman" w:cs="Times New Roman"/>
                <w:b/>
                <w:sz w:val="20"/>
                <w:szCs w:val="20"/>
              </w:rPr>
            </w:pPr>
            <w:r w:rsidRPr="00ED7F0F">
              <w:rPr>
                <w:rFonts w:ascii="Times New Roman" w:hAnsi="Times New Roman" w:cs="Times New Roman"/>
                <w:sz w:val="20"/>
              </w:rPr>
              <w:t xml:space="preserve">Všetci pacienti </w:t>
            </w:r>
          </w:p>
        </w:tc>
        <w:tc>
          <w:tcPr>
            <w:tcW w:w="1753" w:type="dxa"/>
            <w:vAlign w:val="bottom"/>
          </w:tcPr>
          <w:p w:rsidR="008D1A43" w:rsidRPr="00ED7F0F" w:rsidRDefault="008D1A43" w:rsidP="00122C9F">
            <w:pPr>
              <w:spacing w:line="240" w:lineRule="auto"/>
              <w:jc w:val="center"/>
              <w:rPr>
                <w:rFonts w:ascii="Times New Roman" w:hAnsi="Times New Roman" w:cs="Times New Roman"/>
                <w:sz w:val="20"/>
                <w:szCs w:val="20"/>
              </w:rPr>
            </w:pPr>
            <w:r w:rsidRPr="00ED7F0F">
              <w:rPr>
                <w:rFonts w:ascii="Times New Roman" w:hAnsi="Times New Roman" w:cs="Times New Roman"/>
                <w:sz w:val="20"/>
              </w:rPr>
              <w:t>90 % (86-95)</w:t>
            </w:r>
          </w:p>
        </w:tc>
        <w:tc>
          <w:tcPr>
            <w:tcW w:w="1510" w:type="dxa"/>
            <w:vAlign w:val="bottom"/>
          </w:tcPr>
          <w:p w:rsidR="008D1A43" w:rsidRPr="00ED7F0F" w:rsidRDefault="008D1A43" w:rsidP="00122C9F">
            <w:pPr>
              <w:spacing w:line="240" w:lineRule="auto"/>
              <w:jc w:val="center"/>
              <w:rPr>
                <w:rFonts w:ascii="Times New Roman" w:hAnsi="Times New Roman" w:cs="Times New Roman"/>
                <w:sz w:val="20"/>
                <w:szCs w:val="20"/>
              </w:rPr>
            </w:pPr>
            <w:r w:rsidRPr="00ED7F0F">
              <w:rPr>
                <w:rFonts w:ascii="Times New Roman" w:hAnsi="Times New Roman" w:cs="Times New Roman"/>
                <w:sz w:val="20"/>
              </w:rPr>
              <w:t xml:space="preserve">80 % (73; 87) </w:t>
            </w:r>
          </w:p>
        </w:tc>
        <w:tc>
          <w:tcPr>
            <w:tcW w:w="1564" w:type="dxa"/>
            <w:vAlign w:val="bottom"/>
          </w:tcPr>
          <w:p w:rsidR="008D1A43" w:rsidRPr="00ED7F0F" w:rsidRDefault="008D1A43" w:rsidP="00122C9F">
            <w:pPr>
              <w:spacing w:line="240" w:lineRule="auto"/>
              <w:jc w:val="center"/>
              <w:rPr>
                <w:rFonts w:ascii="Times New Roman" w:hAnsi="Times New Roman" w:cs="Times New Roman"/>
                <w:sz w:val="20"/>
                <w:szCs w:val="20"/>
              </w:rPr>
            </w:pPr>
            <w:r w:rsidRPr="00ED7F0F">
              <w:rPr>
                <w:rFonts w:ascii="Times New Roman" w:hAnsi="Times New Roman" w:cs="Times New Roman"/>
                <w:sz w:val="20"/>
              </w:rPr>
              <w:t xml:space="preserve">51 % (41; 60) </w:t>
            </w:r>
          </w:p>
        </w:tc>
        <w:tc>
          <w:tcPr>
            <w:tcW w:w="1375" w:type="dxa"/>
            <w:vAlign w:val="bottom"/>
          </w:tcPr>
          <w:p w:rsidR="008D1A43" w:rsidRPr="00ED7F0F" w:rsidRDefault="008D1A43" w:rsidP="00122C9F">
            <w:pPr>
              <w:spacing w:line="240" w:lineRule="auto"/>
              <w:jc w:val="center"/>
              <w:rPr>
                <w:rFonts w:ascii="Times New Roman" w:hAnsi="Times New Roman" w:cs="Times New Roman"/>
                <w:sz w:val="20"/>
                <w:szCs w:val="20"/>
              </w:rPr>
            </w:pPr>
            <w:r w:rsidRPr="00ED7F0F">
              <w:rPr>
                <w:rFonts w:ascii="Times New Roman" w:hAnsi="Times New Roman" w:cs="Times New Roman"/>
                <w:sz w:val="20"/>
              </w:rPr>
              <w:t>42 % (33; 51)</w:t>
            </w:r>
          </w:p>
        </w:tc>
      </w:tr>
      <w:tr w:rsidR="008D1A43" w:rsidRPr="00ED7F0F" w:rsidTr="008D1A43">
        <w:trPr>
          <w:trHeight w:val="476"/>
        </w:trPr>
        <w:tc>
          <w:tcPr>
            <w:tcW w:w="2860" w:type="dxa"/>
          </w:tcPr>
          <w:p w:rsidR="008D1A43" w:rsidRPr="00ED7F0F" w:rsidRDefault="008D1A43" w:rsidP="009A0932">
            <w:pPr>
              <w:spacing w:line="240" w:lineRule="auto"/>
              <w:ind w:left="368"/>
              <w:rPr>
                <w:rFonts w:ascii="Times New Roman" w:hAnsi="Times New Roman" w:cs="Times New Roman"/>
                <w:sz w:val="20"/>
                <w:szCs w:val="20"/>
              </w:rPr>
            </w:pPr>
            <w:r w:rsidRPr="00ED7F0F">
              <w:rPr>
                <w:rFonts w:ascii="Times New Roman" w:hAnsi="Times New Roman" w:cs="Times New Roman"/>
                <w:sz w:val="20"/>
              </w:rPr>
              <w:t>Pacienti rezistentní na imatinib</w:t>
            </w:r>
          </w:p>
        </w:tc>
        <w:tc>
          <w:tcPr>
            <w:tcW w:w="1753" w:type="dxa"/>
          </w:tcPr>
          <w:p w:rsidR="008D1A43" w:rsidRPr="00ED7F0F" w:rsidRDefault="008D1A43" w:rsidP="00122C9F">
            <w:pPr>
              <w:spacing w:line="240" w:lineRule="auto"/>
              <w:jc w:val="center"/>
              <w:rPr>
                <w:rFonts w:ascii="Times New Roman" w:hAnsi="Times New Roman" w:cs="Times New Roman"/>
                <w:sz w:val="20"/>
                <w:szCs w:val="20"/>
              </w:rPr>
            </w:pPr>
            <w:r w:rsidRPr="00ED7F0F">
              <w:rPr>
                <w:rFonts w:ascii="Times New Roman" w:hAnsi="Times New Roman" w:cs="Times New Roman"/>
                <w:sz w:val="20"/>
              </w:rPr>
              <w:t xml:space="preserve">88 % (82; 94) </w:t>
            </w:r>
          </w:p>
        </w:tc>
        <w:tc>
          <w:tcPr>
            <w:tcW w:w="1510" w:type="dxa"/>
          </w:tcPr>
          <w:p w:rsidR="008D1A43" w:rsidRPr="00ED7F0F" w:rsidRDefault="008D1A43" w:rsidP="00122C9F">
            <w:pPr>
              <w:spacing w:line="240" w:lineRule="auto"/>
              <w:jc w:val="center"/>
              <w:rPr>
                <w:rFonts w:ascii="Times New Roman" w:hAnsi="Times New Roman" w:cs="Times New Roman"/>
                <w:sz w:val="20"/>
                <w:szCs w:val="20"/>
              </w:rPr>
            </w:pPr>
            <w:r w:rsidRPr="00ED7F0F">
              <w:rPr>
                <w:rFonts w:ascii="Times New Roman" w:hAnsi="Times New Roman" w:cs="Times New Roman"/>
                <w:sz w:val="20"/>
              </w:rPr>
              <w:t xml:space="preserve">77 % (68; 85) </w:t>
            </w:r>
          </w:p>
        </w:tc>
        <w:tc>
          <w:tcPr>
            <w:tcW w:w="1564" w:type="dxa"/>
          </w:tcPr>
          <w:p w:rsidR="008D1A43" w:rsidRPr="00ED7F0F" w:rsidRDefault="008D1A43" w:rsidP="00122C9F">
            <w:pPr>
              <w:spacing w:line="240" w:lineRule="auto"/>
              <w:jc w:val="center"/>
              <w:rPr>
                <w:rFonts w:ascii="Times New Roman" w:hAnsi="Times New Roman" w:cs="Times New Roman"/>
                <w:sz w:val="20"/>
                <w:szCs w:val="20"/>
              </w:rPr>
            </w:pPr>
            <w:r w:rsidRPr="00ED7F0F">
              <w:rPr>
                <w:rFonts w:ascii="Times New Roman" w:hAnsi="Times New Roman" w:cs="Times New Roman"/>
                <w:sz w:val="20"/>
              </w:rPr>
              <w:t xml:space="preserve">49 % (39; 59) </w:t>
            </w:r>
          </w:p>
        </w:tc>
        <w:tc>
          <w:tcPr>
            <w:tcW w:w="1375" w:type="dxa"/>
          </w:tcPr>
          <w:p w:rsidR="008D1A43" w:rsidRPr="00ED7F0F" w:rsidRDefault="008D1A43" w:rsidP="00122C9F">
            <w:pPr>
              <w:spacing w:line="240" w:lineRule="auto"/>
              <w:jc w:val="center"/>
              <w:rPr>
                <w:rFonts w:ascii="Times New Roman" w:hAnsi="Times New Roman" w:cs="Times New Roman"/>
                <w:sz w:val="20"/>
                <w:szCs w:val="20"/>
              </w:rPr>
            </w:pPr>
            <w:r w:rsidRPr="00ED7F0F">
              <w:rPr>
                <w:rFonts w:ascii="Times New Roman" w:hAnsi="Times New Roman" w:cs="Times New Roman"/>
                <w:sz w:val="20"/>
              </w:rPr>
              <w:t xml:space="preserve">39 % (29; 49) </w:t>
            </w:r>
          </w:p>
        </w:tc>
      </w:tr>
      <w:tr w:rsidR="008D1A43" w:rsidRPr="00ED7F0F" w:rsidTr="008D1A43">
        <w:trPr>
          <w:trHeight w:val="479"/>
        </w:trPr>
        <w:tc>
          <w:tcPr>
            <w:tcW w:w="2860" w:type="dxa"/>
          </w:tcPr>
          <w:p w:rsidR="008D1A43" w:rsidRPr="00ED7F0F" w:rsidRDefault="008D1A43" w:rsidP="009A0932">
            <w:pPr>
              <w:spacing w:line="240" w:lineRule="auto"/>
              <w:ind w:left="368"/>
              <w:rPr>
                <w:rFonts w:ascii="Times New Roman" w:hAnsi="Times New Roman" w:cs="Times New Roman"/>
                <w:sz w:val="20"/>
                <w:szCs w:val="20"/>
              </w:rPr>
            </w:pPr>
            <w:r w:rsidRPr="00ED7F0F">
              <w:rPr>
                <w:rFonts w:ascii="Times New Roman" w:hAnsi="Times New Roman" w:cs="Times New Roman"/>
                <w:sz w:val="20"/>
              </w:rPr>
              <w:t>Pacienti intolerantní na imatinib</w:t>
            </w:r>
          </w:p>
        </w:tc>
        <w:tc>
          <w:tcPr>
            <w:tcW w:w="1753" w:type="dxa"/>
          </w:tcPr>
          <w:p w:rsidR="008D1A43" w:rsidRPr="00ED7F0F" w:rsidRDefault="008D1A43" w:rsidP="00122C9F">
            <w:pPr>
              <w:spacing w:line="240" w:lineRule="auto"/>
              <w:jc w:val="center"/>
              <w:rPr>
                <w:rFonts w:ascii="Times New Roman" w:hAnsi="Times New Roman" w:cs="Times New Roman"/>
                <w:sz w:val="20"/>
                <w:szCs w:val="20"/>
              </w:rPr>
            </w:pPr>
            <w:r w:rsidRPr="00ED7F0F">
              <w:rPr>
                <w:rFonts w:ascii="Times New Roman" w:hAnsi="Times New Roman" w:cs="Times New Roman"/>
                <w:sz w:val="20"/>
              </w:rPr>
              <w:t xml:space="preserve">97 % (92; 100) </w:t>
            </w:r>
          </w:p>
        </w:tc>
        <w:tc>
          <w:tcPr>
            <w:tcW w:w="1510" w:type="dxa"/>
          </w:tcPr>
          <w:p w:rsidR="008D1A43" w:rsidRPr="00ED7F0F" w:rsidRDefault="008D1A43" w:rsidP="00122C9F">
            <w:pPr>
              <w:spacing w:line="240" w:lineRule="auto"/>
              <w:jc w:val="center"/>
              <w:rPr>
                <w:rFonts w:ascii="Times New Roman" w:hAnsi="Times New Roman" w:cs="Times New Roman"/>
                <w:sz w:val="20"/>
                <w:szCs w:val="20"/>
              </w:rPr>
            </w:pPr>
            <w:r w:rsidRPr="00ED7F0F">
              <w:rPr>
                <w:rFonts w:ascii="Times New Roman" w:hAnsi="Times New Roman" w:cs="Times New Roman"/>
                <w:sz w:val="20"/>
              </w:rPr>
              <w:t xml:space="preserve">87 % (76; 99) </w:t>
            </w:r>
          </w:p>
        </w:tc>
        <w:tc>
          <w:tcPr>
            <w:tcW w:w="1564" w:type="dxa"/>
          </w:tcPr>
          <w:p w:rsidR="008D1A43" w:rsidRPr="00ED7F0F" w:rsidRDefault="008D1A43" w:rsidP="00122C9F">
            <w:pPr>
              <w:spacing w:line="240" w:lineRule="auto"/>
              <w:jc w:val="center"/>
              <w:rPr>
                <w:rFonts w:ascii="Times New Roman" w:hAnsi="Times New Roman" w:cs="Times New Roman"/>
                <w:sz w:val="20"/>
                <w:szCs w:val="20"/>
              </w:rPr>
            </w:pPr>
            <w:r w:rsidRPr="00ED7F0F">
              <w:rPr>
                <w:rFonts w:ascii="Times New Roman" w:hAnsi="Times New Roman" w:cs="Times New Roman"/>
                <w:sz w:val="20"/>
              </w:rPr>
              <w:t xml:space="preserve">56 % (37; 76) </w:t>
            </w:r>
          </w:p>
        </w:tc>
        <w:tc>
          <w:tcPr>
            <w:tcW w:w="1375" w:type="dxa"/>
          </w:tcPr>
          <w:p w:rsidR="008D1A43" w:rsidRPr="00ED7F0F" w:rsidRDefault="008D1A43" w:rsidP="00122C9F">
            <w:pPr>
              <w:spacing w:line="240" w:lineRule="auto"/>
              <w:jc w:val="center"/>
              <w:rPr>
                <w:rFonts w:ascii="Times New Roman" w:hAnsi="Times New Roman" w:cs="Times New Roman"/>
                <w:sz w:val="20"/>
                <w:szCs w:val="20"/>
              </w:rPr>
            </w:pPr>
            <w:r w:rsidRPr="00ED7F0F">
              <w:rPr>
                <w:rFonts w:ascii="Times New Roman" w:hAnsi="Times New Roman" w:cs="Times New Roman"/>
                <w:sz w:val="20"/>
              </w:rPr>
              <w:t xml:space="preserve">51 % (32; 67) </w:t>
            </w:r>
          </w:p>
        </w:tc>
      </w:tr>
      <w:tr w:rsidR="008D1A43" w:rsidRPr="00ED7F0F" w:rsidTr="008D1A43">
        <w:trPr>
          <w:trHeight w:val="280"/>
        </w:trPr>
        <w:tc>
          <w:tcPr>
            <w:tcW w:w="2860" w:type="dxa"/>
          </w:tcPr>
          <w:p w:rsidR="008D1A43" w:rsidRPr="00ED7F0F" w:rsidRDefault="008D1A43" w:rsidP="00122C9F">
            <w:pPr>
              <w:spacing w:line="240" w:lineRule="auto"/>
              <w:ind w:left="80"/>
              <w:rPr>
                <w:rFonts w:ascii="Times New Roman" w:hAnsi="Times New Roman" w:cs="Times New Roman"/>
                <w:sz w:val="20"/>
                <w:szCs w:val="20"/>
              </w:rPr>
            </w:pPr>
            <w:r w:rsidRPr="00ED7F0F">
              <w:rPr>
                <w:rFonts w:ascii="Times New Roman" w:hAnsi="Times New Roman" w:cs="Times New Roman"/>
                <w:b/>
                <w:sz w:val="20"/>
              </w:rPr>
              <w:t>Celkové prežívanie</w:t>
            </w:r>
          </w:p>
        </w:tc>
        <w:tc>
          <w:tcPr>
            <w:tcW w:w="1753" w:type="dxa"/>
            <w:vAlign w:val="bottom"/>
          </w:tcPr>
          <w:p w:rsidR="008D1A43" w:rsidRPr="00ED7F0F" w:rsidRDefault="008D1A43" w:rsidP="00122C9F">
            <w:pPr>
              <w:spacing w:line="240" w:lineRule="auto"/>
              <w:jc w:val="center"/>
              <w:rPr>
                <w:rFonts w:ascii="Times New Roman" w:hAnsi="Times New Roman" w:cs="Times New Roman"/>
                <w:sz w:val="20"/>
                <w:szCs w:val="20"/>
              </w:rPr>
            </w:pPr>
            <w:r w:rsidRPr="00ED7F0F">
              <w:rPr>
                <w:rFonts w:ascii="Times New Roman" w:hAnsi="Times New Roman" w:cs="Times New Roman"/>
                <w:sz w:val="20"/>
              </w:rPr>
              <w:t xml:space="preserve">96 % (93; 99) </w:t>
            </w:r>
          </w:p>
        </w:tc>
        <w:tc>
          <w:tcPr>
            <w:tcW w:w="1510" w:type="dxa"/>
            <w:vAlign w:val="bottom"/>
          </w:tcPr>
          <w:p w:rsidR="008D1A43" w:rsidRPr="00ED7F0F" w:rsidRDefault="008D1A43" w:rsidP="00122C9F">
            <w:pPr>
              <w:spacing w:line="240" w:lineRule="auto"/>
              <w:jc w:val="center"/>
              <w:rPr>
                <w:rFonts w:ascii="Times New Roman" w:hAnsi="Times New Roman" w:cs="Times New Roman"/>
                <w:sz w:val="20"/>
                <w:szCs w:val="20"/>
              </w:rPr>
            </w:pPr>
            <w:r w:rsidRPr="00ED7F0F">
              <w:rPr>
                <w:rFonts w:ascii="Times New Roman" w:hAnsi="Times New Roman" w:cs="Times New Roman"/>
                <w:sz w:val="20"/>
              </w:rPr>
              <w:t xml:space="preserve">91 % (86; 96) </w:t>
            </w:r>
          </w:p>
        </w:tc>
        <w:tc>
          <w:tcPr>
            <w:tcW w:w="1564" w:type="dxa"/>
            <w:vAlign w:val="bottom"/>
          </w:tcPr>
          <w:p w:rsidR="008D1A43" w:rsidRPr="00ED7F0F" w:rsidRDefault="008D1A43" w:rsidP="00122C9F">
            <w:pPr>
              <w:spacing w:line="240" w:lineRule="auto"/>
              <w:jc w:val="center"/>
              <w:rPr>
                <w:rFonts w:ascii="Times New Roman" w:hAnsi="Times New Roman" w:cs="Times New Roman"/>
                <w:sz w:val="20"/>
                <w:szCs w:val="20"/>
              </w:rPr>
            </w:pPr>
            <w:r w:rsidRPr="00ED7F0F">
              <w:rPr>
                <w:rFonts w:ascii="Times New Roman" w:hAnsi="Times New Roman" w:cs="Times New Roman"/>
                <w:sz w:val="20"/>
              </w:rPr>
              <w:t xml:space="preserve">78 % (72; 85) </w:t>
            </w:r>
          </w:p>
        </w:tc>
        <w:tc>
          <w:tcPr>
            <w:tcW w:w="1375" w:type="dxa"/>
            <w:vAlign w:val="bottom"/>
          </w:tcPr>
          <w:p w:rsidR="008D1A43" w:rsidRPr="00ED7F0F" w:rsidRDefault="008D1A43" w:rsidP="00122C9F">
            <w:pPr>
              <w:spacing w:line="240" w:lineRule="auto"/>
              <w:jc w:val="center"/>
              <w:rPr>
                <w:rFonts w:ascii="Times New Roman" w:hAnsi="Times New Roman" w:cs="Times New Roman"/>
                <w:sz w:val="20"/>
                <w:szCs w:val="20"/>
              </w:rPr>
            </w:pPr>
            <w:r w:rsidRPr="00ED7F0F">
              <w:rPr>
                <w:rFonts w:ascii="Times New Roman" w:hAnsi="Times New Roman" w:cs="Times New Roman"/>
                <w:sz w:val="20"/>
              </w:rPr>
              <w:t xml:space="preserve">65 % (56; 72) </w:t>
            </w:r>
          </w:p>
        </w:tc>
      </w:tr>
      <w:tr w:rsidR="008D1A43" w:rsidRPr="00ED7F0F" w:rsidTr="008D1A43">
        <w:trPr>
          <w:trHeight w:val="280"/>
        </w:trPr>
        <w:tc>
          <w:tcPr>
            <w:tcW w:w="2860" w:type="dxa"/>
          </w:tcPr>
          <w:p w:rsidR="008D1A43" w:rsidRPr="00ED7F0F" w:rsidRDefault="008D1A43" w:rsidP="009A0932">
            <w:pPr>
              <w:spacing w:line="240" w:lineRule="auto"/>
              <w:ind w:left="510" w:hanging="142"/>
              <w:rPr>
                <w:rFonts w:ascii="Times New Roman" w:hAnsi="Times New Roman" w:cs="Times New Roman"/>
                <w:b/>
                <w:sz w:val="20"/>
                <w:szCs w:val="20"/>
              </w:rPr>
            </w:pPr>
            <w:r w:rsidRPr="00ED7F0F">
              <w:rPr>
                <w:rFonts w:ascii="Times New Roman" w:hAnsi="Times New Roman" w:cs="Times New Roman"/>
                <w:sz w:val="20"/>
              </w:rPr>
              <w:t>Všetci pacienti</w:t>
            </w:r>
          </w:p>
        </w:tc>
        <w:tc>
          <w:tcPr>
            <w:tcW w:w="1753" w:type="dxa"/>
            <w:vAlign w:val="bottom"/>
          </w:tcPr>
          <w:p w:rsidR="008D1A43" w:rsidRPr="00ED7F0F" w:rsidRDefault="008D1A43" w:rsidP="00122C9F">
            <w:pPr>
              <w:spacing w:line="240" w:lineRule="auto"/>
              <w:jc w:val="center"/>
              <w:rPr>
                <w:rFonts w:ascii="Times New Roman" w:hAnsi="Times New Roman" w:cs="Times New Roman"/>
                <w:sz w:val="20"/>
                <w:szCs w:val="20"/>
              </w:rPr>
            </w:pPr>
          </w:p>
        </w:tc>
        <w:tc>
          <w:tcPr>
            <w:tcW w:w="1510" w:type="dxa"/>
            <w:vAlign w:val="bottom"/>
          </w:tcPr>
          <w:p w:rsidR="008D1A43" w:rsidRPr="00ED7F0F" w:rsidRDefault="008D1A43" w:rsidP="00122C9F">
            <w:pPr>
              <w:spacing w:line="240" w:lineRule="auto"/>
              <w:jc w:val="center"/>
              <w:rPr>
                <w:rFonts w:ascii="Times New Roman" w:hAnsi="Times New Roman" w:cs="Times New Roman"/>
                <w:sz w:val="20"/>
                <w:szCs w:val="20"/>
              </w:rPr>
            </w:pPr>
          </w:p>
        </w:tc>
        <w:tc>
          <w:tcPr>
            <w:tcW w:w="1564" w:type="dxa"/>
            <w:vAlign w:val="bottom"/>
          </w:tcPr>
          <w:p w:rsidR="008D1A43" w:rsidRPr="00ED7F0F" w:rsidRDefault="008D1A43" w:rsidP="00122C9F">
            <w:pPr>
              <w:spacing w:line="240" w:lineRule="auto"/>
              <w:jc w:val="center"/>
              <w:rPr>
                <w:rFonts w:ascii="Times New Roman" w:hAnsi="Times New Roman" w:cs="Times New Roman"/>
                <w:sz w:val="20"/>
                <w:szCs w:val="20"/>
              </w:rPr>
            </w:pPr>
          </w:p>
        </w:tc>
        <w:tc>
          <w:tcPr>
            <w:tcW w:w="1375" w:type="dxa"/>
            <w:vAlign w:val="bottom"/>
          </w:tcPr>
          <w:p w:rsidR="008D1A43" w:rsidRPr="00ED7F0F" w:rsidRDefault="008D1A43" w:rsidP="00122C9F">
            <w:pPr>
              <w:spacing w:line="240" w:lineRule="auto"/>
              <w:jc w:val="center"/>
              <w:rPr>
                <w:rFonts w:ascii="Times New Roman" w:hAnsi="Times New Roman" w:cs="Times New Roman"/>
                <w:sz w:val="20"/>
                <w:szCs w:val="20"/>
              </w:rPr>
            </w:pPr>
          </w:p>
        </w:tc>
      </w:tr>
      <w:tr w:rsidR="008D1A43" w:rsidRPr="00ED7F0F" w:rsidTr="008D1A43">
        <w:trPr>
          <w:trHeight w:val="476"/>
        </w:trPr>
        <w:tc>
          <w:tcPr>
            <w:tcW w:w="2860" w:type="dxa"/>
          </w:tcPr>
          <w:p w:rsidR="008D1A43" w:rsidRPr="00ED7F0F" w:rsidRDefault="008D1A43" w:rsidP="009A0932">
            <w:pPr>
              <w:tabs>
                <w:tab w:val="clear" w:pos="567"/>
                <w:tab w:val="left" w:pos="368"/>
              </w:tabs>
              <w:spacing w:line="240" w:lineRule="auto"/>
              <w:ind w:left="368"/>
              <w:rPr>
                <w:rFonts w:ascii="Times New Roman" w:hAnsi="Times New Roman" w:cs="Times New Roman"/>
                <w:sz w:val="20"/>
                <w:szCs w:val="20"/>
              </w:rPr>
            </w:pPr>
            <w:r w:rsidRPr="00ED7F0F">
              <w:rPr>
                <w:rFonts w:ascii="Times New Roman" w:hAnsi="Times New Roman" w:cs="Times New Roman"/>
                <w:sz w:val="20"/>
              </w:rPr>
              <w:t>Pacienti rezistentní na imatinib</w:t>
            </w:r>
          </w:p>
        </w:tc>
        <w:tc>
          <w:tcPr>
            <w:tcW w:w="1753" w:type="dxa"/>
          </w:tcPr>
          <w:p w:rsidR="008D1A43" w:rsidRPr="00ED7F0F" w:rsidRDefault="008D1A43" w:rsidP="00122C9F">
            <w:pPr>
              <w:spacing w:line="240" w:lineRule="auto"/>
              <w:jc w:val="center"/>
              <w:rPr>
                <w:rFonts w:ascii="Times New Roman" w:hAnsi="Times New Roman" w:cs="Times New Roman"/>
                <w:sz w:val="20"/>
                <w:szCs w:val="20"/>
              </w:rPr>
            </w:pPr>
            <w:r w:rsidRPr="00ED7F0F">
              <w:rPr>
                <w:rFonts w:ascii="Times New Roman" w:hAnsi="Times New Roman" w:cs="Times New Roman"/>
                <w:sz w:val="20"/>
              </w:rPr>
              <w:t xml:space="preserve">94 % (90; 98) </w:t>
            </w:r>
          </w:p>
        </w:tc>
        <w:tc>
          <w:tcPr>
            <w:tcW w:w="1510" w:type="dxa"/>
          </w:tcPr>
          <w:p w:rsidR="008D1A43" w:rsidRPr="00ED7F0F" w:rsidRDefault="008D1A43" w:rsidP="00122C9F">
            <w:pPr>
              <w:spacing w:line="240" w:lineRule="auto"/>
              <w:jc w:val="center"/>
              <w:rPr>
                <w:rFonts w:ascii="Times New Roman" w:hAnsi="Times New Roman" w:cs="Times New Roman"/>
                <w:sz w:val="20"/>
                <w:szCs w:val="20"/>
              </w:rPr>
            </w:pPr>
            <w:r w:rsidRPr="00ED7F0F">
              <w:rPr>
                <w:rFonts w:ascii="Times New Roman" w:hAnsi="Times New Roman" w:cs="Times New Roman"/>
                <w:sz w:val="20"/>
              </w:rPr>
              <w:t xml:space="preserve">89 % (84; 95) </w:t>
            </w:r>
          </w:p>
        </w:tc>
        <w:tc>
          <w:tcPr>
            <w:tcW w:w="1564" w:type="dxa"/>
          </w:tcPr>
          <w:p w:rsidR="008D1A43" w:rsidRPr="00ED7F0F" w:rsidRDefault="008D1A43" w:rsidP="00122C9F">
            <w:pPr>
              <w:spacing w:line="240" w:lineRule="auto"/>
              <w:jc w:val="center"/>
              <w:rPr>
                <w:rFonts w:ascii="Times New Roman" w:hAnsi="Times New Roman" w:cs="Times New Roman"/>
                <w:sz w:val="20"/>
                <w:szCs w:val="20"/>
              </w:rPr>
            </w:pPr>
            <w:r w:rsidRPr="00ED7F0F">
              <w:rPr>
                <w:rFonts w:ascii="Times New Roman" w:hAnsi="Times New Roman" w:cs="Times New Roman"/>
                <w:sz w:val="20"/>
              </w:rPr>
              <w:t xml:space="preserve">77 % (69; 85) </w:t>
            </w:r>
          </w:p>
        </w:tc>
        <w:tc>
          <w:tcPr>
            <w:tcW w:w="1375" w:type="dxa"/>
          </w:tcPr>
          <w:p w:rsidR="008D1A43" w:rsidRPr="00ED7F0F" w:rsidRDefault="008D1A43" w:rsidP="00122C9F">
            <w:pPr>
              <w:spacing w:line="240" w:lineRule="auto"/>
              <w:jc w:val="center"/>
              <w:rPr>
                <w:rFonts w:ascii="Times New Roman" w:hAnsi="Times New Roman" w:cs="Times New Roman"/>
                <w:sz w:val="20"/>
                <w:szCs w:val="20"/>
              </w:rPr>
            </w:pPr>
            <w:r w:rsidRPr="00ED7F0F">
              <w:rPr>
                <w:rFonts w:ascii="Times New Roman" w:hAnsi="Times New Roman" w:cs="Times New Roman"/>
                <w:sz w:val="20"/>
              </w:rPr>
              <w:t xml:space="preserve">63 % (53; 71) </w:t>
            </w:r>
          </w:p>
        </w:tc>
      </w:tr>
      <w:tr w:rsidR="008D1A43" w:rsidRPr="00ED7F0F" w:rsidTr="008D1A43">
        <w:trPr>
          <w:trHeight w:val="456"/>
        </w:trPr>
        <w:tc>
          <w:tcPr>
            <w:tcW w:w="2860" w:type="dxa"/>
          </w:tcPr>
          <w:p w:rsidR="008D1A43" w:rsidRPr="00ED7F0F" w:rsidRDefault="008D1A43" w:rsidP="009A0932">
            <w:pPr>
              <w:tabs>
                <w:tab w:val="clear" w:pos="567"/>
                <w:tab w:val="left" w:pos="226"/>
              </w:tabs>
              <w:spacing w:line="240" w:lineRule="auto"/>
              <w:ind w:left="226" w:right="678"/>
              <w:jc w:val="center"/>
              <w:rPr>
                <w:rFonts w:ascii="Times New Roman" w:hAnsi="Times New Roman" w:cs="Times New Roman"/>
                <w:sz w:val="20"/>
                <w:szCs w:val="20"/>
              </w:rPr>
            </w:pPr>
            <w:r w:rsidRPr="00ED7F0F">
              <w:rPr>
                <w:rFonts w:ascii="Times New Roman" w:hAnsi="Times New Roman" w:cs="Times New Roman"/>
                <w:sz w:val="20"/>
              </w:rPr>
              <w:t>Pacienti intolerantní na imatinib</w:t>
            </w:r>
          </w:p>
        </w:tc>
        <w:tc>
          <w:tcPr>
            <w:tcW w:w="1753" w:type="dxa"/>
          </w:tcPr>
          <w:p w:rsidR="008D1A43" w:rsidRPr="00ED7F0F" w:rsidRDefault="008D1A43" w:rsidP="00122C9F">
            <w:pPr>
              <w:spacing w:line="240" w:lineRule="auto"/>
              <w:jc w:val="center"/>
              <w:rPr>
                <w:rFonts w:ascii="Times New Roman" w:hAnsi="Times New Roman" w:cs="Times New Roman"/>
                <w:sz w:val="20"/>
                <w:szCs w:val="20"/>
              </w:rPr>
            </w:pPr>
            <w:r w:rsidRPr="00ED7F0F">
              <w:rPr>
                <w:rFonts w:ascii="Times New Roman" w:hAnsi="Times New Roman" w:cs="Times New Roman"/>
                <w:sz w:val="20"/>
              </w:rPr>
              <w:t xml:space="preserve">100 % (100; 100) </w:t>
            </w:r>
          </w:p>
        </w:tc>
        <w:tc>
          <w:tcPr>
            <w:tcW w:w="1510" w:type="dxa"/>
          </w:tcPr>
          <w:p w:rsidR="008D1A43" w:rsidRPr="00ED7F0F" w:rsidRDefault="008D1A43" w:rsidP="00122C9F">
            <w:pPr>
              <w:spacing w:line="240" w:lineRule="auto"/>
              <w:jc w:val="center"/>
              <w:rPr>
                <w:rFonts w:ascii="Times New Roman" w:hAnsi="Times New Roman" w:cs="Times New Roman"/>
                <w:sz w:val="20"/>
                <w:szCs w:val="20"/>
              </w:rPr>
            </w:pPr>
            <w:r w:rsidRPr="00ED7F0F">
              <w:rPr>
                <w:rFonts w:ascii="Times New Roman" w:hAnsi="Times New Roman" w:cs="Times New Roman"/>
                <w:sz w:val="20"/>
              </w:rPr>
              <w:t xml:space="preserve">95 % (88; 100) </w:t>
            </w:r>
          </w:p>
        </w:tc>
        <w:tc>
          <w:tcPr>
            <w:tcW w:w="1564" w:type="dxa"/>
          </w:tcPr>
          <w:p w:rsidR="008D1A43" w:rsidRPr="00ED7F0F" w:rsidRDefault="008D1A43" w:rsidP="00122C9F">
            <w:pPr>
              <w:spacing w:line="240" w:lineRule="auto"/>
              <w:jc w:val="center"/>
              <w:rPr>
                <w:rFonts w:ascii="Times New Roman" w:hAnsi="Times New Roman" w:cs="Times New Roman"/>
                <w:sz w:val="20"/>
                <w:szCs w:val="20"/>
              </w:rPr>
            </w:pPr>
            <w:r w:rsidRPr="00ED7F0F">
              <w:rPr>
                <w:rFonts w:ascii="Times New Roman" w:hAnsi="Times New Roman" w:cs="Times New Roman"/>
                <w:sz w:val="20"/>
              </w:rPr>
              <w:t xml:space="preserve">82 % (70; 94) </w:t>
            </w:r>
          </w:p>
        </w:tc>
        <w:tc>
          <w:tcPr>
            <w:tcW w:w="1375" w:type="dxa"/>
          </w:tcPr>
          <w:p w:rsidR="008D1A43" w:rsidRPr="00ED7F0F" w:rsidRDefault="008D1A43" w:rsidP="00122C9F">
            <w:pPr>
              <w:spacing w:line="240" w:lineRule="auto"/>
              <w:jc w:val="center"/>
              <w:rPr>
                <w:rFonts w:ascii="Times New Roman" w:hAnsi="Times New Roman" w:cs="Times New Roman"/>
                <w:sz w:val="20"/>
                <w:szCs w:val="20"/>
              </w:rPr>
            </w:pPr>
            <w:r w:rsidRPr="00ED7F0F">
              <w:rPr>
                <w:rFonts w:ascii="Times New Roman" w:hAnsi="Times New Roman" w:cs="Times New Roman"/>
                <w:sz w:val="20"/>
              </w:rPr>
              <w:t xml:space="preserve">70 % (52; 82) </w:t>
            </w:r>
          </w:p>
        </w:tc>
      </w:tr>
    </w:tbl>
    <w:p w:rsidR="00AE6D42" w:rsidRPr="00ED7F0F" w:rsidRDefault="00AE6D42" w:rsidP="00122C9F">
      <w:pPr>
        <w:numPr>
          <w:ilvl w:val="0"/>
          <w:numId w:val="25"/>
        </w:numPr>
        <w:tabs>
          <w:tab w:val="clear" w:pos="567"/>
        </w:tabs>
        <w:spacing w:after="5" w:line="261" w:lineRule="auto"/>
        <w:ind w:left="222" w:hanging="203"/>
      </w:pPr>
      <w:r w:rsidRPr="00ED7F0F">
        <w:rPr>
          <w:sz w:val="17"/>
        </w:rPr>
        <w:t>Výsledky hlásené pri odporúčanej začiatočnej dávke 100</w:t>
      </w:r>
      <w:r w:rsidR="00750AED" w:rsidRPr="00ED7F0F">
        <w:rPr>
          <w:sz w:val="17"/>
        </w:rPr>
        <w:t> </w:t>
      </w:r>
      <w:r w:rsidRPr="00ED7F0F">
        <w:rPr>
          <w:sz w:val="17"/>
        </w:rPr>
        <w:t>mg jedenkrát denne.</w:t>
      </w:r>
    </w:p>
    <w:p w:rsidR="00AE6D42" w:rsidRPr="00ED7F0F" w:rsidRDefault="00AE6D42" w:rsidP="00122C9F">
      <w:pPr>
        <w:numPr>
          <w:ilvl w:val="0"/>
          <w:numId w:val="25"/>
        </w:numPr>
        <w:tabs>
          <w:tab w:val="clear" w:pos="567"/>
        </w:tabs>
        <w:spacing w:after="3" w:line="247" w:lineRule="auto"/>
        <w:ind w:left="222" w:hanging="203"/>
      </w:pPr>
      <w:r w:rsidRPr="00ED7F0F">
        <w:rPr>
          <w:sz w:val="17"/>
        </w:rPr>
        <w:t>Progresia bola definovaná ako zvýšenie počtu WBC, strata CHR alebo MCyR, ≥ 30</w:t>
      </w:r>
      <w:r w:rsidR="00750AED" w:rsidRPr="00ED7F0F">
        <w:rPr>
          <w:sz w:val="17"/>
        </w:rPr>
        <w:t> </w:t>
      </w:r>
      <w:r w:rsidRPr="00ED7F0F">
        <w:rPr>
          <w:sz w:val="17"/>
        </w:rPr>
        <w:t>% zvýšenie v</w:t>
      </w:r>
      <w:r w:rsidR="00750AED" w:rsidRPr="00ED7F0F">
        <w:rPr>
          <w:sz w:val="17"/>
        </w:rPr>
        <w:t> </w:t>
      </w:r>
      <w:r w:rsidRPr="00ED7F0F">
        <w:rPr>
          <w:sz w:val="17"/>
        </w:rPr>
        <w:t>Ph+ metafáze, potvrdená AP/BP ochorenia alebo smrť. PFS bolo analyzované na princípe úmyslu liečiť (intent-to-treat) a pacienti boli následne sledovaní na udalosti vrátane dodatočnej liečby.</w:t>
      </w:r>
    </w:p>
    <w:p w:rsidR="00AE6D42" w:rsidRPr="00ED7F0F" w:rsidRDefault="00AE6D42" w:rsidP="00122C9F">
      <w:pPr>
        <w:spacing w:after="21" w:line="259" w:lineRule="auto"/>
        <w:ind w:left="34"/>
      </w:pPr>
    </w:p>
    <w:p w:rsidR="00AE6D42" w:rsidRPr="00ED7F0F" w:rsidRDefault="00AE6D42" w:rsidP="00122C9F">
      <w:pPr>
        <w:ind w:left="29"/>
      </w:pPr>
      <w:r w:rsidRPr="00ED7F0F">
        <w:t>Na základe Kaplan</w:t>
      </w:r>
      <w:r w:rsidR="00A5514E" w:rsidRPr="00ED7F0F">
        <w:t>ových</w:t>
      </w:r>
      <w:r w:rsidRPr="00ED7F0F">
        <w:t>-Meierových odhadov bol pomer pacientov liečených dasatinibom v</w:t>
      </w:r>
      <w:r w:rsidR="00750AED" w:rsidRPr="00ED7F0F">
        <w:t> </w:t>
      </w:r>
      <w:r w:rsidRPr="00ED7F0F">
        <w:t>dávke 100</w:t>
      </w:r>
      <w:r w:rsidR="00750AED" w:rsidRPr="00ED7F0F">
        <w:t> </w:t>
      </w:r>
      <w:r w:rsidRPr="00ED7F0F">
        <w:t>mg jedenkrát denne, ktorí si udržali MCyR počas 18</w:t>
      </w:r>
      <w:r w:rsidR="00750AED" w:rsidRPr="00ED7F0F">
        <w:t> </w:t>
      </w:r>
      <w:r w:rsidRPr="00ED7F0F">
        <w:t>mesiacov 93</w:t>
      </w:r>
      <w:r w:rsidR="00750AED" w:rsidRPr="00ED7F0F">
        <w:t> </w:t>
      </w:r>
      <w:r w:rsidRPr="00ED7F0F">
        <w:t>% (95</w:t>
      </w:r>
      <w:r w:rsidR="00750AED" w:rsidRPr="00ED7F0F">
        <w:t> </w:t>
      </w:r>
      <w:r w:rsidRPr="00ED7F0F">
        <w:t>% CI: [88</w:t>
      </w:r>
      <w:r w:rsidR="00750AED" w:rsidRPr="00ED7F0F">
        <w:t> </w:t>
      </w:r>
      <w:r w:rsidRPr="00ED7F0F">
        <w:t>% – 98</w:t>
      </w:r>
      <w:r w:rsidR="00750AED" w:rsidRPr="00ED7F0F">
        <w:t> </w:t>
      </w:r>
      <w:r w:rsidRPr="00ED7F0F">
        <w:t>%]).</w:t>
      </w:r>
    </w:p>
    <w:p w:rsidR="00AE6D42" w:rsidRPr="00ED7F0F" w:rsidRDefault="00AE6D42" w:rsidP="00122C9F">
      <w:pPr>
        <w:spacing w:line="259" w:lineRule="auto"/>
        <w:ind w:left="34"/>
      </w:pPr>
    </w:p>
    <w:p w:rsidR="00AE6D42" w:rsidRPr="00ED7F0F" w:rsidRDefault="00AE6D42" w:rsidP="00122C9F">
      <w:pPr>
        <w:ind w:left="29"/>
      </w:pPr>
      <w:r w:rsidRPr="00ED7F0F">
        <w:t>Účinnosť bola tiež hodnotená u</w:t>
      </w:r>
      <w:r w:rsidR="00750AED" w:rsidRPr="00ED7F0F">
        <w:t> </w:t>
      </w:r>
      <w:r w:rsidRPr="00ED7F0F">
        <w:t>pacientov, ktorí boli intolerantní na imatinib. V</w:t>
      </w:r>
      <w:r w:rsidR="00750AED" w:rsidRPr="00ED7F0F">
        <w:t> </w:t>
      </w:r>
      <w:r w:rsidRPr="00ED7F0F">
        <w:t>tejto populácii pacientov, ktorí užívali 100</w:t>
      </w:r>
      <w:r w:rsidR="00750AED" w:rsidRPr="00ED7F0F">
        <w:t> </w:t>
      </w:r>
      <w:r w:rsidRPr="00ED7F0F">
        <w:t>mg jedenkrát denne bola MCyR dosiahnutá u</w:t>
      </w:r>
      <w:r w:rsidR="00750AED" w:rsidRPr="00ED7F0F">
        <w:t> </w:t>
      </w:r>
      <w:r w:rsidRPr="00ED7F0F">
        <w:t>77</w:t>
      </w:r>
      <w:r w:rsidR="00750AED" w:rsidRPr="00ED7F0F">
        <w:t> </w:t>
      </w:r>
      <w:r w:rsidRPr="00ED7F0F">
        <w:t>% a CCyR u</w:t>
      </w:r>
      <w:r w:rsidR="00750AED" w:rsidRPr="00ED7F0F">
        <w:t> </w:t>
      </w:r>
      <w:r w:rsidRPr="00ED7F0F">
        <w:t>67</w:t>
      </w:r>
      <w:r w:rsidR="00750AED" w:rsidRPr="00ED7F0F">
        <w:t> </w:t>
      </w:r>
      <w:r w:rsidRPr="00ED7F0F">
        <w:t>%.</w:t>
      </w:r>
    </w:p>
    <w:p w:rsidR="00AE6D42" w:rsidRPr="00ED7F0F" w:rsidRDefault="00AE6D42" w:rsidP="00122C9F">
      <w:pPr>
        <w:spacing w:line="259" w:lineRule="auto"/>
        <w:ind w:left="34"/>
      </w:pPr>
    </w:p>
    <w:p w:rsidR="00AE6D42" w:rsidRPr="00ED7F0F" w:rsidRDefault="00AE6D42" w:rsidP="00122C9F">
      <w:pPr>
        <w:keepNext/>
        <w:spacing w:line="259" w:lineRule="auto"/>
        <w:ind w:left="28"/>
      </w:pPr>
      <w:r w:rsidRPr="00ED7F0F">
        <w:rPr>
          <w:i/>
        </w:rPr>
        <w:t>2. štúdia</w:t>
      </w:r>
    </w:p>
    <w:p w:rsidR="00AE6D42" w:rsidRPr="00ED7F0F" w:rsidRDefault="00AE6D42" w:rsidP="00122C9F">
      <w:pPr>
        <w:ind w:left="29"/>
      </w:pPr>
      <w:r w:rsidRPr="00ED7F0F">
        <w:t>V</w:t>
      </w:r>
      <w:r w:rsidR="00750AED" w:rsidRPr="00ED7F0F">
        <w:t> </w:t>
      </w:r>
      <w:r w:rsidRPr="00ED7F0F">
        <w:t>štúdii s</w:t>
      </w:r>
      <w:r w:rsidR="00750AED" w:rsidRPr="00ED7F0F">
        <w:t> </w:t>
      </w:r>
      <w:r w:rsidRPr="00ED7F0F">
        <w:t xml:space="preserve">pokročilou fázou CML a Ph+ ALL bola MaHR primárnym koncovým ukazovateľom. </w:t>
      </w:r>
      <w:r w:rsidR="002C42A7" w:rsidRPr="00ED7F0F">
        <w:t>Celkovo</w:t>
      </w:r>
      <w:r w:rsidRPr="00ED7F0F">
        <w:t xml:space="preserve"> 611</w:t>
      </w:r>
      <w:r w:rsidR="00750AED" w:rsidRPr="00ED7F0F">
        <w:t> </w:t>
      </w:r>
      <w:r w:rsidRPr="00ED7F0F">
        <w:t>pacientov</w:t>
      </w:r>
      <w:r w:rsidR="002C42A7" w:rsidRPr="00ED7F0F">
        <w:t xml:space="preserve"> bolo randomizovaných do</w:t>
      </w:r>
      <w:r w:rsidRPr="00ED7F0F">
        <w:t xml:space="preserve"> skup</w:t>
      </w:r>
      <w:r w:rsidR="002C42A7" w:rsidRPr="00ED7F0F">
        <w:t>ín</w:t>
      </w:r>
      <w:r w:rsidRPr="00ED7F0F">
        <w:t xml:space="preserve"> </w:t>
      </w:r>
      <w:r w:rsidR="002C42A7" w:rsidRPr="00ED7F0F">
        <w:t>s</w:t>
      </w:r>
      <w:r w:rsidRPr="00ED7F0F">
        <w:t xml:space="preserve"> dasatinibom</w:t>
      </w:r>
      <w:r w:rsidR="002C42A7" w:rsidRPr="00ED7F0F">
        <w:t xml:space="preserve"> podávaným</w:t>
      </w:r>
      <w:r w:rsidRPr="00ED7F0F">
        <w:t xml:space="preserve"> buď v</w:t>
      </w:r>
      <w:r w:rsidR="00750AED" w:rsidRPr="00ED7F0F">
        <w:t> </w:t>
      </w:r>
      <w:r w:rsidRPr="00ED7F0F">
        <w:t>dávke 140</w:t>
      </w:r>
      <w:r w:rsidR="00750AED" w:rsidRPr="00ED7F0F">
        <w:t> </w:t>
      </w:r>
      <w:r w:rsidRPr="00ED7F0F">
        <w:t>mg jedenkrát denne alebo 70</w:t>
      </w:r>
      <w:r w:rsidR="00750AED" w:rsidRPr="00ED7F0F">
        <w:t> </w:t>
      </w:r>
      <w:r w:rsidRPr="00ED7F0F">
        <w:t xml:space="preserve">mg dvakrát denne. Medián trvania liečby bol </w:t>
      </w:r>
      <w:r w:rsidR="002C42A7" w:rsidRPr="00ED7F0F">
        <w:t>približne</w:t>
      </w:r>
      <w:r w:rsidRPr="00ED7F0F">
        <w:t xml:space="preserve"> 6</w:t>
      </w:r>
      <w:r w:rsidR="00750AED" w:rsidRPr="00ED7F0F">
        <w:t> </w:t>
      </w:r>
      <w:r w:rsidRPr="00ED7F0F">
        <w:t>mesiacov (rozpätie 0,03 – 31</w:t>
      </w:r>
      <w:r w:rsidR="00750AED" w:rsidRPr="00ED7F0F">
        <w:t> </w:t>
      </w:r>
      <w:r w:rsidRPr="00ED7F0F">
        <w:t xml:space="preserve">mesiacov). </w:t>
      </w:r>
    </w:p>
    <w:p w:rsidR="00AE6D42" w:rsidRPr="00ED7F0F" w:rsidRDefault="00AE6D42" w:rsidP="00122C9F">
      <w:pPr>
        <w:spacing w:line="259" w:lineRule="auto"/>
        <w:ind w:left="34"/>
      </w:pPr>
    </w:p>
    <w:p w:rsidR="00AE6D42" w:rsidRPr="00ED7F0F" w:rsidRDefault="00AE6D42" w:rsidP="00122C9F">
      <w:pPr>
        <w:ind w:left="29"/>
      </w:pPr>
      <w:r w:rsidRPr="00ED7F0F">
        <w:t>Dávkovacia schéma jedenkrát denne p</w:t>
      </w:r>
      <w:r w:rsidR="002C42A7" w:rsidRPr="00ED7F0F">
        <w:t>re</w:t>
      </w:r>
      <w:r w:rsidRPr="00ED7F0F">
        <w:t>ukázala porovnateľnú účinnosť (nie horšiu) s</w:t>
      </w:r>
      <w:r w:rsidR="00750AED" w:rsidRPr="00ED7F0F">
        <w:t> </w:t>
      </w:r>
      <w:r w:rsidRPr="00ED7F0F">
        <w:t xml:space="preserve">dávkovacou schémou dvakrát denne </w:t>
      </w:r>
      <w:r w:rsidR="002C42A7" w:rsidRPr="00ED7F0F">
        <w:t xml:space="preserve">z hľadiska </w:t>
      </w:r>
      <w:r w:rsidRPr="00ED7F0F">
        <w:t>primárneho koncového ukazovateľa účinnosti (rozdiel v</w:t>
      </w:r>
      <w:r w:rsidR="00750AED" w:rsidRPr="00ED7F0F">
        <w:t> </w:t>
      </w:r>
      <w:r w:rsidRPr="00ED7F0F">
        <w:t>MaHR 0,8</w:t>
      </w:r>
      <w:r w:rsidR="00750AED" w:rsidRPr="00ED7F0F">
        <w:t> </w:t>
      </w:r>
      <w:r w:rsidRPr="00ED7F0F">
        <w:t>%, 95</w:t>
      </w:r>
      <w:r w:rsidR="00750AED" w:rsidRPr="00ED7F0F">
        <w:t> </w:t>
      </w:r>
      <w:r w:rsidRPr="00ED7F0F">
        <w:t>% interval spoľahlivosti [-7,1</w:t>
      </w:r>
      <w:r w:rsidR="00750AED" w:rsidRPr="00ED7F0F">
        <w:t> </w:t>
      </w:r>
      <w:r w:rsidRPr="00ED7F0F">
        <w:t>% – 8,7</w:t>
      </w:r>
      <w:r w:rsidR="00750AED" w:rsidRPr="00ED7F0F">
        <w:t> </w:t>
      </w:r>
      <w:r w:rsidRPr="00ED7F0F">
        <w:t>%]); dávkovacia schéma 140</w:t>
      </w:r>
      <w:r w:rsidR="00750AED" w:rsidRPr="00ED7F0F">
        <w:t> </w:t>
      </w:r>
      <w:r w:rsidRPr="00ED7F0F">
        <w:t>mg jedenkrát denne však potvrdila zlepšenie bezpečnosti a znášanlivosti.</w:t>
      </w:r>
      <w:r w:rsidR="00750AED" w:rsidRPr="00ED7F0F">
        <w:t xml:space="preserve"> </w:t>
      </w:r>
      <w:r w:rsidRPr="00ED7F0F">
        <w:t xml:space="preserve">Pomery odpovede sú uvedené v tabuľke </w:t>
      </w:r>
      <w:r w:rsidR="002C42A7" w:rsidRPr="00ED7F0F">
        <w:t>7</w:t>
      </w:r>
      <w:r w:rsidRPr="00ED7F0F">
        <w:t>.</w:t>
      </w:r>
    </w:p>
    <w:p w:rsidR="00AE6D42" w:rsidRPr="00ED7F0F" w:rsidRDefault="00AE6D42" w:rsidP="00122C9F">
      <w:pPr>
        <w:spacing w:line="259" w:lineRule="auto"/>
        <w:ind w:left="34"/>
      </w:pPr>
    </w:p>
    <w:p w:rsidR="00AE6D42" w:rsidRPr="00ED7F0F" w:rsidRDefault="00AE6D42" w:rsidP="00122C9F">
      <w:pPr>
        <w:tabs>
          <w:tab w:val="clear" w:pos="567"/>
        </w:tabs>
        <w:spacing w:line="240" w:lineRule="auto"/>
        <w:ind w:left="1418" w:hanging="1418"/>
        <w:jc w:val="both"/>
        <w:rPr>
          <w:b/>
          <w:szCs w:val="22"/>
          <w:lang w:eastAsia="en-GB" w:bidi="ar-SA"/>
        </w:rPr>
      </w:pPr>
      <w:r w:rsidRPr="00ED7F0F">
        <w:rPr>
          <w:b/>
          <w:szCs w:val="22"/>
          <w:lang w:eastAsia="en-GB" w:bidi="ar-SA"/>
        </w:rPr>
        <w:t xml:space="preserve">Tabuľka 14: </w:t>
      </w:r>
      <w:r w:rsidRPr="00ED7F0F">
        <w:rPr>
          <w:b/>
          <w:szCs w:val="22"/>
          <w:lang w:eastAsia="en-GB" w:bidi="ar-SA"/>
        </w:rPr>
        <w:tab/>
        <w:t xml:space="preserve">Účinnosť </w:t>
      </w:r>
      <w:r w:rsidR="00A60B14" w:rsidRPr="00ED7F0F">
        <w:rPr>
          <w:b/>
          <w:szCs w:val="22"/>
          <w:lang w:eastAsia="en-GB" w:bidi="ar-SA"/>
        </w:rPr>
        <w:t>dasatinibu</w:t>
      </w:r>
      <w:r w:rsidRPr="00ED7F0F">
        <w:rPr>
          <w:b/>
          <w:szCs w:val="22"/>
          <w:lang w:eastAsia="en-GB" w:bidi="ar-SA"/>
        </w:rPr>
        <w:t xml:space="preserve"> v</w:t>
      </w:r>
      <w:r w:rsidR="00A60B14" w:rsidRPr="00ED7F0F">
        <w:rPr>
          <w:b/>
          <w:szCs w:val="22"/>
          <w:lang w:eastAsia="en-GB" w:bidi="ar-SA"/>
        </w:rPr>
        <w:t> </w:t>
      </w:r>
      <w:r w:rsidRPr="00ED7F0F">
        <w:rPr>
          <w:b/>
          <w:szCs w:val="22"/>
          <w:lang w:eastAsia="en-GB" w:bidi="ar-SA"/>
        </w:rPr>
        <w:t xml:space="preserve">štúdii fázy III optimalizácie dávky: </w:t>
      </w:r>
      <w:r w:rsidR="00A5514E" w:rsidRPr="00ED7F0F">
        <w:rPr>
          <w:b/>
          <w:szCs w:val="22"/>
          <w:lang w:eastAsia="en-GB" w:bidi="ar-SA"/>
        </w:rPr>
        <w:t>p</w:t>
      </w:r>
      <w:r w:rsidRPr="00ED7F0F">
        <w:rPr>
          <w:b/>
          <w:szCs w:val="22"/>
          <w:lang w:eastAsia="en-GB" w:bidi="ar-SA"/>
        </w:rPr>
        <w:t>okročilá fáza CML a Ph+ ALL (výsledky</w:t>
      </w:r>
      <w:r w:rsidR="00A5514E" w:rsidRPr="00ED7F0F">
        <w:rPr>
          <w:b/>
          <w:szCs w:val="22"/>
          <w:lang w:eastAsia="en-GB" w:bidi="ar-SA"/>
        </w:rPr>
        <w:t xml:space="preserve"> po 2 rokoch</w:t>
      </w:r>
      <w:r w:rsidRPr="00ED7F0F">
        <w:rPr>
          <w:b/>
          <w:szCs w:val="22"/>
          <w:lang w:eastAsia="en-GB" w:bidi="ar-SA"/>
        </w:rPr>
        <w:t>)</w:t>
      </w:r>
      <w:r w:rsidRPr="00ED7F0F">
        <w:rPr>
          <w:b/>
          <w:szCs w:val="22"/>
          <w:vertAlign w:val="superscript"/>
          <w:lang w:eastAsia="en-GB" w:bidi="ar-SA"/>
        </w:rPr>
        <w:t>a</w:t>
      </w:r>
    </w:p>
    <w:tbl>
      <w:tblPr>
        <w:tblStyle w:val="TableGrid"/>
        <w:tblW w:w="8549" w:type="dxa"/>
        <w:jc w:val="center"/>
        <w:tblInd w:w="0" w:type="dxa"/>
        <w:tblCellMar>
          <w:top w:w="24" w:type="dxa"/>
          <w:bottom w:w="3" w:type="dxa"/>
          <w:right w:w="115" w:type="dxa"/>
        </w:tblCellMar>
        <w:tblLook w:val="04A0" w:firstRow="1" w:lastRow="0" w:firstColumn="1" w:lastColumn="0" w:noHBand="0" w:noVBand="1"/>
      </w:tblPr>
      <w:tblGrid>
        <w:gridCol w:w="1179"/>
        <w:gridCol w:w="1903"/>
        <w:gridCol w:w="2221"/>
        <w:gridCol w:w="1986"/>
        <w:gridCol w:w="1260"/>
      </w:tblGrid>
      <w:tr w:rsidR="00750AED" w:rsidRPr="00ED7F0F" w:rsidTr="00743943">
        <w:trPr>
          <w:trHeight w:val="489"/>
          <w:jc w:val="center"/>
        </w:trPr>
        <w:tc>
          <w:tcPr>
            <w:tcW w:w="1179" w:type="dxa"/>
            <w:tcBorders>
              <w:top w:val="single" w:sz="4" w:space="0" w:color="000000"/>
              <w:left w:val="single" w:sz="4" w:space="0" w:color="auto"/>
              <w:bottom w:val="nil"/>
              <w:right w:val="single" w:sz="4" w:space="0" w:color="auto"/>
            </w:tcBorders>
          </w:tcPr>
          <w:p w:rsidR="00750AED" w:rsidRPr="00ED7F0F" w:rsidRDefault="00750AED" w:rsidP="00122C9F">
            <w:pPr>
              <w:tabs>
                <w:tab w:val="clear" w:pos="567"/>
                <w:tab w:val="left" w:pos="650"/>
              </w:tabs>
              <w:spacing w:line="259" w:lineRule="auto"/>
              <w:ind w:left="170"/>
              <w:jc w:val="center"/>
              <w:rPr>
                <w:rFonts w:ascii="Times New Roman" w:hAnsi="Times New Roman" w:cs="Times New Roman"/>
                <w:b/>
                <w:sz w:val="20"/>
              </w:rPr>
            </w:pPr>
          </w:p>
        </w:tc>
        <w:tc>
          <w:tcPr>
            <w:tcW w:w="1903" w:type="dxa"/>
            <w:tcBorders>
              <w:top w:val="single" w:sz="4" w:space="0" w:color="000000"/>
              <w:left w:val="single" w:sz="4" w:space="0" w:color="auto"/>
              <w:bottom w:val="nil"/>
              <w:right w:val="single" w:sz="4" w:space="0" w:color="auto"/>
            </w:tcBorders>
          </w:tcPr>
          <w:p w:rsidR="00750AED" w:rsidRPr="00ED7F0F" w:rsidRDefault="00750AED" w:rsidP="00122C9F">
            <w:pPr>
              <w:tabs>
                <w:tab w:val="clear" w:pos="567"/>
                <w:tab w:val="left" w:pos="650"/>
              </w:tabs>
              <w:spacing w:line="259" w:lineRule="auto"/>
              <w:ind w:left="170"/>
              <w:jc w:val="center"/>
              <w:rPr>
                <w:rFonts w:ascii="Times New Roman" w:hAnsi="Times New Roman" w:cs="Times New Roman"/>
                <w:sz w:val="20"/>
              </w:rPr>
            </w:pPr>
            <w:r w:rsidRPr="00ED7F0F">
              <w:rPr>
                <w:rFonts w:ascii="Times New Roman" w:hAnsi="Times New Roman" w:cs="Times New Roman"/>
                <w:b/>
                <w:spacing w:val="-1"/>
                <w:sz w:val="20"/>
                <w:lang w:eastAsia="en-GB" w:bidi="ar-SA"/>
              </w:rPr>
              <w:t>Akcelerovaná fáza (n= 158)</w:t>
            </w:r>
          </w:p>
        </w:tc>
        <w:tc>
          <w:tcPr>
            <w:tcW w:w="2221" w:type="dxa"/>
            <w:tcBorders>
              <w:top w:val="single" w:sz="4" w:space="0" w:color="000000"/>
              <w:left w:val="single" w:sz="4" w:space="0" w:color="auto"/>
              <w:bottom w:val="nil"/>
              <w:right w:val="single" w:sz="4" w:space="0" w:color="auto"/>
            </w:tcBorders>
          </w:tcPr>
          <w:p w:rsidR="00750AED" w:rsidRPr="00ED7F0F" w:rsidRDefault="00750AED" w:rsidP="00122C9F">
            <w:pPr>
              <w:tabs>
                <w:tab w:val="clear" w:pos="567"/>
                <w:tab w:val="left" w:pos="650"/>
              </w:tabs>
              <w:spacing w:line="259" w:lineRule="auto"/>
              <w:ind w:left="170"/>
              <w:jc w:val="center"/>
              <w:rPr>
                <w:rFonts w:ascii="Times New Roman" w:hAnsi="Times New Roman" w:cs="Times New Roman"/>
                <w:sz w:val="20"/>
              </w:rPr>
            </w:pPr>
            <w:r w:rsidRPr="00ED7F0F">
              <w:rPr>
                <w:rFonts w:ascii="Times New Roman" w:hAnsi="Times New Roman" w:cs="Times New Roman"/>
                <w:b/>
                <w:spacing w:val="-1"/>
                <w:sz w:val="20"/>
                <w:lang w:eastAsia="en-GB" w:bidi="ar-SA"/>
              </w:rPr>
              <w:t>Myeloidná blastová fáza (n= 75)</w:t>
            </w:r>
          </w:p>
        </w:tc>
        <w:tc>
          <w:tcPr>
            <w:tcW w:w="1986" w:type="dxa"/>
            <w:tcBorders>
              <w:top w:val="single" w:sz="4" w:space="0" w:color="000000"/>
              <w:left w:val="single" w:sz="4" w:space="0" w:color="auto"/>
              <w:bottom w:val="nil"/>
              <w:right w:val="single" w:sz="4" w:space="0" w:color="auto"/>
            </w:tcBorders>
          </w:tcPr>
          <w:p w:rsidR="00750AED" w:rsidRPr="00ED7F0F" w:rsidRDefault="00750AED" w:rsidP="00122C9F">
            <w:pPr>
              <w:tabs>
                <w:tab w:val="clear" w:pos="567"/>
                <w:tab w:val="left" w:pos="650"/>
              </w:tabs>
              <w:spacing w:line="259" w:lineRule="auto"/>
              <w:ind w:left="170"/>
              <w:jc w:val="center"/>
              <w:rPr>
                <w:rFonts w:ascii="Times New Roman" w:hAnsi="Times New Roman" w:cs="Times New Roman"/>
                <w:b/>
                <w:spacing w:val="-1"/>
                <w:sz w:val="20"/>
                <w:lang w:eastAsia="en-GB" w:bidi="ar-SA"/>
              </w:rPr>
            </w:pPr>
            <w:r w:rsidRPr="00ED7F0F">
              <w:rPr>
                <w:rFonts w:ascii="Times New Roman" w:hAnsi="Times New Roman" w:cs="Times New Roman"/>
                <w:b/>
                <w:spacing w:val="-1"/>
                <w:sz w:val="20"/>
                <w:lang w:eastAsia="en-GB" w:bidi="ar-SA"/>
              </w:rPr>
              <w:t>Lymfoidná blastová fáza (n= 33)</w:t>
            </w:r>
          </w:p>
        </w:tc>
        <w:tc>
          <w:tcPr>
            <w:tcW w:w="1260" w:type="dxa"/>
            <w:tcBorders>
              <w:top w:val="single" w:sz="4" w:space="0" w:color="000000"/>
              <w:left w:val="single" w:sz="4" w:space="0" w:color="auto"/>
              <w:bottom w:val="nil"/>
              <w:right w:val="single" w:sz="4" w:space="0" w:color="auto"/>
            </w:tcBorders>
          </w:tcPr>
          <w:p w:rsidR="00750AED" w:rsidRPr="00ED7F0F" w:rsidRDefault="00750AED" w:rsidP="00122C9F">
            <w:pPr>
              <w:tabs>
                <w:tab w:val="clear" w:pos="567"/>
                <w:tab w:val="left" w:pos="650"/>
              </w:tabs>
              <w:spacing w:line="259" w:lineRule="auto"/>
              <w:ind w:left="170"/>
              <w:jc w:val="center"/>
              <w:rPr>
                <w:rFonts w:ascii="Times New Roman" w:hAnsi="Times New Roman" w:cs="Times New Roman"/>
                <w:b/>
                <w:spacing w:val="-1"/>
                <w:sz w:val="20"/>
                <w:lang w:eastAsia="en-GB" w:bidi="ar-SA"/>
              </w:rPr>
            </w:pPr>
            <w:r w:rsidRPr="00ED7F0F">
              <w:rPr>
                <w:rFonts w:ascii="Times New Roman" w:hAnsi="Times New Roman" w:cs="Times New Roman"/>
                <w:b/>
                <w:spacing w:val="-1"/>
                <w:sz w:val="20"/>
                <w:lang w:eastAsia="en-GB" w:bidi="ar-SA"/>
              </w:rPr>
              <w:t>Ph+ALL</w:t>
            </w:r>
          </w:p>
          <w:p w:rsidR="00750AED" w:rsidRPr="00ED7F0F" w:rsidRDefault="00750AED" w:rsidP="00122C9F">
            <w:pPr>
              <w:tabs>
                <w:tab w:val="clear" w:pos="567"/>
                <w:tab w:val="left" w:pos="650"/>
              </w:tabs>
              <w:spacing w:line="259" w:lineRule="auto"/>
              <w:ind w:left="170"/>
              <w:jc w:val="center"/>
              <w:rPr>
                <w:rFonts w:ascii="Times New Roman" w:hAnsi="Times New Roman" w:cs="Times New Roman"/>
                <w:sz w:val="20"/>
              </w:rPr>
            </w:pPr>
            <w:r w:rsidRPr="00ED7F0F">
              <w:rPr>
                <w:rFonts w:ascii="Times New Roman" w:hAnsi="Times New Roman" w:cs="Times New Roman"/>
                <w:b/>
                <w:spacing w:val="-1"/>
                <w:sz w:val="20"/>
                <w:lang w:eastAsia="en-GB" w:bidi="ar-SA"/>
              </w:rPr>
              <w:t>(n= 40</w:t>
            </w:r>
          </w:p>
        </w:tc>
      </w:tr>
      <w:tr w:rsidR="00AE6D42" w:rsidRPr="00ED7F0F" w:rsidTr="00743943">
        <w:trPr>
          <w:trHeight w:val="489"/>
          <w:jc w:val="center"/>
        </w:trPr>
        <w:tc>
          <w:tcPr>
            <w:tcW w:w="1179" w:type="dxa"/>
            <w:tcBorders>
              <w:top w:val="single" w:sz="4" w:space="0" w:color="000000"/>
              <w:left w:val="single" w:sz="4" w:space="0" w:color="auto"/>
              <w:bottom w:val="nil"/>
              <w:right w:val="single" w:sz="4" w:space="0" w:color="auto"/>
            </w:tcBorders>
          </w:tcPr>
          <w:p w:rsidR="00AE6D42" w:rsidRPr="00ED7F0F" w:rsidRDefault="00AE6D42" w:rsidP="00122C9F">
            <w:pPr>
              <w:spacing w:after="10" w:line="259" w:lineRule="auto"/>
              <w:ind w:left="115"/>
              <w:rPr>
                <w:rFonts w:ascii="Times New Roman" w:hAnsi="Times New Roman" w:cs="Times New Roman"/>
                <w:sz w:val="20"/>
                <w:szCs w:val="20"/>
              </w:rPr>
            </w:pPr>
            <w:r w:rsidRPr="00ED7F0F">
              <w:rPr>
                <w:rFonts w:ascii="Times New Roman" w:hAnsi="Times New Roman" w:cs="Times New Roman"/>
                <w:b/>
                <w:sz w:val="20"/>
              </w:rPr>
              <w:t>MaHR</w:t>
            </w:r>
            <w:r w:rsidRPr="00ED7F0F">
              <w:rPr>
                <w:rFonts w:ascii="Times New Roman" w:hAnsi="Times New Roman" w:cs="Times New Roman"/>
                <w:b/>
                <w:sz w:val="20"/>
                <w:vertAlign w:val="superscript"/>
              </w:rPr>
              <w:t>b</w:t>
            </w:r>
          </w:p>
          <w:p w:rsidR="00AE6D42" w:rsidRPr="00ED7F0F" w:rsidRDefault="00AE6D42" w:rsidP="00122C9F">
            <w:pPr>
              <w:spacing w:line="259" w:lineRule="auto"/>
              <w:ind w:left="115"/>
              <w:rPr>
                <w:rFonts w:ascii="Times New Roman" w:hAnsi="Times New Roman" w:cs="Times New Roman"/>
                <w:sz w:val="20"/>
                <w:szCs w:val="20"/>
              </w:rPr>
            </w:pPr>
            <w:r w:rsidRPr="00ED7F0F">
              <w:rPr>
                <w:rFonts w:ascii="Times New Roman" w:hAnsi="Times New Roman" w:cs="Times New Roman"/>
                <w:sz w:val="20"/>
              </w:rPr>
              <w:t xml:space="preserve">(95 % CI) </w:t>
            </w:r>
          </w:p>
        </w:tc>
        <w:tc>
          <w:tcPr>
            <w:tcW w:w="1903" w:type="dxa"/>
            <w:tcBorders>
              <w:top w:val="single" w:sz="4" w:space="0" w:color="000000"/>
              <w:left w:val="single" w:sz="4" w:space="0" w:color="auto"/>
              <w:bottom w:val="nil"/>
              <w:right w:val="single" w:sz="4" w:space="0" w:color="auto"/>
            </w:tcBorders>
          </w:tcPr>
          <w:p w:rsidR="00AE6D42" w:rsidRPr="00ED7F0F" w:rsidRDefault="00AE6D42" w:rsidP="00122C9F">
            <w:pPr>
              <w:tabs>
                <w:tab w:val="clear" w:pos="567"/>
              </w:tabs>
              <w:spacing w:line="240" w:lineRule="auto"/>
              <w:jc w:val="center"/>
              <w:rPr>
                <w:rFonts w:ascii="Times New Roman" w:hAnsi="Times New Roman" w:cs="Times New Roman"/>
                <w:spacing w:val="-1"/>
                <w:sz w:val="20"/>
                <w:lang w:eastAsia="en-GB" w:bidi="ar-SA"/>
              </w:rPr>
            </w:pPr>
            <w:r w:rsidRPr="00ED7F0F">
              <w:rPr>
                <w:rFonts w:ascii="Times New Roman" w:hAnsi="Times New Roman" w:cs="Times New Roman"/>
                <w:spacing w:val="-1"/>
                <w:sz w:val="20"/>
                <w:lang w:eastAsia="en-GB" w:bidi="ar-SA"/>
              </w:rPr>
              <w:t>66 %</w:t>
            </w:r>
          </w:p>
          <w:p w:rsidR="00AE6D42" w:rsidRPr="00ED7F0F" w:rsidRDefault="00AE6D42" w:rsidP="00122C9F">
            <w:pPr>
              <w:tabs>
                <w:tab w:val="clear" w:pos="567"/>
              </w:tabs>
              <w:spacing w:line="240" w:lineRule="auto"/>
              <w:jc w:val="center"/>
              <w:rPr>
                <w:rFonts w:ascii="Times New Roman" w:hAnsi="Times New Roman" w:cs="Times New Roman"/>
                <w:spacing w:val="-1"/>
                <w:sz w:val="20"/>
                <w:lang w:eastAsia="en-GB" w:bidi="ar-SA"/>
              </w:rPr>
            </w:pPr>
            <w:r w:rsidRPr="00ED7F0F">
              <w:rPr>
                <w:rFonts w:ascii="Times New Roman" w:hAnsi="Times New Roman" w:cs="Times New Roman"/>
                <w:spacing w:val="-1"/>
                <w:sz w:val="20"/>
                <w:lang w:eastAsia="en-GB" w:bidi="ar-SA"/>
              </w:rPr>
              <w:t xml:space="preserve">(59 – 74) </w:t>
            </w:r>
          </w:p>
        </w:tc>
        <w:tc>
          <w:tcPr>
            <w:tcW w:w="2221" w:type="dxa"/>
            <w:tcBorders>
              <w:top w:val="single" w:sz="4" w:space="0" w:color="000000"/>
              <w:left w:val="single" w:sz="4" w:space="0" w:color="auto"/>
              <w:bottom w:val="nil"/>
              <w:right w:val="single" w:sz="4" w:space="0" w:color="auto"/>
            </w:tcBorders>
          </w:tcPr>
          <w:p w:rsidR="00AE6D42" w:rsidRPr="00ED7F0F" w:rsidRDefault="00AE6D42" w:rsidP="00122C9F">
            <w:pPr>
              <w:tabs>
                <w:tab w:val="clear" w:pos="567"/>
              </w:tabs>
              <w:spacing w:line="240" w:lineRule="auto"/>
              <w:jc w:val="center"/>
              <w:rPr>
                <w:rFonts w:ascii="Times New Roman" w:hAnsi="Times New Roman" w:cs="Times New Roman"/>
                <w:spacing w:val="-1"/>
                <w:sz w:val="20"/>
                <w:lang w:eastAsia="en-GB" w:bidi="ar-SA"/>
              </w:rPr>
            </w:pPr>
            <w:r w:rsidRPr="00ED7F0F">
              <w:rPr>
                <w:rFonts w:ascii="Times New Roman" w:hAnsi="Times New Roman" w:cs="Times New Roman"/>
                <w:spacing w:val="-1"/>
                <w:sz w:val="20"/>
                <w:lang w:eastAsia="en-GB" w:bidi="ar-SA"/>
              </w:rPr>
              <w:t>28 %</w:t>
            </w:r>
          </w:p>
          <w:p w:rsidR="00AE6D42" w:rsidRPr="00ED7F0F" w:rsidRDefault="00AE6D42" w:rsidP="00122C9F">
            <w:pPr>
              <w:tabs>
                <w:tab w:val="clear" w:pos="567"/>
              </w:tabs>
              <w:spacing w:line="240" w:lineRule="auto"/>
              <w:jc w:val="center"/>
              <w:rPr>
                <w:rFonts w:ascii="Times New Roman" w:hAnsi="Times New Roman" w:cs="Times New Roman"/>
                <w:spacing w:val="-1"/>
                <w:sz w:val="20"/>
                <w:lang w:eastAsia="en-GB" w:bidi="ar-SA"/>
              </w:rPr>
            </w:pPr>
            <w:r w:rsidRPr="00ED7F0F">
              <w:rPr>
                <w:rFonts w:ascii="Times New Roman" w:hAnsi="Times New Roman" w:cs="Times New Roman"/>
                <w:spacing w:val="-1"/>
                <w:sz w:val="20"/>
                <w:lang w:eastAsia="en-GB" w:bidi="ar-SA"/>
              </w:rPr>
              <w:t xml:space="preserve">(18 – 40) </w:t>
            </w:r>
          </w:p>
        </w:tc>
        <w:tc>
          <w:tcPr>
            <w:tcW w:w="1986" w:type="dxa"/>
            <w:tcBorders>
              <w:top w:val="single" w:sz="4" w:space="0" w:color="000000"/>
              <w:left w:val="single" w:sz="4" w:space="0" w:color="auto"/>
              <w:bottom w:val="nil"/>
              <w:right w:val="single" w:sz="4" w:space="0" w:color="auto"/>
            </w:tcBorders>
          </w:tcPr>
          <w:p w:rsidR="00AE6D42" w:rsidRPr="00ED7F0F" w:rsidRDefault="00AE6D42" w:rsidP="00122C9F">
            <w:pPr>
              <w:tabs>
                <w:tab w:val="clear" w:pos="567"/>
              </w:tabs>
              <w:spacing w:line="240" w:lineRule="auto"/>
              <w:jc w:val="center"/>
              <w:rPr>
                <w:rFonts w:ascii="Times New Roman" w:hAnsi="Times New Roman" w:cs="Times New Roman"/>
                <w:spacing w:val="-1"/>
                <w:sz w:val="20"/>
                <w:lang w:eastAsia="en-GB" w:bidi="ar-SA"/>
              </w:rPr>
            </w:pPr>
            <w:r w:rsidRPr="00ED7F0F">
              <w:rPr>
                <w:rFonts w:ascii="Times New Roman" w:hAnsi="Times New Roman" w:cs="Times New Roman"/>
                <w:spacing w:val="-1"/>
                <w:sz w:val="20"/>
                <w:lang w:eastAsia="en-GB" w:bidi="ar-SA"/>
              </w:rPr>
              <w:t>42 %</w:t>
            </w:r>
          </w:p>
          <w:p w:rsidR="00AE6D42" w:rsidRPr="00ED7F0F" w:rsidRDefault="00AE6D42" w:rsidP="00122C9F">
            <w:pPr>
              <w:tabs>
                <w:tab w:val="clear" w:pos="567"/>
              </w:tabs>
              <w:spacing w:line="240" w:lineRule="auto"/>
              <w:jc w:val="center"/>
              <w:rPr>
                <w:rFonts w:ascii="Times New Roman" w:hAnsi="Times New Roman" w:cs="Times New Roman"/>
                <w:spacing w:val="-1"/>
                <w:sz w:val="20"/>
                <w:lang w:eastAsia="en-GB" w:bidi="ar-SA"/>
              </w:rPr>
            </w:pPr>
            <w:r w:rsidRPr="00ED7F0F">
              <w:rPr>
                <w:rFonts w:ascii="Times New Roman" w:hAnsi="Times New Roman" w:cs="Times New Roman"/>
                <w:spacing w:val="-1"/>
                <w:sz w:val="20"/>
                <w:lang w:eastAsia="en-GB" w:bidi="ar-SA"/>
              </w:rPr>
              <w:t>(26 – 61)</w:t>
            </w:r>
          </w:p>
        </w:tc>
        <w:tc>
          <w:tcPr>
            <w:tcW w:w="1260" w:type="dxa"/>
            <w:tcBorders>
              <w:top w:val="single" w:sz="4" w:space="0" w:color="000000"/>
              <w:left w:val="single" w:sz="4" w:space="0" w:color="auto"/>
              <w:bottom w:val="nil"/>
              <w:right w:val="single" w:sz="4" w:space="0" w:color="auto"/>
            </w:tcBorders>
          </w:tcPr>
          <w:p w:rsidR="00A60B14" w:rsidRPr="00ED7F0F" w:rsidRDefault="00AE6D42" w:rsidP="00122C9F">
            <w:pPr>
              <w:tabs>
                <w:tab w:val="clear" w:pos="567"/>
              </w:tabs>
              <w:spacing w:line="240" w:lineRule="auto"/>
              <w:jc w:val="center"/>
              <w:rPr>
                <w:rFonts w:ascii="Times New Roman" w:hAnsi="Times New Roman" w:cs="Times New Roman"/>
                <w:spacing w:val="-1"/>
                <w:sz w:val="20"/>
                <w:lang w:eastAsia="en-GB" w:bidi="ar-SA"/>
              </w:rPr>
            </w:pPr>
            <w:r w:rsidRPr="00ED7F0F">
              <w:rPr>
                <w:rFonts w:ascii="Times New Roman" w:hAnsi="Times New Roman" w:cs="Times New Roman"/>
                <w:spacing w:val="-1"/>
                <w:sz w:val="20"/>
                <w:lang w:eastAsia="en-GB" w:bidi="ar-SA"/>
              </w:rPr>
              <w:t>38 %</w:t>
            </w:r>
          </w:p>
          <w:p w:rsidR="00AE6D42" w:rsidRPr="00ED7F0F" w:rsidRDefault="00AE6D42" w:rsidP="00122C9F">
            <w:pPr>
              <w:tabs>
                <w:tab w:val="clear" w:pos="567"/>
              </w:tabs>
              <w:spacing w:line="240" w:lineRule="auto"/>
              <w:jc w:val="center"/>
              <w:rPr>
                <w:rFonts w:ascii="Times New Roman" w:hAnsi="Times New Roman" w:cs="Times New Roman"/>
                <w:spacing w:val="-1"/>
                <w:sz w:val="20"/>
                <w:lang w:eastAsia="en-GB" w:bidi="ar-SA"/>
              </w:rPr>
            </w:pPr>
            <w:r w:rsidRPr="00ED7F0F">
              <w:rPr>
                <w:rFonts w:ascii="Times New Roman" w:hAnsi="Times New Roman" w:cs="Times New Roman"/>
                <w:spacing w:val="-1"/>
                <w:sz w:val="20"/>
                <w:lang w:eastAsia="en-GB" w:bidi="ar-SA"/>
              </w:rPr>
              <w:t xml:space="preserve">(23 – 54) </w:t>
            </w:r>
          </w:p>
        </w:tc>
      </w:tr>
      <w:tr w:rsidR="00AE6D42" w:rsidRPr="00ED7F0F" w:rsidTr="00743943">
        <w:trPr>
          <w:trHeight w:val="476"/>
          <w:jc w:val="center"/>
        </w:trPr>
        <w:tc>
          <w:tcPr>
            <w:tcW w:w="1179" w:type="dxa"/>
            <w:tcBorders>
              <w:top w:val="nil"/>
              <w:left w:val="single" w:sz="4" w:space="0" w:color="auto"/>
              <w:bottom w:val="nil"/>
              <w:right w:val="single" w:sz="4" w:space="0" w:color="auto"/>
            </w:tcBorders>
          </w:tcPr>
          <w:p w:rsidR="00750AED" w:rsidRPr="00ED7F0F" w:rsidRDefault="00AE6D42" w:rsidP="00122C9F">
            <w:pPr>
              <w:spacing w:line="259" w:lineRule="auto"/>
              <w:ind w:left="115" w:firstLine="101"/>
              <w:rPr>
                <w:rFonts w:ascii="Times New Roman" w:hAnsi="Times New Roman" w:cs="Times New Roman"/>
                <w:sz w:val="20"/>
                <w:szCs w:val="20"/>
                <w:vertAlign w:val="superscript"/>
              </w:rPr>
            </w:pPr>
            <w:r w:rsidRPr="00ED7F0F">
              <w:rPr>
                <w:rFonts w:ascii="Times New Roman" w:hAnsi="Times New Roman" w:cs="Times New Roman"/>
                <w:sz w:val="20"/>
              </w:rPr>
              <w:t>CHR</w:t>
            </w:r>
            <w:r w:rsidRPr="00ED7F0F">
              <w:rPr>
                <w:rFonts w:ascii="Times New Roman" w:hAnsi="Times New Roman" w:cs="Times New Roman"/>
                <w:sz w:val="20"/>
                <w:vertAlign w:val="superscript"/>
              </w:rPr>
              <w:t>b</w:t>
            </w:r>
          </w:p>
          <w:p w:rsidR="00AE6D42" w:rsidRPr="00ED7F0F" w:rsidRDefault="00AE6D42" w:rsidP="00122C9F">
            <w:pPr>
              <w:spacing w:line="259" w:lineRule="auto"/>
              <w:ind w:left="115" w:firstLine="101"/>
              <w:rPr>
                <w:rFonts w:ascii="Times New Roman" w:hAnsi="Times New Roman" w:cs="Times New Roman"/>
                <w:sz w:val="20"/>
                <w:szCs w:val="20"/>
              </w:rPr>
            </w:pPr>
            <w:r w:rsidRPr="00ED7F0F">
              <w:rPr>
                <w:rFonts w:ascii="Times New Roman" w:hAnsi="Times New Roman" w:cs="Times New Roman"/>
                <w:sz w:val="20"/>
              </w:rPr>
              <w:t xml:space="preserve">(95 % CI) </w:t>
            </w:r>
          </w:p>
        </w:tc>
        <w:tc>
          <w:tcPr>
            <w:tcW w:w="1903" w:type="dxa"/>
            <w:tcBorders>
              <w:top w:val="nil"/>
              <w:left w:val="single" w:sz="4" w:space="0" w:color="auto"/>
              <w:bottom w:val="nil"/>
              <w:right w:val="single" w:sz="4" w:space="0" w:color="auto"/>
            </w:tcBorders>
          </w:tcPr>
          <w:p w:rsidR="00AE6D42" w:rsidRPr="00ED7F0F" w:rsidRDefault="00AE6D42" w:rsidP="00122C9F">
            <w:pPr>
              <w:tabs>
                <w:tab w:val="clear" w:pos="567"/>
              </w:tabs>
              <w:spacing w:line="240" w:lineRule="auto"/>
              <w:jc w:val="center"/>
              <w:rPr>
                <w:rFonts w:ascii="Times New Roman" w:hAnsi="Times New Roman" w:cs="Times New Roman"/>
                <w:spacing w:val="-1"/>
                <w:sz w:val="20"/>
                <w:lang w:eastAsia="en-GB" w:bidi="ar-SA"/>
              </w:rPr>
            </w:pPr>
            <w:r w:rsidRPr="00ED7F0F">
              <w:rPr>
                <w:rFonts w:ascii="Times New Roman" w:hAnsi="Times New Roman" w:cs="Times New Roman"/>
                <w:spacing w:val="-1"/>
                <w:sz w:val="20"/>
                <w:lang w:eastAsia="en-GB" w:bidi="ar-SA"/>
              </w:rPr>
              <w:t>47 %</w:t>
            </w:r>
          </w:p>
          <w:p w:rsidR="00AE6D42" w:rsidRPr="00ED7F0F" w:rsidRDefault="00AE6D42" w:rsidP="00122C9F">
            <w:pPr>
              <w:tabs>
                <w:tab w:val="clear" w:pos="567"/>
              </w:tabs>
              <w:spacing w:line="240" w:lineRule="auto"/>
              <w:ind w:left="439"/>
              <w:rPr>
                <w:rFonts w:ascii="Times New Roman" w:hAnsi="Times New Roman" w:cs="Times New Roman"/>
                <w:spacing w:val="-1"/>
                <w:sz w:val="20"/>
                <w:lang w:eastAsia="en-GB" w:bidi="ar-SA"/>
              </w:rPr>
            </w:pPr>
            <w:r w:rsidRPr="00ED7F0F">
              <w:rPr>
                <w:rFonts w:ascii="Times New Roman" w:hAnsi="Times New Roman" w:cs="Times New Roman"/>
                <w:spacing w:val="-1"/>
                <w:sz w:val="20"/>
                <w:lang w:eastAsia="en-GB" w:bidi="ar-SA"/>
              </w:rPr>
              <w:t xml:space="preserve">(40 – 56) </w:t>
            </w:r>
          </w:p>
        </w:tc>
        <w:tc>
          <w:tcPr>
            <w:tcW w:w="2221" w:type="dxa"/>
            <w:tcBorders>
              <w:top w:val="nil"/>
              <w:left w:val="single" w:sz="4" w:space="0" w:color="auto"/>
              <w:bottom w:val="nil"/>
              <w:right w:val="single" w:sz="4" w:space="0" w:color="auto"/>
            </w:tcBorders>
          </w:tcPr>
          <w:p w:rsidR="00AE6D42" w:rsidRPr="00ED7F0F" w:rsidRDefault="00AE6D42" w:rsidP="00122C9F">
            <w:pPr>
              <w:tabs>
                <w:tab w:val="clear" w:pos="567"/>
              </w:tabs>
              <w:spacing w:line="240" w:lineRule="auto"/>
              <w:jc w:val="center"/>
              <w:rPr>
                <w:rFonts w:ascii="Times New Roman" w:hAnsi="Times New Roman" w:cs="Times New Roman"/>
                <w:spacing w:val="-1"/>
                <w:sz w:val="20"/>
                <w:lang w:eastAsia="en-GB" w:bidi="ar-SA"/>
              </w:rPr>
            </w:pPr>
            <w:r w:rsidRPr="00ED7F0F">
              <w:rPr>
                <w:rFonts w:ascii="Times New Roman" w:hAnsi="Times New Roman" w:cs="Times New Roman"/>
                <w:spacing w:val="-1"/>
                <w:sz w:val="20"/>
                <w:lang w:eastAsia="en-GB" w:bidi="ar-SA"/>
              </w:rPr>
              <w:t>17 %</w:t>
            </w:r>
          </w:p>
          <w:p w:rsidR="00AE6D42" w:rsidRPr="00ED7F0F" w:rsidRDefault="00AE6D42" w:rsidP="00122C9F">
            <w:pPr>
              <w:tabs>
                <w:tab w:val="clear" w:pos="567"/>
              </w:tabs>
              <w:spacing w:line="240" w:lineRule="auto"/>
              <w:jc w:val="center"/>
              <w:rPr>
                <w:rFonts w:ascii="Times New Roman" w:hAnsi="Times New Roman" w:cs="Times New Roman"/>
                <w:spacing w:val="-1"/>
                <w:sz w:val="20"/>
                <w:lang w:eastAsia="en-GB" w:bidi="ar-SA"/>
              </w:rPr>
            </w:pPr>
            <w:r w:rsidRPr="00ED7F0F">
              <w:rPr>
                <w:rFonts w:ascii="Times New Roman" w:hAnsi="Times New Roman" w:cs="Times New Roman"/>
                <w:spacing w:val="-1"/>
                <w:sz w:val="20"/>
                <w:lang w:eastAsia="en-GB" w:bidi="ar-SA"/>
              </w:rPr>
              <w:t xml:space="preserve">(10 – 28) </w:t>
            </w:r>
          </w:p>
        </w:tc>
        <w:tc>
          <w:tcPr>
            <w:tcW w:w="1986" w:type="dxa"/>
            <w:tcBorders>
              <w:top w:val="nil"/>
              <w:left w:val="single" w:sz="4" w:space="0" w:color="auto"/>
              <w:bottom w:val="nil"/>
              <w:right w:val="single" w:sz="4" w:space="0" w:color="auto"/>
            </w:tcBorders>
          </w:tcPr>
          <w:p w:rsidR="00A60B14" w:rsidRPr="00ED7F0F" w:rsidRDefault="00AE6D42" w:rsidP="00122C9F">
            <w:pPr>
              <w:tabs>
                <w:tab w:val="clear" w:pos="567"/>
              </w:tabs>
              <w:spacing w:line="240" w:lineRule="auto"/>
              <w:jc w:val="center"/>
              <w:rPr>
                <w:rFonts w:ascii="Times New Roman" w:hAnsi="Times New Roman" w:cs="Times New Roman"/>
                <w:spacing w:val="-1"/>
                <w:sz w:val="20"/>
                <w:lang w:eastAsia="en-GB" w:bidi="ar-SA"/>
              </w:rPr>
            </w:pPr>
            <w:r w:rsidRPr="00ED7F0F">
              <w:rPr>
                <w:rFonts w:ascii="Times New Roman" w:hAnsi="Times New Roman" w:cs="Times New Roman"/>
                <w:spacing w:val="-1"/>
                <w:sz w:val="20"/>
                <w:lang w:eastAsia="en-GB" w:bidi="ar-SA"/>
              </w:rPr>
              <w:t>21 %</w:t>
            </w:r>
          </w:p>
          <w:p w:rsidR="00AE6D42" w:rsidRPr="00ED7F0F" w:rsidRDefault="00AE6D42" w:rsidP="00122C9F">
            <w:pPr>
              <w:tabs>
                <w:tab w:val="clear" w:pos="567"/>
              </w:tabs>
              <w:spacing w:line="240" w:lineRule="auto"/>
              <w:jc w:val="center"/>
              <w:rPr>
                <w:rFonts w:ascii="Times New Roman" w:hAnsi="Times New Roman" w:cs="Times New Roman"/>
                <w:spacing w:val="-1"/>
                <w:sz w:val="20"/>
                <w:lang w:eastAsia="en-GB" w:bidi="ar-SA"/>
              </w:rPr>
            </w:pPr>
            <w:r w:rsidRPr="00ED7F0F">
              <w:rPr>
                <w:rFonts w:ascii="Times New Roman" w:hAnsi="Times New Roman" w:cs="Times New Roman"/>
                <w:spacing w:val="-1"/>
                <w:sz w:val="20"/>
                <w:lang w:eastAsia="en-GB" w:bidi="ar-SA"/>
              </w:rPr>
              <w:t>(9 – 39)</w:t>
            </w:r>
          </w:p>
        </w:tc>
        <w:tc>
          <w:tcPr>
            <w:tcW w:w="1260" w:type="dxa"/>
            <w:tcBorders>
              <w:top w:val="nil"/>
              <w:left w:val="single" w:sz="4" w:space="0" w:color="auto"/>
              <w:bottom w:val="nil"/>
              <w:right w:val="single" w:sz="4" w:space="0" w:color="auto"/>
            </w:tcBorders>
          </w:tcPr>
          <w:p w:rsidR="00A60B14" w:rsidRPr="00ED7F0F" w:rsidRDefault="00AE6D42" w:rsidP="00122C9F">
            <w:pPr>
              <w:tabs>
                <w:tab w:val="clear" w:pos="567"/>
              </w:tabs>
              <w:spacing w:line="240" w:lineRule="auto"/>
              <w:jc w:val="center"/>
              <w:rPr>
                <w:rFonts w:ascii="Times New Roman" w:hAnsi="Times New Roman" w:cs="Times New Roman"/>
                <w:spacing w:val="-1"/>
                <w:sz w:val="20"/>
                <w:lang w:eastAsia="en-GB" w:bidi="ar-SA"/>
              </w:rPr>
            </w:pPr>
            <w:r w:rsidRPr="00ED7F0F">
              <w:rPr>
                <w:rFonts w:ascii="Times New Roman" w:hAnsi="Times New Roman" w:cs="Times New Roman"/>
                <w:spacing w:val="-1"/>
                <w:sz w:val="20"/>
                <w:lang w:eastAsia="en-GB" w:bidi="ar-SA"/>
              </w:rPr>
              <w:t>33 %</w:t>
            </w:r>
          </w:p>
          <w:p w:rsidR="00AE6D42" w:rsidRPr="00ED7F0F" w:rsidRDefault="00AE6D42" w:rsidP="00122C9F">
            <w:pPr>
              <w:tabs>
                <w:tab w:val="clear" w:pos="567"/>
              </w:tabs>
              <w:spacing w:line="240" w:lineRule="auto"/>
              <w:jc w:val="center"/>
              <w:rPr>
                <w:rFonts w:ascii="Times New Roman" w:hAnsi="Times New Roman" w:cs="Times New Roman"/>
                <w:spacing w:val="-1"/>
                <w:sz w:val="20"/>
                <w:lang w:eastAsia="en-GB" w:bidi="ar-SA"/>
              </w:rPr>
            </w:pPr>
            <w:r w:rsidRPr="00ED7F0F">
              <w:rPr>
                <w:rFonts w:ascii="Times New Roman" w:hAnsi="Times New Roman" w:cs="Times New Roman"/>
                <w:spacing w:val="-1"/>
                <w:sz w:val="20"/>
                <w:lang w:eastAsia="en-GB" w:bidi="ar-SA"/>
              </w:rPr>
              <w:t xml:space="preserve">(19 – 49) </w:t>
            </w:r>
          </w:p>
        </w:tc>
      </w:tr>
      <w:tr w:rsidR="00AE6D42" w:rsidRPr="00ED7F0F" w:rsidTr="00743943">
        <w:trPr>
          <w:trHeight w:val="473"/>
          <w:jc w:val="center"/>
        </w:trPr>
        <w:tc>
          <w:tcPr>
            <w:tcW w:w="1179" w:type="dxa"/>
            <w:tcBorders>
              <w:top w:val="nil"/>
              <w:left w:val="single" w:sz="4" w:space="0" w:color="auto"/>
              <w:bottom w:val="single" w:sz="3" w:space="0" w:color="000000"/>
              <w:right w:val="single" w:sz="4" w:space="0" w:color="auto"/>
            </w:tcBorders>
          </w:tcPr>
          <w:p w:rsidR="00AE6D42" w:rsidRPr="00ED7F0F" w:rsidRDefault="00AE6D42" w:rsidP="00122C9F">
            <w:pPr>
              <w:spacing w:after="18" w:line="259" w:lineRule="auto"/>
              <w:ind w:left="115"/>
              <w:rPr>
                <w:rFonts w:ascii="Times New Roman" w:hAnsi="Times New Roman" w:cs="Times New Roman"/>
                <w:sz w:val="20"/>
                <w:szCs w:val="20"/>
              </w:rPr>
            </w:pPr>
            <w:r w:rsidRPr="00ED7F0F">
              <w:rPr>
                <w:rFonts w:ascii="Times New Roman" w:hAnsi="Times New Roman" w:cs="Times New Roman"/>
                <w:sz w:val="20"/>
              </w:rPr>
              <w:t>NEL</w:t>
            </w:r>
            <w:r w:rsidRPr="00ED7F0F">
              <w:rPr>
                <w:rFonts w:ascii="Times New Roman" w:hAnsi="Times New Roman" w:cs="Times New Roman"/>
                <w:sz w:val="20"/>
                <w:vertAlign w:val="superscript"/>
              </w:rPr>
              <w:t>b</w:t>
            </w:r>
          </w:p>
          <w:p w:rsidR="00AE6D42" w:rsidRPr="00ED7F0F" w:rsidRDefault="00AE6D42" w:rsidP="00122C9F">
            <w:pPr>
              <w:spacing w:line="259" w:lineRule="auto"/>
              <w:ind w:left="115"/>
              <w:rPr>
                <w:rFonts w:ascii="Times New Roman" w:hAnsi="Times New Roman" w:cs="Times New Roman"/>
                <w:sz w:val="20"/>
                <w:szCs w:val="20"/>
              </w:rPr>
            </w:pPr>
            <w:r w:rsidRPr="00ED7F0F">
              <w:rPr>
                <w:rFonts w:ascii="Times New Roman" w:hAnsi="Times New Roman" w:cs="Times New Roman"/>
                <w:sz w:val="20"/>
              </w:rPr>
              <w:t>(95</w:t>
            </w:r>
            <w:r w:rsidR="00A60B14" w:rsidRPr="00ED7F0F">
              <w:rPr>
                <w:rFonts w:ascii="Times New Roman" w:hAnsi="Times New Roman" w:cs="Times New Roman"/>
                <w:sz w:val="20"/>
              </w:rPr>
              <w:t> </w:t>
            </w:r>
            <w:r w:rsidRPr="00ED7F0F">
              <w:rPr>
                <w:rFonts w:ascii="Times New Roman" w:hAnsi="Times New Roman" w:cs="Times New Roman"/>
                <w:sz w:val="20"/>
              </w:rPr>
              <w:t>%</w:t>
            </w:r>
            <w:r w:rsidR="00A60B14" w:rsidRPr="00ED7F0F">
              <w:rPr>
                <w:rFonts w:ascii="Times New Roman" w:hAnsi="Times New Roman" w:cs="Times New Roman"/>
              </w:rPr>
              <w:t> </w:t>
            </w:r>
            <w:r w:rsidRPr="00ED7F0F">
              <w:rPr>
                <w:rFonts w:ascii="Times New Roman" w:hAnsi="Times New Roman" w:cs="Times New Roman"/>
                <w:sz w:val="20"/>
              </w:rPr>
              <w:t xml:space="preserve">CI) </w:t>
            </w:r>
          </w:p>
        </w:tc>
        <w:tc>
          <w:tcPr>
            <w:tcW w:w="1903" w:type="dxa"/>
            <w:tcBorders>
              <w:top w:val="nil"/>
              <w:left w:val="single" w:sz="4" w:space="0" w:color="auto"/>
              <w:bottom w:val="single" w:sz="3" w:space="0" w:color="000000"/>
              <w:right w:val="single" w:sz="4" w:space="0" w:color="auto"/>
            </w:tcBorders>
          </w:tcPr>
          <w:p w:rsidR="00AE6D42" w:rsidRPr="00ED7F0F" w:rsidRDefault="00AE6D42" w:rsidP="00122C9F">
            <w:pPr>
              <w:tabs>
                <w:tab w:val="clear" w:pos="567"/>
              </w:tabs>
              <w:spacing w:line="240" w:lineRule="auto"/>
              <w:jc w:val="center"/>
              <w:rPr>
                <w:rFonts w:ascii="Times New Roman" w:hAnsi="Times New Roman" w:cs="Times New Roman"/>
                <w:spacing w:val="-1"/>
                <w:sz w:val="20"/>
                <w:lang w:eastAsia="en-GB" w:bidi="ar-SA"/>
              </w:rPr>
            </w:pPr>
            <w:r w:rsidRPr="00ED7F0F">
              <w:rPr>
                <w:rFonts w:ascii="Times New Roman" w:hAnsi="Times New Roman" w:cs="Times New Roman"/>
                <w:spacing w:val="-1"/>
                <w:sz w:val="20"/>
                <w:lang w:eastAsia="en-GB" w:bidi="ar-SA"/>
              </w:rPr>
              <w:t>19 %</w:t>
            </w:r>
          </w:p>
          <w:p w:rsidR="00AE6D42" w:rsidRPr="00ED7F0F" w:rsidRDefault="00AE6D42" w:rsidP="00122C9F">
            <w:pPr>
              <w:tabs>
                <w:tab w:val="clear" w:pos="567"/>
              </w:tabs>
              <w:spacing w:line="240" w:lineRule="auto"/>
              <w:ind w:left="439"/>
              <w:rPr>
                <w:rFonts w:ascii="Times New Roman" w:hAnsi="Times New Roman" w:cs="Times New Roman"/>
                <w:spacing w:val="-1"/>
                <w:sz w:val="20"/>
                <w:lang w:eastAsia="en-GB" w:bidi="ar-SA"/>
              </w:rPr>
            </w:pPr>
            <w:r w:rsidRPr="00ED7F0F">
              <w:rPr>
                <w:rFonts w:ascii="Times New Roman" w:hAnsi="Times New Roman" w:cs="Times New Roman"/>
                <w:spacing w:val="-1"/>
                <w:sz w:val="20"/>
                <w:lang w:eastAsia="en-GB" w:bidi="ar-SA"/>
              </w:rPr>
              <w:t>(13 – 26)</w:t>
            </w:r>
          </w:p>
        </w:tc>
        <w:tc>
          <w:tcPr>
            <w:tcW w:w="2221" w:type="dxa"/>
            <w:tcBorders>
              <w:top w:val="nil"/>
              <w:left w:val="single" w:sz="4" w:space="0" w:color="auto"/>
              <w:bottom w:val="single" w:sz="3" w:space="0" w:color="000000"/>
              <w:right w:val="single" w:sz="4" w:space="0" w:color="auto"/>
            </w:tcBorders>
          </w:tcPr>
          <w:p w:rsidR="00A60B14" w:rsidRPr="00ED7F0F" w:rsidRDefault="00AE6D42" w:rsidP="00122C9F">
            <w:pPr>
              <w:tabs>
                <w:tab w:val="clear" w:pos="567"/>
              </w:tabs>
              <w:spacing w:line="240" w:lineRule="auto"/>
              <w:jc w:val="center"/>
              <w:rPr>
                <w:rFonts w:ascii="Times New Roman" w:hAnsi="Times New Roman" w:cs="Times New Roman"/>
                <w:spacing w:val="-1"/>
                <w:sz w:val="20"/>
                <w:lang w:eastAsia="en-GB" w:bidi="ar-SA"/>
              </w:rPr>
            </w:pPr>
            <w:r w:rsidRPr="00ED7F0F">
              <w:rPr>
                <w:rFonts w:ascii="Times New Roman" w:hAnsi="Times New Roman" w:cs="Times New Roman"/>
                <w:spacing w:val="-1"/>
                <w:sz w:val="20"/>
                <w:lang w:eastAsia="en-GB" w:bidi="ar-SA"/>
              </w:rPr>
              <w:t>11 %</w:t>
            </w:r>
          </w:p>
          <w:p w:rsidR="00AE6D42" w:rsidRPr="00ED7F0F" w:rsidRDefault="00AE6D42" w:rsidP="00122C9F">
            <w:pPr>
              <w:tabs>
                <w:tab w:val="clear" w:pos="567"/>
              </w:tabs>
              <w:spacing w:line="240" w:lineRule="auto"/>
              <w:jc w:val="center"/>
              <w:rPr>
                <w:rFonts w:ascii="Times New Roman" w:hAnsi="Times New Roman" w:cs="Times New Roman"/>
                <w:spacing w:val="-1"/>
                <w:sz w:val="20"/>
                <w:lang w:eastAsia="en-GB" w:bidi="ar-SA"/>
              </w:rPr>
            </w:pPr>
            <w:r w:rsidRPr="00ED7F0F">
              <w:rPr>
                <w:rFonts w:ascii="Times New Roman" w:hAnsi="Times New Roman" w:cs="Times New Roman"/>
                <w:spacing w:val="-1"/>
                <w:sz w:val="20"/>
                <w:lang w:eastAsia="en-GB" w:bidi="ar-SA"/>
              </w:rPr>
              <w:t xml:space="preserve">(5 – 20) </w:t>
            </w:r>
          </w:p>
        </w:tc>
        <w:tc>
          <w:tcPr>
            <w:tcW w:w="1986" w:type="dxa"/>
            <w:tcBorders>
              <w:top w:val="nil"/>
              <w:left w:val="single" w:sz="4" w:space="0" w:color="auto"/>
              <w:bottom w:val="single" w:sz="3" w:space="0" w:color="000000"/>
              <w:right w:val="single" w:sz="4" w:space="0" w:color="auto"/>
            </w:tcBorders>
          </w:tcPr>
          <w:p w:rsidR="00A60B14" w:rsidRPr="00ED7F0F" w:rsidRDefault="00AE6D42" w:rsidP="00122C9F">
            <w:pPr>
              <w:tabs>
                <w:tab w:val="clear" w:pos="567"/>
              </w:tabs>
              <w:spacing w:line="240" w:lineRule="auto"/>
              <w:jc w:val="center"/>
              <w:rPr>
                <w:rFonts w:ascii="Times New Roman" w:hAnsi="Times New Roman" w:cs="Times New Roman"/>
                <w:spacing w:val="-1"/>
                <w:sz w:val="20"/>
                <w:lang w:eastAsia="en-GB" w:bidi="ar-SA"/>
              </w:rPr>
            </w:pPr>
            <w:r w:rsidRPr="00ED7F0F">
              <w:rPr>
                <w:rFonts w:ascii="Times New Roman" w:hAnsi="Times New Roman" w:cs="Times New Roman"/>
                <w:spacing w:val="-1"/>
                <w:sz w:val="20"/>
                <w:lang w:eastAsia="en-GB" w:bidi="ar-SA"/>
              </w:rPr>
              <w:t>21 %</w:t>
            </w:r>
          </w:p>
          <w:p w:rsidR="00AE6D42" w:rsidRPr="00ED7F0F" w:rsidRDefault="00AE6D42" w:rsidP="00122C9F">
            <w:pPr>
              <w:tabs>
                <w:tab w:val="clear" w:pos="567"/>
              </w:tabs>
              <w:spacing w:line="240" w:lineRule="auto"/>
              <w:jc w:val="center"/>
              <w:rPr>
                <w:rFonts w:ascii="Times New Roman" w:hAnsi="Times New Roman" w:cs="Times New Roman"/>
                <w:spacing w:val="-1"/>
                <w:sz w:val="20"/>
                <w:lang w:eastAsia="en-GB" w:bidi="ar-SA"/>
              </w:rPr>
            </w:pPr>
            <w:r w:rsidRPr="00ED7F0F">
              <w:rPr>
                <w:rFonts w:ascii="Times New Roman" w:hAnsi="Times New Roman" w:cs="Times New Roman"/>
                <w:spacing w:val="-1"/>
                <w:sz w:val="20"/>
                <w:lang w:eastAsia="en-GB" w:bidi="ar-SA"/>
              </w:rPr>
              <w:t>(9 – 39)</w:t>
            </w:r>
          </w:p>
        </w:tc>
        <w:tc>
          <w:tcPr>
            <w:tcW w:w="1260" w:type="dxa"/>
            <w:tcBorders>
              <w:top w:val="nil"/>
              <w:left w:val="single" w:sz="4" w:space="0" w:color="auto"/>
              <w:bottom w:val="single" w:sz="3" w:space="0" w:color="000000"/>
              <w:right w:val="single" w:sz="4" w:space="0" w:color="auto"/>
            </w:tcBorders>
          </w:tcPr>
          <w:p w:rsidR="00A60B14" w:rsidRPr="00ED7F0F" w:rsidRDefault="00AE6D42" w:rsidP="00122C9F">
            <w:pPr>
              <w:tabs>
                <w:tab w:val="clear" w:pos="567"/>
              </w:tabs>
              <w:spacing w:line="240" w:lineRule="auto"/>
              <w:jc w:val="center"/>
              <w:rPr>
                <w:rFonts w:ascii="Times New Roman" w:hAnsi="Times New Roman" w:cs="Times New Roman"/>
                <w:spacing w:val="-1"/>
                <w:sz w:val="20"/>
                <w:lang w:eastAsia="en-GB" w:bidi="ar-SA"/>
              </w:rPr>
            </w:pPr>
            <w:r w:rsidRPr="00ED7F0F">
              <w:rPr>
                <w:rFonts w:ascii="Times New Roman" w:hAnsi="Times New Roman" w:cs="Times New Roman"/>
                <w:spacing w:val="-1"/>
                <w:sz w:val="20"/>
                <w:lang w:eastAsia="en-GB" w:bidi="ar-SA"/>
              </w:rPr>
              <w:t>5 %</w:t>
            </w:r>
          </w:p>
          <w:p w:rsidR="00AE6D42" w:rsidRPr="00ED7F0F" w:rsidRDefault="00AE6D42" w:rsidP="00122C9F">
            <w:pPr>
              <w:tabs>
                <w:tab w:val="clear" w:pos="567"/>
              </w:tabs>
              <w:spacing w:line="240" w:lineRule="auto"/>
              <w:jc w:val="center"/>
              <w:rPr>
                <w:rFonts w:ascii="Times New Roman" w:hAnsi="Times New Roman" w:cs="Times New Roman"/>
                <w:spacing w:val="-1"/>
                <w:sz w:val="20"/>
                <w:lang w:eastAsia="en-GB" w:bidi="ar-SA"/>
              </w:rPr>
            </w:pPr>
            <w:r w:rsidRPr="00ED7F0F">
              <w:rPr>
                <w:rFonts w:ascii="Times New Roman" w:hAnsi="Times New Roman" w:cs="Times New Roman"/>
                <w:spacing w:val="-1"/>
                <w:sz w:val="20"/>
                <w:lang w:eastAsia="en-GB" w:bidi="ar-SA"/>
              </w:rPr>
              <w:t xml:space="preserve">(1 – 17) </w:t>
            </w:r>
          </w:p>
        </w:tc>
      </w:tr>
      <w:tr w:rsidR="00AE6D42" w:rsidRPr="00ED7F0F" w:rsidTr="00743943">
        <w:trPr>
          <w:trHeight w:val="505"/>
          <w:jc w:val="center"/>
        </w:trPr>
        <w:tc>
          <w:tcPr>
            <w:tcW w:w="1179" w:type="dxa"/>
            <w:tcBorders>
              <w:top w:val="single" w:sz="3" w:space="0" w:color="000000"/>
              <w:left w:val="single" w:sz="4" w:space="0" w:color="auto"/>
              <w:bottom w:val="nil"/>
              <w:right w:val="single" w:sz="4" w:space="0" w:color="auto"/>
            </w:tcBorders>
          </w:tcPr>
          <w:p w:rsidR="00AE6D42" w:rsidRPr="00ED7F0F" w:rsidRDefault="00AE6D42" w:rsidP="00122C9F">
            <w:pPr>
              <w:spacing w:after="11" w:line="259" w:lineRule="auto"/>
              <w:ind w:left="115"/>
              <w:rPr>
                <w:rFonts w:ascii="Times New Roman" w:hAnsi="Times New Roman" w:cs="Times New Roman"/>
                <w:sz w:val="20"/>
                <w:szCs w:val="20"/>
              </w:rPr>
            </w:pPr>
            <w:r w:rsidRPr="00ED7F0F">
              <w:rPr>
                <w:rFonts w:ascii="Times New Roman" w:hAnsi="Times New Roman" w:cs="Times New Roman"/>
                <w:b/>
                <w:sz w:val="20"/>
              </w:rPr>
              <w:t>MCyR</w:t>
            </w:r>
            <w:r w:rsidRPr="00ED7F0F">
              <w:rPr>
                <w:rFonts w:ascii="Times New Roman" w:hAnsi="Times New Roman" w:cs="Times New Roman"/>
                <w:b/>
                <w:sz w:val="20"/>
                <w:vertAlign w:val="superscript"/>
              </w:rPr>
              <w:t>c</w:t>
            </w:r>
          </w:p>
          <w:p w:rsidR="00AE6D42" w:rsidRPr="00ED7F0F" w:rsidRDefault="00AE6D42" w:rsidP="00122C9F">
            <w:pPr>
              <w:spacing w:line="259" w:lineRule="auto"/>
              <w:ind w:left="115"/>
              <w:rPr>
                <w:rFonts w:ascii="Times New Roman" w:hAnsi="Times New Roman" w:cs="Times New Roman"/>
                <w:sz w:val="20"/>
                <w:szCs w:val="20"/>
              </w:rPr>
            </w:pPr>
            <w:r w:rsidRPr="00ED7F0F">
              <w:rPr>
                <w:rFonts w:ascii="Times New Roman" w:hAnsi="Times New Roman" w:cs="Times New Roman"/>
                <w:sz w:val="20"/>
              </w:rPr>
              <w:t>(95</w:t>
            </w:r>
            <w:r w:rsidR="00A60B14" w:rsidRPr="00ED7F0F">
              <w:rPr>
                <w:rFonts w:ascii="Times New Roman" w:hAnsi="Times New Roman" w:cs="Times New Roman"/>
                <w:sz w:val="20"/>
              </w:rPr>
              <w:t> </w:t>
            </w:r>
            <w:r w:rsidRPr="00ED7F0F">
              <w:rPr>
                <w:rFonts w:ascii="Times New Roman" w:hAnsi="Times New Roman" w:cs="Times New Roman"/>
                <w:sz w:val="20"/>
              </w:rPr>
              <w:t>%</w:t>
            </w:r>
            <w:r w:rsidR="00A60B14" w:rsidRPr="00ED7F0F">
              <w:rPr>
                <w:rFonts w:ascii="Times New Roman" w:hAnsi="Times New Roman" w:cs="Times New Roman"/>
                <w:sz w:val="20"/>
              </w:rPr>
              <w:t> </w:t>
            </w:r>
            <w:r w:rsidRPr="00ED7F0F">
              <w:rPr>
                <w:rFonts w:ascii="Times New Roman" w:hAnsi="Times New Roman" w:cs="Times New Roman"/>
                <w:sz w:val="20"/>
              </w:rPr>
              <w:t>CI)</w:t>
            </w:r>
          </w:p>
        </w:tc>
        <w:tc>
          <w:tcPr>
            <w:tcW w:w="1903" w:type="dxa"/>
            <w:tcBorders>
              <w:top w:val="single" w:sz="3" w:space="0" w:color="000000"/>
              <w:left w:val="single" w:sz="4" w:space="0" w:color="auto"/>
              <w:bottom w:val="nil"/>
              <w:right w:val="single" w:sz="4" w:space="0" w:color="auto"/>
            </w:tcBorders>
          </w:tcPr>
          <w:p w:rsidR="00A60B14" w:rsidRPr="00ED7F0F" w:rsidRDefault="00AE6D42" w:rsidP="00122C9F">
            <w:pPr>
              <w:tabs>
                <w:tab w:val="clear" w:pos="567"/>
              </w:tabs>
              <w:spacing w:line="240" w:lineRule="auto"/>
              <w:jc w:val="center"/>
              <w:rPr>
                <w:rFonts w:ascii="Times New Roman" w:hAnsi="Times New Roman" w:cs="Times New Roman"/>
                <w:spacing w:val="-1"/>
                <w:sz w:val="20"/>
                <w:lang w:eastAsia="en-GB" w:bidi="ar-SA"/>
              </w:rPr>
            </w:pPr>
            <w:r w:rsidRPr="00ED7F0F">
              <w:rPr>
                <w:rFonts w:ascii="Times New Roman" w:hAnsi="Times New Roman" w:cs="Times New Roman"/>
                <w:spacing w:val="-1"/>
                <w:sz w:val="20"/>
                <w:lang w:eastAsia="en-GB" w:bidi="ar-SA"/>
              </w:rPr>
              <w:t>39%</w:t>
            </w:r>
          </w:p>
          <w:p w:rsidR="00AE6D42" w:rsidRPr="00ED7F0F" w:rsidRDefault="00AE6D42" w:rsidP="00122C9F">
            <w:pPr>
              <w:spacing w:line="240" w:lineRule="auto"/>
              <w:jc w:val="center"/>
              <w:rPr>
                <w:rFonts w:ascii="Times New Roman" w:hAnsi="Times New Roman" w:cs="Times New Roman"/>
                <w:spacing w:val="-1"/>
                <w:sz w:val="20"/>
                <w:lang w:eastAsia="en-GB" w:bidi="ar-SA"/>
              </w:rPr>
            </w:pPr>
            <w:r w:rsidRPr="00ED7F0F">
              <w:rPr>
                <w:rFonts w:ascii="Times New Roman" w:hAnsi="Times New Roman" w:cs="Times New Roman"/>
                <w:spacing w:val="-1"/>
                <w:sz w:val="20"/>
                <w:lang w:eastAsia="en-GB" w:bidi="ar-SA"/>
              </w:rPr>
              <w:t>(31 – 47)</w:t>
            </w:r>
          </w:p>
        </w:tc>
        <w:tc>
          <w:tcPr>
            <w:tcW w:w="2221" w:type="dxa"/>
            <w:tcBorders>
              <w:top w:val="single" w:sz="3" w:space="0" w:color="000000"/>
              <w:left w:val="single" w:sz="4" w:space="0" w:color="auto"/>
              <w:bottom w:val="nil"/>
              <w:right w:val="single" w:sz="4" w:space="0" w:color="auto"/>
            </w:tcBorders>
          </w:tcPr>
          <w:p w:rsidR="00AE6D42" w:rsidRPr="00ED7F0F" w:rsidRDefault="00AE6D42" w:rsidP="00122C9F">
            <w:pPr>
              <w:tabs>
                <w:tab w:val="clear" w:pos="567"/>
              </w:tabs>
              <w:spacing w:line="240" w:lineRule="auto"/>
              <w:jc w:val="center"/>
              <w:rPr>
                <w:rFonts w:ascii="Times New Roman" w:hAnsi="Times New Roman" w:cs="Times New Roman"/>
                <w:spacing w:val="-1"/>
                <w:sz w:val="20"/>
                <w:lang w:eastAsia="en-GB" w:bidi="ar-SA"/>
              </w:rPr>
            </w:pPr>
            <w:r w:rsidRPr="00ED7F0F">
              <w:rPr>
                <w:rFonts w:ascii="Times New Roman" w:hAnsi="Times New Roman" w:cs="Times New Roman"/>
                <w:spacing w:val="-1"/>
                <w:sz w:val="20"/>
                <w:lang w:eastAsia="en-GB" w:bidi="ar-SA"/>
              </w:rPr>
              <w:t>28%</w:t>
            </w:r>
          </w:p>
          <w:p w:rsidR="00AE6D42" w:rsidRPr="00ED7F0F" w:rsidRDefault="00AE6D42" w:rsidP="00122C9F">
            <w:pPr>
              <w:tabs>
                <w:tab w:val="clear" w:pos="567"/>
              </w:tabs>
              <w:spacing w:line="240" w:lineRule="auto"/>
              <w:jc w:val="center"/>
              <w:rPr>
                <w:rFonts w:ascii="Times New Roman" w:hAnsi="Times New Roman" w:cs="Times New Roman"/>
                <w:spacing w:val="-1"/>
                <w:sz w:val="20"/>
                <w:lang w:eastAsia="en-GB" w:bidi="ar-SA"/>
              </w:rPr>
            </w:pPr>
            <w:r w:rsidRPr="00ED7F0F">
              <w:rPr>
                <w:rFonts w:ascii="Times New Roman" w:hAnsi="Times New Roman" w:cs="Times New Roman"/>
                <w:spacing w:val="-1"/>
                <w:sz w:val="20"/>
                <w:lang w:eastAsia="en-GB" w:bidi="ar-SA"/>
              </w:rPr>
              <w:t>(18 – 40)</w:t>
            </w:r>
          </w:p>
        </w:tc>
        <w:tc>
          <w:tcPr>
            <w:tcW w:w="1986" w:type="dxa"/>
            <w:tcBorders>
              <w:top w:val="single" w:sz="3" w:space="0" w:color="000000"/>
              <w:left w:val="single" w:sz="4" w:space="0" w:color="auto"/>
              <w:bottom w:val="nil"/>
              <w:right w:val="single" w:sz="4" w:space="0" w:color="auto"/>
            </w:tcBorders>
          </w:tcPr>
          <w:p w:rsidR="00AE6D42" w:rsidRPr="00ED7F0F" w:rsidRDefault="00AE6D42" w:rsidP="00122C9F">
            <w:pPr>
              <w:tabs>
                <w:tab w:val="clear" w:pos="567"/>
              </w:tabs>
              <w:spacing w:line="240" w:lineRule="auto"/>
              <w:jc w:val="center"/>
              <w:rPr>
                <w:rFonts w:ascii="Times New Roman" w:hAnsi="Times New Roman" w:cs="Times New Roman"/>
                <w:spacing w:val="-1"/>
                <w:sz w:val="20"/>
                <w:lang w:eastAsia="en-GB" w:bidi="ar-SA"/>
              </w:rPr>
            </w:pPr>
            <w:r w:rsidRPr="00ED7F0F">
              <w:rPr>
                <w:rFonts w:ascii="Times New Roman" w:hAnsi="Times New Roman" w:cs="Times New Roman"/>
                <w:spacing w:val="-1"/>
                <w:sz w:val="20"/>
                <w:lang w:eastAsia="en-GB" w:bidi="ar-SA"/>
              </w:rPr>
              <w:t>52%</w:t>
            </w:r>
          </w:p>
          <w:p w:rsidR="00AE6D42" w:rsidRPr="00ED7F0F" w:rsidRDefault="00AE6D42" w:rsidP="00122C9F">
            <w:pPr>
              <w:tabs>
                <w:tab w:val="clear" w:pos="567"/>
              </w:tabs>
              <w:spacing w:line="240" w:lineRule="auto"/>
              <w:jc w:val="center"/>
              <w:rPr>
                <w:rFonts w:ascii="Times New Roman" w:hAnsi="Times New Roman" w:cs="Times New Roman"/>
                <w:spacing w:val="-1"/>
                <w:sz w:val="20"/>
                <w:lang w:eastAsia="en-GB" w:bidi="ar-SA"/>
              </w:rPr>
            </w:pPr>
            <w:r w:rsidRPr="00ED7F0F">
              <w:rPr>
                <w:rFonts w:ascii="Times New Roman" w:hAnsi="Times New Roman" w:cs="Times New Roman"/>
                <w:spacing w:val="-1"/>
                <w:sz w:val="20"/>
                <w:lang w:eastAsia="en-GB" w:bidi="ar-SA"/>
              </w:rPr>
              <w:t>(34 – 69)</w:t>
            </w:r>
          </w:p>
        </w:tc>
        <w:tc>
          <w:tcPr>
            <w:tcW w:w="1260" w:type="dxa"/>
            <w:tcBorders>
              <w:top w:val="single" w:sz="3" w:space="0" w:color="000000"/>
              <w:left w:val="single" w:sz="4" w:space="0" w:color="auto"/>
              <w:bottom w:val="nil"/>
              <w:right w:val="single" w:sz="4" w:space="0" w:color="auto"/>
            </w:tcBorders>
          </w:tcPr>
          <w:p w:rsidR="00AE6D42" w:rsidRPr="00ED7F0F" w:rsidRDefault="00AE6D42" w:rsidP="00122C9F">
            <w:pPr>
              <w:tabs>
                <w:tab w:val="clear" w:pos="567"/>
              </w:tabs>
              <w:spacing w:line="240" w:lineRule="auto"/>
              <w:jc w:val="center"/>
              <w:rPr>
                <w:rFonts w:ascii="Times New Roman" w:hAnsi="Times New Roman" w:cs="Times New Roman"/>
                <w:spacing w:val="-1"/>
                <w:sz w:val="20"/>
                <w:lang w:eastAsia="en-GB" w:bidi="ar-SA"/>
              </w:rPr>
            </w:pPr>
            <w:r w:rsidRPr="00ED7F0F">
              <w:rPr>
                <w:rFonts w:ascii="Times New Roman" w:hAnsi="Times New Roman" w:cs="Times New Roman"/>
                <w:spacing w:val="-1"/>
                <w:sz w:val="20"/>
                <w:lang w:eastAsia="en-GB" w:bidi="ar-SA"/>
              </w:rPr>
              <w:t>70%</w:t>
            </w:r>
          </w:p>
          <w:p w:rsidR="00AE6D42" w:rsidRPr="00ED7F0F" w:rsidRDefault="00AE6D42" w:rsidP="00122C9F">
            <w:pPr>
              <w:tabs>
                <w:tab w:val="clear" w:pos="567"/>
                <w:tab w:val="left" w:pos="1074"/>
              </w:tabs>
              <w:spacing w:line="240" w:lineRule="auto"/>
              <w:jc w:val="center"/>
              <w:rPr>
                <w:rFonts w:ascii="Times New Roman" w:hAnsi="Times New Roman" w:cs="Times New Roman"/>
                <w:spacing w:val="-1"/>
                <w:sz w:val="20"/>
                <w:lang w:eastAsia="en-GB" w:bidi="ar-SA"/>
              </w:rPr>
            </w:pPr>
            <w:r w:rsidRPr="00ED7F0F">
              <w:rPr>
                <w:rFonts w:ascii="Times New Roman" w:hAnsi="Times New Roman" w:cs="Times New Roman"/>
                <w:spacing w:val="-1"/>
                <w:sz w:val="20"/>
                <w:lang w:eastAsia="en-GB" w:bidi="ar-SA"/>
              </w:rPr>
              <w:t>(54 – 83)</w:t>
            </w:r>
          </w:p>
        </w:tc>
      </w:tr>
      <w:tr w:rsidR="00AE6D42" w:rsidRPr="00ED7F0F" w:rsidTr="00743943">
        <w:trPr>
          <w:trHeight w:val="457"/>
          <w:jc w:val="center"/>
        </w:trPr>
        <w:tc>
          <w:tcPr>
            <w:tcW w:w="1179" w:type="dxa"/>
            <w:tcBorders>
              <w:top w:val="nil"/>
              <w:left w:val="single" w:sz="4" w:space="0" w:color="auto"/>
              <w:bottom w:val="single" w:sz="4" w:space="0" w:color="000000"/>
              <w:right w:val="single" w:sz="4" w:space="0" w:color="auto"/>
            </w:tcBorders>
          </w:tcPr>
          <w:p w:rsidR="00AE6D42" w:rsidRPr="00ED7F0F" w:rsidRDefault="00AE6D42" w:rsidP="00122C9F">
            <w:pPr>
              <w:spacing w:line="259" w:lineRule="auto"/>
              <w:ind w:left="115"/>
              <w:rPr>
                <w:rFonts w:ascii="Times New Roman" w:hAnsi="Times New Roman" w:cs="Times New Roman"/>
                <w:sz w:val="20"/>
                <w:szCs w:val="20"/>
              </w:rPr>
            </w:pPr>
            <w:r w:rsidRPr="00ED7F0F">
              <w:rPr>
                <w:rFonts w:ascii="Times New Roman" w:hAnsi="Times New Roman" w:cs="Times New Roman"/>
                <w:sz w:val="20"/>
              </w:rPr>
              <w:t>CCyR</w:t>
            </w:r>
          </w:p>
          <w:p w:rsidR="00AE6D42" w:rsidRPr="00ED7F0F" w:rsidRDefault="00AE6D42" w:rsidP="00122C9F">
            <w:pPr>
              <w:spacing w:line="259" w:lineRule="auto"/>
              <w:ind w:left="115"/>
              <w:rPr>
                <w:rFonts w:ascii="Times New Roman" w:hAnsi="Times New Roman" w:cs="Times New Roman"/>
                <w:sz w:val="20"/>
                <w:szCs w:val="20"/>
              </w:rPr>
            </w:pPr>
            <w:r w:rsidRPr="00ED7F0F">
              <w:rPr>
                <w:rFonts w:ascii="Times New Roman" w:hAnsi="Times New Roman" w:cs="Times New Roman"/>
                <w:sz w:val="20"/>
              </w:rPr>
              <w:t>(95</w:t>
            </w:r>
            <w:r w:rsidR="00A60B14" w:rsidRPr="00ED7F0F">
              <w:rPr>
                <w:rFonts w:ascii="Times New Roman" w:hAnsi="Times New Roman" w:cs="Times New Roman"/>
                <w:sz w:val="20"/>
              </w:rPr>
              <w:t> </w:t>
            </w:r>
            <w:r w:rsidRPr="00ED7F0F">
              <w:rPr>
                <w:rFonts w:ascii="Times New Roman" w:hAnsi="Times New Roman" w:cs="Times New Roman"/>
                <w:sz w:val="20"/>
              </w:rPr>
              <w:t>%</w:t>
            </w:r>
            <w:r w:rsidR="00A60B14" w:rsidRPr="00ED7F0F">
              <w:rPr>
                <w:rFonts w:ascii="Times New Roman" w:hAnsi="Times New Roman" w:cs="Times New Roman"/>
                <w:sz w:val="20"/>
              </w:rPr>
              <w:t> </w:t>
            </w:r>
            <w:r w:rsidRPr="00ED7F0F">
              <w:rPr>
                <w:rFonts w:ascii="Times New Roman" w:hAnsi="Times New Roman" w:cs="Times New Roman"/>
                <w:sz w:val="20"/>
              </w:rPr>
              <w:t>CI)</w:t>
            </w:r>
          </w:p>
        </w:tc>
        <w:tc>
          <w:tcPr>
            <w:tcW w:w="1903" w:type="dxa"/>
            <w:tcBorders>
              <w:top w:val="nil"/>
              <w:left w:val="single" w:sz="4" w:space="0" w:color="auto"/>
              <w:bottom w:val="single" w:sz="4" w:space="0" w:color="000000"/>
              <w:right w:val="single" w:sz="4" w:space="0" w:color="auto"/>
            </w:tcBorders>
          </w:tcPr>
          <w:p w:rsidR="00A60B14" w:rsidRPr="00ED7F0F" w:rsidRDefault="00AE6D42" w:rsidP="00122C9F">
            <w:pPr>
              <w:tabs>
                <w:tab w:val="clear" w:pos="567"/>
              </w:tabs>
              <w:spacing w:line="240" w:lineRule="auto"/>
              <w:jc w:val="center"/>
              <w:rPr>
                <w:rFonts w:ascii="Times New Roman" w:hAnsi="Times New Roman" w:cs="Times New Roman"/>
                <w:spacing w:val="-1"/>
                <w:sz w:val="20"/>
                <w:lang w:eastAsia="en-GB" w:bidi="ar-SA"/>
              </w:rPr>
            </w:pPr>
            <w:r w:rsidRPr="00ED7F0F">
              <w:rPr>
                <w:rFonts w:ascii="Times New Roman" w:hAnsi="Times New Roman" w:cs="Times New Roman"/>
                <w:spacing w:val="-1"/>
                <w:sz w:val="20"/>
                <w:lang w:eastAsia="en-GB" w:bidi="ar-SA"/>
              </w:rPr>
              <w:t>32</w:t>
            </w:r>
            <w:r w:rsidR="00A60B14" w:rsidRPr="00ED7F0F">
              <w:rPr>
                <w:rFonts w:ascii="Times New Roman" w:hAnsi="Times New Roman" w:cs="Times New Roman"/>
                <w:spacing w:val="-1"/>
                <w:sz w:val="20"/>
                <w:lang w:eastAsia="en-GB" w:bidi="ar-SA"/>
              </w:rPr>
              <w:t> </w:t>
            </w:r>
            <w:r w:rsidRPr="00ED7F0F">
              <w:rPr>
                <w:rFonts w:ascii="Times New Roman" w:hAnsi="Times New Roman" w:cs="Times New Roman"/>
                <w:spacing w:val="-1"/>
                <w:sz w:val="20"/>
                <w:lang w:eastAsia="en-GB" w:bidi="ar-SA"/>
              </w:rPr>
              <w:t>%</w:t>
            </w:r>
          </w:p>
          <w:p w:rsidR="00AE6D42" w:rsidRPr="00ED7F0F" w:rsidRDefault="00AE6D42" w:rsidP="00122C9F">
            <w:pPr>
              <w:tabs>
                <w:tab w:val="clear" w:pos="567"/>
              </w:tabs>
              <w:spacing w:line="240" w:lineRule="auto"/>
              <w:jc w:val="center"/>
              <w:rPr>
                <w:rFonts w:ascii="Times New Roman" w:hAnsi="Times New Roman" w:cs="Times New Roman"/>
                <w:spacing w:val="-1"/>
                <w:sz w:val="20"/>
                <w:lang w:eastAsia="en-GB" w:bidi="ar-SA"/>
              </w:rPr>
            </w:pPr>
            <w:r w:rsidRPr="00ED7F0F">
              <w:rPr>
                <w:rFonts w:ascii="Times New Roman" w:hAnsi="Times New Roman" w:cs="Times New Roman"/>
                <w:spacing w:val="-1"/>
                <w:sz w:val="20"/>
                <w:lang w:eastAsia="en-GB" w:bidi="ar-SA"/>
              </w:rPr>
              <w:t>(25 – 40)</w:t>
            </w:r>
          </w:p>
        </w:tc>
        <w:tc>
          <w:tcPr>
            <w:tcW w:w="2221" w:type="dxa"/>
            <w:tcBorders>
              <w:top w:val="nil"/>
              <w:left w:val="single" w:sz="4" w:space="0" w:color="auto"/>
              <w:bottom w:val="single" w:sz="4" w:space="0" w:color="000000"/>
              <w:right w:val="single" w:sz="4" w:space="0" w:color="auto"/>
            </w:tcBorders>
          </w:tcPr>
          <w:p w:rsidR="00A60B14" w:rsidRPr="00ED7F0F" w:rsidRDefault="00AE6D42" w:rsidP="00122C9F">
            <w:pPr>
              <w:tabs>
                <w:tab w:val="clear" w:pos="567"/>
              </w:tabs>
              <w:spacing w:line="240" w:lineRule="auto"/>
              <w:jc w:val="center"/>
              <w:rPr>
                <w:rFonts w:ascii="Times New Roman" w:hAnsi="Times New Roman" w:cs="Times New Roman"/>
                <w:spacing w:val="-1"/>
                <w:sz w:val="20"/>
                <w:lang w:eastAsia="en-GB" w:bidi="ar-SA"/>
              </w:rPr>
            </w:pPr>
            <w:r w:rsidRPr="00ED7F0F">
              <w:rPr>
                <w:rFonts w:ascii="Times New Roman" w:hAnsi="Times New Roman" w:cs="Times New Roman"/>
                <w:spacing w:val="-1"/>
                <w:sz w:val="20"/>
                <w:lang w:eastAsia="en-GB" w:bidi="ar-SA"/>
              </w:rPr>
              <w:t>17</w:t>
            </w:r>
            <w:r w:rsidR="00A60B14" w:rsidRPr="00ED7F0F">
              <w:rPr>
                <w:rFonts w:ascii="Times New Roman" w:hAnsi="Times New Roman" w:cs="Times New Roman"/>
                <w:spacing w:val="-1"/>
                <w:sz w:val="20"/>
                <w:lang w:eastAsia="en-GB" w:bidi="ar-SA"/>
              </w:rPr>
              <w:t> </w:t>
            </w:r>
            <w:r w:rsidRPr="00ED7F0F">
              <w:rPr>
                <w:rFonts w:ascii="Times New Roman" w:hAnsi="Times New Roman" w:cs="Times New Roman"/>
                <w:spacing w:val="-1"/>
                <w:sz w:val="20"/>
                <w:lang w:eastAsia="en-GB" w:bidi="ar-SA"/>
              </w:rPr>
              <w:t>%</w:t>
            </w:r>
          </w:p>
          <w:p w:rsidR="00AE6D42" w:rsidRPr="00ED7F0F" w:rsidRDefault="00AE6D42" w:rsidP="00122C9F">
            <w:pPr>
              <w:tabs>
                <w:tab w:val="clear" w:pos="567"/>
              </w:tabs>
              <w:spacing w:line="240" w:lineRule="auto"/>
              <w:jc w:val="center"/>
              <w:rPr>
                <w:rFonts w:ascii="Times New Roman" w:hAnsi="Times New Roman" w:cs="Times New Roman"/>
                <w:spacing w:val="-1"/>
                <w:sz w:val="20"/>
                <w:lang w:eastAsia="en-GB" w:bidi="ar-SA"/>
              </w:rPr>
            </w:pPr>
            <w:r w:rsidRPr="00ED7F0F">
              <w:rPr>
                <w:rFonts w:ascii="Times New Roman" w:hAnsi="Times New Roman" w:cs="Times New Roman"/>
                <w:spacing w:val="-1"/>
                <w:sz w:val="20"/>
                <w:lang w:eastAsia="en-GB" w:bidi="ar-SA"/>
              </w:rPr>
              <w:t>(10 – 28)</w:t>
            </w:r>
          </w:p>
        </w:tc>
        <w:tc>
          <w:tcPr>
            <w:tcW w:w="1986" w:type="dxa"/>
            <w:tcBorders>
              <w:top w:val="nil"/>
              <w:left w:val="single" w:sz="4" w:space="0" w:color="auto"/>
              <w:bottom w:val="single" w:sz="4" w:space="0" w:color="000000"/>
              <w:right w:val="single" w:sz="4" w:space="0" w:color="auto"/>
            </w:tcBorders>
          </w:tcPr>
          <w:p w:rsidR="00A60B14" w:rsidRPr="00ED7F0F" w:rsidRDefault="00AE6D42" w:rsidP="00122C9F">
            <w:pPr>
              <w:tabs>
                <w:tab w:val="clear" w:pos="567"/>
              </w:tabs>
              <w:spacing w:line="240" w:lineRule="auto"/>
              <w:jc w:val="center"/>
              <w:rPr>
                <w:rFonts w:ascii="Times New Roman" w:hAnsi="Times New Roman" w:cs="Times New Roman"/>
                <w:spacing w:val="-1"/>
                <w:sz w:val="20"/>
                <w:lang w:eastAsia="en-GB" w:bidi="ar-SA"/>
              </w:rPr>
            </w:pPr>
            <w:r w:rsidRPr="00ED7F0F">
              <w:rPr>
                <w:rFonts w:ascii="Times New Roman" w:hAnsi="Times New Roman" w:cs="Times New Roman"/>
                <w:spacing w:val="-1"/>
                <w:sz w:val="20"/>
                <w:lang w:eastAsia="en-GB" w:bidi="ar-SA"/>
              </w:rPr>
              <w:t>39</w:t>
            </w:r>
            <w:r w:rsidR="00A60B14" w:rsidRPr="00ED7F0F">
              <w:rPr>
                <w:rFonts w:ascii="Times New Roman" w:hAnsi="Times New Roman" w:cs="Times New Roman"/>
                <w:spacing w:val="-1"/>
                <w:sz w:val="20"/>
                <w:lang w:eastAsia="en-GB" w:bidi="ar-SA"/>
              </w:rPr>
              <w:t> </w:t>
            </w:r>
            <w:r w:rsidRPr="00ED7F0F">
              <w:rPr>
                <w:rFonts w:ascii="Times New Roman" w:hAnsi="Times New Roman" w:cs="Times New Roman"/>
                <w:spacing w:val="-1"/>
                <w:sz w:val="20"/>
                <w:lang w:eastAsia="en-GB" w:bidi="ar-SA"/>
              </w:rPr>
              <w:t>%</w:t>
            </w:r>
          </w:p>
          <w:p w:rsidR="00AE6D42" w:rsidRPr="00ED7F0F" w:rsidRDefault="00AE6D42" w:rsidP="00122C9F">
            <w:pPr>
              <w:tabs>
                <w:tab w:val="clear" w:pos="567"/>
              </w:tabs>
              <w:spacing w:line="240" w:lineRule="auto"/>
              <w:jc w:val="center"/>
              <w:rPr>
                <w:rFonts w:ascii="Times New Roman" w:hAnsi="Times New Roman" w:cs="Times New Roman"/>
                <w:spacing w:val="-1"/>
                <w:sz w:val="20"/>
                <w:lang w:eastAsia="en-GB" w:bidi="ar-SA"/>
              </w:rPr>
            </w:pPr>
            <w:r w:rsidRPr="00ED7F0F">
              <w:rPr>
                <w:rFonts w:ascii="Times New Roman" w:hAnsi="Times New Roman" w:cs="Times New Roman"/>
                <w:spacing w:val="-1"/>
                <w:sz w:val="20"/>
                <w:lang w:eastAsia="en-GB" w:bidi="ar-SA"/>
              </w:rPr>
              <w:t>(23 – 58)</w:t>
            </w:r>
          </w:p>
        </w:tc>
        <w:tc>
          <w:tcPr>
            <w:tcW w:w="1260" w:type="dxa"/>
            <w:tcBorders>
              <w:top w:val="nil"/>
              <w:left w:val="single" w:sz="4" w:space="0" w:color="auto"/>
              <w:bottom w:val="single" w:sz="4" w:space="0" w:color="000000"/>
              <w:right w:val="single" w:sz="4" w:space="0" w:color="auto"/>
            </w:tcBorders>
          </w:tcPr>
          <w:p w:rsidR="00AE6D42" w:rsidRPr="00ED7F0F" w:rsidRDefault="00AE6D42" w:rsidP="00122C9F">
            <w:pPr>
              <w:tabs>
                <w:tab w:val="clear" w:pos="567"/>
              </w:tabs>
              <w:spacing w:line="240" w:lineRule="auto"/>
              <w:jc w:val="center"/>
              <w:rPr>
                <w:rFonts w:ascii="Times New Roman" w:hAnsi="Times New Roman" w:cs="Times New Roman"/>
                <w:spacing w:val="-1"/>
                <w:sz w:val="20"/>
                <w:lang w:eastAsia="en-GB" w:bidi="ar-SA"/>
              </w:rPr>
            </w:pPr>
            <w:r w:rsidRPr="00ED7F0F">
              <w:rPr>
                <w:rFonts w:ascii="Times New Roman" w:hAnsi="Times New Roman" w:cs="Times New Roman"/>
                <w:spacing w:val="-1"/>
                <w:sz w:val="20"/>
                <w:lang w:eastAsia="en-GB" w:bidi="ar-SA"/>
              </w:rPr>
              <w:t>50</w:t>
            </w:r>
            <w:r w:rsidR="00A60B14" w:rsidRPr="00ED7F0F">
              <w:rPr>
                <w:rFonts w:ascii="Times New Roman" w:hAnsi="Times New Roman" w:cs="Times New Roman"/>
                <w:spacing w:val="-1"/>
                <w:sz w:val="20"/>
                <w:lang w:eastAsia="en-GB" w:bidi="ar-SA"/>
              </w:rPr>
              <w:t> </w:t>
            </w:r>
            <w:r w:rsidRPr="00ED7F0F">
              <w:rPr>
                <w:rFonts w:ascii="Times New Roman" w:hAnsi="Times New Roman" w:cs="Times New Roman"/>
                <w:spacing w:val="-1"/>
                <w:sz w:val="20"/>
                <w:lang w:eastAsia="en-GB" w:bidi="ar-SA"/>
              </w:rPr>
              <w:t>%</w:t>
            </w:r>
          </w:p>
          <w:p w:rsidR="00AE6D42" w:rsidRPr="00ED7F0F" w:rsidRDefault="00AE6D42" w:rsidP="00122C9F">
            <w:pPr>
              <w:spacing w:line="240" w:lineRule="auto"/>
              <w:jc w:val="center"/>
              <w:rPr>
                <w:rFonts w:ascii="Times New Roman" w:hAnsi="Times New Roman" w:cs="Times New Roman"/>
                <w:spacing w:val="-1"/>
                <w:sz w:val="20"/>
                <w:lang w:eastAsia="en-GB" w:bidi="ar-SA"/>
              </w:rPr>
            </w:pPr>
            <w:r w:rsidRPr="00ED7F0F">
              <w:rPr>
                <w:rFonts w:ascii="Times New Roman" w:hAnsi="Times New Roman" w:cs="Times New Roman"/>
                <w:spacing w:val="-1"/>
                <w:sz w:val="20"/>
                <w:lang w:eastAsia="en-GB" w:bidi="ar-SA"/>
              </w:rPr>
              <w:t>(34 – 66)</w:t>
            </w:r>
          </w:p>
        </w:tc>
      </w:tr>
    </w:tbl>
    <w:p w:rsidR="00AE6D42" w:rsidRPr="00ED7F0F" w:rsidRDefault="00AE6D42" w:rsidP="00122C9F">
      <w:pPr>
        <w:numPr>
          <w:ilvl w:val="0"/>
          <w:numId w:val="26"/>
        </w:numPr>
        <w:tabs>
          <w:tab w:val="clear" w:pos="567"/>
        </w:tabs>
        <w:spacing w:after="5" w:line="261" w:lineRule="auto"/>
        <w:ind w:left="239" w:hanging="220"/>
      </w:pPr>
      <w:r w:rsidRPr="00ED7F0F">
        <w:rPr>
          <w:sz w:val="17"/>
        </w:rPr>
        <w:t>Výsledky hlásené pri odporúčanej začiatočnej dávke 140</w:t>
      </w:r>
      <w:r w:rsidR="00A4298D" w:rsidRPr="00ED7F0F">
        <w:rPr>
          <w:sz w:val="17"/>
        </w:rPr>
        <w:t> </w:t>
      </w:r>
      <w:r w:rsidRPr="00ED7F0F">
        <w:rPr>
          <w:sz w:val="17"/>
        </w:rPr>
        <w:t>mg jedenkrát denne (pozri časť</w:t>
      </w:r>
      <w:r w:rsidR="00A4298D" w:rsidRPr="00ED7F0F">
        <w:rPr>
          <w:sz w:val="17"/>
        </w:rPr>
        <w:t> </w:t>
      </w:r>
      <w:r w:rsidRPr="00ED7F0F">
        <w:rPr>
          <w:sz w:val="17"/>
        </w:rPr>
        <w:t>4.2).</w:t>
      </w:r>
    </w:p>
    <w:p w:rsidR="00AE6D42" w:rsidRPr="00ED7F0F" w:rsidRDefault="00AE6D42" w:rsidP="00122C9F">
      <w:pPr>
        <w:numPr>
          <w:ilvl w:val="0"/>
          <w:numId w:val="26"/>
        </w:numPr>
        <w:tabs>
          <w:tab w:val="clear" w:pos="567"/>
        </w:tabs>
        <w:spacing w:after="5" w:line="261" w:lineRule="auto"/>
        <w:ind w:left="239" w:hanging="220"/>
      </w:pPr>
      <w:r w:rsidRPr="00ED7F0F">
        <w:rPr>
          <w:sz w:val="17"/>
        </w:rPr>
        <w:t xml:space="preserve">Kritéria hematologickej odpovede (všetky </w:t>
      </w:r>
      <w:r w:rsidR="002C42A7" w:rsidRPr="00ED7F0F">
        <w:rPr>
          <w:sz w:val="17"/>
        </w:rPr>
        <w:t>odpovede</w:t>
      </w:r>
      <w:r w:rsidRPr="00ED7F0F">
        <w:rPr>
          <w:sz w:val="17"/>
        </w:rPr>
        <w:t xml:space="preserve"> boli potvrdené po 4</w:t>
      </w:r>
      <w:r w:rsidR="00A4298D" w:rsidRPr="00ED7F0F">
        <w:rPr>
          <w:sz w:val="17"/>
        </w:rPr>
        <w:t> </w:t>
      </w:r>
      <w:r w:rsidRPr="00ED7F0F">
        <w:rPr>
          <w:sz w:val="17"/>
        </w:rPr>
        <w:t xml:space="preserve">týždňoch): Veľká hematologická odpoveď: </w:t>
      </w:r>
    </w:p>
    <w:p w:rsidR="00AE6D42" w:rsidRPr="00ED7F0F" w:rsidRDefault="00AE6D42" w:rsidP="00122C9F">
      <w:pPr>
        <w:spacing w:line="261" w:lineRule="auto"/>
        <w:ind w:left="246"/>
      </w:pPr>
      <w:r w:rsidRPr="00ED7F0F">
        <w:rPr>
          <w:sz w:val="17"/>
        </w:rPr>
        <w:t>(MaHR) = úplná hematologická odpoveď (CHR) + bez prítomnosti leukémie (NEL).</w:t>
      </w:r>
    </w:p>
    <w:p w:rsidR="00AE6D42" w:rsidRPr="00ED7F0F" w:rsidRDefault="00AE6D42" w:rsidP="00122C9F">
      <w:pPr>
        <w:spacing w:line="261" w:lineRule="auto"/>
        <w:ind w:left="246"/>
        <w:rPr>
          <w:sz w:val="17"/>
        </w:rPr>
      </w:pPr>
      <w:r w:rsidRPr="00ED7F0F">
        <w:rPr>
          <w:sz w:val="17"/>
        </w:rPr>
        <w:t>CHR: WBC ≤ ULN zdravotníckeho zariadenia, ANC ≥ 1 000/mm</w:t>
      </w:r>
      <w:r w:rsidRPr="00ED7F0F">
        <w:rPr>
          <w:sz w:val="17"/>
          <w:vertAlign w:val="superscript"/>
        </w:rPr>
        <w:t>3</w:t>
      </w:r>
      <w:r w:rsidRPr="00ED7F0F">
        <w:rPr>
          <w:sz w:val="17"/>
        </w:rPr>
        <w:t>, trombocyty &lt; 100 000/mm</w:t>
      </w:r>
      <w:r w:rsidRPr="00ED7F0F">
        <w:rPr>
          <w:sz w:val="17"/>
          <w:vertAlign w:val="superscript"/>
        </w:rPr>
        <w:t>3</w:t>
      </w:r>
      <w:r w:rsidRPr="00ED7F0F">
        <w:rPr>
          <w:sz w:val="17"/>
        </w:rPr>
        <w:t xml:space="preserve">, žiadne blasty alebo promyelocyty v periférnej krvi, blasty v krvi a v kostnej dreni ≤ 5 %, &lt; 5 % myelocyty plus metamyelocyty v </w:t>
      </w:r>
      <w:r w:rsidR="00412D70" w:rsidRPr="00ED7F0F">
        <w:rPr>
          <w:sz w:val="17"/>
        </w:rPr>
        <w:t>periférnej krvi</w:t>
      </w:r>
      <w:r w:rsidRPr="00ED7F0F">
        <w:rPr>
          <w:sz w:val="17"/>
        </w:rPr>
        <w:t>, bazofily v periférnej krvi &lt; 20 % a žiadne extramedulárne postihnutia.</w:t>
      </w:r>
    </w:p>
    <w:p w:rsidR="00AE6D42" w:rsidRPr="00ED7F0F" w:rsidRDefault="00AE6D42" w:rsidP="00122C9F">
      <w:pPr>
        <w:spacing w:line="261" w:lineRule="auto"/>
        <w:ind w:left="246"/>
        <w:rPr>
          <w:sz w:val="17"/>
        </w:rPr>
      </w:pPr>
      <w:r w:rsidRPr="00ED7F0F">
        <w:rPr>
          <w:sz w:val="17"/>
        </w:rPr>
        <w:t>NEL: rovnaké kritériá ako pre CHR ale ANC ≥ 500/mm</w:t>
      </w:r>
      <w:r w:rsidRPr="00ED7F0F">
        <w:rPr>
          <w:sz w:val="17"/>
          <w:vertAlign w:val="superscript"/>
        </w:rPr>
        <w:t>3</w:t>
      </w:r>
      <w:r w:rsidRPr="00ED7F0F">
        <w:rPr>
          <w:sz w:val="17"/>
        </w:rPr>
        <w:t xml:space="preserve"> a &lt; 1 000/mm</w:t>
      </w:r>
      <w:r w:rsidRPr="00ED7F0F">
        <w:rPr>
          <w:sz w:val="17"/>
          <w:vertAlign w:val="superscript"/>
        </w:rPr>
        <w:t>3</w:t>
      </w:r>
      <w:r w:rsidRPr="00ED7F0F">
        <w:rPr>
          <w:sz w:val="17"/>
        </w:rPr>
        <w:t>, alebo trombocyty ≥ 20 000/mm</w:t>
      </w:r>
      <w:r w:rsidRPr="00ED7F0F">
        <w:rPr>
          <w:sz w:val="17"/>
          <w:vertAlign w:val="superscript"/>
        </w:rPr>
        <w:t>3</w:t>
      </w:r>
      <w:r w:rsidRPr="00ED7F0F">
        <w:rPr>
          <w:sz w:val="17"/>
        </w:rPr>
        <w:t xml:space="preserve"> a ≤ 100 000/mm</w:t>
      </w:r>
      <w:r w:rsidRPr="00ED7F0F">
        <w:rPr>
          <w:sz w:val="17"/>
          <w:vertAlign w:val="superscript"/>
        </w:rPr>
        <w:t>3</w:t>
      </w:r>
      <w:r w:rsidRPr="00ED7F0F">
        <w:rPr>
          <w:sz w:val="17"/>
        </w:rPr>
        <w:t>.</w:t>
      </w:r>
    </w:p>
    <w:p w:rsidR="00657886" w:rsidRPr="00ED7F0F" w:rsidRDefault="00AE6D42" w:rsidP="00122C9F">
      <w:pPr>
        <w:numPr>
          <w:ilvl w:val="0"/>
          <w:numId w:val="26"/>
        </w:numPr>
        <w:tabs>
          <w:tab w:val="clear" w:pos="567"/>
        </w:tabs>
        <w:spacing w:after="5" w:line="261" w:lineRule="auto"/>
        <w:ind w:left="239" w:hanging="220"/>
      </w:pPr>
      <w:r w:rsidRPr="00ED7F0F">
        <w:rPr>
          <w:sz w:val="17"/>
        </w:rPr>
        <w:t xml:space="preserve">MCyR kombinácie </w:t>
      </w:r>
      <w:r w:rsidR="002C42A7" w:rsidRPr="00ED7F0F">
        <w:rPr>
          <w:sz w:val="17"/>
        </w:rPr>
        <w:t>zahŕňa</w:t>
      </w:r>
      <w:r w:rsidRPr="00ED7F0F">
        <w:rPr>
          <w:sz w:val="17"/>
        </w:rPr>
        <w:t xml:space="preserve"> úpln</w:t>
      </w:r>
      <w:r w:rsidR="002C42A7" w:rsidRPr="00ED7F0F">
        <w:rPr>
          <w:sz w:val="17"/>
        </w:rPr>
        <w:t>é</w:t>
      </w:r>
      <w:r w:rsidRPr="00ED7F0F">
        <w:rPr>
          <w:sz w:val="17"/>
        </w:rPr>
        <w:t xml:space="preserve"> (0 % Ph+ metafáza) a</w:t>
      </w:r>
      <w:r w:rsidR="00657886" w:rsidRPr="00ED7F0F">
        <w:rPr>
          <w:sz w:val="17"/>
        </w:rPr>
        <w:t>j</w:t>
      </w:r>
      <w:r w:rsidRPr="00ED7F0F">
        <w:rPr>
          <w:sz w:val="17"/>
        </w:rPr>
        <w:t xml:space="preserve"> čiastočn</w:t>
      </w:r>
      <w:r w:rsidR="00657886" w:rsidRPr="00ED7F0F">
        <w:rPr>
          <w:sz w:val="17"/>
        </w:rPr>
        <w:t>é</w:t>
      </w:r>
      <w:r w:rsidRPr="00ED7F0F">
        <w:rPr>
          <w:sz w:val="17"/>
        </w:rPr>
        <w:t xml:space="preserve"> (&gt; 0 % – 35 %) odpovede. </w:t>
      </w:r>
    </w:p>
    <w:p w:rsidR="00AE6D42" w:rsidRPr="00ED7F0F" w:rsidRDefault="00AE6D42" w:rsidP="009A0932">
      <w:pPr>
        <w:tabs>
          <w:tab w:val="clear" w:pos="567"/>
        </w:tabs>
        <w:spacing w:after="5" w:line="261" w:lineRule="auto"/>
        <w:ind w:left="239"/>
      </w:pPr>
      <w:r w:rsidRPr="00ED7F0F">
        <w:rPr>
          <w:sz w:val="17"/>
        </w:rPr>
        <w:t>CI = interval spoľahlivosti ULN = horný limit normálneho rozpätia.</w:t>
      </w:r>
    </w:p>
    <w:p w:rsidR="00AE6D42" w:rsidRPr="00ED7F0F" w:rsidRDefault="00AE6D42" w:rsidP="00122C9F">
      <w:pPr>
        <w:spacing w:line="259" w:lineRule="auto"/>
        <w:ind w:left="34"/>
      </w:pPr>
    </w:p>
    <w:p w:rsidR="00AE6D42" w:rsidRPr="00ED7F0F" w:rsidRDefault="00AE6D42" w:rsidP="00122C9F">
      <w:pPr>
        <w:ind w:left="29"/>
      </w:pPr>
      <w:r w:rsidRPr="00ED7F0F">
        <w:t>U</w:t>
      </w:r>
      <w:r w:rsidR="00A4298D" w:rsidRPr="00ED7F0F">
        <w:t> </w:t>
      </w:r>
      <w:r w:rsidRPr="00ED7F0F">
        <w:t>pacientov s</w:t>
      </w:r>
      <w:r w:rsidR="00A4298D" w:rsidRPr="00ED7F0F">
        <w:t> </w:t>
      </w:r>
      <w:r w:rsidRPr="00ED7F0F">
        <w:t>akcelerovanou fázou CML liečených s dávkovacím režimom 140</w:t>
      </w:r>
      <w:r w:rsidR="00A4298D" w:rsidRPr="00ED7F0F">
        <w:t> </w:t>
      </w:r>
      <w:r w:rsidRPr="00ED7F0F">
        <w:t>mg jedenkrát denne sa nedosiahol medián trvania MaHR a</w:t>
      </w:r>
      <w:r w:rsidR="00A4298D" w:rsidRPr="00ED7F0F">
        <w:t> </w:t>
      </w:r>
      <w:r w:rsidRPr="00ED7F0F">
        <w:t>medián celkového prežívania a</w:t>
      </w:r>
      <w:r w:rsidR="00A4298D" w:rsidRPr="00ED7F0F">
        <w:t> </w:t>
      </w:r>
      <w:r w:rsidRPr="00ED7F0F">
        <w:t>medián PFS bol 25</w:t>
      </w:r>
      <w:r w:rsidR="00A4298D" w:rsidRPr="00ED7F0F">
        <w:t> </w:t>
      </w:r>
      <w:r w:rsidRPr="00ED7F0F">
        <w:t>mesiacov.</w:t>
      </w:r>
    </w:p>
    <w:p w:rsidR="00AE6D42" w:rsidRPr="00ED7F0F" w:rsidRDefault="00AE6D42" w:rsidP="00122C9F">
      <w:pPr>
        <w:spacing w:line="259" w:lineRule="auto"/>
        <w:ind w:left="34"/>
      </w:pPr>
    </w:p>
    <w:p w:rsidR="00AE6D42" w:rsidRPr="00ED7F0F" w:rsidRDefault="00AE6D42" w:rsidP="00122C9F">
      <w:pPr>
        <w:ind w:left="29"/>
      </w:pPr>
      <w:r w:rsidRPr="00ED7F0F">
        <w:t>U</w:t>
      </w:r>
      <w:r w:rsidR="00A4298D" w:rsidRPr="00ED7F0F">
        <w:t> </w:t>
      </w:r>
      <w:r w:rsidRPr="00ED7F0F">
        <w:t>pacientov s</w:t>
      </w:r>
      <w:r w:rsidR="00A4298D" w:rsidRPr="00ED7F0F">
        <w:t> </w:t>
      </w:r>
      <w:r w:rsidRPr="00ED7F0F">
        <w:t>myeloidnou blastovou fázou CML liečených s</w:t>
      </w:r>
      <w:r w:rsidR="00A4298D" w:rsidRPr="00ED7F0F">
        <w:t> </w:t>
      </w:r>
      <w:r w:rsidRPr="00ED7F0F">
        <w:t>dávkovacím režimom 140</w:t>
      </w:r>
      <w:r w:rsidR="00A4298D" w:rsidRPr="00ED7F0F">
        <w:t> </w:t>
      </w:r>
      <w:r w:rsidRPr="00ED7F0F">
        <w:t>mg jedenkrát denne bol medián trvania MaHR 8</w:t>
      </w:r>
      <w:r w:rsidR="00A4298D" w:rsidRPr="00ED7F0F">
        <w:t> </w:t>
      </w:r>
      <w:r w:rsidRPr="00ED7F0F">
        <w:t>mesiacov, medián PFS bol 4</w:t>
      </w:r>
      <w:r w:rsidR="00A4298D" w:rsidRPr="00ED7F0F">
        <w:t> </w:t>
      </w:r>
      <w:r w:rsidRPr="00ED7F0F">
        <w:t>mesiace a</w:t>
      </w:r>
      <w:r w:rsidR="00A4298D" w:rsidRPr="00ED7F0F">
        <w:t> </w:t>
      </w:r>
      <w:r w:rsidRPr="00ED7F0F">
        <w:t>medián celkového prežívania bol 8 mesiacov. U</w:t>
      </w:r>
      <w:r w:rsidR="00A4298D" w:rsidRPr="00ED7F0F">
        <w:t> </w:t>
      </w:r>
      <w:r w:rsidRPr="00ED7F0F">
        <w:t>pacientov s</w:t>
      </w:r>
      <w:r w:rsidR="00A4298D" w:rsidRPr="00ED7F0F">
        <w:t> </w:t>
      </w:r>
      <w:r w:rsidRPr="00ED7F0F">
        <w:t>lymfoidnou blastovou fázou CML liečených s</w:t>
      </w:r>
      <w:r w:rsidR="00A4298D" w:rsidRPr="00ED7F0F">
        <w:t> </w:t>
      </w:r>
      <w:r w:rsidRPr="00ED7F0F">
        <w:t>dávkovacím režimom 140</w:t>
      </w:r>
      <w:r w:rsidR="00A4298D" w:rsidRPr="00ED7F0F">
        <w:t> </w:t>
      </w:r>
      <w:r w:rsidRPr="00ED7F0F">
        <w:t>mg jedenkrát denne bol medián trvania MaHR 5</w:t>
      </w:r>
      <w:r w:rsidR="00A4298D" w:rsidRPr="00ED7F0F">
        <w:t> </w:t>
      </w:r>
      <w:r w:rsidRPr="00ED7F0F">
        <w:t>mesiacov, medián PFS bol 5</w:t>
      </w:r>
      <w:r w:rsidR="00A4298D" w:rsidRPr="00ED7F0F">
        <w:t> </w:t>
      </w:r>
      <w:r w:rsidRPr="00ED7F0F">
        <w:t>mesiacov a</w:t>
      </w:r>
      <w:r w:rsidR="00A4298D" w:rsidRPr="00ED7F0F">
        <w:t> </w:t>
      </w:r>
      <w:r w:rsidRPr="00ED7F0F">
        <w:t>medián celkového prežívania bol 11</w:t>
      </w:r>
      <w:r w:rsidR="00A4298D" w:rsidRPr="00ED7F0F">
        <w:t> </w:t>
      </w:r>
      <w:r w:rsidRPr="00ED7F0F">
        <w:t>mesiacov.</w:t>
      </w:r>
    </w:p>
    <w:p w:rsidR="00AE6D42" w:rsidRPr="00ED7F0F" w:rsidRDefault="00AE6D42" w:rsidP="00122C9F">
      <w:pPr>
        <w:spacing w:line="259" w:lineRule="auto"/>
        <w:ind w:left="34"/>
      </w:pPr>
    </w:p>
    <w:p w:rsidR="00AE6D42" w:rsidRPr="00ED7F0F" w:rsidRDefault="00AE6D42" w:rsidP="00122C9F">
      <w:pPr>
        <w:ind w:left="29"/>
      </w:pPr>
      <w:r w:rsidRPr="00ED7F0F">
        <w:t>Medián trvania MaHR u</w:t>
      </w:r>
      <w:r w:rsidR="00A4298D" w:rsidRPr="00ED7F0F">
        <w:t> </w:t>
      </w:r>
      <w:r w:rsidRPr="00ED7F0F">
        <w:t>pacientov s</w:t>
      </w:r>
      <w:r w:rsidR="00A4298D" w:rsidRPr="00ED7F0F">
        <w:t> </w:t>
      </w:r>
      <w:r w:rsidRPr="00ED7F0F">
        <w:t>Ph+ALL liečených s</w:t>
      </w:r>
      <w:r w:rsidR="00A4298D" w:rsidRPr="00ED7F0F">
        <w:t> </w:t>
      </w:r>
      <w:r w:rsidRPr="00ED7F0F">
        <w:t>dávkovacím režimom 140</w:t>
      </w:r>
      <w:r w:rsidR="00A4298D" w:rsidRPr="00ED7F0F">
        <w:t> </w:t>
      </w:r>
      <w:r w:rsidRPr="00ED7F0F">
        <w:t>mg jedenkrát denne bol 5</w:t>
      </w:r>
      <w:r w:rsidR="00A4298D" w:rsidRPr="00ED7F0F">
        <w:t> </w:t>
      </w:r>
      <w:r w:rsidRPr="00ED7F0F">
        <w:t>mesiacov, medián PFS bol 4</w:t>
      </w:r>
      <w:r w:rsidR="00A4298D" w:rsidRPr="00ED7F0F">
        <w:t> </w:t>
      </w:r>
      <w:r w:rsidRPr="00ED7F0F">
        <w:t>mesiace a medián celkového prežívania bol 7</w:t>
      </w:r>
      <w:r w:rsidR="00A4298D" w:rsidRPr="00ED7F0F">
        <w:t> </w:t>
      </w:r>
      <w:r w:rsidRPr="00ED7F0F">
        <w:t>mesiacov.</w:t>
      </w:r>
    </w:p>
    <w:p w:rsidR="00AE6D42" w:rsidRPr="00ED7F0F" w:rsidRDefault="00AE6D42" w:rsidP="00122C9F">
      <w:pPr>
        <w:spacing w:line="259" w:lineRule="auto"/>
        <w:ind w:left="34"/>
      </w:pPr>
    </w:p>
    <w:p w:rsidR="00AE6D42" w:rsidRPr="00ED7F0F" w:rsidRDefault="00AE6D42" w:rsidP="00122C9F">
      <w:pPr>
        <w:pStyle w:val="Nadpis2"/>
        <w:ind w:left="29"/>
      </w:pPr>
      <w:r w:rsidRPr="00ED7F0F">
        <w:t>Pediatrická populácia</w:t>
      </w:r>
    </w:p>
    <w:p w:rsidR="00AE6D42" w:rsidRPr="00ED7F0F" w:rsidRDefault="00AE6D42" w:rsidP="00122C9F">
      <w:pPr>
        <w:spacing w:line="249" w:lineRule="auto"/>
        <w:ind w:left="29"/>
      </w:pPr>
      <w:r w:rsidRPr="00ED7F0F">
        <w:rPr>
          <w:i/>
          <w:u w:val="single" w:color="000000"/>
        </w:rPr>
        <w:t>Pediatrickí pacienti s</w:t>
      </w:r>
      <w:r w:rsidR="00A4298D" w:rsidRPr="00ED7F0F">
        <w:rPr>
          <w:i/>
          <w:u w:val="single" w:color="000000"/>
        </w:rPr>
        <w:t> </w:t>
      </w:r>
      <w:r w:rsidRPr="00ED7F0F">
        <w:rPr>
          <w:i/>
          <w:u w:val="single" w:color="000000"/>
        </w:rPr>
        <w:t>CML</w:t>
      </w:r>
    </w:p>
    <w:p w:rsidR="00AE6D42" w:rsidRPr="00ED7F0F" w:rsidRDefault="00AE6D42" w:rsidP="00122C9F">
      <w:pPr>
        <w:ind w:left="29"/>
      </w:pPr>
      <w:r w:rsidRPr="00ED7F0F">
        <w:t>Zo 130 pacientov s</w:t>
      </w:r>
      <w:r w:rsidR="00A4298D" w:rsidRPr="00ED7F0F">
        <w:t> </w:t>
      </w:r>
      <w:r w:rsidRPr="00ED7F0F">
        <w:t>chronickou fázou CML (CML-CP) liečených v</w:t>
      </w:r>
      <w:r w:rsidR="00A4298D" w:rsidRPr="00ED7F0F">
        <w:t> </w:t>
      </w:r>
      <w:r w:rsidRPr="00ED7F0F">
        <w:t xml:space="preserve">dvoch pediatrických štúdiách, </w:t>
      </w:r>
      <w:r w:rsidR="00A5514E" w:rsidRPr="00ED7F0F">
        <w:t xml:space="preserve">v </w:t>
      </w:r>
      <w:r w:rsidRPr="00ED7F0F">
        <w:t>otvoren</w:t>
      </w:r>
      <w:r w:rsidR="00A5514E" w:rsidRPr="00ED7F0F">
        <w:t>om</w:t>
      </w:r>
      <w:r w:rsidRPr="00ED7F0F">
        <w:t>, nerandomizovan</w:t>
      </w:r>
      <w:r w:rsidR="00A5514E" w:rsidRPr="00ED7F0F">
        <w:t>om</w:t>
      </w:r>
      <w:r w:rsidRPr="00ED7F0F">
        <w:t xml:space="preserve"> klinick</w:t>
      </w:r>
      <w:r w:rsidR="00A5514E" w:rsidRPr="00ED7F0F">
        <w:t>om</w:t>
      </w:r>
      <w:r w:rsidRPr="00ED7F0F">
        <w:t xml:space="preserve"> skúšan</w:t>
      </w:r>
      <w:r w:rsidR="00A5514E" w:rsidRPr="00ED7F0F">
        <w:t>í</w:t>
      </w:r>
      <w:r w:rsidRPr="00ED7F0F">
        <w:t xml:space="preserve"> s</w:t>
      </w:r>
      <w:r w:rsidR="00A4298D" w:rsidRPr="00ED7F0F">
        <w:t> </w:t>
      </w:r>
      <w:r w:rsidRPr="00ED7F0F">
        <w:t>nastavovaním dávky I. fáz</w:t>
      </w:r>
      <w:r w:rsidR="00A5514E" w:rsidRPr="00ED7F0F">
        <w:t>y</w:t>
      </w:r>
      <w:r w:rsidRPr="00ED7F0F">
        <w:t xml:space="preserve"> a</w:t>
      </w:r>
      <w:r w:rsidR="00A5514E" w:rsidRPr="00ED7F0F">
        <w:t xml:space="preserve"> v </w:t>
      </w:r>
      <w:r w:rsidRPr="00ED7F0F">
        <w:t>otvoren</w:t>
      </w:r>
      <w:r w:rsidR="00A5514E" w:rsidRPr="00ED7F0F">
        <w:t>om</w:t>
      </w:r>
      <w:r w:rsidRPr="00ED7F0F">
        <w:t>, nerandomizovan</w:t>
      </w:r>
      <w:r w:rsidR="00A5514E" w:rsidRPr="00ED7F0F">
        <w:t>om</w:t>
      </w:r>
      <w:r w:rsidRPr="00ED7F0F">
        <w:t xml:space="preserve"> klinick</w:t>
      </w:r>
      <w:r w:rsidR="00A5514E" w:rsidRPr="00ED7F0F">
        <w:t>om</w:t>
      </w:r>
      <w:r w:rsidRPr="00ED7F0F">
        <w:t xml:space="preserve"> skúšan</w:t>
      </w:r>
      <w:r w:rsidR="00A5514E" w:rsidRPr="00ED7F0F">
        <w:t>í</w:t>
      </w:r>
      <w:r w:rsidRPr="00ED7F0F">
        <w:t xml:space="preserve"> II.</w:t>
      </w:r>
      <w:r w:rsidR="00A4298D" w:rsidRPr="00ED7F0F">
        <w:t> </w:t>
      </w:r>
      <w:r w:rsidRPr="00ED7F0F">
        <w:t>fáz</w:t>
      </w:r>
      <w:r w:rsidR="00A5514E" w:rsidRPr="00ED7F0F">
        <w:t>y</w:t>
      </w:r>
      <w:r w:rsidRPr="00ED7F0F">
        <w:t>, bolo 84</w:t>
      </w:r>
      <w:r w:rsidR="00A4298D" w:rsidRPr="00ED7F0F">
        <w:t> </w:t>
      </w:r>
      <w:r w:rsidRPr="00ED7F0F">
        <w:t>pacientov (výhradne z</w:t>
      </w:r>
      <w:r w:rsidR="00A4298D" w:rsidRPr="00ED7F0F">
        <w:t> </w:t>
      </w:r>
      <w:r w:rsidRPr="00ED7F0F">
        <w:t>klinického skúšania II.</w:t>
      </w:r>
      <w:r w:rsidR="00A4298D" w:rsidRPr="00ED7F0F">
        <w:t> </w:t>
      </w:r>
      <w:r w:rsidRPr="00ED7F0F">
        <w:t>fázy) novodiagnostikovaných s</w:t>
      </w:r>
      <w:r w:rsidR="00A4298D" w:rsidRPr="00ED7F0F">
        <w:t> </w:t>
      </w:r>
      <w:r w:rsidRPr="00ED7F0F">
        <w:t>CML-CP a</w:t>
      </w:r>
      <w:r w:rsidR="00A4298D" w:rsidRPr="00ED7F0F">
        <w:t> </w:t>
      </w:r>
      <w:r w:rsidRPr="00ED7F0F">
        <w:t>46</w:t>
      </w:r>
      <w:r w:rsidR="00A4298D" w:rsidRPr="00ED7F0F">
        <w:t> </w:t>
      </w:r>
      <w:r w:rsidRPr="00ED7F0F">
        <w:t>pacientov (17</w:t>
      </w:r>
      <w:r w:rsidR="00A4298D" w:rsidRPr="00ED7F0F">
        <w:t> </w:t>
      </w:r>
      <w:r w:rsidRPr="00ED7F0F">
        <w:t>z</w:t>
      </w:r>
      <w:r w:rsidR="00A4298D" w:rsidRPr="00ED7F0F">
        <w:t> </w:t>
      </w:r>
      <w:r w:rsidRPr="00ED7F0F">
        <w:t>klinického skúšania I.</w:t>
      </w:r>
      <w:r w:rsidR="00A4298D" w:rsidRPr="00ED7F0F">
        <w:t> </w:t>
      </w:r>
      <w:r w:rsidRPr="00ED7F0F">
        <w:t>fázy a</w:t>
      </w:r>
      <w:r w:rsidR="00A4298D" w:rsidRPr="00ED7F0F">
        <w:t> </w:t>
      </w:r>
      <w:r w:rsidRPr="00ED7F0F">
        <w:t>29</w:t>
      </w:r>
      <w:r w:rsidR="00A4298D" w:rsidRPr="00ED7F0F">
        <w:t> </w:t>
      </w:r>
      <w:r w:rsidRPr="00ED7F0F">
        <w:t>z klinického skúšania II.</w:t>
      </w:r>
      <w:r w:rsidR="00A4298D" w:rsidRPr="00ED7F0F">
        <w:t> </w:t>
      </w:r>
      <w:r w:rsidRPr="00ED7F0F">
        <w:t>fázy) bolo rezistentných alebo intolerantných na predchádzajúcu liečbu imatinibom. Deväťdesiat sedem zo 130</w:t>
      </w:r>
      <w:r w:rsidR="00A4298D" w:rsidRPr="00ED7F0F">
        <w:t> </w:t>
      </w:r>
      <w:r w:rsidRPr="00ED7F0F">
        <w:t>pediatrických pacientov s</w:t>
      </w:r>
      <w:r w:rsidR="00A4298D" w:rsidRPr="00ED7F0F">
        <w:t> </w:t>
      </w:r>
      <w:r w:rsidRPr="00ED7F0F">
        <w:t xml:space="preserve">CML-CP sa liečilo </w:t>
      </w:r>
      <w:r w:rsidR="00A4298D" w:rsidRPr="00ED7F0F">
        <w:t>dasatinibom</w:t>
      </w:r>
      <w:r w:rsidRPr="00ED7F0F">
        <w:t xml:space="preserve"> tabletami v</w:t>
      </w:r>
      <w:r w:rsidR="00A4298D" w:rsidRPr="00ED7F0F">
        <w:t> </w:t>
      </w:r>
      <w:r w:rsidRPr="00ED7F0F">
        <w:t>dávke 60</w:t>
      </w:r>
      <w:r w:rsidR="00A4298D" w:rsidRPr="00ED7F0F">
        <w:t> </w:t>
      </w:r>
      <w:r w:rsidRPr="00ED7F0F">
        <w:t>mg/m</w:t>
      </w:r>
      <w:r w:rsidRPr="00ED7F0F">
        <w:rPr>
          <w:vertAlign w:val="superscript"/>
        </w:rPr>
        <w:t>2</w:t>
      </w:r>
      <w:r w:rsidRPr="00ED7F0F">
        <w:t xml:space="preserve"> jedenkrát denne (maximálna dávka 100</w:t>
      </w:r>
      <w:r w:rsidR="00A4298D" w:rsidRPr="00ED7F0F">
        <w:t> </w:t>
      </w:r>
      <w:r w:rsidRPr="00ED7F0F">
        <w:t>mg jedenkrát denne u</w:t>
      </w:r>
      <w:r w:rsidR="00A4298D" w:rsidRPr="00ED7F0F">
        <w:t> </w:t>
      </w:r>
      <w:r w:rsidRPr="00ED7F0F">
        <w:t>pacientov s</w:t>
      </w:r>
      <w:r w:rsidR="00A4298D" w:rsidRPr="00ED7F0F">
        <w:t> </w:t>
      </w:r>
      <w:r w:rsidRPr="00ED7F0F">
        <w:t xml:space="preserve">vyšším BSA). Pacienti sa liečili až do progresie ochorenia alebo do </w:t>
      </w:r>
      <w:r w:rsidR="00412D70" w:rsidRPr="00ED7F0F">
        <w:t>neakceptovateľnej</w:t>
      </w:r>
      <w:r w:rsidRPr="00ED7F0F">
        <w:t xml:space="preserve"> toxicity.</w:t>
      </w:r>
    </w:p>
    <w:p w:rsidR="00AE6D42" w:rsidRPr="00ED7F0F" w:rsidRDefault="00AE6D42" w:rsidP="00122C9F">
      <w:pPr>
        <w:spacing w:line="259" w:lineRule="auto"/>
        <w:ind w:left="34"/>
      </w:pPr>
    </w:p>
    <w:p w:rsidR="00AE6D42" w:rsidRPr="00ED7F0F" w:rsidRDefault="00AE6D42" w:rsidP="00122C9F">
      <w:pPr>
        <w:ind w:left="29"/>
      </w:pPr>
      <w:r w:rsidRPr="00ED7F0F">
        <w:t>Kľúčové koncové ukazovatele účinnosti boli: kompletná cytogenetická odpoveď (CCyR), veľká cytogenetická odpoveď (MCyR) a</w:t>
      </w:r>
      <w:r w:rsidR="00A4298D" w:rsidRPr="00ED7F0F">
        <w:t> </w:t>
      </w:r>
      <w:r w:rsidRPr="00ED7F0F">
        <w:t>veľká molekulárna odpoveď (MMR). Výsledky sú uvedené v</w:t>
      </w:r>
      <w:r w:rsidR="00A4298D" w:rsidRPr="00ED7F0F">
        <w:t> </w:t>
      </w:r>
      <w:r w:rsidRPr="00ED7F0F">
        <w:t>tabuľke 15.</w:t>
      </w:r>
    </w:p>
    <w:p w:rsidR="00AE6D42" w:rsidRPr="00ED7F0F" w:rsidRDefault="00AE6D42" w:rsidP="00122C9F">
      <w:pPr>
        <w:spacing w:line="259" w:lineRule="auto"/>
        <w:ind w:left="34"/>
        <w:rPr>
          <w:szCs w:val="22"/>
          <w:highlight w:val="lightGray"/>
        </w:rPr>
      </w:pPr>
    </w:p>
    <w:p w:rsidR="00AE6D42" w:rsidRPr="00ED7F0F" w:rsidRDefault="00AE6D42" w:rsidP="009A0932">
      <w:pPr>
        <w:tabs>
          <w:tab w:val="clear" w:pos="567"/>
          <w:tab w:val="left" w:pos="284"/>
        </w:tabs>
        <w:spacing w:after="2" w:line="259" w:lineRule="auto"/>
        <w:ind w:left="10"/>
        <w:rPr>
          <w:b/>
          <w:szCs w:val="22"/>
        </w:rPr>
      </w:pPr>
      <w:r w:rsidRPr="00ED7F0F">
        <w:rPr>
          <w:b/>
          <w:szCs w:val="22"/>
        </w:rPr>
        <w:t xml:space="preserve">Tabuľka 15: Účinnosť </w:t>
      </w:r>
      <w:r w:rsidR="00A4298D" w:rsidRPr="00ED7F0F">
        <w:rPr>
          <w:b/>
          <w:szCs w:val="22"/>
        </w:rPr>
        <w:t>dasatinibu</w:t>
      </w:r>
      <w:r w:rsidRPr="00ED7F0F">
        <w:rPr>
          <w:b/>
          <w:szCs w:val="22"/>
        </w:rPr>
        <w:t xml:space="preserve"> u</w:t>
      </w:r>
      <w:r w:rsidR="00A4298D" w:rsidRPr="00ED7F0F">
        <w:rPr>
          <w:b/>
          <w:szCs w:val="22"/>
        </w:rPr>
        <w:t> </w:t>
      </w:r>
      <w:r w:rsidRPr="00ED7F0F">
        <w:rPr>
          <w:b/>
          <w:szCs w:val="22"/>
        </w:rPr>
        <w:t>pediatrických pacientov s</w:t>
      </w:r>
      <w:r w:rsidR="00A4298D" w:rsidRPr="00ED7F0F">
        <w:rPr>
          <w:b/>
          <w:szCs w:val="22"/>
        </w:rPr>
        <w:t> </w:t>
      </w:r>
      <w:r w:rsidRPr="00ED7F0F">
        <w:rPr>
          <w:b/>
          <w:szCs w:val="22"/>
        </w:rPr>
        <w:t>CML-CP</w:t>
      </w:r>
    </w:p>
    <w:p w:rsidR="00AE6D42" w:rsidRPr="00ED7F0F" w:rsidRDefault="00AE6D42" w:rsidP="009A0932">
      <w:pPr>
        <w:tabs>
          <w:tab w:val="clear" w:pos="567"/>
          <w:tab w:val="left" w:pos="1276"/>
        </w:tabs>
        <w:spacing w:after="2" w:line="259" w:lineRule="auto"/>
        <w:ind w:left="1276"/>
        <w:rPr>
          <w:b/>
          <w:szCs w:val="22"/>
        </w:rPr>
      </w:pPr>
      <w:r w:rsidRPr="00ED7F0F">
        <w:rPr>
          <w:b/>
          <w:szCs w:val="22"/>
        </w:rPr>
        <w:t>Kumulatívna odpoveď v</w:t>
      </w:r>
      <w:r w:rsidR="00A4298D" w:rsidRPr="00ED7F0F">
        <w:rPr>
          <w:b/>
          <w:szCs w:val="22"/>
        </w:rPr>
        <w:t> </w:t>
      </w:r>
      <w:r w:rsidRPr="00ED7F0F">
        <w:rPr>
          <w:b/>
          <w:szCs w:val="22"/>
        </w:rPr>
        <w:t>priebehu času s</w:t>
      </w:r>
      <w:r w:rsidR="00A4298D" w:rsidRPr="00ED7F0F">
        <w:rPr>
          <w:b/>
          <w:szCs w:val="22"/>
        </w:rPr>
        <w:t> </w:t>
      </w:r>
      <w:r w:rsidRPr="00ED7F0F">
        <w:rPr>
          <w:b/>
          <w:szCs w:val="22"/>
        </w:rPr>
        <w:t>obdobím minimálneho následného sledovania</w:t>
      </w:r>
    </w:p>
    <w:tbl>
      <w:tblPr>
        <w:tblStyle w:val="TableGrid"/>
        <w:tblW w:w="8286" w:type="dxa"/>
        <w:jc w:val="center"/>
        <w:tblInd w:w="0" w:type="dxa"/>
        <w:tblCellMar>
          <w:right w:w="215" w:type="dxa"/>
        </w:tblCellMar>
        <w:tblLook w:val="04A0" w:firstRow="1" w:lastRow="0" w:firstColumn="1" w:lastColumn="0" w:noHBand="0" w:noVBand="1"/>
      </w:tblPr>
      <w:tblGrid>
        <w:gridCol w:w="2658"/>
        <w:gridCol w:w="1380"/>
        <w:gridCol w:w="1393"/>
        <w:gridCol w:w="1497"/>
        <w:gridCol w:w="1358"/>
      </w:tblGrid>
      <w:tr w:rsidR="00AE6D42" w:rsidRPr="00ED7F0F" w:rsidTr="009A0932">
        <w:trPr>
          <w:trHeight w:val="249"/>
          <w:jc w:val="center"/>
        </w:trPr>
        <w:tc>
          <w:tcPr>
            <w:tcW w:w="2658" w:type="dxa"/>
            <w:tcBorders>
              <w:top w:val="single" w:sz="4" w:space="0" w:color="000000"/>
              <w:left w:val="single" w:sz="4" w:space="0" w:color="auto"/>
              <w:bottom w:val="single" w:sz="5" w:space="0" w:color="000000"/>
              <w:right w:val="single" w:sz="4" w:space="0" w:color="auto"/>
            </w:tcBorders>
          </w:tcPr>
          <w:p w:rsidR="00AE6D42" w:rsidRPr="00ED7F0F" w:rsidRDefault="00AE6D42" w:rsidP="00122C9F">
            <w:pPr>
              <w:tabs>
                <w:tab w:val="clear" w:pos="567"/>
                <w:tab w:val="left" w:pos="0"/>
              </w:tabs>
              <w:spacing w:line="240" w:lineRule="auto"/>
              <w:jc w:val="center"/>
              <w:rPr>
                <w:rFonts w:ascii="Times New Roman" w:hAnsi="Times New Roman" w:cs="Times New Roman"/>
                <w:b/>
                <w:color w:val="231F20"/>
                <w:sz w:val="20"/>
                <w:szCs w:val="20"/>
                <w:lang w:eastAsia="en-GB" w:bidi="ar-SA"/>
              </w:rPr>
            </w:pPr>
            <w:r w:rsidRPr="00ED7F0F">
              <w:rPr>
                <w:rFonts w:ascii="Times New Roman" w:hAnsi="Times New Roman" w:cs="Times New Roman"/>
                <w:b/>
                <w:color w:val="231F20"/>
                <w:sz w:val="20"/>
                <w:lang w:eastAsia="en-GB" w:bidi="ar-SA"/>
              </w:rPr>
              <w:t xml:space="preserve"> </w:t>
            </w:r>
          </w:p>
        </w:tc>
        <w:tc>
          <w:tcPr>
            <w:tcW w:w="1380" w:type="dxa"/>
            <w:tcBorders>
              <w:top w:val="single" w:sz="4" w:space="0" w:color="000000"/>
              <w:left w:val="single" w:sz="4" w:space="0" w:color="auto"/>
              <w:bottom w:val="single" w:sz="5" w:space="0" w:color="000000"/>
              <w:right w:val="single" w:sz="4" w:space="0" w:color="auto"/>
            </w:tcBorders>
          </w:tcPr>
          <w:p w:rsidR="00AE6D42" w:rsidRPr="00ED7F0F" w:rsidRDefault="00AE6D42" w:rsidP="00122C9F">
            <w:pPr>
              <w:tabs>
                <w:tab w:val="clear" w:pos="567"/>
                <w:tab w:val="left" w:pos="0"/>
              </w:tabs>
              <w:spacing w:line="240" w:lineRule="auto"/>
              <w:jc w:val="center"/>
              <w:rPr>
                <w:rFonts w:ascii="Times New Roman" w:hAnsi="Times New Roman" w:cs="Times New Roman"/>
                <w:b/>
                <w:color w:val="231F20"/>
                <w:sz w:val="20"/>
                <w:szCs w:val="20"/>
                <w:lang w:eastAsia="en-GB" w:bidi="ar-SA"/>
              </w:rPr>
            </w:pPr>
            <w:r w:rsidRPr="00ED7F0F">
              <w:rPr>
                <w:rFonts w:ascii="Times New Roman" w:hAnsi="Times New Roman" w:cs="Times New Roman"/>
                <w:b/>
                <w:color w:val="231F20"/>
                <w:sz w:val="20"/>
                <w:lang w:eastAsia="en-GB" w:bidi="ar-SA"/>
              </w:rPr>
              <w:t>3</w:t>
            </w:r>
            <w:r w:rsidR="007D7623" w:rsidRPr="00ED7F0F">
              <w:rPr>
                <w:rFonts w:ascii="Times New Roman" w:hAnsi="Times New Roman" w:cs="Times New Roman"/>
                <w:b/>
                <w:color w:val="231F20"/>
                <w:sz w:val="20"/>
                <w:lang w:eastAsia="en-GB" w:bidi="ar-SA"/>
              </w:rPr>
              <w:t> </w:t>
            </w:r>
            <w:r w:rsidRPr="00ED7F0F">
              <w:rPr>
                <w:rFonts w:ascii="Times New Roman" w:hAnsi="Times New Roman" w:cs="Times New Roman"/>
                <w:b/>
                <w:color w:val="231F20"/>
                <w:sz w:val="20"/>
                <w:lang w:eastAsia="en-GB" w:bidi="ar-SA"/>
              </w:rPr>
              <w:t>mesiace</w:t>
            </w:r>
          </w:p>
        </w:tc>
        <w:tc>
          <w:tcPr>
            <w:tcW w:w="1393" w:type="dxa"/>
            <w:tcBorders>
              <w:top w:val="single" w:sz="4" w:space="0" w:color="000000"/>
              <w:left w:val="single" w:sz="4" w:space="0" w:color="auto"/>
              <w:bottom w:val="single" w:sz="5" w:space="0" w:color="000000"/>
              <w:right w:val="single" w:sz="4" w:space="0" w:color="auto"/>
            </w:tcBorders>
          </w:tcPr>
          <w:p w:rsidR="00AE6D42" w:rsidRPr="00ED7F0F" w:rsidRDefault="00AE6D42" w:rsidP="00122C9F">
            <w:pPr>
              <w:tabs>
                <w:tab w:val="clear" w:pos="567"/>
                <w:tab w:val="left" w:pos="0"/>
              </w:tabs>
              <w:spacing w:line="240" w:lineRule="auto"/>
              <w:jc w:val="center"/>
              <w:rPr>
                <w:rFonts w:ascii="Times New Roman" w:hAnsi="Times New Roman" w:cs="Times New Roman"/>
                <w:b/>
                <w:color w:val="231F20"/>
                <w:sz w:val="20"/>
                <w:szCs w:val="20"/>
                <w:lang w:eastAsia="en-GB" w:bidi="ar-SA"/>
              </w:rPr>
            </w:pPr>
            <w:r w:rsidRPr="00ED7F0F">
              <w:rPr>
                <w:rFonts w:ascii="Times New Roman" w:hAnsi="Times New Roman" w:cs="Times New Roman"/>
                <w:b/>
                <w:color w:val="231F20"/>
                <w:sz w:val="20"/>
                <w:lang w:eastAsia="en-GB" w:bidi="ar-SA"/>
              </w:rPr>
              <w:t>6</w:t>
            </w:r>
            <w:r w:rsidR="007D7623" w:rsidRPr="00ED7F0F">
              <w:rPr>
                <w:rFonts w:ascii="Times New Roman" w:hAnsi="Times New Roman" w:cs="Times New Roman"/>
                <w:b/>
                <w:color w:val="231F20"/>
                <w:sz w:val="20"/>
                <w:lang w:eastAsia="en-GB" w:bidi="ar-SA"/>
              </w:rPr>
              <w:t> </w:t>
            </w:r>
            <w:r w:rsidRPr="00ED7F0F">
              <w:rPr>
                <w:rFonts w:ascii="Times New Roman" w:hAnsi="Times New Roman" w:cs="Times New Roman"/>
                <w:b/>
                <w:color w:val="231F20"/>
                <w:sz w:val="20"/>
                <w:lang w:eastAsia="en-GB" w:bidi="ar-SA"/>
              </w:rPr>
              <w:t>mesiacov</w:t>
            </w:r>
          </w:p>
        </w:tc>
        <w:tc>
          <w:tcPr>
            <w:tcW w:w="1497" w:type="dxa"/>
            <w:tcBorders>
              <w:top w:val="single" w:sz="4" w:space="0" w:color="000000"/>
              <w:left w:val="single" w:sz="4" w:space="0" w:color="auto"/>
              <w:bottom w:val="single" w:sz="5" w:space="0" w:color="000000"/>
              <w:right w:val="single" w:sz="4" w:space="0" w:color="auto"/>
            </w:tcBorders>
          </w:tcPr>
          <w:p w:rsidR="00AE6D42" w:rsidRPr="00ED7F0F" w:rsidRDefault="00AE6D42" w:rsidP="00122C9F">
            <w:pPr>
              <w:tabs>
                <w:tab w:val="clear" w:pos="567"/>
                <w:tab w:val="left" w:pos="0"/>
              </w:tabs>
              <w:spacing w:line="240" w:lineRule="auto"/>
              <w:jc w:val="center"/>
              <w:rPr>
                <w:rFonts w:ascii="Times New Roman" w:hAnsi="Times New Roman" w:cs="Times New Roman"/>
                <w:b/>
                <w:color w:val="231F20"/>
                <w:sz w:val="20"/>
                <w:szCs w:val="20"/>
                <w:lang w:eastAsia="en-GB" w:bidi="ar-SA"/>
              </w:rPr>
            </w:pPr>
            <w:r w:rsidRPr="00ED7F0F">
              <w:rPr>
                <w:rFonts w:ascii="Times New Roman" w:hAnsi="Times New Roman" w:cs="Times New Roman"/>
                <w:b/>
                <w:color w:val="231F20"/>
                <w:sz w:val="20"/>
                <w:lang w:eastAsia="en-GB" w:bidi="ar-SA"/>
              </w:rPr>
              <w:t>12</w:t>
            </w:r>
            <w:r w:rsidR="007D7623" w:rsidRPr="00ED7F0F">
              <w:rPr>
                <w:rFonts w:ascii="Times New Roman" w:hAnsi="Times New Roman" w:cs="Times New Roman"/>
                <w:b/>
                <w:color w:val="231F20"/>
                <w:sz w:val="20"/>
                <w:lang w:eastAsia="en-GB" w:bidi="ar-SA"/>
              </w:rPr>
              <w:t> </w:t>
            </w:r>
            <w:r w:rsidRPr="00ED7F0F">
              <w:rPr>
                <w:rFonts w:ascii="Times New Roman" w:hAnsi="Times New Roman" w:cs="Times New Roman"/>
                <w:b/>
                <w:color w:val="231F20"/>
                <w:sz w:val="20"/>
                <w:lang w:eastAsia="en-GB" w:bidi="ar-SA"/>
              </w:rPr>
              <w:t>mesiacov</w:t>
            </w:r>
          </w:p>
        </w:tc>
        <w:tc>
          <w:tcPr>
            <w:tcW w:w="1358" w:type="dxa"/>
            <w:tcBorders>
              <w:top w:val="single" w:sz="4" w:space="0" w:color="000000"/>
              <w:left w:val="single" w:sz="4" w:space="0" w:color="auto"/>
              <w:bottom w:val="single" w:sz="5" w:space="0" w:color="000000"/>
              <w:right w:val="single" w:sz="4" w:space="0" w:color="auto"/>
            </w:tcBorders>
          </w:tcPr>
          <w:p w:rsidR="00AE6D42" w:rsidRPr="00ED7F0F" w:rsidRDefault="00AE6D42" w:rsidP="00122C9F">
            <w:pPr>
              <w:tabs>
                <w:tab w:val="clear" w:pos="567"/>
                <w:tab w:val="left" w:pos="0"/>
              </w:tabs>
              <w:spacing w:line="240" w:lineRule="auto"/>
              <w:jc w:val="center"/>
              <w:rPr>
                <w:rFonts w:ascii="Times New Roman" w:hAnsi="Times New Roman" w:cs="Times New Roman"/>
                <w:b/>
                <w:color w:val="231F20"/>
                <w:sz w:val="20"/>
                <w:szCs w:val="20"/>
                <w:lang w:eastAsia="en-GB" w:bidi="ar-SA"/>
              </w:rPr>
            </w:pPr>
            <w:r w:rsidRPr="00ED7F0F">
              <w:rPr>
                <w:rFonts w:ascii="Times New Roman" w:hAnsi="Times New Roman" w:cs="Times New Roman"/>
                <w:b/>
                <w:color w:val="231F20"/>
                <w:sz w:val="20"/>
                <w:lang w:eastAsia="en-GB" w:bidi="ar-SA"/>
              </w:rPr>
              <w:t>24</w:t>
            </w:r>
            <w:r w:rsidR="007D7623" w:rsidRPr="00ED7F0F">
              <w:rPr>
                <w:rFonts w:ascii="Times New Roman" w:hAnsi="Times New Roman" w:cs="Times New Roman"/>
                <w:b/>
                <w:color w:val="231F20"/>
                <w:sz w:val="20"/>
                <w:lang w:eastAsia="en-GB" w:bidi="ar-SA"/>
              </w:rPr>
              <w:t> </w:t>
            </w:r>
            <w:r w:rsidRPr="00ED7F0F">
              <w:rPr>
                <w:rFonts w:ascii="Times New Roman" w:hAnsi="Times New Roman" w:cs="Times New Roman"/>
                <w:b/>
                <w:color w:val="231F20"/>
                <w:sz w:val="20"/>
                <w:lang w:eastAsia="en-GB" w:bidi="ar-SA"/>
              </w:rPr>
              <w:t>mesiacov</w:t>
            </w:r>
          </w:p>
        </w:tc>
      </w:tr>
      <w:tr w:rsidR="00AE6D42" w:rsidRPr="00ED7F0F" w:rsidTr="009A0932">
        <w:trPr>
          <w:trHeight w:val="321"/>
          <w:jc w:val="center"/>
        </w:trPr>
        <w:tc>
          <w:tcPr>
            <w:tcW w:w="2658" w:type="dxa"/>
            <w:tcBorders>
              <w:top w:val="single" w:sz="5" w:space="0" w:color="000000"/>
              <w:left w:val="single" w:sz="4" w:space="0" w:color="auto"/>
              <w:bottom w:val="single" w:sz="4" w:space="0" w:color="auto"/>
              <w:right w:val="single" w:sz="4" w:space="0" w:color="auto"/>
            </w:tcBorders>
          </w:tcPr>
          <w:p w:rsidR="00AE6D42" w:rsidRPr="00ED7F0F" w:rsidRDefault="00AE6D42" w:rsidP="00122C9F">
            <w:pPr>
              <w:tabs>
                <w:tab w:val="left" w:pos="0"/>
              </w:tabs>
              <w:spacing w:line="240" w:lineRule="auto"/>
              <w:ind w:left="115"/>
              <w:rPr>
                <w:rFonts w:ascii="Times New Roman" w:hAnsi="Times New Roman" w:cs="Times New Roman"/>
                <w:sz w:val="20"/>
                <w:szCs w:val="20"/>
              </w:rPr>
            </w:pPr>
            <w:r w:rsidRPr="00ED7F0F">
              <w:rPr>
                <w:rFonts w:ascii="Times New Roman" w:hAnsi="Times New Roman" w:cs="Times New Roman"/>
                <w:b/>
                <w:sz w:val="20"/>
              </w:rPr>
              <w:t>CCyR</w:t>
            </w:r>
          </w:p>
        </w:tc>
        <w:tc>
          <w:tcPr>
            <w:tcW w:w="1380" w:type="dxa"/>
            <w:tcBorders>
              <w:top w:val="single" w:sz="5" w:space="0" w:color="000000"/>
              <w:left w:val="single" w:sz="4" w:space="0" w:color="auto"/>
              <w:bottom w:val="single" w:sz="4" w:space="0" w:color="auto"/>
              <w:right w:val="single" w:sz="4" w:space="0" w:color="auto"/>
            </w:tcBorders>
          </w:tcPr>
          <w:p w:rsidR="00AE6D42" w:rsidRPr="00ED7F0F" w:rsidRDefault="00AE6D42" w:rsidP="00122C9F">
            <w:pPr>
              <w:tabs>
                <w:tab w:val="left" w:pos="0"/>
              </w:tabs>
              <w:spacing w:line="240" w:lineRule="auto"/>
              <w:jc w:val="center"/>
              <w:rPr>
                <w:rFonts w:ascii="Times New Roman" w:hAnsi="Times New Roman" w:cs="Times New Roman"/>
                <w:sz w:val="20"/>
                <w:szCs w:val="20"/>
              </w:rPr>
            </w:pPr>
          </w:p>
        </w:tc>
        <w:tc>
          <w:tcPr>
            <w:tcW w:w="1393" w:type="dxa"/>
            <w:tcBorders>
              <w:top w:val="single" w:sz="5" w:space="0" w:color="000000"/>
              <w:left w:val="single" w:sz="4" w:space="0" w:color="auto"/>
              <w:bottom w:val="single" w:sz="4" w:space="0" w:color="auto"/>
              <w:right w:val="single" w:sz="4" w:space="0" w:color="auto"/>
            </w:tcBorders>
          </w:tcPr>
          <w:p w:rsidR="00AE6D42" w:rsidRPr="00ED7F0F" w:rsidRDefault="00AE6D42" w:rsidP="00122C9F">
            <w:pPr>
              <w:tabs>
                <w:tab w:val="left" w:pos="0"/>
              </w:tabs>
              <w:spacing w:line="240" w:lineRule="auto"/>
              <w:jc w:val="center"/>
              <w:rPr>
                <w:rFonts w:ascii="Times New Roman" w:hAnsi="Times New Roman" w:cs="Times New Roman"/>
                <w:sz w:val="20"/>
                <w:szCs w:val="20"/>
              </w:rPr>
            </w:pPr>
          </w:p>
        </w:tc>
        <w:tc>
          <w:tcPr>
            <w:tcW w:w="1497" w:type="dxa"/>
            <w:tcBorders>
              <w:top w:val="single" w:sz="5" w:space="0" w:color="000000"/>
              <w:left w:val="single" w:sz="4" w:space="0" w:color="auto"/>
              <w:bottom w:val="single" w:sz="4" w:space="0" w:color="auto"/>
              <w:right w:val="single" w:sz="4" w:space="0" w:color="auto"/>
            </w:tcBorders>
          </w:tcPr>
          <w:p w:rsidR="00AE6D42" w:rsidRPr="00ED7F0F" w:rsidRDefault="00AE6D42" w:rsidP="00122C9F">
            <w:pPr>
              <w:tabs>
                <w:tab w:val="left" w:pos="0"/>
              </w:tabs>
              <w:spacing w:line="240" w:lineRule="auto"/>
              <w:ind w:left="46"/>
              <w:jc w:val="center"/>
              <w:rPr>
                <w:rFonts w:ascii="Times New Roman" w:hAnsi="Times New Roman" w:cs="Times New Roman"/>
                <w:sz w:val="20"/>
                <w:szCs w:val="20"/>
              </w:rPr>
            </w:pPr>
          </w:p>
        </w:tc>
        <w:tc>
          <w:tcPr>
            <w:tcW w:w="1358" w:type="dxa"/>
            <w:tcBorders>
              <w:top w:val="single" w:sz="5" w:space="0" w:color="000000"/>
              <w:left w:val="single" w:sz="4" w:space="0" w:color="auto"/>
              <w:bottom w:val="single" w:sz="4" w:space="0" w:color="auto"/>
              <w:right w:val="single" w:sz="4" w:space="0" w:color="auto"/>
            </w:tcBorders>
            <w:vAlign w:val="bottom"/>
          </w:tcPr>
          <w:p w:rsidR="00AE6D42" w:rsidRPr="00ED7F0F" w:rsidRDefault="00AE6D42" w:rsidP="00122C9F">
            <w:pPr>
              <w:tabs>
                <w:tab w:val="left" w:pos="0"/>
              </w:tabs>
              <w:spacing w:line="240" w:lineRule="auto"/>
              <w:ind w:left="48"/>
              <w:jc w:val="center"/>
              <w:rPr>
                <w:rFonts w:ascii="Times New Roman" w:hAnsi="Times New Roman" w:cs="Times New Roman"/>
                <w:sz w:val="20"/>
                <w:szCs w:val="20"/>
              </w:rPr>
            </w:pPr>
          </w:p>
        </w:tc>
      </w:tr>
      <w:tr w:rsidR="007D7623" w:rsidRPr="00ED7F0F" w:rsidTr="009A0932">
        <w:trPr>
          <w:trHeight w:val="210"/>
          <w:jc w:val="center"/>
        </w:trPr>
        <w:tc>
          <w:tcPr>
            <w:tcW w:w="2658" w:type="dxa"/>
            <w:tcBorders>
              <w:top w:val="single" w:sz="4" w:space="0" w:color="auto"/>
              <w:left w:val="single" w:sz="4" w:space="0" w:color="auto"/>
              <w:bottom w:val="single" w:sz="4" w:space="0" w:color="auto"/>
              <w:right w:val="single" w:sz="4" w:space="0" w:color="auto"/>
            </w:tcBorders>
          </w:tcPr>
          <w:p w:rsidR="007D7623" w:rsidRPr="00ED7F0F" w:rsidRDefault="007D7623" w:rsidP="00122C9F">
            <w:pPr>
              <w:tabs>
                <w:tab w:val="left" w:pos="0"/>
              </w:tabs>
              <w:spacing w:line="240" w:lineRule="auto"/>
              <w:ind w:left="115"/>
              <w:rPr>
                <w:rFonts w:ascii="Times New Roman" w:hAnsi="Times New Roman" w:cs="Times New Roman"/>
                <w:b/>
                <w:sz w:val="20"/>
                <w:szCs w:val="20"/>
              </w:rPr>
            </w:pPr>
            <w:r w:rsidRPr="00ED7F0F">
              <w:rPr>
                <w:rFonts w:ascii="Times New Roman" w:hAnsi="Times New Roman" w:cs="Times New Roman"/>
                <w:b/>
                <w:sz w:val="20"/>
              </w:rPr>
              <w:t>(</w:t>
            </w:r>
            <w:r w:rsidRPr="00ED7F0F">
              <w:rPr>
                <w:rFonts w:ascii="Times New Roman" w:hAnsi="Times New Roman" w:cs="Times New Roman"/>
                <w:b/>
                <w:color w:val="231F20"/>
                <w:sz w:val="20"/>
                <w:lang w:eastAsia="en-GB" w:bidi="ar-SA"/>
              </w:rPr>
              <w:t xml:space="preserve">95 % CI) </w:t>
            </w:r>
          </w:p>
        </w:tc>
        <w:tc>
          <w:tcPr>
            <w:tcW w:w="1380" w:type="dxa"/>
            <w:tcBorders>
              <w:top w:val="single" w:sz="4" w:space="0" w:color="auto"/>
              <w:left w:val="single" w:sz="4" w:space="0" w:color="auto"/>
              <w:bottom w:val="single" w:sz="4" w:space="0" w:color="auto"/>
              <w:right w:val="single" w:sz="4" w:space="0" w:color="auto"/>
            </w:tcBorders>
          </w:tcPr>
          <w:p w:rsidR="007D7623" w:rsidRPr="00ED7F0F" w:rsidRDefault="007D7623" w:rsidP="00122C9F">
            <w:pPr>
              <w:tabs>
                <w:tab w:val="left" w:pos="0"/>
              </w:tabs>
              <w:spacing w:line="240" w:lineRule="auto"/>
              <w:ind w:left="194"/>
              <w:jc w:val="center"/>
              <w:rPr>
                <w:rFonts w:ascii="Times New Roman" w:hAnsi="Times New Roman" w:cs="Times New Roman"/>
                <w:sz w:val="20"/>
                <w:szCs w:val="20"/>
              </w:rPr>
            </w:pPr>
          </w:p>
        </w:tc>
        <w:tc>
          <w:tcPr>
            <w:tcW w:w="1393" w:type="dxa"/>
            <w:tcBorders>
              <w:top w:val="single" w:sz="4" w:space="0" w:color="auto"/>
              <w:left w:val="single" w:sz="4" w:space="0" w:color="auto"/>
              <w:bottom w:val="single" w:sz="4" w:space="0" w:color="auto"/>
              <w:right w:val="single" w:sz="4" w:space="0" w:color="auto"/>
            </w:tcBorders>
          </w:tcPr>
          <w:p w:rsidR="007D7623" w:rsidRPr="00ED7F0F" w:rsidRDefault="007D7623" w:rsidP="00122C9F">
            <w:pPr>
              <w:tabs>
                <w:tab w:val="left" w:pos="0"/>
              </w:tabs>
              <w:spacing w:line="240" w:lineRule="auto"/>
              <w:ind w:left="194"/>
              <w:jc w:val="center"/>
              <w:rPr>
                <w:rFonts w:ascii="Times New Roman" w:hAnsi="Times New Roman" w:cs="Times New Roman"/>
                <w:sz w:val="20"/>
                <w:szCs w:val="20"/>
              </w:rPr>
            </w:pPr>
          </w:p>
        </w:tc>
        <w:tc>
          <w:tcPr>
            <w:tcW w:w="1497" w:type="dxa"/>
            <w:tcBorders>
              <w:top w:val="single" w:sz="4" w:space="0" w:color="auto"/>
              <w:left w:val="single" w:sz="4" w:space="0" w:color="auto"/>
              <w:bottom w:val="single" w:sz="4" w:space="0" w:color="auto"/>
              <w:right w:val="single" w:sz="4" w:space="0" w:color="auto"/>
            </w:tcBorders>
          </w:tcPr>
          <w:p w:rsidR="007D7623" w:rsidRPr="00ED7F0F" w:rsidRDefault="007D7623" w:rsidP="00122C9F">
            <w:pPr>
              <w:tabs>
                <w:tab w:val="left" w:pos="0"/>
              </w:tabs>
              <w:spacing w:line="240" w:lineRule="auto"/>
              <w:ind w:left="240"/>
              <w:jc w:val="center"/>
              <w:rPr>
                <w:rFonts w:ascii="Times New Roman"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vAlign w:val="bottom"/>
          </w:tcPr>
          <w:p w:rsidR="007D7623" w:rsidRPr="00ED7F0F" w:rsidRDefault="007D7623" w:rsidP="00122C9F">
            <w:pPr>
              <w:tabs>
                <w:tab w:val="left" w:pos="0"/>
              </w:tabs>
              <w:spacing w:line="240" w:lineRule="auto"/>
              <w:ind w:left="241"/>
              <w:jc w:val="center"/>
              <w:rPr>
                <w:rFonts w:ascii="Times New Roman" w:hAnsi="Times New Roman" w:cs="Times New Roman"/>
                <w:sz w:val="20"/>
                <w:szCs w:val="20"/>
              </w:rPr>
            </w:pPr>
          </w:p>
        </w:tc>
      </w:tr>
      <w:tr w:rsidR="007D7623" w:rsidRPr="00ED7F0F" w:rsidTr="009A0932">
        <w:trPr>
          <w:trHeight w:val="330"/>
          <w:jc w:val="center"/>
        </w:trPr>
        <w:tc>
          <w:tcPr>
            <w:tcW w:w="2658" w:type="dxa"/>
            <w:tcBorders>
              <w:top w:val="single" w:sz="4" w:space="0" w:color="auto"/>
              <w:left w:val="single" w:sz="4" w:space="0" w:color="auto"/>
              <w:bottom w:val="single" w:sz="4" w:space="0" w:color="auto"/>
              <w:right w:val="single" w:sz="4" w:space="0" w:color="auto"/>
            </w:tcBorders>
          </w:tcPr>
          <w:p w:rsidR="007D7623" w:rsidRPr="00ED7F0F" w:rsidRDefault="007D7623" w:rsidP="009A0932">
            <w:pPr>
              <w:tabs>
                <w:tab w:val="clear" w:pos="567"/>
                <w:tab w:val="left" w:pos="0"/>
              </w:tabs>
              <w:spacing w:before="120" w:line="240" w:lineRule="auto"/>
              <w:ind w:left="79"/>
              <w:rPr>
                <w:rFonts w:ascii="Times New Roman" w:hAnsi="Times New Roman" w:cs="Times New Roman"/>
                <w:color w:val="231F20"/>
                <w:sz w:val="20"/>
                <w:szCs w:val="20"/>
                <w:lang w:eastAsia="en-GB" w:bidi="ar-SA"/>
              </w:rPr>
            </w:pPr>
            <w:r w:rsidRPr="00ED7F0F">
              <w:rPr>
                <w:rFonts w:ascii="Times New Roman" w:hAnsi="Times New Roman" w:cs="Times New Roman"/>
                <w:color w:val="231F20"/>
                <w:sz w:val="20"/>
                <w:lang w:eastAsia="en-GB" w:bidi="ar-SA"/>
              </w:rPr>
              <w:t>Novodiagnostikovaní</w:t>
            </w:r>
          </w:p>
        </w:tc>
        <w:tc>
          <w:tcPr>
            <w:tcW w:w="1380" w:type="dxa"/>
            <w:tcBorders>
              <w:top w:val="single" w:sz="4" w:space="0" w:color="auto"/>
              <w:left w:val="single" w:sz="4" w:space="0" w:color="auto"/>
              <w:bottom w:val="single" w:sz="4" w:space="0" w:color="auto"/>
              <w:right w:val="single" w:sz="4" w:space="0" w:color="auto"/>
            </w:tcBorders>
          </w:tcPr>
          <w:p w:rsidR="007D7623" w:rsidRPr="00ED7F0F" w:rsidRDefault="007D7623" w:rsidP="009A0932">
            <w:pPr>
              <w:tabs>
                <w:tab w:val="left" w:pos="0"/>
              </w:tabs>
              <w:spacing w:before="120" w:line="240" w:lineRule="auto"/>
              <w:jc w:val="center"/>
              <w:rPr>
                <w:rFonts w:ascii="Times New Roman" w:hAnsi="Times New Roman" w:cs="Times New Roman"/>
                <w:sz w:val="20"/>
                <w:szCs w:val="20"/>
              </w:rPr>
            </w:pPr>
            <w:r w:rsidRPr="00ED7F0F">
              <w:rPr>
                <w:rFonts w:ascii="Times New Roman" w:hAnsi="Times New Roman" w:cs="Times New Roman"/>
                <w:sz w:val="20"/>
              </w:rPr>
              <w:t>43,1 %</w:t>
            </w:r>
          </w:p>
        </w:tc>
        <w:tc>
          <w:tcPr>
            <w:tcW w:w="1393" w:type="dxa"/>
            <w:tcBorders>
              <w:top w:val="single" w:sz="4" w:space="0" w:color="auto"/>
              <w:left w:val="single" w:sz="4" w:space="0" w:color="auto"/>
              <w:bottom w:val="single" w:sz="4" w:space="0" w:color="auto"/>
              <w:right w:val="single" w:sz="4" w:space="0" w:color="auto"/>
            </w:tcBorders>
          </w:tcPr>
          <w:p w:rsidR="007D7623" w:rsidRPr="00ED7F0F" w:rsidRDefault="007D7623" w:rsidP="009A0932">
            <w:pPr>
              <w:tabs>
                <w:tab w:val="left" w:pos="0"/>
              </w:tabs>
              <w:spacing w:before="120" w:line="240" w:lineRule="auto"/>
              <w:jc w:val="center"/>
              <w:rPr>
                <w:rFonts w:ascii="Times New Roman" w:hAnsi="Times New Roman" w:cs="Times New Roman"/>
                <w:sz w:val="20"/>
                <w:szCs w:val="20"/>
              </w:rPr>
            </w:pPr>
            <w:r w:rsidRPr="00ED7F0F">
              <w:rPr>
                <w:rFonts w:ascii="Times New Roman" w:hAnsi="Times New Roman" w:cs="Times New Roman"/>
                <w:sz w:val="20"/>
              </w:rPr>
              <w:t>66,7 %</w:t>
            </w:r>
          </w:p>
        </w:tc>
        <w:tc>
          <w:tcPr>
            <w:tcW w:w="1497" w:type="dxa"/>
            <w:tcBorders>
              <w:top w:val="single" w:sz="4" w:space="0" w:color="auto"/>
              <w:left w:val="single" w:sz="4" w:space="0" w:color="auto"/>
              <w:bottom w:val="single" w:sz="4" w:space="0" w:color="auto"/>
              <w:right w:val="single" w:sz="4" w:space="0" w:color="auto"/>
            </w:tcBorders>
          </w:tcPr>
          <w:p w:rsidR="007D7623" w:rsidRPr="00ED7F0F" w:rsidRDefault="007D7623" w:rsidP="009A0932">
            <w:pPr>
              <w:tabs>
                <w:tab w:val="left" w:pos="0"/>
              </w:tabs>
              <w:spacing w:before="120" w:line="240" w:lineRule="auto"/>
              <w:jc w:val="center"/>
              <w:rPr>
                <w:rFonts w:ascii="Times New Roman" w:hAnsi="Times New Roman" w:cs="Times New Roman"/>
                <w:sz w:val="20"/>
                <w:szCs w:val="20"/>
              </w:rPr>
            </w:pPr>
            <w:r w:rsidRPr="00ED7F0F">
              <w:rPr>
                <w:rFonts w:ascii="Times New Roman" w:hAnsi="Times New Roman" w:cs="Times New Roman"/>
                <w:sz w:val="20"/>
              </w:rPr>
              <w:t>96,1 %</w:t>
            </w:r>
          </w:p>
        </w:tc>
        <w:tc>
          <w:tcPr>
            <w:tcW w:w="1358" w:type="dxa"/>
            <w:tcBorders>
              <w:top w:val="single" w:sz="4" w:space="0" w:color="auto"/>
              <w:left w:val="single" w:sz="4" w:space="0" w:color="auto"/>
              <w:bottom w:val="single" w:sz="4" w:space="0" w:color="auto"/>
              <w:right w:val="single" w:sz="4" w:space="0" w:color="auto"/>
            </w:tcBorders>
            <w:vAlign w:val="bottom"/>
          </w:tcPr>
          <w:p w:rsidR="007D7623" w:rsidRPr="00ED7F0F" w:rsidRDefault="007D7623" w:rsidP="009A0932">
            <w:pPr>
              <w:tabs>
                <w:tab w:val="left" w:pos="0"/>
              </w:tabs>
              <w:spacing w:before="120" w:line="240" w:lineRule="auto"/>
              <w:jc w:val="center"/>
              <w:rPr>
                <w:rFonts w:ascii="Times New Roman" w:hAnsi="Times New Roman" w:cs="Times New Roman"/>
                <w:sz w:val="20"/>
                <w:szCs w:val="20"/>
              </w:rPr>
            </w:pPr>
            <w:r w:rsidRPr="00ED7F0F">
              <w:rPr>
                <w:rFonts w:ascii="Times New Roman" w:hAnsi="Times New Roman" w:cs="Times New Roman"/>
                <w:sz w:val="20"/>
              </w:rPr>
              <w:t>96,1 %</w:t>
            </w:r>
          </w:p>
        </w:tc>
      </w:tr>
      <w:tr w:rsidR="007D7623" w:rsidRPr="00ED7F0F" w:rsidTr="009A0932">
        <w:trPr>
          <w:trHeight w:val="310"/>
          <w:jc w:val="center"/>
        </w:trPr>
        <w:tc>
          <w:tcPr>
            <w:tcW w:w="2658" w:type="dxa"/>
            <w:tcBorders>
              <w:top w:val="single" w:sz="4" w:space="0" w:color="auto"/>
              <w:left w:val="single" w:sz="4" w:space="0" w:color="auto"/>
              <w:bottom w:val="single" w:sz="4" w:space="0" w:color="auto"/>
              <w:right w:val="single" w:sz="4" w:space="0" w:color="auto"/>
            </w:tcBorders>
          </w:tcPr>
          <w:p w:rsidR="007D7623" w:rsidRPr="00ED7F0F" w:rsidRDefault="007D7623" w:rsidP="009A0932">
            <w:pPr>
              <w:tabs>
                <w:tab w:val="left" w:pos="0"/>
              </w:tabs>
              <w:spacing w:line="240" w:lineRule="auto"/>
              <w:ind w:left="79"/>
              <w:rPr>
                <w:rFonts w:ascii="Times New Roman" w:hAnsi="Times New Roman" w:cs="Times New Roman"/>
                <w:b/>
                <w:sz w:val="20"/>
                <w:szCs w:val="20"/>
              </w:rPr>
            </w:pPr>
            <w:r w:rsidRPr="00ED7F0F">
              <w:rPr>
                <w:rFonts w:ascii="Times New Roman" w:hAnsi="Times New Roman" w:cs="Times New Roman"/>
                <w:sz w:val="20"/>
              </w:rPr>
              <w:t>(N = 51)</w:t>
            </w:r>
            <w:r w:rsidRPr="00ED7F0F">
              <w:rPr>
                <w:rFonts w:ascii="Times New Roman" w:hAnsi="Times New Roman" w:cs="Times New Roman"/>
                <w:sz w:val="20"/>
                <w:vertAlign w:val="superscript"/>
              </w:rPr>
              <w:t>a</w:t>
            </w:r>
          </w:p>
        </w:tc>
        <w:tc>
          <w:tcPr>
            <w:tcW w:w="1380" w:type="dxa"/>
            <w:tcBorders>
              <w:top w:val="single" w:sz="4" w:space="0" w:color="auto"/>
              <w:left w:val="single" w:sz="4" w:space="0" w:color="auto"/>
              <w:bottom w:val="single" w:sz="4" w:space="0" w:color="auto"/>
              <w:right w:val="single" w:sz="4" w:space="0" w:color="auto"/>
            </w:tcBorders>
          </w:tcPr>
          <w:p w:rsidR="007D7623" w:rsidRPr="00ED7F0F" w:rsidRDefault="007D7623" w:rsidP="00122C9F">
            <w:pPr>
              <w:tabs>
                <w:tab w:val="left" w:pos="0"/>
              </w:tabs>
              <w:spacing w:line="240" w:lineRule="auto"/>
              <w:jc w:val="center"/>
              <w:rPr>
                <w:rFonts w:ascii="Times New Roman" w:hAnsi="Times New Roman" w:cs="Times New Roman"/>
                <w:sz w:val="20"/>
                <w:szCs w:val="20"/>
              </w:rPr>
            </w:pPr>
            <w:r w:rsidRPr="00ED7F0F">
              <w:rPr>
                <w:rFonts w:ascii="Times New Roman" w:hAnsi="Times New Roman" w:cs="Times New Roman"/>
                <w:sz w:val="20"/>
              </w:rPr>
              <w:t>(29,3; 57,8)</w:t>
            </w:r>
          </w:p>
        </w:tc>
        <w:tc>
          <w:tcPr>
            <w:tcW w:w="1393" w:type="dxa"/>
            <w:tcBorders>
              <w:top w:val="single" w:sz="4" w:space="0" w:color="auto"/>
              <w:left w:val="single" w:sz="4" w:space="0" w:color="auto"/>
              <w:bottom w:val="single" w:sz="4" w:space="0" w:color="auto"/>
              <w:right w:val="single" w:sz="4" w:space="0" w:color="auto"/>
            </w:tcBorders>
          </w:tcPr>
          <w:p w:rsidR="007D7623" w:rsidRPr="00ED7F0F" w:rsidRDefault="007D7623" w:rsidP="00122C9F">
            <w:pPr>
              <w:tabs>
                <w:tab w:val="left" w:pos="0"/>
              </w:tabs>
              <w:spacing w:line="240" w:lineRule="auto"/>
              <w:jc w:val="center"/>
              <w:rPr>
                <w:rFonts w:ascii="Times New Roman" w:hAnsi="Times New Roman" w:cs="Times New Roman"/>
                <w:sz w:val="20"/>
                <w:szCs w:val="20"/>
              </w:rPr>
            </w:pPr>
            <w:r w:rsidRPr="00ED7F0F">
              <w:rPr>
                <w:rFonts w:ascii="Times New Roman" w:hAnsi="Times New Roman" w:cs="Times New Roman"/>
                <w:sz w:val="20"/>
              </w:rPr>
              <w:t>(52,1; 79,2)</w:t>
            </w:r>
          </w:p>
        </w:tc>
        <w:tc>
          <w:tcPr>
            <w:tcW w:w="1497" w:type="dxa"/>
            <w:tcBorders>
              <w:top w:val="single" w:sz="4" w:space="0" w:color="auto"/>
              <w:left w:val="single" w:sz="4" w:space="0" w:color="auto"/>
              <w:bottom w:val="single" w:sz="4" w:space="0" w:color="auto"/>
              <w:right w:val="single" w:sz="4" w:space="0" w:color="auto"/>
            </w:tcBorders>
          </w:tcPr>
          <w:p w:rsidR="007D7623" w:rsidRPr="00ED7F0F" w:rsidRDefault="007D7623" w:rsidP="00122C9F">
            <w:pPr>
              <w:tabs>
                <w:tab w:val="left" w:pos="0"/>
              </w:tabs>
              <w:spacing w:line="240" w:lineRule="auto"/>
              <w:ind w:left="46"/>
              <w:jc w:val="center"/>
              <w:rPr>
                <w:rFonts w:ascii="Times New Roman" w:hAnsi="Times New Roman" w:cs="Times New Roman"/>
                <w:sz w:val="20"/>
                <w:szCs w:val="20"/>
              </w:rPr>
            </w:pPr>
            <w:r w:rsidRPr="00ED7F0F">
              <w:rPr>
                <w:rFonts w:ascii="Times New Roman" w:hAnsi="Times New Roman" w:cs="Times New Roman"/>
                <w:sz w:val="20"/>
              </w:rPr>
              <w:t>(86,5; 99,5)</w:t>
            </w:r>
          </w:p>
        </w:tc>
        <w:tc>
          <w:tcPr>
            <w:tcW w:w="1358" w:type="dxa"/>
            <w:tcBorders>
              <w:top w:val="single" w:sz="4" w:space="0" w:color="auto"/>
              <w:left w:val="single" w:sz="4" w:space="0" w:color="auto"/>
              <w:bottom w:val="single" w:sz="4" w:space="0" w:color="auto"/>
              <w:right w:val="single" w:sz="4" w:space="0" w:color="auto"/>
            </w:tcBorders>
            <w:vAlign w:val="bottom"/>
          </w:tcPr>
          <w:p w:rsidR="007D7623" w:rsidRPr="00ED7F0F" w:rsidRDefault="007D7623" w:rsidP="00122C9F">
            <w:pPr>
              <w:tabs>
                <w:tab w:val="left" w:pos="0"/>
              </w:tabs>
              <w:spacing w:line="240" w:lineRule="auto"/>
              <w:ind w:left="241"/>
              <w:jc w:val="center"/>
              <w:rPr>
                <w:rFonts w:ascii="Times New Roman" w:hAnsi="Times New Roman" w:cs="Times New Roman"/>
                <w:sz w:val="20"/>
                <w:szCs w:val="20"/>
              </w:rPr>
            </w:pPr>
            <w:r w:rsidRPr="00ED7F0F">
              <w:rPr>
                <w:rFonts w:ascii="Times New Roman" w:hAnsi="Times New Roman" w:cs="Times New Roman"/>
                <w:sz w:val="20"/>
              </w:rPr>
              <w:t>(86,5; 99,5)</w:t>
            </w:r>
          </w:p>
        </w:tc>
      </w:tr>
      <w:tr w:rsidR="007D7623" w:rsidRPr="00ED7F0F" w:rsidTr="009A0932">
        <w:trPr>
          <w:trHeight w:val="295"/>
          <w:jc w:val="center"/>
        </w:trPr>
        <w:tc>
          <w:tcPr>
            <w:tcW w:w="2658" w:type="dxa"/>
            <w:tcBorders>
              <w:top w:val="single" w:sz="4" w:space="0" w:color="auto"/>
              <w:left w:val="single" w:sz="4" w:space="0" w:color="auto"/>
              <w:bottom w:val="single" w:sz="4" w:space="0" w:color="auto"/>
              <w:right w:val="single" w:sz="4" w:space="0" w:color="auto"/>
            </w:tcBorders>
          </w:tcPr>
          <w:p w:rsidR="007D7623" w:rsidRPr="00ED7F0F" w:rsidRDefault="007D7623" w:rsidP="009A0932">
            <w:pPr>
              <w:tabs>
                <w:tab w:val="left" w:pos="0"/>
              </w:tabs>
              <w:spacing w:before="120" w:line="240" w:lineRule="auto"/>
              <w:ind w:left="79"/>
              <w:rPr>
                <w:rFonts w:ascii="Times New Roman" w:hAnsi="Times New Roman" w:cs="Times New Roman"/>
                <w:sz w:val="20"/>
                <w:szCs w:val="20"/>
              </w:rPr>
            </w:pPr>
            <w:r w:rsidRPr="00ED7F0F">
              <w:rPr>
                <w:rFonts w:ascii="Times New Roman" w:hAnsi="Times New Roman" w:cs="Times New Roman"/>
                <w:sz w:val="20"/>
              </w:rPr>
              <w:t>Predtým imatinib</w:t>
            </w: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7D7623" w:rsidRPr="00ED7F0F" w:rsidRDefault="007D7623" w:rsidP="009A0932">
            <w:pPr>
              <w:tabs>
                <w:tab w:val="left" w:pos="0"/>
              </w:tabs>
              <w:spacing w:before="120" w:line="240" w:lineRule="auto"/>
              <w:ind w:left="57"/>
              <w:jc w:val="center"/>
              <w:rPr>
                <w:rFonts w:ascii="Times New Roman" w:hAnsi="Times New Roman" w:cs="Times New Roman"/>
                <w:sz w:val="20"/>
                <w:szCs w:val="20"/>
              </w:rPr>
            </w:pPr>
            <w:r w:rsidRPr="00ED7F0F">
              <w:rPr>
                <w:rFonts w:ascii="Times New Roman" w:hAnsi="Times New Roman" w:cs="Times New Roman"/>
                <w:color w:val="231F20"/>
                <w:spacing w:val="-1"/>
                <w:sz w:val="20"/>
              </w:rPr>
              <w:t>45</w:t>
            </w:r>
            <w:r w:rsidR="00A76A08" w:rsidRPr="00ED7F0F">
              <w:rPr>
                <w:rFonts w:ascii="Times New Roman" w:hAnsi="Times New Roman" w:cs="Times New Roman"/>
                <w:color w:val="231F20"/>
                <w:spacing w:val="-1"/>
                <w:sz w:val="20"/>
              </w:rPr>
              <w:t>,</w:t>
            </w:r>
            <w:r w:rsidRPr="00ED7F0F">
              <w:rPr>
                <w:rFonts w:ascii="Times New Roman" w:hAnsi="Times New Roman" w:cs="Times New Roman"/>
                <w:color w:val="231F20"/>
                <w:spacing w:val="-1"/>
                <w:sz w:val="20"/>
              </w:rPr>
              <w:t>7</w:t>
            </w:r>
            <w:r w:rsidR="00A76A08" w:rsidRPr="00ED7F0F">
              <w:rPr>
                <w:rFonts w:ascii="Times New Roman" w:hAnsi="Times New Roman" w:cs="Times New Roman"/>
                <w:color w:val="231F20"/>
                <w:spacing w:val="-1"/>
                <w:sz w:val="20"/>
              </w:rPr>
              <w:t> </w:t>
            </w:r>
            <w:r w:rsidRPr="00ED7F0F">
              <w:rPr>
                <w:rFonts w:ascii="Times New Roman" w:hAnsi="Times New Roman" w:cs="Times New Roman"/>
                <w:color w:val="231F20"/>
                <w:spacing w:val="-1"/>
                <w:sz w:val="20"/>
              </w:rPr>
              <w:t>%</w:t>
            </w:r>
          </w:p>
        </w:tc>
        <w:tc>
          <w:tcPr>
            <w:tcW w:w="1393" w:type="dxa"/>
            <w:tcBorders>
              <w:top w:val="single" w:sz="4" w:space="0" w:color="auto"/>
              <w:left w:val="single" w:sz="4" w:space="0" w:color="auto"/>
              <w:bottom w:val="single" w:sz="4" w:space="0" w:color="auto"/>
              <w:right w:val="single" w:sz="4" w:space="0" w:color="auto"/>
            </w:tcBorders>
            <w:shd w:val="clear" w:color="auto" w:fill="auto"/>
          </w:tcPr>
          <w:p w:rsidR="007D7623" w:rsidRPr="00ED7F0F" w:rsidRDefault="007D7623" w:rsidP="009A0932">
            <w:pPr>
              <w:tabs>
                <w:tab w:val="left" w:pos="0"/>
              </w:tabs>
              <w:spacing w:before="120" w:line="240" w:lineRule="auto"/>
              <w:ind w:left="57"/>
              <w:jc w:val="center"/>
              <w:rPr>
                <w:rFonts w:ascii="Times New Roman" w:hAnsi="Times New Roman" w:cs="Times New Roman"/>
                <w:sz w:val="20"/>
                <w:szCs w:val="20"/>
              </w:rPr>
            </w:pPr>
            <w:r w:rsidRPr="00ED7F0F">
              <w:rPr>
                <w:rFonts w:ascii="Times New Roman" w:hAnsi="Times New Roman" w:cs="Times New Roman"/>
                <w:color w:val="231F20"/>
                <w:sz w:val="20"/>
              </w:rPr>
              <w:t>71</w:t>
            </w:r>
            <w:r w:rsidR="00A76A08" w:rsidRPr="00ED7F0F">
              <w:rPr>
                <w:rFonts w:ascii="Times New Roman" w:hAnsi="Times New Roman" w:cs="Times New Roman"/>
                <w:color w:val="231F20"/>
                <w:sz w:val="20"/>
              </w:rPr>
              <w:t>,</w:t>
            </w:r>
            <w:r w:rsidRPr="00ED7F0F">
              <w:rPr>
                <w:rFonts w:ascii="Times New Roman" w:hAnsi="Times New Roman" w:cs="Times New Roman"/>
                <w:color w:val="231F20"/>
                <w:sz w:val="20"/>
              </w:rPr>
              <w:t>7</w:t>
            </w:r>
            <w:r w:rsidR="00A76A08" w:rsidRPr="00ED7F0F">
              <w:rPr>
                <w:rFonts w:ascii="Times New Roman" w:hAnsi="Times New Roman" w:cs="Times New Roman"/>
                <w:color w:val="231F20"/>
                <w:sz w:val="20"/>
              </w:rPr>
              <w:t> </w:t>
            </w:r>
            <w:r w:rsidRPr="00ED7F0F">
              <w:rPr>
                <w:rFonts w:ascii="Times New Roman" w:hAnsi="Times New Roman" w:cs="Times New Roman"/>
                <w:color w:val="231F20"/>
                <w:sz w:val="20"/>
              </w:rPr>
              <w:t>%</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7D7623" w:rsidRPr="00ED7F0F" w:rsidRDefault="007D7623" w:rsidP="009A0932">
            <w:pPr>
              <w:tabs>
                <w:tab w:val="left" w:pos="0"/>
              </w:tabs>
              <w:spacing w:before="120" w:line="240" w:lineRule="auto"/>
              <w:ind w:left="57"/>
              <w:jc w:val="center"/>
              <w:rPr>
                <w:rFonts w:ascii="Times New Roman" w:hAnsi="Times New Roman" w:cs="Times New Roman"/>
                <w:sz w:val="20"/>
                <w:szCs w:val="20"/>
              </w:rPr>
            </w:pPr>
            <w:r w:rsidRPr="00ED7F0F">
              <w:rPr>
                <w:rFonts w:ascii="Times New Roman" w:hAnsi="Times New Roman" w:cs="Times New Roman"/>
                <w:color w:val="231F20"/>
                <w:spacing w:val="-1"/>
                <w:sz w:val="20"/>
              </w:rPr>
              <w:t>78</w:t>
            </w:r>
            <w:r w:rsidR="00A76A08" w:rsidRPr="00ED7F0F">
              <w:rPr>
                <w:rFonts w:ascii="Times New Roman" w:hAnsi="Times New Roman" w:cs="Times New Roman"/>
                <w:color w:val="231F20"/>
                <w:spacing w:val="-1"/>
                <w:sz w:val="20"/>
              </w:rPr>
              <w:t>,</w:t>
            </w:r>
            <w:r w:rsidRPr="00ED7F0F">
              <w:rPr>
                <w:rFonts w:ascii="Times New Roman" w:hAnsi="Times New Roman" w:cs="Times New Roman"/>
                <w:color w:val="231F20"/>
                <w:spacing w:val="-1"/>
                <w:sz w:val="20"/>
              </w:rPr>
              <w:t>3</w:t>
            </w:r>
            <w:r w:rsidR="00A76A08" w:rsidRPr="00ED7F0F">
              <w:rPr>
                <w:rFonts w:ascii="Times New Roman" w:hAnsi="Times New Roman" w:cs="Times New Roman"/>
                <w:color w:val="231F20"/>
                <w:spacing w:val="-1"/>
                <w:sz w:val="20"/>
              </w:rPr>
              <w:t> </w:t>
            </w:r>
            <w:r w:rsidRPr="00ED7F0F">
              <w:rPr>
                <w:rFonts w:ascii="Times New Roman" w:hAnsi="Times New Roman" w:cs="Times New Roman"/>
                <w:color w:val="231F20"/>
                <w:spacing w:val="-1"/>
                <w:sz w:val="20"/>
              </w:rPr>
              <w:t>%</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7D7623" w:rsidRPr="00ED7F0F" w:rsidRDefault="007D7623" w:rsidP="009A0932">
            <w:pPr>
              <w:tabs>
                <w:tab w:val="left" w:pos="0"/>
              </w:tabs>
              <w:spacing w:before="120" w:line="240" w:lineRule="auto"/>
              <w:ind w:left="57"/>
              <w:jc w:val="center"/>
              <w:rPr>
                <w:rFonts w:ascii="Times New Roman" w:hAnsi="Times New Roman" w:cs="Times New Roman"/>
                <w:sz w:val="20"/>
                <w:szCs w:val="20"/>
              </w:rPr>
            </w:pPr>
            <w:r w:rsidRPr="00ED7F0F">
              <w:rPr>
                <w:rFonts w:ascii="Times New Roman" w:hAnsi="Times New Roman" w:cs="Times New Roman"/>
                <w:color w:val="231F20"/>
                <w:spacing w:val="-1"/>
                <w:sz w:val="20"/>
              </w:rPr>
              <w:t>82</w:t>
            </w:r>
            <w:r w:rsidR="00A76A08" w:rsidRPr="00ED7F0F">
              <w:rPr>
                <w:rFonts w:ascii="Times New Roman" w:hAnsi="Times New Roman" w:cs="Times New Roman"/>
                <w:color w:val="231F20"/>
                <w:spacing w:val="-1"/>
                <w:sz w:val="20"/>
              </w:rPr>
              <w:t>,</w:t>
            </w:r>
            <w:r w:rsidRPr="00ED7F0F">
              <w:rPr>
                <w:rFonts w:ascii="Times New Roman" w:hAnsi="Times New Roman" w:cs="Times New Roman"/>
                <w:color w:val="231F20"/>
                <w:spacing w:val="-1"/>
                <w:sz w:val="20"/>
              </w:rPr>
              <w:t>6</w:t>
            </w:r>
            <w:r w:rsidR="00A76A08" w:rsidRPr="00ED7F0F">
              <w:rPr>
                <w:rFonts w:ascii="Times New Roman" w:hAnsi="Times New Roman" w:cs="Times New Roman"/>
                <w:color w:val="231F20"/>
                <w:spacing w:val="-1"/>
                <w:sz w:val="20"/>
              </w:rPr>
              <w:t> </w:t>
            </w:r>
            <w:r w:rsidRPr="00ED7F0F">
              <w:rPr>
                <w:rFonts w:ascii="Times New Roman" w:hAnsi="Times New Roman" w:cs="Times New Roman"/>
                <w:color w:val="231F20"/>
                <w:spacing w:val="-1"/>
                <w:sz w:val="20"/>
              </w:rPr>
              <w:t>%</w:t>
            </w:r>
          </w:p>
        </w:tc>
      </w:tr>
      <w:tr w:rsidR="007D7623" w:rsidRPr="00ED7F0F" w:rsidTr="009A0932">
        <w:trPr>
          <w:trHeight w:val="376"/>
          <w:jc w:val="center"/>
        </w:trPr>
        <w:tc>
          <w:tcPr>
            <w:tcW w:w="2658" w:type="dxa"/>
            <w:tcBorders>
              <w:top w:val="single" w:sz="4" w:space="0" w:color="auto"/>
              <w:left w:val="single" w:sz="4" w:space="0" w:color="auto"/>
              <w:bottom w:val="single" w:sz="4" w:space="0" w:color="auto"/>
              <w:right w:val="single" w:sz="4" w:space="0" w:color="auto"/>
            </w:tcBorders>
          </w:tcPr>
          <w:p w:rsidR="007D7623" w:rsidRPr="00ED7F0F" w:rsidRDefault="007D7623" w:rsidP="009A0932">
            <w:pPr>
              <w:tabs>
                <w:tab w:val="left" w:pos="0"/>
              </w:tabs>
              <w:spacing w:line="240" w:lineRule="auto"/>
              <w:ind w:left="79"/>
              <w:rPr>
                <w:rFonts w:ascii="Times New Roman" w:hAnsi="Times New Roman" w:cs="Times New Roman"/>
                <w:sz w:val="20"/>
                <w:szCs w:val="20"/>
              </w:rPr>
            </w:pPr>
            <w:r w:rsidRPr="00ED7F0F">
              <w:rPr>
                <w:rFonts w:ascii="Times New Roman" w:hAnsi="Times New Roman" w:cs="Times New Roman"/>
                <w:sz w:val="20"/>
              </w:rPr>
              <w:t>(N = 46)</w:t>
            </w:r>
            <w:r w:rsidRPr="00ED7F0F">
              <w:rPr>
                <w:rFonts w:ascii="Times New Roman" w:hAnsi="Times New Roman" w:cs="Times New Roman"/>
                <w:sz w:val="20"/>
                <w:vertAlign w:val="superscript"/>
              </w:rPr>
              <w:t>b</w:t>
            </w: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7D7623" w:rsidRPr="00ED7F0F" w:rsidRDefault="007D7623" w:rsidP="00122C9F">
            <w:pPr>
              <w:tabs>
                <w:tab w:val="left" w:pos="0"/>
              </w:tabs>
              <w:spacing w:line="240" w:lineRule="auto"/>
              <w:jc w:val="center"/>
              <w:rPr>
                <w:rFonts w:ascii="Times New Roman" w:hAnsi="Times New Roman" w:cs="Times New Roman"/>
                <w:sz w:val="20"/>
                <w:szCs w:val="20"/>
              </w:rPr>
            </w:pPr>
            <w:r w:rsidRPr="00ED7F0F">
              <w:rPr>
                <w:rFonts w:ascii="Times New Roman" w:hAnsi="Times New Roman" w:cs="Times New Roman"/>
                <w:color w:val="231F20"/>
                <w:spacing w:val="-1"/>
                <w:sz w:val="20"/>
              </w:rPr>
              <w:t>(30</w:t>
            </w:r>
            <w:r w:rsidR="00A76A08" w:rsidRPr="00ED7F0F">
              <w:rPr>
                <w:rFonts w:ascii="Times New Roman" w:hAnsi="Times New Roman" w:cs="Times New Roman"/>
                <w:color w:val="231F20"/>
                <w:spacing w:val="-1"/>
                <w:sz w:val="20"/>
              </w:rPr>
              <w:t>,</w:t>
            </w:r>
            <w:r w:rsidRPr="00ED7F0F">
              <w:rPr>
                <w:rFonts w:ascii="Times New Roman" w:hAnsi="Times New Roman" w:cs="Times New Roman"/>
                <w:color w:val="231F20"/>
                <w:spacing w:val="-1"/>
                <w:sz w:val="20"/>
              </w:rPr>
              <w:t>9</w:t>
            </w:r>
            <w:r w:rsidR="00A76A08" w:rsidRPr="00ED7F0F">
              <w:rPr>
                <w:rFonts w:ascii="Times New Roman" w:hAnsi="Times New Roman" w:cs="Times New Roman"/>
                <w:color w:val="231F20"/>
                <w:spacing w:val="-1"/>
                <w:sz w:val="20"/>
              </w:rPr>
              <w:t>;</w:t>
            </w:r>
            <w:r w:rsidRPr="00ED7F0F">
              <w:rPr>
                <w:rFonts w:ascii="Times New Roman" w:hAnsi="Times New Roman" w:cs="Times New Roman"/>
                <w:color w:val="231F20"/>
                <w:spacing w:val="-19"/>
                <w:sz w:val="20"/>
              </w:rPr>
              <w:t xml:space="preserve"> </w:t>
            </w:r>
            <w:r w:rsidRPr="00ED7F0F">
              <w:rPr>
                <w:rFonts w:ascii="Times New Roman" w:hAnsi="Times New Roman" w:cs="Times New Roman"/>
                <w:color w:val="231F20"/>
                <w:spacing w:val="-1"/>
                <w:sz w:val="20"/>
              </w:rPr>
              <w:t>61</w:t>
            </w:r>
            <w:r w:rsidR="00A76A08" w:rsidRPr="00ED7F0F">
              <w:rPr>
                <w:rFonts w:ascii="Times New Roman" w:hAnsi="Times New Roman" w:cs="Times New Roman"/>
                <w:color w:val="231F20"/>
                <w:spacing w:val="-1"/>
                <w:sz w:val="20"/>
              </w:rPr>
              <w:t>,</w:t>
            </w:r>
            <w:r w:rsidRPr="00ED7F0F">
              <w:rPr>
                <w:rFonts w:ascii="Times New Roman" w:hAnsi="Times New Roman" w:cs="Times New Roman"/>
                <w:color w:val="231F20"/>
                <w:spacing w:val="-1"/>
                <w:sz w:val="20"/>
              </w:rPr>
              <w:t>0)</w:t>
            </w:r>
          </w:p>
        </w:tc>
        <w:tc>
          <w:tcPr>
            <w:tcW w:w="1393" w:type="dxa"/>
            <w:tcBorders>
              <w:top w:val="single" w:sz="4" w:space="0" w:color="auto"/>
              <w:left w:val="single" w:sz="4" w:space="0" w:color="auto"/>
              <w:bottom w:val="single" w:sz="4" w:space="0" w:color="auto"/>
              <w:right w:val="single" w:sz="4" w:space="0" w:color="auto"/>
            </w:tcBorders>
            <w:shd w:val="clear" w:color="auto" w:fill="auto"/>
          </w:tcPr>
          <w:p w:rsidR="007D7623" w:rsidRPr="00ED7F0F" w:rsidRDefault="007D7623" w:rsidP="00122C9F">
            <w:pPr>
              <w:tabs>
                <w:tab w:val="left" w:pos="0"/>
              </w:tabs>
              <w:spacing w:line="240" w:lineRule="auto"/>
              <w:jc w:val="center"/>
              <w:rPr>
                <w:rFonts w:ascii="Times New Roman" w:hAnsi="Times New Roman" w:cs="Times New Roman"/>
                <w:sz w:val="20"/>
                <w:szCs w:val="20"/>
              </w:rPr>
            </w:pPr>
            <w:r w:rsidRPr="00ED7F0F">
              <w:rPr>
                <w:rFonts w:ascii="Times New Roman" w:hAnsi="Times New Roman" w:cs="Times New Roman"/>
                <w:color w:val="231F20"/>
                <w:spacing w:val="-1"/>
                <w:sz w:val="20"/>
              </w:rPr>
              <w:t>(56</w:t>
            </w:r>
            <w:r w:rsidR="00A76A08" w:rsidRPr="00ED7F0F">
              <w:rPr>
                <w:rFonts w:ascii="Times New Roman" w:hAnsi="Times New Roman" w:cs="Times New Roman"/>
                <w:color w:val="231F20"/>
                <w:spacing w:val="-1"/>
                <w:sz w:val="20"/>
              </w:rPr>
              <w:t>,</w:t>
            </w:r>
            <w:r w:rsidRPr="00ED7F0F">
              <w:rPr>
                <w:rFonts w:ascii="Times New Roman" w:hAnsi="Times New Roman" w:cs="Times New Roman"/>
                <w:color w:val="231F20"/>
                <w:spacing w:val="-1"/>
                <w:sz w:val="20"/>
              </w:rPr>
              <w:t>5</w:t>
            </w:r>
            <w:r w:rsidR="00A76A08" w:rsidRPr="00ED7F0F">
              <w:rPr>
                <w:rFonts w:ascii="Times New Roman" w:hAnsi="Times New Roman" w:cs="Times New Roman"/>
                <w:color w:val="231F20"/>
                <w:spacing w:val="-1"/>
                <w:sz w:val="20"/>
              </w:rPr>
              <w:t>;</w:t>
            </w:r>
            <w:r w:rsidRPr="00ED7F0F">
              <w:rPr>
                <w:rFonts w:ascii="Times New Roman" w:hAnsi="Times New Roman" w:cs="Times New Roman"/>
                <w:color w:val="231F20"/>
                <w:spacing w:val="-19"/>
                <w:sz w:val="20"/>
              </w:rPr>
              <w:t xml:space="preserve"> </w:t>
            </w:r>
            <w:r w:rsidRPr="00ED7F0F">
              <w:rPr>
                <w:rFonts w:ascii="Times New Roman" w:hAnsi="Times New Roman" w:cs="Times New Roman"/>
                <w:color w:val="231F20"/>
                <w:spacing w:val="-1"/>
                <w:sz w:val="20"/>
              </w:rPr>
              <w:t>84</w:t>
            </w:r>
            <w:r w:rsidR="00A76A08" w:rsidRPr="00ED7F0F">
              <w:rPr>
                <w:rFonts w:ascii="Times New Roman" w:hAnsi="Times New Roman" w:cs="Times New Roman"/>
                <w:color w:val="231F20"/>
                <w:spacing w:val="-1"/>
                <w:sz w:val="20"/>
              </w:rPr>
              <w:t>,</w:t>
            </w:r>
            <w:r w:rsidRPr="00ED7F0F">
              <w:rPr>
                <w:rFonts w:ascii="Times New Roman" w:hAnsi="Times New Roman" w:cs="Times New Roman"/>
                <w:color w:val="231F20"/>
                <w:spacing w:val="-1"/>
                <w:sz w:val="20"/>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7D7623" w:rsidRPr="00ED7F0F" w:rsidRDefault="007D7623" w:rsidP="00122C9F">
            <w:pPr>
              <w:tabs>
                <w:tab w:val="left" w:pos="0"/>
              </w:tabs>
              <w:spacing w:line="240" w:lineRule="auto"/>
              <w:jc w:val="center"/>
              <w:rPr>
                <w:rFonts w:ascii="Times New Roman" w:hAnsi="Times New Roman" w:cs="Times New Roman"/>
                <w:sz w:val="20"/>
                <w:szCs w:val="20"/>
              </w:rPr>
            </w:pPr>
            <w:r w:rsidRPr="00ED7F0F">
              <w:rPr>
                <w:rFonts w:ascii="Times New Roman" w:hAnsi="Times New Roman" w:cs="Times New Roman"/>
                <w:color w:val="231F20"/>
                <w:spacing w:val="-1"/>
                <w:sz w:val="20"/>
              </w:rPr>
              <w:t>(63</w:t>
            </w:r>
            <w:r w:rsidR="00A76A08" w:rsidRPr="00ED7F0F">
              <w:rPr>
                <w:rFonts w:ascii="Times New Roman" w:hAnsi="Times New Roman" w:cs="Times New Roman"/>
                <w:color w:val="231F20"/>
                <w:spacing w:val="-1"/>
                <w:sz w:val="20"/>
              </w:rPr>
              <w:t>,</w:t>
            </w:r>
            <w:r w:rsidRPr="00ED7F0F">
              <w:rPr>
                <w:rFonts w:ascii="Times New Roman" w:hAnsi="Times New Roman" w:cs="Times New Roman"/>
                <w:color w:val="231F20"/>
                <w:spacing w:val="-1"/>
                <w:sz w:val="20"/>
              </w:rPr>
              <w:t>6</w:t>
            </w:r>
            <w:r w:rsidR="00A76A08" w:rsidRPr="00ED7F0F">
              <w:rPr>
                <w:rFonts w:ascii="Times New Roman" w:hAnsi="Times New Roman" w:cs="Times New Roman"/>
                <w:color w:val="231F20"/>
                <w:spacing w:val="-1"/>
                <w:sz w:val="20"/>
              </w:rPr>
              <w:t xml:space="preserve">; </w:t>
            </w:r>
            <w:r w:rsidRPr="00ED7F0F">
              <w:rPr>
                <w:rFonts w:ascii="Times New Roman" w:hAnsi="Times New Roman" w:cs="Times New Roman"/>
                <w:color w:val="231F20"/>
                <w:spacing w:val="-1"/>
                <w:sz w:val="20"/>
              </w:rPr>
              <w:t>89</w:t>
            </w:r>
            <w:r w:rsidR="00A76A08" w:rsidRPr="00ED7F0F">
              <w:rPr>
                <w:rFonts w:ascii="Times New Roman" w:hAnsi="Times New Roman" w:cs="Times New Roman"/>
                <w:color w:val="231F20"/>
                <w:spacing w:val="-1"/>
                <w:sz w:val="20"/>
              </w:rPr>
              <w:t>,</w:t>
            </w:r>
            <w:r w:rsidRPr="00ED7F0F">
              <w:rPr>
                <w:rFonts w:ascii="Times New Roman" w:hAnsi="Times New Roman" w:cs="Times New Roman"/>
                <w:color w:val="231F20"/>
                <w:spacing w:val="-1"/>
                <w:sz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7D7623" w:rsidRPr="00ED7F0F" w:rsidRDefault="007D7623" w:rsidP="00122C9F">
            <w:pPr>
              <w:tabs>
                <w:tab w:val="left" w:pos="0"/>
              </w:tabs>
              <w:spacing w:line="240" w:lineRule="auto"/>
              <w:jc w:val="center"/>
              <w:rPr>
                <w:rFonts w:ascii="Times New Roman" w:hAnsi="Times New Roman" w:cs="Times New Roman"/>
                <w:sz w:val="20"/>
                <w:szCs w:val="20"/>
              </w:rPr>
            </w:pPr>
            <w:r w:rsidRPr="00ED7F0F">
              <w:rPr>
                <w:rFonts w:ascii="Times New Roman" w:hAnsi="Times New Roman" w:cs="Times New Roman"/>
                <w:color w:val="231F20"/>
                <w:spacing w:val="-1"/>
                <w:sz w:val="20"/>
              </w:rPr>
              <w:t>(68</w:t>
            </w:r>
            <w:r w:rsidR="00A76A08" w:rsidRPr="00ED7F0F">
              <w:rPr>
                <w:rFonts w:ascii="Times New Roman" w:hAnsi="Times New Roman" w:cs="Times New Roman"/>
                <w:color w:val="231F20"/>
                <w:spacing w:val="-1"/>
                <w:sz w:val="20"/>
              </w:rPr>
              <w:t>,</w:t>
            </w:r>
            <w:r w:rsidRPr="00ED7F0F">
              <w:rPr>
                <w:rFonts w:ascii="Times New Roman" w:hAnsi="Times New Roman" w:cs="Times New Roman"/>
                <w:color w:val="231F20"/>
                <w:spacing w:val="-1"/>
                <w:sz w:val="20"/>
              </w:rPr>
              <w:t>6</w:t>
            </w:r>
            <w:r w:rsidR="00A76A08" w:rsidRPr="00ED7F0F">
              <w:rPr>
                <w:rFonts w:ascii="Times New Roman" w:hAnsi="Times New Roman" w:cs="Times New Roman"/>
                <w:color w:val="231F20"/>
                <w:spacing w:val="-1"/>
                <w:sz w:val="20"/>
              </w:rPr>
              <w:t>;</w:t>
            </w:r>
            <w:r w:rsidRPr="00ED7F0F">
              <w:rPr>
                <w:rFonts w:ascii="Times New Roman" w:hAnsi="Times New Roman" w:cs="Times New Roman"/>
                <w:color w:val="231F20"/>
                <w:spacing w:val="-19"/>
                <w:sz w:val="20"/>
              </w:rPr>
              <w:t xml:space="preserve"> </w:t>
            </w:r>
            <w:r w:rsidRPr="00ED7F0F">
              <w:rPr>
                <w:rFonts w:ascii="Times New Roman" w:hAnsi="Times New Roman" w:cs="Times New Roman"/>
                <w:color w:val="231F20"/>
                <w:spacing w:val="-1"/>
                <w:sz w:val="20"/>
              </w:rPr>
              <w:t>92</w:t>
            </w:r>
            <w:r w:rsidR="00A76A08" w:rsidRPr="00ED7F0F">
              <w:rPr>
                <w:rFonts w:ascii="Times New Roman" w:hAnsi="Times New Roman" w:cs="Times New Roman"/>
                <w:color w:val="231F20"/>
                <w:spacing w:val="-1"/>
                <w:sz w:val="20"/>
              </w:rPr>
              <w:t>,</w:t>
            </w:r>
            <w:r w:rsidRPr="00ED7F0F">
              <w:rPr>
                <w:rFonts w:ascii="Times New Roman" w:hAnsi="Times New Roman" w:cs="Times New Roman"/>
                <w:color w:val="231F20"/>
                <w:spacing w:val="-1"/>
                <w:sz w:val="20"/>
              </w:rPr>
              <w:t>2)</w:t>
            </w:r>
          </w:p>
        </w:tc>
      </w:tr>
      <w:tr w:rsidR="007D7623" w:rsidRPr="00ED7F0F" w:rsidTr="009A0932">
        <w:trPr>
          <w:trHeight w:val="225"/>
          <w:jc w:val="center"/>
        </w:trPr>
        <w:tc>
          <w:tcPr>
            <w:tcW w:w="2658" w:type="dxa"/>
            <w:tcBorders>
              <w:top w:val="single" w:sz="4" w:space="0" w:color="auto"/>
              <w:left w:val="single" w:sz="4" w:space="0" w:color="auto"/>
              <w:bottom w:val="single" w:sz="4" w:space="0" w:color="auto"/>
              <w:right w:val="single" w:sz="4" w:space="0" w:color="auto"/>
            </w:tcBorders>
            <w:vAlign w:val="center"/>
          </w:tcPr>
          <w:p w:rsidR="007D7623" w:rsidRPr="00ED7F0F" w:rsidRDefault="007D7623" w:rsidP="00122C9F">
            <w:pPr>
              <w:tabs>
                <w:tab w:val="left" w:pos="0"/>
              </w:tabs>
              <w:spacing w:line="240" w:lineRule="auto"/>
              <w:ind w:left="115"/>
              <w:rPr>
                <w:rFonts w:ascii="Times New Roman" w:hAnsi="Times New Roman" w:cs="Times New Roman"/>
                <w:sz w:val="20"/>
                <w:szCs w:val="20"/>
              </w:rPr>
            </w:pPr>
            <w:r w:rsidRPr="00ED7F0F">
              <w:rPr>
                <w:rFonts w:ascii="Times New Roman" w:hAnsi="Times New Roman" w:cs="Times New Roman"/>
                <w:b/>
                <w:sz w:val="20"/>
              </w:rPr>
              <w:t>MCyR</w:t>
            </w: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7D7623" w:rsidRPr="00ED7F0F" w:rsidRDefault="007D7623" w:rsidP="00122C9F">
            <w:pPr>
              <w:tabs>
                <w:tab w:val="left" w:pos="0"/>
              </w:tabs>
              <w:spacing w:line="240" w:lineRule="auto"/>
              <w:jc w:val="center"/>
              <w:rPr>
                <w:rFonts w:ascii="Times New Roman" w:hAnsi="Times New Roman" w:cs="Times New Roman"/>
                <w:sz w:val="20"/>
                <w:szCs w:val="20"/>
              </w:rPr>
            </w:pPr>
          </w:p>
        </w:tc>
        <w:tc>
          <w:tcPr>
            <w:tcW w:w="1393" w:type="dxa"/>
            <w:tcBorders>
              <w:top w:val="single" w:sz="4" w:space="0" w:color="auto"/>
              <w:left w:val="single" w:sz="4" w:space="0" w:color="auto"/>
              <w:bottom w:val="single" w:sz="4" w:space="0" w:color="auto"/>
              <w:right w:val="single" w:sz="4" w:space="0" w:color="auto"/>
            </w:tcBorders>
            <w:shd w:val="clear" w:color="auto" w:fill="auto"/>
          </w:tcPr>
          <w:p w:rsidR="007D7623" w:rsidRPr="00ED7F0F" w:rsidRDefault="007D7623" w:rsidP="00122C9F">
            <w:pPr>
              <w:tabs>
                <w:tab w:val="left" w:pos="0"/>
              </w:tabs>
              <w:spacing w:line="240" w:lineRule="auto"/>
              <w:jc w:val="center"/>
              <w:rPr>
                <w:rFonts w:ascii="Times New Roman" w:hAnsi="Times New Roman" w:cs="Times New Roman"/>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7D7623" w:rsidRPr="00ED7F0F" w:rsidRDefault="007D7623" w:rsidP="00122C9F">
            <w:pPr>
              <w:tabs>
                <w:tab w:val="left" w:pos="0"/>
              </w:tabs>
              <w:spacing w:line="240" w:lineRule="auto"/>
              <w:ind w:left="72"/>
              <w:jc w:val="center"/>
              <w:rPr>
                <w:rFonts w:ascii="Times New Roman"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7D7623" w:rsidRPr="00ED7F0F" w:rsidRDefault="007D7623" w:rsidP="00122C9F">
            <w:pPr>
              <w:tabs>
                <w:tab w:val="left" w:pos="0"/>
              </w:tabs>
              <w:spacing w:line="240" w:lineRule="auto"/>
              <w:ind w:left="74"/>
              <w:jc w:val="center"/>
              <w:rPr>
                <w:rFonts w:ascii="Times New Roman" w:hAnsi="Times New Roman" w:cs="Times New Roman"/>
                <w:sz w:val="20"/>
                <w:szCs w:val="20"/>
              </w:rPr>
            </w:pPr>
          </w:p>
        </w:tc>
      </w:tr>
      <w:tr w:rsidR="00A76A08" w:rsidRPr="00ED7F0F" w:rsidTr="009A0932">
        <w:trPr>
          <w:trHeight w:val="290"/>
          <w:jc w:val="center"/>
        </w:trPr>
        <w:tc>
          <w:tcPr>
            <w:tcW w:w="2658" w:type="dxa"/>
            <w:tcBorders>
              <w:top w:val="single" w:sz="4" w:space="0" w:color="auto"/>
              <w:left w:val="single" w:sz="4" w:space="0" w:color="auto"/>
              <w:bottom w:val="single" w:sz="4" w:space="0" w:color="auto"/>
              <w:right w:val="single" w:sz="4" w:space="0" w:color="auto"/>
            </w:tcBorders>
            <w:vAlign w:val="center"/>
          </w:tcPr>
          <w:p w:rsidR="00A76A08" w:rsidRPr="00ED7F0F" w:rsidRDefault="00A76A08" w:rsidP="00122C9F">
            <w:pPr>
              <w:tabs>
                <w:tab w:val="left" w:pos="0"/>
              </w:tabs>
              <w:spacing w:line="240" w:lineRule="auto"/>
              <w:ind w:left="115"/>
              <w:rPr>
                <w:rFonts w:ascii="Times New Roman" w:hAnsi="Times New Roman" w:cs="Times New Roman"/>
                <w:b/>
                <w:sz w:val="20"/>
                <w:szCs w:val="20"/>
              </w:rPr>
            </w:pPr>
            <w:r w:rsidRPr="00ED7F0F">
              <w:rPr>
                <w:rFonts w:ascii="Times New Roman" w:hAnsi="Times New Roman" w:cs="Times New Roman"/>
                <w:b/>
                <w:sz w:val="20"/>
              </w:rPr>
              <w:t>(95 % CI)</w:t>
            </w: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A76A08" w:rsidRPr="00ED7F0F" w:rsidRDefault="00A76A08" w:rsidP="00122C9F">
            <w:pPr>
              <w:tabs>
                <w:tab w:val="left" w:pos="0"/>
              </w:tabs>
              <w:spacing w:line="240" w:lineRule="auto"/>
              <w:ind w:left="194"/>
              <w:jc w:val="center"/>
              <w:rPr>
                <w:rFonts w:ascii="Times New Roman" w:hAnsi="Times New Roman" w:cs="Times New Roman"/>
                <w:sz w:val="20"/>
                <w:szCs w:val="20"/>
              </w:rPr>
            </w:pPr>
          </w:p>
        </w:tc>
        <w:tc>
          <w:tcPr>
            <w:tcW w:w="1393" w:type="dxa"/>
            <w:tcBorders>
              <w:top w:val="single" w:sz="4" w:space="0" w:color="auto"/>
              <w:left w:val="single" w:sz="4" w:space="0" w:color="auto"/>
              <w:bottom w:val="single" w:sz="4" w:space="0" w:color="auto"/>
              <w:right w:val="single" w:sz="4" w:space="0" w:color="auto"/>
            </w:tcBorders>
            <w:shd w:val="clear" w:color="auto" w:fill="auto"/>
          </w:tcPr>
          <w:p w:rsidR="00A76A08" w:rsidRPr="00ED7F0F" w:rsidRDefault="00A76A08" w:rsidP="00122C9F">
            <w:pPr>
              <w:tabs>
                <w:tab w:val="left" w:pos="0"/>
              </w:tabs>
              <w:spacing w:line="240" w:lineRule="auto"/>
              <w:ind w:left="194"/>
              <w:jc w:val="center"/>
              <w:rPr>
                <w:rFonts w:ascii="Times New Roman" w:hAnsi="Times New Roman" w:cs="Times New Roman"/>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A76A08" w:rsidRPr="00ED7F0F" w:rsidRDefault="00A76A08" w:rsidP="00122C9F">
            <w:pPr>
              <w:tabs>
                <w:tab w:val="left" w:pos="0"/>
              </w:tabs>
              <w:spacing w:line="240" w:lineRule="auto"/>
              <w:ind w:left="240"/>
              <w:jc w:val="center"/>
              <w:rPr>
                <w:rFonts w:ascii="Times New Roman"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A76A08" w:rsidRPr="00ED7F0F" w:rsidRDefault="00A76A08" w:rsidP="00122C9F">
            <w:pPr>
              <w:tabs>
                <w:tab w:val="left" w:pos="0"/>
              </w:tabs>
              <w:spacing w:line="240" w:lineRule="auto"/>
              <w:ind w:left="241"/>
              <w:jc w:val="center"/>
              <w:rPr>
                <w:rFonts w:ascii="Times New Roman" w:hAnsi="Times New Roman" w:cs="Times New Roman"/>
                <w:sz w:val="20"/>
                <w:szCs w:val="20"/>
              </w:rPr>
            </w:pPr>
          </w:p>
        </w:tc>
      </w:tr>
      <w:tr w:rsidR="00A5514E" w:rsidRPr="00ED7F0F" w:rsidTr="009A0932">
        <w:trPr>
          <w:trHeight w:val="520"/>
          <w:jc w:val="center"/>
        </w:trPr>
        <w:tc>
          <w:tcPr>
            <w:tcW w:w="2658" w:type="dxa"/>
            <w:tcBorders>
              <w:top w:val="single" w:sz="4" w:space="0" w:color="auto"/>
              <w:left w:val="single" w:sz="4" w:space="0" w:color="auto"/>
              <w:bottom w:val="single" w:sz="4" w:space="0" w:color="auto"/>
              <w:right w:val="single" w:sz="4" w:space="0" w:color="auto"/>
            </w:tcBorders>
            <w:vAlign w:val="center"/>
          </w:tcPr>
          <w:p w:rsidR="00A5514E" w:rsidRPr="00ED7F0F" w:rsidRDefault="00A5514E" w:rsidP="009A0932">
            <w:pPr>
              <w:tabs>
                <w:tab w:val="clear" w:pos="567"/>
                <w:tab w:val="left" w:pos="0"/>
              </w:tabs>
              <w:spacing w:before="240" w:line="240" w:lineRule="auto"/>
              <w:ind w:left="79"/>
              <w:rPr>
                <w:rFonts w:ascii="Times New Roman" w:hAnsi="Times New Roman" w:cs="Times New Roman"/>
                <w:b/>
                <w:sz w:val="20"/>
                <w:szCs w:val="20"/>
              </w:rPr>
            </w:pPr>
            <w:r w:rsidRPr="00ED7F0F">
              <w:rPr>
                <w:rFonts w:ascii="Times New Roman" w:hAnsi="Times New Roman" w:cs="Times New Roman"/>
                <w:color w:val="231F20"/>
                <w:sz w:val="20"/>
                <w:lang w:eastAsia="en-GB" w:bidi="ar-SA"/>
              </w:rPr>
              <w:t>Novodiagnostikovaní</w:t>
            </w:r>
          </w:p>
        </w:tc>
        <w:tc>
          <w:tcPr>
            <w:tcW w:w="1380" w:type="dxa"/>
            <w:tcBorders>
              <w:top w:val="single" w:sz="4" w:space="0" w:color="auto"/>
              <w:left w:val="nil"/>
              <w:bottom w:val="single" w:sz="4" w:space="0" w:color="auto"/>
              <w:right w:val="single" w:sz="4" w:space="0" w:color="auto"/>
            </w:tcBorders>
            <w:shd w:val="clear" w:color="auto" w:fill="auto"/>
          </w:tcPr>
          <w:p w:rsidR="00A5514E" w:rsidRPr="00ED7F0F" w:rsidRDefault="00A5514E" w:rsidP="009A0932">
            <w:pPr>
              <w:tabs>
                <w:tab w:val="left" w:pos="0"/>
              </w:tabs>
              <w:spacing w:before="240" w:line="240" w:lineRule="auto"/>
              <w:jc w:val="center"/>
              <w:rPr>
                <w:rFonts w:ascii="Times New Roman" w:hAnsi="Times New Roman" w:cs="Times New Roman"/>
                <w:sz w:val="20"/>
                <w:szCs w:val="20"/>
              </w:rPr>
            </w:pPr>
            <w:r w:rsidRPr="00ED7F0F">
              <w:rPr>
                <w:rFonts w:ascii="Times New Roman" w:hAnsi="Times New Roman" w:cs="Times New Roman"/>
                <w:color w:val="231F20"/>
                <w:w w:val="105"/>
                <w:sz w:val="20"/>
              </w:rPr>
              <w:t>60,8%</w:t>
            </w:r>
          </w:p>
        </w:tc>
        <w:tc>
          <w:tcPr>
            <w:tcW w:w="1393" w:type="dxa"/>
            <w:tcBorders>
              <w:top w:val="single" w:sz="4" w:space="0" w:color="auto"/>
              <w:left w:val="single" w:sz="4" w:space="0" w:color="auto"/>
              <w:bottom w:val="single" w:sz="4" w:space="0" w:color="auto"/>
              <w:right w:val="single" w:sz="4" w:space="0" w:color="auto"/>
            </w:tcBorders>
            <w:shd w:val="clear" w:color="auto" w:fill="auto"/>
          </w:tcPr>
          <w:p w:rsidR="00A5514E" w:rsidRPr="00ED7F0F" w:rsidRDefault="00A5514E" w:rsidP="009A0932">
            <w:pPr>
              <w:tabs>
                <w:tab w:val="left" w:pos="0"/>
              </w:tabs>
              <w:spacing w:before="240" w:line="240" w:lineRule="auto"/>
              <w:jc w:val="center"/>
              <w:rPr>
                <w:rFonts w:ascii="Times New Roman" w:hAnsi="Times New Roman" w:cs="Times New Roman"/>
                <w:sz w:val="20"/>
                <w:szCs w:val="20"/>
              </w:rPr>
            </w:pPr>
            <w:r w:rsidRPr="00ED7F0F">
              <w:rPr>
                <w:rFonts w:ascii="Times New Roman" w:hAnsi="Times New Roman" w:cs="Times New Roman"/>
                <w:color w:val="231F20"/>
                <w:spacing w:val="-1"/>
                <w:w w:val="105"/>
                <w:sz w:val="20"/>
              </w:rPr>
              <w:t>90,2%</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A5514E" w:rsidRPr="00ED7F0F" w:rsidRDefault="00A5514E" w:rsidP="009A0932">
            <w:pPr>
              <w:tabs>
                <w:tab w:val="left" w:pos="0"/>
              </w:tabs>
              <w:spacing w:before="240" w:line="240" w:lineRule="auto"/>
              <w:jc w:val="center"/>
              <w:rPr>
                <w:rFonts w:ascii="Times New Roman" w:hAnsi="Times New Roman" w:cs="Times New Roman"/>
                <w:sz w:val="20"/>
                <w:szCs w:val="20"/>
              </w:rPr>
            </w:pPr>
            <w:r w:rsidRPr="00ED7F0F">
              <w:rPr>
                <w:rFonts w:ascii="Times New Roman" w:hAnsi="Times New Roman" w:cs="Times New Roman"/>
                <w:color w:val="231F20"/>
                <w:spacing w:val="-1"/>
                <w:w w:val="105"/>
                <w:sz w:val="20"/>
              </w:rPr>
              <w:t>98,0%</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A5514E" w:rsidRPr="00ED7F0F" w:rsidRDefault="00A5514E" w:rsidP="009A0932">
            <w:pPr>
              <w:tabs>
                <w:tab w:val="left" w:pos="0"/>
              </w:tabs>
              <w:spacing w:before="240" w:line="240" w:lineRule="auto"/>
              <w:jc w:val="center"/>
              <w:rPr>
                <w:rFonts w:ascii="Times New Roman" w:hAnsi="Times New Roman" w:cs="Times New Roman"/>
                <w:sz w:val="20"/>
                <w:szCs w:val="20"/>
              </w:rPr>
            </w:pPr>
            <w:r w:rsidRPr="00ED7F0F">
              <w:rPr>
                <w:rFonts w:ascii="Times New Roman" w:hAnsi="Times New Roman" w:cs="Times New Roman"/>
                <w:color w:val="231F20"/>
                <w:w w:val="105"/>
                <w:sz w:val="20"/>
              </w:rPr>
              <w:t>98,0%</w:t>
            </w:r>
          </w:p>
        </w:tc>
      </w:tr>
      <w:tr w:rsidR="00A76A08" w:rsidRPr="00ED7F0F" w:rsidTr="009A0932">
        <w:trPr>
          <w:trHeight w:val="250"/>
          <w:jc w:val="center"/>
        </w:trPr>
        <w:tc>
          <w:tcPr>
            <w:tcW w:w="2658" w:type="dxa"/>
            <w:tcBorders>
              <w:top w:val="single" w:sz="4" w:space="0" w:color="auto"/>
              <w:left w:val="single" w:sz="4" w:space="0" w:color="auto"/>
              <w:bottom w:val="single" w:sz="4" w:space="0" w:color="auto"/>
              <w:right w:val="single" w:sz="4" w:space="0" w:color="auto"/>
            </w:tcBorders>
            <w:vAlign w:val="center"/>
          </w:tcPr>
          <w:p w:rsidR="00A76A08" w:rsidRPr="00ED7F0F" w:rsidRDefault="00A76A08" w:rsidP="009A0932">
            <w:pPr>
              <w:tabs>
                <w:tab w:val="left" w:pos="0"/>
              </w:tabs>
              <w:spacing w:line="240" w:lineRule="auto"/>
              <w:ind w:left="79"/>
              <w:rPr>
                <w:rFonts w:ascii="Times New Roman" w:hAnsi="Times New Roman" w:cs="Times New Roman"/>
                <w:sz w:val="20"/>
                <w:szCs w:val="20"/>
              </w:rPr>
            </w:pPr>
            <w:r w:rsidRPr="00ED7F0F">
              <w:rPr>
                <w:rFonts w:ascii="Times New Roman" w:hAnsi="Times New Roman" w:cs="Times New Roman"/>
                <w:sz w:val="20"/>
              </w:rPr>
              <w:t>(N = 51)</w:t>
            </w:r>
            <w:r w:rsidRPr="00ED7F0F">
              <w:rPr>
                <w:rFonts w:ascii="Times New Roman" w:hAnsi="Times New Roman" w:cs="Times New Roman"/>
                <w:sz w:val="20"/>
                <w:vertAlign w:val="superscript"/>
              </w:rPr>
              <w:t>a</w:t>
            </w: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A76A08" w:rsidRPr="00ED7F0F" w:rsidRDefault="00A76A08" w:rsidP="00122C9F">
            <w:pPr>
              <w:tabs>
                <w:tab w:val="left" w:pos="0"/>
              </w:tabs>
              <w:spacing w:line="240" w:lineRule="auto"/>
              <w:jc w:val="center"/>
              <w:rPr>
                <w:rFonts w:ascii="Times New Roman" w:hAnsi="Times New Roman" w:cs="Times New Roman"/>
                <w:sz w:val="20"/>
                <w:szCs w:val="20"/>
              </w:rPr>
            </w:pPr>
            <w:r w:rsidRPr="00ED7F0F">
              <w:rPr>
                <w:rFonts w:ascii="Times New Roman" w:hAnsi="Times New Roman" w:cs="Times New Roman"/>
                <w:sz w:val="20"/>
              </w:rPr>
              <w:t>(46,1; 74,2)</w:t>
            </w:r>
          </w:p>
        </w:tc>
        <w:tc>
          <w:tcPr>
            <w:tcW w:w="1393" w:type="dxa"/>
            <w:tcBorders>
              <w:top w:val="single" w:sz="4" w:space="0" w:color="auto"/>
              <w:left w:val="single" w:sz="4" w:space="0" w:color="auto"/>
              <w:bottom w:val="single" w:sz="4" w:space="0" w:color="auto"/>
              <w:right w:val="single" w:sz="4" w:space="0" w:color="auto"/>
            </w:tcBorders>
            <w:shd w:val="clear" w:color="auto" w:fill="auto"/>
          </w:tcPr>
          <w:p w:rsidR="00A76A08" w:rsidRPr="00ED7F0F" w:rsidRDefault="00A76A08" w:rsidP="00122C9F">
            <w:pPr>
              <w:tabs>
                <w:tab w:val="left" w:pos="0"/>
              </w:tabs>
              <w:spacing w:line="240" w:lineRule="auto"/>
              <w:jc w:val="center"/>
              <w:rPr>
                <w:rFonts w:ascii="Times New Roman" w:hAnsi="Times New Roman" w:cs="Times New Roman"/>
                <w:sz w:val="20"/>
                <w:szCs w:val="20"/>
              </w:rPr>
            </w:pPr>
            <w:r w:rsidRPr="00ED7F0F">
              <w:rPr>
                <w:rFonts w:ascii="Times New Roman" w:hAnsi="Times New Roman" w:cs="Times New Roman"/>
                <w:sz w:val="20"/>
              </w:rPr>
              <w:t>(78,6; 96,7)</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A76A08" w:rsidRPr="00ED7F0F" w:rsidRDefault="00A76A08" w:rsidP="00122C9F">
            <w:pPr>
              <w:tabs>
                <w:tab w:val="left" w:pos="0"/>
              </w:tabs>
              <w:spacing w:line="240" w:lineRule="auto"/>
              <w:ind w:left="72"/>
              <w:jc w:val="center"/>
              <w:rPr>
                <w:rFonts w:ascii="Times New Roman" w:hAnsi="Times New Roman" w:cs="Times New Roman"/>
                <w:sz w:val="20"/>
                <w:szCs w:val="20"/>
              </w:rPr>
            </w:pPr>
            <w:r w:rsidRPr="00ED7F0F">
              <w:rPr>
                <w:rFonts w:ascii="Times New Roman" w:hAnsi="Times New Roman" w:cs="Times New Roman"/>
                <w:sz w:val="20"/>
              </w:rPr>
              <w:t>(89,6; 100)</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A76A08" w:rsidRPr="00ED7F0F" w:rsidRDefault="00A76A08" w:rsidP="00122C9F">
            <w:pPr>
              <w:tabs>
                <w:tab w:val="left" w:pos="0"/>
              </w:tabs>
              <w:spacing w:line="240" w:lineRule="auto"/>
              <w:ind w:left="74"/>
              <w:jc w:val="center"/>
              <w:rPr>
                <w:rFonts w:ascii="Times New Roman" w:hAnsi="Times New Roman" w:cs="Times New Roman"/>
                <w:sz w:val="20"/>
                <w:szCs w:val="20"/>
              </w:rPr>
            </w:pPr>
            <w:r w:rsidRPr="00ED7F0F">
              <w:rPr>
                <w:rFonts w:ascii="Times New Roman" w:hAnsi="Times New Roman" w:cs="Times New Roman"/>
                <w:sz w:val="20"/>
              </w:rPr>
              <w:t>(89,6; 100)</w:t>
            </w:r>
          </w:p>
        </w:tc>
      </w:tr>
      <w:tr w:rsidR="00A76A08" w:rsidRPr="00ED7F0F" w:rsidTr="009A0932">
        <w:trPr>
          <w:trHeight w:val="526"/>
          <w:jc w:val="center"/>
        </w:trPr>
        <w:tc>
          <w:tcPr>
            <w:tcW w:w="2658" w:type="dxa"/>
            <w:tcBorders>
              <w:top w:val="nil"/>
              <w:left w:val="single" w:sz="4" w:space="0" w:color="auto"/>
              <w:bottom w:val="single" w:sz="4" w:space="0" w:color="auto"/>
              <w:right w:val="single" w:sz="4" w:space="0" w:color="auto"/>
            </w:tcBorders>
          </w:tcPr>
          <w:p w:rsidR="00A76A08" w:rsidRPr="00ED7F0F" w:rsidRDefault="00A76A08" w:rsidP="009A0932">
            <w:pPr>
              <w:tabs>
                <w:tab w:val="left" w:pos="0"/>
              </w:tabs>
              <w:spacing w:before="240" w:line="240" w:lineRule="auto"/>
              <w:ind w:left="79"/>
              <w:rPr>
                <w:rFonts w:ascii="Times New Roman" w:hAnsi="Times New Roman" w:cs="Times New Roman"/>
                <w:sz w:val="20"/>
                <w:szCs w:val="20"/>
              </w:rPr>
            </w:pPr>
            <w:r w:rsidRPr="00ED7F0F">
              <w:rPr>
                <w:rFonts w:ascii="Times New Roman" w:hAnsi="Times New Roman" w:cs="Times New Roman"/>
                <w:sz w:val="20"/>
              </w:rPr>
              <w:t>Predtým imatinib</w:t>
            </w:r>
          </w:p>
        </w:tc>
        <w:tc>
          <w:tcPr>
            <w:tcW w:w="1380" w:type="dxa"/>
            <w:tcBorders>
              <w:top w:val="nil"/>
              <w:left w:val="single" w:sz="4" w:space="0" w:color="auto"/>
              <w:bottom w:val="single" w:sz="4" w:space="0" w:color="auto"/>
              <w:right w:val="single" w:sz="4" w:space="0" w:color="auto"/>
            </w:tcBorders>
            <w:vAlign w:val="center"/>
          </w:tcPr>
          <w:p w:rsidR="00A76A08" w:rsidRPr="00ED7F0F" w:rsidRDefault="00A76A08" w:rsidP="009A0932">
            <w:pPr>
              <w:tabs>
                <w:tab w:val="left" w:pos="0"/>
              </w:tabs>
              <w:spacing w:before="120" w:line="240" w:lineRule="auto"/>
              <w:ind w:left="57" w:firstLine="193"/>
              <w:jc w:val="center"/>
              <w:rPr>
                <w:rFonts w:ascii="Times New Roman" w:hAnsi="Times New Roman" w:cs="Times New Roman"/>
                <w:sz w:val="20"/>
                <w:szCs w:val="20"/>
              </w:rPr>
            </w:pPr>
            <w:r w:rsidRPr="00ED7F0F">
              <w:rPr>
                <w:rFonts w:ascii="Times New Roman" w:hAnsi="Times New Roman" w:cs="Times New Roman"/>
                <w:sz w:val="20"/>
              </w:rPr>
              <w:t xml:space="preserve">60,9 % </w:t>
            </w:r>
          </w:p>
        </w:tc>
        <w:tc>
          <w:tcPr>
            <w:tcW w:w="1393" w:type="dxa"/>
            <w:tcBorders>
              <w:top w:val="nil"/>
              <w:left w:val="single" w:sz="4" w:space="0" w:color="auto"/>
              <w:bottom w:val="single" w:sz="4" w:space="0" w:color="auto"/>
              <w:right w:val="single" w:sz="4" w:space="0" w:color="auto"/>
            </w:tcBorders>
            <w:vAlign w:val="center"/>
          </w:tcPr>
          <w:p w:rsidR="00A76A08" w:rsidRPr="00ED7F0F" w:rsidRDefault="00A76A08" w:rsidP="009A0932">
            <w:pPr>
              <w:tabs>
                <w:tab w:val="left" w:pos="0"/>
              </w:tabs>
              <w:spacing w:before="120" w:line="240" w:lineRule="auto"/>
              <w:ind w:left="57" w:firstLine="193"/>
              <w:jc w:val="center"/>
              <w:rPr>
                <w:rFonts w:ascii="Times New Roman" w:hAnsi="Times New Roman" w:cs="Times New Roman"/>
                <w:sz w:val="20"/>
                <w:szCs w:val="20"/>
              </w:rPr>
            </w:pPr>
            <w:r w:rsidRPr="00ED7F0F">
              <w:rPr>
                <w:rFonts w:ascii="Times New Roman" w:hAnsi="Times New Roman" w:cs="Times New Roman"/>
                <w:sz w:val="20"/>
              </w:rPr>
              <w:t xml:space="preserve">82,6 % </w:t>
            </w:r>
          </w:p>
        </w:tc>
        <w:tc>
          <w:tcPr>
            <w:tcW w:w="1497" w:type="dxa"/>
            <w:tcBorders>
              <w:top w:val="nil"/>
              <w:left w:val="single" w:sz="4" w:space="0" w:color="auto"/>
              <w:bottom w:val="single" w:sz="4" w:space="0" w:color="auto"/>
              <w:right w:val="single" w:sz="4" w:space="0" w:color="auto"/>
            </w:tcBorders>
            <w:vAlign w:val="center"/>
          </w:tcPr>
          <w:p w:rsidR="00A76A08" w:rsidRPr="00ED7F0F" w:rsidRDefault="00A76A08" w:rsidP="009A0932">
            <w:pPr>
              <w:tabs>
                <w:tab w:val="left" w:pos="0"/>
              </w:tabs>
              <w:spacing w:before="120" w:line="240" w:lineRule="auto"/>
              <w:ind w:left="57" w:firstLine="193"/>
              <w:jc w:val="center"/>
              <w:rPr>
                <w:rFonts w:ascii="Times New Roman" w:hAnsi="Times New Roman" w:cs="Times New Roman"/>
                <w:sz w:val="20"/>
                <w:szCs w:val="20"/>
              </w:rPr>
            </w:pPr>
            <w:r w:rsidRPr="00ED7F0F">
              <w:rPr>
                <w:rFonts w:ascii="Times New Roman" w:hAnsi="Times New Roman" w:cs="Times New Roman"/>
                <w:sz w:val="20"/>
              </w:rPr>
              <w:t xml:space="preserve">89,1 % </w:t>
            </w:r>
          </w:p>
        </w:tc>
        <w:tc>
          <w:tcPr>
            <w:tcW w:w="1358" w:type="dxa"/>
            <w:tcBorders>
              <w:top w:val="nil"/>
              <w:left w:val="single" w:sz="4" w:space="0" w:color="auto"/>
              <w:bottom w:val="single" w:sz="4" w:space="0" w:color="auto"/>
              <w:right w:val="single" w:sz="4" w:space="0" w:color="auto"/>
            </w:tcBorders>
            <w:vAlign w:val="center"/>
          </w:tcPr>
          <w:p w:rsidR="00A76A08" w:rsidRPr="00ED7F0F" w:rsidRDefault="00A76A08" w:rsidP="009A0932">
            <w:pPr>
              <w:tabs>
                <w:tab w:val="left" w:pos="0"/>
              </w:tabs>
              <w:spacing w:before="120" w:line="240" w:lineRule="auto"/>
              <w:ind w:left="57" w:firstLine="220"/>
              <w:jc w:val="center"/>
              <w:rPr>
                <w:rFonts w:ascii="Times New Roman" w:hAnsi="Times New Roman" w:cs="Times New Roman"/>
                <w:sz w:val="20"/>
                <w:szCs w:val="20"/>
              </w:rPr>
            </w:pPr>
            <w:r w:rsidRPr="00ED7F0F">
              <w:rPr>
                <w:rFonts w:ascii="Times New Roman" w:hAnsi="Times New Roman" w:cs="Times New Roman"/>
                <w:sz w:val="20"/>
              </w:rPr>
              <w:t>89,1 %</w:t>
            </w:r>
          </w:p>
        </w:tc>
      </w:tr>
      <w:tr w:rsidR="00A76A08" w:rsidRPr="00ED7F0F" w:rsidTr="009A0932">
        <w:trPr>
          <w:trHeight w:val="560"/>
          <w:jc w:val="center"/>
        </w:trPr>
        <w:tc>
          <w:tcPr>
            <w:tcW w:w="2658" w:type="dxa"/>
            <w:tcBorders>
              <w:top w:val="single" w:sz="4" w:space="0" w:color="auto"/>
              <w:left w:val="single" w:sz="4" w:space="0" w:color="auto"/>
              <w:bottom w:val="single" w:sz="4" w:space="0" w:color="auto"/>
              <w:right w:val="single" w:sz="4" w:space="0" w:color="auto"/>
            </w:tcBorders>
          </w:tcPr>
          <w:p w:rsidR="00A76A08" w:rsidRPr="00ED7F0F" w:rsidRDefault="00A76A08" w:rsidP="009A0932">
            <w:pPr>
              <w:tabs>
                <w:tab w:val="left" w:pos="0"/>
              </w:tabs>
              <w:spacing w:after="240" w:line="240" w:lineRule="auto"/>
              <w:ind w:left="79"/>
              <w:rPr>
                <w:rFonts w:ascii="Times New Roman" w:hAnsi="Times New Roman" w:cs="Times New Roman"/>
                <w:sz w:val="20"/>
                <w:szCs w:val="20"/>
              </w:rPr>
            </w:pPr>
            <w:r w:rsidRPr="00ED7F0F">
              <w:rPr>
                <w:rFonts w:ascii="Times New Roman" w:hAnsi="Times New Roman" w:cs="Times New Roman"/>
                <w:sz w:val="20"/>
              </w:rPr>
              <w:t>(N = 46)</w:t>
            </w:r>
            <w:r w:rsidRPr="00ED7F0F">
              <w:rPr>
                <w:rFonts w:ascii="Times New Roman" w:hAnsi="Times New Roman" w:cs="Times New Roman"/>
                <w:sz w:val="20"/>
                <w:vertAlign w:val="superscript"/>
              </w:rPr>
              <w:t>b</w:t>
            </w:r>
          </w:p>
        </w:tc>
        <w:tc>
          <w:tcPr>
            <w:tcW w:w="1380" w:type="dxa"/>
            <w:tcBorders>
              <w:top w:val="single" w:sz="4" w:space="0" w:color="auto"/>
              <w:left w:val="single" w:sz="4" w:space="0" w:color="auto"/>
              <w:bottom w:val="single" w:sz="4" w:space="0" w:color="auto"/>
              <w:right w:val="single" w:sz="4" w:space="0" w:color="auto"/>
            </w:tcBorders>
            <w:vAlign w:val="center"/>
          </w:tcPr>
          <w:p w:rsidR="00A76A08" w:rsidRPr="00ED7F0F" w:rsidRDefault="00A76A08" w:rsidP="009A0932">
            <w:pPr>
              <w:tabs>
                <w:tab w:val="left" w:pos="0"/>
              </w:tabs>
              <w:spacing w:after="240" w:line="240" w:lineRule="auto"/>
              <w:ind w:firstLine="193"/>
              <w:jc w:val="center"/>
              <w:rPr>
                <w:rFonts w:ascii="Times New Roman" w:hAnsi="Times New Roman" w:cs="Times New Roman"/>
                <w:sz w:val="20"/>
                <w:szCs w:val="20"/>
              </w:rPr>
            </w:pPr>
            <w:r w:rsidRPr="00ED7F0F">
              <w:rPr>
                <w:rFonts w:ascii="Times New Roman" w:hAnsi="Times New Roman" w:cs="Times New Roman"/>
                <w:sz w:val="20"/>
              </w:rPr>
              <w:t>(45,4; 74,9)</w:t>
            </w:r>
          </w:p>
        </w:tc>
        <w:tc>
          <w:tcPr>
            <w:tcW w:w="1393" w:type="dxa"/>
            <w:tcBorders>
              <w:top w:val="single" w:sz="4" w:space="0" w:color="auto"/>
              <w:left w:val="single" w:sz="4" w:space="0" w:color="auto"/>
              <w:bottom w:val="single" w:sz="4" w:space="0" w:color="auto"/>
              <w:right w:val="single" w:sz="4" w:space="0" w:color="auto"/>
            </w:tcBorders>
            <w:vAlign w:val="center"/>
          </w:tcPr>
          <w:p w:rsidR="00A76A08" w:rsidRPr="00ED7F0F" w:rsidRDefault="00A76A08" w:rsidP="009A0932">
            <w:pPr>
              <w:tabs>
                <w:tab w:val="left" w:pos="0"/>
              </w:tabs>
              <w:spacing w:after="240" w:line="240" w:lineRule="auto"/>
              <w:ind w:firstLine="193"/>
              <w:jc w:val="center"/>
              <w:rPr>
                <w:rFonts w:ascii="Times New Roman" w:hAnsi="Times New Roman" w:cs="Times New Roman"/>
                <w:sz w:val="20"/>
                <w:szCs w:val="20"/>
              </w:rPr>
            </w:pPr>
            <w:r w:rsidRPr="00ED7F0F">
              <w:rPr>
                <w:rFonts w:ascii="Times New Roman" w:hAnsi="Times New Roman" w:cs="Times New Roman"/>
                <w:sz w:val="20"/>
              </w:rPr>
              <w:t>(68,6; 92,2)</w:t>
            </w:r>
          </w:p>
        </w:tc>
        <w:tc>
          <w:tcPr>
            <w:tcW w:w="1497" w:type="dxa"/>
            <w:tcBorders>
              <w:top w:val="single" w:sz="4" w:space="0" w:color="auto"/>
              <w:left w:val="single" w:sz="4" w:space="0" w:color="auto"/>
              <w:bottom w:val="single" w:sz="4" w:space="0" w:color="auto"/>
              <w:right w:val="single" w:sz="4" w:space="0" w:color="auto"/>
            </w:tcBorders>
            <w:vAlign w:val="center"/>
          </w:tcPr>
          <w:p w:rsidR="00A76A08" w:rsidRPr="00ED7F0F" w:rsidRDefault="00A76A08" w:rsidP="009A0932">
            <w:pPr>
              <w:tabs>
                <w:tab w:val="left" w:pos="0"/>
              </w:tabs>
              <w:spacing w:after="240" w:line="240" w:lineRule="auto"/>
              <w:ind w:firstLine="193"/>
              <w:jc w:val="center"/>
              <w:rPr>
                <w:rFonts w:ascii="Times New Roman" w:hAnsi="Times New Roman" w:cs="Times New Roman"/>
                <w:sz w:val="20"/>
                <w:szCs w:val="20"/>
              </w:rPr>
            </w:pPr>
            <w:r w:rsidRPr="00ED7F0F">
              <w:rPr>
                <w:rFonts w:ascii="Times New Roman" w:hAnsi="Times New Roman" w:cs="Times New Roman"/>
                <w:sz w:val="20"/>
              </w:rPr>
              <w:t>(76,4; 96,4)</w:t>
            </w:r>
          </w:p>
        </w:tc>
        <w:tc>
          <w:tcPr>
            <w:tcW w:w="1358" w:type="dxa"/>
            <w:tcBorders>
              <w:top w:val="single" w:sz="4" w:space="0" w:color="auto"/>
              <w:left w:val="single" w:sz="4" w:space="0" w:color="auto"/>
              <w:bottom w:val="single" w:sz="4" w:space="0" w:color="auto"/>
              <w:right w:val="single" w:sz="4" w:space="0" w:color="auto"/>
            </w:tcBorders>
            <w:vAlign w:val="center"/>
          </w:tcPr>
          <w:p w:rsidR="00A76A08" w:rsidRPr="00ED7F0F" w:rsidRDefault="00A76A08" w:rsidP="009A0932">
            <w:pPr>
              <w:tabs>
                <w:tab w:val="left" w:pos="0"/>
              </w:tabs>
              <w:spacing w:after="240" w:line="240" w:lineRule="auto"/>
              <w:jc w:val="center"/>
              <w:rPr>
                <w:rFonts w:ascii="Times New Roman" w:hAnsi="Times New Roman" w:cs="Times New Roman"/>
                <w:sz w:val="20"/>
                <w:szCs w:val="20"/>
              </w:rPr>
            </w:pPr>
            <w:r w:rsidRPr="00ED7F0F">
              <w:rPr>
                <w:rFonts w:ascii="Times New Roman" w:hAnsi="Times New Roman" w:cs="Times New Roman"/>
                <w:sz w:val="20"/>
              </w:rPr>
              <w:t>(76,4; 96,4)</w:t>
            </w:r>
          </w:p>
        </w:tc>
      </w:tr>
      <w:tr w:rsidR="00A76A08" w:rsidRPr="00ED7F0F" w:rsidTr="009A0932">
        <w:trPr>
          <w:trHeight w:val="250"/>
          <w:jc w:val="center"/>
        </w:trPr>
        <w:tc>
          <w:tcPr>
            <w:tcW w:w="2658" w:type="dxa"/>
            <w:tcBorders>
              <w:top w:val="single" w:sz="4" w:space="0" w:color="auto"/>
              <w:left w:val="single" w:sz="4" w:space="0" w:color="auto"/>
              <w:bottom w:val="single" w:sz="4" w:space="0" w:color="auto"/>
              <w:right w:val="single" w:sz="4" w:space="0" w:color="auto"/>
            </w:tcBorders>
            <w:vAlign w:val="bottom"/>
          </w:tcPr>
          <w:p w:rsidR="00A76A08" w:rsidRPr="00ED7F0F" w:rsidRDefault="00A76A08" w:rsidP="00122C9F">
            <w:pPr>
              <w:tabs>
                <w:tab w:val="left" w:pos="0"/>
              </w:tabs>
              <w:spacing w:line="240" w:lineRule="auto"/>
              <w:ind w:left="80"/>
              <w:rPr>
                <w:rFonts w:ascii="Times New Roman" w:hAnsi="Times New Roman" w:cs="Times New Roman"/>
                <w:sz w:val="20"/>
                <w:szCs w:val="20"/>
              </w:rPr>
            </w:pPr>
            <w:r w:rsidRPr="00ED7F0F">
              <w:rPr>
                <w:rFonts w:ascii="Times New Roman" w:hAnsi="Times New Roman" w:cs="Times New Roman"/>
                <w:b/>
                <w:sz w:val="20"/>
              </w:rPr>
              <w:t>MMR</w:t>
            </w:r>
          </w:p>
        </w:tc>
        <w:tc>
          <w:tcPr>
            <w:tcW w:w="1380" w:type="dxa"/>
            <w:tcBorders>
              <w:top w:val="single" w:sz="4" w:space="0" w:color="auto"/>
              <w:left w:val="single" w:sz="4" w:space="0" w:color="auto"/>
              <w:bottom w:val="single" w:sz="4" w:space="0" w:color="auto"/>
              <w:right w:val="single" w:sz="4" w:space="0" w:color="auto"/>
            </w:tcBorders>
          </w:tcPr>
          <w:p w:rsidR="00A76A08" w:rsidRPr="00ED7F0F" w:rsidRDefault="00A76A08" w:rsidP="00122C9F">
            <w:pPr>
              <w:tabs>
                <w:tab w:val="left" w:pos="0"/>
              </w:tabs>
              <w:spacing w:line="240" w:lineRule="auto"/>
              <w:jc w:val="center"/>
              <w:rPr>
                <w:rFonts w:ascii="Times New Roman" w:hAnsi="Times New Roman" w:cs="Times New Roman"/>
                <w:sz w:val="20"/>
                <w:szCs w:val="20"/>
              </w:rPr>
            </w:pPr>
          </w:p>
        </w:tc>
        <w:tc>
          <w:tcPr>
            <w:tcW w:w="1393" w:type="dxa"/>
            <w:tcBorders>
              <w:top w:val="single" w:sz="4" w:space="0" w:color="auto"/>
              <w:left w:val="single" w:sz="4" w:space="0" w:color="auto"/>
              <w:bottom w:val="single" w:sz="4" w:space="0" w:color="auto"/>
              <w:right w:val="single" w:sz="4" w:space="0" w:color="auto"/>
            </w:tcBorders>
          </w:tcPr>
          <w:p w:rsidR="00A76A08" w:rsidRPr="00ED7F0F" w:rsidRDefault="00A76A08" w:rsidP="00122C9F">
            <w:pPr>
              <w:tabs>
                <w:tab w:val="left" w:pos="0"/>
              </w:tabs>
              <w:spacing w:line="240" w:lineRule="auto"/>
              <w:jc w:val="center"/>
              <w:rPr>
                <w:rFonts w:ascii="Times New Roman" w:hAnsi="Times New Roman" w:cs="Times New Roman"/>
                <w:sz w:val="20"/>
                <w:szCs w:val="20"/>
              </w:rPr>
            </w:pPr>
          </w:p>
        </w:tc>
        <w:tc>
          <w:tcPr>
            <w:tcW w:w="1497" w:type="dxa"/>
            <w:tcBorders>
              <w:top w:val="single" w:sz="4" w:space="0" w:color="auto"/>
              <w:left w:val="single" w:sz="4" w:space="0" w:color="auto"/>
              <w:bottom w:val="single" w:sz="4" w:space="0" w:color="auto"/>
              <w:right w:val="single" w:sz="4" w:space="0" w:color="auto"/>
            </w:tcBorders>
          </w:tcPr>
          <w:p w:rsidR="00A76A08" w:rsidRPr="00ED7F0F" w:rsidRDefault="00A76A08" w:rsidP="00122C9F">
            <w:pPr>
              <w:tabs>
                <w:tab w:val="left" w:pos="0"/>
              </w:tabs>
              <w:spacing w:line="240" w:lineRule="auto"/>
              <w:jc w:val="center"/>
              <w:rPr>
                <w:rFonts w:ascii="Times New Roman"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76A08" w:rsidRPr="00ED7F0F" w:rsidRDefault="00A76A08" w:rsidP="00122C9F">
            <w:pPr>
              <w:tabs>
                <w:tab w:val="left" w:pos="0"/>
              </w:tabs>
              <w:spacing w:line="240" w:lineRule="auto"/>
              <w:jc w:val="center"/>
              <w:rPr>
                <w:rFonts w:ascii="Times New Roman" w:hAnsi="Times New Roman" w:cs="Times New Roman"/>
                <w:sz w:val="20"/>
                <w:szCs w:val="20"/>
              </w:rPr>
            </w:pPr>
          </w:p>
        </w:tc>
      </w:tr>
      <w:tr w:rsidR="00A76A08" w:rsidRPr="00ED7F0F" w:rsidTr="009A0932">
        <w:trPr>
          <w:trHeight w:val="230"/>
          <w:jc w:val="center"/>
        </w:trPr>
        <w:tc>
          <w:tcPr>
            <w:tcW w:w="2658" w:type="dxa"/>
            <w:tcBorders>
              <w:top w:val="single" w:sz="4" w:space="0" w:color="auto"/>
              <w:left w:val="single" w:sz="4" w:space="0" w:color="auto"/>
              <w:bottom w:val="single" w:sz="4" w:space="0" w:color="auto"/>
              <w:right w:val="single" w:sz="4" w:space="0" w:color="auto"/>
            </w:tcBorders>
            <w:vAlign w:val="bottom"/>
          </w:tcPr>
          <w:p w:rsidR="00A76A08" w:rsidRPr="00ED7F0F" w:rsidRDefault="00A76A08" w:rsidP="00122C9F">
            <w:pPr>
              <w:tabs>
                <w:tab w:val="left" w:pos="0"/>
              </w:tabs>
              <w:spacing w:line="240" w:lineRule="auto"/>
              <w:ind w:left="80"/>
              <w:rPr>
                <w:rFonts w:ascii="Times New Roman" w:hAnsi="Times New Roman" w:cs="Times New Roman"/>
                <w:b/>
                <w:sz w:val="20"/>
              </w:rPr>
            </w:pPr>
            <w:r w:rsidRPr="00ED7F0F">
              <w:rPr>
                <w:rFonts w:ascii="Times New Roman" w:hAnsi="Times New Roman" w:cs="Times New Roman"/>
                <w:b/>
                <w:sz w:val="20"/>
              </w:rPr>
              <w:t>(95 % CI)</w:t>
            </w:r>
          </w:p>
        </w:tc>
        <w:tc>
          <w:tcPr>
            <w:tcW w:w="1380" w:type="dxa"/>
            <w:tcBorders>
              <w:top w:val="single" w:sz="4" w:space="0" w:color="auto"/>
              <w:left w:val="single" w:sz="4" w:space="0" w:color="auto"/>
              <w:bottom w:val="single" w:sz="4" w:space="0" w:color="auto"/>
              <w:right w:val="single" w:sz="4" w:space="0" w:color="auto"/>
            </w:tcBorders>
          </w:tcPr>
          <w:p w:rsidR="00A76A08" w:rsidRPr="00ED7F0F" w:rsidRDefault="00A76A08" w:rsidP="00122C9F">
            <w:pPr>
              <w:tabs>
                <w:tab w:val="left" w:pos="0"/>
              </w:tabs>
              <w:spacing w:line="240" w:lineRule="auto"/>
              <w:jc w:val="center"/>
              <w:rPr>
                <w:rFonts w:ascii="Times New Roman" w:hAnsi="Times New Roman" w:cs="Times New Roman"/>
                <w:sz w:val="20"/>
                <w:szCs w:val="20"/>
              </w:rPr>
            </w:pPr>
          </w:p>
        </w:tc>
        <w:tc>
          <w:tcPr>
            <w:tcW w:w="1393" w:type="dxa"/>
            <w:tcBorders>
              <w:top w:val="single" w:sz="4" w:space="0" w:color="auto"/>
              <w:left w:val="single" w:sz="4" w:space="0" w:color="auto"/>
              <w:bottom w:val="single" w:sz="4" w:space="0" w:color="auto"/>
              <w:right w:val="single" w:sz="4" w:space="0" w:color="auto"/>
            </w:tcBorders>
          </w:tcPr>
          <w:p w:rsidR="00A76A08" w:rsidRPr="00ED7F0F" w:rsidRDefault="00A76A08" w:rsidP="00122C9F">
            <w:pPr>
              <w:tabs>
                <w:tab w:val="left" w:pos="0"/>
              </w:tabs>
              <w:spacing w:line="240" w:lineRule="auto"/>
              <w:jc w:val="center"/>
              <w:rPr>
                <w:rFonts w:ascii="Times New Roman" w:hAnsi="Times New Roman" w:cs="Times New Roman"/>
                <w:sz w:val="20"/>
                <w:szCs w:val="20"/>
              </w:rPr>
            </w:pPr>
          </w:p>
        </w:tc>
        <w:tc>
          <w:tcPr>
            <w:tcW w:w="1497" w:type="dxa"/>
            <w:tcBorders>
              <w:top w:val="single" w:sz="4" w:space="0" w:color="auto"/>
              <w:left w:val="single" w:sz="4" w:space="0" w:color="auto"/>
              <w:bottom w:val="single" w:sz="4" w:space="0" w:color="auto"/>
              <w:right w:val="single" w:sz="4" w:space="0" w:color="auto"/>
            </w:tcBorders>
          </w:tcPr>
          <w:p w:rsidR="00A76A08" w:rsidRPr="00ED7F0F" w:rsidRDefault="00A76A08" w:rsidP="00122C9F">
            <w:pPr>
              <w:tabs>
                <w:tab w:val="left" w:pos="0"/>
              </w:tabs>
              <w:spacing w:line="240" w:lineRule="auto"/>
              <w:jc w:val="center"/>
              <w:rPr>
                <w:rFonts w:ascii="Times New Roman"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76A08" w:rsidRPr="00ED7F0F" w:rsidRDefault="00A76A08" w:rsidP="00122C9F">
            <w:pPr>
              <w:tabs>
                <w:tab w:val="left" w:pos="0"/>
              </w:tabs>
              <w:spacing w:line="240" w:lineRule="auto"/>
              <w:jc w:val="center"/>
              <w:rPr>
                <w:rFonts w:ascii="Times New Roman" w:hAnsi="Times New Roman" w:cs="Times New Roman"/>
                <w:sz w:val="20"/>
                <w:szCs w:val="20"/>
              </w:rPr>
            </w:pPr>
          </w:p>
        </w:tc>
      </w:tr>
      <w:tr w:rsidR="00A76A08" w:rsidRPr="00ED7F0F" w:rsidTr="009A0932">
        <w:trPr>
          <w:trHeight w:val="230"/>
          <w:jc w:val="center"/>
        </w:trPr>
        <w:tc>
          <w:tcPr>
            <w:tcW w:w="2658" w:type="dxa"/>
            <w:tcBorders>
              <w:top w:val="single" w:sz="4" w:space="0" w:color="auto"/>
              <w:left w:val="single" w:sz="4" w:space="0" w:color="auto"/>
              <w:bottom w:val="single" w:sz="4" w:space="0" w:color="auto"/>
              <w:right w:val="single" w:sz="4" w:space="0" w:color="auto"/>
            </w:tcBorders>
            <w:vAlign w:val="bottom"/>
          </w:tcPr>
          <w:p w:rsidR="00A76A08" w:rsidRPr="00ED7F0F" w:rsidRDefault="00A76A08" w:rsidP="00122C9F">
            <w:pPr>
              <w:tabs>
                <w:tab w:val="left" w:pos="0"/>
              </w:tabs>
              <w:spacing w:line="240" w:lineRule="auto"/>
              <w:ind w:left="80"/>
              <w:rPr>
                <w:rFonts w:ascii="Times New Roman" w:hAnsi="Times New Roman" w:cs="Times New Roman"/>
                <w:b/>
                <w:sz w:val="20"/>
              </w:rPr>
            </w:pPr>
            <w:r w:rsidRPr="00ED7F0F">
              <w:rPr>
                <w:rFonts w:ascii="Times New Roman" w:hAnsi="Times New Roman" w:cs="Times New Roman"/>
                <w:sz w:val="20"/>
              </w:rPr>
              <w:t>Novodiagnostikovaní</w:t>
            </w:r>
          </w:p>
        </w:tc>
        <w:tc>
          <w:tcPr>
            <w:tcW w:w="1380" w:type="dxa"/>
            <w:tcBorders>
              <w:top w:val="single" w:sz="4" w:space="0" w:color="auto"/>
              <w:left w:val="single" w:sz="4" w:space="0" w:color="auto"/>
              <w:bottom w:val="single" w:sz="4" w:space="0" w:color="auto"/>
              <w:right w:val="single" w:sz="4" w:space="0" w:color="auto"/>
            </w:tcBorders>
          </w:tcPr>
          <w:p w:rsidR="00A76A08" w:rsidRPr="00ED7F0F" w:rsidRDefault="00A76A08" w:rsidP="00122C9F">
            <w:pPr>
              <w:tabs>
                <w:tab w:val="left" w:pos="0"/>
              </w:tabs>
              <w:spacing w:line="240" w:lineRule="auto"/>
              <w:jc w:val="center"/>
              <w:rPr>
                <w:rFonts w:ascii="Times New Roman" w:hAnsi="Times New Roman" w:cs="Times New Roman"/>
                <w:sz w:val="20"/>
                <w:szCs w:val="20"/>
              </w:rPr>
            </w:pPr>
            <w:r w:rsidRPr="00ED7F0F">
              <w:rPr>
                <w:rFonts w:ascii="Times New Roman" w:hAnsi="Times New Roman" w:cs="Times New Roman"/>
                <w:sz w:val="20"/>
              </w:rPr>
              <w:t>7,8 %</w:t>
            </w:r>
          </w:p>
        </w:tc>
        <w:tc>
          <w:tcPr>
            <w:tcW w:w="1393" w:type="dxa"/>
            <w:tcBorders>
              <w:top w:val="single" w:sz="4" w:space="0" w:color="auto"/>
              <w:left w:val="single" w:sz="4" w:space="0" w:color="auto"/>
              <w:bottom w:val="single" w:sz="4" w:space="0" w:color="auto"/>
              <w:right w:val="single" w:sz="4" w:space="0" w:color="auto"/>
            </w:tcBorders>
          </w:tcPr>
          <w:p w:rsidR="00A76A08" w:rsidRPr="00ED7F0F" w:rsidRDefault="00A76A08" w:rsidP="00122C9F">
            <w:pPr>
              <w:tabs>
                <w:tab w:val="left" w:pos="0"/>
              </w:tabs>
              <w:spacing w:line="240" w:lineRule="auto"/>
              <w:jc w:val="center"/>
              <w:rPr>
                <w:rFonts w:ascii="Times New Roman" w:hAnsi="Times New Roman" w:cs="Times New Roman"/>
                <w:sz w:val="20"/>
                <w:szCs w:val="20"/>
              </w:rPr>
            </w:pPr>
            <w:r w:rsidRPr="00ED7F0F">
              <w:rPr>
                <w:rFonts w:ascii="Times New Roman" w:hAnsi="Times New Roman" w:cs="Times New Roman"/>
                <w:sz w:val="20"/>
              </w:rPr>
              <w:t>31,4 %</w:t>
            </w:r>
          </w:p>
        </w:tc>
        <w:tc>
          <w:tcPr>
            <w:tcW w:w="1497" w:type="dxa"/>
            <w:tcBorders>
              <w:top w:val="single" w:sz="4" w:space="0" w:color="auto"/>
              <w:left w:val="single" w:sz="4" w:space="0" w:color="auto"/>
              <w:bottom w:val="single" w:sz="4" w:space="0" w:color="auto"/>
              <w:right w:val="single" w:sz="4" w:space="0" w:color="auto"/>
            </w:tcBorders>
          </w:tcPr>
          <w:p w:rsidR="00A76A08" w:rsidRPr="00ED7F0F" w:rsidRDefault="00A76A08" w:rsidP="00122C9F">
            <w:pPr>
              <w:tabs>
                <w:tab w:val="left" w:pos="0"/>
              </w:tabs>
              <w:spacing w:line="240" w:lineRule="auto"/>
              <w:jc w:val="center"/>
              <w:rPr>
                <w:rFonts w:ascii="Times New Roman" w:hAnsi="Times New Roman" w:cs="Times New Roman"/>
                <w:sz w:val="20"/>
                <w:szCs w:val="20"/>
              </w:rPr>
            </w:pPr>
            <w:r w:rsidRPr="00ED7F0F">
              <w:rPr>
                <w:rFonts w:ascii="Times New Roman" w:hAnsi="Times New Roman" w:cs="Times New Roman"/>
                <w:sz w:val="20"/>
              </w:rPr>
              <w:t>56,9 %</w:t>
            </w:r>
          </w:p>
        </w:tc>
        <w:tc>
          <w:tcPr>
            <w:tcW w:w="1358" w:type="dxa"/>
            <w:tcBorders>
              <w:top w:val="single" w:sz="4" w:space="0" w:color="auto"/>
              <w:left w:val="single" w:sz="4" w:space="0" w:color="auto"/>
              <w:bottom w:val="single" w:sz="4" w:space="0" w:color="auto"/>
              <w:right w:val="single" w:sz="4" w:space="0" w:color="auto"/>
            </w:tcBorders>
          </w:tcPr>
          <w:p w:rsidR="00A76A08" w:rsidRPr="00ED7F0F" w:rsidRDefault="00A76A08" w:rsidP="00122C9F">
            <w:pPr>
              <w:tabs>
                <w:tab w:val="left" w:pos="0"/>
              </w:tabs>
              <w:spacing w:line="240" w:lineRule="auto"/>
              <w:jc w:val="center"/>
              <w:rPr>
                <w:rFonts w:ascii="Times New Roman" w:hAnsi="Times New Roman" w:cs="Times New Roman"/>
                <w:sz w:val="20"/>
                <w:szCs w:val="20"/>
              </w:rPr>
            </w:pPr>
            <w:r w:rsidRPr="00ED7F0F">
              <w:rPr>
                <w:rFonts w:ascii="Times New Roman" w:hAnsi="Times New Roman" w:cs="Times New Roman"/>
                <w:sz w:val="20"/>
              </w:rPr>
              <w:t>74,5 %</w:t>
            </w:r>
          </w:p>
        </w:tc>
      </w:tr>
      <w:tr w:rsidR="00A4298D" w:rsidRPr="00ED7F0F" w:rsidTr="009A0932">
        <w:trPr>
          <w:trHeight w:val="230"/>
          <w:jc w:val="center"/>
        </w:trPr>
        <w:tc>
          <w:tcPr>
            <w:tcW w:w="2658" w:type="dxa"/>
            <w:tcBorders>
              <w:top w:val="single" w:sz="4" w:space="0" w:color="auto"/>
              <w:left w:val="single" w:sz="4" w:space="0" w:color="auto"/>
              <w:bottom w:val="single" w:sz="4" w:space="0" w:color="auto"/>
              <w:right w:val="single" w:sz="4" w:space="0" w:color="auto"/>
            </w:tcBorders>
            <w:vAlign w:val="bottom"/>
          </w:tcPr>
          <w:p w:rsidR="00A4298D" w:rsidRPr="00ED7F0F" w:rsidRDefault="00A4298D" w:rsidP="00122C9F">
            <w:pPr>
              <w:tabs>
                <w:tab w:val="left" w:pos="0"/>
              </w:tabs>
              <w:spacing w:line="240" w:lineRule="auto"/>
              <w:ind w:left="80"/>
              <w:rPr>
                <w:rFonts w:ascii="Times New Roman" w:hAnsi="Times New Roman" w:cs="Times New Roman"/>
                <w:sz w:val="20"/>
              </w:rPr>
            </w:pPr>
            <w:r w:rsidRPr="00ED7F0F">
              <w:rPr>
                <w:rFonts w:ascii="Times New Roman" w:hAnsi="Times New Roman" w:cs="Times New Roman"/>
                <w:sz w:val="20"/>
              </w:rPr>
              <w:t>(N = 51)</w:t>
            </w:r>
            <w:r w:rsidRPr="00ED7F0F">
              <w:rPr>
                <w:rFonts w:ascii="Times New Roman" w:hAnsi="Times New Roman" w:cs="Times New Roman"/>
                <w:sz w:val="20"/>
                <w:vertAlign w:val="superscript"/>
              </w:rPr>
              <w:t>a</w:t>
            </w:r>
          </w:p>
        </w:tc>
        <w:tc>
          <w:tcPr>
            <w:tcW w:w="1380" w:type="dxa"/>
            <w:tcBorders>
              <w:top w:val="single" w:sz="4" w:space="0" w:color="auto"/>
              <w:left w:val="single" w:sz="4" w:space="0" w:color="auto"/>
              <w:bottom w:val="single" w:sz="4" w:space="0" w:color="auto"/>
              <w:right w:val="single" w:sz="4" w:space="0" w:color="auto"/>
            </w:tcBorders>
          </w:tcPr>
          <w:p w:rsidR="00A4298D" w:rsidRPr="00ED7F0F" w:rsidRDefault="00A4298D" w:rsidP="00122C9F">
            <w:pPr>
              <w:tabs>
                <w:tab w:val="left" w:pos="0"/>
              </w:tabs>
              <w:spacing w:line="240" w:lineRule="auto"/>
              <w:jc w:val="center"/>
              <w:rPr>
                <w:rFonts w:ascii="Times New Roman" w:hAnsi="Times New Roman" w:cs="Times New Roman"/>
                <w:sz w:val="20"/>
                <w:szCs w:val="20"/>
              </w:rPr>
            </w:pPr>
            <w:r w:rsidRPr="00ED7F0F">
              <w:rPr>
                <w:rFonts w:ascii="Times New Roman" w:hAnsi="Times New Roman" w:cs="Times New Roman"/>
                <w:sz w:val="20"/>
              </w:rPr>
              <w:t>(2,2; 18,9)</w:t>
            </w:r>
          </w:p>
        </w:tc>
        <w:tc>
          <w:tcPr>
            <w:tcW w:w="1393" w:type="dxa"/>
            <w:tcBorders>
              <w:top w:val="single" w:sz="4" w:space="0" w:color="auto"/>
              <w:left w:val="single" w:sz="4" w:space="0" w:color="auto"/>
              <w:bottom w:val="single" w:sz="4" w:space="0" w:color="auto"/>
              <w:right w:val="single" w:sz="4" w:space="0" w:color="auto"/>
            </w:tcBorders>
          </w:tcPr>
          <w:p w:rsidR="00A4298D" w:rsidRPr="00ED7F0F" w:rsidRDefault="00A4298D" w:rsidP="00122C9F">
            <w:pPr>
              <w:tabs>
                <w:tab w:val="left" w:pos="0"/>
              </w:tabs>
              <w:spacing w:line="240" w:lineRule="auto"/>
              <w:jc w:val="center"/>
              <w:rPr>
                <w:rFonts w:ascii="Times New Roman" w:hAnsi="Times New Roman" w:cs="Times New Roman"/>
                <w:sz w:val="20"/>
                <w:szCs w:val="20"/>
              </w:rPr>
            </w:pPr>
            <w:r w:rsidRPr="00ED7F0F">
              <w:rPr>
                <w:rFonts w:ascii="Times New Roman" w:hAnsi="Times New Roman" w:cs="Times New Roman"/>
                <w:sz w:val="20"/>
              </w:rPr>
              <w:t>(19,1; 45,9)</w:t>
            </w:r>
          </w:p>
        </w:tc>
        <w:tc>
          <w:tcPr>
            <w:tcW w:w="1497" w:type="dxa"/>
            <w:tcBorders>
              <w:top w:val="single" w:sz="4" w:space="0" w:color="auto"/>
              <w:left w:val="single" w:sz="4" w:space="0" w:color="auto"/>
              <w:bottom w:val="single" w:sz="4" w:space="0" w:color="auto"/>
              <w:right w:val="single" w:sz="4" w:space="0" w:color="auto"/>
            </w:tcBorders>
          </w:tcPr>
          <w:p w:rsidR="00A4298D" w:rsidRPr="00ED7F0F" w:rsidRDefault="00A4298D" w:rsidP="00122C9F">
            <w:pPr>
              <w:tabs>
                <w:tab w:val="left" w:pos="0"/>
              </w:tabs>
              <w:spacing w:line="240" w:lineRule="auto"/>
              <w:jc w:val="center"/>
              <w:rPr>
                <w:rFonts w:ascii="Times New Roman" w:hAnsi="Times New Roman" w:cs="Times New Roman"/>
                <w:sz w:val="20"/>
                <w:szCs w:val="20"/>
              </w:rPr>
            </w:pPr>
            <w:r w:rsidRPr="00ED7F0F">
              <w:rPr>
                <w:rFonts w:ascii="Times New Roman" w:hAnsi="Times New Roman" w:cs="Times New Roman"/>
                <w:sz w:val="20"/>
              </w:rPr>
              <w:t>(42,2; 70,7)</w:t>
            </w:r>
          </w:p>
        </w:tc>
        <w:tc>
          <w:tcPr>
            <w:tcW w:w="1358" w:type="dxa"/>
            <w:tcBorders>
              <w:top w:val="single" w:sz="4" w:space="0" w:color="auto"/>
              <w:left w:val="single" w:sz="4" w:space="0" w:color="auto"/>
              <w:bottom w:val="single" w:sz="4" w:space="0" w:color="auto"/>
              <w:right w:val="single" w:sz="4" w:space="0" w:color="auto"/>
            </w:tcBorders>
          </w:tcPr>
          <w:p w:rsidR="00A4298D" w:rsidRPr="00ED7F0F" w:rsidRDefault="00A4298D" w:rsidP="00122C9F">
            <w:pPr>
              <w:tabs>
                <w:tab w:val="clear" w:pos="567"/>
                <w:tab w:val="left" w:pos="0"/>
                <w:tab w:val="left" w:pos="34"/>
              </w:tabs>
              <w:spacing w:line="240" w:lineRule="auto"/>
              <w:jc w:val="center"/>
              <w:rPr>
                <w:rFonts w:ascii="Times New Roman" w:hAnsi="Times New Roman" w:cs="Times New Roman"/>
                <w:sz w:val="20"/>
                <w:szCs w:val="20"/>
              </w:rPr>
            </w:pPr>
            <w:r w:rsidRPr="00ED7F0F">
              <w:rPr>
                <w:rFonts w:ascii="Times New Roman" w:hAnsi="Times New Roman" w:cs="Times New Roman"/>
                <w:sz w:val="20"/>
              </w:rPr>
              <w:t>(60,4; 85,7)</w:t>
            </w:r>
          </w:p>
        </w:tc>
      </w:tr>
      <w:tr w:rsidR="00A4298D" w:rsidRPr="00ED7F0F" w:rsidTr="009A0932">
        <w:trPr>
          <w:trHeight w:val="282"/>
          <w:jc w:val="center"/>
        </w:trPr>
        <w:tc>
          <w:tcPr>
            <w:tcW w:w="2658" w:type="dxa"/>
            <w:tcBorders>
              <w:top w:val="nil"/>
              <w:left w:val="single" w:sz="4" w:space="0" w:color="auto"/>
              <w:bottom w:val="single" w:sz="4" w:space="0" w:color="auto"/>
              <w:right w:val="single" w:sz="4" w:space="0" w:color="auto"/>
            </w:tcBorders>
            <w:vAlign w:val="bottom"/>
          </w:tcPr>
          <w:p w:rsidR="00A4298D" w:rsidRPr="00ED7F0F" w:rsidRDefault="00A4298D" w:rsidP="00122C9F">
            <w:pPr>
              <w:tabs>
                <w:tab w:val="left" w:pos="0"/>
              </w:tabs>
              <w:spacing w:line="240" w:lineRule="auto"/>
              <w:ind w:left="80"/>
              <w:rPr>
                <w:rFonts w:ascii="Times New Roman" w:hAnsi="Times New Roman" w:cs="Times New Roman"/>
                <w:sz w:val="20"/>
                <w:szCs w:val="20"/>
              </w:rPr>
            </w:pPr>
            <w:r w:rsidRPr="00ED7F0F">
              <w:rPr>
                <w:rFonts w:ascii="Times New Roman" w:hAnsi="Times New Roman" w:cs="Times New Roman"/>
                <w:sz w:val="20"/>
              </w:rPr>
              <w:t>Predtým imatinib</w:t>
            </w:r>
          </w:p>
        </w:tc>
        <w:tc>
          <w:tcPr>
            <w:tcW w:w="1380" w:type="dxa"/>
            <w:tcBorders>
              <w:top w:val="nil"/>
              <w:left w:val="single" w:sz="4" w:space="0" w:color="auto"/>
              <w:bottom w:val="single" w:sz="4" w:space="0" w:color="auto"/>
              <w:right w:val="single" w:sz="4" w:space="0" w:color="auto"/>
            </w:tcBorders>
            <w:vAlign w:val="center"/>
          </w:tcPr>
          <w:p w:rsidR="00A4298D" w:rsidRPr="00ED7F0F" w:rsidRDefault="00A4298D" w:rsidP="00122C9F">
            <w:pPr>
              <w:tabs>
                <w:tab w:val="left" w:pos="0"/>
              </w:tabs>
              <w:spacing w:line="240" w:lineRule="auto"/>
              <w:ind w:firstLine="142"/>
              <w:jc w:val="center"/>
              <w:rPr>
                <w:rFonts w:ascii="Times New Roman" w:hAnsi="Times New Roman" w:cs="Times New Roman"/>
                <w:sz w:val="20"/>
                <w:szCs w:val="20"/>
              </w:rPr>
            </w:pPr>
            <w:r w:rsidRPr="00ED7F0F">
              <w:rPr>
                <w:rFonts w:ascii="Times New Roman" w:hAnsi="Times New Roman" w:cs="Times New Roman"/>
                <w:sz w:val="20"/>
              </w:rPr>
              <w:t>15,2 %</w:t>
            </w:r>
          </w:p>
        </w:tc>
        <w:tc>
          <w:tcPr>
            <w:tcW w:w="1393" w:type="dxa"/>
            <w:tcBorders>
              <w:top w:val="nil"/>
              <w:left w:val="single" w:sz="4" w:space="0" w:color="auto"/>
              <w:bottom w:val="single" w:sz="4" w:space="0" w:color="auto"/>
              <w:right w:val="single" w:sz="4" w:space="0" w:color="auto"/>
            </w:tcBorders>
            <w:vAlign w:val="center"/>
          </w:tcPr>
          <w:p w:rsidR="00A4298D" w:rsidRPr="00ED7F0F" w:rsidRDefault="00A4298D" w:rsidP="00122C9F">
            <w:pPr>
              <w:tabs>
                <w:tab w:val="left" w:pos="0"/>
              </w:tabs>
              <w:spacing w:line="240" w:lineRule="auto"/>
              <w:jc w:val="center"/>
              <w:rPr>
                <w:rFonts w:ascii="Times New Roman" w:hAnsi="Times New Roman" w:cs="Times New Roman"/>
                <w:sz w:val="20"/>
                <w:szCs w:val="20"/>
              </w:rPr>
            </w:pPr>
            <w:r w:rsidRPr="00ED7F0F">
              <w:rPr>
                <w:rFonts w:ascii="Times New Roman" w:hAnsi="Times New Roman" w:cs="Times New Roman"/>
                <w:sz w:val="20"/>
              </w:rPr>
              <w:t>26,1 %</w:t>
            </w:r>
          </w:p>
        </w:tc>
        <w:tc>
          <w:tcPr>
            <w:tcW w:w="1497" w:type="dxa"/>
            <w:tcBorders>
              <w:top w:val="nil"/>
              <w:left w:val="single" w:sz="4" w:space="0" w:color="auto"/>
              <w:bottom w:val="single" w:sz="4" w:space="0" w:color="auto"/>
              <w:right w:val="single" w:sz="4" w:space="0" w:color="auto"/>
            </w:tcBorders>
            <w:vAlign w:val="center"/>
          </w:tcPr>
          <w:p w:rsidR="00A4298D" w:rsidRPr="00ED7F0F" w:rsidRDefault="00A4298D" w:rsidP="00122C9F">
            <w:pPr>
              <w:tabs>
                <w:tab w:val="left" w:pos="0"/>
              </w:tabs>
              <w:spacing w:line="240" w:lineRule="auto"/>
              <w:jc w:val="center"/>
              <w:rPr>
                <w:rFonts w:ascii="Times New Roman" w:hAnsi="Times New Roman" w:cs="Times New Roman"/>
                <w:sz w:val="20"/>
                <w:szCs w:val="20"/>
              </w:rPr>
            </w:pPr>
            <w:r w:rsidRPr="00ED7F0F">
              <w:rPr>
                <w:rFonts w:ascii="Times New Roman" w:hAnsi="Times New Roman" w:cs="Times New Roman"/>
                <w:sz w:val="20"/>
              </w:rPr>
              <w:t>39,1 %</w:t>
            </w:r>
          </w:p>
        </w:tc>
        <w:tc>
          <w:tcPr>
            <w:tcW w:w="1358" w:type="dxa"/>
            <w:tcBorders>
              <w:top w:val="nil"/>
              <w:left w:val="single" w:sz="4" w:space="0" w:color="auto"/>
              <w:bottom w:val="single" w:sz="4" w:space="0" w:color="auto"/>
              <w:right w:val="single" w:sz="4" w:space="0" w:color="auto"/>
            </w:tcBorders>
            <w:vAlign w:val="center"/>
          </w:tcPr>
          <w:p w:rsidR="00A4298D" w:rsidRPr="00ED7F0F" w:rsidRDefault="00A4298D" w:rsidP="00122C9F">
            <w:pPr>
              <w:tabs>
                <w:tab w:val="left" w:pos="0"/>
              </w:tabs>
              <w:spacing w:line="240" w:lineRule="auto"/>
              <w:jc w:val="center"/>
              <w:rPr>
                <w:rFonts w:ascii="Times New Roman" w:hAnsi="Times New Roman" w:cs="Times New Roman"/>
                <w:sz w:val="20"/>
                <w:szCs w:val="20"/>
              </w:rPr>
            </w:pPr>
            <w:r w:rsidRPr="00ED7F0F">
              <w:rPr>
                <w:rFonts w:ascii="Times New Roman" w:hAnsi="Times New Roman" w:cs="Times New Roman"/>
                <w:sz w:val="20"/>
              </w:rPr>
              <w:t>52,2 %</w:t>
            </w:r>
          </w:p>
        </w:tc>
      </w:tr>
      <w:tr w:rsidR="00A4298D" w:rsidRPr="00ED7F0F" w:rsidTr="009A0932">
        <w:trPr>
          <w:trHeight w:val="334"/>
          <w:jc w:val="center"/>
        </w:trPr>
        <w:tc>
          <w:tcPr>
            <w:tcW w:w="2658" w:type="dxa"/>
            <w:tcBorders>
              <w:top w:val="single" w:sz="4" w:space="0" w:color="auto"/>
              <w:left w:val="single" w:sz="4" w:space="0" w:color="auto"/>
              <w:bottom w:val="single" w:sz="3" w:space="0" w:color="000000"/>
              <w:right w:val="single" w:sz="4" w:space="0" w:color="auto"/>
            </w:tcBorders>
            <w:vAlign w:val="bottom"/>
          </w:tcPr>
          <w:p w:rsidR="00A4298D" w:rsidRPr="00ED7F0F" w:rsidRDefault="00A4298D" w:rsidP="00122C9F">
            <w:pPr>
              <w:tabs>
                <w:tab w:val="left" w:pos="0"/>
              </w:tabs>
              <w:spacing w:line="240" w:lineRule="auto"/>
              <w:ind w:left="80"/>
              <w:rPr>
                <w:rFonts w:ascii="Times New Roman" w:hAnsi="Times New Roman" w:cs="Times New Roman"/>
                <w:sz w:val="20"/>
                <w:szCs w:val="20"/>
              </w:rPr>
            </w:pPr>
            <w:r w:rsidRPr="00ED7F0F">
              <w:rPr>
                <w:rFonts w:ascii="Times New Roman" w:hAnsi="Times New Roman" w:cs="Times New Roman"/>
                <w:sz w:val="20"/>
              </w:rPr>
              <w:t>(N = 46)</w:t>
            </w:r>
            <w:r w:rsidRPr="00ED7F0F">
              <w:rPr>
                <w:rFonts w:ascii="Times New Roman" w:hAnsi="Times New Roman" w:cs="Times New Roman"/>
                <w:sz w:val="20"/>
                <w:vertAlign w:val="superscript"/>
              </w:rPr>
              <w:t>b</w:t>
            </w:r>
          </w:p>
        </w:tc>
        <w:tc>
          <w:tcPr>
            <w:tcW w:w="1380" w:type="dxa"/>
            <w:tcBorders>
              <w:top w:val="single" w:sz="4" w:space="0" w:color="auto"/>
              <w:left w:val="single" w:sz="4" w:space="0" w:color="auto"/>
              <w:bottom w:val="single" w:sz="3" w:space="0" w:color="000000"/>
              <w:right w:val="single" w:sz="4" w:space="0" w:color="auto"/>
            </w:tcBorders>
            <w:vAlign w:val="center"/>
          </w:tcPr>
          <w:p w:rsidR="00A4298D" w:rsidRPr="00ED7F0F" w:rsidRDefault="00A4298D" w:rsidP="00122C9F">
            <w:pPr>
              <w:tabs>
                <w:tab w:val="left" w:pos="0"/>
              </w:tabs>
              <w:spacing w:line="240" w:lineRule="auto"/>
              <w:ind w:firstLine="142"/>
              <w:jc w:val="center"/>
              <w:rPr>
                <w:rFonts w:ascii="Times New Roman" w:hAnsi="Times New Roman" w:cs="Times New Roman"/>
                <w:sz w:val="20"/>
                <w:szCs w:val="20"/>
              </w:rPr>
            </w:pPr>
            <w:r w:rsidRPr="00ED7F0F">
              <w:rPr>
                <w:rFonts w:ascii="Times New Roman" w:hAnsi="Times New Roman" w:cs="Times New Roman"/>
                <w:sz w:val="20"/>
              </w:rPr>
              <w:t>(6,3; 28,9)</w:t>
            </w:r>
          </w:p>
        </w:tc>
        <w:tc>
          <w:tcPr>
            <w:tcW w:w="1393" w:type="dxa"/>
            <w:tcBorders>
              <w:top w:val="single" w:sz="4" w:space="0" w:color="auto"/>
              <w:left w:val="single" w:sz="4" w:space="0" w:color="auto"/>
              <w:bottom w:val="single" w:sz="3" w:space="0" w:color="000000"/>
              <w:right w:val="single" w:sz="4" w:space="0" w:color="auto"/>
            </w:tcBorders>
            <w:vAlign w:val="center"/>
          </w:tcPr>
          <w:p w:rsidR="00A4298D" w:rsidRPr="00ED7F0F" w:rsidRDefault="00A4298D" w:rsidP="00122C9F">
            <w:pPr>
              <w:tabs>
                <w:tab w:val="left" w:pos="0"/>
              </w:tabs>
              <w:spacing w:line="240" w:lineRule="auto"/>
              <w:jc w:val="center"/>
              <w:rPr>
                <w:rFonts w:ascii="Times New Roman" w:hAnsi="Times New Roman" w:cs="Times New Roman"/>
                <w:sz w:val="20"/>
                <w:szCs w:val="20"/>
              </w:rPr>
            </w:pPr>
            <w:r w:rsidRPr="00ED7F0F">
              <w:rPr>
                <w:rFonts w:ascii="Times New Roman" w:hAnsi="Times New Roman" w:cs="Times New Roman"/>
                <w:sz w:val="20"/>
              </w:rPr>
              <w:t>(14,3; 41,1)</w:t>
            </w:r>
          </w:p>
        </w:tc>
        <w:tc>
          <w:tcPr>
            <w:tcW w:w="1497" w:type="dxa"/>
            <w:tcBorders>
              <w:top w:val="single" w:sz="4" w:space="0" w:color="auto"/>
              <w:left w:val="single" w:sz="4" w:space="0" w:color="auto"/>
              <w:bottom w:val="single" w:sz="3" w:space="0" w:color="000000"/>
              <w:right w:val="single" w:sz="4" w:space="0" w:color="auto"/>
            </w:tcBorders>
            <w:vAlign w:val="center"/>
          </w:tcPr>
          <w:p w:rsidR="00A4298D" w:rsidRPr="00ED7F0F" w:rsidRDefault="00A4298D" w:rsidP="00122C9F">
            <w:pPr>
              <w:tabs>
                <w:tab w:val="left" w:pos="0"/>
              </w:tabs>
              <w:spacing w:line="240" w:lineRule="auto"/>
              <w:jc w:val="center"/>
              <w:rPr>
                <w:rFonts w:ascii="Times New Roman" w:hAnsi="Times New Roman" w:cs="Times New Roman"/>
                <w:sz w:val="20"/>
                <w:szCs w:val="20"/>
              </w:rPr>
            </w:pPr>
            <w:r w:rsidRPr="00ED7F0F">
              <w:rPr>
                <w:rFonts w:ascii="Times New Roman" w:hAnsi="Times New Roman" w:cs="Times New Roman"/>
                <w:sz w:val="20"/>
              </w:rPr>
              <w:t>(25,1; 54,6)</w:t>
            </w:r>
          </w:p>
        </w:tc>
        <w:tc>
          <w:tcPr>
            <w:tcW w:w="1358" w:type="dxa"/>
            <w:tcBorders>
              <w:top w:val="single" w:sz="4" w:space="0" w:color="auto"/>
              <w:left w:val="single" w:sz="4" w:space="0" w:color="auto"/>
              <w:bottom w:val="single" w:sz="3" w:space="0" w:color="000000"/>
              <w:right w:val="single" w:sz="4" w:space="0" w:color="auto"/>
            </w:tcBorders>
            <w:vAlign w:val="center"/>
          </w:tcPr>
          <w:p w:rsidR="00A4298D" w:rsidRPr="00ED7F0F" w:rsidRDefault="00A4298D" w:rsidP="00122C9F">
            <w:pPr>
              <w:tabs>
                <w:tab w:val="left" w:pos="0"/>
              </w:tabs>
              <w:spacing w:line="240" w:lineRule="auto"/>
              <w:jc w:val="center"/>
              <w:rPr>
                <w:rFonts w:ascii="Times New Roman" w:hAnsi="Times New Roman" w:cs="Times New Roman"/>
                <w:sz w:val="20"/>
                <w:szCs w:val="20"/>
              </w:rPr>
            </w:pPr>
            <w:r w:rsidRPr="00ED7F0F">
              <w:rPr>
                <w:rFonts w:ascii="Times New Roman" w:hAnsi="Times New Roman" w:cs="Times New Roman"/>
                <w:sz w:val="20"/>
              </w:rPr>
              <w:t>(36,9; 67,1)</w:t>
            </w:r>
          </w:p>
        </w:tc>
      </w:tr>
    </w:tbl>
    <w:p w:rsidR="00601170" w:rsidRPr="00ED7F0F" w:rsidRDefault="00AE6D42" w:rsidP="00122C9F">
      <w:pPr>
        <w:tabs>
          <w:tab w:val="left" w:pos="0"/>
        </w:tabs>
        <w:spacing w:line="240" w:lineRule="auto"/>
        <w:ind w:left="595" w:hanging="311"/>
        <w:rPr>
          <w:sz w:val="18"/>
          <w:szCs w:val="18"/>
        </w:rPr>
      </w:pPr>
      <w:r w:rsidRPr="00ED7F0F">
        <w:rPr>
          <w:sz w:val="18"/>
          <w:szCs w:val="18"/>
          <w:vertAlign w:val="superscript"/>
        </w:rPr>
        <w:t>a</w:t>
      </w:r>
      <w:r w:rsidR="00743943" w:rsidRPr="00ED7F0F">
        <w:rPr>
          <w:sz w:val="18"/>
          <w:szCs w:val="18"/>
        </w:rPr>
        <w:tab/>
      </w:r>
      <w:r w:rsidRPr="00ED7F0F">
        <w:rPr>
          <w:sz w:val="18"/>
          <w:szCs w:val="18"/>
        </w:rPr>
        <w:t>Pacienti z</w:t>
      </w:r>
      <w:r w:rsidR="00601170" w:rsidRPr="00ED7F0F">
        <w:rPr>
          <w:sz w:val="18"/>
          <w:szCs w:val="18"/>
        </w:rPr>
        <w:t> </w:t>
      </w:r>
      <w:r w:rsidRPr="00ED7F0F">
        <w:rPr>
          <w:sz w:val="18"/>
          <w:szCs w:val="18"/>
        </w:rPr>
        <w:t>pediatrickej štúdie II. fázy s</w:t>
      </w:r>
      <w:r w:rsidR="00601170" w:rsidRPr="00ED7F0F">
        <w:rPr>
          <w:sz w:val="18"/>
          <w:szCs w:val="18"/>
        </w:rPr>
        <w:t> </w:t>
      </w:r>
      <w:r w:rsidRPr="00ED7F0F">
        <w:rPr>
          <w:sz w:val="18"/>
          <w:szCs w:val="18"/>
        </w:rPr>
        <w:t>novodiagnostikovanou CML-CP, ktorí užívali perorálnu tabletovú</w:t>
      </w:r>
      <w:r w:rsidR="00A5514E" w:rsidRPr="00ED7F0F">
        <w:rPr>
          <w:sz w:val="18"/>
          <w:szCs w:val="18"/>
        </w:rPr>
        <w:t xml:space="preserve"> liekovú</w:t>
      </w:r>
      <w:r w:rsidRPr="00ED7F0F">
        <w:rPr>
          <w:sz w:val="18"/>
          <w:szCs w:val="18"/>
        </w:rPr>
        <w:t xml:space="preserve"> formu</w:t>
      </w:r>
    </w:p>
    <w:p w:rsidR="00AE6D42" w:rsidRPr="00ED7F0F" w:rsidRDefault="00AE6D42" w:rsidP="00122C9F">
      <w:pPr>
        <w:spacing w:line="240" w:lineRule="auto"/>
        <w:ind w:left="595" w:hanging="311"/>
        <w:rPr>
          <w:sz w:val="18"/>
          <w:szCs w:val="18"/>
        </w:rPr>
      </w:pPr>
      <w:r w:rsidRPr="00ED7F0F">
        <w:rPr>
          <w:sz w:val="18"/>
          <w:szCs w:val="18"/>
          <w:vertAlign w:val="superscript"/>
        </w:rPr>
        <w:t>b</w:t>
      </w:r>
      <w:r w:rsidR="00743943" w:rsidRPr="00ED7F0F">
        <w:rPr>
          <w:sz w:val="18"/>
          <w:szCs w:val="18"/>
        </w:rPr>
        <w:tab/>
      </w:r>
      <w:r w:rsidRPr="00ED7F0F">
        <w:rPr>
          <w:sz w:val="18"/>
          <w:szCs w:val="18"/>
        </w:rPr>
        <w:t>Pacienti z pediatrickej štúdie I. fázy a II. fázy s</w:t>
      </w:r>
      <w:r w:rsidR="00601170" w:rsidRPr="00ED7F0F">
        <w:rPr>
          <w:sz w:val="18"/>
          <w:szCs w:val="18"/>
        </w:rPr>
        <w:t> </w:t>
      </w:r>
      <w:r w:rsidRPr="00ED7F0F">
        <w:rPr>
          <w:sz w:val="18"/>
          <w:szCs w:val="18"/>
        </w:rPr>
        <w:t>CML-CP s</w:t>
      </w:r>
      <w:r w:rsidR="00601170" w:rsidRPr="00ED7F0F">
        <w:rPr>
          <w:sz w:val="18"/>
          <w:szCs w:val="18"/>
        </w:rPr>
        <w:t> </w:t>
      </w:r>
      <w:r w:rsidRPr="00ED7F0F">
        <w:rPr>
          <w:sz w:val="18"/>
          <w:szCs w:val="18"/>
        </w:rPr>
        <w:t xml:space="preserve">rezistenciou alebo intoleranciou na imatinib, ktorí užívali perorálnu tabletovú </w:t>
      </w:r>
      <w:r w:rsidR="00FE77B9" w:rsidRPr="00ED7F0F">
        <w:rPr>
          <w:sz w:val="18"/>
          <w:szCs w:val="18"/>
        </w:rPr>
        <w:t xml:space="preserve">liekovú </w:t>
      </w:r>
      <w:r w:rsidRPr="00ED7F0F">
        <w:rPr>
          <w:sz w:val="18"/>
          <w:szCs w:val="18"/>
        </w:rPr>
        <w:t>formu</w:t>
      </w:r>
    </w:p>
    <w:p w:rsidR="00AE6D42" w:rsidRPr="00ED7F0F" w:rsidRDefault="00AE6D42" w:rsidP="00122C9F">
      <w:pPr>
        <w:spacing w:after="21" w:line="259" w:lineRule="auto"/>
        <w:ind w:left="34"/>
      </w:pPr>
    </w:p>
    <w:p w:rsidR="00AE6D42" w:rsidRPr="00ED7F0F" w:rsidRDefault="00AE6D42" w:rsidP="00122C9F">
      <w:pPr>
        <w:ind w:left="29"/>
      </w:pPr>
      <w:r w:rsidRPr="00ED7F0F">
        <w:t>V</w:t>
      </w:r>
      <w:r w:rsidR="00601170" w:rsidRPr="00ED7F0F">
        <w:t> </w:t>
      </w:r>
      <w:r w:rsidRPr="00ED7F0F">
        <w:t>pediatrickej štúdii I. fázy po minimálne 7</w:t>
      </w:r>
      <w:r w:rsidR="00601170" w:rsidRPr="00ED7F0F">
        <w:t> </w:t>
      </w:r>
      <w:r w:rsidRPr="00ED7F0F">
        <w:t>rokoch následného sledovania bol u</w:t>
      </w:r>
      <w:r w:rsidR="00601170" w:rsidRPr="00ED7F0F">
        <w:t> </w:t>
      </w:r>
      <w:r w:rsidRPr="00ED7F0F">
        <w:t>17</w:t>
      </w:r>
      <w:r w:rsidR="00601170" w:rsidRPr="00ED7F0F">
        <w:t> </w:t>
      </w:r>
      <w:r w:rsidRPr="00ED7F0F">
        <w:t>pacientov s</w:t>
      </w:r>
      <w:r w:rsidR="00601170" w:rsidRPr="00ED7F0F">
        <w:t> </w:t>
      </w:r>
      <w:r w:rsidRPr="00ED7F0F">
        <w:t>CML-CP s</w:t>
      </w:r>
      <w:r w:rsidR="00601170" w:rsidRPr="00ED7F0F">
        <w:t> </w:t>
      </w:r>
      <w:r w:rsidRPr="00ED7F0F">
        <w:t>rezistenciou alebo intoleranciou na imatinib medián trvania PFS 53,6</w:t>
      </w:r>
      <w:r w:rsidR="00601170" w:rsidRPr="00ED7F0F">
        <w:t> </w:t>
      </w:r>
      <w:r w:rsidRPr="00ED7F0F">
        <w:t>mesiaca a</w:t>
      </w:r>
      <w:r w:rsidR="00601170" w:rsidRPr="00ED7F0F">
        <w:t> </w:t>
      </w:r>
      <w:r w:rsidRPr="00ED7F0F">
        <w:t>miera OS bola 82,4</w:t>
      </w:r>
      <w:r w:rsidR="00601170" w:rsidRPr="00ED7F0F">
        <w:t> </w:t>
      </w:r>
      <w:r w:rsidRPr="00ED7F0F">
        <w:t>%.</w:t>
      </w:r>
    </w:p>
    <w:p w:rsidR="00AE6D42" w:rsidRPr="00ED7F0F" w:rsidRDefault="00AE6D42" w:rsidP="00122C9F">
      <w:pPr>
        <w:spacing w:line="259" w:lineRule="auto"/>
        <w:ind w:left="34"/>
      </w:pPr>
    </w:p>
    <w:p w:rsidR="00AE6D42" w:rsidRPr="00ED7F0F" w:rsidRDefault="00AE6D42" w:rsidP="00122C9F">
      <w:pPr>
        <w:ind w:left="29"/>
      </w:pPr>
      <w:r w:rsidRPr="00ED7F0F">
        <w:t>V</w:t>
      </w:r>
      <w:r w:rsidR="00601170" w:rsidRPr="00ED7F0F">
        <w:t> </w:t>
      </w:r>
      <w:r w:rsidRPr="00ED7F0F">
        <w:t>pediatrickej štúdii II. fázy bola u</w:t>
      </w:r>
      <w:r w:rsidR="00601170" w:rsidRPr="00ED7F0F">
        <w:t> </w:t>
      </w:r>
      <w:r w:rsidRPr="00ED7F0F">
        <w:t>pacientov, ktorí užívali tabletovú</w:t>
      </w:r>
      <w:r w:rsidR="00FE77B9" w:rsidRPr="00ED7F0F">
        <w:t xml:space="preserve"> liekovú</w:t>
      </w:r>
      <w:r w:rsidRPr="00ED7F0F">
        <w:t xml:space="preserve"> formu odhadnutá 24-mesačná miera PFS u</w:t>
      </w:r>
      <w:r w:rsidR="00601170" w:rsidRPr="00ED7F0F">
        <w:t> </w:t>
      </w:r>
      <w:r w:rsidRPr="00ED7F0F">
        <w:t>51</w:t>
      </w:r>
      <w:r w:rsidR="00601170" w:rsidRPr="00ED7F0F">
        <w:t> </w:t>
      </w:r>
      <w:r w:rsidRPr="00ED7F0F">
        <w:t>pacientov s novodiagnostikovanou CML-CP 94,0</w:t>
      </w:r>
      <w:r w:rsidR="00601170" w:rsidRPr="00ED7F0F">
        <w:t> </w:t>
      </w:r>
      <w:r w:rsidRPr="00ED7F0F">
        <w:t>% (82,6; 98,0) a 81,7</w:t>
      </w:r>
      <w:r w:rsidR="00601170" w:rsidRPr="00ED7F0F">
        <w:t> </w:t>
      </w:r>
      <w:r w:rsidRPr="00ED7F0F">
        <w:t>% (61,4; 92,0) u</w:t>
      </w:r>
      <w:r w:rsidR="00601170" w:rsidRPr="00ED7F0F">
        <w:t> </w:t>
      </w:r>
      <w:r w:rsidRPr="00ED7F0F">
        <w:t>29</w:t>
      </w:r>
      <w:r w:rsidR="00601170" w:rsidRPr="00ED7F0F">
        <w:t> </w:t>
      </w:r>
      <w:r w:rsidRPr="00ED7F0F">
        <w:t xml:space="preserve"> pacientov s</w:t>
      </w:r>
      <w:r w:rsidR="00601170" w:rsidRPr="00ED7F0F">
        <w:t> </w:t>
      </w:r>
      <w:r w:rsidRPr="00ED7F0F">
        <w:t>CML-CP s</w:t>
      </w:r>
      <w:r w:rsidR="00601170" w:rsidRPr="00ED7F0F">
        <w:t> </w:t>
      </w:r>
      <w:r w:rsidRPr="00ED7F0F">
        <w:t>rezistenciou/intoleranciou na imatinib. Po 24</w:t>
      </w:r>
      <w:r w:rsidR="00601170" w:rsidRPr="00ED7F0F">
        <w:t> </w:t>
      </w:r>
      <w:r w:rsidRPr="00ED7F0F">
        <w:t>mesiacoch následného sledovania bolo OS u</w:t>
      </w:r>
      <w:r w:rsidR="00601170" w:rsidRPr="00ED7F0F">
        <w:t> </w:t>
      </w:r>
      <w:r w:rsidRPr="00ED7F0F">
        <w:t>novodiagnostikovaných pacientov 100</w:t>
      </w:r>
      <w:r w:rsidR="00601170" w:rsidRPr="00ED7F0F">
        <w:t xml:space="preserve"> </w:t>
      </w:r>
      <w:r w:rsidRPr="00ED7F0F">
        <w:t>% a 96,6</w:t>
      </w:r>
      <w:r w:rsidR="00601170" w:rsidRPr="00ED7F0F">
        <w:t> </w:t>
      </w:r>
      <w:r w:rsidRPr="00ED7F0F">
        <w:t>% u</w:t>
      </w:r>
      <w:r w:rsidR="00601170" w:rsidRPr="00ED7F0F">
        <w:t> </w:t>
      </w:r>
      <w:r w:rsidRPr="00ED7F0F">
        <w:t>pacientov rezistentných alebo intolerantných na imatinib.</w:t>
      </w:r>
    </w:p>
    <w:p w:rsidR="00AE6D42" w:rsidRPr="00ED7F0F" w:rsidRDefault="00AE6D42" w:rsidP="00122C9F">
      <w:pPr>
        <w:ind w:left="29"/>
      </w:pPr>
      <w:r w:rsidRPr="00ED7F0F">
        <w:t>V</w:t>
      </w:r>
      <w:r w:rsidR="00601170" w:rsidRPr="00ED7F0F">
        <w:t> </w:t>
      </w:r>
      <w:r w:rsidRPr="00ED7F0F">
        <w:t>pediatrickej štúdii II. fázy progredoval do blastovej fázy CML 1 novodiagnostikovaný pacient a</w:t>
      </w:r>
      <w:r w:rsidR="00601170" w:rsidRPr="00ED7F0F">
        <w:t> </w:t>
      </w:r>
      <w:r w:rsidRPr="00ED7F0F">
        <w:t>2</w:t>
      </w:r>
      <w:r w:rsidR="00601170" w:rsidRPr="00ED7F0F">
        <w:t> </w:t>
      </w:r>
      <w:r w:rsidRPr="00ED7F0F">
        <w:t>pacienti rezistentní alebo intolerantní na imatinib.</w:t>
      </w:r>
    </w:p>
    <w:p w:rsidR="00AE6D42" w:rsidRPr="00ED7F0F" w:rsidRDefault="00AE6D42" w:rsidP="00122C9F">
      <w:pPr>
        <w:spacing w:line="259" w:lineRule="auto"/>
        <w:ind w:left="34"/>
        <w:rPr>
          <w:highlight w:val="lightGray"/>
        </w:rPr>
      </w:pPr>
    </w:p>
    <w:p w:rsidR="00AE6D42" w:rsidRPr="00ED7F0F" w:rsidRDefault="00AE6D42" w:rsidP="00122C9F">
      <w:pPr>
        <w:ind w:left="29"/>
      </w:pPr>
      <w:r w:rsidRPr="00ED7F0F">
        <w:t>33</w:t>
      </w:r>
      <w:r w:rsidR="00601170" w:rsidRPr="00ED7F0F">
        <w:t> </w:t>
      </w:r>
      <w:r w:rsidRPr="00ED7F0F">
        <w:t>novodiagnostikovaných pediatrických pacientov s</w:t>
      </w:r>
      <w:r w:rsidR="00601170" w:rsidRPr="00ED7F0F">
        <w:t> </w:t>
      </w:r>
      <w:r w:rsidRPr="00ED7F0F">
        <w:t>CML-CP dostalo</w:t>
      </w:r>
      <w:r w:rsidR="00A2617A" w:rsidRPr="00ED7F0F">
        <w:t xml:space="preserve"> </w:t>
      </w:r>
      <w:r w:rsidR="00FE77B9" w:rsidRPr="00ED7F0F">
        <w:t>dasatinib</w:t>
      </w:r>
      <w:r w:rsidRPr="00ED7F0F">
        <w:t xml:space="preserve"> prášok na perorálnu suspenziu v</w:t>
      </w:r>
      <w:r w:rsidR="00601170" w:rsidRPr="00ED7F0F">
        <w:t> </w:t>
      </w:r>
      <w:r w:rsidRPr="00ED7F0F">
        <w:t>dávke 72</w:t>
      </w:r>
      <w:r w:rsidR="00601170" w:rsidRPr="00ED7F0F">
        <w:t> </w:t>
      </w:r>
      <w:r w:rsidRPr="00ED7F0F">
        <w:t>mg/m</w:t>
      </w:r>
      <w:r w:rsidRPr="00ED7F0F">
        <w:rPr>
          <w:vertAlign w:val="superscript"/>
        </w:rPr>
        <w:t>2</w:t>
      </w:r>
      <w:r w:rsidRPr="00ED7F0F">
        <w:t>. Táto dávka predstavuje o</w:t>
      </w:r>
      <w:r w:rsidR="00601170" w:rsidRPr="00ED7F0F">
        <w:t> </w:t>
      </w:r>
      <w:r w:rsidRPr="00ED7F0F">
        <w:t>30</w:t>
      </w:r>
      <w:r w:rsidR="00601170" w:rsidRPr="00ED7F0F">
        <w:t> </w:t>
      </w:r>
      <w:r w:rsidRPr="00ED7F0F">
        <w:t>% nižšiu expozícii v</w:t>
      </w:r>
      <w:r w:rsidR="00601170" w:rsidRPr="00ED7F0F">
        <w:t> </w:t>
      </w:r>
      <w:r w:rsidRPr="00ED7F0F">
        <w:t>porovnaní s</w:t>
      </w:r>
      <w:r w:rsidR="00601170" w:rsidRPr="00ED7F0F">
        <w:t> </w:t>
      </w:r>
      <w:r w:rsidRPr="00ED7F0F">
        <w:t>odporúčanou dávkou</w:t>
      </w:r>
      <w:r w:rsidR="00601170" w:rsidRPr="00ED7F0F">
        <w:t>.</w:t>
      </w:r>
      <w:r w:rsidRPr="00ED7F0F">
        <w:t xml:space="preserve"> U</w:t>
      </w:r>
      <w:r w:rsidR="00601170" w:rsidRPr="00ED7F0F">
        <w:t> </w:t>
      </w:r>
      <w:r w:rsidRPr="00ED7F0F">
        <w:t xml:space="preserve">týchto pacientov, </w:t>
      </w:r>
      <w:r w:rsidR="00FE77B9" w:rsidRPr="00ED7F0F">
        <w:t xml:space="preserve">boli </w:t>
      </w:r>
      <w:r w:rsidRPr="00ED7F0F">
        <w:t>po 12</w:t>
      </w:r>
      <w:r w:rsidR="00601170" w:rsidRPr="00ED7F0F">
        <w:t> </w:t>
      </w:r>
      <w:r w:rsidRPr="00ED7F0F">
        <w:t>mesiacoch CCyR: 87,9</w:t>
      </w:r>
      <w:r w:rsidR="00601170" w:rsidRPr="00ED7F0F">
        <w:t> </w:t>
      </w:r>
      <w:r w:rsidRPr="00ED7F0F">
        <w:t>% [95 %</w:t>
      </w:r>
      <w:r w:rsidR="00601170" w:rsidRPr="00ED7F0F">
        <w:t> </w:t>
      </w:r>
      <w:r w:rsidRPr="00ED7F0F">
        <w:t>CI: (71,8-96,6)] a MMR: 45,5</w:t>
      </w:r>
      <w:r w:rsidR="00601170" w:rsidRPr="00ED7F0F">
        <w:t> </w:t>
      </w:r>
      <w:r w:rsidRPr="00ED7F0F">
        <w:t>% [95 %</w:t>
      </w:r>
      <w:r w:rsidR="00601170" w:rsidRPr="00ED7F0F">
        <w:t> </w:t>
      </w:r>
      <w:r w:rsidRPr="00ED7F0F">
        <w:t>CI: (28,1-63,6)].</w:t>
      </w:r>
    </w:p>
    <w:p w:rsidR="00AE6D42" w:rsidRPr="00ED7F0F" w:rsidRDefault="00AE6D42" w:rsidP="00122C9F">
      <w:pPr>
        <w:spacing w:line="259" w:lineRule="auto"/>
        <w:ind w:left="34"/>
      </w:pPr>
    </w:p>
    <w:p w:rsidR="00AE6D42" w:rsidRPr="00ED7F0F" w:rsidRDefault="00601170" w:rsidP="00122C9F">
      <w:pPr>
        <w:tabs>
          <w:tab w:val="clear" w:pos="567"/>
        </w:tabs>
        <w:spacing w:after="5" w:line="248" w:lineRule="auto"/>
        <w:ind w:left="29"/>
      </w:pPr>
      <w:r w:rsidRPr="00ED7F0F">
        <w:t>U </w:t>
      </w:r>
      <w:r w:rsidR="00AE6D42" w:rsidRPr="00ED7F0F">
        <w:t>pediatrických pacientov s</w:t>
      </w:r>
      <w:r w:rsidRPr="00ED7F0F">
        <w:t> </w:t>
      </w:r>
      <w:r w:rsidR="00AE6D42" w:rsidRPr="00ED7F0F">
        <w:t>CML-CP liečených dasatinibom predtým exponovaných imatinibu boli na konci liečby detegované mutácie: T315A, E255K a F317L. E255K a F317L však boli detegované aj pred liečbou. Na konci liečby neboli detegované žiadne mutácie u</w:t>
      </w:r>
      <w:r w:rsidRPr="00ED7F0F">
        <w:t> </w:t>
      </w:r>
      <w:r w:rsidR="00AE6D42" w:rsidRPr="00ED7F0F">
        <w:t>novodiagnostikovaných pacientov s</w:t>
      </w:r>
      <w:r w:rsidRPr="00ED7F0F">
        <w:t> </w:t>
      </w:r>
      <w:r w:rsidR="00AE6D42" w:rsidRPr="00ED7F0F">
        <w:t>CML-CP.</w:t>
      </w:r>
    </w:p>
    <w:p w:rsidR="00AE6D42" w:rsidRPr="00ED7F0F" w:rsidRDefault="00AE6D42" w:rsidP="00122C9F">
      <w:pPr>
        <w:spacing w:line="259" w:lineRule="auto"/>
        <w:ind w:left="34"/>
      </w:pPr>
    </w:p>
    <w:p w:rsidR="00AE6D42" w:rsidRPr="00ED7F0F" w:rsidRDefault="00AE6D42" w:rsidP="00122C9F">
      <w:pPr>
        <w:spacing w:line="249" w:lineRule="auto"/>
        <w:ind w:left="29"/>
      </w:pPr>
      <w:r w:rsidRPr="00ED7F0F">
        <w:rPr>
          <w:i/>
          <w:u w:val="single" w:color="000000"/>
        </w:rPr>
        <w:t>Pediatrickí pacienti s</w:t>
      </w:r>
      <w:r w:rsidR="00601170" w:rsidRPr="00ED7F0F">
        <w:rPr>
          <w:i/>
          <w:u w:val="single" w:color="000000"/>
        </w:rPr>
        <w:t> </w:t>
      </w:r>
      <w:r w:rsidRPr="00ED7F0F">
        <w:rPr>
          <w:i/>
          <w:u w:val="single" w:color="000000"/>
        </w:rPr>
        <w:t>ALL</w:t>
      </w:r>
    </w:p>
    <w:p w:rsidR="00AE6D42" w:rsidRPr="00ED7F0F" w:rsidRDefault="00AE6D42" w:rsidP="00122C9F">
      <w:pPr>
        <w:ind w:left="29"/>
      </w:pPr>
      <w:r w:rsidRPr="00ED7F0F">
        <w:t xml:space="preserve">Účinnosť </w:t>
      </w:r>
      <w:r w:rsidR="00601170" w:rsidRPr="00ED7F0F">
        <w:t xml:space="preserve">dasatinibu </w:t>
      </w:r>
      <w:r w:rsidRPr="00ED7F0F">
        <w:t>v</w:t>
      </w:r>
      <w:r w:rsidR="00601170" w:rsidRPr="00ED7F0F">
        <w:t> </w:t>
      </w:r>
      <w:r w:rsidRPr="00ED7F0F">
        <w:t>kombinácii s</w:t>
      </w:r>
      <w:r w:rsidR="00601170" w:rsidRPr="00ED7F0F">
        <w:t> </w:t>
      </w:r>
      <w:r w:rsidRPr="00ED7F0F">
        <w:t>chemoterapiou sa hodnotila v</w:t>
      </w:r>
      <w:r w:rsidR="00601170" w:rsidRPr="00ED7F0F">
        <w:t> </w:t>
      </w:r>
      <w:r w:rsidRPr="00ED7F0F">
        <w:t>pivotnej štúdii s</w:t>
      </w:r>
      <w:r w:rsidR="00601170" w:rsidRPr="00ED7F0F">
        <w:t> </w:t>
      </w:r>
      <w:r w:rsidRPr="00ED7F0F">
        <w:t>pediatrickými pacientmi</w:t>
      </w:r>
      <w:r w:rsidR="00657886" w:rsidRPr="00ED7F0F">
        <w:t xml:space="preserve"> vo veku starších ako jeden rok</w:t>
      </w:r>
      <w:r w:rsidRPr="00ED7F0F">
        <w:t xml:space="preserve"> s</w:t>
      </w:r>
      <w:r w:rsidR="00601170" w:rsidRPr="00ED7F0F">
        <w:t> </w:t>
      </w:r>
      <w:r w:rsidRPr="00ED7F0F">
        <w:t>novodiagnostikovanou ALL</w:t>
      </w:r>
      <w:r w:rsidR="00601170" w:rsidRPr="00ED7F0F">
        <w:t> </w:t>
      </w:r>
      <w:r w:rsidRPr="00ED7F0F">
        <w:t>s</w:t>
      </w:r>
      <w:r w:rsidR="00601170" w:rsidRPr="00ED7F0F">
        <w:t> </w:t>
      </w:r>
      <w:r w:rsidRPr="00ED7F0F">
        <w:t>Ph+.</w:t>
      </w:r>
    </w:p>
    <w:p w:rsidR="00AE6D42" w:rsidRPr="00ED7F0F" w:rsidRDefault="00AE6D42" w:rsidP="00122C9F">
      <w:pPr>
        <w:spacing w:line="259" w:lineRule="auto"/>
        <w:ind w:left="34"/>
      </w:pPr>
    </w:p>
    <w:p w:rsidR="00AE6D42" w:rsidRPr="00ED7F0F" w:rsidRDefault="00AE6D42" w:rsidP="00122C9F">
      <w:pPr>
        <w:tabs>
          <w:tab w:val="clear" w:pos="567"/>
        </w:tabs>
        <w:spacing w:after="5" w:line="248" w:lineRule="auto"/>
        <w:ind w:left="29"/>
      </w:pPr>
      <w:r w:rsidRPr="00ED7F0F">
        <w:t>V tejto multicentrickej, historicky kontrolovanej štúdii II. fázy s dasatinibom pridaným k štandardnej chemoterapii u 106 pediatrických pacientov s novodiagnostikovanou ALL s Ph+, z </w:t>
      </w:r>
      <w:r w:rsidR="00657886" w:rsidRPr="00ED7F0F">
        <w:t>ktorých</w:t>
      </w:r>
      <w:r w:rsidRPr="00ED7F0F">
        <w:t xml:space="preserve"> 104 pacient</w:t>
      </w:r>
      <w:r w:rsidR="00657886" w:rsidRPr="00ED7F0F">
        <w:t>ov</w:t>
      </w:r>
      <w:r w:rsidRPr="00ED7F0F">
        <w:t xml:space="preserve"> mal</w:t>
      </w:r>
      <w:r w:rsidR="00657886" w:rsidRPr="00ED7F0F">
        <w:t>o</w:t>
      </w:r>
      <w:r w:rsidRPr="00ED7F0F">
        <w:t xml:space="preserve"> potvrdenú ALL s Ph+, dostalo dasatinib v</w:t>
      </w:r>
      <w:r w:rsidR="00601170" w:rsidRPr="00ED7F0F">
        <w:t> </w:t>
      </w:r>
      <w:r w:rsidRPr="00ED7F0F">
        <w:t>dennej dávke 60</w:t>
      </w:r>
      <w:r w:rsidR="00601170" w:rsidRPr="00ED7F0F">
        <w:t> </w:t>
      </w:r>
      <w:r w:rsidRPr="00ED7F0F">
        <w:t>mg/m</w:t>
      </w:r>
      <w:r w:rsidRPr="00ED7F0F">
        <w:rPr>
          <w:vertAlign w:val="superscript"/>
        </w:rPr>
        <w:t xml:space="preserve">2 </w:t>
      </w:r>
      <w:r w:rsidRPr="00ED7F0F">
        <w:t>s</w:t>
      </w:r>
      <w:r w:rsidR="00601170" w:rsidRPr="00ED7F0F">
        <w:t> </w:t>
      </w:r>
      <w:r w:rsidRPr="00ED7F0F">
        <w:t>nepretržitou schémou podávania až do 24</w:t>
      </w:r>
      <w:r w:rsidR="00601170" w:rsidRPr="00ED7F0F">
        <w:t> </w:t>
      </w:r>
      <w:r w:rsidRPr="00ED7F0F">
        <w:t>mesiacov v</w:t>
      </w:r>
      <w:r w:rsidR="00601170" w:rsidRPr="00ED7F0F">
        <w:t> </w:t>
      </w:r>
      <w:r w:rsidRPr="00ED7F0F">
        <w:t>kombinácii s</w:t>
      </w:r>
      <w:r w:rsidR="00601170" w:rsidRPr="00ED7F0F">
        <w:t> </w:t>
      </w:r>
      <w:r w:rsidRPr="00ED7F0F">
        <w:t>chemoterapiou. Osemdesiatdva pacientov dostalo výlučne tablety dasatinibu a</w:t>
      </w:r>
      <w:r w:rsidR="00601170" w:rsidRPr="00ED7F0F">
        <w:t> </w:t>
      </w:r>
      <w:r w:rsidRPr="00ED7F0F">
        <w:t>24</w:t>
      </w:r>
      <w:r w:rsidR="00601170" w:rsidRPr="00ED7F0F">
        <w:t> </w:t>
      </w:r>
      <w:r w:rsidRPr="00ED7F0F">
        <w:t>pacientov dostalo dasatinib prášok na perorálnu suspenziu minimálne jedenkrát, 8</w:t>
      </w:r>
      <w:r w:rsidR="00601170" w:rsidRPr="00ED7F0F">
        <w:t> </w:t>
      </w:r>
      <w:r w:rsidRPr="00ED7F0F">
        <w:t>z</w:t>
      </w:r>
      <w:r w:rsidR="00601170" w:rsidRPr="00ED7F0F">
        <w:t> </w:t>
      </w:r>
      <w:r w:rsidRPr="00ED7F0F">
        <w:t>nich dostalo výlučne dasatinib prášok na perorálnu suspenziu. Základný režim chemoterapie bol rovnaký ako sa použil v</w:t>
      </w:r>
      <w:r w:rsidR="00601170" w:rsidRPr="00ED7F0F">
        <w:t> </w:t>
      </w:r>
      <w:r w:rsidRPr="00ED7F0F">
        <w:t>skúšaní AIEOP-BFM ALL 2000 (protokol chemoterapeutického štandardu chemoterapie s</w:t>
      </w:r>
      <w:r w:rsidR="00601170" w:rsidRPr="00ED7F0F">
        <w:t> </w:t>
      </w:r>
      <w:r w:rsidRPr="00ED7F0F">
        <w:t>viacerými látkami). Primárnym koncovým ukazovateľom účinnosti bolo 3-ročné prežívanie bez udalosti (EFS), ktoré bolo 65,5 % (55,5; 73,7).</w:t>
      </w:r>
    </w:p>
    <w:p w:rsidR="00AE6D42" w:rsidRPr="00ED7F0F" w:rsidRDefault="00AE6D42" w:rsidP="00122C9F">
      <w:pPr>
        <w:spacing w:line="259" w:lineRule="auto"/>
        <w:ind w:left="34"/>
      </w:pPr>
    </w:p>
    <w:p w:rsidR="00AE6D42" w:rsidRPr="00ED7F0F" w:rsidRDefault="00AE6D42" w:rsidP="00122C9F">
      <w:pPr>
        <w:ind w:left="29"/>
      </w:pPr>
      <w:r w:rsidRPr="00ED7F0F">
        <w:t xml:space="preserve">Miera </w:t>
      </w:r>
      <w:r w:rsidR="00657886" w:rsidRPr="00ED7F0F">
        <w:t xml:space="preserve">negativity </w:t>
      </w:r>
      <w:r w:rsidRPr="00ED7F0F">
        <w:t xml:space="preserve">minimálnej reziduálnej choroby (MRD, minimal residual disease) hodnotená pomocou prestavby Ig/TCR bola na konci konsolidácie 71,7 % u všetkých liečených pacientov. Ak sa táto miera zakladala na 85 pacientoch s hodnotiteľnými posudkami Ig/TCR, odhad bol 89,4 %. Miery </w:t>
      </w:r>
      <w:r w:rsidR="00657886" w:rsidRPr="00ED7F0F">
        <w:t>negati</w:t>
      </w:r>
      <w:r w:rsidR="00BF2F0B" w:rsidRPr="00ED7F0F">
        <w:t>vi</w:t>
      </w:r>
      <w:r w:rsidR="00657886" w:rsidRPr="00ED7F0F">
        <w:t xml:space="preserve">ty </w:t>
      </w:r>
      <w:r w:rsidRPr="00ED7F0F">
        <w:t>MRD na konci indukcie a konsolidácie podľa meraní pomocou prietokovej cytometrie boli 66,0 % a 84,0 %, v uvedenom poradí.</w:t>
      </w:r>
    </w:p>
    <w:p w:rsidR="00812D16" w:rsidRPr="00ED7F0F" w:rsidRDefault="00812D16" w:rsidP="00122C9F">
      <w:pPr>
        <w:numPr>
          <w:ilvl w:val="12"/>
          <w:numId w:val="0"/>
        </w:numPr>
        <w:spacing w:line="240" w:lineRule="auto"/>
      </w:pPr>
    </w:p>
    <w:p w:rsidR="00812D16" w:rsidRPr="00ED7F0F" w:rsidRDefault="005D45FC" w:rsidP="00122C9F">
      <w:pPr>
        <w:keepNext/>
        <w:numPr>
          <w:ilvl w:val="1"/>
          <w:numId w:val="5"/>
        </w:numPr>
        <w:spacing w:line="240" w:lineRule="auto"/>
        <w:outlineLvl w:val="0"/>
        <w:rPr>
          <w:b/>
        </w:rPr>
      </w:pPr>
      <w:r w:rsidRPr="00ED7F0F">
        <w:rPr>
          <w:b/>
        </w:rPr>
        <w:t>Farmakokinetické vlastnosti</w:t>
      </w:r>
    </w:p>
    <w:p w:rsidR="00812D16" w:rsidRPr="00ED7F0F" w:rsidRDefault="00812D16" w:rsidP="00122C9F">
      <w:pPr>
        <w:keepNext/>
        <w:spacing w:line="240" w:lineRule="auto"/>
        <w:ind w:left="567" w:hanging="567"/>
        <w:outlineLvl w:val="0"/>
      </w:pPr>
    </w:p>
    <w:p w:rsidR="00215632" w:rsidRPr="00ED7F0F" w:rsidRDefault="00215632" w:rsidP="00122C9F">
      <w:pPr>
        <w:ind w:left="29"/>
      </w:pPr>
      <w:r w:rsidRPr="00ED7F0F">
        <w:t>Farmakokinetika dasatinibu sa hodnotila u</w:t>
      </w:r>
      <w:r w:rsidR="005252C0" w:rsidRPr="00ED7F0F">
        <w:t> </w:t>
      </w:r>
      <w:r w:rsidRPr="00ED7F0F">
        <w:t>229</w:t>
      </w:r>
      <w:r w:rsidR="005252C0" w:rsidRPr="00ED7F0F">
        <w:t> </w:t>
      </w:r>
      <w:r w:rsidRPr="00ED7F0F">
        <w:t>dospelých zdravých jedincov a u</w:t>
      </w:r>
      <w:r w:rsidR="005252C0" w:rsidRPr="00ED7F0F">
        <w:t> </w:t>
      </w:r>
      <w:r w:rsidRPr="00ED7F0F">
        <w:t>84</w:t>
      </w:r>
      <w:r w:rsidR="005252C0" w:rsidRPr="00ED7F0F">
        <w:t> </w:t>
      </w:r>
      <w:r w:rsidRPr="00ED7F0F">
        <w:t>pacientov.</w:t>
      </w:r>
    </w:p>
    <w:p w:rsidR="00215632" w:rsidRPr="00ED7F0F" w:rsidRDefault="00215632" w:rsidP="00122C9F">
      <w:pPr>
        <w:ind w:left="29"/>
      </w:pPr>
    </w:p>
    <w:p w:rsidR="00215632" w:rsidRPr="00ED7F0F" w:rsidRDefault="00215632" w:rsidP="00122C9F">
      <w:pPr>
        <w:pStyle w:val="Nadpis2"/>
        <w:ind w:left="29"/>
      </w:pPr>
      <w:r w:rsidRPr="00ED7F0F">
        <w:t>Absorpcia</w:t>
      </w:r>
    </w:p>
    <w:p w:rsidR="00215632" w:rsidRPr="00ED7F0F" w:rsidRDefault="00215632" w:rsidP="00122C9F">
      <w:pPr>
        <w:ind w:left="29"/>
      </w:pPr>
      <w:r w:rsidRPr="00ED7F0F">
        <w:t>Dasatinib sa u</w:t>
      </w:r>
      <w:r w:rsidR="005252C0" w:rsidRPr="00ED7F0F">
        <w:t> </w:t>
      </w:r>
      <w:r w:rsidRPr="00ED7F0F">
        <w:t>pacientov po perorálnom podaní rýchlo vstrebáva, pričom maximálne koncentrácie sa dosiahnu medzi 0,5</w:t>
      </w:r>
      <w:r w:rsidR="005252C0" w:rsidRPr="00ED7F0F">
        <w:t> </w:t>
      </w:r>
      <w:r w:rsidRPr="00ED7F0F">
        <w:t>–</w:t>
      </w:r>
      <w:r w:rsidR="005252C0" w:rsidRPr="00ED7F0F">
        <w:t> </w:t>
      </w:r>
      <w:r w:rsidRPr="00ED7F0F">
        <w:t>3</w:t>
      </w:r>
      <w:r w:rsidR="005252C0" w:rsidRPr="00ED7F0F">
        <w:t> </w:t>
      </w:r>
      <w:r w:rsidRPr="00ED7F0F">
        <w:t>hodinami. Po perorálnom podaní je vzostup priemernej expozície (AUC</w:t>
      </w:r>
      <w:r w:rsidRPr="00ED7F0F">
        <w:rPr>
          <w:vertAlign w:val="subscript"/>
        </w:rPr>
        <w:t>τ</w:t>
      </w:r>
      <w:r w:rsidRPr="00ED7F0F">
        <w:t>) približne úmerný prírastku dávky v</w:t>
      </w:r>
      <w:r w:rsidR="005252C0" w:rsidRPr="00ED7F0F">
        <w:t> </w:t>
      </w:r>
      <w:r w:rsidRPr="00ED7F0F">
        <w:t>celom rozmedzí dávok od 25</w:t>
      </w:r>
      <w:r w:rsidR="005252C0" w:rsidRPr="00ED7F0F">
        <w:t> </w:t>
      </w:r>
      <w:r w:rsidRPr="00ED7F0F">
        <w:t>mg do 120</w:t>
      </w:r>
      <w:r w:rsidR="005252C0" w:rsidRPr="00ED7F0F">
        <w:t> </w:t>
      </w:r>
      <w:r w:rsidRPr="00ED7F0F">
        <w:t>mg dvakrát denne. U</w:t>
      </w:r>
      <w:r w:rsidR="005252C0" w:rsidRPr="00ED7F0F">
        <w:t> </w:t>
      </w:r>
      <w:r w:rsidRPr="00ED7F0F">
        <w:t xml:space="preserve">pacientov je celkový priemerný </w:t>
      </w:r>
      <w:r w:rsidR="0024261D" w:rsidRPr="00ED7F0F">
        <w:t>terminálny</w:t>
      </w:r>
      <w:r w:rsidRPr="00ED7F0F">
        <w:t xml:space="preserve"> polčas dasatinibu približne 5</w:t>
      </w:r>
      <w:r w:rsidR="005252C0" w:rsidRPr="00ED7F0F">
        <w:t> </w:t>
      </w:r>
      <w:r w:rsidRPr="00ED7F0F">
        <w:t>–</w:t>
      </w:r>
      <w:r w:rsidR="005252C0" w:rsidRPr="00ED7F0F">
        <w:t> </w:t>
      </w:r>
      <w:r w:rsidRPr="00ED7F0F">
        <w:t>6</w:t>
      </w:r>
      <w:r w:rsidR="005252C0" w:rsidRPr="00ED7F0F">
        <w:t> </w:t>
      </w:r>
      <w:r w:rsidRPr="00ED7F0F">
        <w:t>hodín.</w:t>
      </w:r>
    </w:p>
    <w:p w:rsidR="00215632" w:rsidRPr="00ED7F0F" w:rsidRDefault="00215632" w:rsidP="00122C9F">
      <w:pPr>
        <w:spacing w:line="259" w:lineRule="auto"/>
        <w:ind w:left="34"/>
      </w:pPr>
    </w:p>
    <w:p w:rsidR="00215632" w:rsidRPr="00ED7F0F" w:rsidRDefault="00215632" w:rsidP="0024261D">
      <w:pPr>
        <w:ind w:left="29"/>
      </w:pPr>
      <w:r w:rsidRPr="00ED7F0F">
        <w:t>Údaje od zdravých jedincov, ktorým sa podala jednorazová 100</w:t>
      </w:r>
      <w:r w:rsidR="005252C0" w:rsidRPr="00ED7F0F">
        <w:t> </w:t>
      </w:r>
      <w:r w:rsidRPr="00ED7F0F">
        <w:t>mg dávka dasatinibu po 30</w:t>
      </w:r>
      <w:r w:rsidR="005252C0" w:rsidRPr="00ED7F0F">
        <w:t> </w:t>
      </w:r>
      <w:r w:rsidRPr="00ED7F0F">
        <w:t>minútach po jedle s</w:t>
      </w:r>
      <w:r w:rsidR="005252C0" w:rsidRPr="00ED7F0F">
        <w:t> </w:t>
      </w:r>
      <w:r w:rsidRPr="00ED7F0F">
        <w:t>vysokým obsahom tuku, poukázali na 14</w:t>
      </w:r>
      <w:r w:rsidR="005252C0" w:rsidRPr="00ED7F0F">
        <w:t> </w:t>
      </w:r>
      <w:r w:rsidRPr="00ED7F0F">
        <w:t>% zvýšenie priemernej hodnoty AUC dasatinibu. Požitie jedla s</w:t>
      </w:r>
      <w:r w:rsidR="005252C0" w:rsidRPr="00ED7F0F">
        <w:t> </w:t>
      </w:r>
      <w:r w:rsidRPr="00ED7F0F">
        <w:t>nízkym obsahom tuku 30</w:t>
      </w:r>
      <w:r w:rsidR="005252C0" w:rsidRPr="00ED7F0F">
        <w:t> </w:t>
      </w:r>
      <w:r w:rsidRPr="00ED7F0F">
        <w:t>minút pred užitím dasatinibu viedlo k</w:t>
      </w:r>
      <w:r w:rsidR="005252C0" w:rsidRPr="00ED7F0F">
        <w:t> </w:t>
      </w:r>
      <w:r w:rsidRPr="00ED7F0F">
        <w:t>21</w:t>
      </w:r>
      <w:r w:rsidR="005252C0" w:rsidRPr="00ED7F0F">
        <w:t> </w:t>
      </w:r>
      <w:r w:rsidRPr="00ED7F0F">
        <w:t>% zvýšeniu priemernej hodnoty AUC dasatinibu. Pozorované vplyvy jedla nepredstavujú klinicky významné zmeny v</w:t>
      </w:r>
      <w:r w:rsidR="005252C0" w:rsidRPr="00ED7F0F">
        <w:t> </w:t>
      </w:r>
      <w:r w:rsidRPr="00ED7F0F">
        <w:t xml:space="preserve">expozícii. </w:t>
      </w:r>
    </w:p>
    <w:p w:rsidR="00215632" w:rsidRPr="00ED7F0F" w:rsidRDefault="00215632" w:rsidP="00122C9F">
      <w:pPr>
        <w:spacing w:line="259" w:lineRule="auto"/>
        <w:ind w:left="34"/>
      </w:pPr>
    </w:p>
    <w:p w:rsidR="00215632" w:rsidRPr="00ED7F0F" w:rsidRDefault="00215632" w:rsidP="00122C9F">
      <w:pPr>
        <w:pStyle w:val="Nadpis2"/>
        <w:ind w:left="29"/>
      </w:pPr>
      <w:r w:rsidRPr="00ED7F0F">
        <w:t>Distribúcia</w:t>
      </w:r>
    </w:p>
    <w:p w:rsidR="00215632" w:rsidRPr="00ED7F0F" w:rsidRDefault="00215632" w:rsidP="00122C9F">
      <w:pPr>
        <w:ind w:left="29"/>
      </w:pPr>
      <w:r w:rsidRPr="00ED7F0F">
        <w:t>U</w:t>
      </w:r>
      <w:r w:rsidR="005252C0" w:rsidRPr="00ED7F0F">
        <w:t> </w:t>
      </w:r>
      <w:r w:rsidRPr="00ED7F0F">
        <w:t>pacientov má dasatinib veľký zdanlivý distribučný objem (2</w:t>
      </w:r>
      <w:r w:rsidR="005252C0" w:rsidRPr="00ED7F0F">
        <w:t> </w:t>
      </w:r>
      <w:r w:rsidRPr="00ED7F0F">
        <w:t>505</w:t>
      </w:r>
      <w:r w:rsidR="005252C0" w:rsidRPr="00ED7F0F">
        <w:t> </w:t>
      </w:r>
      <w:r w:rsidRPr="00ED7F0F">
        <w:t>l), koeficient zmeny (CV% 93</w:t>
      </w:r>
      <w:r w:rsidR="005252C0" w:rsidRPr="00ED7F0F">
        <w:t> </w:t>
      </w:r>
      <w:r w:rsidRPr="00ED7F0F">
        <w:t>%), čo svedčí o</w:t>
      </w:r>
      <w:r w:rsidR="005252C0" w:rsidRPr="00ED7F0F">
        <w:t> </w:t>
      </w:r>
      <w:r w:rsidRPr="00ED7F0F">
        <w:t>tom, že liek sa v</w:t>
      </w:r>
      <w:r w:rsidR="005252C0" w:rsidRPr="00ED7F0F">
        <w:t> </w:t>
      </w:r>
      <w:r w:rsidRPr="00ED7F0F">
        <w:t>rozsiahlej miere distribuuje v</w:t>
      </w:r>
      <w:r w:rsidR="005252C0" w:rsidRPr="00ED7F0F">
        <w:t> </w:t>
      </w:r>
      <w:r w:rsidRPr="00ED7F0F">
        <w:t>extravaskulárnom priestore. Pri klinicky významných koncentráciách dasatinibu bola väzba na plazmatické bielkoviny približne 96</w:t>
      </w:r>
      <w:r w:rsidR="005252C0" w:rsidRPr="00ED7F0F">
        <w:t> </w:t>
      </w:r>
      <w:r w:rsidRPr="00ED7F0F">
        <w:t xml:space="preserve">% na základe </w:t>
      </w:r>
      <w:r w:rsidRPr="00ED7F0F">
        <w:rPr>
          <w:i/>
        </w:rPr>
        <w:t xml:space="preserve">in vitro </w:t>
      </w:r>
      <w:r w:rsidRPr="00ED7F0F">
        <w:t>experimentov.</w:t>
      </w:r>
    </w:p>
    <w:p w:rsidR="00215632" w:rsidRPr="00ED7F0F" w:rsidRDefault="00215632" w:rsidP="00122C9F">
      <w:pPr>
        <w:spacing w:line="259" w:lineRule="auto"/>
        <w:ind w:left="34"/>
      </w:pPr>
    </w:p>
    <w:p w:rsidR="00215632" w:rsidRPr="00ED7F0F" w:rsidRDefault="00215632" w:rsidP="00122C9F">
      <w:pPr>
        <w:pStyle w:val="Nadpis2"/>
        <w:ind w:left="29"/>
      </w:pPr>
      <w:r w:rsidRPr="00ED7F0F">
        <w:t>Biotransformácia</w:t>
      </w:r>
    </w:p>
    <w:p w:rsidR="00215632" w:rsidRPr="00ED7F0F" w:rsidRDefault="00215632" w:rsidP="00122C9F">
      <w:pPr>
        <w:ind w:left="29"/>
      </w:pPr>
      <w:r w:rsidRPr="00ED7F0F">
        <w:t>Dasatinib sa u</w:t>
      </w:r>
      <w:r w:rsidR="005252C0" w:rsidRPr="00ED7F0F">
        <w:t> </w:t>
      </w:r>
      <w:r w:rsidRPr="00ED7F0F">
        <w:t>ľudí v</w:t>
      </w:r>
      <w:r w:rsidR="005252C0" w:rsidRPr="00ED7F0F">
        <w:t> </w:t>
      </w:r>
      <w:r w:rsidRPr="00ED7F0F">
        <w:t>rozsiahlej miere metabolizuje, pričom do tvorby metabolitov sú zapojené viaceré enzýmy. U</w:t>
      </w:r>
      <w:r w:rsidR="005252C0" w:rsidRPr="00ED7F0F">
        <w:t> </w:t>
      </w:r>
      <w:r w:rsidRPr="00ED7F0F">
        <w:t>zdravých jedincov, ktorým bolo podaných 100</w:t>
      </w:r>
      <w:r w:rsidR="005252C0" w:rsidRPr="00ED7F0F">
        <w:t> </w:t>
      </w:r>
      <w:r w:rsidRPr="00ED7F0F">
        <w:t>mg dasatinibu označeného [</w:t>
      </w:r>
      <w:r w:rsidRPr="00ED7F0F">
        <w:rPr>
          <w:vertAlign w:val="superscript"/>
        </w:rPr>
        <w:t>14</w:t>
      </w:r>
      <w:r w:rsidRPr="00ED7F0F">
        <w:t>C], predstavoval nezmenený dasatinib 29</w:t>
      </w:r>
      <w:r w:rsidR="005252C0" w:rsidRPr="00ED7F0F">
        <w:t> </w:t>
      </w:r>
      <w:r w:rsidRPr="00ED7F0F">
        <w:t>% cirkulujúcej rádioaktivity v</w:t>
      </w:r>
      <w:r w:rsidR="005252C0" w:rsidRPr="00ED7F0F">
        <w:t> </w:t>
      </w:r>
      <w:r w:rsidRPr="00ED7F0F">
        <w:t xml:space="preserve">plazme. Plazmatická koncentrácia a </w:t>
      </w:r>
      <w:r w:rsidRPr="00ED7F0F">
        <w:rPr>
          <w:i/>
        </w:rPr>
        <w:t>in vitro</w:t>
      </w:r>
      <w:r w:rsidRPr="00ED7F0F">
        <w:t xml:space="preserve"> meraná aktivita svedčia o</w:t>
      </w:r>
      <w:r w:rsidR="005252C0" w:rsidRPr="00ED7F0F">
        <w:t> </w:t>
      </w:r>
      <w:r w:rsidRPr="00ED7F0F">
        <w:t>tom, že nie je pravdepodobné, že metabolity dasatinibu majú významnú úlohu v</w:t>
      </w:r>
      <w:r w:rsidR="005252C0" w:rsidRPr="00ED7F0F">
        <w:t> </w:t>
      </w:r>
      <w:r w:rsidRPr="00ED7F0F">
        <w:t>pozorovanej farmakológii lieku. CYP3A4 je hlavným enzýmom zodpovedným za metabolizmus dasatinibu.</w:t>
      </w:r>
    </w:p>
    <w:p w:rsidR="00215632" w:rsidRPr="00ED7F0F" w:rsidRDefault="00215632" w:rsidP="00122C9F">
      <w:pPr>
        <w:spacing w:line="259" w:lineRule="auto"/>
        <w:ind w:left="34"/>
      </w:pPr>
    </w:p>
    <w:p w:rsidR="00215632" w:rsidRPr="00ED7F0F" w:rsidRDefault="00215632" w:rsidP="00122C9F">
      <w:pPr>
        <w:pStyle w:val="Nadpis2"/>
        <w:ind w:left="29"/>
      </w:pPr>
      <w:r w:rsidRPr="00ED7F0F">
        <w:t>Eliminácia</w:t>
      </w:r>
    </w:p>
    <w:p w:rsidR="00215632" w:rsidRPr="00ED7F0F" w:rsidRDefault="00215632" w:rsidP="00122C9F">
      <w:pPr>
        <w:ind w:left="29"/>
      </w:pPr>
      <w:r w:rsidRPr="00ED7F0F">
        <w:t>Priemerný terminálny polčas dasatinibu je 3</w:t>
      </w:r>
      <w:r w:rsidR="005252C0" w:rsidRPr="00ED7F0F">
        <w:t> </w:t>
      </w:r>
      <w:r w:rsidRPr="00ED7F0F">
        <w:t>hodiny až 5</w:t>
      </w:r>
      <w:r w:rsidR="005252C0" w:rsidRPr="00ED7F0F">
        <w:t> </w:t>
      </w:r>
      <w:r w:rsidRPr="00ED7F0F">
        <w:t>hodín. Priemerný zdanlivý perorálny klírens je 363,8</w:t>
      </w:r>
      <w:r w:rsidR="005252C0" w:rsidRPr="00ED7F0F">
        <w:t> </w:t>
      </w:r>
      <w:r w:rsidRPr="00ED7F0F">
        <w:t>l/h (CV% 81,3</w:t>
      </w:r>
      <w:r w:rsidR="005252C0" w:rsidRPr="00ED7F0F">
        <w:t> </w:t>
      </w:r>
      <w:r w:rsidRPr="00ED7F0F">
        <w:t>%).</w:t>
      </w:r>
    </w:p>
    <w:p w:rsidR="00215632" w:rsidRPr="00ED7F0F" w:rsidRDefault="00215632" w:rsidP="00122C9F">
      <w:pPr>
        <w:spacing w:line="259" w:lineRule="auto"/>
        <w:ind w:left="34"/>
      </w:pPr>
    </w:p>
    <w:p w:rsidR="00215632" w:rsidRPr="00ED7F0F" w:rsidRDefault="00215632" w:rsidP="00122C9F">
      <w:pPr>
        <w:ind w:left="29"/>
      </w:pPr>
      <w:r w:rsidRPr="00ED7F0F">
        <w:t>Prevláda vylučovanie stolicou, prevažne vo forme metabolitov. Po jednorazovej perorálnej dávke dasatinibu označeného [</w:t>
      </w:r>
      <w:r w:rsidRPr="00ED7F0F">
        <w:rPr>
          <w:vertAlign w:val="superscript"/>
        </w:rPr>
        <w:t>14</w:t>
      </w:r>
      <w:r w:rsidRPr="00ED7F0F">
        <w:t>C] sa približne 89</w:t>
      </w:r>
      <w:r w:rsidR="005252C0" w:rsidRPr="00ED7F0F">
        <w:t> </w:t>
      </w:r>
      <w:r w:rsidRPr="00ED7F0F">
        <w:t>% dávky vylúčilo do 10</w:t>
      </w:r>
      <w:r w:rsidR="005252C0" w:rsidRPr="00ED7F0F">
        <w:t> </w:t>
      </w:r>
      <w:r w:rsidRPr="00ED7F0F">
        <w:t>dní, pričom 4</w:t>
      </w:r>
      <w:r w:rsidR="005252C0" w:rsidRPr="00ED7F0F">
        <w:t> </w:t>
      </w:r>
      <w:r w:rsidRPr="00ED7F0F">
        <w:t>% rádioaktivity sa zistili v</w:t>
      </w:r>
      <w:r w:rsidR="005252C0" w:rsidRPr="00ED7F0F">
        <w:t> </w:t>
      </w:r>
      <w:r w:rsidRPr="00ED7F0F">
        <w:t>moči a</w:t>
      </w:r>
      <w:r w:rsidR="005252C0" w:rsidRPr="00ED7F0F">
        <w:t> </w:t>
      </w:r>
      <w:r w:rsidRPr="00ED7F0F">
        <w:t>85</w:t>
      </w:r>
      <w:r w:rsidR="005252C0" w:rsidRPr="00ED7F0F">
        <w:t> </w:t>
      </w:r>
      <w:r w:rsidRPr="00ED7F0F">
        <w:t>% rádioaktivity sa zistilo v stolici. Nezmenený dasatinib predstavoval 0,1</w:t>
      </w:r>
      <w:r w:rsidR="005252C0" w:rsidRPr="00ED7F0F">
        <w:t> </w:t>
      </w:r>
      <w:r w:rsidRPr="00ED7F0F">
        <w:t>% dávky v</w:t>
      </w:r>
      <w:r w:rsidR="005252C0" w:rsidRPr="00ED7F0F">
        <w:t> </w:t>
      </w:r>
      <w:r w:rsidRPr="00ED7F0F">
        <w:t>moči a</w:t>
      </w:r>
      <w:r w:rsidR="005252C0" w:rsidRPr="00ED7F0F">
        <w:t> </w:t>
      </w:r>
      <w:r w:rsidRPr="00ED7F0F">
        <w:t>19</w:t>
      </w:r>
      <w:r w:rsidR="005252C0" w:rsidRPr="00ED7F0F">
        <w:t> </w:t>
      </w:r>
      <w:r w:rsidRPr="00ED7F0F">
        <w:t>% dávky v</w:t>
      </w:r>
      <w:r w:rsidR="005252C0" w:rsidRPr="00ED7F0F">
        <w:t> </w:t>
      </w:r>
      <w:r w:rsidRPr="00ED7F0F">
        <w:t>stolici, pričom zvyšok dávky bol vo forme metabolitov.</w:t>
      </w:r>
    </w:p>
    <w:p w:rsidR="00215632" w:rsidRPr="00ED7F0F" w:rsidRDefault="00215632" w:rsidP="00122C9F">
      <w:pPr>
        <w:spacing w:line="259" w:lineRule="auto"/>
        <w:ind w:left="34"/>
      </w:pPr>
    </w:p>
    <w:p w:rsidR="00215632" w:rsidRPr="00ED7F0F" w:rsidRDefault="00215632" w:rsidP="00122C9F">
      <w:pPr>
        <w:pStyle w:val="Nadpis2"/>
        <w:ind w:left="29"/>
      </w:pPr>
      <w:r w:rsidRPr="00ED7F0F">
        <w:t>Porucha funkcie pečene a</w:t>
      </w:r>
      <w:r w:rsidR="005252C0" w:rsidRPr="00ED7F0F">
        <w:t> </w:t>
      </w:r>
      <w:r w:rsidRPr="00ED7F0F">
        <w:t>obličiek</w:t>
      </w:r>
    </w:p>
    <w:p w:rsidR="00215632" w:rsidRPr="00ED7F0F" w:rsidRDefault="00215632" w:rsidP="00122C9F">
      <w:pPr>
        <w:ind w:left="29"/>
      </w:pPr>
      <w:r w:rsidRPr="00ED7F0F">
        <w:t>Vplyv poruchy funkcie pečene na farmakokinetiku jednorazovej dávky dasatinibu bol hodnotený u 8 jedincov so stredne ťažkou poruchou funkcie pečene, ktorí užívali dávku 50 mg a u 5 jedincov s ťažkou poruchou funkcie pečene, ktorí užívali dávku 20 mg v porovnaní so zodpovedajúcimi zdravými jedincami, ktorí užívali dávku 70 mg dasatinibu. Priemern</w:t>
      </w:r>
      <w:r w:rsidR="0024261D" w:rsidRPr="00ED7F0F">
        <w:t>á</w:t>
      </w:r>
      <w:r w:rsidRPr="00ED7F0F">
        <w:t xml:space="preserve"> C</w:t>
      </w:r>
      <w:r w:rsidRPr="00ED7F0F">
        <w:rPr>
          <w:vertAlign w:val="subscript"/>
        </w:rPr>
        <w:t>max</w:t>
      </w:r>
      <w:r w:rsidRPr="00ED7F0F">
        <w:t xml:space="preserve"> dasatinibu upraven</w:t>
      </w:r>
      <w:r w:rsidR="0024261D" w:rsidRPr="00ED7F0F">
        <w:t>á</w:t>
      </w:r>
      <w:r w:rsidRPr="00ED7F0F">
        <w:t xml:space="preserve"> na dávku 70 mg sa znížil</w:t>
      </w:r>
      <w:r w:rsidR="0024261D" w:rsidRPr="00ED7F0F">
        <w:t>a</w:t>
      </w:r>
      <w:r w:rsidRPr="00ED7F0F">
        <w:t xml:space="preserve"> o 47 % a AUC o 8 % u jedincov so stredne ťažkou poruchou funkcie pečene v porovnaní s osobami s normálnou funkciou pečene. U jedincov s ťažkou poruchou funkcie pečene sa priemern</w:t>
      </w:r>
      <w:r w:rsidR="0024261D" w:rsidRPr="00ED7F0F">
        <w:t>á</w:t>
      </w:r>
      <w:r w:rsidRPr="00ED7F0F">
        <w:t xml:space="preserve"> C</w:t>
      </w:r>
      <w:r w:rsidRPr="00ED7F0F">
        <w:rPr>
          <w:vertAlign w:val="subscript"/>
        </w:rPr>
        <w:t>max</w:t>
      </w:r>
      <w:r w:rsidRPr="00ED7F0F">
        <w:t xml:space="preserve"> upraven</w:t>
      </w:r>
      <w:r w:rsidR="0024261D" w:rsidRPr="00ED7F0F">
        <w:t>á</w:t>
      </w:r>
      <w:r w:rsidRPr="00ED7F0F">
        <w:t xml:space="preserve"> na dávku 70 mg znížil</w:t>
      </w:r>
      <w:r w:rsidR="0024261D" w:rsidRPr="00ED7F0F">
        <w:t>a</w:t>
      </w:r>
      <w:r w:rsidRPr="00ED7F0F">
        <w:t xml:space="preserve"> o 43 % a AUC o 28 % v porovnaní s osobami s normálnou funkciou pečene (pozri časti 4.2 a 4.4).</w:t>
      </w:r>
    </w:p>
    <w:p w:rsidR="00215632" w:rsidRPr="00ED7F0F" w:rsidRDefault="00215632" w:rsidP="00122C9F">
      <w:pPr>
        <w:spacing w:line="259" w:lineRule="auto"/>
        <w:ind w:left="34"/>
      </w:pPr>
    </w:p>
    <w:p w:rsidR="00215632" w:rsidRPr="00ED7F0F" w:rsidRDefault="00215632" w:rsidP="00122C9F">
      <w:pPr>
        <w:ind w:left="29"/>
      </w:pPr>
      <w:r w:rsidRPr="00ED7F0F">
        <w:t>Dasatinib a jeho metabolity sú v minimálnej miere vylučované obličkami.</w:t>
      </w:r>
    </w:p>
    <w:p w:rsidR="00215632" w:rsidRPr="00ED7F0F" w:rsidRDefault="00215632" w:rsidP="00122C9F">
      <w:pPr>
        <w:spacing w:line="259" w:lineRule="auto"/>
        <w:ind w:left="34"/>
      </w:pPr>
    </w:p>
    <w:p w:rsidR="00215632" w:rsidRPr="00ED7F0F" w:rsidRDefault="00215632" w:rsidP="00122C9F">
      <w:pPr>
        <w:pStyle w:val="Nadpis2"/>
        <w:ind w:left="29"/>
      </w:pPr>
      <w:r w:rsidRPr="00ED7F0F">
        <w:t>Pediatrická populácia</w:t>
      </w:r>
    </w:p>
    <w:p w:rsidR="00215632" w:rsidRPr="00ED7F0F" w:rsidRDefault="00215632" w:rsidP="00122C9F">
      <w:pPr>
        <w:ind w:left="29"/>
      </w:pPr>
      <w:r w:rsidRPr="00ED7F0F">
        <w:t xml:space="preserve">Farmakokinetika dasatinibu sa hodnotila u 104 pediatrických pacientov s leukémiou alebo solídnymi nádormi (72 dostalo tabletovú </w:t>
      </w:r>
      <w:r w:rsidR="00564F5D" w:rsidRPr="00ED7F0F">
        <w:t xml:space="preserve">liekovú </w:t>
      </w:r>
      <w:r w:rsidRPr="00ED7F0F">
        <w:t>formu a 32 dostalo prášok na perorálnu suspenziu).</w:t>
      </w:r>
    </w:p>
    <w:p w:rsidR="00215632" w:rsidRPr="00ED7F0F" w:rsidRDefault="00215632" w:rsidP="00122C9F">
      <w:pPr>
        <w:spacing w:line="259" w:lineRule="auto"/>
        <w:ind w:left="34"/>
      </w:pPr>
    </w:p>
    <w:p w:rsidR="00215632" w:rsidRPr="00ED7F0F" w:rsidRDefault="00215632" w:rsidP="00122C9F">
      <w:pPr>
        <w:ind w:left="29"/>
      </w:pPr>
      <w:r w:rsidRPr="00ED7F0F">
        <w:t xml:space="preserve">V pediatrickej farmakokinetickej štúdii, sa u 21 pacientov s CP-CML a u 16 pacientov s ALL s Ph+ zdá </w:t>
      </w:r>
      <w:r w:rsidR="00FE77B9" w:rsidRPr="00ED7F0F">
        <w:t xml:space="preserve">byť </w:t>
      </w:r>
      <w:r w:rsidRPr="00ED7F0F">
        <w:t>expozícia dasatinibu normalizovanej dávky</w:t>
      </w:r>
      <w:r w:rsidR="00FE77B9" w:rsidRPr="00ED7F0F">
        <w:t xml:space="preserve"> podobná</w:t>
      </w:r>
      <w:r w:rsidRPr="00ED7F0F">
        <w:t xml:space="preserve"> (C</w:t>
      </w:r>
      <w:r w:rsidRPr="00ED7F0F">
        <w:rPr>
          <w:vertAlign w:val="subscript"/>
        </w:rPr>
        <w:t>avg</w:t>
      </w:r>
      <w:r w:rsidRPr="00ED7F0F">
        <w:t>, C</w:t>
      </w:r>
      <w:r w:rsidRPr="00ED7F0F">
        <w:rPr>
          <w:vertAlign w:val="subscript"/>
        </w:rPr>
        <w:t>min</w:t>
      </w:r>
      <w:r w:rsidRPr="00ED7F0F">
        <w:t xml:space="preserve"> a C</w:t>
      </w:r>
      <w:r w:rsidRPr="00ED7F0F">
        <w:rPr>
          <w:vertAlign w:val="subscript"/>
        </w:rPr>
        <w:t>max</w:t>
      </w:r>
      <w:r w:rsidRPr="00ED7F0F">
        <w:t>).</w:t>
      </w:r>
    </w:p>
    <w:p w:rsidR="00215632" w:rsidRPr="00ED7F0F" w:rsidRDefault="00215632" w:rsidP="00122C9F">
      <w:pPr>
        <w:spacing w:line="259" w:lineRule="auto"/>
        <w:ind w:left="34"/>
      </w:pPr>
    </w:p>
    <w:p w:rsidR="00215632" w:rsidRPr="00ED7F0F" w:rsidRDefault="00215632" w:rsidP="00122C9F">
      <w:pPr>
        <w:ind w:left="29"/>
      </w:pPr>
      <w:r w:rsidRPr="00ED7F0F">
        <w:t xml:space="preserve">Farmakokinetika tabletovej </w:t>
      </w:r>
      <w:r w:rsidR="00564F5D" w:rsidRPr="00ED7F0F">
        <w:t xml:space="preserve">liekovej </w:t>
      </w:r>
      <w:r w:rsidRPr="00ED7F0F">
        <w:t>formy dasatinibu sa hodnotila u 72 pediatrických pacientov s recidívou leukémie alebo s refraktérnou leukémiou alebo so solídnymi nádormi s perorálnou dávkou v rozsahu od 60 do 120 mg/m</w:t>
      </w:r>
      <w:r w:rsidRPr="00ED7F0F">
        <w:rPr>
          <w:vertAlign w:val="superscript"/>
        </w:rPr>
        <w:t>2</w:t>
      </w:r>
      <w:r w:rsidRPr="00ED7F0F">
        <w:t xml:space="preserve"> jedenkrát denne a 50 až 110 mg/m</w:t>
      </w:r>
      <w:r w:rsidRPr="00ED7F0F">
        <w:rPr>
          <w:vertAlign w:val="superscript"/>
        </w:rPr>
        <w:t>2</w:t>
      </w:r>
      <w:r w:rsidRPr="00ED7F0F">
        <w:t xml:space="preserve"> dvakrát denne. Údaje dvoch štúdii boli spojené a potvrdili, že sa dasatinib rýchlo absorboval. Pri všetkých hladinách dávok a vekových skupinách sa pozoroval priemerný T</w:t>
      </w:r>
      <w:r w:rsidRPr="00ED7F0F">
        <w:rPr>
          <w:vertAlign w:val="subscript"/>
        </w:rPr>
        <w:t>max</w:t>
      </w:r>
      <w:r w:rsidRPr="00ED7F0F">
        <w:t xml:space="preserve"> medzi 0,5 a 6 hodinami a priemerný polčas v rozsahu od 2 do 5 hodín. PK dasatinibu potvrdila proporcionalitu dávky so zvýšením expozície v súvislosti s dávkou, čo sa pozorovalo u pediatrických pacientov. Medzi deťmi a dospievajúcimi sa nepozorovali žiadne signifikantné rozdiely PK dasatinibu. Pri rôznych hladinách dávok sa geometrické priemery C</w:t>
      </w:r>
      <w:r w:rsidRPr="00ED7F0F">
        <w:rPr>
          <w:vertAlign w:val="subscript"/>
        </w:rPr>
        <w:t>max</w:t>
      </w:r>
      <w:r w:rsidRPr="00ED7F0F">
        <w:t xml:space="preserve">, AUC (0-T) a AUC (INF) </w:t>
      </w:r>
      <w:r w:rsidR="00564F5D" w:rsidRPr="00ED7F0F">
        <w:rPr>
          <w:szCs w:val="22"/>
        </w:rPr>
        <w:t xml:space="preserve">normalizovanej dávky dasatinibu zdali byť </w:t>
      </w:r>
      <w:r w:rsidRPr="00ED7F0F">
        <w:t xml:space="preserve">medzi deťmi a dospievajúcimi podobné. PPK simulácia na základe modelu predpovedala, </w:t>
      </w:r>
      <w:r w:rsidR="00564F5D" w:rsidRPr="00ED7F0F">
        <w:rPr>
          <w:szCs w:val="22"/>
        </w:rPr>
        <w:t xml:space="preserve">že odporúčané dávkovanie pre tablety odstupňované podľa telesnej hmotnosti opísané v časti 4.2, </w:t>
      </w:r>
      <w:r w:rsidR="00955D9B" w:rsidRPr="00ED7F0F">
        <w:rPr>
          <w:szCs w:val="22"/>
        </w:rPr>
        <w:t>poskytnú</w:t>
      </w:r>
      <w:r w:rsidR="00564F5D" w:rsidRPr="00ED7F0F">
        <w:rPr>
          <w:szCs w:val="22"/>
        </w:rPr>
        <w:t xml:space="preserve"> podľa predpokladu expozíciu podobnú tablete s dávkou 60 mg/m</w:t>
      </w:r>
      <w:r w:rsidR="00564F5D" w:rsidRPr="00ED7F0F">
        <w:rPr>
          <w:szCs w:val="22"/>
          <w:vertAlign w:val="superscript"/>
        </w:rPr>
        <w:t>2</w:t>
      </w:r>
      <w:r w:rsidRPr="00ED7F0F">
        <w:t xml:space="preserve">. Tieto údaje sa majú zohľadniť, ak pacienti </w:t>
      </w:r>
      <w:r w:rsidR="00564F5D" w:rsidRPr="00ED7F0F">
        <w:t>menia liečbu</w:t>
      </w:r>
      <w:r w:rsidRPr="00ED7F0F">
        <w:t xml:space="preserve"> z tabliet na prášok na perorálnu suspenziu alebo naopak.</w:t>
      </w:r>
    </w:p>
    <w:p w:rsidR="00812D16" w:rsidRPr="00ED7F0F" w:rsidRDefault="00812D16" w:rsidP="00122C9F">
      <w:pPr>
        <w:numPr>
          <w:ilvl w:val="12"/>
          <w:numId w:val="0"/>
        </w:numPr>
        <w:spacing w:line="240" w:lineRule="auto"/>
      </w:pPr>
    </w:p>
    <w:p w:rsidR="00812D16" w:rsidRPr="00ED7F0F" w:rsidRDefault="005D45FC" w:rsidP="00122C9F">
      <w:pPr>
        <w:keepNext/>
        <w:numPr>
          <w:ilvl w:val="1"/>
          <w:numId w:val="5"/>
        </w:numPr>
        <w:spacing w:line="240" w:lineRule="auto"/>
        <w:outlineLvl w:val="0"/>
      </w:pPr>
      <w:r w:rsidRPr="00ED7F0F">
        <w:rPr>
          <w:b/>
        </w:rPr>
        <w:t>Predklinické údaje o bezpečnosti</w:t>
      </w:r>
    </w:p>
    <w:p w:rsidR="00812D16" w:rsidRPr="00ED7F0F" w:rsidRDefault="00812D16" w:rsidP="00122C9F">
      <w:pPr>
        <w:keepNext/>
        <w:spacing w:line="240" w:lineRule="auto"/>
      </w:pPr>
    </w:p>
    <w:p w:rsidR="00D14D98" w:rsidRPr="00ED7F0F" w:rsidRDefault="00D14D98" w:rsidP="00122C9F">
      <w:pPr>
        <w:spacing w:line="240" w:lineRule="auto"/>
      </w:pPr>
      <w:r w:rsidRPr="00ED7F0F">
        <w:t>Profil predklinickej bezpečnosti dasatinibu sa hodnotil v</w:t>
      </w:r>
      <w:r w:rsidR="00215632" w:rsidRPr="00ED7F0F">
        <w:t> </w:t>
      </w:r>
      <w:r w:rsidRPr="00ED7F0F">
        <w:t xml:space="preserve">sérii štúdií </w:t>
      </w:r>
      <w:r w:rsidRPr="00ED7F0F">
        <w:rPr>
          <w:i/>
        </w:rPr>
        <w:t>in vitro</w:t>
      </w:r>
      <w:r w:rsidRPr="00ED7F0F">
        <w:t xml:space="preserve"> a </w:t>
      </w:r>
      <w:r w:rsidRPr="00ED7F0F">
        <w:rPr>
          <w:i/>
        </w:rPr>
        <w:t>in vivo</w:t>
      </w:r>
      <w:r w:rsidRPr="00ED7F0F">
        <w:t xml:space="preserve"> na myšiach, potkanoch, opiciach a</w:t>
      </w:r>
      <w:r w:rsidR="00215632" w:rsidRPr="00ED7F0F">
        <w:t> </w:t>
      </w:r>
      <w:r w:rsidRPr="00ED7F0F">
        <w:t>králikoch.</w:t>
      </w:r>
    </w:p>
    <w:p w:rsidR="00D14D98" w:rsidRPr="00ED7F0F" w:rsidRDefault="00D14D98" w:rsidP="00122C9F">
      <w:pPr>
        <w:spacing w:line="240" w:lineRule="auto"/>
      </w:pPr>
    </w:p>
    <w:p w:rsidR="00D14D98" w:rsidRPr="00ED7F0F" w:rsidRDefault="00D14D98" w:rsidP="00122C9F">
      <w:pPr>
        <w:spacing w:line="240" w:lineRule="auto"/>
      </w:pPr>
      <w:r w:rsidRPr="00ED7F0F">
        <w:t>Primárna toxicita sa vyskytla v</w:t>
      </w:r>
      <w:r w:rsidR="00215632" w:rsidRPr="00ED7F0F">
        <w:t> </w:t>
      </w:r>
      <w:r w:rsidRPr="00ED7F0F">
        <w:t>gastrointestinálnom, hematopoetickom a</w:t>
      </w:r>
      <w:r w:rsidR="00215632" w:rsidRPr="00ED7F0F">
        <w:t> </w:t>
      </w:r>
      <w:r w:rsidRPr="00ED7F0F">
        <w:t xml:space="preserve">lymfoidnom systéme. Gastrointestinálna toxicita bola </w:t>
      </w:r>
      <w:r w:rsidR="00955D9B" w:rsidRPr="00ED7F0F">
        <w:rPr>
          <w:szCs w:val="22"/>
        </w:rPr>
        <w:t xml:space="preserve">toxicita </w:t>
      </w:r>
      <w:r w:rsidRPr="00ED7F0F">
        <w:t>limit</w:t>
      </w:r>
      <w:r w:rsidR="00955D9B" w:rsidRPr="00ED7F0F">
        <w:t>ujúca</w:t>
      </w:r>
      <w:r w:rsidRPr="00ED7F0F">
        <w:t xml:space="preserve"> dávku u</w:t>
      </w:r>
      <w:r w:rsidR="00215632" w:rsidRPr="00ED7F0F">
        <w:t> </w:t>
      </w:r>
      <w:r w:rsidRPr="00ED7F0F">
        <w:t>potkanov a</w:t>
      </w:r>
      <w:r w:rsidR="00215632" w:rsidRPr="00ED7F0F">
        <w:t> </w:t>
      </w:r>
      <w:r w:rsidRPr="00ED7F0F">
        <w:t xml:space="preserve">opíc, keďže črevo bolo </w:t>
      </w:r>
      <w:r w:rsidR="00955D9B" w:rsidRPr="00ED7F0F">
        <w:t xml:space="preserve">konzistentne </w:t>
      </w:r>
      <w:r w:rsidRPr="00ED7F0F">
        <w:t>hlavným cieľovým orgánom. U</w:t>
      </w:r>
      <w:r w:rsidR="00215632" w:rsidRPr="00ED7F0F">
        <w:t> </w:t>
      </w:r>
      <w:r w:rsidRPr="00ED7F0F">
        <w:t>potkanov boli minimálne až mierne poklesy v</w:t>
      </w:r>
      <w:r w:rsidR="00215632" w:rsidRPr="00ED7F0F">
        <w:t> </w:t>
      </w:r>
      <w:r w:rsidRPr="00ED7F0F">
        <w:t>parametroch erytrocytov sprevádzané zmenami kostnej drene; u</w:t>
      </w:r>
      <w:r w:rsidR="00215632" w:rsidRPr="00ED7F0F">
        <w:t> </w:t>
      </w:r>
      <w:r w:rsidRPr="00ED7F0F">
        <w:t>opíc sa podobné zmeny vyskytli s</w:t>
      </w:r>
      <w:r w:rsidR="00215632" w:rsidRPr="00ED7F0F">
        <w:t> </w:t>
      </w:r>
      <w:r w:rsidRPr="00ED7F0F">
        <w:t>nižšou incidenciou. Lymfoidná toxicita u potkanov pozostávala z lymfoidnej deplécie lymfatických uzlín, sleziny a týmusu a zníženej hmotnosti lymfoidných orgánov. Zmeny v gastrointestinálnom, hematopoetickom a lymfoidnom systéme boli reverzibilné po ukončení liečby.</w:t>
      </w:r>
    </w:p>
    <w:p w:rsidR="00D14D98" w:rsidRPr="00ED7F0F" w:rsidRDefault="00D14D98" w:rsidP="00122C9F">
      <w:pPr>
        <w:spacing w:line="240" w:lineRule="auto"/>
      </w:pPr>
    </w:p>
    <w:p w:rsidR="00D14D98" w:rsidRPr="00ED7F0F" w:rsidRDefault="00D14D98" w:rsidP="00122C9F">
      <w:pPr>
        <w:spacing w:line="240" w:lineRule="auto"/>
      </w:pPr>
      <w:r w:rsidRPr="00ED7F0F">
        <w:t xml:space="preserve">Obličkové zmeny u opíc liečených počas 9 mesiacov sa obmedzovali na zvýšenie prirodzenej mineralizácie v obličkách. Kožné krvácanie bolo pozorované v štúdii akútnej jednorazovej perorálnej dávky u opíc, ale nebolo pozorované v štúdiách opakovanej dávky ani u opíc ani u potkanov. U potkanov dasatinib inhiboval agregáciu trombocytov </w:t>
      </w:r>
      <w:r w:rsidRPr="00ED7F0F">
        <w:rPr>
          <w:i/>
        </w:rPr>
        <w:t>in vitro</w:t>
      </w:r>
      <w:r w:rsidRPr="00ED7F0F">
        <w:t xml:space="preserve"> a predĺžil čas krvácania z kutikuly </w:t>
      </w:r>
      <w:r w:rsidRPr="00ED7F0F">
        <w:rPr>
          <w:i/>
        </w:rPr>
        <w:t>in vivo</w:t>
      </w:r>
      <w:r w:rsidRPr="00ED7F0F">
        <w:t>, ale nevyvolal spontánne krvácanie.</w:t>
      </w:r>
    </w:p>
    <w:p w:rsidR="00D14D98" w:rsidRPr="00ED7F0F" w:rsidRDefault="00D14D98" w:rsidP="00122C9F">
      <w:pPr>
        <w:spacing w:line="240" w:lineRule="auto"/>
      </w:pPr>
    </w:p>
    <w:p w:rsidR="00D14D98" w:rsidRPr="00ED7F0F" w:rsidRDefault="00D14D98" w:rsidP="00122C9F">
      <w:pPr>
        <w:spacing w:line="240" w:lineRule="auto"/>
      </w:pPr>
      <w:r w:rsidRPr="00ED7F0F">
        <w:t xml:space="preserve">Aktivita dasatinibu in vitro v teste hERG a teste na Purkyňových vláknach svedčí o možnom predĺžení repolarizácie srdcových komôr (QT interval). V štúdii s jednorazovou dávkou </w:t>
      </w:r>
      <w:r w:rsidRPr="00ED7F0F">
        <w:rPr>
          <w:i/>
        </w:rPr>
        <w:t xml:space="preserve">in vivo </w:t>
      </w:r>
      <w:r w:rsidRPr="00ED7F0F">
        <w:t>na opiciach, ktoré boli pri vedomí a sledované telemetricky, však neboli žiadne zmeny v QT intervale, ani v tvare vlny na EKG.</w:t>
      </w:r>
    </w:p>
    <w:p w:rsidR="00D14D98" w:rsidRPr="00ED7F0F" w:rsidRDefault="00D14D98" w:rsidP="00122C9F">
      <w:pPr>
        <w:spacing w:line="240" w:lineRule="auto"/>
      </w:pPr>
    </w:p>
    <w:p w:rsidR="00D14D98" w:rsidRPr="00ED7F0F" w:rsidRDefault="00D14D98" w:rsidP="00122C9F">
      <w:pPr>
        <w:spacing w:line="240" w:lineRule="auto"/>
      </w:pPr>
      <w:r w:rsidRPr="00ED7F0F">
        <w:t xml:space="preserve">Dasatinib nebol mutagénny v testoch </w:t>
      </w:r>
      <w:r w:rsidRPr="00ED7F0F">
        <w:rPr>
          <w:i/>
        </w:rPr>
        <w:t>in vitro</w:t>
      </w:r>
      <w:r w:rsidRPr="00ED7F0F">
        <w:t xml:space="preserve"> na bakteriálnych bunkách (Amesov test) a nebol genotoxický v teste </w:t>
      </w:r>
      <w:r w:rsidRPr="00ED7F0F">
        <w:rPr>
          <w:i/>
        </w:rPr>
        <w:t>in vivo</w:t>
      </w:r>
      <w:r w:rsidRPr="00ED7F0F">
        <w:t xml:space="preserve"> na potkaních mikronukleoch. Dasatinib mal klastogénny účinok in vitro na deliace sa ovariálne bunky </w:t>
      </w:r>
      <w:r w:rsidR="00B37687" w:rsidRPr="00ED7F0F">
        <w:t xml:space="preserve">čínskeho </w:t>
      </w:r>
      <w:r w:rsidRPr="00ED7F0F">
        <w:t>škrečka (CHO).</w:t>
      </w:r>
    </w:p>
    <w:p w:rsidR="00D14D98" w:rsidRPr="00ED7F0F" w:rsidRDefault="00D14D98" w:rsidP="00122C9F">
      <w:pPr>
        <w:spacing w:line="240" w:lineRule="auto"/>
      </w:pPr>
    </w:p>
    <w:p w:rsidR="00D14D98" w:rsidRPr="00ED7F0F" w:rsidRDefault="00D14D98" w:rsidP="00122C9F">
      <w:pPr>
        <w:spacing w:line="240" w:lineRule="auto"/>
      </w:pPr>
      <w:r w:rsidRPr="00ED7F0F">
        <w:t xml:space="preserve">Dasatinib neovplyvnil obvyklú samčiu alebo samičiu fertilitu potkanov </w:t>
      </w:r>
      <w:r w:rsidR="00B37687" w:rsidRPr="00ED7F0F">
        <w:t xml:space="preserve">v konvenčnej štúdii fertility a v štúdii </w:t>
      </w:r>
      <w:r w:rsidRPr="00ED7F0F">
        <w:t>včasn</w:t>
      </w:r>
      <w:r w:rsidR="00B37687" w:rsidRPr="00ED7F0F">
        <w:t xml:space="preserve">ého </w:t>
      </w:r>
      <w:r w:rsidRPr="00ED7F0F">
        <w:t xml:space="preserve">embryofetálneho vývoja, ale indukoval embryoletalitu v dávkach </w:t>
      </w:r>
      <w:r w:rsidR="00B37687" w:rsidRPr="00ED7F0F">
        <w:t>blížiacich sa</w:t>
      </w:r>
      <w:r w:rsidRPr="00ED7F0F">
        <w:t xml:space="preserve"> klinickej expozícii u ľudí. V štúdiách embryofetálneho vývoja podobne spôsobil dasatinib embryoletalitu, ktorá bola spojená so zníženou veľkosťou vrhu u potkanov ako aj zmeny skeletu plodu u potkanov aj králikov. Tieto účinky sa vyskytovali pri dávkach, ktoré nespôsobovali toxické prejavy u matky naznačujúc, že dasatinib je selektívna toxická látka na reprodukciu od implementácie až po</w:t>
      </w:r>
      <w:r w:rsidR="00B37687" w:rsidRPr="00ED7F0F">
        <w:t xml:space="preserve"> ukončenie </w:t>
      </w:r>
      <w:r w:rsidRPr="00ED7F0F">
        <w:t>celej organogenézy.</w:t>
      </w:r>
    </w:p>
    <w:p w:rsidR="00D14D98" w:rsidRPr="00ED7F0F" w:rsidRDefault="00D14D98" w:rsidP="00122C9F">
      <w:pPr>
        <w:spacing w:line="240" w:lineRule="auto"/>
      </w:pPr>
    </w:p>
    <w:p w:rsidR="00D14D98" w:rsidRPr="00ED7F0F" w:rsidRDefault="00D14D98" w:rsidP="00122C9F">
      <w:pPr>
        <w:spacing w:line="240" w:lineRule="auto"/>
      </w:pPr>
      <w:r w:rsidRPr="00ED7F0F">
        <w:t xml:space="preserve">U myší vyvolal dasatinib imunosupresiu, ktorá súvisela s dávkou a bola účinne zvládnutá znížením dávky a/alebo zmenami dávkovacej schémy. Dasatinib mal fototoxický potenciál v teste fototoxicity in vitro zameranom na prenikanie neutrálnej červene do myších fibroblastov. Dasatinib sa považoval za nefototoxický </w:t>
      </w:r>
      <w:r w:rsidRPr="00ED7F0F">
        <w:rPr>
          <w:i/>
        </w:rPr>
        <w:t>in vivo</w:t>
      </w:r>
      <w:r w:rsidRPr="00ED7F0F">
        <w:t xml:space="preserve"> po jednorazovom perorálnom podaní </w:t>
      </w:r>
      <w:r w:rsidR="00B37687" w:rsidRPr="00ED7F0F">
        <w:rPr>
          <w:szCs w:val="22"/>
        </w:rPr>
        <w:t>samiciam bezsrstej</w:t>
      </w:r>
      <w:r w:rsidRPr="00ED7F0F">
        <w:t xml:space="preserve"> myši v expozíciách zodpovedajúcich nanajvýš 3-násobnej expozícii u ľudí po podaní odporúčanej terapeutickej dávky (vychádzajúcej z AUC).</w:t>
      </w:r>
    </w:p>
    <w:p w:rsidR="00D14D98" w:rsidRPr="00ED7F0F" w:rsidRDefault="00D14D98" w:rsidP="00122C9F">
      <w:pPr>
        <w:spacing w:line="240" w:lineRule="auto"/>
      </w:pPr>
    </w:p>
    <w:p w:rsidR="00560EDA" w:rsidRPr="00ED7F0F" w:rsidRDefault="00D14D98" w:rsidP="00122C9F">
      <w:pPr>
        <w:spacing w:line="240" w:lineRule="auto"/>
      </w:pPr>
      <w:r w:rsidRPr="00ED7F0F">
        <w:t>V dvojročnej štúdii karcinogenity sa potkanom podávali perorálne dávky dasatinibu 0,3; 1 a 3 mg/kg/deň. Najvyššia dávka viedla k plazmatickej hladine expozície (AUC) vo všeobecnosti ekvivalentnej expozícii u ľudí pri odporúčanom rozsahu začiatočných dávok od 100 mg do 140 mg denne. Zistilo sa štatisticky významné zvýšenie celkovej incidencie karcinómov skvamóznych buniek a papilómov v maternici a krčku maternice u samičiek s vysokou dávkou a adenóm prostaty u samcov s nízkou dávkou. Významnosť nálezov zo štúdie karcinogenity na potkanoch pre ľudí nie je známa.</w:t>
      </w:r>
    </w:p>
    <w:p w:rsidR="00812D16" w:rsidRPr="00ED7F0F" w:rsidRDefault="00812D16" w:rsidP="00122C9F">
      <w:pPr>
        <w:spacing w:line="240" w:lineRule="auto"/>
      </w:pPr>
    </w:p>
    <w:p w:rsidR="00812D16" w:rsidRPr="00ED7F0F" w:rsidRDefault="00812D16" w:rsidP="00122C9F">
      <w:pPr>
        <w:spacing w:line="240" w:lineRule="auto"/>
      </w:pPr>
    </w:p>
    <w:p w:rsidR="00812D16" w:rsidRPr="00ED7F0F" w:rsidRDefault="005D45FC" w:rsidP="00122C9F">
      <w:pPr>
        <w:keepNext/>
        <w:numPr>
          <w:ilvl w:val="0"/>
          <w:numId w:val="5"/>
        </w:numPr>
        <w:suppressAutoHyphens/>
        <w:spacing w:line="240" w:lineRule="auto"/>
        <w:rPr>
          <w:b/>
        </w:rPr>
      </w:pPr>
      <w:r w:rsidRPr="00ED7F0F">
        <w:rPr>
          <w:b/>
        </w:rPr>
        <w:t>FARMACEUTICKÉ INFORMÁCIE</w:t>
      </w:r>
    </w:p>
    <w:p w:rsidR="00812D16" w:rsidRPr="00ED7F0F" w:rsidRDefault="00812D16" w:rsidP="00122C9F">
      <w:pPr>
        <w:keepNext/>
        <w:spacing w:line="240" w:lineRule="auto"/>
      </w:pPr>
    </w:p>
    <w:p w:rsidR="00812D16" w:rsidRPr="00ED7F0F" w:rsidRDefault="005D45FC" w:rsidP="00122C9F">
      <w:pPr>
        <w:keepNext/>
        <w:numPr>
          <w:ilvl w:val="1"/>
          <w:numId w:val="5"/>
        </w:numPr>
        <w:spacing w:line="240" w:lineRule="auto"/>
        <w:outlineLvl w:val="0"/>
      </w:pPr>
      <w:r w:rsidRPr="00ED7F0F">
        <w:rPr>
          <w:b/>
        </w:rPr>
        <w:t>Zoznam pomocných látok</w:t>
      </w:r>
    </w:p>
    <w:p w:rsidR="00812D16" w:rsidRPr="00ED7F0F" w:rsidRDefault="00812D16" w:rsidP="00122C9F">
      <w:pPr>
        <w:keepNext/>
        <w:spacing w:line="240" w:lineRule="auto"/>
        <w:rPr>
          <w:i/>
        </w:rPr>
      </w:pPr>
    </w:p>
    <w:p w:rsidR="002C33EC" w:rsidRPr="00ED7F0F" w:rsidRDefault="00EF48DA" w:rsidP="00122C9F">
      <w:pPr>
        <w:spacing w:line="240" w:lineRule="auto"/>
        <w:rPr>
          <w:u w:val="single"/>
        </w:rPr>
      </w:pPr>
      <w:r w:rsidRPr="00ED7F0F">
        <w:rPr>
          <w:u w:val="single"/>
        </w:rPr>
        <w:t>Jadro tablety</w:t>
      </w:r>
    </w:p>
    <w:p w:rsidR="002C33EC" w:rsidRPr="00ED7F0F" w:rsidRDefault="00EF48DA" w:rsidP="00122C9F">
      <w:pPr>
        <w:spacing w:line="240" w:lineRule="auto"/>
      </w:pPr>
      <w:r w:rsidRPr="00ED7F0F">
        <w:t>monohydrát laktózy</w:t>
      </w:r>
      <w:r w:rsidR="00B37687" w:rsidRPr="00ED7F0F">
        <w:t xml:space="preserve"> (200)</w:t>
      </w:r>
    </w:p>
    <w:p w:rsidR="002C33EC" w:rsidRPr="00ED7F0F" w:rsidRDefault="00EF48DA" w:rsidP="00122C9F">
      <w:pPr>
        <w:spacing w:line="240" w:lineRule="auto"/>
      </w:pPr>
      <w:r w:rsidRPr="00ED7F0F">
        <w:t xml:space="preserve">mikrokryštalická celulóza </w:t>
      </w:r>
      <w:r w:rsidR="00B37687" w:rsidRPr="00ED7F0F">
        <w:t>(101 a 102)</w:t>
      </w:r>
    </w:p>
    <w:p w:rsidR="002C33EC" w:rsidRPr="00ED7F0F" w:rsidRDefault="00B37687" w:rsidP="00122C9F">
      <w:pPr>
        <w:spacing w:line="240" w:lineRule="auto"/>
      </w:pPr>
      <w:r w:rsidRPr="00ED7F0F">
        <w:t xml:space="preserve">sodná </w:t>
      </w:r>
      <w:r w:rsidR="00EF48DA" w:rsidRPr="00ED7F0F">
        <w:t>soľ kroskarmelózy</w:t>
      </w:r>
    </w:p>
    <w:p w:rsidR="00EF48DA" w:rsidRPr="00ED7F0F" w:rsidRDefault="00EF48DA" w:rsidP="00122C9F">
      <w:pPr>
        <w:spacing w:line="240" w:lineRule="auto"/>
      </w:pPr>
      <w:r w:rsidRPr="00ED7F0F">
        <w:t>hydroxypropylcelulóza</w:t>
      </w:r>
      <w:r w:rsidR="00B37687" w:rsidRPr="00ED7F0F">
        <w:t xml:space="preserve"> </w:t>
      </w:r>
      <w:r w:rsidR="00C05993" w:rsidRPr="00ED7F0F">
        <w:rPr>
          <w:szCs w:val="22"/>
        </w:rPr>
        <w:t xml:space="preserve">(MW 80 </w:t>
      </w:r>
      <w:r w:rsidR="00B37687" w:rsidRPr="00ED7F0F">
        <w:rPr>
          <w:szCs w:val="22"/>
        </w:rPr>
        <w:t>000)</w:t>
      </w:r>
    </w:p>
    <w:p w:rsidR="00EF48DA" w:rsidRPr="00ED7F0F" w:rsidRDefault="00EF48DA" w:rsidP="00122C9F">
      <w:pPr>
        <w:spacing w:line="240" w:lineRule="auto"/>
      </w:pPr>
      <w:r w:rsidRPr="00ED7F0F">
        <w:t>stearát</w:t>
      </w:r>
      <w:r w:rsidR="00B37687" w:rsidRPr="00ED7F0F">
        <w:t xml:space="preserve"> horečnatý</w:t>
      </w:r>
    </w:p>
    <w:p w:rsidR="00EF48DA" w:rsidRPr="00ED7F0F" w:rsidRDefault="00EF48DA" w:rsidP="00122C9F">
      <w:pPr>
        <w:spacing w:line="240" w:lineRule="auto"/>
      </w:pPr>
    </w:p>
    <w:p w:rsidR="002C33EC" w:rsidRPr="00ED7F0F" w:rsidRDefault="00EF48DA" w:rsidP="00122C9F">
      <w:pPr>
        <w:spacing w:line="240" w:lineRule="auto"/>
        <w:rPr>
          <w:u w:val="single"/>
        </w:rPr>
      </w:pPr>
      <w:r w:rsidRPr="00ED7F0F">
        <w:rPr>
          <w:u w:val="single"/>
        </w:rPr>
        <w:t>Filmový obal</w:t>
      </w:r>
    </w:p>
    <w:p w:rsidR="002C33EC" w:rsidRPr="00ED7F0F" w:rsidRDefault="002C33EC" w:rsidP="00122C9F">
      <w:pPr>
        <w:spacing w:line="240" w:lineRule="auto"/>
      </w:pPr>
      <w:r w:rsidRPr="00ED7F0F">
        <w:t>monohydrát laktózy</w:t>
      </w:r>
    </w:p>
    <w:p w:rsidR="002C33EC" w:rsidRPr="00ED7F0F" w:rsidRDefault="00EF48DA" w:rsidP="00122C9F">
      <w:pPr>
        <w:spacing w:line="240" w:lineRule="auto"/>
      </w:pPr>
      <w:r w:rsidRPr="00ED7F0F">
        <w:t>hypromelóza</w:t>
      </w:r>
      <w:r w:rsidR="007E56EC" w:rsidRPr="00ED7F0F">
        <w:t xml:space="preserve"> (15 mPas)</w:t>
      </w:r>
    </w:p>
    <w:p w:rsidR="00EF48DA" w:rsidRPr="00ED7F0F" w:rsidRDefault="00EF48DA" w:rsidP="00122C9F">
      <w:pPr>
        <w:spacing w:line="240" w:lineRule="auto"/>
      </w:pPr>
      <w:r w:rsidRPr="00ED7F0F">
        <w:t>oxid titaničitý (E171)</w:t>
      </w:r>
    </w:p>
    <w:p w:rsidR="00812D16" w:rsidRPr="00ED7F0F" w:rsidRDefault="002C33EC" w:rsidP="00122C9F">
      <w:pPr>
        <w:spacing w:line="240" w:lineRule="auto"/>
      </w:pPr>
      <w:r w:rsidRPr="00ED7F0F">
        <w:t>triacetín</w:t>
      </w:r>
    </w:p>
    <w:p w:rsidR="002C33EC" w:rsidRPr="00ED7F0F" w:rsidRDefault="002C33EC" w:rsidP="00122C9F">
      <w:pPr>
        <w:spacing w:line="240" w:lineRule="auto"/>
      </w:pPr>
    </w:p>
    <w:p w:rsidR="00812D16" w:rsidRPr="00ED7F0F" w:rsidRDefault="005D45FC" w:rsidP="00122C9F">
      <w:pPr>
        <w:keepNext/>
        <w:numPr>
          <w:ilvl w:val="1"/>
          <w:numId w:val="5"/>
        </w:numPr>
        <w:spacing w:line="240" w:lineRule="auto"/>
        <w:outlineLvl w:val="0"/>
      </w:pPr>
      <w:r w:rsidRPr="00ED7F0F">
        <w:rPr>
          <w:b/>
        </w:rPr>
        <w:t>Inkompatibility</w:t>
      </w:r>
    </w:p>
    <w:p w:rsidR="00812D16" w:rsidRPr="00ED7F0F" w:rsidRDefault="00812D16" w:rsidP="00122C9F">
      <w:pPr>
        <w:keepNext/>
        <w:spacing w:line="240" w:lineRule="auto"/>
      </w:pPr>
    </w:p>
    <w:p w:rsidR="00812D16" w:rsidRPr="00ED7F0F" w:rsidRDefault="005D45FC" w:rsidP="00122C9F">
      <w:pPr>
        <w:spacing w:line="240" w:lineRule="auto"/>
      </w:pPr>
      <w:r w:rsidRPr="00ED7F0F">
        <w:t>Neaplikovateľné.</w:t>
      </w:r>
    </w:p>
    <w:p w:rsidR="00812D16" w:rsidRPr="00ED7F0F" w:rsidRDefault="00812D16" w:rsidP="00122C9F">
      <w:pPr>
        <w:spacing w:line="240" w:lineRule="auto"/>
      </w:pPr>
    </w:p>
    <w:p w:rsidR="00812D16" w:rsidRPr="00ED7F0F" w:rsidRDefault="005D45FC" w:rsidP="00122C9F">
      <w:pPr>
        <w:keepNext/>
        <w:numPr>
          <w:ilvl w:val="1"/>
          <w:numId w:val="5"/>
        </w:numPr>
        <w:spacing w:line="240" w:lineRule="auto"/>
        <w:outlineLvl w:val="0"/>
      </w:pPr>
      <w:r w:rsidRPr="00ED7F0F">
        <w:rPr>
          <w:b/>
        </w:rPr>
        <w:t>Čas použiteľnosti</w:t>
      </w:r>
    </w:p>
    <w:p w:rsidR="00812D16" w:rsidRPr="00ED7F0F" w:rsidRDefault="00812D16" w:rsidP="00122C9F">
      <w:pPr>
        <w:keepNext/>
        <w:spacing w:line="240" w:lineRule="auto"/>
      </w:pPr>
    </w:p>
    <w:p w:rsidR="00812D16" w:rsidRPr="00ED7F0F" w:rsidRDefault="005D45FC" w:rsidP="00122C9F">
      <w:pPr>
        <w:spacing w:line="240" w:lineRule="auto"/>
      </w:pPr>
      <w:r w:rsidRPr="00ED7F0F">
        <w:t>2 roky</w:t>
      </w:r>
    </w:p>
    <w:p w:rsidR="00812D16" w:rsidRPr="00ED7F0F" w:rsidRDefault="00812D16" w:rsidP="00122C9F">
      <w:pPr>
        <w:spacing w:line="240" w:lineRule="auto"/>
      </w:pPr>
    </w:p>
    <w:p w:rsidR="00812D16" w:rsidRPr="00ED7F0F" w:rsidRDefault="005D45FC" w:rsidP="00122C9F">
      <w:pPr>
        <w:keepNext/>
        <w:numPr>
          <w:ilvl w:val="1"/>
          <w:numId w:val="5"/>
        </w:numPr>
        <w:spacing w:line="240" w:lineRule="auto"/>
        <w:outlineLvl w:val="0"/>
        <w:rPr>
          <w:b/>
        </w:rPr>
      </w:pPr>
      <w:r w:rsidRPr="00ED7F0F">
        <w:rPr>
          <w:b/>
        </w:rPr>
        <w:t>Špeciálne upozornenia na uchovávanie</w:t>
      </w:r>
    </w:p>
    <w:p w:rsidR="005108A3" w:rsidRPr="00ED7F0F" w:rsidRDefault="005108A3" w:rsidP="00122C9F">
      <w:pPr>
        <w:keepNext/>
        <w:spacing w:line="240" w:lineRule="auto"/>
        <w:ind w:left="567" w:hanging="567"/>
        <w:outlineLvl w:val="0"/>
      </w:pPr>
    </w:p>
    <w:p w:rsidR="00812D16" w:rsidRPr="00ED7F0F" w:rsidRDefault="00EF48DA" w:rsidP="00122C9F">
      <w:pPr>
        <w:spacing w:line="240" w:lineRule="auto"/>
        <w:rPr>
          <w:i/>
        </w:rPr>
      </w:pPr>
      <w:r w:rsidRPr="00ED7F0F">
        <w:t>Tento liek nevyžaduje žiadne zvláštne podmienky na uchovávanie.</w:t>
      </w:r>
    </w:p>
    <w:p w:rsidR="00812D16" w:rsidRPr="00ED7F0F" w:rsidRDefault="00812D16" w:rsidP="00122C9F">
      <w:pPr>
        <w:spacing w:line="240" w:lineRule="auto"/>
      </w:pPr>
    </w:p>
    <w:p w:rsidR="00812D16" w:rsidRPr="00ED7F0F" w:rsidRDefault="005D45FC" w:rsidP="00122C9F">
      <w:pPr>
        <w:keepNext/>
        <w:numPr>
          <w:ilvl w:val="1"/>
          <w:numId w:val="5"/>
        </w:numPr>
        <w:tabs>
          <w:tab w:val="clear" w:pos="567"/>
        </w:tabs>
        <w:spacing w:line="240" w:lineRule="auto"/>
        <w:ind w:left="567" w:hanging="567"/>
        <w:outlineLvl w:val="0"/>
      </w:pPr>
      <w:r w:rsidRPr="00ED7F0F">
        <w:rPr>
          <w:b/>
        </w:rPr>
        <w:t>Druh obalu a</w:t>
      </w:r>
      <w:r w:rsidR="00851AE0" w:rsidRPr="00ED7F0F">
        <w:rPr>
          <w:b/>
        </w:rPr>
        <w:t> </w:t>
      </w:r>
      <w:r w:rsidRPr="00ED7F0F">
        <w:rPr>
          <w:b/>
        </w:rPr>
        <w:t>obsah balenia</w:t>
      </w:r>
    </w:p>
    <w:p w:rsidR="00D96CE2" w:rsidRPr="00ED7F0F" w:rsidRDefault="00D96CE2" w:rsidP="00122C9F">
      <w:pPr>
        <w:spacing w:line="240" w:lineRule="auto"/>
      </w:pPr>
    </w:p>
    <w:p w:rsidR="00816170" w:rsidRPr="00ED7F0F" w:rsidRDefault="00816170" w:rsidP="00122C9F">
      <w:pPr>
        <w:spacing w:line="240" w:lineRule="auto"/>
      </w:pPr>
      <w:r w:rsidRPr="00ED7F0F">
        <w:t>Opa</w:t>
      </w:r>
      <w:r w:rsidR="00D96CE2" w:rsidRPr="00ED7F0F">
        <w:t>/AL/PVC/Al</w:t>
      </w:r>
      <w:r w:rsidRPr="00ED7F0F">
        <w:t xml:space="preserve"> blistre</w:t>
      </w:r>
    </w:p>
    <w:p w:rsidR="00816170" w:rsidRPr="00ED7F0F" w:rsidRDefault="00816170" w:rsidP="00122C9F">
      <w:pPr>
        <w:spacing w:line="240" w:lineRule="auto"/>
      </w:pPr>
      <w:r w:rsidRPr="00ED7F0F">
        <w:t>Fľaša HDPE s polypropylénovým (PP) detským bezpečnostným uzáverom.</w:t>
      </w:r>
    </w:p>
    <w:p w:rsidR="00816170" w:rsidRPr="00ED7F0F" w:rsidRDefault="00816170" w:rsidP="00122C9F">
      <w:pPr>
        <w:spacing w:line="240" w:lineRule="auto"/>
      </w:pPr>
    </w:p>
    <w:p w:rsidR="00816170" w:rsidRPr="00ED7F0F" w:rsidRDefault="00816170" w:rsidP="00122C9F">
      <w:pPr>
        <w:spacing w:line="240" w:lineRule="auto"/>
        <w:rPr>
          <w:u w:val="single"/>
        </w:rPr>
      </w:pPr>
      <w:r w:rsidRPr="00ED7F0F">
        <w:rPr>
          <w:u w:val="single"/>
        </w:rPr>
        <w:t>Dasatinib Mylan 70 mg filmom obalené tablety</w:t>
      </w:r>
    </w:p>
    <w:p w:rsidR="00816170" w:rsidRPr="00ED7F0F" w:rsidRDefault="00816170" w:rsidP="00122C9F">
      <w:pPr>
        <w:spacing w:line="240" w:lineRule="auto"/>
      </w:pPr>
      <w:r w:rsidRPr="00ED7F0F">
        <w:t>Škatuľk</w:t>
      </w:r>
      <w:r w:rsidR="007E56EC" w:rsidRPr="00ED7F0F">
        <w:t>y</w:t>
      </w:r>
      <w:r w:rsidRPr="00ED7F0F">
        <w:t xml:space="preserve"> obsahujúc</w:t>
      </w:r>
      <w:r w:rsidR="007E56EC" w:rsidRPr="00ED7F0F">
        <w:t>e</w:t>
      </w:r>
      <w:r w:rsidRPr="00ED7F0F">
        <w:t xml:space="preserve"> 60 filmom obalených tabliet v</w:t>
      </w:r>
      <w:r w:rsidR="007E56EC" w:rsidRPr="00ED7F0F">
        <w:t> </w:t>
      </w:r>
      <w:r w:rsidRPr="00ED7F0F">
        <w:t>blistroch</w:t>
      </w:r>
      <w:r w:rsidR="007E56EC" w:rsidRPr="00ED7F0F">
        <w:t>, alebo škatuľky obsahujúce 60 x 1 filmom obalenú tabletu v blistroch s </w:t>
      </w:r>
      <w:r w:rsidR="00426E11" w:rsidRPr="00ED7F0F">
        <w:t>jednotlivými</w:t>
      </w:r>
      <w:r w:rsidR="007E56EC" w:rsidRPr="00ED7F0F">
        <w:t xml:space="preserve"> </w:t>
      </w:r>
      <w:r w:rsidR="00426E11" w:rsidRPr="00ED7F0F">
        <w:t>dávkami</w:t>
      </w:r>
      <w:r w:rsidR="007E56EC" w:rsidRPr="00ED7F0F">
        <w:t>.</w:t>
      </w:r>
      <w:r w:rsidRPr="00ED7F0F">
        <w:t xml:space="preserve"> Škatuľ</w:t>
      </w:r>
      <w:r w:rsidR="007E56EC" w:rsidRPr="00ED7F0F">
        <w:t>ky</w:t>
      </w:r>
      <w:r w:rsidRPr="00ED7F0F">
        <w:t xml:space="preserve"> obsahujúca fľašku so 60 filmom obalenými tabletami.</w:t>
      </w:r>
    </w:p>
    <w:p w:rsidR="00816170" w:rsidRPr="00ED7F0F" w:rsidRDefault="00816170" w:rsidP="00122C9F">
      <w:pPr>
        <w:spacing w:line="240" w:lineRule="auto"/>
        <w:rPr>
          <w:u w:val="single"/>
        </w:rPr>
      </w:pPr>
    </w:p>
    <w:p w:rsidR="00816170" w:rsidRPr="00ED7F0F" w:rsidRDefault="00816170" w:rsidP="00122C9F">
      <w:pPr>
        <w:spacing w:line="240" w:lineRule="auto"/>
        <w:rPr>
          <w:highlight w:val="lightGray"/>
          <w:u w:val="single"/>
        </w:rPr>
      </w:pPr>
      <w:r w:rsidRPr="00ED7F0F">
        <w:rPr>
          <w:highlight w:val="lightGray"/>
          <w:u w:val="single"/>
        </w:rPr>
        <w:t>Dasatinib Mylan 100 mg filmom obalené tablety</w:t>
      </w:r>
    </w:p>
    <w:p w:rsidR="00816170" w:rsidRPr="00ED7F0F" w:rsidRDefault="00816170" w:rsidP="00122C9F">
      <w:pPr>
        <w:spacing w:line="240" w:lineRule="auto"/>
      </w:pPr>
      <w:r w:rsidRPr="00ED7F0F">
        <w:rPr>
          <w:highlight w:val="lightGray"/>
        </w:rPr>
        <w:t>Škatuľk</w:t>
      </w:r>
      <w:r w:rsidR="007E56EC" w:rsidRPr="00ED7F0F">
        <w:rPr>
          <w:highlight w:val="lightGray"/>
        </w:rPr>
        <w:t>y</w:t>
      </w:r>
      <w:r w:rsidRPr="00ED7F0F">
        <w:rPr>
          <w:highlight w:val="lightGray"/>
        </w:rPr>
        <w:t xml:space="preserve"> obsahujúc</w:t>
      </w:r>
      <w:r w:rsidR="007E56EC" w:rsidRPr="00ED7F0F">
        <w:rPr>
          <w:highlight w:val="lightGray"/>
        </w:rPr>
        <w:t>e</w:t>
      </w:r>
      <w:r w:rsidRPr="00ED7F0F">
        <w:rPr>
          <w:highlight w:val="lightGray"/>
        </w:rPr>
        <w:t xml:space="preserve"> 30 filmom obalených tabliet v</w:t>
      </w:r>
      <w:r w:rsidR="007E56EC" w:rsidRPr="00ED7F0F">
        <w:rPr>
          <w:highlight w:val="lightGray"/>
        </w:rPr>
        <w:t> </w:t>
      </w:r>
      <w:r w:rsidRPr="00ED7F0F">
        <w:rPr>
          <w:highlight w:val="lightGray"/>
        </w:rPr>
        <w:t>blistroch</w:t>
      </w:r>
      <w:r w:rsidR="007E56EC" w:rsidRPr="00ED7F0F">
        <w:rPr>
          <w:highlight w:val="lightGray"/>
        </w:rPr>
        <w:t>, alebo škatuľky obsahujúce</w:t>
      </w:r>
      <w:r w:rsidRPr="00ED7F0F">
        <w:rPr>
          <w:highlight w:val="lightGray"/>
        </w:rPr>
        <w:t xml:space="preserve"> </w:t>
      </w:r>
      <w:r w:rsidR="007E56EC" w:rsidRPr="00ED7F0F">
        <w:rPr>
          <w:highlight w:val="lightGray"/>
        </w:rPr>
        <w:t>30 x 1 filmom obalenú tabletu v blistroch s </w:t>
      </w:r>
      <w:r w:rsidR="00426E11" w:rsidRPr="00ED7F0F">
        <w:rPr>
          <w:highlight w:val="lightGray"/>
        </w:rPr>
        <w:t>jednotlivými</w:t>
      </w:r>
      <w:r w:rsidR="007E56EC" w:rsidRPr="00ED7F0F">
        <w:rPr>
          <w:highlight w:val="lightGray"/>
        </w:rPr>
        <w:t xml:space="preserve"> </w:t>
      </w:r>
      <w:r w:rsidR="00426E11" w:rsidRPr="00ED7F0F">
        <w:rPr>
          <w:highlight w:val="lightGray"/>
        </w:rPr>
        <w:t>dávkami</w:t>
      </w:r>
      <w:r w:rsidR="007E56EC" w:rsidRPr="00ED7F0F">
        <w:rPr>
          <w:highlight w:val="lightGray"/>
        </w:rPr>
        <w:t xml:space="preserve">. </w:t>
      </w:r>
      <w:r w:rsidRPr="00ED7F0F">
        <w:rPr>
          <w:highlight w:val="lightGray"/>
        </w:rPr>
        <w:t>Škatuľ</w:t>
      </w:r>
      <w:r w:rsidR="007E56EC" w:rsidRPr="00ED7F0F">
        <w:rPr>
          <w:highlight w:val="lightGray"/>
        </w:rPr>
        <w:t>ky</w:t>
      </w:r>
      <w:r w:rsidRPr="00ED7F0F">
        <w:rPr>
          <w:highlight w:val="lightGray"/>
        </w:rPr>
        <w:t xml:space="preserve"> obsahujúc</w:t>
      </w:r>
      <w:r w:rsidR="007E56EC" w:rsidRPr="00ED7F0F">
        <w:rPr>
          <w:highlight w:val="lightGray"/>
        </w:rPr>
        <w:t>e</w:t>
      </w:r>
      <w:r w:rsidRPr="00ED7F0F">
        <w:rPr>
          <w:highlight w:val="lightGray"/>
        </w:rPr>
        <w:t xml:space="preserve"> fľašku s 30 filmom obalenými tabletami.</w:t>
      </w:r>
    </w:p>
    <w:p w:rsidR="00816170" w:rsidRPr="00ED7F0F" w:rsidRDefault="00816170" w:rsidP="00122C9F">
      <w:pPr>
        <w:spacing w:line="240" w:lineRule="auto"/>
      </w:pPr>
    </w:p>
    <w:p w:rsidR="00812D16" w:rsidRPr="00ED7F0F" w:rsidRDefault="005D45FC" w:rsidP="00122C9F">
      <w:pPr>
        <w:spacing w:line="240" w:lineRule="auto"/>
      </w:pPr>
      <w:r w:rsidRPr="00ED7F0F">
        <w:t>Na trh nemusia byť uvedené všetky veľkosti balenia.</w:t>
      </w:r>
    </w:p>
    <w:p w:rsidR="00812D16" w:rsidRPr="00ED7F0F" w:rsidRDefault="00812D16" w:rsidP="00122C9F">
      <w:pPr>
        <w:spacing w:line="240" w:lineRule="auto"/>
      </w:pPr>
    </w:p>
    <w:p w:rsidR="00812D16" w:rsidRPr="00ED7F0F" w:rsidRDefault="005D45FC" w:rsidP="00122C9F">
      <w:pPr>
        <w:keepNext/>
        <w:numPr>
          <w:ilvl w:val="1"/>
          <w:numId w:val="5"/>
        </w:numPr>
        <w:spacing w:line="240" w:lineRule="auto"/>
        <w:outlineLvl w:val="0"/>
      </w:pPr>
      <w:bookmarkStart w:id="2" w:name="OLE_LINK1"/>
      <w:r w:rsidRPr="00ED7F0F">
        <w:rPr>
          <w:b/>
        </w:rPr>
        <w:t>Špeciálne opatrenia na likvidáciu</w:t>
      </w:r>
    </w:p>
    <w:p w:rsidR="00346E3B" w:rsidRPr="00ED7F0F" w:rsidRDefault="00346E3B" w:rsidP="00122C9F">
      <w:pPr>
        <w:spacing w:line="240" w:lineRule="auto"/>
      </w:pPr>
    </w:p>
    <w:p w:rsidR="00D96CE2" w:rsidRPr="00ED7F0F" w:rsidRDefault="00D96CE2" w:rsidP="00122C9F">
      <w:pPr>
        <w:spacing w:line="240" w:lineRule="auto"/>
      </w:pPr>
      <w:r w:rsidRPr="00ED7F0F">
        <w:t>Filmom obalené tablety pozostávajú z</w:t>
      </w:r>
      <w:r w:rsidR="00346E3B" w:rsidRPr="00ED7F0F">
        <w:t> </w:t>
      </w:r>
      <w:r w:rsidRPr="00ED7F0F">
        <w:t>jadra tablety, ktoré je obklopené filmovým obalom, aby sa zabránilo vystaveniu zdravotníckych pracovníkov liečivu. Pri manipulácii s</w:t>
      </w:r>
      <w:r w:rsidR="00346E3B" w:rsidRPr="00ED7F0F">
        <w:t> </w:t>
      </w:r>
      <w:r w:rsidRPr="00ED7F0F">
        <w:t>tabletami, ktoré sú neúmyselne rozdrvené alebo zlomené sa na náležitú likvidáciu odporúča použiť latexové alebo nitrilové rukavice, aby sa minimalizovalo riziko kožnej expozície.</w:t>
      </w:r>
    </w:p>
    <w:p w:rsidR="00D96CE2" w:rsidRPr="00ED7F0F" w:rsidRDefault="00D96CE2" w:rsidP="00122C9F">
      <w:pPr>
        <w:spacing w:line="240" w:lineRule="auto"/>
      </w:pPr>
    </w:p>
    <w:p w:rsidR="00812D16" w:rsidRPr="00ED7F0F" w:rsidRDefault="005D45FC" w:rsidP="00122C9F">
      <w:pPr>
        <w:spacing w:line="240" w:lineRule="auto"/>
      </w:pPr>
      <w:r w:rsidRPr="00ED7F0F">
        <w:t>Všetok nepoužitý liek alebo odpad vzniknutý z</w:t>
      </w:r>
      <w:r w:rsidR="00851AE0" w:rsidRPr="00ED7F0F">
        <w:t> </w:t>
      </w:r>
      <w:r w:rsidRPr="00ED7F0F">
        <w:t>lieku sa má zlikvidovať v súlade s národnými požiadavkami.</w:t>
      </w:r>
    </w:p>
    <w:bookmarkEnd w:id="2"/>
    <w:p w:rsidR="00812D16" w:rsidRPr="00ED7F0F" w:rsidRDefault="00812D16" w:rsidP="00122C9F">
      <w:pPr>
        <w:spacing w:line="240" w:lineRule="auto"/>
      </w:pPr>
    </w:p>
    <w:p w:rsidR="00812D16" w:rsidRPr="00ED7F0F" w:rsidRDefault="00812D16" w:rsidP="00122C9F">
      <w:pPr>
        <w:spacing w:line="240" w:lineRule="auto"/>
      </w:pPr>
    </w:p>
    <w:p w:rsidR="00812D16" w:rsidRPr="00ED7F0F" w:rsidRDefault="005D45FC" w:rsidP="00122C9F">
      <w:pPr>
        <w:keepNext/>
        <w:numPr>
          <w:ilvl w:val="0"/>
          <w:numId w:val="5"/>
        </w:numPr>
        <w:spacing w:line="240" w:lineRule="auto"/>
      </w:pPr>
      <w:r w:rsidRPr="00ED7F0F">
        <w:rPr>
          <w:b/>
        </w:rPr>
        <w:t>DRŽITEĽ ROZHODNUTIA O REGISTRÁCII</w:t>
      </w:r>
    </w:p>
    <w:p w:rsidR="00812D16" w:rsidRPr="00ED7F0F" w:rsidRDefault="00812D16" w:rsidP="00122C9F">
      <w:pPr>
        <w:keepNext/>
        <w:spacing w:line="240" w:lineRule="auto"/>
      </w:pPr>
    </w:p>
    <w:p w:rsidR="00D96CE2" w:rsidRPr="00ED7F0F" w:rsidRDefault="00D96CE2" w:rsidP="00122C9F">
      <w:pPr>
        <w:numPr>
          <w:ilvl w:val="12"/>
          <w:numId w:val="0"/>
        </w:numPr>
        <w:rPr>
          <w:szCs w:val="22"/>
        </w:rPr>
      </w:pPr>
      <w:r w:rsidRPr="00ED7F0F">
        <w:rPr>
          <w:szCs w:val="22"/>
        </w:rPr>
        <w:t>Mylan Ireland Limited</w:t>
      </w:r>
    </w:p>
    <w:p w:rsidR="00D96CE2" w:rsidRPr="00ED7F0F" w:rsidRDefault="00D96CE2" w:rsidP="00122C9F">
      <w:pPr>
        <w:numPr>
          <w:ilvl w:val="12"/>
          <w:numId w:val="0"/>
        </w:numPr>
        <w:rPr>
          <w:szCs w:val="22"/>
        </w:rPr>
      </w:pPr>
      <w:r w:rsidRPr="00ED7F0F">
        <w:rPr>
          <w:szCs w:val="22"/>
        </w:rPr>
        <w:t>Unit 35/36 Grange Parade</w:t>
      </w:r>
    </w:p>
    <w:p w:rsidR="00D96CE2" w:rsidRPr="00ED7F0F" w:rsidRDefault="00D96CE2" w:rsidP="00122C9F">
      <w:pPr>
        <w:numPr>
          <w:ilvl w:val="12"/>
          <w:numId w:val="0"/>
        </w:numPr>
        <w:rPr>
          <w:szCs w:val="22"/>
        </w:rPr>
      </w:pPr>
      <w:r w:rsidRPr="00ED7F0F">
        <w:rPr>
          <w:szCs w:val="22"/>
        </w:rPr>
        <w:t>Baldoyle Industrial Estate</w:t>
      </w:r>
    </w:p>
    <w:p w:rsidR="00D96CE2" w:rsidRPr="00ED7F0F" w:rsidRDefault="00D96CE2" w:rsidP="00122C9F">
      <w:pPr>
        <w:numPr>
          <w:ilvl w:val="12"/>
          <w:numId w:val="0"/>
        </w:numPr>
        <w:rPr>
          <w:szCs w:val="22"/>
        </w:rPr>
      </w:pPr>
      <w:r w:rsidRPr="00ED7F0F">
        <w:rPr>
          <w:szCs w:val="22"/>
        </w:rPr>
        <w:t>Dublin 13</w:t>
      </w:r>
    </w:p>
    <w:p w:rsidR="00D96CE2" w:rsidRPr="00ED7F0F" w:rsidRDefault="00D96CE2" w:rsidP="00122C9F">
      <w:pPr>
        <w:numPr>
          <w:ilvl w:val="12"/>
          <w:numId w:val="0"/>
        </w:numPr>
        <w:rPr>
          <w:szCs w:val="22"/>
        </w:rPr>
      </w:pPr>
      <w:r w:rsidRPr="00ED7F0F">
        <w:rPr>
          <w:szCs w:val="22"/>
        </w:rPr>
        <w:t>Írsko</w:t>
      </w:r>
    </w:p>
    <w:p w:rsidR="00812D16" w:rsidRPr="00ED7F0F" w:rsidRDefault="00812D16" w:rsidP="00122C9F">
      <w:pPr>
        <w:spacing w:line="240" w:lineRule="auto"/>
      </w:pPr>
    </w:p>
    <w:p w:rsidR="00812D16" w:rsidRPr="00ED7F0F" w:rsidRDefault="00812D16" w:rsidP="00122C9F">
      <w:pPr>
        <w:spacing w:line="240" w:lineRule="auto"/>
      </w:pPr>
    </w:p>
    <w:p w:rsidR="00812D16" w:rsidRPr="00ED7F0F" w:rsidRDefault="005D45FC" w:rsidP="00122C9F">
      <w:pPr>
        <w:keepNext/>
        <w:numPr>
          <w:ilvl w:val="0"/>
          <w:numId w:val="5"/>
        </w:numPr>
        <w:spacing w:line="240" w:lineRule="auto"/>
        <w:rPr>
          <w:b/>
        </w:rPr>
      </w:pPr>
      <w:r w:rsidRPr="00ED7F0F">
        <w:rPr>
          <w:b/>
        </w:rPr>
        <w:t>REGISTRAČNÉ ČÍSLA</w:t>
      </w:r>
    </w:p>
    <w:p w:rsidR="00812D16" w:rsidRPr="00ED7F0F" w:rsidRDefault="00812D16" w:rsidP="00122C9F">
      <w:pPr>
        <w:keepNext/>
        <w:spacing w:line="240" w:lineRule="auto"/>
      </w:pPr>
    </w:p>
    <w:p w:rsidR="009A0932" w:rsidRPr="00ED7F0F" w:rsidRDefault="009A0932" w:rsidP="009A0932">
      <w:pPr>
        <w:spacing w:line="240" w:lineRule="auto"/>
      </w:pPr>
      <w:r w:rsidRPr="00ED7F0F">
        <w:t>Dasatinib Mylan 70 mg: 44/0012/21-S</w:t>
      </w:r>
    </w:p>
    <w:p w:rsidR="009A0932" w:rsidRPr="00ED7F0F" w:rsidRDefault="009A0932" w:rsidP="00122C9F">
      <w:pPr>
        <w:spacing w:line="240" w:lineRule="auto"/>
      </w:pPr>
      <w:r w:rsidRPr="00ED7F0F">
        <w:t>Dasatinib Mylan 100 mg: 44/0013/21-S</w:t>
      </w:r>
    </w:p>
    <w:p w:rsidR="009A0932" w:rsidRPr="00ED7F0F" w:rsidRDefault="009A0932" w:rsidP="00122C9F">
      <w:pPr>
        <w:spacing w:line="240" w:lineRule="auto"/>
      </w:pPr>
    </w:p>
    <w:p w:rsidR="009A0932" w:rsidRPr="00ED7F0F" w:rsidRDefault="009A0932" w:rsidP="00122C9F">
      <w:pPr>
        <w:spacing w:line="240" w:lineRule="auto"/>
      </w:pPr>
    </w:p>
    <w:p w:rsidR="00812D16" w:rsidRPr="00ED7F0F" w:rsidRDefault="005D45FC" w:rsidP="00122C9F">
      <w:pPr>
        <w:keepNext/>
        <w:numPr>
          <w:ilvl w:val="0"/>
          <w:numId w:val="5"/>
        </w:numPr>
        <w:spacing w:line="240" w:lineRule="auto"/>
      </w:pPr>
      <w:r w:rsidRPr="00ED7F0F">
        <w:rPr>
          <w:b/>
        </w:rPr>
        <w:t>DÁTUM PRVEJ REGISTRÁCIE/PREDĹŽENIA REGISTRÁCIE</w:t>
      </w:r>
    </w:p>
    <w:p w:rsidR="00812D16" w:rsidRPr="00ED7F0F" w:rsidRDefault="00812D16" w:rsidP="00122C9F">
      <w:pPr>
        <w:keepNext/>
        <w:spacing w:line="240" w:lineRule="auto"/>
        <w:rPr>
          <w:i/>
        </w:rPr>
      </w:pPr>
    </w:p>
    <w:p w:rsidR="00812D16" w:rsidRPr="00ED7F0F" w:rsidRDefault="005D45FC" w:rsidP="00122C9F">
      <w:pPr>
        <w:keepNext/>
        <w:spacing w:line="240" w:lineRule="auto"/>
      </w:pPr>
      <w:r w:rsidRPr="00ED7F0F">
        <w:t xml:space="preserve">Dátum prvej registrácie: </w:t>
      </w:r>
    </w:p>
    <w:p w:rsidR="00812D16" w:rsidRPr="00ED7F0F" w:rsidRDefault="00812D16" w:rsidP="00122C9F">
      <w:pPr>
        <w:spacing w:line="240" w:lineRule="auto"/>
      </w:pPr>
    </w:p>
    <w:p w:rsidR="00812D16" w:rsidRPr="00ED7F0F" w:rsidRDefault="00812D16" w:rsidP="00122C9F">
      <w:pPr>
        <w:spacing w:line="240" w:lineRule="auto"/>
      </w:pPr>
    </w:p>
    <w:p w:rsidR="00812D16" w:rsidRPr="00ED7F0F" w:rsidRDefault="005D45FC" w:rsidP="00122C9F">
      <w:pPr>
        <w:keepNext/>
        <w:numPr>
          <w:ilvl w:val="0"/>
          <w:numId w:val="5"/>
        </w:numPr>
        <w:spacing w:line="240" w:lineRule="auto"/>
        <w:rPr>
          <w:b/>
        </w:rPr>
      </w:pPr>
      <w:r w:rsidRPr="00ED7F0F">
        <w:rPr>
          <w:b/>
        </w:rPr>
        <w:t>DÁTUM REVÍZIE TEXTU</w:t>
      </w:r>
    </w:p>
    <w:p w:rsidR="00812D16" w:rsidRPr="00ED7F0F" w:rsidRDefault="00812D16" w:rsidP="00122C9F">
      <w:pPr>
        <w:keepNext/>
        <w:spacing w:line="240" w:lineRule="auto"/>
      </w:pPr>
    </w:p>
    <w:p w:rsidR="00812D16" w:rsidRPr="00ED7F0F" w:rsidRDefault="00BB1793" w:rsidP="00122C9F">
      <w:pPr>
        <w:spacing w:line="240" w:lineRule="auto"/>
      </w:pPr>
      <w:r w:rsidRPr="00ED7F0F">
        <w:t>01/2021</w:t>
      </w:r>
    </w:p>
    <w:p w:rsidR="007E56EC" w:rsidRPr="00ED7F0F" w:rsidRDefault="007E56EC" w:rsidP="00122C9F">
      <w:pPr>
        <w:spacing w:line="240" w:lineRule="auto"/>
      </w:pPr>
    </w:p>
    <w:bookmarkEnd w:id="0"/>
    <w:p w:rsidR="007E56EC" w:rsidRPr="00ED7F0F" w:rsidRDefault="007E56EC" w:rsidP="00122C9F">
      <w:pPr>
        <w:spacing w:line="240" w:lineRule="auto"/>
      </w:pPr>
    </w:p>
    <w:sectPr w:rsidR="007E56EC" w:rsidRPr="00ED7F0F" w:rsidSect="009A0932">
      <w:headerReference w:type="default" r:id="rId23"/>
      <w:footerReference w:type="default" r:id="rId24"/>
      <w:footerReference w:type="first" r:id="rId25"/>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831" w:rsidRDefault="004E7831">
      <w:pPr>
        <w:spacing w:line="240" w:lineRule="auto"/>
      </w:pPr>
      <w:r>
        <w:separator/>
      </w:r>
    </w:p>
  </w:endnote>
  <w:endnote w:type="continuationSeparator" w:id="0">
    <w:p w:rsidR="004E7831" w:rsidRDefault="004E78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MS Gothic"/>
    <w:panose1 w:val="00000000000000000000"/>
    <w:charset w:val="A1"/>
    <w:family w:val="auto"/>
    <w:notTrueType/>
    <w:pitch w:val="default"/>
    <w:sig w:usb0="00000081" w:usb1="00000000" w:usb2="00000000" w:usb3="00000000" w:csb0="00000008"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831" w:rsidRPr="00A72672" w:rsidRDefault="004E7831" w:rsidP="00085939">
    <w:pPr>
      <w:pStyle w:val="Pta1"/>
      <w:tabs>
        <w:tab w:val="right" w:pos="8931"/>
      </w:tabs>
      <w:ind w:right="96"/>
      <w:jc w:val="center"/>
    </w:pPr>
    <w:r w:rsidRPr="00A72672">
      <w:fldChar w:fldCharType="begin"/>
    </w:r>
    <w:r w:rsidRPr="00A72672">
      <w:instrText xml:space="preserve"> EQ </w:instrText>
    </w:r>
    <w:r w:rsidRPr="00A72672">
      <w:fldChar w:fldCharType="end"/>
    </w:r>
    <w:r w:rsidRPr="009A0932">
      <w:rPr>
        <w:rStyle w:val="slostrany1"/>
        <w:sz w:val="18"/>
        <w:szCs w:val="18"/>
      </w:rPr>
      <w:fldChar w:fldCharType="begin"/>
    </w:r>
    <w:r w:rsidRPr="009A0932">
      <w:rPr>
        <w:rStyle w:val="slostrany1"/>
        <w:sz w:val="18"/>
        <w:szCs w:val="18"/>
      </w:rPr>
      <w:instrText xml:space="preserve">PAGE  </w:instrText>
    </w:r>
    <w:r w:rsidRPr="009A0932">
      <w:rPr>
        <w:rStyle w:val="slostrany1"/>
        <w:sz w:val="18"/>
        <w:szCs w:val="18"/>
      </w:rPr>
      <w:fldChar w:fldCharType="separate"/>
    </w:r>
    <w:r w:rsidR="00ED7F0F">
      <w:rPr>
        <w:rStyle w:val="slostrany1"/>
        <w:sz w:val="18"/>
        <w:szCs w:val="18"/>
      </w:rPr>
      <w:t>1</w:t>
    </w:r>
    <w:r w:rsidRPr="009A0932">
      <w:rPr>
        <w:rStyle w:val="slostrany1"/>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831" w:rsidRDefault="004E7831" w:rsidP="00085939">
    <w:pPr>
      <w:pStyle w:val="Pta1"/>
      <w:tabs>
        <w:tab w:val="right" w:pos="8931"/>
      </w:tabs>
      <w:ind w:right="96"/>
      <w:jc w:val="center"/>
    </w:pPr>
    <w:r>
      <w:fldChar w:fldCharType="begin"/>
    </w:r>
    <w:r>
      <w:instrText xml:space="preserve"> EQ </w:instrText>
    </w:r>
    <w:r>
      <w:fldChar w:fldCharType="end"/>
    </w:r>
    <w:r w:rsidRPr="00BF5AB0">
      <w:rPr>
        <w:rStyle w:val="slostrany1"/>
      </w:rPr>
      <w:fldChar w:fldCharType="begin"/>
    </w:r>
    <w:r w:rsidRPr="00A72672">
      <w:rPr>
        <w:rStyle w:val="slostrany1"/>
      </w:rPr>
      <w:instrText xml:space="preserve">PAGE  </w:instrText>
    </w:r>
    <w:r w:rsidRPr="00BF5AB0">
      <w:rPr>
        <w:rStyle w:val="slostrany1"/>
      </w:rPr>
      <w:fldChar w:fldCharType="separate"/>
    </w:r>
    <w:r>
      <w:rPr>
        <w:rStyle w:val="slostrany1"/>
      </w:rPr>
      <w:t>1</w:t>
    </w:r>
    <w:r w:rsidRPr="00BF5AB0">
      <w:rPr>
        <w:rStyle w:val="slostrany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831" w:rsidRDefault="004E7831">
      <w:pPr>
        <w:spacing w:line="240" w:lineRule="auto"/>
      </w:pPr>
      <w:r>
        <w:separator/>
      </w:r>
    </w:p>
  </w:footnote>
  <w:footnote w:type="continuationSeparator" w:id="0">
    <w:p w:rsidR="004E7831" w:rsidRDefault="004E783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831" w:rsidRPr="00674C63" w:rsidRDefault="004E7831">
    <w:pPr>
      <w:pStyle w:val="Hlavika"/>
      <w:rPr>
        <w:sz w:val="18"/>
        <w:szCs w:val="18"/>
      </w:rPr>
    </w:pPr>
    <w:r w:rsidRPr="00674C63">
      <w:rPr>
        <w:sz w:val="18"/>
        <w:szCs w:val="18"/>
      </w:rPr>
      <w:t xml:space="preserve">Schválený text k rozhodnutiu o registrácii: ev. č: </w:t>
    </w:r>
    <w:r w:rsidRPr="00031CE7">
      <w:rPr>
        <w:sz w:val="18"/>
        <w:szCs w:val="18"/>
      </w:rPr>
      <w:t>2018/06444-REG</w:t>
    </w:r>
    <w:r>
      <w:rPr>
        <w:sz w:val="18"/>
        <w:szCs w:val="18"/>
      </w:rPr>
      <w:t xml:space="preserve">, </w:t>
    </w:r>
    <w:r w:rsidRPr="00031CE7">
      <w:rPr>
        <w:sz w:val="18"/>
        <w:szCs w:val="18"/>
      </w:rPr>
      <w:t>2018/06445-REG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147E9"/>
    <w:multiLevelType w:val="hybridMultilevel"/>
    <w:tmpl w:val="4C2C8964"/>
    <w:lvl w:ilvl="0" w:tplc="041B0001">
      <w:start w:val="1"/>
      <w:numFmt w:val="bullet"/>
      <w:lvlText w:val=""/>
      <w:lvlJc w:val="left"/>
      <w:pPr>
        <w:ind w:left="101"/>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CD7CA3BA">
      <w:start w:val="1"/>
      <w:numFmt w:val="lowerLetter"/>
      <w:lvlText w:val="%2"/>
      <w:lvlJc w:val="left"/>
      <w:pPr>
        <w:ind w:left="11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6804C1C">
      <w:start w:val="1"/>
      <w:numFmt w:val="lowerRoman"/>
      <w:lvlText w:val="%3"/>
      <w:lvlJc w:val="left"/>
      <w:pPr>
        <w:ind w:left="19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776237E">
      <w:start w:val="1"/>
      <w:numFmt w:val="decimal"/>
      <w:lvlText w:val="%4"/>
      <w:lvlJc w:val="left"/>
      <w:pPr>
        <w:ind w:left="26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520CAA2">
      <w:start w:val="1"/>
      <w:numFmt w:val="lowerLetter"/>
      <w:lvlText w:val="%5"/>
      <w:lvlJc w:val="left"/>
      <w:pPr>
        <w:ind w:left="33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714B53A">
      <w:start w:val="1"/>
      <w:numFmt w:val="lowerRoman"/>
      <w:lvlText w:val="%6"/>
      <w:lvlJc w:val="left"/>
      <w:pPr>
        <w:ind w:left="40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6A643B2">
      <w:start w:val="1"/>
      <w:numFmt w:val="decimal"/>
      <w:lvlText w:val="%7"/>
      <w:lvlJc w:val="left"/>
      <w:pPr>
        <w:ind w:left="47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00230A8">
      <w:start w:val="1"/>
      <w:numFmt w:val="lowerLetter"/>
      <w:lvlText w:val="%8"/>
      <w:lvlJc w:val="left"/>
      <w:pPr>
        <w:ind w:left="55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57A5290">
      <w:start w:val="1"/>
      <w:numFmt w:val="lowerRoman"/>
      <w:lvlText w:val="%9"/>
      <w:lvlJc w:val="left"/>
      <w:pPr>
        <w:ind w:left="62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5C745A7"/>
    <w:multiLevelType w:val="hybridMultilevel"/>
    <w:tmpl w:val="95C407E2"/>
    <w:lvl w:ilvl="0" w:tplc="DA520394">
      <w:start w:val="1"/>
      <w:numFmt w:val="bullet"/>
      <w:lvlText w:val=""/>
      <w:lvlJc w:val="left"/>
      <w:pPr>
        <w:ind w:left="55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C156A166">
      <w:start w:val="1"/>
      <w:numFmt w:val="bullet"/>
      <w:lvlText w:val="o"/>
      <w:lvlJc w:val="left"/>
      <w:pPr>
        <w:ind w:left="10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5A4683F6">
      <w:start w:val="1"/>
      <w:numFmt w:val="bullet"/>
      <w:lvlText w:val="▪"/>
      <w:lvlJc w:val="left"/>
      <w:pPr>
        <w:ind w:left="18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E30E4004">
      <w:start w:val="1"/>
      <w:numFmt w:val="bullet"/>
      <w:lvlText w:val="•"/>
      <w:lvlJc w:val="left"/>
      <w:pPr>
        <w:ind w:left="25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64F22F8A">
      <w:start w:val="1"/>
      <w:numFmt w:val="bullet"/>
      <w:lvlText w:val="o"/>
      <w:lvlJc w:val="left"/>
      <w:pPr>
        <w:ind w:left="32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20ACE5EE">
      <w:start w:val="1"/>
      <w:numFmt w:val="bullet"/>
      <w:lvlText w:val="▪"/>
      <w:lvlJc w:val="left"/>
      <w:pPr>
        <w:ind w:left="39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740A437C">
      <w:start w:val="1"/>
      <w:numFmt w:val="bullet"/>
      <w:lvlText w:val="•"/>
      <w:lvlJc w:val="left"/>
      <w:pPr>
        <w:ind w:left="46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608AE1E6">
      <w:start w:val="1"/>
      <w:numFmt w:val="bullet"/>
      <w:lvlText w:val="o"/>
      <w:lvlJc w:val="left"/>
      <w:pPr>
        <w:ind w:left="54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B90C96FA">
      <w:start w:val="1"/>
      <w:numFmt w:val="bullet"/>
      <w:lvlText w:val="▪"/>
      <w:lvlJc w:val="left"/>
      <w:pPr>
        <w:ind w:left="61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83809F9"/>
    <w:multiLevelType w:val="hybridMultilevel"/>
    <w:tmpl w:val="7590A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C7BE4C2E">
      <w:start w:val="1"/>
      <w:numFmt w:val="bullet"/>
      <w:lvlText w:val=""/>
      <w:lvlJc w:val="left"/>
      <w:pPr>
        <w:tabs>
          <w:tab w:val="num" w:pos="720"/>
        </w:tabs>
        <w:ind w:left="720" w:hanging="360"/>
      </w:pPr>
      <w:rPr>
        <w:rFonts w:ascii="Symbol" w:hAnsi="Symbol" w:hint="default"/>
      </w:rPr>
    </w:lvl>
    <w:lvl w:ilvl="1" w:tplc="02D4F07E" w:tentative="1">
      <w:start w:val="1"/>
      <w:numFmt w:val="bullet"/>
      <w:lvlText w:val="o"/>
      <w:lvlJc w:val="left"/>
      <w:pPr>
        <w:tabs>
          <w:tab w:val="num" w:pos="1440"/>
        </w:tabs>
        <w:ind w:left="1440" w:hanging="360"/>
      </w:pPr>
      <w:rPr>
        <w:rFonts w:ascii="Courier New" w:hAnsi="Courier New" w:cs="Courier New" w:hint="default"/>
      </w:rPr>
    </w:lvl>
    <w:lvl w:ilvl="2" w:tplc="921CC8D6" w:tentative="1">
      <w:start w:val="1"/>
      <w:numFmt w:val="bullet"/>
      <w:lvlText w:val=""/>
      <w:lvlJc w:val="left"/>
      <w:pPr>
        <w:tabs>
          <w:tab w:val="num" w:pos="2160"/>
        </w:tabs>
        <w:ind w:left="2160" w:hanging="360"/>
      </w:pPr>
      <w:rPr>
        <w:rFonts w:ascii="Wingdings" w:hAnsi="Wingdings" w:hint="default"/>
      </w:rPr>
    </w:lvl>
    <w:lvl w:ilvl="3" w:tplc="70945BE2" w:tentative="1">
      <w:start w:val="1"/>
      <w:numFmt w:val="bullet"/>
      <w:lvlText w:val=""/>
      <w:lvlJc w:val="left"/>
      <w:pPr>
        <w:tabs>
          <w:tab w:val="num" w:pos="2880"/>
        </w:tabs>
        <w:ind w:left="2880" w:hanging="360"/>
      </w:pPr>
      <w:rPr>
        <w:rFonts w:ascii="Symbol" w:hAnsi="Symbol" w:hint="default"/>
      </w:rPr>
    </w:lvl>
    <w:lvl w:ilvl="4" w:tplc="698C93C2" w:tentative="1">
      <w:start w:val="1"/>
      <w:numFmt w:val="bullet"/>
      <w:lvlText w:val="o"/>
      <w:lvlJc w:val="left"/>
      <w:pPr>
        <w:tabs>
          <w:tab w:val="num" w:pos="3600"/>
        </w:tabs>
        <w:ind w:left="3600" w:hanging="360"/>
      </w:pPr>
      <w:rPr>
        <w:rFonts w:ascii="Courier New" w:hAnsi="Courier New" w:cs="Courier New" w:hint="default"/>
      </w:rPr>
    </w:lvl>
    <w:lvl w:ilvl="5" w:tplc="FB347FAC" w:tentative="1">
      <w:start w:val="1"/>
      <w:numFmt w:val="bullet"/>
      <w:lvlText w:val=""/>
      <w:lvlJc w:val="left"/>
      <w:pPr>
        <w:tabs>
          <w:tab w:val="num" w:pos="4320"/>
        </w:tabs>
        <w:ind w:left="4320" w:hanging="360"/>
      </w:pPr>
      <w:rPr>
        <w:rFonts w:ascii="Wingdings" w:hAnsi="Wingdings" w:hint="default"/>
      </w:rPr>
    </w:lvl>
    <w:lvl w:ilvl="6" w:tplc="4A9A6338" w:tentative="1">
      <w:start w:val="1"/>
      <w:numFmt w:val="bullet"/>
      <w:lvlText w:val=""/>
      <w:lvlJc w:val="left"/>
      <w:pPr>
        <w:tabs>
          <w:tab w:val="num" w:pos="5040"/>
        </w:tabs>
        <w:ind w:left="5040" w:hanging="360"/>
      </w:pPr>
      <w:rPr>
        <w:rFonts w:ascii="Symbol" w:hAnsi="Symbol" w:hint="default"/>
      </w:rPr>
    </w:lvl>
    <w:lvl w:ilvl="7" w:tplc="E156467A" w:tentative="1">
      <w:start w:val="1"/>
      <w:numFmt w:val="bullet"/>
      <w:lvlText w:val="o"/>
      <w:lvlJc w:val="left"/>
      <w:pPr>
        <w:tabs>
          <w:tab w:val="num" w:pos="5760"/>
        </w:tabs>
        <w:ind w:left="5760" w:hanging="360"/>
      </w:pPr>
      <w:rPr>
        <w:rFonts w:ascii="Courier New" w:hAnsi="Courier New" w:cs="Courier New" w:hint="default"/>
      </w:rPr>
    </w:lvl>
    <w:lvl w:ilvl="8" w:tplc="2ABCC13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3457AC"/>
    <w:multiLevelType w:val="hybridMultilevel"/>
    <w:tmpl w:val="2F346EC0"/>
    <w:lvl w:ilvl="0" w:tplc="53A2DF72">
      <w:start w:val="1"/>
      <w:numFmt w:val="lowerLetter"/>
      <w:lvlText w:val="%1"/>
      <w:lvlJc w:val="left"/>
      <w:pPr>
        <w:ind w:left="238"/>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1" w:tplc="C8A62AA8">
      <w:start w:val="1"/>
      <w:numFmt w:val="lowerLetter"/>
      <w:lvlText w:val="%2"/>
      <w:lvlJc w:val="left"/>
      <w:pPr>
        <w:ind w:left="109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2" w:tplc="BD90CD54">
      <w:start w:val="1"/>
      <w:numFmt w:val="lowerRoman"/>
      <w:lvlText w:val="%3"/>
      <w:lvlJc w:val="left"/>
      <w:pPr>
        <w:ind w:left="181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3" w:tplc="BAD279A2">
      <w:start w:val="1"/>
      <w:numFmt w:val="decimal"/>
      <w:lvlText w:val="%4"/>
      <w:lvlJc w:val="left"/>
      <w:pPr>
        <w:ind w:left="253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4" w:tplc="B0BC924A">
      <w:start w:val="1"/>
      <w:numFmt w:val="lowerLetter"/>
      <w:lvlText w:val="%5"/>
      <w:lvlJc w:val="left"/>
      <w:pPr>
        <w:ind w:left="325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5" w:tplc="8CDA070C">
      <w:start w:val="1"/>
      <w:numFmt w:val="lowerRoman"/>
      <w:lvlText w:val="%6"/>
      <w:lvlJc w:val="left"/>
      <w:pPr>
        <w:ind w:left="397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6" w:tplc="BACCDC66">
      <w:start w:val="1"/>
      <w:numFmt w:val="decimal"/>
      <w:lvlText w:val="%7"/>
      <w:lvlJc w:val="left"/>
      <w:pPr>
        <w:ind w:left="469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7" w:tplc="F9B67154">
      <w:start w:val="1"/>
      <w:numFmt w:val="lowerLetter"/>
      <w:lvlText w:val="%8"/>
      <w:lvlJc w:val="left"/>
      <w:pPr>
        <w:ind w:left="541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8" w:tplc="42AC13A2">
      <w:start w:val="1"/>
      <w:numFmt w:val="lowerRoman"/>
      <w:lvlText w:val="%9"/>
      <w:lvlJc w:val="left"/>
      <w:pPr>
        <w:ind w:left="613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abstractNum>
  <w:abstractNum w:abstractNumId="6" w15:restartNumberingAfterBreak="0">
    <w:nsid w:val="134733DD"/>
    <w:multiLevelType w:val="hybridMultilevel"/>
    <w:tmpl w:val="968E5C1C"/>
    <w:lvl w:ilvl="0" w:tplc="041B000B">
      <w:start w:val="103"/>
      <w:numFmt w:val="bullet"/>
      <w:lvlText w:val=""/>
      <w:lvlJc w:val="left"/>
      <w:pPr>
        <w:ind w:left="720" w:hanging="360"/>
      </w:pPr>
      <w:rPr>
        <w:rFonts w:ascii="Wingdings" w:eastAsia="Times New Roman" w:hAnsi="Wingdings"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48C6781"/>
    <w:multiLevelType w:val="hybridMultilevel"/>
    <w:tmpl w:val="0DD86D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5604BA4"/>
    <w:multiLevelType w:val="hybridMultilevel"/>
    <w:tmpl w:val="BAD61890"/>
    <w:lvl w:ilvl="0" w:tplc="6EC04642">
      <w:start w:val="1"/>
      <w:numFmt w:val="decimal"/>
      <w:lvlText w:val="%1."/>
      <w:lvlJc w:val="left"/>
      <w:pPr>
        <w:ind w:left="-150" w:hanging="360"/>
      </w:pPr>
      <w:rPr>
        <w:rFonts w:hint="default"/>
      </w:rPr>
    </w:lvl>
    <w:lvl w:ilvl="1" w:tplc="04090019" w:tentative="1">
      <w:start w:val="1"/>
      <w:numFmt w:val="lowerLetter"/>
      <w:lvlText w:val="%2."/>
      <w:lvlJc w:val="left"/>
      <w:pPr>
        <w:ind w:left="570" w:hanging="360"/>
      </w:pPr>
    </w:lvl>
    <w:lvl w:ilvl="2" w:tplc="0409001B" w:tentative="1">
      <w:start w:val="1"/>
      <w:numFmt w:val="lowerRoman"/>
      <w:lvlText w:val="%3."/>
      <w:lvlJc w:val="right"/>
      <w:pPr>
        <w:ind w:left="1290" w:hanging="180"/>
      </w:pPr>
    </w:lvl>
    <w:lvl w:ilvl="3" w:tplc="0409000F" w:tentative="1">
      <w:start w:val="1"/>
      <w:numFmt w:val="decimal"/>
      <w:lvlText w:val="%4."/>
      <w:lvlJc w:val="left"/>
      <w:pPr>
        <w:ind w:left="2010" w:hanging="360"/>
      </w:pPr>
    </w:lvl>
    <w:lvl w:ilvl="4" w:tplc="04090019" w:tentative="1">
      <w:start w:val="1"/>
      <w:numFmt w:val="lowerLetter"/>
      <w:lvlText w:val="%5."/>
      <w:lvlJc w:val="left"/>
      <w:pPr>
        <w:ind w:left="2730" w:hanging="360"/>
      </w:pPr>
    </w:lvl>
    <w:lvl w:ilvl="5" w:tplc="0409001B" w:tentative="1">
      <w:start w:val="1"/>
      <w:numFmt w:val="lowerRoman"/>
      <w:lvlText w:val="%6."/>
      <w:lvlJc w:val="right"/>
      <w:pPr>
        <w:ind w:left="3450" w:hanging="180"/>
      </w:pPr>
    </w:lvl>
    <w:lvl w:ilvl="6" w:tplc="0409000F" w:tentative="1">
      <w:start w:val="1"/>
      <w:numFmt w:val="decimal"/>
      <w:lvlText w:val="%7."/>
      <w:lvlJc w:val="left"/>
      <w:pPr>
        <w:ind w:left="4170" w:hanging="360"/>
      </w:pPr>
    </w:lvl>
    <w:lvl w:ilvl="7" w:tplc="04090019" w:tentative="1">
      <w:start w:val="1"/>
      <w:numFmt w:val="lowerLetter"/>
      <w:lvlText w:val="%8."/>
      <w:lvlJc w:val="left"/>
      <w:pPr>
        <w:ind w:left="4890" w:hanging="360"/>
      </w:pPr>
    </w:lvl>
    <w:lvl w:ilvl="8" w:tplc="0409001B" w:tentative="1">
      <w:start w:val="1"/>
      <w:numFmt w:val="lowerRoman"/>
      <w:lvlText w:val="%9."/>
      <w:lvlJc w:val="right"/>
      <w:pPr>
        <w:ind w:left="5610" w:hanging="180"/>
      </w:pPr>
    </w:lvl>
  </w:abstractNum>
  <w:abstractNum w:abstractNumId="9" w15:restartNumberingAfterBreak="0">
    <w:nsid w:val="1E780AE2"/>
    <w:multiLevelType w:val="hybridMultilevel"/>
    <w:tmpl w:val="82CC333E"/>
    <w:lvl w:ilvl="0" w:tplc="4DCCE2C8">
      <w:start w:val="1"/>
      <w:numFmt w:val="bullet"/>
      <w:lvlText w:val=""/>
      <w:lvlJc w:val="left"/>
      <w:pPr>
        <w:ind w:left="55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AFC2372A">
      <w:start w:val="1"/>
      <w:numFmt w:val="bullet"/>
      <w:lvlText w:val="o"/>
      <w:lvlJc w:val="left"/>
      <w:pPr>
        <w:ind w:left="10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D5060576">
      <w:start w:val="1"/>
      <w:numFmt w:val="bullet"/>
      <w:lvlText w:val="▪"/>
      <w:lvlJc w:val="left"/>
      <w:pPr>
        <w:ind w:left="18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F7725842">
      <w:start w:val="1"/>
      <w:numFmt w:val="bullet"/>
      <w:lvlText w:val="•"/>
      <w:lvlJc w:val="left"/>
      <w:pPr>
        <w:ind w:left="25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3EBE8A32">
      <w:start w:val="1"/>
      <w:numFmt w:val="bullet"/>
      <w:lvlText w:val="o"/>
      <w:lvlJc w:val="left"/>
      <w:pPr>
        <w:ind w:left="32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1DE8D11C">
      <w:start w:val="1"/>
      <w:numFmt w:val="bullet"/>
      <w:lvlText w:val="▪"/>
      <w:lvlJc w:val="left"/>
      <w:pPr>
        <w:ind w:left="39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A10254BA">
      <w:start w:val="1"/>
      <w:numFmt w:val="bullet"/>
      <w:lvlText w:val="•"/>
      <w:lvlJc w:val="left"/>
      <w:pPr>
        <w:ind w:left="46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F23A25EA">
      <w:start w:val="1"/>
      <w:numFmt w:val="bullet"/>
      <w:lvlText w:val="o"/>
      <w:lvlJc w:val="left"/>
      <w:pPr>
        <w:ind w:left="54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E244EDA6">
      <w:start w:val="1"/>
      <w:numFmt w:val="bullet"/>
      <w:lvlText w:val="▪"/>
      <w:lvlJc w:val="left"/>
      <w:pPr>
        <w:ind w:left="61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1FBE7F96"/>
    <w:multiLevelType w:val="hybridMultilevel"/>
    <w:tmpl w:val="1806E65A"/>
    <w:lvl w:ilvl="0" w:tplc="A6684E0A">
      <w:start w:val="1"/>
      <w:numFmt w:val="decimal"/>
      <w:lvlText w:val="%1."/>
      <w:lvlJc w:val="left"/>
      <w:pPr>
        <w:ind w:left="930" w:hanging="570"/>
      </w:pPr>
      <w:rPr>
        <w:rFonts w:hint="default"/>
      </w:rPr>
    </w:lvl>
    <w:lvl w:ilvl="1" w:tplc="5756E78A" w:tentative="1">
      <w:start w:val="1"/>
      <w:numFmt w:val="lowerLetter"/>
      <w:lvlText w:val="%2."/>
      <w:lvlJc w:val="left"/>
      <w:pPr>
        <w:ind w:left="1440" w:hanging="360"/>
      </w:pPr>
    </w:lvl>
    <w:lvl w:ilvl="2" w:tplc="25E2A8FA" w:tentative="1">
      <w:start w:val="1"/>
      <w:numFmt w:val="lowerRoman"/>
      <w:lvlText w:val="%3."/>
      <w:lvlJc w:val="right"/>
      <w:pPr>
        <w:ind w:left="2160" w:hanging="180"/>
      </w:pPr>
    </w:lvl>
    <w:lvl w:ilvl="3" w:tplc="E83E1EFE" w:tentative="1">
      <w:start w:val="1"/>
      <w:numFmt w:val="decimal"/>
      <w:lvlText w:val="%4."/>
      <w:lvlJc w:val="left"/>
      <w:pPr>
        <w:ind w:left="2880" w:hanging="360"/>
      </w:pPr>
    </w:lvl>
    <w:lvl w:ilvl="4" w:tplc="3E26C124" w:tentative="1">
      <w:start w:val="1"/>
      <w:numFmt w:val="lowerLetter"/>
      <w:lvlText w:val="%5."/>
      <w:lvlJc w:val="left"/>
      <w:pPr>
        <w:ind w:left="3600" w:hanging="360"/>
      </w:pPr>
    </w:lvl>
    <w:lvl w:ilvl="5" w:tplc="1FD45CF6" w:tentative="1">
      <w:start w:val="1"/>
      <w:numFmt w:val="lowerRoman"/>
      <w:lvlText w:val="%6."/>
      <w:lvlJc w:val="right"/>
      <w:pPr>
        <w:ind w:left="4320" w:hanging="180"/>
      </w:pPr>
    </w:lvl>
    <w:lvl w:ilvl="6" w:tplc="D6DAEF46" w:tentative="1">
      <w:start w:val="1"/>
      <w:numFmt w:val="decimal"/>
      <w:lvlText w:val="%7."/>
      <w:lvlJc w:val="left"/>
      <w:pPr>
        <w:ind w:left="5040" w:hanging="360"/>
      </w:pPr>
    </w:lvl>
    <w:lvl w:ilvl="7" w:tplc="EAB84EE4" w:tentative="1">
      <w:start w:val="1"/>
      <w:numFmt w:val="lowerLetter"/>
      <w:lvlText w:val="%8."/>
      <w:lvlJc w:val="left"/>
      <w:pPr>
        <w:ind w:left="5760" w:hanging="360"/>
      </w:pPr>
    </w:lvl>
    <w:lvl w:ilvl="8" w:tplc="02304E70" w:tentative="1">
      <w:start w:val="1"/>
      <w:numFmt w:val="lowerRoman"/>
      <w:lvlText w:val="%9."/>
      <w:lvlJc w:val="right"/>
      <w:pPr>
        <w:ind w:left="6480" w:hanging="180"/>
      </w:pPr>
    </w:lvl>
  </w:abstractNum>
  <w:abstractNum w:abstractNumId="11" w15:restartNumberingAfterBreak="0">
    <w:nsid w:val="211F5848"/>
    <w:multiLevelType w:val="hybridMultilevel"/>
    <w:tmpl w:val="0C92AEA0"/>
    <w:lvl w:ilvl="0" w:tplc="45E24A7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EA3417"/>
    <w:multiLevelType w:val="hybridMultilevel"/>
    <w:tmpl w:val="4BFA3D9C"/>
    <w:lvl w:ilvl="0" w:tplc="8CBC7664">
      <w:numFmt w:val="bullet"/>
      <w:lvlText w:val="-"/>
      <w:lvlJc w:val="left"/>
      <w:pPr>
        <w:tabs>
          <w:tab w:val="num" w:pos="720"/>
        </w:tabs>
        <w:ind w:left="720" w:hanging="360"/>
      </w:pPr>
      <w:rPr>
        <w:rFonts w:ascii="Times New Roman" w:eastAsia="MS Mincho"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245218F3"/>
    <w:multiLevelType w:val="hybridMultilevel"/>
    <w:tmpl w:val="96F00EA4"/>
    <w:lvl w:ilvl="0" w:tplc="24B6A956">
      <w:start w:val="1"/>
      <w:numFmt w:val="lowerLetter"/>
      <w:lvlText w:val="%1"/>
      <w:lvlJc w:val="left"/>
      <w:pPr>
        <w:ind w:left="22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1" w:tplc="F392C998">
      <w:start w:val="1"/>
      <w:numFmt w:val="lowerLetter"/>
      <w:lvlText w:val="%2"/>
      <w:lvlJc w:val="left"/>
      <w:pPr>
        <w:ind w:left="10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2" w:tplc="8966B610">
      <w:start w:val="1"/>
      <w:numFmt w:val="lowerRoman"/>
      <w:lvlText w:val="%3"/>
      <w:lvlJc w:val="left"/>
      <w:pPr>
        <w:ind w:left="18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3" w:tplc="20D2811C">
      <w:start w:val="1"/>
      <w:numFmt w:val="decimal"/>
      <w:lvlText w:val="%4"/>
      <w:lvlJc w:val="left"/>
      <w:pPr>
        <w:ind w:left="25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4" w:tplc="9E60778E">
      <w:start w:val="1"/>
      <w:numFmt w:val="lowerLetter"/>
      <w:lvlText w:val="%5"/>
      <w:lvlJc w:val="left"/>
      <w:pPr>
        <w:ind w:left="32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5" w:tplc="12BC0EF4">
      <w:start w:val="1"/>
      <w:numFmt w:val="lowerRoman"/>
      <w:lvlText w:val="%6"/>
      <w:lvlJc w:val="left"/>
      <w:pPr>
        <w:ind w:left="39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6" w:tplc="2A7E7972">
      <w:start w:val="1"/>
      <w:numFmt w:val="decimal"/>
      <w:lvlText w:val="%7"/>
      <w:lvlJc w:val="left"/>
      <w:pPr>
        <w:ind w:left="46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7" w:tplc="6A7EFD54">
      <w:start w:val="1"/>
      <w:numFmt w:val="lowerLetter"/>
      <w:lvlText w:val="%8"/>
      <w:lvlJc w:val="left"/>
      <w:pPr>
        <w:ind w:left="54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8" w:tplc="0A3635DE">
      <w:start w:val="1"/>
      <w:numFmt w:val="lowerRoman"/>
      <w:lvlText w:val="%9"/>
      <w:lvlJc w:val="left"/>
      <w:pPr>
        <w:ind w:left="61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abstractNum>
  <w:abstractNum w:abstractNumId="14" w15:restartNumberingAfterBreak="0">
    <w:nsid w:val="27077E21"/>
    <w:multiLevelType w:val="hybridMultilevel"/>
    <w:tmpl w:val="0E287EB2"/>
    <w:lvl w:ilvl="0" w:tplc="1A7C5202">
      <w:start w:val="1"/>
      <w:numFmt w:val="lowerLetter"/>
      <w:lvlText w:val="%1"/>
      <w:lvlJc w:val="left"/>
      <w:pPr>
        <w:ind w:left="188"/>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1" w:tplc="6DE083E8">
      <w:start w:val="1"/>
      <w:numFmt w:val="lowerLetter"/>
      <w:lvlText w:val="%2"/>
      <w:lvlJc w:val="left"/>
      <w:pPr>
        <w:ind w:left="10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2" w:tplc="02F83A54">
      <w:start w:val="1"/>
      <w:numFmt w:val="lowerRoman"/>
      <w:lvlText w:val="%3"/>
      <w:lvlJc w:val="left"/>
      <w:pPr>
        <w:ind w:left="18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3" w:tplc="2CCCDDF0">
      <w:start w:val="1"/>
      <w:numFmt w:val="decimal"/>
      <w:lvlText w:val="%4"/>
      <w:lvlJc w:val="left"/>
      <w:pPr>
        <w:ind w:left="25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4" w:tplc="CFF4696A">
      <w:start w:val="1"/>
      <w:numFmt w:val="lowerLetter"/>
      <w:lvlText w:val="%5"/>
      <w:lvlJc w:val="left"/>
      <w:pPr>
        <w:ind w:left="32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5" w:tplc="7A38428C">
      <w:start w:val="1"/>
      <w:numFmt w:val="lowerRoman"/>
      <w:lvlText w:val="%6"/>
      <w:lvlJc w:val="left"/>
      <w:pPr>
        <w:ind w:left="39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6" w:tplc="40626D8C">
      <w:start w:val="1"/>
      <w:numFmt w:val="decimal"/>
      <w:lvlText w:val="%7"/>
      <w:lvlJc w:val="left"/>
      <w:pPr>
        <w:ind w:left="46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7" w:tplc="124415E2">
      <w:start w:val="1"/>
      <w:numFmt w:val="lowerLetter"/>
      <w:lvlText w:val="%8"/>
      <w:lvlJc w:val="left"/>
      <w:pPr>
        <w:ind w:left="54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8" w:tplc="07105C6E">
      <w:start w:val="1"/>
      <w:numFmt w:val="lowerRoman"/>
      <w:lvlText w:val="%9"/>
      <w:lvlJc w:val="left"/>
      <w:pPr>
        <w:ind w:left="61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abstractNum>
  <w:abstractNum w:abstractNumId="15" w15:restartNumberingAfterBreak="0">
    <w:nsid w:val="272C6E0D"/>
    <w:multiLevelType w:val="hybridMultilevel"/>
    <w:tmpl w:val="4D7C174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8C74AD"/>
    <w:multiLevelType w:val="hybridMultilevel"/>
    <w:tmpl w:val="5A96ADF6"/>
    <w:lvl w:ilvl="0" w:tplc="98CC4E04">
      <w:start w:val="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D3C0B72"/>
    <w:multiLevelType w:val="hybridMultilevel"/>
    <w:tmpl w:val="0C463018"/>
    <w:lvl w:ilvl="0" w:tplc="041B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3F14CF"/>
    <w:multiLevelType w:val="hybridMultilevel"/>
    <w:tmpl w:val="6FC0A652"/>
    <w:lvl w:ilvl="0" w:tplc="A3DCDD0A">
      <w:start w:val="1"/>
      <w:numFmt w:val="decimal"/>
      <w:lvlText w:val="%1."/>
      <w:lvlJc w:val="left"/>
      <w:pPr>
        <w:ind w:left="780" w:hanging="420"/>
      </w:pPr>
      <w:rPr>
        <w:rFonts w:hint="default"/>
      </w:rPr>
    </w:lvl>
    <w:lvl w:ilvl="1" w:tplc="7A1CFB46" w:tentative="1">
      <w:start w:val="1"/>
      <w:numFmt w:val="lowerLetter"/>
      <w:lvlText w:val="%2."/>
      <w:lvlJc w:val="left"/>
      <w:pPr>
        <w:ind w:left="1440" w:hanging="360"/>
      </w:pPr>
    </w:lvl>
    <w:lvl w:ilvl="2" w:tplc="5DDAFB6E" w:tentative="1">
      <w:start w:val="1"/>
      <w:numFmt w:val="lowerRoman"/>
      <w:lvlText w:val="%3."/>
      <w:lvlJc w:val="right"/>
      <w:pPr>
        <w:ind w:left="2160" w:hanging="180"/>
      </w:pPr>
    </w:lvl>
    <w:lvl w:ilvl="3" w:tplc="33B4CCEC" w:tentative="1">
      <w:start w:val="1"/>
      <w:numFmt w:val="decimal"/>
      <w:lvlText w:val="%4."/>
      <w:lvlJc w:val="left"/>
      <w:pPr>
        <w:ind w:left="2880" w:hanging="360"/>
      </w:pPr>
    </w:lvl>
    <w:lvl w:ilvl="4" w:tplc="08785606" w:tentative="1">
      <w:start w:val="1"/>
      <w:numFmt w:val="lowerLetter"/>
      <w:lvlText w:val="%5."/>
      <w:lvlJc w:val="left"/>
      <w:pPr>
        <w:ind w:left="3600" w:hanging="360"/>
      </w:pPr>
    </w:lvl>
    <w:lvl w:ilvl="5" w:tplc="A438800C" w:tentative="1">
      <w:start w:val="1"/>
      <w:numFmt w:val="lowerRoman"/>
      <w:lvlText w:val="%6."/>
      <w:lvlJc w:val="right"/>
      <w:pPr>
        <w:ind w:left="4320" w:hanging="180"/>
      </w:pPr>
    </w:lvl>
    <w:lvl w:ilvl="6" w:tplc="C2525282" w:tentative="1">
      <w:start w:val="1"/>
      <w:numFmt w:val="decimal"/>
      <w:lvlText w:val="%7."/>
      <w:lvlJc w:val="left"/>
      <w:pPr>
        <w:ind w:left="5040" w:hanging="360"/>
      </w:pPr>
    </w:lvl>
    <w:lvl w:ilvl="7" w:tplc="C4DCE7CC" w:tentative="1">
      <w:start w:val="1"/>
      <w:numFmt w:val="lowerLetter"/>
      <w:lvlText w:val="%8."/>
      <w:lvlJc w:val="left"/>
      <w:pPr>
        <w:ind w:left="5760" w:hanging="360"/>
      </w:pPr>
    </w:lvl>
    <w:lvl w:ilvl="8" w:tplc="F9107674" w:tentative="1">
      <w:start w:val="1"/>
      <w:numFmt w:val="lowerRoman"/>
      <w:lvlText w:val="%9."/>
      <w:lvlJc w:val="right"/>
      <w:pPr>
        <w:ind w:left="6480" w:hanging="180"/>
      </w:pPr>
    </w:lvl>
  </w:abstractNum>
  <w:abstractNum w:abstractNumId="19" w15:restartNumberingAfterBreak="0">
    <w:nsid w:val="309C0446"/>
    <w:multiLevelType w:val="hybridMultilevel"/>
    <w:tmpl w:val="B20E620E"/>
    <w:lvl w:ilvl="0" w:tplc="0BE6D8A2">
      <w:start w:val="1"/>
      <w:numFmt w:val="decimal"/>
      <w:lvlText w:val="%1."/>
      <w:lvlJc w:val="left"/>
      <w:pPr>
        <w:ind w:left="930" w:hanging="570"/>
      </w:pPr>
      <w:rPr>
        <w:rFonts w:hint="default"/>
        <w:b/>
      </w:rPr>
    </w:lvl>
    <w:lvl w:ilvl="1" w:tplc="557A8116" w:tentative="1">
      <w:start w:val="1"/>
      <w:numFmt w:val="lowerLetter"/>
      <w:lvlText w:val="%2."/>
      <w:lvlJc w:val="left"/>
      <w:pPr>
        <w:ind w:left="1440" w:hanging="360"/>
      </w:pPr>
    </w:lvl>
    <w:lvl w:ilvl="2" w:tplc="A6B85EE2" w:tentative="1">
      <w:start w:val="1"/>
      <w:numFmt w:val="lowerRoman"/>
      <w:lvlText w:val="%3."/>
      <w:lvlJc w:val="right"/>
      <w:pPr>
        <w:ind w:left="2160" w:hanging="180"/>
      </w:pPr>
    </w:lvl>
    <w:lvl w:ilvl="3" w:tplc="82A8EB3A" w:tentative="1">
      <w:start w:val="1"/>
      <w:numFmt w:val="decimal"/>
      <w:lvlText w:val="%4."/>
      <w:lvlJc w:val="left"/>
      <w:pPr>
        <w:ind w:left="2880" w:hanging="360"/>
      </w:pPr>
    </w:lvl>
    <w:lvl w:ilvl="4" w:tplc="C0F2B10E" w:tentative="1">
      <w:start w:val="1"/>
      <w:numFmt w:val="lowerLetter"/>
      <w:lvlText w:val="%5."/>
      <w:lvlJc w:val="left"/>
      <w:pPr>
        <w:ind w:left="3600" w:hanging="360"/>
      </w:pPr>
    </w:lvl>
    <w:lvl w:ilvl="5" w:tplc="FF6A4C9A" w:tentative="1">
      <w:start w:val="1"/>
      <w:numFmt w:val="lowerRoman"/>
      <w:lvlText w:val="%6."/>
      <w:lvlJc w:val="right"/>
      <w:pPr>
        <w:ind w:left="4320" w:hanging="180"/>
      </w:pPr>
    </w:lvl>
    <w:lvl w:ilvl="6" w:tplc="14D0F748" w:tentative="1">
      <w:start w:val="1"/>
      <w:numFmt w:val="decimal"/>
      <w:lvlText w:val="%7."/>
      <w:lvlJc w:val="left"/>
      <w:pPr>
        <w:ind w:left="5040" w:hanging="360"/>
      </w:pPr>
    </w:lvl>
    <w:lvl w:ilvl="7" w:tplc="3F1EC214" w:tentative="1">
      <w:start w:val="1"/>
      <w:numFmt w:val="lowerLetter"/>
      <w:lvlText w:val="%8."/>
      <w:lvlJc w:val="left"/>
      <w:pPr>
        <w:ind w:left="5760" w:hanging="360"/>
      </w:pPr>
    </w:lvl>
    <w:lvl w:ilvl="8" w:tplc="EE164420" w:tentative="1">
      <w:start w:val="1"/>
      <w:numFmt w:val="lowerRoman"/>
      <w:lvlText w:val="%9."/>
      <w:lvlJc w:val="right"/>
      <w:pPr>
        <w:ind w:left="6480" w:hanging="180"/>
      </w:pPr>
    </w:lvl>
  </w:abstractNum>
  <w:abstractNum w:abstractNumId="20" w15:restartNumberingAfterBreak="0">
    <w:nsid w:val="320F3964"/>
    <w:multiLevelType w:val="hybridMultilevel"/>
    <w:tmpl w:val="D344996E"/>
    <w:lvl w:ilvl="0" w:tplc="76784DB0">
      <w:start w:val="1"/>
      <w:numFmt w:val="bullet"/>
      <w:lvlText w:val=""/>
      <w:lvlJc w:val="left"/>
      <w:pPr>
        <w:ind w:left="561"/>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C8DAFF64">
      <w:start w:val="1"/>
      <w:numFmt w:val="bullet"/>
      <w:lvlText w:val="o"/>
      <w:lvlJc w:val="left"/>
      <w:pPr>
        <w:ind w:left="10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32B4AF5C">
      <w:start w:val="1"/>
      <w:numFmt w:val="bullet"/>
      <w:lvlText w:val="▪"/>
      <w:lvlJc w:val="left"/>
      <w:pPr>
        <w:ind w:left="18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FDC62DA8">
      <w:start w:val="1"/>
      <w:numFmt w:val="bullet"/>
      <w:lvlText w:val="•"/>
      <w:lvlJc w:val="left"/>
      <w:pPr>
        <w:ind w:left="25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0D1C2728">
      <w:start w:val="1"/>
      <w:numFmt w:val="bullet"/>
      <w:lvlText w:val="o"/>
      <w:lvlJc w:val="left"/>
      <w:pPr>
        <w:ind w:left="32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75CED46C">
      <w:start w:val="1"/>
      <w:numFmt w:val="bullet"/>
      <w:lvlText w:val="▪"/>
      <w:lvlJc w:val="left"/>
      <w:pPr>
        <w:ind w:left="39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CF8EF7DC">
      <w:start w:val="1"/>
      <w:numFmt w:val="bullet"/>
      <w:lvlText w:val="•"/>
      <w:lvlJc w:val="left"/>
      <w:pPr>
        <w:ind w:left="46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4FC0CA70">
      <w:start w:val="1"/>
      <w:numFmt w:val="bullet"/>
      <w:lvlText w:val="o"/>
      <w:lvlJc w:val="left"/>
      <w:pPr>
        <w:ind w:left="54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A44ECF2A">
      <w:start w:val="1"/>
      <w:numFmt w:val="bullet"/>
      <w:lvlText w:val="▪"/>
      <w:lvlJc w:val="left"/>
      <w:pPr>
        <w:ind w:left="61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366450FC"/>
    <w:multiLevelType w:val="multilevel"/>
    <w:tmpl w:val="335CA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2A5231"/>
    <w:multiLevelType w:val="hybridMultilevel"/>
    <w:tmpl w:val="92D2244C"/>
    <w:lvl w:ilvl="0" w:tplc="2D50C9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05239A"/>
    <w:multiLevelType w:val="hybridMultilevel"/>
    <w:tmpl w:val="005E7842"/>
    <w:lvl w:ilvl="0" w:tplc="EF7630D2">
      <w:start w:val="1"/>
      <w:numFmt w:val="bullet"/>
      <w:lvlText w:val=""/>
      <w:lvlJc w:val="left"/>
      <w:pPr>
        <w:ind w:left="55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5C2A0E22">
      <w:start w:val="1"/>
      <w:numFmt w:val="bullet"/>
      <w:lvlText w:val="o"/>
      <w:lvlJc w:val="left"/>
      <w:pPr>
        <w:ind w:left="10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ABD6E02C">
      <w:start w:val="1"/>
      <w:numFmt w:val="bullet"/>
      <w:lvlText w:val="▪"/>
      <w:lvlJc w:val="left"/>
      <w:pPr>
        <w:ind w:left="18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B1988964">
      <w:start w:val="1"/>
      <w:numFmt w:val="bullet"/>
      <w:lvlText w:val="•"/>
      <w:lvlJc w:val="left"/>
      <w:pPr>
        <w:ind w:left="25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6BAAB81E">
      <w:start w:val="1"/>
      <w:numFmt w:val="bullet"/>
      <w:lvlText w:val="o"/>
      <w:lvlJc w:val="left"/>
      <w:pPr>
        <w:ind w:left="32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FC560EFA">
      <w:start w:val="1"/>
      <w:numFmt w:val="bullet"/>
      <w:lvlText w:val="▪"/>
      <w:lvlJc w:val="left"/>
      <w:pPr>
        <w:ind w:left="39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0BFAE84C">
      <w:start w:val="1"/>
      <w:numFmt w:val="bullet"/>
      <w:lvlText w:val="•"/>
      <w:lvlJc w:val="left"/>
      <w:pPr>
        <w:ind w:left="46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2C505AB8">
      <w:start w:val="1"/>
      <w:numFmt w:val="bullet"/>
      <w:lvlText w:val="o"/>
      <w:lvlJc w:val="left"/>
      <w:pPr>
        <w:ind w:left="54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E2D0F696">
      <w:start w:val="1"/>
      <w:numFmt w:val="bullet"/>
      <w:lvlText w:val="▪"/>
      <w:lvlJc w:val="left"/>
      <w:pPr>
        <w:ind w:left="61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3F4F6A43"/>
    <w:multiLevelType w:val="hybridMultilevel"/>
    <w:tmpl w:val="0C463018"/>
    <w:lvl w:ilvl="0" w:tplc="041B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7C6BBF"/>
    <w:multiLevelType w:val="hybridMultilevel"/>
    <w:tmpl w:val="81D41EB0"/>
    <w:lvl w:ilvl="0" w:tplc="8E9EDBA0">
      <w:start w:val="1"/>
      <w:numFmt w:val="bullet"/>
      <w:lvlText w:val=""/>
      <w:lvlJc w:val="left"/>
      <w:pPr>
        <w:ind w:left="55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3B024476">
      <w:start w:val="1"/>
      <w:numFmt w:val="bullet"/>
      <w:lvlText w:val="o"/>
      <w:lvlJc w:val="left"/>
      <w:pPr>
        <w:ind w:left="10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BC30242A">
      <w:start w:val="1"/>
      <w:numFmt w:val="bullet"/>
      <w:lvlText w:val="▪"/>
      <w:lvlJc w:val="left"/>
      <w:pPr>
        <w:ind w:left="18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B560B594">
      <w:start w:val="1"/>
      <w:numFmt w:val="bullet"/>
      <w:lvlText w:val="•"/>
      <w:lvlJc w:val="left"/>
      <w:pPr>
        <w:ind w:left="25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8878EC52">
      <w:start w:val="1"/>
      <w:numFmt w:val="bullet"/>
      <w:lvlText w:val="o"/>
      <w:lvlJc w:val="left"/>
      <w:pPr>
        <w:ind w:left="32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BB9AA1A4">
      <w:start w:val="1"/>
      <w:numFmt w:val="bullet"/>
      <w:lvlText w:val="▪"/>
      <w:lvlJc w:val="left"/>
      <w:pPr>
        <w:ind w:left="39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833E6DF0">
      <w:start w:val="1"/>
      <w:numFmt w:val="bullet"/>
      <w:lvlText w:val="•"/>
      <w:lvlJc w:val="left"/>
      <w:pPr>
        <w:ind w:left="46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09D6B6CE">
      <w:start w:val="1"/>
      <w:numFmt w:val="bullet"/>
      <w:lvlText w:val="o"/>
      <w:lvlJc w:val="left"/>
      <w:pPr>
        <w:ind w:left="54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ACC821BE">
      <w:start w:val="1"/>
      <w:numFmt w:val="bullet"/>
      <w:lvlText w:val="▪"/>
      <w:lvlJc w:val="left"/>
      <w:pPr>
        <w:ind w:left="61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46C42084"/>
    <w:multiLevelType w:val="hybridMultilevel"/>
    <w:tmpl w:val="1B9A5B84"/>
    <w:lvl w:ilvl="0" w:tplc="73F84FD2">
      <w:start w:val="1"/>
      <w:numFmt w:val="bullet"/>
      <w:lvlText w:val="•"/>
      <w:lvlJc w:val="left"/>
      <w:pPr>
        <w:ind w:left="5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9DD0AA2E">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1360A9AA">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83FE4CC0">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D7826C6">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8323DF2">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29A32E0">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381AA7AC">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3145330">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4A2E0768"/>
    <w:multiLevelType w:val="hybridMultilevel"/>
    <w:tmpl w:val="58DEB84C"/>
    <w:lvl w:ilvl="0" w:tplc="69A42614">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D2E35A4"/>
    <w:multiLevelType w:val="hybridMultilevel"/>
    <w:tmpl w:val="4AC84EAA"/>
    <w:lvl w:ilvl="0" w:tplc="639491EC">
      <w:start w:val="1"/>
      <w:numFmt w:val="bullet"/>
      <w:lvlText w:val=""/>
      <w:lvlJc w:val="left"/>
      <w:pPr>
        <w:ind w:left="55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8A729CEA">
      <w:start w:val="1"/>
      <w:numFmt w:val="bullet"/>
      <w:lvlText w:val="o"/>
      <w:lvlJc w:val="left"/>
      <w:pPr>
        <w:ind w:left="10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6D5E1EB6">
      <w:start w:val="1"/>
      <w:numFmt w:val="bullet"/>
      <w:lvlText w:val="▪"/>
      <w:lvlJc w:val="left"/>
      <w:pPr>
        <w:ind w:left="18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7CA64E58">
      <w:start w:val="1"/>
      <w:numFmt w:val="bullet"/>
      <w:lvlText w:val="•"/>
      <w:lvlJc w:val="left"/>
      <w:pPr>
        <w:ind w:left="25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DF242A46">
      <w:start w:val="1"/>
      <w:numFmt w:val="bullet"/>
      <w:lvlText w:val="o"/>
      <w:lvlJc w:val="left"/>
      <w:pPr>
        <w:ind w:left="32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49689818">
      <w:start w:val="1"/>
      <w:numFmt w:val="bullet"/>
      <w:lvlText w:val="▪"/>
      <w:lvlJc w:val="left"/>
      <w:pPr>
        <w:ind w:left="39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51A20562">
      <w:start w:val="1"/>
      <w:numFmt w:val="bullet"/>
      <w:lvlText w:val="•"/>
      <w:lvlJc w:val="left"/>
      <w:pPr>
        <w:ind w:left="46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F906198E">
      <w:start w:val="1"/>
      <w:numFmt w:val="bullet"/>
      <w:lvlText w:val="o"/>
      <w:lvlJc w:val="left"/>
      <w:pPr>
        <w:ind w:left="54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AB789C32">
      <w:start w:val="1"/>
      <w:numFmt w:val="bullet"/>
      <w:lvlText w:val="▪"/>
      <w:lvlJc w:val="left"/>
      <w:pPr>
        <w:ind w:left="61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508C52A2"/>
    <w:multiLevelType w:val="hybridMultilevel"/>
    <w:tmpl w:val="9C749C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25830AE"/>
    <w:multiLevelType w:val="hybridMultilevel"/>
    <w:tmpl w:val="E0D04E6E"/>
    <w:lvl w:ilvl="0" w:tplc="040C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B11DBF"/>
    <w:multiLevelType w:val="hybridMultilevel"/>
    <w:tmpl w:val="D41A99F0"/>
    <w:lvl w:ilvl="0" w:tplc="F3D4D63A">
      <w:start w:val="1"/>
      <w:numFmt w:val="bullet"/>
      <w:lvlText w:val=""/>
      <w:lvlJc w:val="left"/>
      <w:pPr>
        <w:ind w:left="55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2B04AC90">
      <w:start w:val="1"/>
      <w:numFmt w:val="bullet"/>
      <w:lvlText w:val="o"/>
      <w:lvlJc w:val="left"/>
      <w:pPr>
        <w:ind w:left="10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908E04F0">
      <w:start w:val="1"/>
      <w:numFmt w:val="bullet"/>
      <w:lvlText w:val="▪"/>
      <w:lvlJc w:val="left"/>
      <w:pPr>
        <w:ind w:left="18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B84020AA">
      <w:start w:val="1"/>
      <w:numFmt w:val="bullet"/>
      <w:lvlText w:val="•"/>
      <w:lvlJc w:val="left"/>
      <w:pPr>
        <w:ind w:left="25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7742B19E">
      <w:start w:val="1"/>
      <w:numFmt w:val="bullet"/>
      <w:lvlText w:val="o"/>
      <w:lvlJc w:val="left"/>
      <w:pPr>
        <w:ind w:left="32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83DE474A">
      <w:start w:val="1"/>
      <w:numFmt w:val="bullet"/>
      <w:lvlText w:val="▪"/>
      <w:lvlJc w:val="left"/>
      <w:pPr>
        <w:ind w:left="39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564E780E">
      <w:start w:val="1"/>
      <w:numFmt w:val="bullet"/>
      <w:lvlText w:val="•"/>
      <w:lvlJc w:val="left"/>
      <w:pPr>
        <w:ind w:left="46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1E342DC0">
      <w:start w:val="1"/>
      <w:numFmt w:val="bullet"/>
      <w:lvlText w:val="o"/>
      <w:lvlJc w:val="left"/>
      <w:pPr>
        <w:ind w:left="54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7FF8CA68">
      <w:start w:val="1"/>
      <w:numFmt w:val="bullet"/>
      <w:lvlText w:val="▪"/>
      <w:lvlJc w:val="left"/>
      <w:pPr>
        <w:ind w:left="61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57400A91"/>
    <w:multiLevelType w:val="hybridMultilevel"/>
    <w:tmpl w:val="2272E4E2"/>
    <w:lvl w:ilvl="0" w:tplc="FECC798E">
      <w:start w:val="1"/>
      <w:numFmt w:val="upperLetter"/>
      <w:lvlText w:val="%1."/>
      <w:lvlJc w:val="left"/>
      <w:pPr>
        <w:ind w:left="1701" w:hanging="708"/>
      </w:pPr>
      <w:rPr>
        <w:rFonts w:hint="default"/>
      </w:rPr>
    </w:lvl>
    <w:lvl w:ilvl="1" w:tplc="BEF680CC">
      <w:start w:val="1"/>
      <w:numFmt w:val="decimal"/>
      <w:lvlText w:val="%2."/>
      <w:lvlJc w:val="left"/>
      <w:pPr>
        <w:ind w:left="2283" w:hanging="570"/>
      </w:pPr>
      <w:rPr>
        <w:rFonts w:hint="default"/>
      </w:rPr>
    </w:lvl>
    <w:lvl w:ilvl="2" w:tplc="8CF4FD0E" w:tentative="1">
      <w:start w:val="1"/>
      <w:numFmt w:val="lowerRoman"/>
      <w:lvlText w:val="%3."/>
      <w:lvlJc w:val="right"/>
      <w:pPr>
        <w:ind w:left="2793" w:hanging="180"/>
      </w:pPr>
    </w:lvl>
    <w:lvl w:ilvl="3" w:tplc="C226A54C" w:tentative="1">
      <w:start w:val="1"/>
      <w:numFmt w:val="decimal"/>
      <w:lvlText w:val="%4."/>
      <w:lvlJc w:val="left"/>
      <w:pPr>
        <w:ind w:left="3513" w:hanging="360"/>
      </w:pPr>
    </w:lvl>
    <w:lvl w:ilvl="4" w:tplc="C3ECD57C" w:tentative="1">
      <w:start w:val="1"/>
      <w:numFmt w:val="lowerLetter"/>
      <w:lvlText w:val="%5."/>
      <w:lvlJc w:val="left"/>
      <w:pPr>
        <w:ind w:left="4233" w:hanging="360"/>
      </w:pPr>
    </w:lvl>
    <w:lvl w:ilvl="5" w:tplc="6F464332" w:tentative="1">
      <w:start w:val="1"/>
      <w:numFmt w:val="lowerRoman"/>
      <w:lvlText w:val="%6."/>
      <w:lvlJc w:val="right"/>
      <w:pPr>
        <w:ind w:left="4953" w:hanging="180"/>
      </w:pPr>
    </w:lvl>
    <w:lvl w:ilvl="6" w:tplc="27C2A300" w:tentative="1">
      <w:start w:val="1"/>
      <w:numFmt w:val="decimal"/>
      <w:lvlText w:val="%7."/>
      <w:lvlJc w:val="left"/>
      <w:pPr>
        <w:ind w:left="5673" w:hanging="360"/>
      </w:pPr>
    </w:lvl>
    <w:lvl w:ilvl="7" w:tplc="DD92B004" w:tentative="1">
      <w:start w:val="1"/>
      <w:numFmt w:val="lowerLetter"/>
      <w:lvlText w:val="%8."/>
      <w:lvlJc w:val="left"/>
      <w:pPr>
        <w:ind w:left="6393" w:hanging="360"/>
      </w:pPr>
    </w:lvl>
    <w:lvl w:ilvl="8" w:tplc="FA0AE56C" w:tentative="1">
      <w:start w:val="1"/>
      <w:numFmt w:val="lowerRoman"/>
      <w:lvlText w:val="%9."/>
      <w:lvlJc w:val="right"/>
      <w:pPr>
        <w:ind w:left="7113" w:hanging="180"/>
      </w:pPr>
    </w:lvl>
  </w:abstractNum>
  <w:abstractNum w:abstractNumId="33" w15:restartNumberingAfterBreak="0">
    <w:nsid w:val="58AF021F"/>
    <w:multiLevelType w:val="hybridMultilevel"/>
    <w:tmpl w:val="133424EA"/>
    <w:lvl w:ilvl="0" w:tplc="6A32908A">
      <w:start w:val="1"/>
      <w:numFmt w:val="bullet"/>
      <w:lvlText w:val=""/>
      <w:lvlJc w:val="left"/>
      <w:pPr>
        <w:ind w:left="55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905A30FE">
      <w:start w:val="1"/>
      <w:numFmt w:val="bullet"/>
      <w:lvlText w:val="o"/>
      <w:lvlJc w:val="left"/>
      <w:pPr>
        <w:ind w:left="10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108E6C4A">
      <w:start w:val="1"/>
      <w:numFmt w:val="bullet"/>
      <w:lvlText w:val="▪"/>
      <w:lvlJc w:val="left"/>
      <w:pPr>
        <w:ind w:left="18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B024F54C">
      <w:start w:val="1"/>
      <w:numFmt w:val="bullet"/>
      <w:lvlText w:val="•"/>
      <w:lvlJc w:val="left"/>
      <w:pPr>
        <w:ind w:left="25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EA44EF58">
      <w:start w:val="1"/>
      <w:numFmt w:val="bullet"/>
      <w:lvlText w:val="o"/>
      <w:lvlJc w:val="left"/>
      <w:pPr>
        <w:ind w:left="32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87CC3152">
      <w:start w:val="1"/>
      <w:numFmt w:val="bullet"/>
      <w:lvlText w:val="▪"/>
      <w:lvlJc w:val="left"/>
      <w:pPr>
        <w:ind w:left="39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91423906">
      <w:start w:val="1"/>
      <w:numFmt w:val="bullet"/>
      <w:lvlText w:val="•"/>
      <w:lvlJc w:val="left"/>
      <w:pPr>
        <w:ind w:left="46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E3A82B48">
      <w:start w:val="1"/>
      <w:numFmt w:val="bullet"/>
      <w:lvlText w:val="o"/>
      <w:lvlJc w:val="left"/>
      <w:pPr>
        <w:ind w:left="54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BBBE028C">
      <w:start w:val="1"/>
      <w:numFmt w:val="bullet"/>
      <w:lvlText w:val="▪"/>
      <w:lvlJc w:val="left"/>
      <w:pPr>
        <w:ind w:left="61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59393043"/>
    <w:multiLevelType w:val="hybridMultilevel"/>
    <w:tmpl w:val="AEA0A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5717C1"/>
    <w:multiLevelType w:val="multilevel"/>
    <w:tmpl w:val="03B811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D81691B"/>
    <w:multiLevelType w:val="hybridMultilevel"/>
    <w:tmpl w:val="80DCF726"/>
    <w:lvl w:ilvl="0" w:tplc="2BDC1E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E77C09"/>
    <w:multiLevelType w:val="hybridMultilevel"/>
    <w:tmpl w:val="7142932C"/>
    <w:lvl w:ilvl="0" w:tplc="04090001">
      <w:start w:val="1"/>
      <w:numFmt w:val="bullet"/>
      <w:lvlText w:val=""/>
      <w:lvlJc w:val="left"/>
      <w:pPr>
        <w:ind w:left="4370" w:hanging="360"/>
      </w:pPr>
      <w:rPr>
        <w:rFonts w:ascii="Symbol" w:hAnsi="Symbol" w:hint="default"/>
      </w:rPr>
    </w:lvl>
    <w:lvl w:ilvl="1" w:tplc="04090003">
      <w:start w:val="1"/>
      <w:numFmt w:val="bullet"/>
      <w:lvlText w:val="o"/>
      <w:lvlJc w:val="left"/>
      <w:pPr>
        <w:ind w:left="5090" w:hanging="360"/>
      </w:pPr>
      <w:rPr>
        <w:rFonts w:ascii="Courier New" w:hAnsi="Courier New" w:cs="Courier New" w:hint="default"/>
      </w:rPr>
    </w:lvl>
    <w:lvl w:ilvl="2" w:tplc="04090005" w:tentative="1">
      <w:start w:val="1"/>
      <w:numFmt w:val="bullet"/>
      <w:lvlText w:val=""/>
      <w:lvlJc w:val="left"/>
      <w:pPr>
        <w:ind w:left="5810" w:hanging="360"/>
      </w:pPr>
      <w:rPr>
        <w:rFonts w:ascii="Wingdings" w:hAnsi="Wingdings" w:hint="default"/>
      </w:rPr>
    </w:lvl>
    <w:lvl w:ilvl="3" w:tplc="04090001" w:tentative="1">
      <w:start w:val="1"/>
      <w:numFmt w:val="bullet"/>
      <w:lvlText w:val=""/>
      <w:lvlJc w:val="left"/>
      <w:pPr>
        <w:ind w:left="6530" w:hanging="360"/>
      </w:pPr>
      <w:rPr>
        <w:rFonts w:ascii="Symbol" w:hAnsi="Symbol" w:hint="default"/>
      </w:rPr>
    </w:lvl>
    <w:lvl w:ilvl="4" w:tplc="04090003" w:tentative="1">
      <w:start w:val="1"/>
      <w:numFmt w:val="bullet"/>
      <w:lvlText w:val="o"/>
      <w:lvlJc w:val="left"/>
      <w:pPr>
        <w:ind w:left="7250" w:hanging="360"/>
      </w:pPr>
      <w:rPr>
        <w:rFonts w:ascii="Courier New" w:hAnsi="Courier New" w:cs="Courier New" w:hint="default"/>
      </w:rPr>
    </w:lvl>
    <w:lvl w:ilvl="5" w:tplc="04090005" w:tentative="1">
      <w:start w:val="1"/>
      <w:numFmt w:val="bullet"/>
      <w:lvlText w:val=""/>
      <w:lvlJc w:val="left"/>
      <w:pPr>
        <w:ind w:left="7970" w:hanging="360"/>
      </w:pPr>
      <w:rPr>
        <w:rFonts w:ascii="Wingdings" w:hAnsi="Wingdings" w:hint="default"/>
      </w:rPr>
    </w:lvl>
    <w:lvl w:ilvl="6" w:tplc="04090001" w:tentative="1">
      <w:start w:val="1"/>
      <w:numFmt w:val="bullet"/>
      <w:lvlText w:val=""/>
      <w:lvlJc w:val="left"/>
      <w:pPr>
        <w:ind w:left="8690" w:hanging="360"/>
      </w:pPr>
      <w:rPr>
        <w:rFonts w:ascii="Symbol" w:hAnsi="Symbol" w:hint="default"/>
      </w:rPr>
    </w:lvl>
    <w:lvl w:ilvl="7" w:tplc="04090003" w:tentative="1">
      <w:start w:val="1"/>
      <w:numFmt w:val="bullet"/>
      <w:lvlText w:val="o"/>
      <w:lvlJc w:val="left"/>
      <w:pPr>
        <w:ind w:left="9410" w:hanging="360"/>
      </w:pPr>
      <w:rPr>
        <w:rFonts w:ascii="Courier New" w:hAnsi="Courier New" w:cs="Courier New" w:hint="default"/>
      </w:rPr>
    </w:lvl>
    <w:lvl w:ilvl="8" w:tplc="04090005" w:tentative="1">
      <w:start w:val="1"/>
      <w:numFmt w:val="bullet"/>
      <w:lvlText w:val=""/>
      <w:lvlJc w:val="left"/>
      <w:pPr>
        <w:ind w:left="10130" w:hanging="360"/>
      </w:pPr>
      <w:rPr>
        <w:rFonts w:ascii="Wingdings" w:hAnsi="Wingdings" w:hint="default"/>
      </w:rPr>
    </w:lvl>
  </w:abstractNum>
  <w:abstractNum w:abstractNumId="38" w15:restartNumberingAfterBreak="0">
    <w:nsid w:val="62EC43D5"/>
    <w:multiLevelType w:val="multilevel"/>
    <w:tmpl w:val="10DC05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40" w15:restartNumberingAfterBreak="0">
    <w:nsid w:val="68EB4BBD"/>
    <w:multiLevelType w:val="hybridMultilevel"/>
    <w:tmpl w:val="9E744202"/>
    <w:lvl w:ilvl="0" w:tplc="C68A2A1A">
      <w:start w:val="1"/>
      <w:numFmt w:val="decimal"/>
      <w:lvlText w:val="%1."/>
      <w:lvlJc w:val="left"/>
      <w:pPr>
        <w:ind w:left="-150" w:hanging="360"/>
      </w:pPr>
      <w:rPr>
        <w:rFonts w:hint="default"/>
      </w:rPr>
    </w:lvl>
    <w:lvl w:ilvl="1" w:tplc="04090019" w:tentative="1">
      <w:start w:val="1"/>
      <w:numFmt w:val="lowerLetter"/>
      <w:lvlText w:val="%2."/>
      <w:lvlJc w:val="left"/>
      <w:pPr>
        <w:ind w:left="570" w:hanging="360"/>
      </w:pPr>
    </w:lvl>
    <w:lvl w:ilvl="2" w:tplc="0409001B" w:tentative="1">
      <w:start w:val="1"/>
      <w:numFmt w:val="lowerRoman"/>
      <w:lvlText w:val="%3."/>
      <w:lvlJc w:val="right"/>
      <w:pPr>
        <w:ind w:left="1290" w:hanging="180"/>
      </w:pPr>
    </w:lvl>
    <w:lvl w:ilvl="3" w:tplc="0409000F" w:tentative="1">
      <w:start w:val="1"/>
      <w:numFmt w:val="decimal"/>
      <w:lvlText w:val="%4."/>
      <w:lvlJc w:val="left"/>
      <w:pPr>
        <w:ind w:left="2010" w:hanging="360"/>
      </w:pPr>
    </w:lvl>
    <w:lvl w:ilvl="4" w:tplc="04090019" w:tentative="1">
      <w:start w:val="1"/>
      <w:numFmt w:val="lowerLetter"/>
      <w:lvlText w:val="%5."/>
      <w:lvlJc w:val="left"/>
      <w:pPr>
        <w:ind w:left="2730" w:hanging="360"/>
      </w:pPr>
    </w:lvl>
    <w:lvl w:ilvl="5" w:tplc="0409001B" w:tentative="1">
      <w:start w:val="1"/>
      <w:numFmt w:val="lowerRoman"/>
      <w:lvlText w:val="%6."/>
      <w:lvlJc w:val="right"/>
      <w:pPr>
        <w:ind w:left="3450" w:hanging="180"/>
      </w:pPr>
    </w:lvl>
    <w:lvl w:ilvl="6" w:tplc="0409000F" w:tentative="1">
      <w:start w:val="1"/>
      <w:numFmt w:val="decimal"/>
      <w:lvlText w:val="%7."/>
      <w:lvlJc w:val="left"/>
      <w:pPr>
        <w:ind w:left="4170" w:hanging="360"/>
      </w:pPr>
    </w:lvl>
    <w:lvl w:ilvl="7" w:tplc="04090019" w:tentative="1">
      <w:start w:val="1"/>
      <w:numFmt w:val="lowerLetter"/>
      <w:lvlText w:val="%8."/>
      <w:lvlJc w:val="left"/>
      <w:pPr>
        <w:ind w:left="4890" w:hanging="360"/>
      </w:pPr>
    </w:lvl>
    <w:lvl w:ilvl="8" w:tplc="0409001B" w:tentative="1">
      <w:start w:val="1"/>
      <w:numFmt w:val="lowerRoman"/>
      <w:lvlText w:val="%9."/>
      <w:lvlJc w:val="right"/>
      <w:pPr>
        <w:ind w:left="5610" w:hanging="180"/>
      </w:pPr>
    </w:lvl>
  </w:abstractNum>
  <w:abstractNum w:abstractNumId="41" w15:restartNumberingAfterBreak="0">
    <w:nsid w:val="6F9337D0"/>
    <w:multiLevelType w:val="hybridMultilevel"/>
    <w:tmpl w:val="B6C885E6"/>
    <w:lvl w:ilvl="0" w:tplc="5A8C0540">
      <w:start w:val="1"/>
      <w:numFmt w:val="bullet"/>
      <w:lvlText w:val=""/>
      <w:lvlJc w:val="left"/>
      <w:pPr>
        <w:tabs>
          <w:tab w:val="num" w:pos="720"/>
        </w:tabs>
        <w:ind w:left="720" w:hanging="360"/>
      </w:pPr>
      <w:rPr>
        <w:rFonts w:ascii="Symbol" w:hAnsi="Symbol" w:hint="default"/>
      </w:rPr>
    </w:lvl>
    <w:lvl w:ilvl="1" w:tplc="D5F0FEF8" w:tentative="1">
      <w:start w:val="1"/>
      <w:numFmt w:val="bullet"/>
      <w:lvlText w:val="o"/>
      <w:lvlJc w:val="left"/>
      <w:pPr>
        <w:tabs>
          <w:tab w:val="num" w:pos="1440"/>
        </w:tabs>
        <w:ind w:left="1440" w:hanging="360"/>
      </w:pPr>
      <w:rPr>
        <w:rFonts w:ascii="Courier New" w:hAnsi="Courier New" w:cs="Courier New" w:hint="default"/>
      </w:rPr>
    </w:lvl>
    <w:lvl w:ilvl="2" w:tplc="2C2AC30E" w:tentative="1">
      <w:start w:val="1"/>
      <w:numFmt w:val="bullet"/>
      <w:lvlText w:val=""/>
      <w:lvlJc w:val="left"/>
      <w:pPr>
        <w:tabs>
          <w:tab w:val="num" w:pos="2160"/>
        </w:tabs>
        <w:ind w:left="2160" w:hanging="360"/>
      </w:pPr>
      <w:rPr>
        <w:rFonts w:ascii="Wingdings" w:hAnsi="Wingdings" w:hint="default"/>
      </w:rPr>
    </w:lvl>
    <w:lvl w:ilvl="3" w:tplc="808615B0" w:tentative="1">
      <w:start w:val="1"/>
      <w:numFmt w:val="bullet"/>
      <w:lvlText w:val=""/>
      <w:lvlJc w:val="left"/>
      <w:pPr>
        <w:tabs>
          <w:tab w:val="num" w:pos="2880"/>
        </w:tabs>
        <w:ind w:left="2880" w:hanging="360"/>
      </w:pPr>
      <w:rPr>
        <w:rFonts w:ascii="Symbol" w:hAnsi="Symbol" w:hint="default"/>
      </w:rPr>
    </w:lvl>
    <w:lvl w:ilvl="4" w:tplc="79B22608" w:tentative="1">
      <w:start w:val="1"/>
      <w:numFmt w:val="bullet"/>
      <w:lvlText w:val="o"/>
      <w:lvlJc w:val="left"/>
      <w:pPr>
        <w:tabs>
          <w:tab w:val="num" w:pos="3600"/>
        </w:tabs>
        <w:ind w:left="3600" w:hanging="360"/>
      </w:pPr>
      <w:rPr>
        <w:rFonts w:ascii="Courier New" w:hAnsi="Courier New" w:cs="Courier New" w:hint="default"/>
      </w:rPr>
    </w:lvl>
    <w:lvl w:ilvl="5" w:tplc="866A2AC2" w:tentative="1">
      <w:start w:val="1"/>
      <w:numFmt w:val="bullet"/>
      <w:lvlText w:val=""/>
      <w:lvlJc w:val="left"/>
      <w:pPr>
        <w:tabs>
          <w:tab w:val="num" w:pos="4320"/>
        </w:tabs>
        <w:ind w:left="4320" w:hanging="360"/>
      </w:pPr>
      <w:rPr>
        <w:rFonts w:ascii="Wingdings" w:hAnsi="Wingdings" w:hint="default"/>
      </w:rPr>
    </w:lvl>
    <w:lvl w:ilvl="6" w:tplc="AE84A8B0" w:tentative="1">
      <w:start w:val="1"/>
      <w:numFmt w:val="bullet"/>
      <w:lvlText w:val=""/>
      <w:lvlJc w:val="left"/>
      <w:pPr>
        <w:tabs>
          <w:tab w:val="num" w:pos="5040"/>
        </w:tabs>
        <w:ind w:left="5040" w:hanging="360"/>
      </w:pPr>
      <w:rPr>
        <w:rFonts w:ascii="Symbol" w:hAnsi="Symbol" w:hint="default"/>
      </w:rPr>
    </w:lvl>
    <w:lvl w:ilvl="7" w:tplc="00ACFD58" w:tentative="1">
      <w:start w:val="1"/>
      <w:numFmt w:val="bullet"/>
      <w:lvlText w:val="o"/>
      <w:lvlJc w:val="left"/>
      <w:pPr>
        <w:tabs>
          <w:tab w:val="num" w:pos="5760"/>
        </w:tabs>
        <w:ind w:left="5760" w:hanging="360"/>
      </w:pPr>
      <w:rPr>
        <w:rFonts w:ascii="Courier New" w:hAnsi="Courier New" w:cs="Courier New" w:hint="default"/>
      </w:rPr>
    </w:lvl>
    <w:lvl w:ilvl="8" w:tplc="C46E49E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B92A12"/>
    <w:multiLevelType w:val="hybridMultilevel"/>
    <w:tmpl w:val="A2CCD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28433C"/>
    <w:multiLevelType w:val="hybridMultilevel"/>
    <w:tmpl w:val="1BA02BD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4" w15:restartNumberingAfterBreak="0">
    <w:nsid w:val="7A0C7FCC"/>
    <w:multiLevelType w:val="hybridMultilevel"/>
    <w:tmpl w:val="361422BE"/>
    <w:lvl w:ilvl="0" w:tplc="1A42BB40">
      <w:start w:val="1"/>
      <w:numFmt w:val="bullet"/>
      <w:lvlText w:val=""/>
      <w:lvlJc w:val="left"/>
      <w:pPr>
        <w:ind w:left="55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34B68DE8">
      <w:start w:val="1"/>
      <w:numFmt w:val="bullet"/>
      <w:lvlText w:val="o"/>
      <w:lvlJc w:val="left"/>
      <w:pPr>
        <w:ind w:left="10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6EEE08A2">
      <w:start w:val="1"/>
      <w:numFmt w:val="bullet"/>
      <w:lvlText w:val="▪"/>
      <w:lvlJc w:val="left"/>
      <w:pPr>
        <w:ind w:left="18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91120622">
      <w:start w:val="1"/>
      <w:numFmt w:val="bullet"/>
      <w:lvlText w:val="•"/>
      <w:lvlJc w:val="left"/>
      <w:pPr>
        <w:ind w:left="25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B6E28DA2">
      <w:start w:val="1"/>
      <w:numFmt w:val="bullet"/>
      <w:lvlText w:val="o"/>
      <w:lvlJc w:val="left"/>
      <w:pPr>
        <w:ind w:left="32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FFC035EE">
      <w:start w:val="1"/>
      <w:numFmt w:val="bullet"/>
      <w:lvlText w:val="▪"/>
      <w:lvlJc w:val="left"/>
      <w:pPr>
        <w:ind w:left="39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6B6699FE">
      <w:start w:val="1"/>
      <w:numFmt w:val="bullet"/>
      <w:lvlText w:val="•"/>
      <w:lvlJc w:val="left"/>
      <w:pPr>
        <w:ind w:left="46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1F460E7E">
      <w:start w:val="1"/>
      <w:numFmt w:val="bullet"/>
      <w:lvlText w:val="o"/>
      <w:lvlJc w:val="left"/>
      <w:pPr>
        <w:ind w:left="54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3D1A929C">
      <w:start w:val="1"/>
      <w:numFmt w:val="bullet"/>
      <w:lvlText w:val="▪"/>
      <w:lvlJc w:val="left"/>
      <w:pPr>
        <w:ind w:left="61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45" w15:restartNumberingAfterBreak="0">
    <w:nsid w:val="7A100D28"/>
    <w:multiLevelType w:val="hybridMultilevel"/>
    <w:tmpl w:val="2F94C0BA"/>
    <w:lvl w:ilvl="0" w:tplc="899A530C">
      <w:start w:val="1"/>
      <w:numFmt w:val="upperLetter"/>
      <w:lvlText w:val="%1."/>
      <w:lvlJc w:val="left"/>
      <w:pPr>
        <w:ind w:left="5670" w:hanging="5670"/>
      </w:pPr>
      <w:rPr>
        <w:rFonts w:hint="default"/>
        <w:b/>
      </w:rPr>
    </w:lvl>
    <w:lvl w:ilvl="1" w:tplc="8E06E518">
      <w:start w:val="1"/>
      <w:numFmt w:val="decimal"/>
      <w:lvlText w:val="%2."/>
      <w:lvlJc w:val="left"/>
      <w:pPr>
        <w:ind w:left="1650" w:hanging="570"/>
      </w:pPr>
      <w:rPr>
        <w:rFonts w:hint="default"/>
        <w:b/>
        <w:i w:val="0"/>
      </w:rPr>
    </w:lvl>
    <w:lvl w:ilvl="2" w:tplc="49501512" w:tentative="1">
      <w:start w:val="1"/>
      <w:numFmt w:val="lowerRoman"/>
      <w:lvlText w:val="%3."/>
      <w:lvlJc w:val="right"/>
      <w:pPr>
        <w:ind w:left="2160" w:hanging="180"/>
      </w:pPr>
    </w:lvl>
    <w:lvl w:ilvl="3" w:tplc="A35A498C" w:tentative="1">
      <w:start w:val="1"/>
      <w:numFmt w:val="decimal"/>
      <w:lvlText w:val="%4."/>
      <w:lvlJc w:val="left"/>
      <w:pPr>
        <w:ind w:left="2880" w:hanging="360"/>
      </w:pPr>
    </w:lvl>
    <w:lvl w:ilvl="4" w:tplc="E2B4ADD0" w:tentative="1">
      <w:start w:val="1"/>
      <w:numFmt w:val="lowerLetter"/>
      <w:lvlText w:val="%5."/>
      <w:lvlJc w:val="left"/>
      <w:pPr>
        <w:ind w:left="3600" w:hanging="360"/>
      </w:pPr>
    </w:lvl>
    <w:lvl w:ilvl="5" w:tplc="70D0690E" w:tentative="1">
      <w:start w:val="1"/>
      <w:numFmt w:val="lowerRoman"/>
      <w:lvlText w:val="%6."/>
      <w:lvlJc w:val="right"/>
      <w:pPr>
        <w:ind w:left="4320" w:hanging="180"/>
      </w:pPr>
    </w:lvl>
    <w:lvl w:ilvl="6" w:tplc="9C5619D0" w:tentative="1">
      <w:start w:val="1"/>
      <w:numFmt w:val="decimal"/>
      <w:lvlText w:val="%7."/>
      <w:lvlJc w:val="left"/>
      <w:pPr>
        <w:ind w:left="5040" w:hanging="360"/>
      </w:pPr>
    </w:lvl>
    <w:lvl w:ilvl="7" w:tplc="8F6C8F88" w:tentative="1">
      <w:start w:val="1"/>
      <w:numFmt w:val="lowerLetter"/>
      <w:lvlText w:val="%8."/>
      <w:lvlJc w:val="left"/>
      <w:pPr>
        <w:ind w:left="5760" w:hanging="360"/>
      </w:pPr>
    </w:lvl>
    <w:lvl w:ilvl="8" w:tplc="D2C46222" w:tentative="1">
      <w:start w:val="1"/>
      <w:numFmt w:val="lowerRoman"/>
      <w:lvlText w:val="%9."/>
      <w:lvlJc w:val="right"/>
      <w:pPr>
        <w:ind w:left="6480" w:hanging="180"/>
      </w:pPr>
    </w:lvl>
  </w:abstractNum>
  <w:abstractNum w:abstractNumId="46" w15:restartNumberingAfterBreak="0">
    <w:nsid w:val="7A4463E5"/>
    <w:multiLevelType w:val="hybridMultilevel"/>
    <w:tmpl w:val="4236968E"/>
    <w:lvl w:ilvl="0" w:tplc="5BB24308">
      <w:start w:val="1"/>
      <w:numFmt w:val="bullet"/>
      <w:lvlText w:val=""/>
      <w:lvlJc w:val="left"/>
      <w:pPr>
        <w:ind w:left="82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FBB4EBC4">
      <w:start w:val="1"/>
      <w:numFmt w:val="bullet"/>
      <w:lvlText w:val="o"/>
      <w:lvlJc w:val="left"/>
      <w:pPr>
        <w:ind w:left="134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6F660F3A">
      <w:start w:val="1"/>
      <w:numFmt w:val="bullet"/>
      <w:lvlText w:val="▪"/>
      <w:lvlJc w:val="left"/>
      <w:pPr>
        <w:ind w:left="206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7D3CFA62">
      <w:start w:val="1"/>
      <w:numFmt w:val="bullet"/>
      <w:lvlText w:val="•"/>
      <w:lvlJc w:val="left"/>
      <w:pPr>
        <w:ind w:left="278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20A47C44">
      <w:start w:val="1"/>
      <w:numFmt w:val="bullet"/>
      <w:lvlText w:val="o"/>
      <w:lvlJc w:val="left"/>
      <w:pPr>
        <w:ind w:left="350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99361136">
      <w:start w:val="1"/>
      <w:numFmt w:val="bullet"/>
      <w:lvlText w:val="▪"/>
      <w:lvlJc w:val="left"/>
      <w:pPr>
        <w:ind w:left="422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89FCEE4E">
      <w:start w:val="1"/>
      <w:numFmt w:val="bullet"/>
      <w:lvlText w:val="•"/>
      <w:lvlJc w:val="left"/>
      <w:pPr>
        <w:ind w:left="494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C1C4131E">
      <w:start w:val="1"/>
      <w:numFmt w:val="bullet"/>
      <w:lvlText w:val="o"/>
      <w:lvlJc w:val="left"/>
      <w:pPr>
        <w:ind w:left="566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BAC82B1E">
      <w:start w:val="1"/>
      <w:numFmt w:val="bullet"/>
      <w:lvlText w:val="▪"/>
      <w:lvlJc w:val="left"/>
      <w:pPr>
        <w:ind w:left="638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47" w15:restartNumberingAfterBreak="0">
    <w:nsid w:val="7E05554A"/>
    <w:multiLevelType w:val="multilevel"/>
    <w:tmpl w:val="84843E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4"/>
  </w:num>
  <w:num w:numId="3">
    <w:abstractNumId w:val="41"/>
  </w:num>
  <w:num w:numId="4">
    <w:abstractNumId w:val="41"/>
  </w:num>
  <w:num w:numId="5">
    <w:abstractNumId w:val="39"/>
  </w:num>
  <w:num w:numId="6">
    <w:abstractNumId w:val="32"/>
  </w:num>
  <w:num w:numId="7">
    <w:abstractNumId w:val="45"/>
  </w:num>
  <w:num w:numId="8">
    <w:abstractNumId w:val="10"/>
  </w:num>
  <w:num w:numId="9">
    <w:abstractNumId w:val="19"/>
  </w:num>
  <w:num w:numId="10">
    <w:abstractNumId w:val="18"/>
  </w:num>
  <w:num w:numId="11">
    <w:abstractNumId w:val="37"/>
  </w:num>
  <w:num w:numId="12">
    <w:abstractNumId w:val="24"/>
  </w:num>
  <w:num w:numId="13">
    <w:abstractNumId w:val="26"/>
  </w:num>
  <w:num w:numId="14">
    <w:abstractNumId w:val="31"/>
  </w:num>
  <w:num w:numId="15">
    <w:abstractNumId w:val="23"/>
  </w:num>
  <w:num w:numId="16">
    <w:abstractNumId w:val="20"/>
  </w:num>
  <w:num w:numId="17">
    <w:abstractNumId w:val="9"/>
  </w:num>
  <w:num w:numId="18">
    <w:abstractNumId w:val="25"/>
  </w:num>
  <w:num w:numId="19">
    <w:abstractNumId w:val="44"/>
  </w:num>
  <w:num w:numId="20">
    <w:abstractNumId w:val="2"/>
  </w:num>
  <w:num w:numId="21">
    <w:abstractNumId w:val="28"/>
  </w:num>
  <w:num w:numId="22">
    <w:abstractNumId w:val="33"/>
  </w:num>
  <w:num w:numId="23">
    <w:abstractNumId w:val="46"/>
  </w:num>
  <w:num w:numId="24">
    <w:abstractNumId w:val="14"/>
  </w:num>
  <w:num w:numId="25">
    <w:abstractNumId w:val="13"/>
  </w:num>
  <w:num w:numId="26">
    <w:abstractNumId w:val="5"/>
  </w:num>
  <w:num w:numId="27">
    <w:abstractNumId w:val="11"/>
  </w:num>
  <w:num w:numId="28">
    <w:abstractNumId w:val="36"/>
  </w:num>
  <w:num w:numId="29">
    <w:abstractNumId w:val="22"/>
  </w:num>
  <w:num w:numId="30">
    <w:abstractNumId w:val="12"/>
  </w:num>
  <w:num w:numId="31">
    <w:abstractNumId w:val="30"/>
  </w:num>
  <w:num w:numId="32">
    <w:abstractNumId w:val="21"/>
  </w:num>
  <w:num w:numId="33">
    <w:abstractNumId w:val="15"/>
  </w:num>
  <w:num w:numId="34">
    <w:abstractNumId w:val="3"/>
  </w:num>
  <w:num w:numId="35">
    <w:abstractNumId w:val="43"/>
  </w:num>
  <w:num w:numId="36">
    <w:abstractNumId w:val="34"/>
  </w:num>
  <w:num w:numId="37">
    <w:abstractNumId w:val="6"/>
  </w:num>
  <w:num w:numId="38">
    <w:abstractNumId w:val="16"/>
  </w:num>
  <w:num w:numId="39">
    <w:abstractNumId w:val="27"/>
  </w:num>
  <w:num w:numId="40">
    <w:abstractNumId w:val="42"/>
  </w:num>
  <w:num w:numId="41">
    <w:abstractNumId w:val="29"/>
  </w:num>
  <w:num w:numId="42">
    <w:abstractNumId w:val="7"/>
  </w:num>
  <w:num w:numId="43">
    <w:abstractNumId w:val="8"/>
  </w:num>
  <w:num w:numId="44">
    <w:abstractNumId w:val="40"/>
  </w:num>
  <w:num w:numId="45">
    <w:abstractNumId w:val="1"/>
  </w:num>
  <w:num w:numId="46">
    <w:abstractNumId w:val="47"/>
  </w:num>
  <w:num w:numId="47">
    <w:abstractNumId w:val="38"/>
  </w:num>
  <w:num w:numId="48">
    <w:abstractNumId w:val="35"/>
  </w:num>
  <w:num w:numId="49">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136"/>
    <w:rsid w:val="00000D62"/>
    <w:rsid w:val="00001587"/>
    <w:rsid w:val="0000362A"/>
    <w:rsid w:val="000049FA"/>
    <w:rsid w:val="00005701"/>
    <w:rsid w:val="00005A09"/>
    <w:rsid w:val="00006669"/>
    <w:rsid w:val="0000706B"/>
    <w:rsid w:val="00007528"/>
    <w:rsid w:val="00011197"/>
    <w:rsid w:val="0001164F"/>
    <w:rsid w:val="00012872"/>
    <w:rsid w:val="00012A56"/>
    <w:rsid w:val="00014869"/>
    <w:rsid w:val="000150D3"/>
    <w:rsid w:val="000166C1"/>
    <w:rsid w:val="000174B3"/>
    <w:rsid w:val="0002006B"/>
    <w:rsid w:val="00020152"/>
    <w:rsid w:val="00020AE8"/>
    <w:rsid w:val="000212BB"/>
    <w:rsid w:val="00023A2C"/>
    <w:rsid w:val="00024ECC"/>
    <w:rsid w:val="000258E4"/>
    <w:rsid w:val="00025D86"/>
    <w:rsid w:val="00025EBE"/>
    <w:rsid w:val="00026BF2"/>
    <w:rsid w:val="000271F6"/>
    <w:rsid w:val="00027F9B"/>
    <w:rsid w:val="00030445"/>
    <w:rsid w:val="00030773"/>
    <w:rsid w:val="000318C7"/>
    <w:rsid w:val="00031954"/>
    <w:rsid w:val="00031CE7"/>
    <w:rsid w:val="00033D26"/>
    <w:rsid w:val="00033FDB"/>
    <w:rsid w:val="000344F6"/>
    <w:rsid w:val="000410CC"/>
    <w:rsid w:val="00042263"/>
    <w:rsid w:val="00042C8C"/>
    <w:rsid w:val="00043505"/>
    <w:rsid w:val="00043C70"/>
    <w:rsid w:val="00043E88"/>
    <w:rsid w:val="00044042"/>
    <w:rsid w:val="000474D2"/>
    <w:rsid w:val="000479C5"/>
    <w:rsid w:val="00050DBF"/>
    <w:rsid w:val="00050DFD"/>
    <w:rsid w:val="0005336C"/>
    <w:rsid w:val="00053809"/>
    <w:rsid w:val="00053914"/>
    <w:rsid w:val="00053960"/>
    <w:rsid w:val="00054756"/>
    <w:rsid w:val="000560C5"/>
    <w:rsid w:val="00056C49"/>
    <w:rsid w:val="00056FE0"/>
    <w:rsid w:val="000603C8"/>
    <w:rsid w:val="000608A4"/>
    <w:rsid w:val="00060AA1"/>
    <w:rsid w:val="000631FD"/>
    <w:rsid w:val="000643D3"/>
    <w:rsid w:val="000655C9"/>
    <w:rsid w:val="00065C7B"/>
    <w:rsid w:val="00066F1A"/>
    <w:rsid w:val="00067B16"/>
    <w:rsid w:val="00071F8A"/>
    <w:rsid w:val="00071FC3"/>
    <w:rsid w:val="0007200A"/>
    <w:rsid w:val="00072BF9"/>
    <w:rsid w:val="00073431"/>
    <w:rsid w:val="00073E04"/>
    <w:rsid w:val="0007401B"/>
    <w:rsid w:val="00074632"/>
    <w:rsid w:val="000759AB"/>
    <w:rsid w:val="0007628D"/>
    <w:rsid w:val="00077D20"/>
    <w:rsid w:val="00081DAB"/>
    <w:rsid w:val="0008506F"/>
    <w:rsid w:val="000851A9"/>
    <w:rsid w:val="00085600"/>
    <w:rsid w:val="00085939"/>
    <w:rsid w:val="00086028"/>
    <w:rsid w:val="00086CBD"/>
    <w:rsid w:val="00091239"/>
    <w:rsid w:val="00092829"/>
    <w:rsid w:val="00092B09"/>
    <w:rsid w:val="0009351E"/>
    <w:rsid w:val="0009479A"/>
    <w:rsid w:val="00094AD6"/>
    <w:rsid w:val="00095D61"/>
    <w:rsid w:val="00095E44"/>
    <w:rsid w:val="00096D8D"/>
    <w:rsid w:val="0009755A"/>
    <w:rsid w:val="000A1091"/>
    <w:rsid w:val="000A1232"/>
    <w:rsid w:val="000A30E5"/>
    <w:rsid w:val="000A3675"/>
    <w:rsid w:val="000A3767"/>
    <w:rsid w:val="000A39C5"/>
    <w:rsid w:val="000A40D0"/>
    <w:rsid w:val="000A6721"/>
    <w:rsid w:val="000A6BA6"/>
    <w:rsid w:val="000A75FF"/>
    <w:rsid w:val="000A7BF0"/>
    <w:rsid w:val="000B0097"/>
    <w:rsid w:val="000B101F"/>
    <w:rsid w:val="000B173F"/>
    <w:rsid w:val="000B1F4B"/>
    <w:rsid w:val="000B2CEF"/>
    <w:rsid w:val="000B2F27"/>
    <w:rsid w:val="000B2F58"/>
    <w:rsid w:val="000B37A8"/>
    <w:rsid w:val="000B382B"/>
    <w:rsid w:val="000B472B"/>
    <w:rsid w:val="000B4999"/>
    <w:rsid w:val="000B51D9"/>
    <w:rsid w:val="000C03FB"/>
    <w:rsid w:val="000C308F"/>
    <w:rsid w:val="000C36E0"/>
    <w:rsid w:val="000C3BDD"/>
    <w:rsid w:val="000C428B"/>
    <w:rsid w:val="000C5A4E"/>
    <w:rsid w:val="000C6225"/>
    <w:rsid w:val="000C635D"/>
    <w:rsid w:val="000C6D5B"/>
    <w:rsid w:val="000C7F49"/>
    <w:rsid w:val="000D1AEE"/>
    <w:rsid w:val="000D1B96"/>
    <w:rsid w:val="000D1F4F"/>
    <w:rsid w:val="000D2C1D"/>
    <w:rsid w:val="000D2EAA"/>
    <w:rsid w:val="000D39F2"/>
    <w:rsid w:val="000D4D07"/>
    <w:rsid w:val="000D74D6"/>
    <w:rsid w:val="000D7535"/>
    <w:rsid w:val="000E0BCE"/>
    <w:rsid w:val="000E165D"/>
    <w:rsid w:val="000E1BAF"/>
    <w:rsid w:val="000E223E"/>
    <w:rsid w:val="000E2491"/>
    <w:rsid w:val="000E2EA9"/>
    <w:rsid w:val="000E46A3"/>
    <w:rsid w:val="000E4E88"/>
    <w:rsid w:val="000E5726"/>
    <w:rsid w:val="000E6C94"/>
    <w:rsid w:val="000F0CCA"/>
    <w:rsid w:val="000F1BB2"/>
    <w:rsid w:val="000F217A"/>
    <w:rsid w:val="000F3F94"/>
    <w:rsid w:val="000F4279"/>
    <w:rsid w:val="000F5235"/>
    <w:rsid w:val="000F5B21"/>
    <w:rsid w:val="001018E2"/>
    <w:rsid w:val="00102E27"/>
    <w:rsid w:val="00103501"/>
    <w:rsid w:val="00103AE7"/>
    <w:rsid w:val="00103B2D"/>
    <w:rsid w:val="00103CD2"/>
    <w:rsid w:val="00104061"/>
    <w:rsid w:val="001042F4"/>
    <w:rsid w:val="00107236"/>
    <w:rsid w:val="001101A2"/>
    <w:rsid w:val="001106F7"/>
    <w:rsid w:val="001108A9"/>
    <w:rsid w:val="0011162C"/>
    <w:rsid w:val="00112EDA"/>
    <w:rsid w:val="00113935"/>
    <w:rsid w:val="00113E6B"/>
    <w:rsid w:val="001140D5"/>
    <w:rsid w:val="00114174"/>
    <w:rsid w:val="001144BD"/>
    <w:rsid w:val="00117A50"/>
    <w:rsid w:val="00117C1D"/>
    <w:rsid w:val="00117C33"/>
    <w:rsid w:val="00122C9F"/>
    <w:rsid w:val="00123688"/>
    <w:rsid w:val="00126B26"/>
    <w:rsid w:val="0012717A"/>
    <w:rsid w:val="001278C1"/>
    <w:rsid w:val="00127F47"/>
    <w:rsid w:val="00133572"/>
    <w:rsid w:val="00133CA3"/>
    <w:rsid w:val="00134DB7"/>
    <w:rsid w:val="00135F24"/>
    <w:rsid w:val="001364FB"/>
    <w:rsid w:val="001365F2"/>
    <w:rsid w:val="00136A93"/>
    <w:rsid w:val="00136D7A"/>
    <w:rsid w:val="001374C5"/>
    <w:rsid w:val="00140476"/>
    <w:rsid w:val="00141470"/>
    <w:rsid w:val="00141540"/>
    <w:rsid w:val="001434A9"/>
    <w:rsid w:val="00143516"/>
    <w:rsid w:val="001449DF"/>
    <w:rsid w:val="00145459"/>
    <w:rsid w:val="0014569B"/>
    <w:rsid w:val="001470E0"/>
    <w:rsid w:val="001478B8"/>
    <w:rsid w:val="00150060"/>
    <w:rsid w:val="001507A2"/>
    <w:rsid w:val="00154C69"/>
    <w:rsid w:val="00155D7F"/>
    <w:rsid w:val="00156108"/>
    <w:rsid w:val="0015704C"/>
    <w:rsid w:val="00157895"/>
    <w:rsid w:val="0016118B"/>
    <w:rsid w:val="00161701"/>
    <w:rsid w:val="00161E87"/>
    <w:rsid w:val="00162098"/>
    <w:rsid w:val="0016566C"/>
    <w:rsid w:val="0016718C"/>
    <w:rsid w:val="00170769"/>
    <w:rsid w:val="00170A61"/>
    <w:rsid w:val="001727F0"/>
    <w:rsid w:val="00172B06"/>
    <w:rsid w:val="0017347E"/>
    <w:rsid w:val="00173AB0"/>
    <w:rsid w:val="00173E7A"/>
    <w:rsid w:val="001752D8"/>
    <w:rsid w:val="00175931"/>
    <w:rsid w:val="00176A15"/>
    <w:rsid w:val="00176B25"/>
    <w:rsid w:val="00177736"/>
    <w:rsid w:val="0018238B"/>
    <w:rsid w:val="00183419"/>
    <w:rsid w:val="0018394A"/>
    <w:rsid w:val="001845BE"/>
    <w:rsid w:val="00184DCC"/>
    <w:rsid w:val="00186A9D"/>
    <w:rsid w:val="001874A6"/>
    <w:rsid w:val="0018765B"/>
    <w:rsid w:val="00187DC4"/>
    <w:rsid w:val="00190913"/>
    <w:rsid w:val="0019236A"/>
    <w:rsid w:val="00193B21"/>
    <w:rsid w:val="00193DD3"/>
    <w:rsid w:val="001946BE"/>
    <w:rsid w:val="001948AA"/>
    <w:rsid w:val="00195F65"/>
    <w:rsid w:val="001960DE"/>
    <w:rsid w:val="001967A7"/>
    <w:rsid w:val="0019700F"/>
    <w:rsid w:val="00197377"/>
    <w:rsid w:val="001A07E2"/>
    <w:rsid w:val="001A0A5D"/>
    <w:rsid w:val="001A2018"/>
    <w:rsid w:val="001A43C4"/>
    <w:rsid w:val="001A485F"/>
    <w:rsid w:val="001A56F1"/>
    <w:rsid w:val="001A5D0E"/>
    <w:rsid w:val="001A749C"/>
    <w:rsid w:val="001B01C8"/>
    <w:rsid w:val="001B0B52"/>
    <w:rsid w:val="001B13F6"/>
    <w:rsid w:val="001B1747"/>
    <w:rsid w:val="001B2D44"/>
    <w:rsid w:val="001B311A"/>
    <w:rsid w:val="001B42BD"/>
    <w:rsid w:val="001B59BD"/>
    <w:rsid w:val="001B6224"/>
    <w:rsid w:val="001B62A4"/>
    <w:rsid w:val="001B752A"/>
    <w:rsid w:val="001C12FB"/>
    <w:rsid w:val="001C2DB4"/>
    <w:rsid w:val="001C3228"/>
    <w:rsid w:val="001C35E9"/>
    <w:rsid w:val="001C36BD"/>
    <w:rsid w:val="001C3733"/>
    <w:rsid w:val="001C42E5"/>
    <w:rsid w:val="001C49B3"/>
    <w:rsid w:val="001C5B30"/>
    <w:rsid w:val="001C75F7"/>
    <w:rsid w:val="001C7F88"/>
    <w:rsid w:val="001D19A4"/>
    <w:rsid w:val="001D2953"/>
    <w:rsid w:val="001D3C05"/>
    <w:rsid w:val="001D4B44"/>
    <w:rsid w:val="001D6AF4"/>
    <w:rsid w:val="001D6F48"/>
    <w:rsid w:val="001E0CC1"/>
    <w:rsid w:val="001E1C10"/>
    <w:rsid w:val="001E2B3E"/>
    <w:rsid w:val="001E2E9B"/>
    <w:rsid w:val="001E3CC0"/>
    <w:rsid w:val="001E5C72"/>
    <w:rsid w:val="001E6563"/>
    <w:rsid w:val="001E77C3"/>
    <w:rsid w:val="001F090B"/>
    <w:rsid w:val="001F180A"/>
    <w:rsid w:val="001F1A28"/>
    <w:rsid w:val="001F1AD0"/>
    <w:rsid w:val="001F21D4"/>
    <w:rsid w:val="001F2E7F"/>
    <w:rsid w:val="001F35E8"/>
    <w:rsid w:val="001F4014"/>
    <w:rsid w:val="001F4441"/>
    <w:rsid w:val="001F445E"/>
    <w:rsid w:val="001F45C4"/>
    <w:rsid w:val="001F6423"/>
    <w:rsid w:val="001F6D16"/>
    <w:rsid w:val="001F7494"/>
    <w:rsid w:val="00201213"/>
    <w:rsid w:val="0020165E"/>
    <w:rsid w:val="0020272E"/>
    <w:rsid w:val="00202E50"/>
    <w:rsid w:val="00204AAB"/>
    <w:rsid w:val="00205180"/>
    <w:rsid w:val="00206D54"/>
    <w:rsid w:val="00207CED"/>
    <w:rsid w:val="00207F81"/>
    <w:rsid w:val="0021055C"/>
    <w:rsid w:val="002109F4"/>
    <w:rsid w:val="0021174D"/>
    <w:rsid w:val="00211FDA"/>
    <w:rsid w:val="002128BC"/>
    <w:rsid w:val="00213FB8"/>
    <w:rsid w:val="00215632"/>
    <w:rsid w:val="002157EA"/>
    <w:rsid w:val="00215FDA"/>
    <w:rsid w:val="002160C2"/>
    <w:rsid w:val="0022043D"/>
    <w:rsid w:val="00222BB9"/>
    <w:rsid w:val="002258D6"/>
    <w:rsid w:val="0022625B"/>
    <w:rsid w:val="002274FB"/>
    <w:rsid w:val="002277EC"/>
    <w:rsid w:val="002309D2"/>
    <w:rsid w:val="00231B61"/>
    <w:rsid w:val="00232C35"/>
    <w:rsid w:val="00232F52"/>
    <w:rsid w:val="0023315B"/>
    <w:rsid w:val="002347FE"/>
    <w:rsid w:val="002365F7"/>
    <w:rsid w:val="00236876"/>
    <w:rsid w:val="0024178D"/>
    <w:rsid w:val="00242244"/>
    <w:rsid w:val="00242619"/>
    <w:rsid w:val="0024261D"/>
    <w:rsid w:val="0024392B"/>
    <w:rsid w:val="002450C6"/>
    <w:rsid w:val="00245DCF"/>
    <w:rsid w:val="00246C65"/>
    <w:rsid w:val="0024721F"/>
    <w:rsid w:val="00251A10"/>
    <w:rsid w:val="00252BFF"/>
    <w:rsid w:val="0025349D"/>
    <w:rsid w:val="00253732"/>
    <w:rsid w:val="0025376C"/>
    <w:rsid w:val="002542A8"/>
    <w:rsid w:val="002572CD"/>
    <w:rsid w:val="00260A11"/>
    <w:rsid w:val="00261316"/>
    <w:rsid w:val="0026169A"/>
    <w:rsid w:val="00262763"/>
    <w:rsid w:val="002636C8"/>
    <w:rsid w:val="00264BEA"/>
    <w:rsid w:val="002669E0"/>
    <w:rsid w:val="00267850"/>
    <w:rsid w:val="00267D53"/>
    <w:rsid w:val="00271032"/>
    <w:rsid w:val="00273E3E"/>
    <w:rsid w:val="00274147"/>
    <w:rsid w:val="00275189"/>
    <w:rsid w:val="002756DC"/>
    <w:rsid w:val="00276412"/>
    <w:rsid w:val="00276437"/>
    <w:rsid w:val="002771C9"/>
    <w:rsid w:val="00280053"/>
    <w:rsid w:val="0028063F"/>
    <w:rsid w:val="00280740"/>
    <w:rsid w:val="00280CD6"/>
    <w:rsid w:val="00283B02"/>
    <w:rsid w:val="00283C5D"/>
    <w:rsid w:val="002844B0"/>
    <w:rsid w:val="00285DE6"/>
    <w:rsid w:val="00286136"/>
    <w:rsid w:val="00286322"/>
    <w:rsid w:val="00291302"/>
    <w:rsid w:val="00296B03"/>
    <w:rsid w:val="00296C1F"/>
    <w:rsid w:val="002A0B84"/>
    <w:rsid w:val="002A1A88"/>
    <w:rsid w:val="002A2434"/>
    <w:rsid w:val="002A294E"/>
    <w:rsid w:val="002A3A10"/>
    <w:rsid w:val="002A41E6"/>
    <w:rsid w:val="002A421D"/>
    <w:rsid w:val="002A44C8"/>
    <w:rsid w:val="002A5E48"/>
    <w:rsid w:val="002A6686"/>
    <w:rsid w:val="002A76AC"/>
    <w:rsid w:val="002B0059"/>
    <w:rsid w:val="002B0455"/>
    <w:rsid w:val="002B1941"/>
    <w:rsid w:val="002B261C"/>
    <w:rsid w:val="002B2BEE"/>
    <w:rsid w:val="002B35C5"/>
    <w:rsid w:val="002B3935"/>
    <w:rsid w:val="002B406A"/>
    <w:rsid w:val="002B41D4"/>
    <w:rsid w:val="002B543F"/>
    <w:rsid w:val="002B6165"/>
    <w:rsid w:val="002B7D73"/>
    <w:rsid w:val="002C054C"/>
    <w:rsid w:val="002C06E3"/>
    <w:rsid w:val="002C0801"/>
    <w:rsid w:val="002C145F"/>
    <w:rsid w:val="002C33B3"/>
    <w:rsid w:val="002C33EC"/>
    <w:rsid w:val="002C42A7"/>
    <w:rsid w:val="002C44B0"/>
    <w:rsid w:val="002C4E07"/>
    <w:rsid w:val="002D0586"/>
    <w:rsid w:val="002D1023"/>
    <w:rsid w:val="002D1459"/>
    <w:rsid w:val="002D1470"/>
    <w:rsid w:val="002D21CF"/>
    <w:rsid w:val="002D3DB7"/>
    <w:rsid w:val="002D4705"/>
    <w:rsid w:val="002D52B9"/>
    <w:rsid w:val="002D5B65"/>
    <w:rsid w:val="002D6396"/>
    <w:rsid w:val="002D7E5E"/>
    <w:rsid w:val="002E07BA"/>
    <w:rsid w:val="002E07EF"/>
    <w:rsid w:val="002E0D06"/>
    <w:rsid w:val="002E1810"/>
    <w:rsid w:val="002E23DA"/>
    <w:rsid w:val="002E248B"/>
    <w:rsid w:val="002E2F0E"/>
    <w:rsid w:val="002E35BC"/>
    <w:rsid w:val="002E374A"/>
    <w:rsid w:val="002E4E94"/>
    <w:rsid w:val="002E6357"/>
    <w:rsid w:val="002E6D7E"/>
    <w:rsid w:val="002E7CBB"/>
    <w:rsid w:val="002F1F28"/>
    <w:rsid w:val="002F43CA"/>
    <w:rsid w:val="002F57AA"/>
    <w:rsid w:val="002F6EF7"/>
    <w:rsid w:val="002F714C"/>
    <w:rsid w:val="002F77BF"/>
    <w:rsid w:val="003004A2"/>
    <w:rsid w:val="003011C6"/>
    <w:rsid w:val="00302CA4"/>
    <w:rsid w:val="00303DD5"/>
    <w:rsid w:val="00305D2B"/>
    <w:rsid w:val="003071E9"/>
    <w:rsid w:val="0030746F"/>
    <w:rsid w:val="00307B74"/>
    <w:rsid w:val="003102C6"/>
    <w:rsid w:val="0031034C"/>
    <w:rsid w:val="00310764"/>
    <w:rsid w:val="00311BFD"/>
    <w:rsid w:val="00314718"/>
    <w:rsid w:val="00314875"/>
    <w:rsid w:val="0031488A"/>
    <w:rsid w:val="003175E1"/>
    <w:rsid w:val="0032003B"/>
    <w:rsid w:val="00320203"/>
    <w:rsid w:val="00320F02"/>
    <w:rsid w:val="00321347"/>
    <w:rsid w:val="00321FEB"/>
    <w:rsid w:val="00322002"/>
    <w:rsid w:val="00323EEC"/>
    <w:rsid w:val="003247B0"/>
    <w:rsid w:val="00325E81"/>
    <w:rsid w:val="00326948"/>
    <w:rsid w:val="00327052"/>
    <w:rsid w:val="003336BB"/>
    <w:rsid w:val="0033486D"/>
    <w:rsid w:val="00335228"/>
    <w:rsid w:val="003367C4"/>
    <w:rsid w:val="00336D8E"/>
    <w:rsid w:val="003376B3"/>
    <w:rsid w:val="00340BF3"/>
    <w:rsid w:val="00340C09"/>
    <w:rsid w:val="00343F7B"/>
    <w:rsid w:val="00345F79"/>
    <w:rsid w:val="00345F9C"/>
    <w:rsid w:val="0034654B"/>
    <w:rsid w:val="0034699C"/>
    <w:rsid w:val="00346B1F"/>
    <w:rsid w:val="00346E3B"/>
    <w:rsid w:val="00347776"/>
    <w:rsid w:val="0035165F"/>
    <w:rsid w:val="003519C0"/>
    <w:rsid w:val="00351A91"/>
    <w:rsid w:val="00351AEC"/>
    <w:rsid w:val="003520C4"/>
    <w:rsid w:val="003533AE"/>
    <w:rsid w:val="003540CD"/>
    <w:rsid w:val="00355E14"/>
    <w:rsid w:val="00356CFA"/>
    <w:rsid w:val="00357C5E"/>
    <w:rsid w:val="003608BD"/>
    <w:rsid w:val="00360D84"/>
    <w:rsid w:val="00361109"/>
    <w:rsid w:val="00361280"/>
    <w:rsid w:val="003615F1"/>
    <w:rsid w:val="00361A6E"/>
    <w:rsid w:val="00361F27"/>
    <w:rsid w:val="003626AF"/>
    <w:rsid w:val="00363D7F"/>
    <w:rsid w:val="003655C1"/>
    <w:rsid w:val="0036655E"/>
    <w:rsid w:val="003665D5"/>
    <w:rsid w:val="00367C66"/>
    <w:rsid w:val="003700B2"/>
    <w:rsid w:val="0037233D"/>
    <w:rsid w:val="003736EF"/>
    <w:rsid w:val="003737E3"/>
    <w:rsid w:val="00373D26"/>
    <w:rsid w:val="00374297"/>
    <w:rsid w:val="00380448"/>
    <w:rsid w:val="00380A1A"/>
    <w:rsid w:val="00380A57"/>
    <w:rsid w:val="00380D80"/>
    <w:rsid w:val="0038500E"/>
    <w:rsid w:val="003874A8"/>
    <w:rsid w:val="0038761D"/>
    <w:rsid w:val="003906F8"/>
    <w:rsid w:val="003935EE"/>
    <w:rsid w:val="00393EE9"/>
    <w:rsid w:val="0039408A"/>
    <w:rsid w:val="003945CC"/>
    <w:rsid w:val="003945F5"/>
    <w:rsid w:val="0039673D"/>
    <w:rsid w:val="0039683B"/>
    <w:rsid w:val="00396F05"/>
    <w:rsid w:val="003975DA"/>
    <w:rsid w:val="00397893"/>
    <w:rsid w:val="003A2407"/>
    <w:rsid w:val="003A2CF0"/>
    <w:rsid w:val="003A33D3"/>
    <w:rsid w:val="003A3880"/>
    <w:rsid w:val="003A4B52"/>
    <w:rsid w:val="003A5119"/>
    <w:rsid w:val="003A547B"/>
    <w:rsid w:val="003A5855"/>
    <w:rsid w:val="003A5BC5"/>
    <w:rsid w:val="003A5D55"/>
    <w:rsid w:val="003A5F95"/>
    <w:rsid w:val="003A75E6"/>
    <w:rsid w:val="003A76CC"/>
    <w:rsid w:val="003A77D2"/>
    <w:rsid w:val="003B1382"/>
    <w:rsid w:val="003B255B"/>
    <w:rsid w:val="003B3317"/>
    <w:rsid w:val="003B4B2F"/>
    <w:rsid w:val="003B4C50"/>
    <w:rsid w:val="003B52D4"/>
    <w:rsid w:val="003B7828"/>
    <w:rsid w:val="003C02A6"/>
    <w:rsid w:val="003C1CA5"/>
    <w:rsid w:val="003C1EC7"/>
    <w:rsid w:val="003C3D8E"/>
    <w:rsid w:val="003C5E61"/>
    <w:rsid w:val="003C64A0"/>
    <w:rsid w:val="003C6DB0"/>
    <w:rsid w:val="003C6F0B"/>
    <w:rsid w:val="003C7BA3"/>
    <w:rsid w:val="003C7D52"/>
    <w:rsid w:val="003D3642"/>
    <w:rsid w:val="003D4E9C"/>
    <w:rsid w:val="003D5EE8"/>
    <w:rsid w:val="003E0D78"/>
    <w:rsid w:val="003E1CAB"/>
    <w:rsid w:val="003E1CB1"/>
    <w:rsid w:val="003E28EF"/>
    <w:rsid w:val="003E374A"/>
    <w:rsid w:val="003E3A1D"/>
    <w:rsid w:val="003E3E49"/>
    <w:rsid w:val="003E5991"/>
    <w:rsid w:val="003E6CA0"/>
    <w:rsid w:val="003F1F41"/>
    <w:rsid w:val="003F2FDE"/>
    <w:rsid w:val="003F330B"/>
    <w:rsid w:val="003F60BE"/>
    <w:rsid w:val="003F6D1F"/>
    <w:rsid w:val="003F6FDF"/>
    <w:rsid w:val="003F7DA0"/>
    <w:rsid w:val="00400D04"/>
    <w:rsid w:val="004016F5"/>
    <w:rsid w:val="00402B07"/>
    <w:rsid w:val="00402EC4"/>
    <w:rsid w:val="004045AA"/>
    <w:rsid w:val="0040549A"/>
    <w:rsid w:val="00405CC9"/>
    <w:rsid w:val="00405FDA"/>
    <w:rsid w:val="004063D0"/>
    <w:rsid w:val="0040711E"/>
    <w:rsid w:val="00407D67"/>
    <w:rsid w:val="00407D6C"/>
    <w:rsid w:val="00412450"/>
    <w:rsid w:val="00412D70"/>
    <w:rsid w:val="004138DE"/>
    <w:rsid w:val="00413B39"/>
    <w:rsid w:val="004143E8"/>
    <w:rsid w:val="00414B2F"/>
    <w:rsid w:val="00415E58"/>
    <w:rsid w:val="00416231"/>
    <w:rsid w:val="004208AB"/>
    <w:rsid w:val="00420F63"/>
    <w:rsid w:val="004219EF"/>
    <w:rsid w:val="00421A72"/>
    <w:rsid w:val="00424348"/>
    <w:rsid w:val="00426A7B"/>
    <w:rsid w:val="00426CD9"/>
    <w:rsid w:val="00426DE2"/>
    <w:rsid w:val="00426E11"/>
    <w:rsid w:val="00430E61"/>
    <w:rsid w:val="00430FEB"/>
    <w:rsid w:val="004310EE"/>
    <w:rsid w:val="00433677"/>
    <w:rsid w:val="0043384D"/>
    <w:rsid w:val="004340D5"/>
    <w:rsid w:val="00434880"/>
    <w:rsid w:val="00434A21"/>
    <w:rsid w:val="0043526D"/>
    <w:rsid w:val="00442DF1"/>
    <w:rsid w:val="004431FE"/>
    <w:rsid w:val="00444F0D"/>
    <w:rsid w:val="0044516D"/>
    <w:rsid w:val="004460E9"/>
    <w:rsid w:val="0044728C"/>
    <w:rsid w:val="00447B6F"/>
    <w:rsid w:val="00447E35"/>
    <w:rsid w:val="00447FF2"/>
    <w:rsid w:val="004501D4"/>
    <w:rsid w:val="004512D5"/>
    <w:rsid w:val="00451555"/>
    <w:rsid w:val="00452E50"/>
    <w:rsid w:val="004531E1"/>
    <w:rsid w:val="004534A8"/>
    <w:rsid w:val="00453623"/>
    <w:rsid w:val="00453C11"/>
    <w:rsid w:val="0045548E"/>
    <w:rsid w:val="004557B0"/>
    <w:rsid w:val="00457946"/>
    <w:rsid w:val="00457D8B"/>
    <w:rsid w:val="00460466"/>
    <w:rsid w:val="00460A17"/>
    <w:rsid w:val="0046236C"/>
    <w:rsid w:val="00462F79"/>
    <w:rsid w:val="00463438"/>
    <w:rsid w:val="0046383A"/>
    <w:rsid w:val="00463ECE"/>
    <w:rsid w:val="00465388"/>
    <w:rsid w:val="004677C9"/>
    <w:rsid w:val="00467D90"/>
    <w:rsid w:val="0047002E"/>
    <w:rsid w:val="00470CB5"/>
    <w:rsid w:val="00471EAB"/>
    <w:rsid w:val="004723EE"/>
    <w:rsid w:val="004738E9"/>
    <w:rsid w:val="00475A92"/>
    <w:rsid w:val="00477BB9"/>
    <w:rsid w:val="004800EF"/>
    <w:rsid w:val="0048417C"/>
    <w:rsid w:val="00485117"/>
    <w:rsid w:val="004859EE"/>
    <w:rsid w:val="004866D9"/>
    <w:rsid w:val="00487366"/>
    <w:rsid w:val="004873E4"/>
    <w:rsid w:val="0049072C"/>
    <w:rsid w:val="004907AD"/>
    <w:rsid w:val="00490FD1"/>
    <w:rsid w:val="00491444"/>
    <w:rsid w:val="00491AD2"/>
    <w:rsid w:val="004935C0"/>
    <w:rsid w:val="00493B43"/>
    <w:rsid w:val="00494EB1"/>
    <w:rsid w:val="0049619F"/>
    <w:rsid w:val="00496414"/>
    <w:rsid w:val="00497339"/>
    <w:rsid w:val="00497A38"/>
    <w:rsid w:val="004A0A74"/>
    <w:rsid w:val="004A1F0E"/>
    <w:rsid w:val="004A2C56"/>
    <w:rsid w:val="004A2D6C"/>
    <w:rsid w:val="004A3CAA"/>
    <w:rsid w:val="004A45BD"/>
    <w:rsid w:val="004A4656"/>
    <w:rsid w:val="004A4D5A"/>
    <w:rsid w:val="004A7536"/>
    <w:rsid w:val="004A77B0"/>
    <w:rsid w:val="004B08A9"/>
    <w:rsid w:val="004B109A"/>
    <w:rsid w:val="004B1CED"/>
    <w:rsid w:val="004B34A7"/>
    <w:rsid w:val="004B3B06"/>
    <w:rsid w:val="004B3ED5"/>
    <w:rsid w:val="004B4643"/>
    <w:rsid w:val="004B5D02"/>
    <w:rsid w:val="004B74EB"/>
    <w:rsid w:val="004B7F67"/>
    <w:rsid w:val="004C06BE"/>
    <w:rsid w:val="004C0938"/>
    <w:rsid w:val="004C0FD6"/>
    <w:rsid w:val="004C147B"/>
    <w:rsid w:val="004C1994"/>
    <w:rsid w:val="004C2E5C"/>
    <w:rsid w:val="004C6B22"/>
    <w:rsid w:val="004C6B2B"/>
    <w:rsid w:val="004C70FC"/>
    <w:rsid w:val="004D0477"/>
    <w:rsid w:val="004D2675"/>
    <w:rsid w:val="004D26B3"/>
    <w:rsid w:val="004D3531"/>
    <w:rsid w:val="004D4080"/>
    <w:rsid w:val="004D7448"/>
    <w:rsid w:val="004E05FD"/>
    <w:rsid w:val="004E1A0D"/>
    <w:rsid w:val="004E23F5"/>
    <w:rsid w:val="004E24C8"/>
    <w:rsid w:val="004E5418"/>
    <w:rsid w:val="004E5C4A"/>
    <w:rsid w:val="004E63E5"/>
    <w:rsid w:val="004E6B76"/>
    <w:rsid w:val="004E7831"/>
    <w:rsid w:val="004F005F"/>
    <w:rsid w:val="004F1437"/>
    <w:rsid w:val="004F29DB"/>
    <w:rsid w:val="004F3540"/>
    <w:rsid w:val="004F4AE5"/>
    <w:rsid w:val="004F52DB"/>
    <w:rsid w:val="004F5624"/>
    <w:rsid w:val="004F5DA4"/>
    <w:rsid w:val="004F62B2"/>
    <w:rsid w:val="004F6424"/>
    <w:rsid w:val="005010CA"/>
    <w:rsid w:val="005040CD"/>
    <w:rsid w:val="00505229"/>
    <w:rsid w:val="00507F98"/>
    <w:rsid w:val="005108A3"/>
    <w:rsid w:val="00510DB5"/>
    <w:rsid w:val="00510F6E"/>
    <w:rsid w:val="0051121C"/>
    <w:rsid w:val="00511422"/>
    <w:rsid w:val="005118AE"/>
    <w:rsid w:val="0051212F"/>
    <w:rsid w:val="00514AB9"/>
    <w:rsid w:val="005153F5"/>
    <w:rsid w:val="0051587A"/>
    <w:rsid w:val="005158FA"/>
    <w:rsid w:val="005169AD"/>
    <w:rsid w:val="00520756"/>
    <w:rsid w:val="005208B9"/>
    <w:rsid w:val="005212EB"/>
    <w:rsid w:val="005221F0"/>
    <w:rsid w:val="0052256B"/>
    <w:rsid w:val="00522919"/>
    <w:rsid w:val="00522AE6"/>
    <w:rsid w:val="0052379E"/>
    <w:rsid w:val="005237D2"/>
    <w:rsid w:val="00523E07"/>
    <w:rsid w:val="00524140"/>
    <w:rsid w:val="00524807"/>
    <w:rsid w:val="005252C0"/>
    <w:rsid w:val="005252FE"/>
    <w:rsid w:val="00525FF9"/>
    <w:rsid w:val="0052690C"/>
    <w:rsid w:val="0053136E"/>
    <w:rsid w:val="00532C41"/>
    <w:rsid w:val="00532D3F"/>
    <w:rsid w:val="00532DC5"/>
    <w:rsid w:val="0053386D"/>
    <w:rsid w:val="00533A2A"/>
    <w:rsid w:val="00533A3F"/>
    <w:rsid w:val="00534700"/>
    <w:rsid w:val="0053472F"/>
    <w:rsid w:val="00535ACD"/>
    <w:rsid w:val="0053791F"/>
    <w:rsid w:val="00537B30"/>
    <w:rsid w:val="00540AA5"/>
    <w:rsid w:val="00542104"/>
    <w:rsid w:val="00544F5D"/>
    <w:rsid w:val="0054506E"/>
    <w:rsid w:val="00546622"/>
    <w:rsid w:val="00547538"/>
    <w:rsid w:val="005502FA"/>
    <w:rsid w:val="00550A9D"/>
    <w:rsid w:val="005522E0"/>
    <w:rsid w:val="00553BFA"/>
    <w:rsid w:val="0055424A"/>
    <w:rsid w:val="005546C5"/>
    <w:rsid w:val="00554D05"/>
    <w:rsid w:val="0056077E"/>
    <w:rsid w:val="00560EDA"/>
    <w:rsid w:val="0056212D"/>
    <w:rsid w:val="005629EE"/>
    <w:rsid w:val="00562D53"/>
    <w:rsid w:val="0056378C"/>
    <w:rsid w:val="00563E46"/>
    <w:rsid w:val="00564472"/>
    <w:rsid w:val="0056447C"/>
    <w:rsid w:val="005648FA"/>
    <w:rsid w:val="00564D50"/>
    <w:rsid w:val="00564F5D"/>
    <w:rsid w:val="00567346"/>
    <w:rsid w:val="00572506"/>
    <w:rsid w:val="0057371B"/>
    <w:rsid w:val="00573F55"/>
    <w:rsid w:val="00575EB8"/>
    <w:rsid w:val="0057613A"/>
    <w:rsid w:val="0057640E"/>
    <w:rsid w:val="00576A4F"/>
    <w:rsid w:val="00576E5E"/>
    <w:rsid w:val="00582A9B"/>
    <w:rsid w:val="005832AB"/>
    <w:rsid w:val="00584001"/>
    <w:rsid w:val="0058437C"/>
    <w:rsid w:val="00587B6A"/>
    <w:rsid w:val="00592E6E"/>
    <w:rsid w:val="005935F4"/>
    <w:rsid w:val="005938C8"/>
    <w:rsid w:val="00593E0A"/>
    <w:rsid w:val="005965DA"/>
    <w:rsid w:val="00596683"/>
    <w:rsid w:val="005971B0"/>
    <w:rsid w:val="005A0DFB"/>
    <w:rsid w:val="005A167F"/>
    <w:rsid w:val="005A346E"/>
    <w:rsid w:val="005A3C5D"/>
    <w:rsid w:val="005A454E"/>
    <w:rsid w:val="005A4EE0"/>
    <w:rsid w:val="005A5A3E"/>
    <w:rsid w:val="005A73CF"/>
    <w:rsid w:val="005B3F6F"/>
    <w:rsid w:val="005B4002"/>
    <w:rsid w:val="005B41F4"/>
    <w:rsid w:val="005B528A"/>
    <w:rsid w:val="005B6E24"/>
    <w:rsid w:val="005B798B"/>
    <w:rsid w:val="005C0CBF"/>
    <w:rsid w:val="005C1FAE"/>
    <w:rsid w:val="005C2CFA"/>
    <w:rsid w:val="005C39E8"/>
    <w:rsid w:val="005C45F1"/>
    <w:rsid w:val="005C5660"/>
    <w:rsid w:val="005C7072"/>
    <w:rsid w:val="005C71E4"/>
    <w:rsid w:val="005C72E3"/>
    <w:rsid w:val="005D11B2"/>
    <w:rsid w:val="005D33D8"/>
    <w:rsid w:val="005D3CF4"/>
    <w:rsid w:val="005D45FC"/>
    <w:rsid w:val="005D4788"/>
    <w:rsid w:val="005D48D7"/>
    <w:rsid w:val="005D4B68"/>
    <w:rsid w:val="005D6D4B"/>
    <w:rsid w:val="005D783D"/>
    <w:rsid w:val="005E0ABB"/>
    <w:rsid w:val="005E0C85"/>
    <w:rsid w:val="005E11C1"/>
    <w:rsid w:val="005E2563"/>
    <w:rsid w:val="005E2887"/>
    <w:rsid w:val="005E2EBE"/>
    <w:rsid w:val="005E31AC"/>
    <w:rsid w:val="005E394C"/>
    <w:rsid w:val="005E42BF"/>
    <w:rsid w:val="005E4E70"/>
    <w:rsid w:val="005E65BB"/>
    <w:rsid w:val="005F0143"/>
    <w:rsid w:val="005F0161"/>
    <w:rsid w:val="005F0DA0"/>
    <w:rsid w:val="005F25AE"/>
    <w:rsid w:val="005F2767"/>
    <w:rsid w:val="005F4914"/>
    <w:rsid w:val="005F62B7"/>
    <w:rsid w:val="005F67FC"/>
    <w:rsid w:val="005F6869"/>
    <w:rsid w:val="005F6BB9"/>
    <w:rsid w:val="00601170"/>
    <w:rsid w:val="00603148"/>
    <w:rsid w:val="00606FC7"/>
    <w:rsid w:val="00610456"/>
    <w:rsid w:val="0061053A"/>
    <w:rsid w:val="00611473"/>
    <w:rsid w:val="00611B36"/>
    <w:rsid w:val="0061378B"/>
    <w:rsid w:val="00613A34"/>
    <w:rsid w:val="00615ADA"/>
    <w:rsid w:val="00617AA8"/>
    <w:rsid w:val="00620849"/>
    <w:rsid w:val="006221CD"/>
    <w:rsid w:val="00622220"/>
    <w:rsid w:val="00622E32"/>
    <w:rsid w:val="006266A9"/>
    <w:rsid w:val="00630426"/>
    <w:rsid w:val="006316C1"/>
    <w:rsid w:val="00631ED4"/>
    <w:rsid w:val="006320E0"/>
    <w:rsid w:val="00633BC7"/>
    <w:rsid w:val="00633C24"/>
    <w:rsid w:val="00635015"/>
    <w:rsid w:val="00635174"/>
    <w:rsid w:val="00635AC7"/>
    <w:rsid w:val="00635E9C"/>
    <w:rsid w:val="0063753F"/>
    <w:rsid w:val="00637B41"/>
    <w:rsid w:val="00637EFA"/>
    <w:rsid w:val="00640197"/>
    <w:rsid w:val="006414EE"/>
    <w:rsid w:val="00641BDE"/>
    <w:rsid w:val="00642524"/>
    <w:rsid w:val="00642D0A"/>
    <w:rsid w:val="0064431A"/>
    <w:rsid w:val="0064630E"/>
    <w:rsid w:val="00646FE1"/>
    <w:rsid w:val="00647075"/>
    <w:rsid w:val="00647BDA"/>
    <w:rsid w:val="0065043E"/>
    <w:rsid w:val="00651099"/>
    <w:rsid w:val="00651E31"/>
    <w:rsid w:val="0065380A"/>
    <w:rsid w:val="0065581D"/>
    <w:rsid w:val="00655C2F"/>
    <w:rsid w:val="00657765"/>
    <w:rsid w:val="00657886"/>
    <w:rsid w:val="00657D4A"/>
    <w:rsid w:val="00660403"/>
    <w:rsid w:val="00661140"/>
    <w:rsid w:val="00663594"/>
    <w:rsid w:val="00664999"/>
    <w:rsid w:val="0066578D"/>
    <w:rsid w:val="006659D2"/>
    <w:rsid w:val="00665C4B"/>
    <w:rsid w:val="0066654C"/>
    <w:rsid w:val="00670863"/>
    <w:rsid w:val="00670B10"/>
    <w:rsid w:val="006710DD"/>
    <w:rsid w:val="00671FC9"/>
    <w:rsid w:val="00673200"/>
    <w:rsid w:val="00673840"/>
    <w:rsid w:val="0067499B"/>
    <w:rsid w:val="00674C63"/>
    <w:rsid w:val="0067501E"/>
    <w:rsid w:val="006773D2"/>
    <w:rsid w:val="00680498"/>
    <w:rsid w:val="00680581"/>
    <w:rsid w:val="00681A41"/>
    <w:rsid w:val="006821B2"/>
    <w:rsid w:val="0068380E"/>
    <w:rsid w:val="006838C0"/>
    <w:rsid w:val="006855EE"/>
    <w:rsid w:val="006857EB"/>
    <w:rsid w:val="00685901"/>
    <w:rsid w:val="00685BB9"/>
    <w:rsid w:val="00686EAB"/>
    <w:rsid w:val="00687E61"/>
    <w:rsid w:val="00690127"/>
    <w:rsid w:val="00691BFF"/>
    <w:rsid w:val="00692C52"/>
    <w:rsid w:val="006953C1"/>
    <w:rsid w:val="00696EB2"/>
    <w:rsid w:val="006A1466"/>
    <w:rsid w:val="006A1600"/>
    <w:rsid w:val="006A16E9"/>
    <w:rsid w:val="006A5450"/>
    <w:rsid w:val="006A5458"/>
    <w:rsid w:val="006B0199"/>
    <w:rsid w:val="006B0A32"/>
    <w:rsid w:val="006B0BD8"/>
    <w:rsid w:val="006B301A"/>
    <w:rsid w:val="006B34B6"/>
    <w:rsid w:val="006B4557"/>
    <w:rsid w:val="006C0251"/>
    <w:rsid w:val="006C0320"/>
    <w:rsid w:val="006C0562"/>
    <w:rsid w:val="006C2B9A"/>
    <w:rsid w:val="006C39BB"/>
    <w:rsid w:val="006C4502"/>
    <w:rsid w:val="006C6114"/>
    <w:rsid w:val="006C68C0"/>
    <w:rsid w:val="006C6C6A"/>
    <w:rsid w:val="006D2288"/>
    <w:rsid w:val="006D4464"/>
    <w:rsid w:val="006D4530"/>
    <w:rsid w:val="006D4EF4"/>
    <w:rsid w:val="006D5E91"/>
    <w:rsid w:val="006D7853"/>
    <w:rsid w:val="006D7E87"/>
    <w:rsid w:val="006E10B2"/>
    <w:rsid w:val="006E14E6"/>
    <w:rsid w:val="006E1AEE"/>
    <w:rsid w:val="006E2F52"/>
    <w:rsid w:val="006E32A9"/>
    <w:rsid w:val="006E3B9C"/>
    <w:rsid w:val="006E3E10"/>
    <w:rsid w:val="006E51A2"/>
    <w:rsid w:val="006F0953"/>
    <w:rsid w:val="006F0DE2"/>
    <w:rsid w:val="006F11BD"/>
    <w:rsid w:val="006F25B4"/>
    <w:rsid w:val="006F26F8"/>
    <w:rsid w:val="006F32C7"/>
    <w:rsid w:val="006F3392"/>
    <w:rsid w:val="006F3495"/>
    <w:rsid w:val="006F417D"/>
    <w:rsid w:val="006F5C83"/>
    <w:rsid w:val="006F67CC"/>
    <w:rsid w:val="006F6B89"/>
    <w:rsid w:val="006F6E73"/>
    <w:rsid w:val="00701A6B"/>
    <w:rsid w:val="00701C2D"/>
    <w:rsid w:val="00702162"/>
    <w:rsid w:val="00703930"/>
    <w:rsid w:val="0070610E"/>
    <w:rsid w:val="00707230"/>
    <w:rsid w:val="00707759"/>
    <w:rsid w:val="00707C0F"/>
    <w:rsid w:val="00710081"/>
    <w:rsid w:val="00710B0D"/>
    <w:rsid w:val="00711019"/>
    <w:rsid w:val="0071343E"/>
    <w:rsid w:val="00713907"/>
    <w:rsid w:val="00713CB5"/>
    <w:rsid w:val="0071434A"/>
    <w:rsid w:val="00714E3F"/>
    <w:rsid w:val="0071558B"/>
    <w:rsid w:val="00716EE5"/>
    <w:rsid w:val="0071776A"/>
    <w:rsid w:val="00717893"/>
    <w:rsid w:val="007207E5"/>
    <w:rsid w:val="00721189"/>
    <w:rsid w:val="007221C3"/>
    <w:rsid w:val="007227E4"/>
    <w:rsid w:val="00722B43"/>
    <w:rsid w:val="00722F2C"/>
    <w:rsid w:val="007254D1"/>
    <w:rsid w:val="00725B32"/>
    <w:rsid w:val="00725B3C"/>
    <w:rsid w:val="007270A0"/>
    <w:rsid w:val="00732B42"/>
    <w:rsid w:val="00733D54"/>
    <w:rsid w:val="00736A4F"/>
    <w:rsid w:val="0073708B"/>
    <w:rsid w:val="00737753"/>
    <w:rsid w:val="00737768"/>
    <w:rsid w:val="00740575"/>
    <w:rsid w:val="00740BB8"/>
    <w:rsid w:val="00740CE9"/>
    <w:rsid w:val="007426F9"/>
    <w:rsid w:val="007428E3"/>
    <w:rsid w:val="00743943"/>
    <w:rsid w:val="0074394E"/>
    <w:rsid w:val="007441DC"/>
    <w:rsid w:val="0074422D"/>
    <w:rsid w:val="00750AED"/>
    <w:rsid w:val="00750D0A"/>
    <w:rsid w:val="00751D93"/>
    <w:rsid w:val="00752300"/>
    <w:rsid w:val="00753BF5"/>
    <w:rsid w:val="007546F8"/>
    <w:rsid w:val="0075579B"/>
    <w:rsid w:val="00755BAB"/>
    <w:rsid w:val="00755F5B"/>
    <w:rsid w:val="00757ECC"/>
    <w:rsid w:val="0076080E"/>
    <w:rsid w:val="00762C91"/>
    <w:rsid w:val="0076411D"/>
    <w:rsid w:val="00764505"/>
    <w:rsid w:val="00764D4B"/>
    <w:rsid w:val="00765E74"/>
    <w:rsid w:val="0076670C"/>
    <w:rsid w:val="0076690F"/>
    <w:rsid w:val="007670F8"/>
    <w:rsid w:val="007671D4"/>
    <w:rsid w:val="00770A85"/>
    <w:rsid w:val="00772057"/>
    <w:rsid w:val="00773483"/>
    <w:rsid w:val="00773C8C"/>
    <w:rsid w:val="00773DC9"/>
    <w:rsid w:val="0077572E"/>
    <w:rsid w:val="00777BE4"/>
    <w:rsid w:val="00777F55"/>
    <w:rsid w:val="0078031B"/>
    <w:rsid w:val="007803D0"/>
    <w:rsid w:val="00784F44"/>
    <w:rsid w:val="00786672"/>
    <w:rsid w:val="007872CF"/>
    <w:rsid w:val="00790668"/>
    <w:rsid w:val="00790AB2"/>
    <w:rsid w:val="007917B0"/>
    <w:rsid w:val="0079201C"/>
    <w:rsid w:val="007926D0"/>
    <w:rsid w:val="0079307F"/>
    <w:rsid w:val="007940C5"/>
    <w:rsid w:val="007947C4"/>
    <w:rsid w:val="0079480E"/>
    <w:rsid w:val="00794CE7"/>
    <w:rsid w:val="00795812"/>
    <w:rsid w:val="00795CE1"/>
    <w:rsid w:val="00796540"/>
    <w:rsid w:val="007976DB"/>
    <w:rsid w:val="007A047D"/>
    <w:rsid w:val="007A0646"/>
    <w:rsid w:val="007A06AC"/>
    <w:rsid w:val="007A1B2F"/>
    <w:rsid w:val="007A31B8"/>
    <w:rsid w:val="007A4636"/>
    <w:rsid w:val="007A4874"/>
    <w:rsid w:val="007A513E"/>
    <w:rsid w:val="007A54E2"/>
    <w:rsid w:val="007A5510"/>
    <w:rsid w:val="007A5B78"/>
    <w:rsid w:val="007B1014"/>
    <w:rsid w:val="007B103F"/>
    <w:rsid w:val="007B1484"/>
    <w:rsid w:val="007B1A10"/>
    <w:rsid w:val="007B31AB"/>
    <w:rsid w:val="007B3268"/>
    <w:rsid w:val="007B37F1"/>
    <w:rsid w:val="007B42D3"/>
    <w:rsid w:val="007B46D9"/>
    <w:rsid w:val="007B5B98"/>
    <w:rsid w:val="007B6659"/>
    <w:rsid w:val="007B6C39"/>
    <w:rsid w:val="007B76AB"/>
    <w:rsid w:val="007B7DBD"/>
    <w:rsid w:val="007C039F"/>
    <w:rsid w:val="007C264B"/>
    <w:rsid w:val="007C309E"/>
    <w:rsid w:val="007C322E"/>
    <w:rsid w:val="007C33AD"/>
    <w:rsid w:val="007C3441"/>
    <w:rsid w:val="007C3A2B"/>
    <w:rsid w:val="007C45D3"/>
    <w:rsid w:val="007C597B"/>
    <w:rsid w:val="007C5DDD"/>
    <w:rsid w:val="007C760C"/>
    <w:rsid w:val="007D08FD"/>
    <w:rsid w:val="007D0A87"/>
    <w:rsid w:val="007D1584"/>
    <w:rsid w:val="007D2044"/>
    <w:rsid w:val="007D4F33"/>
    <w:rsid w:val="007D554B"/>
    <w:rsid w:val="007D5881"/>
    <w:rsid w:val="007D61EA"/>
    <w:rsid w:val="007D65C7"/>
    <w:rsid w:val="007D74D2"/>
    <w:rsid w:val="007D7623"/>
    <w:rsid w:val="007D79B5"/>
    <w:rsid w:val="007E0419"/>
    <w:rsid w:val="007E0DCA"/>
    <w:rsid w:val="007E18B3"/>
    <w:rsid w:val="007E2334"/>
    <w:rsid w:val="007E23CE"/>
    <w:rsid w:val="007E2CE7"/>
    <w:rsid w:val="007E4041"/>
    <w:rsid w:val="007E4269"/>
    <w:rsid w:val="007E43D0"/>
    <w:rsid w:val="007E4F00"/>
    <w:rsid w:val="007E54F8"/>
    <w:rsid w:val="007E56EC"/>
    <w:rsid w:val="007E5987"/>
    <w:rsid w:val="007E5BD8"/>
    <w:rsid w:val="007E5BED"/>
    <w:rsid w:val="007E6FA7"/>
    <w:rsid w:val="007E71EA"/>
    <w:rsid w:val="007E7BF9"/>
    <w:rsid w:val="007F0235"/>
    <w:rsid w:val="007F02BC"/>
    <w:rsid w:val="007F1670"/>
    <w:rsid w:val="007F1D17"/>
    <w:rsid w:val="007F20D7"/>
    <w:rsid w:val="007F2E65"/>
    <w:rsid w:val="007F3CDF"/>
    <w:rsid w:val="007F43BA"/>
    <w:rsid w:val="007F45D1"/>
    <w:rsid w:val="007F595A"/>
    <w:rsid w:val="007F64BE"/>
    <w:rsid w:val="007F66BA"/>
    <w:rsid w:val="007F6DC3"/>
    <w:rsid w:val="007F7CF8"/>
    <w:rsid w:val="007F7F3A"/>
    <w:rsid w:val="008006B4"/>
    <w:rsid w:val="00800D2E"/>
    <w:rsid w:val="00800D86"/>
    <w:rsid w:val="008015B6"/>
    <w:rsid w:val="00801F9A"/>
    <w:rsid w:val="00803FD4"/>
    <w:rsid w:val="0080481C"/>
    <w:rsid w:val="00804C54"/>
    <w:rsid w:val="008056DD"/>
    <w:rsid w:val="00806E4A"/>
    <w:rsid w:val="008075DB"/>
    <w:rsid w:val="008101CD"/>
    <w:rsid w:val="00810D3E"/>
    <w:rsid w:val="0081104C"/>
    <w:rsid w:val="008121F2"/>
    <w:rsid w:val="00812D16"/>
    <w:rsid w:val="0081315F"/>
    <w:rsid w:val="00813247"/>
    <w:rsid w:val="00816170"/>
    <w:rsid w:val="00816C51"/>
    <w:rsid w:val="008175B3"/>
    <w:rsid w:val="00820708"/>
    <w:rsid w:val="00821865"/>
    <w:rsid w:val="008225EB"/>
    <w:rsid w:val="0082327D"/>
    <w:rsid w:val="0082433D"/>
    <w:rsid w:val="0082445A"/>
    <w:rsid w:val="00825558"/>
    <w:rsid w:val="00826509"/>
    <w:rsid w:val="00826B20"/>
    <w:rsid w:val="00831B01"/>
    <w:rsid w:val="0083354D"/>
    <w:rsid w:val="0083561B"/>
    <w:rsid w:val="00837D78"/>
    <w:rsid w:val="00840D79"/>
    <w:rsid w:val="00840FD3"/>
    <w:rsid w:val="0084128E"/>
    <w:rsid w:val="00842A21"/>
    <w:rsid w:val="008442F6"/>
    <w:rsid w:val="00845C7D"/>
    <w:rsid w:val="00845DAD"/>
    <w:rsid w:val="00846172"/>
    <w:rsid w:val="00851377"/>
    <w:rsid w:val="008513C1"/>
    <w:rsid w:val="00851AE0"/>
    <w:rsid w:val="0085375B"/>
    <w:rsid w:val="00853C5F"/>
    <w:rsid w:val="0085437C"/>
    <w:rsid w:val="00854B2F"/>
    <w:rsid w:val="00855481"/>
    <w:rsid w:val="00855508"/>
    <w:rsid w:val="00856354"/>
    <w:rsid w:val="008568E1"/>
    <w:rsid w:val="00856BE9"/>
    <w:rsid w:val="00856F6B"/>
    <w:rsid w:val="008578F8"/>
    <w:rsid w:val="00857E29"/>
    <w:rsid w:val="00860566"/>
    <w:rsid w:val="0086129A"/>
    <w:rsid w:val="0086165C"/>
    <w:rsid w:val="00861B26"/>
    <w:rsid w:val="00862EED"/>
    <w:rsid w:val="008634FF"/>
    <w:rsid w:val="00863A18"/>
    <w:rsid w:val="008640FA"/>
    <w:rsid w:val="008643FC"/>
    <w:rsid w:val="008645FF"/>
    <w:rsid w:val="008648F8"/>
    <w:rsid w:val="008649B9"/>
    <w:rsid w:val="008657DF"/>
    <w:rsid w:val="00865D13"/>
    <w:rsid w:val="00865DBD"/>
    <w:rsid w:val="00867040"/>
    <w:rsid w:val="0086784F"/>
    <w:rsid w:val="00870394"/>
    <w:rsid w:val="0087073B"/>
    <w:rsid w:val="00872011"/>
    <w:rsid w:val="00873967"/>
    <w:rsid w:val="008743BB"/>
    <w:rsid w:val="00874C17"/>
    <w:rsid w:val="00875E32"/>
    <w:rsid w:val="008763DF"/>
    <w:rsid w:val="0087673D"/>
    <w:rsid w:val="008770D4"/>
    <w:rsid w:val="008772D7"/>
    <w:rsid w:val="008775E0"/>
    <w:rsid w:val="008800E5"/>
    <w:rsid w:val="0088127F"/>
    <w:rsid w:val="008815EF"/>
    <w:rsid w:val="00883ED5"/>
    <w:rsid w:val="00885273"/>
    <w:rsid w:val="00885F2C"/>
    <w:rsid w:val="008861F4"/>
    <w:rsid w:val="00886386"/>
    <w:rsid w:val="0088701C"/>
    <w:rsid w:val="00891D76"/>
    <w:rsid w:val="00892459"/>
    <w:rsid w:val="008929AA"/>
    <w:rsid w:val="00892AA5"/>
    <w:rsid w:val="0089499B"/>
    <w:rsid w:val="00894ACA"/>
    <w:rsid w:val="00894EC5"/>
    <w:rsid w:val="0089585B"/>
    <w:rsid w:val="00895B09"/>
    <w:rsid w:val="00896658"/>
    <w:rsid w:val="008967B5"/>
    <w:rsid w:val="008A03AC"/>
    <w:rsid w:val="008A06DF"/>
    <w:rsid w:val="008A1008"/>
    <w:rsid w:val="008A1F1A"/>
    <w:rsid w:val="008A345A"/>
    <w:rsid w:val="008A39F5"/>
    <w:rsid w:val="008A3DB9"/>
    <w:rsid w:val="008A5552"/>
    <w:rsid w:val="008A6A5C"/>
    <w:rsid w:val="008A7316"/>
    <w:rsid w:val="008A7352"/>
    <w:rsid w:val="008B01A4"/>
    <w:rsid w:val="008B0ECA"/>
    <w:rsid w:val="008B1696"/>
    <w:rsid w:val="008B4A1C"/>
    <w:rsid w:val="008B500A"/>
    <w:rsid w:val="008B5322"/>
    <w:rsid w:val="008B7973"/>
    <w:rsid w:val="008C090B"/>
    <w:rsid w:val="008C1610"/>
    <w:rsid w:val="008C2F1E"/>
    <w:rsid w:val="008C30E5"/>
    <w:rsid w:val="008C3B5B"/>
    <w:rsid w:val="008C409F"/>
    <w:rsid w:val="008C602D"/>
    <w:rsid w:val="008C6BCC"/>
    <w:rsid w:val="008D098D"/>
    <w:rsid w:val="008D0A02"/>
    <w:rsid w:val="008D0CBD"/>
    <w:rsid w:val="008D135A"/>
    <w:rsid w:val="008D1A43"/>
    <w:rsid w:val="008D2205"/>
    <w:rsid w:val="008D2331"/>
    <w:rsid w:val="008D28EA"/>
    <w:rsid w:val="008D347F"/>
    <w:rsid w:val="008D35AD"/>
    <w:rsid w:val="008D36CD"/>
    <w:rsid w:val="008D4380"/>
    <w:rsid w:val="008D48D1"/>
    <w:rsid w:val="008D4EED"/>
    <w:rsid w:val="008D52E1"/>
    <w:rsid w:val="008D6BE8"/>
    <w:rsid w:val="008E27E9"/>
    <w:rsid w:val="008E2A0F"/>
    <w:rsid w:val="008E42DE"/>
    <w:rsid w:val="008E4C4E"/>
    <w:rsid w:val="008E5373"/>
    <w:rsid w:val="008E66A2"/>
    <w:rsid w:val="008F0CAC"/>
    <w:rsid w:val="008F11FA"/>
    <w:rsid w:val="008F1F3A"/>
    <w:rsid w:val="008F2C49"/>
    <w:rsid w:val="008F32CD"/>
    <w:rsid w:val="008F36F0"/>
    <w:rsid w:val="008F66BC"/>
    <w:rsid w:val="008F7CFF"/>
    <w:rsid w:val="008F7ED1"/>
    <w:rsid w:val="008F7FEA"/>
    <w:rsid w:val="009018CF"/>
    <w:rsid w:val="00901C8D"/>
    <w:rsid w:val="009038FC"/>
    <w:rsid w:val="009044DF"/>
    <w:rsid w:val="00904945"/>
    <w:rsid w:val="00904A4D"/>
    <w:rsid w:val="00905643"/>
    <w:rsid w:val="00905EE9"/>
    <w:rsid w:val="009065F4"/>
    <w:rsid w:val="009075A7"/>
    <w:rsid w:val="009076A7"/>
    <w:rsid w:val="00907DD5"/>
    <w:rsid w:val="00907DFB"/>
    <w:rsid w:val="00910624"/>
    <w:rsid w:val="00910FBA"/>
    <w:rsid w:val="00911D39"/>
    <w:rsid w:val="00912B9F"/>
    <w:rsid w:val="00912BFD"/>
    <w:rsid w:val="00912E25"/>
    <w:rsid w:val="00914BE6"/>
    <w:rsid w:val="00914E0E"/>
    <w:rsid w:val="00917907"/>
    <w:rsid w:val="00917C0F"/>
    <w:rsid w:val="0092040E"/>
    <w:rsid w:val="00920C6C"/>
    <w:rsid w:val="00921897"/>
    <w:rsid w:val="00921C6D"/>
    <w:rsid w:val="009227D9"/>
    <w:rsid w:val="009232A2"/>
    <w:rsid w:val="00923C44"/>
    <w:rsid w:val="0092505A"/>
    <w:rsid w:val="00925180"/>
    <w:rsid w:val="00927791"/>
    <w:rsid w:val="00927FCA"/>
    <w:rsid w:val="00930607"/>
    <w:rsid w:val="00930D0A"/>
    <w:rsid w:val="009329BA"/>
    <w:rsid w:val="00932D9C"/>
    <w:rsid w:val="0093304D"/>
    <w:rsid w:val="009348E5"/>
    <w:rsid w:val="00934A94"/>
    <w:rsid w:val="00934DBA"/>
    <w:rsid w:val="00935536"/>
    <w:rsid w:val="00936939"/>
    <w:rsid w:val="00937479"/>
    <w:rsid w:val="0094053B"/>
    <w:rsid w:val="009413E2"/>
    <w:rsid w:val="009417F7"/>
    <w:rsid w:val="00942040"/>
    <w:rsid w:val="0094258D"/>
    <w:rsid w:val="00942C9F"/>
    <w:rsid w:val="00942EFC"/>
    <w:rsid w:val="00943F98"/>
    <w:rsid w:val="009445C9"/>
    <w:rsid w:val="00945631"/>
    <w:rsid w:val="0094679E"/>
    <w:rsid w:val="00947549"/>
    <w:rsid w:val="00947CF3"/>
    <w:rsid w:val="00955D9B"/>
    <w:rsid w:val="00956958"/>
    <w:rsid w:val="00956C5C"/>
    <w:rsid w:val="009572C4"/>
    <w:rsid w:val="0095793C"/>
    <w:rsid w:val="0096045D"/>
    <w:rsid w:val="0096111E"/>
    <w:rsid w:val="00961125"/>
    <w:rsid w:val="009623D8"/>
    <w:rsid w:val="00963362"/>
    <w:rsid w:val="00963BD1"/>
    <w:rsid w:val="009641CC"/>
    <w:rsid w:val="00966AD5"/>
    <w:rsid w:val="00966B1F"/>
    <w:rsid w:val="00967D26"/>
    <w:rsid w:val="00970A7E"/>
    <w:rsid w:val="00970DDA"/>
    <w:rsid w:val="0097116E"/>
    <w:rsid w:val="00972BF8"/>
    <w:rsid w:val="00972EF6"/>
    <w:rsid w:val="00973CB3"/>
    <w:rsid w:val="00974518"/>
    <w:rsid w:val="009747F1"/>
    <w:rsid w:val="00974F2B"/>
    <w:rsid w:val="0097513C"/>
    <w:rsid w:val="00975617"/>
    <w:rsid w:val="009759C1"/>
    <w:rsid w:val="00975D53"/>
    <w:rsid w:val="00976C34"/>
    <w:rsid w:val="00977A25"/>
    <w:rsid w:val="0098035D"/>
    <w:rsid w:val="00980FE0"/>
    <w:rsid w:val="00985686"/>
    <w:rsid w:val="00985D1C"/>
    <w:rsid w:val="00985F8B"/>
    <w:rsid w:val="00987D67"/>
    <w:rsid w:val="00990C3B"/>
    <w:rsid w:val="00991CBD"/>
    <w:rsid w:val="009921E6"/>
    <w:rsid w:val="009928B7"/>
    <w:rsid w:val="0099321A"/>
    <w:rsid w:val="009947E8"/>
    <w:rsid w:val="009960B7"/>
    <w:rsid w:val="00996F08"/>
    <w:rsid w:val="009972FE"/>
    <w:rsid w:val="009A0932"/>
    <w:rsid w:val="009A18AD"/>
    <w:rsid w:val="009A1D74"/>
    <w:rsid w:val="009A4C2D"/>
    <w:rsid w:val="009B0152"/>
    <w:rsid w:val="009B061C"/>
    <w:rsid w:val="009B2C91"/>
    <w:rsid w:val="009B3096"/>
    <w:rsid w:val="009B3DC4"/>
    <w:rsid w:val="009B536C"/>
    <w:rsid w:val="009B5C19"/>
    <w:rsid w:val="009B6496"/>
    <w:rsid w:val="009C01DA"/>
    <w:rsid w:val="009C03B2"/>
    <w:rsid w:val="009C10C1"/>
    <w:rsid w:val="009C1528"/>
    <w:rsid w:val="009C20CC"/>
    <w:rsid w:val="009C2BDF"/>
    <w:rsid w:val="009C3057"/>
    <w:rsid w:val="009C3558"/>
    <w:rsid w:val="009C504A"/>
    <w:rsid w:val="009C562E"/>
    <w:rsid w:val="009C5E44"/>
    <w:rsid w:val="009C7531"/>
    <w:rsid w:val="009D0862"/>
    <w:rsid w:val="009D220C"/>
    <w:rsid w:val="009D221F"/>
    <w:rsid w:val="009D55B7"/>
    <w:rsid w:val="009E09F0"/>
    <w:rsid w:val="009E19E8"/>
    <w:rsid w:val="009E377C"/>
    <w:rsid w:val="009E411C"/>
    <w:rsid w:val="009E44EC"/>
    <w:rsid w:val="009E458A"/>
    <w:rsid w:val="009E4ED8"/>
    <w:rsid w:val="009E5316"/>
    <w:rsid w:val="009E5D7C"/>
    <w:rsid w:val="009E5DFC"/>
    <w:rsid w:val="009E68E0"/>
    <w:rsid w:val="009E6B3B"/>
    <w:rsid w:val="009E728F"/>
    <w:rsid w:val="009E74EA"/>
    <w:rsid w:val="009F1789"/>
    <w:rsid w:val="009F2E3B"/>
    <w:rsid w:val="009F36D2"/>
    <w:rsid w:val="009F39E9"/>
    <w:rsid w:val="009F3B6B"/>
    <w:rsid w:val="009F4504"/>
    <w:rsid w:val="009F4641"/>
    <w:rsid w:val="009F4E10"/>
    <w:rsid w:val="009F502C"/>
    <w:rsid w:val="009F58EC"/>
    <w:rsid w:val="009F603B"/>
    <w:rsid w:val="009F6987"/>
    <w:rsid w:val="009F720F"/>
    <w:rsid w:val="00A0050A"/>
    <w:rsid w:val="00A010E7"/>
    <w:rsid w:val="00A01262"/>
    <w:rsid w:val="00A01A17"/>
    <w:rsid w:val="00A01A60"/>
    <w:rsid w:val="00A02A8E"/>
    <w:rsid w:val="00A04AD9"/>
    <w:rsid w:val="00A05C86"/>
    <w:rsid w:val="00A06E6E"/>
    <w:rsid w:val="00A076F9"/>
    <w:rsid w:val="00A07997"/>
    <w:rsid w:val="00A07F87"/>
    <w:rsid w:val="00A13659"/>
    <w:rsid w:val="00A158E7"/>
    <w:rsid w:val="00A1637F"/>
    <w:rsid w:val="00A206ED"/>
    <w:rsid w:val="00A20806"/>
    <w:rsid w:val="00A20C7F"/>
    <w:rsid w:val="00A21D41"/>
    <w:rsid w:val="00A22422"/>
    <w:rsid w:val="00A22CA8"/>
    <w:rsid w:val="00A22DBA"/>
    <w:rsid w:val="00A230F6"/>
    <w:rsid w:val="00A2329D"/>
    <w:rsid w:val="00A238A8"/>
    <w:rsid w:val="00A2490E"/>
    <w:rsid w:val="00A25442"/>
    <w:rsid w:val="00A25515"/>
    <w:rsid w:val="00A25BFF"/>
    <w:rsid w:val="00A2617A"/>
    <w:rsid w:val="00A26648"/>
    <w:rsid w:val="00A26F79"/>
    <w:rsid w:val="00A27522"/>
    <w:rsid w:val="00A30F9A"/>
    <w:rsid w:val="00A3136F"/>
    <w:rsid w:val="00A3237A"/>
    <w:rsid w:val="00A34D0C"/>
    <w:rsid w:val="00A34D76"/>
    <w:rsid w:val="00A365D0"/>
    <w:rsid w:val="00A37645"/>
    <w:rsid w:val="00A402B8"/>
    <w:rsid w:val="00A4043E"/>
    <w:rsid w:val="00A4264A"/>
    <w:rsid w:val="00A4298D"/>
    <w:rsid w:val="00A437D9"/>
    <w:rsid w:val="00A43B7C"/>
    <w:rsid w:val="00A43C16"/>
    <w:rsid w:val="00A4422A"/>
    <w:rsid w:val="00A443A6"/>
    <w:rsid w:val="00A45A1A"/>
    <w:rsid w:val="00A45E61"/>
    <w:rsid w:val="00A472DD"/>
    <w:rsid w:val="00A47E66"/>
    <w:rsid w:val="00A47F32"/>
    <w:rsid w:val="00A505E4"/>
    <w:rsid w:val="00A5185B"/>
    <w:rsid w:val="00A53220"/>
    <w:rsid w:val="00A538E6"/>
    <w:rsid w:val="00A54465"/>
    <w:rsid w:val="00A54514"/>
    <w:rsid w:val="00A5514E"/>
    <w:rsid w:val="00A5597C"/>
    <w:rsid w:val="00A55A3C"/>
    <w:rsid w:val="00A56102"/>
    <w:rsid w:val="00A56800"/>
    <w:rsid w:val="00A56D7E"/>
    <w:rsid w:val="00A57404"/>
    <w:rsid w:val="00A575BD"/>
    <w:rsid w:val="00A60B14"/>
    <w:rsid w:val="00A60EEC"/>
    <w:rsid w:val="00A617FB"/>
    <w:rsid w:val="00A635CC"/>
    <w:rsid w:val="00A63B83"/>
    <w:rsid w:val="00A63F14"/>
    <w:rsid w:val="00A65BD9"/>
    <w:rsid w:val="00A66718"/>
    <w:rsid w:val="00A66A7C"/>
    <w:rsid w:val="00A671EF"/>
    <w:rsid w:val="00A70B31"/>
    <w:rsid w:val="00A72672"/>
    <w:rsid w:val="00A734B6"/>
    <w:rsid w:val="00A73A74"/>
    <w:rsid w:val="00A759FE"/>
    <w:rsid w:val="00A75CF2"/>
    <w:rsid w:val="00A75FE1"/>
    <w:rsid w:val="00A76A08"/>
    <w:rsid w:val="00A76D67"/>
    <w:rsid w:val="00A77562"/>
    <w:rsid w:val="00A776B8"/>
    <w:rsid w:val="00A77DB9"/>
    <w:rsid w:val="00A810C1"/>
    <w:rsid w:val="00A81A9F"/>
    <w:rsid w:val="00A81EB6"/>
    <w:rsid w:val="00A81ECE"/>
    <w:rsid w:val="00A82F2D"/>
    <w:rsid w:val="00A837FE"/>
    <w:rsid w:val="00A85357"/>
    <w:rsid w:val="00A871E5"/>
    <w:rsid w:val="00A87396"/>
    <w:rsid w:val="00A902DD"/>
    <w:rsid w:val="00A91617"/>
    <w:rsid w:val="00A91EAC"/>
    <w:rsid w:val="00A93C1C"/>
    <w:rsid w:val="00A96FA8"/>
    <w:rsid w:val="00A9770A"/>
    <w:rsid w:val="00AA0230"/>
    <w:rsid w:val="00AA0A43"/>
    <w:rsid w:val="00AA0DD3"/>
    <w:rsid w:val="00AA1C07"/>
    <w:rsid w:val="00AA2F04"/>
    <w:rsid w:val="00AA3688"/>
    <w:rsid w:val="00AA4D13"/>
    <w:rsid w:val="00AA5887"/>
    <w:rsid w:val="00AA6A7B"/>
    <w:rsid w:val="00AB19F8"/>
    <w:rsid w:val="00AB2A61"/>
    <w:rsid w:val="00AB3A12"/>
    <w:rsid w:val="00AB49D5"/>
    <w:rsid w:val="00AB4FB3"/>
    <w:rsid w:val="00AB59FE"/>
    <w:rsid w:val="00AB5A8D"/>
    <w:rsid w:val="00AB6642"/>
    <w:rsid w:val="00AB6D63"/>
    <w:rsid w:val="00AC030B"/>
    <w:rsid w:val="00AC26A9"/>
    <w:rsid w:val="00AC2EFE"/>
    <w:rsid w:val="00AC3930"/>
    <w:rsid w:val="00AC3AB1"/>
    <w:rsid w:val="00AC68C6"/>
    <w:rsid w:val="00AC79C1"/>
    <w:rsid w:val="00AC7CA4"/>
    <w:rsid w:val="00AD1FF3"/>
    <w:rsid w:val="00AD41A2"/>
    <w:rsid w:val="00AD493B"/>
    <w:rsid w:val="00AD4A64"/>
    <w:rsid w:val="00AD4D4E"/>
    <w:rsid w:val="00AD598F"/>
    <w:rsid w:val="00AD6D09"/>
    <w:rsid w:val="00AD78CE"/>
    <w:rsid w:val="00AE07DA"/>
    <w:rsid w:val="00AE098E"/>
    <w:rsid w:val="00AE0BBA"/>
    <w:rsid w:val="00AE193D"/>
    <w:rsid w:val="00AE2291"/>
    <w:rsid w:val="00AE25C8"/>
    <w:rsid w:val="00AE2CBE"/>
    <w:rsid w:val="00AE4003"/>
    <w:rsid w:val="00AE4113"/>
    <w:rsid w:val="00AE4380"/>
    <w:rsid w:val="00AE4FAC"/>
    <w:rsid w:val="00AE5525"/>
    <w:rsid w:val="00AE6381"/>
    <w:rsid w:val="00AE640C"/>
    <w:rsid w:val="00AE656F"/>
    <w:rsid w:val="00AE6CB0"/>
    <w:rsid w:val="00AE6D42"/>
    <w:rsid w:val="00AE7C3A"/>
    <w:rsid w:val="00AE7D78"/>
    <w:rsid w:val="00AF0C33"/>
    <w:rsid w:val="00AF2CCF"/>
    <w:rsid w:val="00AF308B"/>
    <w:rsid w:val="00AF41F6"/>
    <w:rsid w:val="00AF438E"/>
    <w:rsid w:val="00AF45CA"/>
    <w:rsid w:val="00AF4910"/>
    <w:rsid w:val="00AF5912"/>
    <w:rsid w:val="00AF5CEE"/>
    <w:rsid w:val="00AF6366"/>
    <w:rsid w:val="00AF7506"/>
    <w:rsid w:val="00AF7769"/>
    <w:rsid w:val="00B007DD"/>
    <w:rsid w:val="00B0097C"/>
    <w:rsid w:val="00B0098A"/>
    <w:rsid w:val="00B00F54"/>
    <w:rsid w:val="00B01016"/>
    <w:rsid w:val="00B0146E"/>
    <w:rsid w:val="00B02160"/>
    <w:rsid w:val="00B026E7"/>
    <w:rsid w:val="00B027CB"/>
    <w:rsid w:val="00B0352B"/>
    <w:rsid w:val="00B06370"/>
    <w:rsid w:val="00B073E6"/>
    <w:rsid w:val="00B074F8"/>
    <w:rsid w:val="00B11A3D"/>
    <w:rsid w:val="00B121B0"/>
    <w:rsid w:val="00B12D42"/>
    <w:rsid w:val="00B13962"/>
    <w:rsid w:val="00B13B87"/>
    <w:rsid w:val="00B17FAB"/>
    <w:rsid w:val="00B2082E"/>
    <w:rsid w:val="00B21221"/>
    <w:rsid w:val="00B22C5F"/>
    <w:rsid w:val="00B230A3"/>
    <w:rsid w:val="00B23487"/>
    <w:rsid w:val="00B23687"/>
    <w:rsid w:val="00B24098"/>
    <w:rsid w:val="00B25710"/>
    <w:rsid w:val="00B2701D"/>
    <w:rsid w:val="00B27B03"/>
    <w:rsid w:val="00B31160"/>
    <w:rsid w:val="00B31B62"/>
    <w:rsid w:val="00B3208E"/>
    <w:rsid w:val="00B3270B"/>
    <w:rsid w:val="00B328C1"/>
    <w:rsid w:val="00B33711"/>
    <w:rsid w:val="00B34889"/>
    <w:rsid w:val="00B35303"/>
    <w:rsid w:val="00B357FE"/>
    <w:rsid w:val="00B36680"/>
    <w:rsid w:val="00B37550"/>
    <w:rsid w:val="00B37687"/>
    <w:rsid w:val="00B402C6"/>
    <w:rsid w:val="00B4195B"/>
    <w:rsid w:val="00B41DC1"/>
    <w:rsid w:val="00B42607"/>
    <w:rsid w:val="00B42BBD"/>
    <w:rsid w:val="00B42F69"/>
    <w:rsid w:val="00B43C2C"/>
    <w:rsid w:val="00B46EC7"/>
    <w:rsid w:val="00B50A91"/>
    <w:rsid w:val="00B5160B"/>
    <w:rsid w:val="00B51761"/>
    <w:rsid w:val="00B51871"/>
    <w:rsid w:val="00B52022"/>
    <w:rsid w:val="00B52187"/>
    <w:rsid w:val="00B52EB1"/>
    <w:rsid w:val="00B544C8"/>
    <w:rsid w:val="00B54691"/>
    <w:rsid w:val="00B56D93"/>
    <w:rsid w:val="00B60CCD"/>
    <w:rsid w:val="00B62854"/>
    <w:rsid w:val="00B62C0E"/>
    <w:rsid w:val="00B62EF1"/>
    <w:rsid w:val="00B63202"/>
    <w:rsid w:val="00B63DE7"/>
    <w:rsid w:val="00B640CC"/>
    <w:rsid w:val="00B645B6"/>
    <w:rsid w:val="00B64B2F"/>
    <w:rsid w:val="00B664ED"/>
    <w:rsid w:val="00B667BF"/>
    <w:rsid w:val="00B674D6"/>
    <w:rsid w:val="00B6797D"/>
    <w:rsid w:val="00B67BF9"/>
    <w:rsid w:val="00B700AB"/>
    <w:rsid w:val="00B713FF"/>
    <w:rsid w:val="00B71803"/>
    <w:rsid w:val="00B71F26"/>
    <w:rsid w:val="00B7245B"/>
    <w:rsid w:val="00B735B8"/>
    <w:rsid w:val="00B73AC8"/>
    <w:rsid w:val="00B73CF3"/>
    <w:rsid w:val="00B73FF8"/>
    <w:rsid w:val="00B74858"/>
    <w:rsid w:val="00B752EB"/>
    <w:rsid w:val="00B76313"/>
    <w:rsid w:val="00B77BE4"/>
    <w:rsid w:val="00B812BE"/>
    <w:rsid w:val="00B813D5"/>
    <w:rsid w:val="00B81EA6"/>
    <w:rsid w:val="00B8258D"/>
    <w:rsid w:val="00B825B4"/>
    <w:rsid w:val="00B82B49"/>
    <w:rsid w:val="00B83704"/>
    <w:rsid w:val="00B8397F"/>
    <w:rsid w:val="00B84B7A"/>
    <w:rsid w:val="00B84E7E"/>
    <w:rsid w:val="00B8643B"/>
    <w:rsid w:val="00B86608"/>
    <w:rsid w:val="00B875F2"/>
    <w:rsid w:val="00B87847"/>
    <w:rsid w:val="00B90477"/>
    <w:rsid w:val="00B91047"/>
    <w:rsid w:val="00B92AA5"/>
    <w:rsid w:val="00B9368A"/>
    <w:rsid w:val="00B93904"/>
    <w:rsid w:val="00B94828"/>
    <w:rsid w:val="00B94C2B"/>
    <w:rsid w:val="00B955FE"/>
    <w:rsid w:val="00B96634"/>
    <w:rsid w:val="00B96744"/>
    <w:rsid w:val="00B97F4D"/>
    <w:rsid w:val="00BA010A"/>
    <w:rsid w:val="00BA0B9F"/>
    <w:rsid w:val="00BA126E"/>
    <w:rsid w:val="00BA3287"/>
    <w:rsid w:val="00BA5273"/>
    <w:rsid w:val="00BA5821"/>
    <w:rsid w:val="00BA6419"/>
    <w:rsid w:val="00BA6550"/>
    <w:rsid w:val="00BB097D"/>
    <w:rsid w:val="00BB0FC6"/>
    <w:rsid w:val="00BB1793"/>
    <w:rsid w:val="00BB2F40"/>
    <w:rsid w:val="00BB3642"/>
    <w:rsid w:val="00BB440C"/>
    <w:rsid w:val="00BB4A3B"/>
    <w:rsid w:val="00BB59F6"/>
    <w:rsid w:val="00BB5EF0"/>
    <w:rsid w:val="00BB66AB"/>
    <w:rsid w:val="00BB7BBA"/>
    <w:rsid w:val="00BC0AD6"/>
    <w:rsid w:val="00BC122E"/>
    <w:rsid w:val="00BC15D9"/>
    <w:rsid w:val="00BC163C"/>
    <w:rsid w:val="00BC3584"/>
    <w:rsid w:val="00BC52A1"/>
    <w:rsid w:val="00BC5838"/>
    <w:rsid w:val="00BC6075"/>
    <w:rsid w:val="00BC6DC2"/>
    <w:rsid w:val="00BD0457"/>
    <w:rsid w:val="00BD54E2"/>
    <w:rsid w:val="00BD736B"/>
    <w:rsid w:val="00BE1656"/>
    <w:rsid w:val="00BE4ED6"/>
    <w:rsid w:val="00BE54F3"/>
    <w:rsid w:val="00BE5F67"/>
    <w:rsid w:val="00BE7920"/>
    <w:rsid w:val="00BF1E46"/>
    <w:rsid w:val="00BF22CD"/>
    <w:rsid w:val="00BF2A3A"/>
    <w:rsid w:val="00BF2CD1"/>
    <w:rsid w:val="00BF2F0B"/>
    <w:rsid w:val="00BF4B6A"/>
    <w:rsid w:val="00BF5135"/>
    <w:rsid w:val="00BF5AB0"/>
    <w:rsid w:val="00BF7DD0"/>
    <w:rsid w:val="00C00312"/>
    <w:rsid w:val="00C00828"/>
    <w:rsid w:val="00C009F5"/>
    <w:rsid w:val="00C01129"/>
    <w:rsid w:val="00C015E8"/>
    <w:rsid w:val="00C02239"/>
    <w:rsid w:val="00C022E1"/>
    <w:rsid w:val="00C0398D"/>
    <w:rsid w:val="00C03E65"/>
    <w:rsid w:val="00C03EA6"/>
    <w:rsid w:val="00C05993"/>
    <w:rsid w:val="00C05C3D"/>
    <w:rsid w:val="00C06334"/>
    <w:rsid w:val="00C071AC"/>
    <w:rsid w:val="00C07EF8"/>
    <w:rsid w:val="00C100F1"/>
    <w:rsid w:val="00C109A2"/>
    <w:rsid w:val="00C11E4C"/>
    <w:rsid w:val="00C12A1E"/>
    <w:rsid w:val="00C12CE4"/>
    <w:rsid w:val="00C145C8"/>
    <w:rsid w:val="00C14954"/>
    <w:rsid w:val="00C14E7E"/>
    <w:rsid w:val="00C1519B"/>
    <w:rsid w:val="00C163F5"/>
    <w:rsid w:val="00C16C78"/>
    <w:rsid w:val="00C179B0"/>
    <w:rsid w:val="00C2015D"/>
    <w:rsid w:val="00C20245"/>
    <w:rsid w:val="00C20CA6"/>
    <w:rsid w:val="00C226F9"/>
    <w:rsid w:val="00C23398"/>
    <w:rsid w:val="00C233E9"/>
    <w:rsid w:val="00C23B23"/>
    <w:rsid w:val="00C2428B"/>
    <w:rsid w:val="00C25BB2"/>
    <w:rsid w:val="00C26C22"/>
    <w:rsid w:val="00C27B03"/>
    <w:rsid w:val="00C306EB"/>
    <w:rsid w:val="00C3089B"/>
    <w:rsid w:val="00C34B40"/>
    <w:rsid w:val="00C35836"/>
    <w:rsid w:val="00C36014"/>
    <w:rsid w:val="00C41008"/>
    <w:rsid w:val="00C4116B"/>
    <w:rsid w:val="00C41CD3"/>
    <w:rsid w:val="00C43438"/>
    <w:rsid w:val="00C44264"/>
    <w:rsid w:val="00C44632"/>
    <w:rsid w:val="00C46251"/>
    <w:rsid w:val="00C46B49"/>
    <w:rsid w:val="00C4790F"/>
    <w:rsid w:val="00C47FC0"/>
    <w:rsid w:val="00C5189F"/>
    <w:rsid w:val="00C52357"/>
    <w:rsid w:val="00C528CC"/>
    <w:rsid w:val="00C53ABD"/>
    <w:rsid w:val="00C53AD3"/>
    <w:rsid w:val="00C53C94"/>
    <w:rsid w:val="00C5485D"/>
    <w:rsid w:val="00C56A1A"/>
    <w:rsid w:val="00C57741"/>
    <w:rsid w:val="00C57E3F"/>
    <w:rsid w:val="00C6074F"/>
    <w:rsid w:val="00C6111C"/>
    <w:rsid w:val="00C6152D"/>
    <w:rsid w:val="00C61E45"/>
    <w:rsid w:val="00C62460"/>
    <w:rsid w:val="00C62568"/>
    <w:rsid w:val="00C64143"/>
    <w:rsid w:val="00C6434D"/>
    <w:rsid w:val="00C652E5"/>
    <w:rsid w:val="00C66E9E"/>
    <w:rsid w:val="00C67446"/>
    <w:rsid w:val="00C701F5"/>
    <w:rsid w:val="00C702CC"/>
    <w:rsid w:val="00C70898"/>
    <w:rsid w:val="00C70962"/>
    <w:rsid w:val="00C71674"/>
    <w:rsid w:val="00C73C37"/>
    <w:rsid w:val="00C742D9"/>
    <w:rsid w:val="00C76238"/>
    <w:rsid w:val="00C7697F"/>
    <w:rsid w:val="00C77AB6"/>
    <w:rsid w:val="00C805AF"/>
    <w:rsid w:val="00C8136C"/>
    <w:rsid w:val="00C823C1"/>
    <w:rsid w:val="00C828FF"/>
    <w:rsid w:val="00C82FAC"/>
    <w:rsid w:val="00C82FFA"/>
    <w:rsid w:val="00C837DE"/>
    <w:rsid w:val="00C84A1B"/>
    <w:rsid w:val="00C85521"/>
    <w:rsid w:val="00C856C0"/>
    <w:rsid w:val="00C85ECE"/>
    <w:rsid w:val="00C863EE"/>
    <w:rsid w:val="00C92646"/>
    <w:rsid w:val="00C9316A"/>
    <w:rsid w:val="00C937E7"/>
    <w:rsid w:val="00C93B5E"/>
    <w:rsid w:val="00C93D7A"/>
    <w:rsid w:val="00C95D8D"/>
    <w:rsid w:val="00C97890"/>
    <w:rsid w:val="00C97C7F"/>
    <w:rsid w:val="00CA12AB"/>
    <w:rsid w:val="00CA2283"/>
    <w:rsid w:val="00CA2AEF"/>
    <w:rsid w:val="00CA2CA3"/>
    <w:rsid w:val="00CA325F"/>
    <w:rsid w:val="00CA33B8"/>
    <w:rsid w:val="00CA482B"/>
    <w:rsid w:val="00CA4D80"/>
    <w:rsid w:val="00CA666D"/>
    <w:rsid w:val="00CA6AF5"/>
    <w:rsid w:val="00CB0721"/>
    <w:rsid w:val="00CB0AAA"/>
    <w:rsid w:val="00CB1582"/>
    <w:rsid w:val="00CB22B7"/>
    <w:rsid w:val="00CB31DA"/>
    <w:rsid w:val="00CB5032"/>
    <w:rsid w:val="00CB5F46"/>
    <w:rsid w:val="00CB69E2"/>
    <w:rsid w:val="00CB7DF6"/>
    <w:rsid w:val="00CC1229"/>
    <w:rsid w:val="00CC303F"/>
    <w:rsid w:val="00CC31C8"/>
    <w:rsid w:val="00CC3324"/>
    <w:rsid w:val="00CC3ADE"/>
    <w:rsid w:val="00CC3C96"/>
    <w:rsid w:val="00CC544E"/>
    <w:rsid w:val="00CD077C"/>
    <w:rsid w:val="00CD2B1A"/>
    <w:rsid w:val="00CD342A"/>
    <w:rsid w:val="00CD3940"/>
    <w:rsid w:val="00CD4619"/>
    <w:rsid w:val="00CD46E4"/>
    <w:rsid w:val="00CD7577"/>
    <w:rsid w:val="00CE2F14"/>
    <w:rsid w:val="00CE4239"/>
    <w:rsid w:val="00CE52B8"/>
    <w:rsid w:val="00CE6A0B"/>
    <w:rsid w:val="00CE7BF6"/>
    <w:rsid w:val="00CF0950"/>
    <w:rsid w:val="00CF3B07"/>
    <w:rsid w:val="00CF4C13"/>
    <w:rsid w:val="00CF4D03"/>
    <w:rsid w:val="00CF62E0"/>
    <w:rsid w:val="00CF6384"/>
    <w:rsid w:val="00CF6902"/>
    <w:rsid w:val="00D014F3"/>
    <w:rsid w:val="00D02B8F"/>
    <w:rsid w:val="00D03851"/>
    <w:rsid w:val="00D039E7"/>
    <w:rsid w:val="00D0401F"/>
    <w:rsid w:val="00D06E88"/>
    <w:rsid w:val="00D11F90"/>
    <w:rsid w:val="00D13527"/>
    <w:rsid w:val="00D14D98"/>
    <w:rsid w:val="00D15B0B"/>
    <w:rsid w:val="00D15E4E"/>
    <w:rsid w:val="00D16F06"/>
    <w:rsid w:val="00D17601"/>
    <w:rsid w:val="00D17E4E"/>
    <w:rsid w:val="00D200D5"/>
    <w:rsid w:val="00D20D6E"/>
    <w:rsid w:val="00D2109D"/>
    <w:rsid w:val="00D21300"/>
    <w:rsid w:val="00D22B54"/>
    <w:rsid w:val="00D22F7B"/>
    <w:rsid w:val="00D230DC"/>
    <w:rsid w:val="00D25130"/>
    <w:rsid w:val="00D26C9A"/>
    <w:rsid w:val="00D303E8"/>
    <w:rsid w:val="00D31BA6"/>
    <w:rsid w:val="00D33373"/>
    <w:rsid w:val="00D335E1"/>
    <w:rsid w:val="00D33A7D"/>
    <w:rsid w:val="00D3545E"/>
    <w:rsid w:val="00D35FEA"/>
    <w:rsid w:val="00D3664B"/>
    <w:rsid w:val="00D366E4"/>
    <w:rsid w:val="00D3748D"/>
    <w:rsid w:val="00D374D5"/>
    <w:rsid w:val="00D40D80"/>
    <w:rsid w:val="00D411D5"/>
    <w:rsid w:val="00D41BAA"/>
    <w:rsid w:val="00D423AC"/>
    <w:rsid w:val="00D44B15"/>
    <w:rsid w:val="00D44DC6"/>
    <w:rsid w:val="00D476EA"/>
    <w:rsid w:val="00D50AA5"/>
    <w:rsid w:val="00D514E5"/>
    <w:rsid w:val="00D5174E"/>
    <w:rsid w:val="00D53589"/>
    <w:rsid w:val="00D539D5"/>
    <w:rsid w:val="00D544D5"/>
    <w:rsid w:val="00D56795"/>
    <w:rsid w:val="00D57897"/>
    <w:rsid w:val="00D57EDB"/>
    <w:rsid w:val="00D602DE"/>
    <w:rsid w:val="00D6096A"/>
    <w:rsid w:val="00D60ABE"/>
    <w:rsid w:val="00D60CE5"/>
    <w:rsid w:val="00D60D9E"/>
    <w:rsid w:val="00D61811"/>
    <w:rsid w:val="00D61E82"/>
    <w:rsid w:val="00D6203B"/>
    <w:rsid w:val="00D62DDB"/>
    <w:rsid w:val="00D63F9F"/>
    <w:rsid w:val="00D646D3"/>
    <w:rsid w:val="00D662F2"/>
    <w:rsid w:val="00D665F1"/>
    <w:rsid w:val="00D6711E"/>
    <w:rsid w:val="00D72E79"/>
    <w:rsid w:val="00D73B08"/>
    <w:rsid w:val="00D740C3"/>
    <w:rsid w:val="00D75DF0"/>
    <w:rsid w:val="00D80127"/>
    <w:rsid w:val="00D804E2"/>
    <w:rsid w:val="00D805D1"/>
    <w:rsid w:val="00D80F13"/>
    <w:rsid w:val="00D81883"/>
    <w:rsid w:val="00D81FB3"/>
    <w:rsid w:val="00D82949"/>
    <w:rsid w:val="00D82FD7"/>
    <w:rsid w:val="00D84FA6"/>
    <w:rsid w:val="00D85585"/>
    <w:rsid w:val="00D85C5F"/>
    <w:rsid w:val="00D85ECC"/>
    <w:rsid w:val="00D864C7"/>
    <w:rsid w:val="00D86EB7"/>
    <w:rsid w:val="00D8732F"/>
    <w:rsid w:val="00D907A5"/>
    <w:rsid w:val="00D91E9F"/>
    <w:rsid w:val="00D92B5E"/>
    <w:rsid w:val="00D93388"/>
    <w:rsid w:val="00D936F4"/>
    <w:rsid w:val="00D93CFF"/>
    <w:rsid w:val="00D93FDB"/>
    <w:rsid w:val="00D94571"/>
    <w:rsid w:val="00D95457"/>
    <w:rsid w:val="00D96760"/>
    <w:rsid w:val="00D96CE2"/>
    <w:rsid w:val="00D97A7B"/>
    <w:rsid w:val="00DA1259"/>
    <w:rsid w:val="00DA1AAD"/>
    <w:rsid w:val="00DA1CFD"/>
    <w:rsid w:val="00DA1E08"/>
    <w:rsid w:val="00DA25D9"/>
    <w:rsid w:val="00DA4A52"/>
    <w:rsid w:val="00DA4FBC"/>
    <w:rsid w:val="00DA535B"/>
    <w:rsid w:val="00DA61B9"/>
    <w:rsid w:val="00DA7457"/>
    <w:rsid w:val="00DA78CC"/>
    <w:rsid w:val="00DB1083"/>
    <w:rsid w:val="00DB1B31"/>
    <w:rsid w:val="00DB2995"/>
    <w:rsid w:val="00DB2C78"/>
    <w:rsid w:val="00DB2ED0"/>
    <w:rsid w:val="00DB38F0"/>
    <w:rsid w:val="00DB3EE8"/>
    <w:rsid w:val="00DB4701"/>
    <w:rsid w:val="00DB4E76"/>
    <w:rsid w:val="00DB59BF"/>
    <w:rsid w:val="00DB59C0"/>
    <w:rsid w:val="00DB7C0D"/>
    <w:rsid w:val="00DC011A"/>
    <w:rsid w:val="00DC0146"/>
    <w:rsid w:val="00DC03EE"/>
    <w:rsid w:val="00DC26FD"/>
    <w:rsid w:val="00DC36B8"/>
    <w:rsid w:val="00DC53F2"/>
    <w:rsid w:val="00DC6B01"/>
    <w:rsid w:val="00DC7797"/>
    <w:rsid w:val="00DC7E53"/>
    <w:rsid w:val="00DD078A"/>
    <w:rsid w:val="00DD1737"/>
    <w:rsid w:val="00DD18B5"/>
    <w:rsid w:val="00DD2490"/>
    <w:rsid w:val="00DD34E1"/>
    <w:rsid w:val="00DD45E7"/>
    <w:rsid w:val="00DD46D1"/>
    <w:rsid w:val="00DD4FF2"/>
    <w:rsid w:val="00DD66FA"/>
    <w:rsid w:val="00DD71F6"/>
    <w:rsid w:val="00DD7667"/>
    <w:rsid w:val="00DD777C"/>
    <w:rsid w:val="00DE0D2F"/>
    <w:rsid w:val="00DE0D75"/>
    <w:rsid w:val="00DE11BE"/>
    <w:rsid w:val="00DE19EB"/>
    <w:rsid w:val="00DE5B0F"/>
    <w:rsid w:val="00DE684D"/>
    <w:rsid w:val="00DE79FA"/>
    <w:rsid w:val="00DF0FE3"/>
    <w:rsid w:val="00DF2CB1"/>
    <w:rsid w:val="00DF3EAF"/>
    <w:rsid w:val="00DF641F"/>
    <w:rsid w:val="00DF69F9"/>
    <w:rsid w:val="00E020B8"/>
    <w:rsid w:val="00E02579"/>
    <w:rsid w:val="00E0293F"/>
    <w:rsid w:val="00E02B50"/>
    <w:rsid w:val="00E0478E"/>
    <w:rsid w:val="00E04B3F"/>
    <w:rsid w:val="00E053DD"/>
    <w:rsid w:val="00E060C1"/>
    <w:rsid w:val="00E06B1E"/>
    <w:rsid w:val="00E075C5"/>
    <w:rsid w:val="00E07787"/>
    <w:rsid w:val="00E109F8"/>
    <w:rsid w:val="00E10AAF"/>
    <w:rsid w:val="00E11D49"/>
    <w:rsid w:val="00E147D5"/>
    <w:rsid w:val="00E14C0E"/>
    <w:rsid w:val="00E16642"/>
    <w:rsid w:val="00E1787C"/>
    <w:rsid w:val="00E179B7"/>
    <w:rsid w:val="00E17B3D"/>
    <w:rsid w:val="00E202EC"/>
    <w:rsid w:val="00E2109D"/>
    <w:rsid w:val="00E2249E"/>
    <w:rsid w:val="00E22B76"/>
    <w:rsid w:val="00E234F1"/>
    <w:rsid w:val="00E241ED"/>
    <w:rsid w:val="00E246A9"/>
    <w:rsid w:val="00E24E24"/>
    <w:rsid w:val="00E24E3A"/>
    <w:rsid w:val="00E25AF8"/>
    <w:rsid w:val="00E25CE8"/>
    <w:rsid w:val="00E26C55"/>
    <w:rsid w:val="00E26F6C"/>
    <w:rsid w:val="00E30F1E"/>
    <w:rsid w:val="00E31B58"/>
    <w:rsid w:val="00E31BD0"/>
    <w:rsid w:val="00E33A23"/>
    <w:rsid w:val="00E34CA3"/>
    <w:rsid w:val="00E35C4A"/>
    <w:rsid w:val="00E37A0F"/>
    <w:rsid w:val="00E37DA6"/>
    <w:rsid w:val="00E37FE3"/>
    <w:rsid w:val="00E40EB7"/>
    <w:rsid w:val="00E43AAA"/>
    <w:rsid w:val="00E44B4A"/>
    <w:rsid w:val="00E44C62"/>
    <w:rsid w:val="00E45642"/>
    <w:rsid w:val="00E45B54"/>
    <w:rsid w:val="00E51141"/>
    <w:rsid w:val="00E5387C"/>
    <w:rsid w:val="00E53E2C"/>
    <w:rsid w:val="00E54EF2"/>
    <w:rsid w:val="00E56AB2"/>
    <w:rsid w:val="00E575BA"/>
    <w:rsid w:val="00E60A5E"/>
    <w:rsid w:val="00E60DC5"/>
    <w:rsid w:val="00E61036"/>
    <w:rsid w:val="00E62A4C"/>
    <w:rsid w:val="00E63559"/>
    <w:rsid w:val="00E646F4"/>
    <w:rsid w:val="00E64DCB"/>
    <w:rsid w:val="00E67180"/>
    <w:rsid w:val="00E676E2"/>
    <w:rsid w:val="00E72D27"/>
    <w:rsid w:val="00E73E9E"/>
    <w:rsid w:val="00E74B53"/>
    <w:rsid w:val="00E74FA5"/>
    <w:rsid w:val="00E756A8"/>
    <w:rsid w:val="00E76032"/>
    <w:rsid w:val="00E768F2"/>
    <w:rsid w:val="00E77E9E"/>
    <w:rsid w:val="00E81DED"/>
    <w:rsid w:val="00E82316"/>
    <w:rsid w:val="00E82502"/>
    <w:rsid w:val="00E825B3"/>
    <w:rsid w:val="00E849DE"/>
    <w:rsid w:val="00E85948"/>
    <w:rsid w:val="00E86536"/>
    <w:rsid w:val="00E9167E"/>
    <w:rsid w:val="00E922A4"/>
    <w:rsid w:val="00E925CE"/>
    <w:rsid w:val="00E92672"/>
    <w:rsid w:val="00E93F3F"/>
    <w:rsid w:val="00E95403"/>
    <w:rsid w:val="00EA05D9"/>
    <w:rsid w:val="00EA1104"/>
    <w:rsid w:val="00EA1A3B"/>
    <w:rsid w:val="00EA1D72"/>
    <w:rsid w:val="00EA5257"/>
    <w:rsid w:val="00EA59B6"/>
    <w:rsid w:val="00EA7415"/>
    <w:rsid w:val="00EB0062"/>
    <w:rsid w:val="00EB0433"/>
    <w:rsid w:val="00EB1B8B"/>
    <w:rsid w:val="00EB24EC"/>
    <w:rsid w:val="00EB3C54"/>
    <w:rsid w:val="00EB465E"/>
    <w:rsid w:val="00EB4951"/>
    <w:rsid w:val="00EB566F"/>
    <w:rsid w:val="00EB595B"/>
    <w:rsid w:val="00EC098E"/>
    <w:rsid w:val="00EC0BCB"/>
    <w:rsid w:val="00EC0E71"/>
    <w:rsid w:val="00EC2AF7"/>
    <w:rsid w:val="00EC4094"/>
    <w:rsid w:val="00ED0778"/>
    <w:rsid w:val="00ED1A18"/>
    <w:rsid w:val="00ED399C"/>
    <w:rsid w:val="00ED4E9C"/>
    <w:rsid w:val="00ED613A"/>
    <w:rsid w:val="00ED6CFA"/>
    <w:rsid w:val="00ED6D53"/>
    <w:rsid w:val="00ED7F0F"/>
    <w:rsid w:val="00EE1855"/>
    <w:rsid w:val="00EE266A"/>
    <w:rsid w:val="00EE2B68"/>
    <w:rsid w:val="00EE359F"/>
    <w:rsid w:val="00EE35A8"/>
    <w:rsid w:val="00EE3733"/>
    <w:rsid w:val="00EE395E"/>
    <w:rsid w:val="00EE4CD6"/>
    <w:rsid w:val="00EE6D70"/>
    <w:rsid w:val="00EF04B4"/>
    <w:rsid w:val="00EF1386"/>
    <w:rsid w:val="00EF1485"/>
    <w:rsid w:val="00EF2491"/>
    <w:rsid w:val="00EF256B"/>
    <w:rsid w:val="00EF48DA"/>
    <w:rsid w:val="00EF5277"/>
    <w:rsid w:val="00EF5330"/>
    <w:rsid w:val="00EF5CAD"/>
    <w:rsid w:val="00EF611F"/>
    <w:rsid w:val="00EF76E1"/>
    <w:rsid w:val="00F029AF"/>
    <w:rsid w:val="00F03441"/>
    <w:rsid w:val="00F03E0D"/>
    <w:rsid w:val="00F04099"/>
    <w:rsid w:val="00F04B7A"/>
    <w:rsid w:val="00F05B66"/>
    <w:rsid w:val="00F05FC8"/>
    <w:rsid w:val="00F07C09"/>
    <w:rsid w:val="00F1030E"/>
    <w:rsid w:val="00F10925"/>
    <w:rsid w:val="00F12063"/>
    <w:rsid w:val="00F12F6C"/>
    <w:rsid w:val="00F13DAE"/>
    <w:rsid w:val="00F13DCE"/>
    <w:rsid w:val="00F14BCA"/>
    <w:rsid w:val="00F157D8"/>
    <w:rsid w:val="00F201AD"/>
    <w:rsid w:val="00F21189"/>
    <w:rsid w:val="00F213FA"/>
    <w:rsid w:val="00F21481"/>
    <w:rsid w:val="00F215B1"/>
    <w:rsid w:val="00F21B21"/>
    <w:rsid w:val="00F222BB"/>
    <w:rsid w:val="00F2252E"/>
    <w:rsid w:val="00F24594"/>
    <w:rsid w:val="00F2491A"/>
    <w:rsid w:val="00F24EF6"/>
    <w:rsid w:val="00F254E4"/>
    <w:rsid w:val="00F25719"/>
    <w:rsid w:val="00F26AAB"/>
    <w:rsid w:val="00F26F5D"/>
    <w:rsid w:val="00F26FF8"/>
    <w:rsid w:val="00F274AA"/>
    <w:rsid w:val="00F277CD"/>
    <w:rsid w:val="00F34C92"/>
    <w:rsid w:val="00F35209"/>
    <w:rsid w:val="00F3543E"/>
    <w:rsid w:val="00F35D19"/>
    <w:rsid w:val="00F377AE"/>
    <w:rsid w:val="00F40712"/>
    <w:rsid w:val="00F411EE"/>
    <w:rsid w:val="00F41269"/>
    <w:rsid w:val="00F41319"/>
    <w:rsid w:val="00F44A39"/>
    <w:rsid w:val="00F44B13"/>
    <w:rsid w:val="00F44D47"/>
    <w:rsid w:val="00F45BE7"/>
    <w:rsid w:val="00F4619E"/>
    <w:rsid w:val="00F463D7"/>
    <w:rsid w:val="00F46952"/>
    <w:rsid w:val="00F50163"/>
    <w:rsid w:val="00F510E2"/>
    <w:rsid w:val="00F515F1"/>
    <w:rsid w:val="00F5225C"/>
    <w:rsid w:val="00F5273A"/>
    <w:rsid w:val="00F52D6B"/>
    <w:rsid w:val="00F52E18"/>
    <w:rsid w:val="00F535E2"/>
    <w:rsid w:val="00F546FB"/>
    <w:rsid w:val="00F55335"/>
    <w:rsid w:val="00F55CF7"/>
    <w:rsid w:val="00F56340"/>
    <w:rsid w:val="00F56FA8"/>
    <w:rsid w:val="00F57D1C"/>
    <w:rsid w:val="00F6086A"/>
    <w:rsid w:val="00F6169B"/>
    <w:rsid w:val="00F62824"/>
    <w:rsid w:val="00F62D7C"/>
    <w:rsid w:val="00F634C8"/>
    <w:rsid w:val="00F64B9B"/>
    <w:rsid w:val="00F64CD1"/>
    <w:rsid w:val="00F65618"/>
    <w:rsid w:val="00F658B9"/>
    <w:rsid w:val="00F66B4E"/>
    <w:rsid w:val="00F67155"/>
    <w:rsid w:val="00F6785E"/>
    <w:rsid w:val="00F7001C"/>
    <w:rsid w:val="00F7058F"/>
    <w:rsid w:val="00F70D21"/>
    <w:rsid w:val="00F70FEF"/>
    <w:rsid w:val="00F7105D"/>
    <w:rsid w:val="00F721FB"/>
    <w:rsid w:val="00F73F06"/>
    <w:rsid w:val="00F74F3A"/>
    <w:rsid w:val="00F7505D"/>
    <w:rsid w:val="00F750B4"/>
    <w:rsid w:val="00F75630"/>
    <w:rsid w:val="00F75C02"/>
    <w:rsid w:val="00F7713D"/>
    <w:rsid w:val="00F77ECB"/>
    <w:rsid w:val="00F81583"/>
    <w:rsid w:val="00F819E3"/>
    <w:rsid w:val="00F81BF8"/>
    <w:rsid w:val="00F81E47"/>
    <w:rsid w:val="00F824EF"/>
    <w:rsid w:val="00F8298B"/>
    <w:rsid w:val="00F84408"/>
    <w:rsid w:val="00F86474"/>
    <w:rsid w:val="00F868B4"/>
    <w:rsid w:val="00F86AF5"/>
    <w:rsid w:val="00F8730A"/>
    <w:rsid w:val="00F8785F"/>
    <w:rsid w:val="00F9016F"/>
    <w:rsid w:val="00F90601"/>
    <w:rsid w:val="00F90AC3"/>
    <w:rsid w:val="00F93703"/>
    <w:rsid w:val="00F95BB8"/>
    <w:rsid w:val="00F97A0A"/>
    <w:rsid w:val="00FA0B78"/>
    <w:rsid w:val="00FA2A20"/>
    <w:rsid w:val="00FA3883"/>
    <w:rsid w:val="00FA5654"/>
    <w:rsid w:val="00FA74EB"/>
    <w:rsid w:val="00FA78FD"/>
    <w:rsid w:val="00FB11BE"/>
    <w:rsid w:val="00FB1357"/>
    <w:rsid w:val="00FB1799"/>
    <w:rsid w:val="00FB1B56"/>
    <w:rsid w:val="00FB27F1"/>
    <w:rsid w:val="00FB4C6F"/>
    <w:rsid w:val="00FB52A0"/>
    <w:rsid w:val="00FB7209"/>
    <w:rsid w:val="00FB76CC"/>
    <w:rsid w:val="00FC34DF"/>
    <w:rsid w:val="00FC4EBA"/>
    <w:rsid w:val="00FC5E76"/>
    <w:rsid w:val="00FC66A5"/>
    <w:rsid w:val="00FC69CF"/>
    <w:rsid w:val="00FC7214"/>
    <w:rsid w:val="00FD058F"/>
    <w:rsid w:val="00FD0B70"/>
    <w:rsid w:val="00FD11B8"/>
    <w:rsid w:val="00FD1440"/>
    <w:rsid w:val="00FD1489"/>
    <w:rsid w:val="00FD17D7"/>
    <w:rsid w:val="00FD2065"/>
    <w:rsid w:val="00FD2DA9"/>
    <w:rsid w:val="00FD35FA"/>
    <w:rsid w:val="00FD43AC"/>
    <w:rsid w:val="00FD4864"/>
    <w:rsid w:val="00FD4C02"/>
    <w:rsid w:val="00FD59F1"/>
    <w:rsid w:val="00FD6FE2"/>
    <w:rsid w:val="00FD74CB"/>
    <w:rsid w:val="00FD7543"/>
    <w:rsid w:val="00FD7BF5"/>
    <w:rsid w:val="00FE0148"/>
    <w:rsid w:val="00FE0E1A"/>
    <w:rsid w:val="00FE185C"/>
    <w:rsid w:val="00FE3C5F"/>
    <w:rsid w:val="00FE401B"/>
    <w:rsid w:val="00FE4705"/>
    <w:rsid w:val="00FE4868"/>
    <w:rsid w:val="00FE557C"/>
    <w:rsid w:val="00FE6458"/>
    <w:rsid w:val="00FE77B9"/>
    <w:rsid w:val="00FE7A03"/>
    <w:rsid w:val="00FF16CF"/>
    <w:rsid w:val="00FF2EC0"/>
    <w:rsid w:val="00FF4C3A"/>
    <w:rsid w:val="00FF62F4"/>
    <w:rsid w:val="00FF6519"/>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docId w15:val="{9D45A913-1F87-4037-983F-ED12A280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12D16"/>
    <w:pPr>
      <w:tabs>
        <w:tab w:val="left" w:pos="567"/>
      </w:tabs>
      <w:spacing w:line="260" w:lineRule="exact"/>
    </w:pPr>
    <w:rPr>
      <w:rFonts w:eastAsia="Times New Roman"/>
      <w:sz w:val="22"/>
      <w:lang w:val="sk-SK" w:eastAsia="sk-SK" w:bidi="sk-SK"/>
    </w:rPr>
  </w:style>
  <w:style w:type="paragraph" w:styleId="Nadpis1">
    <w:name w:val="heading 1"/>
    <w:basedOn w:val="Normlny"/>
    <w:next w:val="Normlny"/>
    <w:link w:val="Nadpis1Char1"/>
    <w:uiPriority w:val="1"/>
    <w:qFormat/>
    <w:rsid w:val="008075D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next w:val="Normlny"/>
    <w:link w:val="Nadpis2Char"/>
    <w:uiPriority w:val="9"/>
    <w:unhideWhenUsed/>
    <w:qFormat/>
    <w:rsid w:val="009044DF"/>
    <w:pPr>
      <w:keepNext/>
      <w:keepLines/>
      <w:spacing w:after="5" w:line="249" w:lineRule="auto"/>
      <w:ind w:left="44" w:hanging="10"/>
      <w:outlineLvl w:val="1"/>
    </w:pPr>
    <w:rPr>
      <w:rFonts w:eastAsia="Times New Roman"/>
      <w:color w:val="000000"/>
      <w:sz w:val="21"/>
      <w:szCs w:val="22"/>
      <w:u w:val="single" w:color="000000"/>
      <w:lang w:val="sk-SK" w:eastAsia="sk-SK"/>
    </w:rPr>
  </w:style>
  <w:style w:type="paragraph" w:styleId="Nadpis3">
    <w:name w:val="heading 3"/>
    <w:next w:val="Normlny"/>
    <w:link w:val="Nadpis3Char"/>
    <w:uiPriority w:val="9"/>
    <w:unhideWhenUsed/>
    <w:qFormat/>
    <w:rsid w:val="00AE6D42"/>
    <w:pPr>
      <w:keepNext/>
      <w:keepLines/>
      <w:spacing w:after="12" w:line="248" w:lineRule="auto"/>
      <w:ind w:left="10" w:right="305" w:hanging="10"/>
      <w:outlineLvl w:val="2"/>
    </w:pPr>
    <w:rPr>
      <w:rFonts w:eastAsia="Times New Roman"/>
      <w:b/>
      <w:color w:val="000000"/>
      <w:sz w:val="21"/>
      <w:szCs w:val="22"/>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11">
    <w:name w:val="Nadpis 11"/>
    <w:basedOn w:val="Normlny"/>
    <w:link w:val="Nadpis1Char"/>
    <w:uiPriority w:val="9"/>
    <w:qFormat/>
    <w:rsid w:val="00340C09"/>
    <w:pPr>
      <w:tabs>
        <w:tab w:val="clear" w:pos="567"/>
      </w:tabs>
      <w:spacing w:before="100" w:beforeAutospacing="1" w:after="100" w:afterAutospacing="1" w:line="240" w:lineRule="auto"/>
      <w:outlineLvl w:val="0"/>
    </w:pPr>
    <w:rPr>
      <w:b/>
      <w:bCs/>
      <w:kern w:val="36"/>
      <w:sz w:val="48"/>
      <w:szCs w:val="48"/>
      <w:lang w:bidi="ar-SA"/>
    </w:rPr>
  </w:style>
  <w:style w:type="numbering" w:customStyle="1" w:styleId="Bezzoznamu1">
    <w:name w:val="Bez zoznamu1"/>
    <w:uiPriority w:val="99"/>
    <w:semiHidden/>
    <w:unhideWhenUsed/>
  </w:style>
  <w:style w:type="paragraph" w:customStyle="1" w:styleId="Pta1">
    <w:name w:val="Päta1"/>
    <w:basedOn w:val="Normlny"/>
    <w:link w:val="PtaChar"/>
    <w:uiPriority w:val="99"/>
    <w:rsid w:val="00B328C1"/>
    <w:pPr>
      <w:tabs>
        <w:tab w:val="center" w:pos="4536"/>
        <w:tab w:val="right" w:pos="8306"/>
      </w:tabs>
    </w:pPr>
    <w:rPr>
      <w:rFonts w:ascii="Arial" w:hAnsi="Arial"/>
      <w:noProof/>
      <w:sz w:val="16"/>
    </w:rPr>
  </w:style>
  <w:style w:type="paragraph" w:customStyle="1" w:styleId="Hlavika1">
    <w:name w:val="Hlavička1"/>
    <w:basedOn w:val="Normlny"/>
    <w:link w:val="HlavikaChar"/>
    <w:uiPriority w:val="99"/>
    <w:rsid w:val="00B328C1"/>
    <w:pPr>
      <w:tabs>
        <w:tab w:val="center" w:pos="4153"/>
        <w:tab w:val="right" w:pos="8306"/>
      </w:tabs>
    </w:pPr>
    <w:rPr>
      <w:rFonts w:ascii="Arial" w:hAnsi="Arial"/>
      <w:sz w:val="20"/>
    </w:rPr>
  </w:style>
  <w:style w:type="paragraph" w:customStyle="1" w:styleId="MemoHeaderStyle">
    <w:name w:val="MemoHeaderStyle"/>
    <w:basedOn w:val="Normlny"/>
    <w:next w:val="Normlny"/>
    <w:pPr>
      <w:spacing w:line="120" w:lineRule="atLeast"/>
      <w:ind w:left="1418"/>
      <w:jc w:val="both"/>
    </w:pPr>
    <w:rPr>
      <w:rFonts w:ascii="Arial" w:hAnsi="Arial"/>
      <w:b/>
      <w:smallCaps/>
    </w:rPr>
  </w:style>
  <w:style w:type="character" w:customStyle="1" w:styleId="slostrany1">
    <w:name w:val="Číslo strany1"/>
    <w:basedOn w:val="Predvolenpsmoodseku"/>
    <w:uiPriority w:val="99"/>
    <w:rsid w:val="00812D16"/>
  </w:style>
  <w:style w:type="paragraph" w:customStyle="1" w:styleId="Zkladntext1">
    <w:name w:val="Základný text1"/>
    <w:basedOn w:val="Normlny"/>
    <w:rsid w:val="00812D16"/>
    <w:pPr>
      <w:tabs>
        <w:tab w:val="clear" w:pos="567"/>
      </w:tabs>
      <w:spacing w:line="240" w:lineRule="auto"/>
    </w:pPr>
    <w:rPr>
      <w:i/>
      <w:color w:val="008000"/>
    </w:rPr>
  </w:style>
  <w:style w:type="paragraph" w:customStyle="1" w:styleId="Textkomentra1">
    <w:name w:val="Text komentára1"/>
    <w:basedOn w:val="Normlny"/>
    <w:link w:val="TextkomentraChar"/>
    <w:uiPriority w:val="99"/>
    <w:unhideWhenUsed/>
    <w:rsid w:val="00B328C1"/>
    <w:pPr>
      <w:spacing w:line="240" w:lineRule="auto"/>
    </w:pPr>
    <w:rPr>
      <w:sz w:val="20"/>
    </w:rPr>
  </w:style>
  <w:style w:type="character" w:customStyle="1" w:styleId="Hypertextovprepojenie1">
    <w:name w:val="Hypertextové prepojenie1"/>
    <w:uiPriority w:val="99"/>
    <w:rsid w:val="00812D16"/>
    <w:rPr>
      <w:color w:val="0000FF"/>
      <w:u w:val="single"/>
    </w:rPr>
  </w:style>
  <w:style w:type="paragraph" w:customStyle="1" w:styleId="EMEAEnBodyText">
    <w:name w:val="EMEA En Body Text"/>
    <w:basedOn w:val="Normlny"/>
    <w:rsid w:val="00812D16"/>
    <w:pPr>
      <w:tabs>
        <w:tab w:val="clear" w:pos="567"/>
      </w:tabs>
      <w:spacing w:before="120" w:after="120" w:line="240" w:lineRule="auto"/>
      <w:jc w:val="both"/>
    </w:pPr>
  </w:style>
  <w:style w:type="paragraph" w:customStyle="1" w:styleId="Textbubliny1">
    <w:name w:val="Text bubliny1"/>
    <w:basedOn w:val="Normlny"/>
    <w:link w:val="TextbublinyChar"/>
    <w:uiPriority w:val="99"/>
    <w:rsid w:val="00B328C1"/>
    <w:rPr>
      <w:rFonts w:ascii="Tahoma" w:hAnsi="Tahoma" w:cs="Tahoma"/>
      <w:sz w:val="16"/>
      <w:szCs w:val="16"/>
    </w:rPr>
  </w:style>
  <w:style w:type="paragraph" w:customStyle="1" w:styleId="BodytextAgency">
    <w:name w:val="Body text (Agency)"/>
    <w:basedOn w:val="Normlny"/>
    <w:link w:val="BodytextAgencyChar"/>
    <w:uiPriority w:val="99"/>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sk-SK" w:eastAsia="sk-SK" w:bidi="sk-SK"/>
    </w:rPr>
  </w:style>
  <w:style w:type="paragraph" w:customStyle="1" w:styleId="DraftingNotesAgency">
    <w:name w:val="Drafting Notes (Agency)"/>
    <w:basedOn w:val="Normlny"/>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k-SK" w:eastAsia="sk-SK" w:bidi="sk-SK"/>
    </w:rPr>
  </w:style>
  <w:style w:type="paragraph" w:customStyle="1" w:styleId="NormalAgency">
    <w:name w:val="Normal (Agency)"/>
    <w:link w:val="NormalAgencyChar"/>
    <w:uiPriority w:val="99"/>
    <w:rsid w:val="00C179B0"/>
    <w:rPr>
      <w:rFonts w:ascii="Verdana" w:eastAsia="Verdana" w:hAnsi="Verdana" w:cs="Verdana"/>
      <w:sz w:val="18"/>
      <w:szCs w:val="18"/>
      <w:lang w:val="sk-SK" w:eastAsia="sk-SK" w:bidi="sk-SK"/>
    </w:rPr>
  </w:style>
  <w:style w:type="table" w:customStyle="1" w:styleId="TablegridAgencyblack">
    <w:name w:val="Table grid (Agency) black"/>
    <w:basedOn w:val="Normlnatabuka"/>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lny"/>
    <w:uiPriority w:val="99"/>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sk-SK" w:eastAsia="sk-SK" w:bidi="sk-SK"/>
    </w:rPr>
  </w:style>
  <w:style w:type="character" w:customStyle="1" w:styleId="Odkaznakomentr1">
    <w:name w:val="Odkaz na komentár1"/>
    <w:uiPriority w:val="99"/>
    <w:unhideWhenUsed/>
    <w:rsid w:val="00B328C1"/>
    <w:rPr>
      <w:sz w:val="16"/>
      <w:szCs w:val="16"/>
    </w:rPr>
  </w:style>
  <w:style w:type="paragraph" w:customStyle="1" w:styleId="Predmetkomentra1">
    <w:name w:val="Predmet komentára1"/>
    <w:basedOn w:val="Textkomentra1"/>
    <w:next w:val="Textkomentra1"/>
    <w:link w:val="PredmetkomentraChar"/>
    <w:uiPriority w:val="99"/>
    <w:rsid w:val="00B328C1"/>
    <w:rPr>
      <w:b/>
      <w:bCs/>
    </w:rPr>
  </w:style>
  <w:style w:type="character" w:customStyle="1" w:styleId="TextkomentraChar">
    <w:name w:val="Text komentára Char"/>
    <w:link w:val="Textkomentra1"/>
    <w:uiPriority w:val="99"/>
    <w:rsid w:val="00BC6DC2"/>
    <w:rPr>
      <w:rFonts w:eastAsia="Times New Roman"/>
      <w:lang w:val="sk-SK" w:eastAsia="sk-SK" w:bidi="sk-SK"/>
    </w:rPr>
  </w:style>
  <w:style w:type="character" w:customStyle="1" w:styleId="PredmetkomentraChar">
    <w:name w:val="Predmet komentára Char"/>
    <w:link w:val="Predmetkomentra1"/>
    <w:uiPriority w:val="99"/>
    <w:rsid w:val="00BC6DC2"/>
    <w:rPr>
      <w:rFonts w:eastAsia="Times New Roman"/>
      <w:b/>
      <w:bCs/>
      <w:lang w:val="sk-SK" w:eastAsia="sk-SK" w:bidi="sk-SK"/>
    </w:rPr>
  </w:style>
  <w:style w:type="character" w:customStyle="1" w:styleId="DoNotTranslateExternal1">
    <w:name w:val="DoNotTranslateExternal1"/>
    <w:qFormat/>
    <w:rsid w:val="00066F1A"/>
    <w:rPr>
      <w:b/>
      <w:noProof/>
      <w:szCs w:val="22"/>
    </w:rPr>
  </w:style>
  <w:style w:type="paragraph" w:customStyle="1" w:styleId="Odsekzoznamu1">
    <w:name w:val="Odsek zoznamu1"/>
    <w:basedOn w:val="Normlny"/>
    <w:uiPriority w:val="34"/>
    <w:qFormat/>
    <w:rsid w:val="002D52B9"/>
    <w:pPr>
      <w:ind w:left="720"/>
      <w:contextualSpacing/>
    </w:pPr>
  </w:style>
  <w:style w:type="character" w:customStyle="1" w:styleId="FooterChar">
    <w:name w:val="Footer Char"/>
    <w:uiPriority w:val="99"/>
    <w:rsid w:val="00B328C1"/>
    <w:rPr>
      <w:snapToGrid w:val="0"/>
      <w:sz w:val="22"/>
      <w:lang w:val="en-GB"/>
    </w:rPr>
  </w:style>
  <w:style w:type="character" w:customStyle="1" w:styleId="HeaderChar">
    <w:name w:val="Header Char"/>
    <w:uiPriority w:val="99"/>
    <w:rsid w:val="00B328C1"/>
    <w:rPr>
      <w:snapToGrid w:val="0"/>
      <w:sz w:val="22"/>
      <w:lang w:val="en-GB"/>
    </w:rPr>
  </w:style>
  <w:style w:type="character" w:customStyle="1" w:styleId="tw4winMark">
    <w:name w:val="tw4winMark"/>
    <w:uiPriority w:val="99"/>
    <w:rsid w:val="00B328C1"/>
    <w:rPr>
      <w:rFonts w:ascii="Courier New" w:hAnsi="Courier New"/>
      <w:vanish/>
      <w:color w:val="800080"/>
      <w:sz w:val="24"/>
      <w:vertAlign w:val="subscript"/>
    </w:rPr>
  </w:style>
  <w:style w:type="character" w:customStyle="1" w:styleId="tw4winError">
    <w:name w:val="tw4winError"/>
    <w:uiPriority w:val="99"/>
    <w:rsid w:val="00B328C1"/>
    <w:rPr>
      <w:rFonts w:ascii="Courier New" w:hAnsi="Courier New"/>
      <w:color w:val="00FF00"/>
      <w:sz w:val="40"/>
    </w:rPr>
  </w:style>
  <w:style w:type="character" w:customStyle="1" w:styleId="tw4winTerm">
    <w:name w:val="tw4winTerm"/>
    <w:uiPriority w:val="99"/>
    <w:rsid w:val="00B328C1"/>
    <w:rPr>
      <w:color w:val="0000FF"/>
    </w:rPr>
  </w:style>
  <w:style w:type="character" w:customStyle="1" w:styleId="tw4winPopup">
    <w:name w:val="tw4winPopup"/>
    <w:uiPriority w:val="99"/>
    <w:rsid w:val="00B328C1"/>
    <w:rPr>
      <w:rFonts w:ascii="Courier New" w:hAnsi="Courier New"/>
      <w:noProof/>
      <w:color w:val="008000"/>
    </w:rPr>
  </w:style>
  <w:style w:type="character" w:customStyle="1" w:styleId="tw4winJump">
    <w:name w:val="tw4winJump"/>
    <w:uiPriority w:val="99"/>
    <w:rsid w:val="00B328C1"/>
    <w:rPr>
      <w:rFonts w:ascii="Courier New" w:hAnsi="Courier New"/>
      <w:noProof/>
      <w:color w:val="008080"/>
    </w:rPr>
  </w:style>
  <w:style w:type="character" w:customStyle="1" w:styleId="tw4winExternal">
    <w:name w:val="tw4winExternal"/>
    <w:uiPriority w:val="99"/>
    <w:rsid w:val="00B328C1"/>
    <w:rPr>
      <w:rFonts w:ascii="Courier New" w:hAnsi="Courier New"/>
      <w:noProof/>
      <w:color w:val="808080"/>
    </w:rPr>
  </w:style>
  <w:style w:type="character" w:customStyle="1" w:styleId="tw4winInternal">
    <w:name w:val="tw4winInternal"/>
    <w:uiPriority w:val="99"/>
    <w:rsid w:val="00B328C1"/>
    <w:rPr>
      <w:rFonts w:ascii="Courier New" w:hAnsi="Courier New"/>
      <w:noProof/>
      <w:color w:val="FF0000"/>
    </w:rPr>
  </w:style>
  <w:style w:type="character" w:customStyle="1" w:styleId="DONOTTRANSLATE">
    <w:name w:val="DO_NOT_TRANSLATE"/>
    <w:uiPriority w:val="99"/>
    <w:rsid w:val="00B328C1"/>
    <w:rPr>
      <w:rFonts w:ascii="Courier New" w:hAnsi="Courier New"/>
      <w:noProof/>
      <w:color w:val="800000"/>
    </w:rPr>
  </w:style>
  <w:style w:type="character" w:customStyle="1" w:styleId="TextbublinyChar">
    <w:name w:val="Text bubliny Char"/>
    <w:link w:val="Textbubliny1"/>
    <w:uiPriority w:val="99"/>
    <w:locked/>
    <w:rsid w:val="00B328C1"/>
    <w:rPr>
      <w:rFonts w:ascii="Tahoma" w:eastAsia="Times New Roman" w:hAnsi="Tahoma" w:cs="Tahoma"/>
      <w:sz w:val="16"/>
      <w:szCs w:val="16"/>
      <w:lang w:val="sk-SK" w:eastAsia="sk-SK" w:bidi="sk-SK"/>
    </w:rPr>
  </w:style>
  <w:style w:type="character" w:customStyle="1" w:styleId="PouitHypertextovPrepojenie1">
    <w:name w:val="PoužitéHypertextovéPrepojenie1"/>
    <w:uiPriority w:val="99"/>
    <w:rsid w:val="00B328C1"/>
    <w:rPr>
      <w:rFonts w:cs="Times New Roman"/>
      <w:color w:val="800080"/>
      <w:u w:val="single"/>
    </w:rPr>
  </w:style>
  <w:style w:type="paragraph" w:customStyle="1" w:styleId="Revzia1">
    <w:name w:val="Revízia1"/>
    <w:hidden/>
    <w:uiPriority w:val="99"/>
    <w:semiHidden/>
    <w:rsid w:val="00B328C1"/>
    <w:rPr>
      <w:rFonts w:eastAsia="Times New Roman"/>
      <w:sz w:val="22"/>
      <w:lang w:eastAsia="en-US"/>
    </w:rPr>
  </w:style>
  <w:style w:type="character" w:customStyle="1" w:styleId="HlavikaChar">
    <w:name w:val="Hlavička Char"/>
    <w:link w:val="Hlavika1"/>
    <w:uiPriority w:val="99"/>
    <w:locked/>
    <w:rsid w:val="00B328C1"/>
    <w:rPr>
      <w:rFonts w:ascii="Arial" w:eastAsia="Times New Roman" w:hAnsi="Arial"/>
      <w:lang w:val="sk-SK" w:eastAsia="sk-SK" w:bidi="sk-SK"/>
    </w:rPr>
  </w:style>
  <w:style w:type="character" w:customStyle="1" w:styleId="PtaChar">
    <w:name w:val="Päta Char"/>
    <w:link w:val="Pta1"/>
    <w:uiPriority w:val="99"/>
    <w:locked/>
    <w:rsid w:val="00B328C1"/>
    <w:rPr>
      <w:rFonts w:ascii="Arial" w:eastAsia="Times New Roman" w:hAnsi="Arial"/>
      <w:noProof/>
      <w:sz w:val="16"/>
      <w:lang w:val="sk-SK" w:eastAsia="sk-SK" w:bidi="sk-SK"/>
    </w:rPr>
  </w:style>
  <w:style w:type="character" w:customStyle="1" w:styleId="tlid-translation">
    <w:name w:val="tlid-translation"/>
    <w:rsid w:val="00F07C09"/>
  </w:style>
  <w:style w:type="character" w:customStyle="1" w:styleId="Nadpis1Char">
    <w:name w:val="Nadpis 1 Char"/>
    <w:link w:val="Nadpis11"/>
    <w:uiPriority w:val="1"/>
    <w:rsid w:val="00340C09"/>
    <w:rPr>
      <w:rFonts w:eastAsia="Times New Roman"/>
      <w:b/>
      <w:bCs/>
      <w:kern w:val="36"/>
      <w:sz w:val="48"/>
      <w:szCs w:val="48"/>
    </w:rPr>
  </w:style>
  <w:style w:type="paragraph" w:styleId="Odsekzoznamu">
    <w:name w:val="List Paragraph"/>
    <w:basedOn w:val="Normlny"/>
    <w:uiPriority w:val="1"/>
    <w:qFormat/>
    <w:rsid w:val="0057640E"/>
    <w:pPr>
      <w:ind w:left="720"/>
      <w:contextualSpacing/>
    </w:pPr>
  </w:style>
  <w:style w:type="character" w:customStyle="1" w:styleId="Nadpis2Char">
    <w:name w:val="Nadpis 2 Char"/>
    <w:basedOn w:val="Predvolenpsmoodseku"/>
    <w:link w:val="Nadpis2"/>
    <w:rsid w:val="009044DF"/>
    <w:rPr>
      <w:rFonts w:eastAsia="Times New Roman"/>
      <w:color w:val="000000"/>
      <w:sz w:val="21"/>
      <w:szCs w:val="22"/>
      <w:u w:val="single" w:color="000000"/>
      <w:lang w:val="sk-SK" w:eastAsia="sk-SK"/>
    </w:rPr>
  </w:style>
  <w:style w:type="character" w:customStyle="1" w:styleId="Nadpis1Char1">
    <w:name w:val="Nadpis 1 Char1"/>
    <w:basedOn w:val="Predvolenpsmoodseku"/>
    <w:link w:val="Nadpis1"/>
    <w:uiPriority w:val="9"/>
    <w:rsid w:val="008075DB"/>
    <w:rPr>
      <w:rFonts w:asciiTheme="majorHAnsi" w:eastAsiaTheme="majorEastAsia" w:hAnsiTheme="majorHAnsi" w:cstheme="majorBidi"/>
      <w:color w:val="365F91" w:themeColor="accent1" w:themeShade="BF"/>
      <w:sz w:val="32"/>
      <w:szCs w:val="32"/>
      <w:lang w:val="sk-SK" w:eastAsia="sk-SK" w:bidi="sk-SK"/>
    </w:rPr>
  </w:style>
  <w:style w:type="table" w:customStyle="1" w:styleId="TableGrid">
    <w:name w:val="TableGrid"/>
    <w:rsid w:val="008075DB"/>
    <w:rPr>
      <w:rFonts w:asciiTheme="minorHAnsi" w:eastAsiaTheme="minorEastAsia" w:hAnsiTheme="minorHAnsi" w:cstheme="minorBidi"/>
      <w:sz w:val="22"/>
      <w:szCs w:val="22"/>
      <w:lang w:val="sk-SK" w:eastAsia="sk-SK"/>
    </w:rPr>
    <w:tblPr>
      <w:tblCellMar>
        <w:top w:w="0" w:type="dxa"/>
        <w:left w:w="0" w:type="dxa"/>
        <w:bottom w:w="0" w:type="dxa"/>
        <w:right w:w="0" w:type="dxa"/>
      </w:tblCellMar>
    </w:tblPr>
  </w:style>
  <w:style w:type="character" w:customStyle="1" w:styleId="Nadpis3Char">
    <w:name w:val="Nadpis 3 Char"/>
    <w:basedOn w:val="Predvolenpsmoodseku"/>
    <w:link w:val="Nadpis3"/>
    <w:uiPriority w:val="9"/>
    <w:rsid w:val="00AE6D42"/>
    <w:rPr>
      <w:rFonts w:eastAsia="Times New Roman"/>
      <w:b/>
      <w:color w:val="000000"/>
      <w:sz w:val="21"/>
      <w:szCs w:val="22"/>
      <w:lang w:val="sk-SK" w:eastAsia="sk-SK"/>
    </w:rPr>
  </w:style>
  <w:style w:type="paragraph" w:styleId="Nzov">
    <w:name w:val="Title"/>
    <w:basedOn w:val="Normlny"/>
    <w:next w:val="Normlny"/>
    <w:link w:val="NzovChar"/>
    <w:qFormat/>
    <w:rsid w:val="00346B1F"/>
    <w:pPr>
      <w:spacing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rsid w:val="00346B1F"/>
    <w:rPr>
      <w:rFonts w:asciiTheme="majorHAnsi" w:eastAsiaTheme="majorEastAsia" w:hAnsiTheme="majorHAnsi" w:cstheme="majorBidi"/>
      <w:spacing w:val="-10"/>
      <w:kern w:val="28"/>
      <w:sz w:val="56"/>
      <w:szCs w:val="56"/>
      <w:lang w:val="sk-SK" w:eastAsia="sk-SK" w:bidi="sk-SK"/>
    </w:rPr>
  </w:style>
  <w:style w:type="character" w:styleId="Hypertextovprepojenie">
    <w:name w:val="Hyperlink"/>
    <w:rsid w:val="00C36014"/>
    <w:rPr>
      <w:color w:val="0000FF"/>
      <w:u w:val="single"/>
    </w:rPr>
  </w:style>
  <w:style w:type="paragraph" w:styleId="Zkladntext">
    <w:name w:val="Body Text"/>
    <w:basedOn w:val="Normlny"/>
    <w:link w:val="ZkladntextChar"/>
    <w:rsid w:val="00C36014"/>
    <w:pPr>
      <w:tabs>
        <w:tab w:val="clear" w:pos="567"/>
      </w:tabs>
      <w:spacing w:line="240" w:lineRule="auto"/>
    </w:pPr>
    <w:rPr>
      <w:szCs w:val="24"/>
      <w:lang w:bidi="ar-SA"/>
    </w:rPr>
  </w:style>
  <w:style w:type="character" w:customStyle="1" w:styleId="ZkladntextChar">
    <w:name w:val="Základný text Char"/>
    <w:basedOn w:val="Predvolenpsmoodseku"/>
    <w:link w:val="Zkladntext"/>
    <w:rsid w:val="00C36014"/>
    <w:rPr>
      <w:rFonts w:eastAsia="Times New Roman"/>
      <w:sz w:val="22"/>
      <w:szCs w:val="24"/>
      <w:lang w:val="sk-SK" w:eastAsia="sk-SK"/>
    </w:rPr>
  </w:style>
  <w:style w:type="character" w:styleId="Odkaznakomentr">
    <w:name w:val="annotation reference"/>
    <w:uiPriority w:val="99"/>
    <w:semiHidden/>
    <w:rsid w:val="00C36014"/>
    <w:rPr>
      <w:sz w:val="16"/>
      <w:szCs w:val="16"/>
    </w:rPr>
  </w:style>
  <w:style w:type="paragraph" w:styleId="Textkomentra">
    <w:name w:val="annotation text"/>
    <w:basedOn w:val="Normlny"/>
    <w:uiPriority w:val="99"/>
    <w:semiHidden/>
    <w:rsid w:val="00C36014"/>
    <w:pPr>
      <w:tabs>
        <w:tab w:val="clear" w:pos="567"/>
      </w:tabs>
      <w:spacing w:line="240" w:lineRule="auto"/>
      <w:ind w:left="567" w:hanging="567"/>
    </w:pPr>
    <w:rPr>
      <w:sz w:val="20"/>
      <w:lang w:bidi="ar-SA"/>
    </w:rPr>
  </w:style>
  <w:style w:type="character" w:customStyle="1" w:styleId="TextkomentraChar1">
    <w:name w:val="Text komentára Char1"/>
    <w:basedOn w:val="Predvolenpsmoodseku"/>
    <w:uiPriority w:val="99"/>
    <w:semiHidden/>
    <w:rsid w:val="00C36014"/>
    <w:rPr>
      <w:rFonts w:eastAsia="Times New Roman"/>
      <w:lang w:val="sk-SK" w:eastAsia="sk-SK" w:bidi="sk-SK"/>
    </w:rPr>
  </w:style>
  <w:style w:type="paragraph" w:styleId="Predmetkomentra">
    <w:name w:val="annotation subject"/>
    <w:basedOn w:val="Textkomentra"/>
    <w:next w:val="Textkomentra"/>
    <w:uiPriority w:val="99"/>
    <w:semiHidden/>
    <w:rsid w:val="00C36014"/>
    <w:rPr>
      <w:b/>
      <w:bCs/>
    </w:rPr>
  </w:style>
  <w:style w:type="character" w:customStyle="1" w:styleId="PredmetkomentraChar1">
    <w:name w:val="Predmet komentára Char1"/>
    <w:basedOn w:val="TextkomentraChar1"/>
    <w:uiPriority w:val="99"/>
    <w:semiHidden/>
    <w:rsid w:val="00C36014"/>
    <w:rPr>
      <w:rFonts w:eastAsia="Times New Roman"/>
      <w:b/>
      <w:bCs/>
      <w:lang w:val="sk-SK" w:eastAsia="sk-SK" w:bidi="sk-SK"/>
    </w:rPr>
  </w:style>
  <w:style w:type="paragraph" w:styleId="Textbubliny">
    <w:name w:val="Balloon Text"/>
    <w:basedOn w:val="Normlny"/>
    <w:uiPriority w:val="99"/>
    <w:semiHidden/>
    <w:rsid w:val="00C36014"/>
    <w:pPr>
      <w:tabs>
        <w:tab w:val="clear" w:pos="567"/>
      </w:tabs>
      <w:spacing w:line="240" w:lineRule="auto"/>
      <w:ind w:left="567" w:hanging="567"/>
    </w:pPr>
    <w:rPr>
      <w:rFonts w:ascii="Tahoma" w:hAnsi="Tahoma" w:cs="Tahoma"/>
      <w:sz w:val="16"/>
      <w:szCs w:val="16"/>
      <w:lang w:bidi="ar-SA"/>
    </w:rPr>
  </w:style>
  <w:style w:type="character" w:customStyle="1" w:styleId="TextbublinyChar1">
    <w:name w:val="Text bubliny Char1"/>
    <w:basedOn w:val="Predvolenpsmoodseku"/>
    <w:uiPriority w:val="99"/>
    <w:semiHidden/>
    <w:rsid w:val="00C36014"/>
    <w:rPr>
      <w:rFonts w:ascii="Segoe UI" w:eastAsia="Times New Roman" w:hAnsi="Segoe UI" w:cs="Segoe UI"/>
      <w:sz w:val="18"/>
      <w:szCs w:val="18"/>
      <w:lang w:val="sk-SK" w:eastAsia="sk-SK" w:bidi="sk-SK"/>
    </w:rPr>
  </w:style>
  <w:style w:type="character" w:customStyle="1" w:styleId="st1">
    <w:name w:val="st1"/>
    <w:rsid w:val="00C36014"/>
  </w:style>
  <w:style w:type="character" w:styleId="Zvraznenie">
    <w:name w:val="Emphasis"/>
    <w:uiPriority w:val="20"/>
    <w:qFormat/>
    <w:rsid w:val="00C36014"/>
    <w:rPr>
      <w:i/>
      <w:iCs/>
    </w:rPr>
  </w:style>
  <w:style w:type="paragraph" w:styleId="Normlnywebov">
    <w:name w:val="Normal (Web)"/>
    <w:basedOn w:val="Normlny"/>
    <w:uiPriority w:val="99"/>
    <w:unhideWhenUsed/>
    <w:rsid w:val="00C36014"/>
    <w:pPr>
      <w:tabs>
        <w:tab w:val="clear" w:pos="567"/>
      </w:tabs>
      <w:spacing w:after="100" w:afterAutospacing="1" w:line="336" w:lineRule="auto"/>
    </w:pPr>
    <w:rPr>
      <w:sz w:val="24"/>
      <w:szCs w:val="24"/>
      <w:lang w:val="en-US" w:eastAsia="en-US" w:bidi="ar-SA"/>
    </w:rPr>
  </w:style>
  <w:style w:type="paragraph" w:customStyle="1" w:styleId="Default">
    <w:name w:val="Default"/>
    <w:rsid w:val="00C36014"/>
    <w:pPr>
      <w:widowControl w:val="0"/>
      <w:autoSpaceDE w:val="0"/>
      <w:autoSpaceDN w:val="0"/>
      <w:adjustRightInd w:val="0"/>
    </w:pPr>
    <w:rPr>
      <w:rFonts w:eastAsia="Times New Roman"/>
      <w:color w:val="000000"/>
      <w:sz w:val="24"/>
      <w:szCs w:val="24"/>
      <w:lang w:val="en-US" w:eastAsia="en-US"/>
    </w:rPr>
  </w:style>
  <w:style w:type="paragraph" w:styleId="Hlavika">
    <w:name w:val="header"/>
    <w:basedOn w:val="Normlny"/>
    <w:uiPriority w:val="99"/>
    <w:unhideWhenUsed/>
    <w:rsid w:val="00C36014"/>
    <w:pPr>
      <w:tabs>
        <w:tab w:val="clear" w:pos="567"/>
        <w:tab w:val="center" w:pos="4703"/>
        <w:tab w:val="right" w:pos="9406"/>
      </w:tabs>
      <w:spacing w:line="240" w:lineRule="auto"/>
      <w:ind w:left="567" w:hanging="567"/>
    </w:pPr>
    <w:rPr>
      <w:szCs w:val="24"/>
      <w:lang w:bidi="ar-SA"/>
    </w:rPr>
  </w:style>
  <w:style w:type="character" w:customStyle="1" w:styleId="HlavikaChar1">
    <w:name w:val="Hlavička Char1"/>
    <w:basedOn w:val="Predvolenpsmoodseku"/>
    <w:uiPriority w:val="99"/>
    <w:semiHidden/>
    <w:rsid w:val="00C36014"/>
    <w:rPr>
      <w:rFonts w:eastAsia="Times New Roman"/>
      <w:sz w:val="22"/>
      <w:lang w:val="sk-SK" w:eastAsia="sk-SK" w:bidi="sk-SK"/>
    </w:rPr>
  </w:style>
  <w:style w:type="paragraph" w:styleId="Pta">
    <w:name w:val="footer"/>
    <w:basedOn w:val="Normlny"/>
    <w:uiPriority w:val="99"/>
    <w:unhideWhenUsed/>
    <w:rsid w:val="00C36014"/>
    <w:pPr>
      <w:tabs>
        <w:tab w:val="clear" w:pos="567"/>
        <w:tab w:val="center" w:pos="4703"/>
        <w:tab w:val="right" w:pos="9406"/>
      </w:tabs>
      <w:spacing w:line="240" w:lineRule="auto"/>
      <w:ind w:left="567" w:hanging="567"/>
    </w:pPr>
    <w:rPr>
      <w:szCs w:val="24"/>
      <w:lang w:bidi="ar-SA"/>
    </w:rPr>
  </w:style>
  <w:style w:type="character" w:customStyle="1" w:styleId="PtaChar1">
    <w:name w:val="Päta Char1"/>
    <w:basedOn w:val="Predvolenpsmoodseku"/>
    <w:uiPriority w:val="99"/>
    <w:semiHidden/>
    <w:rsid w:val="00C36014"/>
    <w:rPr>
      <w:rFonts w:eastAsia="Times New Roman"/>
      <w:sz w:val="22"/>
      <w:lang w:val="sk-SK" w:eastAsia="sk-SK" w:bidi="sk-SK"/>
    </w:rPr>
  </w:style>
  <w:style w:type="table" w:styleId="Mriekatabuky">
    <w:name w:val="Table Grid"/>
    <w:basedOn w:val="Normlnatabuka"/>
    <w:uiPriority w:val="59"/>
    <w:rsid w:val="00C36014"/>
    <w:rPr>
      <w:rFonts w:eastAsia="Times New Roman"/>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uiPriority w:val="99"/>
    <w:semiHidden/>
    <w:unhideWhenUsed/>
    <w:rsid w:val="00C36014"/>
    <w:rPr>
      <w:color w:val="800080"/>
      <w:u w:val="single"/>
    </w:rPr>
  </w:style>
  <w:style w:type="paragraph" w:styleId="Revzia">
    <w:name w:val="Revision"/>
    <w:hidden/>
    <w:uiPriority w:val="99"/>
    <w:semiHidden/>
    <w:rsid w:val="00C36014"/>
    <w:rPr>
      <w:rFonts w:eastAsia="Times New Roman"/>
      <w:sz w:val="22"/>
      <w:szCs w:val="24"/>
      <w:lang w:val="sk-SK" w:eastAsia="sk-SK"/>
    </w:rPr>
  </w:style>
  <w:style w:type="paragraph" w:customStyle="1" w:styleId="TableParagraph">
    <w:name w:val="Table Paragraph"/>
    <w:basedOn w:val="Normlny"/>
    <w:uiPriority w:val="1"/>
    <w:qFormat/>
    <w:rsid w:val="00C36014"/>
    <w:pPr>
      <w:tabs>
        <w:tab w:val="clear" w:pos="567"/>
      </w:tabs>
      <w:autoSpaceDE w:val="0"/>
      <w:autoSpaceDN w:val="0"/>
      <w:adjustRightInd w:val="0"/>
      <w:spacing w:line="240" w:lineRule="auto"/>
    </w:pPr>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image" Target="media/image4.jp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image" Target="media/image6.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jpg"/><Relationship Id="rId23"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6.jpeg"/><Relationship Id="rId22" Type="http://schemas.openxmlformats.org/officeDocument/2006/relationships/oleObject" Target="embeddings/oleObject2.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CC161-6857-4801-91A2-CC5A4C8E4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1053</TotalTime>
  <Pages>36</Pages>
  <Words>16336</Words>
  <Characters>95385</Characters>
  <Application>Microsoft Office Word</Application>
  <DocSecurity>0</DocSecurity>
  <Lines>794</Lines>
  <Paragraphs>222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Hqrdtemplateclean_sk</vt:lpstr>
      <vt:lpstr>SK Hqrdtemplatecleansk - track version</vt:lpstr>
    </vt:vector>
  </TitlesOfParts>
  <Company>Translation Centre</Company>
  <LinksUpToDate>false</LinksUpToDate>
  <CharactersWithSpaces>111499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Hqrdtemplateclean_sk</dc:title>
  <dc:creator>European Medicines Agency</dc:creator>
  <cp:lastModifiedBy>Lacková, Beáta</cp:lastModifiedBy>
  <cp:revision>38</cp:revision>
  <cp:lastPrinted>2019-06-11T20:08:00Z</cp:lastPrinted>
  <dcterms:created xsi:type="dcterms:W3CDTF">2019-10-08T06:39:00Z</dcterms:created>
  <dcterms:modified xsi:type="dcterms:W3CDTF">2021-01-14T14:27:00Z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11/06/2019 22:12:40</vt:lpwstr>
  </property>
  <property fmtid="{D5CDD505-2E9C-101B-9397-08002B2CF9AE}" pid="6" name="DM_Creator_Name">
    <vt:lpwstr>Akhtar Timea</vt:lpwstr>
  </property>
  <property fmtid="{D5CDD505-2E9C-101B-9397-08002B2CF9AE}" pid="7" name="DM_DocRefId">
    <vt:lpwstr>EMA/330169/2019</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423415</vt:lpwstr>
  </property>
  <property fmtid="{D5CDD505-2E9C-101B-9397-08002B2CF9AE}" pid="13" name="DM_emea_doc_ref_id">
    <vt:lpwstr>EMA/330169/2019</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11/06/2019 22:12:40</vt:lpwstr>
  </property>
  <property fmtid="{D5CDD505-2E9C-101B-9397-08002B2CF9AE}" pid="34" name="DM_Modifier_Name">
    <vt:lpwstr>Akhtar Timea</vt:lpwstr>
  </property>
  <property fmtid="{D5CDD505-2E9C-101B-9397-08002B2CF9AE}" pid="35" name="DM_Modify_Date">
    <vt:lpwstr>11/06/2019 22:12:40</vt:lpwstr>
  </property>
  <property fmtid="{D5CDD505-2E9C-101B-9397-08002B2CF9AE}" pid="36" name="DM_Name">
    <vt:lpwstr>Hqrdtemplateclean_sk</vt:lpwstr>
  </property>
  <property fmtid="{D5CDD505-2E9C-101B-9397-08002B2CF9AE}" pid="37" name="DM_Owner">
    <vt:lpwstr>Espinasse Claire</vt:lpwstr>
  </property>
  <property fmtid="{D5CDD505-2E9C-101B-9397-08002B2CF9AE}" pid="38" name="DM_Path">
    <vt:lpwstr>/02b. Administration of Scientific Meeting/WPs SAGs DGs and other WGs/CxMP - QRD/3. Other activities/02. Procedures/01. QRD PI templates/01 QRD Human Templates/07 H-qrd template v10.1/Translations FINAL versions for publication/Clean files</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ies>
</file>