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665CA" w14:textId="77777777" w:rsidR="00497958" w:rsidRPr="00534FB2" w:rsidRDefault="00497958" w:rsidP="002F251E">
      <w:pPr>
        <w:widowControl w:val="0"/>
        <w:jc w:val="center"/>
        <w:rPr>
          <w:b/>
          <w:sz w:val="22"/>
          <w:szCs w:val="22"/>
          <w:lang w:val="sk-SK"/>
        </w:rPr>
      </w:pPr>
    </w:p>
    <w:p w14:paraId="30E948C3" w14:textId="19C146CB" w:rsidR="001D1482" w:rsidRPr="00534FB2" w:rsidRDefault="00A66602" w:rsidP="002F251E">
      <w:pPr>
        <w:widowControl w:val="0"/>
        <w:jc w:val="center"/>
        <w:outlineLvl w:val="0"/>
        <w:rPr>
          <w:b/>
          <w:sz w:val="22"/>
          <w:szCs w:val="22"/>
          <w:lang w:val="sk-SK"/>
        </w:rPr>
      </w:pPr>
      <w:r w:rsidRPr="00534FB2">
        <w:rPr>
          <w:b/>
          <w:sz w:val="22"/>
          <w:szCs w:val="22"/>
          <w:lang w:val="sk-SK"/>
        </w:rPr>
        <w:t>SÚHRN CHARAKTERISTICKÝCH VLASTNOSTÍ LIEKU</w:t>
      </w:r>
    </w:p>
    <w:p w14:paraId="62390841" w14:textId="77777777" w:rsidR="001D1482" w:rsidRPr="00534FB2" w:rsidRDefault="001D1482" w:rsidP="001D1482">
      <w:pPr>
        <w:rPr>
          <w:b/>
          <w:sz w:val="22"/>
          <w:szCs w:val="22"/>
          <w:lang w:val="sk-SK"/>
        </w:rPr>
      </w:pPr>
    </w:p>
    <w:p w14:paraId="010458F1" w14:textId="77777777" w:rsidR="001D1482" w:rsidRPr="00534FB2" w:rsidRDefault="001D1482" w:rsidP="001D1482">
      <w:pPr>
        <w:rPr>
          <w:b/>
          <w:sz w:val="22"/>
          <w:szCs w:val="22"/>
          <w:lang w:val="sk-SK"/>
        </w:rPr>
      </w:pPr>
    </w:p>
    <w:p w14:paraId="686088B8" w14:textId="49E460B4" w:rsidR="0048743D" w:rsidRPr="00534FB2" w:rsidRDefault="00A66602" w:rsidP="00A66602">
      <w:pPr>
        <w:pStyle w:val="Odsekzoznamu"/>
        <w:numPr>
          <w:ilvl w:val="0"/>
          <w:numId w:val="1"/>
        </w:numPr>
        <w:rPr>
          <w:b/>
          <w:sz w:val="22"/>
          <w:szCs w:val="22"/>
          <w:lang w:val="sk-SK"/>
        </w:rPr>
      </w:pPr>
      <w:r w:rsidRPr="00534FB2">
        <w:rPr>
          <w:b/>
          <w:sz w:val="22"/>
          <w:szCs w:val="22"/>
          <w:lang w:val="sk-SK"/>
        </w:rPr>
        <w:t>NÁZOV LIEKU</w:t>
      </w:r>
    </w:p>
    <w:p w14:paraId="77FD4246" w14:textId="77777777" w:rsidR="00A66602" w:rsidRPr="00534FB2" w:rsidRDefault="00A66602" w:rsidP="00A66602">
      <w:pPr>
        <w:pStyle w:val="Odsekzoznamu"/>
        <w:ind w:left="360"/>
        <w:rPr>
          <w:b/>
          <w:sz w:val="22"/>
          <w:szCs w:val="22"/>
          <w:lang w:val="sk-SK"/>
        </w:rPr>
      </w:pPr>
    </w:p>
    <w:p w14:paraId="5A69DF79" w14:textId="2588FF44" w:rsidR="0043633E" w:rsidRPr="00534FB2" w:rsidRDefault="00A66602" w:rsidP="00134CBE">
      <w:pPr>
        <w:rPr>
          <w:sz w:val="22"/>
          <w:szCs w:val="22"/>
          <w:lang w:val="sk-SK"/>
        </w:rPr>
      </w:pPr>
      <w:r w:rsidRPr="00534FB2">
        <w:rPr>
          <w:sz w:val="22"/>
          <w:szCs w:val="22"/>
          <w:lang w:val="sk-SK"/>
        </w:rPr>
        <w:t>Asbima HCT 5 mg/160 mg/12,</w:t>
      </w:r>
      <w:r w:rsidR="007864FD" w:rsidRPr="00534FB2">
        <w:rPr>
          <w:sz w:val="22"/>
          <w:szCs w:val="22"/>
          <w:lang w:val="sk-SK"/>
        </w:rPr>
        <w:t xml:space="preserve">5 mg </w:t>
      </w:r>
    </w:p>
    <w:p w14:paraId="2AAEFCA0" w14:textId="146D620E" w:rsidR="007864FD" w:rsidRPr="00534FB2" w:rsidRDefault="00A66602" w:rsidP="00134CBE">
      <w:pPr>
        <w:rPr>
          <w:sz w:val="22"/>
          <w:szCs w:val="22"/>
          <w:highlight w:val="lightGray"/>
          <w:lang w:val="sk-SK"/>
        </w:rPr>
      </w:pPr>
      <w:r w:rsidRPr="00534FB2">
        <w:rPr>
          <w:sz w:val="22"/>
          <w:szCs w:val="22"/>
          <w:highlight w:val="lightGray"/>
          <w:lang w:val="sk-SK"/>
        </w:rPr>
        <w:t>Asbima HCT 10 mg/160 mg/12,</w:t>
      </w:r>
      <w:r w:rsidR="007864FD" w:rsidRPr="00534FB2">
        <w:rPr>
          <w:sz w:val="22"/>
          <w:szCs w:val="22"/>
          <w:highlight w:val="lightGray"/>
          <w:lang w:val="sk-SK"/>
        </w:rPr>
        <w:t xml:space="preserve">5 mg </w:t>
      </w:r>
    </w:p>
    <w:p w14:paraId="161E4D89" w14:textId="6DEE2D2D" w:rsidR="007864FD" w:rsidRPr="00534FB2" w:rsidRDefault="00A66602" w:rsidP="00134CBE">
      <w:pPr>
        <w:rPr>
          <w:sz w:val="22"/>
          <w:szCs w:val="22"/>
          <w:highlight w:val="lightGray"/>
          <w:lang w:val="sk-SK"/>
        </w:rPr>
      </w:pPr>
      <w:r w:rsidRPr="00534FB2">
        <w:rPr>
          <w:sz w:val="22"/>
          <w:szCs w:val="22"/>
          <w:highlight w:val="lightGray"/>
          <w:lang w:val="sk-SK"/>
        </w:rPr>
        <w:t xml:space="preserve">Asbima HCT </w:t>
      </w:r>
      <w:r w:rsidR="007864FD" w:rsidRPr="00534FB2">
        <w:rPr>
          <w:sz w:val="22"/>
          <w:szCs w:val="22"/>
          <w:highlight w:val="lightGray"/>
          <w:lang w:val="sk-SK"/>
        </w:rPr>
        <w:t xml:space="preserve">5 mg/160 mg/25 mg </w:t>
      </w:r>
    </w:p>
    <w:p w14:paraId="23913838" w14:textId="3C57A0E0" w:rsidR="007864FD" w:rsidRPr="00534FB2" w:rsidRDefault="00A66602" w:rsidP="00134CBE">
      <w:pPr>
        <w:rPr>
          <w:sz w:val="22"/>
          <w:szCs w:val="22"/>
          <w:highlight w:val="lightGray"/>
          <w:lang w:val="sk-SK"/>
        </w:rPr>
      </w:pPr>
      <w:r w:rsidRPr="00534FB2">
        <w:rPr>
          <w:sz w:val="22"/>
          <w:szCs w:val="22"/>
          <w:highlight w:val="lightGray"/>
          <w:lang w:val="sk-SK"/>
        </w:rPr>
        <w:t xml:space="preserve">Asbima HCT </w:t>
      </w:r>
      <w:r w:rsidR="007864FD" w:rsidRPr="00534FB2">
        <w:rPr>
          <w:sz w:val="22"/>
          <w:szCs w:val="22"/>
          <w:highlight w:val="lightGray"/>
          <w:lang w:val="sk-SK"/>
        </w:rPr>
        <w:t xml:space="preserve">10 mg/160 mg/25 mg </w:t>
      </w:r>
    </w:p>
    <w:p w14:paraId="15267FB5" w14:textId="624054F3" w:rsidR="00DB374E" w:rsidRPr="00534FB2" w:rsidRDefault="00A66602" w:rsidP="00134CBE">
      <w:pPr>
        <w:rPr>
          <w:sz w:val="22"/>
          <w:szCs w:val="22"/>
          <w:highlight w:val="lightGray"/>
          <w:lang w:val="sk-SK"/>
        </w:rPr>
      </w:pPr>
      <w:r w:rsidRPr="00534FB2">
        <w:rPr>
          <w:sz w:val="22"/>
          <w:szCs w:val="22"/>
          <w:highlight w:val="lightGray"/>
          <w:lang w:val="sk-SK"/>
        </w:rPr>
        <w:t xml:space="preserve">Asbima HCT </w:t>
      </w:r>
      <w:r w:rsidR="007864FD" w:rsidRPr="00534FB2">
        <w:rPr>
          <w:sz w:val="22"/>
          <w:szCs w:val="22"/>
          <w:highlight w:val="lightGray"/>
          <w:lang w:val="sk-SK"/>
        </w:rPr>
        <w:t xml:space="preserve">10 mg/320 mg/25 mg </w:t>
      </w:r>
    </w:p>
    <w:p w14:paraId="5907E93C" w14:textId="77777777" w:rsidR="00A66602" w:rsidRPr="00534FB2" w:rsidRDefault="00A66602" w:rsidP="00134CBE">
      <w:pPr>
        <w:rPr>
          <w:sz w:val="22"/>
          <w:szCs w:val="22"/>
          <w:highlight w:val="lightGray"/>
          <w:lang w:val="sk-SK"/>
        </w:rPr>
      </w:pPr>
    </w:p>
    <w:p w14:paraId="1F8B7F69" w14:textId="0D05E576" w:rsidR="00A66602" w:rsidRPr="00534FB2" w:rsidRDefault="00A66602" w:rsidP="00134CBE">
      <w:pPr>
        <w:rPr>
          <w:sz w:val="22"/>
          <w:szCs w:val="22"/>
          <w:lang w:val="sk-SK"/>
        </w:rPr>
      </w:pPr>
      <w:r w:rsidRPr="00534FB2">
        <w:rPr>
          <w:sz w:val="22"/>
          <w:szCs w:val="22"/>
          <w:lang w:val="sk-SK"/>
        </w:rPr>
        <w:t>filmom obalené tablety</w:t>
      </w:r>
    </w:p>
    <w:p w14:paraId="1E94B46C" w14:textId="3F3742DB" w:rsidR="008E3F87" w:rsidRPr="00534FB2" w:rsidRDefault="008E3F87" w:rsidP="00134CBE">
      <w:pPr>
        <w:rPr>
          <w:sz w:val="22"/>
          <w:szCs w:val="22"/>
          <w:lang w:val="sk-SK"/>
        </w:rPr>
      </w:pPr>
    </w:p>
    <w:p w14:paraId="460CA10D" w14:textId="77777777" w:rsidR="008E3F87" w:rsidRPr="00534FB2" w:rsidRDefault="008E3F87" w:rsidP="00134CBE">
      <w:pPr>
        <w:rPr>
          <w:sz w:val="22"/>
          <w:szCs w:val="22"/>
          <w:lang w:val="sk-SK"/>
        </w:rPr>
      </w:pPr>
    </w:p>
    <w:p w14:paraId="00FE018C" w14:textId="774913E6" w:rsidR="0043633E" w:rsidRPr="00534FB2" w:rsidRDefault="00A66602" w:rsidP="00134CBE">
      <w:pPr>
        <w:pStyle w:val="Odsekzoznamu"/>
        <w:numPr>
          <w:ilvl w:val="0"/>
          <w:numId w:val="1"/>
        </w:numPr>
        <w:rPr>
          <w:b/>
          <w:sz w:val="22"/>
          <w:szCs w:val="22"/>
          <w:lang w:val="sk-SK"/>
        </w:rPr>
      </w:pPr>
      <w:r w:rsidRPr="00534FB2">
        <w:rPr>
          <w:b/>
          <w:bCs/>
          <w:sz w:val="22"/>
          <w:szCs w:val="22"/>
          <w:lang w:val="sk-SK"/>
        </w:rPr>
        <w:t>KVALITATÍVNE A KVANTITATÍVNE ZLOŽENIE</w:t>
      </w:r>
    </w:p>
    <w:p w14:paraId="2B8E1394" w14:textId="77777777" w:rsidR="0048743D" w:rsidRPr="00534FB2" w:rsidRDefault="0048743D" w:rsidP="00134CBE">
      <w:pPr>
        <w:rPr>
          <w:b/>
          <w:sz w:val="22"/>
          <w:szCs w:val="22"/>
          <w:lang w:val="sk-SK"/>
        </w:rPr>
      </w:pPr>
    </w:p>
    <w:p w14:paraId="0491E5B1" w14:textId="1E80D3FC" w:rsidR="007864FD" w:rsidRPr="00534FB2" w:rsidRDefault="00A66602" w:rsidP="00134CBE">
      <w:pPr>
        <w:rPr>
          <w:sz w:val="22"/>
          <w:szCs w:val="22"/>
          <w:u w:val="single"/>
          <w:lang w:val="sk-SK"/>
        </w:rPr>
      </w:pPr>
      <w:r w:rsidRPr="00534FB2">
        <w:rPr>
          <w:sz w:val="22"/>
          <w:szCs w:val="22"/>
          <w:u w:val="single"/>
          <w:lang w:val="sk-SK"/>
        </w:rPr>
        <w:t>Asbima HCT 5 mg/160 mg/12,</w:t>
      </w:r>
      <w:r w:rsidR="007864FD" w:rsidRPr="00534FB2">
        <w:rPr>
          <w:sz w:val="22"/>
          <w:szCs w:val="22"/>
          <w:u w:val="single"/>
          <w:lang w:val="sk-SK"/>
        </w:rPr>
        <w:t xml:space="preserve">5 mg </w:t>
      </w:r>
    </w:p>
    <w:p w14:paraId="6C257CDF" w14:textId="713EF834" w:rsidR="007864FD" w:rsidRPr="00534FB2" w:rsidRDefault="00A66602" w:rsidP="00A66602">
      <w:pPr>
        <w:rPr>
          <w:sz w:val="22"/>
          <w:szCs w:val="22"/>
          <w:lang w:val="sk-SK"/>
        </w:rPr>
      </w:pPr>
      <w:r w:rsidRPr="00534FB2">
        <w:rPr>
          <w:sz w:val="22"/>
          <w:szCs w:val="22"/>
          <w:lang w:val="sk-SK"/>
        </w:rPr>
        <w:t>Každá filmom obalená tableta obsahuje 5 mg amlodipínu (ako amlodipínium</w:t>
      </w:r>
      <w:r w:rsidR="005A1101">
        <w:rPr>
          <w:sz w:val="22"/>
          <w:szCs w:val="22"/>
          <w:lang w:val="sk-SK"/>
        </w:rPr>
        <w:t>-</w:t>
      </w:r>
      <w:r w:rsidRPr="00534FB2">
        <w:rPr>
          <w:sz w:val="22"/>
          <w:szCs w:val="22"/>
          <w:lang w:val="sk-SK"/>
        </w:rPr>
        <w:t>be</w:t>
      </w:r>
      <w:r w:rsidR="005A1101">
        <w:rPr>
          <w:sz w:val="22"/>
          <w:szCs w:val="22"/>
          <w:lang w:val="sk-SK"/>
        </w:rPr>
        <w:t>zy</w:t>
      </w:r>
      <w:r w:rsidRPr="00534FB2">
        <w:rPr>
          <w:sz w:val="22"/>
          <w:szCs w:val="22"/>
          <w:lang w:val="sk-SK"/>
        </w:rPr>
        <w:t>látu), 160 mg valsartanu a 12,5 mg hydrochl</w:t>
      </w:r>
      <w:r w:rsidR="002C71F1">
        <w:rPr>
          <w:sz w:val="22"/>
          <w:szCs w:val="22"/>
          <w:lang w:val="sk-SK"/>
        </w:rPr>
        <w:t>ó</w:t>
      </w:r>
      <w:r w:rsidRPr="00534FB2">
        <w:rPr>
          <w:sz w:val="22"/>
          <w:szCs w:val="22"/>
          <w:lang w:val="sk-SK"/>
        </w:rPr>
        <w:t>rtiazidu.</w:t>
      </w:r>
    </w:p>
    <w:p w14:paraId="753456BB" w14:textId="77777777" w:rsidR="007864FD" w:rsidRPr="00534FB2" w:rsidRDefault="007864FD" w:rsidP="00134CBE">
      <w:pPr>
        <w:rPr>
          <w:sz w:val="22"/>
          <w:szCs w:val="22"/>
          <w:lang w:val="sk-SK"/>
        </w:rPr>
      </w:pPr>
    </w:p>
    <w:p w14:paraId="73F032C0" w14:textId="0C0F06BB" w:rsidR="007864FD" w:rsidRPr="00534FB2" w:rsidRDefault="00A66602" w:rsidP="00134CBE">
      <w:pPr>
        <w:rPr>
          <w:sz w:val="22"/>
          <w:szCs w:val="22"/>
          <w:highlight w:val="lightGray"/>
          <w:u w:val="single"/>
          <w:lang w:val="sk-SK"/>
        </w:rPr>
      </w:pPr>
      <w:r w:rsidRPr="00534FB2">
        <w:rPr>
          <w:sz w:val="22"/>
          <w:szCs w:val="22"/>
          <w:highlight w:val="lightGray"/>
          <w:u w:val="single"/>
          <w:lang w:val="sk-SK"/>
        </w:rPr>
        <w:t>Asbima HCT 10 mg/160 mg/12,</w:t>
      </w:r>
      <w:r w:rsidR="007864FD" w:rsidRPr="00534FB2">
        <w:rPr>
          <w:sz w:val="22"/>
          <w:szCs w:val="22"/>
          <w:highlight w:val="lightGray"/>
          <w:u w:val="single"/>
          <w:lang w:val="sk-SK"/>
        </w:rPr>
        <w:t xml:space="preserve">5 mg </w:t>
      </w:r>
    </w:p>
    <w:p w14:paraId="60D7E277" w14:textId="2CB82E70" w:rsidR="007864FD" w:rsidRPr="00534FB2" w:rsidRDefault="00A66602" w:rsidP="00A66602">
      <w:pPr>
        <w:rPr>
          <w:sz w:val="22"/>
          <w:szCs w:val="22"/>
          <w:highlight w:val="lightGray"/>
          <w:lang w:val="sk-SK"/>
        </w:rPr>
      </w:pPr>
      <w:r w:rsidRPr="00534FB2">
        <w:rPr>
          <w:sz w:val="22"/>
          <w:szCs w:val="22"/>
          <w:highlight w:val="lightGray"/>
          <w:lang w:val="sk-SK"/>
        </w:rPr>
        <w:t xml:space="preserve">Každá filmom obalená tableta obsahuje 10 mg amlodipínu (ako </w:t>
      </w:r>
      <w:r w:rsidR="002C71F1" w:rsidRPr="002C71F1">
        <w:rPr>
          <w:sz w:val="22"/>
          <w:szCs w:val="22"/>
          <w:highlight w:val="lightGray"/>
        </w:rPr>
        <w:t>amlodipínium-bezylát</w:t>
      </w:r>
      <w:r w:rsidR="002C71F1">
        <w:rPr>
          <w:sz w:val="22"/>
          <w:szCs w:val="22"/>
          <w:highlight w:val="lightGray"/>
        </w:rPr>
        <w:t>u</w:t>
      </w:r>
      <w:r w:rsidRPr="00534FB2">
        <w:rPr>
          <w:sz w:val="22"/>
          <w:szCs w:val="22"/>
          <w:highlight w:val="lightGray"/>
          <w:lang w:val="sk-SK"/>
        </w:rPr>
        <w:t>), 160 mg valsartanu a 12,5 mg hydrochl</w:t>
      </w:r>
      <w:r w:rsidR="000514B9">
        <w:rPr>
          <w:sz w:val="22"/>
          <w:szCs w:val="22"/>
          <w:highlight w:val="lightGray"/>
          <w:lang w:val="sk-SK"/>
        </w:rPr>
        <w:t>ó</w:t>
      </w:r>
      <w:r w:rsidRPr="00534FB2">
        <w:rPr>
          <w:sz w:val="22"/>
          <w:szCs w:val="22"/>
          <w:highlight w:val="lightGray"/>
          <w:lang w:val="sk-SK"/>
        </w:rPr>
        <w:t>rtiazidu.</w:t>
      </w:r>
    </w:p>
    <w:p w14:paraId="5517CCAA" w14:textId="77777777" w:rsidR="007864FD" w:rsidRPr="00534FB2" w:rsidRDefault="007864FD" w:rsidP="00134CBE">
      <w:pPr>
        <w:rPr>
          <w:sz w:val="22"/>
          <w:szCs w:val="22"/>
          <w:highlight w:val="lightGray"/>
          <w:lang w:val="sk-SK"/>
        </w:rPr>
      </w:pPr>
    </w:p>
    <w:p w14:paraId="0D138302" w14:textId="4BD7C603" w:rsidR="007864FD" w:rsidRPr="00534FB2" w:rsidRDefault="00A66602" w:rsidP="00134CBE">
      <w:pPr>
        <w:rPr>
          <w:sz w:val="22"/>
          <w:szCs w:val="22"/>
          <w:highlight w:val="lightGray"/>
          <w:u w:val="single"/>
          <w:lang w:val="sk-SK"/>
        </w:rPr>
      </w:pPr>
      <w:r w:rsidRPr="00534FB2">
        <w:rPr>
          <w:sz w:val="22"/>
          <w:szCs w:val="22"/>
          <w:highlight w:val="lightGray"/>
          <w:u w:val="single"/>
          <w:lang w:val="sk-SK"/>
        </w:rPr>
        <w:t xml:space="preserve">Asbima HCT </w:t>
      </w:r>
      <w:r w:rsidR="007864FD" w:rsidRPr="00534FB2">
        <w:rPr>
          <w:sz w:val="22"/>
          <w:szCs w:val="22"/>
          <w:highlight w:val="lightGray"/>
          <w:u w:val="single"/>
          <w:lang w:val="sk-SK"/>
        </w:rPr>
        <w:t xml:space="preserve">5 mg/160 mg/25 mg </w:t>
      </w:r>
    </w:p>
    <w:p w14:paraId="409590C2" w14:textId="793BCC8C" w:rsidR="007864FD" w:rsidRPr="00534FB2" w:rsidRDefault="00A66602" w:rsidP="00A66602">
      <w:pPr>
        <w:rPr>
          <w:sz w:val="22"/>
          <w:szCs w:val="22"/>
          <w:highlight w:val="lightGray"/>
          <w:lang w:val="sk-SK"/>
        </w:rPr>
      </w:pPr>
      <w:r w:rsidRPr="00534FB2">
        <w:rPr>
          <w:sz w:val="22"/>
          <w:szCs w:val="22"/>
          <w:highlight w:val="lightGray"/>
          <w:lang w:val="sk-SK"/>
        </w:rPr>
        <w:t xml:space="preserve">Každá filmom obalená tableta obsahuje 5 mg amlodipínu (ako </w:t>
      </w:r>
      <w:r w:rsidR="002C71F1" w:rsidRPr="002C71F1">
        <w:rPr>
          <w:sz w:val="22"/>
          <w:szCs w:val="22"/>
          <w:highlight w:val="lightGray"/>
        </w:rPr>
        <w:t>amlodipínium-bezylát</w:t>
      </w:r>
      <w:r w:rsidR="002C71F1">
        <w:rPr>
          <w:sz w:val="22"/>
          <w:szCs w:val="22"/>
          <w:highlight w:val="lightGray"/>
        </w:rPr>
        <w:t>u</w:t>
      </w:r>
      <w:r w:rsidRPr="00534FB2">
        <w:rPr>
          <w:sz w:val="22"/>
          <w:szCs w:val="22"/>
          <w:highlight w:val="lightGray"/>
          <w:lang w:val="sk-SK"/>
        </w:rPr>
        <w:t>), 160 mg valsartanu a 25 mg hydrochl</w:t>
      </w:r>
      <w:r w:rsidR="000514B9">
        <w:rPr>
          <w:sz w:val="22"/>
          <w:szCs w:val="22"/>
          <w:highlight w:val="lightGray"/>
          <w:lang w:val="sk-SK"/>
        </w:rPr>
        <w:t>ó</w:t>
      </w:r>
      <w:r w:rsidRPr="00534FB2">
        <w:rPr>
          <w:sz w:val="22"/>
          <w:szCs w:val="22"/>
          <w:highlight w:val="lightGray"/>
          <w:lang w:val="sk-SK"/>
        </w:rPr>
        <w:t>rtiazidu.</w:t>
      </w:r>
    </w:p>
    <w:p w14:paraId="44DF42AF" w14:textId="77777777" w:rsidR="007864FD" w:rsidRPr="00534FB2" w:rsidRDefault="007864FD" w:rsidP="00134CBE">
      <w:pPr>
        <w:rPr>
          <w:sz w:val="22"/>
          <w:szCs w:val="22"/>
          <w:highlight w:val="lightGray"/>
          <w:lang w:val="sk-SK"/>
        </w:rPr>
      </w:pPr>
    </w:p>
    <w:p w14:paraId="440E161B" w14:textId="339FCDC8" w:rsidR="007864FD" w:rsidRPr="00534FB2" w:rsidRDefault="00A66602" w:rsidP="00134CBE">
      <w:pPr>
        <w:rPr>
          <w:sz w:val="22"/>
          <w:szCs w:val="22"/>
          <w:highlight w:val="lightGray"/>
          <w:u w:val="single"/>
          <w:lang w:val="sk-SK"/>
        </w:rPr>
      </w:pPr>
      <w:r w:rsidRPr="00534FB2">
        <w:rPr>
          <w:sz w:val="22"/>
          <w:szCs w:val="22"/>
          <w:highlight w:val="lightGray"/>
          <w:u w:val="single"/>
          <w:lang w:val="sk-SK"/>
        </w:rPr>
        <w:t xml:space="preserve">Asbima HCT 10 mg/160 mg/25 mg </w:t>
      </w:r>
    </w:p>
    <w:p w14:paraId="6B72DE2D" w14:textId="61CD48D0" w:rsidR="007864FD" w:rsidRPr="00534FB2" w:rsidRDefault="00A66602" w:rsidP="00A66602">
      <w:pPr>
        <w:rPr>
          <w:sz w:val="22"/>
          <w:szCs w:val="22"/>
          <w:highlight w:val="lightGray"/>
          <w:lang w:val="sk-SK"/>
        </w:rPr>
      </w:pPr>
      <w:r w:rsidRPr="00534FB2">
        <w:rPr>
          <w:sz w:val="22"/>
          <w:szCs w:val="22"/>
          <w:highlight w:val="lightGray"/>
          <w:lang w:val="sk-SK"/>
        </w:rPr>
        <w:t xml:space="preserve">Každá filmom obalená tableta obsahuje 10 mg amlodipínu (ako </w:t>
      </w:r>
      <w:r w:rsidR="002C71F1" w:rsidRPr="002C71F1">
        <w:rPr>
          <w:sz w:val="22"/>
          <w:szCs w:val="22"/>
          <w:highlight w:val="lightGray"/>
        </w:rPr>
        <w:t>amlodipínium-bezylát</w:t>
      </w:r>
      <w:r w:rsidR="002C71F1">
        <w:rPr>
          <w:sz w:val="22"/>
          <w:szCs w:val="22"/>
          <w:highlight w:val="lightGray"/>
        </w:rPr>
        <w:t>u</w:t>
      </w:r>
      <w:r w:rsidRPr="00534FB2">
        <w:rPr>
          <w:sz w:val="22"/>
          <w:szCs w:val="22"/>
          <w:highlight w:val="lightGray"/>
          <w:lang w:val="sk-SK"/>
        </w:rPr>
        <w:t>), 160 mg valsartanu a 25 mg hydrochl</w:t>
      </w:r>
      <w:r w:rsidR="000514B9">
        <w:rPr>
          <w:sz w:val="22"/>
          <w:szCs w:val="22"/>
          <w:highlight w:val="lightGray"/>
          <w:lang w:val="sk-SK"/>
        </w:rPr>
        <w:t>ó</w:t>
      </w:r>
      <w:r w:rsidRPr="00534FB2">
        <w:rPr>
          <w:sz w:val="22"/>
          <w:szCs w:val="22"/>
          <w:highlight w:val="lightGray"/>
          <w:lang w:val="sk-SK"/>
        </w:rPr>
        <w:t>rtiazidu.</w:t>
      </w:r>
    </w:p>
    <w:p w14:paraId="30C2526B" w14:textId="77777777" w:rsidR="007864FD" w:rsidRPr="00534FB2" w:rsidRDefault="007864FD" w:rsidP="00134CBE">
      <w:pPr>
        <w:rPr>
          <w:sz w:val="22"/>
          <w:szCs w:val="22"/>
          <w:highlight w:val="lightGray"/>
          <w:lang w:val="sk-SK"/>
        </w:rPr>
      </w:pPr>
    </w:p>
    <w:p w14:paraId="29E0A645" w14:textId="0ED0C78A" w:rsidR="00F6753A" w:rsidRPr="00534FB2" w:rsidRDefault="00A66602" w:rsidP="00134CBE">
      <w:pPr>
        <w:rPr>
          <w:sz w:val="22"/>
          <w:szCs w:val="22"/>
          <w:highlight w:val="lightGray"/>
          <w:u w:val="single"/>
          <w:lang w:val="sk-SK"/>
        </w:rPr>
      </w:pPr>
      <w:r w:rsidRPr="00534FB2">
        <w:rPr>
          <w:sz w:val="22"/>
          <w:szCs w:val="22"/>
          <w:highlight w:val="lightGray"/>
          <w:u w:val="single"/>
          <w:lang w:val="sk-SK"/>
        </w:rPr>
        <w:t xml:space="preserve">Asbima HCT </w:t>
      </w:r>
      <w:r w:rsidR="007864FD" w:rsidRPr="00534FB2">
        <w:rPr>
          <w:sz w:val="22"/>
          <w:szCs w:val="22"/>
          <w:highlight w:val="lightGray"/>
          <w:u w:val="single"/>
          <w:lang w:val="sk-SK"/>
        </w:rPr>
        <w:t xml:space="preserve">10 mg/320 mg/25 mg </w:t>
      </w:r>
    </w:p>
    <w:p w14:paraId="2A575EEA" w14:textId="497252A8" w:rsidR="00F6753A" w:rsidRPr="00534FB2" w:rsidRDefault="00A66602" w:rsidP="00A66602">
      <w:pPr>
        <w:rPr>
          <w:sz w:val="22"/>
          <w:szCs w:val="22"/>
          <w:highlight w:val="lightGray"/>
          <w:lang w:val="sk-SK"/>
        </w:rPr>
      </w:pPr>
      <w:r w:rsidRPr="00534FB2">
        <w:rPr>
          <w:sz w:val="22"/>
          <w:szCs w:val="22"/>
          <w:highlight w:val="lightGray"/>
          <w:lang w:val="sk-SK"/>
        </w:rPr>
        <w:t xml:space="preserve">Každá filmom obalená tableta obsahuje 10 mg amlodipínu (ako </w:t>
      </w:r>
      <w:r w:rsidR="002C71F1" w:rsidRPr="002C71F1">
        <w:rPr>
          <w:sz w:val="22"/>
          <w:szCs w:val="22"/>
          <w:highlight w:val="lightGray"/>
        </w:rPr>
        <w:t>amlodipínium-bezylát</w:t>
      </w:r>
      <w:r w:rsidR="002C71F1">
        <w:rPr>
          <w:sz w:val="22"/>
          <w:szCs w:val="22"/>
          <w:highlight w:val="lightGray"/>
        </w:rPr>
        <w:t>u</w:t>
      </w:r>
      <w:r w:rsidRPr="00534FB2">
        <w:rPr>
          <w:sz w:val="22"/>
          <w:szCs w:val="22"/>
          <w:highlight w:val="lightGray"/>
          <w:lang w:val="sk-SK"/>
        </w:rPr>
        <w:t>), 320 mg valsartanu a 25 mg hydrochl</w:t>
      </w:r>
      <w:r w:rsidR="000514B9">
        <w:rPr>
          <w:sz w:val="22"/>
          <w:szCs w:val="22"/>
          <w:highlight w:val="lightGray"/>
          <w:lang w:val="sk-SK"/>
        </w:rPr>
        <w:t>ó</w:t>
      </w:r>
      <w:r w:rsidRPr="00534FB2">
        <w:rPr>
          <w:sz w:val="22"/>
          <w:szCs w:val="22"/>
          <w:highlight w:val="lightGray"/>
          <w:lang w:val="sk-SK"/>
        </w:rPr>
        <w:t>rtiazidu.</w:t>
      </w:r>
    </w:p>
    <w:p w14:paraId="74E0F32C" w14:textId="77777777" w:rsidR="007864FD" w:rsidRPr="00534FB2" w:rsidRDefault="007864FD" w:rsidP="00134CBE">
      <w:pPr>
        <w:rPr>
          <w:sz w:val="22"/>
          <w:szCs w:val="22"/>
          <w:lang w:val="sk-SK"/>
        </w:rPr>
      </w:pPr>
    </w:p>
    <w:p w14:paraId="74DDD9B7" w14:textId="4B6A6251" w:rsidR="00514785" w:rsidRPr="00534FB2" w:rsidRDefault="00A66602" w:rsidP="00134CBE">
      <w:pPr>
        <w:rPr>
          <w:sz w:val="22"/>
          <w:szCs w:val="22"/>
          <w:lang w:val="sk-SK"/>
        </w:rPr>
      </w:pPr>
      <w:r w:rsidRPr="00534FB2">
        <w:rPr>
          <w:sz w:val="22"/>
          <w:szCs w:val="22"/>
          <w:lang w:val="sk-SK"/>
        </w:rPr>
        <w:t>Úplný zoznam pomocných látok, pozri časť 6.1.</w:t>
      </w:r>
    </w:p>
    <w:p w14:paraId="7DF62FB2" w14:textId="008FCBD8" w:rsidR="00514785" w:rsidRPr="00534FB2" w:rsidRDefault="00514785" w:rsidP="00134CBE">
      <w:pPr>
        <w:rPr>
          <w:sz w:val="22"/>
          <w:szCs w:val="22"/>
          <w:lang w:val="sk-SK"/>
        </w:rPr>
      </w:pPr>
    </w:p>
    <w:p w14:paraId="278BDBE3" w14:textId="77777777" w:rsidR="008E3F87" w:rsidRPr="00534FB2" w:rsidRDefault="008E3F87" w:rsidP="00134CBE">
      <w:pPr>
        <w:rPr>
          <w:sz w:val="22"/>
          <w:szCs w:val="22"/>
          <w:lang w:val="sk-SK"/>
        </w:rPr>
      </w:pPr>
    </w:p>
    <w:p w14:paraId="6890C75B" w14:textId="0B753984" w:rsidR="0048743D" w:rsidRPr="00534FB2" w:rsidRDefault="00A66602" w:rsidP="00A66602">
      <w:pPr>
        <w:pStyle w:val="Odsekzoznamu"/>
        <w:numPr>
          <w:ilvl w:val="0"/>
          <w:numId w:val="1"/>
        </w:numPr>
        <w:rPr>
          <w:b/>
          <w:sz w:val="22"/>
          <w:szCs w:val="22"/>
          <w:lang w:val="sk-SK"/>
        </w:rPr>
      </w:pPr>
      <w:r w:rsidRPr="00534FB2">
        <w:rPr>
          <w:b/>
          <w:sz w:val="22"/>
          <w:szCs w:val="22"/>
          <w:lang w:val="sk-SK"/>
        </w:rPr>
        <w:t>LIEKOVÁ FORMA</w:t>
      </w:r>
    </w:p>
    <w:p w14:paraId="153CEC77" w14:textId="77777777" w:rsidR="0048743D" w:rsidRPr="00534FB2" w:rsidRDefault="0048743D" w:rsidP="00134CBE">
      <w:pPr>
        <w:rPr>
          <w:b/>
          <w:sz w:val="22"/>
          <w:szCs w:val="22"/>
          <w:lang w:val="sk-SK"/>
        </w:rPr>
      </w:pPr>
    </w:p>
    <w:p w14:paraId="5D48551D" w14:textId="25219033" w:rsidR="0048743D" w:rsidRPr="00534FB2" w:rsidRDefault="00A66602" w:rsidP="00134CBE">
      <w:pPr>
        <w:rPr>
          <w:sz w:val="22"/>
          <w:szCs w:val="22"/>
          <w:lang w:val="sk-SK"/>
        </w:rPr>
      </w:pPr>
      <w:r w:rsidRPr="00534FB2">
        <w:rPr>
          <w:sz w:val="22"/>
          <w:szCs w:val="22"/>
          <w:lang w:val="sk-SK"/>
        </w:rPr>
        <w:t>Filmom obalená tableta</w:t>
      </w:r>
      <w:r w:rsidR="0048743D" w:rsidRPr="00534FB2">
        <w:rPr>
          <w:sz w:val="22"/>
          <w:szCs w:val="22"/>
          <w:lang w:val="sk-SK"/>
        </w:rPr>
        <w:t>.</w:t>
      </w:r>
    </w:p>
    <w:p w14:paraId="3AF6291B" w14:textId="77777777" w:rsidR="000E4018" w:rsidRPr="00534FB2" w:rsidRDefault="000E4018" w:rsidP="00134CBE">
      <w:pPr>
        <w:rPr>
          <w:sz w:val="22"/>
          <w:szCs w:val="22"/>
          <w:lang w:val="sk-SK"/>
        </w:rPr>
      </w:pPr>
    </w:p>
    <w:p w14:paraId="1093B60C" w14:textId="4FF30880" w:rsidR="000E4018" w:rsidRPr="00534FB2" w:rsidRDefault="00F12AD2" w:rsidP="00134CBE">
      <w:pPr>
        <w:rPr>
          <w:sz w:val="22"/>
          <w:szCs w:val="22"/>
          <w:u w:val="single"/>
          <w:lang w:val="sk-SK"/>
        </w:rPr>
      </w:pPr>
      <w:r w:rsidRPr="00534FB2">
        <w:rPr>
          <w:sz w:val="22"/>
          <w:szCs w:val="22"/>
          <w:u w:val="single"/>
          <w:lang w:val="sk-SK"/>
        </w:rPr>
        <w:t>Asbima HCT 5 mg/160 mg/12,</w:t>
      </w:r>
      <w:r w:rsidR="000E4018" w:rsidRPr="00534FB2">
        <w:rPr>
          <w:sz w:val="22"/>
          <w:szCs w:val="22"/>
          <w:u w:val="single"/>
          <w:lang w:val="sk-SK"/>
        </w:rPr>
        <w:t xml:space="preserve">5 mg </w:t>
      </w:r>
    </w:p>
    <w:p w14:paraId="1A87BA1F" w14:textId="77777777" w:rsidR="00FB2DCC" w:rsidRPr="00534FB2" w:rsidRDefault="00FB2DCC" w:rsidP="00FB2DCC">
      <w:pPr>
        <w:rPr>
          <w:sz w:val="22"/>
          <w:szCs w:val="22"/>
          <w:lang w:val="sk-SK"/>
        </w:rPr>
      </w:pPr>
      <w:r w:rsidRPr="00534FB2">
        <w:rPr>
          <w:sz w:val="22"/>
          <w:szCs w:val="22"/>
          <w:lang w:val="sk-SK"/>
        </w:rPr>
        <w:t>Biele, podlhovasté, bikonvexné filmom obalené tablety s vyrazeným „LLL“ na jednej strane a hladké na druhej strane, s nominálnou dĺžkou 15,3 mm a nominálnou šírkou 6,2 mm.</w:t>
      </w:r>
    </w:p>
    <w:p w14:paraId="70B17746" w14:textId="77777777" w:rsidR="000E4018" w:rsidRPr="00534FB2" w:rsidRDefault="000E4018" w:rsidP="00134CBE">
      <w:pPr>
        <w:rPr>
          <w:sz w:val="22"/>
          <w:szCs w:val="22"/>
          <w:lang w:val="sk-SK"/>
        </w:rPr>
      </w:pPr>
    </w:p>
    <w:p w14:paraId="6339B914" w14:textId="04554D16" w:rsidR="000E4018" w:rsidRPr="00534FB2" w:rsidRDefault="00F12AD2" w:rsidP="00134CBE">
      <w:pPr>
        <w:rPr>
          <w:sz w:val="22"/>
          <w:szCs w:val="22"/>
          <w:highlight w:val="lightGray"/>
          <w:u w:val="single"/>
          <w:lang w:val="sk-SK"/>
        </w:rPr>
      </w:pPr>
      <w:r w:rsidRPr="00534FB2">
        <w:rPr>
          <w:sz w:val="22"/>
          <w:szCs w:val="22"/>
          <w:highlight w:val="lightGray"/>
          <w:u w:val="single"/>
          <w:lang w:val="sk-SK"/>
        </w:rPr>
        <w:t>Asbima HCT 10 mg/160 mg/12,</w:t>
      </w:r>
      <w:r w:rsidR="000E4018" w:rsidRPr="00534FB2">
        <w:rPr>
          <w:sz w:val="22"/>
          <w:szCs w:val="22"/>
          <w:highlight w:val="lightGray"/>
          <w:u w:val="single"/>
          <w:lang w:val="sk-SK"/>
        </w:rPr>
        <w:t xml:space="preserve">5 mg </w:t>
      </w:r>
    </w:p>
    <w:p w14:paraId="5BFD7948" w14:textId="5DB85057" w:rsidR="000E4018" w:rsidRPr="00534FB2" w:rsidRDefault="000102AE" w:rsidP="00134CBE">
      <w:pPr>
        <w:rPr>
          <w:sz w:val="22"/>
          <w:szCs w:val="22"/>
          <w:lang w:val="sk-SK"/>
        </w:rPr>
      </w:pPr>
      <w:r w:rsidRPr="00534FB2">
        <w:rPr>
          <w:sz w:val="22"/>
          <w:szCs w:val="22"/>
          <w:highlight w:val="lightGray"/>
          <w:lang w:val="sk-SK"/>
        </w:rPr>
        <w:t>Bledožlté, podlhovasté, bikonvexné filmom obalené tablety s vyrazeným „HLL“ na jednej strane a hladké na druhej strane, s nominálnou dĺžkou 15,3 mm a nominálnou šírkou 6,2 mm.</w:t>
      </w:r>
      <w:r w:rsidRPr="00534FB2">
        <w:rPr>
          <w:sz w:val="22"/>
          <w:szCs w:val="22"/>
          <w:lang w:val="sk-SK"/>
        </w:rPr>
        <w:t xml:space="preserve"> </w:t>
      </w:r>
    </w:p>
    <w:p w14:paraId="52D21C86" w14:textId="77777777" w:rsidR="00B83AB7" w:rsidRPr="00534FB2" w:rsidRDefault="00B83AB7" w:rsidP="00134CBE">
      <w:pPr>
        <w:rPr>
          <w:sz w:val="22"/>
          <w:szCs w:val="22"/>
          <w:lang w:val="sk-SK"/>
        </w:rPr>
      </w:pPr>
    </w:p>
    <w:p w14:paraId="2622B1E0" w14:textId="586F936F" w:rsidR="000E4018" w:rsidRPr="00534FB2" w:rsidRDefault="00F12AD2" w:rsidP="005F1BE8">
      <w:pPr>
        <w:keepNext/>
        <w:rPr>
          <w:sz w:val="22"/>
          <w:szCs w:val="22"/>
          <w:highlight w:val="lightGray"/>
          <w:u w:val="single"/>
          <w:lang w:val="sk-SK"/>
        </w:rPr>
      </w:pPr>
      <w:r w:rsidRPr="00534FB2">
        <w:rPr>
          <w:sz w:val="22"/>
          <w:szCs w:val="22"/>
          <w:highlight w:val="lightGray"/>
          <w:u w:val="single"/>
          <w:lang w:val="sk-SK"/>
        </w:rPr>
        <w:t xml:space="preserve">Asbima HCT </w:t>
      </w:r>
      <w:r w:rsidR="000E4018" w:rsidRPr="00534FB2">
        <w:rPr>
          <w:sz w:val="22"/>
          <w:szCs w:val="22"/>
          <w:highlight w:val="lightGray"/>
          <w:u w:val="single"/>
          <w:lang w:val="sk-SK"/>
        </w:rPr>
        <w:t xml:space="preserve">5 mg/160 mg/25 mg </w:t>
      </w:r>
    </w:p>
    <w:p w14:paraId="29936804" w14:textId="6E499B3E" w:rsidR="00A535A4" w:rsidRPr="00534FB2" w:rsidRDefault="00A535A4" w:rsidP="00A535A4">
      <w:pPr>
        <w:rPr>
          <w:sz w:val="22"/>
          <w:szCs w:val="22"/>
          <w:highlight w:val="lightGray"/>
          <w:lang w:val="sk-SK"/>
        </w:rPr>
      </w:pPr>
      <w:r w:rsidRPr="00534FB2">
        <w:rPr>
          <w:sz w:val="22"/>
          <w:szCs w:val="22"/>
          <w:highlight w:val="lightGray"/>
          <w:lang w:val="sk-SK"/>
        </w:rPr>
        <w:t xml:space="preserve">Žlté, podlhovasté, bikonvexné filmom obalené tablety s vyrazeným „LLH“ na jednej strane a hladké na druhej strane, s nominálnou dĺžkou 15,3 mm a nominálnou šírkou 6,2 mm. </w:t>
      </w:r>
    </w:p>
    <w:p w14:paraId="1C0E9560" w14:textId="7E4575A5" w:rsidR="000E4018" w:rsidRPr="00534FB2" w:rsidRDefault="000E4018" w:rsidP="00134CBE">
      <w:pPr>
        <w:rPr>
          <w:sz w:val="22"/>
          <w:szCs w:val="22"/>
          <w:highlight w:val="lightGray"/>
          <w:lang w:val="sk-SK"/>
        </w:rPr>
      </w:pPr>
    </w:p>
    <w:p w14:paraId="768543C9" w14:textId="77777777" w:rsidR="000E4018" w:rsidRPr="00534FB2" w:rsidRDefault="000E4018" w:rsidP="00134CBE">
      <w:pPr>
        <w:rPr>
          <w:sz w:val="22"/>
          <w:szCs w:val="22"/>
          <w:highlight w:val="lightGray"/>
          <w:lang w:val="sk-SK"/>
        </w:rPr>
      </w:pPr>
    </w:p>
    <w:p w14:paraId="718673E5" w14:textId="7E000BF5" w:rsidR="000E4018" w:rsidRPr="00534FB2" w:rsidRDefault="00F12AD2" w:rsidP="00134CBE">
      <w:pPr>
        <w:rPr>
          <w:sz w:val="22"/>
          <w:szCs w:val="22"/>
          <w:highlight w:val="lightGray"/>
          <w:lang w:val="sk-SK"/>
        </w:rPr>
      </w:pPr>
      <w:r w:rsidRPr="00534FB2">
        <w:rPr>
          <w:sz w:val="22"/>
          <w:szCs w:val="22"/>
          <w:highlight w:val="lightGray"/>
          <w:u w:val="single"/>
          <w:lang w:val="sk-SK"/>
        </w:rPr>
        <w:t xml:space="preserve">Asbima HCT </w:t>
      </w:r>
      <w:r w:rsidR="000E4018" w:rsidRPr="00534FB2">
        <w:rPr>
          <w:sz w:val="22"/>
          <w:szCs w:val="22"/>
          <w:highlight w:val="lightGray"/>
          <w:lang w:val="sk-SK"/>
        </w:rPr>
        <w:t xml:space="preserve">10 mg/160 mg/25 mg </w:t>
      </w:r>
    </w:p>
    <w:p w14:paraId="4E191E63" w14:textId="78BC463A" w:rsidR="000E4018" w:rsidRPr="00534FB2" w:rsidRDefault="00A535A4" w:rsidP="00134CBE">
      <w:pPr>
        <w:rPr>
          <w:sz w:val="22"/>
          <w:szCs w:val="22"/>
          <w:highlight w:val="lightGray"/>
          <w:lang w:val="sk-SK"/>
        </w:rPr>
      </w:pPr>
      <w:r w:rsidRPr="00534FB2">
        <w:rPr>
          <w:sz w:val="22"/>
          <w:szCs w:val="22"/>
          <w:highlight w:val="lightGray"/>
          <w:lang w:val="sk-SK"/>
        </w:rPr>
        <w:t>Hnedožlté, podlhovasté, bikonvexné filmom obalené tablety s vyrazeným „HLH“ na jednej strane a hladké na druhej strane, s nominálnou dĺžkou 15,3 mm a nominálnou šírkou 6,2 mm.</w:t>
      </w:r>
    </w:p>
    <w:p w14:paraId="34AFA218" w14:textId="77777777" w:rsidR="000E4018" w:rsidRPr="00534FB2" w:rsidRDefault="000E4018" w:rsidP="00134CBE">
      <w:pPr>
        <w:rPr>
          <w:sz w:val="22"/>
          <w:szCs w:val="22"/>
          <w:highlight w:val="lightGray"/>
          <w:lang w:val="sk-SK"/>
        </w:rPr>
      </w:pPr>
    </w:p>
    <w:p w14:paraId="50EA3C4C" w14:textId="175F4D6B" w:rsidR="000E4018" w:rsidRPr="00534FB2" w:rsidRDefault="00F12AD2" w:rsidP="00134CBE">
      <w:pPr>
        <w:keepNext/>
        <w:rPr>
          <w:sz w:val="22"/>
          <w:szCs w:val="22"/>
          <w:highlight w:val="lightGray"/>
          <w:lang w:val="sk-SK"/>
        </w:rPr>
      </w:pPr>
      <w:r w:rsidRPr="00534FB2">
        <w:rPr>
          <w:sz w:val="22"/>
          <w:szCs w:val="22"/>
          <w:highlight w:val="lightGray"/>
          <w:u w:val="single"/>
          <w:lang w:val="sk-SK"/>
        </w:rPr>
        <w:t xml:space="preserve">Asbima HCT </w:t>
      </w:r>
      <w:r w:rsidR="000E4018" w:rsidRPr="00534FB2">
        <w:rPr>
          <w:sz w:val="22"/>
          <w:szCs w:val="22"/>
          <w:highlight w:val="lightGray"/>
          <w:lang w:val="sk-SK"/>
        </w:rPr>
        <w:t xml:space="preserve">10 mg/320 mg/25 mg </w:t>
      </w:r>
    </w:p>
    <w:p w14:paraId="451817AF" w14:textId="33FD96D7" w:rsidR="000E4018" w:rsidRPr="00534FB2" w:rsidRDefault="00A535A4" w:rsidP="00134CBE">
      <w:pPr>
        <w:rPr>
          <w:sz w:val="22"/>
          <w:szCs w:val="22"/>
          <w:lang w:val="sk-SK"/>
        </w:rPr>
      </w:pPr>
      <w:r w:rsidRPr="00534FB2">
        <w:rPr>
          <w:sz w:val="22"/>
          <w:szCs w:val="22"/>
          <w:highlight w:val="lightGray"/>
          <w:lang w:val="sk-SK"/>
        </w:rPr>
        <w:t>Hnedožlté, podlhovasté, bikonvexné filmom obalené tablety s vyrazeným „HHH“ na jednej strane a hladké na druhej strane, s nominálnou dĺžkou 19,1 mm a nominálnou šírkou 8,3 mm.</w:t>
      </w:r>
    </w:p>
    <w:p w14:paraId="6A02980B" w14:textId="28651BCD" w:rsidR="008E3F87" w:rsidRPr="00534FB2" w:rsidRDefault="008E3F87" w:rsidP="00134CBE">
      <w:pPr>
        <w:rPr>
          <w:b/>
          <w:i/>
          <w:iCs/>
          <w:snapToGrid w:val="0"/>
          <w:sz w:val="22"/>
          <w:szCs w:val="22"/>
          <w:lang w:val="sk-SK" w:eastAsia="nl-NL"/>
        </w:rPr>
      </w:pPr>
    </w:p>
    <w:p w14:paraId="49E84F8E" w14:textId="77777777" w:rsidR="00824BD5" w:rsidRPr="00534FB2" w:rsidRDefault="00824BD5" w:rsidP="00134CBE">
      <w:pPr>
        <w:rPr>
          <w:sz w:val="22"/>
          <w:szCs w:val="22"/>
          <w:lang w:val="sk-SK"/>
        </w:rPr>
      </w:pPr>
    </w:p>
    <w:p w14:paraId="78BD7664" w14:textId="29866E07" w:rsidR="0043633E" w:rsidRPr="00534FB2" w:rsidRDefault="00A535A4" w:rsidP="00A535A4">
      <w:pPr>
        <w:pStyle w:val="Odsekzoznamu"/>
        <w:numPr>
          <w:ilvl w:val="0"/>
          <w:numId w:val="1"/>
        </w:numPr>
        <w:rPr>
          <w:b/>
          <w:sz w:val="22"/>
          <w:szCs w:val="22"/>
          <w:lang w:val="sk-SK"/>
        </w:rPr>
      </w:pPr>
      <w:r w:rsidRPr="00534FB2">
        <w:rPr>
          <w:b/>
          <w:sz w:val="22"/>
          <w:szCs w:val="22"/>
          <w:lang w:val="sk-SK"/>
        </w:rPr>
        <w:t>KLINICKÉ ÚDAJE</w:t>
      </w:r>
    </w:p>
    <w:p w14:paraId="1646B30D" w14:textId="77777777" w:rsidR="00497958" w:rsidRPr="00534FB2" w:rsidRDefault="00497958" w:rsidP="00134CBE">
      <w:pPr>
        <w:rPr>
          <w:b/>
          <w:sz w:val="22"/>
          <w:szCs w:val="22"/>
          <w:lang w:val="sk-SK"/>
        </w:rPr>
      </w:pPr>
    </w:p>
    <w:p w14:paraId="1773C960" w14:textId="76BEED66" w:rsidR="0043633E" w:rsidRPr="00534FB2" w:rsidRDefault="00A535A4" w:rsidP="00134CBE">
      <w:pPr>
        <w:pStyle w:val="Odsekzoznamu"/>
        <w:numPr>
          <w:ilvl w:val="1"/>
          <w:numId w:val="1"/>
        </w:numPr>
        <w:ind w:left="0" w:firstLine="0"/>
        <w:rPr>
          <w:b/>
          <w:sz w:val="22"/>
          <w:szCs w:val="22"/>
          <w:lang w:val="sk-SK"/>
        </w:rPr>
      </w:pPr>
      <w:r w:rsidRPr="00534FB2">
        <w:rPr>
          <w:rFonts w:eastAsiaTheme="minorHAnsi"/>
          <w:b/>
          <w:bCs/>
          <w:sz w:val="22"/>
          <w:szCs w:val="22"/>
          <w:lang w:val="sk-SK" w:eastAsia="en-US"/>
        </w:rPr>
        <w:t>Terapeutické indikácie</w:t>
      </w:r>
    </w:p>
    <w:p w14:paraId="500122D8" w14:textId="77777777" w:rsidR="0043633E" w:rsidRPr="00534FB2" w:rsidRDefault="0043633E" w:rsidP="00134CBE">
      <w:pPr>
        <w:rPr>
          <w:sz w:val="22"/>
          <w:szCs w:val="22"/>
          <w:lang w:val="sk-SK"/>
        </w:rPr>
      </w:pPr>
    </w:p>
    <w:p w14:paraId="56A2906F" w14:textId="5C70E9B5" w:rsidR="0048743D" w:rsidRPr="00534FB2" w:rsidRDefault="00A535A4" w:rsidP="00A535A4">
      <w:pPr>
        <w:pStyle w:val="Zkladntext3"/>
        <w:rPr>
          <w:lang w:val="sk-SK"/>
        </w:rPr>
      </w:pPr>
      <w:r w:rsidRPr="00534FB2">
        <w:rPr>
          <w:lang w:val="sk-SK"/>
        </w:rPr>
        <w:t>Liečba esenciálnej hypertenzie, ako náhradná liečba u dospelých pacientov, ktorých krvný tlak je primerane kontrolovaný kombináciou amlodipínu, valsartanu a hydrochl</w:t>
      </w:r>
      <w:r w:rsidR="002C71F1">
        <w:rPr>
          <w:lang w:val="sk-SK"/>
        </w:rPr>
        <w:t>ó</w:t>
      </w:r>
      <w:r w:rsidRPr="00534FB2">
        <w:rPr>
          <w:lang w:val="sk-SK"/>
        </w:rPr>
        <w:t>rtiazidu (HCT), ktoré sa užívajú buď ako tri jednozložkové lieky, alebo ako dvojzložkový a jednozložkový liek.</w:t>
      </w:r>
    </w:p>
    <w:p w14:paraId="358BD59B" w14:textId="77777777" w:rsidR="0048743D" w:rsidRPr="00534FB2" w:rsidRDefault="0048743D" w:rsidP="00134CBE">
      <w:pPr>
        <w:rPr>
          <w:sz w:val="22"/>
          <w:szCs w:val="22"/>
          <w:lang w:val="sk-SK"/>
        </w:rPr>
      </w:pPr>
    </w:p>
    <w:p w14:paraId="508E68A2" w14:textId="448BDD32" w:rsidR="0043633E" w:rsidRPr="00534FB2" w:rsidRDefault="00A535A4" w:rsidP="00A535A4">
      <w:pPr>
        <w:pStyle w:val="Odsekzoznamu"/>
        <w:numPr>
          <w:ilvl w:val="1"/>
          <w:numId w:val="1"/>
        </w:numPr>
        <w:ind w:left="567" w:hanging="567"/>
        <w:rPr>
          <w:b/>
          <w:sz w:val="22"/>
          <w:szCs w:val="22"/>
          <w:lang w:val="sk-SK"/>
        </w:rPr>
      </w:pPr>
      <w:r w:rsidRPr="00534FB2">
        <w:rPr>
          <w:b/>
          <w:sz w:val="22"/>
          <w:szCs w:val="22"/>
          <w:lang w:val="sk-SK"/>
        </w:rPr>
        <w:t>Dávkovanie a spôsob podávania</w:t>
      </w:r>
    </w:p>
    <w:p w14:paraId="0250FA14" w14:textId="77777777" w:rsidR="0048743D" w:rsidRPr="00534FB2" w:rsidRDefault="0048743D" w:rsidP="00134CBE">
      <w:pPr>
        <w:rPr>
          <w:sz w:val="22"/>
          <w:szCs w:val="22"/>
          <w:lang w:val="sk-SK"/>
        </w:rPr>
      </w:pPr>
    </w:p>
    <w:p w14:paraId="779681F7" w14:textId="5B96038C" w:rsidR="00CE4352" w:rsidRPr="00534FB2" w:rsidRDefault="00714144" w:rsidP="00134CBE">
      <w:pPr>
        <w:rPr>
          <w:sz w:val="22"/>
          <w:szCs w:val="22"/>
          <w:u w:val="single"/>
          <w:lang w:val="sk-SK"/>
        </w:rPr>
      </w:pPr>
      <w:r w:rsidRPr="00534FB2">
        <w:rPr>
          <w:sz w:val="22"/>
          <w:szCs w:val="22"/>
          <w:u w:val="single"/>
          <w:lang w:val="sk-SK"/>
        </w:rPr>
        <w:t>Dávkovanie</w:t>
      </w:r>
    </w:p>
    <w:p w14:paraId="6404E37B" w14:textId="3244BC9F" w:rsidR="00001950" w:rsidRPr="00534FB2" w:rsidRDefault="00714144" w:rsidP="00714144">
      <w:pPr>
        <w:pStyle w:val="Zkladntext3"/>
        <w:rPr>
          <w:lang w:val="sk-SK"/>
        </w:rPr>
      </w:pPr>
      <w:r w:rsidRPr="00534FB2">
        <w:rPr>
          <w:lang w:val="sk-SK"/>
        </w:rPr>
        <w:t>Odporúčané dávkovanie Asbim</w:t>
      </w:r>
      <w:r w:rsidR="004227C9">
        <w:rPr>
          <w:lang w:val="sk-SK"/>
        </w:rPr>
        <w:t>y</w:t>
      </w:r>
      <w:r w:rsidRPr="00534FB2">
        <w:rPr>
          <w:lang w:val="sk-SK"/>
        </w:rPr>
        <w:t xml:space="preserve"> HCT je jedna tableta denne, ktorá sa má užívať podľa možnosti ráno.</w:t>
      </w:r>
      <w:r w:rsidR="00001950" w:rsidRPr="00534FB2">
        <w:rPr>
          <w:lang w:val="sk-SK"/>
        </w:rPr>
        <w:t xml:space="preserve"> </w:t>
      </w:r>
    </w:p>
    <w:p w14:paraId="2A97D51B" w14:textId="77777777" w:rsidR="00001950" w:rsidRPr="00534FB2" w:rsidRDefault="00001950" w:rsidP="00134CBE">
      <w:pPr>
        <w:rPr>
          <w:sz w:val="22"/>
          <w:szCs w:val="22"/>
          <w:lang w:val="sk-SK"/>
        </w:rPr>
      </w:pPr>
    </w:p>
    <w:p w14:paraId="1DD7241C" w14:textId="32ABC4BF" w:rsidR="00001950" w:rsidRPr="00534FB2" w:rsidRDefault="00714144" w:rsidP="00714144">
      <w:pPr>
        <w:rPr>
          <w:sz w:val="22"/>
          <w:szCs w:val="22"/>
          <w:lang w:val="sk-SK"/>
        </w:rPr>
      </w:pPr>
      <w:r w:rsidRPr="00534FB2">
        <w:rPr>
          <w:sz w:val="22"/>
          <w:szCs w:val="22"/>
          <w:lang w:val="sk-SK"/>
        </w:rPr>
        <w:t>Skôr ako pacienti prejdú na liečbu Asbimou HCT, majú mať stav upravený stabilnými dávkami jednotlivých zložiek užívaných v rovnakom čase. Dávka Asbimy HCT má byť založená na dávkach jednotlivých zložiek kombinácie v čase zmeny liečby.</w:t>
      </w:r>
    </w:p>
    <w:p w14:paraId="6190FB98" w14:textId="77777777" w:rsidR="00001950" w:rsidRPr="00534FB2" w:rsidRDefault="00001950" w:rsidP="00134CBE">
      <w:pPr>
        <w:rPr>
          <w:sz w:val="22"/>
          <w:szCs w:val="22"/>
          <w:lang w:val="sk-SK"/>
        </w:rPr>
      </w:pPr>
    </w:p>
    <w:p w14:paraId="1210E39E" w14:textId="47F59F5F" w:rsidR="000E4018" w:rsidRPr="00534FB2" w:rsidRDefault="00714144" w:rsidP="00134CBE">
      <w:pPr>
        <w:rPr>
          <w:sz w:val="22"/>
          <w:szCs w:val="22"/>
          <w:lang w:val="sk-SK"/>
        </w:rPr>
      </w:pPr>
      <w:r w:rsidRPr="00534FB2">
        <w:rPr>
          <w:sz w:val="22"/>
          <w:szCs w:val="22"/>
          <w:lang w:val="sk-SK"/>
        </w:rPr>
        <w:t>Maximálna odporúčaná dávka Asbimy HCT je 10 mg/320 mg/25 mg.</w:t>
      </w:r>
    </w:p>
    <w:p w14:paraId="2CF8DF5E" w14:textId="77777777" w:rsidR="000E4018" w:rsidRPr="00534FB2" w:rsidRDefault="000E4018" w:rsidP="00134CBE">
      <w:pPr>
        <w:rPr>
          <w:sz w:val="22"/>
          <w:szCs w:val="22"/>
          <w:lang w:val="sk-SK"/>
        </w:rPr>
      </w:pPr>
    </w:p>
    <w:p w14:paraId="629DF11D" w14:textId="4348C5C2" w:rsidR="000E4018" w:rsidRPr="00534FB2" w:rsidRDefault="00714144" w:rsidP="00134CBE">
      <w:pPr>
        <w:rPr>
          <w:i/>
          <w:sz w:val="22"/>
          <w:szCs w:val="22"/>
          <w:u w:val="single"/>
          <w:lang w:val="sk-SK"/>
        </w:rPr>
      </w:pPr>
      <w:r w:rsidRPr="00534FB2">
        <w:rPr>
          <w:i/>
          <w:sz w:val="22"/>
          <w:szCs w:val="22"/>
          <w:u w:val="single"/>
          <w:lang w:val="sk-SK"/>
        </w:rPr>
        <w:t>Osobitné skupiny pacientov</w:t>
      </w:r>
    </w:p>
    <w:p w14:paraId="6037C8D0" w14:textId="1204E752" w:rsidR="000E4018" w:rsidRPr="00534FB2" w:rsidRDefault="00714144" w:rsidP="00134CBE">
      <w:pPr>
        <w:rPr>
          <w:i/>
          <w:sz w:val="22"/>
          <w:szCs w:val="22"/>
          <w:lang w:val="sk-SK"/>
        </w:rPr>
      </w:pPr>
      <w:r w:rsidRPr="00534FB2">
        <w:rPr>
          <w:i/>
          <w:sz w:val="22"/>
          <w:szCs w:val="22"/>
          <w:lang w:val="sk-SK"/>
        </w:rPr>
        <w:t>Po</w:t>
      </w:r>
      <w:r w:rsidR="004227C9">
        <w:rPr>
          <w:i/>
          <w:sz w:val="22"/>
          <w:szCs w:val="22"/>
          <w:lang w:val="sk-SK"/>
        </w:rPr>
        <w:t>rucha</w:t>
      </w:r>
      <w:r w:rsidRPr="00534FB2">
        <w:rPr>
          <w:i/>
          <w:sz w:val="22"/>
          <w:szCs w:val="22"/>
          <w:lang w:val="sk-SK"/>
        </w:rPr>
        <w:t xml:space="preserve"> funkcie obličiek</w:t>
      </w:r>
    </w:p>
    <w:p w14:paraId="571FC740" w14:textId="72785B67" w:rsidR="00001950" w:rsidRPr="00534FB2" w:rsidRDefault="004E01CE" w:rsidP="004E01CE">
      <w:pPr>
        <w:rPr>
          <w:sz w:val="22"/>
          <w:szCs w:val="22"/>
          <w:lang w:val="sk-SK"/>
        </w:rPr>
      </w:pPr>
      <w:r w:rsidRPr="00534FB2">
        <w:rPr>
          <w:sz w:val="22"/>
          <w:szCs w:val="22"/>
          <w:lang w:val="sk-SK"/>
        </w:rPr>
        <w:t>Pre hydrochl</w:t>
      </w:r>
      <w:r w:rsidR="002C71F1">
        <w:rPr>
          <w:sz w:val="22"/>
          <w:szCs w:val="22"/>
          <w:lang w:val="sk-SK"/>
        </w:rPr>
        <w:t>ó</w:t>
      </w:r>
      <w:r w:rsidRPr="00534FB2">
        <w:rPr>
          <w:sz w:val="22"/>
          <w:szCs w:val="22"/>
          <w:lang w:val="sk-SK"/>
        </w:rPr>
        <w:t>rtiazidovú zložku je použitie Asbimy HCT kontraindikované u pacientov s anúriou (pozri časť 4.3) a u pacientov s ťažk</w:t>
      </w:r>
      <w:r w:rsidR="004A52F5">
        <w:rPr>
          <w:sz w:val="22"/>
          <w:szCs w:val="22"/>
          <w:lang w:val="sk-SK"/>
        </w:rPr>
        <w:t>ou</w:t>
      </w:r>
      <w:r w:rsidRPr="00534FB2">
        <w:rPr>
          <w:sz w:val="22"/>
          <w:szCs w:val="22"/>
          <w:lang w:val="sk-SK"/>
        </w:rPr>
        <w:t xml:space="preserve"> po</w:t>
      </w:r>
      <w:r w:rsidR="004227C9">
        <w:rPr>
          <w:sz w:val="22"/>
          <w:szCs w:val="22"/>
          <w:lang w:val="sk-SK"/>
        </w:rPr>
        <w:t>ruchou</w:t>
      </w:r>
      <w:r w:rsidRPr="00534FB2">
        <w:rPr>
          <w:sz w:val="22"/>
          <w:szCs w:val="22"/>
          <w:lang w:val="sk-SK"/>
        </w:rPr>
        <w:t xml:space="preserve"> funkcie obličiek (rýchlosť glomerul</w:t>
      </w:r>
      <w:r w:rsidR="000C4117">
        <w:rPr>
          <w:sz w:val="22"/>
          <w:szCs w:val="22"/>
          <w:lang w:val="sk-SK"/>
        </w:rPr>
        <w:t>árn</w:t>
      </w:r>
      <w:r w:rsidRPr="00534FB2">
        <w:rPr>
          <w:sz w:val="22"/>
          <w:szCs w:val="22"/>
          <w:lang w:val="sk-SK"/>
        </w:rPr>
        <w:t>ej filtrácie (GFR) &lt;30 ml/min/1,73 m</w:t>
      </w:r>
      <w:r w:rsidRPr="00534FB2">
        <w:rPr>
          <w:sz w:val="22"/>
          <w:szCs w:val="22"/>
          <w:vertAlign w:val="superscript"/>
          <w:lang w:val="sk-SK"/>
        </w:rPr>
        <w:t>2</w:t>
      </w:r>
      <w:r w:rsidRPr="00534FB2">
        <w:rPr>
          <w:sz w:val="22"/>
          <w:szCs w:val="22"/>
          <w:lang w:val="sk-SK"/>
        </w:rPr>
        <w:t>) (pozri časti 4.3, 4.4 a 5.2).</w:t>
      </w:r>
    </w:p>
    <w:p w14:paraId="792BCD78" w14:textId="77777777" w:rsidR="00001950" w:rsidRPr="00534FB2" w:rsidRDefault="00001950" w:rsidP="00134CBE">
      <w:pPr>
        <w:rPr>
          <w:sz w:val="22"/>
          <w:szCs w:val="22"/>
          <w:lang w:val="sk-SK"/>
        </w:rPr>
      </w:pPr>
    </w:p>
    <w:p w14:paraId="20767207" w14:textId="06545B43" w:rsidR="000E4018" w:rsidRPr="00534FB2" w:rsidRDefault="004E01CE" w:rsidP="004E01CE">
      <w:pPr>
        <w:rPr>
          <w:sz w:val="22"/>
          <w:szCs w:val="22"/>
          <w:lang w:val="sk-SK"/>
        </w:rPr>
      </w:pPr>
      <w:r w:rsidRPr="00534FB2">
        <w:rPr>
          <w:sz w:val="22"/>
          <w:szCs w:val="22"/>
          <w:lang w:val="sk-SK"/>
        </w:rPr>
        <w:t>U pacientov s ľahk</w:t>
      </w:r>
      <w:r w:rsidR="000C4117">
        <w:rPr>
          <w:sz w:val="22"/>
          <w:szCs w:val="22"/>
          <w:lang w:val="sk-SK"/>
        </w:rPr>
        <w:t>ou</w:t>
      </w:r>
      <w:r w:rsidRPr="00534FB2">
        <w:rPr>
          <w:sz w:val="22"/>
          <w:szCs w:val="22"/>
          <w:lang w:val="sk-SK"/>
        </w:rPr>
        <w:t xml:space="preserve"> až stredne ťažk</w:t>
      </w:r>
      <w:r w:rsidR="000C4117">
        <w:rPr>
          <w:sz w:val="22"/>
          <w:szCs w:val="22"/>
          <w:lang w:val="sk-SK"/>
        </w:rPr>
        <w:t>ou</w:t>
      </w:r>
      <w:r w:rsidRPr="00534FB2">
        <w:rPr>
          <w:sz w:val="22"/>
          <w:szCs w:val="22"/>
          <w:lang w:val="sk-SK"/>
        </w:rPr>
        <w:t xml:space="preserve"> po</w:t>
      </w:r>
      <w:r w:rsidR="000C4117">
        <w:rPr>
          <w:sz w:val="22"/>
          <w:szCs w:val="22"/>
          <w:lang w:val="sk-SK"/>
        </w:rPr>
        <w:t>ruchou</w:t>
      </w:r>
      <w:r w:rsidRPr="00534FB2">
        <w:rPr>
          <w:sz w:val="22"/>
          <w:szCs w:val="22"/>
          <w:lang w:val="sk-SK"/>
        </w:rPr>
        <w:t xml:space="preserve"> funkcie obličiek nie je potrebná úprava začiatočnej dávky (pozri časti 4.4 a 5.2).</w:t>
      </w:r>
    </w:p>
    <w:p w14:paraId="7B012CB6" w14:textId="77777777" w:rsidR="000E4018" w:rsidRPr="00534FB2" w:rsidRDefault="000E4018" w:rsidP="00134CBE">
      <w:pPr>
        <w:rPr>
          <w:sz w:val="22"/>
          <w:szCs w:val="22"/>
          <w:lang w:val="sk-SK"/>
        </w:rPr>
      </w:pPr>
    </w:p>
    <w:p w14:paraId="771D4ED4" w14:textId="6D3DCB2A" w:rsidR="000E4018" w:rsidRPr="00534FB2" w:rsidRDefault="004E01CE" w:rsidP="00134CBE">
      <w:pPr>
        <w:rPr>
          <w:i/>
          <w:sz w:val="22"/>
          <w:szCs w:val="22"/>
          <w:lang w:val="sk-SK"/>
        </w:rPr>
      </w:pPr>
      <w:r w:rsidRPr="00534FB2">
        <w:rPr>
          <w:i/>
          <w:sz w:val="22"/>
          <w:szCs w:val="22"/>
          <w:lang w:val="sk-SK"/>
        </w:rPr>
        <w:t>Po</w:t>
      </w:r>
      <w:r w:rsidR="000C4117">
        <w:rPr>
          <w:i/>
          <w:sz w:val="22"/>
          <w:szCs w:val="22"/>
          <w:lang w:val="sk-SK"/>
        </w:rPr>
        <w:t>rucha</w:t>
      </w:r>
      <w:r w:rsidRPr="00534FB2">
        <w:rPr>
          <w:i/>
          <w:sz w:val="22"/>
          <w:szCs w:val="22"/>
          <w:lang w:val="sk-SK"/>
        </w:rPr>
        <w:t xml:space="preserve"> funkcie pečene</w:t>
      </w:r>
    </w:p>
    <w:p w14:paraId="1B7FF803" w14:textId="5E86B871" w:rsidR="00697E85" w:rsidRPr="00534FB2" w:rsidRDefault="00697E85" w:rsidP="00697E85">
      <w:pPr>
        <w:rPr>
          <w:sz w:val="22"/>
          <w:szCs w:val="22"/>
          <w:lang w:val="sk-SK"/>
        </w:rPr>
      </w:pPr>
      <w:r w:rsidRPr="00534FB2">
        <w:rPr>
          <w:sz w:val="22"/>
          <w:szCs w:val="22"/>
          <w:lang w:val="sk-SK"/>
        </w:rPr>
        <w:t xml:space="preserve">Pre valsartanovú zložku je Asbima HCT kontraindikovaná u pacientov so </w:t>
      </w:r>
      <w:r w:rsidR="003A1D7F" w:rsidRPr="00534FB2">
        <w:rPr>
          <w:sz w:val="22"/>
          <w:szCs w:val="22"/>
          <w:lang w:val="sk-SK"/>
        </w:rPr>
        <w:t>závažn</w:t>
      </w:r>
      <w:r w:rsidR="003A1D7F">
        <w:rPr>
          <w:sz w:val="22"/>
          <w:szCs w:val="22"/>
          <w:lang w:val="sk-SK"/>
        </w:rPr>
        <w:t>ou</w:t>
      </w:r>
      <w:r w:rsidR="003A1D7F" w:rsidRPr="00534FB2">
        <w:rPr>
          <w:sz w:val="22"/>
          <w:szCs w:val="22"/>
          <w:lang w:val="sk-SK"/>
        </w:rPr>
        <w:t xml:space="preserve"> </w:t>
      </w:r>
      <w:r w:rsidR="003A1D7F">
        <w:rPr>
          <w:sz w:val="22"/>
          <w:szCs w:val="22"/>
          <w:lang w:val="sk-SK"/>
        </w:rPr>
        <w:t>poruchou</w:t>
      </w:r>
      <w:r w:rsidR="003A1D7F" w:rsidRPr="00534FB2">
        <w:rPr>
          <w:sz w:val="22"/>
          <w:szCs w:val="22"/>
          <w:lang w:val="sk-SK"/>
        </w:rPr>
        <w:t xml:space="preserve"> </w:t>
      </w:r>
      <w:r w:rsidRPr="00534FB2">
        <w:rPr>
          <w:sz w:val="22"/>
          <w:szCs w:val="22"/>
          <w:lang w:val="sk-SK"/>
        </w:rPr>
        <w:t xml:space="preserve">funkcie pečene (pozri časť 4.3). U pacientov s miernym až stredne </w:t>
      </w:r>
      <w:r w:rsidR="0031681F">
        <w:rPr>
          <w:sz w:val="22"/>
          <w:szCs w:val="22"/>
          <w:lang w:val="sk-SK"/>
        </w:rPr>
        <w:t>závažn</w:t>
      </w:r>
      <w:r w:rsidR="003A1D7F">
        <w:rPr>
          <w:sz w:val="22"/>
          <w:szCs w:val="22"/>
          <w:lang w:val="sk-SK"/>
        </w:rPr>
        <w:t>ou</w:t>
      </w:r>
      <w:r w:rsidRPr="00534FB2">
        <w:rPr>
          <w:sz w:val="22"/>
          <w:szCs w:val="22"/>
          <w:lang w:val="sk-SK"/>
        </w:rPr>
        <w:t xml:space="preserve"> </w:t>
      </w:r>
      <w:r w:rsidR="003A1D7F">
        <w:rPr>
          <w:sz w:val="22"/>
          <w:szCs w:val="22"/>
          <w:lang w:val="sk-SK"/>
        </w:rPr>
        <w:t>poruchou</w:t>
      </w:r>
      <w:r w:rsidR="003A1D7F" w:rsidRPr="00534FB2">
        <w:rPr>
          <w:sz w:val="22"/>
          <w:szCs w:val="22"/>
          <w:lang w:val="sk-SK"/>
        </w:rPr>
        <w:t xml:space="preserve"> </w:t>
      </w:r>
      <w:r w:rsidRPr="00534FB2">
        <w:rPr>
          <w:sz w:val="22"/>
          <w:szCs w:val="22"/>
          <w:lang w:val="sk-SK"/>
        </w:rPr>
        <w:t>funkcie pečene bez cholestázy je maximálna odporúčaná dávka valsartanu 80 mg, preto nie je Asbima HCT vhodná pre túto skupinu pacientov (pozri časti 4.3, 4.4 a 5.2).</w:t>
      </w:r>
    </w:p>
    <w:p w14:paraId="7AE6FCCF" w14:textId="0CE8C716" w:rsidR="000E4018" w:rsidRPr="00534FB2" w:rsidRDefault="00697E85" w:rsidP="00697E85">
      <w:pPr>
        <w:rPr>
          <w:sz w:val="22"/>
          <w:szCs w:val="22"/>
          <w:lang w:val="sk-SK"/>
        </w:rPr>
      </w:pPr>
      <w:r w:rsidRPr="00534FB2">
        <w:rPr>
          <w:sz w:val="22"/>
          <w:szCs w:val="22"/>
          <w:lang w:val="sk-SK"/>
        </w:rPr>
        <w:t>Odporúčania pre dávku amlodipínu neboli stanovené u pacientov s miernou až stredne závažnou poruchou funkcie pečene. Pri zmene liečby na Asbimu HCT u vhodných pacientov s hypertenziou (pozri časť 4.1), ktorí majú poruchu funkcie pečene, sa má použiť najnižšia dostupná dávka amlodipínovej zložky.</w:t>
      </w:r>
    </w:p>
    <w:p w14:paraId="160CC977" w14:textId="77777777" w:rsidR="00697E85" w:rsidRPr="00534FB2" w:rsidRDefault="00697E85" w:rsidP="00697E85">
      <w:pPr>
        <w:rPr>
          <w:sz w:val="22"/>
          <w:szCs w:val="22"/>
          <w:lang w:val="sk-SK"/>
        </w:rPr>
      </w:pPr>
    </w:p>
    <w:p w14:paraId="0A7D9CB8" w14:textId="740A3A24" w:rsidR="000E4018" w:rsidRPr="00534FB2" w:rsidRDefault="00697E85" w:rsidP="00134CBE">
      <w:pPr>
        <w:rPr>
          <w:i/>
          <w:sz w:val="22"/>
          <w:szCs w:val="22"/>
          <w:lang w:val="sk-SK"/>
        </w:rPr>
      </w:pPr>
      <w:r w:rsidRPr="00534FB2">
        <w:rPr>
          <w:i/>
          <w:sz w:val="22"/>
          <w:szCs w:val="22"/>
          <w:lang w:val="sk-SK"/>
        </w:rPr>
        <w:t>Srdcové zlyhávanie a ischemická choroba srdca</w:t>
      </w:r>
    </w:p>
    <w:p w14:paraId="0FF1FAB7" w14:textId="7ACC6F4B" w:rsidR="000E4018" w:rsidRPr="00534FB2" w:rsidRDefault="00697E85" w:rsidP="00697E85">
      <w:pPr>
        <w:rPr>
          <w:sz w:val="22"/>
          <w:szCs w:val="22"/>
          <w:lang w:val="sk-SK"/>
        </w:rPr>
      </w:pPr>
      <w:r w:rsidRPr="00534FB2">
        <w:rPr>
          <w:sz w:val="22"/>
          <w:szCs w:val="22"/>
          <w:lang w:val="sk-SK"/>
        </w:rPr>
        <w:t>U pacientov so srdcovým zlyhávaním a ischemickou chorobou srdca sú obmedzené skúsenosti s použitím kombinácie amplodipínu, valsartanu a hydrochl</w:t>
      </w:r>
      <w:r w:rsidR="002C71F1">
        <w:rPr>
          <w:sz w:val="22"/>
          <w:szCs w:val="22"/>
          <w:lang w:val="sk-SK"/>
        </w:rPr>
        <w:t>ó</w:t>
      </w:r>
      <w:r w:rsidRPr="00534FB2">
        <w:rPr>
          <w:sz w:val="22"/>
          <w:szCs w:val="22"/>
          <w:lang w:val="sk-SK"/>
        </w:rPr>
        <w:t>rtiazidu, najmä s maximálnou dávkou.</w:t>
      </w:r>
      <w:r w:rsidR="00001950" w:rsidRPr="00534FB2">
        <w:rPr>
          <w:sz w:val="22"/>
          <w:szCs w:val="22"/>
          <w:lang w:val="sk-SK"/>
        </w:rPr>
        <w:t xml:space="preserve"> </w:t>
      </w:r>
      <w:r w:rsidRPr="00534FB2">
        <w:rPr>
          <w:sz w:val="22"/>
          <w:szCs w:val="22"/>
          <w:lang w:val="sk-SK"/>
        </w:rPr>
        <w:t>Opatrnosť je potrebná u pacientov so</w:t>
      </w:r>
      <w:r w:rsidR="00C7376A">
        <w:rPr>
          <w:sz w:val="22"/>
          <w:szCs w:val="22"/>
          <w:lang w:val="sk-SK"/>
        </w:rPr>
        <w:t xml:space="preserve"> </w:t>
      </w:r>
      <w:r w:rsidRPr="00534FB2">
        <w:rPr>
          <w:sz w:val="22"/>
          <w:szCs w:val="22"/>
          <w:lang w:val="sk-SK"/>
        </w:rPr>
        <w:t>srdcovým zlyhávaním a ischemickou chorobou srdca, zvlášť pri maximálnej dávke Asbimy HCT, 10 mg/320 mg/25 mg.</w:t>
      </w:r>
    </w:p>
    <w:p w14:paraId="512BF6FA" w14:textId="77777777" w:rsidR="000E4018" w:rsidRPr="00534FB2" w:rsidRDefault="000E4018" w:rsidP="00134CBE">
      <w:pPr>
        <w:rPr>
          <w:sz w:val="22"/>
          <w:szCs w:val="22"/>
          <w:lang w:val="sk-SK"/>
        </w:rPr>
      </w:pPr>
    </w:p>
    <w:p w14:paraId="1EAEAD03" w14:textId="1EB589BE" w:rsidR="000E4018" w:rsidRPr="00534FB2" w:rsidRDefault="00697E85" w:rsidP="00134CBE">
      <w:pPr>
        <w:rPr>
          <w:i/>
          <w:sz w:val="22"/>
          <w:szCs w:val="22"/>
          <w:lang w:val="sk-SK"/>
        </w:rPr>
      </w:pPr>
      <w:r w:rsidRPr="00534FB2">
        <w:rPr>
          <w:i/>
          <w:sz w:val="22"/>
          <w:szCs w:val="22"/>
          <w:lang w:val="sk-SK"/>
        </w:rPr>
        <w:lastRenderedPageBreak/>
        <w:t>Starší pacienti (vo veku 65 rokov alebo viac)</w:t>
      </w:r>
    </w:p>
    <w:p w14:paraId="2E301DEA" w14:textId="68EB6CD3" w:rsidR="000E4018" w:rsidRPr="00534FB2" w:rsidRDefault="00D71B66" w:rsidP="00D71B66">
      <w:pPr>
        <w:rPr>
          <w:sz w:val="22"/>
          <w:szCs w:val="22"/>
          <w:lang w:val="sk-SK"/>
        </w:rPr>
      </w:pPr>
      <w:r w:rsidRPr="00534FB2">
        <w:rPr>
          <w:sz w:val="22"/>
          <w:szCs w:val="22"/>
          <w:lang w:val="sk-SK"/>
        </w:rPr>
        <w:t>Opatrnosť vrátane častejšieho monitorovania krvného tlaku sa odporúča u starších pacientov, zvlášť pri maximálnej dávke Asbimy HCT, 10 mg/320 mg/25 mg, pretože dostupné údaje u tejto populácie pacientov sú obmedzené. Pri zmene liečby na Asbimu HCT u vhodných starších pacientov s hypertenziou (pozri časť 4.1) sa má použiť najnižšia dostupná dávka amlodipínovej zložky.</w:t>
      </w:r>
    </w:p>
    <w:p w14:paraId="06F85AF9" w14:textId="77777777" w:rsidR="000E4018" w:rsidRPr="00534FB2" w:rsidRDefault="000E4018" w:rsidP="00134CBE">
      <w:pPr>
        <w:rPr>
          <w:sz w:val="22"/>
          <w:szCs w:val="22"/>
          <w:lang w:val="sk-SK"/>
        </w:rPr>
      </w:pPr>
    </w:p>
    <w:p w14:paraId="00C6C872" w14:textId="69074FE2" w:rsidR="000E4018" w:rsidRPr="00534FB2" w:rsidRDefault="00D71B66" w:rsidP="00134CBE">
      <w:pPr>
        <w:rPr>
          <w:i/>
          <w:sz w:val="22"/>
          <w:szCs w:val="22"/>
          <w:lang w:val="sk-SK"/>
        </w:rPr>
      </w:pPr>
      <w:r w:rsidRPr="00534FB2">
        <w:rPr>
          <w:i/>
          <w:sz w:val="22"/>
          <w:szCs w:val="22"/>
          <w:lang w:val="sk-SK"/>
        </w:rPr>
        <w:t>Pediatrická populácia</w:t>
      </w:r>
    </w:p>
    <w:p w14:paraId="6504638D" w14:textId="2FF2E425" w:rsidR="000E4018" w:rsidRPr="00534FB2" w:rsidRDefault="00D71B66" w:rsidP="00D71B66">
      <w:pPr>
        <w:rPr>
          <w:sz w:val="22"/>
          <w:szCs w:val="22"/>
          <w:lang w:val="sk-SK"/>
        </w:rPr>
      </w:pPr>
      <w:r w:rsidRPr="00534FB2">
        <w:rPr>
          <w:sz w:val="22"/>
          <w:szCs w:val="22"/>
          <w:lang w:val="sk-SK"/>
        </w:rPr>
        <w:t>Použitie Asbimy HCT sa netýka pediatrickej populácie (pacienti vo veku menej ako 18 rokov) pre indikáciu esenciálna hypertenzia.</w:t>
      </w:r>
    </w:p>
    <w:p w14:paraId="746C0385" w14:textId="77777777" w:rsidR="000E4018" w:rsidRPr="00534FB2" w:rsidRDefault="000E4018" w:rsidP="00134CBE">
      <w:pPr>
        <w:rPr>
          <w:sz w:val="22"/>
          <w:szCs w:val="22"/>
          <w:lang w:val="sk-SK"/>
        </w:rPr>
      </w:pPr>
    </w:p>
    <w:p w14:paraId="6ECFEED0" w14:textId="3E48B021" w:rsidR="000E4018" w:rsidRPr="00534FB2" w:rsidRDefault="00D71B66" w:rsidP="00134CBE">
      <w:pPr>
        <w:rPr>
          <w:sz w:val="22"/>
          <w:szCs w:val="22"/>
          <w:u w:val="single"/>
          <w:lang w:val="sk-SK"/>
        </w:rPr>
      </w:pPr>
      <w:r w:rsidRPr="00534FB2">
        <w:rPr>
          <w:sz w:val="22"/>
          <w:szCs w:val="22"/>
          <w:u w:val="single"/>
          <w:lang w:val="sk-SK"/>
        </w:rPr>
        <w:t>Spôsob podávania</w:t>
      </w:r>
    </w:p>
    <w:p w14:paraId="2B3C3E0E" w14:textId="77777777" w:rsidR="004566E2" w:rsidRPr="00534FB2" w:rsidRDefault="004566E2" w:rsidP="00394456">
      <w:pPr>
        <w:overflowPunct/>
        <w:textAlignment w:val="auto"/>
        <w:rPr>
          <w:rFonts w:eastAsiaTheme="minorHAnsi"/>
          <w:sz w:val="22"/>
          <w:szCs w:val="22"/>
          <w:lang w:val="sk-SK" w:eastAsia="en-US"/>
        </w:rPr>
      </w:pPr>
    </w:p>
    <w:p w14:paraId="4DBF7DAA" w14:textId="5FC66A1B" w:rsidR="004566E2" w:rsidRPr="00534FB2" w:rsidRDefault="00D71B66" w:rsidP="00394456">
      <w:pPr>
        <w:overflowPunct/>
        <w:textAlignment w:val="auto"/>
        <w:rPr>
          <w:rFonts w:eastAsiaTheme="minorHAnsi"/>
          <w:sz w:val="22"/>
          <w:szCs w:val="22"/>
          <w:lang w:val="sk-SK" w:eastAsia="en-US"/>
        </w:rPr>
      </w:pPr>
      <w:r w:rsidRPr="00534FB2">
        <w:rPr>
          <w:rFonts w:eastAsiaTheme="minorHAnsi"/>
          <w:sz w:val="22"/>
          <w:szCs w:val="22"/>
          <w:lang w:val="sk-SK" w:eastAsia="en-US"/>
        </w:rPr>
        <w:t>Perorálne použitie.</w:t>
      </w:r>
    </w:p>
    <w:p w14:paraId="200E9632" w14:textId="7B62C2DE" w:rsidR="006B5684" w:rsidRPr="00534FB2" w:rsidRDefault="00D71B66" w:rsidP="00D71B66">
      <w:pPr>
        <w:rPr>
          <w:sz w:val="22"/>
          <w:szCs w:val="22"/>
          <w:lang w:val="sk-SK"/>
        </w:rPr>
      </w:pPr>
      <w:r w:rsidRPr="00534FB2">
        <w:rPr>
          <w:sz w:val="22"/>
          <w:szCs w:val="22"/>
          <w:lang w:val="sk-SK"/>
        </w:rPr>
        <w:t>Asbimu HCT možno užívať s jedlom alebo bez jedla. Tablety sa majú prehĺtať celé s trochou vody, v rovnakom dennom čase, podľa možnosti ráno.</w:t>
      </w:r>
    </w:p>
    <w:p w14:paraId="225A1F85" w14:textId="77777777" w:rsidR="00D71B66" w:rsidRPr="00534FB2" w:rsidRDefault="00D71B66" w:rsidP="00D71B66">
      <w:pPr>
        <w:rPr>
          <w:sz w:val="22"/>
          <w:szCs w:val="22"/>
          <w:lang w:val="sk-SK"/>
        </w:rPr>
      </w:pPr>
    </w:p>
    <w:p w14:paraId="1D1FBE82" w14:textId="41F3F881" w:rsidR="0043633E" w:rsidRPr="00534FB2" w:rsidRDefault="00D71B66" w:rsidP="00D71B66">
      <w:pPr>
        <w:pStyle w:val="Odsekzoznamu"/>
        <w:numPr>
          <w:ilvl w:val="1"/>
          <w:numId w:val="1"/>
        </w:numPr>
        <w:ind w:left="567" w:hanging="567"/>
        <w:rPr>
          <w:b/>
          <w:sz w:val="22"/>
          <w:szCs w:val="22"/>
          <w:lang w:val="sk-SK"/>
        </w:rPr>
      </w:pPr>
      <w:r w:rsidRPr="00534FB2">
        <w:rPr>
          <w:b/>
          <w:sz w:val="22"/>
          <w:szCs w:val="22"/>
          <w:lang w:val="sk-SK"/>
        </w:rPr>
        <w:t>Kontraindikácie</w:t>
      </w:r>
    </w:p>
    <w:p w14:paraId="65DC31A1" w14:textId="77777777" w:rsidR="0043633E" w:rsidRPr="00534FB2" w:rsidRDefault="0043633E" w:rsidP="00134CBE">
      <w:pPr>
        <w:rPr>
          <w:sz w:val="22"/>
          <w:szCs w:val="22"/>
          <w:lang w:val="sk-SK"/>
        </w:rPr>
      </w:pPr>
    </w:p>
    <w:p w14:paraId="4B68D45D" w14:textId="0FD67C4C" w:rsidR="000C7678" w:rsidRPr="00534FB2" w:rsidRDefault="00F87F77" w:rsidP="00F87F77">
      <w:pPr>
        <w:pStyle w:val="Odsekzoznamu"/>
        <w:numPr>
          <w:ilvl w:val="0"/>
          <w:numId w:val="12"/>
        </w:numPr>
        <w:rPr>
          <w:sz w:val="22"/>
          <w:szCs w:val="22"/>
          <w:lang w:val="sk-SK"/>
        </w:rPr>
      </w:pPr>
      <w:r w:rsidRPr="00534FB2">
        <w:rPr>
          <w:sz w:val="22"/>
          <w:szCs w:val="22"/>
          <w:lang w:val="sk-SK"/>
        </w:rPr>
        <w:t>Precitlivenosť na liečivá, na iné sulf</w:t>
      </w:r>
      <w:r w:rsidR="00C7376A">
        <w:rPr>
          <w:sz w:val="22"/>
          <w:szCs w:val="22"/>
          <w:lang w:val="sk-SK"/>
        </w:rPr>
        <w:t>ó</w:t>
      </w:r>
      <w:r w:rsidRPr="00534FB2">
        <w:rPr>
          <w:sz w:val="22"/>
          <w:szCs w:val="22"/>
          <w:lang w:val="sk-SK"/>
        </w:rPr>
        <w:t>namidové deriváty, na dihydropyridínové deriváty alebo na ktorúkoľvek z pomocných látok uvedených v časti 6.1.</w:t>
      </w:r>
    </w:p>
    <w:p w14:paraId="0FA7DCB0" w14:textId="173615D0" w:rsidR="000C7678" w:rsidRPr="00534FB2" w:rsidRDefault="00F87F77" w:rsidP="00F87F77">
      <w:pPr>
        <w:pStyle w:val="Odsekzoznamu"/>
        <w:numPr>
          <w:ilvl w:val="0"/>
          <w:numId w:val="12"/>
        </w:numPr>
        <w:rPr>
          <w:sz w:val="22"/>
          <w:szCs w:val="22"/>
          <w:lang w:val="sk-SK"/>
        </w:rPr>
      </w:pPr>
      <w:r w:rsidRPr="00534FB2">
        <w:rPr>
          <w:sz w:val="22"/>
          <w:szCs w:val="22"/>
          <w:lang w:val="sk-SK"/>
        </w:rPr>
        <w:t>Druhý a tretí trimester gravidity (pozri časti 4.4 a 4.6).</w:t>
      </w:r>
    </w:p>
    <w:p w14:paraId="35CA0ACE" w14:textId="326B2064" w:rsidR="000C7678" w:rsidRPr="00534FB2" w:rsidRDefault="003A1D7F" w:rsidP="00F87F77">
      <w:pPr>
        <w:pStyle w:val="Odsekzoznamu"/>
        <w:numPr>
          <w:ilvl w:val="0"/>
          <w:numId w:val="12"/>
        </w:numPr>
        <w:rPr>
          <w:sz w:val="22"/>
          <w:szCs w:val="22"/>
          <w:lang w:val="sk-SK"/>
        </w:rPr>
      </w:pPr>
      <w:r>
        <w:rPr>
          <w:sz w:val="22"/>
          <w:szCs w:val="22"/>
          <w:lang w:val="sk-SK"/>
        </w:rPr>
        <w:t>Porucha</w:t>
      </w:r>
      <w:r w:rsidRPr="00534FB2">
        <w:rPr>
          <w:sz w:val="22"/>
          <w:szCs w:val="22"/>
          <w:lang w:val="sk-SK"/>
        </w:rPr>
        <w:t xml:space="preserve"> </w:t>
      </w:r>
      <w:r w:rsidR="00F87F77" w:rsidRPr="00534FB2">
        <w:rPr>
          <w:sz w:val="22"/>
          <w:szCs w:val="22"/>
          <w:lang w:val="sk-SK"/>
        </w:rPr>
        <w:t>funkcie pečene, biliárna cirhóza alebo cholestáza.</w:t>
      </w:r>
    </w:p>
    <w:p w14:paraId="230D4386" w14:textId="1D6AA000" w:rsidR="000C7678" w:rsidRPr="00534FB2" w:rsidRDefault="00F87F77" w:rsidP="00F87F77">
      <w:pPr>
        <w:pStyle w:val="Odsekzoznamu"/>
        <w:numPr>
          <w:ilvl w:val="0"/>
          <w:numId w:val="12"/>
        </w:numPr>
        <w:rPr>
          <w:sz w:val="22"/>
          <w:szCs w:val="22"/>
          <w:lang w:val="sk-SK"/>
        </w:rPr>
      </w:pPr>
      <w:r w:rsidRPr="00534FB2">
        <w:rPr>
          <w:sz w:val="22"/>
          <w:szCs w:val="22"/>
          <w:lang w:val="sk-SK"/>
        </w:rPr>
        <w:t>Ťažké zhoršenie funkcie obličiek (GFR &lt;30 ml/min/1,73 m</w:t>
      </w:r>
      <w:r w:rsidRPr="00534FB2">
        <w:rPr>
          <w:sz w:val="22"/>
          <w:szCs w:val="22"/>
          <w:vertAlign w:val="superscript"/>
          <w:lang w:val="sk-SK"/>
        </w:rPr>
        <w:t>2</w:t>
      </w:r>
      <w:r w:rsidRPr="00534FB2">
        <w:rPr>
          <w:sz w:val="22"/>
          <w:szCs w:val="22"/>
          <w:lang w:val="sk-SK"/>
        </w:rPr>
        <w:t>), anúria a dialyzovaní pacienti.</w:t>
      </w:r>
    </w:p>
    <w:p w14:paraId="4EE4387B" w14:textId="1E5D7316" w:rsidR="000C7678" w:rsidRPr="00534FB2" w:rsidRDefault="00F87F77" w:rsidP="00F87F77">
      <w:pPr>
        <w:pStyle w:val="Odsekzoznamu"/>
        <w:numPr>
          <w:ilvl w:val="0"/>
          <w:numId w:val="12"/>
        </w:numPr>
        <w:rPr>
          <w:sz w:val="22"/>
          <w:szCs w:val="22"/>
          <w:lang w:val="sk-SK"/>
        </w:rPr>
      </w:pPr>
      <w:r w:rsidRPr="00534FB2">
        <w:rPr>
          <w:sz w:val="22"/>
          <w:szCs w:val="22"/>
          <w:lang w:val="sk-SK"/>
        </w:rPr>
        <w:t>Súbežné používanie Asbimy HCT s liekmi obsahujúcimi aliskir</w:t>
      </w:r>
      <w:r w:rsidR="00C7376A">
        <w:rPr>
          <w:sz w:val="22"/>
          <w:szCs w:val="22"/>
          <w:lang w:val="sk-SK"/>
        </w:rPr>
        <w:t>é</w:t>
      </w:r>
      <w:r w:rsidRPr="00534FB2">
        <w:rPr>
          <w:sz w:val="22"/>
          <w:szCs w:val="22"/>
          <w:lang w:val="sk-SK"/>
        </w:rPr>
        <w:t>n u pacientov s diabet</w:t>
      </w:r>
      <w:r w:rsidR="00C7376A">
        <w:rPr>
          <w:sz w:val="22"/>
          <w:szCs w:val="22"/>
          <w:lang w:val="sk-SK"/>
        </w:rPr>
        <w:t>om</w:t>
      </w:r>
      <w:r w:rsidRPr="00534FB2">
        <w:rPr>
          <w:sz w:val="22"/>
          <w:szCs w:val="22"/>
          <w:lang w:val="sk-SK"/>
        </w:rPr>
        <w:t xml:space="preserve"> mellitus alebo poruchou funkcie obličiek (GFR &lt;60 ml/min/1,73</w:t>
      </w:r>
      <w:r w:rsidR="00C7376A">
        <w:rPr>
          <w:sz w:val="22"/>
          <w:szCs w:val="22"/>
          <w:lang w:val="sk-SK"/>
        </w:rPr>
        <w:t xml:space="preserve"> </w:t>
      </w:r>
      <w:r w:rsidRPr="00534FB2">
        <w:rPr>
          <w:sz w:val="22"/>
          <w:szCs w:val="22"/>
          <w:lang w:val="sk-SK"/>
        </w:rPr>
        <w:t>m</w:t>
      </w:r>
      <w:r w:rsidRPr="00534FB2">
        <w:rPr>
          <w:sz w:val="22"/>
          <w:szCs w:val="22"/>
          <w:vertAlign w:val="superscript"/>
          <w:lang w:val="sk-SK"/>
        </w:rPr>
        <w:t>2</w:t>
      </w:r>
      <w:r w:rsidRPr="00534FB2">
        <w:rPr>
          <w:sz w:val="22"/>
          <w:szCs w:val="22"/>
          <w:lang w:val="sk-SK"/>
        </w:rPr>
        <w:t>) (pozri časti 4.5 a 5.1).</w:t>
      </w:r>
    </w:p>
    <w:p w14:paraId="2457A77E" w14:textId="1270737F" w:rsidR="000C7678" w:rsidRPr="00534FB2" w:rsidRDefault="00F87F77" w:rsidP="00F87F77">
      <w:pPr>
        <w:pStyle w:val="Odsekzoznamu"/>
        <w:numPr>
          <w:ilvl w:val="0"/>
          <w:numId w:val="12"/>
        </w:numPr>
        <w:rPr>
          <w:sz w:val="22"/>
          <w:szCs w:val="22"/>
          <w:lang w:val="sk-SK"/>
        </w:rPr>
      </w:pPr>
      <w:r w:rsidRPr="00534FB2">
        <w:rPr>
          <w:sz w:val="22"/>
          <w:szCs w:val="22"/>
          <w:lang w:val="sk-SK"/>
        </w:rPr>
        <w:t>Refraktérna hypokaliémia, hyponatriémia, hyperkalciémia a symptomatická hyperurikémia.</w:t>
      </w:r>
    </w:p>
    <w:p w14:paraId="51C15A53" w14:textId="0BD72DBB" w:rsidR="000C7678" w:rsidRPr="00534FB2" w:rsidRDefault="00F87F77" w:rsidP="00F87F77">
      <w:pPr>
        <w:pStyle w:val="Odsekzoznamu"/>
        <w:numPr>
          <w:ilvl w:val="0"/>
          <w:numId w:val="12"/>
        </w:numPr>
        <w:rPr>
          <w:sz w:val="22"/>
          <w:szCs w:val="22"/>
          <w:lang w:val="sk-SK"/>
        </w:rPr>
      </w:pPr>
      <w:r w:rsidRPr="00534FB2">
        <w:rPr>
          <w:sz w:val="22"/>
          <w:szCs w:val="22"/>
          <w:lang w:val="sk-SK"/>
        </w:rPr>
        <w:t>Ťažká hypotenzia.</w:t>
      </w:r>
    </w:p>
    <w:p w14:paraId="01B2FBEC" w14:textId="2D921F6D" w:rsidR="000C7678" w:rsidRPr="00534FB2" w:rsidRDefault="00F87F77" w:rsidP="00F87F77">
      <w:pPr>
        <w:pStyle w:val="Odsekzoznamu"/>
        <w:numPr>
          <w:ilvl w:val="0"/>
          <w:numId w:val="12"/>
        </w:numPr>
        <w:rPr>
          <w:sz w:val="22"/>
          <w:szCs w:val="22"/>
          <w:lang w:val="sk-SK"/>
        </w:rPr>
      </w:pPr>
      <w:r w:rsidRPr="00534FB2">
        <w:rPr>
          <w:sz w:val="22"/>
          <w:szCs w:val="22"/>
          <w:lang w:val="sk-SK"/>
        </w:rPr>
        <w:t>Šok (vrátane kardiogénneho šoku).</w:t>
      </w:r>
    </w:p>
    <w:p w14:paraId="4A773113" w14:textId="341BD87F" w:rsidR="000C7678" w:rsidRPr="00534FB2" w:rsidRDefault="00F87F77" w:rsidP="00F87F77">
      <w:pPr>
        <w:pStyle w:val="Odsekzoznamu"/>
        <w:numPr>
          <w:ilvl w:val="0"/>
          <w:numId w:val="12"/>
        </w:numPr>
        <w:rPr>
          <w:sz w:val="22"/>
          <w:szCs w:val="22"/>
          <w:lang w:val="sk-SK"/>
        </w:rPr>
      </w:pPr>
      <w:r w:rsidRPr="00534FB2">
        <w:rPr>
          <w:sz w:val="22"/>
          <w:szCs w:val="22"/>
          <w:lang w:val="sk-SK"/>
        </w:rPr>
        <w:t>Obštrukcia výtoku z ľavej srdcovej komory (napr. hypertrofická obštrukčná kardiomyopatia a pokročilý stupeň aortálnej stenózy).</w:t>
      </w:r>
    </w:p>
    <w:p w14:paraId="59A2836A" w14:textId="1CAE1B3D" w:rsidR="000C7678" w:rsidRPr="00534FB2" w:rsidRDefault="00F87F77" w:rsidP="00F87F77">
      <w:pPr>
        <w:pStyle w:val="Odsekzoznamu"/>
        <w:numPr>
          <w:ilvl w:val="0"/>
          <w:numId w:val="12"/>
        </w:numPr>
        <w:rPr>
          <w:sz w:val="22"/>
          <w:szCs w:val="22"/>
          <w:lang w:val="sk-SK"/>
        </w:rPr>
      </w:pPr>
      <w:r w:rsidRPr="00534FB2">
        <w:rPr>
          <w:sz w:val="22"/>
          <w:szCs w:val="22"/>
          <w:lang w:val="sk-SK"/>
        </w:rPr>
        <w:t>Hemodynamicky nestabilné srdcové zlyhávanie po akútnom infarkte myokardu.</w:t>
      </w:r>
    </w:p>
    <w:p w14:paraId="4A985E5C" w14:textId="77777777" w:rsidR="0048743D" w:rsidRPr="00534FB2" w:rsidRDefault="0048743D" w:rsidP="00134CBE">
      <w:pPr>
        <w:rPr>
          <w:sz w:val="22"/>
          <w:szCs w:val="22"/>
          <w:lang w:val="sk-SK"/>
        </w:rPr>
      </w:pPr>
    </w:p>
    <w:p w14:paraId="5268DBFE" w14:textId="260F543C" w:rsidR="0043633E" w:rsidRPr="00534FB2" w:rsidRDefault="00F87F77" w:rsidP="00F87F77">
      <w:pPr>
        <w:pStyle w:val="Odsekzoznamu"/>
        <w:numPr>
          <w:ilvl w:val="1"/>
          <w:numId w:val="1"/>
        </w:numPr>
        <w:ind w:left="567" w:hanging="567"/>
        <w:rPr>
          <w:b/>
          <w:sz w:val="22"/>
          <w:szCs w:val="22"/>
          <w:lang w:val="sk-SK"/>
        </w:rPr>
      </w:pPr>
      <w:r w:rsidRPr="00534FB2">
        <w:rPr>
          <w:b/>
          <w:sz w:val="22"/>
          <w:szCs w:val="22"/>
          <w:lang w:val="sk-SK"/>
        </w:rPr>
        <w:t>Osobitné upozornenia a opatrenia pri používaní</w:t>
      </w:r>
    </w:p>
    <w:p w14:paraId="1BCC80AF" w14:textId="77777777" w:rsidR="00CE4352" w:rsidRPr="00534FB2" w:rsidRDefault="00CE4352" w:rsidP="00134CBE">
      <w:pPr>
        <w:rPr>
          <w:sz w:val="22"/>
          <w:szCs w:val="22"/>
          <w:lang w:val="sk-SK"/>
        </w:rPr>
      </w:pPr>
    </w:p>
    <w:p w14:paraId="0E34D49B" w14:textId="12B0C8DD" w:rsidR="000C7678" w:rsidRDefault="00F87F77" w:rsidP="00134CBE">
      <w:pPr>
        <w:rPr>
          <w:sz w:val="22"/>
          <w:szCs w:val="22"/>
          <w:lang w:val="sk-SK"/>
        </w:rPr>
      </w:pPr>
      <w:r w:rsidRPr="00534FB2">
        <w:rPr>
          <w:sz w:val="22"/>
          <w:szCs w:val="22"/>
          <w:lang w:val="sk-SK"/>
        </w:rPr>
        <w:t>Bezpečnosť a účinnosť amlodipínu pri hypertenznej kríze neboli stanovené.</w:t>
      </w:r>
    </w:p>
    <w:p w14:paraId="1085F83D" w14:textId="77777777" w:rsidR="002B7E35" w:rsidRPr="00534FB2" w:rsidRDefault="002B7E35" w:rsidP="00134CBE">
      <w:pPr>
        <w:rPr>
          <w:sz w:val="22"/>
          <w:szCs w:val="22"/>
          <w:lang w:val="sk-SK"/>
        </w:rPr>
      </w:pPr>
    </w:p>
    <w:p w14:paraId="1BCCE5A6" w14:textId="7A0E9826" w:rsidR="000C7678" w:rsidRPr="00534FB2" w:rsidRDefault="00961CF0" w:rsidP="005F1BE8">
      <w:pPr>
        <w:keepNext/>
        <w:rPr>
          <w:sz w:val="22"/>
          <w:szCs w:val="22"/>
          <w:u w:val="single"/>
          <w:lang w:val="sk-SK"/>
        </w:rPr>
      </w:pPr>
      <w:r w:rsidRPr="00534FB2">
        <w:rPr>
          <w:sz w:val="22"/>
          <w:szCs w:val="22"/>
          <w:u w:val="single"/>
          <w:lang w:val="sk-SK"/>
        </w:rPr>
        <w:t>Pacienti s depléciou sodíka a/alebo objemu</w:t>
      </w:r>
    </w:p>
    <w:p w14:paraId="1CEFE584" w14:textId="25565ABC" w:rsidR="00961CF0" w:rsidRPr="00534FB2" w:rsidRDefault="00961CF0" w:rsidP="00961CF0">
      <w:pPr>
        <w:rPr>
          <w:sz w:val="22"/>
          <w:szCs w:val="22"/>
          <w:lang w:val="sk-SK"/>
        </w:rPr>
      </w:pPr>
      <w:r w:rsidRPr="00534FB2">
        <w:rPr>
          <w:sz w:val="22"/>
          <w:szCs w:val="22"/>
          <w:lang w:val="sk-SK"/>
        </w:rPr>
        <w:t>Výrazná hypotenzia vrátane ortostatickej hypotenzie sa pozorovala u 1,7% pacientov pri liečbe maximálnou dávkou amlodipínu/valsartanu/hydrochl</w:t>
      </w:r>
      <w:r w:rsidR="002C71F1">
        <w:rPr>
          <w:sz w:val="22"/>
          <w:szCs w:val="22"/>
          <w:lang w:val="sk-SK"/>
        </w:rPr>
        <w:t>ó</w:t>
      </w:r>
      <w:r w:rsidRPr="00534FB2">
        <w:rPr>
          <w:sz w:val="22"/>
          <w:szCs w:val="22"/>
          <w:lang w:val="sk-SK"/>
        </w:rPr>
        <w:t>rtiazidu (10 mg/320 mg/25 mg) v porovnaní s 1,8% pacientov pri valsartane/hydrochl</w:t>
      </w:r>
      <w:r w:rsidR="002C71F1">
        <w:rPr>
          <w:sz w:val="22"/>
          <w:szCs w:val="22"/>
          <w:lang w:val="sk-SK"/>
        </w:rPr>
        <w:t>ó</w:t>
      </w:r>
      <w:r w:rsidRPr="00534FB2">
        <w:rPr>
          <w:sz w:val="22"/>
          <w:szCs w:val="22"/>
          <w:lang w:val="sk-SK"/>
        </w:rPr>
        <w:t>rtiazide (320 mg/25 mg), 0,4% pacientov pri amlodipíne/valsartane (10 mg/320 mg) a 0,2% pacientov pri hydrochl</w:t>
      </w:r>
      <w:r w:rsidR="002C71F1">
        <w:rPr>
          <w:sz w:val="22"/>
          <w:szCs w:val="22"/>
          <w:lang w:val="sk-SK"/>
        </w:rPr>
        <w:t>ó</w:t>
      </w:r>
      <w:r w:rsidRPr="00534FB2">
        <w:rPr>
          <w:sz w:val="22"/>
          <w:szCs w:val="22"/>
          <w:lang w:val="sk-SK"/>
        </w:rPr>
        <w:t>rtiazide/amplodipíne (25 mg/10 mg) v kontrolovanom klinickom skúšaní u pacientov so stredne ťažkou až ťažkou nekomplikovanou hypertenziou.</w:t>
      </w:r>
    </w:p>
    <w:p w14:paraId="01A7C668" w14:textId="77777777" w:rsidR="000C7678" w:rsidRPr="00534FB2" w:rsidRDefault="000C7678" w:rsidP="00134CBE">
      <w:pPr>
        <w:rPr>
          <w:sz w:val="22"/>
          <w:szCs w:val="22"/>
          <w:lang w:val="sk-SK"/>
        </w:rPr>
      </w:pPr>
    </w:p>
    <w:p w14:paraId="1C733BAE" w14:textId="58001733" w:rsidR="000C7678" w:rsidRPr="00534FB2" w:rsidRDefault="00961CF0" w:rsidP="00961CF0">
      <w:pPr>
        <w:rPr>
          <w:sz w:val="22"/>
          <w:szCs w:val="22"/>
          <w:lang w:val="sk-SK"/>
        </w:rPr>
      </w:pPr>
      <w:r w:rsidRPr="00534FB2">
        <w:rPr>
          <w:sz w:val="22"/>
          <w:szCs w:val="22"/>
          <w:lang w:val="sk-SK"/>
        </w:rPr>
        <w:t>U pacientov s depléciou sodíka a/alebo objemu, napr. u pacientov užívajúcich vysoké dávky diuretík, sa po začatí liečby Asbimou HCT môže vyskytnúť symptomatická hypotenzia. Asbima HCT sa má použiť len po korigovaní akejkoľvek existujúcej deplécie sodíka a/alebo objemu.</w:t>
      </w:r>
    </w:p>
    <w:p w14:paraId="0BC54906" w14:textId="77777777" w:rsidR="000C7678" w:rsidRPr="00534FB2" w:rsidRDefault="000C7678" w:rsidP="00134CBE">
      <w:pPr>
        <w:rPr>
          <w:sz w:val="22"/>
          <w:szCs w:val="22"/>
          <w:lang w:val="sk-SK"/>
        </w:rPr>
      </w:pPr>
    </w:p>
    <w:p w14:paraId="2A8F1CBF" w14:textId="18D31054" w:rsidR="000C7678" w:rsidRPr="00534FB2" w:rsidRDefault="00961CF0" w:rsidP="00961CF0">
      <w:pPr>
        <w:rPr>
          <w:sz w:val="22"/>
          <w:szCs w:val="22"/>
          <w:lang w:val="sk-SK"/>
        </w:rPr>
      </w:pPr>
      <w:r w:rsidRPr="00534FB2">
        <w:rPr>
          <w:sz w:val="22"/>
          <w:szCs w:val="22"/>
          <w:lang w:val="sk-SK"/>
        </w:rPr>
        <w:t>Ak pri užívaní Asbimy HCT vznikne výrazná hypotenzia, pacienta je potrebné uložiť na chrbát a v prípade potreby podať intravenóznu infúziu fyziologického roztok</w:t>
      </w:r>
      <w:r w:rsidR="009777EA" w:rsidRPr="00534FB2">
        <w:rPr>
          <w:sz w:val="22"/>
          <w:szCs w:val="22"/>
          <w:lang w:val="sk-SK"/>
        </w:rPr>
        <w:t xml:space="preserve">u. V liečbe možno pokračovať po </w:t>
      </w:r>
      <w:r w:rsidRPr="00534FB2">
        <w:rPr>
          <w:sz w:val="22"/>
          <w:szCs w:val="22"/>
          <w:lang w:val="sk-SK"/>
        </w:rPr>
        <w:t>stabilizovaní krvného tlaku.</w:t>
      </w:r>
    </w:p>
    <w:p w14:paraId="4F4E9800" w14:textId="77777777" w:rsidR="000C7678" w:rsidRPr="00534FB2" w:rsidRDefault="000C7678" w:rsidP="00134CBE">
      <w:pPr>
        <w:rPr>
          <w:sz w:val="22"/>
          <w:szCs w:val="22"/>
          <w:lang w:val="sk-SK"/>
        </w:rPr>
      </w:pPr>
    </w:p>
    <w:p w14:paraId="152A1A92" w14:textId="789E762E" w:rsidR="000C7678" w:rsidRPr="00534FB2" w:rsidRDefault="009777EA" w:rsidP="00134CBE">
      <w:pPr>
        <w:rPr>
          <w:sz w:val="22"/>
          <w:szCs w:val="22"/>
          <w:u w:val="single"/>
          <w:lang w:val="sk-SK"/>
        </w:rPr>
      </w:pPr>
      <w:r w:rsidRPr="00534FB2">
        <w:rPr>
          <w:sz w:val="22"/>
          <w:szCs w:val="22"/>
          <w:u w:val="single"/>
          <w:lang w:val="sk-SK"/>
        </w:rPr>
        <w:t>Zmeny elektrolytov v sére</w:t>
      </w:r>
    </w:p>
    <w:p w14:paraId="0B4A17AD" w14:textId="45897A7E" w:rsidR="000C7678" w:rsidRPr="00534FB2" w:rsidRDefault="009777EA" w:rsidP="00134CBE">
      <w:pPr>
        <w:rPr>
          <w:i/>
          <w:sz w:val="22"/>
          <w:szCs w:val="22"/>
          <w:u w:val="single"/>
          <w:lang w:val="sk-SK"/>
        </w:rPr>
      </w:pPr>
      <w:r w:rsidRPr="00534FB2">
        <w:rPr>
          <w:i/>
          <w:sz w:val="22"/>
          <w:szCs w:val="22"/>
          <w:u w:val="single"/>
          <w:lang w:val="sk-SK"/>
        </w:rPr>
        <w:t>Amlodipín/valsartan/hydrochl</w:t>
      </w:r>
      <w:r w:rsidR="002C71F1">
        <w:rPr>
          <w:i/>
          <w:sz w:val="22"/>
          <w:szCs w:val="22"/>
          <w:u w:val="single"/>
          <w:lang w:val="sk-SK"/>
        </w:rPr>
        <w:t>ó</w:t>
      </w:r>
      <w:r w:rsidRPr="00534FB2">
        <w:rPr>
          <w:i/>
          <w:sz w:val="22"/>
          <w:szCs w:val="22"/>
          <w:u w:val="single"/>
          <w:lang w:val="sk-SK"/>
        </w:rPr>
        <w:t>rtiazid</w:t>
      </w:r>
    </w:p>
    <w:p w14:paraId="347B0A03" w14:textId="30DD2AE9" w:rsidR="000C7678" w:rsidRPr="00534FB2" w:rsidRDefault="000B6FE9" w:rsidP="000B6FE9">
      <w:pPr>
        <w:rPr>
          <w:sz w:val="22"/>
          <w:szCs w:val="22"/>
          <w:lang w:val="sk-SK"/>
        </w:rPr>
      </w:pPr>
      <w:r w:rsidRPr="00534FB2">
        <w:rPr>
          <w:sz w:val="22"/>
          <w:szCs w:val="22"/>
          <w:lang w:val="sk-SK"/>
        </w:rPr>
        <w:lastRenderedPageBreak/>
        <w:t>V kontrolovanom klinickom skúšaní amlodipínu/valsartanu/hydrochl</w:t>
      </w:r>
      <w:r w:rsidR="002C71F1">
        <w:rPr>
          <w:sz w:val="22"/>
          <w:szCs w:val="22"/>
          <w:lang w:val="sk-SK"/>
        </w:rPr>
        <w:t>ó</w:t>
      </w:r>
      <w:r w:rsidRPr="00534FB2">
        <w:rPr>
          <w:sz w:val="22"/>
          <w:szCs w:val="22"/>
          <w:lang w:val="sk-SK"/>
        </w:rPr>
        <w:t>rtiazidu sa protichodné účinky valsartanu 320 mg a hydrochl</w:t>
      </w:r>
      <w:r w:rsidR="000514B9">
        <w:rPr>
          <w:sz w:val="22"/>
          <w:szCs w:val="22"/>
          <w:lang w:val="sk-SK"/>
        </w:rPr>
        <w:t>ó</w:t>
      </w:r>
      <w:r w:rsidRPr="00534FB2">
        <w:rPr>
          <w:sz w:val="22"/>
          <w:szCs w:val="22"/>
          <w:lang w:val="sk-SK"/>
        </w:rPr>
        <w:t>rtiazidu 25 mg na draslík v sére u mnohých pacientov približne vyvážili.</w:t>
      </w:r>
      <w:r w:rsidR="000C7678" w:rsidRPr="00534FB2">
        <w:rPr>
          <w:sz w:val="22"/>
          <w:szCs w:val="22"/>
          <w:lang w:val="sk-SK"/>
        </w:rPr>
        <w:t xml:space="preserve"> </w:t>
      </w:r>
      <w:r w:rsidRPr="00534FB2">
        <w:rPr>
          <w:sz w:val="22"/>
          <w:szCs w:val="22"/>
          <w:lang w:val="sk-SK"/>
        </w:rPr>
        <w:t>U iných pacientov môže prevládať jeden alebo druhý účinok. Pravidelné stanovovanie elektrolytov v sére sa má vykonávať v primeraných intervaloch, aby sa zistila možná elektrolytová nerovnováha.</w:t>
      </w:r>
    </w:p>
    <w:p w14:paraId="6F3BD779" w14:textId="77777777" w:rsidR="00267090" w:rsidRPr="00534FB2" w:rsidRDefault="00267090" w:rsidP="00134CBE">
      <w:pPr>
        <w:rPr>
          <w:sz w:val="22"/>
          <w:szCs w:val="22"/>
          <w:lang w:val="sk-SK"/>
        </w:rPr>
      </w:pPr>
    </w:p>
    <w:p w14:paraId="65C63A9C" w14:textId="2FC40CC7" w:rsidR="000C7678" w:rsidRPr="00534FB2" w:rsidRDefault="000B6FE9" w:rsidP="000B6FE9">
      <w:pPr>
        <w:rPr>
          <w:sz w:val="22"/>
          <w:szCs w:val="22"/>
          <w:lang w:val="sk-SK"/>
        </w:rPr>
      </w:pPr>
      <w:r w:rsidRPr="00534FB2">
        <w:rPr>
          <w:sz w:val="22"/>
          <w:szCs w:val="22"/>
          <w:lang w:val="sk-SK"/>
        </w:rPr>
        <w:t xml:space="preserve">Pravidelné stanovovanie sérových elektrolytov a najmä draslíka sa má robiť vo vhodných intervaloch, aby sa zistila prípadná nerovnováha elektrolytov, zvlášť u pacientov s inými rizikovými faktormi, napr. pri </w:t>
      </w:r>
      <w:r w:rsidR="003A1D7F">
        <w:rPr>
          <w:sz w:val="22"/>
          <w:szCs w:val="22"/>
          <w:lang w:val="sk-SK"/>
        </w:rPr>
        <w:t>poruche</w:t>
      </w:r>
      <w:r w:rsidR="003A1D7F" w:rsidRPr="00534FB2">
        <w:rPr>
          <w:sz w:val="22"/>
          <w:szCs w:val="22"/>
          <w:lang w:val="sk-SK"/>
        </w:rPr>
        <w:t xml:space="preserve"> </w:t>
      </w:r>
      <w:r w:rsidRPr="00534FB2">
        <w:rPr>
          <w:sz w:val="22"/>
          <w:szCs w:val="22"/>
          <w:lang w:val="sk-SK"/>
        </w:rPr>
        <w:t>funkcie obličiek, podávaní iných liekov alebo pri nerovnováhe elektrolytov v anamnéze.</w:t>
      </w:r>
    </w:p>
    <w:p w14:paraId="00C3640B" w14:textId="77777777" w:rsidR="000C7678" w:rsidRPr="00534FB2" w:rsidRDefault="000C7678" w:rsidP="00134CBE">
      <w:pPr>
        <w:rPr>
          <w:sz w:val="22"/>
          <w:szCs w:val="22"/>
          <w:lang w:val="sk-SK"/>
        </w:rPr>
      </w:pPr>
    </w:p>
    <w:p w14:paraId="62E1A6A7" w14:textId="77777777" w:rsidR="000C7678" w:rsidRPr="00534FB2" w:rsidRDefault="000C7678" w:rsidP="00134CBE">
      <w:pPr>
        <w:rPr>
          <w:i/>
          <w:sz w:val="22"/>
          <w:szCs w:val="22"/>
          <w:u w:val="single"/>
          <w:lang w:val="sk-SK"/>
        </w:rPr>
      </w:pPr>
      <w:r w:rsidRPr="00534FB2">
        <w:rPr>
          <w:i/>
          <w:sz w:val="22"/>
          <w:szCs w:val="22"/>
          <w:u w:val="single"/>
          <w:lang w:val="sk-SK"/>
        </w:rPr>
        <w:t>Valsartan</w:t>
      </w:r>
    </w:p>
    <w:p w14:paraId="05C33867" w14:textId="0F2B09DC" w:rsidR="000C7678" w:rsidRPr="00534FB2" w:rsidRDefault="006F6F3A" w:rsidP="006F6F3A">
      <w:pPr>
        <w:rPr>
          <w:sz w:val="22"/>
          <w:szCs w:val="22"/>
          <w:lang w:val="sk-SK"/>
        </w:rPr>
      </w:pPr>
      <w:r w:rsidRPr="00534FB2">
        <w:rPr>
          <w:sz w:val="22"/>
          <w:szCs w:val="22"/>
          <w:lang w:val="sk-SK"/>
        </w:rPr>
        <w:t>Sú</w:t>
      </w:r>
      <w:r w:rsidR="00840DF4">
        <w:rPr>
          <w:sz w:val="22"/>
          <w:szCs w:val="22"/>
          <w:lang w:val="sk-SK"/>
        </w:rPr>
        <w:t>bež</w:t>
      </w:r>
      <w:r w:rsidRPr="00534FB2">
        <w:rPr>
          <w:sz w:val="22"/>
          <w:szCs w:val="22"/>
          <w:lang w:val="sk-SK"/>
        </w:rPr>
        <w:t>né použitie s doplnkami draslíka, diuretikami šetriacimi draslík, náhradami solí obsahujúcimi draslík alebo inými liekmi, ktoré môžu hladinu draslíka zvyšovať (heparín atď.), sa neodporúča. Podľa potreby sa má monitorovať hladina draslíka.</w:t>
      </w:r>
    </w:p>
    <w:p w14:paraId="2D577D4B" w14:textId="77777777" w:rsidR="00267090" w:rsidRPr="00534FB2" w:rsidRDefault="00267090" w:rsidP="00134CBE">
      <w:pPr>
        <w:rPr>
          <w:sz w:val="22"/>
          <w:szCs w:val="22"/>
          <w:lang w:val="sk-SK"/>
        </w:rPr>
      </w:pPr>
    </w:p>
    <w:p w14:paraId="106E70BA" w14:textId="27508D0E" w:rsidR="000C7678" w:rsidRPr="00534FB2" w:rsidRDefault="006F6F3A" w:rsidP="00134CBE">
      <w:pPr>
        <w:rPr>
          <w:i/>
          <w:sz w:val="22"/>
          <w:szCs w:val="22"/>
          <w:u w:val="single"/>
          <w:lang w:val="sk-SK"/>
        </w:rPr>
      </w:pPr>
      <w:r w:rsidRPr="00534FB2">
        <w:rPr>
          <w:i/>
          <w:sz w:val="22"/>
          <w:szCs w:val="22"/>
          <w:u w:val="single"/>
          <w:lang w:val="sk-SK"/>
        </w:rPr>
        <w:t>Hydrochl</w:t>
      </w:r>
      <w:r w:rsidR="000514B9">
        <w:rPr>
          <w:i/>
          <w:sz w:val="22"/>
          <w:szCs w:val="22"/>
          <w:u w:val="single"/>
          <w:lang w:val="sk-SK"/>
        </w:rPr>
        <w:t>ó</w:t>
      </w:r>
      <w:r w:rsidRPr="00534FB2">
        <w:rPr>
          <w:i/>
          <w:sz w:val="22"/>
          <w:szCs w:val="22"/>
          <w:u w:val="single"/>
          <w:lang w:val="sk-SK"/>
        </w:rPr>
        <w:t>rtiazid</w:t>
      </w:r>
    </w:p>
    <w:p w14:paraId="77E7582C" w14:textId="306F0572" w:rsidR="00267090" w:rsidRPr="00534FB2" w:rsidRDefault="00B67533" w:rsidP="00B67533">
      <w:pPr>
        <w:rPr>
          <w:sz w:val="22"/>
          <w:szCs w:val="22"/>
          <w:lang w:val="sk-SK"/>
        </w:rPr>
      </w:pPr>
      <w:r w:rsidRPr="00534FB2">
        <w:rPr>
          <w:sz w:val="22"/>
          <w:szCs w:val="22"/>
          <w:lang w:val="sk-SK"/>
        </w:rPr>
        <w:t>Liečba Asbimou HCT sa má začať len po korigovaní hypokaliémie a akejkoľvek súbežne existujúcej hypomagneziémie. Tiazidové diuretiká môžu vyvolať vznik hypokaliémie alebo exacerbovať už existujúcu hypokaliémiu. Tiazidové diuretiká sa majú opatrne podávať pacientom s ochoreniami, ktoré spôsobujú zvýšenú stratu draslíka, napr. nefropatiami so strácaním soli a prerenálnou (kardiogénnou) poruchou funkcie obličiek. Ak hypokaliémia vznikne počas liečby hydrochl</w:t>
      </w:r>
      <w:r w:rsidR="002C71F1">
        <w:rPr>
          <w:sz w:val="22"/>
          <w:szCs w:val="22"/>
          <w:lang w:val="sk-SK"/>
        </w:rPr>
        <w:t>ó</w:t>
      </w:r>
      <w:r w:rsidRPr="00534FB2">
        <w:rPr>
          <w:sz w:val="22"/>
          <w:szCs w:val="22"/>
          <w:lang w:val="sk-SK"/>
        </w:rPr>
        <w:t>rtiazidom, Asbima HCT sa má vysadiť až do trvalej úpravy rovnováhy draslíka.</w:t>
      </w:r>
    </w:p>
    <w:p w14:paraId="012E9091" w14:textId="77777777" w:rsidR="00267090" w:rsidRPr="00534FB2" w:rsidRDefault="00267090" w:rsidP="00134CBE">
      <w:pPr>
        <w:rPr>
          <w:sz w:val="22"/>
          <w:szCs w:val="22"/>
          <w:lang w:val="sk-SK"/>
        </w:rPr>
      </w:pPr>
    </w:p>
    <w:p w14:paraId="04F7B9F4" w14:textId="77777777" w:rsidR="00B67533" w:rsidRPr="00534FB2" w:rsidRDefault="00B67533" w:rsidP="00B67533">
      <w:pPr>
        <w:rPr>
          <w:sz w:val="22"/>
          <w:szCs w:val="22"/>
          <w:lang w:val="sk-SK"/>
        </w:rPr>
      </w:pPr>
      <w:r w:rsidRPr="00534FB2">
        <w:rPr>
          <w:sz w:val="22"/>
          <w:szCs w:val="22"/>
          <w:lang w:val="sk-SK"/>
        </w:rPr>
        <w:t>Tiazidové diuretiká môžu vyvolať vznik hyponatriémie a hypochloremickej alkalózy alebo</w:t>
      </w:r>
    </w:p>
    <w:p w14:paraId="726CB276" w14:textId="2481C19C" w:rsidR="00267090" w:rsidRPr="00534FB2" w:rsidRDefault="00B67533" w:rsidP="00B67533">
      <w:pPr>
        <w:rPr>
          <w:sz w:val="22"/>
          <w:szCs w:val="22"/>
          <w:lang w:val="sk-SK"/>
        </w:rPr>
      </w:pPr>
      <w:r w:rsidRPr="00534FB2">
        <w:rPr>
          <w:sz w:val="22"/>
          <w:szCs w:val="22"/>
          <w:lang w:val="sk-SK"/>
        </w:rPr>
        <w:t>exacerbovať už existujúcu hyponatriémiu. Pozorovala sa hyponatriémia sprevádzaná neurologickými symptómami (nauzeou, progres</w:t>
      </w:r>
      <w:r w:rsidR="00840DF4">
        <w:rPr>
          <w:sz w:val="22"/>
          <w:szCs w:val="22"/>
          <w:lang w:val="sk-SK"/>
        </w:rPr>
        <w:t>ívno</w:t>
      </w:r>
      <w:r w:rsidRPr="00534FB2">
        <w:rPr>
          <w:sz w:val="22"/>
          <w:szCs w:val="22"/>
          <w:lang w:val="sk-SK"/>
        </w:rPr>
        <w:t>u dezorientovanosťou, apatiou). Liečba hydrochl</w:t>
      </w:r>
      <w:r w:rsidR="002C71F1">
        <w:rPr>
          <w:sz w:val="22"/>
          <w:szCs w:val="22"/>
          <w:lang w:val="sk-SK"/>
        </w:rPr>
        <w:t>ó</w:t>
      </w:r>
      <w:r w:rsidRPr="00534FB2">
        <w:rPr>
          <w:sz w:val="22"/>
          <w:szCs w:val="22"/>
          <w:lang w:val="sk-SK"/>
        </w:rPr>
        <w:t>rtiazidom sa má začať len po korigovaní existujúcej hyponatriémie. Ak počas liečby Asbimou HCT vznikne závažná alebo náhla hyponatriémia, podávanie sa má prerušiť až do normalizovania natriémie.</w:t>
      </w:r>
    </w:p>
    <w:p w14:paraId="4F074404" w14:textId="77777777" w:rsidR="00267090" w:rsidRPr="00534FB2" w:rsidRDefault="00267090" w:rsidP="00134CBE">
      <w:pPr>
        <w:rPr>
          <w:sz w:val="22"/>
          <w:szCs w:val="22"/>
          <w:lang w:val="sk-SK"/>
        </w:rPr>
      </w:pPr>
    </w:p>
    <w:p w14:paraId="143A36D1" w14:textId="58BF2BB9" w:rsidR="00267090" w:rsidRPr="00534FB2" w:rsidRDefault="008A3BB3" w:rsidP="008A3BB3">
      <w:pPr>
        <w:rPr>
          <w:sz w:val="22"/>
          <w:szCs w:val="22"/>
          <w:lang w:val="sk-SK"/>
        </w:rPr>
      </w:pPr>
      <w:r w:rsidRPr="00534FB2">
        <w:rPr>
          <w:sz w:val="22"/>
          <w:szCs w:val="22"/>
          <w:lang w:val="sk-SK"/>
        </w:rPr>
        <w:t>Všetkých pacientov, ktorí dostávajú tiazidové diuretiká, je potrebné pravidelne kontrolovať pre nerovnováhu elektrolytov, najmä draslíka, sodíka a horčíka.</w:t>
      </w:r>
    </w:p>
    <w:p w14:paraId="38FD2FA6" w14:textId="77777777" w:rsidR="008A3BB3" w:rsidRPr="00534FB2" w:rsidRDefault="008A3BB3" w:rsidP="008A3BB3">
      <w:pPr>
        <w:rPr>
          <w:sz w:val="22"/>
          <w:szCs w:val="22"/>
          <w:lang w:val="sk-SK"/>
        </w:rPr>
      </w:pPr>
    </w:p>
    <w:p w14:paraId="1855B324" w14:textId="20ED3233" w:rsidR="000C7678" w:rsidRPr="00534FB2" w:rsidRDefault="003A1D7F" w:rsidP="002B7E35">
      <w:pPr>
        <w:keepNext/>
        <w:rPr>
          <w:sz w:val="22"/>
          <w:szCs w:val="22"/>
          <w:u w:val="single"/>
          <w:lang w:val="sk-SK"/>
        </w:rPr>
      </w:pPr>
      <w:r w:rsidRPr="00534FB2">
        <w:rPr>
          <w:sz w:val="22"/>
          <w:szCs w:val="22"/>
          <w:u w:val="single"/>
          <w:lang w:val="sk-SK"/>
        </w:rPr>
        <w:t>Po</w:t>
      </w:r>
      <w:r>
        <w:rPr>
          <w:sz w:val="22"/>
          <w:szCs w:val="22"/>
          <w:u w:val="single"/>
          <w:lang w:val="sk-SK"/>
        </w:rPr>
        <w:t>rucha</w:t>
      </w:r>
      <w:r w:rsidRPr="00534FB2">
        <w:rPr>
          <w:sz w:val="22"/>
          <w:szCs w:val="22"/>
          <w:u w:val="single"/>
          <w:lang w:val="sk-SK"/>
        </w:rPr>
        <w:t xml:space="preserve"> </w:t>
      </w:r>
      <w:r w:rsidR="008A3BB3" w:rsidRPr="00534FB2">
        <w:rPr>
          <w:sz w:val="22"/>
          <w:szCs w:val="22"/>
          <w:u w:val="single"/>
          <w:lang w:val="sk-SK"/>
        </w:rPr>
        <w:t>funkcie obličiek</w:t>
      </w:r>
    </w:p>
    <w:p w14:paraId="2AC61CEF" w14:textId="050D4EBF" w:rsidR="00AB3316" w:rsidRPr="00534FB2" w:rsidRDefault="001958A3" w:rsidP="002B7E35">
      <w:pPr>
        <w:pStyle w:val="Zkladntext3"/>
        <w:spacing w:line="240" w:lineRule="auto"/>
        <w:rPr>
          <w:lang w:val="sk-SK"/>
        </w:rPr>
      </w:pPr>
      <w:r w:rsidRPr="00534FB2">
        <w:rPr>
          <w:lang w:val="sk-SK"/>
        </w:rPr>
        <w:t>Tiazidové diuretiká môžu vyvolať azotémiu u pacientov s chronickou chorobou obličiek. Pri používaní Asbimy HCT u pacientov s poruchou funkcie obličiek sa odporúča pravidelné monitorovanie sérových elektrolytov (vrátane draslíka), koncentrácie kreatinínu a kyseliny močovej v sére. Použitie Asbimy HCT je kontraindikované u pacientov s ťažkou poruchou funkcie obličiek, anúriou alebo u dialyzovaných pacientov (pozri časť 4.3).</w:t>
      </w:r>
    </w:p>
    <w:p w14:paraId="0D50C0CA" w14:textId="77777777" w:rsidR="00AB3316" w:rsidRPr="00534FB2" w:rsidRDefault="00AB3316" w:rsidP="002B7E35">
      <w:pPr>
        <w:rPr>
          <w:sz w:val="22"/>
          <w:szCs w:val="22"/>
          <w:lang w:val="sk-SK"/>
        </w:rPr>
      </w:pPr>
    </w:p>
    <w:p w14:paraId="6E00AF31" w14:textId="41B3442E" w:rsidR="00AB3316" w:rsidRPr="00534FB2" w:rsidRDefault="001958A3" w:rsidP="002B7E35">
      <w:pPr>
        <w:rPr>
          <w:sz w:val="22"/>
          <w:szCs w:val="22"/>
          <w:lang w:val="sk-SK"/>
        </w:rPr>
      </w:pPr>
      <w:r w:rsidRPr="00534FB2">
        <w:rPr>
          <w:sz w:val="22"/>
          <w:szCs w:val="22"/>
          <w:lang w:val="sk-SK"/>
        </w:rPr>
        <w:t xml:space="preserve">U pacientov s </w:t>
      </w:r>
      <w:r w:rsidR="003A1D7F" w:rsidRPr="00534FB2">
        <w:rPr>
          <w:sz w:val="22"/>
          <w:szCs w:val="22"/>
          <w:lang w:val="sk-SK"/>
        </w:rPr>
        <w:t>miern</w:t>
      </w:r>
      <w:r w:rsidR="003A1D7F">
        <w:rPr>
          <w:sz w:val="22"/>
          <w:szCs w:val="22"/>
          <w:lang w:val="sk-SK"/>
        </w:rPr>
        <w:t>ou</w:t>
      </w:r>
      <w:r w:rsidR="003A1D7F" w:rsidRPr="00534FB2">
        <w:rPr>
          <w:sz w:val="22"/>
          <w:szCs w:val="22"/>
          <w:lang w:val="sk-SK"/>
        </w:rPr>
        <w:t xml:space="preserve"> </w:t>
      </w:r>
      <w:r w:rsidRPr="00534FB2">
        <w:rPr>
          <w:sz w:val="22"/>
          <w:szCs w:val="22"/>
          <w:lang w:val="sk-SK"/>
        </w:rPr>
        <w:t xml:space="preserve">až stredne </w:t>
      </w:r>
      <w:r w:rsidR="003A1D7F" w:rsidRPr="00534FB2">
        <w:rPr>
          <w:sz w:val="22"/>
          <w:szCs w:val="22"/>
          <w:lang w:val="sk-SK"/>
        </w:rPr>
        <w:t>ťažk</w:t>
      </w:r>
      <w:r w:rsidR="003A1D7F">
        <w:rPr>
          <w:sz w:val="22"/>
          <w:szCs w:val="22"/>
          <w:lang w:val="sk-SK"/>
        </w:rPr>
        <w:t>ou</w:t>
      </w:r>
      <w:r w:rsidR="003A1D7F" w:rsidRPr="00534FB2">
        <w:rPr>
          <w:sz w:val="22"/>
          <w:szCs w:val="22"/>
          <w:lang w:val="sk-SK"/>
        </w:rPr>
        <w:t xml:space="preserve"> </w:t>
      </w:r>
      <w:r w:rsidR="003A1D7F">
        <w:rPr>
          <w:sz w:val="22"/>
          <w:szCs w:val="22"/>
          <w:lang w:val="sk-SK"/>
        </w:rPr>
        <w:t>poruchou</w:t>
      </w:r>
      <w:r w:rsidR="003A1D7F" w:rsidRPr="00534FB2">
        <w:rPr>
          <w:sz w:val="22"/>
          <w:szCs w:val="22"/>
          <w:lang w:val="sk-SK"/>
        </w:rPr>
        <w:t xml:space="preserve"> </w:t>
      </w:r>
      <w:r w:rsidRPr="00534FB2">
        <w:rPr>
          <w:sz w:val="22"/>
          <w:szCs w:val="22"/>
          <w:lang w:val="sk-SK"/>
        </w:rPr>
        <w:t>funkcie obličiek (GFR ≥30 ml/min/1,73 m</w:t>
      </w:r>
      <w:r w:rsidRPr="00534FB2">
        <w:rPr>
          <w:sz w:val="22"/>
          <w:szCs w:val="22"/>
          <w:vertAlign w:val="superscript"/>
          <w:lang w:val="sk-SK"/>
        </w:rPr>
        <w:t>2</w:t>
      </w:r>
      <w:r w:rsidRPr="00534FB2">
        <w:rPr>
          <w:sz w:val="22"/>
          <w:szCs w:val="22"/>
          <w:lang w:val="sk-SK"/>
        </w:rPr>
        <w:t>) nie je potrebná úprava dávky Exforge HCT.</w:t>
      </w:r>
    </w:p>
    <w:p w14:paraId="2B4DD247" w14:textId="77777777" w:rsidR="00AB3316" w:rsidRPr="00534FB2" w:rsidRDefault="00AB3316" w:rsidP="002B7E35">
      <w:pPr>
        <w:rPr>
          <w:sz w:val="22"/>
          <w:szCs w:val="22"/>
          <w:lang w:val="sk-SK"/>
        </w:rPr>
      </w:pPr>
    </w:p>
    <w:p w14:paraId="6388C1C9" w14:textId="4DD90182" w:rsidR="000C7678" w:rsidRPr="00534FB2" w:rsidRDefault="001958A3" w:rsidP="002B7E35">
      <w:pPr>
        <w:rPr>
          <w:sz w:val="22"/>
          <w:szCs w:val="22"/>
          <w:u w:val="single"/>
          <w:lang w:val="sk-SK"/>
        </w:rPr>
      </w:pPr>
      <w:r w:rsidRPr="00534FB2">
        <w:rPr>
          <w:sz w:val="22"/>
          <w:szCs w:val="22"/>
          <w:u w:val="single"/>
          <w:lang w:val="sk-SK"/>
        </w:rPr>
        <w:t>Stenóza renálnej artérie</w:t>
      </w:r>
    </w:p>
    <w:p w14:paraId="107F2D9D" w14:textId="154B7FE4" w:rsidR="000C7678" w:rsidRPr="00534FB2" w:rsidRDefault="006C632F" w:rsidP="002B7E35">
      <w:pPr>
        <w:rPr>
          <w:sz w:val="22"/>
          <w:szCs w:val="22"/>
          <w:lang w:val="sk-SK"/>
        </w:rPr>
      </w:pPr>
      <w:r w:rsidRPr="00534FB2">
        <w:rPr>
          <w:sz w:val="22"/>
          <w:szCs w:val="22"/>
          <w:lang w:val="sk-SK"/>
        </w:rPr>
        <w:t xml:space="preserve">Asbima HCT sa má používať s opatrnosťou na liečbu hypertenzie u pacientov s unilaterálnou alebo bilaterálnou stenózou renálnej artérie alebo stenózou artérie pri solitérnej obličke, pretože u takýchto pacientov sa môže zvýšiť </w:t>
      </w:r>
      <w:r w:rsidR="00840DF4">
        <w:rPr>
          <w:sz w:val="22"/>
          <w:szCs w:val="22"/>
          <w:lang w:val="sk-SK"/>
        </w:rPr>
        <w:t xml:space="preserve">hladina </w:t>
      </w:r>
      <w:r w:rsidRPr="00534FB2">
        <w:rPr>
          <w:sz w:val="22"/>
          <w:szCs w:val="22"/>
          <w:lang w:val="sk-SK"/>
        </w:rPr>
        <w:t>močovin</w:t>
      </w:r>
      <w:r w:rsidR="00840DF4">
        <w:rPr>
          <w:sz w:val="22"/>
          <w:szCs w:val="22"/>
          <w:lang w:val="sk-SK"/>
        </w:rPr>
        <w:t>y</w:t>
      </w:r>
      <w:r w:rsidRPr="00534FB2">
        <w:rPr>
          <w:sz w:val="22"/>
          <w:szCs w:val="22"/>
          <w:lang w:val="sk-SK"/>
        </w:rPr>
        <w:t xml:space="preserve"> v krvi a kreatinín</w:t>
      </w:r>
      <w:r w:rsidR="00840DF4">
        <w:rPr>
          <w:sz w:val="22"/>
          <w:szCs w:val="22"/>
          <w:lang w:val="sk-SK"/>
        </w:rPr>
        <w:t>u</w:t>
      </w:r>
      <w:r w:rsidRPr="00534FB2">
        <w:rPr>
          <w:sz w:val="22"/>
          <w:szCs w:val="22"/>
          <w:lang w:val="sk-SK"/>
        </w:rPr>
        <w:t xml:space="preserve"> v sére.</w:t>
      </w:r>
    </w:p>
    <w:p w14:paraId="7A05A198" w14:textId="77777777" w:rsidR="00AB3316" w:rsidRPr="00534FB2" w:rsidRDefault="00AB3316" w:rsidP="002B7E35">
      <w:pPr>
        <w:rPr>
          <w:sz w:val="22"/>
          <w:szCs w:val="22"/>
          <w:lang w:val="sk-SK"/>
        </w:rPr>
      </w:pPr>
    </w:p>
    <w:p w14:paraId="451541F3" w14:textId="5D388DFA" w:rsidR="000C7678" w:rsidRPr="00534FB2" w:rsidRDefault="006C632F" w:rsidP="002B7E35">
      <w:pPr>
        <w:rPr>
          <w:sz w:val="22"/>
          <w:szCs w:val="22"/>
          <w:u w:val="single"/>
          <w:lang w:val="sk-SK"/>
        </w:rPr>
      </w:pPr>
      <w:r w:rsidRPr="00534FB2">
        <w:rPr>
          <w:sz w:val="22"/>
          <w:szCs w:val="22"/>
          <w:u w:val="single"/>
          <w:lang w:val="sk-SK"/>
        </w:rPr>
        <w:t>Transplantácia obličky</w:t>
      </w:r>
    </w:p>
    <w:p w14:paraId="5B8FD953" w14:textId="26CC371F" w:rsidR="000C7678" w:rsidRPr="00534FB2" w:rsidRDefault="006C632F" w:rsidP="002B7E35">
      <w:pPr>
        <w:rPr>
          <w:sz w:val="22"/>
          <w:szCs w:val="22"/>
          <w:lang w:val="sk-SK"/>
        </w:rPr>
      </w:pPr>
      <w:r w:rsidRPr="00534FB2">
        <w:rPr>
          <w:sz w:val="22"/>
          <w:szCs w:val="22"/>
          <w:lang w:val="sk-SK"/>
        </w:rPr>
        <w:t>Zatiaľ nie sú skúsenosti s bezpečným použitím amlodipínu/valsartanu/hydrochl</w:t>
      </w:r>
      <w:r w:rsidR="002C71F1">
        <w:rPr>
          <w:sz w:val="22"/>
          <w:szCs w:val="22"/>
          <w:lang w:val="sk-SK"/>
        </w:rPr>
        <w:t>ó</w:t>
      </w:r>
      <w:r w:rsidRPr="00534FB2">
        <w:rPr>
          <w:sz w:val="22"/>
          <w:szCs w:val="22"/>
          <w:lang w:val="sk-SK"/>
        </w:rPr>
        <w:t>rtiazidu u pacientov, ktorí sa nedávno podrobili transplantácii obličky.</w:t>
      </w:r>
    </w:p>
    <w:p w14:paraId="38911B05" w14:textId="77777777" w:rsidR="00AB3316" w:rsidRPr="00534FB2" w:rsidRDefault="00AB3316" w:rsidP="00134CBE">
      <w:pPr>
        <w:rPr>
          <w:sz w:val="22"/>
          <w:szCs w:val="22"/>
          <w:lang w:val="sk-SK"/>
        </w:rPr>
      </w:pPr>
    </w:p>
    <w:p w14:paraId="31C66ECD" w14:textId="036B6473" w:rsidR="000C7678" w:rsidRPr="00534FB2" w:rsidRDefault="003A1D7F" w:rsidP="00134CBE">
      <w:pPr>
        <w:rPr>
          <w:sz w:val="22"/>
          <w:szCs w:val="22"/>
          <w:u w:val="single"/>
          <w:lang w:val="sk-SK"/>
        </w:rPr>
      </w:pPr>
      <w:r>
        <w:rPr>
          <w:sz w:val="22"/>
          <w:szCs w:val="22"/>
          <w:u w:val="single"/>
          <w:lang w:val="sk-SK"/>
        </w:rPr>
        <w:t>Porucha</w:t>
      </w:r>
      <w:r w:rsidRPr="00534FB2">
        <w:rPr>
          <w:sz w:val="22"/>
          <w:szCs w:val="22"/>
          <w:u w:val="single"/>
          <w:lang w:val="sk-SK"/>
        </w:rPr>
        <w:t xml:space="preserve"> </w:t>
      </w:r>
      <w:r w:rsidR="006C632F" w:rsidRPr="00534FB2">
        <w:rPr>
          <w:sz w:val="22"/>
          <w:szCs w:val="22"/>
          <w:u w:val="single"/>
          <w:lang w:val="sk-SK"/>
        </w:rPr>
        <w:t>funkcie pečene</w:t>
      </w:r>
    </w:p>
    <w:p w14:paraId="24957C1A" w14:textId="00F26383" w:rsidR="000C7678" w:rsidRPr="00534FB2" w:rsidRDefault="006C632F" w:rsidP="006C632F">
      <w:pPr>
        <w:rPr>
          <w:sz w:val="22"/>
          <w:szCs w:val="22"/>
          <w:lang w:val="sk-SK"/>
        </w:rPr>
      </w:pPr>
      <w:r w:rsidRPr="00534FB2">
        <w:rPr>
          <w:sz w:val="22"/>
          <w:szCs w:val="22"/>
          <w:lang w:val="sk-SK"/>
        </w:rPr>
        <w:t xml:space="preserve">Valsartan sa eliminuje prevažne nezmenený žlčou. Biologický polčas amlodipínu je u pacientov s poruchou funkcie pečene predĺžený a hodnoty AUC sú vyššie; odporúčania pre dávku neboli </w:t>
      </w:r>
      <w:r w:rsidRPr="00534FB2">
        <w:rPr>
          <w:sz w:val="22"/>
          <w:szCs w:val="22"/>
          <w:lang w:val="sk-SK"/>
        </w:rPr>
        <w:lastRenderedPageBreak/>
        <w:t xml:space="preserve">stanovené. U pacientov s </w:t>
      </w:r>
      <w:r w:rsidR="003A1D7F" w:rsidRPr="00534FB2">
        <w:rPr>
          <w:sz w:val="22"/>
          <w:szCs w:val="22"/>
          <w:lang w:val="sk-SK"/>
        </w:rPr>
        <w:t>ľahk</w:t>
      </w:r>
      <w:r w:rsidR="003A1D7F">
        <w:rPr>
          <w:sz w:val="22"/>
          <w:szCs w:val="22"/>
          <w:lang w:val="sk-SK"/>
        </w:rPr>
        <w:t>ou</w:t>
      </w:r>
      <w:r w:rsidR="003A1D7F" w:rsidRPr="00534FB2">
        <w:rPr>
          <w:sz w:val="22"/>
          <w:szCs w:val="22"/>
          <w:lang w:val="sk-SK"/>
        </w:rPr>
        <w:t xml:space="preserve"> </w:t>
      </w:r>
      <w:r w:rsidRPr="00534FB2">
        <w:rPr>
          <w:sz w:val="22"/>
          <w:szCs w:val="22"/>
          <w:lang w:val="sk-SK"/>
        </w:rPr>
        <w:t xml:space="preserve">až stredne </w:t>
      </w:r>
      <w:r w:rsidR="003A1D7F" w:rsidRPr="00534FB2">
        <w:rPr>
          <w:sz w:val="22"/>
          <w:szCs w:val="22"/>
          <w:lang w:val="sk-SK"/>
        </w:rPr>
        <w:t>ťažk</w:t>
      </w:r>
      <w:r w:rsidR="003A1D7F">
        <w:rPr>
          <w:sz w:val="22"/>
          <w:szCs w:val="22"/>
          <w:lang w:val="sk-SK"/>
        </w:rPr>
        <w:t>ou</w:t>
      </w:r>
      <w:r w:rsidR="003A1D7F" w:rsidRPr="00534FB2">
        <w:rPr>
          <w:sz w:val="22"/>
          <w:szCs w:val="22"/>
          <w:lang w:val="sk-SK"/>
        </w:rPr>
        <w:t xml:space="preserve"> po</w:t>
      </w:r>
      <w:r w:rsidR="003A1D7F">
        <w:rPr>
          <w:sz w:val="22"/>
          <w:szCs w:val="22"/>
          <w:lang w:val="sk-SK"/>
        </w:rPr>
        <w:t>ruchou</w:t>
      </w:r>
      <w:r w:rsidR="003A1D7F" w:rsidRPr="00534FB2">
        <w:rPr>
          <w:sz w:val="22"/>
          <w:szCs w:val="22"/>
          <w:lang w:val="sk-SK"/>
        </w:rPr>
        <w:t xml:space="preserve"> </w:t>
      </w:r>
      <w:r w:rsidRPr="00534FB2">
        <w:rPr>
          <w:sz w:val="22"/>
          <w:szCs w:val="22"/>
          <w:lang w:val="sk-SK"/>
        </w:rPr>
        <w:t>funkcie pečene bez cholestázy je maximálna odporúčaná dávka valsartanu 80 mg, preto Asbima HCT nie je vhodná pre túto skupinu pacientov (pozri časti 4.2, 4.3 a 5.2).</w:t>
      </w:r>
    </w:p>
    <w:p w14:paraId="15C6ABD1" w14:textId="77777777" w:rsidR="000C7678" w:rsidRPr="00534FB2" w:rsidRDefault="000C7678" w:rsidP="00134CBE">
      <w:pPr>
        <w:rPr>
          <w:sz w:val="22"/>
          <w:szCs w:val="22"/>
          <w:lang w:val="sk-SK"/>
        </w:rPr>
      </w:pPr>
    </w:p>
    <w:p w14:paraId="01BA3783" w14:textId="7B9F39C5" w:rsidR="000C7678" w:rsidRPr="00534FB2" w:rsidRDefault="006C632F" w:rsidP="00134CBE">
      <w:pPr>
        <w:keepNext/>
        <w:rPr>
          <w:sz w:val="22"/>
          <w:szCs w:val="22"/>
          <w:u w:val="single"/>
          <w:lang w:val="sk-SK"/>
        </w:rPr>
      </w:pPr>
      <w:r w:rsidRPr="00534FB2">
        <w:rPr>
          <w:sz w:val="22"/>
          <w:szCs w:val="22"/>
          <w:u w:val="single"/>
          <w:lang w:val="sk-SK"/>
        </w:rPr>
        <w:t>Angioedém</w:t>
      </w:r>
    </w:p>
    <w:p w14:paraId="5FF0541C" w14:textId="6DE0525B" w:rsidR="000C7678" w:rsidRPr="00534FB2" w:rsidRDefault="006C632F" w:rsidP="006C632F">
      <w:pPr>
        <w:rPr>
          <w:sz w:val="22"/>
          <w:szCs w:val="22"/>
          <w:lang w:val="sk-SK"/>
        </w:rPr>
      </w:pPr>
      <w:r w:rsidRPr="00534FB2">
        <w:rPr>
          <w:sz w:val="22"/>
          <w:szCs w:val="22"/>
          <w:lang w:val="sk-SK"/>
        </w:rPr>
        <w:t>U pacientov liečených valsartanom bol hlásený angioedém, vrátane opuchu hrtana a hlasiv</w:t>
      </w:r>
      <w:r w:rsidR="00DF102C">
        <w:rPr>
          <w:sz w:val="22"/>
          <w:szCs w:val="22"/>
          <w:lang w:val="sk-SK"/>
        </w:rPr>
        <w:t>iek</w:t>
      </w:r>
      <w:r w:rsidRPr="00534FB2">
        <w:rPr>
          <w:sz w:val="22"/>
          <w:szCs w:val="22"/>
          <w:lang w:val="sk-SK"/>
        </w:rPr>
        <w:t>, ktorý spôsobil obštrukciu dýchacích ciest a/alebo opuch tváre, pier, hltana a/alebo jazyka. U niektorých z týchto pacientov sa v minulosti vyskytol angioedém pri užití iných liečiv, vrátane inhibítorov ACE. Asbima HCT sa má okamžite vysadiť a nemá sa znova podať pacientom, u ktorých vznikne angioedém.</w:t>
      </w:r>
    </w:p>
    <w:p w14:paraId="21D7A6DE" w14:textId="77777777" w:rsidR="00AB3316" w:rsidRPr="00534FB2" w:rsidRDefault="00AB3316" w:rsidP="00134CBE">
      <w:pPr>
        <w:rPr>
          <w:sz w:val="22"/>
          <w:szCs w:val="22"/>
        </w:rPr>
      </w:pPr>
    </w:p>
    <w:p w14:paraId="69296451" w14:textId="0A9FFDBF" w:rsidR="000C7678" w:rsidRPr="00534FB2" w:rsidRDefault="006C632F" w:rsidP="00134CBE">
      <w:pPr>
        <w:rPr>
          <w:sz w:val="22"/>
          <w:szCs w:val="22"/>
          <w:u w:val="single"/>
          <w:lang w:val="sk-SK"/>
        </w:rPr>
      </w:pPr>
      <w:r w:rsidRPr="00534FB2">
        <w:rPr>
          <w:sz w:val="22"/>
          <w:szCs w:val="22"/>
          <w:u w:val="single"/>
          <w:lang w:val="sk-SK"/>
        </w:rPr>
        <w:t>Zlyhávanie srdca a ischemická choroba srdca/stav po infarkte myokardu</w:t>
      </w:r>
    </w:p>
    <w:p w14:paraId="73FA772D" w14:textId="09B24AF4" w:rsidR="000C7678" w:rsidRPr="00534FB2" w:rsidRDefault="00565A10" w:rsidP="00565A10">
      <w:pPr>
        <w:rPr>
          <w:sz w:val="22"/>
          <w:szCs w:val="22"/>
          <w:lang w:val="sk-SK"/>
        </w:rPr>
      </w:pPr>
      <w:r w:rsidRPr="00534FB2">
        <w:rPr>
          <w:sz w:val="22"/>
          <w:szCs w:val="22"/>
          <w:lang w:val="sk-SK"/>
        </w:rPr>
        <w:t>U citlivých osôb možno v dôsledku inhibície systému renín-angiotenzín-aldosterón predpokladať zmeny funkcie obličiek. U pacientov s ťažkým zlyhávaním srdca, u ktorých funkcia obličiek môže závisieť od aktivity systému renín-angiotenzín-aldosterón, sa liečba inhibítormi ACE a antagonistami receptorov angiotenzínu spájala s oligúriou a/alebo progredujúcou azotémiou a (zriedka) s akútnym zlyhaním obličiek a/alebo úmrtím. Podobné následky boli hlásené pri valsartane. Pri hodnotení stavu pacientov so zlyhávaním srdca alebo po infarkte myokardu sa má vždy vyšetriť funkcia obličiek.</w:t>
      </w:r>
    </w:p>
    <w:p w14:paraId="6ABAEDEF" w14:textId="77777777" w:rsidR="00AB3316" w:rsidRPr="00534FB2" w:rsidRDefault="00AB3316" w:rsidP="00134CBE">
      <w:pPr>
        <w:rPr>
          <w:sz w:val="22"/>
          <w:szCs w:val="22"/>
          <w:lang w:val="sk-SK"/>
        </w:rPr>
      </w:pPr>
    </w:p>
    <w:p w14:paraId="59707887" w14:textId="75EB933B" w:rsidR="00AB3316" w:rsidRPr="00534FB2" w:rsidRDefault="00565A10" w:rsidP="00565A10">
      <w:pPr>
        <w:rPr>
          <w:sz w:val="22"/>
          <w:szCs w:val="22"/>
          <w:lang w:val="sk-SK"/>
        </w:rPr>
      </w:pPr>
      <w:r w:rsidRPr="00534FB2">
        <w:rPr>
          <w:sz w:val="22"/>
          <w:szCs w:val="22"/>
          <w:lang w:val="sk-SK"/>
        </w:rPr>
        <w:t>V dlhodobom placebom kontrolovanom klinickom skúšaní (PRAISE-2) amlodipínu u pacientov so zlyhávaním srdca triedy III a IV podľa NYHA (New York Heart Association Classification) neischemickej etiológie sa amlodipín spájal so zvýšeným počtom hlásení pľúcneho edému napriek tomu, že v porovnaní s placebom nebol významný rozdiel v incidencii zhoršenia zlyhávania srdca.</w:t>
      </w:r>
    </w:p>
    <w:p w14:paraId="2A1F5F9E" w14:textId="27F700E0" w:rsidR="00AB3316" w:rsidRPr="00534FB2" w:rsidRDefault="00565A10" w:rsidP="00565A10">
      <w:pPr>
        <w:rPr>
          <w:sz w:val="22"/>
          <w:szCs w:val="22"/>
          <w:lang w:val="sk-SK"/>
        </w:rPr>
      </w:pPr>
      <w:r w:rsidRPr="00534FB2">
        <w:rPr>
          <w:sz w:val="22"/>
          <w:szCs w:val="22"/>
          <w:lang w:val="sk-SK"/>
        </w:rPr>
        <w:t>Blokátory kalciových kanálov, vrátane amlodipínu, sa majú používať s opatrnosťou u pacientov s kongestívnym srdcovým zlyhávaním, keďže môžu zvyšovať riziko kardiovaskulárnych príhod a mortality v budúcnosti. Opatrnosť je potrebná u pacientov so srdcovým zlyhávaním a ischemickou chorobou srdca, zvlášť pri maximálnej dávke Asbimy HCT, 10 mg/320 mg/25 mg, pretože dostupné údaje u tejto populácie pacientov sú obmedzené.</w:t>
      </w:r>
    </w:p>
    <w:p w14:paraId="7C85F807" w14:textId="77777777" w:rsidR="00565A10" w:rsidRPr="00534FB2" w:rsidRDefault="00565A10" w:rsidP="00565A10">
      <w:pPr>
        <w:rPr>
          <w:sz w:val="22"/>
          <w:szCs w:val="22"/>
          <w:lang w:val="sk-SK"/>
        </w:rPr>
      </w:pPr>
    </w:p>
    <w:p w14:paraId="10A4060B" w14:textId="418D8173" w:rsidR="000C7678" w:rsidRPr="00534FB2" w:rsidRDefault="00565A10" w:rsidP="00134CBE">
      <w:pPr>
        <w:rPr>
          <w:sz w:val="22"/>
          <w:szCs w:val="22"/>
          <w:u w:val="single"/>
          <w:lang w:val="sk-SK"/>
        </w:rPr>
      </w:pPr>
      <w:r w:rsidRPr="00534FB2">
        <w:rPr>
          <w:sz w:val="22"/>
          <w:szCs w:val="22"/>
          <w:u w:val="single"/>
          <w:lang w:val="sk-SK"/>
        </w:rPr>
        <w:t>Stenóza aortálnej a mitrálnej chlopne</w:t>
      </w:r>
    </w:p>
    <w:p w14:paraId="374B75E4" w14:textId="5AA218D9" w:rsidR="00AB3316" w:rsidRPr="00534FB2" w:rsidRDefault="00565A10" w:rsidP="00565A10">
      <w:pPr>
        <w:rPr>
          <w:sz w:val="22"/>
          <w:szCs w:val="22"/>
          <w:lang w:val="sk-SK"/>
        </w:rPr>
      </w:pPr>
      <w:r w:rsidRPr="00534FB2">
        <w:rPr>
          <w:sz w:val="22"/>
          <w:szCs w:val="22"/>
          <w:lang w:val="sk-SK"/>
        </w:rPr>
        <w:t>Tak ako pri všetkých ostatných vazodilatanciách, osobitná opatrnosť sa vyžaduje u pacientov s mitrálnou stenózou alebo významnou aortálnou stenózou, ktorá nie je závažná.</w:t>
      </w:r>
    </w:p>
    <w:p w14:paraId="41D1CD63" w14:textId="77777777" w:rsidR="00565A10" w:rsidRPr="00534FB2" w:rsidRDefault="00565A10" w:rsidP="00565A10">
      <w:pPr>
        <w:rPr>
          <w:sz w:val="22"/>
          <w:szCs w:val="22"/>
          <w:lang w:val="sk-SK"/>
        </w:rPr>
      </w:pPr>
    </w:p>
    <w:p w14:paraId="64F68B82" w14:textId="7CF2D4CB" w:rsidR="000C7678" w:rsidRPr="00534FB2" w:rsidRDefault="00565A10" w:rsidP="00134CBE">
      <w:pPr>
        <w:rPr>
          <w:sz w:val="22"/>
          <w:szCs w:val="22"/>
          <w:u w:val="single"/>
          <w:lang w:val="sk-SK"/>
        </w:rPr>
      </w:pPr>
      <w:r w:rsidRPr="00534FB2">
        <w:rPr>
          <w:sz w:val="22"/>
          <w:szCs w:val="22"/>
          <w:u w:val="single"/>
          <w:lang w:val="sk-SK"/>
        </w:rPr>
        <w:t>Gravidita</w:t>
      </w:r>
    </w:p>
    <w:p w14:paraId="6152F8B4" w14:textId="6DC30CFD" w:rsidR="000C7678" w:rsidRPr="00534FB2" w:rsidRDefault="00DA761F" w:rsidP="00DA761F">
      <w:pPr>
        <w:rPr>
          <w:sz w:val="22"/>
          <w:szCs w:val="22"/>
          <w:lang w:val="sk-SK"/>
        </w:rPr>
      </w:pPr>
      <w:r w:rsidRPr="00534FB2">
        <w:rPr>
          <w:sz w:val="22"/>
          <w:szCs w:val="22"/>
          <w:lang w:val="sk-SK"/>
        </w:rPr>
        <w:t>Liečba antagonistami receptorov angiotenzínu II (AIIRA) sa nemá začať počas gravidity. Ak sa nepretržitá liečba AIIRA nepovažuje za nevyhnutnú, pacientky plánujúce graviditu je potrebné previesť na alternatívnu antihypertenzívnu liečbu, ktorá má potvrdený bezpečnostný profil pri použití počas gravidity. Keď sa potvrdí gravidita, liečba AIIRA sa má okamžite ukončiť a ak je to potrebné, má sa začať alternatívna liečba (pozri časti 4.3 a 4.6).</w:t>
      </w:r>
    </w:p>
    <w:p w14:paraId="471C029B" w14:textId="77777777" w:rsidR="00AB3316" w:rsidRPr="00534FB2" w:rsidRDefault="00AB3316" w:rsidP="00134CBE">
      <w:pPr>
        <w:rPr>
          <w:sz w:val="22"/>
          <w:szCs w:val="22"/>
          <w:lang w:val="sk-SK"/>
        </w:rPr>
      </w:pPr>
    </w:p>
    <w:p w14:paraId="189CDFC2" w14:textId="2CB2F20E" w:rsidR="000C7678" w:rsidRPr="00534FB2" w:rsidRDefault="00DA761F" w:rsidP="00134CBE">
      <w:pPr>
        <w:rPr>
          <w:sz w:val="22"/>
          <w:szCs w:val="22"/>
          <w:u w:val="single"/>
          <w:lang w:val="sk-SK"/>
        </w:rPr>
      </w:pPr>
      <w:r w:rsidRPr="00534FB2">
        <w:rPr>
          <w:sz w:val="22"/>
          <w:szCs w:val="22"/>
          <w:u w:val="single"/>
          <w:lang w:val="sk-SK"/>
        </w:rPr>
        <w:t>Primárny hyperaldosteronizmus</w:t>
      </w:r>
    </w:p>
    <w:p w14:paraId="3421AB04" w14:textId="67470781" w:rsidR="00AB3316" w:rsidRPr="00534FB2" w:rsidRDefault="00DA761F" w:rsidP="00DA761F">
      <w:pPr>
        <w:rPr>
          <w:sz w:val="22"/>
          <w:szCs w:val="22"/>
          <w:lang w:val="sk-SK"/>
        </w:rPr>
      </w:pPr>
      <w:r w:rsidRPr="00534FB2">
        <w:rPr>
          <w:sz w:val="22"/>
          <w:szCs w:val="22"/>
          <w:lang w:val="sk-SK"/>
        </w:rPr>
        <w:t>Pacienti s primárnym hyperaldosteronizmom nemajú byť liečení antagonistom angiotenzínu II valsartanom, pretože ich systém renín-angiotenzín nie je aktivovaný. Preto sa Asbima HCT u tejto populácie neodporúča.</w:t>
      </w:r>
    </w:p>
    <w:p w14:paraId="7B2C7D1E" w14:textId="77777777" w:rsidR="00DA761F" w:rsidRPr="00534FB2" w:rsidRDefault="00DA761F" w:rsidP="00DA761F">
      <w:pPr>
        <w:rPr>
          <w:sz w:val="22"/>
          <w:szCs w:val="22"/>
          <w:lang w:val="sk-SK"/>
        </w:rPr>
      </w:pPr>
    </w:p>
    <w:p w14:paraId="0AAA91FF" w14:textId="3CD86524" w:rsidR="000C7678" w:rsidRPr="00534FB2" w:rsidRDefault="00DA761F" w:rsidP="00134CBE">
      <w:pPr>
        <w:rPr>
          <w:sz w:val="22"/>
          <w:szCs w:val="22"/>
          <w:u w:val="single"/>
          <w:lang w:val="sk-SK"/>
        </w:rPr>
      </w:pPr>
      <w:r w:rsidRPr="00534FB2">
        <w:rPr>
          <w:sz w:val="22"/>
          <w:szCs w:val="22"/>
          <w:u w:val="single"/>
          <w:lang w:val="sk-SK"/>
        </w:rPr>
        <w:t>Systémový lupus erythematosus</w:t>
      </w:r>
    </w:p>
    <w:p w14:paraId="079E2134" w14:textId="77E29D93" w:rsidR="00AB3316" w:rsidRPr="00534FB2" w:rsidRDefault="00DA761F" w:rsidP="00DA761F">
      <w:pPr>
        <w:rPr>
          <w:sz w:val="22"/>
          <w:szCs w:val="22"/>
          <w:lang w:val="sk-SK"/>
        </w:rPr>
      </w:pPr>
      <w:r w:rsidRPr="00534FB2">
        <w:rPr>
          <w:sz w:val="22"/>
          <w:szCs w:val="22"/>
          <w:lang w:val="sk-SK"/>
        </w:rPr>
        <w:t>Tiazidové diuretiká vrátane hydrochl</w:t>
      </w:r>
      <w:r w:rsidR="002C71F1">
        <w:rPr>
          <w:sz w:val="22"/>
          <w:szCs w:val="22"/>
          <w:lang w:val="sk-SK"/>
        </w:rPr>
        <w:t>ó</w:t>
      </w:r>
      <w:r w:rsidRPr="00534FB2">
        <w:rPr>
          <w:sz w:val="22"/>
          <w:szCs w:val="22"/>
          <w:lang w:val="sk-SK"/>
        </w:rPr>
        <w:t>rtiazidu spôsobujú podľa hlásení exacerbáciu alebo aktiváciu systémového lupus erythematosus.</w:t>
      </w:r>
    </w:p>
    <w:p w14:paraId="07013C77" w14:textId="77777777" w:rsidR="00DA761F" w:rsidRPr="00534FB2" w:rsidRDefault="00DA761F" w:rsidP="00DA761F">
      <w:pPr>
        <w:rPr>
          <w:sz w:val="22"/>
          <w:szCs w:val="22"/>
          <w:lang w:val="sk-SK"/>
        </w:rPr>
      </w:pPr>
    </w:p>
    <w:p w14:paraId="586C6E41" w14:textId="0B89725F" w:rsidR="000C7678" w:rsidRPr="00534FB2" w:rsidRDefault="00DA761F" w:rsidP="00134CBE">
      <w:pPr>
        <w:rPr>
          <w:sz w:val="22"/>
          <w:szCs w:val="22"/>
          <w:u w:val="single"/>
          <w:lang w:val="sk-SK"/>
        </w:rPr>
      </w:pPr>
      <w:r w:rsidRPr="00534FB2">
        <w:rPr>
          <w:sz w:val="22"/>
          <w:szCs w:val="22"/>
          <w:u w:val="single"/>
          <w:lang w:val="sk-SK"/>
        </w:rPr>
        <w:t>Iné metabolické poruchy</w:t>
      </w:r>
    </w:p>
    <w:p w14:paraId="59156CD0" w14:textId="0FE8CFDB" w:rsidR="00AB3316" w:rsidRPr="00534FB2" w:rsidRDefault="00224416" w:rsidP="00224416">
      <w:pPr>
        <w:rPr>
          <w:sz w:val="22"/>
          <w:szCs w:val="22"/>
          <w:lang w:val="sk-SK"/>
        </w:rPr>
      </w:pPr>
      <w:r w:rsidRPr="00534FB2">
        <w:rPr>
          <w:sz w:val="22"/>
          <w:szCs w:val="22"/>
          <w:lang w:val="sk-SK"/>
        </w:rPr>
        <w:t>Tiazidové diuretiká vrátane hydrochl</w:t>
      </w:r>
      <w:r w:rsidR="002C71F1">
        <w:rPr>
          <w:sz w:val="22"/>
          <w:szCs w:val="22"/>
          <w:lang w:val="sk-SK"/>
        </w:rPr>
        <w:t>ó</w:t>
      </w:r>
      <w:r w:rsidRPr="00534FB2">
        <w:rPr>
          <w:sz w:val="22"/>
          <w:szCs w:val="22"/>
          <w:lang w:val="sk-SK"/>
        </w:rPr>
        <w:t>rtiazidu môžu zmeniť glukózovú toleranciu a zvýšiť hladiny cholesterolu, triacylglycerolov a kyseliny močovej v sére. U pacientov s diabet</w:t>
      </w:r>
      <w:r w:rsidR="00DF102C">
        <w:rPr>
          <w:sz w:val="22"/>
          <w:szCs w:val="22"/>
          <w:lang w:val="sk-SK"/>
        </w:rPr>
        <w:t>om</w:t>
      </w:r>
      <w:r w:rsidRPr="00534FB2">
        <w:rPr>
          <w:sz w:val="22"/>
          <w:szCs w:val="22"/>
          <w:lang w:val="sk-SK"/>
        </w:rPr>
        <w:t xml:space="preserve"> môže byť potrebné upraviť dávkovanie inzulínu alebo perorálnych antidiabetík.</w:t>
      </w:r>
    </w:p>
    <w:p w14:paraId="0A3D915D" w14:textId="77777777" w:rsidR="00224416" w:rsidRPr="00534FB2" w:rsidRDefault="00224416" w:rsidP="00224416">
      <w:pPr>
        <w:rPr>
          <w:sz w:val="22"/>
          <w:szCs w:val="22"/>
          <w:lang w:val="sk-SK"/>
        </w:rPr>
      </w:pPr>
    </w:p>
    <w:p w14:paraId="7952AC4C" w14:textId="0B914758" w:rsidR="00480405" w:rsidRPr="00534FB2" w:rsidRDefault="00480405" w:rsidP="00480405">
      <w:pPr>
        <w:rPr>
          <w:sz w:val="22"/>
          <w:szCs w:val="22"/>
          <w:lang w:val="sk-SK"/>
        </w:rPr>
      </w:pPr>
      <w:r w:rsidRPr="00534FB2">
        <w:rPr>
          <w:sz w:val="22"/>
          <w:szCs w:val="22"/>
          <w:lang w:val="sk-SK"/>
        </w:rPr>
        <w:t>Pre hydrochl</w:t>
      </w:r>
      <w:r w:rsidR="000514B9">
        <w:rPr>
          <w:sz w:val="22"/>
          <w:szCs w:val="22"/>
          <w:lang w:val="sk-SK"/>
        </w:rPr>
        <w:t>ó</w:t>
      </w:r>
      <w:r w:rsidRPr="00534FB2">
        <w:rPr>
          <w:sz w:val="22"/>
          <w:szCs w:val="22"/>
          <w:lang w:val="sk-SK"/>
        </w:rPr>
        <w:t>rtiazidovú zložku je Asbima HCT kontraindikovaná pri symptomatickej</w:t>
      </w:r>
    </w:p>
    <w:p w14:paraId="59549EDD" w14:textId="18A234E2" w:rsidR="005337B7" w:rsidRPr="00534FB2" w:rsidRDefault="00480405" w:rsidP="00480405">
      <w:pPr>
        <w:rPr>
          <w:sz w:val="22"/>
          <w:szCs w:val="22"/>
          <w:lang w:val="sk-SK"/>
        </w:rPr>
      </w:pPr>
      <w:r w:rsidRPr="00534FB2">
        <w:rPr>
          <w:sz w:val="22"/>
          <w:szCs w:val="22"/>
          <w:lang w:val="sk-SK"/>
        </w:rPr>
        <w:lastRenderedPageBreak/>
        <w:t>hyperurikémii. Hydrochl</w:t>
      </w:r>
      <w:r w:rsidR="00C86DEB">
        <w:rPr>
          <w:sz w:val="22"/>
          <w:szCs w:val="22"/>
          <w:lang w:val="sk-SK"/>
        </w:rPr>
        <w:t>ó</w:t>
      </w:r>
      <w:r w:rsidRPr="00534FB2">
        <w:rPr>
          <w:sz w:val="22"/>
          <w:szCs w:val="22"/>
          <w:lang w:val="sk-SK"/>
        </w:rPr>
        <w:t>rtiazid môže zvýšiť sérovú koncentráciu kyseliny močovej ako dôsledok zníženého klírensu kyseliny močovej a môže spôsobiť alebo exacerbovať hyperurikémiu, ako aj vyvolať dnu u citlivých pacientov.</w:t>
      </w:r>
    </w:p>
    <w:p w14:paraId="08F616E8" w14:textId="77777777" w:rsidR="00480405" w:rsidRPr="00534FB2" w:rsidRDefault="00480405" w:rsidP="00480405">
      <w:pPr>
        <w:rPr>
          <w:sz w:val="22"/>
          <w:szCs w:val="22"/>
          <w:lang w:val="sk-SK"/>
        </w:rPr>
      </w:pPr>
    </w:p>
    <w:p w14:paraId="1E5F7667" w14:textId="7CC8A11B" w:rsidR="000C7678" w:rsidRPr="00534FB2" w:rsidRDefault="00480405" w:rsidP="00480405">
      <w:pPr>
        <w:rPr>
          <w:sz w:val="22"/>
          <w:szCs w:val="22"/>
          <w:lang w:val="sk-SK"/>
        </w:rPr>
      </w:pPr>
      <w:r w:rsidRPr="00534FB2">
        <w:rPr>
          <w:sz w:val="22"/>
          <w:szCs w:val="22"/>
          <w:lang w:val="sk-SK"/>
        </w:rPr>
        <w:t>Tiazidy znižujú vylučovanie vápnika močom a môžu spôsobovať prechodné a mierne zvýšenie hladín vápnika v sére, aj keď nie sú prítomné známe poruchy metabolizmu vápnika.</w:t>
      </w:r>
      <w:r w:rsidRPr="00213B2E">
        <w:rPr>
          <w:sz w:val="22"/>
          <w:szCs w:val="22"/>
          <w:lang w:val="sk-SK"/>
        </w:rPr>
        <w:t xml:space="preserve"> </w:t>
      </w:r>
      <w:r w:rsidRPr="00534FB2">
        <w:rPr>
          <w:sz w:val="22"/>
          <w:szCs w:val="22"/>
          <w:lang w:val="sk-SK"/>
        </w:rPr>
        <w:t>Asbima HCT je kontraindikovaná u pacientov s hyperkalciémiou a má sa použiť len po korigovaní akejkoľvek existujúcej hyperkalciémie. Asbima HCT sa má vysadiť, ak počas liečby vznikne hyperkalciémia. Počas liečby tiazidmi sa majú pravidelne kontrolovať koncentrácie vápnika v sére. Výrazná hyperkalciémiamôže svedčiť o skrytom hyperparatyreoidizme. Tiazidy sa majú vysadiť ešte pred vykonaním testov funkcie prištítnych teliesok.</w:t>
      </w:r>
    </w:p>
    <w:p w14:paraId="4F4E1965" w14:textId="77777777" w:rsidR="00AB3316" w:rsidRPr="00534FB2" w:rsidRDefault="00AB3316" w:rsidP="00134CBE">
      <w:pPr>
        <w:rPr>
          <w:sz w:val="22"/>
          <w:szCs w:val="22"/>
          <w:lang w:val="sk-SK"/>
        </w:rPr>
      </w:pPr>
    </w:p>
    <w:p w14:paraId="02311894" w14:textId="4856EDE0" w:rsidR="000C7678" w:rsidRPr="00534FB2" w:rsidRDefault="00480405" w:rsidP="005F1BE8">
      <w:pPr>
        <w:keepNext/>
        <w:rPr>
          <w:sz w:val="22"/>
          <w:szCs w:val="22"/>
          <w:u w:val="single"/>
          <w:lang w:val="sk-SK"/>
        </w:rPr>
      </w:pPr>
      <w:r w:rsidRPr="00534FB2">
        <w:rPr>
          <w:sz w:val="22"/>
          <w:szCs w:val="22"/>
          <w:u w:val="single"/>
          <w:lang w:val="sk-SK"/>
        </w:rPr>
        <w:t>Fotosenzitivita</w:t>
      </w:r>
    </w:p>
    <w:p w14:paraId="77B71FF8" w14:textId="61A6328D" w:rsidR="00865EBA" w:rsidRDefault="00865EBA" w:rsidP="00865EBA">
      <w:pPr>
        <w:rPr>
          <w:sz w:val="22"/>
          <w:szCs w:val="22"/>
          <w:lang w:val="sk-SK"/>
        </w:rPr>
      </w:pPr>
      <w:r w:rsidRPr="00534FB2">
        <w:rPr>
          <w:sz w:val="22"/>
          <w:szCs w:val="22"/>
          <w:lang w:val="sk-SK"/>
        </w:rPr>
        <w:t>Pri tiazidových diuretikách boli hlásené prípady reakcií z fotosenzitivity (pozri časť 4.8). Ak sa počas liečby s Asbimou HCT vyskytne reakcia z fotosenzitivity, odporúča sa liečbu ukončiť. Ak sa opätovné podanie diuretika považuje za potrebné, odporúča sa chrániť oblasti vystavené slnečnému žiareniu alebo umelému UVA.</w:t>
      </w:r>
    </w:p>
    <w:p w14:paraId="6ADA177D" w14:textId="77777777" w:rsidR="002B7E35" w:rsidRPr="00534FB2" w:rsidRDefault="002B7E35" w:rsidP="00865EBA">
      <w:pPr>
        <w:rPr>
          <w:sz w:val="22"/>
          <w:szCs w:val="22"/>
          <w:lang w:val="sk-SK"/>
        </w:rPr>
      </w:pPr>
    </w:p>
    <w:p w14:paraId="3FF25D52" w14:textId="32F2AD56" w:rsidR="000C7678" w:rsidRPr="00534FB2" w:rsidRDefault="00850705" w:rsidP="00B636A9">
      <w:pPr>
        <w:keepNext/>
        <w:rPr>
          <w:sz w:val="22"/>
          <w:szCs w:val="22"/>
          <w:u w:val="single"/>
          <w:lang w:val="sk-SK"/>
        </w:rPr>
      </w:pPr>
      <w:r w:rsidRPr="00534FB2">
        <w:rPr>
          <w:sz w:val="22"/>
          <w:szCs w:val="22"/>
          <w:u w:val="single"/>
          <w:lang w:val="sk-SK"/>
        </w:rPr>
        <w:t>Choroidálna efúzia, akútna myopia a sekundárny akútny glaukóm s uzavretým uhlom</w:t>
      </w:r>
    </w:p>
    <w:p w14:paraId="198EC4AB" w14:textId="6641CBDF" w:rsidR="00A71713" w:rsidRPr="00534FB2" w:rsidRDefault="00A71713" w:rsidP="00A71713">
      <w:pPr>
        <w:rPr>
          <w:sz w:val="22"/>
          <w:szCs w:val="22"/>
          <w:lang w:val="sk-SK"/>
        </w:rPr>
      </w:pPr>
      <w:r w:rsidRPr="00534FB2">
        <w:rPr>
          <w:sz w:val="22"/>
          <w:szCs w:val="22"/>
          <w:lang w:val="sk-SK"/>
        </w:rPr>
        <w:t>Sulf</w:t>
      </w:r>
      <w:r w:rsidR="002E5BC5">
        <w:rPr>
          <w:sz w:val="22"/>
          <w:szCs w:val="22"/>
          <w:lang w:val="sk-SK"/>
        </w:rPr>
        <w:t>ó</w:t>
      </w:r>
      <w:r w:rsidRPr="00534FB2">
        <w:rPr>
          <w:sz w:val="22"/>
          <w:szCs w:val="22"/>
          <w:lang w:val="sk-SK"/>
        </w:rPr>
        <w:t>namid hydrochl</w:t>
      </w:r>
      <w:r w:rsidR="00C86DEB">
        <w:rPr>
          <w:sz w:val="22"/>
          <w:szCs w:val="22"/>
          <w:lang w:val="sk-SK"/>
        </w:rPr>
        <w:t>ó</w:t>
      </w:r>
      <w:r w:rsidRPr="00534FB2">
        <w:rPr>
          <w:sz w:val="22"/>
          <w:szCs w:val="22"/>
          <w:lang w:val="sk-SK"/>
        </w:rPr>
        <w:t>rtiazid sa dával do súvislosti s idiosynkratickou reakciou, ktorá mala za následok choroidálnu efúziu s poruchou zorného poľa, akútnu prechodnú myopiu a akútny glaukóm s uzavretým uhlom. Symptómy zahŕňajú akútny nástup zníženej zrakovej ostrosti alebo bolesť oka a typicky sa vyskytujú do niekoľkých hodín až jedného týždňa od začatia liečby. Neliečený akútny glaukóm s uzavretým uhlom môže viesť k trvalej strate zraku.</w:t>
      </w:r>
    </w:p>
    <w:p w14:paraId="7F3C5679" w14:textId="214160E9" w:rsidR="00AB3316" w:rsidRPr="00534FB2" w:rsidRDefault="00A71713" w:rsidP="00A71713">
      <w:pPr>
        <w:rPr>
          <w:sz w:val="22"/>
          <w:szCs w:val="22"/>
          <w:lang w:val="sk-SK"/>
        </w:rPr>
      </w:pPr>
      <w:r w:rsidRPr="00534FB2">
        <w:rPr>
          <w:sz w:val="22"/>
          <w:szCs w:val="22"/>
          <w:lang w:val="sk-SK"/>
        </w:rPr>
        <w:t>Základom liečby je čo najrýchlejšie vysadiť hydrochl</w:t>
      </w:r>
      <w:r w:rsidR="00C86DEB">
        <w:rPr>
          <w:sz w:val="22"/>
          <w:szCs w:val="22"/>
          <w:lang w:val="sk-SK"/>
        </w:rPr>
        <w:t>ó</w:t>
      </w:r>
      <w:r w:rsidRPr="00534FB2">
        <w:rPr>
          <w:sz w:val="22"/>
          <w:szCs w:val="22"/>
          <w:lang w:val="sk-SK"/>
        </w:rPr>
        <w:t>rtiazid. Okamžitá farmakologická alebo chirurgická liečba sa má zvážiť, ak sa vnútroočný tlak nezníži. K rizikovým faktorom pre vznik akútneho glaukómu s uzavretým uhlom môže patriť alergia na sulf</w:t>
      </w:r>
      <w:r w:rsidR="002E5BC5">
        <w:rPr>
          <w:sz w:val="22"/>
          <w:szCs w:val="22"/>
          <w:lang w:val="sk-SK"/>
        </w:rPr>
        <w:t>ó</w:t>
      </w:r>
      <w:r w:rsidRPr="00534FB2">
        <w:rPr>
          <w:sz w:val="22"/>
          <w:szCs w:val="22"/>
          <w:lang w:val="sk-SK"/>
        </w:rPr>
        <w:t>namidy alebo penicilín v anamnéze.</w:t>
      </w:r>
    </w:p>
    <w:p w14:paraId="7BCAE6DB" w14:textId="77777777" w:rsidR="00A71713" w:rsidRPr="00534FB2" w:rsidRDefault="00A71713" w:rsidP="00A71713">
      <w:pPr>
        <w:rPr>
          <w:sz w:val="22"/>
          <w:szCs w:val="22"/>
          <w:lang w:val="sk-SK"/>
        </w:rPr>
      </w:pPr>
    </w:p>
    <w:p w14:paraId="48CE6E8C" w14:textId="641BFBAC" w:rsidR="000C7678" w:rsidRPr="00534FB2" w:rsidRDefault="00A71713" w:rsidP="00134CBE">
      <w:pPr>
        <w:rPr>
          <w:sz w:val="22"/>
          <w:szCs w:val="22"/>
          <w:u w:val="single"/>
          <w:lang w:val="sk-SK"/>
        </w:rPr>
      </w:pPr>
      <w:r w:rsidRPr="00534FB2">
        <w:rPr>
          <w:sz w:val="22"/>
          <w:szCs w:val="22"/>
          <w:u w:val="single"/>
          <w:lang w:val="sk-SK"/>
        </w:rPr>
        <w:t>Všeobecné upozornenia</w:t>
      </w:r>
    </w:p>
    <w:p w14:paraId="261585C3" w14:textId="77777777" w:rsidR="00A71713" w:rsidRPr="00534FB2" w:rsidRDefault="00A71713" w:rsidP="00A71713">
      <w:pPr>
        <w:rPr>
          <w:sz w:val="22"/>
          <w:szCs w:val="22"/>
          <w:lang w:val="sk-SK"/>
        </w:rPr>
      </w:pPr>
      <w:r w:rsidRPr="00534FB2">
        <w:rPr>
          <w:sz w:val="22"/>
          <w:szCs w:val="22"/>
          <w:lang w:val="sk-SK"/>
        </w:rPr>
        <w:t>Opatrnosť je potrebná u pacientov, u ktorých sa v minulosti preukázala precitlivenosť na iné</w:t>
      </w:r>
    </w:p>
    <w:p w14:paraId="22B93F1E" w14:textId="0D343ADE" w:rsidR="00A71713" w:rsidRPr="00534FB2" w:rsidRDefault="00A71713" w:rsidP="00A71713">
      <w:pPr>
        <w:rPr>
          <w:sz w:val="22"/>
          <w:szCs w:val="22"/>
          <w:lang w:val="sk-SK"/>
        </w:rPr>
      </w:pPr>
      <w:r w:rsidRPr="00534FB2">
        <w:rPr>
          <w:sz w:val="22"/>
          <w:szCs w:val="22"/>
          <w:lang w:val="sk-SK"/>
        </w:rPr>
        <w:t>antagonisty receptorov angiotenzínu II. Reakcie z precitlivenosti na hydrochl</w:t>
      </w:r>
      <w:r w:rsidR="00C86DEB">
        <w:rPr>
          <w:sz w:val="22"/>
          <w:szCs w:val="22"/>
          <w:lang w:val="sk-SK"/>
        </w:rPr>
        <w:t>ó</w:t>
      </w:r>
      <w:r w:rsidRPr="00534FB2">
        <w:rPr>
          <w:sz w:val="22"/>
          <w:szCs w:val="22"/>
          <w:lang w:val="sk-SK"/>
        </w:rPr>
        <w:t>rtiazid sú</w:t>
      </w:r>
    </w:p>
    <w:p w14:paraId="1D459CF2" w14:textId="37B71AFF" w:rsidR="00AB3316" w:rsidRPr="00534FB2" w:rsidRDefault="00A71713" w:rsidP="00A71713">
      <w:pPr>
        <w:rPr>
          <w:sz w:val="22"/>
          <w:szCs w:val="22"/>
          <w:lang w:val="sk-SK"/>
        </w:rPr>
      </w:pPr>
      <w:r w:rsidRPr="00534FB2">
        <w:rPr>
          <w:sz w:val="22"/>
          <w:szCs w:val="22"/>
          <w:lang w:val="sk-SK"/>
        </w:rPr>
        <w:t>pravdepodobnejšie u pacientov s alergiou a astmou.</w:t>
      </w:r>
    </w:p>
    <w:p w14:paraId="06936BDA" w14:textId="77777777" w:rsidR="00A71713" w:rsidRPr="00534FB2" w:rsidRDefault="00A71713" w:rsidP="00A71713">
      <w:pPr>
        <w:rPr>
          <w:sz w:val="22"/>
          <w:szCs w:val="22"/>
          <w:lang w:val="sk-SK"/>
        </w:rPr>
      </w:pPr>
    </w:p>
    <w:p w14:paraId="12A2B53A" w14:textId="2E65424A" w:rsidR="000C7678" w:rsidRPr="00534FB2" w:rsidRDefault="00A71713" w:rsidP="00134CBE">
      <w:pPr>
        <w:rPr>
          <w:sz w:val="22"/>
          <w:szCs w:val="22"/>
          <w:u w:val="single"/>
          <w:lang w:val="sk-SK"/>
        </w:rPr>
      </w:pPr>
      <w:r w:rsidRPr="00534FB2">
        <w:rPr>
          <w:sz w:val="22"/>
          <w:szCs w:val="22"/>
          <w:u w:val="single"/>
          <w:lang w:val="sk-SK"/>
        </w:rPr>
        <w:t>Starší pacienti (vo veku 65 rokov alebo viac)</w:t>
      </w:r>
    </w:p>
    <w:p w14:paraId="6B3A1C5D" w14:textId="6F58BF30" w:rsidR="00AB3316" w:rsidRPr="00534FB2" w:rsidRDefault="00A71713" w:rsidP="00A71713">
      <w:pPr>
        <w:rPr>
          <w:sz w:val="22"/>
          <w:szCs w:val="22"/>
          <w:lang w:val="sk-SK"/>
        </w:rPr>
      </w:pPr>
      <w:r w:rsidRPr="00534FB2">
        <w:rPr>
          <w:sz w:val="22"/>
          <w:szCs w:val="22"/>
          <w:lang w:val="sk-SK"/>
        </w:rPr>
        <w:t>Opatrnosť vrátane častejšieho monitorovania krvného tlaku sa odporúča u starších pacientov, zvlášť pri maximálnej dávke Asbimy HCT, 10 mg/320 mg/25 mg, pretože dostupné údaje u tejto populácie pacientov sú obmedzené.</w:t>
      </w:r>
    </w:p>
    <w:p w14:paraId="38414B1B" w14:textId="77777777" w:rsidR="00A71713" w:rsidRPr="00534FB2" w:rsidRDefault="00A71713" w:rsidP="00A71713">
      <w:pPr>
        <w:rPr>
          <w:sz w:val="22"/>
          <w:szCs w:val="22"/>
          <w:lang w:val="sk-SK"/>
        </w:rPr>
      </w:pPr>
    </w:p>
    <w:p w14:paraId="2F5F1CD0" w14:textId="46714109" w:rsidR="000C7678" w:rsidRPr="00534FB2" w:rsidRDefault="00A71713" w:rsidP="00134CBE">
      <w:pPr>
        <w:rPr>
          <w:sz w:val="22"/>
          <w:szCs w:val="22"/>
          <w:u w:val="single"/>
          <w:lang w:val="sk-SK"/>
        </w:rPr>
      </w:pPr>
      <w:r w:rsidRPr="00534FB2">
        <w:rPr>
          <w:sz w:val="22"/>
          <w:szCs w:val="22"/>
          <w:u w:val="single"/>
          <w:lang w:val="sk-SK"/>
        </w:rPr>
        <w:t>Duálna inhibícia systému renín-angiotenzín-aldosterón (RAAS)</w:t>
      </w:r>
    </w:p>
    <w:p w14:paraId="4EFA9C0E" w14:textId="2C4634E9" w:rsidR="00AB3316" w:rsidRPr="00534FB2" w:rsidRDefault="00BC5B34" w:rsidP="00BC5B34">
      <w:pPr>
        <w:rPr>
          <w:sz w:val="22"/>
          <w:szCs w:val="22"/>
          <w:lang w:val="sk-SK"/>
        </w:rPr>
      </w:pPr>
      <w:r w:rsidRPr="00534FB2">
        <w:rPr>
          <w:sz w:val="22"/>
          <w:szCs w:val="22"/>
          <w:lang w:val="sk-SK"/>
        </w:rPr>
        <w:t xml:space="preserve">Preukázalo sa, že súbežné </w:t>
      </w:r>
      <w:r w:rsidR="002E5BC5">
        <w:rPr>
          <w:sz w:val="22"/>
          <w:szCs w:val="22"/>
          <w:lang w:val="sk-SK"/>
        </w:rPr>
        <w:t>užívan</w:t>
      </w:r>
      <w:r w:rsidRPr="00534FB2">
        <w:rPr>
          <w:sz w:val="22"/>
          <w:szCs w:val="22"/>
          <w:lang w:val="sk-SK"/>
        </w:rPr>
        <w:t>ie inhibítorov ACE, ARB alebo aliskir</w:t>
      </w:r>
      <w:r w:rsidR="002E5BC5">
        <w:rPr>
          <w:sz w:val="22"/>
          <w:szCs w:val="22"/>
          <w:lang w:val="sk-SK"/>
        </w:rPr>
        <w:t>é</w:t>
      </w:r>
      <w:r w:rsidRPr="00534FB2">
        <w:rPr>
          <w:sz w:val="22"/>
          <w:szCs w:val="22"/>
          <w:lang w:val="sk-SK"/>
        </w:rPr>
        <w:t>nu zvyšuje riziko hypotenzie, hyperkaliémie a zníženia funkcie obličiek (vrátane akútneho zlyhania obličiek). Duálna inhibícia RAAS kombinovaným použitím inhibítorov ACE, ARB alebo aliskir</w:t>
      </w:r>
      <w:r w:rsidR="002E5BC5">
        <w:rPr>
          <w:sz w:val="22"/>
          <w:szCs w:val="22"/>
          <w:lang w:val="sk-SK"/>
        </w:rPr>
        <w:t>é</w:t>
      </w:r>
      <w:r w:rsidRPr="00534FB2">
        <w:rPr>
          <w:sz w:val="22"/>
          <w:szCs w:val="22"/>
          <w:lang w:val="sk-SK"/>
        </w:rPr>
        <w:t>nu sa preto neodporúča (pozri časti 4.5 a 5.1).</w:t>
      </w:r>
    </w:p>
    <w:p w14:paraId="4F7FDC1E" w14:textId="1C68AA36" w:rsidR="00C32832" w:rsidRPr="00534FB2" w:rsidRDefault="00BC5B34" w:rsidP="00BC5B34">
      <w:pPr>
        <w:rPr>
          <w:sz w:val="22"/>
          <w:szCs w:val="22"/>
          <w:lang w:val="sk-SK"/>
        </w:rPr>
      </w:pPr>
      <w:r w:rsidRPr="00534FB2">
        <w:rPr>
          <w:sz w:val="22"/>
          <w:szCs w:val="22"/>
          <w:lang w:val="sk-SK"/>
        </w:rPr>
        <w:t>Ak sa liečba duálnou inhibíciou považuje za absolútne nevyhnutnú, má sa podať iba pod dohľadom odborníka a u pacienta sa majú často a dôsledne kontrolovať funkcia obličiek, elektrolyty a krvný tlak. Inhibítory ACE a ARB sa nemajú súbežne užívať u pacientov s diabetickou nefropatiou.</w:t>
      </w:r>
    </w:p>
    <w:p w14:paraId="795104FA" w14:textId="77777777" w:rsidR="00BC5B34" w:rsidRPr="00534FB2" w:rsidRDefault="00BC5B34" w:rsidP="00BC5B34">
      <w:pPr>
        <w:rPr>
          <w:sz w:val="22"/>
          <w:szCs w:val="22"/>
          <w:lang w:val="sk-SK"/>
        </w:rPr>
      </w:pPr>
    </w:p>
    <w:p w14:paraId="59C491E9" w14:textId="0697DB22" w:rsidR="00C32832" w:rsidRPr="00534FB2" w:rsidRDefault="00BC5B34" w:rsidP="00134CBE">
      <w:pPr>
        <w:overflowPunct/>
        <w:textAlignment w:val="auto"/>
        <w:rPr>
          <w:rFonts w:eastAsiaTheme="minorHAnsi"/>
          <w:sz w:val="22"/>
          <w:szCs w:val="22"/>
          <w:lang w:val="sk-SK" w:eastAsia="en-US"/>
        </w:rPr>
      </w:pPr>
      <w:r w:rsidRPr="00534FB2">
        <w:rPr>
          <w:sz w:val="22"/>
          <w:szCs w:val="22"/>
          <w:u w:val="single"/>
          <w:lang w:val="sk-SK"/>
        </w:rPr>
        <w:t>Nemelanómová rakovina kože</w:t>
      </w:r>
    </w:p>
    <w:p w14:paraId="3533D5EB" w14:textId="680A279D" w:rsidR="0039468A" w:rsidRPr="00534FB2" w:rsidRDefault="00BC5B34" w:rsidP="00BC5B34">
      <w:pPr>
        <w:overflowPunct/>
        <w:textAlignment w:val="auto"/>
        <w:rPr>
          <w:sz w:val="22"/>
          <w:szCs w:val="22"/>
          <w:lang w:val="sk-SK"/>
        </w:rPr>
      </w:pPr>
      <w:r w:rsidRPr="00534FB2">
        <w:rPr>
          <w:sz w:val="22"/>
          <w:szCs w:val="22"/>
          <w:lang w:val="sk-SK"/>
        </w:rPr>
        <w:t>V dvoch epidemiologických štúdiách vychádzajúcich z dánskeho národného onkologického registra (Danish National Cancer Registry) sa pozorovalo zvýšené riziko nemelanómovej rakoviny kože (non</w:t>
      </w:r>
      <w:r w:rsidR="002E5BC5">
        <w:rPr>
          <w:sz w:val="22"/>
          <w:szCs w:val="22"/>
          <w:lang w:val="sk-SK"/>
        </w:rPr>
        <w:t>-</w:t>
      </w:r>
      <w:r w:rsidRPr="00534FB2">
        <w:rPr>
          <w:sz w:val="22"/>
          <w:szCs w:val="22"/>
          <w:lang w:val="sk-SK"/>
        </w:rPr>
        <w:t>melanoma skin cancer, NMSC) [bazocelulárneho karcinómu (basal cell carcinoma, BCC) a skvamocelulárneho karcinómu (squamous cell carcinoma, SCC)] pri zvyšujúcej sa expozícii kumulatívnej dávke hydrochl</w:t>
      </w:r>
      <w:r w:rsidR="00C86DEB">
        <w:rPr>
          <w:sz w:val="22"/>
          <w:szCs w:val="22"/>
          <w:lang w:val="sk-SK"/>
        </w:rPr>
        <w:t>ŕ</w:t>
      </w:r>
      <w:r w:rsidRPr="00534FB2">
        <w:rPr>
          <w:sz w:val="22"/>
          <w:szCs w:val="22"/>
          <w:lang w:val="sk-SK"/>
        </w:rPr>
        <w:t>rtiazidu. Možným mechanizmom pre vznik NMSC môžu byť fotosenzibilizačné účinky hydrochl</w:t>
      </w:r>
      <w:r w:rsidR="000514B9">
        <w:rPr>
          <w:sz w:val="22"/>
          <w:szCs w:val="22"/>
          <w:lang w:val="sk-SK"/>
        </w:rPr>
        <w:t>ó</w:t>
      </w:r>
      <w:r w:rsidRPr="00534FB2">
        <w:rPr>
          <w:sz w:val="22"/>
          <w:szCs w:val="22"/>
          <w:lang w:val="sk-SK"/>
        </w:rPr>
        <w:t>rtiazidu.</w:t>
      </w:r>
    </w:p>
    <w:p w14:paraId="4DFC58EC" w14:textId="77777777" w:rsidR="00BC5B34" w:rsidRPr="00534FB2" w:rsidRDefault="00BC5B34" w:rsidP="00BC5B34">
      <w:pPr>
        <w:overflowPunct/>
        <w:textAlignment w:val="auto"/>
        <w:rPr>
          <w:sz w:val="22"/>
          <w:szCs w:val="22"/>
          <w:lang w:val="sk-SK"/>
        </w:rPr>
      </w:pPr>
    </w:p>
    <w:p w14:paraId="78D172C5" w14:textId="1B382F3B" w:rsidR="00C32832" w:rsidRPr="00534FB2" w:rsidRDefault="00BC5B34" w:rsidP="00BC5B34">
      <w:pPr>
        <w:overflowPunct/>
        <w:textAlignment w:val="auto"/>
        <w:rPr>
          <w:sz w:val="22"/>
          <w:szCs w:val="22"/>
          <w:lang w:val="sk-SK"/>
        </w:rPr>
      </w:pPr>
      <w:r w:rsidRPr="00534FB2">
        <w:rPr>
          <w:sz w:val="22"/>
          <w:szCs w:val="22"/>
          <w:lang w:val="sk-SK"/>
        </w:rPr>
        <w:t>Pacientov užívajúcich hydrochl</w:t>
      </w:r>
      <w:r w:rsidR="00C86DEB">
        <w:rPr>
          <w:sz w:val="22"/>
          <w:szCs w:val="22"/>
          <w:lang w:val="sk-SK"/>
        </w:rPr>
        <w:t>ó</w:t>
      </w:r>
      <w:r w:rsidRPr="00534FB2">
        <w:rPr>
          <w:sz w:val="22"/>
          <w:szCs w:val="22"/>
          <w:lang w:val="sk-SK"/>
        </w:rPr>
        <w:t>rtiazid je potrebné informovať o riziku NMSC a odporučiť im, aby si pravidelne kontrolovali kožu kvôli možnému vzniku akýchkoľvek nových lézií a aby urýchlene nahlásili akékoľvek podozrivé kožné lézie. Pacientom je potrebné odporučiť možné preventívne opatrenia, ako je obmedzené vystavovanie sa slnečnému svetlu a UV lúčom a aby v prípade vystavenia sa slnečnému žiareniu používali primeranú ochranu s cieľom minimalizovať riziko rakoviny</w:t>
      </w:r>
      <w:r w:rsidR="002E5BC5">
        <w:rPr>
          <w:sz w:val="22"/>
          <w:szCs w:val="22"/>
          <w:lang w:val="sk-SK"/>
        </w:rPr>
        <w:t xml:space="preserve"> kože</w:t>
      </w:r>
      <w:r w:rsidRPr="00534FB2">
        <w:rPr>
          <w:sz w:val="22"/>
          <w:szCs w:val="22"/>
          <w:lang w:val="sk-SK"/>
        </w:rPr>
        <w:t>. Podozrivé kožné lézie je potrebné urýchlene vyšetriť, potenciálne aj histologickým vyšetrením biopsií. Použitie hydrochl</w:t>
      </w:r>
      <w:r w:rsidR="00C86DEB">
        <w:rPr>
          <w:sz w:val="22"/>
          <w:szCs w:val="22"/>
          <w:lang w:val="sk-SK"/>
        </w:rPr>
        <w:t>ó</w:t>
      </w:r>
      <w:r w:rsidRPr="00534FB2">
        <w:rPr>
          <w:sz w:val="22"/>
          <w:szCs w:val="22"/>
          <w:lang w:val="sk-SK"/>
        </w:rPr>
        <w:t>rtiazidu bude možno potrebné prehodnotiť aj v prípade pacientov, u ktorých sa v minulosti vyskytla NMSC (pozri tiež časť 4.8).</w:t>
      </w:r>
    </w:p>
    <w:p w14:paraId="16E49475" w14:textId="77777777" w:rsidR="0048743D" w:rsidRPr="00534FB2" w:rsidRDefault="0048743D" w:rsidP="005F1BE8">
      <w:pPr>
        <w:rPr>
          <w:sz w:val="22"/>
          <w:szCs w:val="22"/>
          <w:lang w:val="sk-SK"/>
        </w:rPr>
      </w:pPr>
    </w:p>
    <w:p w14:paraId="5A200CDE" w14:textId="16F61397" w:rsidR="0043633E" w:rsidRPr="00534FB2" w:rsidRDefault="00BC5B34" w:rsidP="00BC5B34">
      <w:pPr>
        <w:pStyle w:val="Odsekzoznamu"/>
        <w:keepNext/>
        <w:numPr>
          <w:ilvl w:val="1"/>
          <w:numId w:val="1"/>
        </w:numPr>
        <w:ind w:left="567" w:hanging="567"/>
        <w:rPr>
          <w:b/>
          <w:sz w:val="22"/>
          <w:szCs w:val="22"/>
          <w:lang w:val="sk-SK"/>
        </w:rPr>
      </w:pPr>
      <w:r w:rsidRPr="00534FB2">
        <w:rPr>
          <w:b/>
          <w:sz w:val="22"/>
          <w:szCs w:val="22"/>
          <w:lang w:val="sk-SK"/>
        </w:rPr>
        <w:t>Liekové a iné interakcie</w:t>
      </w:r>
    </w:p>
    <w:p w14:paraId="1A9A7B9D" w14:textId="77777777" w:rsidR="00CE4352" w:rsidRPr="00534FB2" w:rsidRDefault="00CE4352" w:rsidP="00134CBE">
      <w:pPr>
        <w:keepNext/>
        <w:rPr>
          <w:sz w:val="22"/>
          <w:szCs w:val="22"/>
          <w:lang w:val="sk-SK"/>
        </w:rPr>
      </w:pPr>
    </w:p>
    <w:p w14:paraId="0FF03662" w14:textId="0EFB6912" w:rsidR="005337B7" w:rsidRPr="00534FB2" w:rsidRDefault="00BC5B34" w:rsidP="00BC5B34">
      <w:pPr>
        <w:rPr>
          <w:sz w:val="22"/>
          <w:szCs w:val="22"/>
          <w:lang w:val="sk-SK"/>
        </w:rPr>
      </w:pPr>
      <w:r w:rsidRPr="00534FB2">
        <w:rPr>
          <w:sz w:val="22"/>
          <w:szCs w:val="22"/>
          <w:lang w:val="sk-SK"/>
        </w:rPr>
        <w:t>Neuskutočnili sa formálne interakčné štúdie amplodipínu/valsartanu/hydrochl</w:t>
      </w:r>
      <w:r w:rsidR="00C86DEB">
        <w:rPr>
          <w:sz w:val="22"/>
          <w:szCs w:val="22"/>
          <w:lang w:val="sk-SK"/>
        </w:rPr>
        <w:t>ó</w:t>
      </w:r>
      <w:r w:rsidRPr="00534FB2">
        <w:rPr>
          <w:sz w:val="22"/>
          <w:szCs w:val="22"/>
          <w:lang w:val="sk-SK"/>
        </w:rPr>
        <w:t>rtiazidu s inými liekmi. Preto sa v tejto časti uvádzajú len informácie o interakciách s inými liekmi, ktoré sú známe pre jednotlivé liečivá.</w:t>
      </w:r>
    </w:p>
    <w:p w14:paraId="53E69FE8" w14:textId="77777777" w:rsidR="00BC5B34" w:rsidRPr="00534FB2" w:rsidRDefault="00BC5B34" w:rsidP="00BC5B34">
      <w:pPr>
        <w:rPr>
          <w:sz w:val="22"/>
          <w:szCs w:val="22"/>
          <w:lang w:val="sk-SK"/>
        </w:rPr>
      </w:pPr>
    </w:p>
    <w:p w14:paraId="11480F1C" w14:textId="1DDCE229" w:rsidR="00BC5B34" w:rsidRPr="00534FB2" w:rsidRDefault="00BC5B34" w:rsidP="00BC5B34">
      <w:pPr>
        <w:rPr>
          <w:sz w:val="22"/>
          <w:szCs w:val="22"/>
          <w:lang w:val="sk-SK"/>
        </w:rPr>
      </w:pPr>
      <w:r w:rsidRPr="00534FB2">
        <w:rPr>
          <w:sz w:val="22"/>
          <w:szCs w:val="22"/>
          <w:lang w:val="sk-SK"/>
        </w:rPr>
        <w:t>Je však dôležité vziať do úvahy, že Asbima HCT môže zvyšovať hypotenzívny účinok iných</w:t>
      </w:r>
    </w:p>
    <w:p w14:paraId="29473849" w14:textId="14785E1F" w:rsidR="005337B7" w:rsidRPr="00534FB2" w:rsidRDefault="00BC5B34" w:rsidP="00BC5B34">
      <w:pPr>
        <w:rPr>
          <w:sz w:val="22"/>
          <w:szCs w:val="22"/>
          <w:lang w:val="sk-SK"/>
        </w:rPr>
      </w:pPr>
      <w:r w:rsidRPr="00534FB2">
        <w:rPr>
          <w:sz w:val="22"/>
          <w:szCs w:val="22"/>
          <w:lang w:val="sk-SK"/>
        </w:rPr>
        <w:t>antihypertenzív.</w:t>
      </w:r>
    </w:p>
    <w:p w14:paraId="68BF8089" w14:textId="77777777" w:rsidR="00BC5B34" w:rsidRPr="00534FB2" w:rsidRDefault="00BC5B34" w:rsidP="00BC5B34">
      <w:pPr>
        <w:rPr>
          <w:sz w:val="22"/>
          <w:szCs w:val="22"/>
          <w:lang w:val="sk-SK"/>
        </w:rPr>
      </w:pPr>
    </w:p>
    <w:p w14:paraId="2C471253" w14:textId="5DFA8EFC" w:rsidR="00CE4352" w:rsidRPr="00534FB2" w:rsidRDefault="00BC5B34" w:rsidP="00134CBE">
      <w:pPr>
        <w:rPr>
          <w:sz w:val="22"/>
          <w:szCs w:val="22"/>
          <w:u w:val="single"/>
          <w:lang w:val="sk-SK"/>
        </w:rPr>
      </w:pPr>
      <w:r w:rsidRPr="00534FB2">
        <w:rPr>
          <w:sz w:val="22"/>
          <w:szCs w:val="22"/>
          <w:u w:val="single"/>
          <w:lang w:val="sk-SK"/>
        </w:rPr>
        <w:t>Súbežné užívanie sa neodporúča</w:t>
      </w:r>
    </w:p>
    <w:p w14:paraId="3D96D0C5" w14:textId="77777777" w:rsidR="005337B7" w:rsidRPr="00534FB2" w:rsidRDefault="005337B7" w:rsidP="00134CBE">
      <w:pPr>
        <w:rPr>
          <w:sz w:val="22"/>
          <w:szCs w:val="22"/>
          <w:lang w:val="sk-SK"/>
        </w:rPr>
      </w:pPr>
    </w:p>
    <w:tbl>
      <w:tblPr>
        <w:tblStyle w:val="Mriekatabuky"/>
        <w:tblW w:w="9077" w:type="dxa"/>
        <w:jc w:val="center"/>
        <w:tblCellMar>
          <w:left w:w="57" w:type="dxa"/>
          <w:right w:w="57" w:type="dxa"/>
        </w:tblCellMar>
        <w:tblLook w:val="04A0" w:firstRow="1" w:lastRow="0" w:firstColumn="1" w:lastColumn="0" w:noHBand="0" w:noVBand="1"/>
      </w:tblPr>
      <w:tblGrid>
        <w:gridCol w:w="1701"/>
        <w:gridCol w:w="2405"/>
        <w:gridCol w:w="4971"/>
      </w:tblGrid>
      <w:tr w:rsidR="005337B7" w:rsidRPr="00534FB2" w14:paraId="497E6633" w14:textId="77777777" w:rsidTr="009B0BE9">
        <w:trPr>
          <w:tblHeader/>
          <w:jc w:val="center"/>
        </w:trPr>
        <w:tc>
          <w:tcPr>
            <w:tcW w:w="1701" w:type="dxa"/>
            <w:tcBorders>
              <w:bottom w:val="single" w:sz="4" w:space="0" w:color="auto"/>
            </w:tcBorders>
            <w:tcMar>
              <w:top w:w="57" w:type="dxa"/>
              <w:left w:w="57" w:type="dxa"/>
              <w:bottom w:w="57" w:type="dxa"/>
              <w:right w:w="57" w:type="dxa"/>
            </w:tcMar>
            <w:vAlign w:val="center"/>
          </w:tcPr>
          <w:p w14:paraId="7CC3908D" w14:textId="2B44C5A2" w:rsidR="00113790" w:rsidRPr="00534FB2" w:rsidRDefault="00113790" w:rsidP="00113790">
            <w:pPr>
              <w:rPr>
                <w:b/>
                <w:sz w:val="22"/>
                <w:szCs w:val="22"/>
                <w:lang w:val="sk-SK"/>
              </w:rPr>
            </w:pPr>
            <w:r w:rsidRPr="00534FB2">
              <w:rPr>
                <w:b/>
                <w:sz w:val="22"/>
                <w:szCs w:val="22"/>
                <w:lang w:val="sk-SK"/>
              </w:rPr>
              <w:t>Jednotlivá</w:t>
            </w:r>
          </w:p>
          <w:p w14:paraId="758D5A32" w14:textId="77777777" w:rsidR="00113790" w:rsidRPr="00534FB2" w:rsidRDefault="00113790" w:rsidP="00113790">
            <w:pPr>
              <w:rPr>
                <w:b/>
                <w:sz w:val="22"/>
                <w:szCs w:val="22"/>
                <w:lang w:val="sk-SK"/>
              </w:rPr>
            </w:pPr>
            <w:r w:rsidRPr="00534FB2">
              <w:rPr>
                <w:b/>
                <w:sz w:val="22"/>
                <w:szCs w:val="22"/>
                <w:lang w:val="sk-SK"/>
              </w:rPr>
              <w:t>zložka</w:t>
            </w:r>
          </w:p>
          <w:p w14:paraId="4ACA1C6F" w14:textId="20531649" w:rsidR="00113790" w:rsidRPr="00534FB2" w:rsidRDefault="00113790" w:rsidP="00113790">
            <w:pPr>
              <w:rPr>
                <w:b/>
                <w:sz w:val="22"/>
                <w:szCs w:val="22"/>
                <w:lang w:val="sk-SK"/>
              </w:rPr>
            </w:pPr>
            <w:r w:rsidRPr="00534FB2">
              <w:rPr>
                <w:b/>
                <w:sz w:val="22"/>
                <w:szCs w:val="22"/>
                <w:lang w:val="sk-SK"/>
              </w:rPr>
              <w:t>Asbimy</w:t>
            </w:r>
          </w:p>
          <w:p w14:paraId="5DD3EE81" w14:textId="46B1BA4C" w:rsidR="005337B7" w:rsidRPr="00534FB2" w:rsidRDefault="00113790" w:rsidP="00113790">
            <w:pPr>
              <w:rPr>
                <w:b/>
                <w:sz w:val="22"/>
                <w:szCs w:val="22"/>
                <w:lang w:val="sk-SK"/>
              </w:rPr>
            </w:pPr>
            <w:r w:rsidRPr="00534FB2">
              <w:rPr>
                <w:b/>
                <w:sz w:val="22"/>
                <w:szCs w:val="22"/>
                <w:lang w:val="sk-SK"/>
              </w:rPr>
              <w:t>HCT</w:t>
            </w:r>
          </w:p>
        </w:tc>
        <w:tc>
          <w:tcPr>
            <w:tcW w:w="2405" w:type="dxa"/>
            <w:tcBorders>
              <w:bottom w:val="single" w:sz="4" w:space="0" w:color="auto"/>
            </w:tcBorders>
            <w:tcMar>
              <w:top w:w="57" w:type="dxa"/>
              <w:left w:w="57" w:type="dxa"/>
              <w:bottom w:w="57" w:type="dxa"/>
              <w:right w:w="57" w:type="dxa"/>
            </w:tcMar>
            <w:vAlign w:val="center"/>
          </w:tcPr>
          <w:p w14:paraId="5C6C4284" w14:textId="77777777" w:rsidR="00113790" w:rsidRPr="00534FB2" w:rsidRDefault="00113790" w:rsidP="00113790">
            <w:pPr>
              <w:rPr>
                <w:b/>
                <w:sz w:val="22"/>
                <w:szCs w:val="22"/>
                <w:lang w:val="sk-SK"/>
              </w:rPr>
            </w:pPr>
            <w:r w:rsidRPr="00534FB2">
              <w:rPr>
                <w:b/>
                <w:sz w:val="22"/>
                <w:szCs w:val="22"/>
                <w:lang w:val="sk-SK"/>
              </w:rPr>
              <w:t>Známe interakcie s</w:t>
            </w:r>
          </w:p>
          <w:p w14:paraId="2671BC02" w14:textId="4040AEAD" w:rsidR="005337B7" w:rsidRPr="00534FB2" w:rsidRDefault="00113790" w:rsidP="00113790">
            <w:pPr>
              <w:rPr>
                <w:b/>
                <w:sz w:val="22"/>
                <w:szCs w:val="22"/>
                <w:lang w:val="sk-SK"/>
              </w:rPr>
            </w:pPr>
            <w:r w:rsidRPr="00534FB2">
              <w:rPr>
                <w:b/>
                <w:sz w:val="22"/>
                <w:szCs w:val="22"/>
                <w:lang w:val="sk-SK"/>
              </w:rPr>
              <w:t>nasledujúcimi látkami</w:t>
            </w:r>
          </w:p>
        </w:tc>
        <w:tc>
          <w:tcPr>
            <w:tcW w:w="4971" w:type="dxa"/>
            <w:tcBorders>
              <w:bottom w:val="single" w:sz="4" w:space="0" w:color="auto"/>
            </w:tcBorders>
            <w:tcMar>
              <w:top w:w="57" w:type="dxa"/>
              <w:left w:w="57" w:type="dxa"/>
              <w:bottom w:w="57" w:type="dxa"/>
              <w:right w:w="57" w:type="dxa"/>
            </w:tcMar>
            <w:vAlign w:val="center"/>
          </w:tcPr>
          <w:p w14:paraId="744656D7" w14:textId="71344AE7" w:rsidR="005337B7" w:rsidRPr="00534FB2" w:rsidRDefault="00113790" w:rsidP="00134CBE">
            <w:pPr>
              <w:rPr>
                <w:b/>
                <w:sz w:val="22"/>
                <w:szCs w:val="22"/>
                <w:lang w:val="sk-SK"/>
              </w:rPr>
            </w:pPr>
            <w:r w:rsidRPr="00534FB2">
              <w:rPr>
                <w:b/>
                <w:sz w:val="22"/>
                <w:szCs w:val="22"/>
                <w:lang w:val="sk-SK"/>
              </w:rPr>
              <w:t>Účinok interakcie s inými liekmi</w:t>
            </w:r>
          </w:p>
        </w:tc>
      </w:tr>
      <w:tr w:rsidR="005337B7" w:rsidRPr="00534FB2" w14:paraId="4A77CDDC" w14:textId="77777777" w:rsidTr="009B0BE9">
        <w:trPr>
          <w:jc w:val="center"/>
        </w:trPr>
        <w:tc>
          <w:tcPr>
            <w:tcW w:w="1701" w:type="dxa"/>
            <w:tcBorders>
              <w:right w:val="nil"/>
            </w:tcBorders>
            <w:tcMar>
              <w:top w:w="57" w:type="dxa"/>
              <w:left w:w="57" w:type="dxa"/>
              <w:bottom w:w="57" w:type="dxa"/>
              <w:right w:w="57" w:type="dxa"/>
            </w:tcMar>
          </w:tcPr>
          <w:p w14:paraId="1123822E" w14:textId="40456E37" w:rsidR="005337B7" w:rsidRPr="00534FB2" w:rsidRDefault="00113790" w:rsidP="00134CBE">
            <w:pPr>
              <w:rPr>
                <w:sz w:val="22"/>
                <w:szCs w:val="22"/>
                <w:lang w:val="sk-SK"/>
              </w:rPr>
            </w:pPr>
            <w:r w:rsidRPr="00534FB2">
              <w:rPr>
                <w:sz w:val="22"/>
                <w:szCs w:val="22"/>
                <w:lang w:val="sk-SK"/>
              </w:rPr>
              <w:t>Valsartan a</w:t>
            </w:r>
            <w:r w:rsidR="008E4AC2" w:rsidRPr="00534FB2">
              <w:rPr>
                <w:sz w:val="22"/>
                <w:szCs w:val="22"/>
                <w:lang w:val="sk-SK"/>
              </w:rPr>
              <w:t xml:space="preserve"> HCT</w:t>
            </w:r>
          </w:p>
        </w:tc>
        <w:tc>
          <w:tcPr>
            <w:tcW w:w="2405" w:type="dxa"/>
            <w:tcBorders>
              <w:left w:val="nil"/>
              <w:right w:val="nil"/>
            </w:tcBorders>
            <w:tcMar>
              <w:top w:w="57" w:type="dxa"/>
              <w:left w:w="57" w:type="dxa"/>
              <w:bottom w:w="57" w:type="dxa"/>
              <w:right w:w="57" w:type="dxa"/>
            </w:tcMar>
          </w:tcPr>
          <w:p w14:paraId="1A45D569" w14:textId="6A3F5030" w:rsidR="005337B7" w:rsidRPr="00534FB2" w:rsidRDefault="008E4AC2" w:rsidP="00113790">
            <w:pPr>
              <w:pStyle w:val="Nadpis5"/>
              <w:spacing w:line="240" w:lineRule="auto"/>
              <w:outlineLvl w:val="4"/>
              <w:rPr>
                <w:lang w:val="sk-SK"/>
              </w:rPr>
            </w:pPr>
            <w:r w:rsidRPr="00534FB2">
              <w:rPr>
                <w:lang w:val="sk-SK"/>
              </w:rPr>
              <w:t>L</w:t>
            </w:r>
            <w:r w:rsidR="00113790" w:rsidRPr="00534FB2">
              <w:rPr>
                <w:lang w:val="sk-SK"/>
              </w:rPr>
              <w:t>ítium</w:t>
            </w:r>
          </w:p>
        </w:tc>
        <w:tc>
          <w:tcPr>
            <w:tcW w:w="4971" w:type="dxa"/>
            <w:tcBorders>
              <w:left w:val="nil"/>
            </w:tcBorders>
            <w:tcMar>
              <w:top w:w="57" w:type="dxa"/>
              <w:left w:w="57" w:type="dxa"/>
              <w:bottom w:w="57" w:type="dxa"/>
              <w:right w:w="57" w:type="dxa"/>
            </w:tcMar>
          </w:tcPr>
          <w:p w14:paraId="16901CB4" w14:textId="704C4345" w:rsidR="00976D47" w:rsidRPr="00534FB2" w:rsidRDefault="00976D47" w:rsidP="00976D47">
            <w:pPr>
              <w:rPr>
                <w:sz w:val="22"/>
                <w:szCs w:val="22"/>
                <w:lang w:val="sk-SK"/>
              </w:rPr>
            </w:pPr>
            <w:r w:rsidRPr="00534FB2">
              <w:rPr>
                <w:sz w:val="22"/>
                <w:szCs w:val="22"/>
                <w:lang w:val="sk-SK"/>
              </w:rPr>
              <w:t>Počas sú</w:t>
            </w:r>
            <w:r w:rsidR="007B3774">
              <w:rPr>
                <w:sz w:val="22"/>
                <w:szCs w:val="22"/>
                <w:lang w:val="sk-SK"/>
              </w:rPr>
              <w:t>bež</w:t>
            </w:r>
            <w:r w:rsidRPr="00534FB2">
              <w:rPr>
                <w:sz w:val="22"/>
                <w:szCs w:val="22"/>
                <w:lang w:val="sk-SK"/>
              </w:rPr>
              <w:t>ného podávania lítia s inhibítormi ACE, antagonistami receptorov angiotenzínu II vrátane valsartanu alebo tiazidmi sa zaznamenalo reverzibilné zvýšenie sérových koncentrácií a toxicity lítia. Keďže tiazidy znižujú obličkový klírens lítia, Asbima HCT môže pravdepodobne ďalej zvýšiť riziko toxických príznakov</w:t>
            </w:r>
          </w:p>
          <w:p w14:paraId="0418E78D" w14:textId="7692F98D" w:rsidR="005337B7" w:rsidRPr="00534FB2" w:rsidRDefault="00976D47" w:rsidP="00976D47">
            <w:pPr>
              <w:rPr>
                <w:sz w:val="22"/>
                <w:szCs w:val="22"/>
                <w:lang w:val="sk-SK"/>
              </w:rPr>
            </w:pPr>
            <w:r w:rsidRPr="00534FB2">
              <w:rPr>
                <w:sz w:val="22"/>
                <w:szCs w:val="22"/>
                <w:lang w:val="sk-SK"/>
              </w:rPr>
              <w:t>lítia. Preto sa počas súbežného používania odporúča starostlivo monitorovať koncentrácie lítia v sére.</w:t>
            </w:r>
          </w:p>
        </w:tc>
      </w:tr>
      <w:tr w:rsidR="005337B7" w:rsidRPr="00534FB2" w14:paraId="16DD9552" w14:textId="77777777" w:rsidTr="009B0BE9">
        <w:trPr>
          <w:jc w:val="center"/>
        </w:trPr>
        <w:tc>
          <w:tcPr>
            <w:tcW w:w="1701" w:type="dxa"/>
            <w:tcBorders>
              <w:right w:val="nil"/>
            </w:tcBorders>
            <w:tcMar>
              <w:top w:w="57" w:type="dxa"/>
              <w:left w:w="57" w:type="dxa"/>
              <w:bottom w:w="57" w:type="dxa"/>
              <w:right w:w="57" w:type="dxa"/>
            </w:tcMar>
          </w:tcPr>
          <w:p w14:paraId="71214F41" w14:textId="77777777" w:rsidR="005337B7" w:rsidRPr="00534FB2" w:rsidRDefault="008E4AC2" w:rsidP="00134CBE">
            <w:pPr>
              <w:rPr>
                <w:sz w:val="22"/>
                <w:szCs w:val="22"/>
                <w:lang w:val="sk-SK"/>
              </w:rPr>
            </w:pPr>
            <w:r w:rsidRPr="00534FB2">
              <w:rPr>
                <w:sz w:val="22"/>
                <w:szCs w:val="22"/>
                <w:lang w:val="sk-SK"/>
              </w:rPr>
              <w:t>Valsartan</w:t>
            </w:r>
          </w:p>
        </w:tc>
        <w:tc>
          <w:tcPr>
            <w:tcW w:w="2405" w:type="dxa"/>
            <w:tcBorders>
              <w:left w:val="nil"/>
              <w:right w:val="nil"/>
            </w:tcBorders>
            <w:tcMar>
              <w:top w:w="57" w:type="dxa"/>
              <w:left w:w="57" w:type="dxa"/>
              <w:bottom w:w="57" w:type="dxa"/>
              <w:right w:w="57" w:type="dxa"/>
            </w:tcMar>
          </w:tcPr>
          <w:p w14:paraId="6E3C5597" w14:textId="77777777" w:rsidR="00976D47" w:rsidRPr="00534FB2" w:rsidRDefault="00976D47" w:rsidP="00976D47">
            <w:pPr>
              <w:rPr>
                <w:i/>
                <w:sz w:val="22"/>
                <w:szCs w:val="22"/>
                <w:lang w:val="sk-SK"/>
              </w:rPr>
            </w:pPr>
            <w:r w:rsidRPr="00534FB2">
              <w:rPr>
                <w:i/>
                <w:sz w:val="22"/>
                <w:szCs w:val="22"/>
                <w:lang w:val="sk-SK"/>
              </w:rPr>
              <w:t>Diuretiká šetriace</w:t>
            </w:r>
          </w:p>
          <w:p w14:paraId="1BAC8116" w14:textId="38BD9338" w:rsidR="00976D47" w:rsidRPr="00534FB2" w:rsidRDefault="007B3774" w:rsidP="00976D47">
            <w:pPr>
              <w:rPr>
                <w:i/>
                <w:sz w:val="22"/>
                <w:szCs w:val="22"/>
                <w:lang w:val="sk-SK"/>
              </w:rPr>
            </w:pPr>
            <w:r>
              <w:rPr>
                <w:i/>
                <w:sz w:val="22"/>
                <w:szCs w:val="22"/>
                <w:lang w:val="sk-SK"/>
              </w:rPr>
              <w:t>draslík</w:t>
            </w:r>
            <w:r w:rsidR="00976D47" w:rsidRPr="00534FB2">
              <w:rPr>
                <w:i/>
                <w:sz w:val="22"/>
                <w:szCs w:val="22"/>
                <w:lang w:val="sk-SK"/>
              </w:rPr>
              <w:t>, doplnky</w:t>
            </w:r>
          </w:p>
          <w:p w14:paraId="43E0ECF4" w14:textId="77777777" w:rsidR="00976D47" w:rsidRPr="00534FB2" w:rsidRDefault="00976D47" w:rsidP="00976D47">
            <w:pPr>
              <w:rPr>
                <w:i/>
                <w:sz w:val="22"/>
                <w:szCs w:val="22"/>
                <w:lang w:val="sk-SK"/>
              </w:rPr>
            </w:pPr>
            <w:r w:rsidRPr="00534FB2">
              <w:rPr>
                <w:i/>
                <w:sz w:val="22"/>
                <w:szCs w:val="22"/>
                <w:lang w:val="sk-SK"/>
              </w:rPr>
              <w:t>draslíka, náhrady soli</w:t>
            </w:r>
          </w:p>
          <w:p w14:paraId="26EF1CD1" w14:textId="77777777" w:rsidR="00976D47" w:rsidRPr="00534FB2" w:rsidRDefault="00976D47" w:rsidP="00976D47">
            <w:pPr>
              <w:rPr>
                <w:i/>
                <w:sz w:val="22"/>
                <w:szCs w:val="22"/>
                <w:lang w:val="sk-SK"/>
              </w:rPr>
            </w:pPr>
            <w:r w:rsidRPr="00534FB2">
              <w:rPr>
                <w:i/>
                <w:sz w:val="22"/>
                <w:szCs w:val="22"/>
                <w:lang w:val="sk-SK"/>
              </w:rPr>
              <w:t>obsahujúce draslík</w:t>
            </w:r>
          </w:p>
          <w:p w14:paraId="3E313F0A" w14:textId="77777777" w:rsidR="00976D47" w:rsidRPr="00534FB2" w:rsidRDefault="00976D47" w:rsidP="00976D47">
            <w:pPr>
              <w:rPr>
                <w:i/>
                <w:sz w:val="22"/>
                <w:szCs w:val="22"/>
                <w:lang w:val="sk-SK"/>
              </w:rPr>
            </w:pPr>
            <w:r w:rsidRPr="00534FB2">
              <w:rPr>
                <w:i/>
                <w:sz w:val="22"/>
                <w:szCs w:val="22"/>
                <w:lang w:val="sk-SK"/>
              </w:rPr>
              <w:t>a iné látky, ktoré môžu</w:t>
            </w:r>
          </w:p>
          <w:p w14:paraId="024C368E" w14:textId="77777777" w:rsidR="00976D47" w:rsidRPr="00534FB2" w:rsidRDefault="00976D47" w:rsidP="00976D47">
            <w:pPr>
              <w:rPr>
                <w:i/>
                <w:sz w:val="22"/>
                <w:szCs w:val="22"/>
                <w:lang w:val="sk-SK"/>
              </w:rPr>
            </w:pPr>
            <w:r w:rsidRPr="00534FB2">
              <w:rPr>
                <w:i/>
                <w:sz w:val="22"/>
                <w:szCs w:val="22"/>
                <w:lang w:val="sk-SK"/>
              </w:rPr>
              <w:t>zvyšovať hladiny</w:t>
            </w:r>
          </w:p>
          <w:p w14:paraId="25EA64C1" w14:textId="40D5A9D9" w:rsidR="005337B7" w:rsidRPr="00534FB2" w:rsidRDefault="00976D47" w:rsidP="00976D47">
            <w:pPr>
              <w:rPr>
                <w:i/>
                <w:sz w:val="22"/>
                <w:szCs w:val="22"/>
                <w:lang w:val="sk-SK"/>
              </w:rPr>
            </w:pPr>
            <w:r w:rsidRPr="00534FB2">
              <w:rPr>
                <w:i/>
                <w:sz w:val="22"/>
                <w:szCs w:val="22"/>
                <w:lang w:val="sk-SK"/>
              </w:rPr>
              <w:t>draslíka</w:t>
            </w:r>
          </w:p>
        </w:tc>
        <w:tc>
          <w:tcPr>
            <w:tcW w:w="4971" w:type="dxa"/>
            <w:tcBorders>
              <w:left w:val="nil"/>
            </w:tcBorders>
            <w:tcMar>
              <w:top w:w="57" w:type="dxa"/>
              <w:left w:w="57" w:type="dxa"/>
              <w:bottom w:w="57" w:type="dxa"/>
              <w:right w:w="57" w:type="dxa"/>
            </w:tcMar>
          </w:tcPr>
          <w:p w14:paraId="2C280892" w14:textId="7535CA2F" w:rsidR="005337B7" w:rsidRPr="00534FB2" w:rsidRDefault="00976D47" w:rsidP="00976D47">
            <w:pPr>
              <w:rPr>
                <w:sz w:val="22"/>
                <w:szCs w:val="22"/>
                <w:lang w:val="sk-SK"/>
              </w:rPr>
            </w:pPr>
            <w:r w:rsidRPr="00534FB2">
              <w:rPr>
                <w:sz w:val="22"/>
                <w:szCs w:val="22"/>
                <w:lang w:val="sk-SK"/>
              </w:rPr>
              <w:t>Ak sa za potrebnú považuje kombinácia valsartanu s liekom, ktorý ovplyvňuje hladiny draslíka, odporúča sa časté monitorovanie plazmatických hladín draslíka.</w:t>
            </w:r>
          </w:p>
        </w:tc>
      </w:tr>
      <w:tr w:rsidR="00E51584" w:rsidRPr="00534FB2" w14:paraId="2CB6899A" w14:textId="77777777" w:rsidTr="009B0BE9">
        <w:trPr>
          <w:jc w:val="center"/>
        </w:trPr>
        <w:tc>
          <w:tcPr>
            <w:tcW w:w="1701" w:type="dxa"/>
            <w:vMerge w:val="restart"/>
            <w:tcBorders>
              <w:right w:val="nil"/>
            </w:tcBorders>
            <w:tcMar>
              <w:top w:w="57" w:type="dxa"/>
              <w:left w:w="57" w:type="dxa"/>
              <w:bottom w:w="57" w:type="dxa"/>
              <w:right w:w="57" w:type="dxa"/>
            </w:tcMar>
          </w:tcPr>
          <w:p w14:paraId="4DB61AD1" w14:textId="4AB7E00D" w:rsidR="00E51584" w:rsidRPr="00534FB2" w:rsidRDefault="00113790" w:rsidP="00134CBE">
            <w:pPr>
              <w:rPr>
                <w:sz w:val="22"/>
                <w:szCs w:val="22"/>
                <w:lang w:val="sk-SK"/>
              </w:rPr>
            </w:pPr>
            <w:r w:rsidRPr="00534FB2">
              <w:rPr>
                <w:sz w:val="22"/>
                <w:szCs w:val="22"/>
                <w:lang w:val="sk-SK"/>
              </w:rPr>
              <w:t>Amlodipín</w:t>
            </w:r>
          </w:p>
        </w:tc>
        <w:tc>
          <w:tcPr>
            <w:tcW w:w="2405" w:type="dxa"/>
            <w:tcBorders>
              <w:left w:val="nil"/>
              <w:right w:val="nil"/>
            </w:tcBorders>
            <w:tcMar>
              <w:top w:w="57" w:type="dxa"/>
              <w:left w:w="57" w:type="dxa"/>
              <w:bottom w:w="57" w:type="dxa"/>
              <w:right w:w="57" w:type="dxa"/>
            </w:tcMar>
          </w:tcPr>
          <w:p w14:paraId="7B1108C9" w14:textId="77777777" w:rsidR="00976D47" w:rsidRPr="00534FB2" w:rsidRDefault="00976D47" w:rsidP="00976D47">
            <w:pPr>
              <w:rPr>
                <w:i/>
                <w:sz w:val="22"/>
                <w:szCs w:val="22"/>
                <w:lang w:val="sk-SK"/>
              </w:rPr>
            </w:pPr>
            <w:r w:rsidRPr="00534FB2">
              <w:rPr>
                <w:i/>
                <w:sz w:val="22"/>
                <w:szCs w:val="22"/>
                <w:lang w:val="sk-SK"/>
              </w:rPr>
              <w:t>Grapefruit</w:t>
            </w:r>
          </w:p>
          <w:p w14:paraId="578AF025" w14:textId="77777777" w:rsidR="00976D47" w:rsidRPr="00534FB2" w:rsidRDefault="00976D47" w:rsidP="00976D47">
            <w:pPr>
              <w:rPr>
                <w:i/>
                <w:sz w:val="22"/>
                <w:szCs w:val="22"/>
                <w:lang w:val="sk-SK"/>
              </w:rPr>
            </w:pPr>
            <w:r w:rsidRPr="00534FB2">
              <w:rPr>
                <w:i/>
                <w:sz w:val="22"/>
                <w:szCs w:val="22"/>
                <w:lang w:val="sk-SK"/>
              </w:rPr>
              <w:t>alebo grapefruitová</w:t>
            </w:r>
          </w:p>
          <w:p w14:paraId="5E2FAE53" w14:textId="082B8F4A" w:rsidR="00E51584" w:rsidRPr="00534FB2" w:rsidRDefault="00976D47" w:rsidP="00976D47">
            <w:pPr>
              <w:rPr>
                <w:i/>
                <w:sz w:val="22"/>
                <w:szCs w:val="22"/>
                <w:lang w:val="sk-SK"/>
              </w:rPr>
            </w:pPr>
            <w:r w:rsidRPr="00534FB2">
              <w:rPr>
                <w:i/>
                <w:sz w:val="22"/>
                <w:szCs w:val="22"/>
                <w:lang w:val="sk-SK"/>
              </w:rPr>
              <w:t>šťava</w:t>
            </w:r>
          </w:p>
        </w:tc>
        <w:tc>
          <w:tcPr>
            <w:tcW w:w="4971" w:type="dxa"/>
            <w:tcBorders>
              <w:left w:val="nil"/>
            </w:tcBorders>
            <w:tcMar>
              <w:top w:w="57" w:type="dxa"/>
              <w:left w:w="57" w:type="dxa"/>
              <w:bottom w:w="57" w:type="dxa"/>
              <w:right w:w="57" w:type="dxa"/>
            </w:tcMar>
          </w:tcPr>
          <w:p w14:paraId="663F7D4B" w14:textId="33AEDF1D" w:rsidR="00E51584" w:rsidRPr="00534FB2" w:rsidRDefault="00976D47" w:rsidP="00976D47">
            <w:pPr>
              <w:rPr>
                <w:sz w:val="22"/>
                <w:szCs w:val="22"/>
                <w:lang w:val="sk-SK"/>
              </w:rPr>
            </w:pPr>
            <w:r w:rsidRPr="00534FB2">
              <w:rPr>
                <w:sz w:val="22"/>
                <w:szCs w:val="22"/>
                <w:lang w:val="sk-SK"/>
              </w:rPr>
              <w:t>Podanie amlodipínu s grapefruitom alebo grapefruitovou šťavou sa neodporúča, pretože u niektorých pacientov sa môže zvýšiť biologická dostupnosť, čo zosilní účinky na zníženie krvného tlaku.</w:t>
            </w:r>
          </w:p>
        </w:tc>
      </w:tr>
      <w:tr w:rsidR="00E51584" w:rsidRPr="00534FB2" w14:paraId="76669285" w14:textId="77777777" w:rsidTr="009B0BE9">
        <w:trPr>
          <w:jc w:val="center"/>
        </w:trPr>
        <w:tc>
          <w:tcPr>
            <w:tcW w:w="1701" w:type="dxa"/>
            <w:vMerge/>
            <w:tcBorders>
              <w:right w:val="nil"/>
            </w:tcBorders>
            <w:tcMar>
              <w:top w:w="57" w:type="dxa"/>
              <w:left w:w="57" w:type="dxa"/>
              <w:bottom w:w="57" w:type="dxa"/>
              <w:right w:w="57" w:type="dxa"/>
            </w:tcMar>
          </w:tcPr>
          <w:p w14:paraId="71C9AD3D" w14:textId="77777777" w:rsidR="00E51584" w:rsidRPr="00534FB2" w:rsidRDefault="00E51584" w:rsidP="00134CBE">
            <w:pPr>
              <w:rPr>
                <w:sz w:val="22"/>
                <w:szCs w:val="22"/>
                <w:lang w:val="sk-SK"/>
              </w:rPr>
            </w:pPr>
          </w:p>
        </w:tc>
        <w:tc>
          <w:tcPr>
            <w:tcW w:w="2405" w:type="dxa"/>
            <w:tcBorders>
              <w:left w:val="nil"/>
              <w:right w:val="nil"/>
            </w:tcBorders>
            <w:tcMar>
              <w:top w:w="57" w:type="dxa"/>
              <w:left w:w="57" w:type="dxa"/>
              <w:bottom w:w="57" w:type="dxa"/>
              <w:right w:w="57" w:type="dxa"/>
            </w:tcMar>
          </w:tcPr>
          <w:p w14:paraId="5378EEA2" w14:textId="77777777" w:rsidR="00976D47" w:rsidRPr="00534FB2" w:rsidRDefault="00976D47" w:rsidP="00976D47">
            <w:pPr>
              <w:rPr>
                <w:i/>
                <w:sz w:val="22"/>
                <w:szCs w:val="22"/>
                <w:lang w:val="sk-SK"/>
              </w:rPr>
            </w:pPr>
            <w:r w:rsidRPr="00534FB2">
              <w:rPr>
                <w:i/>
                <w:sz w:val="22"/>
                <w:szCs w:val="22"/>
                <w:lang w:val="sk-SK"/>
              </w:rPr>
              <w:t>Inhibítory CYP3A4</w:t>
            </w:r>
          </w:p>
          <w:p w14:paraId="61678F7F" w14:textId="77777777" w:rsidR="00976D47" w:rsidRPr="00534FB2" w:rsidRDefault="00976D47" w:rsidP="00976D47">
            <w:pPr>
              <w:rPr>
                <w:sz w:val="22"/>
                <w:szCs w:val="22"/>
                <w:lang w:val="sk-SK"/>
              </w:rPr>
            </w:pPr>
            <w:r w:rsidRPr="00534FB2">
              <w:rPr>
                <w:sz w:val="22"/>
                <w:szCs w:val="22"/>
                <w:lang w:val="sk-SK"/>
              </w:rPr>
              <w:t>(napr. ketokonazol,</w:t>
            </w:r>
          </w:p>
          <w:p w14:paraId="6107E443" w14:textId="5CF8E263" w:rsidR="00E51584" w:rsidRPr="00534FB2" w:rsidRDefault="00976D47" w:rsidP="00976D47">
            <w:pPr>
              <w:rPr>
                <w:i/>
                <w:sz w:val="22"/>
                <w:szCs w:val="22"/>
                <w:lang w:val="sk-SK"/>
              </w:rPr>
            </w:pPr>
            <w:r w:rsidRPr="00534FB2">
              <w:rPr>
                <w:sz w:val="22"/>
                <w:szCs w:val="22"/>
                <w:lang w:val="sk-SK"/>
              </w:rPr>
              <w:t>itrakonazol, ritonavir)</w:t>
            </w:r>
          </w:p>
        </w:tc>
        <w:tc>
          <w:tcPr>
            <w:tcW w:w="4971" w:type="dxa"/>
            <w:tcBorders>
              <w:left w:val="nil"/>
            </w:tcBorders>
            <w:tcMar>
              <w:top w:w="57" w:type="dxa"/>
              <w:left w:w="57" w:type="dxa"/>
              <w:bottom w:w="57" w:type="dxa"/>
              <w:right w:w="57" w:type="dxa"/>
            </w:tcMar>
          </w:tcPr>
          <w:p w14:paraId="0B9276C3" w14:textId="7A95F383" w:rsidR="00976D47" w:rsidRPr="00534FB2" w:rsidRDefault="00976D47" w:rsidP="00976D47">
            <w:pPr>
              <w:rPr>
                <w:sz w:val="22"/>
                <w:szCs w:val="22"/>
                <w:lang w:val="sk-SK"/>
              </w:rPr>
            </w:pPr>
            <w:r w:rsidRPr="00534FB2">
              <w:rPr>
                <w:sz w:val="22"/>
                <w:szCs w:val="22"/>
                <w:lang w:val="sk-SK"/>
              </w:rPr>
              <w:t>Súčasné užívanie amlodipínu so silnými alebo stredne silnými inhibítormi CYP3A4 (inhibítormi proteáz, azolovými antimykotikami, makrolidmi, ako sú erytromycín alebo klaritromycín, verapamil alebo diltiazem) môže zapríčiniť významné zvýšenie expozície amlodipínu. Klinický význam týchto zmien vo farmakokinetike sa môže viac prejaviť u starších</w:t>
            </w:r>
          </w:p>
          <w:p w14:paraId="0CE2CD64" w14:textId="77777777" w:rsidR="00976D47" w:rsidRPr="00534FB2" w:rsidRDefault="00976D47" w:rsidP="00976D47">
            <w:pPr>
              <w:rPr>
                <w:sz w:val="22"/>
                <w:szCs w:val="22"/>
                <w:lang w:val="sk-SK"/>
              </w:rPr>
            </w:pPr>
            <w:r w:rsidRPr="00534FB2">
              <w:rPr>
                <w:sz w:val="22"/>
                <w:szCs w:val="22"/>
                <w:lang w:val="sk-SK"/>
              </w:rPr>
              <w:lastRenderedPageBreak/>
              <w:t>pacientov. Preto sa môže vyžadovať klinické</w:t>
            </w:r>
          </w:p>
          <w:p w14:paraId="06CCB5C9" w14:textId="73EE31CB" w:rsidR="00E51584" w:rsidRPr="00534FB2" w:rsidRDefault="00976D47" w:rsidP="00976D47">
            <w:pPr>
              <w:rPr>
                <w:sz w:val="22"/>
                <w:szCs w:val="22"/>
                <w:lang w:val="sk-SK"/>
              </w:rPr>
            </w:pPr>
            <w:r w:rsidRPr="00534FB2">
              <w:rPr>
                <w:sz w:val="22"/>
                <w:szCs w:val="22"/>
                <w:lang w:val="sk-SK"/>
              </w:rPr>
              <w:t>monitorovanie a úprava dávky.</w:t>
            </w:r>
          </w:p>
        </w:tc>
      </w:tr>
      <w:tr w:rsidR="00E51584" w:rsidRPr="00534FB2" w14:paraId="3EE64C7A" w14:textId="77777777" w:rsidTr="009B0BE9">
        <w:trPr>
          <w:jc w:val="center"/>
        </w:trPr>
        <w:tc>
          <w:tcPr>
            <w:tcW w:w="1701" w:type="dxa"/>
            <w:vMerge/>
            <w:tcBorders>
              <w:right w:val="nil"/>
            </w:tcBorders>
            <w:tcMar>
              <w:top w:w="57" w:type="dxa"/>
              <w:left w:w="57" w:type="dxa"/>
              <w:bottom w:w="57" w:type="dxa"/>
              <w:right w:w="57" w:type="dxa"/>
            </w:tcMar>
          </w:tcPr>
          <w:p w14:paraId="580FE27D" w14:textId="77777777" w:rsidR="00E51584" w:rsidRPr="00534FB2" w:rsidRDefault="00E51584" w:rsidP="00134CBE">
            <w:pPr>
              <w:rPr>
                <w:sz w:val="22"/>
                <w:szCs w:val="22"/>
                <w:lang w:val="sk-SK"/>
              </w:rPr>
            </w:pPr>
          </w:p>
        </w:tc>
        <w:tc>
          <w:tcPr>
            <w:tcW w:w="2405" w:type="dxa"/>
            <w:tcBorders>
              <w:left w:val="nil"/>
              <w:right w:val="nil"/>
            </w:tcBorders>
            <w:tcMar>
              <w:top w:w="57" w:type="dxa"/>
              <w:left w:w="57" w:type="dxa"/>
              <w:bottom w:w="57" w:type="dxa"/>
              <w:right w:w="57" w:type="dxa"/>
            </w:tcMar>
          </w:tcPr>
          <w:p w14:paraId="2AD3F62A" w14:textId="77777777" w:rsidR="00976D47" w:rsidRPr="00534FB2" w:rsidRDefault="00976D47" w:rsidP="00976D47">
            <w:pPr>
              <w:rPr>
                <w:i/>
                <w:sz w:val="22"/>
                <w:szCs w:val="22"/>
                <w:lang w:val="sk-SK"/>
              </w:rPr>
            </w:pPr>
            <w:r w:rsidRPr="00534FB2">
              <w:rPr>
                <w:i/>
                <w:sz w:val="22"/>
                <w:szCs w:val="22"/>
                <w:lang w:val="sk-SK"/>
              </w:rPr>
              <w:t>Induktory CYP3A4</w:t>
            </w:r>
          </w:p>
          <w:p w14:paraId="209779E2" w14:textId="77777777" w:rsidR="00976D47" w:rsidRPr="00534FB2" w:rsidRDefault="00976D47" w:rsidP="00976D47">
            <w:pPr>
              <w:rPr>
                <w:sz w:val="22"/>
                <w:szCs w:val="22"/>
                <w:lang w:val="sk-SK"/>
              </w:rPr>
            </w:pPr>
            <w:r w:rsidRPr="00534FB2">
              <w:rPr>
                <w:sz w:val="22"/>
                <w:szCs w:val="22"/>
                <w:lang w:val="sk-SK"/>
              </w:rPr>
              <w:t>(antikonvulzíva [napr.</w:t>
            </w:r>
          </w:p>
          <w:p w14:paraId="6E2B97A9" w14:textId="77777777" w:rsidR="00976D47" w:rsidRPr="00534FB2" w:rsidRDefault="00976D47" w:rsidP="00976D47">
            <w:pPr>
              <w:rPr>
                <w:sz w:val="22"/>
                <w:szCs w:val="22"/>
                <w:lang w:val="sk-SK"/>
              </w:rPr>
            </w:pPr>
            <w:r w:rsidRPr="00534FB2">
              <w:rPr>
                <w:sz w:val="22"/>
                <w:szCs w:val="22"/>
                <w:lang w:val="sk-SK"/>
              </w:rPr>
              <w:t>karbamazepín,</w:t>
            </w:r>
          </w:p>
          <w:p w14:paraId="19660FF4" w14:textId="77777777" w:rsidR="00976D47" w:rsidRPr="00534FB2" w:rsidRDefault="00976D47" w:rsidP="00976D47">
            <w:pPr>
              <w:rPr>
                <w:sz w:val="22"/>
                <w:szCs w:val="22"/>
                <w:lang w:val="sk-SK"/>
              </w:rPr>
            </w:pPr>
            <w:r w:rsidRPr="00534FB2">
              <w:rPr>
                <w:sz w:val="22"/>
                <w:szCs w:val="22"/>
                <w:lang w:val="sk-SK"/>
              </w:rPr>
              <w:t>fenobarbital, fenytoín,</w:t>
            </w:r>
          </w:p>
          <w:p w14:paraId="7B7ECA4B" w14:textId="77777777" w:rsidR="00976D47" w:rsidRPr="00534FB2" w:rsidRDefault="00976D47" w:rsidP="00976D47">
            <w:pPr>
              <w:rPr>
                <w:sz w:val="22"/>
                <w:szCs w:val="22"/>
                <w:lang w:val="sk-SK"/>
              </w:rPr>
            </w:pPr>
            <w:r w:rsidRPr="00534FB2">
              <w:rPr>
                <w:sz w:val="22"/>
                <w:szCs w:val="22"/>
                <w:lang w:val="sk-SK"/>
              </w:rPr>
              <w:t>fosfenytoín, primidón],</w:t>
            </w:r>
          </w:p>
          <w:p w14:paraId="4A23AA76" w14:textId="77777777" w:rsidR="00976D47" w:rsidRPr="00534FB2" w:rsidRDefault="00976D47" w:rsidP="00976D47">
            <w:pPr>
              <w:rPr>
                <w:sz w:val="22"/>
                <w:szCs w:val="22"/>
                <w:lang w:val="sk-SK"/>
              </w:rPr>
            </w:pPr>
            <w:r w:rsidRPr="00534FB2">
              <w:rPr>
                <w:sz w:val="22"/>
                <w:szCs w:val="22"/>
                <w:lang w:val="sk-SK"/>
              </w:rPr>
              <w:t>rifampicín, Hypericum</w:t>
            </w:r>
          </w:p>
          <w:p w14:paraId="554F5D96" w14:textId="77777777" w:rsidR="00976D47" w:rsidRPr="00534FB2" w:rsidRDefault="00976D47" w:rsidP="00976D47">
            <w:pPr>
              <w:rPr>
                <w:sz w:val="22"/>
                <w:szCs w:val="22"/>
                <w:lang w:val="sk-SK"/>
              </w:rPr>
            </w:pPr>
            <w:r w:rsidRPr="00534FB2">
              <w:rPr>
                <w:sz w:val="22"/>
                <w:szCs w:val="22"/>
                <w:lang w:val="sk-SK"/>
              </w:rPr>
              <w:t>perforatum [ľubovník</w:t>
            </w:r>
          </w:p>
          <w:p w14:paraId="7470BE15" w14:textId="60C632D5" w:rsidR="00E51584" w:rsidRPr="00534FB2" w:rsidRDefault="00976D47" w:rsidP="00976D47">
            <w:pPr>
              <w:rPr>
                <w:i/>
                <w:sz w:val="22"/>
                <w:szCs w:val="22"/>
                <w:lang w:val="sk-SK"/>
              </w:rPr>
            </w:pPr>
            <w:r w:rsidRPr="00534FB2">
              <w:rPr>
                <w:sz w:val="22"/>
                <w:szCs w:val="22"/>
                <w:lang w:val="sk-SK"/>
              </w:rPr>
              <w:t>bodkovaný])</w:t>
            </w:r>
          </w:p>
        </w:tc>
        <w:tc>
          <w:tcPr>
            <w:tcW w:w="4971" w:type="dxa"/>
            <w:tcBorders>
              <w:left w:val="nil"/>
            </w:tcBorders>
            <w:tcMar>
              <w:top w:w="57" w:type="dxa"/>
              <w:left w:w="57" w:type="dxa"/>
              <w:bottom w:w="57" w:type="dxa"/>
              <w:right w:w="57" w:type="dxa"/>
            </w:tcMar>
          </w:tcPr>
          <w:p w14:paraId="24392251" w14:textId="36D64588" w:rsidR="00E51584" w:rsidRPr="00534FB2" w:rsidRDefault="00976D47" w:rsidP="00976D47">
            <w:pPr>
              <w:rPr>
                <w:sz w:val="22"/>
                <w:szCs w:val="22"/>
                <w:lang w:val="sk-SK"/>
              </w:rPr>
            </w:pPr>
            <w:r w:rsidRPr="00534FB2">
              <w:rPr>
                <w:sz w:val="22"/>
                <w:szCs w:val="22"/>
                <w:lang w:val="sk-SK"/>
              </w:rPr>
              <w:t>Pri súbežnom podávaní známych induktorov CYP3A4 sa môže meniť plazmatická koncentrácia amlodipínu. Preto sa má v prípade súbežného podávania najmä so silnými</w:t>
            </w:r>
            <w:r w:rsidR="007B3774">
              <w:rPr>
                <w:sz w:val="22"/>
                <w:szCs w:val="22"/>
                <w:lang w:val="sk-SK"/>
              </w:rPr>
              <w:t xml:space="preserve"> </w:t>
            </w:r>
            <w:r w:rsidRPr="00534FB2">
              <w:rPr>
                <w:sz w:val="22"/>
                <w:szCs w:val="22"/>
                <w:lang w:val="sk-SK"/>
              </w:rPr>
              <w:t xml:space="preserve">induktormi CYP3A4 (napr. rifampicínom, </w:t>
            </w:r>
            <w:r w:rsidR="007B3774">
              <w:rPr>
                <w:i/>
                <w:sz w:val="22"/>
                <w:szCs w:val="22"/>
                <w:lang w:val="sk-SK"/>
              </w:rPr>
              <w:t>H</w:t>
            </w:r>
            <w:r w:rsidRPr="00534FB2">
              <w:rPr>
                <w:i/>
                <w:sz w:val="22"/>
                <w:szCs w:val="22"/>
                <w:lang w:val="sk-SK"/>
              </w:rPr>
              <w:t>ypericum perforatum</w:t>
            </w:r>
            <w:r w:rsidRPr="00534FB2">
              <w:rPr>
                <w:sz w:val="22"/>
                <w:szCs w:val="22"/>
                <w:lang w:val="sk-SK"/>
              </w:rPr>
              <w:t>) monitorovať</w:t>
            </w:r>
            <w:r w:rsidR="007B3774">
              <w:rPr>
                <w:sz w:val="22"/>
                <w:szCs w:val="22"/>
                <w:lang w:val="sk-SK"/>
              </w:rPr>
              <w:t xml:space="preserve"> </w:t>
            </w:r>
            <w:r w:rsidRPr="00534FB2">
              <w:rPr>
                <w:sz w:val="22"/>
                <w:szCs w:val="22"/>
                <w:lang w:val="sk-SK"/>
              </w:rPr>
              <w:t>krvný tlak a zvážiť regulácia dávkovania počas takejto súbežnej liečby aj po nej.</w:t>
            </w:r>
          </w:p>
        </w:tc>
      </w:tr>
      <w:tr w:rsidR="00E51584" w:rsidRPr="00534FB2" w14:paraId="5784C414" w14:textId="77777777" w:rsidTr="009B0BE9">
        <w:trPr>
          <w:jc w:val="center"/>
        </w:trPr>
        <w:tc>
          <w:tcPr>
            <w:tcW w:w="1701" w:type="dxa"/>
            <w:vMerge/>
            <w:tcBorders>
              <w:right w:val="nil"/>
            </w:tcBorders>
            <w:tcMar>
              <w:top w:w="57" w:type="dxa"/>
              <w:left w:w="57" w:type="dxa"/>
              <w:bottom w:w="57" w:type="dxa"/>
              <w:right w:w="57" w:type="dxa"/>
            </w:tcMar>
          </w:tcPr>
          <w:p w14:paraId="2410B000" w14:textId="77777777" w:rsidR="00E51584" w:rsidRPr="00534FB2" w:rsidRDefault="00E51584" w:rsidP="00134CBE">
            <w:pPr>
              <w:rPr>
                <w:sz w:val="22"/>
                <w:szCs w:val="22"/>
                <w:lang w:val="sk-SK"/>
              </w:rPr>
            </w:pPr>
          </w:p>
        </w:tc>
        <w:tc>
          <w:tcPr>
            <w:tcW w:w="2405" w:type="dxa"/>
            <w:tcBorders>
              <w:left w:val="nil"/>
              <w:right w:val="nil"/>
            </w:tcBorders>
            <w:tcMar>
              <w:top w:w="57" w:type="dxa"/>
              <w:left w:w="57" w:type="dxa"/>
              <w:bottom w:w="57" w:type="dxa"/>
              <w:right w:w="57" w:type="dxa"/>
            </w:tcMar>
          </w:tcPr>
          <w:p w14:paraId="2F3CB503" w14:textId="7FCA54BA" w:rsidR="00E51584" w:rsidRPr="00534FB2" w:rsidRDefault="00976D47" w:rsidP="00134CBE">
            <w:pPr>
              <w:rPr>
                <w:i/>
                <w:sz w:val="22"/>
                <w:szCs w:val="22"/>
                <w:lang w:val="sk-SK"/>
              </w:rPr>
            </w:pPr>
            <w:r w:rsidRPr="00534FB2">
              <w:rPr>
                <w:i/>
                <w:sz w:val="22"/>
                <w:szCs w:val="22"/>
                <w:lang w:val="sk-SK"/>
              </w:rPr>
              <w:t>Simvastatín</w:t>
            </w:r>
          </w:p>
        </w:tc>
        <w:tc>
          <w:tcPr>
            <w:tcW w:w="4971" w:type="dxa"/>
            <w:tcBorders>
              <w:left w:val="nil"/>
            </w:tcBorders>
            <w:tcMar>
              <w:top w:w="57" w:type="dxa"/>
              <w:left w:w="57" w:type="dxa"/>
              <w:bottom w:w="57" w:type="dxa"/>
              <w:right w:w="57" w:type="dxa"/>
            </w:tcMar>
          </w:tcPr>
          <w:p w14:paraId="46F8F2BB" w14:textId="5536443A" w:rsidR="00E51584" w:rsidRPr="00534FB2" w:rsidRDefault="00F368B8" w:rsidP="00F368B8">
            <w:pPr>
              <w:rPr>
                <w:sz w:val="22"/>
                <w:szCs w:val="22"/>
                <w:lang w:val="sk-SK"/>
              </w:rPr>
            </w:pPr>
            <w:r w:rsidRPr="00534FB2">
              <w:rPr>
                <w:sz w:val="22"/>
                <w:szCs w:val="22"/>
                <w:lang w:val="sk-SK"/>
              </w:rPr>
              <w:t>Súbežné opakované podávanie dávok 10 mg amlodipínu s 80 mg simvastatínu vyvolalo zvýšenie expozície simvastatínu o 77% v porovnaní s podávaním samotného simvastatínu. U pacientov liečených amlodipínom sa</w:t>
            </w:r>
            <w:r w:rsidR="007B3774">
              <w:rPr>
                <w:sz w:val="22"/>
                <w:szCs w:val="22"/>
                <w:lang w:val="sk-SK"/>
              </w:rPr>
              <w:t xml:space="preserve"> </w:t>
            </w:r>
            <w:r w:rsidRPr="00534FB2">
              <w:rPr>
                <w:sz w:val="22"/>
                <w:szCs w:val="22"/>
                <w:lang w:val="sk-SK"/>
              </w:rPr>
              <w:t>odporúča obmedziť dávku simvastatínu na 20 mg denne.</w:t>
            </w:r>
          </w:p>
        </w:tc>
      </w:tr>
      <w:tr w:rsidR="00E51584" w:rsidRPr="00534FB2" w14:paraId="34EBC34E" w14:textId="77777777" w:rsidTr="009B0BE9">
        <w:trPr>
          <w:jc w:val="center"/>
        </w:trPr>
        <w:tc>
          <w:tcPr>
            <w:tcW w:w="1701" w:type="dxa"/>
            <w:vMerge/>
            <w:tcBorders>
              <w:right w:val="nil"/>
            </w:tcBorders>
            <w:tcMar>
              <w:top w:w="57" w:type="dxa"/>
              <w:left w:w="57" w:type="dxa"/>
              <w:bottom w:w="57" w:type="dxa"/>
              <w:right w:w="57" w:type="dxa"/>
            </w:tcMar>
          </w:tcPr>
          <w:p w14:paraId="1B630C6F" w14:textId="77777777" w:rsidR="00E51584" w:rsidRPr="00534FB2" w:rsidRDefault="00E51584" w:rsidP="00134CBE">
            <w:pPr>
              <w:rPr>
                <w:sz w:val="22"/>
                <w:szCs w:val="22"/>
                <w:lang w:val="sk-SK"/>
              </w:rPr>
            </w:pPr>
          </w:p>
        </w:tc>
        <w:tc>
          <w:tcPr>
            <w:tcW w:w="2405" w:type="dxa"/>
            <w:tcBorders>
              <w:left w:val="nil"/>
              <w:right w:val="nil"/>
            </w:tcBorders>
            <w:tcMar>
              <w:top w:w="57" w:type="dxa"/>
              <w:left w:w="57" w:type="dxa"/>
              <w:bottom w:w="57" w:type="dxa"/>
              <w:right w:w="57" w:type="dxa"/>
            </w:tcMar>
          </w:tcPr>
          <w:p w14:paraId="41E0B7A5" w14:textId="74B64C73" w:rsidR="00E51584" w:rsidRPr="00534FB2" w:rsidRDefault="00E51584" w:rsidP="00976D47">
            <w:pPr>
              <w:rPr>
                <w:i/>
                <w:sz w:val="22"/>
                <w:szCs w:val="22"/>
                <w:lang w:val="sk-SK"/>
              </w:rPr>
            </w:pPr>
            <w:r w:rsidRPr="00534FB2">
              <w:rPr>
                <w:i/>
                <w:sz w:val="22"/>
                <w:szCs w:val="22"/>
                <w:lang w:val="sk-SK"/>
              </w:rPr>
              <w:t>Dantrol</w:t>
            </w:r>
            <w:r w:rsidR="00976D47" w:rsidRPr="00534FB2">
              <w:rPr>
                <w:i/>
                <w:sz w:val="22"/>
                <w:szCs w:val="22"/>
                <w:lang w:val="sk-SK"/>
              </w:rPr>
              <w:t>én</w:t>
            </w:r>
            <w:r w:rsidRPr="00534FB2">
              <w:rPr>
                <w:i/>
                <w:sz w:val="22"/>
                <w:szCs w:val="22"/>
                <w:lang w:val="sk-SK"/>
              </w:rPr>
              <w:t xml:space="preserve"> (inf</w:t>
            </w:r>
            <w:r w:rsidR="00976D47" w:rsidRPr="00534FB2">
              <w:rPr>
                <w:i/>
                <w:sz w:val="22"/>
                <w:szCs w:val="22"/>
                <w:lang w:val="sk-SK"/>
              </w:rPr>
              <w:t>úzia</w:t>
            </w:r>
            <w:r w:rsidRPr="00534FB2">
              <w:rPr>
                <w:i/>
                <w:sz w:val="22"/>
                <w:szCs w:val="22"/>
                <w:lang w:val="sk-SK"/>
              </w:rPr>
              <w:t>)</w:t>
            </w:r>
          </w:p>
        </w:tc>
        <w:tc>
          <w:tcPr>
            <w:tcW w:w="4971" w:type="dxa"/>
            <w:tcBorders>
              <w:left w:val="nil"/>
            </w:tcBorders>
            <w:tcMar>
              <w:top w:w="57" w:type="dxa"/>
              <w:left w:w="57" w:type="dxa"/>
              <w:bottom w:w="57" w:type="dxa"/>
              <w:right w:w="57" w:type="dxa"/>
            </w:tcMar>
          </w:tcPr>
          <w:p w14:paraId="64F20D0E" w14:textId="1DE44C66" w:rsidR="00E51584" w:rsidRPr="00534FB2" w:rsidRDefault="00217EBF" w:rsidP="00217EBF">
            <w:pPr>
              <w:rPr>
                <w:sz w:val="22"/>
                <w:szCs w:val="22"/>
                <w:lang w:val="sk-SK"/>
              </w:rPr>
            </w:pPr>
            <w:r w:rsidRPr="00534FB2">
              <w:rPr>
                <w:sz w:val="22"/>
                <w:szCs w:val="22"/>
                <w:lang w:val="sk-SK"/>
              </w:rPr>
              <w:t>U zvierat sa po podaní verapamilu a intravenózneho dantrolénu pozoruje letálna fibrilácia komôr a srdcový kolaps v spojení s hyperkaliémiou. Vzhľadom na riziko</w:t>
            </w:r>
            <w:r w:rsidR="003732B1">
              <w:rPr>
                <w:sz w:val="22"/>
                <w:szCs w:val="22"/>
                <w:lang w:val="sk-SK"/>
              </w:rPr>
              <w:t xml:space="preserve"> </w:t>
            </w:r>
            <w:r w:rsidRPr="00534FB2">
              <w:rPr>
                <w:sz w:val="22"/>
                <w:szCs w:val="22"/>
                <w:lang w:val="sk-SK"/>
              </w:rPr>
              <w:t>hyperkaliémie sa odporúča, aby sa pacienti náchylní na malígnu hypertermiu a pri regulovaní malígnej hypertermie vyhýbali súčasnému podávaniu blokátorov kalciových kanálov, ako je amlodipín.</w:t>
            </w:r>
          </w:p>
        </w:tc>
      </w:tr>
      <w:tr w:rsidR="008E4AC2" w:rsidRPr="00534FB2" w14:paraId="670E8150" w14:textId="77777777" w:rsidTr="009B0BE9">
        <w:trPr>
          <w:jc w:val="center"/>
        </w:trPr>
        <w:tc>
          <w:tcPr>
            <w:tcW w:w="1701" w:type="dxa"/>
            <w:tcBorders>
              <w:right w:val="nil"/>
            </w:tcBorders>
            <w:tcMar>
              <w:top w:w="57" w:type="dxa"/>
              <w:left w:w="57" w:type="dxa"/>
              <w:bottom w:w="57" w:type="dxa"/>
              <w:right w:w="57" w:type="dxa"/>
            </w:tcMar>
          </w:tcPr>
          <w:p w14:paraId="53B04C6B" w14:textId="2D77F740" w:rsidR="008E4AC2" w:rsidRPr="00534FB2" w:rsidRDefault="00113790" w:rsidP="00134CBE">
            <w:pPr>
              <w:rPr>
                <w:sz w:val="22"/>
                <w:szCs w:val="22"/>
                <w:lang w:val="sk-SK"/>
              </w:rPr>
            </w:pPr>
            <w:r w:rsidRPr="00534FB2">
              <w:rPr>
                <w:sz w:val="22"/>
                <w:szCs w:val="22"/>
                <w:lang w:val="sk-SK"/>
              </w:rPr>
              <w:t>Valsartan a</w:t>
            </w:r>
            <w:r w:rsidR="00E51584" w:rsidRPr="00534FB2">
              <w:rPr>
                <w:sz w:val="22"/>
                <w:szCs w:val="22"/>
                <w:lang w:val="sk-SK"/>
              </w:rPr>
              <w:t xml:space="preserve"> HCT</w:t>
            </w:r>
          </w:p>
        </w:tc>
        <w:tc>
          <w:tcPr>
            <w:tcW w:w="2405" w:type="dxa"/>
            <w:tcBorders>
              <w:left w:val="nil"/>
              <w:right w:val="nil"/>
            </w:tcBorders>
            <w:tcMar>
              <w:top w:w="57" w:type="dxa"/>
              <w:left w:w="57" w:type="dxa"/>
              <w:bottom w:w="57" w:type="dxa"/>
              <w:right w:w="57" w:type="dxa"/>
            </w:tcMar>
          </w:tcPr>
          <w:p w14:paraId="17783CA6" w14:textId="77777777" w:rsidR="00217EBF" w:rsidRPr="00534FB2" w:rsidRDefault="00217EBF" w:rsidP="00217EBF">
            <w:pPr>
              <w:rPr>
                <w:i/>
                <w:sz w:val="22"/>
                <w:szCs w:val="22"/>
                <w:lang w:val="sk-SK"/>
              </w:rPr>
            </w:pPr>
            <w:r w:rsidRPr="00534FB2">
              <w:rPr>
                <w:i/>
                <w:sz w:val="22"/>
                <w:szCs w:val="22"/>
                <w:lang w:val="sk-SK"/>
              </w:rPr>
              <w:t>Nesteroidné</w:t>
            </w:r>
          </w:p>
          <w:p w14:paraId="7ABB6147" w14:textId="77777777" w:rsidR="00217EBF" w:rsidRPr="00534FB2" w:rsidRDefault="00217EBF" w:rsidP="00217EBF">
            <w:pPr>
              <w:rPr>
                <w:i/>
                <w:sz w:val="22"/>
                <w:szCs w:val="22"/>
                <w:lang w:val="sk-SK"/>
              </w:rPr>
            </w:pPr>
            <w:r w:rsidRPr="00534FB2">
              <w:rPr>
                <w:i/>
                <w:sz w:val="22"/>
                <w:szCs w:val="22"/>
                <w:lang w:val="sk-SK"/>
              </w:rPr>
              <w:t>antiflogistiká (NSAID)</w:t>
            </w:r>
          </w:p>
          <w:p w14:paraId="018FCABF" w14:textId="77777777" w:rsidR="00217EBF" w:rsidRPr="00534FB2" w:rsidRDefault="00217EBF" w:rsidP="00217EBF">
            <w:pPr>
              <w:rPr>
                <w:i/>
                <w:sz w:val="22"/>
                <w:szCs w:val="22"/>
                <w:lang w:val="sk-SK"/>
              </w:rPr>
            </w:pPr>
            <w:r w:rsidRPr="00534FB2">
              <w:rPr>
                <w:i/>
                <w:sz w:val="22"/>
                <w:szCs w:val="22"/>
                <w:lang w:val="sk-SK"/>
              </w:rPr>
              <w:t>vrátane selektívnych</w:t>
            </w:r>
          </w:p>
          <w:p w14:paraId="0461AEDF" w14:textId="77777777" w:rsidR="00217EBF" w:rsidRPr="00534FB2" w:rsidRDefault="00217EBF" w:rsidP="00217EBF">
            <w:pPr>
              <w:rPr>
                <w:i/>
                <w:sz w:val="22"/>
                <w:szCs w:val="22"/>
                <w:lang w:val="sk-SK"/>
              </w:rPr>
            </w:pPr>
            <w:r w:rsidRPr="00534FB2">
              <w:rPr>
                <w:i/>
                <w:sz w:val="22"/>
                <w:szCs w:val="22"/>
                <w:lang w:val="sk-SK"/>
              </w:rPr>
              <w:t>inhibítorov</w:t>
            </w:r>
          </w:p>
          <w:p w14:paraId="327E5E4E" w14:textId="77777777" w:rsidR="00217EBF" w:rsidRPr="00534FB2" w:rsidRDefault="00217EBF" w:rsidP="00217EBF">
            <w:pPr>
              <w:rPr>
                <w:i/>
                <w:sz w:val="22"/>
                <w:szCs w:val="22"/>
                <w:lang w:val="sk-SK"/>
              </w:rPr>
            </w:pPr>
            <w:r w:rsidRPr="00534FB2">
              <w:rPr>
                <w:i/>
                <w:sz w:val="22"/>
                <w:szCs w:val="22"/>
                <w:lang w:val="sk-SK"/>
              </w:rPr>
              <w:t>cyklooxygenázy-2</w:t>
            </w:r>
          </w:p>
          <w:p w14:paraId="34F4ABA3" w14:textId="77777777" w:rsidR="00217EBF" w:rsidRPr="00534FB2" w:rsidRDefault="00217EBF" w:rsidP="00217EBF">
            <w:pPr>
              <w:rPr>
                <w:i/>
                <w:sz w:val="22"/>
                <w:szCs w:val="22"/>
                <w:lang w:val="sk-SK"/>
              </w:rPr>
            </w:pPr>
            <w:r w:rsidRPr="00534FB2">
              <w:rPr>
                <w:i/>
                <w:sz w:val="22"/>
                <w:szCs w:val="22"/>
                <w:lang w:val="sk-SK"/>
              </w:rPr>
              <w:t>(inhibítorov COX-2),</w:t>
            </w:r>
          </w:p>
          <w:p w14:paraId="296969D7" w14:textId="77777777" w:rsidR="00217EBF" w:rsidRPr="00534FB2" w:rsidRDefault="00217EBF" w:rsidP="00217EBF">
            <w:pPr>
              <w:rPr>
                <w:i/>
                <w:sz w:val="22"/>
                <w:szCs w:val="22"/>
                <w:lang w:val="sk-SK"/>
              </w:rPr>
            </w:pPr>
            <w:r w:rsidRPr="00534FB2">
              <w:rPr>
                <w:i/>
                <w:sz w:val="22"/>
                <w:szCs w:val="22"/>
                <w:lang w:val="sk-SK"/>
              </w:rPr>
              <w:t>acetylsalicylovej</w:t>
            </w:r>
          </w:p>
          <w:p w14:paraId="4C0E223A" w14:textId="77777777" w:rsidR="00217EBF" w:rsidRPr="00534FB2" w:rsidRDefault="00217EBF" w:rsidP="00217EBF">
            <w:pPr>
              <w:rPr>
                <w:i/>
                <w:sz w:val="22"/>
                <w:szCs w:val="22"/>
                <w:lang w:val="sk-SK"/>
              </w:rPr>
            </w:pPr>
            <w:r w:rsidRPr="00534FB2">
              <w:rPr>
                <w:i/>
                <w:sz w:val="22"/>
                <w:szCs w:val="22"/>
                <w:lang w:val="sk-SK"/>
              </w:rPr>
              <w:t>kyseliny (&gt;3 g/deň) a</w:t>
            </w:r>
          </w:p>
          <w:p w14:paraId="2D7090D8" w14:textId="5543E758" w:rsidR="008E4AC2" w:rsidRPr="00534FB2" w:rsidRDefault="00217EBF" w:rsidP="00217EBF">
            <w:pPr>
              <w:rPr>
                <w:i/>
                <w:sz w:val="22"/>
                <w:szCs w:val="22"/>
                <w:lang w:val="sk-SK"/>
              </w:rPr>
            </w:pPr>
            <w:r w:rsidRPr="00534FB2">
              <w:rPr>
                <w:i/>
                <w:sz w:val="22"/>
                <w:szCs w:val="22"/>
                <w:lang w:val="sk-SK"/>
              </w:rPr>
              <w:t>neselektívnych NSAID</w:t>
            </w:r>
          </w:p>
        </w:tc>
        <w:tc>
          <w:tcPr>
            <w:tcW w:w="4971" w:type="dxa"/>
            <w:tcBorders>
              <w:left w:val="nil"/>
            </w:tcBorders>
            <w:tcMar>
              <w:top w:w="57" w:type="dxa"/>
              <w:left w:w="57" w:type="dxa"/>
              <w:bottom w:w="57" w:type="dxa"/>
              <w:right w:w="57" w:type="dxa"/>
            </w:tcMar>
          </w:tcPr>
          <w:p w14:paraId="73F8A279" w14:textId="77777777" w:rsidR="00217EBF" w:rsidRPr="00534FB2" w:rsidRDefault="00217EBF" w:rsidP="00217EBF">
            <w:pPr>
              <w:rPr>
                <w:sz w:val="22"/>
                <w:szCs w:val="22"/>
                <w:lang w:val="sk-SK"/>
              </w:rPr>
            </w:pPr>
            <w:r w:rsidRPr="00534FB2">
              <w:rPr>
                <w:sz w:val="22"/>
                <w:szCs w:val="22"/>
                <w:lang w:val="sk-SK"/>
              </w:rPr>
              <w:t>NSAID môžu oslabiť antihypertenzívny účinok</w:t>
            </w:r>
          </w:p>
          <w:p w14:paraId="52717E7E" w14:textId="547BE2A6" w:rsidR="008E4AC2" w:rsidRPr="00534FB2" w:rsidRDefault="00217EBF" w:rsidP="00217EBF">
            <w:pPr>
              <w:rPr>
                <w:sz w:val="22"/>
                <w:szCs w:val="22"/>
                <w:lang w:val="sk-SK"/>
              </w:rPr>
            </w:pPr>
            <w:r w:rsidRPr="00534FB2">
              <w:rPr>
                <w:sz w:val="22"/>
                <w:szCs w:val="22"/>
                <w:lang w:val="sk-SK"/>
              </w:rPr>
              <w:t>antagonistov angiotenzínu II aj hydrochl</w:t>
            </w:r>
            <w:r w:rsidR="00C86DEB">
              <w:rPr>
                <w:sz w:val="22"/>
                <w:szCs w:val="22"/>
                <w:lang w:val="sk-SK"/>
              </w:rPr>
              <w:t>ó</w:t>
            </w:r>
            <w:r w:rsidRPr="00534FB2">
              <w:rPr>
                <w:sz w:val="22"/>
                <w:szCs w:val="22"/>
                <w:lang w:val="sk-SK"/>
              </w:rPr>
              <w:t>rtiazidu, keď sa podávajú súčasne. Okrem toho súbežné užívanie Asbimy HCT a NSAID môže mať za následok zhoršenie</w:t>
            </w:r>
            <w:r w:rsidR="003732B1">
              <w:rPr>
                <w:sz w:val="22"/>
                <w:szCs w:val="22"/>
                <w:lang w:val="sk-SK"/>
              </w:rPr>
              <w:t xml:space="preserve"> </w:t>
            </w:r>
            <w:r w:rsidRPr="00534FB2">
              <w:rPr>
                <w:sz w:val="22"/>
                <w:szCs w:val="22"/>
                <w:lang w:val="sk-SK"/>
              </w:rPr>
              <w:t>funkcie obličiek a zvýšenie draslíka v sére. Preto sa odporúča monitorovanie funkcie obličiek na začiatku liečby, ako aj náležitá hydratácia pacienta.</w:t>
            </w:r>
          </w:p>
        </w:tc>
      </w:tr>
      <w:tr w:rsidR="008E4AC2" w:rsidRPr="00534FB2" w14:paraId="38EEED67" w14:textId="77777777" w:rsidTr="009B0BE9">
        <w:trPr>
          <w:jc w:val="center"/>
        </w:trPr>
        <w:tc>
          <w:tcPr>
            <w:tcW w:w="1701" w:type="dxa"/>
            <w:tcBorders>
              <w:right w:val="nil"/>
            </w:tcBorders>
            <w:tcMar>
              <w:top w:w="57" w:type="dxa"/>
              <w:left w:w="57" w:type="dxa"/>
              <w:bottom w:w="57" w:type="dxa"/>
              <w:right w:w="57" w:type="dxa"/>
            </w:tcMar>
          </w:tcPr>
          <w:p w14:paraId="3283B63A" w14:textId="77777777" w:rsidR="008E4AC2" w:rsidRPr="00534FB2" w:rsidRDefault="00410762" w:rsidP="00134CBE">
            <w:pPr>
              <w:rPr>
                <w:sz w:val="22"/>
                <w:szCs w:val="22"/>
                <w:lang w:val="sk-SK"/>
              </w:rPr>
            </w:pPr>
            <w:r w:rsidRPr="00534FB2">
              <w:rPr>
                <w:sz w:val="22"/>
                <w:szCs w:val="22"/>
                <w:lang w:val="sk-SK"/>
              </w:rPr>
              <w:t>Valsartan</w:t>
            </w:r>
          </w:p>
        </w:tc>
        <w:tc>
          <w:tcPr>
            <w:tcW w:w="2405" w:type="dxa"/>
            <w:tcBorders>
              <w:left w:val="nil"/>
              <w:right w:val="nil"/>
            </w:tcBorders>
            <w:tcMar>
              <w:top w:w="57" w:type="dxa"/>
              <w:left w:w="57" w:type="dxa"/>
              <w:bottom w:w="57" w:type="dxa"/>
              <w:right w:w="57" w:type="dxa"/>
            </w:tcMar>
          </w:tcPr>
          <w:p w14:paraId="5D885E85" w14:textId="77777777" w:rsidR="00217EBF" w:rsidRPr="00534FB2" w:rsidRDefault="00217EBF" w:rsidP="00217EBF">
            <w:pPr>
              <w:rPr>
                <w:i/>
                <w:sz w:val="22"/>
                <w:szCs w:val="22"/>
                <w:lang w:val="sk-SK"/>
              </w:rPr>
            </w:pPr>
            <w:r w:rsidRPr="00534FB2">
              <w:rPr>
                <w:i/>
                <w:sz w:val="22"/>
                <w:szCs w:val="22"/>
                <w:lang w:val="sk-SK"/>
              </w:rPr>
              <w:t>Inhibítory transportéra</w:t>
            </w:r>
          </w:p>
          <w:p w14:paraId="539F0C20" w14:textId="77777777" w:rsidR="00217EBF" w:rsidRPr="00534FB2" w:rsidRDefault="00217EBF" w:rsidP="00217EBF">
            <w:pPr>
              <w:rPr>
                <w:i/>
                <w:sz w:val="22"/>
                <w:szCs w:val="22"/>
                <w:lang w:val="sk-SK"/>
              </w:rPr>
            </w:pPr>
            <w:r w:rsidRPr="00534FB2">
              <w:rPr>
                <w:i/>
                <w:sz w:val="22"/>
                <w:szCs w:val="22"/>
                <w:lang w:val="sk-SK"/>
              </w:rPr>
              <w:t>vychytávania</w:t>
            </w:r>
          </w:p>
          <w:p w14:paraId="17A1127A" w14:textId="77777777" w:rsidR="00217EBF" w:rsidRPr="00534FB2" w:rsidRDefault="00217EBF" w:rsidP="00217EBF">
            <w:pPr>
              <w:rPr>
                <w:i/>
                <w:sz w:val="22"/>
                <w:szCs w:val="22"/>
                <w:lang w:val="sk-SK"/>
              </w:rPr>
            </w:pPr>
            <w:r w:rsidRPr="00534FB2">
              <w:rPr>
                <w:i/>
                <w:sz w:val="22"/>
                <w:szCs w:val="22"/>
                <w:lang w:val="sk-SK"/>
              </w:rPr>
              <w:t>(rifampicín,</w:t>
            </w:r>
          </w:p>
          <w:p w14:paraId="194E868C" w14:textId="77777777" w:rsidR="00217EBF" w:rsidRPr="00534FB2" w:rsidRDefault="00217EBF" w:rsidP="00217EBF">
            <w:pPr>
              <w:rPr>
                <w:i/>
                <w:sz w:val="22"/>
                <w:szCs w:val="22"/>
                <w:lang w:val="sk-SK"/>
              </w:rPr>
            </w:pPr>
            <w:r w:rsidRPr="00534FB2">
              <w:rPr>
                <w:i/>
                <w:sz w:val="22"/>
                <w:szCs w:val="22"/>
                <w:lang w:val="sk-SK"/>
              </w:rPr>
              <w:t>cyklosporín) alebo</w:t>
            </w:r>
          </w:p>
          <w:p w14:paraId="748C737C" w14:textId="77777777" w:rsidR="00217EBF" w:rsidRPr="00534FB2" w:rsidRDefault="00217EBF" w:rsidP="00217EBF">
            <w:pPr>
              <w:rPr>
                <w:i/>
                <w:sz w:val="22"/>
                <w:szCs w:val="22"/>
                <w:lang w:val="sk-SK"/>
              </w:rPr>
            </w:pPr>
            <w:r w:rsidRPr="00534FB2">
              <w:rPr>
                <w:i/>
                <w:sz w:val="22"/>
                <w:szCs w:val="22"/>
                <w:lang w:val="sk-SK"/>
              </w:rPr>
              <w:t>efluxného transportéra</w:t>
            </w:r>
          </w:p>
          <w:p w14:paraId="01F29296" w14:textId="4B3758F4" w:rsidR="008E4AC2" w:rsidRPr="00534FB2" w:rsidRDefault="00217EBF" w:rsidP="00217EBF">
            <w:pPr>
              <w:rPr>
                <w:i/>
                <w:sz w:val="22"/>
                <w:szCs w:val="22"/>
                <w:lang w:val="sk-SK"/>
              </w:rPr>
            </w:pPr>
            <w:r w:rsidRPr="00534FB2">
              <w:rPr>
                <w:i/>
                <w:sz w:val="22"/>
                <w:szCs w:val="22"/>
                <w:lang w:val="sk-SK"/>
              </w:rPr>
              <w:t>(ritonavir)</w:t>
            </w:r>
          </w:p>
        </w:tc>
        <w:tc>
          <w:tcPr>
            <w:tcW w:w="4971" w:type="dxa"/>
            <w:tcBorders>
              <w:left w:val="nil"/>
            </w:tcBorders>
            <w:tcMar>
              <w:top w:w="57" w:type="dxa"/>
              <w:left w:w="57" w:type="dxa"/>
              <w:bottom w:w="57" w:type="dxa"/>
              <w:right w:w="57" w:type="dxa"/>
            </w:tcMar>
          </w:tcPr>
          <w:p w14:paraId="51EE2ADB" w14:textId="3C9A1DBF" w:rsidR="008E4AC2" w:rsidRPr="00534FB2" w:rsidRDefault="00217EBF" w:rsidP="00217EBF">
            <w:pPr>
              <w:rPr>
                <w:sz w:val="22"/>
                <w:szCs w:val="22"/>
                <w:lang w:val="sk-SK"/>
              </w:rPr>
            </w:pPr>
            <w:r w:rsidRPr="00534FB2">
              <w:rPr>
                <w:sz w:val="22"/>
                <w:szCs w:val="22"/>
                <w:lang w:val="sk-SK"/>
              </w:rPr>
              <w:t xml:space="preserve">Výsledky štúdie </w:t>
            </w:r>
            <w:r w:rsidRPr="00534FB2">
              <w:rPr>
                <w:i/>
                <w:sz w:val="22"/>
                <w:szCs w:val="22"/>
                <w:lang w:val="sk-SK"/>
              </w:rPr>
              <w:t>in vitro</w:t>
            </w:r>
            <w:r w:rsidRPr="00534FB2">
              <w:rPr>
                <w:sz w:val="22"/>
                <w:szCs w:val="22"/>
                <w:lang w:val="sk-SK"/>
              </w:rPr>
              <w:t xml:space="preserve"> s tkanivom ľudskej pečene ukazujú, že valsartan je substrátom pečeňového transportéra vychytávania OATP1B1 a pečeňového efluxného transportéra MRP2. Súbežné podávanie inhibítorov transportéra vychytávania (rifampicínu, cyklosporínu) alebo efluxného transportéra (ritonaviru) môže zvýšiť systémovú expozíciu valsartanu.</w:t>
            </w:r>
          </w:p>
        </w:tc>
      </w:tr>
      <w:tr w:rsidR="00410762" w:rsidRPr="00534FB2" w14:paraId="212C5739" w14:textId="77777777" w:rsidTr="009B0BE9">
        <w:trPr>
          <w:jc w:val="center"/>
        </w:trPr>
        <w:tc>
          <w:tcPr>
            <w:tcW w:w="1701" w:type="dxa"/>
            <w:vMerge w:val="restart"/>
            <w:tcBorders>
              <w:right w:val="nil"/>
            </w:tcBorders>
            <w:tcMar>
              <w:top w:w="57" w:type="dxa"/>
              <w:left w:w="57" w:type="dxa"/>
              <w:bottom w:w="57" w:type="dxa"/>
              <w:right w:w="57" w:type="dxa"/>
            </w:tcMar>
          </w:tcPr>
          <w:p w14:paraId="41164ABB" w14:textId="77777777" w:rsidR="00410762" w:rsidRPr="00534FB2" w:rsidRDefault="00410762" w:rsidP="00134CBE">
            <w:pPr>
              <w:rPr>
                <w:sz w:val="22"/>
                <w:szCs w:val="22"/>
                <w:lang w:val="sk-SK"/>
              </w:rPr>
            </w:pPr>
            <w:r w:rsidRPr="00534FB2">
              <w:rPr>
                <w:sz w:val="22"/>
                <w:szCs w:val="22"/>
                <w:lang w:val="sk-SK"/>
              </w:rPr>
              <w:t>HCT</w:t>
            </w:r>
          </w:p>
        </w:tc>
        <w:tc>
          <w:tcPr>
            <w:tcW w:w="2405" w:type="dxa"/>
            <w:tcBorders>
              <w:left w:val="nil"/>
              <w:right w:val="nil"/>
            </w:tcBorders>
            <w:tcMar>
              <w:top w:w="57" w:type="dxa"/>
              <w:left w:w="57" w:type="dxa"/>
              <w:bottom w:w="57" w:type="dxa"/>
              <w:right w:w="57" w:type="dxa"/>
            </w:tcMar>
          </w:tcPr>
          <w:p w14:paraId="172BD7E9" w14:textId="77777777" w:rsidR="00217EBF" w:rsidRPr="00534FB2" w:rsidRDefault="00217EBF" w:rsidP="00217EBF">
            <w:pPr>
              <w:rPr>
                <w:i/>
                <w:sz w:val="22"/>
                <w:szCs w:val="22"/>
                <w:lang w:val="sk-SK"/>
              </w:rPr>
            </w:pPr>
            <w:r w:rsidRPr="00534FB2">
              <w:rPr>
                <w:i/>
                <w:sz w:val="22"/>
                <w:szCs w:val="22"/>
                <w:lang w:val="sk-SK"/>
              </w:rPr>
              <w:t>Alkohol, barbituráty</w:t>
            </w:r>
          </w:p>
          <w:p w14:paraId="0F3DB843" w14:textId="0806C50A" w:rsidR="00410762" w:rsidRPr="00534FB2" w:rsidRDefault="00217EBF" w:rsidP="00217EBF">
            <w:pPr>
              <w:rPr>
                <w:i/>
                <w:sz w:val="22"/>
                <w:szCs w:val="22"/>
                <w:lang w:val="sk-SK"/>
              </w:rPr>
            </w:pPr>
            <w:r w:rsidRPr="00534FB2">
              <w:rPr>
                <w:i/>
                <w:sz w:val="22"/>
                <w:szCs w:val="22"/>
                <w:lang w:val="sk-SK"/>
              </w:rPr>
              <w:t>alebo narkotiká</w:t>
            </w:r>
          </w:p>
        </w:tc>
        <w:tc>
          <w:tcPr>
            <w:tcW w:w="4971" w:type="dxa"/>
            <w:tcBorders>
              <w:left w:val="nil"/>
            </w:tcBorders>
            <w:tcMar>
              <w:top w:w="57" w:type="dxa"/>
              <w:left w:w="57" w:type="dxa"/>
              <w:bottom w:w="57" w:type="dxa"/>
              <w:right w:w="57" w:type="dxa"/>
            </w:tcMar>
          </w:tcPr>
          <w:p w14:paraId="2C1D9825" w14:textId="77777777" w:rsidR="00217EBF" w:rsidRPr="00534FB2" w:rsidRDefault="00217EBF" w:rsidP="00217EBF">
            <w:pPr>
              <w:rPr>
                <w:sz w:val="22"/>
                <w:szCs w:val="22"/>
                <w:lang w:val="sk-SK"/>
              </w:rPr>
            </w:pPr>
            <w:r w:rsidRPr="00534FB2">
              <w:rPr>
                <w:sz w:val="22"/>
                <w:szCs w:val="22"/>
                <w:lang w:val="sk-SK"/>
              </w:rPr>
              <w:t>Súbežné podávanie tiazidových diuretík s látkami,</w:t>
            </w:r>
          </w:p>
          <w:p w14:paraId="06628C80" w14:textId="77777777" w:rsidR="00217EBF" w:rsidRPr="00534FB2" w:rsidRDefault="00217EBF" w:rsidP="00217EBF">
            <w:pPr>
              <w:rPr>
                <w:sz w:val="22"/>
                <w:szCs w:val="22"/>
                <w:lang w:val="sk-SK"/>
              </w:rPr>
            </w:pPr>
            <w:r w:rsidRPr="00534FB2">
              <w:rPr>
                <w:sz w:val="22"/>
                <w:szCs w:val="22"/>
                <w:lang w:val="sk-SK"/>
              </w:rPr>
              <w:t>ktorých účinkom sa tiež znižuje krvný tlak (napr.</w:t>
            </w:r>
          </w:p>
          <w:p w14:paraId="4DD28B07" w14:textId="2FB2D857" w:rsidR="00410762" w:rsidRPr="00534FB2" w:rsidRDefault="00217EBF" w:rsidP="00217EBF">
            <w:pPr>
              <w:rPr>
                <w:sz w:val="22"/>
                <w:szCs w:val="22"/>
                <w:lang w:val="sk-SK"/>
              </w:rPr>
            </w:pPr>
            <w:r w:rsidRPr="00534FB2">
              <w:rPr>
                <w:sz w:val="22"/>
                <w:szCs w:val="22"/>
                <w:lang w:val="sk-SK"/>
              </w:rPr>
              <w:t>znížením aktivity sympatického centrálneho nervového systému alebo priamou vazodilatáciou), môže potenciovať ortostatickú hypotenziu.</w:t>
            </w:r>
          </w:p>
        </w:tc>
      </w:tr>
      <w:tr w:rsidR="00410762" w:rsidRPr="00534FB2" w14:paraId="3ADE80F7" w14:textId="77777777" w:rsidTr="009B0BE9">
        <w:trPr>
          <w:jc w:val="center"/>
        </w:trPr>
        <w:tc>
          <w:tcPr>
            <w:tcW w:w="1701" w:type="dxa"/>
            <w:vMerge/>
            <w:tcBorders>
              <w:right w:val="nil"/>
            </w:tcBorders>
            <w:tcMar>
              <w:top w:w="57" w:type="dxa"/>
              <w:left w:w="57" w:type="dxa"/>
              <w:bottom w:w="57" w:type="dxa"/>
              <w:right w:w="57" w:type="dxa"/>
            </w:tcMar>
          </w:tcPr>
          <w:p w14:paraId="3D1AEAB7"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4CAB537C" w14:textId="025A4E39" w:rsidR="00410762" w:rsidRPr="00534FB2" w:rsidRDefault="00410762" w:rsidP="00217EBF">
            <w:pPr>
              <w:rPr>
                <w:i/>
                <w:sz w:val="22"/>
                <w:szCs w:val="22"/>
                <w:lang w:val="sk-SK"/>
              </w:rPr>
            </w:pPr>
            <w:r w:rsidRPr="00534FB2">
              <w:rPr>
                <w:i/>
                <w:sz w:val="22"/>
                <w:szCs w:val="22"/>
                <w:lang w:val="sk-SK"/>
              </w:rPr>
              <w:t>Amantad</w:t>
            </w:r>
            <w:r w:rsidR="00217EBF" w:rsidRPr="00534FB2">
              <w:rPr>
                <w:i/>
                <w:sz w:val="22"/>
                <w:szCs w:val="22"/>
                <w:lang w:val="sk-SK"/>
              </w:rPr>
              <w:t>ín</w:t>
            </w:r>
          </w:p>
        </w:tc>
        <w:tc>
          <w:tcPr>
            <w:tcW w:w="4971" w:type="dxa"/>
            <w:tcBorders>
              <w:left w:val="nil"/>
            </w:tcBorders>
            <w:tcMar>
              <w:top w:w="57" w:type="dxa"/>
              <w:left w:w="57" w:type="dxa"/>
              <w:bottom w:w="57" w:type="dxa"/>
              <w:right w:w="57" w:type="dxa"/>
            </w:tcMar>
          </w:tcPr>
          <w:p w14:paraId="63AE9031" w14:textId="6FDE98CD" w:rsidR="00410762" w:rsidRPr="00534FB2" w:rsidRDefault="00325DC3" w:rsidP="00325DC3">
            <w:pPr>
              <w:rPr>
                <w:sz w:val="22"/>
                <w:szCs w:val="22"/>
                <w:lang w:val="sk-SK"/>
              </w:rPr>
            </w:pPr>
            <w:r w:rsidRPr="00534FB2">
              <w:rPr>
                <w:sz w:val="22"/>
                <w:szCs w:val="22"/>
                <w:lang w:val="sk-SK"/>
              </w:rPr>
              <w:t>Tiazidy vrátane hydrochl</w:t>
            </w:r>
            <w:r w:rsidR="00C86DEB">
              <w:rPr>
                <w:sz w:val="22"/>
                <w:szCs w:val="22"/>
                <w:lang w:val="sk-SK"/>
              </w:rPr>
              <w:t>ó</w:t>
            </w:r>
            <w:r w:rsidRPr="00534FB2">
              <w:rPr>
                <w:sz w:val="22"/>
                <w:szCs w:val="22"/>
                <w:lang w:val="sk-SK"/>
              </w:rPr>
              <w:t>rtiazidu môžu zvyšovať riziko nežiaducich reakcií spôsobených amantadínom.</w:t>
            </w:r>
          </w:p>
        </w:tc>
      </w:tr>
      <w:tr w:rsidR="00410762" w:rsidRPr="00534FB2" w14:paraId="60FD8F44" w14:textId="77777777" w:rsidTr="009B0BE9">
        <w:trPr>
          <w:jc w:val="center"/>
        </w:trPr>
        <w:tc>
          <w:tcPr>
            <w:tcW w:w="1701" w:type="dxa"/>
            <w:vMerge/>
            <w:tcBorders>
              <w:right w:val="nil"/>
            </w:tcBorders>
            <w:tcMar>
              <w:top w:w="57" w:type="dxa"/>
              <w:left w:w="57" w:type="dxa"/>
              <w:bottom w:w="57" w:type="dxa"/>
              <w:right w:w="57" w:type="dxa"/>
            </w:tcMar>
          </w:tcPr>
          <w:p w14:paraId="0506636B"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73BEC820" w14:textId="4998D3C1" w:rsidR="00325DC3" w:rsidRPr="00534FB2" w:rsidRDefault="00325DC3" w:rsidP="00325DC3">
            <w:pPr>
              <w:rPr>
                <w:i/>
                <w:sz w:val="22"/>
                <w:szCs w:val="22"/>
                <w:lang w:val="sk-SK"/>
              </w:rPr>
            </w:pPr>
            <w:r w:rsidRPr="00534FB2">
              <w:rPr>
                <w:i/>
                <w:sz w:val="22"/>
                <w:szCs w:val="22"/>
                <w:lang w:val="sk-SK"/>
              </w:rPr>
              <w:t>Antichol</w:t>
            </w:r>
            <w:r w:rsidR="00DB7B13">
              <w:rPr>
                <w:i/>
                <w:sz w:val="22"/>
                <w:szCs w:val="22"/>
                <w:lang w:val="sk-SK"/>
              </w:rPr>
              <w:t>i</w:t>
            </w:r>
            <w:r w:rsidRPr="00534FB2">
              <w:rPr>
                <w:i/>
                <w:sz w:val="22"/>
                <w:szCs w:val="22"/>
                <w:lang w:val="sk-SK"/>
              </w:rPr>
              <w:t>nergiká a iné</w:t>
            </w:r>
          </w:p>
          <w:p w14:paraId="79106031" w14:textId="77777777" w:rsidR="00325DC3" w:rsidRPr="00534FB2" w:rsidRDefault="00325DC3" w:rsidP="00325DC3">
            <w:pPr>
              <w:rPr>
                <w:i/>
                <w:sz w:val="22"/>
                <w:szCs w:val="22"/>
                <w:lang w:val="sk-SK"/>
              </w:rPr>
            </w:pPr>
            <w:r w:rsidRPr="00534FB2">
              <w:rPr>
                <w:i/>
                <w:sz w:val="22"/>
                <w:szCs w:val="22"/>
                <w:lang w:val="sk-SK"/>
              </w:rPr>
              <w:t>lieky ovplyvňujúce</w:t>
            </w:r>
          </w:p>
          <w:p w14:paraId="6120B19F" w14:textId="04473FA6" w:rsidR="00410762" w:rsidRPr="00534FB2" w:rsidRDefault="00325DC3" w:rsidP="00325DC3">
            <w:pPr>
              <w:rPr>
                <w:i/>
                <w:sz w:val="22"/>
                <w:szCs w:val="22"/>
                <w:lang w:val="sk-SK"/>
              </w:rPr>
            </w:pPr>
            <w:r w:rsidRPr="00534FB2">
              <w:rPr>
                <w:i/>
                <w:sz w:val="22"/>
                <w:szCs w:val="22"/>
                <w:lang w:val="sk-SK"/>
              </w:rPr>
              <w:t>motilitu žalúdka</w:t>
            </w:r>
          </w:p>
        </w:tc>
        <w:tc>
          <w:tcPr>
            <w:tcW w:w="4971" w:type="dxa"/>
            <w:tcBorders>
              <w:left w:val="nil"/>
            </w:tcBorders>
            <w:tcMar>
              <w:top w:w="57" w:type="dxa"/>
              <w:left w:w="57" w:type="dxa"/>
              <w:bottom w:w="57" w:type="dxa"/>
              <w:right w:w="57" w:type="dxa"/>
            </w:tcMar>
          </w:tcPr>
          <w:p w14:paraId="3E4B11FB" w14:textId="348373C8" w:rsidR="00410762" w:rsidRPr="00534FB2" w:rsidRDefault="00325DC3" w:rsidP="00325DC3">
            <w:pPr>
              <w:rPr>
                <w:sz w:val="22"/>
                <w:szCs w:val="22"/>
                <w:lang w:val="sk-SK"/>
              </w:rPr>
            </w:pPr>
            <w:r w:rsidRPr="00534FB2">
              <w:rPr>
                <w:sz w:val="22"/>
                <w:szCs w:val="22"/>
                <w:lang w:val="sk-SK"/>
              </w:rPr>
              <w:t>Biologická dostupnosť diuretík tiazidového typu sa môže zvýšiť antichol</w:t>
            </w:r>
            <w:r w:rsidR="00DB7B13">
              <w:rPr>
                <w:sz w:val="22"/>
                <w:szCs w:val="22"/>
                <w:lang w:val="sk-SK"/>
              </w:rPr>
              <w:t>i</w:t>
            </w:r>
            <w:r w:rsidRPr="00534FB2">
              <w:rPr>
                <w:sz w:val="22"/>
                <w:szCs w:val="22"/>
                <w:lang w:val="sk-SK"/>
              </w:rPr>
              <w:t>nergikami (napr. atropínom, biperidénom), zjavne pre zníženie gastrointestinálnej motility a rýchlosti vyprázdňovania žalúdka. Naopak sa predpokladá, že prokinetické látky, napr. cisaprid, môžu</w:t>
            </w:r>
            <w:r w:rsidR="00DB7B13">
              <w:rPr>
                <w:sz w:val="22"/>
                <w:szCs w:val="22"/>
                <w:lang w:val="sk-SK"/>
              </w:rPr>
              <w:t xml:space="preserve"> </w:t>
            </w:r>
            <w:r w:rsidRPr="00534FB2">
              <w:rPr>
                <w:sz w:val="22"/>
                <w:szCs w:val="22"/>
                <w:lang w:val="sk-SK"/>
              </w:rPr>
              <w:t>znížiť biologickú dostupnosť diuretík tiazidového typu.</w:t>
            </w:r>
          </w:p>
        </w:tc>
      </w:tr>
      <w:tr w:rsidR="00410762" w:rsidRPr="00534FB2" w14:paraId="58B2B066" w14:textId="77777777" w:rsidTr="009B0BE9">
        <w:trPr>
          <w:jc w:val="center"/>
        </w:trPr>
        <w:tc>
          <w:tcPr>
            <w:tcW w:w="1701" w:type="dxa"/>
            <w:vMerge/>
            <w:tcBorders>
              <w:right w:val="nil"/>
            </w:tcBorders>
            <w:tcMar>
              <w:top w:w="57" w:type="dxa"/>
              <w:left w:w="57" w:type="dxa"/>
              <w:bottom w:w="57" w:type="dxa"/>
              <w:right w:w="57" w:type="dxa"/>
            </w:tcMar>
          </w:tcPr>
          <w:p w14:paraId="7A6E0FAC"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44531DE1" w14:textId="77777777" w:rsidR="00325DC3" w:rsidRPr="00534FB2" w:rsidRDefault="00325DC3" w:rsidP="00325DC3">
            <w:pPr>
              <w:rPr>
                <w:sz w:val="22"/>
                <w:szCs w:val="22"/>
                <w:lang w:val="sk-SK"/>
              </w:rPr>
            </w:pPr>
            <w:r w:rsidRPr="00534FB2">
              <w:rPr>
                <w:i/>
                <w:sz w:val="22"/>
                <w:szCs w:val="22"/>
                <w:lang w:val="sk-SK"/>
              </w:rPr>
              <w:t xml:space="preserve">Antidiabetiká </w:t>
            </w:r>
            <w:r w:rsidRPr="00534FB2">
              <w:rPr>
                <w:sz w:val="22"/>
                <w:szCs w:val="22"/>
                <w:lang w:val="sk-SK"/>
              </w:rPr>
              <w:t>(napr.</w:t>
            </w:r>
          </w:p>
          <w:p w14:paraId="43AE1449" w14:textId="77777777" w:rsidR="00325DC3" w:rsidRPr="00534FB2" w:rsidRDefault="00325DC3" w:rsidP="00325DC3">
            <w:pPr>
              <w:rPr>
                <w:sz w:val="22"/>
                <w:szCs w:val="22"/>
                <w:lang w:val="sk-SK"/>
              </w:rPr>
            </w:pPr>
            <w:r w:rsidRPr="00534FB2">
              <w:rPr>
                <w:sz w:val="22"/>
                <w:szCs w:val="22"/>
                <w:lang w:val="sk-SK"/>
              </w:rPr>
              <w:t>inzulín a perorálne</w:t>
            </w:r>
          </w:p>
          <w:p w14:paraId="0C77F044" w14:textId="77777777" w:rsidR="00325DC3" w:rsidRPr="00534FB2" w:rsidRDefault="00325DC3" w:rsidP="00325DC3">
            <w:pPr>
              <w:rPr>
                <w:i/>
                <w:sz w:val="22"/>
                <w:szCs w:val="22"/>
                <w:lang w:val="sk-SK"/>
              </w:rPr>
            </w:pPr>
            <w:r w:rsidRPr="00534FB2">
              <w:rPr>
                <w:sz w:val="22"/>
                <w:szCs w:val="22"/>
                <w:lang w:val="sk-SK"/>
              </w:rPr>
              <w:t>antidiabetiká</w:t>
            </w:r>
            <w:r w:rsidRPr="00534FB2">
              <w:rPr>
                <w:i/>
                <w:sz w:val="22"/>
                <w:szCs w:val="22"/>
                <w:lang w:val="sk-SK"/>
              </w:rPr>
              <w:t>)</w:t>
            </w:r>
          </w:p>
          <w:p w14:paraId="4AA5578D" w14:textId="70490F75" w:rsidR="00410762" w:rsidRPr="00534FB2" w:rsidRDefault="00410762" w:rsidP="00325DC3">
            <w:pPr>
              <w:rPr>
                <w:i/>
                <w:sz w:val="22"/>
                <w:szCs w:val="22"/>
                <w:lang w:val="sk-SK"/>
              </w:rPr>
            </w:pPr>
            <w:r w:rsidRPr="00534FB2">
              <w:rPr>
                <w:sz w:val="22"/>
                <w:szCs w:val="22"/>
                <w:lang w:val="sk-SK"/>
              </w:rPr>
              <w:t xml:space="preserve">– </w:t>
            </w:r>
            <w:r w:rsidRPr="00534FB2">
              <w:rPr>
                <w:i/>
                <w:sz w:val="22"/>
                <w:szCs w:val="22"/>
                <w:lang w:val="sk-SK"/>
              </w:rPr>
              <w:t>Met</w:t>
            </w:r>
            <w:r w:rsidR="00325DC3" w:rsidRPr="00534FB2">
              <w:rPr>
                <w:i/>
                <w:sz w:val="22"/>
                <w:szCs w:val="22"/>
                <w:lang w:val="sk-SK"/>
              </w:rPr>
              <w:t>formín</w:t>
            </w:r>
          </w:p>
        </w:tc>
        <w:tc>
          <w:tcPr>
            <w:tcW w:w="4971" w:type="dxa"/>
            <w:tcBorders>
              <w:left w:val="nil"/>
            </w:tcBorders>
            <w:tcMar>
              <w:top w:w="57" w:type="dxa"/>
              <w:left w:w="57" w:type="dxa"/>
              <w:bottom w:w="57" w:type="dxa"/>
              <w:right w:w="57" w:type="dxa"/>
            </w:tcMar>
          </w:tcPr>
          <w:p w14:paraId="1811B159" w14:textId="5909A45C" w:rsidR="00410762" w:rsidRPr="00534FB2" w:rsidRDefault="00325DC3" w:rsidP="00325DC3">
            <w:pPr>
              <w:rPr>
                <w:sz w:val="22"/>
                <w:szCs w:val="22"/>
                <w:lang w:val="sk-SK"/>
              </w:rPr>
            </w:pPr>
            <w:r w:rsidRPr="00534FB2">
              <w:rPr>
                <w:sz w:val="22"/>
                <w:szCs w:val="22"/>
                <w:lang w:val="sk-SK"/>
              </w:rPr>
              <w:t>Tiazidy môžu zmeniť glukózovú toleranciu. Môže byť potrebné upraviť dávku antidiabetika.</w:t>
            </w:r>
          </w:p>
          <w:p w14:paraId="689A2CE7" w14:textId="77777777" w:rsidR="00325DC3" w:rsidRPr="00534FB2" w:rsidRDefault="00325DC3" w:rsidP="00325DC3">
            <w:pPr>
              <w:rPr>
                <w:sz w:val="22"/>
                <w:szCs w:val="22"/>
                <w:lang w:val="sk-SK"/>
              </w:rPr>
            </w:pPr>
          </w:p>
          <w:p w14:paraId="79CD6BEF" w14:textId="67EDFAB4" w:rsidR="00410762" w:rsidRPr="00534FB2" w:rsidRDefault="00325DC3" w:rsidP="00325DC3">
            <w:pPr>
              <w:rPr>
                <w:sz w:val="22"/>
                <w:szCs w:val="22"/>
                <w:lang w:val="sk-SK"/>
              </w:rPr>
            </w:pPr>
            <w:r w:rsidRPr="00534FB2">
              <w:rPr>
                <w:sz w:val="22"/>
                <w:szCs w:val="22"/>
                <w:lang w:val="sk-SK"/>
              </w:rPr>
              <w:t>Metformín sa má používať opatrne vzhľadom na riziko laktátovej acidózy vyvolanej možným funkčným zlyhaním obličiek pripisovaným hydrochl</w:t>
            </w:r>
            <w:r w:rsidR="00C86DEB">
              <w:rPr>
                <w:sz w:val="22"/>
                <w:szCs w:val="22"/>
                <w:lang w:val="sk-SK"/>
              </w:rPr>
              <w:t>ó</w:t>
            </w:r>
            <w:r w:rsidRPr="00534FB2">
              <w:rPr>
                <w:sz w:val="22"/>
                <w:szCs w:val="22"/>
                <w:lang w:val="sk-SK"/>
              </w:rPr>
              <w:t>rtiazidu.</w:t>
            </w:r>
          </w:p>
        </w:tc>
      </w:tr>
      <w:tr w:rsidR="00410762" w:rsidRPr="00534FB2" w14:paraId="3C8D0A42" w14:textId="77777777" w:rsidTr="009B0BE9">
        <w:trPr>
          <w:jc w:val="center"/>
        </w:trPr>
        <w:tc>
          <w:tcPr>
            <w:tcW w:w="1701" w:type="dxa"/>
            <w:vMerge/>
            <w:tcBorders>
              <w:right w:val="nil"/>
            </w:tcBorders>
            <w:tcMar>
              <w:top w:w="57" w:type="dxa"/>
              <w:left w:w="57" w:type="dxa"/>
              <w:bottom w:w="57" w:type="dxa"/>
              <w:right w:w="57" w:type="dxa"/>
            </w:tcMar>
          </w:tcPr>
          <w:p w14:paraId="5A262D91"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2A3AE390" w14:textId="77777777" w:rsidR="00325DC3" w:rsidRPr="00534FB2" w:rsidRDefault="00325DC3" w:rsidP="00325DC3">
            <w:pPr>
              <w:rPr>
                <w:i/>
                <w:sz w:val="22"/>
                <w:szCs w:val="22"/>
                <w:lang w:val="sk-SK"/>
              </w:rPr>
            </w:pPr>
            <w:r w:rsidRPr="00534FB2">
              <w:rPr>
                <w:i/>
                <w:sz w:val="22"/>
                <w:szCs w:val="22"/>
                <w:lang w:val="sk-SK"/>
              </w:rPr>
              <w:t>Betablokátory a</w:t>
            </w:r>
          </w:p>
          <w:p w14:paraId="05AEFED4" w14:textId="3038CA2E" w:rsidR="00410762" w:rsidRPr="00534FB2" w:rsidRDefault="00325DC3" w:rsidP="00325DC3">
            <w:pPr>
              <w:rPr>
                <w:i/>
                <w:sz w:val="22"/>
                <w:szCs w:val="22"/>
                <w:lang w:val="sk-SK"/>
              </w:rPr>
            </w:pPr>
            <w:r w:rsidRPr="00534FB2">
              <w:rPr>
                <w:i/>
                <w:sz w:val="22"/>
                <w:szCs w:val="22"/>
                <w:lang w:val="sk-SK"/>
              </w:rPr>
              <w:t>diazoxid</w:t>
            </w:r>
          </w:p>
        </w:tc>
        <w:tc>
          <w:tcPr>
            <w:tcW w:w="4971" w:type="dxa"/>
            <w:tcBorders>
              <w:left w:val="nil"/>
            </w:tcBorders>
            <w:tcMar>
              <w:top w:w="57" w:type="dxa"/>
              <w:left w:w="57" w:type="dxa"/>
              <w:bottom w:w="57" w:type="dxa"/>
              <w:right w:w="57" w:type="dxa"/>
            </w:tcMar>
          </w:tcPr>
          <w:p w14:paraId="6627DE85" w14:textId="2FB7C6A6" w:rsidR="00325DC3" w:rsidRPr="00534FB2" w:rsidRDefault="00325DC3" w:rsidP="00325DC3">
            <w:pPr>
              <w:rPr>
                <w:sz w:val="22"/>
                <w:szCs w:val="22"/>
                <w:lang w:val="sk-SK"/>
              </w:rPr>
            </w:pPr>
            <w:r w:rsidRPr="00534FB2">
              <w:rPr>
                <w:sz w:val="22"/>
                <w:szCs w:val="22"/>
                <w:lang w:val="sk-SK"/>
              </w:rPr>
              <w:t>Sú</w:t>
            </w:r>
            <w:r w:rsidR="00DB7B13">
              <w:rPr>
                <w:sz w:val="22"/>
                <w:szCs w:val="22"/>
                <w:lang w:val="sk-SK"/>
              </w:rPr>
              <w:t>bež</w:t>
            </w:r>
            <w:r w:rsidRPr="00534FB2">
              <w:rPr>
                <w:sz w:val="22"/>
                <w:szCs w:val="22"/>
                <w:lang w:val="sk-SK"/>
              </w:rPr>
              <w:t>né užívanie tiazidových diuretík vrátane</w:t>
            </w:r>
          </w:p>
          <w:p w14:paraId="1C93870A" w14:textId="6EB3526E" w:rsidR="00325DC3" w:rsidRPr="00534FB2" w:rsidRDefault="00325DC3" w:rsidP="00325DC3">
            <w:pPr>
              <w:rPr>
                <w:sz w:val="22"/>
                <w:szCs w:val="22"/>
                <w:lang w:val="sk-SK"/>
              </w:rPr>
            </w:pPr>
            <w:r w:rsidRPr="00534FB2">
              <w:rPr>
                <w:sz w:val="22"/>
                <w:szCs w:val="22"/>
                <w:lang w:val="sk-SK"/>
              </w:rPr>
              <w:t>hydrochl</w:t>
            </w:r>
            <w:r w:rsidR="00C86DEB">
              <w:rPr>
                <w:sz w:val="22"/>
                <w:szCs w:val="22"/>
                <w:lang w:val="sk-SK"/>
              </w:rPr>
              <w:t>ó</w:t>
            </w:r>
            <w:r w:rsidRPr="00534FB2">
              <w:rPr>
                <w:sz w:val="22"/>
                <w:szCs w:val="22"/>
                <w:lang w:val="sk-SK"/>
              </w:rPr>
              <w:t>rtiazidu s betablokátormi môže zvýšiť riziko hyperglykémie. Tiazidové diuretiká vrátane</w:t>
            </w:r>
          </w:p>
          <w:p w14:paraId="2572B4C1" w14:textId="51D42796" w:rsidR="00410762" w:rsidRPr="00534FB2" w:rsidRDefault="00325DC3" w:rsidP="00325DC3">
            <w:pPr>
              <w:rPr>
                <w:sz w:val="22"/>
                <w:szCs w:val="22"/>
                <w:lang w:val="sk-SK"/>
              </w:rPr>
            </w:pPr>
            <w:r w:rsidRPr="00534FB2">
              <w:rPr>
                <w:sz w:val="22"/>
                <w:szCs w:val="22"/>
                <w:lang w:val="sk-SK"/>
              </w:rPr>
              <w:t>hydrochl</w:t>
            </w:r>
            <w:r w:rsidR="00C86DEB">
              <w:rPr>
                <w:sz w:val="22"/>
                <w:szCs w:val="22"/>
                <w:lang w:val="sk-SK"/>
              </w:rPr>
              <w:t>ó</w:t>
            </w:r>
            <w:r w:rsidRPr="00534FB2">
              <w:rPr>
                <w:sz w:val="22"/>
                <w:szCs w:val="22"/>
                <w:lang w:val="sk-SK"/>
              </w:rPr>
              <w:t>rtiazidu môžu zosilniť hyperglykemizujúci účinok diazoxidu.</w:t>
            </w:r>
          </w:p>
        </w:tc>
      </w:tr>
      <w:tr w:rsidR="00410762" w:rsidRPr="00534FB2" w14:paraId="0030DDE5" w14:textId="77777777" w:rsidTr="009B0BE9">
        <w:trPr>
          <w:jc w:val="center"/>
        </w:trPr>
        <w:tc>
          <w:tcPr>
            <w:tcW w:w="1701" w:type="dxa"/>
            <w:vMerge/>
            <w:tcBorders>
              <w:right w:val="nil"/>
            </w:tcBorders>
            <w:tcMar>
              <w:top w:w="57" w:type="dxa"/>
              <w:left w:w="57" w:type="dxa"/>
              <w:bottom w:w="57" w:type="dxa"/>
              <w:right w:w="57" w:type="dxa"/>
            </w:tcMar>
          </w:tcPr>
          <w:p w14:paraId="09CF5E05"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7356A9B3" w14:textId="4A24645E" w:rsidR="00410762" w:rsidRPr="00534FB2" w:rsidRDefault="00410762" w:rsidP="00325DC3">
            <w:pPr>
              <w:rPr>
                <w:i/>
                <w:sz w:val="22"/>
                <w:szCs w:val="22"/>
                <w:lang w:val="sk-SK"/>
              </w:rPr>
            </w:pPr>
            <w:r w:rsidRPr="00534FB2">
              <w:rPr>
                <w:i/>
                <w:sz w:val="22"/>
                <w:szCs w:val="22"/>
                <w:lang w:val="sk-SK"/>
              </w:rPr>
              <w:t>C</w:t>
            </w:r>
            <w:r w:rsidR="00325DC3" w:rsidRPr="00534FB2">
              <w:rPr>
                <w:i/>
                <w:sz w:val="22"/>
                <w:szCs w:val="22"/>
                <w:lang w:val="sk-SK"/>
              </w:rPr>
              <w:t>yklosporín</w:t>
            </w:r>
          </w:p>
        </w:tc>
        <w:tc>
          <w:tcPr>
            <w:tcW w:w="4971" w:type="dxa"/>
            <w:tcBorders>
              <w:left w:val="nil"/>
            </w:tcBorders>
            <w:tcMar>
              <w:top w:w="57" w:type="dxa"/>
              <w:left w:w="57" w:type="dxa"/>
              <w:bottom w:w="57" w:type="dxa"/>
              <w:right w:w="57" w:type="dxa"/>
            </w:tcMar>
          </w:tcPr>
          <w:p w14:paraId="4474AD13" w14:textId="52FF90B7" w:rsidR="00325DC3" w:rsidRPr="00534FB2" w:rsidRDefault="00325DC3" w:rsidP="00325DC3">
            <w:pPr>
              <w:rPr>
                <w:sz w:val="22"/>
                <w:szCs w:val="22"/>
                <w:lang w:val="sk-SK"/>
              </w:rPr>
            </w:pPr>
            <w:r w:rsidRPr="00534FB2">
              <w:rPr>
                <w:sz w:val="22"/>
                <w:szCs w:val="22"/>
                <w:lang w:val="sk-SK"/>
              </w:rPr>
              <w:t>Sú</w:t>
            </w:r>
            <w:r w:rsidR="00DB7B13">
              <w:rPr>
                <w:sz w:val="22"/>
                <w:szCs w:val="22"/>
                <w:lang w:val="sk-SK"/>
              </w:rPr>
              <w:t>bež</w:t>
            </w:r>
            <w:r w:rsidRPr="00534FB2">
              <w:rPr>
                <w:sz w:val="22"/>
                <w:szCs w:val="22"/>
                <w:lang w:val="sk-SK"/>
              </w:rPr>
              <w:t>ná liečba cyklosporínom môže zvýšiť riziko</w:t>
            </w:r>
          </w:p>
          <w:p w14:paraId="5EB92798" w14:textId="4B207E1B" w:rsidR="00410762" w:rsidRPr="00534FB2" w:rsidRDefault="00325DC3" w:rsidP="00325DC3">
            <w:pPr>
              <w:rPr>
                <w:sz w:val="22"/>
                <w:szCs w:val="22"/>
                <w:lang w:val="sk-SK"/>
              </w:rPr>
            </w:pPr>
            <w:r w:rsidRPr="00534FB2">
              <w:rPr>
                <w:sz w:val="22"/>
                <w:szCs w:val="22"/>
                <w:lang w:val="sk-SK"/>
              </w:rPr>
              <w:t>hyperurikémie a komplikácií typu dny.</w:t>
            </w:r>
          </w:p>
        </w:tc>
      </w:tr>
      <w:tr w:rsidR="00410762" w:rsidRPr="00534FB2" w14:paraId="0757F0CF" w14:textId="77777777" w:rsidTr="009B0BE9">
        <w:trPr>
          <w:jc w:val="center"/>
        </w:trPr>
        <w:tc>
          <w:tcPr>
            <w:tcW w:w="1701" w:type="dxa"/>
            <w:vMerge/>
            <w:tcBorders>
              <w:right w:val="nil"/>
            </w:tcBorders>
            <w:tcMar>
              <w:top w:w="57" w:type="dxa"/>
              <w:left w:w="57" w:type="dxa"/>
              <w:bottom w:w="57" w:type="dxa"/>
              <w:right w:w="57" w:type="dxa"/>
            </w:tcMar>
          </w:tcPr>
          <w:p w14:paraId="6DBD4E57"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127349A2" w14:textId="456A94ED" w:rsidR="00410762" w:rsidRPr="00534FB2" w:rsidRDefault="00325DC3" w:rsidP="00134CBE">
            <w:pPr>
              <w:rPr>
                <w:i/>
                <w:sz w:val="22"/>
                <w:szCs w:val="22"/>
                <w:lang w:val="sk-SK"/>
              </w:rPr>
            </w:pPr>
            <w:r w:rsidRPr="00534FB2">
              <w:rPr>
                <w:i/>
                <w:sz w:val="22"/>
                <w:szCs w:val="22"/>
                <w:lang w:val="sk-SK"/>
              </w:rPr>
              <w:t>Cytotoxické látky</w:t>
            </w:r>
          </w:p>
        </w:tc>
        <w:tc>
          <w:tcPr>
            <w:tcW w:w="4971" w:type="dxa"/>
            <w:tcBorders>
              <w:left w:val="nil"/>
            </w:tcBorders>
            <w:tcMar>
              <w:top w:w="57" w:type="dxa"/>
              <w:left w:w="57" w:type="dxa"/>
              <w:bottom w:w="57" w:type="dxa"/>
              <w:right w:w="57" w:type="dxa"/>
            </w:tcMar>
          </w:tcPr>
          <w:p w14:paraId="6BDC8E9C" w14:textId="3AAC3E3F" w:rsidR="00410762" w:rsidRPr="00534FB2" w:rsidRDefault="00845FB7" w:rsidP="00845FB7">
            <w:pPr>
              <w:rPr>
                <w:sz w:val="22"/>
                <w:szCs w:val="22"/>
                <w:lang w:val="sk-SK"/>
              </w:rPr>
            </w:pPr>
            <w:r w:rsidRPr="00534FB2">
              <w:rPr>
                <w:sz w:val="22"/>
                <w:szCs w:val="22"/>
                <w:lang w:val="sk-SK"/>
              </w:rPr>
              <w:t>Tiazidy vrátane hydrochl</w:t>
            </w:r>
            <w:r w:rsidR="00C86DEB">
              <w:rPr>
                <w:sz w:val="22"/>
                <w:szCs w:val="22"/>
                <w:lang w:val="sk-SK"/>
              </w:rPr>
              <w:t>ó</w:t>
            </w:r>
            <w:r w:rsidRPr="00534FB2">
              <w:rPr>
                <w:sz w:val="22"/>
                <w:szCs w:val="22"/>
                <w:lang w:val="sk-SK"/>
              </w:rPr>
              <w:t>rtiazidu môžu znižovať vylučovanie cytotoxických látok obličkami (napr. cyklofosfamidu, metotrexátu) a potenciovať ich myelosupresívne účinky.</w:t>
            </w:r>
          </w:p>
        </w:tc>
      </w:tr>
      <w:tr w:rsidR="00410762" w:rsidRPr="00534FB2" w14:paraId="3D2D7717" w14:textId="77777777" w:rsidTr="009B0BE9">
        <w:trPr>
          <w:jc w:val="center"/>
        </w:trPr>
        <w:tc>
          <w:tcPr>
            <w:tcW w:w="1701" w:type="dxa"/>
            <w:vMerge/>
            <w:tcBorders>
              <w:right w:val="nil"/>
            </w:tcBorders>
            <w:tcMar>
              <w:top w:w="57" w:type="dxa"/>
              <w:left w:w="57" w:type="dxa"/>
              <w:bottom w:w="57" w:type="dxa"/>
              <w:right w:w="57" w:type="dxa"/>
            </w:tcMar>
          </w:tcPr>
          <w:p w14:paraId="53BDEBAC"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38070159" w14:textId="731000C6" w:rsidR="00410762" w:rsidRPr="00534FB2" w:rsidRDefault="00325DC3" w:rsidP="00134CBE">
            <w:pPr>
              <w:rPr>
                <w:i/>
                <w:sz w:val="22"/>
                <w:szCs w:val="22"/>
                <w:lang w:val="sk-SK"/>
              </w:rPr>
            </w:pPr>
            <w:r w:rsidRPr="00534FB2">
              <w:rPr>
                <w:i/>
                <w:sz w:val="22"/>
                <w:szCs w:val="22"/>
                <w:lang w:val="sk-SK"/>
              </w:rPr>
              <w:t>Digitálisové glykozidy</w:t>
            </w:r>
          </w:p>
        </w:tc>
        <w:tc>
          <w:tcPr>
            <w:tcW w:w="4971" w:type="dxa"/>
            <w:tcBorders>
              <w:left w:val="nil"/>
            </w:tcBorders>
            <w:tcMar>
              <w:top w:w="57" w:type="dxa"/>
              <w:left w:w="57" w:type="dxa"/>
              <w:bottom w:w="57" w:type="dxa"/>
              <w:right w:w="57" w:type="dxa"/>
            </w:tcMar>
          </w:tcPr>
          <w:p w14:paraId="7FCB8154" w14:textId="312BCEF2" w:rsidR="00410762" w:rsidRPr="00534FB2" w:rsidRDefault="00845FB7" w:rsidP="00845FB7">
            <w:pPr>
              <w:rPr>
                <w:sz w:val="22"/>
                <w:szCs w:val="22"/>
                <w:lang w:val="sk-SK"/>
              </w:rPr>
            </w:pPr>
            <w:r w:rsidRPr="00534FB2">
              <w:rPr>
                <w:sz w:val="22"/>
                <w:szCs w:val="22"/>
                <w:lang w:val="sk-SK"/>
              </w:rPr>
              <w:t>Hypokaliémia alebo hypomagneziémia vyvolané tiazidmi sa môžu vyskytnúť ako nežiaduce účinky napomáhajúce vzniku srdcových arytmií vyvolaných digitálisom.</w:t>
            </w:r>
          </w:p>
        </w:tc>
      </w:tr>
      <w:tr w:rsidR="00410762" w:rsidRPr="00534FB2" w14:paraId="1944AB86" w14:textId="77777777" w:rsidTr="009B0BE9">
        <w:trPr>
          <w:jc w:val="center"/>
        </w:trPr>
        <w:tc>
          <w:tcPr>
            <w:tcW w:w="1701" w:type="dxa"/>
            <w:vMerge/>
            <w:tcBorders>
              <w:right w:val="nil"/>
            </w:tcBorders>
            <w:tcMar>
              <w:top w:w="57" w:type="dxa"/>
              <w:left w:w="57" w:type="dxa"/>
              <w:bottom w:w="57" w:type="dxa"/>
              <w:right w:w="57" w:type="dxa"/>
            </w:tcMar>
          </w:tcPr>
          <w:p w14:paraId="143E85B3"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37C17EFE" w14:textId="77777777" w:rsidR="00325DC3" w:rsidRPr="00534FB2" w:rsidRDefault="00325DC3" w:rsidP="00325DC3">
            <w:pPr>
              <w:rPr>
                <w:i/>
                <w:sz w:val="22"/>
                <w:szCs w:val="22"/>
                <w:lang w:val="sk-SK"/>
              </w:rPr>
            </w:pPr>
            <w:r w:rsidRPr="00534FB2">
              <w:rPr>
                <w:i/>
                <w:sz w:val="22"/>
                <w:szCs w:val="22"/>
                <w:lang w:val="sk-SK"/>
              </w:rPr>
              <w:t>Kontrastné látky</w:t>
            </w:r>
          </w:p>
          <w:p w14:paraId="3D9BDD6C" w14:textId="15319A63" w:rsidR="000F0F4C" w:rsidRPr="00534FB2" w:rsidRDefault="00325DC3" w:rsidP="00325DC3">
            <w:pPr>
              <w:rPr>
                <w:i/>
                <w:sz w:val="22"/>
                <w:szCs w:val="22"/>
                <w:lang w:val="sk-SK"/>
              </w:rPr>
            </w:pPr>
            <w:r w:rsidRPr="00534FB2">
              <w:rPr>
                <w:i/>
                <w:sz w:val="22"/>
                <w:szCs w:val="22"/>
                <w:lang w:val="sk-SK"/>
              </w:rPr>
              <w:t>obsahujúce jód</w:t>
            </w:r>
          </w:p>
        </w:tc>
        <w:tc>
          <w:tcPr>
            <w:tcW w:w="4971" w:type="dxa"/>
            <w:tcBorders>
              <w:left w:val="nil"/>
            </w:tcBorders>
            <w:tcMar>
              <w:top w:w="57" w:type="dxa"/>
              <w:left w:w="57" w:type="dxa"/>
              <w:bottom w:w="57" w:type="dxa"/>
              <w:right w:w="57" w:type="dxa"/>
            </w:tcMar>
          </w:tcPr>
          <w:p w14:paraId="1F8A5752" w14:textId="15A02799" w:rsidR="00845FB7" w:rsidRPr="00534FB2" w:rsidRDefault="00845FB7" w:rsidP="00845FB7">
            <w:pPr>
              <w:rPr>
                <w:sz w:val="22"/>
                <w:szCs w:val="22"/>
                <w:lang w:val="sk-SK"/>
              </w:rPr>
            </w:pPr>
            <w:r w:rsidRPr="00534FB2">
              <w:rPr>
                <w:sz w:val="22"/>
                <w:szCs w:val="22"/>
                <w:lang w:val="sk-SK"/>
              </w:rPr>
              <w:t>V prípade dehydratácie vyvolanej diuretikami je zvýšené riziko akútneho zlyhania obličiek, najmä pri vysokých dávkach jódovaných látok. Pacienti majú byť pred podaním rehydratovaní.</w:t>
            </w:r>
          </w:p>
        </w:tc>
      </w:tr>
      <w:tr w:rsidR="00410762" w:rsidRPr="00534FB2" w14:paraId="0C95EFDD" w14:textId="77777777" w:rsidTr="009B0BE9">
        <w:trPr>
          <w:jc w:val="center"/>
        </w:trPr>
        <w:tc>
          <w:tcPr>
            <w:tcW w:w="1701" w:type="dxa"/>
            <w:vMerge/>
            <w:tcBorders>
              <w:right w:val="nil"/>
            </w:tcBorders>
            <w:tcMar>
              <w:top w:w="57" w:type="dxa"/>
              <w:left w:w="57" w:type="dxa"/>
              <w:bottom w:w="57" w:type="dxa"/>
              <w:right w:w="57" w:type="dxa"/>
            </w:tcMar>
          </w:tcPr>
          <w:p w14:paraId="7A74F923"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74869C29" w14:textId="266C4EF4" w:rsidR="00410762" w:rsidRPr="00534FB2" w:rsidRDefault="00845FB7" w:rsidP="00134CBE">
            <w:pPr>
              <w:rPr>
                <w:i/>
                <w:sz w:val="22"/>
                <w:szCs w:val="22"/>
                <w:lang w:val="sk-SK"/>
              </w:rPr>
            </w:pPr>
            <w:r w:rsidRPr="00534FB2">
              <w:rPr>
                <w:i/>
                <w:sz w:val="22"/>
                <w:szCs w:val="22"/>
                <w:lang w:val="sk-SK"/>
              </w:rPr>
              <w:t>Iónomeničové živice</w:t>
            </w:r>
          </w:p>
        </w:tc>
        <w:tc>
          <w:tcPr>
            <w:tcW w:w="4971" w:type="dxa"/>
            <w:tcBorders>
              <w:left w:val="nil"/>
            </w:tcBorders>
            <w:tcMar>
              <w:top w:w="57" w:type="dxa"/>
              <w:left w:w="57" w:type="dxa"/>
              <w:bottom w:w="57" w:type="dxa"/>
              <w:right w:w="57" w:type="dxa"/>
            </w:tcMar>
          </w:tcPr>
          <w:p w14:paraId="0006897F" w14:textId="3E09A3B3" w:rsidR="00845FB7" w:rsidRPr="00534FB2" w:rsidRDefault="00845FB7" w:rsidP="00845FB7">
            <w:pPr>
              <w:rPr>
                <w:sz w:val="22"/>
                <w:szCs w:val="22"/>
                <w:lang w:val="sk-SK"/>
              </w:rPr>
            </w:pPr>
            <w:r w:rsidRPr="00534FB2">
              <w:rPr>
                <w:sz w:val="22"/>
                <w:szCs w:val="22"/>
                <w:lang w:val="sk-SK"/>
              </w:rPr>
              <w:t>Absorpciu tiazidových diuretík vrátane hydrochl</w:t>
            </w:r>
            <w:r w:rsidR="00C86DEB">
              <w:rPr>
                <w:sz w:val="22"/>
                <w:szCs w:val="22"/>
                <w:lang w:val="sk-SK"/>
              </w:rPr>
              <w:t>ó</w:t>
            </w:r>
            <w:r w:rsidRPr="00534FB2">
              <w:rPr>
                <w:sz w:val="22"/>
                <w:szCs w:val="22"/>
                <w:lang w:val="sk-SK"/>
              </w:rPr>
              <w:t>rtiazidu znižuje cholestyramín alebo</w:t>
            </w:r>
          </w:p>
          <w:p w14:paraId="00641001" w14:textId="5B33222E" w:rsidR="00845FB7" w:rsidRPr="00534FB2" w:rsidRDefault="00845FB7" w:rsidP="00845FB7">
            <w:pPr>
              <w:rPr>
                <w:sz w:val="22"/>
                <w:szCs w:val="22"/>
                <w:lang w:val="sk-SK"/>
              </w:rPr>
            </w:pPr>
            <w:r w:rsidRPr="00534FB2">
              <w:rPr>
                <w:sz w:val="22"/>
                <w:szCs w:val="22"/>
                <w:lang w:val="sk-SK"/>
              </w:rPr>
              <w:t>kolestipol. Môže to mať za následok subterapeutické účinky tiazidových diuretík. Avšak časové rozloženie dávok hydrochl</w:t>
            </w:r>
            <w:r w:rsidR="00C86DEB">
              <w:rPr>
                <w:sz w:val="22"/>
                <w:szCs w:val="22"/>
                <w:lang w:val="sk-SK"/>
              </w:rPr>
              <w:t>ó</w:t>
            </w:r>
            <w:r w:rsidRPr="00534FB2">
              <w:rPr>
                <w:sz w:val="22"/>
                <w:szCs w:val="22"/>
                <w:lang w:val="sk-SK"/>
              </w:rPr>
              <w:t>rtiazidu a živice, keď sa hydrochl</w:t>
            </w:r>
            <w:r w:rsidR="000514B9">
              <w:rPr>
                <w:sz w:val="22"/>
                <w:szCs w:val="22"/>
                <w:lang w:val="sk-SK"/>
              </w:rPr>
              <w:t>ó</w:t>
            </w:r>
            <w:r w:rsidRPr="00534FB2">
              <w:rPr>
                <w:sz w:val="22"/>
                <w:szCs w:val="22"/>
                <w:lang w:val="sk-SK"/>
              </w:rPr>
              <w:t>rtiazid podáva najmenej 4 hodiny pred</w:t>
            </w:r>
          </w:p>
          <w:p w14:paraId="6B21D930" w14:textId="58C56B41" w:rsidR="00410762" w:rsidRPr="00534FB2" w:rsidRDefault="00845FB7" w:rsidP="00845FB7">
            <w:pPr>
              <w:rPr>
                <w:sz w:val="22"/>
                <w:szCs w:val="22"/>
                <w:lang w:val="sk-SK"/>
              </w:rPr>
            </w:pPr>
            <w:r w:rsidRPr="00534FB2">
              <w:rPr>
                <w:sz w:val="22"/>
                <w:szCs w:val="22"/>
                <w:lang w:val="sk-SK"/>
              </w:rPr>
              <w:t>podaním živíc alebo 4-6 hodín po ňom, môže prípadne minimalizovať interakciu.</w:t>
            </w:r>
          </w:p>
        </w:tc>
      </w:tr>
      <w:tr w:rsidR="00410762" w:rsidRPr="00534FB2" w14:paraId="6E4E065B" w14:textId="77777777" w:rsidTr="009B0BE9">
        <w:trPr>
          <w:jc w:val="center"/>
        </w:trPr>
        <w:tc>
          <w:tcPr>
            <w:tcW w:w="1701" w:type="dxa"/>
            <w:vMerge/>
            <w:tcBorders>
              <w:right w:val="nil"/>
            </w:tcBorders>
            <w:tcMar>
              <w:top w:w="57" w:type="dxa"/>
              <w:left w:w="57" w:type="dxa"/>
              <w:bottom w:w="57" w:type="dxa"/>
              <w:right w:w="57" w:type="dxa"/>
            </w:tcMar>
          </w:tcPr>
          <w:p w14:paraId="6F1FBAA3"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0D31F9A8" w14:textId="77777777" w:rsidR="00845FB7" w:rsidRPr="00534FB2" w:rsidRDefault="00845FB7" w:rsidP="00845FB7">
            <w:pPr>
              <w:rPr>
                <w:i/>
                <w:sz w:val="22"/>
                <w:szCs w:val="22"/>
                <w:lang w:val="sk-SK"/>
              </w:rPr>
            </w:pPr>
            <w:r w:rsidRPr="00534FB2">
              <w:rPr>
                <w:i/>
                <w:sz w:val="22"/>
                <w:szCs w:val="22"/>
                <w:lang w:val="sk-SK"/>
              </w:rPr>
              <w:t>Liečivá ovplyvňujúce</w:t>
            </w:r>
          </w:p>
          <w:p w14:paraId="51435A4D" w14:textId="77777777" w:rsidR="00845FB7" w:rsidRPr="00534FB2" w:rsidRDefault="00845FB7" w:rsidP="00845FB7">
            <w:pPr>
              <w:rPr>
                <w:i/>
                <w:sz w:val="22"/>
                <w:szCs w:val="22"/>
                <w:lang w:val="sk-SK"/>
              </w:rPr>
            </w:pPr>
            <w:r w:rsidRPr="00534FB2">
              <w:rPr>
                <w:i/>
                <w:sz w:val="22"/>
                <w:szCs w:val="22"/>
                <w:lang w:val="sk-SK"/>
              </w:rPr>
              <w:t>koncentráciu draslíka v</w:t>
            </w:r>
          </w:p>
          <w:p w14:paraId="2F47F8C0" w14:textId="1FEC25A0" w:rsidR="00410762" w:rsidRPr="00534FB2" w:rsidRDefault="00845FB7" w:rsidP="00845FB7">
            <w:pPr>
              <w:rPr>
                <w:i/>
                <w:sz w:val="22"/>
                <w:szCs w:val="22"/>
                <w:lang w:val="sk-SK"/>
              </w:rPr>
            </w:pPr>
            <w:r w:rsidRPr="00534FB2">
              <w:rPr>
                <w:i/>
                <w:sz w:val="22"/>
                <w:szCs w:val="22"/>
                <w:lang w:val="sk-SK"/>
              </w:rPr>
              <w:t>sére</w:t>
            </w:r>
          </w:p>
        </w:tc>
        <w:tc>
          <w:tcPr>
            <w:tcW w:w="4971" w:type="dxa"/>
            <w:tcBorders>
              <w:left w:val="nil"/>
            </w:tcBorders>
            <w:tcMar>
              <w:top w:w="57" w:type="dxa"/>
              <w:left w:w="57" w:type="dxa"/>
              <w:bottom w:w="57" w:type="dxa"/>
              <w:right w:w="57" w:type="dxa"/>
            </w:tcMar>
          </w:tcPr>
          <w:p w14:paraId="293061EA" w14:textId="19B32009" w:rsidR="00845FB7" w:rsidRPr="00534FB2" w:rsidRDefault="00845FB7" w:rsidP="00845FB7">
            <w:pPr>
              <w:rPr>
                <w:sz w:val="22"/>
                <w:szCs w:val="22"/>
                <w:lang w:val="sk-SK"/>
              </w:rPr>
            </w:pPr>
            <w:r w:rsidRPr="00534FB2">
              <w:rPr>
                <w:sz w:val="22"/>
                <w:szCs w:val="22"/>
                <w:lang w:val="sk-SK"/>
              </w:rPr>
              <w:t>Hypokaliemický účinok hydrochl</w:t>
            </w:r>
            <w:r w:rsidR="00C86DEB">
              <w:rPr>
                <w:sz w:val="22"/>
                <w:szCs w:val="22"/>
                <w:lang w:val="sk-SK"/>
              </w:rPr>
              <w:t>ó</w:t>
            </w:r>
            <w:r w:rsidRPr="00534FB2">
              <w:rPr>
                <w:sz w:val="22"/>
                <w:szCs w:val="22"/>
                <w:lang w:val="sk-SK"/>
              </w:rPr>
              <w:t>rtiazidu môže zvýšiť súbežné podávanie kaliuretických diuretík,</w:t>
            </w:r>
          </w:p>
          <w:p w14:paraId="4029181D" w14:textId="77777777" w:rsidR="00845FB7" w:rsidRPr="00534FB2" w:rsidRDefault="00845FB7" w:rsidP="00845FB7">
            <w:pPr>
              <w:rPr>
                <w:sz w:val="22"/>
                <w:szCs w:val="22"/>
                <w:lang w:val="sk-SK"/>
              </w:rPr>
            </w:pPr>
            <w:r w:rsidRPr="00534FB2">
              <w:rPr>
                <w:sz w:val="22"/>
                <w:szCs w:val="22"/>
                <w:lang w:val="sk-SK"/>
              </w:rPr>
              <w:t>kortikosteroidov, laxatív, adrenokortikotropného</w:t>
            </w:r>
          </w:p>
          <w:p w14:paraId="038EDCAB" w14:textId="77777777" w:rsidR="00845FB7" w:rsidRPr="00534FB2" w:rsidRDefault="00845FB7" w:rsidP="00845FB7">
            <w:pPr>
              <w:rPr>
                <w:sz w:val="22"/>
                <w:szCs w:val="22"/>
                <w:lang w:val="sk-SK"/>
              </w:rPr>
            </w:pPr>
            <w:r w:rsidRPr="00534FB2">
              <w:rPr>
                <w:sz w:val="22"/>
                <w:szCs w:val="22"/>
                <w:lang w:val="sk-SK"/>
              </w:rPr>
              <w:t>hormónu (ACTH), amfotericínu, karbenoxolónu,</w:t>
            </w:r>
          </w:p>
          <w:p w14:paraId="4A7E47FD" w14:textId="77777777" w:rsidR="00DB7B13" w:rsidRDefault="00845FB7" w:rsidP="00845FB7">
            <w:pPr>
              <w:rPr>
                <w:sz w:val="22"/>
                <w:szCs w:val="22"/>
                <w:lang w:val="sk-SK"/>
              </w:rPr>
            </w:pPr>
            <w:r w:rsidRPr="00534FB2">
              <w:rPr>
                <w:sz w:val="22"/>
                <w:szCs w:val="22"/>
                <w:lang w:val="sk-SK"/>
              </w:rPr>
              <w:t xml:space="preserve">penicilínu G a derivátov kyseliny salicylovej alebo antiarytmík. Ak sa tieto lieky majú predpísať </w:t>
            </w:r>
          </w:p>
          <w:p w14:paraId="60A57A5E" w14:textId="511C2F63" w:rsidR="00845FB7" w:rsidRPr="00534FB2" w:rsidRDefault="00845FB7" w:rsidP="00845FB7">
            <w:pPr>
              <w:rPr>
                <w:sz w:val="22"/>
                <w:szCs w:val="22"/>
                <w:lang w:val="sk-SK"/>
              </w:rPr>
            </w:pPr>
            <w:r w:rsidRPr="00534FB2">
              <w:rPr>
                <w:sz w:val="22"/>
                <w:szCs w:val="22"/>
                <w:lang w:val="sk-SK"/>
              </w:rPr>
              <w:lastRenderedPageBreak/>
              <w:t>s kombináciou</w:t>
            </w:r>
            <w:r w:rsidR="00DB7B13">
              <w:rPr>
                <w:sz w:val="22"/>
                <w:szCs w:val="22"/>
                <w:lang w:val="sk-SK"/>
              </w:rPr>
              <w:t xml:space="preserve"> </w:t>
            </w:r>
            <w:r w:rsidRPr="00534FB2">
              <w:rPr>
                <w:sz w:val="22"/>
                <w:szCs w:val="22"/>
                <w:lang w:val="sk-SK"/>
              </w:rPr>
              <w:t xml:space="preserve"> amlodipínu/valsartanu/hydrochl</w:t>
            </w:r>
            <w:r w:rsidR="000514B9">
              <w:rPr>
                <w:sz w:val="22"/>
                <w:szCs w:val="22"/>
                <w:lang w:val="sk-SK"/>
              </w:rPr>
              <w:t>ó</w:t>
            </w:r>
            <w:r w:rsidRPr="00534FB2">
              <w:rPr>
                <w:sz w:val="22"/>
                <w:szCs w:val="22"/>
                <w:lang w:val="sk-SK"/>
              </w:rPr>
              <w:t>rtiazidu,</w:t>
            </w:r>
          </w:p>
          <w:p w14:paraId="771EA933" w14:textId="4754528C" w:rsidR="00410762" w:rsidRPr="00534FB2" w:rsidRDefault="00845FB7" w:rsidP="00845FB7">
            <w:pPr>
              <w:rPr>
                <w:sz w:val="22"/>
                <w:szCs w:val="22"/>
                <w:lang w:val="sk-SK"/>
              </w:rPr>
            </w:pPr>
            <w:r w:rsidRPr="00534FB2">
              <w:rPr>
                <w:sz w:val="22"/>
                <w:szCs w:val="22"/>
                <w:lang w:val="sk-SK"/>
              </w:rPr>
              <w:t>odporúča sa sledovať hladinu draslíka v plazme.</w:t>
            </w:r>
          </w:p>
        </w:tc>
      </w:tr>
      <w:tr w:rsidR="00410762" w:rsidRPr="00534FB2" w14:paraId="7B6DAC0E" w14:textId="77777777" w:rsidTr="009B0BE9">
        <w:trPr>
          <w:jc w:val="center"/>
        </w:trPr>
        <w:tc>
          <w:tcPr>
            <w:tcW w:w="1701" w:type="dxa"/>
            <w:vMerge/>
            <w:tcBorders>
              <w:right w:val="nil"/>
            </w:tcBorders>
            <w:tcMar>
              <w:top w:w="57" w:type="dxa"/>
              <w:left w:w="57" w:type="dxa"/>
              <w:bottom w:w="57" w:type="dxa"/>
              <w:right w:w="57" w:type="dxa"/>
            </w:tcMar>
          </w:tcPr>
          <w:p w14:paraId="4256C293"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7B8C0610" w14:textId="77777777" w:rsidR="00845FB7" w:rsidRPr="00534FB2" w:rsidRDefault="00845FB7" w:rsidP="00845FB7">
            <w:pPr>
              <w:rPr>
                <w:i/>
                <w:sz w:val="22"/>
                <w:szCs w:val="22"/>
                <w:lang w:val="sk-SK"/>
              </w:rPr>
            </w:pPr>
            <w:r w:rsidRPr="00534FB2">
              <w:rPr>
                <w:i/>
                <w:sz w:val="22"/>
                <w:szCs w:val="22"/>
                <w:lang w:val="sk-SK"/>
              </w:rPr>
              <w:t>Liečivá ovplyvňujúce</w:t>
            </w:r>
          </w:p>
          <w:p w14:paraId="45D17B70" w14:textId="77777777" w:rsidR="00845FB7" w:rsidRPr="00534FB2" w:rsidRDefault="00845FB7" w:rsidP="00845FB7">
            <w:pPr>
              <w:rPr>
                <w:i/>
                <w:sz w:val="22"/>
                <w:szCs w:val="22"/>
                <w:lang w:val="sk-SK"/>
              </w:rPr>
            </w:pPr>
            <w:r w:rsidRPr="00534FB2">
              <w:rPr>
                <w:i/>
                <w:sz w:val="22"/>
                <w:szCs w:val="22"/>
                <w:lang w:val="sk-SK"/>
              </w:rPr>
              <w:t>koncentráciu sodíka v</w:t>
            </w:r>
          </w:p>
          <w:p w14:paraId="15736270" w14:textId="1079599F" w:rsidR="00410762" w:rsidRPr="00534FB2" w:rsidRDefault="00845FB7" w:rsidP="00845FB7">
            <w:pPr>
              <w:rPr>
                <w:i/>
                <w:sz w:val="22"/>
                <w:szCs w:val="22"/>
                <w:lang w:val="sk-SK"/>
              </w:rPr>
            </w:pPr>
            <w:r w:rsidRPr="00534FB2">
              <w:rPr>
                <w:i/>
                <w:sz w:val="22"/>
                <w:szCs w:val="22"/>
                <w:lang w:val="sk-SK"/>
              </w:rPr>
              <w:t>sére</w:t>
            </w:r>
          </w:p>
        </w:tc>
        <w:tc>
          <w:tcPr>
            <w:tcW w:w="4971" w:type="dxa"/>
            <w:tcBorders>
              <w:left w:val="nil"/>
            </w:tcBorders>
            <w:tcMar>
              <w:top w:w="57" w:type="dxa"/>
              <w:left w:w="57" w:type="dxa"/>
              <w:bottom w:w="57" w:type="dxa"/>
              <w:right w:w="57" w:type="dxa"/>
            </w:tcMar>
          </w:tcPr>
          <w:p w14:paraId="0D75B53C" w14:textId="77777777" w:rsidR="00845FB7" w:rsidRPr="00534FB2" w:rsidRDefault="00845FB7" w:rsidP="00845FB7">
            <w:pPr>
              <w:rPr>
                <w:sz w:val="22"/>
                <w:szCs w:val="22"/>
                <w:lang w:val="sk-SK"/>
              </w:rPr>
            </w:pPr>
            <w:r w:rsidRPr="00534FB2">
              <w:rPr>
                <w:sz w:val="22"/>
                <w:szCs w:val="22"/>
                <w:lang w:val="sk-SK"/>
              </w:rPr>
              <w:t>Hyponatriemizujúci účinok diuretík môže zosilniť</w:t>
            </w:r>
          </w:p>
          <w:p w14:paraId="77B66AB4" w14:textId="77777777" w:rsidR="00845FB7" w:rsidRPr="00534FB2" w:rsidRDefault="00845FB7" w:rsidP="00845FB7">
            <w:pPr>
              <w:rPr>
                <w:sz w:val="22"/>
                <w:szCs w:val="22"/>
                <w:lang w:val="sk-SK"/>
              </w:rPr>
            </w:pPr>
            <w:r w:rsidRPr="00534FB2">
              <w:rPr>
                <w:sz w:val="22"/>
                <w:szCs w:val="22"/>
                <w:lang w:val="sk-SK"/>
              </w:rPr>
              <w:t>súbežné podávanie liekov, ako sú antidepresíva,</w:t>
            </w:r>
          </w:p>
          <w:p w14:paraId="2C28662A" w14:textId="77777777" w:rsidR="00845FB7" w:rsidRPr="00534FB2" w:rsidRDefault="00845FB7" w:rsidP="00845FB7">
            <w:pPr>
              <w:rPr>
                <w:sz w:val="22"/>
                <w:szCs w:val="22"/>
                <w:lang w:val="sk-SK"/>
              </w:rPr>
            </w:pPr>
            <w:r w:rsidRPr="00534FB2">
              <w:rPr>
                <w:sz w:val="22"/>
                <w:szCs w:val="22"/>
                <w:lang w:val="sk-SK"/>
              </w:rPr>
              <w:t>antipsychotiká, antiepileptiká atď. Pri dlhodobom</w:t>
            </w:r>
          </w:p>
          <w:p w14:paraId="06941EC9" w14:textId="24E42CF4" w:rsidR="00410762" w:rsidRPr="00534FB2" w:rsidRDefault="00845FB7" w:rsidP="00845FB7">
            <w:pPr>
              <w:rPr>
                <w:sz w:val="22"/>
                <w:szCs w:val="22"/>
                <w:lang w:val="sk-SK"/>
              </w:rPr>
            </w:pPr>
            <w:r w:rsidRPr="00534FB2">
              <w:rPr>
                <w:sz w:val="22"/>
                <w:szCs w:val="22"/>
                <w:lang w:val="sk-SK"/>
              </w:rPr>
              <w:t>podávaní týchto liekov je potrebná opatrnosť.</w:t>
            </w:r>
          </w:p>
        </w:tc>
      </w:tr>
      <w:tr w:rsidR="00410762" w:rsidRPr="00534FB2" w14:paraId="75376020" w14:textId="77777777" w:rsidTr="009B0BE9">
        <w:trPr>
          <w:jc w:val="center"/>
        </w:trPr>
        <w:tc>
          <w:tcPr>
            <w:tcW w:w="1701" w:type="dxa"/>
            <w:vMerge/>
            <w:tcBorders>
              <w:right w:val="nil"/>
            </w:tcBorders>
            <w:tcMar>
              <w:top w:w="57" w:type="dxa"/>
              <w:left w:w="57" w:type="dxa"/>
              <w:bottom w:w="57" w:type="dxa"/>
              <w:right w:w="57" w:type="dxa"/>
            </w:tcMar>
          </w:tcPr>
          <w:p w14:paraId="396E8747"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292DC409" w14:textId="77777777" w:rsidR="00845FB7" w:rsidRPr="00534FB2" w:rsidRDefault="00845FB7" w:rsidP="00845FB7">
            <w:pPr>
              <w:rPr>
                <w:i/>
                <w:sz w:val="22"/>
                <w:szCs w:val="22"/>
                <w:lang w:val="sk-SK"/>
              </w:rPr>
            </w:pPr>
            <w:r w:rsidRPr="00534FB2">
              <w:rPr>
                <w:i/>
                <w:sz w:val="22"/>
                <w:szCs w:val="22"/>
                <w:lang w:val="sk-SK"/>
              </w:rPr>
              <w:t>Liečivá, ktoré môžu</w:t>
            </w:r>
          </w:p>
          <w:p w14:paraId="5BC64DC8" w14:textId="77777777" w:rsidR="00845FB7" w:rsidRPr="00534FB2" w:rsidRDefault="00845FB7" w:rsidP="00845FB7">
            <w:pPr>
              <w:rPr>
                <w:i/>
                <w:sz w:val="22"/>
                <w:szCs w:val="22"/>
                <w:lang w:val="sk-SK"/>
              </w:rPr>
            </w:pPr>
            <w:r w:rsidRPr="00534FB2">
              <w:rPr>
                <w:i/>
                <w:sz w:val="22"/>
                <w:szCs w:val="22"/>
                <w:lang w:val="sk-SK"/>
              </w:rPr>
              <w:t>vyvolať torsades de</w:t>
            </w:r>
          </w:p>
          <w:p w14:paraId="604881BD" w14:textId="61A2DA8E" w:rsidR="00410762" w:rsidRPr="00534FB2" w:rsidRDefault="00845FB7" w:rsidP="00845FB7">
            <w:pPr>
              <w:rPr>
                <w:i/>
                <w:sz w:val="22"/>
                <w:szCs w:val="22"/>
                <w:lang w:val="sk-SK"/>
              </w:rPr>
            </w:pPr>
            <w:r w:rsidRPr="00534FB2">
              <w:rPr>
                <w:i/>
                <w:sz w:val="22"/>
                <w:szCs w:val="22"/>
                <w:lang w:val="sk-SK"/>
              </w:rPr>
              <w:t>pointes</w:t>
            </w:r>
          </w:p>
        </w:tc>
        <w:tc>
          <w:tcPr>
            <w:tcW w:w="4971" w:type="dxa"/>
            <w:tcBorders>
              <w:left w:val="nil"/>
            </w:tcBorders>
            <w:tcMar>
              <w:top w:w="57" w:type="dxa"/>
              <w:left w:w="57" w:type="dxa"/>
              <w:bottom w:w="57" w:type="dxa"/>
              <w:right w:w="57" w:type="dxa"/>
            </w:tcMar>
          </w:tcPr>
          <w:p w14:paraId="58A60C6C" w14:textId="1E952FAF" w:rsidR="00410762" w:rsidRPr="00534FB2" w:rsidRDefault="00845FB7" w:rsidP="00845FB7">
            <w:pPr>
              <w:rPr>
                <w:sz w:val="22"/>
                <w:szCs w:val="22"/>
                <w:lang w:val="sk-SK"/>
              </w:rPr>
            </w:pPr>
            <w:r w:rsidRPr="00534FB2">
              <w:rPr>
                <w:sz w:val="22"/>
                <w:szCs w:val="22"/>
                <w:lang w:val="sk-SK"/>
              </w:rPr>
              <w:t>Pre riziko hypokaliémie sa má hydrochl</w:t>
            </w:r>
            <w:r w:rsidR="00C86DEB">
              <w:rPr>
                <w:sz w:val="22"/>
                <w:szCs w:val="22"/>
                <w:lang w:val="sk-SK"/>
              </w:rPr>
              <w:t>ó</w:t>
            </w:r>
            <w:r w:rsidRPr="00534FB2">
              <w:rPr>
                <w:sz w:val="22"/>
                <w:szCs w:val="22"/>
                <w:lang w:val="sk-SK"/>
              </w:rPr>
              <w:t xml:space="preserve">rtiazid podávať opatrne v spojení s liekmi, ktoré môžu vyvolať </w:t>
            </w:r>
            <w:r w:rsidRPr="00534FB2">
              <w:rPr>
                <w:i/>
                <w:sz w:val="22"/>
                <w:szCs w:val="22"/>
                <w:lang w:val="sk-SK"/>
              </w:rPr>
              <w:t>torsades de pointes</w:t>
            </w:r>
            <w:r w:rsidRPr="00534FB2">
              <w:rPr>
                <w:sz w:val="22"/>
                <w:szCs w:val="22"/>
                <w:lang w:val="sk-SK"/>
              </w:rPr>
              <w:t>, hlavne antiarytmikami triedy Ia a triedy III a niektorými antipsychotikami.</w:t>
            </w:r>
          </w:p>
        </w:tc>
      </w:tr>
      <w:tr w:rsidR="00410762" w:rsidRPr="00534FB2" w14:paraId="5AA0F1DB" w14:textId="77777777" w:rsidTr="009B0BE9">
        <w:trPr>
          <w:jc w:val="center"/>
        </w:trPr>
        <w:tc>
          <w:tcPr>
            <w:tcW w:w="1701" w:type="dxa"/>
            <w:vMerge/>
            <w:tcBorders>
              <w:right w:val="nil"/>
            </w:tcBorders>
            <w:tcMar>
              <w:top w:w="57" w:type="dxa"/>
              <w:left w:w="57" w:type="dxa"/>
              <w:bottom w:w="57" w:type="dxa"/>
              <w:right w:w="57" w:type="dxa"/>
            </w:tcMar>
          </w:tcPr>
          <w:p w14:paraId="686FA41C"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7C93EE74" w14:textId="77777777" w:rsidR="00845FB7" w:rsidRPr="00534FB2" w:rsidRDefault="00845FB7" w:rsidP="00845FB7">
            <w:pPr>
              <w:rPr>
                <w:i/>
                <w:sz w:val="22"/>
                <w:szCs w:val="22"/>
                <w:lang w:val="sk-SK"/>
              </w:rPr>
            </w:pPr>
            <w:r w:rsidRPr="00534FB2">
              <w:rPr>
                <w:i/>
                <w:sz w:val="22"/>
                <w:szCs w:val="22"/>
                <w:lang w:val="sk-SK"/>
              </w:rPr>
              <w:t>Lieky používané na</w:t>
            </w:r>
          </w:p>
          <w:p w14:paraId="522FD785" w14:textId="77777777" w:rsidR="00845FB7" w:rsidRPr="00534FB2" w:rsidRDefault="00845FB7" w:rsidP="00845FB7">
            <w:pPr>
              <w:rPr>
                <w:sz w:val="22"/>
                <w:szCs w:val="22"/>
                <w:lang w:val="sk-SK"/>
              </w:rPr>
            </w:pPr>
            <w:r w:rsidRPr="00534FB2">
              <w:rPr>
                <w:i/>
                <w:sz w:val="22"/>
                <w:szCs w:val="22"/>
                <w:lang w:val="sk-SK"/>
              </w:rPr>
              <w:t xml:space="preserve">liečbu dny </w:t>
            </w:r>
            <w:r w:rsidRPr="00534FB2">
              <w:rPr>
                <w:sz w:val="22"/>
                <w:szCs w:val="22"/>
                <w:lang w:val="sk-SK"/>
              </w:rPr>
              <w:t>(probenecid,</w:t>
            </w:r>
          </w:p>
          <w:p w14:paraId="106BDB11" w14:textId="77777777" w:rsidR="00845FB7" w:rsidRPr="00534FB2" w:rsidRDefault="00845FB7" w:rsidP="00845FB7">
            <w:pPr>
              <w:rPr>
                <w:sz w:val="22"/>
                <w:szCs w:val="22"/>
                <w:lang w:val="sk-SK"/>
              </w:rPr>
            </w:pPr>
            <w:r w:rsidRPr="00534FB2">
              <w:rPr>
                <w:sz w:val="22"/>
                <w:szCs w:val="22"/>
                <w:lang w:val="sk-SK"/>
              </w:rPr>
              <w:t>sulfínpyrazón a</w:t>
            </w:r>
          </w:p>
          <w:p w14:paraId="1DF7A303" w14:textId="14BFD52C" w:rsidR="00410762" w:rsidRPr="00534FB2" w:rsidRDefault="00845FB7" w:rsidP="00845FB7">
            <w:pPr>
              <w:rPr>
                <w:i/>
                <w:sz w:val="22"/>
                <w:szCs w:val="22"/>
                <w:lang w:val="sk-SK"/>
              </w:rPr>
            </w:pPr>
            <w:r w:rsidRPr="00534FB2">
              <w:rPr>
                <w:sz w:val="22"/>
                <w:szCs w:val="22"/>
                <w:lang w:val="sk-SK"/>
              </w:rPr>
              <w:t>alopurinol)</w:t>
            </w:r>
          </w:p>
        </w:tc>
        <w:tc>
          <w:tcPr>
            <w:tcW w:w="4971" w:type="dxa"/>
            <w:tcBorders>
              <w:left w:val="nil"/>
            </w:tcBorders>
            <w:tcMar>
              <w:top w:w="57" w:type="dxa"/>
              <w:left w:w="57" w:type="dxa"/>
              <w:bottom w:w="57" w:type="dxa"/>
              <w:right w:w="57" w:type="dxa"/>
            </w:tcMar>
          </w:tcPr>
          <w:p w14:paraId="78C84128" w14:textId="6CFA480D" w:rsidR="003203DA" w:rsidRPr="00534FB2" w:rsidRDefault="003203DA" w:rsidP="003203DA">
            <w:pPr>
              <w:rPr>
                <w:sz w:val="22"/>
                <w:szCs w:val="22"/>
                <w:lang w:val="sk-SK"/>
              </w:rPr>
            </w:pPr>
            <w:r w:rsidRPr="00534FB2">
              <w:rPr>
                <w:sz w:val="22"/>
                <w:szCs w:val="22"/>
                <w:lang w:val="sk-SK"/>
              </w:rPr>
              <w:t>Môže byť potrebná úprava dávok urikosurík, pretože hydrochl</w:t>
            </w:r>
            <w:r w:rsidR="00C86DEB">
              <w:rPr>
                <w:sz w:val="22"/>
                <w:szCs w:val="22"/>
                <w:lang w:val="sk-SK"/>
              </w:rPr>
              <w:t>ó</w:t>
            </w:r>
            <w:r w:rsidRPr="00534FB2">
              <w:rPr>
                <w:sz w:val="22"/>
                <w:szCs w:val="22"/>
                <w:lang w:val="sk-SK"/>
              </w:rPr>
              <w:t>rtiazid môže zvýšiť hladinu kyseliny močovej v sére. Môže byť potrebné zvýšiť dávkovanie probenecidu alebo sulfínpyrazónu. Sú</w:t>
            </w:r>
            <w:r w:rsidR="006A789C">
              <w:rPr>
                <w:sz w:val="22"/>
                <w:szCs w:val="22"/>
                <w:lang w:val="sk-SK"/>
              </w:rPr>
              <w:t>bež</w:t>
            </w:r>
            <w:r w:rsidRPr="00534FB2">
              <w:rPr>
                <w:sz w:val="22"/>
                <w:szCs w:val="22"/>
                <w:lang w:val="sk-SK"/>
              </w:rPr>
              <w:t>né podávanie tiazidových diuretík vrátane hydrochl</w:t>
            </w:r>
            <w:r w:rsidR="00C86DEB">
              <w:rPr>
                <w:sz w:val="22"/>
                <w:szCs w:val="22"/>
                <w:lang w:val="sk-SK"/>
              </w:rPr>
              <w:t>ó</w:t>
            </w:r>
            <w:r w:rsidRPr="00534FB2">
              <w:rPr>
                <w:sz w:val="22"/>
                <w:szCs w:val="22"/>
                <w:lang w:val="sk-SK"/>
              </w:rPr>
              <w:t>rtiazidu môže</w:t>
            </w:r>
          </w:p>
          <w:p w14:paraId="3578A5A0" w14:textId="77777777" w:rsidR="003203DA" w:rsidRPr="00534FB2" w:rsidRDefault="003203DA" w:rsidP="003203DA">
            <w:pPr>
              <w:rPr>
                <w:sz w:val="22"/>
                <w:szCs w:val="22"/>
                <w:lang w:val="sk-SK"/>
              </w:rPr>
            </w:pPr>
            <w:r w:rsidRPr="00534FB2">
              <w:rPr>
                <w:sz w:val="22"/>
                <w:szCs w:val="22"/>
                <w:lang w:val="sk-SK"/>
              </w:rPr>
              <w:t>zvyšovať incidenciu reakcií z precitlivenosti na</w:t>
            </w:r>
          </w:p>
          <w:p w14:paraId="40355F97" w14:textId="7076BBF8" w:rsidR="00410762" w:rsidRPr="00534FB2" w:rsidRDefault="003203DA" w:rsidP="003203DA">
            <w:pPr>
              <w:rPr>
                <w:sz w:val="22"/>
                <w:szCs w:val="22"/>
                <w:lang w:val="sk-SK"/>
              </w:rPr>
            </w:pPr>
            <w:r w:rsidRPr="00534FB2">
              <w:rPr>
                <w:sz w:val="22"/>
                <w:szCs w:val="22"/>
                <w:lang w:val="sk-SK"/>
              </w:rPr>
              <w:t>alopurinol.</w:t>
            </w:r>
          </w:p>
        </w:tc>
      </w:tr>
      <w:tr w:rsidR="00410762" w:rsidRPr="00534FB2" w14:paraId="0BD3FE97" w14:textId="77777777" w:rsidTr="009B0BE9">
        <w:trPr>
          <w:jc w:val="center"/>
        </w:trPr>
        <w:tc>
          <w:tcPr>
            <w:tcW w:w="1701" w:type="dxa"/>
            <w:vMerge/>
            <w:tcBorders>
              <w:right w:val="nil"/>
            </w:tcBorders>
            <w:tcMar>
              <w:top w:w="57" w:type="dxa"/>
              <w:left w:w="57" w:type="dxa"/>
              <w:bottom w:w="57" w:type="dxa"/>
              <w:right w:w="57" w:type="dxa"/>
            </w:tcMar>
          </w:tcPr>
          <w:p w14:paraId="6B6B3BC4"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0BE0CCE9" w14:textId="2786157C" w:rsidR="00410762" w:rsidRPr="00534FB2" w:rsidRDefault="00845FB7" w:rsidP="00134CBE">
            <w:pPr>
              <w:rPr>
                <w:i/>
                <w:sz w:val="22"/>
                <w:szCs w:val="22"/>
                <w:lang w:val="sk-SK"/>
              </w:rPr>
            </w:pPr>
            <w:r w:rsidRPr="00534FB2">
              <w:rPr>
                <w:i/>
                <w:sz w:val="22"/>
                <w:szCs w:val="22"/>
                <w:lang w:val="sk-SK"/>
              </w:rPr>
              <w:t>Met</w:t>
            </w:r>
            <w:r w:rsidR="00410762" w:rsidRPr="00534FB2">
              <w:rPr>
                <w:i/>
                <w:sz w:val="22"/>
                <w:szCs w:val="22"/>
                <w:lang w:val="sk-SK"/>
              </w:rPr>
              <w:t>yldopa</w:t>
            </w:r>
          </w:p>
        </w:tc>
        <w:tc>
          <w:tcPr>
            <w:tcW w:w="4971" w:type="dxa"/>
            <w:tcBorders>
              <w:left w:val="nil"/>
            </w:tcBorders>
            <w:tcMar>
              <w:top w:w="57" w:type="dxa"/>
              <w:left w:w="57" w:type="dxa"/>
              <w:bottom w:w="57" w:type="dxa"/>
              <w:right w:w="57" w:type="dxa"/>
            </w:tcMar>
          </w:tcPr>
          <w:p w14:paraId="4A21C01D" w14:textId="7AD7877B" w:rsidR="00410762" w:rsidRPr="00534FB2" w:rsidRDefault="003203DA" w:rsidP="003203DA">
            <w:pPr>
              <w:rPr>
                <w:sz w:val="22"/>
                <w:szCs w:val="22"/>
                <w:lang w:val="sk-SK"/>
              </w:rPr>
            </w:pPr>
            <w:r w:rsidRPr="00534FB2">
              <w:rPr>
                <w:sz w:val="22"/>
                <w:szCs w:val="22"/>
                <w:lang w:val="sk-SK"/>
              </w:rPr>
              <w:t>Vyskytli sa ojedinelé hlásenia hemolytickej anémie, ktorá vznikla pri sú</w:t>
            </w:r>
            <w:r w:rsidR="0067797A">
              <w:rPr>
                <w:sz w:val="22"/>
                <w:szCs w:val="22"/>
                <w:lang w:val="sk-SK"/>
              </w:rPr>
              <w:t>bež</w:t>
            </w:r>
            <w:r w:rsidRPr="00534FB2">
              <w:rPr>
                <w:sz w:val="22"/>
                <w:szCs w:val="22"/>
                <w:lang w:val="sk-SK"/>
              </w:rPr>
              <w:t>nom použití hydrochl</w:t>
            </w:r>
            <w:r w:rsidR="00C86DEB">
              <w:rPr>
                <w:sz w:val="22"/>
                <w:szCs w:val="22"/>
                <w:lang w:val="sk-SK"/>
              </w:rPr>
              <w:t>ó</w:t>
            </w:r>
            <w:r w:rsidRPr="00534FB2">
              <w:rPr>
                <w:sz w:val="22"/>
                <w:szCs w:val="22"/>
                <w:lang w:val="sk-SK"/>
              </w:rPr>
              <w:t>rtiazidu a metyldopy.</w:t>
            </w:r>
          </w:p>
        </w:tc>
      </w:tr>
      <w:tr w:rsidR="00410762" w:rsidRPr="00534FB2" w14:paraId="434AF038" w14:textId="77777777" w:rsidTr="009B0BE9">
        <w:trPr>
          <w:jc w:val="center"/>
        </w:trPr>
        <w:tc>
          <w:tcPr>
            <w:tcW w:w="1701" w:type="dxa"/>
            <w:vMerge/>
            <w:tcBorders>
              <w:right w:val="nil"/>
            </w:tcBorders>
            <w:tcMar>
              <w:top w:w="57" w:type="dxa"/>
              <w:left w:w="57" w:type="dxa"/>
              <w:bottom w:w="57" w:type="dxa"/>
              <w:right w:w="57" w:type="dxa"/>
            </w:tcMar>
          </w:tcPr>
          <w:p w14:paraId="5EDAA977"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5A4D782E" w14:textId="77777777" w:rsidR="003203DA" w:rsidRPr="00534FB2" w:rsidRDefault="003203DA" w:rsidP="003203DA">
            <w:pPr>
              <w:rPr>
                <w:i/>
                <w:sz w:val="22"/>
                <w:szCs w:val="22"/>
                <w:lang w:val="sk-SK"/>
              </w:rPr>
            </w:pPr>
            <w:r w:rsidRPr="00534FB2">
              <w:rPr>
                <w:i/>
                <w:sz w:val="22"/>
                <w:szCs w:val="22"/>
                <w:lang w:val="sk-SK"/>
              </w:rPr>
              <w:t>Nedepolarizujúce</w:t>
            </w:r>
          </w:p>
          <w:p w14:paraId="69086888" w14:textId="77777777" w:rsidR="003203DA" w:rsidRPr="00534FB2" w:rsidRDefault="003203DA" w:rsidP="003203DA">
            <w:pPr>
              <w:rPr>
                <w:i/>
                <w:sz w:val="22"/>
                <w:szCs w:val="22"/>
                <w:lang w:val="sk-SK"/>
              </w:rPr>
            </w:pPr>
            <w:r w:rsidRPr="00534FB2">
              <w:rPr>
                <w:i/>
                <w:sz w:val="22"/>
                <w:szCs w:val="22"/>
                <w:lang w:val="sk-SK"/>
              </w:rPr>
              <w:t>relaxanciá kostrového</w:t>
            </w:r>
          </w:p>
          <w:p w14:paraId="029F11DC" w14:textId="77777777" w:rsidR="003203DA" w:rsidRPr="00534FB2" w:rsidRDefault="003203DA" w:rsidP="003203DA">
            <w:pPr>
              <w:rPr>
                <w:sz w:val="22"/>
                <w:szCs w:val="22"/>
                <w:lang w:val="sk-SK"/>
              </w:rPr>
            </w:pPr>
            <w:r w:rsidRPr="00534FB2">
              <w:rPr>
                <w:i/>
                <w:sz w:val="22"/>
                <w:szCs w:val="22"/>
                <w:lang w:val="sk-SK"/>
              </w:rPr>
              <w:t xml:space="preserve">svalstva </w:t>
            </w:r>
            <w:r w:rsidRPr="00534FB2">
              <w:rPr>
                <w:sz w:val="22"/>
                <w:szCs w:val="22"/>
                <w:lang w:val="sk-SK"/>
              </w:rPr>
              <w:t>(napr.</w:t>
            </w:r>
          </w:p>
          <w:p w14:paraId="05A4266E" w14:textId="2B7CE057" w:rsidR="00410762" w:rsidRPr="00534FB2" w:rsidRDefault="003203DA" w:rsidP="003203DA">
            <w:pPr>
              <w:rPr>
                <w:i/>
                <w:sz w:val="22"/>
                <w:szCs w:val="22"/>
                <w:lang w:val="sk-SK"/>
              </w:rPr>
            </w:pPr>
            <w:r w:rsidRPr="00534FB2">
              <w:rPr>
                <w:sz w:val="22"/>
                <w:szCs w:val="22"/>
                <w:lang w:val="sk-SK"/>
              </w:rPr>
              <w:t>tubokurarín)</w:t>
            </w:r>
          </w:p>
        </w:tc>
        <w:tc>
          <w:tcPr>
            <w:tcW w:w="4971" w:type="dxa"/>
            <w:tcBorders>
              <w:left w:val="nil"/>
            </w:tcBorders>
            <w:tcMar>
              <w:top w:w="57" w:type="dxa"/>
              <w:left w:w="57" w:type="dxa"/>
              <w:bottom w:w="57" w:type="dxa"/>
              <w:right w:w="57" w:type="dxa"/>
            </w:tcMar>
          </w:tcPr>
          <w:p w14:paraId="05630888" w14:textId="6BB7C0DD" w:rsidR="00410762" w:rsidRPr="00534FB2" w:rsidRDefault="003203DA" w:rsidP="003203DA">
            <w:pPr>
              <w:rPr>
                <w:sz w:val="22"/>
                <w:szCs w:val="22"/>
                <w:lang w:val="sk-SK"/>
              </w:rPr>
            </w:pPr>
            <w:r w:rsidRPr="00534FB2">
              <w:rPr>
                <w:sz w:val="22"/>
                <w:szCs w:val="22"/>
                <w:lang w:val="sk-SK"/>
              </w:rPr>
              <w:t>Tiazidy vrátane hydrochl</w:t>
            </w:r>
            <w:r w:rsidR="00C86DEB">
              <w:rPr>
                <w:sz w:val="22"/>
                <w:szCs w:val="22"/>
                <w:lang w:val="sk-SK"/>
              </w:rPr>
              <w:t>ó</w:t>
            </w:r>
            <w:r w:rsidRPr="00534FB2">
              <w:rPr>
                <w:sz w:val="22"/>
                <w:szCs w:val="22"/>
                <w:lang w:val="sk-SK"/>
              </w:rPr>
              <w:t>rtiazidu potenciujú účinok derivátov kurare.</w:t>
            </w:r>
          </w:p>
        </w:tc>
      </w:tr>
      <w:tr w:rsidR="00410762" w:rsidRPr="00534FB2" w14:paraId="195D83D9" w14:textId="77777777" w:rsidTr="009B0BE9">
        <w:trPr>
          <w:jc w:val="center"/>
        </w:trPr>
        <w:tc>
          <w:tcPr>
            <w:tcW w:w="1701" w:type="dxa"/>
            <w:vMerge/>
            <w:tcBorders>
              <w:right w:val="nil"/>
            </w:tcBorders>
            <w:tcMar>
              <w:top w:w="57" w:type="dxa"/>
              <w:left w:w="57" w:type="dxa"/>
              <w:bottom w:w="57" w:type="dxa"/>
              <w:right w:w="57" w:type="dxa"/>
            </w:tcMar>
          </w:tcPr>
          <w:p w14:paraId="2CEE71A2"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528A0CCC" w14:textId="387CCB23" w:rsidR="00410762" w:rsidRPr="00534FB2" w:rsidRDefault="003203DA" w:rsidP="00134CBE">
            <w:pPr>
              <w:rPr>
                <w:i/>
                <w:sz w:val="22"/>
                <w:szCs w:val="22"/>
                <w:lang w:val="sk-SK"/>
              </w:rPr>
            </w:pPr>
            <w:r w:rsidRPr="00534FB2">
              <w:rPr>
                <w:i/>
                <w:sz w:val="22"/>
                <w:szCs w:val="22"/>
                <w:lang w:val="sk-SK"/>
              </w:rPr>
              <w:t>Iné antihypertenzíva</w:t>
            </w:r>
          </w:p>
        </w:tc>
        <w:tc>
          <w:tcPr>
            <w:tcW w:w="4971" w:type="dxa"/>
            <w:tcBorders>
              <w:left w:val="nil"/>
            </w:tcBorders>
            <w:tcMar>
              <w:top w:w="57" w:type="dxa"/>
              <w:left w:w="57" w:type="dxa"/>
              <w:bottom w:w="57" w:type="dxa"/>
              <w:right w:w="57" w:type="dxa"/>
            </w:tcMar>
          </w:tcPr>
          <w:p w14:paraId="1519C9C0" w14:textId="6ED26B23" w:rsidR="00410762" w:rsidRPr="00534FB2" w:rsidRDefault="003203DA" w:rsidP="003203DA">
            <w:pPr>
              <w:rPr>
                <w:sz w:val="22"/>
                <w:szCs w:val="22"/>
                <w:lang w:val="sk-SK"/>
              </w:rPr>
            </w:pPr>
            <w:r w:rsidRPr="00534FB2">
              <w:rPr>
                <w:sz w:val="22"/>
                <w:szCs w:val="22"/>
                <w:lang w:val="sk-SK"/>
              </w:rPr>
              <w:t>Tiazidy potenciujú antihypertenzívny účinok iných antihypertenzív (napr. guanetidínu, metyldopy, betablokátorov, vazodilatancií, blokátorov kalciových kanálov, inhibítorov ACE, ARB a priamych inhibítorov renínu [DRI]).</w:t>
            </w:r>
          </w:p>
        </w:tc>
      </w:tr>
      <w:tr w:rsidR="00410762" w:rsidRPr="00534FB2" w14:paraId="38D0CABA" w14:textId="77777777" w:rsidTr="009B0BE9">
        <w:trPr>
          <w:jc w:val="center"/>
        </w:trPr>
        <w:tc>
          <w:tcPr>
            <w:tcW w:w="1701" w:type="dxa"/>
            <w:vMerge/>
            <w:tcBorders>
              <w:right w:val="nil"/>
            </w:tcBorders>
            <w:tcMar>
              <w:top w:w="57" w:type="dxa"/>
              <w:left w:w="57" w:type="dxa"/>
              <w:bottom w:w="57" w:type="dxa"/>
              <w:right w:w="57" w:type="dxa"/>
            </w:tcMar>
          </w:tcPr>
          <w:p w14:paraId="3397DF0B"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2199D403" w14:textId="77777777" w:rsidR="003203DA" w:rsidRPr="00534FB2" w:rsidRDefault="003203DA" w:rsidP="003203DA">
            <w:pPr>
              <w:rPr>
                <w:i/>
                <w:sz w:val="22"/>
                <w:szCs w:val="22"/>
                <w:lang w:val="sk-SK"/>
              </w:rPr>
            </w:pPr>
            <w:r w:rsidRPr="00534FB2">
              <w:rPr>
                <w:i/>
                <w:sz w:val="22"/>
                <w:szCs w:val="22"/>
                <w:lang w:val="sk-SK"/>
              </w:rPr>
              <w:t>Presorické amíny</w:t>
            </w:r>
          </w:p>
          <w:p w14:paraId="2567405F" w14:textId="77777777" w:rsidR="003203DA" w:rsidRPr="00534FB2" w:rsidRDefault="003203DA" w:rsidP="003203DA">
            <w:pPr>
              <w:rPr>
                <w:sz w:val="22"/>
                <w:szCs w:val="22"/>
                <w:lang w:val="sk-SK"/>
              </w:rPr>
            </w:pPr>
            <w:r w:rsidRPr="00534FB2">
              <w:rPr>
                <w:sz w:val="22"/>
                <w:szCs w:val="22"/>
                <w:lang w:val="sk-SK"/>
              </w:rPr>
              <w:t>(napr. noradrenalín,</w:t>
            </w:r>
          </w:p>
          <w:p w14:paraId="64548036" w14:textId="051D48B8" w:rsidR="00410762" w:rsidRPr="00534FB2" w:rsidRDefault="003203DA" w:rsidP="003203DA">
            <w:pPr>
              <w:rPr>
                <w:i/>
                <w:sz w:val="22"/>
                <w:szCs w:val="22"/>
                <w:lang w:val="sk-SK"/>
              </w:rPr>
            </w:pPr>
            <w:r w:rsidRPr="00534FB2">
              <w:rPr>
                <w:sz w:val="22"/>
                <w:szCs w:val="22"/>
                <w:lang w:val="sk-SK"/>
              </w:rPr>
              <w:t>adrenalín)</w:t>
            </w:r>
          </w:p>
        </w:tc>
        <w:tc>
          <w:tcPr>
            <w:tcW w:w="4971" w:type="dxa"/>
            <w:tcBorders>
              <w:left w:val="nil"/>
            </w:tcBorders>
            <w:tcMar>
              <w:top w:w="57" w:type="dxa"/>
              <w:left w:w="57" w:type="dxa"/>
              <w:bottom w:w="57" w:type="dxa"/>
              <w:right w:w="57" w:type="dxa"/>
            </w:tcMar>
          </w:tcPr>
          <w:p w14:paraId="18C781F1" w14:textId="4CEA6F4C" w:rsidR="00410762" w:rsidRPr="00534FB2" w:rsidRDefault="003203DA" w:rsidP="003203DA">
            <w:pPr>
              <w:rPr>
                <w:sz w:val="22"/>
                <w:szCs w:val="22"/>
                <w:lang w:val="sk-SK"/>
              </w:rPr>
            </w:pPr>
            <w:r w:rsidRPr="00534FB2">
              <w:rPr>
                <w:sz w:val="22"/>
                <w:szCs w:val="22"/>
                <w:lang w:val="sk-SK"/>
              </w:rPr>
              <w:t>Hydrochl</w:t>
            </w:r>
            <w:r w:rsidR="00C86DEB">
              <w:rPr>
                <w:sz w:val="22"/>
                <w:szCs w:val="22"/>
                <w:lang w:val="sk-SK"/>
              </w:rPr>
              <w:t>ó</w:t>
            </w:r>
            <w:r w:rsidRPr="00534FB2">
              <w:rPr>
                <w:sz w:val="22"/>
                <w:szCs w:val="22"/>
                <w:lang w:val="sk-SK"/>
              </w:rPr>
              <w:t>rtiazid môže znížiť odpoveď na presorické amíny, napr. noradrenalín. Klinická významnosť tohto účinku je neistá a nepostačuje na to, aby bolo vylúčené ich používanie.</w:t>
            </w:r>
          </w:p>
        </w:tc>
      </w:tr>
      <w:tr w:rsidR="00410762" w:rsidRPr="00534FB2" w14:paraId="4FB969D0" w14:textId="77777777" w:rsidTr="009B0BE9">
        <w:trPr>
          <w:jc w:val="center"/>
        </w:trPr>
        <w:tc>
          <w:tcPr>
            <w:tcW w:w="1701" w:type="dxa"/>
            <w:vMerge/>
            <w:tcBorders>
              <w:right w:val="nil"/>
            </w:tcBorders>
            <w:tcMar>
              <w:top w:w="57" w:type="dxa"/>
              <w:left w:w="57" w:type="dxa"/>
              <w:bottom w:w="57" w:type="dxa"/>
              <w:right w:w="57" w:type="dxa"/>
            </w:tcMar>
          </w:tcPr>
          <w:p w14:paraId="3CFE02AF" w14:textId="77777777" w:rsidR="00410762" w:rsidRPr="00534FB2" w:rsidRDefault="00410762" w:rsidP="00134CBE">
            <w:pPr>
              <w:rPr>
                <w:sz w:val="22"/>
                <w:szCs w:val="22"/>
                <w:lang w:val="sk-SK"/>
              </w:rPr>
            </w:pPr>
          </w:p>
        </w:tc>
        <w:tc>
          <w:tcPr>
            <w:tcW w:w="2405" w:type="dxa"/>
            <w:tcBorders>
              <w:left w:val="nil"/>
              <w:right w:val="nil"/>
            </w:tcBorders>
            <w:tcMar>
              <w:top w:w="57" w:type="dxa"/>
              <w:left w:w="57" w:type="dxa"/>
              <w:bottom w:w="57" w:type="dxa"/>
              <w:right w:w="57" w:type="dxa"/>
            </w:tcMar>
          </w:tcPr>
          <w:p w14:paraId="56EEB6B3" w14:textId="77777777" w:rsidR="003203DA" w:rsidRPr="00534FB2" w:rsidRDefault="003203DA" w:rsidP="003203DA">
            <w:pPr>
              <w:rPr>
                <w:i/>
                <w:sz w:val="22"/>
                <w:szCs w:val="22"/>
                <w:lang w:val="sk-SK"/>
              </w:rPr>
            </w:pPr>
            <w:r w:rsidRPr="00534FB2">
              <w:rPr>
                <w:i/>
                <w:sz w:val="22"/>
                <w:szCs w:val="22"/>
                <w:lang w:val="sk-SK"/>
              </w:rPr>
              <w:t>Vitamín D a soli</w:t>
            </w:r>
          </w:p>
          <w:p w14:paraId="77B9C77E" w14:textId="1EE3E159" w:rsidR="00410762" w:rsidRPr="00534FB2" w:rsidRDefault="003203DA" w:rsidP="003203DA">
            <w:pPr>
              <w:rPr>
                <w:i/>
                <w:sz w:val="22"/>
                <w:szCs w:val="22"/>
                <w:lang w:val="sk-SK"/>
              </w:rPr>
            </w:pPr>
            <w:r w:rsidRPr="00534FB2">
              <w:rPr>
                <w:i/>
                <w:sz w:val="22"/>
                <w:szCs w:val="22"/>
                <w:lang w:val="sk-SK"/>
              </w:rPr>
              <w:t>vápnika</w:t>
            </w:r>
          </w:p>
        </w:tc>
        <w:tc>
          <w:tcPr>
            <w:tcW w:w="4971" w:type="dxa"/>
            <w:tcBorders>
              <w:left w:val="nil"/>
            </w:tcBorders>
            <w:tcMar>
              <w:top w:w="57" w:type="dxa"/>
              <w:left w:w="57" w:type="dxa"/>
              <w:bottom w:w="57" w:type="dxa"/>
              <w:right w:w="57" w:type="dxa"/>
            </w:tcMar>
          </w:tcPr>
          <w:p w14:paraId="2539F11E" w14:textId="77777777" w:rsidR="003203DA" w:rsidRPr="00534FB2" w:rsidRDefault="003203DA" w:rsidP="003203DA">
            <w:pPr>
              <w:rPr>
                <w:sz w:val="22"/>
                <w:szCs w:val="22"/>
                <w:lang w:val="sk-SK"/>
              </w:rPr>
            </w:pPr>
            <w:r w:rsidRPr="00534FB2">
              <w:rPr>
                <w:sz w:val="22"/>
                <w:szCs w:val="22"/>
                <w:lang w:val="sk-SK"/>
              </w:rPr>
              <w:t>Podávanie tiazidových diuretík vrátane</w:t>
            </w:r>
          </w:p>
          <w:p w14:paraId="2D271766" w14:textId="530D13D2" w:rsidR="00410762" w:rsidRPr="00534FB2" w:rsidRDefault="003203DA" w:rsidP="003203DA">
            <w:pPr>
              <w:rPr>
                <w:sz w:val="22"/>
                <w:szCs w:val="22"/>
                <w:lang w:val="sk-SK"/>
              </w:rPr>
            </w:pPr>
            <w:r w:rsidRPr="00534FB2">
              <w:rPr>
                <w:sz w:val="22"/>
                <w:szCs w:val="22"/>
                <w:lang w:val="sk-SK"/>
              </w:rPr>
              <w:t>hydrochl</w:t>
            </w:r>
            <w:r w:rsidR="00C86DEB">
              <w:rPr>
                <w:sz w:val="22"/>
                <w:szCs w:val="22"/>
                <w:lang w:val="sk-SK"/>
              </w:rPr>
              <w:t>ó</w:t>
            </w:r>
            <w:r w:rsidRPr="00534FB2">
              <w:rPr>
                <w:sz w:val="22"/>
                <w:szCs w:val="22"/>
                <w:lang w:val="sk-SK"/>
              </w:rPr>
              <w:t>rtiazidu s vitamínom D alebo soľami vápnika môže potenciovať zvýšenie vápnika v sére. Súbežné použitie diuretík tiazidového typu môže vyvolať hyperkalciémiu u pacientov s predispozíciou na hyperkalciémiu (napr. s hyperparatyreoidizmom, malignitou alebo stavmi sprostredkovanými vitamínom D) zvýšením reabsorpcie vápnika v tubuloch.</w:t>
            </w:r>
          </w:p>
        </w:tc>
      </w:tr>
    </w:tbl>
    <w:p w14:paraId="171D2E87" w14:textId="77777777" w:rsidR="005337B7" w:rsidRPr="00534FB2" w:rsidRDefault="005337B7" w:rsidP="00134CBE">
      <w:pPr>
        <w:rPr>
          <w:sz w:val="22"/>
          <w:szCs w:val="22"/>
        </w:rPr>
      </w:pPr>
    </w:p>
    <w:p w14:paraId="558E9BFA" w14:textId="37BE4F15" w:rsidR="00EE657B" w:rsidRPr="00534FB2" w:rsidRDefault="00D01187" w:rsidP="00134CBE">
      <w:pPr>
        <w:rPr>
          <w:i/>
          <w:sz w:val="22"/>
          <w:szCs w:val="22"/>
          <w:u w:val="single"/>
          <w:lang w:val="sk-SK"/>
        </w:rPr>
      </w:pPr>
      <w:r w:rsidRPr="00534FB2">
        <w:rPr>
          <w:i/>
          <w:sz w:val="22"/>
          <w:szCs w:val="22"/>
          <w:u w:val="single"/>
          <w:lang w:val="sk-SK"/>
        </w:rPr>
        <w:t>Duálna inhibícia RAAS pôsobením ARB, inhibítorov ACE alebo aliskir</w:t>
      </w:r>
      <w:r w:rsidR="0067797A">
        <w:rPr>
          <w:i/>
          <w:sz w:val="22"/>
          <w:szCs w:val="22"/>
          <w:u w:val="single"/>
          <w:lang w:val="sk-SK"/>
        </w:rPr>
        <w:t>é</w:t>
      </w:r>
      <w:r w:rsidRPr="00534FB2">
        <w:rPr>
          <w:i/>
          <w:sz w:val="22"/>
          <w:szCs w:val="22"/>
          <w:u w:val="single"/>
          <w:lang w:val="sk-SK"/>
        </w:rPr>
        <w:t>nu</w:t>
      </w:r>
    </w:p>
    <w:p w14:paraId="2EE6C388" w14:textId="1AECB2C5" w:rsidR="001F011B" w:rsidRPr="00534FB2" w:rsidRDefault="00DE47C1" w:rsidP="00DE47C1">
      <w:pPr>
        <w:rPr>
          <w:sz w:val="22"/>
          <w:szCs w:val="22"/>
          <w:lang w:val="sk-SK"/>
        </w:rPr>
      </w:pPr>
      <w:r w:rsidRPr="00534FB2">
        <w:rPr>
          <w:sz w:val="22"/>
          <w:szCs w:val="22"/>
          <w:lang w:val="sk-SK"/>
        </w:rPr>
        <w:lastRenderedPageBreak/>
        <w:t>Údaje z klinických skúšaní ukázali, že duálna inhibícia RAAS kombinovaným použitím inhibítorov ACE, ARB alebo aliskir</w:t>
      </w:r>
      <w:r w:rsidR="0067797A">
        <w:rPr>
          <w:sz w:val="22"/>
          <w:szCs w:val="22"/>
          <w:lang w:val="sk-SK"/>
        </w:rPr>
        <w:t>é</w:t>
      </w:r>
      <w:r w:rsidRPr="00534FB2">
        <w:rPr>
          <w:sz w:val="22"/>
          <w:szCs w:val="22"/>
          <w:lang w:val="sk-SK"/>
        </w:rPr>
        <w:t>nu sa spája s vyššou frekvenciou nežiaducich udalostí, ako sú hypotenzia, hyperkaliémia a znížená funkcia obličiek (vrátane akútneho zlyhania obličiek), v porovnaní s použitím látky ovplyvňujúcej RAAS v monoterapii (pozri časti 4.3, 4.4 a 5.1).</w:t>
      </w:r>
    </w:p>
    <w:p w14:paraId="0F29C2C4" w14:textId="77777777" w:rsidR="00C03AE2" w:rsidRPr="00534FB2" w:rsidRDefault="00C03AE2" w:rsidP="00134CBE">
      <w:pPr>
        <w:rPr>
          <w:sz w:val="22"/>
          <w:szCs w:val="22"/>
          <w:lang w:val="sk-SK"/>
        </w:rPr>
      </w:pPr>
    </w:p>
    <w:p w14:paraId="5021A315" w14:textId="398ED53F" w:rsidR="0043633E" w:rsidRPr="00534FB2" w:rsidRDefault="00DE47C1" w:rsidP="00DE47C1">
      <w:pPr>
        <w:pStyle w:val="Odsekzoznamu"/>
        <w:numPr>
          <w:ilvl w:val="1"/>
          <w:numId w:val="1"/>
        </w:numPr>
        <w:ind w:left="567" w:hanging="567"/>
        <w:rPr>
          <w:b/>
          <w:sz w:val="22"/>
          <w:szCs w:val="22"/>
          <w:lang w:val="sk-SK"/>
        </w:rPr>
      </w:pPr>
      <w:r w:rsidRPr="00534FB2">
        <w:rPr>
          <w:b/>
          <w:sz w:val="22"/>
          <w:szCs w:val="22"/>
          <w:lang w:val="sk-SK"/>
        </w:rPr>
        <w:t>Fertilita, gravidita a laktácia</w:t>
      </w:r>
    </w:p>
    <w:p w14:paraId="357A3A37" w14:textId="77777777" w:rsidR="0043633E" w:rsidRPr="00534FB2" w:rsidRDefault="0043633E" w:rsidP="00134CBE">
      <w:pPr>
        <w:rPr>
          <w:sz w:val="22"/>
          <w:szCs w:val="22"/>
          <w:lang w:val="sk-SK"/>
        </w:rPr>
      </w:pPr>
    </w:p>
    <w:p w14:paraId="2D1824CD" w14:textId="7C84A647" w:rsidR="00EE657B" w:rsidRPr="00534FB2" w:rsidRDefault="00DE47C1" w:rsidP="00134CBE">
      <w:pPr>
        <w:rPr>
          <w:sz w:val="22"/>
          <w:szCs w:val="22"/>
          <w:u w:val="single"/>
          <w:lang w:val="sk-SK"/>
        </w:rPr>
      </w:pPr>
      <w:r w:rsidRPr="00534FB2">
        <w:rPr>
          <w:sz w:val="22"/>
          <w:szCs w:val="22"/>
          <w:u w:val="single"/>
          <w:lang w:val="sk-SK"/>
        </w:rPr>
        <w:t>Gravidita</w:t>
      </w:r>
    </w:p>
    <w:p w14:paraId="124897A1" w14:textId="025C0DA1" w:rsidR="00EE657B" w:rsidRPr="00534FB2" w:rsidRDefault="00DE47C1" w:rsidP="00134CBE">
      <w:pPr>
        <w:rPr>
          <w:i/>
          <w:iCs/>
          <w:sz w:val="22"/>
          <w:szCs w:val="22"/>
          <w:u w:val="single"/>
          <w:lang w:val="sk-SK"/>
        </w:rPr>
      </w:pPr>
      <w:r w:rsidRPr="00534FB2">
        <w:rPr>
          <w:i/>
          <w:iCs/>
          <w:sz w:val="22"/>
          <w:szCs w:val="22"/>
          <w:u w:val="single"/>
          <w:lang w:val="sk-SK"/>
        </w:rPr>
        <w:t>Amlodipín</w:t>
      </w:r>
    </w:p>
    <w:p w14:paraId="0B6F1F1F" w14:textId="75DDFA82" w:rsidR="003F3C6E" w:rsidRPr="00534FB2" w:rsidRDefault="00DE47C1" w:rsidP="00DE47C1">
      <w:pPr>
        <w:rPr>
          <w:sz w:val="22"/>
          <w:szCs w:val="22"/>
          <w:lang w:val="sk-SK"/>
        </w:rPr>
      </w:pPr>
      <w:r w:rsidRPr="00534FB2">
        <w:rPr>
          <w:sz w:val="22"/>
          <w:szCs w:val="22"/>
          <w:lang w:val="sk-SK"/>
        </w:rPr>
        <w:t>Bezpečnosť podávania amlodipínu u žien počas gravidity nebola stanovená. Štúdie na zvieratách preukázali reprodukčnú toxicitu pri vysokých dávkach (pozri časť 5.3). Použitie počas gravidity sa odporúča iba vtedy, ak niet bezpečnejšej alternatívy a ak ochorenie samotné predstavuje zvýšené riziko pre matku a plod.</w:t>
      </w:r>
    </w:p>
    <w:p w14:paraId="56805A29" w14:textId="77777777" w:rsidR="00DE47C1" w:rsidRPr="00534FB2" w:rsidRDefault="00DE47C1" w:rsidP="00DE47C1">
      <w:pPr>
        <w:rPr>
          <w:sz w:val="22"/>
          <w:szCs w:val="22"/>
          <w:lang w:val="sk-SK"/>
        </w:rPr>
      </w:pPr>
    </w:p>
    <w:p w14:paraId="4109936C" w14:textId="77777777" w:rsidR="00EE657B" w:rsidRPr="00534FB2" w:rsidRDefault="00EE657B" w:rsidP="00134CBE">
      <w:pPr>
        <w:rPr>
          <w:i/>
          <w:iCs/>
          <w:sz w:val="22"/>
          <w:szCs w:val="22"/>
          <w:u w:val="single"/>
          <w:lang w:val="sk-SK"/>
        </w:rPr>
      </w:pPr>
      <w:r w:rsidRPr="00534FB2">
        <w:rPr>
          <w:i/>
          <w:iCs/>
          <w:sz w:val="22"/>
          <w:szCs w:val="22"/>
          <w:u w:val="single"/>
          <w:lang w:val="sk-SK"/>
        </w:rPr>
        <w:t>Valsartan</w:t>
      </w:r>
    </w:p>
    <w:p w14:paraId="276961B0" w14:textId="7210ECA7" w:rsidR="00EE657B" w:rsidRPr="00534FB2" w:rsidRDefault="00DE47C1" w:rsidP="00DE47C1">
      <w:pPr>
        <w:pBdr>
          <w:top w:val="single" w:sz="4" w:space="1" w:color="auto"/>
          <w:left w:val="single" w:sz="4" w:space="4" w:color="auto"/>
          <w:bottom w:val="single" w:sz="4" w:space="1" w:color="auto"/>
          <w:right w:val="single" w:sz="4" w:space="4" w:color="auto"/>
        </w:pBdr>
        <w:rPr>
          <w:sz w:val="22"/>
          <w:szCs w:val="22"/>
          <w:lang w:val="sk-SK"/>
        </w:rPr>
      </w:pPr>
      <w:r w:rsidRPr="00534FB2">
        <w:rPr>
          <w:sz w:val="22"/>
          <w:szCs w:val="22"/>
          <w:lang w:val="sk-SK"/>
        </w:rPr>
        <w:t>Použitie antagonistov receptorov angiotenzínu II (AIIRA) sa neodporúča počas prvého trimestra gravidity (pozri časť 4.4). Použitie AIIRA je kontraindikované počas druhého a tretieho trimestra gravidity (pozri časti 4.3 a 4.4).</w:t>
      </w:r>
    </w:p>
    <w:p w14:paraId="10D57368" w14:textId="77777777" w:rsidR="006C366B" w:rsidRPr="00534FB2" w:rsidRDefault="006C366B" w:rsidP="00134CBE">
      <w:pPr>
        <w:rPr>
          <w:sz w:val="22"/>
          <w:szCs w:val="22"/>
          <w:lang w:val="sk-SK"/>
        </w:rPr>
      </w:pPr>
    </w:p>
    <w:p w14:paraId="67B927C8" w14:textId="0E53B8C2" w:rsidR="006C366B" w:rsidRPr="00534FB2" w:rsidRDefault="00322296" w:rsidP="00322296">
      <w:pPr>
        <w:rPr>
          <w:sz w:val="22"/>
          <w:szCs w:val="22"/>
          <w:lang w:val="sk-SK"/>
        </w:rPr>
      </w:pPr>
      <w:r w:rsidRPr="00534FB2">
        <w:rPr>
          <w:sz w:val="22"/>
          <w:szCs w:val="22"/>
          <w:lang w:val="sk-SK"/>
        </w:rPr>
        <w:t xml:space="preserve">Epidemiologické dôkazy týkajúce sa rizika teratogenity po expozícii inhibítorom ACE počas prvého trimestra gravidity neboli </w:t>
      </w:r>
      <w:r w:rsidR="00837F70">
        <w:rPr>
          <w:sz w:val="22"/>
          <w:szCs w:val="22"/>
          <w:lang w:val="sk-SK"/>
        </w:rPr>
        <w:t>presvedčiv</w:t>
      </w:r>
      <w:r w:rsidRPr="00534FB2">
        <w:rPr>
          <w:sz w:val="22"/>
          <w:szCs w:val="22"/>
          <w:lang w:val="sk-SK"/>
        </w:rPr>
        <w:t>é; malé zvýšenie rizika však nemožno vylúčiť. Zatiaľ čo nie sú kontrolované epidemiologické údaje o riziku pri antagonistoch receptorov angiotenzínu II (AIIRA), podobné riziká môžu existovať pre túto skupinu liekov. Ak sa nepretržitá liečba AIIRA nepovažuje za nevyhnutnú, pacientky plánujúce graviditu je potrebné previesť na alternatívnu antihypertenzívnu liečbu, ktorá má potvrdený bezpečnostný profil pri použití počas gravidity. Keď sa potvrdí gravidita, liečba AIIRA sa má okamžite ukončiť a ak je to potrebné, má sa začať alternatívna liečba.</w:t>
      </w:r>
    </w:p>
    <w:p w14:paraId="45381D0A" w14:textId="77777777" w:rsidR="006C366B" w:rsidRPr="00534FB2" w:rsidRDefault="006C366B" w:rsidP="00134CBE">
      <w:pPr>
        <w:rPr>
          <w:sz w:val="22"/>
          <w:szCs w:val="22"/>
          <w:lang w:val="sk-SK"/>
        </w:rPr>
      </w:pPr>
    </w:p>
    <w:p w14:paraId="7B7E7C8E" w14:textId="3CE3A825" w:rsidR="006C366B" w:rsidRPr="00534FB2" w:rsidRDefault="00322296" w:rsidP="00322296">
      <w:pPr>
        <w:rPr>
          <w:sz w:val="22"/>
          <w:szCs w:val="22"/>
          <w:lang w:val="sk-SK"/>
        </w:rPr>
      </w:pPr>
      <w:r w:rsidRPr="00534FB2">
        <w:rPr>
          <w:sz w:val="22"/>
          <w:szCs w:val="22"/>
          <w:lang w:val="sk-SK"/>
        </w:rPr>
        <w:t>Je známe, že expozícia AIIRA pri liečbe počas druhého a tretieho trimestra gravidity vyvoláva u ľudí fetotoxické účinky (</w:t>
      </w:r>
      <w:r w:rsidR="003A1D7F">
        <w:rPr>
          <w:sz w:val="22"/>
          <w:szCs w:val="22"/>
          <w:lang w:val="sk-SK"/>
        </w:rPr>
        <w:t>porucha</w:t>
      </w:r>
      <w:r w:rsidR="003A1D7F" w:rsidRPr="00534FB2">
        <w:rPr>
          <w:sz w:val="22"/>
          <w:szCs w:val="22"/>
          <w:lang w:val="sk-SK"/>
        </w:rPr>
        <w:t xml:space="preserve"> </w:t>
      </w:r>
      <w:r w:rsidRPr="00534FB2">
        <w:rPr>
          <w:sz w:val="22"/>
          <w:szCs w:val="22"/>
          <w:lang w:val="sk-SK"/>
        </w:rPr>
        <w:t>funkcie obličiek, oligohydramnión, spomalenie osifikácie lebky) a toxické účinky u novorodencov (zlyhanie obličiek, hypotenzia, hyperkaliémia) (pozri časť 5.3).</w:t>
      </w:r>
    </w:p>
    <w:p w14:paraId="643B3D1E" w14:textId="77777777" w:rsidR="00322296" w:rsidRPr="00534FB2" w:rsidRDefault="00322296" w:rsidP="00322296">
      <w:pPr>
        <w:rPr>
          <w:sz w:val="22"/>
          <w:szCs w:val="22"/>
          <w:lang w:val="sk-SK"/>
        </w:rPr>
      </w:pPr>
    </w:p>
    <w:p w14:paraId="67EA8ACD" w14:textId="16601501" w:rsidR="006C366B" w:rsidRPr="00534FB2" w:rsidRDefault="00322296" w:rsidP="00322296">
      <w:pPr>
        <w:rPr>
          <w:sz w:val="22"/>
          <w:szCs w:val="22"/>
          <w:lang w:val="sk-SK"/>
        </w:rPr>
      </w:pPr>
      <w:r w:rsidRPr="00534FB2">
        <w:rPr>
          <w:sz w:val="22"/>
          <w:szCs w:val="22"/>
          <w:lang w:val="sk-SK"/>
        </w:rPr>
        <w:t>Ak by došlo k expozícii AIIRA od druhého trimestra gravidity, odporúča sa ultrazvukové vyšetrenie funkcie obličiek a lebky.</w:t>
      </w:r>
    </w:p>
    <w:p w14:paraId="7F127810" w14:textId="77777777" w:rsidR="00322296" w:rsidRPr="00534FB2" w:rsidRDefault="00322296" w:rsidP="00322296">
      <w:pPr>
        <w:rPr>
          <w:sz w:val="22"/>
          <w:szCs w:val="22"/>
          <w:lang w:val="sk-SK"/>
        </w:rPr>
      </w:pPr>
    </w:p>
    <w:p w14:paraId="2AA36491" w14:textId="0D67B828" w:rsidR="006C366B" w:rsidRPr="00534FB2" w:rsidRDefault="00322296" w:rsidP="00322296">
      <w:pPr>
        <w:rPr>
          <w:sz w:val="22"/>
          <w:szCs w:val="22"/>
          <w:lang w:val="sk-SK"/>
        </w:rPr>
      </w:pPr>
      <w:r w:rsidRPr="00534FB2">
        <w:rPr>
          <w:sz w:val="22"/>
          <w:szCs w:val="22"/>
          <w:lang w:val="sk-SK"/>
        </w:rPr>
        <w:t xml:space="preserve">Dojčatá, ktorých matky užívali AIIRA, je potrebné dôsledne sledovať pre </w:t>
      </w:r>
      <w:r w:rsidR="00837F70">
        <w:rPr>
          <w:sz w:val="22"/>
          <w:szCs w:val="22"/>
          <w:lang w:val="sk-SK"/>
        </w:rPr>
        <w:t xml:space="preserve">možnú </w:t>
      </w:r>
      <w:r w:rsidRPr="00534FB2">
        <w:rPr>
          <w:sz w:val="22"/>
          <w:szCs w:val="22"/>
          <w:lang w:val="sk-SK"/>
        </w:rPr>
        <w:t>hypotenziu (pozri časti 4.3 a 4.4).</w:t>
      </w:r>
    </w:p>
    <w:p w14:paraId="2BDB7622" w14:textId="77777777" w:rsidR="00322296" w:rsidRPr="00534FB2" w:rsidRDefault="00322296" w:rsidP="00322296">
      <w:pPr>
        <w:rPr>
          <w:sz w:val="22"/>
          <w:szCs w:val="22"/>
          <w:lang w:val="sk-SK"/>
        </w:rPr>
      </w:pPr>
    </w:p>
    <w:p w14:paraId="5955DAA7" w14:textId="629CF695" w:rsidR="00EE657B" w:rsidRPr="00534FB2" w:rsidRDefault="00322296" w:rsidP="00134CBE">
      <w:pPr>
        <w:rPr>
          <w:i/>
          <w:iCs/>
          <w:sz w:val="22"/>
          <w:szCs w:val="22"/>
          <w:u w:val="single"/>
          <w:lang w:val="sk-SK"/>
        </w:rPr>
      </w:pPr>
      <w:r w:rsidRPr="00534FB2">
        <w:rPr>
          <w:i/>
          <w:iCs/>
          <w:sz w:val="22"/>
          <w:szCs w:val="22"/>
          <w:u w:val="single"/>
          <w:lang w:val="sk-SK"/>
        </w:rPr>
        <w:t>Hydrochl</w:t>
      </w:r>
      <w:r w:rsidR="00C86DEB">
        <w:rPr>
          <w:i/>
          <w:iCs/>
          <w:sz w:val="22"/>
          <w:szCs w:val="22"/>
          <w:u w:val="single"/>
          <w:lang w:val="sk-SK"/>
        </w:rPr>
        <w:t>ó</w:t>
      </w:r>
      <w:r w:rsidRPr="00534FB2">
        <w:rPr>
          <w:i/>
          <w:iCs/>
          <w:sz w:val="22"/>
          <w:szCs w:val="22"/>
          <w:u w:val="single"/>
          <w:lang w:val="sk-SK"/>
        </w:rPr>
        <w:t>rtiazid</w:t>
      </w:r>
    </w:p>
    <w:p w14:paraId="27AB8B0B" w14:textId="08A7D917" w:rsidR="002D4537" w:rsidRPr="00534FB2" w:rsidRDefault="002D4537" w:rsidP="002D4537">
      <w:pPr>
        <w:rPr>
          <w:sz w:val="22"/>
          <w:szCs w:val="22"/>
          <w:lang w:val="sk-SK"/>
        </w:rPr>
      </w:pPr>
      <w:r w:rsidRPr="00534FB2">
        <w:rPr>
          <w:sz w:val="22"/>
          <w:szCs w:val="22"/>
          <w:lang w:val="sk-SK"/>
        </w:rPr>
        <w:t>S použitím hydrochl</w:t>
      </w:r>
      <w:r w:rsidR="00C86DEB">
        <w:rPr>
          <w:sz w:val="22"/>
          <w:szCs w:val="22"/>
          <w:lang w:val="sk-SK"/>
        </w:rPr>
        <w:t>ó</w:t>
      </w:r>
      <w:r w:rsidRPr="00534FB2">
        <w:rPr>
          <w:sz w:val="22"/>
          <w:szCs w:val="22"/>
          <w:lang w:val="sk-SK"/>
        </w:rPr>
        <w:t>rtiazidu počas gravidity, najmä počas prvého trimestra, sú obmedzené</w:t>
      </w:r>
    </w:p>
    <w:p w14:paraId="448B0ABE" w14:textId="7B01FA43" w:rsidR="006C366B" w:rsidRPr="00534FB2" w:rsidRDefault="002D4537" w:rsidP="002D4537">
      <w:pPr>
        <w:rPr>
          <w:sz w:val="22"/>
          <w:szCs w:val="22"/>
          <w:lang w:val="sk-SK"/>
        </w:rPr>
      </w:pPr>
      <w:r w:rsidRPr="00534FB2">
        <w:rPr>
          <w:sz w:val="22"/>
          <w:szCs w:val="22"/>
          <w:lang w:val="sk-SK"/>
        </w:rPr>
        <w:t>skúsenosti. Štúdie na zvieratách sú nedostatočné.</w:t>
      </w:r>
    </w:p>
    <w:p w14:paraId="15EAD14E" w14:textId="77777777" w:rsidR="002D4537" w:rsidRPr="00534FB2" w:rsidRDefault="002D4537" w:rsidP="002D4537">
      <w:pPr>
        <w:rPr>
          <w:sz w:val="22"/>
          <w:szCs w:val="22"/>
          <w:lang w:val="sk-SK"/>
        </w:rPr>
      </w:pPr>
    </w:p>
    <w:p w14:paraId="08489B34" w14:textId="2DA50F62" w:rsidR="006C366B" w:rsidRPr="00534FB2" w:rsidRDefault="002D4537" w:rsidP="002D4537">
      <w:pPr>
        <w:rPr>
          <w:sz w:val="22"/>
          <w:szCs w:val="22"/>
          <w:lang w:val="sk-SK"/>
        </w:rPr>
      </w:pPr>
      <w:r w:rsidRPr="00534FB2">
        <w:rPr>
          <w:sz w:val="22"/>
          <w:szCs w:val="22"/>
          <w:lang w:val="sk-SK"/>
        </w:rPr>
        <w:t>Hydrochl</w:t>
      </w:r>
      <w:r w:rsidR="00C86DEB">
        <w:rPr>
          <w:sz w:val="22"/>
          <w:szCs w:val="22"/>
          <w:lang w:val="sk-SK"/>
        </w:rPr>
        <w:t>ó</w:t>
      </w:r>
      <w:r w:rsidRPr="00534FB2">
        <w:rPr>
          <w:sz w:val="22"/>
          <w:szCs w:val="22"/>
          <w:lang w:val="sk-SK"/>
        </w:rPr>
        <w:t>rtiazid prechádza cez placentu. Na základe farmakologického mechanizmu účinku môže použitie hydrochl</w:t>
      </w:r>
      <w:r w:rsidR="00C86DEB">
        <w:rPr>
          <w:sz w:val="22"/>
          <w:szCs w:val="22"/>
          <w:lang w:val="sk-SK"/>
        </w:rPr>
        <w:t>ó</w:t>
      </w:r>
      <w:r w:rsidRPr="00534FB2">
        <w:rPr>
          <w:sz w:val="22"/>
          <w:szCs w:val="22"/>
          <w:lang w:val="sk-SK"/>
        </w:rPr>
        <w:t>rtiazidu počas druhého a tretieho trimestra ohroziť fetoplacentárnu perfúziu a môže mať účinky na plod a novorodenca, ako sú žltačka, poruchy rovnováhy elektrolytov a trombocytopénia.</w:t>
      </w:r>
    </w:p>
    <w:p w14:paraId="5936462E" w14:textId="77777777" w:rsidR="002D4537" w:rsidRPr="00534FB2" w:rsidRDefault="002D4537" w:rsidP="002D4537">
      <w:pPr>
        <w:rPr>
          <w:sz w:val="22"/>
          <w:szCs w:val="22"/>
          <w:lang w:val="sk-SK"/>
        </w:rPr>
      </w:pPr>
    </w:p>
    <w:p w14:paraId="6476CD84" w14:textId="6D14F8BF" w:rsidR="00EE657B" w:rsidRPr="00534FB2" w:rsidRDefault="002D4537" w:rsidP="00134CBE">
      <w:pPr>
        <w:rPr>
          <w:i/>
          <w:iCs/>
          <w:sz w:val="22"/>
          <w:szCs w:val="22"/>
          <w:u w:val="single"/>
          <w:lang w:val="sk-SK"/>
        </w:rPr>
      </w:pPr>
      <w:r w:rsidRPr="00534FB2">
        <w:rPr>
          <w:i/>
          <w:iCs/>
          <w:sz w:val="22"/>
          <w:szCs w:val="22"/>
          <w:u w:val="single"/>
          <w:lang w:val="sk-SK"/>
        </w:rPr>
        <w:t>Amlodipín/valsartan/hydrochl</w:t>
      </w:r>
      <w:r w:rsidR="00C86DEB">
        <w:rPr>
          <w:i/>
          <w:iCs/>
          <w:sz w:val="22"/>
          <w:szCs w:val="22"/>
          <w:u w:val="single"/>
          <w:lang w:val="sk-SK"/>
        </w:rPr>
        <w:t>ó</w:t>
      </w:r>
      <w:r w:rsidRPr="00534FB2">
        <w:rPr>
          <w:i/>
          <w:iCs/>
          <w:sz w:val="22"/>
          <w:szCs w:val="22"/>
          <w:u w:val="single"/>
          <w:lang w:val="sk-SK"/>
        </w:rPr>
        <w:t>rtiazid</w:t>
      </w:r>
    </w:p>
    <w:p w14:paraId="58690575" w14:textId="59BF5751" w:rsidR="006C366B" w:rsidRPr="00534FB2" w:rsidRDefault="002D4537" w:rsidP="002D4537">
      <w:pPr>
        <w:rPr>
          <w:sz w:val="22"/>
          <w:szCs w:val="22"/>
          <w:lang w:val="sk-SK"/>
        </w:rPr>
      </w:pPr>
      <w:r w:rsidRPr="00534FB2">
        <w:rPr>
          <w:sz w:val="22"/>
          <w:szCs w:val="22"/>
          <w:lang w:val="sk-SK"/>
        </w:rPr>
        <w:t>Nie sú skúsenosti s používaním amlodipínu/valsartanu/hydrochl</w:t>
      </w:r>
      <w:r w:rsidR="00C86DEB">
        <w:rPr>
          <w:sz w:val="22"/>
          <w:szCs w:val="22"/>
          <w:lang w:val="sk-SK"/>
        </w:rPr>
        <w:t>ó</w:t>
      </w:r>
      <w:r w:rsidRPr="00534FB2">
        <w:rPr>
          <w:sz w:val="22"/>
          <w:szCs w:val="22"/>
          <w:lang w:val="sk-SK"/>
        </w:rPr>
        <w:t>rtiazidu u gravidných žien. Na základe existujúcich údajov o jeho zložkách sa použitie amlodipínu/valsartanu/hydrochl</w:t>
      </w:r>
      <w:r w:rsidR="00C86DEB">
        <w:rPr>
          <w:sz w:val="22"/>
          <w:szCs w:val="22"/>
          <w:lang w:val="sk-SK"/>
        </w:rPr>
        <w:t>ó</w:t>
      </w:r>
      <w:r w:rsidRPr="00534FB2">
        <w:rPr>
          <w:sz w:val="22"/>
          <w:szCs w:val="22"/>
          <w:lang w:val="sk-SK"/>
        </w:rPr>
        <w:t>rtiazidu neodporúča počas prvého trimestra a je kontraindikované počas druhého a tretieho trimestra gravidity (pozri časti 4.3 a 4.4).</w:t>
      </w:r>
    </w:p>
    <w:p w14:paraId="166FC042" w14:textId="77777777" w:rsidR="002D4537" w:rsidRPr="00534FB2" w:rsidRDefault="002D4537" w:rsidP="002D4537">
      <w:pPr>
        <w:rPr>
          <w:sz w:val="22"/>
          <w:szCs w:val="22"/>
          <w:lang w:val="sk-SK"/>
        </w:rPr>
      </w:pPr>
    </w:p>
    <w:p w14:paraId="50034ED7" w14:textId="6C9AFDE0" w:rsidR="00EE657B" w:rsidRPr="00534FB2" w:rsidRDefault="002D4537" w:rsidP="00134CBE">
      <w:pPr>
        <w:rPr>
          <w:sz w:val="22"/>
          <w:szCs w:val="22"/>
          <w:u w:val="single"/>
          <w:lang w:val="sk-SK"/>
        </w:rPr>
      </w:pPr>
      <w:r w:rsidRPr="00534FB2">
        <w:rPr>
          <w:sz w:val="22"/>
          <w:szCs w:val="22"/>
          <w:u w:val="single"/>
          <w:lang w:val="sk-SK"/>
        </w:rPr>
        <w:t>Dojčenie</w:t>
      </w:r>
    </w:p>
    <w:p w14:paraId="29F4792E" w14:textId="4FE0EFD3" w:rsidR="00EE657B" w:rsidRPr="00534FB2" w:rsidRDefault="002D4537" w:rsidP="002D4537">
      <w:pPr>
        <w:rPr>
          <w:sz w:val="22"/>
          <w:szCs w:val="22"/>
          <w:lang w:val="sk-SK"/>
        </w:rPr>
      </w:pPr>
      <w:r w:rsidRPr="00534FB2">
        <w:rPr>
          <w:sz w:val="22"/>
          <w:szCs w:val="22"/>
          <w:lang w:val="sk-SK"/>
        </w:rPr>
        <w:t xml:space="preserve">Amlodipín sa vylučuje do ľudského materského mlieka. Podiel dávky podanej matke, ktorý dostane dieťa, sa odhadol s interkvartilovým rozsahom 3 až 7%, s maximom 15%. Účinok amlodipínu na deti </w:t>
      </w:r>
      <w:r w:rsidRPr="00534FB2">
        <w:rPr>
          <w:sz w:val="22"/>
          <w:szCs w:val="22"/>
          <w:lang w:val="sk-SK"/>
        </w:rPr>
        <w:lastRenderedPageBreak/>
        <w:t>nie je známy. Nie sú dostupné informácie o použití valsartanu počas dojčenia. Hydrochl</w:t>
      </w:r>
      <w:r w:rsidR="00C86DEB">
        <w:rPr>
          <w:sz w:val="22"/>
          <w:szCs w:val="22"/>
          <w:lang w:val="sk-SK"/>
        </w:rPr>
        <w:t>ó</w:t>
      </w:r>
      <w:r w:rsidRPr="00534FB2">
        <w:rPr>
          <w:sz w:val="22"/>
          <w:szCs w:val="22"/>
          <w:lang w:val="sk-SK"/>
        </w:rPr>
        <w:t>rtiazid sa vylučuje v malých množstvách do ľudského mlieka. Vysoké dávky tiazidov, ktoré vyvolávajú silnú diurézu, môžu brániť tvorbe mlieka. Použitie Asbimy HCT sa neodporúča počas dojčenia. Ak sa Asbima HCT používa v období dojčenia, dávky majú byť podľa možnosti čo najnižšie. Vhodnejšie sú iné druhy liečby s lepšie preukázaným bezpečnostným profilom počas dojčenia, najmä pri dojčení novorodencov alebo predčasne narodených detí.</w:t>
      </w:r>
    </w:p>
    <w:p w14:paraId="22D9A2D8" w14:textId="77777777" w:rsidR="006C366B" w:rsidRPr="00534FB2" w:rsidRDefault="006C366B" w:rsidP="00134CBE">
      <w:pPr>
        <w:rPr>
          <w:sz w:val="22"/>
          <w:szCs w:val="22"/>
          <w:lang w:val="sk-SK"/>
        </w:rPr>
      </w:pPr>
    </w:p>
    <w:p w14:paraId="1248F6BD" w14:textId="6841310B" w:rsidR="00EE657B" w:rsidRPr="00534FB2" w:rsidRDefault="002D4537" w:rsidP="00134CBE">
      <w:pPr>
        <w:rPr>
          <w:sz w:val="22"/>
          <w:szCs w:val="22"/>
          <w:u w:val="single"/>
          <w:lang w:val="sk-SK"/>
        </w:rPr>
      </w:pPr>
      <w:r w:rsidRPr="00534FB2">
        <w:rPr>
          <w:sz w:val="22"/>
          <w:szCs w:val="22"/>
          <w:u w:val="single"/>
          <w:lang w:val="sk-SK"/>
        </w:rPr>
        <w:t>Fertilita</w:t>
      </w:r>
    </w:p>
    <w:p w14:paraId="142E61F7" w14:textId="30DD67A4" w:rsidR="00EE657B" w:rsidRPr="00534FB2" w:rsidRDefault="002D4537" w:rsidP="00134CBE">
      <w:pPr>
        <w:rPr>
          <w:sz w:val="22"/>
          <w:szCs w:val="22"/>
          <w:lang w:val="sk-SK"/>
        </w:rPr>
      </w:pPr>
      <w:r w:rsidRPr="00534FB2">
        <w:rPr>
          <w:sz w:val="22"/>
          <w:szCs w:val="22"/>
          <w:lang w:val="sk-SK"/>
        </w:rPr>
        <w:t>Nie sú žiadne klinické štúdie o fertilite pri amlodipíne/valsartane/hydrochl</w:t>
      </w:r>
      <w:r w:rsidR="00C86DEB">
        <w:rPr>
          <w:sz w:val="22"/>
          <w:szCs w:val="22"/>
          <w:lang w:val="sk-SK"/>
        </w:rPr>
        <w:t>ó</w:t>
      </w:r>
      <w:r w:rsidRPr="00534FB2">
        <w:rPr>
          <w:sz w:val="22"/>
          <w:szCs w:val="22"/>
          <w:lang w:val="sk-SK"/>
        </w:rPr>
        <w:t>rtiazide.</w:t>
      </w:r>
    </w:p>
    <w:p w14:paraId="52710823" w14:textId="77777777" w:rsidR="006C366B" w:rsidRPr="00534FB2" w:rsidRDefault="006C366B" w:rsidP="00134CBE">
      <w:pPr>
        <w:rPr>
          <w:i/>
          <w:iCs/>
          <w:sz w:val="22"/>
          <w:szCs w:val="22"/>
          <w:lang w:val="sk-SK"/>
        </w:rPr>
      </w:pPr>
    </w:p>
    <w:p w14:paraId="55520486" w14:textId="77777777" w:rsidR="00EE657B" w:rsidRPr="00534FB2" w:rsidRDefault="00EE657B" w:rsidP="00DC6280">
      <w:pPr>
        <w:keepNext/>
        <w:rPr>
          <w:i/>
          <w:iCs/>
          <w:sz w:val="22"/>
          <w:szCs w:val="22"/>
          <w:u w:val="single"/>
          <w:lang w:val="sk-SK"/>
        </w:rPr>
      </w:pPr>
      <w:r w:rsidRPr="00534FB2">
        <w:rPr>
          <w:i/>
          <w:iCs/>
          <w:sz w:val="22"/>
          <w:szCs w:val="22"/>
          <w:u w:val="single"/>
          <w:lang w:val="sk-SK"/>
        </w:rPr>
        <w:t>Valsartan</w:t>
      </w:r>
    </w:p>
    <w:p w14:paraId="6225BE92" w14:textId="6DD7D497" w:rsidR="006C366B" w:rsidRPr="00534FB2" w:rsidRDefault="002D4537" w:rsidP="002D4537">
      <w:pPr>
        <w:rPr>
          <w:sz w:val="22"/>
          <w:szCs w:val="22"/>
          <w:lang w:val="sk-SK"/>
        </w:rPr>
      </w:pPr>
      <w:r w:rsidRPr="00534FB2">
        <w:rPr>
          <w:sz w:val="22"/>
          <w:szCs w:val="22"/>
          <w:lang w:val="sk-SK"/>
        </w:rPr>
        <w:t>Valsartan nemal nežiaduce účinky na reprodukčnú schopnosť samcov a samíc potkana pri perorálnych dávkach do 200 mg/kg/deň. Táto dávka je 6-krát vyššia než maximálna odporúčaná dávka u ľudí pri prepočte na mg/m</w:t>
      </w:r>
      <w:r w:rsidRPr="00534FB2">
        <w:rPr>
          <w:sz w:val="22"/>
          <w:szCs w:val="22"/>
          <w:vertAlign w:val="superscript"/>
          <w:lang w:val="sk-SK"/>
        </w:rPr>
        <w:t>2</w:t>
      </w:r>
      <w:r w:rsidRPr="00534FB2">
        <w:rPr>
          <w:sz w:val="22"/>
          <w:szCs w:val="22"/>
          <w:lang w:val="sk-SK"/>
        </w:rPr>
        <w:t xml:space="preserve"> (výpočty vychádzajú z perorálnej dávky 320 mg/deň u pacienta s telesnou hmotnosťou 60 kg).</w:t>
      </w:r>
    </w:p>
    <w:p w14:paraId="585DB078" w14:textId="77777777" w:rsidR="006576D0" w:rsidRPr="00534FB2" w:rsidRDefault="006576D0" w:rsidP="002D4537">
      <w:pPr>
        <w:rPr>
          <w:sz w:val="22"/>
          <w:szCs w:val="22"/>
          <w:lang w:val="sk-SK"/>
        </w:rPr>
      </w:pPr>
    </w:p>
    <w:p w14:paraId="0C03957A" w14:textId="77777777" w:rsidR="002D4537" w:rsidRPr="00534FB2" w:rsidRDefault="002D4537" w:rsidP="002D4537">
      <w:pPr>
        <w:rPr>
          <w:sz w:val="22"/>
          <w:szCs w:val="22"/>
          <w:lang w:val="sk-SK"/>
        </w:rPr>
      </w:pPr>
    </w:p>
    <w:p w14:paraId="5D0CC91E" w14:textId="457D53AD" w:rsidR="00EE657B" w:rsidRPr="00534FB2" w:rsidRDefault="002D4537" w:rsidP="00134CBE">
      <w:pPr>
        <w:rPr>
          <w:i/>
          <w:iCs/>
          <w:sz w:val="22"/>
          <w:szCs w:val="22"/>
          <w:u w:val="single"/>
          <w:lang w:val="sk-SK"/>
        </w:rPr>
      </w:pPr>
      <w:r w:rsidRPr="00534FB2">
        <w:rPr>
          <w:i/>
          <w:iCs/>
          <w:sz w:val="22"/>
          <w:szCs w:val="22"/>
          <w:u w:val="single"/>
          <w:lang w:val="sk-SK"/>
        </w:rPr>
        <w:t xml:space="preserve">Amlodipín </w:t>
      </w:r>
    </w:p>
    <w:p w14:paraId="3FAE6282" w14:textId="77777777" w:rsidR="006576D0" w:rsidRPr="00534FB2" w:rsidRDefault="006576D0" w:rsidP="006576D0">
      <w:pPr>
        <w:rPr>
          <w:sz w:val="22"/>
          <w:szCs w:val="22"/>
          <w:lang w:val="sk-SK"/>
        </w:rPr>
      </w:pPr>
      <w:r w:rsidRPr="00534FB2">
        <w:rPr>
          <w:sz w:val="22"/>
          <w:szCs w:val="22"/>
          <w:lang w:val="sk-SK"/>
        </w:rPr>
        <w:t>U niektorých pacientov liečených blokátormi kalciových kanálov boli hlásené reverzibilné</w:t>
      </w:r>
    </w:p>
    <w:p w14:paraId="7E5E9A81" w14:textId="29450857" w:rsidR="00C03AE2" w:rsidRPr="00534FB2" w:rsidRDefault="006576D0" w:rsidP="006576D0">
      <w:pPr>
        <w:rPr>
          <w:sz w:val="22"/>
          <w:szCs w:val="22"/>
          <w:lang w:val="sk-SK"/>
        </w:rPr>
      </w:pPr>
      <w:r w:rsidRPr="00534FB2">
        <w:rPr>
          <w:sz w:val="22"/>
          <w:szCs w:val="22"/>
          <w:lang w:val="sk-SK"/>
        </w:rPr>
        <w:t>biochemické zmeny v hlavičke spermií. Nie sú dostatočné klinické údaje týkajúce sa možného účinku amlodipínu na fertilitu. V jednej štúdii u potkanov boli zaznamenané nežiaduce účinky na fertilitu u samcov (pozri časť 5.3).</w:t>
      </w:r>
    </w:p>
    <w:p w14:paraId="2116E2BB" w14:textId="77777777" w:rsidR="006576D0" w:rsidRPr="00534FB2" w:rsidRDefault="006576D0" w:rsidP="006576D0">
      <w:pPr>
        <w:rPr>
          <w:sz w:val="22"/>
          <w:szCs w:val="22"/>
          <w:lang w:val="sk-SK"/>
        </w:rPr>
      </w:pPr>
    </w:p>
    <w:p w14:paraId="0E5A3E4D" w14:textId="4681E09E" w:rsidR="0043633E" w:rsidRPr="00534FB2" w:rsidRDefault="006576D0" w:rsidP="006576D0">
      <w:pPr>
        <w:pStyle w:val="Odsekzoznamu"/>
        <w:numPr>
          <w:ilvl w:val="1"/>
          <w:numId w:val="1"/>
        </w:numPr>
        <w:ind w:left="567" w:hanging="567"/>
        <w:rPr>
          <w:b/>
          <w:sz w:val="22"/>
          <w:szCs w:val="22"/>
          <w:lang w:val="sk-SK"/>
        </w:rPr>
      </w:pPr>
      <w:r w:rsidRPr="00534FB2">
        <w:rPr>
          <w:b/>
          <w:sz w:val="22"/>
          <w:szCs w:val="22"/>
          <w:lang w:val="sk-SK"/>
        </w:rPr>
        <w:t>Ovplyvnenie schopnosti viesť vozidlá a obsluhovať stroje</w:t>
      </w:r>
    </w:p>
    <w:p w14:paraId="3714D821" w14:textId="77777777" w:rsidR="00C03AE2" w:rsidRPr="00534FB2" w:rsidRDefault="00C03AE2" w:rsidP="00134CBE">
      <w:pPr>
        <w:rPr>
          <w:sz w:val="22"/>
          <w:szCs w:val="22"/>
          <w:lang w:val="sk-SK"/>
        </w:rPr>
      </w:pPr>
    </w:p>
    <w:p w14:paraId="5F2512FD" w14:textId="2E7FD82E" w:rsidR="00113219" w:rsidRPr="00534FB2" w:rsidRDefault="006576D0" w:rsidP="006576D0">
      <w:pPr>
        <w:rPr>
          <w:sz w:val="22"/>
          <w:szCs w:val="22"/>
          <w:lang w:val="sk-SK"/>
        </w:rPr>
      </w:pPr>
      <w:r w:rsidRPr="00534FB2">
        <w:rPr>
          <w:sz w:val="22"/>
          <w:szCs w:val="22"/>
          <w:lang w:val="sk-SK"/>
        </w:rPr>
        <w:t>Pacienti užívajúci Asbimu HCT majú pri vedení vozidiel alebo obsluhe strojov vziať do úvahy, že občas sa môž</w:t>
      </w:r>
      <w:r w:rsidR="00375E38">
        <w:rPr>
          <w:sz w:val="22"/>
          <w:szCs w:val="22"/>
          <w:lang w:val="sk-SK"/>
        </w:rPr>
        <w:t>e</w:t>
      </w:r>
      <w:r w:rsidRPr="00534FB2">
        <w:rPr>
          <w:sz w:val="22"/>
          <w:szCs w:val="22"/>
          <w:lang w:val="sk-SK"/>
        </w:rPr>
        <w:t xml:space="preserve"> vyskytnúť závrat alebo únava.</w:t>
      </w:r>
    </w:p>
    <w:p w14:paraId="212044B7" w14:textId="77777777" w:rsidR="006576D0" w:rsidRPr="00534FB2" w:rsidRDefault="006576D0" w:rsidP="006576D0">
      <w:pPr>
        <w:rPr>
          <w:sz w:val="22"/>
          <w:szCs w:val="22"/>
          <w:lang w:val="sk-SK"/>
        </w:rPr>
      </w:pPr>
    </w:p>
    <w:p w14:paraId="0833566E" w14:textId="799519B3" w:rsidR="0048743D" w:rsidRPr="00534FB2" w:rsidRDefault="006576D0" w:rsidP="006576D0">
      <w:pPr>
        <w:rPr>
          <w:sz w:val="22"/>
          <w:szCs w:val="22"/>
          <w:lang w:val="sk-SK"/>
        </w:rPr>
      </w:pPr>
      <w:r w:rsidRPr="00534FB2">
        <w:rPr>
          <w:sz w:val="22"/>
          <w:szCs w:val="22"/>
          <w:lang w:val="sk-SK"/>
        </w:rPr>
        <w:t>Amlodipín môže mať malý alebo mierny vplyv na schopnosť viesť vozidlá a obsluhovať stroje. Ak pacienti užívajúci Asbimu HCT trpia závrat</w:t>
      </w:r>
      <w:r w:rsidR="00837F70">
        <w:rPr>
          <w:sz w:val="22"/>
          <w:szCs w:val="22"/>
          <w:lang w:val="sk-SK"/>
        </w:rPr>
        <w:t>om</w:t>
      </w:r>
      <w:r w:rsidRPr="00534FB2">
        <w:rPr>
          <w:sz w:val="22"/>
          <w:szCs w:val="22"/>
          <w:lang w:val="sk-SK"/>
        </w:rPr>
        <w:t>, bolesťou hlavy, únavou alebo nutkaním na vracanie, ich schopnosť reagovať môže byť narušená.</w:t>
      </w:r>
    </w:p>
    <w:p w14:paraId="227D1853" w14:textId="77777777" w:rsidR="006576D0" w:rsidRPr="00534FB2" w:rsidRDefault="006576D0" w:rsidP="006576D0">
      <w:pPr>
        <w:rPr>
          <w:sz w:val="22"/>
          <w:szCs w:val="22"/>
        </w:rPr>
      </w:pPr>
    </w:p>
    <w:p w14:paraId="34877CA6" w14:textId="3AE6FBFB" w:rsidR="0043633E" w:rsidRPr="00534FB2" w:rsidRDefault="006576D0" w:rsidP="006576D0">
      <w:pPr>
        <w:pStyle w:val="Odsekzoznamu"/>
        <w:numPr>
          <w:ilvl w:val="1"/>
          <w:numId w:val="1"/>
        </w:numPr>
        <w:ind w:left="567" w:hanging="567"/>
        <w:rPr>
          <w:b/>
          <w:sz w:val="22"/>
          <w:szCs w:val="22"/>
          <w:lang w:val="sk-SK"/>
        </w:rPr>
      </w:pPr>
      <w:r w:rsidRPr="00534FB2">
        <w:rPr>
          <w:b/>
          <w:sz w:val="22"/>
          <w:szCs w:val="22"/>
          <w:lang w:val="sk-SK"/>
        </w:rPr>
        <w:t>Nežiaduce účinky</w:t>
      </w:r>
    </w:p>
    <w:p w14:paraId="4CC5B91B" w14:textId="77777777" w:rsidR="0043633E" w:rsidRPr="00534FB2" w:rsidRDefault="0043633E" w:rsidP="00134CBE">
      <w:pPr>
        <w:rPr>
          <w:sz w:val="22"/>
          <w:szCs w:val="22"/>
          <w:lang w:val="sk-SK"/>
        </w:rPr>
      </w:pPr>
    </w:p>
    <w:p w14:paraId="3B2577F3" w14:textId="6764C7EB" w:rsidR="00113219" w:rsidRPr="00534FB2" w:rsidRDefault="006A05A0" w:rsidP="006A05A0">
      <w:pPr>
        <w:rPr>
          <w:sz w:val="22"/>
          <w:szCs w:val="22"/>
          <w:lang w:val="sk-SK"/>
        </w:rPr>
      </w:pPr>
      <w:r w:rsidRPr="00534FB2">
        <w:rPr>
          <w:sz w:val="22"/>
          <w:szCs w:val="22"/>
          <w:lang w:val="sk-SK"/>
        </w:rPr>
        <w:t>Bezpečnostný profil amlodipínu/valsartanu/hydrochl</w:t>
      </w:r>
      <w:r w:rsidR="00C86DEB">
        <w:rPr>
          <w:sz w:val="22"/>
          <w:szCs w:val="22"/>
          <w:lang w:val="sk-SK"/>
        </w:rPr>
        <w:t>ó</w:t>
      </w:r>
      <w:r w:rsidRPr="00534FB2">
        <w:rPr>
          <w:sz w:val="22"/>
          <w:szCs w:val="22"/>
          <w:lang w:val="sk-SK"/>
        </w:rPr>
        <w:t>rtiazidu uvedený nižšie je založený na klinických štúdiách vykonaných s amlodipínom/valsartanom/hydrochl</w:t>
      </w:r>
      <w:r w:rsidR="00C86DEB">
        <w:rPr>
          <w:sz w:val="22"/>
          <w:szCs w:val="22"/>
          <w:lang w:val="sk-SK"/>
        </w:rPr>
        <w:t>ó</w:t>
      </w:r>
      <w:r w:rsidRPr="00534FB2">
        <w:rPr>
          <w:sz w:val="22"/>
          <w:szCs w:val="22"/>
          <w:lang w:val="sk-SK"/>
        </w:rPr>
        <w:t>rtiazidom a na známom bezpečnostnom profile jeho jednotlivých zložiek amlodipínu, valsartanu a hydrochl</w:t>
      </w:r>
      <w:r w:rsidR="00C86DEB">
        <w:rPr>
          <w:sz w:val="22"/>
          <w:szCs w:val="22"/>
          <w:lang w:val="sk-SK"/>
        </w:rPr>
        <w:t>ó</w:t>
      </w:r>
      <w:r w:rsidRPr="00534FB2">
        <w:rPr>
          <w:sz w:val="22"/>
          <w:szCs w:val="22"/>
          <w:lang w:val="sk-SK"/>
        </w:rPr>
        <w:t>rtiazidu.</w:t>
      </w:r>
    </w:p>
    <w:p w14:paraId="40C20F1E" w14:textId="77777777" w:rsidR="006A05A0" w:rsidRPr="00534FB2" w:rsidRDefault="006A05A0" w:rsidP="006A05A0">
      <w:pPr>
        <w:rPr>
          <w:sz w:val="22"/>
          <w:szCs w:val="22"/>
          <w:lang w:val="sk-SK"/>
        </w:rPr>
      </w:pPr>
    </w:p>
    <w:p w14:paraId="27777F0B" w14:textId="71265B00" w:rsidR="00113219" w:rsidRPr="00534FB2" w:rsidRDefault="006A05A0" w:rsidP="00134CBE">
      <w:pPr>
        <w:rPr>
          <w:sz w:val="22"/>
          <w:szCs w:val="22"/>
          <w:u w:val="single"/>
          <w:lang w:val="sk-SK"/>
        </w:rPr>
      </w:pPr>
      <w:r w:rsidRPr="00534FB2">
        <w:rPr>
          <w:sz w:val="22"/>
          <w:szCs w:val="22"/>
          <w:u w:val="single"/>
          <w:lang w:val="sk-SK"/>
        </w:rPr>
        <w:t>Zhrnutie bezpečnostného profilu</w:t>
      </w:r>
    </w:p>
    <w:p w14:paraId="0A9C178B" w14:textId="6E41C84A" w:rsidR="00113219" w:rsidRPr="00534FB2" w:rsidRDefault="006A05A0" w:rsidP="006A05A0">
      <w:pPr>
        <w:rPr>
          <w:sz w:val="22"/>
          <w:szCs w:val="22"/>
          <w:lang w:val="sk-SK"/>
        </w:rPr>
      </w:pPr>
      <w:r w:rsidRPr="00534FB2">
        <w:rPr>
          <w:sz w:val="22"/>
          <w:szCs w:val="22"/>
          <w:lang w:val="sk-SK"/>
        </w:rPr>
        <w:t>Bezpečnosť amlodipínu/valsartanu/hydrochl</w:t>
      </w:r>
      <w:r w:rsidR="00C86DEB">
        <w:rPr>
          <w:sz w:val="22"/>
          <w:szCs w:val="22"/>
          <w:lang w:val="sk-SK"/>
        </w:rPr>
        <w:t>ó</w:t>
      </w:r>
      <w:r w:rsidRPr="00534FB2">
        <w:rPr>
          <w:sz w:val="22"/>
          <w:szCs w:val="22"/>
          <w:lang w:val="sk-SK"/>
        </w:rPr>
        <w:t>rtiazidu sa vyhodnotila pri jeho maximálnej dávke 10 mg/320 mg/25 mg v jednej kontrolovanej krátkodobej (8 týždňov) klinickej štúdii s 2 271 pacientmi, z ktorých 582 dostávalo valsartan v kombinácii s amlodipínom a hydrochl</w:t>
      </w:r>
      <w:r w:rsidR="000514B9">
        <w:rPr>
          <w:sz w:val="22"/>
          <w:szCs w:val="22"/>
          <w:lang w:val="sk-SK"/>
        </w:rPr>
        <w:t>ó</w:t>
      </w:r>
      <w:r w:rsidRPr="00534FB2">
        <w:rPr>
          <w:sz w:val="22"/>
          <w:szCs w:val="22"/>
          <w:lang w:val="sk-SK"/>
        </w:rPr>
        <w:t>rtiazidom. Nežiaduce reakcie boli spravidla mierne a prechodné a len zriedkavo vyžadovali ukončenie liečby. V tomto klinickom skúšaní kontrolovanom účinným liekom boli najčastejšími dôvodmi na ukončenie liečby amlodipínom/valsartanom/hydrochl</w:t>
      </w:r>
      <w:r w:rsidR="00C86DEB">
        <w:rPr>
          <w:sz w:val="22"/>
          <w:szCs w:val="22"/>
          <w:lang w:val="sk-SK"/>
        </w:rPr>
        <w:t>ó</w:t>
      </w:r>
      <w:r w:rsidRPr="00534FB2">
        <w:rPr>
          <w:sz w:val="22"/>
          <w:szCs w:val="22"/>
          <w:lang w:val="sk-SK"/>
        </w:rPr>
        <w:t>rtiazidom závrat a hypotenzia (0,7%).</w:t>
      </w:r>
    </w:p>
    <w:p w14:paraId="51564900" w14:textId="77777777" w:rsidR="006A05A0" w:rsidRPr="00534FB2" w:rsidRDefault="006A05A0" w:rsidP="006A05A0">
      <w:pPr>
        <w:rPr>
          <w:sz w:val="22"/>
          <w:szCs w:val="22"/>
          <w:lang w:val="sk-SK"/>
        </w:rPr>
      </w:pPr>
    </w:p>
    <w:p w14:paraId="292750D3" w14:textId="04DBED1B" w:rsidR="00113219" w:rsidRPr="00534FB2" w:rsidRDefault="006A05A0" w:rsidP="006A05A0">
      <w:pPr>
        <w:rPr>
          <w:sz w:val="22"/>
          <w:szCs w:val="22"/>
          <w:lang w:val="sk-SK"/>
        </w:rPr>
      </w:pPr>
      <w:r w:rsidRPr="00534FB2">
        <w:rPr>
          <w:sz w:val="22"/>
          <w:szCs w:val="22"/>
          <w:lang w:val="sk-SK"/>
        </w:rPr>
        <w:t>V kontrolovanej klinickej štúdii trvajúcej 8 týždňov sa nepozorovali žiadne významné nové alebo neočakávané nežiaduce reakcie pri liečbe trojkombináciou v porovnaní so známymi účinkami zložiek v monoterapii alebo pri liečbe dvojkombináciou.</w:t>
      </w:r>
    </w:p>
    <w:p w14:paraId="6F8614EB" w14:textId="77777777" w:rsidR="006A05A0" w:rsidRPr="00534FB2" w:rsidRDefault="006A05A0" w:rsidP="006A05A0">
      <w:pPr>
        <w:rPr>
          <w:sz w:val="22"/>
          <w:szCs w:val="22"/>
          <w:lang w:val="sk-SK"/>
        </w:rPr>
      </w:pPr>
    </w:p>
    <w:p w14:paraId="15481206" w14:textId="45550AB5" w:rsidR="004D113C" w:rsidRPr="00534FB2" w:rsidRDefault="006A05A0" w:rsidP="006A05A0">
      <w:pPr>
        <w:rPr>
          <w:sz w:val="22"/>
          <w:szCs w:val="22"/>
          <w:lang w:val="sk-SK"/>
        </w:rPr>
      </w:pPr>
      <w:r w:rsidRPr="00534FB2">
        <w:rPr>
          <w:sz w:val="22"/>
          <w:szCs w:val="22"/>
          <w:lang w:val="sk-SK"/>
        </w:rPr>
        <w:t>V kontrolovanej klinickej štúdii trvajúcej 8 týždňov boli pozorované zmeny laboratórnych parametrov pri kombinácii amlodipínu/valsartanu/hydrochl</w:t>
      </w:r>
      <w:r w:rsidR="00C86DEB">
        <w:rPr>
          <w:sz w:val="22"/>
          <w:szCs w:val="22"/>
          <w:lang w:val="sk-SK"/>
        </w:rPr>
        <w:t>ó</w:t>
      </w:r>
      <w:r w:rsidRPr="00534FB2">
        <w:rPr>
          <w:sz w:val="22"/>
          <w:szCs w:val="22"/>
          <w:lang w:val="sk-SK"/>
        </w:rPr>
        <w:t>rtiazidu len malé a v súlade s farmakologickým mechanizmom účinku látok použitých v monoterapii. Prítomnosť valsartanu v trojkombinácii oslabila hypokaliemický účinok hydrochl</w:t>
      </w:r>
      <w:r w:rsidR="00C86DEB">
        <w:rPr>
          <w:sz w:val="22"/>
          <w:szCs w:val="22"/>
          <w:lang w:val="sk-SK"/>
        </w:rPr>
        <w:t>ó</w:t>
      </w:r>
      <w:r w:rsidRPr="00534FB2">
        <w:rPr>
          <w:sz w:val="22"/>
          <w:szCs w:val="22"/>
          <w:lang w:val="sk-SK"/>
        </w:rPr>
        <w:t>rtiazidu.</w:t>
      </w:r>
    </w:p>
    <w:p w14:paraId="2A445CD9" w14:textId="77777777" w:rsidR="006A05A0" w:rsidRPr="00534FB2" w:rsidRDefault="006A05A0" w:rsidP="006A05A0">
      <w:pPr>
        <w:rPr>
          <w:sz w:val="22"/>
          <w:szCs w:val="22"/>
          <w:lang w:val="sk-SK"/>
        </w:rPr>
      </w:pPr>
    </w:p>
    <w:p w14:paraId="08E82FF3" w14:textId="7021D68D" w:rsidR="00113219" w:rsidRPr="00534FB2" w:rsidRDefault="006A05A0" w:rsidP="00DA3B40">
      <w:pPr>
        <w:keepNext/>
        <w:rPr>
          <w:sz w:val="22"/>
          <w:szCs w:val="22"/>
          <w:u w:val="single"/>
          <w:lang w:val="sk-SK"/>
        </w:rPr>
      </w:pPr>
      <w:r w:rsidRPr="00534FB2">
        <w:rPr>
          <w:sz w:val="22"/>
          <w:szCs w:val="22"/>
          <w:u w:val="single"/>
          <w:lang w:val="sk-SK"/>
        </w:rPr>
        <w:lastRenderedPageBreak/>
        <w:t>Tabuľkový zoznam nežiaducich reakcií</w:t>
      </w:r>
    </w:p>
    <w:p w14:paraId="5D30C20D" w14:textId="59E4F997" w:rsidR="006A05A0" w:rsidRPr="00534FB2" w:rsidRDefault="006A05A0" w:rsidP="006A05A0">
      <w:pPr>
        <w:rPr>
          <w:sz w:val="22"/>
          <w:szCs w:val="22"/>
          <w:lang w:val="sk-SK"/>
        </w:rPr>
      </w:pPr>
      <w:r w:rsidRPr="00534FB2">
        <w:rPr>
          <w:sz w:val="22"/>
          <w:szCs w:val="22"/>
          <w:lang w:val="sk-SK"/>
        </w:rPr>
        <w:t>Nasledujúce nežiaduce reakcie, uvedené podľa triedy orgánových systémov MedDRA a frekvencie, sa týkajú kombinácie amlodipínu/valsartanu/HCT a samostatne amlodipínu, valsartanu a HCT.</w:t>
      </w:r>
    </w:p>
    <w:p w14:paraId="3DDF69D9" w14:textId="77777777" w:rsidR="00113219" w:rsidRPr="00534FB2" w:rsidRDefault="00113219" w:rsidP="00134CBE">
      <w:pPr>
        <w:rPr>
          <w:sz w:val="22"/>
          <w:szCs w:val="22"/>
          <w:lang w:val="sk-SK"/>
        </w:rPr>
      </w:pPr>
    </w:p>
    <w:p w14:paraId="1475CE9D" w14:textId="51A412A7" w:rsidR="004855AB" w:rsidRPr="00534FB2" w:rsidRDefault="006A05A0" w:rsidP="006A05A0">
      <w:pPr>
        <w:rPr>
          <w:sz w:val="22"/>
          <w:szCs w:val="22"/>
          <w:lang w:val="sk-SK"/>
        </w:rPr>
      </w:pPr>
      <w:r w:rsidRPr="00534FB2">
        <w:rPr>
          <w:sz w:val="22"/>
          <w:szCs w:val="22"/>
          <w:lang w:val="sk-SK"/>
        </w:rPr>
        <w:t>Veľmi časté: ≥1/10; časté: ≥1/100 až &lt;1/10; menej časté: ≥1/1 000 až &lt;1/100; zriedkavé: ≥1/10 000 až &lt;1/1 000; veľmi zriedkavé &lt;1/10 000), neznáme (z dostupných údajov).</w:t>
      </w:r>
    </w:p>
    <w:p w14:paraId="2E272AAF" w14:textId="77777777" w:rsidR="006A05A0" w:rsidRPr="00534FB2" w:rsidRDefault="006A05A0" w:rsidP="006A05A0">
      <w:pPr>
        <w:rPr>
          <w:sz w:val="22"/>
          <w:szCs w:val="22"/>
          <w:lang w:val="sk-SK"/>
        </w:rPr>
      </w:pPr>
    </w:p>
    <w:tbl>
      <w:tblPr>
        <w:tblStyle w:val="Mriekatabuky"/>
        <w:tblW w:w="5000" w:type="pct"/>
        <w:jc w:val="center"/>
        <w:tblLayout w:type="fixed"/>
        <w:tblCellMar>
          <w:left w:w="57" w:type="dxa"/>
          <w:right w:w="57" w:type="dxa"/>
        </w:tblCellMar>
        <w:tblLook w:val="04A0" w:firstRow="1" w:lastRow="0" w:firstColumn="1" w:lastColumn="0" w:noHBand="0" w:noVBand="1"/>
      </w:tblPr>
      <w:tblGrid>
        <w:gridCol w:w="1495"/>
        <w:gridCol w:w="2045"/>
        <w:gridCol w:w="1417"/>
        <w:gridCol w:w="1417"/>
        <w:gridCol w:w="1277"/>
        <w:gridCol w:w="1365"/>
      </w:tblGrid>
      <w:tr w:rsidR="00E55C0E" w:rsidRPr="00534FB2" w14:paraId="0A06B994" w14:textId="77777777" w:rsidTr="004855AB">
        <w:trPr>
          <w:trHeight w:val="300"/>
          <w:jc w:val="center"/>
        </w:trPr>
        <w:tc>
          <w:tcPr>
            <w:tcW w:w="829" w:type="pct"/>
            <w:vMerge w:val="restart"/>
            <w:vAlign w:val="center"/>
          </w:tcPr>
          <w:p w14:paraId="17EDA2E7" w14:textId="77777777" w:rsidR="00B31FE1" w:rsidRPr="00534FB2" w:rsidRDefault="00B31FE1" w:rsidP="00B31FE1">
            <w:pPr>
              <w:rPr>
                <w:b/>
                <w:sz w:val="22"/>
                <w:szCs w:val="22"/>
                <w:lang w:val="sk-SK"/>
              </w:rPr>
            </w:pPr>
            <w:r w:rsidRPr="00534FB2">
              <w:rPr>
                <w:b/>
                <w:sz w:val="22"/>
                <w:szCs w:val="22"/>
                <w:lang w:val="sk-SK"/>
              </w:rPr>
              <w:t>Trieda</w:t>
            </w:r>
          </w:p>
          <w:p w14:paraId="128F36DC" w14:textId="77777777" w:rsidR="00B31FE1" w:rsidRPr="00534FB2" w:rsidRDefault="00B31FE1" w:rsidP="00B31FE1">
            <w:pPr>
              <w:rPr>
                <w:b/>
                <w:sz w:val="22"/>
                <w:szCs w:val="22"/>
                <w:lang w:val="sk-SK"/>
              </w:rPr>
            </w:pPr>
            <w:r w:rsidRPr="00534FB2">
              <w:rPr>
                <w:b/>
                <w:sz w:val="22"/>
                <w:szCs w:val="22"/>
                <w:lang w:val="sk-SK"/>
              </w:rPr>
              <w:t>orgánového</w:t>
            </w:r>
          </w:p>
          <w:p w14:paraId="1B385F94" w14:textId="77777777" w:rsidR="00B31FE1" w:rsidRPr="00534FB2" w:rsidRDefault="00B31FE1" w:rsidP="00B31FE1">
            <w:pPr>
              <w:rPr>
                <w:b/>
                <w:sz w:val="22"/>
                <w:szCs w:val="22"/>
                <w:lang w:val="sk-SK"/>
              </w:rPr>
            </w:pPr>
            <w:r w:rsidRPr="00534FB2">
              <w:rPr>
                <w:b/>
                <w:sz w:val="22"/>
                <w:szCs w:val="22"/>
                <w:lang w:val="sk-SK"/>
              </w:rPr>
              <w:t>systému</w:t>
            </w:r>
          </w:p>
          <w:p w14:paraId="143BFB5F" w14:textId="5CB77972" w:rsidR="00E55C0E" w:rsidRPr="00534FB2" w:rsidRDefault="00B31FE1" w:rsidP="00B31FE1">
            <w:pPr>
              <w:rPr>
                <w:b/>
                <w:sz w:val="22"/>
                <w:szCs w:val="22"/>
                <w:lang w:val="sk-SK"/>
              </w:rPr>
            </w:pPr>
            <w:r w:rsidRPr="00534FB2">
              <w:rPr>
                <w:b/>
                <w:sz w:val="22"/>
                <w:szCs w:val="22"/>
                <w:lang w:val="sk-SK"/>
              </w:rPr>
              <w:t>MedDRA</w:t>
            </w:r>
          </w:p>
        </w:tc>
        <w:tc>
          <w:tcPr>
            <w:tcW w:w="1134" w:type="pct"/>
            <w:vMerge w:val="restart"/>
            <w:vAlign w:val="center"/>
          </w:tcPr>
          <w:p w14:paraId="5C273431" w14:textId="33E2B8A9" w:rsidR="00E55C0E" w:rsidRPr="00534FB2" w:rsidRDefault="00B31FE1" w:rsidP="00134CBE">
            <w:pPr>
              <w:rPr>
                <w:b/>
                <w:sz w:val="22"/>
                <w:szCs w:val="22"/>
                <w:lang w:val="sk-SK"/>
              </w:rPr>
            </w:pPr>
            <w:r w:rsidRPr="00534FB2">
              <w:rPr>
                <w:b/>
                <w:sz w:val="22"/>
                <w:szCs w:val="22"/>
                <w:lang w:val="sk-SK"/>
              </w:rPr>
              <w:t>Nežiaduce reakcie</w:t>
            </w:r>
          </w:p>
        </w:tc>
        <w:tc>
          <w:tcPr>
            <w:tcW w:w="3037" w:type="pct"/>
            <w:gridSpan w:val="4"/>
            <w:vAlign w:val="center"/>
          </w:tcPr>
          <w:p w14:paraId="670A1CFB" w14:textId="3CF629B4" w:rsidR="00E55C0E" w:rsidRPr="00534FB2" w:rsidRDefault="00B31FE1" w:rsidP="00134CBE">
            <w:pPr>
              <w:pStyle w:val="Nadpis8"/>
              <w:spacing w:line="240" w:lineRule="auto"/>
              <w:jc w:val="left"/>
              <w:outlineLvl w:val="7"/>
              <w:rPr>
                <w:lang w:val="sk-SK"/>
              </w:rPr>
            </w:pPr>
            <w:r w:rsidRPr="00534FB2">
              <w:rPr>
                <w:lang w:val="sk-SK"/>
              </w:rPr>
              <w:t>Frekvencia</w:t>
            </w:r>
          </w:p>
        </w:tc>
      </w:tr>
      <w:tr w:rsidR="004855AB" w:rsidRPr="00534FB2" w14:paraId="7338B8E6" w14:textId="77777777" w:rsidTr="000F0F4C">
        <w:trPr>
          <w:trHeight w:val="570"/>
          <w:jc w:val="center"/>
        </w:trPr>
        <w:tc>
          <w:tcPr>
            <w:tcW w:w="829" w:type="pct"/>
            <w:vMerge/>
            <w:vAlign w:val="center"/>
          </w:tcPr>
          <w:p w14:paraId="3F0A27ED" w14:textId="77777777" w:rsidR="00E55C0E" w:rsidRPr="00534FB2" w:rsidRDefault="00E55C0E" w:rsidP="00134CBE">
            <w:pPr>
              <w:rPr>
                <w:b/>
                <w:sz w:val="22"/>
                <w:szCs w:val="22"/>
                <w:lang w:val="sk-SK"/>
              </w:rPr>
            </w:pPr>
          </w:p>
        </w:tc>
        <w:tc>
          <w:tcPr>
            <w:tcW w:w="1134" w:type="pct"/>
            <w:vMerge/>
            <w:vAlign w:val="center"/>
          </w:tcPr>
          <w:p w14:paraId="03AA7BAE" w14:textId="77777777" w:rsidR="00E55C0E" w:rsidRPr="00534FB2" w:rsidRDefault="00E55C0E" w:rsidP="00134CBE">
            <w:pPr>
              <w:rPr>
                <w:b/>
                <w:sz w:val="22"/>
                <w:szCs w:val="22"/>
                <w:lang w:val="sk-SK"/>
              </w:rPr>
            </w:pPr>
          </w:p>
        </w:tc>
        <w:tc>
          <w:tcPr>
            <w:tcW w:w="786" w:type="pct"/>
            <w:vAlign w:val="center"/>
          </w:tcPr>
          <w:p w14:paraId="3E5767C0" w14:textId="1A558B10" w:rsidR="00E55C0E" w:rsidRPr="00534FB2" w:rsidRDefault="00B31FE1" w:rsidP="00134CBE">
            <w:pPr>
              <w:rPr>
                <w:b/>
                <w:sz w:val="22"/>
                <w:szCs w:val="22"/>
                <w:lang w:val="sk-SK"/>
              </w:rPr>
            </w:pPr>
            <w:r w:rsidRPr="00534FB2">
              <w:rPr>
                <w:b/>
                <w:sz w:val="22"/>
                <w:szCs w:val="22"/>
                <w:lang w:val="sk-SK"/>
              </w:rPr>
              <w:t>Amlodipín</w:t>
            </w:r>
            <w:r w:rsidR="009577E0" w:rsidRPr="00534FB2">
              <w:rPr>
                <w:b/>
                <w:sz w:val="22"/>
                <w:szCs w:val="22"/>
                <w:lang w:val="sk-SK"/>
              </w:rPr>
              <w:t>/</w:t>
            </w:r>
            <w:r w:rsidRPr="00534FB2">
              <w:rPr>
                <w:b/>
                <w:sz w:val="22"/>
                <w:szCs w:val="22"/>
                <w:lang w:val="sk-SK"/>
              </w:rPr>
              <w:t xml:space="preserve"> </w:t>
            </w:r>
            <w:r w:rsidR="009577E0" w:rsidRPr="00534FB2">
              <w:rPr>
                <w:b/>
                <w:sz w:val="22"/>
                <w:szCs w:val="22"/>
                <w:lang w:val="sk-SK"/>
              </w:rPr>
              <w:t>valsartan/</w:t>
            </w:r>
            <w:r w:rsidR="0014497F" w:rsidRPr="00534FB2">
              <w:rPr>
                <w:b/>
                <w:sz w:val="22"/>
                <w:szCs w:val="22"/>
                <w:lang w:val="sk-SK"/>
              </w:rPr>
              <w:t xml:space="preserve"> </w:t>
            </w:r>
            <w:r w:rsidR="009577E0" w:rsidRPr="00534FB2">
              <w:rPr>
                <w:b/>
                <w:sz w:val="22"/>
                <w:szCs w:val="22"/>
                <w:lang w:val="sk-SK"/>
              </w:rPr>
              <w:t>HCT</w:t>
            </w:r>
          </w:p>
        </w:tc>
        <w:tc>
          <w:tcPr>
            <w:tcW w:w="786" w:type="pct"/>
            <w:vAlign w:val="center"/>
          </w:tcPr>
          <w:p w14:paraId="3A340AAA" w14:textId="0F03884B" w:rsidR="00E55C0E" w:rsidRPr="00534FB2" w:rsidRDefault="00B31FE1" w:rsidP="00134CBE">
            <w:pPr>
              <w:rPr>
                <w:b/>
                <w:sz w:val="22"/>
                <w:szCs w:val="22"/>
                <w:lang w:val="sk-SK"/>
              </w:rPr>
            </w:pPr>
            <w:r w:rsidRPr="00534FB2">
              <w:rPr>
                <w:b/>
                <w:sz w:val="22"/>
                <w:szCs w:val="22"/>
                <w:lang w:val="sk-SK"/>
              </w:rPr>
              <w:t>Amlodipín</w:t>
            </w:r>
          </w:p>
        </w:tc>
        <w:tc>
          <w:tcPr>
            <w:tcW w:w="708" w:type="pct"/>
            <w:vAlign w:val="center"/>
          </w:tcPr>
          <w:p w14:paraId="7989F465" w14:textId="77777777" w:rsidR="00E55C0E" w:rsidRPr="00534FB2" w:rsidRDefault="00E55C0E" w:rsidP="00134CBE">
            <w:pPr>
              <w:rPr>
                <w:b/>
                <w:sz w:val="22"/>
                <w:szCs w:val="22"/>
                <w:lang w:val="sk-SK"/>
              </w:rPr>
            </w:pPr>
            <w:r w:rsidRPr="00534FB2">
              <w:rPr>
                <w:b/>
                <w:sz w:val="22"/>
                <w:szCs w:val="22"/>
                <w:lang w:val="sk-SK"/>
              </w:rPr>
              <w:t>Valsartan</w:t>
            </w:r>
          </w:p>
        </w:tc>
        <w:tc>
          <w:tcPr>
            <w:tcW w:w="757" w:type="pct"/>
            <w:vAlign w:val="center"/>
          </w:tcPr>
          <w:p w14:paraId="3C71C253" w14:textId="77777777" w:rsidR="00E55C0E" w:rsidRPr="00534FB2" w:rsidRDefault="00E55C0E" w:rsidP="00134CBE">
            <w:pPr>
              <w:rPr>
                <w:b/>
                <w:sz w:val="22"/>
                <w:szCs w:val="22"/>
                <w:lang w:val="sk-SK"/>
              </w:rPr>
            </w:pPr>
            <w:r w:rsidRPr="00534FB2">
              <w:rPr>
                <w:b/>
                <w:sz w:val="22"/>
                <w:szCs w:val="22"/>
                <w:lang w:val="sk-SK"/>
              </w:rPr>
              <w:t>HCT</w:t>
            </w:r>
          </w:p>
        </w:tc>
      </w:tr>
      <w:tr w:rsidR="004855AB" w:rsidRPr="00534FB2" w14:paraId="2B12172B" w14:textId="77777777" w:rsidTr="000F0F4C">
        <w:trPr>
          <w:jc w:val="center"/>
        </w:trPr>
        <w:tc>
          <w:tcPr>
            <w:tcW w:w="829" w:type="pct"/>
          </w:tcPr>
          <w:p w14:paraId="49C34D31" w14:textId="77777777" w:rsidR="00B31FE1" w:rsidRPr="00534FB2" w:rsidRDefault="00B31FE1" w:rsidP="00B31FE1">
            <w:pPr>
              <w:rPr>
                <w:sz w:val="22"/>
                <w:szCs w:val="22"/>
                <w:lang w:val="sk-SK"/>
              </w:rPr>
            </w:pPr>
            <w:r w:rsidRPr="00534FB2">
              <w:rPr>
                <w:sz w:val="22"/>
                <w:szCs w:val="22"/>
                <w:lang w:val="sk-SK"/>
              </w:rPr>
              <w:t>Benígne a malígne</w:t>
            </w:r>
          </w:p>
          <w:p w14:paraId="64753F9E" w14:textId="77777777" w:rsidR="00B31FE1" w:rsidRPr="00534FB2" w:rsidRDefault="00B31FE1" w:rsidP="00B31FE1">
            <w:pPr>
              <w:rPr>
                <w:sz w:val="22"/>
                <w:szCs w:val="22"/>
                <w:lang w:val="sk-SK"/>
              </w:rPr>
            </w:pPr>
            <w:r w:rsidRPr="00534FB2">
              <w:rPr>
                <w:sz w:val="22"/>
                <w:szCs w:val="22"/>
                <w:lang w:val="sk-SK"/>
              </w:rPr>
              <w:t>nádory, vrátane</w:t>
            </w:r>
          </w:p>
          <w:p w14:paraId="0116830B" w14:textId="00DD353B" w:rsidR="00B31FE1" w:rsidRPr="00534FB2" w:rsidRDefault="00B31FE1" w:rsidP="00B31FE1">
            <w:pPr>
              <w:rPr>
                <w:sz w:val="22"/>
                <w:szCs w:val="22"/>
                <w:lang w:val="sk-SK"/>
              </w:rPr>
            </w:pPr>
            <w:r w:rsidRPr="00534FB2">
              <w:rPr>
                <w:sz w:val="22"/>
                <w:szCs w:val="22"/>
                <w:lang w:val="sk-SK"/>
              </w:rPr>
              <w:t>nešpecifikova</w:t>
            </w:r>
            <w:r w:rsidR="003C0480">
              <w:rPr>
                <w:sz w:val="22"/>
                <w:szCs w:val="22"/>
                <w:lang w:val="sk-SK"/>
              </w:rPr>
              <w:t>-</w:t>
            </w:r>
            <w:r w:rsidRPr="00534FB2">
              <w:rPr>
                <w:sz w:val="22"/>
                <w:szCs w:val="22"/>
                <w:lang w:val="sk-SK"/>
              </w:rPr>
              <w:t>ných</w:t>
            </w:r>
          </w:p>
          <w:p w14:paraId="57ADED06" w14:textId="77777777" w:rsidR="00B31FE1" w:rsidRPr="00534FB2" w:rsidRDefault="00B31FE1" w:rsidP="00B31FE1">
            <w:pPr>
              <w:rPr>
                <w:sz w:val="22"/>
                <w:szCs w:val="22"/>
                <w:lang w:val="sk-SK"/>
              </w:rPr>
            </w:pPr>
            <w:r w:rsidRPr="00534FB2">
              <w:rPr>
                <w:sz w:val="22"/>
                <w:szCs w:val="22"/>
                <w:lang w:val="sk-SK"/>
              </w:rPr>
              <w:t>novotvarov (cysty</w:t>
            </w:r>
          </w:p>
          <w:p w14:paraId="227430B1" w14:textId="466AE994" w:rsidR="00DE220E" w:rsidRPr="00534FB2" w:rsidRDefault="00B31FE1" w:rsidP="00B31FE1">
            <w:pPr>
              <w:rPr>
                <w:sz w:val="22"/>
                <w:szCs w:val="22"/>
                <w:lang w:val="sk-SK"/>
              </w:rPr>
            </w:pPr>
            <w:r w:rsidRPr="00534FB2">
              <w:rPr>
                <w:sz w:val="22"/>
                <w:szCs w:val="22"/>
                <w:lang w:val="sk-SK"/>
              </w:rPr>
              <w:t>a polypy)</w:t>
            </w:r>
          </w:p>
        </w:tc>
        <w:tc>
          <w:tcPr>
            <w:tcW w:w="1134" w:type="pct"/>
            <w:vAlign w:val="center"/>
          </w:tcPr>
          <w:p w14:paraId="071B47C3" w14:textId="77777777" w:rsidR="00B31FE1" w:rsidRPr="00534FB2" w:rsidRDefault="00B31FE1" w:rsidP="00B31FE1">
            <w:pPr>
              <w:rPr>
                <w:sz w:val="22"/>
                <w:szCs w:val="22"/>
                <w:lang w:val="sk-SK"/>
              </w:rPr>
            </w:pPr>
            <w:r w:rsidRPr="00534FB2">
              <w:rPr>
                <w:sz w:val="22"/>
                <w:szCs w:val="22"/>
                <w:lang w:val="sk-SK"/>
              </w:rPr>
              <w:t>Nemelanómová rakovina</w:t>
            </w:r>
          </w:p>
          <w:p w14:paraId="3C9CB0DF" w14:textId="77777777" w:rsidR="00B31FE1" w:rsidRPr="00534FB2" w:rsidRDefault="00B31FE1" w:rsidP="00B31FE1">
            <w:pPr>
              <w:rPr>
                <w:sz w:val="22"/>
                <w:szCs w:val="22"/>
                <w:lang w:val="sk-SK"/>
              </w:rPr>
            </w:pPr>
            <w:r w:rsidRPr="00534FB2">
              <w:rPr>
                <w:sz w:val="22"/>
                <w:szCs w:val="22"/>
                <w:lang w:val="sk-SK"/>
              </w:rPr>
              <w:t>kože (bazocelulárny</w:t>
            </w:r>
          </w:p>
          <w:p w14:paraId="623A3B38" w14:textId="77777777" w:rsidR="00B31FE1" w:rsidRPr="00534FB2" w:rsidRDefault="00B31FE1" w:rsidP="00B31FE1">
            <w:pPr>
              <w:rPr>
                <w:sz w:val="22"/>
                <w:szCs w:val="22"/>
                <w:lang w:val="sk-SK"/>
              </w:rPr>
            </w:pPr>
            <w:r w:rsidRPr="00534FB2">
              <w:rPr>
                <w:sz w:val="22"/>
                <w:szCs w:val="22"/>
                <w:lang w:val="sk-SK"/>
              </w:rPr>
              <w:t>karcinóm a</w:t>
            </w:r>
          </w:p>
          <w:p w14:paraId="6EFEB5DF" w14:textId="77777777" w:rsidR="00B31FE1" w:rsidRPr="00534FB2" w:rsidRDefault="00B31FE1" w:rsidP="00B31FE1">
            <w:pPr>
              <w:rPr>
                <w:sz w:val="22"/>
                <w:szCs w:val="22"/>
                <w:lang w:val="sk-SK"/>
              </w:rPr>
            </w:pPr>
            <w:r w:rsidRPr="00534FB2">
              <w:rPr>
                <w:sz w:val="22"/>
                <w:szCs w:val="22"/>
                <w:lang w:val="sk-SK"/>
              </w:rPr>
              <w:t>skvamocelulárny</w:t>
            </w:r>
          </w:p>
          <w:p w14:paraId="5E7CA80D" w14:textId="3C9426BF" w:rsidR="00DE220E" w:rsidRPr="00534FB2" w:rsidRDefault="00B31FE1" w:rsidP="00B31FE1">
            <w:pPr>
              <w:rPr>
                <w:sz w:val="22"/>
                <w:szCs w:val="22"/>
                <w:lang w:val="sk-SK"/>
              </w:rPr>
            </w:pPr>
            <w:r w:rsidRPr="00534FB2">
              <w:rPr>
                <w:sz w:val="22"/>
                <w:szCs w:val="22"/>
                <w:lang w:val="sk-SK"/>
              </w:rPr>
              <w:t>karcinóm)</w:t>
            </w:r>
          </w:p>
        </w:tc>
        <w:tc>
          <w:tcPr>
            <w:tcW w:w="786" w:type="pct"/>
            <w:vAlign w:val="center"/>
          </w:tcPr>
          <w:p w14:paraId="6F47EBF0" w14:textId="13EA86D7" w:rsidR="00DE220E" w:rsidRPr="00534FB2" w:rsidRDefault="00DE220E" w:rsidP="00134CBE">
            <w:pPr>
              <w:rPr>
                <w:sz w:val="22"/>
                <w:szCs w:val="22"/>
                <w:lang w:val="sk-SK"/>
              </w:rPr>
            </w:pPr>
            <w:r w:rsidRPr="00534FB2">
              <w:rPr>
                <w:sz w:val="22"/>
                <w:szCs w:val="22"/>
                <w:lang w:val="sk-SK"/>
              </w:rPr>
              <w:t>-</w:t>
            </w:r>
          </w:p>
        </w:tc>
        <w:tc>
          <w:tcPr>
            <w:tcW w:w="786" w:type="pct"/>
            <w:vAlign w:val="center"/>
          </w:tcPr>
          <w:p w14:paraId="353341A3" w14:textId="2FBA2A03" w:rsidR="00DE220E" w:rsidRPr="00534FB2" w:rsidRDefault="00DE220E" w:rsidP="00134CBE">
            <w:pPr>
              <w:rPr>
                <w:sz w:val="22"/>
                <w:szCs w:val="22"/>
                <w:lang w:val="sk-SK"/>
              </w:rPr>
            </w:pPr>
            <w:r w:rsidRPr="00534FB2">
              <w:rPr>
                <w:sz w:val="22"/>
                <w:szCs w:val="22"/>
                <w:lang w:val="sk-SK"/>
              </w:rPr>
              <w:t>-</w:t>
            </w:r>
          </w:p>
        </w:tc>
        <w:tc>
          <w:tcPr>
            <w:tcW w:w="708" w:type="pct"/>
            <w:vAlign w:val="center"/>
          </w:tcPr>
          <w:p w14:paraId="0A69CFFA" w14:textId="45E9A70B" w:rsidR="00DE220E" w:rsidRPr="00534FB2" w:rsidRDefault="00DE220E" w:rsidP="00134CBE">
            <w:pPr>
              <w:rPr>
                <w:sz w:val="22"/>
                <w:szCs w:val="22"/>
                <w:lang w:val="sk-SK"/>
              </w:rPr>
            </w:pPr>
            <w:r w:rsidRPr="00534FB2">
              <w:rPr>
                <w:sz w:val="22"/>
                <w:szCs w:val="22"/>
                <w:lang w:val="sk-SK"/>
              </w:rPr>
              <w:t>-</w:t>
            </w:r>
          </w:p>
        </w:tc>
        <w:tc>
          <w:tcPr>
            <w:tcW w:w="757" w:type="pct"/>
            <w:vAlign w:val="center"/>
          </w:tcPr>
          <w:p w14:paraId="185C616B" w14:textId="38BC05A8" w:rsidR="00DE220E" w:rsidRPr="00534FB2" w:rsidRDefault="00B31FE1" w:rsidP="00134CBE">
            <w:pPr>
              <w:rPr>
                <w:sz w:val="22"/>
                <w:szCs w:val="22"/>
                <w:lang w:val="sk-SK"/>
              </w:rPr>
            </w:pPr>
            <w:r w:rsidRPr="00534FB2">
              <w:rPr>
                <w:rFonts w:eastAsiaTheme="minorHAnsi"/>
                <w:sz w:val="22"/>
                <w:szCs w:val="22"/>
                <w:lang w:val="sk-SK" w:eastAsia="en-US"/>
              </w:rPr>
              <w:t>Neznáme</w:t>
            </w:r>
          </w:p>
        </w:tc>
      </w:tr>
      <w:tr w:rsidR="004855AB" w:rsidRPr="00534FB2" w14:paraId="19169A54" w14:textId="77777777" w:rsidTr="000F0F4C">
        <w:trPr>
          <w:jc w:val="center"/>
        </w:trPr>
        <w:tc>
          <w:tcPr>
            <w:tcW w:w="829" w:type="pct"/>
            <w:vMerge w:val="restart"/>
          </w:tcPr>
          <w:p w14:paraId="30597438" w14:textId="77777777" w:rsidR="00B31FE1" w:rsidRPr="00534FB2" w:rsidRDefault="00B31FE1" w:rsidP="00B31FE1">
            <w:pPr>
              <w:rPr>
                <w:sz w:val="22"/>
                <w:szCs w:val="22"/>
                <w:lang w:val="sk-SK"/>
              </w:rPr>
            </w:pPr>
            <w:r w:rsidRPr="00534FB2">
              <w:rPr>
                <w:sz w:val="22"/>
                <w:szCs w:val="22"/>
                <w:lang w:val="sk-SK"/>
              </w:rPr>
              <w:t>Poruchy krvi</w:t>
            </w:r>
          </w:p>
          <w:p w14:paraId="72CC61BB" w14:textId="77777777" w:rsidR="00B31FE1" w:rsidRPr="00534FB2" w:rsidRDefault="00B31FE1" w:rsidP="00B31FE1">
            <w:pPr>
              <w:rPr>
                <w:sz w:val="22"/>
                <w:szCs w:val="22"/>
                <w:lang w:val="sk-SK"/>
              </w:rPr>
            </w:pPr>
            <w:r w:rsidRPr="00534FB2">
              <w:rPr>
                <w:sz w:val="22"/>
                <w:szCs w:val="22"/>
                <w:lang w:val="sk-SK"/>
              </w:rPr>
              <w:t>a lymfatického</w:t>
            </w:r>
          </w:p>
          <w:p w14:paraId="621A4C15" w14:textId="25CE3786" w:rsidR="00E55C0E" w:rsidRPr="00534FB2" w:rsidRDefault="00B31FE1" w:rsidP="00B31FE1">
            <w:pPr>
              <w:rPr>
                <w:sz w:val="22"/>
                <w:szCs w:val="22"/>
                <w:lang w:val="sk-SK"/>
              </w:rPr>
            </w:pPr>
            <w:r w:rsidRPr="00534FB2">
              <w:rPr>
                <w:sz w:val="22"/>
                <w:szCs w:val="22"/>
                <w:lang w:val="sk-SK"/>
              </w:rPr>
              <w:t>systému</w:t>
            </w:r>
          </w:p>
        </w:tc>
        <w:tc>
          <w:tcPr>
            <w:tcW w:w="1134" w:type="pct"/>
            <w:vAlign w:val="center"/>
          </w:tcPr>
          <w:p w14:paraId="6AC73BBB" w14:textId="77777777" w:rsidR="00242872" w:rsidRPr="00534FB2" w:rsidRDefault="00242872" w:rsidP="00242872">
            <w:pPr>
              <w:rPr>
                <w:sz w:val="22"/>
                <w:szCs w:val="22"/>
                <w:lang w:val="sk-SK"/>
              </w:rPr>
            </w:pPr>
            <w:r w:rsidRPr="00534FB2">
              <w:rPr>
                <w:sz w:val="22"/>
                <w:szCs w:val="22"/>
                <w:lang w:val="sk-SK"/>
              </w:rPr>
              <w:t>Agranulocytóza,</w:t>
            </w:r>
          </w:p>
          <w:p w14:paraId="25E5BDA3" w14:textId="784B52E4" w:rsidR="00E55C0E" w:rsidRPr="00534FB2" w:rsidRDefault="00242872" w:rsidP="00242872">
            <w:pPr>
              <w:rPr>
                <w:sz w:val="22"/>
                <w:szCs w:val="22"/>
                <w:lang w:val="sk-SK"/>
              </w:rPr>
            </w:pPr>
            <w:r w:rsidRPr="00534FB2">
              <w:rPr>
                <w:sz w:val="22"/>
                <w:szCs w:val="22"/>
                <w:lang w:val="sk-SK"/>
              </w:rPr>
              <w:t>zlyhanie kostnej drene</w:t>
            </w:r>
          </w:p>
        </w:tc>
        <w:tc>
          <w:tcPr>
            <w:tcW w:w="786" w:type="pct"/>
            <w:vAlign w:val="center"/>
          </w:tcPr>
          <w:p w14:paraId="79A8E14A" w14:textId="77777777" w:rsidR="00E55C0E" w:rsidRPr="00534FB2" w:rsidRDefault="00F74C83" w:rsidP="00134CBE">
            <w:pPr>
              <w:rPr>
                <w:sz w:val="22"/>
                <w:szCs w:val="22"/>
                <w:lang w:val="sk-SK"/>
              </w:rPr>
            </w:pPr>
            <w:r w:rsidRPr="00534FB2">
              <w:rPr>
                <w:sz w:val="22"/>
                <w:szCs w:val="22"/>
                <w:lang w:val="sk-SK"/>
              </w:rPr>
              <w:t>-</w:t>
            </w:r>
          </w:p>
        </w:tc>
        <w:tc>
          <w:tcPr>
            <w:tcW w:w="786" w:type="pct"/>
            <w:vAlign w:val="center"/>
          </w:tcPr>
          <w:p w14:paraId="5ED7D43C" w14:textId="77777777" w:rsidR="00E55C0E" w:rsidRPr="00534FB2" w:rsidRDefault="00F74C83" w:rsidP="00134CBE">
            <w:pPr>
              <w:rPr>
                <w:sz w:val="22"/>
                <w:szCs w:val="22"/>
                <w:lang w:val="sk-SK"/>
              </w:rPr>
            </w:pPr>
            <w:r w:rsidRPr="00534FB2">
              <w:rPr>
                <w:sz w:val="22"/>
                <w:szCs w:val="22"/>
                <w:lang w:val="sk-SK"/>
              </w:rPr>
              <w:t>-</w:t>
            </w:r>
          </w:p>
        </w:tc>
        <w:tc>
          <w:tcPr>
            <w:tcW w:w="708" w:type="pct"/>
            <w:vAlign w:val="center"/>
          </w:tcPr>
          <w:p w14:paraId="18F5E17C" w14:textId="77777777" w:rsidR="00E55C0E" w:rsidRPr="00534FB2" w:rsidRDefault="00F74C83" w:rsidP="00134CBE">
            <w:pPr>
              <w:rPr>
                <w:sz w:val="22"/>
                <w:szCs w:val="22"/>
                <w:lang w:val="sk-SK"/>
              </w:rPr>
            </w:pPr>
            <w:r w:rsidRPr="00534FB2">
              <w:rPr>
                <w:sz w:val="22"/>
                <w:szCs w:val="22"/>
                <w:lang w:val="sk-SK"/>
              </w:rPr>
              <w:t>-</w:t>
            </w:r>
          </w:p>
        </w:tc>
        <w:tc>
          <w:tcPr>
            <w:tcW w:w="757" w:type="pct"/>
            <w:vAlign w:val="center"/>
          </w:tcPr>
          <w:p w14:paraId="2BD803CD" w14:textId="4FB177CF" w:rsidR="00E55C0E" w:rsidRPr="00534FB2" w:rsidRDefault="00242872" w:rsidP="00134CBE">
            <w:pPr>
              <w:rPr>
                <w:sz w:val="22"/>
                <w:szCs w:val="22"/>
                <w:lang w:val="sk-SK"/>
              </w:rPr>
            </w:pPr>
            <w:r w:rsidRPr="00534FB2">
              <w:rPr>
                <w:sz w:val="22"/>
                <w:szCs w:val="22"/>
                <w:lang w:val="sk-SK"/>
              </w:rPr>
              <w:t>Veľmi zriedkavé</w:t>
            </w:r>
          </w:p>
        </w:tc>
      </w:tr>
      <w:tr w:rsidR="004855AB" w:rsidRPr="00534FB2" w14:paraId="3ACCA859" w14:textId="77777777" w:rsidTr="000F0F4C">
        <w:trPr>
          <w:jc w:val="center"/>
        </w:trPr>
        <w:tc>
          <w:tcPr>
            <w:tcW w:w="829" w:type="pct"/>
            <w:vMerge/>
          </w:tcPr>
          <w:p w14:paraId="132B4D9A" w14:textId="77777777" w:rsidR="00E55C0E" w:rsidRPr="00534FB2" w:rsidRDefault="00E55C0E" w:rsidP="00134CBE">
            <w:pPr>
              <w:rPr>
                <w:sz w:val="22"/>
                <w:szCs w:val="22"/>
                <w:lang w:val="sk-SK"/>
              </w:rPr>
            </w:pPr>
          </w:p>
        </w:tc>
        <w:tc>
          <w:tcPr>
            <w:tcW w:w="1134" w:type="pct"/>
            <w:vAlign w:val="center"/>
          </w:tcPr>
          <w:p w14:paraId="5FA0D970" w14:textId="77777777" w:rsidR="00242872" w:rsidRPr="00534FB2" w:rsidRDefault="00242872" w:rsidP="00242872">
            <w:pPr>
              <w:rPr>
                <w:sz w:val="22"/>
                <w:szCs w:val="22"/>
                <w:lang w:val="sk-SK"/>
              </w:rPr>
            </w:pPr>
            <w:r w:rsidRPr="00534FB2">
              <w:rPr>
                <w:sz w:val="22"/>
                <w:szCs w:val="22"/>
                <w:lang w:val="sk-SK"/>
              </w:rPr>
              <w:t>Znížený hemoglobín a</w:t>
            </w:r>
          </w:p>
          <w:p w14:paraId="7F4CD28D" w14:textId="38C28A2F" w:rsidR="00E55C0E" w:rsidRPr="00534FB2" w:rsidRDefault="00242872" w:rsidP="00242872">
            <w:pPr>
              <w:rPr>
                <w:sz w:val="22"/>
                <w:szCs w:val="22"/>
                <w:lang w:val="sk-SK"/>
              </w:rPr>
            </w:pPr>
            <w:r w:rsidRPr="00534FB2">
              <w:rPr>
                <w:sz w:val="22"/>
                <w:szCs w:val="22"/>
                <w:lang w:val="sk-SK"/>
              </w:rPr>
              <w:t>hematokrit</w:t>
            </w:r>
          </w:p>
        </w:tc>
        <w:tc>
          <w:tcPr>
            <w:tcW w:w="786" w:type="pct"/>
            <w:vAlign w:val="center"/>
          </w:tcPr>
          <w:p w14:paraId="4136619C" w14:textId="77777777" w:rsidR="00E55C0E" w:rsidRPr="00534FB2" w:rsidRDefault="00F74C83" w:rsidP="00134CBE">
            <w:pPr>
              <w:rPr>
                <w:sz w:val="22"/>
                <w:szCs w:val="22"/>
                <w:lang w:val="sk-SK"/>
              </w:rPr>
            </w:pPr>
            <w:r w:rsidRPr="00534FB2">
              <w:rPr>
                <w:sz w:val="22"/>
                <w:szCs w:val="22"/>
                <w:lang w:val="sk-SK"/>
              </w:rPr>
              <w:t>-</w:t>
            </w:r>
          </w:p>
        </w:tc>
        <w:tc>
          <w:tcPr>
            <w:tcW w:w="786" w:type="pct"/>
            <w:vAlign w:val="center"/>
          </w:tcPr>
          <w:p w14:paraId="5E4B7736" w14:textId="77777777" w:rsidR="00E55C0E" w:rsidRPr="00534FB2" w:rsidRDefault="00F74C83" w:rsidP="00134CBE">
            <w:pPr>
              <w:rPr>
                <w:sz w:val="22"/>
                <w:szCs w:val="22"/>
                <w:lang w:val="sk-SK"/>
              </w:rPr>
            </w:pPr>
            <w:r w:rsidRPr="00534FB2">
              <w:rPr>
                <w:sz w:val="22"/>
                <w:szCs w:val="22"/>
                <w:lang w:val="sk-SK"/>
              </w:rPr>
              <w:t>-</w:t>
            </w:r>
          </w:p>
        </w:tc>
        <w:tc>
          <w:tcPr>
            <w:tcW w:w="708" w:type="pct"/>
            <w:vAlign w:val="center"/>
          </w:tcPr>
          <w:p w14:paraId="10292EC8" w14:textId="73FB7F00" w:rsidR="00E55C0E" w:rsidRPr="00534FB2" w:rsidRDefault="00242872" w:rsidP="00134CBE">
            <w:pPr>
              <w:rPr>
                <w:sz w:val="22"/>
                <w:szCs w:val="22"/>
                <w:lang w:val="sk-SK"/>
              </w:rPr>
            </w:pPr>
            <w:r w:rsidRPr="00534FB2">
              <w:rPr>
                <w:sz w:val="22"/>
                <w:szCs w:val="22"/>
                <w:lang w:val="sk-SK"/>
              </w:rPr>
              <w:t>Neznáme</w:t>
            </w:r>
          </w:p>
        </w:tc>
        <w:tc>
          <w:tcPr>
            <w:tcW w:w="757" w:type="pct"/>
            <w:vAlign w:val="center"/>
          </w:tcPr>
          <w:p w14:paraId="16F4722B" w14:textId="77777777" w:rsidR="00E55C0E" w:rsidRPr="00534FB2" w:rsidRDefault="00F74C83" w:rsidP="00134CBE">
            <w:pPr>
              <w:rPr>
                <w:sz w:val="22"/>
                <w:szCs w:val="22"/>
                <w:lang w:val="sk-SK"/>
              </w:rPr>
            </w:pPr>
            <w:r w:rsidRPr="00534FB2">
              <w:rPr>
                <w:sz w:val="22"/>
                <w:szCs w:val="22"/>
                <w:lang w:val="sk-SK"/>
              </w:rPr>
              <w:t>-</w:t>
            </w:r>
          </w:p>
        </w:tc>
      </w:tr>
      <w:tr w:rsidR="004855AB" w:rsidRPr="00534FB2" w14:paraId="2D4F94D2" w14:textId="77777777" w:rsidTr="000F0F4C">
        <w:trPr>
          <w:jc w:val="center"/>
        </w:trPr>
        <w:tc>
          <w:tcPr>
            <w:tcW w:w="829" w:type="pct"/>
            <w:vMerge/>
          </w:tcPr>
          <w:p w14:paraId="5863382B" w14:textId="77777777" w:rsidR="00E55C0E" w:rsidRPr="00534FB2" w:rsidRDefault="00E55C0E" w:rsidP="00134CBE">
            <w:pPr>
              <w:rPr>
                <w:sz w:val="22"/>
                <w:szCs w:val="22"/>
                <w:lang w:val="sk-SK"/>
              </w:rPr>
            </w:pPr>
          </w:p>
        </w:tc>
        <w:tc>
          <w:tcPr>
            <w:tcW w:w="1134" w:type="pct"/>
            <w:vAlign w:val="center"/>
          </w:tcPr>
          <w:p w14:paraId="716EC1A7" w14:textId="13532F4A" w:rsidR="00E55C0E" w:rsidRPr="00534FB2" w:rsidRDefault="00242872" w:rsidP="00134CBE">
            <w:pPr>
              <w:rPr>
                <w:sz w:val="22"/>
                <w:szCs w:val="22"/>
                <w:lang w:val="sk-SK"/>
              </w:rPr>
            </w:pPr>
            <w:r w:rsidRPr="00534FB2">
              <w:rPr>
                <w:sz w:val="22"/>
                <w:szCs w:val="22"/>
                <w:lang w:val="sk-SK"/>
              </w:rPr>
              <w:t>Hemolytická anémia</w:t>
            </w:r>
          </w:p>
        </w:tc>
        <w:tc>
          <w:tcPr>
            <w:tcW w:w="786" w:type="pct"/>
            <w:vAlign w:val="center"/>
          </w:tcPr>
          <w:p w14:paraId="4108236C" w14:textId="77777777" w:rsidR="00E55C0E" w:rsidRPr="00534FB2" w:rsidRDefault="00F74C83" w:rsidP="00134CBE">
            <w:pPr>
              <w:rPr>
                <w:sz w:val="22"/>
                <w:szCs w:val="22"/>
                <w:lang w:val="sk-SK"/>
              </w:rPr>
            </w:pPr>
            <w:r w:rsidRPr="00534FB2">
              <w:rPr>
                <w:sz w:val="22"/>
                <w:szCs w:val="22"/>
                <w:lang w:val="sk-SK"/>
              </w:rPr>
              <w:t>-</w:t>
            </w:r>
          </w:p>
        </w:tc>
        <w:tc>
          <w:tcPr>
            <w:tcW w:w="786" w:type="pct"/>
            <w:vAlign w:val="center"/>
          </w:tcPr>
          <w:p w14:paraId="7043B488" w14:textId="77777777" w:rsidR="00E55C0E" w:rsidRPr="00534FB2" w:rsidRDefault="00F74C83" w:rsidP="00134CBE">
            <w:pPr>
              <w:rPr>
                <w:sz w:val="22"/>
                <w:szCs w:val="22"/>
                <w:lang w:val="sk-SK"/>
              </w:rPr>
            </w:pPr>
            <w:r w:rsidRPr="00534FB2">
              <w:rPr>
                <w:sz w:val="22"/>
                <w:szCs w:val="22"/>
                <w:lang w:val="sk-SK"/>
              </w:rPr>
              <w:t>-</w:t>
            </w:r>
          </w:p>
        </w:tc>
        <w:tc>
          <w:tcPr>
            <w:tcW w:w="708" w:type="pct"/>
            <w:vAlign w:val="center"/>
          </w:tcPr>
          <w:p w14:paraId="7071BE7D" w14:textId="77777777" w:rsidR="00E55C0E" w:rsidRPr="00534FB2" w:rsidRDefault="00F74C83" w:rsidP="00134CBE">
            <w:pPr>
              <w:rPr>
                <w:sz w:val="22"/>
                <w:szCs w:val="22"/>
                <w:lang w:val="sk-SK"/>
              </w:rPr>
            </w:pPr>
            <w:r w:rsidRPr="00534FB2">
              <w:rPr>
                <w:sz w:val="22"/>
                <w:szCs w:val="22"/>
                <w:lang w:val="sk-SK"/>
              </w:rPr>
              <w:t>-</w:t>
            </w:r>
          </w:p>
        </w:tc>
        <w:tc>
          <w:tcPr>
            <w:tcW w:w="757" w:type="pct"/>
            <w:vAlign w:val="center"/>
          </w:tcPr>
          <w:p w14:paraId="56A5AFA1" w14:textId="1F6C823C" w:rsidR="00E55C0E" w:rsidRPr="00534FB2" w:rsidRDefault="00242872" w:rsidP="00134CBE">
            <w:pPr>
              <w:rPr>
                <w:sz w:val="22"/>
                <w:szCs w:val="22"/>
                <w:lang w:val="sk-SK"/>
              </w:rPr>
            </w:pPr>
            <w:r w:rsidRPr="00534FB2">
              <w:rPr>
                <w:sz w:val="22"/>
                <w:szCs w:val="22"/>
                <w:lang w:val="sk-SK"/>
              </w:rPr>
              <w:t>Veľmi zriedkavé</w:t>
            </w:r>
          </w:p>
        </w:tc>
      </w:tr>
      <w:tr w:rsidR="004855AB" w:rsidRPr="00534FB2" w14:paraId="0E38FD5A" w14:textId="77777777" w:rsidTr="000F0F4C">
        <w:trPr>
          <w:jc w:val="center"/>
        </w:trPr>
        <w:tc>
          <w:tcPr>
            <w:tcW w:w="829" w:type="pct"/>
            <w:vMerge/>
          </w:tcPr>
          <w:p w14:paraId="610D1441" w14:textId="77777777" w:rsidR="00E55C0E" w:rsidRPr="00534FB2" w:rsidRDefault="00E55C0E" w:rsidP="00134CBE">
            <w:pPr>
              <w:rPr>
                <w:sz w:val="22"/>
                <w:szCs w:val="22"/>
                <w:lang w:val="sk-SK"/>
              </w:rPr>
            </w:pPr>
          </w:p>
        </w:tc>
        <w:tc>
          <w:tcPr>
            <w:tcW w:w="1134" w:type="pct"/>
            <w:vAlign w:val="center"/>
          </w:tcPr>
          <w:p w14:paraId="4DCEE4E5" w14:textId="23D1AC2C" w:rsidR="00E55C0E" w:rsidRPr="00534FB2" w:rsidRDefault="00242872" w:rsidP="00134CBE">
            <w:pPr>
              <w:rPr>
                <w:sz w:val="22"/>
                <w:szCs w:val="22"/>
                <w:lang w:val="sk-SK"/>
              </w:rPr>
            </w:pPr>
            <w:r w:rsidRPr="00534FB2">
              <w:rPr>
                <w:sz w:val="22"/>
                <w:szCs w:val="22"/>
                <w:lang w:val="sk-SK"/>
              </w:rPr>
              <w:t>Leukopé</w:t>
            </w:r>
            <w:r w:rsidR="00E55C0E" w:rsidRPr="00534FB2">
              <w:rPr>
                <w:sz w:val="22"/>
                <w:szCs w:val="22"/>
                <w:lang w:val="sk-SK"/>
              </w:rPr>
              <w:t>nia</w:t>
            </w:r>
          </w:p>
        </w:tc>
        <w:tc>
          <w:tcPr>
            <w:tcW w:w="786" w:type="pct"/>
            <w:vAlign w:val="center"/>
          </w:tcPr>
          <w:p w14:paraId="152FF285" w14:textId="77777777" w:rsidR="00E55C0E" w:rsidRPr="00534FB2" w:rsidRDefault="00F74C83" w:rsidP="00134CBE">
            <w:pPr>
              <w:rPr>
                <w:sz w:val="22"/>
                <w:szCs w:val="22"/>
                <w:lang w:val="sk-SK"/>
              </w:rPr>
            </w:pPr>
            <w:r w:rsidRPr="00534FB2">
              <w:rPr>
                <w:sz w:val="22"/>
                <w:szCs w:val="22"/>
                <w:lang w:val="sk-SK"/>
              </w:rPr>
              <w:t>-</w:t>
            </w:r>
          </w:p>
        </w:tc>
        <w:tc>
          <w:tcPr>
            <w:tcW w:w="786" w:type="pct"/>
            <w:vAlign w:val="center"/>
          </w:tcPr>
          <w:p w14:paraId="6B779D2C" w14:textId="3D1A845A" w:rsidR="00E55C0E" w:rsidRPr="00534FB2" w:rsidRDefault="00242872" w:rsidP="00134CBE">
            <w:pPr>
              <w:rPr>
                <w:sz w:val="22"/>
                <w:szCs w:val="22"/>
                <w:lang w:val="sk-SK"/>
              </w:rPr>
            </w:pPr>
            <w:r w:rsidRPr="00534FB2">
              <w:rPr>
                <w:sz w:val="22"/>
                <w:szCs w:val="22"/>
                <w:lang w:val="sk-SK"/>
              </w:rPr>
              <w:t>Veľmi zriedkavé</w:t>
            </w:r>
          </w:p>
        </w:tc>
        <w:tc>
          <w:tcPr>
            <w:tcW w:w="708" w:type="pct"/>
            <w:vAlign w:val="center"/>
          </w:tcPr>
          <w:p w14:paraId="66D59E6A" w14:textId="77777777" w:rsidR="00E55C0E" w:rsidRPr="00534FB2" w:rsidRDefault="00F74C83" w:rsidP="00134CBE">
            <w:pPr>
              <w:rPr>
                <w:sz w:val="22"/>
                <w:szCs w:val="22"/>
                <w:lang w:val="sk-SK"/>
              </w:rPr>
            </w:pPr>
            <w:r w:rsidRPr="00534FB2">
              <w:rPr>
                <w:sz w:val="22"/>
                <w:szCs w:val="22"/>
                <w:lang w:val="sk-SK"/>
              </w:rPr>
              <w:t>-</w:t>
            </w:r>
          </w:p>
        </w:tc>
        <w:tc>
          <w:tcPr>
            <w:tcW w:w="757" w:type="pct"/>
            <w:vAlign w:val="center"/>
          </w:tcPr>
          <w:p w14:paraId="2C2B250C" w14:textId="72A7B7CC" w:rsidR="00E55C0E" w:rsidRPr="00534FB2" w:rsidRDefault="00242872" w:rsidP="00134CBE">
            <w:pPr>
              <w:rPr>
                <w:sz w:val="22"/>
                <w:szCs w:val="22"/>
                <w:lang w:val="sk-SK"/>
              </w:rPr>
            </w:pPr>
            <w:r w:rsidRPr="00534FB2">
              <w:rPr>
                <w:sz w:val="22"/>
                <w:szCs w:val="22"/>
                <w:lang w:val="sk-SK"/>
              </w:rPr>
              <w:t>Veľmi zriedkavé</w:t>
            </w:r>
          </w:p>
        </w:tc>
      </w:tr>
      <w:tr w:rsidR="004855AB" w:rsidRPr="00534FB2" w14:paraId="3F27C71F" w14:textId="77777777" w:rsidTr="000F0F4C">
        <w:trPr>
          <w:jc w:val="center"/>
        </w:trPr>
        <w:tc>
          <w:tcPr>
            <w:tcW w:w="829" w:type="pct"/>
            <w:vMerge/>
          </w:tcPr>
          <w:p w14:paraId="3B5C1DD1" w14:textId="77777777" w:rsidR="00E55C0E" w:rsidRPr="00534FB2" w:rsidRDefault="00E55C0E" w:rsidP="00134CBE">
            <w:pPr>
              <w:rPr>
                <w:sz w:val="22"/>
                <w:szCs w:val="22"/>
                <w:lang w:val="sk-SK"/>
              </w:rPr>
            </w:pPr>
          </w:p>
        </w:tc>
        <w:tc>
          <w:tcPr>
            <w:tcW w:w="1134" w:type="pct"/>
            <w:vAlign w:val="center"/>
          </w:tcPr>
          <w:p w14:paraId="57F0B6A3" w14:textId="0E8B43C8" w:rsidR="00E55C0E" w:rsidRPr="00534FB2" w:rsidRDefault="00242872" w:rsidP="00134CBE">
            <w:pPr>
              <w:rPr>
                <w:sz w:val="22"/>
                <w:szCs w:val="22"/>
                <w:lang w:val="sk-SK"/>
              </w:rPr>
            </w:pPr>
            <w:r w:rsidRPr="00534FB2">
              <w:rPr>
                <w:sz w:val="22"/>
                <w:szCs w:val="22"/>
                <w:lang w:val="sk-SK"/>
              </w:rPr>
              <w:t>Neutropé</w:t>
            </w:r>
            <w:r w:rsidR="00E55C0E" w:rsidRPr="00534FB2">
              <w:rPr>
                <w:sz w:val="22"/>
                <w:szCs w:val="22"/>
                <w:lang w:val="sk-SK"/>
              </w:rPr>
              <w:t>nia</w:t>
            </w:r>
          </w:p>
        </w:tc>
        <w:tc>
          <w:tcPr>
            <w:tcW w:w="786" w:type="pct"/>
            <w:vAlign w:val="center"/>
          </w:tcPr>
          <w:p w14:paraId="489B71A4" w14:textId="77777777" w:rsidR="00E55C0E" w:rsidRPr="00534FB2" w:rsidRDefault="00F74C83" w:rsidP="00134CBE">
            <w:pPr>
              <w:rPr>
                <w:sz w:val="22"/>
                <w:szCs w:val="22"/>
                <w:lang w:val="sk-SK"/>
              </w:rPr>
            </w:pPr>
            <w:r w:rsidRPr="00534FB2">
              <w:rPr>
                <w:sz w:val="22"/>
                <w:szCs w:val="22"/>
                <w:lang w:val="sk-SK"/>
              </w:rPr>
              <w:t>-</w:t>
            </w:r>
          </w:p>
        </w:tc>
        <w:tc>
          <w:tcPr>
            <w:tcW w:w="786" w:type="pct"/>
            <w:vAlign w:val="center"/>
          </w:tcPr>
          <w:p w14:paraId="0E638609" w14:textId="77777777" w:rsidR="00E55C0E" w:rsidRPr="00534FB2" w:rsidRDefault="00F74C83" w:rsidP="00134CBE">
            <w:pPr>
              <w:rPr>
                <w:sz w:val="22"/>
                <w:szCs w:val="22"/>
                <w:lang w:val="sk-SK"/>
              </w:rPr>
            </w:pPr>
            <w:r w:rsidRPr="00534FB2">
              <w:rPr>
                <w:sz w:val="22"/>
                <w:szCs w:val="22"/>
                <w:lang w:val="sk-SK"/>
              </w:rPr>
              <w:t>-</w:t>
            </w:r>
          </w:p>
        </w:tc>
        <w:tc>
          <w:tcPr>
            <w:tcW w:w="708" w:type="pct"/>
            <w:vAlign w:val="center"/>
          </w:tcPr>
          <w:p w14:paraId="1B19B880" w14:textId="0F0DE851" w:rsidR="00E55C0E" w:rsidRPr="00534FB2" w:rsidRDefault="00242872" w:rsidP="00134CBE">
            <w:pPr>
              <w:rPr>
                <w:sz w:val="22"/>
                <w:szCs w:val="22"/>
                <w:lang w:val="sk-SK"/>
              </w:rPr>
            </w:pPr>
            <w:r w:rsidRPr="00534FB2">
              <w:rPr>
                <w:sz w:val="22"/>
                <w:szCs w:val="22"/>
                <w:lang w:val="sk-SK"/>
              </w:rPr>
              <w:t>Neznáme</w:t>
            </w:r>
          </w:p>
        </w:tc>
        <w:tc>
          <w:tcPr>
            <w:tcW w:w="757" w:type="pct"/>
            <w:vAlign w:val="center"/>
          </w:tcPr>
          <w:p w14:paraId="44C7C6F0" w14:textId="77777777" w:rsidR="00E55C0E" w:rsidRPr="00534FB2" w:rsidRDefault="00F74C83" w:rsidP="00134CBE">
            <w:pPr>
              <w:rPr>
                <w:sz w:val="22"/>
                <w:szCs w:val="22"/>
                <w:lang w:val="sk-SK"/>
              </w:rPr>
            </w:pPr>
            <w:r w:rsidRPr="00534FB2">
              <w:rPr>
                <w:sz w:val="22"/>
                <w:szCs w:val="22"/>
                <w:lang w:val="sk-SK"/>
              </w:rPr>
              <w:t>-</w:t>
            </w:r>
          </w:p>
        </w:tc>
      </w:tr>
      <w:tr w:rsidR="004855AB" w:rsidRPr="00534FB2" w14:paraId="23301D40" w14:textId="77777777" w:rsidTr="000F0F4C">
        <w:trPr>
          <w:jc w:val="center"/>
        </w:trPr>
        <w:tc>
          <w:tcPr>
            <w:tcW w:w="829" w:type="pct"/>
            <w:vMerge/>
          </w:tcPr>
          <w:p w14:paraId="740EB33F" w14:textId="77777777" w:rsidR="00E55C0E" w:rsidRPr="00534FB2" w:rsidRDefault="00E55C0E" w:rsidP="00134CBE">
            <w:pPr>
              <w:rPr>
                <w:sz w:val="22"/>
                <w:szCs w:val="22"/>
                <w:lang w:val="sk-SK"/>
              </w:rPr>
            </w:pPr>
          </w:p>
        </w:tc>
        <w:tc>
          <w:tcPr>
            <w:tcW w:w="1134" w:type="pct"/>
            <w:vAlign w:val="center"/>
          </w:tcPr>
          <w:p w14:paraId="1075BD41" w14:textId="77777777" w:rsidR="00242872" w:rsidRPr="00534FB2" w:rsidRDefault="00242872" w:rsidP="00242872">
            <w:pPr>
              <w:rPr>
                <w:sz w:val="22"/>
                <w:szCs w:val="22"/>
                <w:lang w:val="sk-SK"/>
              </w:rPr>
            </w:pPr>
            <w:r w:rsidRPr="00534FB2">
              <w:rPr>
                <w:sz w:val="22"/>
                <w:szCs w:val="22"/>
                <w:lang w:val="sk-SK"/>
              </w:rPr>
              <w:t>Trombocytopénia,</w:t>
            </w:r>
          </w:p>
          <w:p w14:paraId="72FF608F" w14:textId="0FEA3345" w:rsidR="00E55C0E" w:rsidRPr="00534FB2" w:rsidRDefault="00242872" w:rsidP="00242872">
            <w:pPr>
              <w:rPr>
                <w:sz w:val="22"/>
                <w:szCs w:val="22"/>
                <w:lang w:val="sk-SK"/>
              </w:rPr>
            </w:pPr>
            <w:r w:rsidRPr="00534FB2">
              <w:rPr>
                <w:sz w:val="22"/>
                <w:szCs w:val="22"/>
                <w:lang w:val="sk-SK"/>
              </w:rPr>
              <w:t>niekedy s purpurou</w:t>
            </w:r>
          </w:p>
        </w:tc>
        <w:tc>
          <w:tcPr>
            <w:tcW w:w="786" w:type="pct"/>
            <w:vAlign w:val="center"/>
          </w:tcPr>
          <w:p w14:paraId="4A2844B6" w14:textId="77777777" w:rsidR="00E55C0E" w:rsidRPr="00534FB2" w:rsidRDefault="00F74C83" w:rsidP="00134CBE">
            <w:pPr>
              <w:rPr>
                <w:sz w:val="22"/>
                <w:szCs w:val="22"/>
                <w:lang w:val="sk-SK"/>
              </w:rPr>
            </w:pPr>
            <w:r w:rsidRPr="00534FB2">
              <w:rPr>
                <w:sz w:val="22"/>
                <w:szCs w:val="22"/>
                <w:lang w:val="sk-SK"/>
              </w:rPr>
              <w:t>-</w:t>
            </w:r>
          </w:p>
        </w:tc>
        <w:tc>
          <w:tcPr>
            <w:tcW w:w="786" w:type="pct"/>
            <w:vAlign w:val="center"/>
          </w:tcPr>
          <w:p w14:paraId="05E0D037" w14:textId="08132BD7" w:rsidR="00E55C0E" w:rsidRPr="00534FB2" w:rsidRDefault="00242872" w:rsidP="00134CBE">
            <w:pPr>
              <w:rPr>
                <w:sz w:val="22"/>
                <w:szCs w:val="22"/>
                <w:lang w:val="sk-SK"/>
              </w:rPr>
            </w:pPr>
            <w:r w:rsidRPr="00534FB2">
              <w:rPr>
                <w:sz w:val="22"/>
                <w:szCs w:val="22"/>
                <w:lang w:val="sk-SK"/>
              </w:rPr>
              <w:t>Veľmi zriedkavé</w:t>
            </w:r>
          </w:p>
        </w:tc>
        <w:tc>
          <w:tcPr>
            <w:tcW w:w="708" w:type="pct"/>
            <w:vAlign w:val="center"/>
          </w:tcPr>
          <w:p w14:paraId="1CA07625" w14:textId="42AD8186" w:rsidR="00E55C0E" w:rsidRPr="00534FB2" w:rsidRDefault="00242872" w:rsidP="00134CBE">
            <w:pPr>
              <w:rPr>
                <w:sz w:val="22"/>
                <w:szCs w:val="22"/>
                <w:lang w:val="sk-SK"/>
              </w:rPr>
            </w:pPr>
            <w:r w:rsidRPr="00534FB2">
              <w:rPr>
                <w:sz w:val="22"/>
                <w:szCs w:val="22"/>
                <w:lang w:val="sk-SK"/>
              </w:rPr>
              <w:t>Neznáme</w:t>
            </w:r>
          </w:p>
        </w:tc>
        <w:tc>
          <w:tcPr>
            <w:tcW w:w="757" w:type="pct"/>
            <w:vAlign w:val="center"/>
          </w:tcPr>
          <w:p w14:paraId="52E12AB4" w14:textId="31E1DBB8" w:rsidR="00E55C0E" w:rsidRPr="00534FB2" w:rsidRDefault="00242872" w:rsidP="00134CBE">
            <w:pPr>
              <w:rPr>
                <w:sz w:val="22"/>
                <w:szCs w:val="22"/>
                <w:lang w:val="sk-SK"/>
              </w:rPr>
            </w:pPr>
            <w:r w:rsidRPr="00534FB2">
              <w:rPr>
                <w:sz w:val="22"/>
                <w:szCs w:val="22"/>
                <w:lang w:val="sk-SK"/>
              </w:rPr>
              <w:t>Zriedkavé</w:t>
            </w:r>
          </w:p>
        </w:tc>
      </w:tr>
      <w:tr w:rsidR="004855AB" w:rsidRPr="00534FB2" w14:paraId="037C6706" w14:textId="77777777" w:rsidTr="000F0F4C">
        <w:trPr>
          <w:jc w:val="center"/>
        </w:trPr>
        <w:tc>
          <w:tcPr>
            <w:tcW w:w="829" w:type="pct"/>
            <w:vMerge/>
          </w:tcPr>
          <w:p w14:paraId="07DEDC45" w14:textId="77777777" w:rsidR="00E55C0E" w:rsidRPr="00534FB2" w:rsidRDefault="00E55C0E" w:rsidP="00134CBE">
            <w:pPr>
              <w:rPr>
                <w:sz w:val="22"/>
                <w:szCs w:val="22"/>
                <w:lang w:val="sk-SK"/>
              </w:rPr>
            </w:pPr>
          </w:p>
        </w:tc>
        <w:tc>
          <w:tcPr>
            <w:tcW w:w="1134" w:type="pct"/>
            <w:vAlign w:val="center"/>
          </w:tcPr>
          <w:p w14:paraId="0BB50981" w14:textId="5D8E05B1" w:rsidR="00E55C0E" w:rsidRPr="00534FB2" w:rsidRDefault="00242872" w:rsidP="00134CBE">
            <w:pPr>
              <w:rPr>
                <w:sz w:val="22"/>
                <w:szCs w:val="22"/>
                <w:lang w:val="sk-SK"/>
              </w:rPr>
            </w:pPr>
            <w:r w:rsidRPr="00534FB2">
              <w:rPr>
                <w:sz w:val="22"/>
                <w:szCs w:val="22"/>
                <w:lang w:val="sk-SK"/>
              </w:rPr>
              <w:t>Aplastická anémia</w:t>
            </w:r>
          </w:p>
        </w:tc>
        <w:tc>
          <w:tcPr>
            <w:tcW w:w="786" w:type="pct"/>
            <w:vAlign w:val="center"/>
          </w:tcPr>
          <w:p w14:paraId="3B3A4373" w14:textId="77777777" w:rsidR="00E55C0E" w:rsidRPr="00534FB2" w:rsidRDefault="00F74C83" w:rsidP="00134CBE">
            <w:pPr>
              <w:rPr>
                <w:sz w:val="22"/>
                <w:szCs w:val="22"/>
                <w:lang w:val="sk-SK"/>
              </w:rPr>
            </w:pPr>
            <w:r w:rsidRPr="00534FB2">
              <w:rPr>
                <w:sz w:val="22"/>
                <w:szCs w:val="22"/>
                <w:lang w:val="sk-SK"/>
              </w:rPr>
              <w:t>-</w:t>
            </w:r>
          </w:p>
        </w:tc>
        <w:tc>
          <w:tcPr>
            <w:tcW w:w="786" w:type="pct"/>
            <w:vAlign w:val="center"/>
          </w:tcPr>
          <w:p w14:paraId="453A6559" w14:textId="77777777" w:rsidR="00E55C0E" w:rsidRPr="00534FB2" w:rsidRDefault="00F74C83" w:rsidP="00134CBE">
            <w:pPr>
              <w:rPr>
                <w:sz w:val="22"/>
                <w:szCs w:val="22"/>
                <w:lang w:val="sk-SK"/>
              </w:rPr>
            </w:pPr>
            <w:r w:rsidRPr="00534FB2">
              <w:rPr>
                <w:sz w:val="22"/>
                <w:szCs w:val="22"/>
                <w:lang w:val="sk-SK"/>
              </w:rPr>
              <w:t>-</w:t>
            </w:r>
          </w:p>
        </w:tc>
        <w:tc>
          <w:tcPr>
            <w:tcW w:w="708" w:type="pct"/>
            <w:vAlign w:val="center"/>
          </w:tcPr>
          <w:p w14:paraId="6C4EE79D" w14:textId="77777777" w:rsidR="00E55C0E" w:rsidRPr="00534FB2" w:rsidRDefault="00F74C83" w:rsidP="00134CBE">
            <w:pPr>
              <w:rPr>
                <w:sz w:val="22"/>
                <w:szCs w:val="22"/>
                <w:lang w:val="sk-SK"/>
              </w:rPr>
            </w:pPr>
            <w:r w:rsidRPr="00534FB2">
              <w:rPr>
                <w:sz w:val="22"/>
                <w:szCs w:val="22"/>
                <w:lang w:val="sk-SK"/>
              </w:rPr>
              <w:t>-</w:t>
            </w:r>
          </w:p>
        </w:tc>
        <w:tc>
          <w:tcPr>
            <w:tcW w:w="757" w:type="pct"/>
            <w:vAlign w:val="center"/>
          </w:tcPr>
          <w:p w14:paraId="2A185B89" w14:textId="145CEE83" w:rsidR="00E55C0E" w:rsidRPr="00534FB2" w:rsidRDefault="00242872" w:rsidP="00134CBE">
            <w:pPr>
              <w:rPr>
                <w:sz w:val="22"/>
                <w:szCs w:val="22"/>
                <w:lang w:val="sk-SK"/>
              </w:rPr>
            </w:pPr>
            <w:r w:rsidRPr="00534FB2">
              <w:rPr>
                <w:sz w:val="22"/>
                <w:szCs w:val="22"/>
                <w:lang w:val="sk-SK"/>
              </w:rPr>
              <w:t>Neznáme</w:t>
            </w:r>
          </w:p>
        </w:tc>
      </w:tr>
      <w:tr w:rsidR="004855AB" w:rsidRPr="00534FB2" w14:paraId="4C0F181F" w14:textId="77777777" w:rsidTr="000F0F4C">
        <w:trPr>
          <w:jc w:val="center"/>
        </w:trPr>
        <w:tc>
          <w:tcPr>
            <w:tcW w:w="829" w:type="pct"/>
          </w:tcPr>
          <w:p w14:paraId="2335A1D6" w14:textId="77777777" w:rsidR="00242872" w:rsidRPr="00534FB2" w:rsidRDefault="00242872" w:rsidP="00242872">
            <w:pPr>
              <w:rPr>
                <w:sz w:val="22"/>
                <w:szCs w:val="22"/>
                <w:lang w:val="sk-SK"/>
              </w:rPr>
            </w:pPr>
            <w:r w:rsidRPr="00534FB2">
              <w:rPr>
                <w:sz w:val="22"/>
                <w:szCs w:val="22"/>
                <w:lang w:val="sk-SK"/>
              </w:rPr>
              <w:t>Poruchy</w:t>
            </w:r>
          </w:p>
          <w:p w14:paraId="5B8E5519" w14:textId="77777777" w:rsidR="00242872" w:rsidRPr="00534FB2" w:rsidRDefault="00242872" w:rsidP="00242872">
            <w:pPr>
              <w:rPr>
                <w:sz w:val="22"/>
                <w:szCs w:val="22"/>
                <w:lang w:val="sk-SK"/>
              </w:rPr>
            </w:pPr>
            <w:r w:rsidRPr="00534FB2">
              <w:rPr>
                <w:sz w:val="22"/>
                <w:szCs w:val="22"/>
                <w:lang w:val="sk-SK"/>
              </w:rPr>
              <w:t>imunitného</w:t>
            </w:r>
          </w:p>
          <w:p w14:paraId="5688F2E5" w14:textId="7E638F6C" w:rsidR="00E55C0E" w:rsidRPr="00534FB2" w:rsidRDefault="00242872" w:rsidP="00242872">
            <w:pPr>
              <w:rPr>
                <w:sz w:val="22"/>
                <w:szCs w:val="22"/>
                <w:lang w:val="sk-SK"/>
              </w:rPr>
            </w:pPr>
            <w:r w:rsidRPr="00534FB2">
              <w:rPr>
                <w:sz w:val="22"/>
                <w:szCs w:val="22"/>
                <w:lang w:val="sk-SK"/>
              </w:rPr>
              <w:t>systému</w:t>
            </w:r>
          </w:p>
        </w:tc>
        <w:tc>
          <w:tcPr>
            <w:tcW w:w="1134" w:type="pct"/>
            <w:vAlign w:val="center"/>
          </w:tcPr>
          <w:p w14:paraId="5EDB315A" w14:textId="68932FAB" w:rsidR="00E55C0E" w:rsidRPr="00534FB2" w:rsidRDefault="00242872" w:rsidP="00134CBE">
            <w:pPr>
              <w:rPr>
                <w:sz w:val="22"/>
                <w:szCs w:val="22"/>
                <w:lang w:val="sk-SK"/>
              </w:rPr>
            </w:pPr>
            <w:r w:rsidRPr="00534FB2">
              <w:rPr>
                <w:sz w:val="22"/>
                <w:szCs w:val="22"/>
                <w:lang w:val="sk-SK"/>
              </w:rPr>
              <w:t>Precitlivenosť</w:t>
            </w:r>
          </w:p>
        </w:tc>
        <w:tc>
          <w:tcPr>
            <w:tcW w:w="786" w:type="pct"/>
            <w:vAlign w:val="center"/>
          </w:tcPr>
          <w:p w14:paraId="1A0134B2" w14:textId="77777777" w:rsidR="00E55C0E" w:rsidRPr="00534FB2" w:rsidRDefault="00F74C83" w:rsidP="00134CBE">
            <w:pPr>
              <w:rPr>
                <w:sz w:val="22"/>
                <w:szCs w:val="22"/>
                <w:lang w:val="sk-SK"/>
              </w:rPr>
            </w:pPr>
            <w:r w:rsidRPr="00534FB2">
              <w:rPr>
                <w:sz w:val="22"/>
                <w:szCs w:val="22"/>
                <w:lang w:val="sk-SK"/>
              </w:rPr>
              <w:t>-</w:t>
            </w:r>
          </w:p>
        </w:tc>
        <w:tc>
          <w:tcPr>
            <w:tcW w:w="786" w:type="pct"/>
            <w:vAlign w:val="center"/>
          </w:tcPr>
          <w:p w14:paraId="3B4F52D4" w14:textId="3000A0D1" w:rsidR="00E55C0E" w:rsidRPr="00534FB2" w:rsidRDefault="00242872" w:rsidP="00134CBE">
            <w:pPr>
              <w:rPr>
                <w:sz w:val="22"/>
                <w:szCs w:val="22"/>
                <w:lang w:val="sk-SK"/>
              </w:rPr>
            </w:pPr>
            <w:r w:rsidRPr="00534FB2">
              <w:rPr>
                <w:sz w:val="22"/>
                <w:szCs w:val="22"/>
                <w:lang w:val="sk-SK"/>
              </w:rPr>
              <w:t>Veľmi zriedkavé</w:t>
            </w:r>
          </w:p>
        </w:tc>
        <w:tc>
          <w:tcPr>
            <w:tcW w:w="708" w:type="pct"/>
            <w:vAlign w:val="center"/>
          </w:tcPr>
          <w:p w14:paraId="6D295166" w14:textId="1BDB1D4A" w:rsidR="00E55C0E" w:rsidRPr="00534FB2" w:rsidRDefault="00242872" w:rsidP="00134CBE">
            <w:pPr>
              <w:rPr>
                <w:sz w:val="22"/>
                <w:szCs w:val="22"/>
                <w:lang w:val="sk-SK"/>
              </w:rPr>
            </w:pPr>
            <w:r w:rsidRPr="00534FB2">
              <w:rPr>
                <w:sz w:val="22"/>
                <w:szCs w:val="22"/>
                <w:lang w:val="sk-SK"/>
              </w:rPr>
              <w:t>Neznáme</w:t>
            </w:r>
          </w:p>
        </w:tc>
        <w:tc>
          <w:tcPr>
            <w:tcW w:w="757" w:type="pct"/>
            <w:vAlign w:val="center"/>
          </w:tcPr>
          <w:p w14:paraId="6524B3B5" w14:textId="0777BDCE" w:rsidR="00E55C0E" w:rsidRPr="00534FB2" w:rsidRDefault="00242872" w:rsidP="00134CBE">
            <w:pPr>
              <w:rPr>
                <w:sz w:val="22"/>
                <w:szCs w:val="22"/>
                <w:lang w:val="sk-SK"/>
              </w:rPr>
            </w:pPr>
            <w:r w:rsidRPr="00534FB2">
              <w:rPr>
                <w:sz w:val="22"/>
                <w:szCs w:val="22"/>
                <w:lang w:val="sk-SK"/>
              </w:rPr>
              <w:t>Veľmi zriedkavé</w:t>
            </w:r>
          </w:p>
        </w:tc>
      </w:tr>
      <w:tr w:rsidR="004855AB" w:rsidRPr="00534FB2" w14:paraId="74352A17" w14:textId="77777777" w:rsidTr="000F0F4C">
        <w:trPr>
          <w:jc w:val="center"/>
        </w:trPr>
        <w:tc>
          <w:tcPr>
            <w:tcW w:w="829" w:type="pct"/>
            <w:vMerge w:val="restart"/>
          </w:tcPr>
          <w:p w14:paraId="11875D10" w14:textId="77777777" w:rsidR="00242872" w:rsidRPr="00534FB2" w:rsidRDefault="00242872" w:rsidP="00242872">
            <w:pPr>
              <w:rPr>
                <w:sz w:val="22"/>
                <w:szCs w:val="22"/>
                <w:lang w:val="sk-SK"/>
              </w:rPr>
            </w:pPr>
            <w:r w:rsidRPr="00534FB2">
              <w:rPr>
                <w:sz w:val="22"/>
                <w:szCs w:val="22"/>
                <w:lang w:val="sk-SK"/>
              </w:rPr>
              <w:t>Poruchy</w:t>
            </w:r>
          </w:p>
          <w:p w14:paraId="1109EF2E" w14:textId="77777777" w:rsidR="00242872" w:rsidRPr="00534FB2" w:rsidRDefault="00242872" w:rsidP="00242872">
            <w:pPr>
              <w:rPr>
                <w:sz w:val="22"/>
                <w:szCs w:val="22"/>
                <w:lang w:val="sk-SK"/>
              </w:rPr>
            </w:pPr>
            <w:r w:rsidRPr="00534FB2">
              <w:rPr>
                <w:sz w:val="22"/>
                <w:szCs w:val="22"/>
                <w:lang w:val="sk-SK"/>
              </w:rPr>
              <w:t>metabolizmu a</w:t>
            </w:r>
          </w:p>
          <w:p w14:paraId="7A1D3047" w14:textId="45296C50" w:rsidR="00E55C0E" w:rsidRPr="00534FB2" w:rsidRDefault="00242872" w:rsidP="00242872">
            <w:pPr>
              <w:rPr>
                <w:sz w:val="22"/>
                <w:szCs w:val="22"/>
                <w:lang w:val="sk-SK"/>
              </w:rPr>
            </w:pPr>
            <w:r w:rsidRPr="00534FB2">
              <w:rPr>
                <w:sz w:val="22"/>
                <w:szCs w:val="22"/>
                <w:lang w:val="sk-SK"/>
              </w:rPr>
              <w:t>výživy</w:t>
            </w:r>
          </w:p>
        </w:tc>
        <w:tc>
          <w:tcPr>
            <w:tcW w:w="1134" w:type="pct"/>
            <w:vAlign w:val="center"/>
          </w:tcPr>
          <w:p w14:paraId="4CD21DE3" w14:textId="77777777" w:rsidR="00E55C0E" w:rsidRPr="00534FB2" w:rsidRDefault="00E55C0E" w:rsidP="00134CBE">
            <w:pPr>
              <w:rPr>
                <w:sz w:val="22"/>
                <w:szCs w:val="22"/>
                <w:lang w:val="sk-SK"/>
              </w:rPr>
            </w:pPr>
            <w:r w:rsidRPr="00534FB2">
              <w:rPr>
                <w:sz w:val="22"/>
                <w:szCs w:val="22"/>
                <w:lang w:val="sk-SK"/>
              </w:rPr>
              <w:t>Anorexia</w:t>
            </w:r>
          </w:p>
        </w:tc>
        <w:tc>
          <w:tcPr>
            <w:tcW w:w="786" w:type="pct"/>
            <w:vAlign w:val="center"/>
          </w:tcPr>
          <w:p w14:paraId="33D15E50" w14:textId="64DA5514" w:rsidR="00E55C0E" w:rsidRPr="00534FB2" w:rsidRDefault="00242872" w:rsidP="00134CBE">
            <w:pPr>
              <w:rPr>
                <w:sz w:val="22"/>
                <w:szCs w:val="22"/>
                <w:lang w:val="sk-SK"/>
              </w:rPr>
            </w:pPr>
            <w:r w:rsidRPr="00534FB2">
              <w:rPr>
                <w:sz w:val="22"/>
                <w:szCs w:val="22"/>
                <w:lang w:val="sk-SK"/>
              </w:rPr>
              <w:t>Menej časté</w:t>
            </w:r>
          </w:p>
        </w:tc>
        <w:tc>
          <w:tcPr>
            <w:tcW w:w="786" w:type="pct"/>
            <w:vAlign w:val="center"/>
          </w:tcPr>
          <w:p w14:paraId="021BFC88" w14:textId="77777777" w:rsidR="00E55C0E" w:rsidRPr="00534FB2" w:rsidRDefault="00F74C83" w:rsidP="00134CBE">
            <w:pPr>
              <w:rPr>
                <w:sz w:val="22"/>
                <w:szCs w:val="22"/>
                <w:lang w:val="sk-SK"/>
              </w:rPr>
            </w:pPr>
            <w:r w:rsidRPr="00534FB2">
              <w:rPr>
                <w:sz w:val="22"/>
                <w:szCs w:val="22"/>
                <w:lang w:val="sk-SK"/>
              </w:rPr>
              <w:t>-</w:t>
            </w:r>
          </w:p>
        </w:tc>
        <w:tc>
          <w:tcPr>
            <w:tcW w:w="708" w:type="pct"/>
            <w:vAlign w:val="center"/>
          </w:tcPr>
          <w:p w14:paraId="06B39C3E" w14:textId="77777777" w:rsidR="00E55C0E" w:rsidRPr="00534FB2" w:rsidRDefault="00F74C83" w:rsidP="00134CBE">
            <w:pPr>
              <w:rPr>
                <w:sz w:val="22"/>
                <w:szCs w:val="22"/>
                <w:lang w:val="sk-SK"/>
              </w:rPr>
            </w:pPr>
            <w:r w:rsidRPr="00534FB2">
              <w:rPr>
                <w:sz w:val="22"/>
                <w:szCs w:val="22"/>
                <w:lang w:val="sk-SK"/>
              </w:rPr>
              <w:t>-</w:t>
            </w:r>
          </w:p>
        </w:tc>
        <w:tc>
          <w:tcPr>
            <w:tcW w:w="757" w:type="pct"/>
            <w:vAlign w:val="center"/>
          </w:tcPr>
          <w:p w14:paraId="337D97CC" w14:textId="77777777" w:rsidR="00E55C0E" w:rsidRPr="00534FB2" w:rsidRDefault="00F74C83" w:rsidP="00134CBE">
            <w:pPr>
              <w:rPr>
                <w:sz w:val="22"/>
                <w:szCs w:val="22"/>
                <w:lang w:val="sk-SK"/>
              </w:rPr>
            </w:pPr>
            <w:r w:rsidRPr="00534FB2">
              <w:rPr>
                <w:sz w:val="22"/>
                <w:szCs w:val="22"/>
                <w:lang w:val="sk-SK"/>
              </w:rPr>
              <w:t>-</w:t>
            </w:r>
          </w:p>
        </w:tc>
      </w:tr>
      <w:tr w:rsidR="004855AB" w:rsidRPr="00534FB2" w14:paraId="4F54B0CD" w14:textId="77777777" w:rsidTr="000F0F4C">
        <w:trPr>
          <w:jc w:val="center"/>
        </w:trPr>
        <w:tc>
          <w:tcPr>
            <w:tcW w:w="829" w:type="pct"/>
            <w:vMerge/>
          </w:tcPr>
          <w:p w14:paraId="369C9FC4" w14:textId="77777777" w:rsidR="00E55C0E" w:rsidRPr="00534FB2" w:rsidRDefault="00E55C0E" w:rsidP="00134CBE">
            <w:pPr>
              <w:rPr>
                <w:sz w:val="22"/>
                <w:szCs w:val="22"/>
                <w:lang w:val="sk-SK"/>
              </w:rPr>
            </w:pPr>
          </w:p>
        </w:tc>
        <w:tc>
          <w:tcPr>
            <w:tcW w:w="1134" w:type="pct"/>
            <w:vAlign w:val="center"/>
          </w:tcPr>
          <w:p w14:paraId="31A9F78C" w14:textId="1E8927D2" w:rsidR="00E55C0E" w:rsidRPr="00534FB2" w:rsidRDefault="00242872" w:rsidP="00134CBE">
            <w:pPr>
              <w:rPr>
                <w:sz w:val="22"/>
                <w:szCs w:val="22"/>
                <w:lang w:val="sk-SK"/>
              </w:rPr>
            </w:pPr>
            <w:r w:rsidRPr="00534FB2">
              <w:rPr>
                <w:sz w:val="22"/>
                <w:szCs w:val="22"/>
                <w:lang w:val="sk-SK"/>
              </w:rPr>
              <w:t>Hyperkalciémia</w:t>
            </w:r>
          </w:p>
        </w:tc>
        <w:tc>
          <w:tcPr>
            <w:tcW w:w="786" w:type="pct"/>
            <w:vAlign w:val="center"/>
          </w:tcPr>
          <w:p w14:paraId="608A8B6D" w14:textId="08DEBA14" w:rsidR="00E55C0E" w:rsidRPr="00534FB2" w:rsidRDefault="00242872" w:rsidP="00134CBE">
            <w:pPr>
              <w:rPr>
                <w:sz w:val="22"/>
                <w:szCs w:val="22"/>
                <w:lang w:val="sk-SK"/>
              </w:rPr>
            </w:pPr>
            <w:r w:rsidRPr="00534FB2">
              <w:rPr>
                <w:sz w:val="22"/>
                <w:szCs w:val="22"/>
                <w:lang w:val="sk-SK"/>
              </w:rPr>
              <w:t>Menej časté</w:t>
            </w:r>
          </w:p>
        </w:tc>
        <w:tc>
          <w:tcPr>
            <w:tcW w:w="786" w:type="pct"/>
            <w:vAlign w:val="center"/>
          </w:tcPr>
          <w:p w14:paraId="3E13BF12" w14:textId="77777777" w:rsidR="00E55C0E" w:rsidRPr="00534FB2" w:rsidRDefault="00F74C83" w:rsidP="00134CBE">
            <w:pPr>
              <w:rPr>
                <w:sz w:val="22"/>
                <w:szCs w:val="22"/>
                <w:lang w:val="sk-SK"/>
              </w:rPr>
            </w:pPr>
            <w:r w:rsidRPr="00534FB2">
              <w:rPr>
                <w:sz w:val="22"/>
                <w:szCs w:val="22"/>
                <w:lang w:val="sk-SK"/>
              </w:rPr>
              <w:t>-</w:t>
            </w:r>
          </w:p>
        </w:tc>
        <w:tc>
          <w:tcPr>
            <w:tcW w:w="708" w:type="pct"/>
            <w:vAlign w:val="center"/>
          </w:tcPr>
          <w:p w14:paraId="1695F3A7" w14:textId="77777777" w:rsidR="00E55C0E" w:rsidRPr="00534FB2" w:rsidRDefault="00F74C83" w:rsidP="00134CBE">
            <w:pPr>
              <w:rPr>
                <w:sz w:val="22"/>
                <w:szCs w:val="22"/>
                <w:lang w:val="sk-SK"/>
              </w:rPr>
            </w:pPr>
            <w:r w:rsidRPr="00534FB2">
              <w:rPr>
                <w:sz w:val="22"/>
                <w:szCs w:val="22"/>
                <w:lang w:val="sk-SK"/>
              </w:rPr>
              <w:t>-</w:t>
            </w:r>
          </w:p>
        </w:tc>
        <w:tc>
          <w:tcPr>
            <w:tcW w:w="757" w:type="pct"/>
            <w:vAlign w:val="center"/>
          </w:tcPr>
          <w:p w14:paraId="11B1068B" w14:textId="49900C05" w:rsidR="00E55C0E" w:rsidRPr="00534FB2" w:rsidRDefault="00242872" w:rsidP="00134CBE">
            <w:pPr>
              <w:rPr>
                <w:sz w:val="22"/>
                <w:szCs w:val="22"/>
                <w:lang w:val="sk-SK"/>
              </w:rPr>
            </w:pPr>
            <w:r w:rsidRPr="00534FB2">
              <w:rPr>
                <w:sz w:val="22"/>
                <w:szCs w:val="22"/>
                <w:lang w:val="sk-SK"/>
              </w:rPr>
              <w:t>Zriedkavé</w:t>
            </w:r>
          </w:p>
        </w:tc>
      </w:tr>
      <w:tr w:rsidR="004855AB" w:rsidRPr="00534FB2" w14:paraId="22515624" w14:textId="77777777" w:rsidTr="000F0F4C">
        <w:trPr>
          <w:jc w:val="center"/>
        </w:trPr>
        <w:tc>
          <w:tcPr>
            <w:tcW w:w="829" w:type="pct"/>
            <w:vMerge/>
          </w:tcPr>
          <w:p w14:paraId="7F0F8C0D" w14:textId="77777777" w:rsidR="00E55C0E" w:rsidRPr="00534FB2" w:rsidRDefault="00E55C0E" w:rsidP="00134CBE">
            <w:pPr>
              <w:rPr>
                <w:sz w:val="22"/>
                <w:szCs w:val="22"/>
                <w:lang w:val="sk-SK"/>
              </w:rPr>
            </w:pPr>
          </w:p>
        </w:tc>
        <w:tc>
          <w:tcPr>
            <w:tcW w:w="1134" w:type="pct"/>
            <w:vAlign w:val="center"/>
          </w:tcPr>
          <w:p w14:paraId="127CB7ED" w14:textId="4EA5CF43" w:rsidR="00E55C0E" w:rsidRPr="00534FB2" w:rsidRDefault="00242872" w:rsidP="00134CBE">
            <w:pPr>
              <w:rPr>
                <w:sz w:val="22"/>
                <w:szCs w:val="22"/>
                <w:lang w:val="sk-SK"/>
              </w:rPr>
            </w:pPr>
            <w:r w:rsidRPr="00534FB2">
              <w:rPr>
                <w:sz w:val="22"/>
                <w:szCs w:val="22"/>
                <w:lang w:val="sk-SK"/>
              </w:rPr>
              <w:t>Hyperglykémia</w:t>
            </w:r>
          </w:p>
        </w:tc>
        <w:tc>
          <w:tcPr>
            <w:tcW w:w="786" w:type="pct"/>
            <w:vAlign w:val="center"/>
          </w:tcPr>
          <w:p w14:paraId="55A8B379" w14:textId="2298F732" w:rsidR="00E55C0E" w:rsidRPr="00534FB2" w:rsidRDefault="00704925" w:rsidP="00134CBE">
            <w:pPr>
              <w:rPr>
                <w:sz w:val="22"/>
                <w:szCs w:val="22"/>
                <w:lang w:val="sk-SK"/>
              </w:rPr>
            </w:pPr>
            <w:r w:rsidRPr="00534FB2">
              <w:rPr>
                <w:sz w:val="22"/>
                <w:szCs w:val="22"/>
                <w:lang w:val="sk-SK"/>
              </w:rPr>
              <w:t>-</w:t>
            </w:r>
          </w:p>
        </w:tc>
        <w:tc>
          <w:tcPr>
            <w:tcW w:w="786" w:type="pct"/>
            <w:vAlign w:val="center"/>
          </w:tcPr>
          <w:p w14:paraId="15969353" w14:textId="77777777" w:rsidR="00242872" w:rsidRPr="00534FB2" w:rsidRDefault="00242872" w:rsidP="00242872">
            <w:pPr>
              <w:rPr>
                <w:sz w:val="22"/>
                <w:szCs w:val="22"/>
                <w:lang w:val="sk-SK"/>
              </w:rPr>
            </w:pPr>
            <w:r w:rsidRPr="00534FB2">
              <w:rPr>
                <w:sz w:val="22"/>
                <w:szCs w:val="22"/>
                <w:lang w:val="sk-SK"/>
              </w:rPr>
              <w:t>Veľmi</w:t>
            </w:r>
          </w:p>
          <w:p w14:paraId="43FA0186" w14:textId="4C9E9C63" w:rsidR="00E55C0E" w:rsidRPr="00534FB2" w:rsidRDefault="00242872" w:rsidP="00242872">
            <w:pPr>
              <w:rPr>
                <w:sz w:val="22"/>
                <w:szCs w:val="22"/>
                <w:lang w:val="sk-SK"/>
              </w:rPr>
            </w:pPr>
            <w:r w:rsidRPr="00534FB2">
              <w:rPr>
                <w:sz w:val="22"/>
                <w:szCs w:val="22"/>
                <w:lang w:val="sk-SK"/>
              </w:rPr>
              <w:t>zriedkavé</w:t>
            </w:r>
          </w:p>
        </w:tc>
        <w:tc>
          <w:tcPr>
            <w:tcW w:w="708" w:type="pct"/>
            <w:vAlign w:val="center"/>
          </w:tcPr>
          <w:p w14:paraId="69193FFA" w14:textId="77777777" w:rsidR="00E55C0E" w:rsidRPr="00534FB2" w:rsidRDefault="00F74C83" w:rsidP="00134CBE">
            <w:pPr>
              <w:rPr>
                <w:sz w:val="22"/>
                <w:szCs w:val="22"/>
                <w:lang w:val="sk-SK"/>
              </w:rPr>
            </w:pPr>
            <w:r w:rsidRPr="00534FB2">
              <w:rPr>
                <w:sz w:val="22"/>
                <w:szCs w:val="22"/>
                <w:lang w:val="sk-SK"/>
              </w:rPr>
              <w:t>-</w:t>
            </w:r>
          </w:p>
        </w:tc>
        <w:tc>
          <w:tcPr>
            <w:tcW w:w="757" w:type="pct"/>
            <w:vAlign w:val="center"/>
          </w:tcPr>
          <w:p w14:paraId="08B852E8" w14:textId="0270DA8A" w:rsidR="00E55C0E" w:rsidRPr="00534FB2" w:rsidRDefault="00242872" w:rsidP="00134CBE">
            <w:pPr>
              <w:rPr>
                <w:sz w:val="22"/>
                <w:szCs w:val="22"/>
                <w:lang w:val="sk-SK"/>
              </w:rPr>
            </w:pPr>
            <w:r w:rsidRPr="00534FB2">
              <w:rPr>
                <w:sz w:val="22"/>
                <w:szCs w:val="22"/>
                <w:lang w:val="sk-SK"/>
              </w:rPr>
              <w:t>Zriedkavé</w:t>
            </w:r>
          </w:p>
        </w:tc>
      </w:tr>
      <w:tr w:rsidR="004855AB" w:rsidRPr="00534FB2" w14:paraId="718D2B67" w14:textId="77777777" w:rsidTr="000F0F4C">
        <w:trPr>
          <w:jc w:val="center"/>
        </w:trPr>
        <w:tc>
          <w:tcPr>
            <w:tcW w:w="829" w:type="pct"/>
            <w:vMerge/>
          </w:tcPr>
          <w:p w14:paraId="25625DF9" w14:textId="77777777" w:rsidR="00E55C0E" w:rsidRPr="00534FB2" w:rsidRDefault="00E55C0E" w:rsidP="00134CBE">
            <w:pPr>
              <w:rPr>
                <w:sz w:val="22"/>
                <w:szCs w:val="22"/>
                <w:lang w:val="sk-SK"/>
              </w:rPr>
            </w:pPr>
          </w:p>
        </w:tc>
        <w:tc>
          <w:tcPr>
            <w:tcW w:w="1134" w:type="pct"/>
            <w:vAlign w:val="center"/>
          </w:tcPr>
          <w:p w14:paraId="49BBEA74" w14:textId="28AB23AF" w:rsidR="00E55C0E" w:rsidRPr="00534FB2" w:rsidRDefault="00242872" w:rsidP="00134CBE">
            <w:pPr>
              <w:rPr>
                <w:sz w:val="22"/>
                <w:szCs w:val="22"/>
                <w:lang w:val="sk-SK"/>
              </w:rPr>
            </w:pPr>
            <w:r w:rsidRPr="00534FB2">
              <w:rPr>
                <w:sz w:val="22"/>
                <w:szCs w:val="22"/>
                <w:lang w:val="sk-SK"/>
              </w:rPr>
              <w:t>Hyperlipidémia</w:t>
            </w:r>
          </w:p>
        </w:tc>
        <w:tc>
          <w:tcPr>
            <w:tcW w:w="786" w:type="pct"/>
            <w:vAlign w:val="center"/>
          </w:tcPr>
          <w:p w14:paraId="491E4B8B" w14:textId="666B31DD" w:rsidR="00E55C0E" w:rsidRPr="00534FB2" w:rsidRDefault="00242872" w:rsidP="00134CBE">
            <w:pPr>
              <w:rPr>
                <w:sz w:val="22"/>
                <w:szCs w:val="22"/>
                <w:lang w:val="sk-SK"/>
              </w:rPr>
            </w:pPr>
            <w:r w:rsidRPr="00534FB2">
              <w:rPr>
                <w:sz w:val="22"/>
                <w:szCs w:val="22"/>
                <w:lang w:val="sk-SK"/>
              </w:rPr>
              <w:t>Menej časté</w:t>
            </w:r>
          </w:p>
        </w:tc>
        <w:tc>
          <w:tcPr>
            <w:tcW w:w="786" w:type="pct"/>
            <w:vAlign w:val="center"/>
          </w:tcPr>
          <w:p w14:paraId="2A44E073" w14:textId="77777777" w:rsidR="00E55C0E" w:rsidRPr="00534FB2" w:rsidRDefault="00F74C83" w:rsidP="00134CBE">
            <w:pPr>
              <w:rPr>
                <w:sz w:val="22"/>
                <w:szCs w:val="22"/>
                <w:lang w:val="sk-SK"/>
              </w:rPr>
            </w:pPr>
            <w:r w:rsidRPr="00534FB2">
              <w:rPr>
                <w:sz w:val="22"/>
                <w:szCs w:val="22"/>
                <w:lang w:val="sk-SK"/>
              </w:rPr>
              <w:t>-</w:t>
            </w:r>
          </w:p>
        </w:tc>
        <w:tc>
          <w:tcPr>
            <w:tcW w:w="708" w:type="pct"/>
            <w:vAlign w:val="center"/>
          </w:tcPr>
          <w:p w14:paraId="2F636429" w14:textId="77777777" w:rsidR="00E55C0E" w:rsidRPr="00534FB2" w:rsidRDefault="00F74C83" w:rsidP="00134CBE">
            <w:pPr>
              <w:rPr>
                <w:sz w:val="22"/>
                <w:szCs w:val="22"/>
                <w:lang w:val="sk-SK"/>
              </w:rPr>
            </w:pPr>
            <w:r w:rsidRPr="00534FB2">
              <w:rPr>
                <w:sz w:val="22"/>
                <w:szCs w:val="22"/>
                <w:lang w:val="sk-SK"/>
              </w:rPr>
              <w:t>-</w:t>
            </w:r>
          </w:p>
        </w:tc>
        <w:tc>
          <w:tcPr>
            <w:tcW w:w="757" w:type="pct"/>
            <w:vAlign w:val="center"/>
          </w:tcPr>
          <w:p w14:paraId="13063E35" w14:textId="77777777" w:rsidR="00E55C0E" w:rsidRPr="00534FB2" w:rsidRDefault="00F74C83" w:rsidP="00134CBE">
            <w:pPr>
              <w:rPr>
                <w:sz w:val="22"/>
                <w:szCs w:val="22"/>
                <w:lang w:val="sk-SK"/>
              </w:rPr>
            </w:pPr>
            <w:r w:rsidRPr="00534FB2">
              <w:rPr>
                <w:sz w:val="22"/>
                <w:szCs w:val="22"/>
                <w:lang w:val="sk-SK"/>
              </w:rPr>
              <w:t>-</w:t>
            </w:r>
          </w:p>
        </w:tc>
      </w:tr>
      <w:tr w:rsidR="004855AB" w:rsidRPr="00534FB2" w14:paraId="656E24D9" w14:textId="77777777" w:rsidTr="000F0F4C">
        <w:trPr>
          <w:jc w:val="center"/>
        </w:trPr>
        <w:tc>
          <w:tcPr>
            <w:tcW w:w="829" w:type="pct"/>
            <w:vMerge/>
          </w:tcPr>
          <w:p w14:paraId="4FC6F871" w14:textId="77777777" w:rsidR="00E55C0E" w:rsidRPr="00534FB2" w:rsidRDefault="00E55C0E" w:rsidP="00134CBE">
            <w:pPr>
              <w:rPr>
                <w:sz w:val="22"/>
                <w:szCs w:val="22"/>
                <w:lang w:val="sk-SK"/>
              </w:rPr>
            </w:pPr>
          </w:p>
        </w:tc>
        <w:tc>
          <w:tcPr>
            <w:tcW w:w="1134" w:type="pct"/>
            <w:vAlign w:val="center"/>
          </w:tcPr>
          <w:p w14:paraId="1F35E1CB" w14:textId="58B0207C" w:rsidR="00E55C0E" w:rsidRPr="00534FB2" w:rsidRDefault="00242872" w:rsidP="00134CBE">
            <w:pPr>
              <w:rPr>
                <w:sz w:val="22"/>
                <w:szCs w:val="22"/>
                <w:lang w:val="sk-SK"/>
              </w:rPr>
            </w:pPr>
            <w:r w:rsidRPr="00534FB2">
              <w:rPr>
                <w:sz w:val="22"/>
                <w:szCs w:val="22"/>
                <w:lang w:val="sk-SK"/>
              </w:rPr>
              <w:t>Hyperurikémia</w:t>
            </w:r>
          </w:p>
        </w:tc>
        <w:tc>
          <w:tcPr>
            <w:tcW w:w="786" w:type="pct"/>
            <w:vAlign w:val="center"/>
          </w:tcPr>
          <w:p w14:paraId="7123DAF2" w14:textId="1E8A0BEF" w:rsidR="00E55C0E" w:rsidRPr="00534FB2" w:rsidRDefault="00242872" w:rsidP="00134CBE">
            <w:pPr>
              <w:rPr>
                <w:sz w:val="22"/>
                <w:szCs w:val="22"/>
                <w:lang w:val="sk-SK"/>
              </w:rPr>
            </w:pPr>
            <w:r w:rsidRPr="00534FB2">
              <w:rPr>
                <w:sz w:val="22"/>
                <w:szCs w:val="22"/>
                <w:lang w:val="sk-SK"/>
              </w:rPr>
              <w:t>Menej časté</w:t>
            </w:r>
          </w:p>
        </w:tc>
        <w:tc>
          <w:tcPr>
            <w:tcW w:w="786" w:type="pct"/>
            <w:vAlign w:val="center"/>
          </w:tcPr>
          <w:p w14:paraId="07936A95" w14:textId="77777777" w:rsidR="00E55C0E" w:rsidRPr="00534FB2" w:rsidRDefault="00F74C83" w:rsidP="00134CBE">
            <w:pPr>
              <w:rPr>
                <w:sz w:val="22"/>
                <w:szCs w:val="22"/>
                <w:lang w:val="sk-SK"/>
              </w:rPr>
            </w:pPr>
            <w:r w:rsidRPr="00534FB2">
              <w:rPr>
                <w:sz w:val="22"/>
                <w:szCs w:val="22"/>
                <w:lang w:val="sk-SK"/>
              </w:rPr>
              <w:t>-</w:t>
            </w:r>
          </w:p>
        </w:tc>
        <w:tc>
          <w:tcPr>
            <w:tcW w:w="708" w:type="pct"/>
            <w:vAlign w:val="center"/>
          </w:tcPr>
          <w:p w14:paraId="3D6C8290" w14:textId="77777777" w:rsidR="00E55C0E" w:rsidRPr="00534FB2" w:rsidRDefault="00F74C83" w:rsidP="00134CBE">
            <w:pPr>
              <w:rPr>
                <w:sz w:val="22"/>
                <w:szCs w:val="22"/>
                <w:lang w:val="sk-SK"/>
              </w:rPr>
            </w:pPr>
            <w:r w:rsidRPr="00534FB2">
              <w:rPr>
                <w:sz w:val="22"/>
                <w:szCs w:val="22"/>
                <w:lang w:val="sk-SK"/>
              </w:rPr>
              <w:t>-</w:t>
            </w:r>
          </w:p>
        </w:tc>
        <w:tc>
          <w:tcPr>
            <w:tcW w:w="757" w:type="pct"/>
            <w:vAlign w:val="center"/>
          </w:tcPr>
          <w:p w14:paraId="06D99D24" w14:textId="5412DEC5" w:rsidR="00E55C0E" w:rsidRPr="00534FB2" w:rsidRDefault="00242872" w:rsidP="00134CBE">
            <w:pPr>
              <w:rPr>
                <w:sz w:val="22"/>
                <w:szCs w:val="22"/>
                <w:lang w:val="sk-SK"/>
              </w:rPr>
            </w:pPr>
            <w:r w:rsidRPr="00534FB2">
              <w:rPr>
                <w:sz w:val="22"/>
                <w:szCs w:val="22"/>
                <w:lang w:val="sk-SK"/>
              </w:rPr>
              <w:t>Časté</w:t>
            </w:r>
          </w:p>
        </w:tc>
      </w:tr>
      <w:tr w:rsidR="004855AB" w:rsidRPr="00534FB2" w14:paraId="140578C0" w14:textId="77777777" w:rsidTr="000F0F4C">
        <w:trPr>
          <w:jc w:val="center"/>
        </w:trPr>
        <w:tc>
          <w:tcPr>
            <w:tcW w:w="829" w:type="pct"/>
            <w:vMerge/>
          </w:tcPr>
          <w:p w14:paraId="4D889091" w14:textId="77777777" w:rsidR="001C3495" w:rsidRPr="00534FB2" w:rsidRDefault="001C3495" w:rsidP="00134CBE">
            <w:pPr>
              <w:rPr>
                <w:sz w:val="22"/>
                <w:szCs w:val="22"/>
                <w:lang w:val="sk-SK"/>
              </w:rPr>
            </w:pPr>
          </w:p>
        </w:tc>
        <w:tc>
          <w:tcPr>
            <w:tcW w:w="1134" w:type="pct"/>
            <w:vAlign w:val="center"/>
          </w:tcPr>
          <w:p w14:paraId="43264F08" w14:textId="77777777" w:rsidR="00242872" w:rsidRPr="00534FB2" w:rsidRDefault="00242872" w:rsidP="00242872">
            <w:pPr>
              <w:rPr>
                <w:sz w:val="22"/>
                <w:szCs w:val="22"/>
                <w:lang w:val="sk-SK"/>
              </w:rPr>
            </w:pPr>
            <w:r w:rsidRPr="00534FB2">
              <w:rPr>
                <w:sz w:val="22"/>
                <w:szCs w:val="22"/>
                <w:lang w:val="sk-SK"/>
              </w:rPr>
              <w:t>Hypochloremická</w:t>
            </w:r>
          </w:p>
          <w:p w14:paraId="0B1EEE8F" w14:textId="2FB2AD3D" w:rsidR="001C3495" w:rsidRPr="00534FB2" w:rsidRDefault="00242872" w:rsidP="00242872">
            <w:pPr>
              <w:rPr>
                <w:sz w:val="22"/>
                <w:szCs w:val="22"/>
                <w:lang w:val="sk-SK"/>
              </w:rPr>
            </w:pPr>
            <w:r w:rsidRPr="00534FB2">
              <w:rPr>
                <w:sz w:val="22"/>
                <w:szCs w:val="22"/>
                <w:lang w:val="sk-SK"/>
              </w:rPr>
              <w:t>alkalóza</w:t>
            </w:r>
          </w:p>
        </w:tc>
        <w:tc>
          <w:tcPr>
            <w:tcW w:w="786" w:type="pct"/>
            <w:vAlign w:val="center"/>
          </w:tcPr>
          <w:p w14:paraId="3CB29C4C" w14:textId="77777777" w:rsidR="001C3495" w:rsidRPr="00534FB2" w:rsidRDefault="001C3495" w:rsidP="00134CBE">
            <w:pPr>
              <w:rPr>
                <w:sz w:val="22"/>
                <w:szCs w:val="22"/>
                <w:lang w:val="sk-SK"/>
              </w:rPr>
            </w:pPr>
            <w:r w:rsidRPr="00534FB2">
              <w:rPr>
                <w:sz w:val="22"/>
                <w:szCs w:val="22"/>
                <w:lang w:val="sk-SK"/>
              </w:rPr>
              <w:t>-</w:t>
            </w:r>
          </w:p>
        </w:tc>
        <w:tc>
          <w:tcPr>
            <w:tcW w:w="786" w:type="pct"/>
            <w:vAlign w:val="center"/>
          </w:tcPr>
          <w:p w14:paraId="2B22D9DD" w14:textId="77777777" w:rsidR="001C3495" w:rsidRPr="00534FB2" w:rsidRDefault="001C3495" w:rsidP="00134CBE">
            <w:pPr>
              <w:rPr>
                <w:sz w:val="22"/>
                <w:szCs w:val="22"/>
                <w:lang w:val="sk-SK"/>
              </w:rPr>
            </w:pPr>
            <w:r w:rsidRPr="00534FB2">
              <w:rPr>
                <w:sz w:val="22"/>
                <w:szCs w:val="22"/>
                <w:lang w:val="sk-SK"/>
              </w:rPr>
              <w:t>-</w:t>
            </w:r>
          </w:p>
        </w:tc>
        <w:tc>
          <w:tcPr>
            <w:tcW w:w="708" w:type="pct"/>
            <w:vAlign w:val="center"/>
          </w:tcPr>
          <w:p w14:paraId="730CCD59" w14:textId="77777777" w:rsidR="001C3495" w:rsidRPr="00534FB2" w:rsidRDefault="001C3495" w:rsidP="00134CBE">
            <w:pPr>
              <w:rPr>
                <w:sz w:val="22"/>
                <w:szCs w:val="22"/>
                <w:lang w:val="sk-SK"/>
              </w:rPr>
            </w:pPr>
            <w:r w:rsidRPr="00534FB2">
              <w:rPr>
                <w:sz w:val="22"/>
                <w:szCs w:val="22"/>
                <w:lang w:val="sk-SK"/>
              </w:rPr>
              <w:t>-</w:t>
            </w:r>
          </w:p>
        </w:tc>
        <w:tc>
          <w:tcPr>
            <w:tcW w:w="757" w:type="pct"/>
            <w:vAlign w:val="center"/>
          </w:tcPr>
          <w:p w14:paraId="3015E6EC" w14:textId="77777777" w:rsidR="00242872" w:rsidRPr="00534FB2" w:rsidRDefault="00242872" w:rsidP="00242872">
            <w:pPr>
              <w:rPr>
                <w:sz w:val="22"/>
                <w:szCs w:val="22"/>
                <w:lang w:val="sk-SK"/>
              </w:rPr>
            </w:pPr>
            <w:r w:rsidRPr="00534FB2">
              <w:rPr>
                <w:sz w:val="22"/>
                <w:szCs w:val="22"/>
                <w:lang w:val="sk-SK"/>
              </w:rPr>
              <w:t>Veľmi</w:t>
            </w:r>
          </w:p>
          <w:p w14:paraId="4D2EB5E9" w14:textId="5348AE6B" w:rsidR="001C3495" w:rsidRPr="00534FB2" w:rsidRDefault="00242872" w:rsidP="00242872">
            <w:pPr>
              <w:rPr>
                <w:sz w:val="22"/>
                <w:szCs w:val="22"/>
                <w:lang w:val="sk-SK"/>
              </w:rPr>
            </w:pPr>
            <w:r w:rsidRPr="00534FB2">
              <w:rPr>
                <w:sz w:val="22"/>
                <w:szCs w:val="22"/>
                <w:lang w:val="sk-SK"/>
              </w:rPr>
              <w:t>zriedkavé</w:t>
            </w:r>
          </w:p>
        </w:tc>
      </w:tr>
      <w:tr w:rsidR="004855AB" w:rsidRPr="00534FB2" w14:paraId="742C8FA6" w14:textId="77777777" w:rsidTr="000F0F4C">
        <w:trPr>
          <w:jc w:val="center"/>
        </w:trPr>
        <w:tc>
          <w:tcPr>
            <w:tcW w:w="829" w:type="pct"/>
            <w:vMerge/>
          </w:tcPr>
          <w:p w14:paraId="30F60DB5" w14:textId="77777777" w:rsidR="001C3495" w:rsidRPr="00534FB2" w:rsidRDefault="001C3495" w:rsidP="00134CBE">
            <w:pPr>
              <w:rPr>
                <w:sz w:val="22"/>
                <w:szCs w:val="22"/>
                <w:lang w:val="sk-SK"/>
              </w:rPr>
            </w:pPr>
          </w:p>
        </w:tc>
        <w:tc>
          <w:tcPr>
            <w:tcW w:w="1134" w:type="pct"/>
            <w:vAlign w:val="center"/>
          </w:tcPr>
          <w:p w14:paraId="6A7895D1" w14:textId="386677F7" w:rsidR="001C3495" w:rsidRPr="00534FB2" w:rsidRDefault="00242872" w:rsidP="00134CBE">
            <w:pPr>
              <w:rPr>
                <w:sz w:val="22"/>
                <w:szCs w:val="22"/>
                <w:lang w:val="sk-SK"/>
              </w:rPr>
            </w:pPr>
            <w:r w:rsidRPr="00534FB2">
              <w:rPr>
                <w:sz w:val="22"/>
                <w:szCs w:val="22"/>
                <w:lang w:val="sk-SK"/>
              </w:rPr>
              <w:t>Hypokaliémia</w:t>
            </w:r>
          </w:p>
        </w:tc>
        <w:tc>
          <w:tcPr>
            <w:tcW w:w="786" w:type="pct"/>
            <w:vAlign w:val="center"/>
          </w:tcPr>
          <w:p w14:paraId="2F18748E" w14:textId="7A85F1B0" w:rsidR="001C3495" w:rsidRPr="00534FB2" w:rsidRDefault="00242872" w:rsidP="00134CBE">
            <w:pPr>
              <w:rPr>
                <w:sz w:val="22"/>
                <w:szCs w:val="22"/>
                <w:lang w:val="sk-SK"/>
              </w:rPr>
            </w:pPr>
            <w:r w:rsidRPr="00534FB2">
              <w:rPr>
                <w:sz w:val="22"/>
                <w:szCs w:val="22"/>
                <w:lang w:val="sk-SK"/>
              </w:rPr>
              <w:t>Časté</w:t>
            </w:r>
          </w:p>
        </w:tc>
        <w:tc>
          <w:tcPr>
            <w:tcW w:w="786" w:type="pct"/>
            <w:vAlign w:val="center"/>
          </w:tcPr>
          <w:p w14:paraId="583C2834" w14:textId="77777777" w:rsidR="001C3495" w:rsidRPr="00534FB2" w:rsidRDefault="001C3495" w:rsidP="00134CBE">
            <w:pPr>
              <w:rPr>
                <w:sz w:val="22"/>
                <w:szCs w:val="22"/>
                <w:lang w:val="sk-SK"/>
              </w:rPr>
            </w:pPr>
            <w:r w:rsidRPr="00534FB2">
              <w:rPr>
                <w:sz w:val="22"/>
                <w:szCs w:val="22"/>
                <w:lang w:val="sk-SK"/>
              </w:rPr>
              <w:t>-</w:t>
            </w:r>
          </w:p>
        </w:tc>
        <w:tc>
          <w:tcPr>
            <w:tcW w:w="708" w:type="pct"/>
            <w:vAlign w:val="center"/>
          </w:tcPr>
          <w:p w14:paraId="16DF2AB6" w14:textId="77777777" w:rsidR="001C3495" w:rsidRPr="00534FB2" w:rsidRDefault="001C3495" w:rsidP="00134CBE">
            <w:pPr>
              <w:rPr>
                <w:sz w:val="22"/>
                <w:szCs w:val="22"/>
                <w:lang w:val="sk-SK"/>
              </w:rPr>
            </w:pPr>
            <w:r w:rsidRPr="00534FB2">
              <w:rPr>
                <w:sz w:val="22"/>
                <w:szCs w:val="22"/>
                <w:lang w:val="sk-SK"/>
              </w:rPr>
              <w:t>-</w:t>
            </w:r>
          </w:p>
        </w:tc>
        <w:tc>
          <w:tcPr>
            <w:tcW w:w="757" w:type="pct"/>
            <w:vAlign w:val="center"/>
          </w:tcPr>
          <w:p w14:paraId="0A76371A" w14:textId="3A327F5F" w:rsidR="001C3495" w:rsidRPr="00534FB2" w:rsidRDefault="00242872" w:rsidP="00134CBE">
            <w:pPr>
              <w:rPr>
                <w:sz w:val="22"/>
                <w:szCs w:val="22"/>
                <w:lang w:val="sk-SK"/>
              </w:rPr>
            </w:pPr>
            <w:r w:rsidRPr="00534FB2">
              <w:rPr>
                <w:sz w:val="22"/>
                <w:szCs w:val="22"/>
                <w:lang w:val="sk-SK"/>
              </w:rPr>
              <w:t>Veľmi časté</w:t>
            </w:r>
          </w:p>
        </w:tc>
      </w:tr>
      <w:tr w:rsidR="004855AB" w:rsidRPr="00534FB2" w14:paraId="7DCA9D5E" w14:textId="77777777" w:rsidTr="000F0F4C">
        <w:trPr>
          <w:jc w:val="center"/>
        </w:trPr>
        <w:tc>
          <w:tcPr>
            <w:tcW w:w="829" w:type="pct"/>
            <w:vMerge/>
          </w:tcPr>
          <w:p w14:paraId="6C8FBDC7" w14:textId="77777777" w:rsidR="001C3495" w:rsidRPr="00534FB2" w:rsidRDefault="001C3495" w:rsidP="00134CBE">
            <w:pPr>
              <w:rPr>
                <w:sz w:val="22"/>
                <w:szCs w:val="22"/>
                <w:lang w:val="sk-SK"/>
              </w:rPr>
            </w:pPr>
          </w:p>
        </w:tc>
        <w:tc>
          <w:tcPr>
            <w:tcW w:w="1134" w:type="pct"/>
            <w:vAlign w:val="center"/>
          </w:tcPr>
          <w:p w14:paraId="6170597A" w14:textId="3FC95034" w:rsidR="001C3495" w:rsidRPr="00534FB2" w:rsidRDefault="00242872" w:rsidP="00134CBE">
            <w:pPr>
              <w:rPr>
                <w:sz w:val="22"/>
                <w:szCs w:val="22"/>
                <w:lang w:val="sk-SK"/>
              </w:rPr>
            </w:pPr>
            <w:r w:rsidRPr="00534FB2">
              <w:rPr>
                <w:sz w:val="22"/>
                <w:szCs w:val="22"/>
                <w:lang w:val="sk-SK"/>
              </w:rPr>
              <w:t>Hypomagneziémia</w:t>
            </w:r>
          </w:p>
        </w:tc>
        <w:tc>
          <w:tcPr>
            <w:tcW w:w="786" w:type="pct"/>
            <w:vAlign w:val="center"/>
          </w:tcPr>
          <w:p w14:paraId="2E258399" w14:textId="77777777" w:rsidR="001C3495" w:rsidRPr="00534FB2" w:rsidRDefault="001C3495" w:rsidP="00134CBE">
            <w:pPr>
              <w:rPr>
                <w:sz w:val="22"/>
                <w:szCs w:val="22"/>
                <w:lang w:val="sk-SK"/>
              </w:rPr>
            </w:pPr>
            <w:r w:rsidRPr="00534FB2">
              <w:rPr>
                <w:sz w:val="22"/>
                <w:szCs w:val="22"/>
                <w:lang w:val="sk-SK"/>
              </w:rPr>
              <w:t>-</w:t>
            </w:r>
          </w:p>
        </w:tc>
        <w:tc>
          <w:tcPr>
            <w:tcW w:w="786" w:type="pct"/>
            <w:vAlign w:val="center"/>
          </w:tcPr>
          <w:p w14:paraId="70365C18" w14:textId="77777777" w:rsidR="001C3495" w:rsidRPr="00534FB2" w:rsidRDefault="001C3495" w:rsidP="00134CBE">
            <w:pPr>
              <w:rPr>
                <w:sz w:val="22"/>
                <w:szCs w:val="22"/>
                <w:lang w:val="sk-SK"/>
              </w:rPr>
            </w:pPr>
            <w:r w:rsidRPr="00534FB2">
              <w:rPr>
                <w:sz w:val="22"/>
                <w:szCs w:val="22"/>
                <w:lang w:val="sk-SK"/>
              </w:rPr>
              <w:t>-</w:t>
            </w:r>
          </w:p>
        </w:tc>
        <w:tc>
          <w:tcPr>
            <w:tcW w:w="708" w:type="pct"/>
            <w:vAlign w:val="center"/>
          </w:tcPr>
          <w:p w14:paraId="70780AEA" w14:textId="77777777" w:rsidR="001C3495" w:rsidRPr="00534FB2" w:rsidRDefault="001C3495" w:rsidP="00134CBE">
            <w:pPr>
              <w:rPr>
                <w:sz w:val="22"/>
                <w:szCs w:val="22"/>
                <w:lang w:val="sk-SK"/>
              </w:rPr>
            </w:pPr>
            <w:r w:rsidRPr="00534FB2">
              <w:rPr>
                <w:sz w:val="22"/>
                <w:szCs w:val="22"/>
                <w:lang w:val="sk-SK"/>
              </w:rPr>
              <w:t>-</w:t>
            </w:r>
          </w:p>
        </w:tc>
        <w:tc>
          <w:tcPr>
            <w:tcW w:w="757" w:type="pct"/>
            <w:vAlign w:val="center"/>
          </w:tcPr>
          <w:p w14:paraId="48479923" w14:textId="354E32AC" w:rsidR="001C3495" w:rsidRPr="00534FB2" w:rsidRDefault="00242872" w:rsidP="00134CBE">
            <w:pPr>
              <w:rPr>
                <w:sz w:val="22"/>
                <w:szCs w:val="22"/>
                <w:lang w:val="sk-SK"/>
              </w:rPr>
            </w:pPr>
            <w:r w:rsidRPr="00534FB2">
              <w:rPr>
                <w:sz w:val="22"/>
                <w:szCs w:val="22"/>
                <w:lang w:val="sk-SK"/>
              </w:rPr>
              <w:t>Časté</w:t>
            </w:r>
          </w:p>
        </w:tc>
      </w:tr>
      <w:tr w:rsidR="004855AB" w:rsidRPr="00534FB2" w14:paraId="7E503A9F" w14:textId="77777777" w:rsidTr="000F0F4C">
        <w:trPr>
          <w:jc w:val="center"/>
        </w:trPr>
        <w:tc>
          <w:tcPr>
            <w:tcW w:w="829" w:type="pct"/>
            <w:vMerge/>
          </w:tcPr>
          <w:p w14:paraId="61040E31" w14:textId="77777777" w:rsidR="001C3495" w:rsidRPr="00534FB2" w:rsidRDefault="001C3495" w:rsidP="00134CBE">
            <w:pPr>
              <w:rPr>
                <w:sz w:val="22"/>
                <w:szCs w:val="22"/>
                <w:lang w:val="sk-SK"/>
              </w:rPr>
            </w:pPr>
          </w:p>
        </w:tc>
        <w:tc>
          <w:tcPr>
            <w:tcW w:w="1134" w:type="pct"/>
            <w:vAlign w:val="center"/>
          </w:tcPr>
          <w:p w14:paraId="73A14F21" w14:textId="39839010" w:rsidR="001C3495" w:rsidRPr="00534FB2" w:rsidRDefault="00242872" w:rsidP="00134CBE">
            <w:pPr>
              <w:rPr>
                <w:sz w:val="22"/>
                <w:szCs w:val="22"/>
                <w:lang w:val="sk-SK"/>
              </w:rPr>
            </w:pPr>
            <w:r w:rsidRPr="00534FB2">
              <w:rPr>
                <w:sz w:val="22"/>
                <w:szCs w:val="22"/>
                <w:lang w:val="sk-SK"/>
              </w:rPr>
              <w:t>Hyponatriémia</w:t>
            </w:r>
          </w:p>
        </w:tc>
        <w:tc>
          <w:tcPr>
            <w:tcW w:w="786" w:type="pct"/>
            <w:vAlign w:val="center"/>
          </w:tcPr>
          <w:p w14:paraId="0E65A352" w14:textId="3F0EB174" w:rsidR="001C3495" w:rsidRPr="00534FB2" w:rsidRDefault="00242872" w:rsidP="00134CBE">
            <w:pPr>
              <w:rPr>
                <w:sz w:val="22"/>
                <w:szCs w:val="22"/>
                <w:lang w:val="sk-SK"/>
              </w:rPr>
            </w:pPr>
            <w:r w:rsidRPr="00534FB2">
              <w:rPr>
                <w:sz w:val="22"/>
                <w:szCs w:val="22"/>
                <w:lang w:val="sk-SK"/>
              </w:rPr>
              <w:t>Menej časté</w:t>
            </w:r>
          </w:p>
        </w:tc>
        <w:tc>
          <w:tcPr>
            <w:tcW w:w="786" w:type="pct"/>
            <w:vAlign w:val="center"/>
          </w:tcPr>
          <w:p w14:paraId="6C373DDA" w14:textId="77777777" w:rsidR="001C3495" w:rsidRPr="00534FB2" w:rsidRDefault="001C3495" w:rsidP="00134CBE">
            <w:pPr>
              <w:rPr>
                <w:sz w:val="22"/>
                <w:szCs w:val="22"/>
                <w:lang w:val="sk-SK"/>
              </w:rPr>
            </w:pPr>
            <w:r w:rsidRPr="00534FB2">
              <w:rPr>
                <w:sz w:val="22"/>
                <w:szCs w:val="22"/>
                <w:lang w:val="sk-SK"/>
              </w:rPr>
              <w:t>-</w:t>
            </w:r>
          </w:p>
        </w:tc>
        <w:tc>
          <w:tcPr>
            <w:tcW w:w="708" w:type="pct"/>
            <w:vAlign w:val="center"/>
          </w:tcPr>
          <w:p w14:paraId="1E4CD5D3" w14:textId="77777777" w:rsidR="001C3495" w:rsidRPr="00534FB2" w:rsidRDefault="001C3495" w:rsidP="00134CBE">
            <w:pPr>
              <w:rPr>
                <w:sz w:val="22"/>
                <w:szCs w:val="22"/>
                <w:lang w:val="sk-SK"/>
              </w:rPr>
            </w:pPr>
            <w:r w:rsidRPr="00534FB2">
              <w:rPr>
                <w:sz w:val="22"/>
                <w:szCs w:val="22"/>
                <w:lang w:val="sk-SK"/>
              </w:rPr>
              <w:t>-</w:t>
            </w:r>
          </w:p>
        </w:tc>
        <w:tc>
          <w:tcPr>
            <w:tcW w:w="757" w:type="pct"/>
            <w:vAlign w:val="center"/>
          </w:tcPr>
          <w:p w14:paraId="04B3BC6C" w14:textId="5CE85008" w:rsidR="001C3495" w:rsidRPr="00534FB2" w:rsidRDefault="00242872" w:rsidP="00134CBE">
            <w:pPr>
              <w:rPr>
                <w:sz w:val="22"/>
                <w:szCs w:val="22"/>
                <w:lang w:val="sk-SK"/>
              </w:rPr>
            </w:pPr>
            <w:r w:rsidRPr="00534FB2">
              <w:rPr>
                <w:sz w:val="22"/>
                <w:szCs w:val="22"/>
                <w:lang w:val="sk-SK"/>
              </w:rPr>
              <w:t>Časté</w:t>
            </w:r>
          </w:p>
        </w:tc>
      </w:tr>
      <w:tr w:rsidR="004855AB" w:rsidRPr="00534FB2" w14:paraId="69EF2EE4" w14:textId="77777777" w:rsidTr="000F0F4C">
        <w:trPr>
          <w:jc w:val="center"/>
        </w:trPr>
        <w:tc>
          <w:tcPr>
            <w:tcW w:w="829" w:type="pct"/>
            <w:vMerge/>
          </w:tcPr>
          <w:p w14:paraId="66E5D939" w14:textId="77777777" w:rsidR="001C3495" w:rsidRPr="00534FB2" w:rsidRDefault="001C3495" w:rsidP="00134CBE">
            <w:pPr>
              <w:rPr>
                <w:sz w:val="22"/>
                <w:szCs w:val="22"/>
                <w:lang w:val="sk-SK"/>
              </w:rPr>
            </w:pPr>
          </w:p>
        </w:tc>
        <w:tc>
          <w:tcPr>
            <w:tcW w:w="1134" w:type="pct"/>
            <w:vAlign w:val="center"/>
          </w:tcPr>
          <w:p w14:paraId="1632DDF4" w14:textId="77777777" w:rsidR="00242872" w:rsidRPr="00534FB2" w:rsidRDefault="00242872" w:rsidP="00242872">
            <w:pPr>
              <w:rPr>
                <w:sz w:val="22"/>
                <w:szCs w:val="22"/>
                <w:lang w:val="sk-SK"/>
              </w:rPr>
            </w:pPr>
            <w:r w:rsidRPr="00534FB2">
              <w:rPr>
                <w:sz w:val="22"/>
                <w:szCs w:val="22"/>
                <w:lang w:val="sk-SK"/>
              </w:rPr>
              <w:t>Zhoršenie stavu</w:t>
            </w:r>
          </w:p>
          <w:p w14:paraId="06A70545" w14:textId="387987CC" w:rsidR="001C3495" w:rsidRPr="00534FB2" w:rsidRDefault="00242872" w:rsidP="00242872">
            <w:pPr>
              <w:rPr>
                <w:sz w:val="22"/>
                <w:szCs w:val="22"/>
                <w:lang w:val="sk-SK"/>
              </w:rPr>
            </w:pPr>
            <w:r w:rsidRPr="00534FB2">
              <w:rPr>
                <w:sz w:val="22"/>
                <w:szCs w:val="22"/>
                <w:lang w:val="sk-SK"/>
              </w:rPr>
              <w:t>metabolizmu pri diabete</w:t>
            </w:r>
          </w:p>
        </w:tc>
        <w:tc>
          <w:tcPr>
            <w:tcW w:w="786" w:type="pct"/>
            <w:vAlign w:val="center"/>
          </w:tcPr>
          <w:p w14:paraId="5081D8D8" w14:textId="77777777" w:rsidR="001C3495" w:rsidRPr="00534FB2" w:rsidRDefault="001C3495" w:rsidP="00134CBE">
            <w:pPr>
              <w:rPr>
                <w:sz w:val="22"/>
                <w:szCs w:val="22"/>
                <w:lang w:val="sk-SK"/>
              </w:rPr>
            </w:pPr>
            <w:r w:rsidRPr="00534FB2">
              <w:rPr>
                <w:sz w:val="22"/>
                <w:szCs w:val="22"/>
                <w:lang w:val="sk-SK"/>
              </w:rPr>
              <w:t>-</w:t>
            </w:r>
          </w:p>
        </w:tc>
        <w:tc>
          <w:tcPr>
            <w:tcW w:w="786" w:type="pct"/>
            <w:vAlign w:val="center"/>
          </w:tcPr>
          <w:p w14:paraId="2068B9D3" w14:textId="77777777" w:rsidR="001C3495" w:rsidRPr="00534FB2" w:rsidRDefault="001C3495" w:rsidP="00134CBE">
            <w:pPr>
              <w:rPr>
                <w:sz w:val="22"/>
                <w:szCs w:val="22"/>
                <w:lang w:val="sk-SK"/>
              </w:rPr>
            </w:pPr>
            <w:r w:rsidRPr="00534FB2">
              <w:rPr>
                <w:sz w:val="22"/>
                <w:szCs w:val="22"/>
                <w:lang w:val="sk-SK"/>
              </w:rPr>
              <w:t>-</w:t>
            </w:r>
          </w:p>
        </w:tc>
        <w:tc>
          <w:tcPr>
            <w:tcW w:w="708" w:type="pct"/>
            <w:vAlign w:val="center"/>
          </w:tcPr>
          <w:p w14:paraId="6CADA7F2" w14:textId="77777777" w:rsidR="001C3495" w:rsidRPr="00534FB2" w:rsidRDefault="001C3495" w:rsidP="00134CBE">
            <w:pPr>
              <w:rPr>
                <w:sz w:val="22"/>
                <w:szCs w:val="22"/>
                <w:lang w:val="sk-SK"/>
              </w:rPr>
            </w:pPr>
            <w:r w:rsidRPr="00534FB2">
              <w:rPr>
                <w:sz w:val="22"/>
                <w:szCs w:val="22"/>
                <w:lang w:val="sk-SK"/>
              </w:rPr>
              <w:t>-</w:t>
            </w:r>
          </w:p>
        </w:tc>
        <w:tc>
          <w:tcPr>
            <w:tcW w:w="757" w:type="pct"/>
            <w:vAlign w:val="center"/>
          </w:tcPr>
          <w:p w14:paraId="5D10D604" w14:textId="35CEA872" w:rsidR="001C3495" w:rsidRPr="00534FB2" w:rsidRDefault="00242872" w:rsidP="00134CBE">
            <w:pPr>
              <w:rPr>
                <w:sz w:val="22"/>
                <w:szCs w:val="22"/>
                <w:lang w:val="sk-SK"/>
              </w:rPr>
            </w:pPr>
            <w:r w:rsidRPr="00534FB2">
              <w:rPr>
                <w:sz w:val="22"/>
                <w:szCs w:val="22"/>
                <w:lang w:val="sk-SK"/>
              </w:rPr>
              <w:t>Zriedkavé</w:t>
            </w:r>
          </w:p>
        </w:tc>
      </w:tr>
      <w:tr w:rsidR="004855AB" w:rsidRPr="00534FB2" w14:paraId="23078C3C" w14:textId="77777777" w:rsidTr="000F0F4C">
        <w:trPr>
          <w:trHeight w:val="70"/>
          <w:jc w:val="center"/>
        </w:trPr>
        <w:tc>
          <w:tcPr>
            <w:tcW w:w="829" w:type="pct"/>
            <w:vMerge w:val="restart"/>
          </w:tcPr>
          <w:p w14:paraId="17E6E00F" w14:textId="0173DCED" w:rsidR="001C3495" w:rsidRPr="00534FB2" w:rsidRDefault="00242872" w:rsidP="00134CBE">
            <w:pPr>
              <w:rPr>
                <w:sz w:val="22"/>
                <w:szCs w:val="22"/>
                <w:lang w:val="sk-SK"/>
              </w:rPr>
            </w:pPr>
            <w:r w:rsidRPr="00534FB2">
              <w:rPr>
                <w:sz w:val="22"/>
                <w:szCs w:val="22"/>
                <w:lang w:val="sk-SK"/>
              </w:rPr>
              <w:t>Psychické poruchy</w:t>
            </w:r>
          </w:p>
        </w:tc>
        <w:tc>
          <w:tcPr>
            <w:tcW w:w="1134" w:type="pct"/>
            <w:vAlign w:val="center"/>
          </w:tcPr>
          <w:p w14:paraId="0F2E6343" w14:textId="0480F556" w:rsidR="001C3495" w:rsidRPr="00534FB2" w:rsidRDefault="001C3495" w:rsidP="00242872">
            <w:pPr>
              <w:rPr>
                <w:sz w:val="22"/>
                <w:szCs w:val="22"/>
                <w:lang w:val="sk-SK"/>
              </w:rPr>
            </w:pPr>
            <w:r w:rsidRPr="00534FB2">
              <w:rPr>
                <w:sz w:val="22"/>
                <w:szCs w:val="22"/>
                <w:lang w:val="sk-SK"/>
              </w:rPr>
              <w:t>Depres</w:t>
            </w:r>
            <w:r w:rsidR="00242872" w:rsidRPr="00534FB2">
              <w:rPr>
                <w:sz w:val="22"/>
                <w:szCs w:val="22"/>
                <w:lang w:val="sk-SK"/>
              </w:rPr>
              <w:t>ia</w:t>
            </w:r>
          </w:p>
        </w:tc>
        <w:tc>
          <w:tcPr>
            <w:tcW w:w="786" w:type="pct"/>
            <w:vAlign w:val="center"/>
          </w:tcPr>
          <w:p w14:paraId="01A2C395" w14:textId="77777777" w:rsidR="001C3495" w:rsidRPr="00534FB2" w:rsidRDefault="001C3495" w:rsidP="00134CBE">
            <w:pPr>
              <w:rPr>
                <w:sz w:val="22"/>
                <w:szCs w:val="22"/>
                <w:lang w:val="sk-SK"/>
              </w:rPr>
            </w:pPr>
          </w:p>
        </w:tc>
        <w:tc>
          <w:tcPr>
            <w:tcW w:w="786" w:type="pct"/>
            <w:vAlign w:val="center"/>
          </w:tcPr>
          <w:p w14:paraId="5C35CE1E" w14:textId="490B4268" w:rsidR="001C3495" w:rsidRPr="00534FB2" w:rsidRDefault="00242872" w:rsidP="00134CBE">
            <w:pPr>
              <w:rPr>
                <w:sz w:val="22"/>
                <w:szCs w:val="22"/>
                <w:lang w:val="sk-SK"/>
              </w:rPr>
            </w:pPr>
            <w:r w:rsidRPr="00534FB2">
              <w:rPr>
                <w:sz w:val="22"/>
                <w:szCs w:val="22"/>
                <w:lang w:val="sk-SK"/>
              </w:rPr>
              <w:t>Menej časté</w:t>
            </w:r>
          </w:p>
        </w:tc>
        <w:tc>
          <w:tcPr>
            <w:tcW w:w="708" w:type="pct"/>
            <w:vAlign w:val="center"/>
          </w:tcPr>
          <w:p w14:paraId="17314E70" w14:textId="77777777" w:rsidR="001C3495" w:rsidRPr="00534FB2" w:rsidRDefault="001C3495" w:rsidP="00134CBE">
            <w:pPr>
              <w:rPr>
                <w:sz w:val="22"/>
                <w:szCs w:val="22"/>
                <w:lang w:val="sk-SK"/>
              </w:rPr>
            </w:pPr>
            <w:r w:rsidRPr="00534FB2">
              <w:rPr>
                <w:sz w:val="22"/>
                <w:szCs w:val="22"/>
                <w:lang w:val="sk-SK"/>
              </w:rPr>
              <w:t>-</w:t>
            </w:r>
          </w:p>
        </w:tc>
        <w:tc>
          <w:tcPr>
            <w:tcW w:w="757" w:type="pct"/>
            <w:vAlign w:val="center"/>
          </w:tcPr>
          <w:p w14:paraId="599ACF17" w14:textId="67810CC5" w:rsidR="001C3495" w:rsidRPr="00534FB2" w:rsidRDefault="00242872" w:rsidP="00134CBE">
            <w:pPr>
              <w:rPr>
                <w:sz w:val="22"/>
                <w:szCs w:val="22"/>
                <w:lang w:val="sk-SK"/>
              </w:rPr>
            </w:pPr>
            <w:r w:rsidRPr="00534FB2">
              <w:rPr>
                <w:sz w:val="22"/>
                <w:szCs w:val="22"/>
                <w:lang w:val="sk-SK"/>
              </w:rPr>
              <w:t>Zriedkavé</w:t>
            </w:r>
          </w:p>
        </w:tc>
      </w:tr>
      <w:tr w:rsidR="004855AB" w:rsidRPr="00534FB2" w14:paraId="30194A5E" w14:textId="77777777" w:rsidTr="000F0F4C">
        <w:trPr>
          <w:jc w:val="center"/>
        </w:trPr>
        <w:tc>
          <w:tcPr>
            <w:tcW w:w="829" w:type="pct"/>
            <w:vMerge/>
          </w:tcPr>
          <w:p w14:paraId="739B9C55" w14:textId="77777777" w:rsidR="001C3495" w:rsidRPr="00534FB2" w:rsidRDefault="001C3495" w:rsidP="00134CBE">
            <w:pPr>
              <w:rPr>
                <w:sz w:val="22"/>
                <w:szCs w:val="22"/>
                <w:lang w:val="sk-SK"/>
              </w:rPr>
            </w:pPr>
          </w:p>
        </w:tc>
        <w:tc>
          <w:tcPr>
            <w:tcW w:w="1134" w:type="pct"/>
            <w:vAlign w:val="center"/>
          </w:tcPr>
          <w:p w14:paraId="0A43A041" w14:textId="77777777" w:rsidR="00242872" w:rsidRPr="00534FB2" w:rsidRDefault="00242872" w:rsidP="00242872">
            <w:pPr>
              <w:rPr>
                <w:sz w:val="22"/>
                <w:szCs w:val="22"/>
                <w:lang w:val="sk-SK"/>
              </w:rPr>
            </w:pPr>
            <w:r w:rsidRPr="00534FB2">
              <w:rPr>
                <w:sz w:val="22"/>
                <w:szCs w:val="22"/>
                <w:lang w:val="sk-SK"/>
              </w:rPr>
              <w:t>Nespavosť/poruchy</w:t>
            </w:r>
          </w:p>
          <w:p w14:paraId="33C94E1C" w14:textId="5F679595" w:rsidR="001C3495" w:rsidRPr="00534FB2" w:rsidRDefault="00242872" w:rsidP="00242872">
            <w:pPr>
              <w:rPr>
                <w:sz w:val="22"/>
                <w:szCs w:val="22"/>
                <w:lang w:val="sk-SK"/>
              </w:rPr>
            </w:pPr>
            <w:r w:rsidRPr="00534FB2">
              <w:rPr>
                <w:sz w:val="22"/>
                <w:szCs w:val="22"/>
                <w:lang w:val="sk-SK"/>
              </w:rPr>
              <w:t>spánku</w:t>
            </w:r>
          </w:p>
        </w:tc>
        <w:tc>
          <w:tcPr>
            <w:tcW w:w="786" w:type="pct"/>
            <w:vAlign w:val="center"/>
          </w:tcPr>
          <w:p w14:paraId="4CC64AEF" w14:textId="7EBEBB6C" w:rsidR="001C3495" w:rsidRPr="00534FB2" w:rsidRDefault="00242872" w:rsidP="00134CBE">
            <w:pPr>
              <w:rPr>
                <w:sz w:val="22"/>
                <w:szCs w:val="22"/>
                <w:lang w:val="sk-SK"/>
              </w:rPr>
            </w:pPr>
            <w:r w:rsidRPr="00534FB2">
              <w:rPr>
                <w:sz w:val="22"/>
                <w:szCs w:val="22"/>
                <w:lang w:val="sk-SK"/>
              </w:rPr>
              <w:t>Menej časté</w:t>
            </w:r>
          </w:p>
        </w:tc>
        <w:tc>
          <w:tcPr>
            <w:tcW w:w="786" w:type="pct"/>
            <w:vAlign w:val="center"/>
          </w:tcPr>
          <w:p w14:paraId="6E358697" w14:textId="202B8713" w:rsidR="001C3495" w:rsidRPr="00534FB2" w:rsidRDefault="00242872" w:rsidP="00134CBE">
            <w:pPr>
              <w:rPr>
                <w:sz w:val="22"/>
                <w:szCs w:val="22"/>
                <w:lang w:val="sk-SK"/>
              </w:rPr>
            </w:pPr>
            <w:r w:rsidRPr="00534FB2">
              <w:rPr>
                <w:sz w:val="22"/>
                <w:szCs w:val="22"/>
                <w:lang w:val="sk-SK"/>
              </w:rPr>
              <w:t>Menej časté</w:t>
            </w:r>
          </w:p>
        </w:tc>
        <w:tc>
          <w:tcPr>
            <w:tcW w:w="708" w:type="pct"/>
            <w:vAlign w:val="center"/>
          </w:tcPr>
          <w:p w14:paraId="167951E8" w14:textId="77777777" w:rsidR="001C3495" w:rsidRPr="00534FB2" w:rsidRDefault="001C3495" w:rsidP="00134CBE">
            <w:pPr>
              <w:rPr>
                <w:sz w:val="22"/>
                <w:szCs w:val="22"/>
                <w:lang w:val="sk-SK"/>
              </w:rPr>
            </w:pPr>
            <w:r w:rsidRPr="00534FB2">
              <w:rPr>
                <w:sz w:val="22"/>
                <w:szCs w:val="22"/>
                <w:lang w:val="sk-SK"/>
              </w:rPr>
              <w:t>-</w:t>
            </w:r>
          </w:p>
        </w:tc>
        <w:tc>
          <w:tcPr>
            <w:tcW w:w="757" w:type="pct"/>
            <w:vAlign w:val="center"/>
          </w:tcPr>
          <w:p w14:paraId="4747FF48" w14:textId="71AE6CDD" w:rsidR="001C3495" w:rsidRPr="00534FB2" w:rsidRDefault="00242872" w:rsidP="00134CBE">
            <w:pPr>
              <w:rPr>
                <w:sz w:val="22"/>
                <w:szCs w:val="22"/>
                <w:lang w:val="sk-SK"/>
              </w:rPr>
            </w:pPr>
            <w:r w:rsidRPr="00534FB2">
              <w:rPr>
                <w:sz w:val="22"/>
                <w:szCs w:val="22"/>
                <w:lang w:val="sk-SK"/>
              </w:rPr>
              <w:t>Zriedkavé</w:t>
            </w:r>
          </w:p>
        </w:tc>
      </w:tr>
      <w:tr w:rsidR="004855AB" w:rsidRPr="00534FB2" w14:paraId="212D2DDE" w14:textId="77777777" w:rsidTr="000F0F4C">
        <w:trPr>
          <w:jc w:val="center"/>
        </w:trPr>
        <w:tc>
          <w:tcPr>
            <w:tcW w:w="829" w:type="pct"/>
            <w:vMerge/>
          </w:tcPr>
          <w:p w14:paraId="5546D07D" w14:textId="77777777" w:rsidR="001C3495" w:rsidRPr="00534FB2" w:rsidRDefault="001C3495" w:rsidP="00134CBE">
            <w:pPr>
              <w:rPr>
                <w:sz w:val="22"/>
                <w:szCs w:val="22"/>
                <w:lang w:val="sk-SK"/>
              </w:rPr>
            </w:pPr>
          </w:p>
        </w:tc>
        <w:tc>
          <w:tcPr>
            <w:tcW w:w="1134" w:type="pct"/>
            <w:vAlign w:val="center"/>
          </w:tcPr>
          <w:p w14:paraId="18B92B2C" w14:textId="383E6687" w:rsidR="001C3495" w:rsidRPr="00534FB2" w:rsidRDefault="00242872" w:rsidP="00134CBE">
            <w:pPr>
              <w:rPr>
                <w:sz w:val="22"/>
                <w:szCs w:val="22"/>
                <w:lang w:val="sk-SK"/>
              </w:rPr>
            </w:pPr>
            <w:r w:rsidRPr="00534FB2">
              <w:rPr>
                <w:sz w:val="22"/>
                <w:szCs w:val="22"/>
                <w:lang w:val="sk-SK"/>
              </w:rPr>
              <w:t>Kolísanie nálady</w:t>
            </w:r>
          </w:p>
        </w:tc>
        <w:tc>
          <w:tcPr>
            <w:tcW w:w="786" w:type="pct"/>
            <w:vAlign w:val="center"/>
          </w:tcPr>
          <w:p w14:paraId="12B9EFB5" w14:textId="77777777" w:rsidR="001C3495" w:rsidRPr="00534FB2" w:rsidRDefault="001C3495" w:rsidP="00134CBE">
            <w:pPr>
              <w:rPr>
                <w:sz w:val="22"/>
                <w:szCs w:val="22"/>
                <w:lang w:val="sk-SK"/>
              </w:rPr>
            </w:pPr>
            <w:r w:rsidRPr="00534FB2">
              <w:rPr>
                <w:sz w:val="22"/>
                <w:szCs w:val="22"/>
                <w:lang w:val="sk-SK"/>
              </w:rPr>
              <w:t>-</w:t>
            </w:r>
          </w:p>
        </w:tc>
        <w:tc>
          <w:tcPr>
            <w:tcW w:w="786" w:type="pct"/>
            <w:vAlign w:val="center"/>
          </w:tcPr>
          <w:p w14:paraId="022DB97E" w14:textId="5E2916C5" w:rsidR="001C3495" w:rsidRPr="00534FB2" w:rsidRDefault="00242872" w:rsidP="00134CBE">
            <w:pPr>
              <w:rPr>
                <w:sz w:val="22"/>
                <w:szCs w:val="22"/>
                <w:lang w:val="sk-SK"/>
              </w:rPr>
            </w:pPr>
            <w:r w:rsidRPr="00534FB2">
              <w:rPr>
                <w:sz w:val="22"/>
                <w:szCs w:val="22"/>
                <w:lang w:val="sk-SK"/>
              </w:rPr>
              <w:t>Menej časté</w:t>
            </w:r>
          </w:p>
        </w:tc>
        <w:tc>
          <w:tcPr>
            <w:tcW w:w="708" w:type="pct"/>
            <w:vAlign w:val="center"/>
          </w:tcPr>
          <w:p w14:paraId="2F31B5DF" w14:textId="77777777" w:rsidR="001C3495" w:rsidRPr="00534FB2" w:rsidRDefault="001C3495" w:rsidP="00134CBE">
            <w:pPr>
              <w:rPr>
                <w:sz w:val="22"/>
                <w:szCs w:val="22"/>
                <w:lang w:val="sk-SK"/>
              </w:rPr>
            </w:pPr>
            <w:r w:rsidRPr="00534FB2">
              <w:rPr>
                <w:sz w:val="22"/>
                <w:szCs w:val="22"/>
                <w:lang w:val="sk-SK"/>
              </w:rPr>
              <w:t>-</w:t>
            </w:r>
          </w:p>
        </w:tc>
        <w:tc>
          <w:tcPr>
            <w:tcW w:w="757" w:type="pct"/>
            <w:vAlign w:val="center"/>
          </w:tcPr>
          <w:p w14:paraId="211AEE1A" w14:textId="77777777" w:rsidR="001C3495" w:rsidRPr="00534FB2" w:rsidRDefault="001C3495" w:rsidP="00134CBE">
            <w:pPr>
              <w:rPr>
                <w:sz w:val="22"/>
                <w:szCs w:val="22"/>
                <w:lang w:val="sk-SK"/>
              </w:rPr>
            </w:pPr>
            <w:r w:rsidRPr="00534FB2">
              <w:rPr>
                <w:sz w:val="22"/>
                <w:szCs w:val="22"/>
                <w:lang w:val="sk-SK"/>
              </w:rPr>
              <w:t>-</w:t>
            </w:r>
          </w:p>
        </w:tc>
      </w:tr>
      <w:tr w:rsidR="004855AB" w:rsidRPr="00534FB2" w14:paraId="548A13E0" w14:textId="77777777" w:rsidTr="000F0F4C">
        <w:trPr>
          <w:jc w:val="center"/>
        </w:trPr>
        <w:tc>
          <w:tcPr>
            <w:tcW w:w="829" w:type="pct"/>
            <w:vMerge/>
          </w:tcPr>
          <w:p w14:paraId="5D456FFE" w14:textId="77777777" w:rsidR="001C3495" w:rsidRPr="00534FB2" w:rsidRDefault="001C3495" w:rsidP="00134CBE">
            <w:pPr>
              <w:rPr>
                <w:sz w:val="22"/>
                <w:szCs w:val="22"/>
                <w:lang w:val="sk-SK"/>
              </w:rPr>
            </w:pPr>
          </w:p>
        </w:tc>
        <w:tc>
          <w:tcPr>
            <w:tcW w:w="1134" w:type="pct"/>
            <w:vAlign w:val="center"/>
          </w:tcPr>
          <w:p w14:paraId="4BE65504" w14:textId="3862351A" w:rsidR="001C3495" w:rsidRPr="00534FB2" w:rsidRDefault="00242872" w:rsidP="00134CBE">
            <w:pPr>
              <w:rPr>
                <w:sz w:val="22"/>
                <w:szCs w:val="22"/>
                <w:lang w:val="sk-SK"/>
              </w:rPr>
            </w:pPr>
            <w:r w:rsidRPr="00534FB2">
              <w:rPr>
                <w:sz w:val="22"/>
                <w:szCs w:val="22"/>
                <w:lang w:val="sk-SK"/>
              </w:rPr>
              <w:t>Zmätenosť</w:t>
            </w:r>
          </w:p>
        </w:tc>
        <w:tc>
          <w:tcPr>
            <w:tcW w:w="786" w:type="pct"/>
            <w:vAlign w:val="center"/>
          </w:tcPr>
          <w:p w14:paraId="5E5849F3" w14:textId="77777777" w:rsidR="001C3495" w:rsidRPr="00534FB2" w:rsidRDefault="001C3495" w:rsidP="00134CBE">
            <w:pPr>
              <w:rPr>
                <w:sz w:val="22"/>
                <w:szCs w:val="22"/>
                <w:lang w:val="sk-SK"/>
              </w:rPr>
            </w:pPr>
            <w:r w:rsidRPr="00534FB2">
              <w:rPr>
                <w:sz w:val="22"/>
                <w:szCs w:val="22"/>
                <w:lang w:val="sk-SK"/>
              </w:rPr>
              <w:t>-</w:t>
            </w:r>
          </w:p>
        </w:tc>
        <w:tc>
          <w:tcPr>
            <w:tcW w:w="786" w:type="pct"/>
            <w:vAlign w:val="center"/>
          </w:tcPr>
          <w:p w14:paraId="7C19E4C3" w14:textId="08762C26" w:rsidR="001C3495" w:rsidRPr="00534FB2" w:rsidRDefault="00242872" w:rsidP="00134CBE">
            <w:pPr>
              <w:rPr>
                <w:sz w:val="22"/>
                <w:szCs w:val="22"/>
                <w:lang w:val="sk-SK"/>
              </w:rPr>
            </w:pPr>
            <w:r w:rsidRPr="00534FB2">
              <w:rPr>
                <w:sz w:val="22"/>
                <w:szCs w:val="22"/>
                <w:lang w:val="sk-SK"/>
              </w:rPr>
              <w:t>Zriedkavé</w:t>
            </w:r>
          </w:p>
        </w:tc>
        <w:tc>
          <w:tcPr>
            <w:tcW w:w="708" w:type="pct"/>
            <w:vAlign w:val="center"/>
          </w:tcPr>
          <w:p w14:paraId="086A05DA" w14:textId="77777777" w:rsidR="001C3495" w:rsidRPr="00534FB2" w:rsidRDefault="001C3495" w:rsidP="00134CBE">
            <w:pPr>
              <w:rPr>
                <w:sz w:val="22"/>
                <w:szCs w:val="22"/>
                <w:lang w:val="sk-SK"/>
              </w:rPr>
            </w:pPr>
            <w:r w:rsidRPr="00534FB2">
              <w:rPr>
                <w:sz w:val="22"/>
                <w:szCs w:val="22"/>
                <w:lang w:val="sk-SK"/>
              </w:rPr>
              <w:t>-</w:t>
            </w:r>
          </w:p>
        </w:tc>
        <w:tc>
          <w:tcPr>
            <w:tcW w:w="757" w:type="pct"/>
            <w:vAlign w:val="center"/>
          </w:tcPr>
          <w:p w14:paraId="666F3D28" w14:textId="77777777" w:rsidR="001C3495" w:rsidRPr="00534FB2" w:rsidRDefault="001C3495" w:rsidP="00134CBE">
            <w:pPr>
              <w:rPr>
                <w:sz w:val="22"/>
                <w:szCs w:val="22"/>
                <w:lang w:val="sk-SK"/>
              </w:rPr>
            </w:pPr>
            <w:r w:rsidRPr="00534FB2">
              <w:rPr>
                <w:sz w:val="22"/>
                <w:szCs w:val="22"/>
                <w:lang w:val="sk-SK"/>
              </w:rPr>
              <w:t>-</w:t>
            </w:r>
          </w:p>
        </w:tc>
      </w:tr>
      <w:tr w:rsidR="000F0F4C" w:rsidRPr="00534FB2" w14:paraId="324E7335" w14:textId="77777777" w:rsidTr="000F0F4C">
        <w:trPr>
          <w:jc w:val="center"/>
        </w:trPr>
        <w:tc>
          <w:tcPr>
            <w:tcW w:w="829" w:type="pct"/>
            <w:vMerge w:val="restart"/>
          </w:tcPr>
          <w:p w14:paraId="41B97A9B" w14:textId="77777777" w:rsidR="00BA3D0C" w:rsidRPr="00534FB2" w:rsidRDefault="00BA3D0C" w:rsidP="00BA3D0C">
            <w:pPr>
              <w:rPr>
                <w:sz w:val="22"/>
                <w:szCs w:val="22"/>
                <w:lang w:val="sk-SK"/>
              </w:rPr>
            </w:pPr>
            <w:r w:rsidRPr="00534FB2">
              <w:rPr>
                <w:sz w:val="22"/>
                <w:szCs w:val="22"/>
                <w:lang w:val="sk-SK"/>
              </w:rPr>
              <w:t>Poruchy</w:t>
            </w:r>
          </w:p>
          <w:p w14:paraId="03A15119" w14:textId="77777777" w:rsidR="00BA3D0C" w:rsidRPr="00534FB2" w:rsidRDefault="00BA3D0C" w:rsidP="00BA3D0C">
            <w:pPr>
              <w:rPr>
                <w:sz w:val="22"/>
                <w:szCs w:val="22"/>
                <w:lang w:val="sk-SK"/>
              </w:rPr>
            </w:pPr>
            <w:r w:rsidRPr="00534FB2">
              <w:rPr>
                <w:sz w:val="22"/>
                <w:szCs w:val="22"/>
                <w:lang w:val="sk-SK"/>
              </w:rPr>
              <w:t>nervového</w:t>
            </w:r>
          </w:p>
          <w:p w14:paraId="50296B3D" w14:textId="5EB0D5D1" w:rsidR="000F0F4C" w:rsidRPr="00534FB2" w:rsidRDefault="00BA3D0C" w:rsidP="00BA3D0C">
            <w:pPr>
              <w:rPr>
                <w:sz w:val="22"/>
                <w:szCs w:val="22"/>
                <w:lang w:val="sk-SK"/>
              </w:rPr>
            </w:pPr>
            <w:r w:rsidRPr="00534FB2">
              <w:rPr>
                <w:sz w:val="22"/>
                <w:szCs w:val="22"/>
                <w:lang w:val="sk-SK"/>
              </w:rPr>
              <w:t>systému</w:t>
            </w:r>
          </w:p>
        </w:tc>
        <w:tc>
          <w:tcPr>
            <w:tcW w:w="1134" w:type="pct"/>
            <w:vAlign w:val="center"/>
          </w:tcPr>
          <w:p w14:paraId="6003EE75" w14:textId="271FAEDB" w:rsidR="000F0F4C" w:rsidRPr="00534FB2" w:rsidRDefault="008568DA" w:rsidP="00134CBE">
            <w:pPr>
              <w:rPr>
                <w:sz w:val="22"/>
                <w:szCs w:val="22"/>
                <w:lang w:val="sk-SK"/>
              </w:rPr>
            </w:pPr>
            <w:r w:rsidRPr="00534FB2">
              <w:rPr>
                <w:sz w:val="22"/>
                <w:szCs w:val="22"/>
                <w:lang w:val="sk-SK"/>
              </w:rPr>
              <w:t>Abnormálna koordinácia</w:t>
            </w:r>
          </w:p>
        </w:tc>
        <w:tc>
          <w:tcPr>
            <w:tcW w:w="786" w:type="pct"/>
            <w:vAlign w:val="center"/>
          </w:tcPr>
          <w:p w14:paraId="11DFDC8B" w14:textId="316DEB77" w:rsidR="000F0F4C" w:rsidRPr="00534FB2" w:rsidRDefault="00242872" w:rsidP="00134CBE">
            <w:pPr>
              <w:rPr>
                <w:sz w:val="22"/>
                <w:szCs w:val="22"/>
                <w:lang w:val="sk-SK"/>
              </w:rPr>
            </w:pPr>
            <w:r w:rsidRPr="00534FB2">
              <w:rPr>
                <w:rFonts w:eastAsiaTheme="minorHAnsi"/>
                <w:sz w:val="22"/>
                <w:szCs w:val="22"/>
                <w:lang w:val="sk-SK" w:eastAsia="en-US"/>
              </w:rPr>
              <w:t>Menej časté</w:t>
            </w:r>
          </w:p>
        </w:tc>
        <w:tc>
          <w:tcPr>
            <w:tcW w:w="786" w:type="pct"/>
            <w:vAlign w:val="center"/>
          </w:tcPr>
          <w:p w14:paraId="541C7266" w14:textId="77777777" w:rsidR="000F0F4C" w:rsidRPr="00534FB2" w:rsidRDefault="000F0F4C" w:rsidP="00134CBE">
            <w:pPr>
              <w:rPr>
                <w:sz w:val="22"/>
                <w:szCs w:val="22"/>
                <w:lang w:val="sk-SK"/>
              </w:rPr>
            </w:pPr>
          </w:p>
        </w:tc>
        <w:tc>
          <w:tcPr>
            <w:tcW w:w="708" w:type="pct"/>
            <w:vAlign w:val="center"/>
          </w:tcPr>
          <w:p w14:paraId="625D8BD8"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39CAC0AD" w14:textId="77777777" w:rsidR="000F0F4C" w:rsidRPr="00534FB2" w:rsidRDefault="000F0F4C" w:rsidP="00134CBE">
            <w:pPr>
              <w:rPr>
                <w:sz w:val="22"/>
                <w:szCs w:val="22"/>
                <w:lang w:val="sk-SK"/>
              </w:rPr>
            </w:pPr>
            <w:r w:rsidRPr="00534FB2">
              <w:rPr>
                <w:sz w:val="22"/>
                <w:szCs w:val="22"/>
                <w:lang w:val="sk-SK"/>
              </w:rPr>
              <w:t>-</w:t>
            </w:r>
          </w:p>
        </w:tc>
      </w:tr>
      <w:tr w:rsidR="000F0F4C" w:rsidRPr="00534FB2" w14:paraId="0205E9D7" w14:textId="77777777" w:rsidTr="000F0F4C">
        <w:trPr>
          <w:jc w:val="center"/>
        </w:trPr>
        <w:tc>
          <w:tcPr>
            <w:tcW w:w="829" w:type="pct"/>
            <w:vMerge/>
          </w:tcPr>
          <w:p w14:paraId="06A6813D" w14:textId="77777777" w:rsidR="000F0F4C" w:rsidRPr="00534FB2" w:rsidRDefault="000F0F4C" w:rsidP="00134CBE">
            <w:pPr>
              <w:rPr>
                <w:sz w:val="22"/>
                <w:szCs w:val="22"/>
                <w:lang w:val="sk-SK"/>
              </w:rPr>
            </w:pPr>
          </w:p>
        </w:tc>
        <w:tc>
          <w:tcPr>
            <w:tcW w:w="1134" w:type="pct"/>
            <w:vAlign w:val="center"/>
          </w:tcPr>
          <w:p w14:paraId="3CB8B17D" w14:textId="6A88A6AE" w:rsidR="000F0F4C" w:rsidRPr="00534FB2" w:rsidRDefault="008568DA" w:rsidP="00134CBE">
            <w:pPr>
              <w:rPr>
                <w:sz w:val="22"/>
                <w:szCs w:val="22"/>
                <w:lang w:val="sk-SK"/>
              </w:rPr>
            </w:pPr>
            <w:r w:rsidRPr="00534FB2">
              <w:rPr>
                <w:sz w:val="22"/>
                <w:szCs w:val="22"/>
                <w:lang w:val="sk-SK"/>
              </w:rPr>
              <w:t>Závrat</w:t>
            </w:r>
          </w:p>
        </w:tc>
        <w:tc>
          <w:tcPr>
            <w:tcW w:w="786" w:type="pct"/>
            <w:vAlign w:val="center"/>
          </w:tcPr>
          <w:p w14:paraId="147DE852" w14:textId="20414748" w:rsidR="000F0F4C" w:rsidRPr="00534FB2" w:rsidRDefault="008568DA" w:rsidP="00134CBE">
            <w:pPr>
              <w:rPr>
                <w:sz w:val="22"/>
                <w:szCs w:val="22"/>
                <w:lang w:val="sk-SK"/>
              </w:rPr>
            </w:pPr>
            <w:r w:rsidRPr="00534FB2">
              <w:rPr>
                <w:sz w:val="22"/>
                <w:szCs w:val="22"/>
                <w:lang w:val="sk-SK"/>
              </w:rPr>
              <w:t>Časté</w:t>
            </w:r>
          </w:p>
        </w:tc>
        <w:tc>
          <w:tcPr>
            <w:tcW w:w="786" w:type="pct"/>
            <w:vAlign w:val="center"/>
          </w:tcPr>
          <w:p w14:paraId="3D465872" w14:textId="59C18C6F" w:rsidR="000F0F4C" w:rsidRPr="00534FB2" w:rsidRDefault="008568DA" w:rsidP="00134CBE">
            <w:pPr>
              <w:rPr>
                <w:sz w:val="22"/>
                <w:szCs w:val="22"/>
                <w:lang w:val="sk-SK"/>
              </w:rPr>
            </w:pPr>
            <w:r w:rsidRPr="00534FB2">
              <w:rPr>
                <w:sz w:val="22"/>
                <w:szCs w:val="22"/>
                <w:lang w:val="sk-SK"/>
              </w:rPr>
              <w:t>Časté</w:t>
            </w:r>
          </w:p>
        </w:tc>
        <w:tc>
          <w:tcPr>
            <w:tcW w:w="708" w:type="pct"/>
            <w:vAlign w:val="center"/>
          </w:tcPr>
          <w:p w14:paraId="4EBBF244"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1B4A0747" w14:textId="0C435703" w:rsidR="000F0F4C" w:rsidRPr="00534FB2" w:rsidRDefault="008568DA" w:rsidP="00134CBE">
            <w:pPr>
              <w:rPr>
                <w:sz w:val="22"/>
                <w:szCs w:val="22"/>
                <w:lang w:val="sk-SK"/>
              </w:rPr>
            </w:pPr>
            <w:r w:rsidRPr="00534FB2">
              <w:rPr>
                <w:sz w:val="22"/>
                <w:szCs w:val="22"/>
                <w:lang w:val="sk-SK"/>
              </w:rPr>
              <w:t>Zriedkavé</w:t>
            </w:r>
          </w:p>
        </w:tc>
      </w:tr>
      <w:tr w:rsidR="000F0F4C" w:rsidRPr="00534FB2" w14:paraId="1689C3BC" w14:textId="77777777" w:rsidTr="000F0F4C">
        <w:trPr>
          <w:jc w:val="center"/>
        </w:trPr>
        <w:tc>
          <w:tcPr>
            <w:tcW w:w="829" w:type="pct"/>
            <w:vMerge/>
          </w:tcPr>
          <w:p w14:paraId="37E895AD" w14:textId="77777777" w:rsidR="000F0F4C" w:rsidRPr="00534FB2" w:rsidRDefault="000F0F4C" w:rsidP="00134CBE">
            <w:pPr>
              <w:rPr>
                <w:sz w:val="22"/>
                <w:szCs w:val="22"/>
                <w:lang w:val="sk-SK"/>
              </w:rPr>
            </w:pPr>
          </w:p>
        </w:tc>
        <w:tc>
          <w:tcPr>
            <w:tcW w:w="1134" w:type="pct"/>
            <w:vAlign w:val="center"/>
          </w:tcPr>
          <w:p w14:paraId="201D3C4A" w14:textId="2513270A" w:rsidR="008568DA" w:rsidRPr="00534FB2" w:rsidRDefault="008568DA" w:rsidP="008568DA">
            <w:pPr>
              <w:rPr>
                <w:sz w:val="22"/>
                <w:szCs w:val="22"/>
                <w:lang w:val="sk-SK"/>
              </w:rPr>
            </w:pPr>
            <w:r w:rsidRPr="00534FB2">
              <w:rPr>
                <w:sz w:val="22"/>
                <w:szCs w:val="22"/>
                <w:lang w:val="sk-SK"/>
              </w:rPr>
              <w:t>Posturáln</w:t>
            </w:r>
            <w:r w:rsidR="003C0480">
              <w:rPr>
                <w:sz w:val="22"/>
                <w:szCs w:val="22"/>
                <w:lang w:val="sk-SK"/>
              </w:rPr>
              <w:t>y</w:t>
            </w:r>
            <w:r w:rsidRPr="00534FB2">
              <w:rPr>
                <w:sz w:val="22"/>
                <w:szCs w:val="22"/>
                <w:lang w:val="sk-SK"/>
              </w:rPr>
              <w:t xml:space="preserve"> závrat,</w:t>
            </w:r>
          </w:p>
          <w:p w14:paraId="70C2ED02" w14:textId="6ACD6393" w:rsidR="000F0F4C" w:rsidRPr="00534FB2" w:rsidRDefault="008568DA" w:rsidP="008568DA">
            <w:pPr>
              <w:rPr>
                <w:sz w:val="22"/>
                <w:szCs w:val="22"/>
                <w:lang w:val="sk-SK"/>
              </w:rPr>
            </w:pPr>
            <w:r w:rsidRPr="00534FB2">
              <w:rPr>
                <w:sz w:val="22"/>
                <w:szCs w:val="22"/>
                <w:lang w:val="sk-SK"/>
              </w:rPr>
              <w:t>závrat pri námahe</w:t>
            </w:r>
          </w:p>
        </w:tc>
        <w:tc>
          <w:tcPr>
            <w:tcW w:w="786" w:type="pct"/>
            <w:vAlign w:val="center"/>
          </w:tcPr>
          <w:p w14:paraId="010B4A6F" w14:textId="7696DD44" w:rsidR="000F0F4C" w:rsidRPr="00534FB2" w:rsidRDefault="008568DA" w:rsidP="00134CBE">
            <w:pPr>
              <w:rPr>
                <w:sz w:val="22"/>
                <w:szCs w:val="22"/>
                <w:lang w:val="sk-SK"/>
              </w:rPr>
            </w:pPr>
            <w:r w:rsidRPr="00534FB2">
              <w:rPr>
                <w:rFonts w:eastAsiaTheme="minorHAnsi"/>
                <w:sz w:val="22"/>
                <w:szCs w:val="22"/>
                <w:lang w:val="sk-SK" w:eastAsia="en-US"/>
              </w:rPr>
              <w:t>Menej časté</w:t>
            </w:r>
          </w:p>
        </w:tc>
        <w:tc>
          <w:tcPr>
            <w:tcW w:w="786" w:type="pct"/>
            <w:vAlign w:val="center"/>
          </w:tcPr>
          <w:p w14:paraId="29333C99" w14:textId="77777777" w:rsidR="000F0F4C" w:rsidRPr="00534FB2" w:rsidRDefault="000F0F4C" w:rsidP="00134CBE">
            <w:pPr>
              <w:rPr>
                <w:sz w:val="22"/>
                <w:szCs w:val="22"/>
                <w:lang w:val="sk-SK"/>
              </w:rPr>
            </w:pPr>
            <w:r w:rsidRPr="00534FB2">
              <w:rPr>
                <w:sz w:val="22"/>
                <w:szCs w:val="22"/>
                <w:lang w:val="sk-SK"/>
              </w:rPr>
              <w:t>-</w:t>
            </w:r>
          </w:p>
        </w:tc>
        <w:tc>
          <w:tcPr>
            <w:tcW w:w="708" w:type="pct"/>
            <w:vAlign w:val="center"/>
          </w:tcPr>
          <w:p w14:paraId="2DA87CDF"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33CB3A56" w14:textId="77777777" w:rsidR="000F0F4C" w:rsidRPr="00534FB2" w:rsidRDefault="000F0F4C" w:rsidP="00134CBE">
            <w:pPr>
              <w:rPr>
                <w:sz w:val="22"/>
                <w:szCs w:val="22"/>
                <w:lang w:val="sk-SK"/>
              </w:rPr>
            </w:pPr>
            <w:r w:rsidRPr="00534FB2">
              <w:rPr>
                <w:sz w:val="22"/>
                <w:szCs w:val="22"/>
                <w:lang w:val="sk-SK"/>
              </w:rPr>
              <w:t>-</w:t>
            </w:r>
          </w:p>
        </w:tc>
      </w:tr>
      <w:tr w:rsidR="000F0F4C" w:rsidRPr="00534FB2" w14:paraId="792CC3D0" w14:textId="77777777" w:rsidTr="000F0F4C">
        <w:trPr>
          <w:jc w:val="center"/>
        </w:trPr>
        <w:tc>
          <w:tcPr>
            <w:tcW w:w="829" w:type="pct"/>
            <w:vMerge/>
          </w:tcPr>
          <w:p w14:paraId="3E26ADE5" w14:textId="77777777" w:rsidR="000F0F4C" w:rsidRPr="00534FB2" w:rsidRDefault="000F0F4C" w:rsidP="00134CBE">
            <w:pPr>
              <w:rPr>
                <w:sz w:val="22"/>
                <w:szCs w:val="22"/>
                <w:lang w:val="sk-SK"/>
              </w:rPr>
            </w:pPr>
          </w:p>
        </w:tc>
        <w:tc>
          <w:tcPr>
            <w:tcW w:w="1134" w:type="pct"/>
            <w:vAlign w:val="center"/>
          </w:tcPr>
          <w:p w14:paraId="6CE9FAED" w14:textId="7AC092AD" w:rsidR="000F0F4C" w:rsidRPr="00534FB2" w:rsidRDefault="008568DA" w:rsidP="00134CBE">
            <w:pPr>
              <w:rPr>
                <w:sz w:val="22"/>
                <w:szCs w:val="22"/>
                <w:lang w:val="sk-SK"/>
              </w:rPr>
            </w:pPr>
            <w:r w:rsidRPr="00534FB2">
              <w:rPr>
                <w:sz w:val="22"/>
                <w:szCs w:val="22"/>
                <w:lang w:val="sk-SK"/>
              </w:rPr>
              <w:t>Dysgeúzia</w:t>
            </w:r>
          </w:p>
        </w:tc>
        <w:tc>
          <w:tcPr>
            <w:tcW w:w="786" w:type="pct"/>
            <w:vAlign w:val="center"/>
          </w:tcPr>
          <w:p w14:paraId="674C3840" w14:textId="21FADFF2" w:rsidR="000F0F4C" w:rsidRPr="00534FB2" w:rsidRDefault="008568DA" w:rsidP="00134CBE">
            <w:pPr>
              <w:rPr>
                <w:sz w:val="22"/>
                <w:szCs w:val="22"/>
                <w:lang w:val="sk-SK"/>
              </w:rPr>
            </w:pPr>
            <w:r w:rsidRPr="00534FB2">
              <w:rPr>
                <w:sz w:val="22"/>
                <w:szCs w:val="22"/>
                <w:lang w:val="sk-SK"/>
              </w:rPr>
              <w:t>Menej časté</w:t>
            </w:r>
          </w:p>
        </w:tc>
        <w:tc>
          <w:tcPr>
            <w:tcW w:w="786" w:type="pct"/>
            <w:vAlign w:val="center"/>
          </w:tcPr>
          <w:p w14:paraId="7216EDA7" w14:textId="7739AE81" w:rsidR="000F0F4C" w:rsidRPr="00534FB2" w:rsidRDefault="008568DA" w:rsidP="00134CBE">
            <w:pPr>
              <w:rPr>
                <w:sz w:val="22"/>
                <w:szCs w:val="22"/>
                <w:lang w:val="sk-SK"/>
              </w:rPr>
            </w:pPr>
            <w:r w:rsidRPr="00534FB2">
              <w:rPr>
                <w:sz w:val="22"/>
                <w:szCs w:val="22"/>
                <w:lang w:val="sk-SK"/>
              </w:rPr>
              <w:t>Menej časté</w:t>
            </w:r>
          </w:p>
        </w:tc>
        <w:tc>
          <w:tcPr>
            <w:tcW w:w="708" w:type="pct"/>
            <w:vAlign w:val="center"/>
          </w:tcPr>
          <w:p w14:paraId="74A809EA"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6D9145B9" w14:textId="77777777" w:rsidR="000F0F4C" w:rsidRPr="00534FB2" w:rsidRDefault="000F0F4C" w:rsidP="00134CBE">
            <w:pPr>
              <w:rPr>
                <w:sz w:val="22"/>
                <w:szCs w:val="22"/>
                <w:lang w:val="sk-SK"/>
              </w:rPr>
            </w:pPr>
            <w:r w:rsidRPr="00534FB2">
              <w:rPr>
                <w:sz w:val="22"/>
                <w:szCs w:val="22"/>
                <w:lang w:val="sk-SK"/>
              </w:rPr>
              <w:t>-</w:t>
            </w:r>
          </w:p>
        </w:tc>
      </w:tr>
      <w:tr w:rsidR="000F0F4C" w:rsidRPr="00534FB2" w14:paraId="18AAC0DA" w14:textId="77777777" w:rsidTr="000F0F4C">
        <w:trPr>
          <w:jc w:val="center"/>
        </w:trPr>
        <w:tc>
          <w:tcPr>
            <w:tcW w:w="829" w:type="pct"/>
            <w:vMerge/>
          </w:tcPr>
          <w:p w14:paraId="4560FB46" w14:textId="77777777" w:rsidR="000F0F4C" w:rsidRPr="00534FB2" w:rsidRDefault="000F0F4C" w:rsidP="00134CBE">
            <w:pPr>
              <w:rPr>
                <w:sz w:val="22"/>
                <w:szCs w:val="22"/>
                <w:lang w:val="sk-SK"/>
              </w:rPr>
            </w:pPr>
          </w:p>
        </w:tc>
        <w:tc>
          <w:tcPr>
            <w:tcW w:w="1134" w:type="pct"/>
            <w:vAlign w:val="center"/>
          </w:tcPr>
          <w:p w14:paraId="65AB4FD9" w14:textId="77777777" w:rsidR="008568DA" w:rsidRPr="00534FB2" w:rsidRDefault="008568DA" w:rsidP="008568DA">
            <w:pPr>
              <w:rPr>
                <w:sz w:val="22"/>
                <w:szCs w:val="22"/>
                <w:lang w:val="sk-SK"/>
              </w:rPr>
            </w:pPr>
            <w:r w:rsidRPr="00534FB2">
              <w:rPr>
                <w:sz w:val="22"/>
                <w:szCs w:val="22"/>
                <w:lang w:val="sk-SK"/>
              </w:rPr>
              <w:t>Extrapyramídový</w:t>
            </w:r>
          </w:p>
          <w:p w14:paraId="349477E2" w14:textId="78231736" w:rsidR="000F0F4C" w:rsidRPr="00534FB2" w:rsidRDefault="008568DA" w:rsidP="008568DA">
            <w:pPr>
              <w:rPr>
                <w:sz w:val="22"/>
                <w:szCs w:val="22"/>
                <w:lang w:val="sk-SK"/>
              </w:rPr>
            </w:pPr>
            <w:r w:rsidRPr="00534FB2">
              <w:rPr>
                <w:sz w:val="22"/>
                <w:szCs w:val="22"/>
                <w:lang w:val="sk-SK"/>
              </w:rPr>
              <w:t>syndróm</w:t>
            </w:r>
          </w:p>
        </w:tc>
        <w:tc>
          <w:tcPr>
            <w:tcW w:w="786" w:type="pct"/>
            <w:vAlign w:val="center"/>
          </w:tcPr>
          <w:p w14:paraId="3EC7EF92" w14:textId="77777777" w:rsidR="000F0F4C" w:rsidRPr="00534FB2" w:rsidRDefault="000F0F4C" w:rsidP="00134CBE">
            <w:pPr>
              <w:rPr>
                <w:sz w:val="22"/>
                <w:szCs w:val="22"/>
                <w:lang w:val="sk-SK"/>
              </w:rPr>
            </w:pPr>
            <w:r w:rsidRPr="00534FB2">
              <w:rPr>
                <w:sz w:val="22"/>
                <w:szCs w:val="22"/>
                <w:lang w:val="sk-SK"/>
              </w:rPr>
              <w:t>-</w:t>
            </w:r>
          </w:p>
        </w:tc>
        <w:tc>
          <w:tcPr>
            <w:tcW w:w="786" w:type="pct"/>
            <w:vAlign w:val="center"/>
          </w:tcPr>
          <w:p w14:paraId="173E7F0C" w14:textId="45F75E4F" w:rsidR="000F0F4C" w:rsidRPr="00534FB2" w:rsidRDefault="008568DA" w:rsidP="00134CBE">
            <w:pPr>
              <w:rPr>
                <w:sz w:val="22"/>
                <w:szCs w:val="22"/>
                <w:lang w:val="sk-SK"/>
              </w:rPr>
            </w:pPr>
            <w:r w:rsidRPr="00534FB2">
              <w:rPr>
                <w:sz w:val="22"/>
                <w:szCs w:val="22"/>
                <w:lang w:val="sk-SK"/>
              </w:rPr>
              <w:t>Neznáme</w:t>
            </w:r>
          </w:p>
        </w:tc>
        <w:tc>
          <w:tcPr>
            <w:tcW w:w="708" w:type="pct"/>
            <w:vAlign w:val="center"/>
          </w:tcPr>
          <w:p w14:paraId="539C9C04"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3A1A292F" w14:textId="77777777" w:rsidR="000F0F4C" w:rsidRPr="00534FB2" w:rsidRDefault="000F0F4C" w:rsidP="00134CBE">
            <w:pPr>
              <w:rPr>
                <w:sz w:val="22"/>
                <w:szCs w:val="22"/>
                <w:lang w:val="sk-SK"/>
              </w:rPr>
            </w:pPr>
            <w:r w:rsidRPr="00534FB2">
              <w:rPr>
                <w:sz w:val="22"/>
                <w:szCs w:val="22"/>
                <w:lang w:val="sk-SK"/>
              </w:rPr>
              <w:t>-</w:t>
            </w:r>
          </w:p>
        </w:tc>
      </w:tr>
      <w:tr w:rsidR="000F0F4C" w:rsidRPr="00534FB2" w14:paraId="08DC17C8" w14:textId="77777777" w:rsidTr="000F0F4C">
        <w:trPr>
          <w:jc w:val="center"/>
        </w:trPr>
        <w:tc>
          <w:tcPr>
            <w:tcW w:w="829" w:type="pct"/>
            <w:vMerge/>
          </w:tcPr>
          <w:p w14:paraId="69B51753" w14:textId="77777777" w:rsidR="000F0F4C" w:rsidRPr="00534FB2" w:rsidRDefault="000F0F4C" w:rsidP="00134CBE">
            <w:pPr>
              <w:rPr>
                <w:sz w:val="22"/>
                <w:szCs w:val="22"/>
                <w:lang w:val="sk-SK"/>
              </w:rPr>
            </w:pPr>
          </w:p>
        </w:tc>
        <w:tc>
          <w:tcPr>
            <w:tcW w:w="1134" w:type="pct"/>
            <w:vAlign w:val="center"/>
          </w:tcPr>
          <w:p w14:paraId="634CCAD4" w14:textId="297E230A" w:rsidR="000F0F4C" w:rsidRPr="00534FB2" w:rsidRDefault="008568DA" w:rsidP="00134CBE">
            <w:pPr>
              <w:rPr>
                <w:sz w:val="22"/>
                <w:szCs w:val="22"/>
                <w:lang w:val="sk-SK"/>
              </w:rPr>
            </w:pPr>
            <w:r w:rsidRPr="00534FB2">
              <w:rPr>
                <w:sz w:val="22"/>
                <w:szCs w:val="22"/>
                <w:lang w:val="sk-SK"/>
              </w:rPr>
              <w:t>Bolesť hlavy</w:t>
            </w:r>
          </w:p>
        </w:tc>
        <w:tc>
          <w:tcPr>
            <w:tcW w:w="786" w:type="pct"/>
            <w:vAlign w:val="center"/>
          </w:tcPr>
          <w:p w14:paraId="140E14A4" w14:textId="1FFF674E" w:rsidR="000F0F4C" w:rsidRPr="00534FB2" w:rsidRDefault="008568DA" w:rsidP="00134CBE">
            <w:pPr>
              <w:rPr>
                <w:sz w:val="22"/>
                <w:szCs w:val="22"/>
                <w:lang w:val="sk-SK"/>
              </w:rPr>
            </w:pPr>
            <w:r w:rsidRPr="00534FB2">
              <w:rPr>
                <w:sz w:val="22"/>
                <w:szCs w:val="22"/>
                <w:lang w:val="sk-SK"/>
              </w:rPr>
              <w:t>Časté</w:t>
            </w:r>
          </w:p>
        </w:tc>
        <w:tc>
          <w:tcPr>
            <w:tcW w:w="786" w:type="pct"/>
            <w:vAlign w:val="center"/>
          </w:tcPr>
          <w:p w14:paraId="7B3A8116" w14:textId="3D36B15A" w:rsidR="000F0F4C" w:rsidRPr="00534FB2" w:rsidRDefault="008568DA" w:rsidP="00134CBE">
            <w:pPr>
              <w:rPr>
                <w:sz w:val="22"/>
                <w:szCs w:val="22"/>
                <w:lang w:val="sk-SK"/>
              </w:rPr>
            </w:pPr>
            <w:r w:rsidRPr="00534FB2">
              <w:rPr>
                <w:sz w:val="22"/>
                <w:szCs w:val="22"/>
                <w:lang w:val="sk-SK"/>
              </w:rPr>
              <w:t>Časté</w:t>
            </w:r>
          </w:p>
        </w:tc>
        <w:tc>
          <w:tcPr>
            <w:tcW w:w="708" w:type="pct"/>
            <w:vAlign w:val="center"/>
          </w:tcPr>
          <w:p w14:paraId="0E771AF6"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0A520D7D" w14:textId="6943E8E3" w:rsidR="000F0F4C" w:rsidRPr="00534FB2" w:rsidRDefault="008568DA" w:rsidP="00134CBE">
            <w:pPr>
              <w:rPr>
                <w:sz w:val="22"/>
                <w:szCs w:val="22"/>
                <w:lang w:val="sk-SK"/>
              </w:rPr>
            </w:pPr>
            <w:r w:rsidRPr="00534FB2">
              <w:rPr>
                <w:sz w:val="22"/>
                <w:szCs w:val="22"/>
                <w:lang w:val="sk-SK"/>
              </w:rPr>
              <w:t>Zriedkavé</w:t>
            </w:r>
          </w:p>
        </w:tc>
      </w:tr>
      <w:tr w:rsidR="000F0F4C" w:rsidRPr="00534FB2" w14:paraId="53E5F44C" w14:textId="77777777" w:rsidTr="000F0F4C">
        <w:trPr>
          <w:jc w:val="center"/>
        </w:trPr>
        <w:tc>
          <w:tcPr>
            <w:tcW w:w="829" w:type="pct"/>
            <w:vMerge/>
          </w:tcPr>
          <w:p w14:paraId="7E88FCF0" w14:textId="77777777" w:rsidR="000F0F4C" w:rsidRPr="00534FB2" w:rsidRDefault="000F0F4C" w:rsidP="00134CBE">
            <w:pPr>
              <w:rPr>
                <w:sz w:val="22"/>
                <w:szCs w:val="22"/>
                <w:lang w:val="sk-SK"/>
              </w:rPr>
            </w:pPr>
          </w:p>
        </w:tc>
        <w:tc>
          <w:tcPr>
            <w:tcW w:w="1134" w:type="pct"/>
            <w:vAlign w:val="center"/>
          </w:tcPr>
          <w:p w14:paraId="685C869C" w14:textId="174BE323" w:rsidR="000F0F4C" w:rsidRPr="00534FB2" w:rsidRDefault="008568DA" w:rsidP="00134CBE">
            <w:pPr>
              <w:rPr>
                <w:sz w:val="22"/>
                <w:szCs w:val="22"/>
                <w:lang w:val="sk-SK"/>
              </w:rPr>
            </w:pPr>
            <w:r w:rsidRPr="00534FB2">
              <w:rPr>
                <w:sz w:val="22"/>
                <w:szCs w:val="22"/>
                <w:lang w:val="sk-SK"/>
              </w:rPr>
              <w:t>Hypertónia</w:t>
            </w:r>
          </w:p>
        </w:tc>
        <w:tc>
          <w:tcPr>
            <w:tcW w:w="786" w:type="pct"/>
            <w:vAlign w:val="center"/>
          </w:tcPr>
          <w:p w14:paraId="40A4FF97" w14:textId="77777777" w:rsidR="000F0F4C" w:rsidRPr="00534FB2" w:rsidRDefault="000F0F4C" w:rsidP="00134CBE">
            <w:pPr>
              <w:rPr>
                <w:sz w:val="22"/>
                <w:szCs w:val="22"/>
                <w:lang w:val="sk-SK"/>
              </w:rPr>
            </w:pPr>
            <w:r w:rsidRPr="00534FB2">
              <w:rPr>
                <w:sz w:val="22"/>
                <w:szCs w:val="22"/>
                <w:lang w:val="sk-SK"/>
              </w:rPr>
              <w:t>-</w:t>
            </w:r>
          </w:p>
        </w:tc>
        <w:tc>
          <w:tcPr>
            <w:tcW w:w="786" w:type="pct"/>
            <w:vAlign w:val="center"/>
          </w:tcPr>
          <w:p w14:paraId="074733C4" w14:textId="77777777" w:rsidR="008568DA" w:rsidRPr="00534FB2" w:rsidRDefault="008568DA" w:rsidP="008568DA">
            <w:pPr>
              <w:rPr>
                <w:sz w:val="22"/>
                <w:szCs w:val="22"/>
                <w:lang w:val="sk-SK"/>
              </w:rPr>
            </w:pPr>
            <w:r w:rsidRPr="00534FB2">
              <w:rPr>
                <w:sz w:val="22"/>
                <w:szCs w:val="22"/>
                <w:lang w:val="sk-SK"/>
              </w:rPr>
              <w:t>Veľmi</w:t>
            </w:r>
          </w:p>
          <w:p w14:paraId="14EE136F" w14:textId="5199A91D" w:rsidR="000F0F4C" w:rsidRPr="00534FB2" w:rsidRDefault="008568DA" w:rsidP="008568DA">
            <w:pPr>
              <w:rPr>
                <w:sz w:val="22"/>
                <w:szCs w:val="22"/>
                <w:lang w:val="sk-SK"/>
              </w:rPr>
            </w:pPr>
            <w:r w:rsidRPr="00534FB2">
              <w:rPr>
                <w:sz w:val="22"/>
                <w:szCs w:val="22"/>
                <w:lang w:val="sk-SK"/>
              </w:rPr>
              <w:t>zriedkavé</w:t>
            </w:r>
          </w:p>
        </w:tc>
        <w:tc>
          <w:tcPr>
            <w:tcW w:w="708" w:type="pct"/>
            <w:vAlign w:val="center"/>
          </w:tcPr>
          <w:p w14:paraId="0C6C390F"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2ED59C9D" w14:textId="77777777" w:rsidR="000F0F4C" w:rsidRPr="00534FB2" w:rsidRDefault="000F0F4C" w:rsidP="00134CBE">
            <w:pPr>
              <w:rPr>
                <w:sz w:val="22"/>
                <w:szCs w:val="22"/>
                <w:lang w:val="sk-SK"/>
              </w:rPr>
            </w:pPr>
            <w:r w:rsidRPr="00534FB2">
              <w:rPr>
                <w:sz w:val="22"/>
                <w:szCs w:val="22"/>
                <w:lang w:val="sk-SK"/>
              </w:rPr>
              <w:t>-</w:t>
            </w:r>
          </w:p>
        </w:tc>
      </w:tr>
      <w:tr w:rsidR="000F0F4C" w:rsidRPr="00534FB2" w14:paraId="5DB2CD00" w14:textId="77777777" w:rsidTr="000F0F4C">
        <w:trPr>
          <w:jc w:val="center"/>
        </w:trPr>
        <w:tc>
          <w:tcPr>
            <w:tcW w:w="829" w:type="pct"/>
            <w:vMerge/>
          </w:tcPr>
          <w:p w14:paraId="37D9E977" w14:textId="77777777" w:rsidR="000F0F4C" w:rsidRPr="00534FB2" w:rsidRDefault="000F0F4C" w:rsidP="00134CBE">
            <w:pPr>
              <w:rPr>
                <w:sz w:val="22"/>
                <w:szCs w:val="22"/>
                <w:lang w:val="sk-SK"/>
              </w:rPr>
            </w:pPr>
          </w:p>
        </w:tc>
        <w:tc>
          <w:tcPr>
            <w:tcW w:w="1134" w:type="pct"/>
            <w:vAlign w:val="center"/>
          </w:tcPr>
          <w:p w14:paraId="3DDE5C9D" w14:textId="48BA101C" w:rsidR="000F0F4C" w:rsidRPr="00534FB2" w:rsidRDefault="000F0F4C" w:rsidP="008568DA">
            <w:pPr>
              <w:rPr>
                <w:sz w:val="22"/>
                <w:szCs w:val="22"/>
                <w:lang w:val="sk-SK"/>
              </w:rPr>
            </w:pPr>
            <w:r w:rsidRPr="00534FB2">
              <w:rPr>
                <w:sz w:val="22"/>
                <w:szCs w:val="22"/>
                <w:lang w:val="sk-SK"/>
              </w:rPr>
              <w:t>Let</w:t>
            </w:r>
            <w:r w:rsidR="008568DA" w:rsidRPr="00534FB2">
              <w:rPr>
                <w:sz w:val="22"/>
                <w:szCs w:val="22"/>
                <w:lang w:val="sk-SK"/>
              </w:rPr>
              <w:t>argia</w:t>
            </w:r>
          </w:p>
        </w:tc>
        <w:tc>
          <w:tcPr>
            <w:tcW w:w="786" w:type="pct"/>
            <w:vAlign w:val="center"/>
          </w:tcPr>
          <w:p w14:paraId="1693B978" w14:textId="42DA1E1F" w:rsidR="000F0F4C" w:rsidRPr="00534FB2" w:rsidRDefault="008568DA" w:rsidP="00134CBE">
            <w:pPr>
              <w:rPr>
                <w:sz w:val="22"/>
                <w:szCs w:val="22"/>
                <w:lang w:val="sk-SK"/>
              </w:rPr>
            </w:pPr>
            <w:r w:rsidRPr="00534FB2">
              <w:rPr>
                <w:sz w:val="22"/>
                <w:szCs w:val="22"/>
                <w:lang w:val="sk-SK"/>
              </w:rPr>
              <w:t>Menej časté</w:t>
            </w:r>
          </w:p>
        </w:tc>
        <w:tc>
          <w:tcPr>
            <w:tcW w:w="786" w:type="pct"/>
            <w:vAlign w:val="center"/>
          </w:tcPr>
          <w:p w14:paraId="3C3F008B" w14:textId="77777777" w:rsidR="000F0F4C" w:rsidRPr="00534FB2" w:rsidRDefault="000F0F4C" w:rsidP="00134CBE">
            <w:pPr>
              <w:rPr>
                <w:sz w:val="22"/>
                <w:szCs w:val="22"/>
                <w:lang w:val="sk-SK"/>
              </w:rPr>
            </w:pPr>
          </w:p>
        </w:tc>
        <w:tc>
          <w:tcPr>
            <w:tcW w:w="708" w:type="pct"/>
            <w:vAlign w:val="center"/>
          </w:tcPr>
          <w:p w14:paraId="5804A711"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458A1775" w14:textId="77777777" w:rsidR="000F0F4C" w:rsidRPr="00534FB2" w:rsidRDefault="000F0F4C" w:rsidP="00134CBE">
            <w:pPr>
              <w:rPr>
                <w:sz w:val="22"/>
                <w:szCs w:val="22"/>
                <w:lang w:val="sk-SK"/>
              </w:rPr>
            </w:pPr>
            <w:r w:rsidRPr="00534FB2">
              <w:rPr>
                <w:sz w:val="22"/>
                <w:szCs w:val="22"/>
                <w:lang w:val="sk-SK"/>
              </w:rPr>
              <w:t>-</w:t>
            </w:r>
          </w:p>
        </w:tc>
      </w:tr>
      <w:tr w:rsidR="000F0F4C" w:rsidRPr="00534FB2" w14:paraId="3DD40A8E" w14:textId="77777777" w:rsidTr="000F0F4C">
        <w:trPr>
          <w:jc w:val="center"/>
        </w:trPr>
        <w:tc>
          <w:tcPr>
            <w:tcW w:w="829" w:type="pct"/>
            <w:vMerge/>
          </w:tcPr>
          <w:p w14:paraId="2F6F6F9D" w14:textId="77777777" w:rsidR="000F0F4C" w:rsidRPr="00534FB2" w:rsidRDefault="000F0F4C" w:rsidP="00134CBE">
            <w:pPr>
              <w:rPr>
                <w:sz w:val="22"/>
                <w:szCs w:val="22"/>
                <w:lang w:val="sk-SK"/>
              </w:rPr>
            </w:pPr>
          </w:p>
        </w:tc>
        <w:tc>
          <w:tcPr>
            <w:tcW w:w="1134" w:type="pct"/>
            <w:vAlign w:val="center"/>
          </w:tcPr>
          <w:p w14:paraId="6119A21D" w14:textId="006BC6EE" w:rsidR="000F0F4C" w:rsidRPr="00534FB2" w:rsidRDefault="000F0F4C" w:rsidP="008568DA">
            <w:pPr>
              <w:rPr>
                <w:sz w:val="22"/>
                <w:szCs w:val="22"/>
                <w:lang w:val="sk-SK"/>
              </w:rPr>
            </w:pPr>
            <w:r w:rsidRPr="00534FB2">
              <w:rPr>
                <w:sz w:val="22"/>
                <w:szCs w:val="22"/>
                <w:lang w:val="sk-SK"/>
              </w:rPr>
              <w:t>Par</w:t>
            </w:r>
            <w:r w:rsidR="008568DA" w:rsidRPr="00534FB2">
              <w:rPr>
                <w:sz w:val="22"/>
                <w:szCs w:val="22"/>
                <w:lang w:val="sk-SK"/>
              </w:rPr>
              <w:t>estézia</w:t>
            </w:r>
          </w:p>
        </w:tc>
        <w:tc>
          <w:tcPr>
            <w:tcW w:w="786" w:type="pct"/>
            <w:vAlign w:val="center"/>
          </w:tcPr>
          <w:p w14:paraId="2F6D28B3" w14:textId="4446AE9F" w:rsidR="000F0F4C" w:rsidRPr="00534FB2" w:rsidRDefault="008568DA" w:rsidP="00134CBE">
            <w:pPr>
              <w:rPr>
                <w:sz w:val="22"/>
                <w:szCs w:val="22"/>
                <w:lang w:val="sk-SK"/>
              </w:rPr>
            </w:pPr>
            <w:r w:rsidRPr="00534FB2">
              <w:rPr>
                <w:sz w:val="22"/>
                <w:szCs w:val="22"/>
                <w:lang w:val="sk-SK"/>
              </w:rPr>
              <w:t>Menej časté</w:t>
            </w:r>
          </w:p>
        </w:tc>
        <w:tc>
          <w:tcPr>
            <w:tcW w:w="786" w:type="pct"/>
            <w:vAlign w:val="center"/>
          </w:tcPr>
          <w:p w14:paraId="09BF1FAA" w14:textId="3A325D8D" w:rsidR="000F0F4C" w:rsidRPr="00534FB2" w:rsidRDefault="008568DA" w:rsidP="00134CBE">
            <w:pPr>
              <w:rPr>
                <w:sz w:val="22"/>
                <w:szCs w:val="22"/>
                <w:lang w:val="sk-SK"/>
              </w:rPr>
            </w:pPr>
            <w:r w:rsidRPr="00534FB2">
              <w:rPr>
                <w:sz w:val="22"/>
                <w:szCs w:val="22"/>
                <w:lang w:val="sk-SK"/>
              </w:rPr>
              <w:t>Menej časté</w:t>
            </w:r>
          </w:p>
        </w:tc>
        <w:tc>
          <w:tcPr>
            <w:tcW w:w="708" w:type="pct"/>
            <w:vAlign w:val="center"/>
          </w:tcPr>
          <w:p w14:paraId="042E7EEC"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06C7E620" w14:textId="1153AF9D" w:rsidR="000F0F4C" w:rsidRPr="00534FB2" w:rsidRDefault="008568DA" w:rsidP="00134CBE">
            <w:pPr>
              <w:rPr>
                <w:sz w:val="22"/>
                <w:szCs w:val="22"/>
                <w:lang w:val="sk-SK"/>
              </w:rPr>
            </w:pPr>
            <w:r w:rsidRPr="00534FB2">
              <w:rPr>
                <w:sz w:val="22"/>
                <w:szCs w:val="22"/>
                <w:lang w:val="sk-SK"/>
              </w:rPr>
              <w:t>Zriedkavé</w:t>
            </w:r>
          </w:p>
        </w:tc>
      </w:tr>
      <w:tr w:rsidR="000F0F4C" w:rsidRPr="00534FB2" w14:paraId="1B4B4F28" w14:textId="77777777" w:rsidTr="000F0F4C">
        <w:trPr>
          <w:jc w:val="center"/>
        </w:trPr>
        <w:tc>
          <w:tcPr>
            <w:tcW w:w="829" w:type="pct"/>
            <w:vMerge/>
          </w:tcPr>
          <w:p w14:paraId="0AA5B485" w14:textId="77777777" w:rsidR="000F0F4C" w:rsidRPr="00534FB2" w:rsidRDefault="000F0F4C" w:rsidP="00134CBE">
            <w:pPr>
              <w:rPr>
                <w:sz w:val="22"/>
                <w:szCs w:val="22"/>
                <w:lang w:val="sk-SK"/>
              </w:rPr>
            </w:pPr>
          </w:p>
        </w:tc>
        <w:tc>
          <w:tcPr>
            <w:tcW w:w="1134" w:type="pct"/>
            <w:vAlign w:val="center"/>
          </w:tcPr>
          <w:p w14:paraId="6E918E54" w14:textId="77777777" w:rsidR="008568DA" w:rsidRPr="00534FB2" w:rsidRDefault="008568DA" w:rsidP="008568DA">
            <w:pPr>
              <w:rPr>
                <w:sz w:val="22"/>
                <w:szCs w:val="22"/>
                <w:lang w:val="sk-SK"/>
              </w:rPr>
            </w:pPr>
            <w:r w:rsidRPr="00534FB2">
              <w:rPr>
                <w:sz w:val="22"/>
                <w:szCs w:val="22"/>
                <w:lang w:val="sk-SK"/>
              </w:rPr>
              <w:t>Periférna neuropatia,</w:t>
            </w:r>
          </w:p>
          <w:p w14:paraId="120AF802" w14:textId="610E1A0F" w:rsidR="000F0F4C" w:rsidRPr="00534FB2" w:rsidRDefault="008568DA" w:rsidP="008568DA">
            <w:pPr>
              <w:rPr>
                <w:sz w:val="22"/>
                <w:szCs w:val="22"/>
                <w:lang w:val="sk-SK"/>
              </w:rPr>
            </w:pPr>
            <w:r w:rsidRPr="00534FB2">
              <w:rPr>
                <w:sz w:val="22"/>
                <w:szCs w:val="22"/>
                <w:lang w:val="sk-SK"/>
              </w:rPr>
              <w:t>neuropatia</w:t>
            </w:r>
          </w:p>
        </w:tc>
        <w:tc>
          <w:tcPr>
            <w:tcW w:w="786" w:type="pct"/>
            <w:vAlign w:val="center"/>
          </w:tcPr>
          <w:p w14:paraId="49D92637" w14:textId="37E4D85C" w:rsidR="000F0F4C" w:rsidRPr="00534FB2" w:rsidRDefault="008568DA" w:rsidP="00134CBE">
            <w:pPr>
              <w:rPr>
                <w:sz w:val="22"/>
                <w:szCs w:val="22"/>
                <w:lang w:val="sk-SK"/>
              </w:rPr>
            </w:pPr>
            <w:r w:rsidRPr="00534FB2">
              <w:rPr>
                <w:sz w:val="22"/>
                <w:szCs w:val="22"/>
                <w:lang w:val="sk-SK"/>
              </w:rPr>
              <w:t>Menej časté</w:t>
            </w:r>
          </w:p>
        </w:tc>
        <w:tc>
          <w:tcPr>
            <w:tcW w:w="786" w:type="pct"/>
            <w:vAlign w:val="center"/>
          </w:tcPr>
          <w:p w14:paraId="0F5D8199" w14:textId="77777777" w:rsidR="008568DA" w:rsidRPr="00534FB2" w:rsidRDefault="008568DA" w:rsidP="008568DA">
            <w:pPr>
              <w:rPr>
                <w:sz w:val="22"/>
                <w:szCs w:val="22"/>
                <w:lang w:val="sk-SK"/>
              </w:rPr>
            </w:pPr>
            <w:r w:rsidRPr="00534FB2">
              <w:rPr>
                <w:sz w:val="22"/>
                <w:szCs w:val="22"/>
                <w:lang w:val="sk-SK"/>
              </w:rPr>
              <w:t>Veľmi</w:t>
            </w:r>
          </w:p>
          <w:p w14:paraId="2A9BDC61" w14:textId="1141966A" w:rsidR="000F0F4C" w:rsidRPr="00534FB2" w:rsidRDefault="008568DA" w:rsidP="008568DA">
            <w:pPr>
              <w:rPr>
                <w:sz w:val="22"/>
                <w:szCs w:val="22"/>
                <w:lang w:val="sk-SK"/>
              </w:rPr>
            </w:pPr>
            <w:r w:rsidRPr="00534FB2">
              <w:rPr>
                <w:sz w:val="22"/>
                <w:szCs w:val="22"/>
                <w:lang w:val="sk-SK"/>
              </w:rPr>
              <w:t>zriedkavé</w:t>
            </w:r>
          </w:p>
        </w:tc>
        <w:tc>
          <w:tcPr>
            <w:tcW w:w="708" w:type="pct"/>
            <w:vAlign w:val="center"/>
          </w:tcPr>
          <w:p w14:paraId="38624B42"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2DEDEA89" w14:textId="77777777" w:rsidR="000F0F4C" w:rsidRPr="00534FB2" w:rsidRDefault="000F0F4C" w:rsidP="00134CBE">
            <w:pPr>
              <w:rPr>
                <w:sz w:val="22"/>
                <w:szCs w:val="22"/>
                <w:lang w:val="sk-SK"/>
              </w:rPr>
            </w:pPr>
            <w:r w:rsidRPr="00534FB2">
              <w:rPr>
                <w:sz w:val="22"/>
                <w:szCs w:val="22"/>
                <w:lang w:val="sk-SK"/>
              </w:rPr>
              <w:t>-</w:t>
            </w:r>
          </w:p>
        </w:tc>
      </w:tr>
      <w:tr w:rsidR="000F0F4C" w:rsidRPr="00534FB2" w14:paraId="19251533" w14:textId="77777777" w:rsidTr="000F0F4C">
        <w:trPr>
          <w:jc w:val="center"/>
        </w:trPr>
        <w:tc>
          <w:tcPr>
            <w:tcW w:w="829" w:type="pct"/>
            <w:vMerge/>
          </w:tcPr>
          <w:p w14:paraId="33286CA7" w14:textId="77777777" w:rsidR="000F0F4C" w:rsidRPr="00534FB2" w:rsidRDefault="000F0F4C" w:rsidP="00134CBE">
            <w:pPr>
              <w:rPr>
                <w:sz w:val="22"/>
                <w:szCs w:val="22"/>
                <w:lang w:val="sk-SK"/>
              </w:rPr>
            </w:pPr>
          </w:p>
        </w:tc>
        <w:tc>
          <w:tcPr>
            <w:tcW w:w="1134" w:type="pct"/>
            <w:vAlign w:val="center"/>
          </w:tcPr>
          <w:p w14:paraId="30DD0235" w14:textId="665EE5B6" w:rsidR="000F0F4C" w:rsidRPr="00534FB2" w:rsidRDefault="000F0F4C" w:rsidP="008568DA">
            <w:pPr>
              <w:rPr>
                <w:sz w:val="22"/>
                <w:szCs w:val="22"/>
                <w:lang w:val="sk-SK"/>
              </w:rPr>
            </w:pPr>
            <w:r w:rsidRPr="00534FB2">
              <w:rPr>
                <w:sz w:val="22"/>
                <w:szCs w:val="22"/>
                <w:lang w:val="sk-SK"/>
              </w:rPr>
              <w:t>Somnolenc</w:t>
            </w:r>
            <w:r w:rsidR="008568DA" w:rsidRPr="00534FB2">
              <w:rPr>
                <w:sz w:val="22"/>
                <w:szCs w:val="22"/>
                <w:lang w:val="sk-SK"/>
              </w:rPr>
              <w:t>ia</w:t>
            </w:r>
          </w:p>
        </w:tc>
        <w:tc>
          <w:tcPr>
            <w:tcW w:w="786" w:type="pct"/>
            <w:vAlign w:val="center"/>
          </w:tcPr>
          <w:p w14:paraId="29AA864B" w14:textId="35DF8F1E" w:rsidR="000F0F4C" w:rsidRPr="00534FB2" w:rsidRDefault="008568DA" w:rsidP="00134CBE">
            <w:pPr>
              <w:rPr>
                <w:sz w:val="22"/>
                <w:szCs w:val="22"/>
                <w:lang w:val="sk-SK"/>
              </w:rPr>
            </w:pPr>
            <w:r w:rsidRPr="00534FB2">
              <w:rPr>
                <w:sz w:val="22"/>
                <w:szCs w:val="22"/>
                <w:lang w:val="sk-SK"/>
              </w:rPr>
              <w:t>Menej časté</w:t>
            </w:r>
          </w:p>
        </w:tc>
        <w:tc>
          <w:tcPr>
            <w:tcW w:w="786" w:type="pct"/>
            <w:vAlign w:val="center"/>
          </w:tcPr>
          <w:p w14:paraId="0DEEB953" w14:textId="78E418AE" w:rsidR="000F0F4C" w:rsidRPr="00534FB2" w:rsidRDefault="008568DA" w:rsidP="00134CBE">
            <w:pPr>
              <w:rPr>
                <w:sz w:val="22"/>
                <w:szCs w:val="22"/>
                <w:lang w:val="sk-SK"/>
              </w:rPr>
            </w:pPr>
            <w:r w:rsidRPr="00534FB2">
              <w:rPr>
                <w:sz w:val="22"/>
                <w:szCs w:val="22"/>
                <w:lang w:val="sk-SK"/>
              </w:rPr>
              <w:t>Časté</w:t>
            </w:r>
          </w:p>
        </w:tc>
        <w:tc>
          <w:tcPr>
            <w:tcW w:w="708" w:type="pct"/>
            <w:vAlign w:val="center"/>
          </w:tcPr>
          <w:p w14:paraId="1A4862F9"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66099850" w14:textId="77777777" w:rsidR="000F0F4C" w:rsidRPr="00534FB2" w:rsidRDefault="000F0F4C" w:rsidP="00134CBE">
            <w:pPr>
              <w:rPr>
                <w:sz w:val="22"/>
                <w:szCs w:val="22"/>
                <w:lang w:val="sk-SK"/>
              </w:rPr>
            </w:pPr>
            <w:r w:rsidRPr="00534FB2">
              <w:rPr>
                <w:sz w:val="22"/>
                <w:szCs w:val="22"/>
                <w:lang w:val="sk-SK"/>
              </w:rPr>
              <w:t>-</w:t>
            </w:r>
          </w:p>
        </w:tc>
      </w:tr>
      <w:tr w:rsidR="000F0F4C" w:rsidRPr="00534FB2" w14:paraId="5B7ED6C9" w14:textId="77777777" w:rsidTr="000F0F4C">
        <w:trPr>
          <w:jc w:val="center"/>
        </w:trPr>
        <w:tc>
          <w:tcPr>
            <w:tcW w:w="829" w:type="pct"/>
            <w:vMerge/>
          </w:tcPr>
          <w:p w14:paraId="3EAAFABA" w14:textId="77777777" w:rsidR="000F0F4C" w:rsidRPr="00534FB2" w:rsidRDefault="000F0F4C" w:rsidP="00134CBE">
            <w:pPr>
              <w:rPr>
                <w:sz w:val="22"/>
                <w:szCs w:val="22"/>
                <w:lang w:val="sk-SK"/>
              </w:rPr>
            </w:pPr>
          </w:p>
        </w:tc>
        <w:tc>
          <w:tcPr>
            <w:tcW w:w="1134" w:type="pct"/>
            <w:vAlign w:val="center"/>
          </w:tcPr>
          <w:p w14:paraId="40618A10" w14:textId="715EACA2" w:rsidR="000F0F4C" w:rsidRPr="00534FB2" w:rsidRDefault="000F0F4C" w:rsidP="008568DA">
            <w:pPr>
              <w:rPr>
                <w:sz w:val="22"/>
                <w:szCs w:val="22"/>
                <w:lang w:val="sk-SK"/>
              </w:rPr>
            </w:pPr>
            <w:r w:rsidRPr="00534FB2">
              <w:rPr>
                <w:sz w:val="22"/>
                <w:szCs w:val="22"/>
                <w:lang w:val="sk-SK"/>
              </w:rPr>
              <w:t>Syn</w:t>
            </w:r>
            <w:r w:rsidR="008568DA" w:rsidRPr="00534FB2">
              <w:rPr>
                <w:sz w:val="22"/>
                <w:szCs w:val="22"/>
                <w:lang w:val="sk-SK"/>
              </w:rPr>
              <w:t>kopa</w:t>
            </w:r>
          </w:p>
        </w:tc>
        <w:tc>
          <w:tcPr>
            <w:tcW w:w="786" w:type="pct"/>
            <w:vAlign w:val="center"/>
          </w:tcPr>
          <w:p w14:paraId="78FA4F24" w14:textId="63CC56D6" w:rsidR="000F0F4C" w:rsidRPr="00534FB2" w:rsidRDefault="008568DA" w:rsidP="00134CBE">
            <w:pPr>
              <w:rPr>
                <w:sz w:val="22"/>
                <w:szCs w:val="22"/>
                <w:lang w:val="sk-SK"/>
              </w:rPr>
            </w:pPr>
            <w:r w:rsidRPr="00534FB2">
              <w:rPr>
                <w:sz w:val="22"/>
                <w:szCs w:val="22"/>
                <w:lang w:val="sk-SK"/>
              </w:rPr>
              <w:t>Menej časté</w:t>
            </w:r>
          </w:p>
        </w:tc>
        <w:tc>
          <w:tcPr>
            <w:tcW w:w="786" w:type="pct"/>
            <w:vAlign w:val="center"/>
          </w:tcPr>
          <w:p w14:paraId="35BB1549" w14:textId="050CDC28" w:rsidR="000F0F4C" w:rsidRPr="00534FB2" w:rsidRDefault="008568DA" w:rsidP="00134CBE">
            <w:pPr>
              <w:rPr>
                <w:sz w:val="22"/>
                <w:szCs w:val="22"/>
                <w:lang w:val="sk-SK"/>
              </w:rPr>
            </w:pPr>
            <w:r w:rsidRPr="00534FB2">
              <w:rPr>
                <w:sz w:val="22"/>
                <w:szCs w:val="22"/>
                <w:lang w:val="sk-SK"/>
              </w:rPr>
              <w:t>Menej časté</w:t>
            </w:r>
          </w:p>
        </w:tc>
        <w:tc>
          <w:tcPr>
            <w:tcW w:w="708" w:type="pct"/>
            <w:vAlign w:val="center"/>
          </w:tcPr>
          <w:p w14:paraId="652C5913"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716219A6" w14:textId="77777777" w:rsidR="000F0F4C" w:rsidRPr="00534FB2" w:rsidRDefault="000F0F4C" w:rsidP="00134CBE">
            <w:pPr>
              <w:rPr>
                <w:sz w:val="22"/>
                <w:szCs w:val="22"/>
                <w:lang w:val="sk-SK"/>
              </w:rPr>
            </w:pPr>
            <w:r w:rsidRPr="00534FB2">
              <w:rPr>
                <w:sz w:val="22"/>
                <w:szCs w:val="22"/>
                <w:lang w:val="sk-SK"/>
              </w:rPr>
              <w:t>-</w:t>
            </w:r>
          </w:p>
        </w:tc>
      </w:tr>
      <w:tr w:rsidR="000F0F4C" w:rsidRPr="00534FB2" w14:paraId="483245C4" w14:textId="77777777" w:rsidTr="000F0F4C">
        <w:trPr>
          <w:jc w:val="center"/>
        </w:trPr>
        <w:tc>
          <w:tcPr>
            <w:tcW w:w="829" w:type="pct"/>
            <w:vMerge/>
          </w:tcPr>
          <w:p w14:paraId="2C02C300" w14:textId="77777777" w:rsidR="000F0F4C" w:rsidRPr="00534FB2" w:rsidRDefault="000F0F4C" w:rsidP="00134CBE">
            <w:pPr>
              <w:rPr>
                <w:sz w:val="22"/>
                <w:szCs w:val="22"/>
                <w:lang w:val="sk-SK"/>
              </w:rPr>
            </w:pPr>
          </w:p>
        </w:tc>
        <w:tc>
          <w:tcPr>
            <w:tcW w:w="1134" w:type="pct"/>
            <w:vAlign w:val="center"/>
          </w:tcPr>
          <w:p w14:paraId="00FF92A6" w14:textId="77777777" w:rsidR="000F0F4C" w:rsidRPr="00534FB2" w:rsidRDefault="000F0F4C" w:rsidP="00134CBE">
            <w:pPr>
              <w:rPr>
                <w:sz w:val="22"/>
                <w:szCs w:val="22"/>
                <w:lang w:val="sk-SK"/>
              </w:rPr>
            </w:pPr>
            <w:r w:rsidRPr="00534FB2">
              <w:rPr>
                <w:sz w:val="22"/>
                <w:szCs w:val="22"/>
                <w:lang w:val="sk-SK"/>
              </w:rPr>
              <w:t>Tremor</w:t>
            </w:r>
          </w:p>
        </w:tc>
        <w:tc>
          <w:tcPr>
            <w:tcW w:w="786" w:type="pct"/>
            <w:vAlign w:val="center"/>
          </w:tcPr>
          <w:p w14:paraId="67A98DE5" w14:textId="77777777" w:rsidR="000F0F4C" w:rsidRPr="00534FB2" w:rsidRDefault="000F0F4C" w:rsidP="00134CBE">
            <w:pPr>
              <w:rPr>
                <w:sz w:val="22"/>
                <w:szCs w:val="22"/>
                <w:lang w:val="sk-SK"/>
              </w:rPr>
            </w:pPr>
            <w:r w:rsidRPr="00534FB2">
              <w:rPr>
                <w:sz w:val="22"/>
                <w:szCs w:val="22"/>
                <w:lang w:val="sk-SK"/>
              </w:rPr>
              <w:t>-</w:t>
            </w:r>
          </w:p>
        </w:tc>
        <w:tc>
          <w:tcPr>
            <w:tcW w:w="786" w:type="pct"/>
            <w:vAlign w:val="center"/>
          </w:tcPr>
          <w:p w14:paraId="6EB56EBE" w14:textId="3F846DF8" w:rsidR="000F0F4C" w:rsidRPr="00534FB2" w:rsidRDefault="008568DA" w:rsidP="00134CBE">
            <w:pPr>
              <w:rPr>
                <w:sz w:val="22"/>
                <w:szCs w:val="22"/>
                <w:lang w:val="sk-SK"/>
              </w:rPr>
            </w:pPr>
            <w:r w:rsidRPr="00534FB2">
              <w:rPr>
                <w:sz w:val="22"/>
                <w:szCs w:val="22"/>
                <w:lang w:val="sk-SK"/>
              </w:rPr>
              <w:t>Menej časté</w:t>
            </w:r>
          </w:p>
        </w:tc>
        <w:tc>
          <w:tcPr>
            <w:tcW w:w="708" w:type="pct"/>
            <w:vAlign w:val="center"/>
          </w:tcPr>
          <w:p w14:paraId="4166718C"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121EF1E3" w14:textId="77777777" w:rsidR="000F0F4C" w:rsidRPr="00534FB2" w:rsidRDefault="000F0F4C" w:rsidP="00134CBE">
            <w:pPr>
              <w:rPr>
                <w:sz w:val="22"/>
                <w:szCs w:val="22"/>
                <w:lang w:val="sk-SK"/>
              </w:rPr>
            </w:pPr>
            <w:r w:rsidRPr="00534FB2">
              <w:rPr>
                <w:sz w:val="22"/>
                <w:szCs w:val="22"/>
                <w:lang w:val="sk-SK"/>
              </w:rPr>
              <w:t>-</w:t>
            </w:r>
          </w:p>
        </w:tc>
      </w:tr>
      <w:tr w:rsidR="000F0F4C" w:rsidRPr="00534FB2" w14:paraId="1482A255" w14:textId="77777777" w:rsidTr="000F0F4C">
        <w:trPr>
          <w:jc w:val="center"/>
        </w:trPr>
        <w:tc>
          <w:tcPr>
            <w:tcW w:w="829" w:type="pct"/>
            <w:vMerge/>
          </w:tcPr>
          <w:p w14:paraId="4BAB41CD" w14:textId="77777777" w:rsidR="000F0F4C" w:rsidRPr="00534FB2" w:rsidRDefault="000F0F4C" w:rsidP="00134CBE">
            <w:pPr>
              <w:rPr>
                <w:sz w:val="22"/>
                <w:szCs w:val="22"/>
                <w:lang w:val="sk-SK"/>
              </w:rPr>
            </w:pPr>
          </w:p>
        </w:tc>
        <w:tc>
          <w:tcPr>
            <w:tcW w:w="1134" w:type="pct"/>
            <w:vAlign w:val="center"/>
          </w:tcPr>
          <w:p w14:paraId="040827E6" w14:textId="7A92A184" w:rsidR="000F0F4C" w:rsidRPr="00534FB2" w:rsidRDefault="008568DA" w:rsidP="00134CBE">
            <w:pPr>
              <w:rPr>
                <w:sz w:val="22"/>
                <w:szCs w:val="22"/>
                <w:lang w:val="sk-SK"/>
              </w:rPr>
            </w:pPr>
            <w:r w:rsidRPr="00534FB2">
              <w:rPr>
                <w:sz w:val="22"/>
                <w:szCs w:val="22"/>
                <w:lang w:val="sk-SK"/>
              </w:rPr>
              <w:t>Hypoestézia</w:t>
            </w:r>
          </w:p>
        </w:tc>
        <w:tc>
          <w:tcPr>
            <w:tcW w:w="786" w:type="pct"/>
            <w:vAlign w:val="center"/>
          </w:tcPr>
          <w:p w14:paraId="47EF4E8A" w14:textId="77777777" w:rsidR="000F0F4C" w:rsidRPr="00534FB2" w:rsidRDefault="000F0F4C" w:rsidP="00134CBE">
            <w:pPr>
              <w:rPr>
                <w:sz w:val="22"/>
                <w:szCs w:val="22"/>
                <w:lang w:val="sk-SK"/>
              </w:rPr>
            </w:pPr>
            <w:r w:rsidRPr="00534FB2">
              <w:rPr>
                <w:sz w:val="22"/>
                <w:szCs w:val="22"/>
                <w:lang w:val="sk-SK"/>
              </w:rPr>
              <w:t>-</w:t>
            </w:r>
          </w:p>
        </w:tc>
        <w:tc>
          <w:tcPr>
            <w:tcW w:w="786" w:type="pct"/>
            <w:vAlign w:val="center"/>
          </w:tcPr>
          <w:p w14:paraId="42A4CF83" w14:textId="5A780458" w:rsidR="000F0F4C" w:rsidRPr="00534FB2" w:rsidRDefault="008568DA" w:rsidP="00134CBE">
            <w:pPr>
              <w:rPr>
                <w:sz w:val="22"/>
                <w:szCs w:val="22"/>
                <w:lang w:val="sk-SK"/>
              </w:rPr>
            </w:pPr>
            <w:r w:rsidRPr="00534FB2">
              <w:rPr>
                <w:sz w:val="22"/>
                <w:szCs w:val="22"/>
                <w:lang w:val="sk-SK"/>
              </w:rPr>
              <w:t>Menej časté</w:t>
            </w:r>
          </w:p>
        </w:tc>
        <w:tc>
          <w:tcPr>
            <w:tcW w:w="708" w:type="pct"/>
            <w:vAlign w:val="center"/>
          </w:tcPr>
          <w:p w14:paraId="47B9A417" w14:textId="77777777" w:rsidR="000F0F4C" w:rsidRPr="00534FB2" w:rsidRDefault="000F0F4C" w:rsidP="00134CBE">
            <w:pPr>
              <w:rPr>
                <w:sz w:val="22"/>
                <w:szCs w:val="22"/>
                <w:lang w:val="sk-SK"/>
              </w:rPr>
            </w:pPr>
            <w:r w:rsidRPr="00534FB2">
              <w:rPr>
                <w:sz w:val="22"/>
                <w:szCs w:val="22"/>
                <w:lang w:val="sk-SK"/>
              </w:rPr>
              <w:t>-</w:t>
            </w:r>
          </w:p>
        </w:tc>
        <w:tc>
          <w:tcPr>
            <w:tcW w:w="757" w:type="pct"/>
            <w:vAlign w:val="center"/>
          </w:tcPr>
          <w:p w14:paraId="37D8D57B" w14:textId="77777777" w:rsidR="000F0F4C" w:rsidRPr="00534FB2" w:rsidRDefault="000F0F4C" w:rsidP="00134CBE">
            <w:pPr>
              <w:rPr>
                <w:sz w:val="22"/>
                <w:szCs w:val="22"/>
                <w:lang w:val="sk-SK"/>
              </w:rPr>
            </w:pPr>
            <w:r w:rsidRPr="00534FB2">
              <w:rPr>
                <w:sz w:val="22"/>
                <w:szCs w:val="22"/>
                <w:lang w:val="sk-SK"/>
              </w:rPr>
              <w:t>-</w:t>
            </w:r>
          </w:p>
        </w:tc>
      </w:tr>
      <w:tr w:rsidR="004E64BA" w:rsidRPr="00534FB2" w14:paraId="74BB4E04" w14:textId="77777777" w:rsidTr="000F0F4C">
        <w:trPr>
          <w:jc w:val="center"/>
        </w:trPr>
        <w:tc>
          <w:tcPr>
            <w:tcW w:w="829" w:type="pct"/>
            <w:vMerge w:val="restart"/>
          </w:tcPr>
          <w:p w14:paraId="729A57C4" w14:textId="7948CD9D" w:rsidR="004E64BA" w:rsidRPr="00534FB2" w:rsidRDefault="008568DA" w:rsidP="00134CBE">
            <w:pPr>
              <w:rPr>
                <w:sz w:val="22"/>
                <w:szCs w:val="22"/>
                <w:lang w:val="sk-SK"/>
              </w:rPr>
            </w:pPr>
            <w:bookmarkStart w:id="0" w:name="_Hlk40369837"/>
            <w:r w:rsidRPr="00534FB2">
              <w:rPr>
                <w:sz w:val="22"/>
                <w:szCs w:val="22"/>
                <w:lang w:val="sk-SK"/>
              </w:rPr>
              <w:t>Poruchy oka</w:t>
            </w:r>
          </w:p>
        </w:tc>
        <w:tc>
          <w:tcPr>
            <w:tcW w:w="1134" w:type="pct"/>
            <w:vAlign w:val="center"/>
          </w:tcPr>
          <w:p w14:paraId="063E0184" w14:textId="77777777" w:rsidR="00B72D0B" w:rsidRPr="00534FB2" w:rsidRDefault="00B72D0B" w:rsidP="00B72D0B">
            <w:pPr>
              <w:rPr>
                <w:sz w:val="22"/>
                <w:szCs w:val="22"/>
                <w:lang w:val="sk-SK"/>
              </w:rPr>
            </w:pPr>
            <w:r w:rsidRPr="00534FB2">
              <w:rPr>
                <w:sz w:val="22"/>
                <w:szCs w:val="22"/>
                <w:lang w:val="sk-SK"/>
              </w:rPr>
              <w:t>Akútny glaukóm</w:t>
            </w:r>
          </w:p>
          <w:p w14:paraId="2625DF95" w14:textId="13CCD582" w:rsidR="004E64BA" w:rsidRPr="00534FB2" w:rsidRDefault="00B72D0B" w:rsidP="00B72D0B">
            <w:pPr>
              <w:rPr>
                <w:sz w:val="22"/>
                <w:szCs w:val="22"/>
                <w:lang w:val="sk-SK"/>
              </w:rPr>
            </w:pPr>
            <w:r w:rsidRPr="00534FB2">
              <w:rPr>
                <w:sz w:val="22"/>
                <w:szCs w:val="22"/>
                <w:lang w:val="sk-SK"/>
              </w:rPr>
              <w:t>s uzavretým uhlom</w:t>
            </w:r>
          </w:p>
        </w:tc>
        <w:tc>
          <w:tcPr>
            <w:tcW w:w="786" w:type="pct"/>
            <w:vAlign w:val="center"/>
          </w:tcPr>
          <w:p w14:paraId="15FF27D4" w14:textId="77777777" w:rsidR="004E64BA" w:rsidRPr="00534FB2" w:rsidRDefault="004E64BA" w:rsidP="00134CBE">
            <w:pPr>
              <w:rPr>
                <w:sz w:val="22"/>
                <w:szCs w:val="22"/>
                <w:lang w:val="sk-SK"/>
              </w:rPr>
            </w:pPr>
            <w:r w:rsidRPr="00534FB2">
              <w:rPr>
                <w:sz w:val="22"/>
                <w:szCs w:val="22"/>
                <w:lang w:val="sk-SK"/>
              </w:rPr>
              <w:t>-</w:t>
            </w:r>
          </w:p>
        </w:tc>
        <w:tc>
          <w:tcPr>
            <w:tcW w:w="786" w:type="pct"/>
            <w:vAlign w:val="center"/>
          </w:tcPr>
          <w:p w14:paraId="78A7BB8A" w14:textId="77777777" w:rsidR="004E64BA" w:rsidRPr="00534FB2" w:rsidRDefault="004E64BA" w:rsidP="00134CBE">
            <w:pPr>
              <w:rPr>
                <w:sz w:val="22"/>
                <w:szCs w:val="22"/>
                <w:lang w:val="sk-SK"/>
              </w:rPr>
            </w:pPr>
            <w:r w:rsidRPr="00534FB2">
              <w:rPr>
                <w:sz w:val="22"/>
                <w:szCs w:val="22"/>
                <w:lang w:val="sk-SK"/>
              </w:rPr>
              <w:t>-</w:t>
            </w:r>
          </w:p>
        </w:tc>
        <w:tc>
          <w:tcPr>
            <w:tcW w:w="708" w:type="pct"/>
            <w:vAlign w:val="center"/>
          </w:tcPr>
          <w:p w14:paraId="55D2A0EE" w14:textId="77777777" w:rsidR="004E64BA" w:rsidRPr="00534FB2" w:rsidRDefault="004E64BA" w:rsidP="00134CBE">
            <w:pPr>
              <w:rPr>
                <w:sz w:val="22"/>
                <w:szCs w:val="22"/>
                <w:lang w:val="sk-SK"/>
              </w:rPr>
            </w:pPr>
            <w:r w:rsidRPr="00534FB2">
              <w:rPr>
                <w:sz w:val="22"/>
                <w:szCs w:val="22"/>
                <w:lang w:val="sk-SK"/>
              </w:rPr>
              <w:t>-</w:t>
            </w:r>
          </w:p>
        </w:tc>
        <w:tc>
          <w:tcPr>
            <w:tcW w:w="757" w:type="pct"/>
            <w:vAlign w:val="center"/>
          </w:tcPr>
          <w:p w14:paraId="0C74B7C9" w14:textId="54393598" w:rsidR="004E64BA" w:rsidRPr="00534FB2" w:rsidRDefault="008568DA" w:rsidP="00134CBE">
            <w:pPr>
              <w:rPr>
                <w:sz w:val="22"/>
                <w:szCs w:val="22"/>
                <w:lang w:val="sk-SK"/>
              </w:rPr>
            </w:pPr>
            <w:r w:rsidRPr="00534FB2">
              <w:rPr>
                <w:sz w:val="22"/>
                <w:szCs w:val="22"/>
                <w:lang w:val="sk-SK"/>
              </w:rPr>
              <w:t>Neznáme</w:t>
            </w:r>
          </w:p>
        </w:tc>
      </w:tr>
      <w:tr w:rsidR="004E64BA" w:rsidRPr="00534FB2" w14:paraId="268BB732" w14:textId="77777777" w:rsidTr="000F0F4C">
        <w:trPr>
          <w:jc w:val="center"/>
        </w:trPr>
        <w:tc>
          <w:tcPr>
            <w:tcW w:w="829" w:type="pct"/>
            <w:vMerge/>
          </w:tcPr>
          <w:p w14:paraId="50ACF1E7" w14:textId="77777777" w:rsidR="004E64BA" w:rsidRPr="00534FB2" w:rsidRDefault="004E64BA" w:rsidP="00134CBE">
            <w:pPr>
              <w:rPr>
                <w:sz w:val="22"/>
                <w:szCs w:val="22"/>
                <w:lang w:val="sk-SK"/>
              </w:rPr>
            </w:pPr>
          </w:p>
        </w:tc>
        <w:tc>
          <w:tcPr>
            <w:tcW w:w="1134" w:type="pct"/>
            <w:vAlign w:val="center"/>
          </w:tcPr>
          <w:p w14:paraId="15C90DE7" w14:textId="7DD3F8BE" w:rsidR="004E64BA" w:rsidRPr="00534FB2" w:rsidRDefault="00B72D0B" w:rsidP="00134CBE">
            <w:pPr>
              <w:rPr>
                <w:sz w:val="22"/>
                <w:szCs w:val="22"/>
                <w:lang w:val="sk-SK"/>
              </w:rPr>
            </w:pPr>
            <w:r w:rsidRPr="00534FB2">
              <w:rPr>
                <w:sz w:val="22"/>
                <w:szCs w:val="22"/>
                <w:lang w:val="sk-SK"/>
              </w:rPr>
              <w:t>Porucha videnia</w:t>
            </w:r>
          </w:p>
        </w:tc>
        <w:tc>
          <w:tcPr>
            <w:tcW w:w="786" w:type="pct"/>
            <w:vAlign w:val="center"/>
          </w:tcPr>
          <w:p w14:paraId="5D27085F" w14:textId="77777777" w:rsidR="004E64BA" w:rsidRPr="00534FB2" w:rsidRDefault="004E64BA" w:rsidP="00134CBE">
            <w:pPr>
              <w:rPr>
                <w:sz w:val="22"/>
                <w:szCs w:val="22"/>
                <w:lang w:val="sk-SK"/>
              </w:rPr>
            </w:pPr>
            <w:r w:rsidRPr="00534FB2">
              <w:rPr>
                <w:sz w:val="22"/>
                <w:szCs w:val="22"/>
                <w:lang w:val="sk-SK"/>
              </w:rPr>
              <w:t>-</w:t>
            </w:r>
          </w:p>
        </w:tc>
        <w:tc>
          <w:tcPr>
            <w:tcW w:w="786" w:type="pct"/>
            <w:vAlign w:val="center"/>
          </w:tcPr>
          <w:p w14:paraId="3D78F9DB" w14:textId="3DB5CBD7" w:rsidR="004E64BA" w:rsidRPr="00534FB2" w:rsidRDefault="008568DA" w:rsidP="00134CBE">
            <w:pPr>
              <w:rPr>
                <w:sz w:val="22"/>
                <w:szCs w:val="22"/>
                <w:lang w:val="sk-SK"/>
              </w:rPr>
            </w:pPr>
            <w:r w:rsidRPr="00534FB2">
              <w:rPr>
                <w:sz w:val="22"/>
                <w:szCs w:val="22"/>
                <w:lang w:val="sk-SK"/>
              </w:rPr>
              <w:t>Menej časté</w:t>
            </w:r>
          </w:p>
        </w:tc>
        <w:tc>
          <w:tcPr>
            <w:tcW w:w="708" w:type="pct"/>
            <w:vAlign w:val="center"/>
          </w:tcPr>
          <w:p w14:paraId="65161C20" w14:textId="77777777" w:rsidR="004E64BA" w:rsidRPr="00534FB2" w:rsidRDefault="004E64BA" w:rsidP="00134CBE">
            <w:pPr>
              <w:rPr>
                <w:sz w:val="22"/>
                <w:szCs w:val="22"/>
                <w:lang w:val="sk-SK"/>
              </w:rPr>
            </w:pPr>
            <w:r w:rsidRPr="00534FB2">
              <w:rPr>
                <w:sz w:val="22"/>
                <w:szCs w:val="22"/>
                <w:lang w:val="sk-SK"/>
              </w:rPr>
              <w:t>-</w:t>
            </w:r>
          </w:p>
        </w:tc>
        <w:tc>
          <w:tcPr>
            <w:tcW w:w="757" w:type="pct"/>
            <w:vAlign w:val="center"/>
          </w:tcPr>
          <w:p w14:paraId="1C41E21A" w14:textId="77777777" w:rsidR="004E64BA" w:rsidRPr="00534FB2" w:rsidRDefault="004E64BA" w:rsidP="00134CBE">
            <w:pPr>
              <w:rPr>
                <w:sz w:val="22"/>
                <w:szCs w:val="22"/>
                <w:lang w:val="sk-SK"/>
              </w:rPr>
            </w:pPr>
            <w:r w:rsidRPr="00534FB2">
              <w:rPr>
                <w:sz w:val="22"/>
                <w:szCs w:val="22"/>
                <w:lang w:val="sk-SK"/>
              </w:rPr>
              <w:t>-</w:t>
            </w:r>
          </w:p>
        </w:tc>
      </w:tr>
      <w:tr w:rsidR="004E64BA" w:rsidRPr="00534FB2" w14:paraId="181A2F63" w14:textId="77777777" w:rsidTr="000F0F4C">
        <w:trPr>
          <w:jc w:val="center"/>
        </w:trPr>
        <w:tc>
          <w:tcPr>
            <w:tcW w:w="829" w:type="pct"/>
            <w:vMerge/>
          </w:tcPr>
          <w:p w14:paraId="58FFB209" w14:textId="77777777" w:rsidR="004E64BA" w:rsidRPr="00534FB2" w:rsidRDefault="004E64BA" w:rsidP="00134CBE">
            <w:pPr>
              <w:rPr>
                <w:sz w:val="22"/>
                <w:szCs w:val="22"/>
                <w:lang w:val="sk-SK"/>
              </w:rPr>
            </w:pPr>
          </w:p>
        </w:tc>
        <w:tc>
          <w:tcPr>
            <w:tcW w:w="1134" w:type="pct"/>
            <w:vAlign w:val="center"/>
          </w:tcPr>
          <w:p w14:paraId="645DD7F0" w14:textId="02764981" w:rsidR="004E64BA" w:rsidRPr="00534FB2" w:rsidRDefault="00B72D0B" w:rsidP="00134CBE">
            <w:pPr>
              <w:rPr>
                <w:sz w:val="22"/>
                <w:szCs w:val="22"/>
                <w:lang w:val="sk-SK"/>
              </w:rPr>
            </w:pPr>
            <w:r w:rsidRPr="00534FB2">
              <w:rPr>
                <w:sz w:val="22"/>
                <w:szCs w:val="22"/>
                <w:lang w:val="sk-SK"/>
              </w:rPr>
              <w:t>Zhoršenie videnia</w:t>
            </w:r>
          </w:p>
        </w:tc>
        <w:tc>
          <w:tcPr>
            <w:tcW w:w="786" w:type="pct"/>
            <w:vAlign w:val="center"/>
          </w:tcPr>
          <w:p w14:paraId="7F31F5C3" w14:textId="5498B94B" w:rsidR="004E64BA" w:rsidRPr="00534FB2" w:rsidRDefault="008568DA" w:rsidP="00134CBE">
            <w:pPr>
              <w:rPr>
                <w:sz w:val="22"/>
                <w:szCs w:val="22"/>
                <w:lang w:val="sk-SK"/>
              </w:rPr>
            </w:pPr>
            <w:r w:rsidRPr="00534FB2">
              <w:rPr>
                <w:sz w:val="22"/>
                <w:szCs w:val="22"/>
                <w:lang w:val="sk-SK"/>
              </w:rPr>
              <w:t>Menej časté</w:t>
            </w:r>
          </w:p>
        </w:tc>
        <w:tc>
          <w:tcPr>
            <w:tcW w:w="786" w:type="pct"/>
            <w:vAlign w:val="center"/>
          </w:tcPr>
          <w:p w14:paraId="3AAE4967" w14:textId="3099E900" w:rsidR="004E64BA" w:rsidRPr="00534FB2" w:rsidRDefault="008568DA" w:rsidP="00134CBE">
            <w:pPr>
              <w:rPr>
                <w:sz w:val="22"/>
                <w:szCs w:val="22"/>
                <w:lang w:val="sk-SK"/>
              </w:rPr>
            </w:pPr>
            <w:r w:rsidRPr="00534FB2">
              <w:rPr>
                <w:sz w:val="22"/>
                <w:szCs w:val="22"/>
                <w:lang w:val="sk-SK"/>
              </w:rPr>
              <w:t>Menej časté</w:t>
            </w:r>
          </w:p>
        </w:tc>
        <w:tc>
          <w:tcPr>
            <w:tcW w:w="708" w:type="pct"/>
            <w:vAlign w:val="center"/>
          </w:tcPr>
          <w:p w14:paraId="4B42CF28" w14:textId="77777777" w:rsidR="004E64BA" w:rsidRPr="00534FB2" w:rsidRDefault="004E64BA" w:rsidP="00134CBE">
            <w:pPr>
              <w:rPr>
                <w:sz w:val="22"/>
                <w:szCs w:val="22"/>
                <w:lang w:val="sk-SK"/>
              </w:rPr>
            </w:pPr>
            <w:r w:rsidRPr="00534FB2">
              <w:rPr>
                <w:sz w:val="22"/>
                <w:szCs w:val="22"/>
                <w:lang w:val="sk-SK"/>
              </w:rPr>
              <w:t>-</w:t>
            </w:r>
          </w:p>
        </w:tc>
        <w:tc>
          <w:tcPr>
            <w:tcW w:w="757" w:type="pct"/>
            <w:vAlign w:val="center"/>
          </w:tcPr>
          <w:p w14:paraId="5D120A18" w14:textId="65C4A6B1" w:rsidR="004E64BA" w:rsidRPr="00534FB2" w:rsidRDefault="008568DA" w:rsidP="00134CBE">
            <w:pPr>
              <w:rPr>
                <w:sz w:val="22"/>
                <w:szCs w:val="22"/>
                <w:lang w:val="sk-SK"/>
              </w:rPr>
            </w:pPr>
            <w:r w:rsidRPr="00534FB2">
              <w:rPr>
                <w:sz w:val="22"/>
                <w:szCs w:val="22"/>
                <w:lang w:val="sk-SK"/>
              </w:rPr>
              <w:t>Zriedkavé</w:t>
            </w:r>
          </w:p>
        </w:tc>
      </w:tr>
      <w:bookmarkEnd w:id="0"/>
      <w:tr w:rsidR="004E64BA" w:rsidRPr="00534FB2" w14:paraId="6CC3DEED" w14:textId="77777777" w:rsidTr="000F0F4C">
        <w:trPr>
          <w:jc w:val="center"/>
        </w:trPr>
        <w:tc>
          <w:tcPr>
            <w:tcW w:w="829" w:type="pct"/>
            <w:vMerge/>
          </w:tcPr>
          <w:p w14:paraId="761C01C0" w14:textId="77777777" w:rsidR="004E64BA" w:rsidRPr="00534FB2" w:rsidRDefault="004E64BA" w:rsidP="004E64BA">
            <w:pPr>
              <w:rPr>
                <w:sz w:val="22"/>
                <w:szCs w:val="22"/>
                <w:lang w:val="sk-SK"/>
              </w:rPr>
            </w:pPr>
          </w:p>
        </w:tc>
        <w:tc>
          <w:tcPr>
            <w:tcW w:w="1134" w:type="pct"/>
            <w:vAlign w:val="center"/>
          </w:tcPr>
          <w:p w14:paraId="2B7C0F53" w14:textId="60B71CAC" w:rsidR="004E64BA" w:rsidRPr="00534FB2" w:rsidRDefault="00B72D0B" w:rsidP="004E64BA">
            <w:pPr>
              <w:rPr>
                <w:sz w:val="22"/>
                <w:szCs w:val="22"/>
                <w:lang w:val="sk-SK"/>
              </w:rPr>
            </w:pPr>
            <w:r w:rsidRPr="00534FB2">
              <w:rPr>
                <w:sz w:val="22"/>
                <w:szCs w:val="22"/>
                <w:lang w:val="sk-SK"/>
              </w:rPr>
              <w:t>Choroidálna efúzia</w:t>
            </w:r>
          </w:p>
        </w:tc>
        <w:tc>
          <w:tcPr>
            <w:tcW w:w="786" w:type="pct"/>
            <w:vAlign w:val="center"/>
          </w:tcPr>
          <w:p w14:paraId="51649E45" w14:textId="4CB02D44"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1C18A2F9" w14:textId="1DC5717B"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7830DF21" w14:textId="3A9F451D"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05ECE96E" w14:textId="2BAC1AF1" w:rsidR="004E64BA" w:rsidRPr="00534FB2" w:rsidRDefault="008568DA" w:rsidP="004E64BA">
            <w:pPr>
              <w:rPr>
                <w:sz w:val="22"/>
                <w:szCs w:val="22"/>
                <w:lang w:val="sk-SK"/>
              </w:rPr>
            </w:pPr>
            <w:r w:rsidRPr="00534FB2">
              <w:rPr>
                <w:sz w:val="22"/>
                <w:szCs w:val="22"/>
                <w:lang w:val="sk-SK"/>
              </w:rPr>
              <w:t>Neznáme</w:t>
            </w:r>
          </w:p>
        </w:tc>
      </w:tr>
      <w:tr w:rsidR="004E64BA" w:rsidRPr="00534FB2" w14:paraId="751E3A7F" w14:textId="77777777" w:rsidTr="000F0F4C">
        <w:trPr>
          <w:jc w:val="center"/>
        </w:trPr>
        <w:tc>
          <w:tcPr>
            <w:tcW w:w="829" w:type="pct"/>
            <w:vMerge w:val="restart"/>
          </w:tcPr>
          <w:p w14:paraId="2C598247" w14:textId="77777777" w:rsidR="00B72D0B" w:rsidRPr="00534FB2" w:rsidRDefault="00B72D0B" w:rsidP="00B72D0B">
            <w:pPr>
              <w:rPr>
                <w:sz w:val="22"/>
                <w:szCs w:val="22"/>
                <w:lang w:val="sk-SK"/>
              </w:rPr>
            </w:pPr>
            <w:r w:rsidRPr="00534FB2">
              <w:rPr>
                <w:sz w:val="22"/>
                <w:szCs w:val="22"/>
                <w:lang w:val="sk-SK"/>
              </w:rPr>
              <w:t>Poruchy ucha a</w:t>
            </w:r>
          </w:p>
          <w:p w14:paraId="3F989553" w14:textId="00E7AE1F" w:rsidR="004E64BA" w:rsidRPr="00534FB2" w:rsidRDefault="00B72D0B" w:rsidP="00B72D0B">
            <w:pPr>
              <w:rPr>
                <w:sz w:val="22"/>
                <w:szCs w:val="22"/>
                <w:lang w:val="sk-SK"/>
              </w:rPr>
            </w:pPr>
            <w:r w:rsidRPr="00534FB2">
              <w:rPr>
                <w:sz w:val="22"/>
                <w:szCs w:val="22"/>
                <w:lang w:val="sk-SK"/>
              </w:rPr>
              <w:t>labyrintu</w:t>
            </w:r>
          </w:p>
        </w:tc>
        <w:tc>
          <w:tcPr>
            <w:tcW w:w="1134" w:type="pct"/>
            <w:vAlign w:val="center"/>
          </w:tcPr>
          <w:p w14:paraId="5BA55902" w14:textId="1545CCF6" w:rsidR="004E64BA" w:rsidRPr="00534FB2" w:rsidRDefault="00B72D0B" w:rsidP="004E64BA">
            <w:pPr>
              <w:rPr>
                <w:sz w:val="22"/>
                <w:szCs w:val="22"/>
                <w:lang w:val="sk-SK"/>
              </w:rPr>
            </w:pPr>
            <w:r w:rsidRPr="00534FB2">
              <w:rPr>
                <w:sz w:val="22"/>
                <w:szCs w:val="22"/>
                <w:lang w:val="sk-SK"/>
              </w:rPr>
              <w:t>Tin</w:t>
            </w:r>
            <w:r w:rsidR="004E64BA" w:rsidRPr="00534FB2">
              <w:rPr>
                <w:sz w:val="22"/>
                <w:szCs w:val="22"/>
                <w:lang w:val="sk-SK"/>
              </w:rPr>
              <w:t>itus</w:t>
            </w:r>
          </w:p>
        </w:tc>
        <w:tc>
          <w:tcPr>
            <w:tcW w:w="786" w:type="pct"/>
            <w:vAlign w:val="center"/>
          </w:tcPr>
          <w:p w14:paraId="715482FB"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5231CE8B" w14:textId="3EE3BCCD" w:rsidR="004E64BA" w:rsidRPr="00534FB2" w:rsidRDefault="008568DA" w:rsidP="004E64BA">
            <w:pPr>
              <w:rPr>
                <w:sz w:val="22"/>
                <w:szCs w:val="22"/>
                <w:lang w:val="sk-SK"/>
              </w:rPr>
            </w:pPr>
            <w:r w:rsidRPr="00534FB2">
              <w:rPr>
                <w:sz w:val="22"/>
                <w:szCs w:val="22"/>
                <w:lang w:val="sk-SK"/>
              </w:rPr>
              <w:t>Menej časté</w:t>
            </w:r>
          </w:p>
        </w:tc>
        <w:tc>
          <w:tcPr>
            <w:tcW w:w="708" w:type="pct"/>
            <w:vAlign w:val="center"/>
          </w:tcPr>
          <w:p w14:paraId="5BCD91F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7865D160"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4E41CE25" w14:textId="77777777" w:rsidTr="000F0F4C">
        <w:trPr>
          <w:jc w:val="center"/>
        </w:trPr>
        <w:tc>
          <w:tcPr>
            <w:tcW w:w="829" w:type="pct"/>
            <w:vMerge/>
          </w:tcPr>
          <w:p w14:paraId="23B70643" w14:textId="77777777" w:rsidR="004E64BA" w:rsidRPr="00534FB2" w:rsidRDefault="004E64BA" w:rsidP="004E64BA">
            <w:pPr>
              <w:rPr>
                <w:sz w:val="22"/>
                <w:szCs w:val="22"/>
                <w:lang w:val="sk-SK"/>
              </w:rPr>
            </w:pPr>
          </w:p>
        </w:tc>
        <w:tc>
          <w:tcPr>
            <w:tcW w:w="1134" w:type="pct"/>
            <w:vAlign w:val="center"/>
          </w:tcPr>
          <w:p w14:paraId="3F77F003" w14:textId="77777777" w:rsidR="004E64BA" w:rsidRPr="00534FB2" w:rsidRDefault="004E64BA" w:rsidP="004E64BA">
            <w:pPr>
              <w:rPr>
                <w:sz w:val="22"/>
                <w:szCs w:val="22"/>
                <w:lang w:val="sk-SK"/>
              </w:rPr>
            </w:pPr>
            <w:r w:rsidRPr="00534FB2">
              <w:rPr>
                <w:sz w:val="22"/>
                <w:szCs w:val="22"/>
                <w:lang w:val="sk-SK"/>
              </w:rPr>
              <w:t>Vertigo</w:t>
            </w:r>
          </w:p>
        </w:tc>
        <w:tc>
          <w:tcPr>
            <w:tcW w:w="786" w:type="pct"/>
            <w:vAlign w:val="center"/>
          </w:tcPr>
          <w:p w14:paraId="773F7B5A" w14:textId="61016682" w:rsidR="004E64BA" w:rsidRPr="00534FB2" w:rsidRDefault="008568DA" w:rsidP="004E64BA">
            <w:pPr>
              <w:rPr>
                <w:sz w:val="22"/>
                <w:szCs w:val="22"/>
                <w:lang w:val="sk-SK"/>
              </w:rPr>
            </w:pPr>
            <w:r w:rsidRPr="00534FB2">
              <w:rPr>
                <w:sz w:val="22"/>
                <w:szCs w:val="22"/>
                <w:lang w:val="sk-SK"/>
              </w:rPr>
              <w:t>Menej časté</w:t>
            </w:r>
          </w:p>
        </w:tc>
        <w:tc>
          <w:tcPr>
            <w:tcW w:w="786" w:type="pct"/>
            <w:vAlign w:val="center"/>
          </w:tcPr>
          <w:p w14:paraId="596C2AD9"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25B4AA1D" w14:textId="57719846" w:rsidR="004E64BA" w:rsidRPr="00534FB2" w:rsidRDefault="008568DA" w:rsidP="004E64BA">
            <w:pPr>
              <w:rPr>
                <w:sz w:val="22"/>
                <w:szCs w:val="22"/>
                <w:lang w:val="sk-SK"/>
              </w:rPr>
            </w:pPr>
            <w:r w:rsidRPr="00534FB2">
              <w:rPr>
                <w:sz w:val="22"/>
                <w:szCs w:val="22"/>
                <w:lang w:val="sk-SK"/>
              </w:rPr>
              <w:t>Menej časté</w:t>
            </w:r>
          </w:p>
        </w:tc>
        <w:tc>
          <w:tcPr>
            <w:tcW w:w="757" w:type="pct"/>
            <w:vAlign w:val="center"/>
          </w:tcPr>
          <w:p w14:paraId="1EEEE7DD"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F8FF675" w14:textId="77777777" w:rsidTr="000F0F4C">
        <w:trPr>
          <w:jc w:val="center"/>
        </w:trPr>
        <w:tc>
          <w:tcPr>
            <w:tcW w:w="829" w:type="pct"/>
            <w:vMerge w:val="restart"/>
          </w:tcPr>
          <w:p w14:paraId="2E1E8EDC" w14:textId="77777777" w:rsidR="00B72D0B" w:rsidRPr="00534FB2" w:rsidRDefault="00B72D0B" w:rsidP="00B72D0B">
            <w:pPr>
              <w:rPr>
                <w:sz w:val="22"/>
                <w:szCs w:val="22"/>
                <w:lang w:val="sk-SK"/>
              </w:rPr>
            </w:pPr>
            <w:r w:rsidRPr="00534FB2">
              <w:rPr>
                <w:sz w:val="22"/>
                <w:szCs w:val="22"/>
                <w:lang w:val="sk-SK"/>
              </w:rPr>
              <w:t>Poruchy srdca a</w:t>
            </w:r>
          </w:p>
          <w:p w14:paraId="4D8E3882" w14:textId="655B5C4B" w:rsidR="004E64BA" w:rsidRPr="00534FB2" w:rsidRDefault="00B72D0B" w:rsidP="00B72D0B">
            <w:pPr>
              <w:rPr>
                <w:sz w:val="22"/>
                <w:szCs w:val="22"/>
                <w:lang w:val="sk-SK"/>
              </w:rPr>
            </w:pPr>
            <w:r w:rsidRPr="00534FB2">
              <w:rPr>
                <w:sz w:val="22"/>
                <w:szCs w:val="22"/>
                <w:lang w:val="sk-SK"/>
              </w:rPr>
              <w:t>srdcovej činnosti</w:t>
            </w:r>
          </w:p>
        </w:tc>
        <w:tc>
          <w:tcPr>
            <w:tcW w:w="1134" w:type="pct"/>
            <w:vAlign w:val="center"/>
          </w:tcPr>
          <w:p w14:paraId="641AAF9C" w14:textId="6B23AB62" w:rsidR="004E64BA" w:rsidRPr="00534FB2" w:rsidRDefault="004E64BA" w:rsidP="00B72D0B">
            <w:pPr>
              <w:rPr>
                <w:sz w:val="22"/>
                <w:szCs w:val="22"/>
                <w:lang w:val="sk-SK"/>
              </w:rPr>
            </w:pPr>
            <w:r w:rsidRPr="00534FB2">
              <w:rPr>
                <w:sz w:val="22"/>
                <w:szCs w:val="22"/>
                <w:lang w:val="sk-SK"/>
              </w:rPr>
              <w:t>Palpit</w:t>
            </w:r>
            <w:r w:rsidR="00B72D0B" w:rsidRPr="00534FB2">
              <w:rPr>
                <w:sz w:val="22"/>
                <w:szCs w:val="22"/>
                <w:lang w:val="sk-SK"/>
              </w:rPr>
              <w:t>ácie</w:t>
            </w:r>
          </w:p>
        </w:tc>
        <w:tc>
          <w:tcPr>
            <w:tcW w:w="786" w:type="pct"/>
            <w:vAlign w:val="center"/>
          </w:tcPr>
          <w:p w14:paraId="6ECFF273" w14:textId="77777777" w:rsidR="004E64BA" w:rsidRPr="00534FB2" w:rsidRDefault="004E64BA" w:rsidP="004E64BA">
            <w:pPr>
              <w:rPr>
                <w:sz w:val="22"/>
                <w:szCs w:val="22"/>
                <w:lang w:val="sk-SK"/>
              </w:rPr>
            </w:pPr>
          </w:p>
        </w:tc>
        <w:tc>
          <w:tcPr>
            <w:tcW w:w="786" w:type="pct"/>
            <w:vAlign w:val="center"/>
          </w:tcPr>
          <w:p w14:paraId="3A950C81" w14:textId="66AFEB4F" w:rsidR="004E64BA" w:rsidRPr="00534FB2" w:rsidRDefault="008568DA" w:rsidP="004E64BA">
            <w:pPr>
              <w:rPr>
                <w:sz w:val="22"/>
                <w:szCs w:val="22"/>
                <w:lang w:val="sk-SK"/>
              </w:rPr>
            </w:pPr>
            <w:r w:rsidRPr="00534FB2">
              <w:rPr>
                <w:sz w:val="22"/>
                <w:szCs w:val="22"/>
                <w:lang w:val="sk-SK"/>
              </w:rPr>
              <w:t>Časté</w:t>
            </w:r>
          </w:p>
        </w:tc>
        <w:tc>
          <w:tcPr>
            <w:tcW w:w="708" w:type="pct"/>
            <w:vAlign w:val="center"/>
          </w:tcPr>
          <w:p w14:paraId="030D8BE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9BCEAFE"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2BB2D455" w14:textId="77777777" w:rsidTr="000F0F4C">
        <w:trPr>
          <w:jc w:val="center"/>
        </w:trPr>
        <w:tc>
          <w:tcPr>
            <w:tcW w:w="829" w:type="pct"/>
            <w:vMerge/>
          </w:tcPr>
          <w:p w14:paraId="70EEAB5C" w14:textId="77777777" w:rsidR="004E64BA" w:rsidRPr="00534FB2" w:rsidRDefault="004E64BA" w:rsidP="004E64BA">
            <w:pPr>
              <w:rPr>
                <w:sz w:val="22"/>
                <w:szCs w:val="22"/>
                <w:lang w:val="sk-SK"/>
              </w:rPr>
            </w:pPr>
          </w:p>
        </w:tc>
        <w:tc>
          <w:tcPr>
            <w:tcW w:w="1134" w:type="pct"/>
            <w:vAlign w:val="center"/>
          </w:tcPr>
          <w:p w14:paraId="0F30E5DB" w14:textId="179A3C00" w:rsidR="004E64BA" w:rsidRPr="00534FB2" w:rsidRDefault="00B72D0B" w:rsidP="004E64BA">
            <w:pPr>
              <w:rPr>
                <w:sz w:val="22"/>
                <w:szCs w:val="22"/>
                <w:lang w:val="sk-SK"/>
              </w:rPr>
            </w:pPr>
            <w:r w:rsidRPr="00534FB2">
              <w:rPr>
                <w:sz w:val="22"/>
                <w:szCs w:val="22"/>
                <w:lang w:val="sk-SK"/>
              </w:rPr>
              <w:t>Tachyk</w:t>
            </w:r>
            <w:r w:rsidR="004E64BA" w:rsidRPr="00534FB2">
              <w:rPr>
                <w:sz w:val="22"/>
                <w:szCs w:val="22"/>
                <w:lang w:val="sk-SK"/>
              </w:rPr>
              <w:t>ardia</w:t>
            </w:r>
          </w:p>
        </w:tc>
        <w:tc>
          <w:tcPr>
            <w:tcW w:w="786" w:type="pct"/>
            <w:vAlign w:val="center"/>
          </w:tcPr>
          <w:p w14:paraId="61EEB8BB" w14:textId="010B9693" w:rsidR="004E64BA" w:rsidRPr="00534FB2" w:rsidRDefault="008568DA" w:rsidP="004E64BA">
            <w:pPr>
              <w:rPr>
                <w:sz w:val="22"/>
                <w:szCs w:val="22"/>
                <w:lang w:val="sk-SK"/>
              </w:rPr>
            </w:pPr>
            <w:r w:rsidRPr="00534FB2">
              <w:rPr>
                <w:sz w:val="22"/>
                <w:szCs w:val="22"/>
                <w:lang w:val="sk-SK"/>
              </w:rPr>
              <w:t>Menej časté</w:t>
            </w:r>
          </w:p>
        </w:tc>
        <w:tc>
          <w:tcPr>
            <w:tcW w:w="786" w:type="pct"/>
            <w:vAlign w:val="center"/>
          </w:tcPr>
          <w:p w14:paraId="1E31C44A"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76440300"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2A341914"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2A87AD13" w14:textId="77777777" w:rsidTr="000F0F4C">
        <w:trPr>
          <w:jc w:val="center"/>
        </w:trPr>
        <w:tc>
          <w:tcPr>
            <w:tcW w:w="829" w:type="pct"/>
            <w:vMerge/>
          </w:tcPr>
          <w:p w14:paraId="06887FF9" w14:textId="77777777" w:rsidR="004E64BA" w:rsidRPr="00534FB2" w:rsidRDefault="004E64BA" w:rsidP="004E64BA">
            <w:pPr>
              <w:rPr>
                <w:sz w:val="22"/>
                <w:szCs w:val="22"/>
                <w:lang w:val="sk-SK"/>
              </w:rPr>
            </w:pPr>
          </w:p>
        </w:tc>
        <w:tc>
          <w:tcPr>
            <w:tcW w:w="1134" w:type="pct"/>
            <w:vAlign w:val="center"/>
          </w:tcPr>
          <w:p w14:paraId="33F9D1C0" w14:textId="77777777" w:rsidR="00B72D0B" w:rsidRPr="00534FB2" w:rsidRDefault="00B72D0B" w:rsidP="00B72D0B">
            <w:pPr>
              <w:rPr>
                <w:sz w:val="22"/>
                <w:szCs w:val="22"/>
                <w:lang w:val="sk-SK"/>
              </w:rPr>
            </w:pPr>
            <w:r w:rsidRPr="00534FB2">
              <w:rPr>
                <w:sz w:val="22"/>
                <w:szCs w:val="22"/>
                <w:lang w:val="sk-SK"/>
              </w:rPr>
              <w:t>Arytmie (vrátane</w:t>
            </w:r>
          </w:p>
          <w:p w14:paraId="11F08972" w14:textId="77777777" w:rsidR="00B72D0B" w:rsidRPr="00534FB2" w:rsidRDefault="00B72D0B" w:rsidP="00B72D0B">
            <w:pPr>
              <w:rPr>
                <w:sz w:val="22"/>
                <w:szCs w:val="22"/>
                <w:lang w:val="sk-SK"/>
              </w:rPr>
            </w:pPr>
            <w:r w:rsidRPr="00534FB2">
              <w:rPr>
                <w:sz w:val="22"/>
                <w:szCs w:val="22"/>
                <w:lang w:val="sk-SK"/>
              </w:rPr>
              <w:t>bradykardie, komorovej</w:t>
            </w:r>
          </w:p>
          <w:p w14:paraId="53D593F5" w14:textId="77777777" w:rsidR="00B72D0B" w:rsidRPr="00534FB2" w:rsidRDefault="00B72D0B" w:rsidP="00B72D0B">
            <w:pPr>
              <w:rPr>
                <w:sz w:val="22"/>
                <w:szCs w:val="22"/>
                <w:lang w:val="sk-SK"/>
              </w:rPr>
            </w:pPr>
            <w:r w:rsidRPr="00534FB2">
              <w:rPr>
                <w:sz w:val="22"/>
                <w:szCs w:val="22"/>
                <w:lang w:val="sk-SK"/>
              </w:rPr>
              <w:t>tachykardie a fibrilácie</w:t>
            </w:r>
          </w:p>
          <w:p w14:paraId="3DA224AF" w14:textId="439A0B06" w:rsidR="004E64BA" w:rsidRPr="00534FB2" w:rsidRDefault="00B72D0B" w:rsidP="00B72D0B">
            <w:pPr>
              <w:rPr>
                <w:sz w:val="22"/>
                <w:szCs w:val="22"/>
                <w:lang w:val="sk-SK"/>
              </w:rPr>
            </w:pPr>
            <w:r w:rsidRPr="00534FB2">
              <w:rPr>
                <w:sz w:val="22"/>
                <w:szCs w:val="22"/>
                <w:lang w:val="sk-SK"/>
              </w:rPr>
              <w:t>predsiení)</w:t>
            </w:r>
          </w:p>
        </w:tc>
        <w:tc>
          <w:tcPr>
            <w:tcW w:w="786" w:type="pct"/>
            <w:vAlign w:val="center"/>
          </w:tcPr>
          <w:p w14:paraId="10663461"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190B563C" w14:textId="77777777" w:rsidR="008568DA" w:rsidRPr="00534FB2" w:rsidRDefault="008568DA" w:rsidP="008568DA">
            <w:pPr>
              <w:rPr>
                <w:sz w:val="22"/>
                <w:szCs w:val="22"/>
                <w:lang w:val="sk-SK"/>
              </w:rPr>
            </w:pPr>
            <w:r w:rsidRPr="00534FB2">
              <w:rPr>
                <w:sz w:val="22"/>
                <w:szCs w:val="22"/>
                <w:lang w:val="sk-SK"/>
              </w:rPr>
              <w:t>Veľmi</w:t>
            </w:r>
          </w:p>
          <w:p w14:paraId="3BF428CF" w14:textId="62F7F989" w:rsidR="004E64BA" w:rsidRPr="00534FB2" w:rsidRDefault="008568DA" w:rsidP="008568DA">
            <w:pPr>
              <w:rPr>
                <w:sz w:val="22"/>
                <w:szCs w:val="22"/>
                <w:lang w:val="sk-SK"/>
              </w:rPr>
            </w:pPr>
            <w:r w:rsidRPr="00534FB2">
              <w:rPr>
                <w:sz w:val="22"/>
                <w:szCs w:val="22"/>
                <w:lang w:val="sk-SK"/>
              </w:rPr>
              <w:t>zriedkavé</w:t>
            </w:r>
          </w:p>
        </w:tc>
        <w:tc>
          <w:tcPr>
            <w:tcW w:w="708" w:type="pct"/>
            <w:vAlign w:val="center"/>
          </w:tcPr>
          <w:p w14:paraId="20CE5030"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25E703C0" w14:textId="08EFF25E" w:rsidR="004E64BA" w:rsidRPr="00534FB2" w:rsidRDefault="008568DA" w:rsidP="004E64BA">
            <w:pPr>
              <w:rPr>
                <w:sz w:val="22"/>
                <w:szCs w:val="22"/>
                <w:lang w:val="sk-SK"/>
              </w:rPr>
            </w:pPr>
            <w:r w:rsidRPr="00534FB2">
              <w:rPr>
                <w:sz w:val="22"/>
                <w:szCs w:val="22"/>
                <w:lang w:val="sk-SK"/>
              </w:rPr>
              <w:t>Zriedkavé</w:t>
            </w:r>
          </w:p>
        </w:tc>
      </w:tr>
      <w:tr w:rsidR="004E64BA" w:rsidRPr="00534FB2" w14:paraId="7626D780" w14:textId="77777777" w:rsidTr="000F0F4C">
        <w:trPr>
          <w:jc w:val="center"/>
        </w:trPr>
        <w:tc>
          <w:tcPr>
            <w:tcW w:w="829" w:type="pct"/>
            <w:vMerge/>
          </w:tcPr>
          <w:p w14:paraId="320780F4" w14:textId="77777777" w:rsidR="004E64BA" w:rsidRPr="00534FB2" w:rsidRDefault="004E64BA" w:rsidP="004E64BA">
            <w:pPr>
              <w:rPr>
                <w:sz w:val="22"/>
                <w:szCs w:val="22"/>
                <w:lang w:val="sk-SK"/>
              </w:rPr>
            </w:pPr>
          </w:p>
        </w:tc>
        <w:tc>
          <w:tcPr>
            <w:tcW w:w="1134" w:type="pct"/>
            <w:vAlign w:val="center"/>
          </w:tcPr>
          <w:p w14:paraId="64EADC51" w14:textId="4D5C262C" w:rsidR="004E64BA" w:rsidRPr="00534FB2" w:rsidRDefault="00B72D0B" w:rsidP="004E64BA">
            <w:pPr>
              <w:rPr>
                <w:sz w:val="22"/>
                <w:szCs w:val="22"/>
                <w:lang w:val="sk-SK"/>
              </w:rPr>
            </w:pPr>
            <w:r w:rsidRPr="00534FB2">
              <w:rPr>
                <w:sz w:val="22"/>
                <w:szCs w:val="22"/>
                <w:lang w:val="sk-SK"/>
              </w:rPr>
              <w:t>Infarkt myokardu</w:t>
            </w:r>
          </w:p>
        </w:tc>
        <w:tc>
          <w:tcPr>
            <w:tcW w:w="786" w:type="pct"/>
            <w:vAlign w:val="center"/>
          </w:tcPr>
          <w:p w14:paraId="2112FACD"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38B60141" w14:textId="77777777" w:rsidR="008568DA" w:rsidRPr="00534FB2" w:rsidRDefault="008568DA" w:rsidP="008568DA">
            <w:pPr>
              <w:rPr>
                <w:sz w:val="22"/>
                <w:szCs w:val="22"/>
                <w:lang w:val="sk-SK"/>
              </w:rPr>
            </w:pPr>
            <w:r w:rsidRPr="00534FB2">
              <w:rPr>
                <w:sz w:val="22"/>
                <w:szCs w:val="22"/>
                <w:lang w:val="sk-SK"/>
              </w:rPr>
              <w:t>Veľmi</w:t>
            </w:r>
          </w:p>
          <w:p w14:paraId="702C491C" w14:textId="395AEB89" w:rsidR="004E64BA" w:rsidRPr="00534FB2" w:rsidRDefault="008568DA" w:rsidP="008568DA">
            <w:pPr>
              <w:rPr>
                <w:sz w:val="22"/>
                <w:szCs w:val="22"/>
                <w:lang w:val="sk-SK"/>
              </w:rPr>
            </w:pPr>
            <w:r w:rsidRPr="00534FB2">
              <w:rPr>
                <w:sz w:val="22"/>
                <w:szCs w:val="22"/>
                <w:lang w:val="sk-SK"/>
              </w:rPr>
              <w:t>zriedkavé</w:t>
            </w:r>
          </w:p>
        </w:tc>
        <w:tc>
          <w:tcPr>
            <w:tcW w:w="708" w:type="pct"/>
            <w:vAlign w:val="center"/>
          </w:tcPr>
          <w:p w14:paraId="6DFDB1AD"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8963974"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FFA42F5" w14:textId="77777777" w:rsidTr="000F0F4C">
        <w:trPr>
          <w:jc w:val="center"/>
        </w:trPr>
        <w:tc>
          <w:tcPr>
            <w:tcW w:w="829" w:type="pct"/>
            <w:vMerge w:val="restart"/>
          </w:tcPr>
          <w:p w14:paraId="4B264AD3" w14:textId="335CEBE8" w:rsidR="004E64BA" w:rsidRPr="00534FB2" w:rsidRDefault="00B72D0B" w:rsidP="004E64BA">
            <w:pPr>
              <w:rPr>
                <w:sz w:val="22"/>
                <w:szCs w:val="22"/>
                <w:lang w:val="sk-SK"/>
              </w:rPr>
            </w:pPr>
            <w:r w:rsidRPr="00534FB2">
              <w:rPr>
                <w:sz w:val="22"/>
                <w:szCs w:val="22"/>
                <w:lang w:val="sk-SK"/>
              </w:rPr>
              <w:t>Poruchy ciev</w:t>
            </w:r>
          </w:p>
        </w:tc>
        <w:tc>
          <w:tcPr>
            <w:tcW w:w="1134" w:type="pct"/>
            <w:vAlign w:val="center"/>
          </w:tcPr>
          <w:p w14:paraId="17116E46" w14:textId="64720067" w:rsidR="004E64BA" w:rsidRPr="00534FB2" w:rsidRDefault="00B72D0B" w:rsidP="004E64BA">
            <w:pPr>
              <w:rPr>
                <w:sz w:val="22"/>
                <w:szCs w:val="22"/>
                <w:lang w:val="sk-SK"/>
              </w:rPr>
            </w:pPr>
            <w:r w:rsidRPr="00534FB2">
              <w:rPr>
                <w:sz w:val="22"/>
                <w:szCs w:val="22"/>
                <w:lang w:val="sk-SK"/>
              </w:rPr>
              <w:t>Sčerven</w:t>
            </w:r>
            <w:r w:rsidR="00B0781B">
              <w:rPr>
                <w:sz w:val="22"/>
                <w:szCs w:val="22"/>
                <w:lang w:val="sk-SK"/>
              </w:rPr>
              <w:t>e</w:t>
            </w:r>
            <w:r w:rsidRPr="00534FB2">
              <w:rPr>
                <w:sz w:val="22"/>
                <w:szCs w:val="22"/>
                <w:lang w:val="sk-SK"/>
              </w:rPr>
              <w:t>nie</w:t>
            </w:r>
          </w:p>
        </w:tc>
        <w:tc>
          <w:tcPr>
            <w:tcW w:w="786" w:type="pct"/>
            <w:vAlign w:val="center"/>
          </w:tcPr>
          <w:p w14:paraId="12C0434E"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74E2D2F0" w14:textId="506CFA30" w:rsidR="004E64BA" w:rsidRPr="00534FB2" w:rsidRDefault="008568DA" w:rsidP="004E64BA">
            <w:pPr>
              <w:rPr>
                <w:sz w:val="22"/>
                <w:szCs w:val="22"/>
                <w:lang w:val="sk-SK"/>
              </w:rPr>
            </w:pPr>
            <w:r w:rsidRPr="00534FB2">
              <w:rPr>
                <w:sz w:val="22"/>
                <w:szCs w:val="22"/>
                <w:lang w:val="sk-SK"/>
              </w:rPr>
              <w:t>Časté</w:t>
            </w:r>
          </w:p>
        </w:tc>
        <w:tc>
          <w:tcPr>
            <w:tcW w:w="708" w:type="pct"/>
            <w:vAlign w:val="center"/>
          </w:tcPr>
          <w:p w14:paraId="3CC3259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2585FAFB"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609E0838" w14:textId="77777777" w:rsidTr="000F0F4C">
        <w:trPr>
          <w:jc w:val="center"/>
        </w:trPr>
        <w:tc>
          <w:tcPr>
            <w:tcW w:w="829" w:type="pct"/>
            <w:vMerge/>
          </w:tcPr>
          <w:p w14:paraId="5EE76753" w14:textId="77777777" w:rsidR="004E64BA" w:rsidRPr="00534FB2" w:rsidRDefault="004E64BA" w:rsidP="004E64BA">
            <w:pPr>
              <w:rPr>
                <w:sz w:val="22"/>
                <w:szCs w:val="22"/>
                <w:lang w:val="sk-SK"/>
              </w:rPr>
            </w:pPr>
          </w:p>
        </w:tc>
        <w:tc>
          <w:tcPr>
            <w:tcW w:w="1134" w:type="pct"/>
            <w:vAlign w:val="center"/>
          </w:tcPr>
          <w:p w14:paraId="6E73CF70" w14:textId="3B904C50" w:rsidR="004E64BA" w:rsidRPr="00534FB2" w:rsidRDefault="00B72D0B" w:rsidP="004E64BA">
            <w:pPr>
              <w:rPr>
                <w:sz w:val="22"/>
                <w:szCs w:val="22"/>
                <w:lang w:val="sk-SK"/>
              </w:rPr>
            </w:pPr>
            <w:r w:rsidRPr="00534FB2">
              <w:rPr>
                <w:sz w:val="22"/>
                <w:szCs w:val="22"/>
                <w:lang w:val="sk-SK"/>
              </w:rPr>
              <w:t>Hypotenzia</w:t>
            </w:r>
          </w:p>
        </w:tc>
        <w:tc>
          <w:tcPr>
            <w:tcW w:w="786" w:type="pct"/>
            <w:vAlign w:val="center"/>
          </w:tcPr>
          <w:p w14:paraId="6BE9F84A" w14:textId="6CEDE1A6" w:rsidR="004E64BA" w:rsidRPr="00534FB2" w:rsidRDefault="008568DA" w:rsidP="004E64BA">
            <w:pPr>
              <w:rPr>
                <w:sz w:val="22"/>
                <w:szCs w:val="22"/>
                <w:lang w:val="sk-SK"/>
              </w:rPr>
            </w:pPr>
            <w:r w:rsidRPr="00534FB2">
              <w:rPr>
                <w:sz w:val="22"/>
                <w:szCs w:val="22"/>
                <w:lang w:val="sk-SK"/>
              </w:rPr>
              <w:t>Časté</w:t>
            </w:r>
          </w:p>
        </w:tc>
        <w:tc>
          <w:tcPr>
            <w:tcW w:w="786" w:type="pct"/>
            <w:vAlign w:val="center"/>
          </w:tcPr>
          <w:p w14:paraId="09E731C9" w14:textId="3E30BAE2" w:rsidR="004E64BA" w:rsidRPr="00534FB2" w:rsidRDefault="008568DA" w:rsidP="004E64BA">
            <w:pPr>
              <w:rPr>
                <w:sz w:val="22"/>
                <w:szCs w:val="22"/>
                <w:lang w:val="sk-SK"/>
              </w:rPr>
            </w:pPr>
            <w:r w:rsidRPr="00534FB2">
              <w:rPr>
                <w:sz w:val="22"/>
                <w:szCs w:val="22"/>
                <w:lang w:val="sk-SK"/>
              </w:rPr>
              <w:t>Menej časté</w:t>
            </w:r>
          </w:p>
        </w:tc>
        <w:tc>
          <w:tcPr>
            <w:tcW w:w="708" w:type="pct"/>
            <w:vAlign w:val="center"/>
          </w:tcPr>
          <w:p w14:paraId="056DAC16"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5B6F8715"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344BCDA2" w14:textId="77777777" w:rsidTr="000F0F4C">
        <w:trPr>
          <w:jc w:val="center"/>
        </w:trPr>
        <w:tc>
          <w:tcPr>
            <w:tcW w:w="829" w:type="pct"/>
            <w:vMerge/>
          </w:tcPr>
          <w:p w14:paraId="29AE3326" w14:textId="77777777" w:rsidR="004E64BA" w:rsidRPr="00534FB2" w:rsidRDefault="004E64BA" w:rsidP="004E64BA">
            <w:pPr>
              <w:rPr>
                <w:sz w:val="22"/>
                <w:szCs w:val="22"/>
                <w:lang w:val="sk-SK"/>
              </w:rPr>
            </w:pPr>
          </w:p>
        </w:tc>
        <w:tc>
          <w:tcPr>
            <w:tcW w:w="1134" w:type="pct"/>
            <w:vAlign w:val="center"/>
          </w:tcPr>
          <w:p w14:paraId="1AECF460" w14:textId="45D8C147" w:rsidR="004E64BA" w:rsidRPr="00534FB2" w:rsidRDefault="00B72D0B" w:rsidP="004E64BA">
            <w:pPr>
              <w:rPr>
                <w:sz w:val="22"/>
                <w:szCs w:val="22"/>
                <w:lang w:val="sk-SK"/>
              </w:rPr>
            </w:pPr>
            <w:r w:rsidRPr="00534FB2">
              <w:rPr>
                <w:sz w:val="22"/>
                <w:szCs w:val="22"/>
                <w:lang w:val="sk-SK"/>
              </w:rPr>
              <w:t>Ortostatická hypotenzia</w:t>
            </w:r>
          </w:p>
        </w:tc>
        <w:tc>
          <w:tcPr>
            <w:tcW w:w="786" w:type="pct"/>
            <w:vAlign w:val="center"/>
          </w:tcPr>
          <w:p w14:paraId="0F67C9DD" w14:textId="384C1FD2" w:rsidR="004E64BA" w:rsidRPr="00534FB2" w:rsidRDefault="008568DA" w:rsidP="004E64BA">
            <w:pPr>
              <w:rPr>
                <w:sz w:val="22"/>
                <w:szCs w:val="22"/>
                <w:lang w:val="sk-SK"/>
              </w:rPr>
            </w:pPr>
            <w:r w:rsidRPr="00534FB2">
              <w:rPr>
                <w:sz w:val="22"/>
                <w:szCs w:val="22"/>
                <w:lang w:val="sk-SK"/>
              </w:rPr>
              <w:t>Menej časté</w:t>
            </w:r>
          </w:p>
        </w:tc>
        <w:tc>
          <w:tcPr>
            <w:tcW w:w="786" w:type="pct"/>
            <w:vAlign w:val="center"/>
          </w:tcPr>
          <w:p w14:paraId="1BB7E599"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78EFEEE7"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27AD0955" w14:textId="239C4310" w:rsidR="004E64BA" w:rsidRPr="00534FB2" w:rsidRDefault="008568DA" w:rsidP="004E64BA">
            <w:pPr>
              <w:rPr>
                <w:sz w:val="22"/>
                <w:szCs w:val="22"/>
                <w:lang w:val="sk-SK"/>
              </w:rPr>
            </w:pPr>
            <w:r w:rsidRPr="00534FB2">
              <w:rPr>
                <w:sz w:val="22"/>
                <w:szCs w:val="22"/>
                <w:lang w:val="sk-SK"/>
              </w:rPr>
              <w:t>Časté</w:t>
            </w:r>
          </w:p>
        </w:tc>
      </w:tr>
      <w:tr w:rsidR="004E64BA" w:rsidRPr="00534FB2" w14:paraId="2FBA67D9" w14:textId="77777777" w:rsidTr="000F0F4C">
        <w:trPr>
          <w:jc w:val="center"/>
        </w:trPr>
        <w:tc>
          <w:tcPr>
            <w:tcW w:w="829" w:type="pct"/>
            <w:vMerge/>
          </w:tcPr>
          <w:p w14:paraId="5B1C8BD4" w14:textId="77777777" w:rsidR="004E64BA" w:rsidRPr="00534FB2" w:rsidRDefault="004E64BA" w:rsidP="004E64BA">
            <w:pPr>
              <w:rPr>
                <w:sz w:val="22"/>
                <w:szCs w:val="22"/>
                <w:lang w:val="sk-SK"/>
              </w:rPr>
            </w:pPr>
          </w:p>
        </w:tc>
        <w:tc>
          <w:tcPr>
            <w:tcW w:w="1134" w:type="pct"/>
            <w:vAlign w:val="center"/>
          </w:tcPr>
          <w:p w14:paraId="4BC9D77E" w14:textId="77777777" w:rsidR="00B72D0B" w:rsidRPr="00534FB2" w:rsidRDefault="00B72D0B" w:rsidP="00B72D0B">
            <w:pPr>
              <w:rPr>
                <w:sz w:val="22"/>
                <w:szCs w:val="22"/>
                <w:lang w:val="sk-SK"/>
              </w:rPr>
            </w:pPr>
            <w:r w:rsidRPr="00534FB2">
              <w:rPr>
                <w:sz w:val="22"/>
                <w:szCs w:val="22"/>
                <w:lang w:val="sk-SK"/>
              </w:rPr>
              <w:t>Flebitída,</w:t>
            </w:r>
          </w:p>
          <w:p w14:paraId="712D24E5" w14:textId="195CD8B7" w:rsidR="004E64BA" w:rsidRPr="00534FB2" w:rsidRDefault="00B72D0B" w:rsidP="00B72D0B">
            <w:pPr>
              <w:rPr>
                <w:sz w:val="22"/>
                <w:szCs w:val="22"/>
                <w:lang w:val="sk-SK"/>
              </w:rPr>
            </w:pPr>
            <w:r w:rsidRPr="00534FB2">
              <w:rPr>
                <w:sz w:val="22"/>
                <w:szCs w:val="22"/>
                <w:lang w:val="sk-SK"/>
              </w:rPr>
              <w:t>tromboflebitída</w:t>
            </w:r>
          </w:p>
        </w:tc>
        <w:tc>
          <w:tcPr>
            <w:tcW w:w="786" w:type="pct"/>
            <w:vAlign w:val="center"/>
          </w:tcPr>
          <w:p w14:paraId="6BED6012" w14:textId="5CCFF7FD" w:rsidR="004E64BA" w:rsidRPr="00534FB2" w:rsidRDefault="008568DA" w:rsidP="004E64BA">
            <w:pPr>
              <w:rPr>
                <w:sz w:val="22"/>
                <w:szCs w:val="22"/>
                <w:lang w:val="sk-SK"/>
              </w:rPr>
            </w:pPr>
            <w:r w:rsidRPr="00534FB2">
              <w:rPr>
                <w:sz w:val="22"/>
                <w:szCs w:val="22"/>
                <w:lang w:val="sk-SK"/>
              </w:rPr>
              <w:t>Menej časté</w:t>
            </w:r>
          </w:p>
        </w:tc>
        <w:tc>
          <w:tcPr>
            <w:tcW w:w="786" w:type="pct"/>
            <w:vAlign w:val="center"/>
          </w:tcPr>
          <w:p w14:paraId="0C8B8E8D"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60E85C03"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4D1EC00C"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019D28E7" w14:textId="77777777" w:rsidTr="000F0F4C">
        <w:trPr>
          <w:jc w:val="center"/>
        </w:trPr>
        <w:tc>
          <w:tcPr>
            <w:tcW w:w="829" w:type="pct"/>
            <w:vMerge/>
          </w:tcPr>
          <w:p w14:paraId="1D2EC15B" w14:textId="77777777" w:rsidR="004E64BA" w:rsidRPr="00534FB2" w:rsidRDefault="004E64BA" w:rsidP="004E64BA">
            <w:pPr>
              <w:rPr>
                <w:sz w:val="22"/>
                <w:szCs w:val="22"/>
                <w:lang w:val="sk-SK"/>
              </w:rPr>
            </w:pPr>
          </w:p>
        </w:tc>
        <w:tc>
          <w:tcPr>
            <w:tcW w:w="1134" w:type="pct"/>
            <w:vAlign w:val="center"/>
          </w:tcPr>
          <w:p w14:paraId="25BC8B83" w14:textId="2A003686" w:rsidR="004E64BA" w:rsidRPr="00534FB2" w:rsidRDefault="00B72D0B" w:rsidP="004E64BA">
            <w:pPr>
              <w:rPr>
                <w:sz w:val="22"/>
                <w:szCs w:val="22"/>
                <w:lang w:val="sk-SK"/>
              </w:rPr>
            </w:pPr>
            <w:r w:rsidRPr="00534FB2">
              <w:rPr>
                <w:sz w:val="22"/>
                <w:szCs w:val="22"/>
                <w:lang w:val="sk-SK"/>
              </w:rPr>
              <w:t>Vaskulitída</w:t>
            </w:r>
          </w:p>
        </w:tc>
        <w:tc>
          <w:tcPr>
            <w:tcW w:w="786" w:type="pct"/>
            <w:vAlign w:val="center"/>
          </w:tcPr>
          <w:p w14:paraId="4D40F70E"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2E617DE9" w14:textId="77777777" w:rsidR="008568DA" w:rsidRPr="00534FB2" w:rsidRDefault="008568DA" w:rsidP="008568DA">
            <w:pPr>
              <w:rPr>
                <w:sz w:val="22"/>
                <w:szCs w:val="22"/>
                <w:lang w:val="sk-SK"/>
              </w:rPr>
            </w:pPr>
            <w:r w:rsidRPr="00534FB2">
              <w:rPr>
                <w:sz w:val="22"/>
                <w:szCs w:val="22"/>
                <w:lang w:val="sk-SK"/>
              </w:rPr>
              <w:t>Veľmi</w:t>
            </w:r>
          </w:p>
          <w:p w14:paraId="5052C574" w14:textId="6D2828E9" w:rsidR="004E64BA" w:rsidRPr="00534FB2" w:rsidRDefault="008568DA" w:rsidP="008568DA">
            <w:pPr>
              <w:rPr>
                <w:sz w:val="22"/>
                <w:szCs w:val="22"/>
                <w:lang w:val="sk-SK"/>
              </w:rPr>
            </w:pPr>
            <w:r w:rsidRPr="00534FB2">
              <w:rPr>
                <w:sz w:val="22"/>
                <w:szCs w:val="22"/>
                <w:lang w:val="sk-SK"/>
              </w:rPr>
              <w:t>zriedkavé</w:t>
            </w:r>
          </w:p>
        </w:tc>
        <w:tc>
          <w:tcPr>
            <w:tcW w:w="708" w:type="pct"/>
            <w:vAlign w:val="center"/>
          </w:tcPr>
          <w:p w14:paraId="126DC62A" w14:textId="661C4C0E" w:rsidR="004E64BA" w:rsidRPr="00534FB2" w:rsidRDefault="008568DA" w:rsidP="004E64BA">
            <w:pPr>
              <w:rPr>
                <w:sz w:val="22"/>
                <w:szCs w:val="22"/>
                <w:lang w:val="sk-SK"/>
              </w:rPr>
            </w:pPr>
            <w:r w:rsidRPr="00534FB2">
              <w:rPr>
                <w:sz w:val="22"/>
                <w:szCs w:val="22"/>
                <w:lang w:val="sk-SK"/>
              </w:rPr>
              <w:t>Neznáme</w:t>
            </w:r>
          </w:p>
        </w:tc>
        <w:tc>
          <w:tcPr>
            <w:tcW w:w="757" w:type="pct"/>
            <w:vAlign w:val="center"/>
          </w:tcPr>
          <w:p w14:paraId="1857F6A0"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679D55AB" w14:textId="77777777" w:rsidTr="000F0F4C">
        <w:trPr>
          <w:jc w:val="center"/>
        </w:trPr>
        <w:tc>
          <w:tcPr>
            <w:tcW w:w="829" w:type="pct"/>
            <w:vMerge w:val="restart"/>
          </w:tcPr>
          <w:p w14:paraId="763DF741" w14:textId="77777777" w:rsidR="00B72D0B" w:rsidRPr="00534FB2" w:rsidRDefault="00B72D0B" w:rsidP="00B72D0B">
            <w:pPr>
              <w:rPr>
                <w:sz w:val="22"/>
                <w:szCs w:val="22"/>
                <w:lang w:val="sk-SK"/>
              </w:rPr>
            </w:pPr>
            <w:r w:rsidRPr="00534FB2">
              <w:rPr>
                <w:sz w:val="22"/>
                <w:szCs w:val="22"/>
                <w:lang w:val="sk-SK"/>
              </w:rPr>
              <w:t>Poruchy dýchacej</w:t>
            </w:r>
          </w:p>
          <w:p w14:paraId="42436D6D" w14:textId="77777777" w:rsidR="00B72D0B" w:rsidRPr="00534FB2" w:rsidRDefault="00B72D0B" w:rsidP="00B72D0B">
            <w:pPr>
              <w:rPr>
                <w:sz w:val="22"/>
                <w:szCs w:val="22"/>
                <w:lang w:val="sk-SK"/>
              </w:rPr>
            </w:pPr>
            <w:r w:rsidRPr="00534FB2">
              <w:rPr>
                <w:sz w:val="22"/>
                <w:szCs w:val="22"/>
                <w:lang w:val="sk-SK"/>
              </w:rPr>
              <w:t>sústavy, hrudníka</w:t>
            </w:r>
          </w:p>
          <w:p w14:paraId="0536D20E" w14:textId="2FC9CF55" w:rsidR="004E64BA" w:rsidRPr="00534FB2" w:rsidRDefault="00B72D0B" w:rsidP="00B72D0B">
            <w:pPr>
              <w:rPr>
                <w:sz w:val="22"/>
                <w:szCs w:val="22"/>
                <w:lang w:val="sk-SK"/>
              </w:rPr>
            </w:pPr>
            <w:r w:rsidRPr="00534FB2">
              <w:rPr>
                <w:sz w:val="22"/>
                <w:szCs w:val="22"/>
                <w:lang w:val="sk-SK"/>
              </w:rPr>
              <w:t>a mediastína</w:t>
            </w:r>
          </w:p>
        </w:tc>
        <w:tc>
          <w:tcPr>
            <w:tcW w:w="1134" w:type="pct"/>
            <w:vAlign w:val="center"/>
          </w:tcPr>
          <w:p w14:paraId="2325160A" w14:textId="7B8647F3" w:rsidR="004E64BA" w:rsidRPr="00534FB2" w:rsidRDefault="00B72D0B" w:rsidP="004E64BA">
            <w:pPr>
              <w:keepNext/>
              <w:keepLines/>
              <w:rPr>
                <w:sz w:val="22"/>
                <w:szCs w:val="22"/>
                <w:lang w:val="sk-SK"/>
              </w:rPr>
            </w:pPr>
            <w:r w:rsidRPr="00534FB2">
              <w:rPr>
                <w:sz w:val="22"/>
                <w:szCs w:val="22"/>
                <w:lang w:val="sk-SK"/>
              </w:rPr>
              <w:t>Kašeľ</w:t>
            </w:r>
          </w:p>
        </w:tc>
        <w:tc>
          <w:tcPr>
            <w:tcW w:w="786" w:type="pct"/>
            <w:vAlign w:val="center"/>
          </w:tcPr>
          <w:p w14:paraId="60CB5062" w14:textId="70312150" w:rsidR="004E64BA" w:rsidRPr="00534FB2" w:rsidRDefault="008568DA" w:rsidP="004E64BA">
            <w:pPr>
              <w:keepNext/>
              <w:keepLines/>
              <w:rPr>
                <w:sz w:val="22"/>
                <w:szCs w:val="22"/>
                <w:lang w:val="sk-SK"/>
              </w:rPr>
            </w:pPr>
            <w:r w:rsidRPr="00534FB2">
              <w:rPr>
                <w:sz w:val="22"/>
                <w:szCs w:val="22"/>
                <w:lang w:val="sk-SK"/>
              </w:rPr>
              <w:t>Menej časté</w:t>
            </w:r>
          </w:p>
        </w:tc>
        <w:tc>
          <w:tcPr>
            <w:tcW w:w="786" w:type="pct"/>
            <w:vAlign w:val="center"/>
          </w:tcPr>
          <w:p w14:paraId="7793A8D3" w14:textId="77777777" w:rsidR="008568DA" w:rsidRPr="00534FB2" w:rsidRDefault="008568DA" w:rsidP="008568DA">
            <w:pPr>
              <w:keepNext/>
              <w:keepLines/>
              <w:rPr>
                <w:sz w:val="22"/>
                <w:szCs w:val="22"/>
                <w:lang w:val="sk-SK"/>
              </w:rPr>
            </w:pPr>
            <w:r w:rsidRPr="00534FB2">
              <w:rPr>
                <w:sz w:val="22"/>
                <w:szCs w:val="22"/>
                <w:lang w:val="sk-SK"/>
              </w:rPr>
              <w:t>Veľmi</w:t>
            </w:r>
          </w:p>
          <w:p w14:paraId="72D7BCD7" w14:textId="76C095B1" w:rsidR="004E64BA" w:rsidRPr="00534FB2" w:rsidRDefault="008568DA" w:rsidP="008568DA">
            <w:pPr>
              <w:keepNext/>
              <w:keepLines/>
              <w:rPr>
                <w:sz w:val="22"/>
                <w:szCs w:val="22"/>
                <w:lang w:val="sk-SK"/>
              </w:rPr>
            </w:pPr>
            <w:r w:rsidRPr="00534FB2">
              <w:rPr>
                <w:sz w:val="22"/>
                <w:szCs w:val="22"/>
                <w:lang w:val="sk-SK"/>
              </w:rPr>
              <w:t>zriedkavé</w:t>
            </w:r>
          </w:p>
        </w:tc>
        <w:tc>
          <w:tcPr>
            <w:tcW w:w="708" w:type="pct"/>
            <w:vAlign w:val="center"/>
          </w:tcPr>
          <w:p w14:paraId="59748894" w14:textId="3770C5C4" w:rsidR="004E64BA" w:rsidRPr="00534FB2" w:rsidRDefault="008568DA" w:rsidP="004E64BA">
            <w:pPr>
              <w:keepNext/>
              <w:keepLines/>
              <w:rPr>
                <w:sz w:val="22"/>
                <w:szCs w:val="22"/>
                <w:lang w:val="sk-SK"/>
              </w:rPr>
            </w:pPr>
            <w:r w:rsidRPr="00534FB2">
              <w:rPr>
                <w:sz w:val="22"/>
                <w:szCs w:val="22"/>
                <w:lang w:val="sk-SK"/>
              </w:rPr>
              <w:t>Menej časté</w:t>
            </w:r>
          </w:p>
        </w:tc>
        <w:tc>
          <w:tcPr>
            <w:tcW w:w="757" w:type="pct"/>
            <w:vAlign w:val="center"/>
          </w:tcPr>
          <w:p w14:paraId="66A874FF" w14:textId="77777777" w:rsidR="004E64BA" w:rsidRPr="00534FB2" w:rsidRDefault="004E64BA" w:rsidP="004E64BA">
            <w:pPr>
              <w:keepNext/>
              <w:keepLines/>
              <w:rPr>
                <w:sz w:val="22"/>
                <w:szCs w:val="22"/>
                <w:lang w:val="sk-SK"/>
              </w:rPr>
            </w:pPr>
            <w:r w:rsidRPr="00534FB2">
              <w:rPr>
                <w:sz w:val="22"/>
                <w:szCs w:val="22"/>
                <w:lang w:val="sk-SK"/>
              </w:rPr>
              <w:t>-</w:t>
            </w:r>
          </w:p>
        </w:tc>
      </w:tr>
      <w:tr w:rsidR="004E64BA" w:rsidRPr="00534FB2" w14:paraId="08275E5A" w14:textId="77777777" w:rsidTr="000F0F4C">
        <w:trPr>
          <w:jc w:val="center"/>
        </w:trPr>
        <w:tc>
          <w:tcPr>
            <w:tcW w:w="829" w:type="pct"/>
            <w:vMerge/>
          </w:tcPr>
          <w:p w14:paraId="19EC64B4" w14:textId="77777777" w:rsidR="004E64BA" w:rsidRPr="00534FB2" w:rsidRDefault="004E64BA" w:rsidP="004E64BA">
            <w:pPr>
              <w:rPr>
                <w:sz w:val="22"/>
                <w:szCs w:val="22"/>
                <w:lang w:val="sk-SK"/>
              </w:rPr>
            </w:pPr>
          </w:p>
        </w:tc>
        <w:tc>
          <w:tcPr>
            <w:tcW w:w="1134" w:type="pct"/>
            <w:vAlign w:val="center"/>
          </w:tcPr>
          <w:p w14:paraId="1CE0103B" w14:textId="6A53F9AB" w:rsidR="004E64BA" w:rsidRPr="00534FB2" w:rsidRDefault="00B72D0B" w:rsidP="004E64BA">
            <w:pPr>
              <w:keepNext/>
              <w:keepLines/>
              <w:rPr>
                <w:sz w:val="22"/>
                <w:szCs w:val="22"/>
                <w:lang w:val="sk-SK"/>
              </w:rPr>
            </w:pPr>
            <w:r w:rsidRPr="00534FB2">
              <w:rPr>
                <w:sz w:val="22"/>
                <w:szCs w:val="22"/>
                <w:lang w:val="sk-SK"/>
              </w:rPr>
              <w:t>Dyspnoe</w:t>
            </w:r>
          </w:p>
        </w:tc>
        <w:tc>
          <w:tcPr>
            <w:tcW w:w="786" w:type="pct"/>
            <w:vAlign w:val="center"/>
          </w:tcPr>
          <w:p w14:paraId="5ADB5BCF" w14:textId="25462340" w:rsidR="004E64BA" w:rsidRPr="00534FB2" w:rsidRDefault="008568DA" w:rsidP="004E64BA">
            <w:pPr>
              <w:keepNext/>
              <w:keepLines/>
              <w:rPr>
                <w:sz w:val="22"/>
                <w:szCs w:val="22"/>
                <w:lang w:val="sk-SK"/>
              </w:rPr>
            </w:pPr>
            <w:r w:rsidRPr="00534FB2">
              <w:rPr>
                <w:sz w:val="22"/>
                <w:szCs w:val="22"/>
                <w:lang w:val="sk-SK"/>
              </w:rPr>
              <w:t>Menej časté</w:t>
            </w:r>
          </w:p>
        </w:tc>
        <w:tc>
          <w:tcPr>
            <w:tcW w:w="786" w:type="pct"/>
            <w:vAlign w:val="center"/>
          </w:tcPr>
          <w:p w14:paraId="2C5DECC4" w14:textId="327DABAE" w:rsidR="004E64BA" w:rsidRPr="00534FB2" w:rsidRDefault="008568DA" w:rsidP="004E64BA">
            <w:pPr>
              <w:keepNext/>
              <w:keepLines/>
              <w:rPr>
                <w:sz w:val="22"/>
                <w:szCs w:val="22"/>
                <w:lang w:val="sk-SK"/>
              </w:rPr>
            </w:pPr>
            <w:r w:rsidRPr="00534FB2">
              <w:rPr>
                <w:sz w:val="22"/>
                <w:szCs w:val="22"/>
                <w:lang w:val="sk-SK"/>
              </w:rPr>
              <w:t>Menej časté</w:t>
            </w:r>
          </w:p>
        </w:tc>
        <w:tc>
          <w:tcPr>
            <w:tcW w:w="708" w:type="pct"/>
            <w:vAlign w:val="center"/>
          </w:tcPr>
          <w:p w14:paraId="2A50E981" w14:textId="77777777" w:rsidR="004E64BA" w:rsidRPr="00534FB2" w:rsidRDefault="004E64BA" w:rsidP="004E64BA">
            <w:pPr>
              <w:keepNext/>
              <w:keepLines/>
              <w:rPr>
                <w:sz w:val="22"/>
                <w:szCs w:val="22"/>
                <w:lang w:val="sk-SK"/>
              </w:rPr>
            </w:pPr>
            <w:r w:rsidRPr="00534FB2">
              <w:rPr>
                <w:sz w:val="22"/>
                <w:szCs w:val="22"/>
                <w:lang w:val="sk-SK"/>
              </w:rPr>
              <w:t>-</w:t>
            </w:r>
          </w:p>
        </w:tc>
        <w:tc>
          <w:tcPr>
            <w:tcW w:w="757" w:type="pct"/>
            <w:vAlign w:val="center"/>
          </w:tcPr>
          <w:p w14:paraId="7D1ACC95" w14:textId="77777777" w:rsidR="004E64BA" w:rsidRPr="00534FB2" w:rsidRDefault="004E64BA" w:rsidP="004E64BA">
            <w:pPr>
              <w:keepNext/>
              <w:keepLines/>
              <w:rPr>
                <w:sz w:val="22"/>
                <w:szCs w:val="22"/>
                <w:lang w:val="sk-SK"/>
              </w:rPr>
            </w:pPr>
            <w:r w:rsidRPr="00534FB2">
              <w:rPr>
                <w:sz w:val="22"/>
                <w:szCs w:val="22"/>
                <w:lang w:val="sk-SK"/>
              </w:rPr>
              <w:t>-</w:t>
            </w:r>
          </w:p>
        </w:tc>
      </w:tr>
      <w:tr w:rsidR="004E64BA" w:rsidRPr="00534FB2" w14:paraId="18059245" w14:textId="77777777" w:rsidTr="000F0F4C">
        <w:trPr>
          <w:jc w:val="center"/>
        </w:trPr>
        <w:tc>
          <w:tcPr>
            <w:tcW w:w="829" w:type="pct"/>
            <w:vMerge/>
          </w:tcPr>
          <w:p w14:paraId="695B5DA9" w14:textId="77777777" w:rsidR="004E64BA" w:rsidRPr="00534FB2" w:rsidRDefault="004E64BA" w:rsidP="004E64BA">
            <w:pPr>
              <w:rPr>
                <w:sz w:val="22"/>
                <w:szCs w:val="22"/>
                <w:lang w:val="sk-SK"/>
              </w:rPr>
            </w:pPr>
          </w:p>
        </w:tc>
        <w:tc>
          <w:tcPr>
            <w:tcW w:w="1134" w:type="pct"/>
            <w:vAlign w:val="center"/>
          </w:tcPr>
          <w:p w14:paraId="60942969" w14:textId="77777777" w:rsidR="00B72D0B" w:rsidRPr="00534FB2" w:rsidRDefault="00B72D0B" w:rsidP="00B72D0B">
            <w:pPr>
              <w:rPr>
                <w:sz w:val="22"/>
                <w:szCs w:val="22"/>
                <w:lang w:val="sk-SK"/>
              </w:rPr>
            </w:pPr>
            <w:r w:rsidRPr="00534FB2">
              <w:rPr>
                <w:sz w:val="22"/>
                <w:szCs w:val="22"/>
                <w:lang w:val="sk-SK"/>
              </w:rPr>
              <w:t>Respiračná tieseň,</w:t>
            </w:r>
          </w:p>
          <w:p w14:paraId="2F05919D" w14:textId="77777777" w:rsidR="00B72D0B" w:rsidRPr="00534FB2" w:rsidRDefault="00B72D0B" w:rsidP="00B72D0B">
            <w:pPr>
              <w:rPr>
                <w:sz w:val="22"/>
                <w:szCs w:val="22"/>
                <w:lang w:val="sk-SK"/>
              </w:rPr>
            </w:pPr>
            <w:r w:rsidRPr="00534FB2">
              <w:rPr>
                <w:sz w:val="22"/>
                <w:szCs w:val="22"/>
                <w:lang w:val="sk-SK"/>
              </w:rPr>
              <w:t>pľúcny edém,</w:t>
            </w:r>
          </w:p>
          <w:p w14:paraId="71251AB9" w14:textId="03B0002B" w:rsidR="004E64BA" w:rsidRPr="00534FB2" w:rsidRDefault="00B72D0B" w:rsidP="00B72D0B">
            <w:pPr>
              <w:rPr>
                <w:sz w:val="22"/>
                <w:szCs w:val="22"/>
                <w:lang w:val="sk-SK"/>
              </w:rPr>
            </w:pPr>
            <w:r w:rsidRPr="00534FB2">
              <w:rPr>
                <w:sz w:val="22"/>
                <w:szCs w:val="22"/>
                <w:lang w:val="sk-SK"/>
              </w:rPr>
              <w:t>pneumonitída</w:t>
            </w:r>
          </w:p>
        </w:tc>
        <w:tc>
          <w:tcPr>
            <w:tcW w:w="786" w:type="pct"/>
            <w:vAlign w:val="center"/>
          </w:tcPr>
          <w:p w14:paraId="377F0E7D"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205B9ED0"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75E85D63"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498D8DFA" w14:textId="77777777" w:rsidR="00B72D0B" w:rsidRPr="00534FB2" w:rsidRDefault="00B72D0B" w:rsidP="00B72D0B">
            <w:pPr>
              <w:rPr>
                <w:sz w:val="22"/>
                <w:szCs w:val="22"/>
                <w:lang w:val="sk-SK"/>
              </w:rPr>
            </w:pPr>
            <w:r w:rsidRPr="00534FB2">
              <w:rPr>
                <w:sz w:val="22"/>
                <w:szCs w:val="22"/>
                <w:lang w:val="sk-SK"/>
              </w:rPr>
              <w:t>Veľmi</w:t>
            </w:r>
          </w:p>
          <w:p w14:paraId="6E539845" w14:textId="6C536E1D" w:rsidR="004E64BA" w:rsidRPr="00534FB2" w:rsidRDefault="002F0210" w:rsidP="00B72D0B">
            <w:pPr>
              <w:rPr>
                <w:sz w:val="22"/>
                <w:szCs w:val="22"/>
                <w:lang w:val="sk-SK"/>
              </w:rPr>
            </w:pPr>
            <w:r w:rsidRPr="00534FB2">
              <w:rPr>
                <w:sz w:val="22"/>
                <w:szCs w:val="22"/>
                <w:lang w:val="sk-SK"/>
              </w:rPr>
              <w:t>z</w:t>
            </w:r>
            <w:r w:rsidR="00B72D0B" w:rsidRPr="00534FB2">
              <w:rPr>
                <w:sz w:val="22"/>
                <w:szCs w:val="22"/>
                <w:lang w:val="sk-SK"/>
              </w:rPr>
              <w:t>riedkavé</w:t>
            </w:r>
          </w:p>
        </w:tc>
      </w:tr>
      <w:tr w:rsidR="004E64BA" w:rsidRPr="00534FB2" w14:paraId="6EA2FE4B" w14:textId="77777777" w:rsidTr="000F0F4C">
        <w:trPr>
          <w:jc w:val="center"/>
        </w:trPr>
        <w:tc>
          <w:tcPr>
            <w:tcW w:w="829" w:type="pct"/>
            <w:vMerge/>
          </w:tcPr>
          <w:p w14:paraId="28C916A4" w14:textId="77777777" w:rsidR="004E64BA" w:rsidRPr="00534FB2" w:rsidRDefault="004E64BA" w:rsidP="004E64BA">
            <w:pPr>
              <w:rPr>
                <w:sz w:val="22"/>
                <w:szCs w:val="22"/>
                <w:lang w:val="sk-SK"/>
              </w:rPr>
            </w:pPr>
          </w:p>
        </w:tc>
        <w:tc>
          <w:tcPr>
            <w:tcW w:w="1134" w:type="pct"/>
            <w:vAlign w:val="center"/>
          </w:tcPr>
          <w:p w14:paraId="4576668C" w14:textId="07872BDF" w:rsidR="004E64BA" w:rsidRPr="00534FB2" w:rsidRDefault="004E64BA" w:rsidP="00B72D0B">
            <w:pPr>
              <w:rPr>
                <w:sz w:val="22"/>
                <w:szCs w:val="22"/>
                <w:lang w:val="sk-SK"/>
              </w:rPr>
            </w:pPr>
            <w:r w:rsidRPr="00534FB2">
              <w:rPr>
                <w:sz w:val="22"/>
                <w:szCs w:val="22"/>
                <w:lang w:val="sk-SK"/>
              </w:rPr>
              <w:t>R</w:t>
            </w:r>
            <w:r w:rsidR="00B72D0B" w:rsidRPr="00534FB2">
              <w:rPr>
                <w:sz w:val="22"/>
                <w:szCs w:val="22"/>
                <w:lang w:val="sk-SK"/>
              </w:rPr>
              <w:t>initída</w:t>
            </w:r>
          </w:p>
        </w:tc>
        <w:tc>
          <w:tcPr>
            <w:tcW w:w="786" w:type="pct"/>
            <w:vAlign w:val="center"/>
          </w:tcPr>
          <w:p w14:paraId="6A48E1F2"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0910FFFF" w14:textId="3CC5D1ED" w:rsidR="004E64BA" w:rsidRPr="00534FB2" w:rsidRDefault="00B72D0B" w:rsidP="004E64BA">
            <w:pPr>
              <w:rPr>
                <w:sz w:val="22"/>
                <w:szCs w:val="22"/>
                <w:lang w:val="sk-SK"/>
              </w:rPr>
            </w:pPr>
            <w:r w:rsidRPr="00534FB2">
              <w:rPr>
                <w:sz w:val="22"/>
                <w:szCs w:val="22"/>
                <w:lang w:val="sk-SK"/>
              </w:rPr>
              <w:t>Menej časté</w:t>
            </w:r>
          </w:p>
        </w:tc>
        <w:tc>
          <w:tcPr>
            <w:tcW w:w="708" w:type="pct"/>
            <w:vAlign w:val="center"/>
          </w:tcPr>
          <w:p w14:paraId="6C398F82"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77435F11"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68B53753" w14:textId="77777777" w:rsidTr="000F0F4C">
        <w:trPr>
          <w:jc w:val="center"/>
        </w:trPr>
        <w:tc>
          <w:tcPr>
            <w:tcW w:w="829" w:type="pct"/>
            <w:vMerge/>
          </w:tcPr>
          <w:p w14:paraId="7E026B78" w14:textId="77777777" w:rsidR="004E64BA" w:rsidRPr="00534FB2" w:rsidRDefault="004E64BA" w:rsidP="004E64BA">
            <w:pPr>
              <w:rPr>
                <w:sz w:val="22"/>
                <w:szCs w:val="22"/>
                <w:lang w:val="sk-SK"/>
              </w:rPr>
            </w:pPr>
          </w:p>
        </w:tc>
        <w:tc>
          <w:tcPr>
            <w:tcW w:w="1134" w:type="pct"/>
            <w:vAlign w:val="center"/>
          </w:tcPr>
          <w:p w14:paraId="3DE1CDE9" w14:textId="08D3D168" w:rsidR="004E64BA" w:rsidRPr="00534FB2" w:rsidRDefault="00B72D0B" w:rsidP="004E64BA">
            <w:pPr>
              <w:rPr>
                <w:sz w:val="22"/>
                <w:szCs w:val="22"/>
                <w:lang w:val="sk-SK"/>
              </w:rPr>
            </w:pPr>
            <w:r w:rsidRPr="00534FB2">
              <w:rPr>
                <w:sz w:val="22"/>
                <w:szCs w:val="22"/>
                <w:lang w:val="sk-SK"/>
              </w:rPr>
              <w:t>Podráždenie hrdla</w:t>
            </w:r>
          </w:p>
        </w:tc>
        <w:tc>
          <w:tcPr>
            <w:tcW w:w="786" w:type="pct"/>
            <w:vAlign w:val="center"/>
          </w:tcPr>
          <w:p w14:paraId="1AA52C1A" w14:textId="5E6E1151" w:rsidR="004E64BA" w:rsidRPr="00534FB2" w:rsidRDefault="00B72D0B" w:rsidP="004E64BA">
            <w:pPr>
              <w:rPr>
                <w:sz w:val="22"/>
                <w:szCs w:val="22"/>
                <w:lang w:val="sk-SK"/>
              </w:rPr>
            </w:pPr>
            <w:r w:rsidRPr="00534FB2">
              <w:rPr>
                <w:sz w:val="22"/>
                <w:szCs w:val="22"/>
                <w:lang w:val="sk-SK"/>
              </w:rPr>
              <w:t>Menej časté</w:t>
            </w:r>
          </w:p>
        </w:tc>
        <w:tc>
          <w:tcPr>
            <w:tcW w:w="786" w:type="pct"/>
            <w:vAlign w:val="center"/>
          </w:tcPr>
          <w:p w14:paraId="4D99ADB9"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1BAA689A"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737B9FFA"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439918B1" w14:textId="77777777" w:rsidTr="000F0F4C">
        <w:trPr>
          <w:jc w:val="center"/>
        </w:trPr>
        <w:tc>
          <w:tcPr>
            <w:tcW w:w="829" w:type="pct"/>
            <w:vMerge w:val="restart"/>
          </w:tcPr>
          <w:p w14:paraId="5CA25BD6" w14:textId="77777777" w:rsidR="00317F0F" w:rsidRPr="00534FB2" w:rsidRDefault="00317F0F" w:rsidP="00317F0F">
            <w:pPr>
              <w:rPr>
                <w:sz w:val="22"/>
                <w:szCs w:val="22"/>
                <w:lang w:val="sk-SK"/>
              </w:rPr>
            </w:pPr>
            <w:r w:rsidRPr="00534FB2">
              <w:rPr>
                <w:sz w:val="22"/>
                <w:szCs w:val="22"/>
                <w:lang w:val="sk-SK"/>
              </w:rPr>
              <w:t>Poruchy</w:t>
            </w:r>
          </w:p>
          <w:p w14:paraId="5BAA0D03" w14:textId="6C5F36CA" w:rsidR="00317F0F" w:rsidRPr="00534FB2" w:rsidRDefault="00317F0F" w:rsidP="00317F0F">
            <w:pPr>
              <w:rPr>
                <w:sz w:val="22"/>
                <w:szCs w:val="22"/>
                <w:lang w:val="sk-SK"/>
              </w:rPr>
            </w:pPr>
            <w:r w:rsidRPr="00534FB2">
              <w:rPr>
                <w:sz w:val="22"/>
                <w:szCs w:val="22"/>
                <w:lang w:val="sk-SK"/>
              </w:rPr>
              <w:lastRenderedPageBreak/>
              <w:t>gastrointesti-nálneho</w:t>
            </w:r>
          </w:p>
          <w:p w14:paraId="0B184E96" w14:textId="25C217FD" w:rsidR="004E64BA" w:rsidRPr="00534FB2" w:rsidRDefault="00317F0F" w:rsidP="00317F0F">
            <w:pPr>
              <w:rPr>
                <w:sz w:val="22"/>
                <w:szCs w:val="22"/>
                <w:lang w:val="sk-SK"/>
              </w:rPr>
            </w:pPr>
            <w:r w:rsidRPr="00534FB2">
              <w:rPr>
                <w:sz w:val="22"/>
                <w:szCs w:val="22"/>
                <w:lang w:val="sk-SK"/>
              </w:rPr>
              <w:t>traktu</w:t>
            </w:r>
          </w:p>
        </w:tc>
        <w:tc>
          <w:tcPr>
            <w:tcW w:w="1134" w:type="pct"/>
            <w:vAlign w:val="center"/>
          </w:tcPr>
          <w:p w14:paraId="33CD9AB1" w14:textId="2F8FB0D2" w:rsidR="004C5CBE" w:rsidRPr="00534FB2" w:rsidRDefault="004C5CBE" w:rsidP="004C5CBE">
            <w:pPr>
              <w:rPr>
                <w:sz w:val="22"/>
                <w:szCs w:val="22"/>
                <w:lang w:val="sk-SK"/>
              </w:rPr>
            </w:pPr>
            <w:r w:rsidRPr="00534FB2">
              <w:rPr>
                <w:sz w:val="22"/>
                <w:szCs w:val="22"/>
                <w:lang w:val="sk-SK"/>
              </w:rPr>
              <w:lastRenderedPageBreak/>
              <w:t>Nepríjemn</w:t>
            </w:r>
            <w:r w:rsidR="00B0781B">
              <w:rPr>
                <w:sz w:val="22"/>
                <w:szCs w:val="22"/>
                <w:lang w:val="sk-SK"/>
              </w:rPr>
              <w:t>ý</w:t>
            </w:r>
            <w:r w:rsidRPr="00534FB2">
              <w:rPr>
                <w:sz w:val="22"/>
                <w:szCs w:val="22"/>
                <w:lang w:val="sk-SK"/>
              </w:rPr>
              <w:t xml:space="preserve"> pocit</w:t>
            </w:r>
          </w:p>
          <w:p w14:paraId="71B449F8" w14:textId="77777777" w:rsidR="004C5CBE" w:rsidRPr="00534FB2" w:rsidRDefault="004C5CBE" w:rsidP="004C5CBE">
            <w:pPr>
              <w:rPr>
                <w:sz w:val="22"/>
                <w:szCs w:val="22"/>
                <w:lang w:val="sk-SK"/>
              </w:rPr>
            </w:pPr>
            <w:r w:rsidRPr="00534FB2">
              <w:rPr>
                <w:sz w:val="22"/>
                <w:szCs w:val="22"/>
                <w:lang w:val="sk-SK"/>
              </w:rPr>
              <w:lastRenderedPageBreak/>
              <w:t>v bruchu, bolesť v hornej</w:t>
            </w:r>
          </w:p>
          <w:p w14:paraId="3E8B8564" w14:textId="2C86AED9" w:rsidR="004E64BA" w:rsidRPr="00534FB2" w:rsidRDefault="004C5CBE" w:rsidP="004C5CBE">
            <w:pPr>
              <w:rPr>
                <w:sz w:val="22"/>
                <w:szCs w:val="22"/>
                <w:lang w:val="sk-SK"/>
              </w:rPr>
            </w:pPr>
            <w:r w:rsidRPr="00534FB2">
              <w:rPr>
                <w:sz w:val="22"/>
                <w:szCs w:val="22"/>
                <w:lang w:val="sk-SK"/>
              </w:rPr>
              <w:t>časti brucha</w:t>
            </w:r>
          </w:p>
        </w:tc>
        <w:tc>
          <w:tcPr>
            <w:tcW w:w="786" w:type="pct"/>
            <w:vAlign w:val="center"/>
          </w:tcPr>
          <w:p w14:paraId="09893050" w14:textId="1CAB8661" w:rsidR="004E64BA" w:rsidRPr="00534FB2" w:rsidRDefault="004C5CBE" w:rsidP="004E64BA">
            <w:pPr>
              <w:rPr>
                <w:sz w:val="22"/>
                <w:szCs w:val="22"/>
                <w:lang w:val="sk-SK"/>
              </w:rPr>
            </w:pPr>
            <w:r w:rsidRPr="00534FB2">
              <w:rPr>
                <w:sz w:val="22"/>
                <w:szCs w:val="22"/>
                <w:lang w:val="sk-SK"/>
              </w:rPr>
              <w:lastRenderedPageBreak/>
              <w:t>Menej časté</w:t>
            </w:r>
          </w:p>
        </w:tc>
        <w:tc>
          <w:tcPr>
            <w:tcW w:w="786" w:type="pct"/>
            <w:vAlign w:val="center"/>
          </w:tcPr>
          <w:p w14:paraId="6F0F1E83" w14:textId="559799AF" w:rsidR="004E64BA" w:rsidRPr="00534FB2" w:rsidRDefault="004C5CBE" w:rsidP="004E64BA">
            <w:pPr>
              <w:rPr>
                <w:sz w:val="22"/>
                <w:szCs w:val="22"/>
                <w:lang w:val="sk-SK"/>
              </w:rPr>
            </w:pPr>
            <w:r w:rsidRPr="00534FB2">
              <w:rPr>
                <w:sz w:val="22"/>
                <w:szCs w:val="22"/>
                <w:lang w:val="sk-SK"/>
              </w:rPr>
              <w:t>Časté</w:t>
            </w:r>
          </w:p>
        </w:tc>
        <w:tc>
          <w:tcPr>
            <w:tcW w:w="708" w:type="pct"/>
            <w:vAlign w:val="center"/>
          </w:tcPr>
          <w:p w14:paraId="3212834C" w14:textId="6CAB7280" w:rsidR="004E64BA" w:rsidRPr="00534FB2" w:rsidRDefault="004C5CBE" w:rsidP="004E64BA">
            <w:pPr>
              <w:rPr>
                <w:sz w:val="22"/>
                <w:szCs w:val="22"/>
                <w:lang w:val="sk-SK"/>
              </w:rPr>
            </w:pPr>
            <w:r w:rsidRPr="00534FB2">
              <w:rPr>
                <w:sz w:val="22"/>
                <w:szCs w:val="22"/>
                <w:lang w:val="sk-SK"/>
              </w:rPr>
              <w:t>Menej časté</w:t>
            </w:r>
          </w:p>
        </w:tc>
        <w:tc>
          <w:tcPr>
            <w:tcW w:w="757" w:type="pct"/>
            <w:vAlign w:val="center"/>
          </w:tcPr>
          <w:p w14:paraId="0B43D042" w14:textId="58A0A0B8" w:rsidR="004E64BA" w:rsidRPr="00534FB2" w:rsidRDefault="004C5CBE" w:rsidP="004E64BA">
            <w:pPr>
              <w:rPr>
                <w:sz w:val="22"/>
                <w:szCs w:val="22"/>
                <w:lang w:val="sk-SK"/>
              </w:rPr>
            </w:pPr>
            <w:r w:rsidRPr="00534FB2">
              <w:rPr>
                <w:sz w:val="22"/>
                <w:szCs w:val="22"/>
                <w:lang w:val="sk-SK"/>
              </w:rPr>
              <w:t>Zriedkavé</w:t>
            </w:r>
          </w:p>
        </w:tc>
      </w:tr>
      <w:tr w:rsidR="004E64BA" w:rsidRPr="00534FB2" w14:paraId="339D2412" w14:textId="77777777" w:rsidTr="000F0F4C">
        <w:trPr>
          <w:jc w:val="center"/>
        </w:trPr>
        <w:tc>
          <w:tcPr>
            <w:tcW w:w="829" w:type="pct"/>
            <w:vMerge/>
          </w:tcPr>
          <w:p w14:paraId="6355184A" w14:textId="77777777" w:rsidR="004E64BA" w:rsidRPr="00534FB2" w:rsidRDefault="004E64BA" w:rsidP="004E64BA">
            <w:pPr>
              <w:rPr>
                <w:sz w:val="22"/>
                <w:szCs w:val="22"/>
                <w:lang w:val="sk-SK"/>
              </w:rPr>
            </w:pPr>
          </w:p>
        </w:tc>
        <w:tc>
          <w:tcPr>
            <w:tcW w:w="1134" w:type="pct"/>
            <w:vAlign w:val="center"/>
          </w:tcPr>
          <w:p w14:paraId="5291AE7E" w14:textId="128D5C7D" w:rsidR="004E64BA" w:rsidRPr="00534FB2" w:rsidRDefault="004C5CBE" w:rsidP="004E64BA">
            <w:pPr>
              <w:rPr>
                <w:sz w:val="22"/>
                <w:szCs w:val="22"/>
                <w:lang w:val="sk-SK"/>
              </w:rPr>
            </w:pPr>
            <w:r w:rsidRPr="00534FB2">
              <w:rPr>
                <w:sz w:val="22"/>
                <w:szCs w:val="22"/>
                <w:lang w:val="sk-SK"/>
              </w:rPr>
              <w:t>Zapáchajúci dych</w:t>
            </w:r>
          </w:p>
        </w:tc>
        <w:tc>
          <w:tcPr>
            <w:tcW w:w="786" w:type="pct"/>
            <w:vAlign w:val="center"/>
          </w:tcPr>
          <w:p w14:paraId="39DFE8EC" w14:textId="6915B1F9"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5DF774B5"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79452ED3"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E224425"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70867D64" w14:textId="77777777" w:rsidTr="000F0F4C">
        <w:trPr>
          <w:jc w:val="center"/>
        </w:trPr>
        <w:tc>
          <w:tcPr>
            <w:tcW w:w="829" w:type="pct"/>
            <w:vMerge/>
          </w:tcPr>
          <w:p w14:paraId="2E7D9E48" w14:textId="77777777" w:rsidR="004E64BA" w:rsidRPr="00534FB2" w:rsidRDefault="004E64BA" w:rsidP="004E64BA">
            <w:pPr>
              <w:rPr>
                <w:sz w:val="22"/>
                <w:szCs w:val="22"/>
                <w:lang w:val="sk-SK"/>
              </w:rPr>
            </w:pPr>
          </w:p>
        </w:tc>
        <w:tc>
          <w:tcPr>
            <w:tcW w:w="1134" w:type="pct"/>
            <w:vAlign w:val="center"/>
          </w:tcPr>
          <w:p w14:paraId="0EB3745F" w14:textId="77777777" w:rsidR="004C5CBE" w:rsidRPr="00534FB2" w:rsidRDefault="004C5CBE" w:rsidP="004C5CBE">
            <w:pPr>
              <w:rPr>
                <w:sz w:val="22"/>
                <w:szCs w:val="22"/>
                <w:lang w:val="sk-SK"/>
              </w:rPr>
            </w:pPr>
            <w:r w:rsidRPr="00534FB2">
              <w:rPr>
                <w:sz w:val="22"/>
                <w:szCs w:val="22"/>
                <w:lang w:val="sk-SK"/>
              </w:rPr>
              <w:t>Zmena vo vyprázdňovaní</w:t>
            </w:r>
          </w:p>
          <w:p w14:paraId="242DFE89" w14:textId="158421ED" w:rsidR="004E64BA" w:rsidRPr="00534FB2" w:rsidRDefault="004C5CBE" w:rsidP="004C5CBE">
            <w:pPr>
              <w:rPr>
                <w:sz w:val="22"/>
                <w:szCs w:val="22"/>
                <w:lang w:val="sk-SK"/>
              </w:rPr>
            </w:pPr>
            <w:r w:rsidRPr="00534FB2">
              <w:rPr>
                <w:sz w:val="22"/>
                <w:szCs w:val="22"/>
                <w:lang w:val="sk-SK"/>
              </w:rPr>
              <w:t>čriev</w:t>
            </w:r>
          </w:p>
        </w:tc>
        <w:tc>
          <w:tcPr>
            <w:tcW w:w="786" w:type="pct"/>
            <w:vAlign w:val="center"/>
          </w:tcPr>
          <w:p w14:paraId="138A8119"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43875FD1" w14:textId="0CD543A0"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3B73B68F"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12F596C"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ED1FC35" w14:textId="77777777" w:rsidTr="000F0F4C">
        <w:trPr>
          <w:jc w:val="center"/>
        </w:trPr>
        <w:tc>
          <w:tcPr>
            <w:tcW w:w="829" w:type="pct"/>
            <w:vMerge/>
          </w:tcPr>
          <w:p w14:paraId="72855A83" w14:textId="77777777" w:rsidR="004E64BA" w:rsidRPr="00534FB2" w:rsidRDefault="004E64BA" w:rsidP="004E64BA">
            <w:pPr>
              <w:rPr>
                <w:sz w:val="22"/>
                <w:szCs w:val="22"/>
                <w:lang w:val="sk-SK"/>
              </w:rPr>
            </w:pPr>
          </w:p>
        </w:tc>
        <w:tc>
          <w:tcPr>
            <w:tcW w:w="1134" w:type="pct"/>
            <w:vAlign w:val="center"/>
          </w:tcPr>
          <w:p w14:paraId="00EE5718" w14:textId="2C588D42" w:rsidR="004E64BA" w:rsidRPr="00534FB2" w:rsidRDefault="004C5CBE" w:rsidP="004E64BA">
            <w:pPr>
              <w:rPr>
                <w:sz w:val="22"/>
                <w:szCs w:val="22"/>
                <w:lang w:val="sk-SK"/>
              </w:rPr>
            </w:pPr>
            <w:r w:rsidRPr="00534FB2">
              <w:rPr>
                <w:sz w:val="22"/>
                <w:szCs w:val="22"/>
                <w:lang w:val="sk-SK"/>
              </w:rPr>
              <w:t>Zápcha</w:t>
            </w:r>
          </w:p>
        </w:tc>
        <w:tc>
          <w:tcPr>
            <w:tcW w:w="786" w:type="pct"/>
            <w:vAlign w:val="center"/>
          </w:tcPr>
          <w:p w14:paraId="528FDECD"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74634952"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2000B4D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5626853B" w14:textId="00CB004F" w:rsidR="004E64BA" w:rsidRPr="00534FB2" w:rsidRDefault="004C5CBE" w:rsidP="004E64BA">
            <w:pPr>
              <w:rPr>
                <w:sz w:val="22"/>
                <w:szCs w:val="22"/>
                <w:lang w:val="sk-SK"/>
              </w:rPr>
            </w:pPr>
            <w:r w:rsidRPr="00534FB2">
              <w:rPr>
                <w:sz w:val="22"/>
                <w:szCs w:val="22"/>
                <w:lang w:val="sk-SK"/>
              </w:rPr>
              <w:t>Zriedkavé</w:t>
            </w:r>
          </w:p>
        </w:tc>
      </w:tr>
      <w:tr w:rsidR="004E64BA" w:rsidRPr="00534FB2" w14:paraId="48E84060" w14:textId="77777777" w:rsidTr="000F0F4C">
        <w:trPr>
          <w:jc w:val="center"/>
        </w:trPr>
        <w:tc>
          <w:tcPr>
            <w:tcW w:w="829" w:type="pct"/>
            <w:vMerge/>
          </w:tcPr>
          <w:p w14:paraId="78C53393" w14:textId="77777777" w:rsidR="004E64BA" w:rsidRPr="00534FB2" w:rsidRDefault="004E64BA" w:rsidP="004E64BA">
            <w:pPr>
              <w:rPr>
                <w:sz w:val="22"/>
                <w:szCs w:val="22"/>
                <w:lang w:val="sk-SK"/>
              </w:rPr>
            </w:pPr>
          </w:p>
        </w:tc>
        <w:tc>
          <w:tcPr>
            <w:tcW w:w="1134" w:type="pct"/>
            <w:vAlign w:val="center"/>
          </w:tcPr>
          <w:p w14:paraId="405882B1" w14:textId="367F3B63" w:rsidR="004E64BA" w:rsidRPr="00534FB2" w:rsidRDefault="004C5CBE" w:rsidP="004E64BA">
            <w:pPr>
              <w:rPr>
                <w:sz w:val="22"/>
                <w:szCs w:val="22"/>
                <w:lang w:val="sk-SK"/>
              </w:rPr>
            </w:pPr>
            <w:r w:rsidRPr="00534FB2">
              <w:rPr>
                <w:sz w:val="22"/>
                <w:szCs w:val="22"/>
                <w:lang w:val="sk-SK"/>
              </w:rPr>
              <w:t>Znížená chuť do jed</w:t>
            </w:r>
            <w:r w:rsidR="00B0781B">
              <w:rPr>
                <w:sz w:val="22"/>
                <w:szCs w:val="22"/>
                <w:lang w:val="sk-SK"/>
              </w:rPr>
              <w:t>l</w:t>
            </w:r>
            <w:r w:rsidRPr="00534FB2">
              <w:rPr>
                <w:sz w:val="22"/>
                <w:szCs w:val="22"/>
                <w:lang w:val="sk-SK"/>
              </w:rPr>
              <w:t>a</w:t>
            </w:r>
          </w:p>
        </w:tc>
        <w:tc>
          <w:tcPr>
            <w:tcW w:w="786" w:type="pct"/>
            <w:vAlign w:val="center"/>
          </w:tcPr>
          <w:p w14:paraId="1E9A968C"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2B8E2EF6"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08AC4C64"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54FB5492" w14:textId="0263D4F4" w:rsidR="004E64BA" w:rsidRPr="00534FB2" w:rsidRDefault="004C5CBE" w:rsidP="004E64BA">
            <w:pPr>
              <w:rPr>
                <w:sz w:val="22"/>
                <w:szCs w:val="22"/>
                <w:lang w:val="sk-SK"/>
              </w:rPr>
            </w:pPr>
            <w:r w:rsidRPr="00534FB2">
              <w:rPr>
                <w:sz w:val="22"/>
                <w:szCs w:val="22"/>
                <w:lang w:val="sk-SK"/>
              </w:rPr>
              <w:t>Časté</w:t>
            </w:r>
          </w:p>
        </w:tc>
      </w:tr>
      <w:tr w:rsidR="004E64BA" w:rsidRPr="00534FB2" w14:paraId="571E52F0" w14:textId="77777777" w:rsidTr="000F0F4C">
        <w:trPr>
          <w:jc w:val="center"/>
        </w:trPr>
        <w:tc>
          <w:tcPr>
            <w:tcW w:w="829" w:type="pct"/>
            <w:vMerge/>
          </w:tcPr>
          <w:p w14:paraId="10FA8CD4" w14:textId="77777777" w:rsidR="004E64BA" w:rsidRPr="00534FB2" w:rsidRDefault="004E64BA" w:rsidP="004E64BA">
            <w:pPr>
              <w:rPr>
                <w:sz w:val="22"/>
                <w:szCs w:val="22"/>
                <w:lang w:val="sk-SK"/>
              </w:rPr>
            </w:pPr>
          </w:p>
        </w:tc>
        <w:tc>
          <w:tcPr>
            <w:tcW w:w="1134" w:type="pct"/>
            <w:vAlign w:val="center"/>
          </w:tcPr>
          <w:p w14:paraId="76F94E58" w14:textId="4FA5E6F1" w:rsidR="004E64BA" w:rsidRPr="00534FB2" w:rsidRDefault="004C5CBE" w:rsidP="004E64BA">
            <w:pPr>
              <w:rPr>
                <w:sz w:val="22"/>
                <w:szCs w:val="22"/>
                <w:lang w:val="sk-SK"/>
              </w:rPr>
            </w:pPr>
            <w:r w:rsidRPr="00534FB2">
              <w:rPr>
                <w:sz w:val="22"/>
                <w:szCs w:val="22"/>
                <w:lang w:val="sk-SK"/>
              </w:rPr>
              <w:t>Hnačka</w:t>
            </w:r>
          </w:p>
        </w:tc>
        <w:tc>
          <w:tcPr>
            <w:tcW w:w="786" w:type="pct"/>
            <w:vAlign w:val="center"/>
          </w:tcPr>
          <w:p w14:paraId="553F820D" w14:textId="07757FEB"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006CFEC6" w14:textId="31DE7F45"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7076A16E"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121BFF50" w14:textId="571DD590" w:rsidR="004E64BA" w:rsidRPr="00534FB2" w:rsidRDefault="004C5CBE" w:rsidP="004E64BA">
            <w:pPr>
              <w:rPr>
                <w:sz w:val="22"/>
                <w:szCs w:val="22"/>
                <w:lang w:val="sk-SK"/>
              </w:rPr>
            </w:pPr>
            <w:r w:rsidRPr="00534FB2">
              <w:rPr>
                <w:sz w:val="22"/>
                <w:szCs w:val="22"/>
                <w:lang w:val="sk-SK"/>
              </w:rPr>
              <w:t>Zriedkavé</w:t>
            </w:r>
          </w:p>
        </w:tc>
      </w:tr>
      <w:tr w:rsidR="004E64BA" w:rsidRPr="00534FB2" w14:paraId="4FFDA03B" w14:textId="77777777" w:rsidTr="000F0F4C">
        <w:trPr>
          <w:jc w:val="center"/>
        </w:trPr>
        <w:tc>
          <w:tcPr>
            <w:tcW w:w="829" w:type="pct"/>
            <w:vMerge/>
          </w:tcPr>
          <w:p w14:paraId="4160A7D7" w14:textId="77777777" w:rsidR="004E64BA" w:rsidRPr="00534FB2" w:rsidRDefault="004E64BA" w:rsidP="004E64BA">
            <w:pPr>
              <w:rPr>
                <w:sz w:val="22"/>
                <w:szCs w:val="22"/>
                <w:lang w:val="sk-SK"/>
              </w:rPr>
            </w:pPr>
          </w:p>
        </w:tc>
        <w:tc>
          <w:tcPr>
            <w:tcW w:w="1134" w:type="pct"/>
            <w:vAlign w:val="center"/>
          </w:tcPr>
          <w:p w14:paraId="3413B71A" w14:textId="4A16094D" w:rsidR="004E64BA" w:rsidRPr="00534FB2" w:rsidRDefault="004C5CBE" w:rsidP="004E64BA">
            <w:pPr>
              <w:rPr>
                <w:sz w:val="22"/>
                <w:szCs w:val="22"/>
                <w:lang w:val="sk-SK"/>
              </w:rPr>
            </w:pPr>
            <w:r w:rsidRPr="00534FB2">
              <w:rPr>
                <w:sz w:val="22"/>
                <w:szCs w:val="22"/>
                <w:lang w:val="sk-SK"/>
              </w:rPr>
              <w:t>Sucho v ústach</w:t>
            </w:r>
          </w:p>
        </w:tc>
        <w:tc>
          <w:tcPr>
            <w:tcW w:w="786" w:type="pct"/>
            <w:vAlign w:val="center"/>
          </w:tcPr>
          <w:p w14:paraId="73642BAC" w14:textId="72412A4B"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64EC4D68" w14:textId="30EBBDB5"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58628C96"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57B82F5B"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5D7E3695" w14:textId="77777777" w:rsidTr="000F0F4C">
        <w:trPr>
          <w:jc w:val="center"/>
        </w:trPr>
        <w:tc>
          <w:tcPr>
            <w:tcW w:w="829" w:type="pct"/>
            <w:vMerge/>
          </w:tcPr>
          <w:p w14:paraId="4FF8E008" w14:textId="77777777" w:rsidR="004E64BA" w:rsidRPr="00534FB2" w:rsidRDefault="004E64BA" w:rsidP="004E64BA">
            <w:pPr>
              <w:rPr>
                <w:sz w:val="22"/>
                <w:szCs w:val="22"/>
                <w:lang w:val="sk-SK"/>
              </w:rPr>
            </w:pPr>
          </w:p>
        </w:tc>
        <w:tc>
          <w:tcPr>
            <w:tcW w:w="1134" w:type="pct"/>
            <w:vAlign w:val="center"/>
          </w:tcPr>
          <w:p w14:paraId="19B782A1" w14:textId="77777777" w:rsidR="004E64BA" w:rsidRPr="00534FB2" w:rsidRDefault="004E64BA" w:rsidP="004E64BA">
            <w:pPr>
              <w:rPr>
                <w:sz w:val="22"/>
                <w:szCs w:val="22"/>
                <w:lang w:val="sk-SK"/>
              </w:rPr>
            </w:pPr>
            <w:r w:rsidRPr="00534FB2">
              <w:rPr>
                <w:sz w:val="22"/>
                <w:szCs w:val="22"/>
                <w:lang w:val="sk-SK"/>
              </w:rPr>
              <w:t>Dyspepsia</w:t>
            </w:r>
          </w:p>
        </w:tc>
        <w:tc>
          <w:tcPr>
            <w:tcW w:w="786" w:type="pct"/>
            <w:vAlign w:val="center"/>
          </w:tcPr>
          <w:p w14:paraId="301B074C" w14:textId="23EDE69F" w:rsidR="004E64BA" w:rsidRPr="00534FB2" w:rsidRDefault="004C5CBE" w:rsidP="004E64BA">
            <w:pPr>
              <w:rPr>
                <w:sz w:val="22"/>
                <w:szCs w:val="22"/>
                <w:lang w:val="sk-SK"/>
              </w:rPr>
            </w:pPr>
            <w:r w:rsidRPr="00534FB2">
              <w:rPr>
                <w:sz w:val="22"/>
                <w:szCs w:val="22"/>
                <w:lang w:val="sk-SK"/>
              </w:rPr>
              <w:t>Časté</w:t>
            </w:r>
          </w:p>
        </w:tc>
        <w:tc>
          <w:tcPr>
            <w:tcW w:w="786" w:type="pct"/>
            <w:vAlign w:val="center"/>
          </w:tcPr>
          <w:p w14:paraId="17F3B9EA" w14:textId="1F431634"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7C300E89"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5AAA9760"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6653E4BC" w14:textId="77777777" w:rsidTr="000F0F4C">
        <w:trPr>
          <w:jc w:val="center"/>
        </w:trPr>
        <w:tc>
          <w:tcPr>
            <w:tcW w:w="829" w:type="pct"/>
            <w:vMerge/>
          </w:tcPr>
          <w:p w14:paraId="4E00E3DF" w14:textId="77777777" w:rsidR="004E64BA" w:rsidRPr="00534FB2" w:rsidRDefault="004E64BA" w:rsidP="004E64BA">
            <w:pPr>
              <w:rPr>
                <w:sz w:val="22"/>
                <w:szCs w:val="22"/>
                <w:lang w:val="sk-SK"/>
              </w:rPr>
            </w:pPr>
          </w:p>
        </w:tc>
        <w:tc>
          <w:tcPr>
            <w:tcW w:w="1134" w:type="pct"/>
            <w:vAlign w:val="center"/>
          </w:tcPr>
          <w:p w14:paraId="1332B184" w14:textId="541F87F5" w:rsidR="004E64BA" w:rsidRPr="00534FB2" w:rsidRDefault="004E64BA" w:rsidP="004C5CBE">
            <w:pPr>
              <w:rPr>
                <w:sz w:val="22"/>
                <w:szCs w:val="22"/>
                <w:lang w:val="sk-SK"/>
              </w:rPr>
            </w:pPr>
            <w:r w:rsidRPr="00534FB2">
              <w:rPr>
                <w:sz w:val="22"/>
                <w:szCs w:val="22"/>
                <w:lang w:val="sk-SK"/>
              </w:rPr>
              <w:t>Gastrit</w:t>
            </w:r>
            <w:r w:rsidR="004C5CBE" w:rsidRPr="00534FB2">
              <w:rPr>
                <w:sz w:val="22"/>
                <w:szCs w:val="22"/>
                <w:lang w:val="sk-SK"/>
              </w:rPr>
              <w:t>ída</w:t>
            </w:r>
          </w:p>
        </w:tc>
        <w:tc>
          <w:tcPr>
            <w:tcW w:w="786" w:type="pct"/>
            <w:vAlign w:val="center"/>
          </w:tcPr>
          <w:p w14:paraId="1AD0BDB7"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6ADDC737" w14:textId="77777777" w:rsidR="004C5CBE" w:rsidRPr="00534FB2" w:rsidRDefault="004C5CBE" w:rsidP="004C5CBE">
            <w:pPr>
              <w:rPr>
                <w:sz w:val="22"/>
                <w:szCs w:val="22"/>
                <w:lang w:val="sk-SK"/>
              </w:rPr>
            </w:pPr>
            <w:r w:rsidRPr="00534FB2">
              <w:rPr>
                <w:sz w:val="22"/>
                <w:szCs w:val="22"/>
                <w:lang w:val="sk-SK"/>
              </w:rPr>
              <w:t>Veľmi</w:t>
            </w:r>
          </w:p>
          <w:p w14:paraId="550AE820" w14:textId="59307507" w:rsidR="004E64BA" w:rsidRPr="00534FB2" w:rsidRDefault="004C5CBE" w:rsidP="004C5CBE">
            <w:pPr>
              <w:rPr>
                <w:sz w:val="22"/>
                <w:szCs w:val="22"/>
                <w:lang w:val="sk-SK"/>
              </w:rPr>
            </w:pPr>
            <w:r w:rsidRPr="00534FB2">
              <w:rPr>
                <w:sz w:val="22"/>
                <w:szCs w:val="22"/>
                <w:lang w:val="sk-SK"/>
              </w:rPr>
              <w:t>zriedkavé</w:t>
            </w:r>
          </w:p>
        </w:tc>
        <w:tc>
          <w:tcPr>
            <w:tcW w:w="708" w:type="pct"/>
            <w:vAlign w:val="center"/>
          </w:tcPr>
          <w:p w14:paraId="1E77FAE1"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7BE048C0"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26053916" w14:textId="77777777" w:rsidTr="000F0F4C">
        <w:trPr>
          <w:jc w:val="center"/>
        </w:trPr>
        <w:tc>
          <w:tcPr>
            <w:tcW w:w="829" w:type="pct"/>
            <w:vMerge/>
          </w:tcPr>
          <w:p w14:paraId="3B7AEB38" w14:textId="77777777" w:rsidR="004E64BA" w:rsidRPr="00534FB2" w:rsidRDefault="004E64BA" w:rsidP="004E64BA">
            <w:pPr>
              <w:rPr>
                <w:sz w:val="22"/>
                <w:szCs w:val="22"/>
                <w:lang w:val="sk-SK"/>
              </w:rPr>
            </w:pPr>
          </w:p>
        </w:tc>
        <w:tc>
          <w:tcPr>
            <w:tcW w:w="1134" w:type="pct"/>
            <w:vAlign w:val="center"/>
          </w:tcPr>
          <w:p w14:paraId="759EA4E6" w14:textId="77D3F2F1" w:rsidR="004E64BA" w:rsidRPr="00534FB2" w:rsidRDefault="004C5CBE" w:rsidP="004E64BA">
            <w:pPr>
              <w:rPr>
                <w:sz w:val="22"/>
                <w:szCs w:val="22"/>
                <w:lang w:val="sk-SK"/>
              </w:rPr>
            </w:pPr>
            <w:r w:rsidRPr="00534FB2">
              <w:rPr>
                <w:sz w:val="22"/>
                <w:szCs w:val="22"/>
                <w:lang w:val="sk-SK"/>
              </w:rPr>
              <w:t>Hyperplázia ďasien</w:t>
            </w:r>
          </w:p>
        </w:tc>
        <w:tc>
          <w:tcPr>
            <w:tcW w:w="786" w:type="pct"/>
            <w:vAlign w:val="center"/>
          </w:tcPr>
          <w:p w14:paraId="6228F86C"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175170EF" w14:textId="77777777" w:rsidR="004C5CBE" w:rsidRPr="00534FB2" w:rsidRDefault="004C5CBE" w:rsidP="004C5CBE">
            <w:pPr>
              <w:rPr>
                <w:sz w:val="22"/>
                <w:szCs w:val="22"/>
                <w:lang w:val="sk-SK"/>
              </w:rPr>
            </w:pPr>
            <w:r w:rsidRPr="00534FB2">
              <w:rPr>
                <w:sz w:val="22"/>
                <w:szCs w:val="22"/>
                <w:lang w:val="sk-SK"/>
              </w:rPr>
              <w:t>Veľmi</w:t>
            </w:r>
          </w:p>
          <w:p w14:paraId="58CF4497" w14:textId="2A662EC2" w:rsidR="004E64BA" w:rsidRPr="00534FB2" w:rsidRDefault="004C5CBE" w:rsidP="004C5CBE">
            <w:pPr>
              <w:rPr>
                <w:sz w:val="22"/>
                <w:szCs w:val="22"/>
                <w:lang w:val="sk-SK"/>
              </w:rPr>
            </w:pPr>
            <w:r w:rsidRPr="00534FB2">
              <w:rPr>
                <w:sz w:val="22"/>
                <w:szCs w:val="22"/>
                <w:lang w:val="sk-SK"/>
              </w:rPr>
              <w:t>zriedkavé</w:t>
            </w:r>
          </w:p>
        </w:tc>
        <w:tc>
          <w:tcPr>
            <w:tcW w:w="708" w:type="pct"/>
            <w:vAlign w:val="center"/>
          </w:tcPr>
          <w:p w14:paraId="22872A47"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66D9BF8"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3357B18B" w14:textId="77777777" w:rsidTr="000F0F4C">
        <w:trPr>
          <w:jc w:val="center"/>
        </w:trPr>
        <w:tc>
          <w:tcPr>
            <w:tcW w:w="829" w:type="pct"/>
            <w:vMerge/>
          </w:tcPr>
          <w:p w14:paraId="316BB91D" w14:textId="77777777" w:rsidR="004E64BA" w:rsidRPr="00534FB2" w:rsidRDefault="004E64BA" w:rsidP="004E64BA">
            <w:pPr>
              <w:rPr>
                <w:sz w:val="22"/>
                <w:szCs w:val="22"/>
                <w:lang w:val="sk-SK"/>
              </w:rPr>
            </w:pPr>
          </w:p>
        </w:tc>
        <w:tc>
          <w:tcPr>
            <w:tcW w:w="1134" w:type="pct"/>
            <w:vAlign w:val="center"/>
          </w:tcPr>
          <w:p w14:paraId="0CA96940" w14:textId="7C4B307F" w:rsidR="004E64BA" w:rsidRPr="00534FB2" w:rsidRDefault="004E64BA" w:rsidP="004C5CBE">
            <w:pPr>
              <w:rPr>
                <w:sz w:val="22"/>
                <w:szCs w:val="22"/>
                <w:lang w:val="sk-SK"/>
              </w:rPr>
            </w:pPr>
            <w:r w:rsidRPr="00534FB2">
              <w:rPr>
                <w:sz w:val="22"/>
                <w:szCs w:val="22"/>
                <w:lang w:val="sk-SK"/>
              </w:rPr>
              <w:t>Nau</w:t>
            </w:r>
            <w:r w:rsidR="004C5CBE" w:rsidRPr="00534FB2">
              <w:rPr>
                <w:sz w:val="22"/>
                <w:szCs w:val="22"/>
                <w:lang w:val="sk-SK"/>
              </w:rPr>
              <w:t>zea</w:t>
            </w:r>
          </w:p>
        </w:tc>
        <w:tc>
          <w:tcPr>
            <w:tcW w:w="786" w:type="pct"/>
            <w:vAlign w:val="center"/>
          </w:tcPr>
          <w:p w14:paraId="5A377C50" w14:textId="5C486985"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1DA8EE85" w14:textId="286D59D8" w:rsidR="004E64BA" w:rsidRPr="00534FB2" w:rsidRDefault="004C5CBE" w:rsidP="004E64BA">
            <w:pPr>
              <w:rPr>
                <w:sz w:val="22"/>
                <w:szCs w:val="22"/>
                <w:lang w:val="sk-SK"/>
              </w:rPr>
            </w:pPr>
            <w:r w:rsidRPr="00534FB2">
              <w:rPr>
                <w:sz w:val="22"/>
                <w:szCs w:val="22"/>
                <w:lang w:val="sk-SK"/>
              </w:rPr>
              <w:t>Časté</w:t>
            </w:r>
          </w:p>
        </w:tc>
        <w:tc>
          <w:tcPr>
            <w:tcW w:w="708" w:type="pct"/>
            <w:vAlign w:val="center"/>
          </w:tcPr>
          <w:p w14:paraId="74D3158B"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0EE5C4C" w14:textId="0C881569" w:rsidR="004E64BA" w:rsidRPr="00534FB2" w:rsidRDefault="004C5CBE" w:rsidP="004E64BA">
            <w:pPr>
              <w:rPr>
                <w:sz w:val="22"/>
                <w:szCs w:val="22"/>
                <w:lang w:val="sk-SK"/>
              </w:rPr>
            </w:pPr>
            <w:r w:rsidRPr="00534FB2">
              <w:rPr>
                <w:sz w:val="22"/>
                <w:szCs w:val="22"/>
                <w:lang w:val="sk-SK"/>
              </w:rPr>
              <w:t>Časté</w:t>
            </w:r>
          </w:p>
        </w:tc>
      </w:tr>
      <w:tr w:rsidR="004E64BA" w:rsidRPr="00534FB2" w14:paraId="6C888488" w14:textId="77777777" w:rsidTr="000F0F4C">
        <w:trPr>
          <w:jc w:val="center"/>
        </w:trPr>
        <w:tc>
          <w:tcPr>
            <w:tcW w:w="829" w:type="pct"/>
            <w:vMerge/>
          </w:tcPr>
          <w:p w14:paraId="4642E47B" w14:textId="77777777" w:rsidR="004E64BA" w:rsidRPr="00534FB2" w:rsidRDefault="004E64BA" w:rsidP="004E64BA">
            <w:pPr>
              <w:rPr>
                <w:sz w:val="22"/>
                <w:szCs w:val="22"/>
                <w:lang w:val="sk-SK"/>
              </w:rPr>
            </w:pPr>
          </w:p>
        </w:tc>
        <w:tc>
          <w:tcPr>
            <w:tcW w:w="1134" w:type="pct"/>
            <w:vAlign w:val="center"/>
          </w:tcPr>
          <w:p w14:paraId="0F442B5D" w14:textId="171BCF2D" w:rsidR="004E64BA" w:rsidRPr="00534FB2" w:rsidRDefault="004C5CBE" w:rsidP="004C5CBE">
            <w:pPr>
              <w:rPr>
                <w:sz w:val="22"/>
                <w:szCs w:val="22"/>
                <w:lang w:val="sk-SK"/>
              </w:rPr>
            </w:pPr>
            <w:r w:rsidRPr="00534FB2">
              <w:rPr>
                <w:sz w:val="22"/>
                <w:szCs w:val="22"/>
                <w:lang w:val="sk-SK"/>
              </w:rPr>
              <w:t>Pank</w:t>
            </w:r>
            <w:r w:rsidR="004E64BA" w:rsidRPr="00534FB2">
              <w:rPr>
                <w:sz w:val="22"/>
                <w:szCs w:val="22"/>
                <w:lang w:val="sk-SK"/>
              </w:rPr>
              <w:t>reatit</w:t>
            </w:r>
            <w:r w:rsidRPr="00534FB2">
              <w:rPr>
                <w:sz w:val="22"/>
                <w:szCs w:val="22"/>
                <w:lang w:val="sk-SK"/>
              </w:rPr>
              <w:t>ída</w:t>
            </w:r>
          </w:p>
        </w:tc>
        <w:tc>
          <w:tcPr>
            <w:tcW w:w="786" w:type="pct"/>
            <w:vAlign w:val="center"/>
          </w:tcPr>
          <w:p w14:paraId="454038BF"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62B6D63D" w14:textId="77777777" w:rsidR="004C5CBE" w:rsidRPr="00534FB2" w:rsidRDefault="004C5CBE" w:rsidP="004C5CBE">
            <w:pPr>
              <w:rPr>
                <w:sz w:val="22"/>
                <w:szCs w:val="22"/>
                <w:lang w:val="sk-SK"/>
              </w:rPr>
            </w:pPr>
            <w:r w:rsidRPr="00534FB2">
              <w:rPr>
                <w:sz w:val="22"/>
                <w:szCs w:val="22"/>
                <w:lang w:val="sk-SK"/>
              </w:rPr>
              <w:t>Veľmi</w:t>
            </w:r>
          </w:p>
          <w:p w14:paraId="4BCDC670" w14:textId="1B45C30C" w:rsidR="004E64BA" w:rsidRPr="00534FB2" w:rsidRDefault="004C5CBE" w:rsidP="004C5CBE">
            <w:pPr>
              <w:rPr>
                <w:sz w:val="22"/>
                <w:szCs w:val="22"/>
                <w:lang w:val="sk-SK"/>
              </w:rPr>
            </w:pPr>
            <w:r w:rsidRPr="00534FB2">
              <w:rPr>
                <w:sz w:val="22"/>
                <w:szCs w:val="22"/>
                <w:lang w:val="sk-SK"/>
              </w:rPr>
              <w:t>zriedkavé</w:t>
            </w:r>
          </w:p>
        </w:tc>
        <w:tc>
          <w:tcPr>
            <w:tcW w:w="708" w:type="pct"/>
            <w:vAlign w:val="center"/>
          </w:tcPr>
          <w:p w14:paraId="3042825E"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D5D6831" w14:textId="77777777" w:rsidR="004C5CBE" w:rsidRPr="00534FB2" w:rsidRDefault="004C5CBE" w:rsidP="004C5CBE">
            <w:pPr>
              <w:rPr>
                <w:sz w:val="22"/>
                <w:szCs w:val="22"/>
                <w:lang w:val="sk-SK"/>
              </w:rPr>
            </w:pPr>
            <w:r w:rsidRPr="00534FB2">
              <w:rPr>
                <w:sz w:val="22"/>
                <w:szCs w:val="22"/>
                <w:lang w:val="sk-SK"/>
              </w:rPr>
              <w:t>Veľmi</w:t>
            </w:r>
          </w:p>
          <w:p w14:paraId="02901529" w14:textId="4372E21D" w:rsidR="004E64BA" w:rsidRPr="00534FB2" w:rsidRDefault="004C5CBE" w:rsidP="004C5CBE">
            <w:pPr>
              <w:rPr>
                <w:sz w:val="22"/>
                <w:szCs w:val="22"/>
                <w:lang w:val="sk-SK"/>
              </w:rPr>
            </w:pPr>
            <w:r w:rsidRPr="00534FB2">
              <w:rPr>
                <w:sz w:val="22"/>
                <w:szCs w:val="22"/>
                <w:lang w:val="sk-SK"/>
              </w:rPr>
              <w:t>zriedkavé</w:t>
            </w:r>
          </w:p>
        </w:tc>
      </w:tr>
      <w:tr w:rsidR="004E64BA" w:rsidRPr="00534FB2" w14:paraId="361ED5EA" w14:textId="77777777" w:rsidTr="000F0F4C">
        <w:trPr>
          <w:jc w:val="center"/>
        </w:trPr>
        <w:tc>
          <w:tcPr>
            <w:tcW w:w="829" w:type="pct"/>
            <w:vMerge/>
          </w:tcPr>
          <w:p w14:paraId="4C514FEA" w14:textId="77777777" w:rsidR="004E64BA" w:rsidRPr="00534FB2" w:rsidRDefault="004E64BA" w:rsidP="004E64BA">
            <w:pPr>
              <w:rPr>
                <w:sz w:val="22"/>
                <w:szCs w:val="22"/>
                <w:lang w:val="sk-SK"/>
              </w:rPr>
            </w:pPr>
          </w:p>
        </w:tc>
        <w:tc>
          <w:tcPr>
            <w:tcW w:w="1134" w:type="pct"/>
            <w:vAlign w:val="center"/>
          </w:tcPr>
          <w:p w14:paraId="6673B42C" w14:textId="79F27D86" w:rsidR="004E64BA" w:rsidRPr="00534FB2" w:rsidRDefault="004E64BA" w:rsidP="004C5CBE">
            <w:pPr>
              <w:rPr>
                <w:sz w:val="22"/>
                <w:szCs w:val="22"/>
                <w:lang w:val="sk-SK"/>
              </w:rPr>
            </w:pPr>
            <w:r w:rsidRPr="00534FB2">
              <w:rPr>
                <w:sz w:val="22"/>
                <w:szCs w:val="22"/>
                <w:lang w:val="sk-SK"/>
              </w:rPr>
              <w:t>V</w:t>
            </w:r>
            <w:r w:rsidR="004C5CBE" w:rsidRPr="00534FB2">
              <w:rPr>
                <w:sz w:val="22"/>
                <w:szCs w:val="22"/>
                <w:lang w:val="sk-SK"/>
              </w:rPr>
              <w:t>racanie</w:t>
            </w:r>
          </w:p>
        </w:tc>
        <w:tc>
          <w:tcPr>
            <w:tcW w:w="786" w:type="pct"/>
            <w:vAlign w:val="center"/>
          </w:tcPr>
          <w:p w14:paraId="7FD3F8F6" w14:textId="19915516"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0202F4AD" w14:textId="1DA75F19"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46713556"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00180FB2" w14:textId="719F9D48" w:rsidR="004E64BA" w:rsidRPr="00534FB2" w:rsidRDefault="004C5CBE" w:rsidP="004E64BA">
            <w:pPr>
              <w:rPr>
                <w:sz w:val="22"/>
                <w:szCs w:val="22"/>
                <w:lang w:val="sk-SK"/>
              </w:rPr>
            </w:pPr>
            <w:r w:rsidRPr="00534FB2">
              <w:rPr>
                <w:sz w:val="22"/>
                <w:szCs w:val="22"/>
                <w:lang w:val="sk-SK"/>
              </w:rPr>
              <w:t>Časté</w:t>
            </w:r>
          </w:p>
        </w:tc>
      </w:tr>
      <w:tr w:rsidR="004E64BA" w:rsidRPr="00534FB2" w14:paraId="75972A7C" w14:textId="77777777" w:rsidTr="000F0F4C">
        <w:trPr>
          <w:jc w:val="center"/>
        </w:trPr>
        <w:tc>
          <w:tcPr>
            <w:tcW w:w="829" w:type="pct"/>
            <w:vMerge w:val="restart"/>
          </w:tcPr>
          <w:p w14:paraId="6751B4AE" w14:textId="77777777" w:rsidR="00317F0F" w:rsidRPr="00534FB2" w:rsidRDefault="00317F0F" w:rsidP="00317F0F">
            <w:pPr>
              <w:rPr>
                <w:sz w:val="22"/>
                <w:szCs w:val="22"/>
                <w:lang w:val="sk-SK"/>
              </w:rPr>
            </w:pPr>
            <w:r w:rsidRPr="00534FB2">
              <w:rPr>
                <w:sz w:val="22"/>
                <w:szCs w:val="22"/>
                <w:lang w:val="sk-SK"/>
              </w:rPr>
              <w:t>Poruchy pečene a</w:t>
            </w:r>
          </w:p>
          <w:p w14:paraId="580138F7" w14:textId="448D77D3" w:rsidR="004E64BA" w:rsidRPr="00534FB2" w:rsidRDefault="00317F0F" w:rsidP="00317F0F">
            <w:pPr>
              <w:rPr>
                <w:sz w:val="22"/>
                <w:szCs w:val="22"/>
                <w:lang w:val="sk-SK"/>
              </w:rPr>
            </w:pPr>
            <w:r w:rsidRPr="00534FB2">
              <w:rPr>
                <w:sz w:val="22"/>
                <w:szCs w:val="22"/>
                <w:lang w:val="sk-SK"/>
              </w:rPr>
              <w:t>žlčových ciest</w:t>
            </w:r>
          </w:p>
        </w:tc>
        <w:tc>
          <w:tcPr>
            <w:tcW w:w="1134" w:type="pct"/>
            <w:vAlign w:val="center"/>
          </w:tcPr>
          <w:p w14:paraId="70A93DB9" w14:textId="36B21BFF" w:rsidR="004C5CBE" w:rsidRPr="00534FB2" w:rsidRDefault="004C5CBE" w:rsidP="004C5CBE">
            <w:pPr>
              <w:rPr>
                <w:sz w:val="22"/>
                <w:szCs w:val="22"/>
                <w:lang w:val="sk-SK"/>
              </w:rPr>
            </w:pPr>
            <w:r w:rsidRPr="00534FB2">
              <w:rPr>
                <w:sz w:val="22"/>
                <w:szCs w:val="22"/>
                <w:lang w:val="sk-SK"/>
              </w:rPr>
              <w:t xml:space="preserve">Abnormálne </w:t>
            </w:r>
            <w:r w:rsidR="00B0781B">
              <w:rPr>
                <w:sz w:val="22"/>
                <w:szCs w:val="22"/>
                <w:lang w:val="sk-SK"/>
              </w:rPr>
              <w:t xml:space="preserve">výsledky testov </w:t>
            </w:r>
            <w:r w:rsidRPr="00534FB2">
              <w:rPr>
                <w:sz w:val="22"/>
                <w:szCs w:val="22"/>
                <w:lang w:val="sk-SK"/>
              </w:rPr>
              <w:t>funk</w:t>
            </w:r>
            <w:r w:rsidR="00B0781B">
              <w:rPr>
                <w:sz w:val="22"/>
                <w:szCs w:val="22"/>
                <w:lang w:val="sk-SK"/>
              </w:rPr>
              <w:t>cie</w:t>
            </w:r>
            <w:r w:rsidRPr="00534FB2">
              <w:rPr>
                <w:sz w:val="22"/>
                <w:szCs w:val="22"/>
                <w:lang w:val="sk-SK"/>
              </w:rPr>
              <w:t xml:space="preserve"> pečene vrátane</w:t>
            </w:r>
          </w:p>
          <w:p w14:paraId="41F343BB" w14:textId="0D424BE4" w:rsidR="004E64BA" w:rsidRPr="00534FB2" w:rsidRDefault="004C5CBE" w:rsidP="004C5CBE">
            <w:pPr>
              <w:rPr>
                <w:sz w:val="22"/>
                <w:szCs w:val="22"/>
                <w:lang w:val="sk-SK"/>
              </w:rPr>
            </w:pPr>
            <w:r w:rsidRPr="00534FB2">
              <w:rPr>
                <w:sz w:val="22"/>
                <w:szCs w:val="22"/>
                <w:lang w:val="sk-SK"/>
              </w:rPr>
              <w:t>zvýšenia bilirubínu v krvi</w:t>
            </w:r>
          </w:p>
        </w:tc>
        <w:tc>
          <w:tcPr>
            <w:tcW w:w="786" w:type="pct"/>
            <w:vAlign w:val="center"/>
          </w:tcPr>
          <w:p w14:paraId="2C7A3B45"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684093D7" w14:textId="29D51B04" w:rsidR="004E64BA" w:rsidRPr="00534FB2" w:rsidRDefault="004E64BA" w:rsidP="004C5CBE">
            <w:pPr>
              <w:rPr>
                <w:sz w:val="22"/>
                <w:szCs w:val="22"/>
                <w:lang w:val="sk-SK"/>
              </w:rPr>
            </w:pPr>
            <w:r w:rsidRPr="00534FB2">
              <w:rPr>
                <w:sz w:val="22"/>
                <w:szCs w:val="22"/>
                <w:lang w:val="sk-SK"/>
              </w:rPr>
              <w:t>V</w:t>
            </w:r>
            <w:r w:rsidR="004C5CBE" w:rsidRPr="00534FB2">
              <w:rPr>
                <w:sz w:val="22"/>
                <w:szCs w:val="22"/>
                <w:lang w:val="sk-SK"/>
              </w:rPr>
              <w:t>eľmi zriedkavé</w:t>
            </w:r>
            <w:r w:rsidRPr="00534FB2">
              <w:rPr>
                <w:sz w:val="22"/>
                <w:szCs w:val="22"/>
                <w:lang w:val="sk-SK"/>
              </w:rPr>
              <w:t>**</w:t>
            </w:r>
          </w:p>
        </w:tc>
        <w:tc>
          <w:tcPr>
            <w:tcW w:w="708" w:type="pct"/>
            <w:vAlign w:val="center"/>
          </w:tcPr>
          <w:p w14:paraId="10748DC7" w14:textId="1D273C58" w:rsidR="004E64BA" w:rsidRPr="00534FB2" w:rsidRDefault="004C5CBE" w:rsidP="004E64BA">
            <w:pPr>
              <w:rPr>
                <w:sz w:val="22"/>
                <w:szCs w:val="22"/>
                <w:lang w:val="sk-SK"/>
              </w:rPr>
            </w:pPr>
            <w:r w:rsidRPr="00534FB2">
              <w:rPr>
                <w:sz w:val="22"/>
                <w:szCs w:val="22"/>
                <w:lang w:val="sk-SK"/>
              </w:rPr>
              <w:t>Neznáme</w:t>
            </w:r>
          </w:p>
        </w:tc>
        <w:tc>
          <w:tcPr>
            <w:tcW w:w="757" w:type="pct"/>
            <w:vAlign w:val="center"/>
          </w:tcPr>
          <w:p w14:paraId="626FC9A2"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2A2FA4D2" w14:textId="77777777" w:rsidTr="000F0F4C">
        <w:trPr>
          <w:jc w:val="center"/>
        </w:trPr>
        <w:tc>
          <w:tcPr>
            <w:tcW w:w="829" w:type="pct"/>
            <w:vMerge/>
          </w:tcPr>
          <w:p w14:paraId="4345C0B2" w14:textId="77777777" w:rsidR="004E64BA" w:rsidRPr="00534FB2" w:rsidRDefault="004E64BA" w:rsidP="004E64BA">
            <w:pPr>
              <w:rPr>
                <w:sz w:val="22"/>
                <w:szCs w:val="22"/>
                <w:lang w:val="sk-SK"/>
              </w:rPr>
            </w:pPr>
          </w:p>
        </w:tc>
        <w:tc>
          <w:tcPr>
            <w:tcW w:w="1134" w:type="pct"/>
            <w:vAlign w:val="center"/>
          </w:tcPr>
          <w:p w14:paraId="65FE4AFF" w14:textId="1399CC4F" w:rsidR="004E64BA" w:rsidRPr="00534FB2" w:rsidRDefault="004E64BA" w:rsidP="004C5CBE">
            <w:pPr>
              <w:rPr>
                <w:sz w:val="22"/>
                <w:szCs w:val="22"/>
                <w:lang w:val="sk-SK"/>
              </w:rPr>
            </w:pPr>
            <w:r w:rsidRPr="00534FB2">
              <w:rPr>
                <w:sz w:val="22"/>
                <w:szCs w:val="22"/>
                <w:lang w:val="sk-SK"/>
              </w:rPr>
              <w:t>Hepatit</w:t>
            </w:r>
            <w:r w:rsidR="004C5CBE" w:rsidRPr="00534FB2">
              <w:rPr>
                <w:sz w:val="22"/>
                <w:szCs w:val="22"/>
                <w:lang w:val="sk-SK"/>
              </w:rPr>
              <w:t>ída</w:t>
            </w:r>
          </w:p>
        </w:tc>
        <w:tc>
          <w:tcPr>
            <w:tcW w:w="786" w:type="pct"/>
            <w:vAlign w:val="center"/>
          </w:tcPr>
          <w:p w14:paraId="67900CC6"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1C46F69A" w14:textId="2402E329" w:rsidR="004E64BA" w:rsidRPr="00534FB2" w:rsidRDefault="004C5CBE" w:rsidP="004E64BA">
            <w:pPr>
              <w:rPr>
                <w:sz w:val="22"/>
                <w:szCs w:val="22"/>
                <w:lang w:val="sk-SK"/>
              </w:rPr>
            </w:pPr>
            <w:r w:rsidRPr="00534FB2">
              <w:rPr>
                <w:sz w:val="22"/>
                <w:szCs w:val="22"/>
                <w:lang w:val="sk-SK"/>
              </w:rPr>
              <w:t>Veľmi zriedkavé</w:t>
            </w:r>
          </w:p>
        </w:tc>
        <w:tc>
          <w:tcPr>
            <w:tcW w:w="708" w:type="pct"/>
            <w:vAlign w:val="center"/>
          </w:tcPr>
          <w:p w14:paraId="696F3049"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99C3F27"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2126B74A" w14:textId="77777777" w:rsidTr="000F0F4C">
        <w:trPr>
          <w:jc w:val="center"/>
        </w:trPr>
        <w:tc>
          <w:tcPr>
            <w:tcW w:w="829" w:type="pct"/>
            <w:vMerge/>
          </w:tcPr>
          <w:p w14:paraId="00D2C41D" w14:textId="77777777" w:rsidR="004E64BA" w:rsidRPr="00534FB2" w:rsidRDefault="004E64BA" w:rsidP="004E64BA">
            <w:pPr>
              <w:rPr>
                <w:sz w:val="22"/>
                <w:szCs w:val="22"/>
                <w:lang w:val="sk-SK"/>
              </w:rPr>
            </w:pPr>
          </w:p>
        </w:tc>
        <w:tc>
          <w:tcPr>
            <w:tcW w:w="1134" w:type="pct"/>
            <w:vAlign w:val="center"/>
          </w:tcPr>
          <w:p w14:paraId="5D53C397" w14:textId="77777777" w:rsidR="004C5CBE" w:rsidRPr="00534FB2" w:rsidRDefault="004C5CBE" w:rsidP="004C5CBE">
            <w:pPr>
              <w:rPr>
                <w:sz w:val="22"/>
                <w:szCs w:val="22"/>
                <w:lang w:val="sk-SK"/>
              </w:rPr>
            </w:pPr>
            <w:r w:rsidRPr="00534FB2">
              <w:rPr>
                <w:sz w:val="22"/>
                <w:szCs w:val="22"/>
                <w:lang w:val="sk-SK"/>
              </w:rPr>
              <w:t>Intrahepatálna</w:t>
            </w:r>
          </w:p>
          <w:p w14:paraId="30BA4C60" w14:textId="71836579" w:rsidR="004E64BA" w:rsidRPr="00534FB2" w:rsidRDefault="004C5CBE" w:rsidP="004C5CBE">
            <w:pPr>
              <w:rPr>
                <w:sz w:val="22"/>
                <w:szCs w:val="22"/>
                <w:lang w:val="sk-SK"/>
              </w:rPr>
            </w:pPr>
            <w:r w:rsidRPr="00534FB2">
              <w:rPr>
                <w:sz w:val="22"/>
                <w:szCs w:val="22"/>
                <w:lang w:val="sk-SK"/>
              </w:rPr>
              <w:t>cholestáza, ikterus</w:t>
            </w:r>
          </w:p>
        </w:tc>
        <w:tc>
          <w:tcPr>
            <w:tcW w:w="786" w:type="pct"/>
            <w:vAlign w:val="center"/>
          </w:tcPr>
          <w:p w14:paraId="7610CF6C"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7DF251B0" w14:textId="347BBB91" w:rsidR="004E64BA" w:rsidRPr="00534FB2" w:rsidRDefault="004C5CBE" w:rsidP="004E64BA">
            <w:pPr>
              <w:rPr>
                <w:sz w:val="22"/>
                <w:szCs w:val="22"/>
                <w:lang w:val="sk-SK"/>
              </w:rPr>
            </w:pPr>
            <w:r w:rsidRPr="00534FB2">
              <w:rPr>
                <w:sz w:val="22"/>
                <w:szCs w:val="22"/>
                <w:lang w:val="sk-SK"/>
              </w:rPr>
              <w:t>Veľmi zriedkavé</w:t>
            </w:r>
          </w:p>
        </w:tc>
        <w:tc>
          <w:tcPr>
            <w:tcW w:w="708" w:type="pct"/>
            <w:vAlign w:val="center"/>
          </w:tcPr>
          <w:p w14:paraId="5434C14D"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06E88443" w14:textId="3C5096FF" w:rsidR="004E64BA" w:rsidRPr="00534FB2" w:rsidRDefault="004C5CBE" w:rsidP="004E64BA">
            <w:pPr>
              <w:rPr>
                <w:sz w:val="22"/>
                <w:szCs w:val="22"/>
                <w:lang w:val="sk-SK"/>
              </w:rPr>
            </w:pPr>
            <w:r w:rsidRPr="00534FB2">
              <w:rPr>
                <w:sz w:val="22"/>
                <w:szCs w:val="22"/>
                <w:lang w:val="sk-SK"/>
              </w:rPr>
              <w:t>Zriedkavé</w:t>
            </w:r>
          </w:p>
        </w:tc>
      </w:tr>
      <w:tr w:rsidR="004E64BA" w:rsidRPr="00534FB2" w14:paraId="4F670A3C" w14:textId="77777777" w:rsidTr="000F0F4C">
        <w:trPr>
          <w:jc w:val="center"/>
        </w:trPr>
        <w:tc>
          <w:tcPr>
            <w:tcW w:w="829" w:type="pct"/>
            <w:vMerge w:val="restart"/>
          </w:tcPr>
          <w:p w14:paraId="71172198" w14:textId="77777777" w:rsidR="004C5CBE" w:rsidRPr="00534FB2" w:rsidRDefault="004C5CBE" w:rsidP="004C5CBE">
            <w:pPr>
              <w:rPr>
                <w:sz w:val="22"/>
                <w:szCs w:val="22"/>
                <w:lang w:val="sk-SK"/>
              </w:rPr>
            </w:pPr>
            <w:r w:rsidRPr="00534FB2">
              <w:rPr>
                <w:sz w:val="22"/>
                <w:szCs w:val="22"/>
                <w:lang w:val="sk-SK"/>
              </w:rPr>
              <w:t>Poruchy kože a</w:t>
            </w:r>
          </w:p>
          <w:p w14:paraId="1F70B4D7" w14:textId="77777777" w:rsidR="004C5CBE" w:rsidRPr="00534FB2" w:rsidRDefault="004C5CBE" w:rsidP="004C5CBE">
            <w:pPr>
              <w:rPr>
                <w:sz w:val="22"/>
                <w:szCs w:val="22"/>
                <w:lang w:val="sk-SK"/>
              </w:rPr>
            </w:pPr>
            <w:r w:rsidRPr="00534FB2">
              <w:rPr>
                <w:sz w:val="22"/>
                <w:szCs w:val="22"/>
                <w:lang w:val="sk-SK"/>
              </w:rPr>
              <w:t>podkožného</w:t>
            </w:r>
          </w:p>
          <w:p w14:paraId="65524728" w14:textId="41D64FE2" w:rsidR="004E64BA" w:rsidRPr="00534FB2" w:rsidRDefault="004C5CBE" w:rsidP="004C5CBE">
            <w:pPr>
              <w:rPr>
                <w:sz w:val="22"/>
                <w:szCs w:val="22"/>
                <w:lang w:val="sk-SK"/>
              </w:rPr>
            </w:pPr>
            <w:r w:rsidRPr="00534FB2">
              <w:rPr>
                <w:sz w:val="22"/>
                <w:szCs w:val="22"/>
                <w:lang w:val="sk-SK"/>
              </w:rPr>
              <w:t>tkaniva</w:t>
            </w:r>
          </w:p>
        </w:tc>
        <w:tc>
          <w:tcPr>
            <w:tcW w:w="1134" w:type="pct"/>
            <w:vAlign w:val="center"/>
          </w:tcPr>
          <w:p w14:paraId="2080A8FE" w14:textId="421EB16D" w:rsidR="004E64BA" w:rsidRPr="00534FB2" w:rsidRDefault="004C5CBE" w:rsidP="004E64BA">
            <w:pPr>
              <w:rPr>
                <w:sz w:val="22"/>
                <w:szCs w:val="22"/>
                <w:lang w:val="sk-SK"/>
              </w:rPr>
            </w:pPr>
            <w:r w:rsidRPr="00534FB2">
              <w:rPr>
                <w:sz w:val="22"/>
                <w:szCs w:val="22"/>
                <w:lang w:val="sk-SK"/>
              </w:rPr>
              <w:t>Alopé</w:t>
            </w:r>
            <w:r w:rsidR="004E64BA" w:rsidRPr="00534FB2">
              <w:rPr>
                <w:sz w:val="22"/>
                <w:szCs w:val="22"/>
                <w:lang w:val="sk-SK"/>
              </w:rPr>
              <w:t>cia</w:t>
            </w:r>
          </w:p>
        </w:tc>
        <w:tc>
          <w:tcPr>
            <w:tcW w:w="786" w:type="pct"/>
            <w:vAlign w:val="center"/>
          </w:tcPr>
          <w:p w14:paraId="02DFDB7D"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60F3FB43" w14:textId="79EE287B"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0AFB23AB"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5F9417EF"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9E22E89" w14:textId="77777777" w:rsidTr="000F0F4C">
        <w:trPr>
          <w:jc w:val="center"/>
        </w:trPr>
        <w:tc>
          <w:tcPr>
            <w:tcW w:w="829" w:type="pct"/>
            <w:vMerge/>
          </w:tcPr>
          <w:p w14:paraId="3F00748B" w14:textId="77777777" w:rsidR="004E64BA" w:rsidRPr="00534FB2" w:rsidRDefault="004E64BA" w:rsidP="004E64BA">
            <w:pPr>
              <w:rPr>
                <w:sz w:val="22"/>
                <w:szCs w:val="22"/>
                <w:lang w:val="sk-SK"/>
              </w:rPr>
            </w:pPr>
          </w:p>
        </w:tc>
        <w:tc>
          <w:tcPr>
            <w:tcW w:w="1134" w:type="pct"/>
            <w:vAlign w:val="center"/>
          </w:tcPr>
          <w:p w14:paraId="0F83BCAF" w14:textId="41141992" w:rsidR="004E64BA" w:rsidRPr="00534FB2" w:rsidRDefault="004E64BA" w:rsidP="004C5CBE">
            <w:pPr>
              <w:rPr>
                <w:sz w:val="22"/>
                <w:szCs w:val="22"/>
                <w:lang w:val="sk-SK"/>
              </w:rPr>
            </w:pPr>
            <w:r w:rsidRPr="00534FB2">
              <w:rPr>
                <w:sz w:val="22"/>
                <w:szCs w:val="22"/>
                <w:lang w:val="sk-SK"/>
              </w:rPr>
              <w:t>Angioed</w:t>
            </w:r>
            <w:r w:rsidR="004C5CBE" w:rsidRPr="00534FB2">
              <w:rPr>
                <w:sz w:val="22"/>
                <w:szCs w:val="22"/>
                <w:lang w:val="sk-SK"/>
              </w:rPr>
              <w:t>ém</w:t>
            </w:r>
          </w:p>
        </w:tc>
        <w:tc>
          <w:tcPr>
            <w:tcW w:w="786" w:type="pct"/>
            <w:vAlign w:val="center"/>
          </w:tcPr>
          <w:p w14:paraId="4BEA444A"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754AA5FE" w14:textId="6F6C0D0F" w:rsidR="004E64BA" w:rsidRPr="00534FB2" w:rsidRDefault="004C5CBE" w:rsidP="004E64BA">
            <w:pPr>
              <w:rPr>
                <w:sz w:val="22"/>
                <w:szCs w:val="22"/>
                <w:lang w:val="sk-SK"/>
              </w:rPr>
            </w:pPr>
            <w:r w:rsidRPr="00534FB2">
              <w:rPr>
                <w:sz w:val="22"/>
                <w:szCs w:val="22"/>
                <w:lang w:val="sk-SK"/>
              </w:rPr>
              <w:t>Veľmi zriedkavé</w:t>
            </w:r>
          </w:p>
        </w:tc>
        <w:tc>
          <w:tcPr>
            <w:tcW w:w="708" w:type="pct"/>
            <w:vAlign w:val="center"/>
          </w:tcPr>
          <w:p w14:paraId="4BCEFCAE" w14:textId="0164867D" w:rsidR="004E64BA" w:rsidRPr="00534FB2" w:rsidRDefault="004C5CBE" w:rsidP="004E64BA">
            <w:pPr>
              <w:rPr>
                <w:sz w:val="22"/>
                <w:szCs w:val="22"/>
                <w:lang w:val="sk-SK"/>
              </w:rPr>
            </w:pPr>
            <w:r w:rsidRPr="00534FB2">
              <w:rPr>
                <w:sz w:val="22"/>
                <w:szCs w:val="22"/>
                <w:lang w:val="sk-SK"/>
              </w:rPr>
              <w:t>Neznáme</w:t>
            </w:r>
          </w:p>
        </w:tc>
        <w:tc>
          <w:tcPr>
            <w:tcW w:w="757" w:type="pct"/>
            <w:vAlign w:val="center"/>
          </w:tcPr>
          <w:p w14:paraId="5EC07F58"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6EC7188C" w14:textId="77777777" w:rsidTr="000F0F4C">
        <w:trPr>
          <w:jc w:val="center"/>
        </w:trPr>
        <w:tc>
          <w:tcPr>
            <w:tcW w:w="829" w:type="pct"/>
            <w:vMerge/>
          </w:tcPr>
          <w:p w14:paraId="151FEFE6" w14:textId="77777777" w:rsidR="004E64BA" w:rsidRPr="00534FB2" w:rsidRDefault="004E64BA" w:rsidP="004E64BA">
            <w:pPr>
              <w:rPr>
                <w:sz w:val="22"/>
                <w:szCs w:val="22"/>
                <w:lang w:val="sk-SK"/>
              </w:rPr>
            </w:pPr>
          </w:p>
        </w:tc>
        <w:tc>
          <w:tcPr>
            <w:tcW w:w="1134" w:type="pct"/>
            <w:vAlign w:val="center"/>
          </w:tcPr>
          <w:p w14:paraId="054311E4" w14:textId="426C5BA0" w:rsidR="004E64BA" w:rsidRPr="00534FB2" w:rsidRDefault="004C5CBE" w:rsidP="004E64BA">
            <w:pPr>
              <w:rPr>
                <w:sz w:val="22"/>
                <w:szCs w:val="22"/>
                <w:lang w:val="sk-SK"/>
              </w:rPr>
            </w:pPr>
            <w:r w:rsidRPr="00534FB2">
              <w:rPr>
                <w:sz w:val="22"/>
                <w:szCs w:val="22"/>
                <w:lang w:val="sk-SK"/>
              </w:rPr>
              <w:t>Bulózna dermatitída</w:t>
            </w:r>
          </w:p>
        </w:tc>
        <w:tc>
          <w:tcPr>
            <w:tcW w:w="786" w:type="pct"/>
            <w:vAlign w:val="center"/>
          </w:tcPr>
          <w:p w14:paraId="7912084E"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43D5862E"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718977A3" w14:textId="68D07D06" w:rsidR="004E64BA" w:rsidRPr="00534FB2" w:rsidRDefault="004C5CBE" w:rsidP="004E64BA">
            <w:pPr>
              <w:rPr>
                <w:sz w:val="22"/>
                <w:szCs w:val="22"/>
                <w:lang w:val="sk-SK"/>
              </w:rPr>
            </w:pPr>
            <w:r w:rsidRPr="00534FB2">
              <w:rPr>
                <w:sz w:val="22"/>
                <w:szCs w:val="22"/>
                <w:lang w:val="sk-SK"/>
              </w:rPr>
              <w:t>Neznáme</w:t>
            </w:r>
          </w:p>
        </w:tc>
        <w:tc>
          <w:tcPr>
            <w:tcW w:w="757" w:type="pct"/>
            <w:vAlign w:val="center"/>
          </w:tcPr>
          <w:p w14:paraId="41BF9BC1"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179238C" w14:textId="77777777" w:rsidTr="000F0F4C">
        <w:trPr>
          <w:jc w:val="center"/>
        </w:trPr>
        <w:tc>
          <w:tcPr>
            <w:tcW w:w="829" w:type="pct"/>
            <w:vMerge/>
          </w:tcPr>
          <w:p w14:paraId="6705A01A" w14:textId="77777777" w:rsidR="004E64BA" w:rsidRPr="00534FB2" w:rsidRDefault="004E64BA" w:rsidP="004E64BA">
            <w:pPr>
              <w:rPr>
                <w:sz w:val="22"/>
                <w:szCs w:val="22"/>
                <w:lang w:val="sk-SK"/>
              </w:rPr>
            </w:pPr>
          </w:p>
        </w:tc>
        <w:tc>
          <w:tcPr>
            <w:tcW w:w="1134" w:type="pct"/>
            <w:vAlign w:val="center"/>
          </w:tcPr>
          <w:p w14:paraId="3EC5BF94" w14:textId="77777777" w:rsidR="004C5CBE" w:rsidRPr="00534FB2" w:rsidRDefault="004C5CBE" w:rsidP="004C5CBE">
            <w:pPr>
              <w:rPr>
                <w:sz w:val="22"/>
                <w:szCs w:val="22"/>
                <w:lang w:val="sk-SK"/>
              </w:rPr>
            </w:pPr>
            <w:r w:rsidRPr="00534FB2">
              <w:rPr>
                <w:sz w:val="22"/>
                <w:szCs w:val="22"/>
                <w:lang w:val="sk-SK"/>
              </w:rPr>
              <w:t>Reakcie podobné</w:t>
            </w:r>
          </w:p>
          <w:p w14:paraId="43537073" w14:textId="77777777" w:rsidR="004C5CBE" w:rsidRPr="00534FB2" w:rsidRDefault="004C5CBE" w:rsidP="004C5CBE">
            <w:pPr>
              <w:rPr>
                <w:sz w:val="22"/>
                <w:szCs w:val="22"/>
                <w:lang w:val="sk-SK"/>
              </w:rPr>
            </w:pPr>
            <w:r w:rsidRPr="00534FB2">
              <w:rPr>
                <w:sz w:val="22"/>
                <w:szCs w:val="22"/>
                <w:lang w:val="sk-SK"/>
              </w:rPr>
              <w:t>kožnému lupus</w:t>
            </w:r>
          </w:p>
          <w:p w14:paraId="730DC3E4" w14:textId="77777777" w:rsidR="004C5CBE" w:rsidRPr="00534FB2" w:rsidRDefault="004C5CBE" w:rsidP="004C5CBE">
            <w:pPr>
              <w:rPr>
                <w:sz w:val="22"/>
                <w:szCs w:val="22"/>
                <w:lang w:val="sk-SK"/>
              </w:rPr>
            </w:pPr>
            <w:r w:rsidRPr="00534FB2">
              <w:rPr>
                <w:sz w:val="22"/>
                <w:szCs w:val="22"/>
                <w:lang w:val="sk-SK"/>
              </w:rPr>
              <w:t>erythematosus,</w:t>
            </w:r>
          </w:p>
          <w:p w14:paraId="7220F30B" w14:textId="77777777" w:rsidR="004C5CBE" w:rsidRPr="00534FB2" w:rsidRDefault="004C5CBE" w:rsidP="004C5CBE">
            <w:pPr>
              <w:rPr>
                <w:sz w:val="22"/>
                <w:szCs w:val="22"/>
                <w:lang w:val="sk-SK"/>
              </w:rPr>
            </w:pPr>
            <w:r w:rsidRPr="00534FB2">
              <w:rPr>
                <w:sz w:val="22"/>
                <w:szCs w:val="22"/>
                <w:lang w:val="sk-SK"/>
              </w:rPr>
              <w:t>reaktivácia kožného</w:t>
            </w:r>
          </w:p>
          <w:p w14:paraId="5DDBFF5A" w14:textId="7518D884" w:rsidR="004E64BA" w:rsidRPr="00534FB2" w:rsidRDefault="004C5CBE" w:rsidP="004C5CBE">
            <w:pPr>
              <w:rPr>
                <w:sz w:val="22"/>
                <w:szCs w:val="22"/>
                <w:lang w:val="sk-SK"/>
              </w:rPr>
            </w:pPr>
            <w:r w:rsidRPr="00534FB2">
              <w:rPr>
                <w:sz w:val="22"/>
                <w:szCs w:val="22"/>
                <w:lang w:val="sk-SK"/>
              </w:rPr>
              <w:t>lupus erythematosus</w:t>
            </w:r>
          </w:p>
        </w:tc>
        <w:tc>
          <w:tcPr>
            <w:tcW w:w="786" w:type="pct"/>
            <w:vAlign w:val="center"/>
          </w:tcPr>
          <w:p w14:paraId="5BE00DD7"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3D7FCB65"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6AAAB6CF"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2340A3A" w14:textId="7D963B55" w:rsidR="004E64BA" w:rsidRPr="00534FB2" w:rsidRDefault="004C5CBE" w:rsidP="004E64BA">
            <w:pPr>
              <w:rPr>
                <w:sz w:val="22"/>
                <w:szCs w:val="22"/>
                <w:lang w:val="sk-SK"/>
              </w:rPr>
            </w:pPr>
            <w:r w:rsidRPr="00534FB2">
              <w:rPr>
                <w:sz w:val="22"/>
                <w:szCs w:val="22"/>
                <w:lang w:val="sk-SK"/>
              </w:rPr>
              <w:t>Veľmi zriedkavé</w:t>
            </w:r>
          </w:p>
        </w:tc>
      </w:tr>
      <w:tr w:rsidR="004E64BA" w:rsidRPr="00534FB2" w14:paraId="4C955421" w14:textId="77777777" w:rsidTr="000F0F4C">
        <w:trPr>
          <w:jc w:val="center"/>
        </w:trPr>
        <w:tc>
          <w:tcPr>
            <w:tcW w:w="829" w:type="pct"/>
            <w:vMerge/>
          </w:tcPr>
          <w:p w14:paraId="6F55687B" w14:textId="77777777" w:rsidR="004E64BA" w:rsidRPr="00534FB2" w:rsidRDefault="004E64BA" w:rsidP="004E64BA">
            <w:pPr>
              <w:rPr>
                <w:sz w:val="22"/>
                <w:szCs w:val="22"/>
                <w:lang w:val="sk-SK"/>
              </w:rPr>
            </w:pPr>
          </w:p>
        </w:tc>
        <w:tc>
          <w:tcPr>
            <w:tcW w:w="1134" w:type="pct"/>
            <w:vAlign w:val="center"/>
          </w:tcPr>
          <w:p w14:paraId="3A96207C" w14:textId="24C888DD" w:rsidR="004E64BA" w:rsidRPr="00534FB2" w:rsidRDefault="004C5CBE" w:rsidP="004E64BA">
            <w:pPr>
              <w:rPr>
                <w:sz w:val="22"/>
                <w:szCs w:val="22"/>
                <w:lang w:val="sk-SK"/>
              </w:rPr>
            </w:pPr>
            <w:r w:rsidRPr="00534FB2">
              <w:rPr>
                <w:sz w:val="22"/>
                <w:szCs w:val="22"/>
                <w:lang w:val="sk-SK"/>
              </w:rPr>
              <w:t>Multiformný erytém</w:t>
            </w:r>
          </w:p>
        </w:tc>
        <w:tc>
          <w:tcPr>
            <w:tcW w:w="786" w:type="pct"/>
            <w:vAlign w:val="center"/>
          </w:tcPr>
          <w:p w14:paraId="2C68FACE"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526A8ECC" w14:textId="556508E2" w:rsidR="004E64BA" w:rsidRPr="00534FB2" w:rsidRDefault="004C5CBE" w:rsidP="004E64BA">
            <w:pPr>
              <w:rPr>
                <w:sz w:val="22"/>
                <w:szCs w:val="22"/>
                <w:lang w:val="sk-SK"/>
              </w:rPr>
            </w:pPr>
            <w:r w:rsidRPr="00534FB2">
              <w:rPr>
                <w:sz w:val="22"/>
                <w:szCs w:val="22"/>
                <w:lang w:val="sk-SK"/>
              </w:rPr>
              <w:t>Veľmi zriedkavé</w:t>
            </w:r>
          </w:p>
        </w:tc>
        <w:tc>
          <w:tcPr>
            <w:tcW w:w="708" w:type="pct"/>
            <w:vAlign w:val="center"/>
          </w:tcPr>
          <w:p w14:paraId="5CF4F96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D10E7B1" w14:textId="51AD79BA" w:rsidR="004E64BA" w:rsidRPr="00534FB2" w:rsidRDefault="004C5CBE" w:rsidP="004E64BA">
            <w:pPr>
              <w:rPr>
                <w:sz w:val="22"/>
                <w:szCs w:val="22"/>
                <w:lang w:val="sk-SK"/>
              </w:rPr>
            </w:pPr>
            <w:r w:rsidRPr="00534FB2">
              <w:rPr>
                <w:sz w:val="22"/>
                <w:szCs w:val="22"/>
                <w:lang w:val="sk-SK"/>
              </w:rPr>
              <w:t>Neznáme</w:t>
            </w:r>
          </w:p>
        </w:tc>
      </w:tr>
      <w:tr w:rsidR="004E64BA" w:rsidRPr="00534FB2" w14:paraId="39B88222" w14:textId="77777777" w:rsidTr="000F0F4C">
        <w:trPr>
          <w:jc w:val="center"/>
        </w:trPr>
        <w:tc>
          <w:tcPr>
            <w:tcW w:w="829" w:type="pct"/>
            <w:vMerge/>
          </w:tcPr>
          <w:p w14:paraId="17C9663C" w14:textId="77777777" w:rsidR="004E64BA" w:rsidRPr="00534FB2" w:rsidRDefault="004E64BA" w:rsidP="004E64BA">
            <w:pPr>
              <w:rPr>
                <w:sz w:val="22"/>
                <w:szCs w:val="22"/>
                <w:lang w:val="sk-SK"/>
              </w:rPr>
            </w:pPr>
          </w:p>
        </w:tc>
        <w:tc>
          <w:tcPr>
            <w:tcW w:w="1134" w:type="pct"/>
            <w:vAlign w:val="center"/>
          </w:tcPr>
          <w:p w14:paraId="2463C305" w14:textId="2EE9116B" w:rsidR="004E64BA" w:rsidRPr="00534FB2" w:rsidRDefault="004C5CBE" w:rsidP="004E64BA">
            <w:pPr>
              <w:rPr>
                <w:sz w:val="22"/>
                <w:szCs w:val="22"/>
                <w:lang w:val="sk-SK"/>
              </w:rPr>
            </w:pPr>
            <w:r w:rsidRPr="00534FB2">
              <w:rPr>
                <w:sz w:val="22"/>
                <w:szCs w:val="22"/>
                <w:lang w:val="sk-SK"/>
              </w:rPr>
              <w:t>Exantém</w:t>
            </w:r>
          </w:p>
        </w:tc>
        <w:tc>
          <w:tcPr>
            <w:tcW w:w="786" w:type="pct"/>
            <w:vAlign w:val="center"/>
          </w:tcPr>
          <w:p w14:paraId="223D6BA3"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2957175F" w14:textId="294D0218"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0D28521C"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5EE2B14B"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2EC599FC" w14:textId="77777777" w:rsidTr="000F0F4C">
        <w:trPr>
          <w:jc w:val="center"/>
        </w:trPr>
        <w:tc>
          <w:tcPr>
            <w:tcW w:w="829" w:type="pct"/>
            <w:vMerge/>
          </w:tcPr>
          <w:p w14:paraId="76651DCD" w14:textId="77777777" w:rsidR="004E64BA" w:rsidRPr="00534FB2" w:rsidRDefault="004E64BA" w:rsidP="004E64BA">
            <w:pPr>
              <w:rPr>
                <w:sz w:val="22"/>
                <w:szCs w:val="22"/>
                <w:lang w:val="sk-SK"/>
              </w:rPr>
            </w:pPr>
          </w:p>
        </w:tc>
        <w:tc>
          <w:tcPr>
            <w:tcW w:w="1134" w:type="pct"/>
            <w:vAlign w:val="center"/>
          </w:tcPr>
          <w:p w14:paraId="20353E4E" w14:textId="79D631FB" w:rsidR="004E64BA" w:rsidRPr="00534FB2" w:rsidRDefault="004C5CBE" w:rsidP="004E64BA">
            <w:pPr>
              <w:rPr>
                <w:sz w:val="22"/>
                <w:szCs w:val="22"/>
                <w:lang w:val="sk-SK"/>
              </w:rPr>
            </w:pPr>
            <w:r w:rsidRPr="00534FB2">
              <w:rPr>
                <w:sz w:val="22"/>
                <w:szCs w:val="22"/>
                <w:lang w:val="sk-SK"/>
              </w:rPr>
              <w:t>Hyperhidróza</w:t>
            </w:r>
          </w:p>
        </w:tc>
        <w:tc>
          <w:tcPr>
            <w:tcW w:w="786" w:type="pct"/>
            <w:vAlign w:val="center"/>
          </w:tcPr>
          <w:p w14:paraId="35A4017D" w14:textId="51060DDB"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6FD9F95D" w14:textId="09676A87"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184066A3"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79AE4CCF"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65A70334" w14:textId="77777777" w:rsidTr="000F0F4C">
        <w:trPr>
          <w:jc w:val="center"/>
        </w:trPr>
        <w:tc>
          <w:tcPr>
            <w:tcW w:w="829" w:type="pct"/>
            <w:vMerge/>
          </w:tcPr>
          <w:p w14:paraId="6DB12AE4" w14:textId="77777777" w:rsidR="004E64BA" w:rsidRPr="00534FB2" w:rsidRDefault="004E64BA" w:rsidP="004E64BA">
            <w:pPr>
              <w:rPr>
                <w:sz w:val="22"/>
                <w:szCs w:val="22"/>
                <w:lang w:val="sk-SK"/>
              </w:rPr>
            </w:pPr>
          </w:p>
        </w:tc>
        <w:tc>
          <w:tcPr>
            <w:tcW w:w="1134" w:type="pct"/>
            <w:vAlign w:val="center"/>
          </w:tcPr>
          <w:p w14:paraId="149909B9" w14:textId="77777777" w:rsidR="00BA2C09" w:rsidRPr="00534FB2" w:rsidRDefault="00BA2C09" w:rsidP="00BA2C09">
            <w:pPr>
              <w:rPr>
                <w:sz w:val="22"/>
                <w:szCs w:val="22"/>
                <w:lang w:val="sk-SK"/>
              </w:rPr>
            </w:pPr>
            <w:r w:rsidRPr="00534FB2">
              <w:rPr>
                <w:sz w:val="22"/>
                <w:szCs w:val="22"/>
                <w:lang w:val="sk-SK"/>
              </w:rPr>
              <w:t>Reakcia z</w:t>
            </w:r>
          </w:p>
          <w:p w14:paraId="40C75E92" w14:textId="57AB583F" w:rsidR="004E64BA" w:rsidRPr="00534FB2" w:rsidRDefault="00BA2C09" w:rsidP="00BA2C09">
            <w:pPr>
              <w:rPr>
                <w:sz w:val="22"/>
                <w:szCs w:val="22"/>
                <w:lang w:val="sk-SK"/>
              </w:rPr>
            </w:pPr>
            <w:r w:rsidRPr="00534FB2">
              <w:rPr>
                <w:sz w:val="22"/>
                <w:szCs w:val="22"/>
                <w:lang w:val="sk-SK"/>
              </w:rPr>
              <w:t xml:space="preserve">fotosenzitivity </w:t>
            </w:r>
            <w:r w:rsidR="004E64BA" w:rsidRPr="00534FB2">
              <w:rPr>
                <w:sz w:val="22"/>
                <w:szCs w:val="22"/>
                <w:lang w:val="sk-SK"/>
              </w:rPr>
              <w:t>*</w:t>
            </w:r>
          </w:p>
        </w:tc>
        <w:tc>
          <w:tcPr>
            <w:tcW w:w="786" w:type="pct"/>
            <w:vAlign w:val="center"/>
          </w:tcPr>
          <w:p w14:paraId="3B83D6B0" w14:textId="77777777" w:rsidR="004E64BA" w:rsidRPr="00534FB2" w:rsidRDefault="004E64BA" w:rsidP="004E64BA">
            <w:pPr>
              <w:rPr>
                <w:sz w:val="22"/>
                <w:szCs w:val="22"/>
                <w:lang w:val="sk-SK"/>
              </w:rPr>
            </w:pPr>
          </w:p>
        </w:tc>
        <w:tc>
          <w:tcPr>
            <w:tcW w:w="786" w:type="pct"/>
            <w:vAlign w:val="center"/>
          </w:tcPr>
          <w:p w14:paraId="4BCFFAFF" w14:textId="71A13B08" w:rsidR="004E64BA" w:rsidRPr="00534FB2" w:rsidRDefault="004C5CBE" w:rsidP="004E64BA">
            <w:pPr>
              <w:rPr>
                <w:sz w:val="22"/>
                <w:szCs w:val="22"/>
                <w:lang w:val="sk-SK"/>
              </w:rPr>
            </w:pPr>
            <w:r w:rsidRPr="00534FB2">
              <w:rPr>
                <w:sz w:val="22"/>
                <w:szCs w:val="22"/>
                <w:lang w:val="sk-SK"/>
              </w:rPr>
              <w:t>Veľmi zriedkavé</w:t>
            </w:r>
          </w:p>
        </w:tc>
        <w:tc>
          <w:tcPr>
            <w:tcW w:w="708" w:type="pct"/>
            <w:vAlign w:val="center"/>
          </w:tcPr>
          <w:p w14:paraId="04DCF96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2C58CC6C" w14:textId="3644B70B" w:rsidR="004E64BA" w:rsidRPr="00534FB2" w:rsidRDefault="004C5CBE" w:rsidP="004E64BA">
            <w:pPr>
              <w:rPr>
                <w:sz w:val="22"/>
                <w:szCs w:val="22"/>
                <w:lang w:val="sk-SK"/>
              </w:rPr>
            </w:pPr>
            <w:r w:rsidRPr="00534FB2">
              <w:rPr>
                <w:sz w:val="22"/>
                <w:szCs w:val="22"/>
                <w:lang w:val="sk-SK"/>
              </w:rPr>
              <w:t>Zriedkavé</w:t>
            </w:r>
          </w:p>
        </w:tc>
      </w:tr>
      <w:tr w:rsidR="004E64BA" w:rsidRPr="00534FB2" w14:paraId="51E9C3B9" w14:textId="77777777" w:rsidTr="000F0F4C">
        <w:trPr>
          <w:jc w:val="center"/>
        </w:trPr>
        <w:tc>
          <w:tcPr>
            <w:tcW w:w="829" w:type="pct"/>
            <w:vMerge/>
          </w:tcPr>
          <w:p w14:paraId="5332D607" w14:textId="77777777" w:rsidR="004E64BA" w:rsidRPr="00534FB2" w:rsidRDefault="004E64BA" w:rsidP="004E64BA">
            <w:pPr>
              <w:rPr>
                <w:sz w:val="22"/>
                <w:szCs w:val="22"/>
                <w:lang w:val="sk-SK"/>
              </w:rPr>
            </w:pPr>
          </w:p>
        </w:tc>
        <w:tc>
          <w:tcPr>
            <w:tcW w:w="1134" w:type="pct"/>
            <w:vAlign w:val="center"/>
          </w:tcPr>
          <w:p w14:paraId="6049B936" w14:textId="77777777" w:rsidR="004E64BA" w:rsidRPr="00534FB2" w:rsidRDefault="004E64BA" w:rsidP="004E64BA">
            <w:pPr>
              <w:rPr>
                <w:sz w:val="22"/>
                <w:szCs w:val="22"/>
                <w:lang w:val="sk-SK"/>
              </w:rPr>
            </w:pPr>
            <w:r w:rsidRPr="00534FB2">
              <w:rPr>
                <w:sz w:val="22"/>
                <w:szCs w:val="22"/>
                <w:lang w:val="sk-SK"/>
              </w:rPr>
              <w:t>Pruritus</w:t>
            </w:r>
          </w:p>
        </w:tc>
        <w:tc>
          <w:tcPr>
            <w:tcW w:w="786" w:type="pct"/>
            <w:vAlign w:val="center"/>
          </w:tcPr>
          <w:p w14:paraId="07533153" w14:textId="00CB9F13"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1D97F56D" w14:textId="06DADB25"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69AF19E2" w14:textId="53CCE38D" w:rsidR="004E64BA" w:rsidRPr="00534FB2" w:rsidRDefault="004C5CBE" w:rsidP="004E64BA">
            <w:pPr>
              <w:rPr>
                <w:sz w:val="22"/>
                <w:szCs w:val="22"/>
                <w:lang w:val="sk-SK"/>
              </w:rPr>
            </w:pPr>
            <w:r w:rsidRPr="00534FB2">
              <w:rPr>
                <w:sz w:val="22"/>
                <w:szCs w:val="22"/>
                <w:lang w:val="sk-SK"/>
              </w:rPr>
              <w:t>Neznáme</w:t>
            </w:r>
          </w:p>
        </w:tc>
        <w:tc>
          <w:tcPr>
            <w:tcW w:w="757" w:type="pct"/>
            <w:vAlign w:val="center"/>
          </w:tcPr>
          <w:p w14:paraId="7D80D148"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7CCC1069" w14:textId="77777777" w:rsidTr="000F0F4C">
        <w:trPr>
          <w:jc w:val="center"/>
        </w:trPr>
        <w:tc>
          <w:tcPr>
            <w:tcW w:w="829" w:type="pct"/>
            <w:vMerge/>
          </w:tcPr>
          <w:p w14:paraId="100660C2" w14:textId="77777777" w:rsidR="004E64BA" w:rsidRPr="00534FB2" w:rsidRDefault="004E64BA" w:rsidP="004E64BA">
            <w:pPr>
              <w:rPr>
                <w:sz w:val="22"/>
                <w:szCs w:val="22"/>
                <w:lang w:val="sk-SK"/>
              </w:rPr>
            </w:pPr>
          </w:p>
        </w:tc>
        <w:tc>
          <w:tcPr>
            <w:tcW w:w="1134" w:type="pct"/>
            <w:vAlign w:val="center"/>
          </w:tcPr>
          <w:p w14:paraId="5FBAB011" w14:textId="77777777" w:rsidR="004E64BA" w:rsidRPr="00534FB2" w:rsidRDefault="004E64BA" w:rsidP="004E64BA">
            <w:pPr>
              <w:rPr>
                <w:sz w:val="22"/>
                <w:szCs w:val="22"/>
                <w:lang w:val="sk-SK"/>
              </w:rPr>
            </w:pPr>
            <w:r w:rsidRPr="00534FB2">
              <w:rPr>
                <w:sz w:val="22"/>
                <w:szCs w:val="22"/>
                <w:lang w:val="sk-SK"/>
              </w:rPr>
              <w:t>Purpura</w:t>
            </w:r>
          </w:p>
        </w:tc>
        <w:tc>
          <w:tcPr>
            <w:tcW w:w="786" w:type="pct"/>
            <w:vAlign w:val="center"/>
          </w:tcPr>
          <w:p w14:paraId="180161DB"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0813D4B2" w14:textId="3C4D9385"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7BD364BC"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77CC89B6" w14:textId="775F49A4" w:rsidR="004E64BA" w:rsidRPr="00534FB2" w:rsidRDefault="004C5CBE" w:rsidP="004E64BA">
            <w:pPr>
              <w:rPr>
                <w:sz w:val="22"/>
                <w:szCs w:val="22"/>
                <w:lang w:val="sk-SK"/>
              </w:rPr>
            </w:pPr>
            <w:r w:rsidRPr="00534FB2">
              <w:rPr>
                <w:sz w:val="22"/>
                <w:szCs w:val="22"/>
                <w:lang w:val="sk-SK"/>
              </w:rPr>
              <w:t>Zriedkavé</w:t>
            </w:r>
          </w:p>
        </w:tc>
      </w:tr>
      <w:tr w:rsidR="004E64BA" w:rsidRPr="00534FB2" w14:paraId="0CD05AF8" w14:textId="77777777" w:rsidTr="000F0F4C">
        <w:trPr>
          <w:jc w:val="center"/>
        </w:trPr>
        <w:tc>
          <w:tcPr>
            <w:tcW w:w="829" w:type="pct"/>
            <w:vMerge/>
          </w:tcPr>
          <w:p w14:paraId="3B9E91BE" w14:textId="77777777" w:rsidR="004E64BA" w:rsidRPr="00534FB2" w:rsidRDefault="004E64BA" w:rsidP="004E64BA">
            <w:pPr>
              <w:rPr>
                <w:sz w:val="22"/>
                <w:szCs w:val="22"/>
                <w:lang w:val="sk-SK"/>
              </w:rPr>
            </w:pPr>
          </w:p>
        </w:tc>
        <w:tc>
          <w:tcPr>
            <w:tcW w:w="1134" w:type="pct"/>
            <w:vAlign w:val="center"/>
          </w:tcPr>
          <w:p w14:paraId="4D49FAC4" w14:textId="77B8C791" w:rsidR="004E64BA" w:rsidRPr="00534FB2" w:rsidRDefault="00BA2C09" w:rsidP="004E64BA">
            <w:pPr>
              <w:rPr>
                <w:sz w:val="22"/>
                <w:szCs w:val="22"/>
                <w:lang w:val="sk-SK"/>
              </w:rPr>
            </w:pPr>
            <w:r w:rsidRPr="00534FB2">
              <w:rPr>
                <w:sz w:val="22"/>
                <w:szCs w:val="22"/>
                <w:lang w:val="sk-SK"/>
              </w:rPr>
              <w:t>Exantém</w:t>
            </w:r>
          </w:p>
        </w:tc>
        <w:tc>
          <w:tcPr>
            <w:tcW w:w="786" w:type="pct"/>
            <w:vAlign w:val="center"/>
          </w:tcPr>
          <w:p w14:paraId="2A261BC1"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130379D5" w14:textId="657DF8E7"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07659522" w14:textId="0FFFCA60" w:rsidR="004E64BA" w:rsidRPr="00534FB2" w:rsidRDefault="00BA2C09" w:rsidP="004E64BA">
            <w:pPr>
              <w:rPr>
                <w:sz w:val="22"/>
                <w:szCs w:val="22"/>
                <w:lang w:val="sk-SK"/>
              </w:rPr>
            </w:pPr>
            <w:r w:rsidRPr="00534FB2">
              <w:rPr>
                <w:sz w:val="22"/>
                <w:szCs w:val="22"/>
                <w:lang w:val="sk-SK"/>
              </w:rPr>
              <w:t>Neznáme</w:t>
            </w:r>
          </w:p>
        </w:tc>
        <w:tc>
          <w:tcPr>
            <w:tcW w:w="757" w:type="pct"/>
            <w:vAlign w:val="center"/>
          </w:tcPr>
          <w:p w14:paraId="5F16E808" w14:textId="29614BAF" w:rsidR="004E64BA" w:rsidRPr="00534FB2" w:rsidRDefault="004C5CBE" w:rsidP="004E64BA">
            <w:pPr>
              <w:rPr>
                <w:sz w:val="22"/>
                <w:szCs w:val="22"/>
                <w:lang w:val="sk-SK"/>
              </w:rPr>
            </w:pPr>
            <w:r w:rsidRPr="00534FB2">
              <w:rPr>
                <w:sz w:val="22"/>
                <w:szCs w:val="22"/>
                <w:lang w:val="sk-SK"/>
              </w:rPr>
              <w:t>Časté</w:t>
            </w:r>
          </w:p>
        </w:tc>
      </w:tr>
      <w:tr w:rsidR="004E64BA" w:rsidRPr="00534FB2" w14:paraId="7DC6028F" w14:textId="77777777" w:rsidTr="000F0F4C">
        <w:trPr>
          <w:jc w:val="center"/>
        </w:trPr>
        <w:tc>
          <w:tcPr>
            <w:tcW w:w="829" w:type="pct"/>
            <w:vMerge/>
          </w:tcPr>
          <w:p w14:paraId="303E8A53" w14:textId="77777777" w:rsidR="004E64BA" w:rsidRPr="00534FB2" w:rsidRDefault="004E64BA" w:rsidP="004E64BA">
            <w:pPr>
              <w:rPr>
                <w:sz w:val="22"/>
                <w:szCs w:val="22"/>
                <w:lang w:val="sk-SK"/>
              </w:rPr>
            </w:pPr>
          </w:p>
        </w:tc>
        <w:tc>
          <w:tcPr>
            <w:tcW w:w="1134" w:type="pct"/>
            <w:vAlign w:val="center"/>
          </w:tcPr>
          <w:p w14:paraId="6A4D6EC3" w14:textId="3A38677D" w:rsidR="004E64BA" w:rsidRPr="00534FB2" w:rsidRDefault="00BA2C09" w:rsidP="004E64BA">
            <w:pPr>
              <w:rPr>
                <w:sz w:val="22"/>
                <w:szCs w:val="22"/>
                <w:lang w:val="sk-SK"/>
              </w:rPr>
            </w:pPr>
            <w:r w:rsidRPr="00534FB2">
              <w:rPr>
                <w:sz w:val="22"/>
                <w:szCs w:val="22"/>
                <w:lang w:val="sk-SK"/>
              </w:rPr>
              <w:t>Zmena farby kože</w:t>
            </w:r>
          </w:p>
        </w:tc>
        <w:tc>
          <w:tcPr>
            <w:tcW w:w="786" w:type="pct"/>
            <w:vAlign w:val="center"/>
          </w:tcPr>
          <w:p w14:paraId="379F1C29"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6E082B41" w14:textId="1D3446E4"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4A705F10"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53FBCBCB"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86DB298" w14:textId="77777777" w:rsidTr="000F0F4C">
        <w:trPr>
          <w:jc w:val="center"/>
        </w:trPr>
        <w:tc>
          <w:tcPr>
            <w:tcW w:w="829" w:type="pct"/>
            <w:vMerge/>
          </w:tcPr>
          <w:p w14:paraId="305D23A8" w14:textId="77777777" w:rsidR="004E64BA" w:rsidRPr="00534FB2" w:rsidRDefault="004E64BA" w:rsidP="004E64BA">
            <w:pPr>
              <w:rPr>
                <w:sz w:val="22"/>
                <w:szCs w:val="22"/>
                <w:lang w:val="sk-SK"/>
              </w:rPr>
            </w:pPr>
          </w:p>
        </w:tc>
        <w:tc>
          <w:tcPr>
            <w:tcW w:w="1134" w:type="pct"/>
            <w:vAlign w:val="center"/>
          </w:tcPr>
          <w:p w14:paraId="7A6A3374" w14:textId="77777777" w:rsidR="00BA2C09" w:rsidRPr="00534FB2" w:rsidRDefault="00BA2C09" w:rsidP="00BA2C09">
            <w:pPr>
              <w:rPr>
                <w:sz w:val="22"/>
                <w:szCs w:val="22"/>
                <w:lang w:val="sk-SK"/>
              </w:rPr>
            </w:pPr>
            <w:r w:rsidRPr="00534FB2">
              <w:rPr>
                <w:sz w:val="22"/>
                <w:szCs w:val="22"/>
                <w:lang w:val="sk-SK"/>
              </w:rPr>
              <w:t>Urtikária a iné formy</w:t>
            </w:r>
          </w:p>
          <w:p w14:paraId="002DB9AE" w14:textId="5744E452" w:rsidR="004E64BA" w:rsidRPr="00534FB2" w:rsidRDefault="00BA2C09" w:rsidP="00BA2C09">
            <w:pPr>
              <w:rPr>
                <w:sz w:val="22"/>
                <w:szCs w:val="22"/>
                <w:lang w:val="sk-SK"/>
              </w:rPr>
            </w:pPr>
            <w:r w:rsidRPr="00534FB2">
              <w:rPr>
                <w:sz w:val="22"/>
                <w:szCs w:val="22"/>
                <w:lang w:val="sk-SK"/>
              </w:rPr>
              <w:t>exantému</w:t>
            </w:r>
          </w:p>
        </w:tc>
        <w:tc>
          <w:tcPr>
            <w:tcW w:w="786" w:type="pct"/>
            <w:vAlign w:val="center"/>
          </w:tcPr>
          <w:p w14:paraId="7538ECEC"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23E61A17" w14:textId="2A4F8AD2" w:rsidR="004E64BA" w:rsidRPr="00534FB2" w:rsidRDefault="00BA2C09" w:rsidP="004E64BA">
            <w:pPr>
              <w:rPr>
                <w:sz w:val="22"/>
                <w:szCs w:val="22"/>
                <w:lang w:val="sk-SK"/>
              </w:rPr>
            </w:pPr>
            <w:r w:rsidRPr="00534FB2">
              <w:rPr>
                <w:sz w:val="22"/>
                <w:szCs w:val="22"/>
                <w:lang w:val="sk-SK"/>
              </w:rPr>
              <w:t>Veľmi zriedkavé</w:t>
            </w:r>
          </w:p>
        </w:tc>
        <w:tc>
          <w:tcPr>
            <w:tcW w:w="708" w:type="pct"/>
            <w:vAlign w:val="center"/>
          </w:tcPr>
          <w:p w14:paraId="4D83AC10"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4F6CB522" w14:textId="7DA635D8" w:rsidR="004E64BA" w:rsidRPr="00534FB2" w:rsidRDefault="004C5CBE" w:rsidP="004E64BA">
            <w:pPr>
              <w:rPr>
                <w:sz w:val="22"/>
                <w:szCs w:val="22"/>
                <w:lang w:val="sk-SK"/>
              </w:rPr>
            </w:pPr>
            <w:r w:rsidRPr="00534FB2">
              <w:rPr>
                <w:sz w:val="22"/>
                <w:szCs w:val="22"/>
                <w:lang w:val="sk-SK"/>
              </w:rPr>
              <w:t>Časté</w:t>
            </w:r>
          </w:p>
        </w:tc>
      </w:tr>
      <w:tr w:rsidR="004E64BA" w:rsidRPr="00534FB2" w14:paraId="4E3E980A" w14:textId="77777777" w:rsidTr="000F0F4C">
        <w:trPr>
          <w:jc w:val="center"/>
        </w:trPr>
        <w:tc>
          <w:tcPr>
            <w:tcW w:w="829" w:type="pct"/>
            <w:vMerge/>
          </w:tcPr>
          <w:p w14:paraId="43693182" w14:textId="77777777" w:rsidR="004E64BA" w:rsidRPr="00534FB2" w:rsidRDefault="004E64BA" w:rsidP="004E64BA">
            <w:pPr>
              <w:rPr>
                <w:sz w:val="22"/>
                <w:szCs w:val="22"/>
                <w:lang w:val="sk-SK"/>
              </w:rPr>
            </w:pPr>
          </w:p>
        </w:tc>
        <w:tc>
          <w:tcPr>
            <w:tcW w:w="1134" w:type="pct"/>
            <w:vAlign w:val="center"/>
          </w:tcPr>
          <w:p w14:paraId="5D3DB27B" w14:textId="77777777" w:rsidR="00BA2C09" w:rsidRPr="00534FB2" w:rsidRDefault="00BA2C09" w:rsidP="00BA2C09">
            <w:pPr>
              <w:rPr>
                <w:sz w:val="22"/>
                <w:szCs w:val="22"/>
                <w:lang w:val="sk-SK"/>
              </w:rPr>
            </w:pPr>
            <w:r w:rsidRPr="00534FB2">
              <w:rPr>
                <w:sz w:val="22"/>
                <w:szCs w:val="22"/>
                <w:lang w:val="sk-SK"/>
              </w:rPr>
              <w:t>Nekrotizujúca</w:t>
            </w:r>
          </w:p>
          <w:p w14:paraId="22F50F39" w14:textId="77777777" w:rsidR="00BA2C09" w:rsidRPr="00534FB2" w:rsidRDefault="00BA2C09" w:rsidP="00BA2C09">
            <w:pPr>
              <w:rPr>
                <w:sz w:val="22"/>
                <w:szCs w:val="22"/>
                <w:lang w:val="sk-SK"/>
              </w:rPr>
            </w:pPr>
            <w:r w:rsidRPr="00534FB2">
              <w:rPr>
                <w:sz w:val="22"/>
                <w:szCs w:val="22"/>
                <w:lang w:val="sk-SK"/>
              </w:rPr>
              <w:t>vaskulitída a toxická</w:t>
            </w:r>
          </w:p>
          <w:p w14:paraId="359D1C39" w14:textId="2E55BED2" w:rsidR="004E64BA" w:rsidRPr="00534FB2" w:rsidRDefault="00BA2C09" w:rsidP="00BA2C09">
            <w:pPr>
              <w:rPr>
                <w:sz w:val="22"/>
                <w:szCs w:val="22"/>
                <w:lang w:val="sk-SK"/>
              </w:rPr>
            </w:pPr>
            <w:r w:rsidRPr="00534FB2">
              <w:rPr>
                <w:sz w:val="22"/>
                <w:szCs w:val="22"/>
                <w:lang w:val="sk-SK"/>
              </w:rPr>
              <w:lastRenderedPageBreak/>
              <w:t>epidermálna nekrolýza</w:t>
            </w:r>
          </w:p>
        </w:tc>
        <w:tc>
          <w:tcPr>
            <w:tcW w:w="786" w:type="pct"/>
            <w:vAlign w:val="center"/>
          </w:tcPr>
          <w:p w14:paraId="675081EF" w14:textId="77777777" w:rsidR="004E64BA" w:rsidRPr="00534FB2" w:rsidRDefault="004E64BA" w:rsidP="004E64BA">
            <w:pPr>
              <w:rPr>
                <w:sz w:val="22"/>
                <w:szCs w:val="22"/>
                <w:lang w:val="sk-SK"/>
              </w:rPr>
            </w:pPr>
            <w:r w:rsidRPr="00534FB2">
              <w:rPr>
                <w:sz w:val="22"/>
                <w:szCs w:val="22"/>
                <w:lang w:val="sk-SK"/>
              </w:rPr>
              <w:lastRenderedPageBreak/>
              <w:t>-</w:t>
            </w:r>
          </w:p>
        </w:tc>
        <w:tc>
          <w:tcPr>
            <w:tcW w:w="786" w:type="pct"/>
            <w:vAlign w:val="center"/>
          </w:tcPr>
          <w:p w14:paraId="169595C1" w14:textId="166F2EE8" w:rsidR="004E64BA" w:rsidRPr="00534FB2" w:rsidRDefault="00BA2C09" w:rsidP="004E64BA">
            <w:pPr>
              <w:rPr>
                <w:sz w:val="22"/>
                <w:szCs w:val="22"/>
                <w:lang w:val="sk-SK"/>
              </w:rPr>
            </w:pPr>
            <w:r w:rsidRPr="00534FB2">
              <w:rPr>
                <w:sz w:val="22"/>
                <w:szCs w:val="22"/>
                <w:lang w:val="sk-SK"/>
              </w:rPr>
              <w:t>Neznáme</w:t>
            </w:r>
          </w:p>
        </w:tc>
        <w:tc>
          <w:tcPr>
            <w:tcW w:w="708" w:type="pct"/>
            <w:vAlign w:val="center"/>
          </w:tcPr>
          <w:p w14:paraId="039EBE1F"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7BF056CB" w14:textId="72378F7D" w:rsidR="004E64BA" w:rsidRPr="00534FB2" w:rsidRDefault="00BA2C09" w:rsidP="004E64BA">
            <w:pPr>
              <w:rPr>
                <w:sz w:val="22"/>
                <w:szCs w:val="22"/>
                <w:lang w:val="sk-SK"/>
              </w:rPr>
            </w:pPr>
            <w:r w:rsidRPr="00534FB2">
              <w:rPr>
                <w:sz w:val="22"/>
                <w:szCs w:val="22"/>
                <w:lang w:val="sk-SK"/>
              </w:rPr>
              <w:t>Veľmi zriedkavé</w:t>
            </w:r>
          </w:p>
        </w:tc>
      </w:tr>
      <w:tr w:rsidR="004E64BA" w:rsidRPr="00534FB2" w14:paraId="6C63AADD" w14:textId="77777777" w:rsidTr="000F0F4C">
        <w:trPr>
          <w:jc w:val="center"/>
        </w:trPr>
        <w:tc>
          <w:tcPr>
            <w:tcW w:w="829" w:type="pct"/>
            <w:vMerge/>
          </w:tcPr>
          <w:p w14:paraId="525B9FDB" w14:textId="77777777" w:rsidR="004E64BA" w:rsidRPr="00534FB2" w:rsidRDefault="004E64BA" w:rsidP="004E64BA">
            <w:pPr>
              <w:rPr>
                <w:sz w:val="22"/>
                <w:szCs w:val="22"/>
                <w:lang w:val="sk-SK"/>
              </w:rPr>
            </w:pPr>
          </w:p>
        </w:tc>
        <w:tc>
          <w:tcPr>
            <w:tcW w:w="1134" w:type="pct"/>
            <w:vAlign w:val="center"/>
          </w:tcPr>
          <w:p w14:paraId="201087CD" w14:textId="030DBE0A" w:rsidR="004E64BA" w:rsidRPr="00534FB2" w:rsidRDefault="00BA2C09" w:rsidP="004E64BA">
            <w:pPr>
              <w:rPr>
                <w:sz w:val="22"/>
                <w:szCs w:val="22"/>
                <w:lang w:val="sk-SK"/>
              </w:rPr>
            </w:pPr>
            <w:r w:rsidRPr="00534FB2">
              <w:rPr>
                <w:sz w:val="22"/>
                <w:szCs w:val="22"/>
                <w:lang w:val="sk-SK"/>
              </w:rPr>
              <w:t>Exfoliatívna dermatitída</w:t>
            </w:r>
          </w:p>
        </w:tc>
        <w:tc>
          <w:tcPr>
            <w:tcW w:w="786" w:type="pct"/>
            <w:vAlign w:val="center"/>
          </w:tcPr>
          <w:p w14:paraId="353684E3"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0794C1E6" w14:textId="0F0CC9DF" w:rsidR="004E64BA" w:rsidRPr="00534FB2" w:rsidRDefault="00BA2C09" w:rsidP="004E64BA">
            <w:pPr>
              <w:rPr>
                <w:sz w:val="22"/>
                <w:szCs w:val="22"/>
                <w:lang w:val="sk-SK"/>
              </w:rPr>
            </w:pPr>
            <w:r w:rsidRPr="00534FB2">
              <w:rPr>
                <w:sz w:val="22"/>
                <w:szCs w:val="22"/>
                <w:lang w:val="sk-SK"/>
              </w:rPr>
              <w:t>Veľmi zriedkavé</w:t>
            </w:r>
          </w:p>
        </w:tc>
        <w:tc>
          <w:tcPr>
            <w:tcW w:w="708" w:type="pct"/>
            <w:vAlign w:val="center"/>
          </w:tcPr>
          <w:p w14:paraId="70DF4854"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40E6AC10"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68E2BC08" w14:textId="77777777" w:rsidTr="000F0F4C">
        <w:trPr>
          <w:jc w:val="center"/>
        </w:trPr>
        <w:tc>
          <w:tcPr>
            <w:tcW w:w="829" w:type="pct"/>
            <w:vMerge/>
          </w:tcPr>
          <w:p w14:paraId="469EE44F" w14:textId="77777777" w:rsidR="004E64BA" w:rsidRPr="00534FB2" w:rsidRDefault="004E64BA" w:rsidP="004E64BA">
            <w:pPr>
              <w:rPr>
                <w:sz w:val="22"/>
                <w:szCs w:val="22"/>
                <w:lang w:val="sk-SK"/>
              </w:rPr>
            </w:pPr>
          </w:p>
        </w:tc>
        <w:tc>
          <w:tcPr>
            <w:tcW w:w="1134" w:type="pct"/>
            <w:vAlign w:val="center"/>
          </w:tcPr>
          <w:p w14:paraId="3083755A" w14:textId="77777777" w:rsidR="00BA2C09" w:rsidRPr="00534FB2" w:rsidRDefault="00BA2C09" w:rsidP="00BA2C09">
            <w:pPr>
              <w:rPr>
                <w:sz w:val="22"/>
                <w:szCs w:val="22"/>
                <w:lang w:val="sk-SK"/>
              </w:rPr>
            </w:pPr>
            <w:r w:rsidRPr="00534FB2">
              <w:rPr>
                <w:sz w:val="22"/>
                <w:szCs w:val="22"/>
                <w:lang w:val="sk-SK"/>
              </w:rPr>
              <w:t>Stevensov-Johnsonov</w:t>
            </w:r>
          </w:p>
          <w:p w14:paraId="58A986A3" w14:textId="3E39C806" w:rsidR="004E64BA" w:rsidRPr="00534FB2" w:rsidRDefault="00BA2C09" w:rsidP="00BA2C09">
            <w:pPr>
              <w:rPr>
                <w:sz w:val="22"/>
                <w:szCs w:val="22"/>
                <w:lang w:val="sk-SK"/>
              </w:rPr>
            </w:pPr>
            <w:r w:rsidRPr="00534FB2">
              <w:rPr>
                <w:sz w:val="22"/>
                <w:szCs w:val="22"/>
                <w:lang w:val="sk-SK"/>
              </w:rPr>
              <w:t>syndróm</w:t>
            </w:r>
          </w:p>
        </w:tc>
        <w:tc>
          <w:tcPr>
            <w:tcW w:w="786" w:type="pct"/>
            <w:vAlign w:val="center"/>
          </w:tcPr>
          <w:p w14:paraId="7A9EF02E"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3E71142A" w14:textId="0C449E44" w:rsidR="004E64BA" w:rsidRPr="00534FB2" w:rsidRDefault="00BA2C09" w:rsidP="004E64BA">
            <w:pPr>
              <w:rPr>
                <w:sz w:val="22"/>
                <w:szCs w:val="22"/>
                <w:lang w:val="sk-SK"/>
              </w:rPr>
            </w:pPr>
            <w:r w:rsidRPr="00534FB2">
              <w:rPr>
                <w:sz w:val="22"/>
                <w:szCs w:val="22"/>
                <w:lang w:val="sk-SK"/>
              </w:rPr>
              <w:t>Veľmi zriedkavé</w:t>
            </w:r>
          </w:p>
        </w:tc>
        <w:tc>
          <w:tcPr>
            <w:tcW w:w="708" w:type="pct"/>
            <w:vAlign w:val="center"/>
          </w:tcPr>
          <w:p w14:paraId="131F680D"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6E77791"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0AEFB91F" w14:textId="77777777" w:rsidTr="000F0F4C">
        <w:trPr>
          <w:jc w:val="center"/>
        </w:trPr>
        <w:tc>
          <w:tcPr>
            <w:tcW w:w="829" w:type="pct"/>
            <w:vMerge/>
          </w:tcPr>
          <w:p w14:paraId="5D546E40" w14:textId="77777777" w:rsidR="004E64BA" w:rsidRPr="00534FB2" w:rsidRDefault="004E64BA" w:rsidP="004E64BA">
            <w:pPr>
              <w:rPr>
                <w:sz w:val="22"/>
                <w:szCs w:val="22"/>
                <w:lang w:val="sk-SK"/>
              </w:rPr>
            </w:pPr>
          </w:p>
        </w:tc>
        <w:tc>
          <w:tcPr>
            <w:tcW w:w="1134" w:type="pct"/>
            <w:vAlign w:val="center"/>
          </w:tcPr>
          <w:p w14:paraId="0B1663F2" w14:textId="1B5C2B4F" w:rsidR="004E64BA" w:rsidRPr="00534FB2" w:rsidRDefault="00BA2C09" w:rsidP="004E64BA">
            <w:pPr>
              <w:rPr>
                <w:sz w:val="22"/>
                <w:szCs w:val="22"/>
                <w:lang w:val="sk-SK"/>
              </w:rPr>
            </w:pPr>
            <w:r w:rsidRPr="00534FB2">
              <w:rPr>
                <w:sz w:val="22"/>
                <w:szCs w:val="22"/>
                <w:lang w:val="sk-SK"/>
              </w:rPr>
              <w:t>Quinckeho edém</w:t>
            </w:r>
          </w:p>
        </w:tc>
        <w:tc>
          <w:tcPr>
            <w:tcW w:w="786" w:type="pct"/>
            <w:vAlign w:val="center"/>
          </w:tcPr>
          <w:p w14:paraId="7504F475"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5A231986" w14:textId="7526DEE5" w:rsidR="004E64BA" w:rsidRPr="00534FB2" w:rsidRDefault="00BA2C09" w:rsidP="004E64BA">
            <w:pPr>
              <w:rPr>
                <w:sz w:val="22"/>
                <w:szCs w:val="22"/>
                <w:lang w:val="sk-SK"/>
              </w:rPr>
            </w:pPr>
            <w:r w:rsidRPr="00534FB2">
              <w:rPr>
                <w:sz w:val="22"/>
                <w:szCs w:val="22"/>
                <w:lang w:val="sk-SK"/>
              </w:rPr>
              <w:t>Veľmi zriedkavé</w:t>
            </w:r>
          </w:p>
        </w:tc>
        <w:tc>
          <w:tcPr>
            <w:tcW w:w="708" w:type="pct"/>
            <w:vAlign w:val="center"/>
          </w:tcPr>
          <w:p w14:paraId="0F970E9D"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11843D9"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77B3AFB" w14:textId="77777777" w:rsidTr="000F0F4C">
        <w:trPr>
          <w:jc w:val="center"/>
        </w:trPr>
        <w:tc>
          <w:tcPr>
            <w:tcW w:w="829" w:type="pct"/>
            <w:vMerge w:val="restart"/>
          </w:tcPr>
          <w:p w14:paraId="25638812" w14:textId="77777777" w:rsidR="00BA2C09" w:rsidRPr="00534FB2" w:rsidRDefault="00BA2C09" w:rsidP="00BA2C09">
            <w:pPr>
              <w:rPr>
                <w:sz w:val="22"/>
                <w:szCs w:val="22"/>
                <w:lang w:val="sk-SK"/>
              </w:rPr>
            </w:pPr>
            <w:r w:rsidRPr="00534FB2">
              <w:rPr>
                <w:sz w:val="22"/>
                <w:szCs w:val="22"/>
                <w:lang w:val="sk-SK"/>
              </w:rPr>
              <w:t>Poruchy kostrovej</w:t>
            </w:r>
          </w:p>
          <w:p w14:paraId="7667DD4C" w14:textId="77777777" w:rsidR="00BA2C09" w:rsidRPr="00534FB2" w:rsidRDefault="00BA2C09" w:rsidP="00BA2C09">
            <w:pPr>
              <w:rPr>
                <w:sz w:val="22"/>
                <w:szCs w:val="22"/>
                <w:lang w:val="sk-SK"/>
              </w:rPr>
            </w:pPr>
            <w:r w:rsidRPr="00534FB2">
              <w:rPr>
                <w:sz w:val="22"/>
                <w:szCs w:val="22"/>
                <w:lang w:val="sk-SK"/>
              </w:rPr>
              <w:t>a svalovej sústavy</w:t>
            </w:r>
          </w:p>
          <w:p w14:paraId="09A1A6BF" w14:textId="77777777" w:rsidR="00BA2C09" w:rsidRPr="00534FB2" w:rsidRDefault="00BA2C09" w:rsidP="00BA2C09">
            <w:pPr>
              <w:rPr>
                <w:sz w:val="22"/>
                <w:szCs w:val="22"/>
                <w:lang w:val="sk-SK"/>
              </w:rPr>
            </w:pPr>
            <w:r w:rsidRPr="00534FB2">
              <w:rPr>
                <w:sz w:val="22"/>
                <w:szCs w:val="22"/>
                <w:lang w:val="sk-SK"/>
              </w:rPr>
              <w:t>a spojivového</w:t>
            </w:r>
          </w:p>
          <w:p w14:paraId="299D9335" w14:textId="1986A3DD" w:rsidR="004E64BA" w:rsidRPr="00534FB2" w:rsidRDefault="00BA2C09" w:rsidP="00BA2C09">
            <w:pPr>
              <w:rPr>
                <w:sz w:val="22"/>
                <w:szCs w:val="22"/>
                <w:lang w:val="sk-SK"/>
              </w:rPr>
            </w:pPr>
            <w:r w:rsidRPr="00534FB2">
              <w:rPr>
                <w:sz w:val="22"/>
                <w:szCs w:val="22"/>
                <w:lang w:val="sk-SK"/>
              </w:rPr>
              <w:t>tkaniva</w:t>
            </w:r>
          </w:p>
        </w:tc>
        <w:tc>
          <w:tcPr>
            <w:tcW w:w="1134" w:type="pct"/>
            <w:vAlign w:val="center"/>
          </w:tcPr>
          <w:p w14:paraId="1D2533E5" w14:textId="562F8F05" w:rsidR="004E64BA" w:rsidRPr="00534FB2" w:rsidRDefault="00BA2C09" w:rsidP="004E64BA">
            <w:pPr>
              <w:rPr>
                <w:sz w:val="22"/>
                <w:szCs w:val="22"/>
                <w:lang w:val="sk-SK"/>
              </w:rPr>
            </w:pPr>
            <w:r w:rsidRPr="00534FB2">
              <w:rPr>
                <w:sz w:val="22"/>
                <w:szCs w:val="22"/>
                <w:lang w:val="sk-SK"/>
              </w:rPr>
              <w:t>Art</w:t>
            </w:r>
            <w:r w:rsidR="004E64BA" w:rsidRPr="00534FB2">
              <w:rPr>
                <w:sz w:val="22"/>
                <w:szCs w:val="22"/>
                <w:lang w:val="sk-SK"/>
              </w:rPr>
              <w:t>ralgia</w:t>
            </w:r>
          </w:p>
        </w:tc>
        <w:tc>
          <w:tcPr>
            <w:tcW w:w="786" w:type="pct"/>
            <w:vAlign w:val="center"/>
          </w:tcPr>
          <w:p w14:paraId="3744914A"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5C868718" w14:textId="7F942B55"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2FF97AF0"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10EE0D27"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3DD876BB" w14:textId="77777777" w:rsidTr="000F0F4C">
        <w:trPr>
          <w:jc w:val="center"/>
        </w:trPr>
        <w:tc>
          <w:tcPr>
            <w:tcW w:w="829" w:type="pct"/>
            <w:vMerge/>
          </w:tcPr>
          <w:p w14:paraId="6D92704B" w14:textId="77777777" w:rsidR="004E64BA" w:rsidRPr="00534FB2" w:rsidRDefault="004E64BA" w:rsidP="004E64BA">
            <w:pPr>
              <w:rPr>
                <w:sz w:val="22"/>
                <w:szCs w:val="22"/>
                <w:lang w:val="sk-SK"/>
              </w:rPr>
            </w:pPr>
          </w:p>
        </w:tc>
        <w:tc>
          <w:tcPr>
            <w:tcW w:w="1134" w:type="pct"/>
            <w:vAlign w:val="center"/>
          </w:tcPr>
          <w:p w14:paraId="25EAE788" w14:textId="2051A1F0" w:rsidR="004E64BA" w:rsidRPr="00534FB2" w:rsidRDefault="00BA2C09" w:rsidP="004E64BA">
            <w:pPr>
              <w:rPr>
                <w:sz w:val="22"/>
                <w:szCs w:val="22"/>
                <w:lang w:val="sk-SK"/>
              </w:rPr>
            </w:pPr>
            <w:r w:rsidRPr="00534FB2">
              <w:rPr>
                <w:sz w:val="22"/>
                <w:szCs w:val="22"/>
                <w:lang w:val="sk-SK"/>
              </w:rPr>
              <w:t>Bolesť chrbta</w:t>
            </w:r>
          </w:p>
        </w:tc>
        <w:tc>
          <w:tcPr>
            <w:tcW w:w="786" w:type="pct"/>
            <w:vAlign w:val="center"/>
          </w:tcPr>
          <w:p w14:paraId="3FC110AB" w14:textId="3359E514"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6CA935CD" w14:textId="4EE48109"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3281F6D4"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EE6F882"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3C523BFA" w14:textId="77777777" w:rsidTr="000F0F4C">
        <w:trPr>
          <w:jc w:val="center"/>
        </w:trPr>
        <w:tc>
          <w:tcPr>
            <w:tcW w:w="829" w:type="pct"/>
            <w:vMerge/>
          </w:tcPr>
          <w:p w14:paraId="344FC62A" w14:textId="77777777" w:rsidR="004E64BA" w:rsidRPr="00534FB2" w:rsidRDefault="004E64BA" w:rsidP="004E64BA">
            <w:pPr>
              <w:rPr>
                <w:sz w:val="22"/>
                <w:szCs w:val="22"/>
                <w:lang w:val="sk-SK"/>
              </w:rPr>
            </w:pPr>
          </w:p>
        </w:tc>
        <w:tc>
          <w:tcPr>
            <w:tcW w:w="1134" w:type="pct"/>
            <w:vAlign w:val="center"/>
          </w:tcPr>
          <w:p w14:paraId="7372181D" w14:textId="19F3192A" w:rsidR="004E64BA" w:rsidRPr="00534FB2" w:rsidRDefault="00BA2C09" w:rsidP="004E64BA">
            <w:pPr>
              <w:rPr>
                <w:sz w:val="22"/>
                <w:szCs w:val="22"/>
                <w:lang w:val="sk-SK"/>
              </w:rPr>
            </w:pPr>
            <w:r w:rsidRPr="00534FB2">
              <w:rPr>
                <w:sz w:val="22"/>
                <w:szCs w:val="22"/>
                <w:lang w:val="sk-SK"/>
              </w:rPr>
              <w:t>Opuch kĺbov</w:t>
            </w:r>
          </w:p>
        </w:tc>
        <w:tc>
          <w:tcPr>
            <w:tcW w:w="786" w:type="pct"/>
            <w:vAlign w:val="center"/>
          </w:tcPr>
          <w:p w14:paraId="7B140F16" w14:textId="52601168"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4B93B740"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7CEA009E"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8269C98"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47021E2B" w14:textId="77777777" w:rsidTr="000F0F4C">
        <w:trPr>
          <w:jc w:val="center"/>
        </w:trPr>
        <w:tc>
          <w:tcPr>
            <w:tcW w:w="829" w:type="pct"/>
            <w:vMerge/>
          </w:tcPr>
          <w:p w14:paraId="39D3A79C" w14:textId="77777777" w:rsidR="004E64BA" w:rsidRPr="00534FB2" w:rsidRDefault="004E64BA" w:rsidP="004E64BA">
            <w:pPr>
              <w:rPr>
                <w:sz w:val="22"/>
                <w:szCs w:val="22"/>
                <w:lang w:val="sk-SK"/>
              </w:rPr>
            </w:pPr>
          </w:p>
        </w:tc>
        <w:tc>
          <w:tcPr>
            <w:tcW w:w="1134" w:type="pct"/>
            <w:vAlign w:val="center"/>
          </w:tcPr>
          <w:p w14:paraId="07D1D195" w14:textId="328E0D49" w:rsidR="004E64BA" w:rsidRPr="00534FB2" w:rsidRDefault="00BA2C09" w:rsidP="004E64BA">
            <w:pPr>
              <w:rPr>
                <w:sz w:val="22"/>
                <w:szCs w:val="22"/>
                <w:lang w:val="sk-SK"/>
              </w:rPr>
            </w:pPr>
            <w:r w:rsidRPr="00534FB2">
              <w:rPr>
                <w:sz w:val="22"/>
                <w:szCs w:val="22"/>
                <w:lang w:val="sk-SK"/>
              </w:rPr>
              <w:t>Svalové kŕče</w:t>
            </w:r>
          </w:p>
        </w:tc>
        <w:tc>
          <w:tcPr>
            <w:tcW w:w="786" w:type="pct"/>
            <w:vAlign w:val="center"/>
          </w:tcPr>
          <w:p w14:paraId="176206AA" w14:textId="5877EA03"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26A670D1" w14:textId="682DB327"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5A42B939"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4CC89B7E" w14:textId="0BC637FB" w:rsidR="004E64BA" w:rsidRPr="00534FB2" w:rsidRDefault="00BA2C09" w:rsidP="004E64BA">
            <w:pPr>
              <w:rPr>
                <w:sz w:val="22"/>
                <w:szCs w:val="22"/>
                <w:lang w:val="sk-SK"/>
              </w:rPr>
            </w:pPr>
            <w:r w:rsidRPr="00534FB2">
              <w:rPr>
                <w:sz w:val="22"/>
                <w:szCs w:val="22"/>
                <w:lang w:val="sk-SK"/>
              </w:rPr>
              <w:t>Neznáme</w:t>
            </w:r>
          </w:p>
        </w:tc>
      </w:tr>
      <w:tr w:rsidR="004E64BA" w:rsidRPr="00534FB2" w14:paraId="074DC8BA" w14:textId="77777777" w:rsidTr="000F0F4C">
        <w:trPr>
          <w:jc w:val="center"/>
        </w:trPr>
        <w:tc>
          <w:tcPr>
            <w:tcW w:w="829" w:type="pct"/>
            <w:vMerge/>
          </w:tcPr>
          <w:p w14:paraId="374C38F4" w14:textId="77777777" w:rsidR="004E64BA" w:rsidRPr="00534FB2" w:rsidRDefault="004E64BA" w:rsidP="004E64BA">
            <w:pPr>
              <w:rPr>
                <w:sz w:val="22"/>
                <w:szCs w:val="22"/>
                <w:lang w:val="sk-SK"/>
              </w:rPr>
            </w:pPr>
          </w:p>
        </w:tc>
        <w:tc>
          <w:tcPr>
            <w:tcW w:w="1134" w:type="pct"/>
            <w:vAlign w:val="center"/>
          </w:tcPr>
          <w:p w14:paraId="0231C09C" w14:textId="2B3003CC" w:rsidR="004E64BA" w:rsidRPr="00534FB2" w:rsidRDefault="00BA2C09" w:rsidP="004E64BA">
            <w:pPr>
              <w:rPr>
                <w:sz w:val="22"/>
                <w:szCs w:val="22"/>
                <w:lang w:val="sk-SK"/>
              </w:rPr>
            </w:pPr>
            <w:r w:rsidRPr="00534FB2">
              <w:rPr>
                <w:sz w:val="22"/>
                <w:szCs w:val="22"/>
                <w:lang w:val="sk-SK"/>
              </w:rPr>
              <w:t>Svalová slabosť</w:t>
            </w:r>
          </w:p>
        </w:tc>
        <w:tc>
          <w:tcPr>
            <w:tcW w:w="786" w:type="pct"/>
            <w:vAlign w:val="center"/>
          </w:tcPr>
          <w:p w14:paraId="49B6DD97" w14:textId="5C91B6B0"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075FB730"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7E0361EF"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2D10230"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728357B1" w14:textId="77777777" w:rsidTr="000F0F4C">
        <w:trPr>
          <w:jc w:val="center"/>
        </w:trPr>
        <w:tc>
          <w:tcPr>
            <w:tcW w:w="829" w:type="pct"/>
            <w:vMerge/>
          </w:tcPr>
          <w:p w14:paraId="4E1A4084" w14:textId="77777777" w:rsidR="004E64BA" w:rsidRPr="00534FB2" w:rsidRDefault="004E64BA" w:rsidP="004E64BA">
            <w:pPr>
              <w:rPr>
                <w:sz w:val="22"/>
                <w:szCs w:val="22"/>
                <w:lang w:val="sk-SK"/>
              </w:rPr>
            </w:pPr>
          </w:p>
        </w:tc>
        <w:tc>
          <w:tcPr>
            <w:tcW w:w="1134" w:type="pct"/>
            <w:vAlign w:val="center"/>
          </w:tcPr>
          <w:p w14:paraId="6029E397" w14:textId="77777777" w:rsidR="004E64BA" w:rsidRPr="00534FB2" w:rsidRDefault="004E64BA" w:rsidP="004E64BA">
            <w:pPr>
              <w:rPr>
                <w:sz w:val="22"/>
                <w:szCs w:val="22"/>
                <w:lang w:val="sk-SK"/>
              </w:rPr>
            </w:pPr>
            <w:r w:rsidRPr="00534FB2">
              <w:rPr>
                <w:sz w:val="22"/>
                <w:szCs w:val="22"/>
                <w:lang w:val="sk-SK"/>
              </w:rPr>
              <w:t>Myalgia</w:t>
            </w:r>
          </w:p>
        </w:tc>
        <w:tc>
          <w:tcPr>
            <w:tcW w:w="786" w:type="pct"/>
            <w:vAlign w:val="center"/>
          </w:tcPr>
          <w:p w14:paraId="420CF750" w14:textId="78CD3053"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0678A1A4" w14:textId="6CEAE56E"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5CDDC16E" w14:textId="10C33881" w:rsidR="004E64BA" w:rsidRPr="00534FB2" w:rsidRDefault="00BA2C09" w:rsidP="004E64BA">
            <w:pPr>
              <w:rPr>
                <w:sz w:val="22"/>
                <w:szCs w:val="22"/>
                <w:lang w:val="sk-SK"/>
              </w:rPr>
            </w:pPr>
            <w:r w:rsidRPr="00534FB2">
              <w:rPr>
                <w:sz w:val="22"/>
                <w:szCs w:val="22"/>
                <w:lang w:val="sk-SK"/>
              </w:rPr>
              <w:t>Neznáme</w:t>
            </w:r>
          </w:p>
        </w:tc>
        <w:tc>
          <w:tcPr>
            <w:tcW w:w="757" w:type="pct"/>
            <w:vAlign w:val="center"/>
          </w:tcPr>
          <w:p w14:paraId="42528349"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2942ADDB" w14:textId="77777777" w:rsidTr="000F0F4C">
        <w:trPr>
          <w:jc w:val="center"/>
        </w:trPr>
        <w:tc>
          <w:tcPr>
            <w:tcW w:w="829" w:type="pct"/>
            <w:vMerge/>
          </w:tcPr>
          <w:p w14:paraId="33C808C7" w14:textId="77777777" w:rsidR="004E64BA" w:rsidRPr="00534FB2" w:rsidRDefault="004E64BA" w:rsidP="004E64BA">
            <w:pPr>
              <w:rPr>
                <w:sz w:val="22"/>
                <w:szCs w:val="22"/>
                <w:lang w:val="sk-SK"/>
              </w:rPr>
            </w:pPr>
          </w:p>
        </w:tc>
        <w:tc>
          <w:tcPr>
            <w:tcW w:w="1134" w:type="pct"/>
            <w:vAlign w:val="center"/>
          </w:tcPr>
          <w:p w14:paraId="1C058E4A" w14:textId="70904934" w:rsidR="004E64BA" w:rsidRPr="00534FB2" w:rsidRDefault="00BA2C09" w:rsidP="004E64BA">
            <w:pPr>
              <w:rPr>
                <w:sz w:val="22"/>
                <w:szCs w:val="22"/>
                <w:lang w:val="sk-SK"/>
              </w:rPr>
            </w:pPr>
            <w:r w:rsidRPr="00534FB2">
              <w:rPr>
                <w:sz w:val="22"/>
                <w:szCs w:val="22"/>
                <w:lang w:val="sk-SK"/>
              </w:rPr>
              <w:t>Bolesť končatín</w:t>
            </w:r>
          </w:p>
        </w:tc>
        <w:tc>
          <w:tcPr>
            <w:tcW w:w="786" w:type="pct"/>
            <w:vAlign w:val="center"/>
          </w:tcPr>
          <w:p w14:paraId="1C30781D" w14:textId="51C3211B"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0A7CB21A"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6CC94072"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7FBA4DAC"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35F8381" w14:textId="77777777" w:rsidTr="000F0F4C">
        <w:trPr>
          <w:jc w:val="center"/>
        </w:trPr>
        <w:tc>
          <w:tcPr>
            <w:tcW w:w="829" w:type="pct"/>
            <w:vMerge/>
          </w:tcPr>
          <w:p w14:paraId="7E147376" w14:textId="77777777" w:rsidR="004E64BA" w:rsidRPr="00534FB2" w:rsidRDefault="004E64BA" w:rsidP="004E64BA">
            <w:pPr>
              <w:rPr>
                <w:sz w:val="22"/>
                <w:szCs w:val="22"/>
                <w:lang w:val="sk-SK"/>
              </w:rPr>
            </w:pPr>
          </w:p>
        </w:tc>
        <w:tc>
          <w:tcPr>
            <w:tcW w:w="1134" w:type="pct"/>
            <w:vAlign w:val="center"/>
          </w:tcPr>
          <w:p w14:paraId="719E6BF4" w14:textId="0828876E" w:rsidR="004E64BA" w:rsidRPr="00534FB2" w:rsidRDefault="00BA2C09" w:rsidP="004E64BA">
            <w:pPr>
              <w:rPr>
                <w:sz w:val="22"/>
                <w:szCs w:val="22"/>
                <w:lang w:val="sk-SK"/>
              </w:rPr>
            </w:pPr>
            <w:r w:rsidRPr="00534FB2">
              <w:rPr>
                <w:sz w:val="22"/>
                <w:szCs w:val="22"/>
                <w:lang w:val="sk-SK"/>
              </w:rPr>
              <w:t>Opuch členkov</w:t>
            </w:r>
          </w:p>
        </w:tc>
        <w:tc>
          <w:tcPr>
            <w:tcW w:w="786" w:type="pct"/>
            <w:vAlign w:val="center"/>
          </w:tcPr>
          <w:p w14:paraId="65A053AB"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52B6B3D7" w14:textId="061FDE08" w:rsidR="004E64BA" w:rsidRPr="00534FB2" w:rsidRDefault="00BA2C09" w:rsidP="004E64BA">
            <w:pPr>
              <w:rPr>
                <w:sz w:val="22"/>
                <w:szCs w:val="22"/>
                <w:lang w:val="sk-SK"/>
              </w:rPr>
            </w:pPr>
            <w:r w:rsidRPr="00534FB2">
              <w:rPr>
                <w:sz w:val="22"/>
                <w:szCs w:val="22"/>
                <w:lang w:val="sk-SK"/>
              </w:rPr>
              <w:t>Časté</w:t>
            </w:r>
          </w:p>
        </w:tc>
        <w:tc>
          <w:tcPr>
            <w:tcW w:w="708" w:type="pct"/>
            <w:vAlign w:val="center"/>
          </w:tcPr>
          <w:p w14:paraId="461E2E73"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0EE8C879"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26F06F49" w14:textId="77777777" w:rsidTr="000F0F4C">
        <w:trPr>
          <w:jc w:val="center"/>
        </w:trPr>
        <w:tc>
          <w:tcPr>
            <w:tcW w:w="829" w:type="pct"/>
            <w:vMerge w:val="restart"/>
          </w:tcPr>
          <w:p w14:paraId="62AD4593" w14:textId="77777777" w:rsidR="00BA2C09" w:rsidRPr="00534FB2" w:rsidRDefault="00BA2C09" w:rsidP="00BA2C09">
            <w:pPr>
              <w:rPr>
                <w:sz w:val="22"/>
                <w:szCs w:val="22"/>
                <w:lang w:val="sk-SK"/>
              </w:rPr>
            </w:pPr>
            <w:r w:rsidRPr="00534FB2">
              <w:rPr>
                <w:sz w:val="22"/>
                <w:szCs w:val="22"/>
                <w:lang w:val="sk-SK"/>
              </w:rPr>
              <w:t>Poruchy obličiek a</w:t>
            </w:r>
          </w:p>
          <w:p w14:paraId="5244B285" w14:textId="2C530D11" w:rsidR="004E64BA" w:rsidRPr="00534FB2" w:rsidRDefault="00BA2C09" w:rsidP="00BA2C09">
            <w:pPr>
              <w:rPr>
                <w:sz w:val="22"/>
                <w:szCs w:val="22"/>
                <w:lang w:val="sk-SK"/>
              </w:rPr>
            </w:pPr>
            <w:r w:rsidRPr="00534FB2">
              <w:rPr>
                <w:sz w:val="22"/>
                <w:szCs w:val="22"/>
                <w:lang w:val="sk-SK"/>
              </w:rPr>
              <w:t>močových ciest</w:t>
            </w:r>
          </w:p>
        </w:tc>
        <w:tc>
          <w:tcPr>
            <w:tcW w:w="1134" w:type="pct"/>
            <w:vAlign w:val="center"/>
          </w:tcPr>
          <w:p w14:paraId="30817D2C" w14:textId="62E59E4A" w:rsidR="004E64BA" w:rsidRPr="00534FB2" w:rsidRDefault="00BA2C09" w:rsidP="004E64BA">
            <w:pPr>
              <w:rPr>
                <w:sz w:val="22"/>
                <w:szCs w:val="22"/>
                <w:lang w:val="sk-SK"/>
              </w:rPr>
            </w:pPr>
            <w:r w:rsidRPr="00534FB2">
              <w:rPr>
                <w:sz w:val="22"/>
                <w:szCs w:val="22"/>
                <w:lang w:val="sk-SK"/>
              </w:rPr>
              <w:t>Zvýšený kreatinín v krvi</w:t>
            </w:r>
          </w:p>
        </w:tc>
        <w:tc>
          <w:tcPr>
            <w:tcW w:w="786" w:type="pct"/>
            <w:vAlign w:val="center"/>
          </w:tcPr>
          <w:p w14:paraId="72ABC730" w14:textId="1D5FD0A6"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43058435"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45ADC430" w14:textId="48523DDD" w:rsidR="004E64BA" w:rsidRPr="00534FB2" w:rsidRDefault="00BA2C09" w:rsidP="004E64BA">
            <w:pPr>
              <w:rPr>
                <w:sz w:val="22"/>
                <w:szCs w:val="22"/>
                <w:lang w:val="sk-SK"/>
              </w:rPr>
            </w:pPr>
            <w:r w:rsidRPr="00534FB2">
              <w:rPr>
                <w:sz w:val="22"/>
                <w:szCs w:val="22"/>
                <w:lang w:val="sk-SK"/>
              </w:rPr>
              <w:t>Neznáme</w:t>
            </w:r>
          </w:p>
        </w:tc>
        <w:tc>
          <w:tcPr>
            <w:tcW w:w="757" w:type="pct"/>
            <w:vAlign w:val="center"/>
          </w:tcPr>
          <w:p w14:paraId="364C4499"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4A760B17" w14:textId="77777777" w:rsidTr="000F0F4C">
        <w:trPr>
          <w:jc w:val="center"/>
        </w:trPr>
        <w:tc>
          <w:tcPr>
            <w:tcW w:w="829" w:type="pct"/>
            <w:vMerge/>
          </w:tcPr>
          <w:p w14:paraId="70EA04DB" w14:textId="77777777" w:rsidR="004E64BA" w:rsidRPr="00534FB2" w:rsidRDefault="004E64BA" w:rsidP="004E64BA">
            <w:pPr>
              <w:rPr>
                <w:sz w:val="22"/>
                <w:szCs w:val="22"/>
                <w:lang w:val="sk-SK"/>
              </w:rPr>
            </w:pPr>
          </w:p>
        </w:tc>
        <w:tc>
          <w:tcPr>
            <w:tcW w:w="1134" w:type="pct"/>
            <w:vAlign w:val="center"/>
          </w:tcPr>
          <w:p w14:paraId="5CC92E62" w14:textId="50F69AD4" w:rsidR="004E64BA" w:rsidRPr="00534FB2" w:rsidRDefault="00BA2C09" w:rsidP="004E64BA">
            <w:pPr>
              <w:rPr>
                <w:sz w:val="22"/>
                <w:szCs w:val="22"/>
                <w:lang w:val="sk-SK"/>
              </w:rPr>
            </w:pPr>
            <w:r w:rsidRPr="00534FB2">
              <w:rPr>
                <w:sz w:val="22"/>
                <w:szCs w:val="22"/>
                <w:lang w:val="sk-SK"/>
              </w:rPr>
              <w:t>Porucha močenia</w:t>
            </w:r>
          </w:p>
        </w:tc>
        <w:tc>
          <w:tcPr>
            <w:tcW w:w="786" w:type="pct"/>
            <w:vAlign w:val="center"/>
          </w:tcPr>
          <w:p w14:paraId="2D0543F0"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3E0C1BF7" w14:textId="0A254D8B"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71999B09"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2CDD8CFA"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777B60B7" w14:textId="77777777" w:rsidTr="000F0F4C">
        <w:trPr>
          <w:jc w:val="center"/>
        </w:trPr>
        <w:tc>
          <w:tcPr>
            <w:tcW w:w="829" w:type="pct"/>
            <w:vMerge/>
          </w:tcPr>
          <w:p w14:paraId="2D945B01" w14:textId="77777777" w:rsidR="004E64BA" w:rsidRPr="00534FB2" w:rsidRDefault="004E64BA" w:rsidP="004E64BA">
            <w:pPr>
              <w:rPr>
                <w:sz w:val="22"/>
                <w:szCs w:val="22"/>
                <w:lang w:val="sk-SK"/>
              </w:rPr>
            </w:pPr>
          </w:p>
        </w:tc>
        <w:tc>
          <w:tcPr>
            <w:tcW w:w="1134" w:type="pct"/>
            <w:vAlign w:val="center"/>
          </w:tcPr>
          <w:p w14:paraId="2F74138D" w14:textId="1277E9C6" w:rsidR="004E64BA" w:rsidRPr="00534FB2" w:rsidRDefault="00BA2C09" w:rsidP="004E64BA">
            <w:pPr>
              <w:rPr>
                <w:sz w:val="22"/>
                <w:szCs w:val="22"/>
                <w:lang w:val="sk-SK"/>
              </w:rPr>
            </w:pPr>
            <w:r w:rsidRPr="00534FB2">
              <w:rPr>
                <w:sz w:val="22"/>
                <w:szCs w:val="22"/>
                <w:lang w:val="sk-SK"/>
              </w:rPr>
              <w:t>Nyktúria</w:t>
            </w:r>
          </w:p>
        </w:tc>
        <w:tc>
          <w:tcPr>
            <w:tcW w:w="786" w:type="pct"/>
            <w:vAlign w:val="center"/>
          </w:tcPr>
          <w:p w14:paraId="131EC811"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1EEDDE5D" w14:textId="6162420C"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26785361"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71236F8D"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D6859A0" w14:textId="77777777" w:rsidTr="000F0F4C">
        <w:trPr>
          <w:jc w:val="center"/>
        </w:trPr>
        <w:tc>
          <w:tcPr>
            <w:tcW w:w="829" w:type="pct"/>
            <w:vMerge/>
          </w:tcPr>
          <w:p w14:paraId="533A4D48" w14:textId="77777777" w:rsidR="004E64BA" w:rsidRPr="00534FB2" w:rsidRDefault="004E64BA" w:rsidP="004E64BA">
            <w:pPr>
              <w:rPr>
                <w:sz w:val="22"/>
                <w:szCs w:val="22"/>
                <w:lang w:val="sk-SK"/>
              </w:rPr>
            </w:pPr>
          </w:p>
        </w:tc>
        <w:tc>
          <w:tcPr>
            <w:tcW w:w="1134" w:type="pct"/>
            <w:vAlign w:val="center"/>
          </w:tcPr>
          <w:p w14:paraId="7EB3A648" w14:textId="2199E38F" w:rsidR="004E64BA" w:rsidRPr="00534FB2" w:rsidRDefault="00BA2C09" w:rsidP="004E64BA">
            <w:pPr>
              <w:rPr>
                <w:sz w:val="22"/>
                <w:szCs w:val="22"/>
                <w:lang w:val="sk-SK"/>
              </w:rPr>
            </w:pPr>
            <w:r w:rsidRPr="00534FB2">
              <w:rPr>
                <w:sz w:val="22"/>
                <w:szCs w:val="22"/>
                <w:lang w:val="sk-SK"/>
              </w:rPr>
              <w:t>Polakizúria</w:t>
            </w:r>
          </w:p>
        </w:tc>
        <w:tc>
          <w:tcPr>
            <w:tcW w:w="786" w:type="pct"/>
            <w:vAlign w:val="center"/>
          </w:tcPr>
          <w:p w14:paraId="4CFF2446" w14:textId="5951C109" w:rsidR="004E64BA" w:rsidRPr="00534FB2" w:rsidRDefault="00BA2C09" w:rsidP="004E64BA">
            <w:pPr>
              <w:rPr>
                <w:sz w:val="22"/>
                <w:szCs w:val="22"/>
                <w:lang w:val="sk-SK"/>
              </w:rPr>
            </w:pPr>
            <w:r w:rsidRPr="00534FB2">
              <w:rPr>
                <w:sz w:val="22"/>
                <w:szCs w:val="22"/>
                <w:lang w:val="sk-SK"/>
              </w:rPr>
              <w:t>Časté</w:t>
            </w:r>
          </w:p>
        </w:tc>
        <w:tc>
          <w:tcPr>
            <w:tcW w:w="786" w:type="pct"/>
            <w:vAlign w:val="center"/>
          </w:tcPr>
          <w:p w14:paraId="731F5EAE" w14:textId="67BCFD66"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15801D7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EF73991"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5BCE1335" w14:textId="77777777" w:rsidTr="000F0F4C">
        <w:trPr>
          <w:jc w:val="center"/>
        </w:trPr>
        <w:tc>
          <w:tcPr>
            <w:tcW w:w="829" w:type="pct"/>
            <w:vMerge/>
          </w:tcPr>
          <w:p w14:paraId="474322F8" w14:textId="77777777" w:rsidR="004E64BA" w:rsidRPr="00534FB2" w:rsidRDefault="004E64BA" w:rsidP="004E64BA">
            <w:pPr>
              <w:rPr>
                <w:sz w:val="22"/>
                <w:szCs w:val="22"/>
                <w:lang w:val="sk-SK"/>
              </w:rPr>
            </w:pPr>
          </w:p>
        </w:tc>
        <w:tc>
          <w:tcPr>
            <w:tcW w:w="1134" w:type="pct"/>
            <w:vAlign w:val="center"/>
          </w:tcPr>
          <w:p w14:paraId="75A167BF" w14:textId="22F10762" w:rsidR="004E64BA" w:rsidRPr="00534FB2" w:rsidRDefault="00BA2C09" w:rsidP="004E64BA">
            <w:pPr>
              <w:rPr>
                <w:sz w:val="22"/>
                <w:szCs w:val="22"/>
                <w:lang w:val="sk-SK"/>
              </w:rPr>
            </w:pPr>
            <w:r w:rsidRPr="00534FB2">
              <w:rPr>
                <w:sz w:val="22"/>
                <w:szCs w:val="22"/>
                <w:lang w:val="sk-SK"/>
              </w:rPr>
              <w:t>Dysfunkcia obličiek</w:t>
            </w:r>
          </w:p>
        </w:tc>
        <w:tc>
          <w:tcPr>
            <w:tcW w:w="786" w:type="pct"/>
            <w:vAlign w:val="center"/>
          </w:tcPr>
          <w:p w14:paraId="4C15FA8E"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0239F048"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03C3B3B5"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05D1C70E" w14:textId="50F8D13E" w:rsidR="004E64BA" w:rsidRPr="00534FB2" w:rsidRDefault="00BA2C09" w:rsidP="004E64BA">
            <w:pPr>
              <w:rPr>
                <w:sz w:val="22"/>
                <w:szCs w:val="22"/>
                <w:lang w:val="sk-SK"/>
              </w:rPr>
            </w:pPr>
            <w:r w:rsidRPr="00534FB2">
              <w:rPr>
                <w:sz w:val="22"/>
                <w:szCs w:val="22"/>
                <w:lang w:val="sk-SK"/>
              </w:rPr>
              <w:t>Neznáme</w:t>
            </w:r>
          </w:p>
        </w:tc>
      </w:tr>
      <w:tr w:rsidR="004E64BA" w:rsidRPr="00534FB2" w14:paraId="048781A2" w14:textId="77777777" w:rsidTr="000F0F4C">
        <w:trPr>
          <w:jc w:val="center"/>
        </w:trPr>
        <w:tc>
          <w:tcPr>
            <w:tcW w:w="829" w:type="pct"/>
            <w:vMerge/>
          </w:tcPr>
          <w:p w14:paraId="0BC3AC81" w14:textId="77777777" w:rsidR="004E64BA" w:rsidRPr="00534FB2" w:rsidRDefault="004E64BA" w:rsidP="004E64BA">
            <w:pPr>
              <w:rPr>
                <w:sz w:val="22"/>
                <w:szCs w:val="22"/>
                <w:lang w:val="sk-SK"/>
              </w:rPr>
            </w:pPr>
          </w:p>
        </w:tc>
        <w:tc>
          <w:tcPr>
            <w:tcW w:w="1134" w:type="pct"/>
            <w:vAlign w:val="center"/>
          </w:tcPr>
          <w:p w14:paraId="6CBD920C" w14:textId="512FA50D" w:rsidR="004E64BA" w:rsidRPr="00534FB2" w:rsidRDefault="00BA2C09" w:rsidP="004E64BA">
            <w:pPr>
              <w:rPr>
                <w:sz w:val="22"/>
                <w:szCs w:val="22"/>
                <w:lang w:val="sk-SK"/>
              </w:rPr>
            </w:pPr>
            <w:r w:rsidRPr="00534FB2">
              <w:rPr>
                <w:sz w:val="22"/>
                <w:szCs w:val="22"/>
                <w:lang w:val="sk-SK"/>
              </w:rPr>
              <w:t>Akútne zlyhanie obličiek</w:t>
            </w:r>
          </w:p>
        </w:tc>
        <w:tc>
          <w:tcPr>
            <w:tcW w:w="786" w:type="pct"/>
            <w:vAlign w:val="center"/>
          </w:tcPr>
          <w:p w14:paraId="3F98D79C" w14:textId="5E2670F4"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6594623F"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0889FE4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0ECB925" w14:textId="72D8CF6B" w:rsidR="004E64BA" w:rsidRPr="00534FB2" w:rsidRDefault="00BA2C09" w:rsidP="004E64BA">
            <w:pPr>
              <w:rPr>
                <w:sz w:val="22"/>
                <w:szCs w:val="22"/>
                <w:lang w:val="sk-SK"/>
              </w:rPr>
            </w:pPr>
            <w:r w:rsidRPr="00534FB2">
              <w:rPr>
                <w:sz w:val="22"/>
                <w:szCs w:val="22"/>
                <w:lang w:val="sk-SK"/>
              </w:rPr>
              <w:t>Neznáme</w:t>
            </w:r>
          </w:p>
        </w:tc>
      </w:tr>
      <w:tr w:rsidR="004E64BA" w:rsidRPr="00534FB2" w14:paraId="4686D19C" w14:textId="77777777" w:rsidTr="000F0F4C">
        <w:trPr>
          <w:jc w:val="center"/>
        </w:trPr>
        <w:tc>
          <w:tcPr>
            <w:tcW w:w="829" w:type="pct"/>
            <w:vMerge/>
          </w:tcPr>
          <w:p w14:paraId="5D84D860" w14:textId="77777777" w:rsidR="004E64BA" w:rsidRPr="00534FB2" w:rsidRDefault="004E64BA" w:rsidP="004E64BA">
            <w:pPr>
              <w:rPr>
                <w:sz w:val="22"/>
                <w:szCs w:val="22"/>
                <w:lang w:val="sk-SK"/>
              </w:rPr>
            </w:pPr>
          </w:p>
        </w:tc>
        <w:tc>
          <w:tcPr>
            <w:tcW w:w="1134" w:type="pct"/>
            <w:vAlign w:val="center"/>
          </w:tcPr>
          <w:p w14:paraId="031DACAF" w14:textId="69E8DB6D" w:rsidR="00BA2C09" w:rsidRPr="00534FB2" w:rsidRDefault="00BA2C09" w:rsidP="00BA2C09">
            <w:pPr>
              <w:rPr>
                <w:sz w:val="22"/>
                <w:szCs w:val="22"/>
                <w:lang w:val="sk-SK"/>
              </w:rPr>
            </w:pPr>
            <w:r w:rsidRPr="00534FB2">
              <w:rPr>
                <w:sz w:val="22"/>
                <w:szCs w:val="22"/>
                <w:lang w:val="sk-SK"/>
              </w:rPr>
              <w:t>Zlyhanie a po</w:t>
            </w:r>
            <w:r w:rsidR="005962BA">
              <w:rPr>
                <w:sz w:val="22"/>
                <w:szCs w:val="22"/>
                <w:lang w:val="sk-SK"/>
              </w:rPr>
              <w:t>rucha</w:t>
            </w:r>
          </w:p>
          <w:p w14:paraId="4C6DC160" w14:textId="24766634" w:rsidR="004E64BA" w:rsidRPr="00534FB2" w:rsidRDefault="00BA2C09" w:rsidP="00BA2C09">
            <w:pPr>
              <w:rPr>
                <w:sz w:val="22"/>
                <w:szCs w:val="22"/>
                <w:lang w:val="sk-SK"/>
              </w:rPr>
            </w:pPr>
            <w:r w:rsidRPr="00534FB2">
              <w:rPr>
                <w:sz w:val="22"/>
                <w:szCs w:val="22"/>
                <w:lang w:val="sk-SK"/>
              </w:rPr>
              <w:t>funkcie obličiek</w:t>
            </w:r>
          </w:p>
        </w:tc>
        <w:tc>
          <w:tcPr>
            <w:tcW w:w="786" w:type="pct"/>
            <w:vAlign w:val="center"/>
          </w:tcPr>
          <w:p w14:paraId="29A06C4C"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0A677315"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3DB6AD71" w14:textId="6D762AE5" w:rsidR="004E64BA" w:rsidRPr="00534FB2" w:rsidRDefault="00BA2C09" w:rsidP="004E64BA">
            <w:pPr>
              <w:rPr>
                <w:sz w:val="22"/>
                <w:szCs w:val="22"/>
                <w:lang w:val="sk-SK"/>
              </w:rPr>
            </w:pPr>
            <w:r w:rsidRPr="00534FB2">
              <w:rPr>
                <w:sz w:val="22"/>
                <w:szCs w:val="22"/>
                <w:lang w:val="sk-SK"/>
              </w:rPr>
              <w:t>Neznáme</w:t>
            </w:r>
          </w:p>
        </w:tc>
        <w:tc>
          <w:tcPr>
            <w:tcW w:w="757" w:type="pct"/>
            <w:vAlign w:val="center"/>
          </w:tcPr>
          <w:p w14:paraId="2428A676" w14:textId="18BB04EE" w:rsidR="004E64BA" w:rsidRPr="00534FB2" w:rsidRDefault="00BA2C09" w:rsidP="004E64BA">
            <w:pPr>
              <w:rPr>
                <w:sz w:val="22"/>
                <w:szCs w:val="22"/>
                <w:lang w:val="sk-SK"/>
              </w:rPr>
            </w:pPr>
            <w:r w:rsidRPr="00534FB2">
              <w:rPr>
                <w:sz w:val="22"/>
                <w:szCs w:val="22"/>
                <w:lang w:val="sk-SK"/>
              </w:rPr>
              <w:t>Zriedkavé</w:t>
            </w:r>
          </w:p>
        </w:tc>
      </w:tr>
      <w:tr w:rsidR="004E64BA" w:rsidRPr="00534FB2" w14:paraId="2697B67C" w14:textId="77777777" w:rsidTr="000F0F4C">
        <w:trPr>
          <w:jc w:val="center"/>
        </w:trPr>
        <w:tc>
          <w:tcPr>
            <w:tcW w:w="829" w:type="pct"/>
            <w:vMerge w:val="restart"/>
          </w:tcPr>
          <w:p w14:paraId="3757B5F5" w14:textId="77777777" w:rsidR="00BA2C09" w:rsidRPr="00534FB2" w:rsidRDefault="00BA2C09" w:rsidP="00BA2C09">
            <w:pPr>
              <w:rPr>
                <w:sz w:val="22"/>
                <w:szCs w:val="22"/>
                <w:lang w:val="sk-SK"/>
              </w:rPr>
            </w:pPr>
            <w:r w:rsidRPr="00534FB2">
              <w:rPr>
                <w:sz w:val="22"/>
                <w:szCs w:val="22"/>
                <w:lang w:val="sk-SK"/>
              </w:rPr>
              <w:t>Poruchy</w:t>
            </w:r>
          </w:p>
          <w:p w14:paraId="3AEC3A2B" w14:textId="77777777" w:rsidR="00BA2C09" w:rsidRPr="00534FB2" w:rsidRDefault="00BA2C09" w:rsidP="00BA2C09">
            <w:pPr>
              <w:rPr>
                <w:sz w:val="22"/>
                <w:szCs w:val="22"/>
                <w:lang w:val="sk-SK"/>
              </w:rPr>
            </w:pPr>
            <w:r w:rsidRPr="00534FB2">
              <w:rPr>
                <w:sz w:val="22"/>
                <w:szCs w:val="22"/>
                <w:lang w:val="sk-SK"/>
              </w:rPr>
              <w:t>reprodukčného</w:t>
            </w:r>
          </w:p>
          <w:p w14:paraId="3D243838" w14:textId="13804603" w:rsidR="004E64BA" w:rsidRPr="00534FB2" w:rsidRDefault="00BA2C09" w:rsidP="00BA2C09">
            <w:pPr>
              <w:rPr>
                <w:sz w:val="22"/>
                <w:szCs w:val="22"/>
                <w:lang w:val="sk-SK"/>
              </w:rPr>
            </w:pPr>
            <w:r w:rsidRPr="00534FB2">
              <w:rPr>
                <w:sz w:val="22"/>
                <w:szCs w:val="22"/>
                <w:lang w:val="sk-SK"/>
              </w:rPr>
              <w:t>systému a prsníkov</w:t>
            </w:r>
          </w:p>
        </w:tc>
        <w:tc>
          <w:tcPr>
            <w:tcW w:w="1134" w:type="pct"/>
            <w:vAlign w:val="center"/>
          </w:tcPr>
          <w:p w14:paraId="318DA16C" w14:textId="08A72F71" w:rsidR="004E64BA" w:rsidRPr="00534FB2" w:rsidRDefault="004E64BA" w:rsidP="00BA2C09">
            <w:pPr>
              <w:rPr>
                <w:sz w:val="22"/>
                <w:szCs w:val="22"/>
                <w:lang w:val="sk-SK"/>
              </w:rPr>
            </w:pPr>
            <w:r w:rsidRPr="00534FB2">
              <w:rPr>
                <w:sz w:val="22"/>
                <w:szCs w:val="22"/>
                <w:lang w:val="sk-SK"/>
              </w:rPr>
              <w:t>Impotenc</w:t>
            </w:r>
            <w:r w:rsidR="00BA2C09" w:rsidRPr="00534FB2">
              <w:rPr>
                <w:sz w:val="22"/>
                <w:szCs w:val="22"/>
                <w:lang w:val="sk-SK"/>
              </w:rPr>
              <w:t>ia</w:t>
            </w:r>
          </w:p>
        </w:tc>
        <w:tc>
          <w:tcPr>
            <w:tcW w:w="786" w:type="pct"/>
            <w:vAlign w:val="center"/>
          </w:tcPr>
          <w:p w14:paraId="21768759" w14:textId="2EF76EFF"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5B333660" w14:textId="660B9871"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56B9E0EF"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3F7056B" w14:textId="0805C200" w:rsidR="004E64BA" w:rsidRPr="00534FB2" w:rsidRDefault="00BA2C09" w:rsidP="004E64BA">
            <w:pPr>
              <w:rPr>
                <w:sz w:val="22"/>
                <w:szCs w:val="22"/>
                <w:lang w:val="sk-SK"/>
              </w:rPr>
            </w:pPr>
            <w:r w:rsidRPr="00534FB2">
              <w:rPr>
                <w:sz w:val="22"/>
                <w:szCs w:val="22"/>
                <w:lang w:val="sk-SK"/>
              </w:rPr>
              <w:t>Časté</w:t>
            </w:r>
          </w:p>
        </w:tc>
      </w:tr>
      <w:tr w:rsidR="004E64BA" w:rsidRPr="00534FB2" w14:paraId="2F1B2A7F" w14:textId="77777777" w:rsidTr="000F0F4C">
        <w:trPr>
          <w:jc w:val="center"/>
        </w:trPr>
        <w:tc>
          <w:tcPr>
            <w:tcW w:w="829" w:type="pct"/>
            <w:vMerge/>
          </w:tcPr>
          <w:p w14:paraId="25407A02" w14:textId="77777777" w:rsidR="004E64BA" w:rsidRPr="00534FB2" w:rsidRDefault="004E64BA" w:rsidP="004E64BA">
            <w:pPr>
              <w:rPr>
                <w:sz w:val="22"/>
                <w:szCs w:val="22"/>
                <w:lang w:val="sk-SK"/>
              </w:rPr>
            </w:pPr>
          </w:p>
        </w:tc>
        <w:tc>
          <w:tcPr>
            <w:tcW w:w="1134" w:type="pct"/>
            <w:vAlign w:val="center"/>
          </w:tcPr>
          <w:p w14:paraId="359552BA" w14:textId="5E32F418" w:rsidR="004E64BA" w:rsidRPr="00534FB2" w:rsidRDefault="00BA2C09" w:rsidP="004E64BA">
            <w:pPr>
              <w:rPr>
                <w:sz w:val="22"/>
                <w:szCs w:val="22"/>
                <w:lang w:val="sk-SK"/>
              </w:rPr>
            </w:pPr>
            <w:r w:rsidRPr="00534FB2">
              <w:rPr>
                <w:sz w:val="22"/>
                <w:szCs w:val="22"/>
                <w:lang w:val="sk-SK"/>
              </w:rPr>
              <w:t>Gynekomastia</w:t>
            </w:r>
          </w:p>
        </w:tc>
        <w:tc>
          <w:tcPr>
            <w:tcW w:w="786" w:type="pct"/>
            <w:vAlign w:val="center"/>
          </w:tcPr>
          <w:p w14:paraId="3C9385A8"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027B60F1" w14:textId="2AE6FD47"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5242A809"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2353ABC"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61C7397" w14:textId="77777777" w:rsidTr="000F0F4C">
        <w:trPr>
          <w:jc w:val="center"/>
        </w:trPr>
        <w:tc>
          <w:tcPr>
            <w:tcW w:w="829" w:type="pct"/>
            <w:vMerge w:val="restart"/>
          </w:tcPr>
          <w:p w14:paraId="225CA185" w14:textId="77777777" w:rsidR="00BA2C09" w:rsidRPr="00534FB2" w:rsidRDefault="00BA2C09" w:rsidP="00BA2C09">
            <w:pPr>
              <w:rPr>
                <w:sz w:val="22"/>
                <w:szCs w:val="22"/>
                <w:lang w:val="sk-SK"/>
              </w:rPr>
            </w:pPr>
            <w:r w:rsidRPr="00534FB2">
              <w:rPr>
                <w:sz w:val="22"/>
                <w:szCs w:val="22"/>
                <w:lang w:val="sk-SK"/>
              </w:rPr>
              <w:t>Celkové poruchy a</w:t>
            </w:r>
          </w:p>
          <w:p w14:paraId="56AD40CF" w14:textId="77777777" w:rsidR="00BA2C09" w:rsidRPr="00534FB2" w:rsidRDefault="00BA2C09" w:rsidP="00BA2C09">
            <w:pPr>
              <w:rPr>
                <w:sz w:val="22"/>
                <w:szCs w:val="22"/>
                <w:lang w:val="sk-SK"/>
              </w:rPr>
            </w:pPr>
            <w:r w:rsidRPr="00534FB2">
              <w:rPr>
                <w:sz w:val="22"/>
                <w:szCs w:val="22"/>
                <w:lang w:val="sk-SK"/>
              </w:rPr>
              <w:t>reakcie v mieste</w:t>
            </w:r>
          </w:p>
          <w:p w14:paraId="403A08B4" w14:textId="4F9C28B4" w:rsidR="004E64BA" w:rsidRPr="00534FB2" w:rsidRDefault="00BA2C09" w:rsidP="00BA2C09">
            <w:pPr>
              <w:rPr>
                <w:sz w:val="22"/>
                <w:szCs w:val="22"/>
                <w:lang w:val="sk-SK"/>
              </w:rPr>
            </w:pPr>
            <w:r w:rsidRPr="00534FB2">
              <w:rPr>
                <w:sz w:val="22"/>
                <w:szCs w:val="22"/>
                <w:lang w:val="sk-SK"/>
              </w:rPr>
              <w:t>podania</w:t>
            </w:r>
          </w:p>
        </w:tc>
        <w:tc>
          <w:tcPr>
            <w:tcW w:w="1134" w:type="pct"/>
            <w:vAlign w:val="center"/>
          </w:tcPr>
          <w:p w14:paraId="0D6CAE92" w14:textId="67261B78" w:rsidR="004E64BA" w:rsidRPr="00534FB2" w:rsidRDefault="00BA2C09" w:rsidP="004E64BA">
            <w:pPr>
              <w:rPr>
                <w:sz w:val="22"/>
                <w:szCs w:val="22"/>
                <w:lang w:val="sk-SK"/>
              </w:rPr>
            </w:pPr>
            <w:r w:rsidRPr="00534FB2">
              <w:rPr>
                <w:sz w:val="22"/>
                <w:szCs w:val="22"/>
                <w:lang w:val="sk-SK"/>
              </w:rPr>
              <w:t>Abázia, porucha chôdze</w:t>
            </w:r>
          </w:p>
        </w:tc>
        <w:tc>
          <w:tcPr>
            <w:tcW w:w="786" w:type="pct"/>
            <w:vAlign w:val="center"/>
          </w:tcPr>
          <w:p w14:paraId="1D71CDF7" w14:textId="2C034445"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31F735AD"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73D3097B"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021FB982"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6A65726" w14:textId="77777777" w:rsidTr="000F0F4C">
        <w:trPr>
          <w:jc w:val="center"/>
        </w:trPr>
        <w:tc>
          <w:tcPr>
            <w:tcW w:w="829" w:type="pct"/>
            <w:vMerge/>
          </w:tcPr>
          <w:p w14:paraId="5C8B26A5" w14:textId="77777777" w:rsidR="004E64BA" w:rsidRPr="00534FB2" w:rsidRDefault="004E64BA" w:rsidP="004E64BA">
            <w:pPr>
              <w:rPr>
                <w:sz w:val="22"/>
                <w:szCs w:val="22"/>
                <w:lang w:val="sk-SK"/>
              </w:rPr>
            </w:pPr>
          </w:p>
        </w:tc>
        <w:tc>
          <w:tcPr>
            <w:tcW w:w="1134" w:type="pct"/>
            <w:vAlign w:val="center"/>
          </w:tcPr>
          <w:p w14:paraId="61568106" w14:textId="1C94FA16" w:rsidR="004E64BA" w:rsidRPr="00534FB2" w:rsidRDefault="00BA2C09" w:rsidP="004E64BA">
            <w:pPr>
              <w:rPr>
                <w:sz w:val="22"/>
                <w:szCs w:val="22"/>
                <w:lang w:val="sk-SK"/>
              </w:rPr>
            </w:pPr>
            <w:r w:rsidRPr="00534FB2">
              <w:rPr>
                <w:sz w:val="22"/>
                <w:szCs w:val="22"/>
                <w:lang w:val="sk-SK"/>
              </w:rPr>
              <w:t>Asté</w:t>
            </w:r>
            <w:r w:rsidR="004E64BA" w:rsidRPr="00534FB2">
              <w:rPr>
                <w:sz w:val="22"/>
                <w:szCs w:val="22"/>
                <w:lang w:val="sk-SK"/>
              </w:rPr>
              <w:t>nia</w:t>
            </w:r>
          </w:p>
        </w:tc>
        <w:tc>
          <w:tcPr>
            <w:tcW w:w="786" w:type="pct"/>
            <w:vAlign w:val="center"/>
          </w:tcPr>
          <w:p w14:paraId="4EA0B166" w14:textId="799DDE7E"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05C27751" w14:textId="5D680F2B"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10680910"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02306BDB" w14:textId="03A02F07" w:rsidR="004E64BA" w:rsidRPr="00534FB2" w:rsidRDefault="00BA2C09" w:rsidP="004E64BA">
            <w:pPr>
              <w:rPr>
                <w:sz w:val="22"/>
                <w:szCs w:val="22"/>
                <w:lang w:val="sk-SK"/>
              </w:rPr>
            </w:pPr>
            <w:r w:rsidRPr="00534FB2">
              <w:rPr>
                <w:sz w:val="22"/>
                <w:szCs w:val="22"/>
                <w:lang w:val="sk-SK"/>
              </w:rPr>
              <w:t>Neznáme</w:t>
            </w:r>
          </w:p>
        </w:tc>
      </w:tr>
      <w:tr w:rsidR="004E64BA" w:rsidRPr="00534FB2" w14:paraId="449C0A6E" w14:textId="77777777" w:rsidTr="000F0F4C">
        <w:trPr>
          <w:jc w:val="center"/>
        </w:trPr>
        <w:tc>
          <w:tcPr>
            <w:tcW w:w="829" w:type="pct"/>
            <w:vMerge/>
          </w:tcPr>
          <w:p w14:paraId="066A1531" w14:textId="77777777" w:rsidR="004E64BA" w:rsidRPr="00534FB2" w:rsidRDefault="004E64BA" w:rsidP="004E64BA">
            <w:pPr>
              <w:rPr>
                <w:sz w:val="22"/>
                <w:szCs w:val="22"/>
                <w:lang w:val="sk-SK"/>
              </w:rPr>
            </w:pPr>
          </w:p>
        </w:tc>
        <w:tc>
          <w:tcPr>
            <w:tcW w:w="1134" w:type="pct"/>
            <w:vAlign w:val="center"/>
          </w:tcPr>
          <w:p w14:paraId="0FD54E2B" w14:textId="45D4BF91" w:rsidR="00BA2C09" w:rsidRPr="00534FB2" w:rsidRDefault="00BA2C09" w:rsidP="00BA2C09">
            <w:pPr>
              <w:rPr>
                <w:sz w:val="22"/>
                <w:szCs w:val="22"/>
                <w:lang w:val="sk-SK"/>
              </w:rPr>
            </w:pPr>
            <w:r w:rsidRPr="00534FB2">
              <w:rPr>
                <w:sz w:val="22"/>
                <w:szCs w:val="22"/>
                <w:lang w:val="sk-SK"/>
              </w:rPr>
              <w:t>Nepríjemn</w:t>
            </w:r>
            <w:r w:rsidR="002611EA">
              <w:rPr>
                <w:sz w:val="22"/>
                <w:szCs w:val="22"/>
                <w:lang w:val="sk-SK"/>
              </w:rPr>
              <w:t>ý</w:t>
            </w:r>
            <w:r w:rsidRPr="00534FB2">
              <w:rPr>
                <w:sz w:val="22"/>
                <w:szCs w:val="22"/>
                <w:lang w:val="sk-SK"/>
              </w:rPr>
              <w:t xml:space="preserve"> pocit,</w:t>
            </w:r>
          </w:p>
          <w:p w14:paraId="2EBBAEC0" w14:textId="05246EAA" w:rsidR="004E64BA" w:rsidRPr="00534FB2" w:rsidRDefault="00BA2C09" w:rsidP="00BA2C09">
            <w:pPr>
              <w:rPr>
                <w:sz w:val="22"/>
                <w:szCs w:val="22"/>
                <w:lang w:val="sk-SK"/>
              </w:rPr>
            </w:pPr>
            <w:r w:rsidRPr="00534FB2">
              <w:rPr>
                <w:sz w:val="22"/>
                <w:szCs w:val="22"/>
                <w:lang w:val="sk-SK"/>
              </w:rPr>
              <w:t>celková nevoľnosť</w:t>
            </w:r>
          </w:p>
        </w:tc>
        <w:tc>
          <w:tcPr>
            <w:tcW w:w="786" w:type="pct"/>
            <w:vAlign w:val="center"/>
          </w:tcPr>
          <w:p w14:paraId="712BCD32" w14:textId="65887A9D"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386BE203" w14:textId="14C30983"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1DCA67D5"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78FE0894"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2D2F1C9E" w14:textId="77777777" w:rsidTr="000F0F4C">
        <w:trPr>
          <w:jc w:val="center"/>
        </w:trPr>
        <w:tc>
          <w:tcPr>
            <w:tcW w:w="829" w:type="pct"/>
            <w:vMerge/>
          </w:tcPr>
          <w:p w14:paraId="3148F0C2" w14:textId="77777777" w:rsidR="004E64BA" w:rsidRPr="00534FB2" w:rsidRDefault="004E64BA" w:rsidP="004E64BA">
            <w:pPr>
              <w:rPr>
                <w:sz w:val="22"/>
                <w:szCs w:val="22"/>
                <w:lang w:val="sk-SK"/>
              </w:rPr>
            </w:pPr>
          </w:p>
        </w:tc>
        <w:tc>
          <w:tcPr>
            <w:tcW w:w="1134" w:type="pct"/>
            <w:vAlign w:val="center"/>
          </w:tcPr>
          <w:p w14:paraId="5649114D" w14:textId="7DBFAC52" w:rsidR="004E64BA" w:rsidRPr="00534FB2" w:rsidRDefault="00BA2C09" w:rsidP="004E64BA">
            <w:pPr>
              <w:rPr>
                <w:sz w:val="22"/>
                <w:szCs w:val="22"/>
                <w:lang w:val="sk-SK"/>
              </w:rPr>
            </w:pPr>
            <w:r w:rsidRPr="00534FB2">
              <w:rPr>
                <w:sz w:val="22"/>
                <w:szCs w:val="22"/>
                <w:lang w:val="sk-SK"/>
              </w:rPr>
              <w:t>Únava</w:t>
            </w:r>
          </w:p>
        </w:tc>
        <w:tc>
          <w:tcPr>
            <w:tcW w:w="786" w:type="pct"/>
            <w:vAlign w:val="center"/>
          </w:tcPr>
          <w:p w14:paraId="4C29941C" w14:textId="21FDC004" w:rsidR="004E64BA" w:rsidRPr="00534FB2" w:rsidRDefault="00BA2C09" w:rsidP="004E64BA">
            <w:pPr>
              <w:rPr>
                <w:sz w:val="22"/>
                <w:szCs w:val="22"/>
                <w:lang w:val="sk-SK"/>
              </w:rPr>
            </w:pPr>
            <w:r w:rsidRPr="00534FB2">
              <w:rPr>
                <w:sz w:val="22"/>
                <w:szCs w:val="22"/>
                <w:lang w:val="sk-SK"/>
              </w:rPr>
              <w:t>Časté</w:t>
            </w:r>
          </w:p>
        </w:tc>
        <w:tc>
          <w:tcPr>
            <w:tcW w:w="786" w:type="pct"/>
            <w:vAlign w:val="center"/>
          </w:tcPr>
          <w:p w14:paraId="7223C78B" w14:textId="1CFEE822" w:rsidR="004E64BA" w:rsidRPr="00534FB2" w:rsidRDefault="00BA2C09" w:rsidP="004E64BA">
            <w:pPr>
              <w:rPr>
                <w:sz w:val="22"/>
                <w:szCs w:val="22"/>
                <w:lang w:val="sk-SK"/>
              </w:rPr>
            </w:pPr>
            <w:r w:rsidRPr="00534FB2">
              <w:rPr>
                <w:sz w:val="22"/>
                <w:szCs w:val="22"/>
                <w:lang w:val="sk-SK"/>
              </w:rPr>
              <w:t>Časté</w:t>
            </w:r>
          </w:p>
        </w:tc>
        <w:tc>
          <w:tcPr>
            <w:tcW w:w="708" w:type="pct"/>
            <w:vAlign w:val="center"/>
          </w:tcPr>
          <w:p w14:paraId="61AB0360" w14:textId="455882A8" w:rsidR="004E64BA" w:rsidRPr="00534FB2" w:rsidRDefault="004C5CBE" w:rsidP="004E64BA">
            <w:pPr>
              <w:rPr>
                <w:sz w:val="22"/>
                <w:szCs w:val="22"/>
                <w:lang w:val="sk-SK"/>
              </w:rPr>
            </w:pPr>
            <w:r w:rsidRPr="00534FB2">
              <w:rPr>
                <w:sz w:val="22"/>
                <w:szCs w:val="22"/>
                <w:lang w:val="sk-SK"/>
              </w:rPr>
              <w:t>Menej časté</w:t>
            </w:r>
          </w:p>
        </w:tc>
        <w:tc>
          <w:tcPr>
            <w:tcW w:w="757" w:type="pct"/>
            <w:vAlign w:val="center"/>
          </w:tcPr>
          <w:p w14:paraId="78AD58A8"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D41112C" w14:textId="77777777" w:rsidTr="000F0F4C">
        <w:trPr>
          <w:jc w:val="center"/>
        </w:trPr>
        <w:tc>
          <w:tcPr>
            <w:tcW w:w="829" w:type="pct"/>
            <w:vMerge/>
          </w:tcPr>
          <w:p w14:paraId="0369AF58" w14:textId="77777777" w:rsidR="004E64BA" w:rsidRPr="00534FB2" w:rsidRDefault="004E64BA" w:rsidP="004E64BA">
            <w:pPr>
              <w:rPr>
                <w:sz w:val="22"/>
                <w:szCs w:val="22"/>
                <w:lang w:val="sk-SK"/>
              </w:rPr>
            </w:pPr>
          </w:p>
        </w:tc>
        <w:tc>
          <w:tcPr>
            <w:tcW w:w="1134" w:type="pct"/>
            <w:vAlign w:val="center"/>
          </w:tcPr>
          <w:p w14:paraId="05FF0184" w14:textId="77777777" w:rsidR="00BA2C09" w:rsidRPr="00534FB2" w:rsidRDefault="00BA2C09" w:rsidP="00BA2C09">
            <w:pPr>
              <w:rPr>
                <w:sz w:val="22"/>
                <w:szCs w:val="22"/>
                <w:lang w:val="sk-SK"/>
              </w:rPr>
            </w:pPr>
            <w:r w:rsidRPr="00534FB2">
              <w:rPr>
                <w:sz w:val="22"/>
                <w:szCs w:val="22"/>
                <w:lang w:val="sk-SK"/>
              </w:rPr>
              <w:t>Nekardiálna bolesť v</w:t>
            </w:r>
          </w:p>
          <w:p w14:paraId="08788390" w14:textId="22E9D101" w:rsidR="004E64BA" w:rsidRPr="00534FB2" w:rsidRDefault="00BA2C09" w:rsidP="00BA2C09">
            <w:pPr>
              <w:rPr>
                <w:sz w:val="22"/>
                <w:szCs w:val="22"/>
                <w:lang w:val="sk-SK"/>
              </w:rPr>
            </w:pPr>
            <w:r w:rsidRPr="00534FB2">
              <w:rPr>
                <w:sz w:val="22"/>
                <w:szCs w:val="22"/>
                <w:lang w:val="sk-SK"/>
              </w:rPr>
              <w:t>hrudníku</w:t>
            </w:r>
          </w:p>
        </w:tc>
        <w:tc>
          <w:tcPr>
            <w:tcW w:w="786" w:type="pct"/>
            <w:vAlign w:val="center"/>
          </w:tcPr>
          <w:p w14:paraId="125BCE75" w14:textId="34CEA55B" w:rsidR="004E64BA" w:rsidRPr="00534FB2" w:rsidRDefault="004C5CBE" w:rsidP="004E64BA">
            <w:pPr>
              <w:rPr>
                <w:sz w:val="22"/>
                <w:szCs w:val="22"/>
                <w:lang w:val="sk-SK"/>
              </w:rPr>
            </w:pPr>
            <w:r w:rsidRPr="00534FB2">
              <w:rPr>
                <w:sz w:val="22"/>
                <w:szCs w:val="22"/>
                <w:lang w:val="sk-SK"/>
              </w:rPr>
              <w:t>Menej časté</w:t>
            </w:r>
          </w:p>
        </w:tc>
        <w:tc>
          <w:tcPr>
            <w:tcW w:w="786" w:type="pct"/>
            <w:vAlign w:val="center"/>
          </w:tcPr>
          <w:p w14:paraId="670C193F" w14:textId="5F717AF1"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56316F4F"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41881958"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3ACD309A" w14:textId="77777777" w:rsidTr="000F0F4C">
        <w:trPr>
          <w:jc w:val="center"/>
        </w:trPr>
        <w:tc>
          <w:tcPr>
            <w:tcW w:w="829" w:type="pct"/>
            <w:vMerge/>
          </w:tcPr>
          <w:p w14:paraId="643C9468" w14:textId="77777777" w:rsidR="004E64BA" w:rsidRPr="00534FB2" w:rsidRDefault="004E64BA" w:rsidP="004E64BA">
            <w:pPr>
              <w:rPr>
                <w:sz w:val="22"/>
                <w:szCs w:val="22"/>
                <w:lang w:val="sk-SK"/>
              </w:rPr>
            </w:pPr>
          </w:p>
        </w:tc>
        <w:tc>
          <w:tcPr>
            <w:tcW w:w="1134" w:type="pct"/>
            <w:vAlign w:val="center"/>
          </w:tcPr>
          <w:p w14:paraId="0316484E" w14:textId="299233B6" w:rsidR="004E64BA" w:rsidRPr="00534FB2" w:rsidRDefault="00BA2C09" w:rsidP="004E64BA">
            <w:pPr>
              <w:rPr>
                <w:sz w:val="22"/>
                <w:szCs w:val="22"/>
                <w:lang w:val="sk-SK"/>
              </w:rPr>
            </w:pPr>
            <w:r w:rsidRPr="00534FB2">
              <w:rPr>
                <w:sz w:val="22"/>
                <w:szCs w:val="22"/>
                <w:lang w:val="sk-SK"/>
              </w:rPr>
              <w:t>Edém</w:t>
            </w:r>
          </w:p>
        </w:tc>
        <w:tc>
          <w:tcPr>
            <w:tcW w:w="786" w:type="pct"/>
            <w:vAlign w:val="center"/>
          </w:tcPr>
          <w:p w14:paraId="08E088BE" w14:textId="34959B18" w:rsidR="004E64BA" w:rsidRPr="00534FB2" w:rsidRDefault="00BA2C09" w:rsidP="004E64BA">
            <w:pPr>
              <w:rPr>
                <w:sz w:val="22"/>
                <w:szCs w:val="22"/>
                <w:lang w:val="sk-SK"/>
              </w:rPr>
            </w:pPr>
            <w:r w:rsidRPr="00534FB2">
              <w:rPr>
                <w:sz w:val="22"/>
                <w:szCs w:val="22"/>
                <w:lang w:val="sk-SK"/>
              </w:rPr>
              <w:t>Časté</w:t>
            </w:r>
          </w:p>
        </w:tc>
        <w:tc>
          <w:tcPr>
            <w:tcW w:w="786" w:type="pct"/>
            <w:vAlign w:val="center"/>
          </w:tcPr>
          <w:p w14:paraId="28EAA18A" w14:textId="3ED14BF4" w:rsidR="004E64BA" w:rsidRPr="00534FB2" w:rsidRDefault="00BA2C09" w:rsidP="004E64BA">
            <w:pPr>
              <w:rPr>
                <w:sz w:val="22"/>
                <w:szCs w:val="22"/>
                <w:lang w:val="sk-SK"/>
              </w:rPr>
            </w:pPr>
            <w:r w:rsidRPr="00534FB2">
              <w:rPr>
                <w:sz w:val="22"/>
                <w:szCs w:val="22"/>
                <w:lang w:val="sk-SK"/>
              </w:rPr>
              <w:t>Časté</w:t>
            </w:r>
          </w:p>
        </w:tc>
        <w:tc>
          <w:tcPr>
            <w:tcW w:w="708" w:type="pct"/>
            <w:vAlign w:val="center"/>
          </w:tcPr>
          <w:p w14:paraId="4C4404AA"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873BAAB"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42A610B9" w14:textId="77777777" w:rsidTr="000F0F4C">
        <w:trPr>
          <w:jc w:val="center"/>
        </w:trPr>
        <w:tc>
          <w:tcPr>
            <w:tcW w:w="829" w:type="pct"/>
            <w:vMerge/>
          </w:tcPr>
          <w:p w14:paraId="6CCE4ECC" w14:textId="77777777" w:rsidR="004E64BA" w:rsidRPr="00534FB2" w:rsidRDefault="004E64BA" w:rsidP="004E64BA">
            <w:pPr>
              <w:rPr>
                <w:sz w:val="22"/>
                <w:szCs w:val="22"/>
                <w:lang w:val="sk-SK"/>
              </w:rPr>
            </w:pPr>
          </w:p>
        </w:tc>
        <w:tc>
          <w:tcPr>
            <w:tcW w:w="1134" w:type="pct"/>
            <w:vAlign w:val="center"/>
          </w:tcPr>
          <w:p w14:paraId="41B1D38F" w14:textId="29600ECE" w:rsidR="004E64BA" w:rsidRPr="00534FB2" w:rsidRDefault="00BA2C09" w:rsidP="004E64BA">
            <w:pPr>
              <w:rPr>
                <w:sz w:val="22"/>
                <w:szCs w:val="22"/>
                <w:lang w:val="sk-SK"/>
              </w:rPr>
            </w:pPr>
            <w:r w:rsidRPr="00534FB2">
              <w:rPr>
                <w:sz w:val="22"/>
                <w:szCs w:val="22"/>
                <w:lang w:val="sk-SK"/>
              </w:rPr>
              <w:t>Bolesť</w:t>
            </w:r>
          </w:p>
        </w:tc>
        <w:tc>
          <w:tcPr>
            <w:tcW w:w="786" w:type="pct"/>
            <w:vAlign w:val="center"/>
          </w:tcPr>
          <w:p w14:paraId="5E0DDAB5"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548C2FB7" w14:textId="7D6F965C" w:rsidR="004E64BA" w:rsidRPr="00534FB2" w:rsidRDefault="004C5CBE" w:rsidP="004E64BA">
            <w:pPr>
              <w:rPr>
                <w:sz w:val="22"/>
                <w:szCs w:val="22"/>
                <w:lang w:val="sk-SK"/>
              </w:rPr>
            </w:pPr>
            <w:r w:rsidRPr="00534FB2">
              <w:rPr>
                <w:sz w:val="22"/>
                <w:szCs w:val="22"/>
                <w:lang w:val="sk-SK"/>
              </w:rPr>
              <w:t>Menej časté</w:t>
            </w:r>
          </w:p>
        </w:tc>
        <w:tc>
          <w:tcPr>
            <w:tcW w:w="708" w:type="pct"/>
            <w:vAlign w:val="center"/>
          </w:tcPr>
          <w:p w14:paraId="210F50C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39ABF34"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146B6AE4" w14:textId="77777777" w:rsidTr="000F0F4C">
        <w:trPr>
          <w:jc w:val="center"/>
        </w:trPr>
        <w:tc>
          <w:tcPr>
            <w:tcW w:w="829" w:type="pct"/>
            <w:vMerge/>
          </w:tcPr>
          <w:p w14:paraId="77DC5315" w14:textId="77777777" w:rsidR="004E64BA" w:rsidRPr="00534FB2" w:rsidRDefault="004E64BA" w:rsidP="004E64BA">
            <w:pPr>
              <w:rPr>
                <w:sz w:val="22"/>
                <w:szCs w:val="22"/>
                <w:lang w:val="sk-SK"/>
              </w:rPr>
            </w:pPr>
          </w:p>
        </w:tc>
        <w:tc>
          <w:tcPr>
            <w:tcW w:w="1134" w:type="pct"/>
            <w:vAlign w:val="center"/>
          </w:tcPr>
          <w:p w14:paraId="5A6C5094" w14:textId="77777777" w:rsidR="004E64BA" w:rsidRPr="00534FB2" w:rsidRDefault="004E64BA" w:rsidP="004E64BA">
            <w:pPr>
              <w:rPr>
                <w:sz w:val="22"/>
                <w:szCs w:val="22"/>
                <w:lang w:val="sk-SK"/>
              </w:rPr>
            </w:pPr>
            <w:r w:rsidRPr="00534FB2">
              <w:rPr>
                <w:sz w:val="22"/>
                <w:szCs w:val="22"/>
                <w:lang w:val="sk-SK"/>
              </w:rPr>
              <w:t>Pyrexia</w:t>
            </w:r>
          </w:p>
        </w:tc>
        <w:tc>
          <w:tcPr>
            <w:tcW w:w="786" w:type="pct"/>
            <w:vAlign w:val="center"/>
          </w:tcPr>
          <w:p w14:paraId="085C12AA"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4F44AF84"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190E37CB"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517F1C3F" w14:textId="3C273A58" w:rsidR="004E64BA" w:rsidRPr="00534FB2" w:rsidRDefault="00BA2C09" w:rsidP="004E64BA">
            <w:pPr>
              <w:rPr>
                <w:sz w:val="22"/>
                <w:szCs w:val="22"/>
                <w:lang w:val="sk-SK"/>
              </w:rPr>
            </w:pPr>
            <w:r w:rsidRPr="00534FB2">
              <w:rPr>
                <w:sz w:val="22"/>
                <w:szCs w:val="22"/>
                <w:lang w:val="sk-SK"/>
              </w:rPr>
              <w:t>Neznáme</w:t>
            </w:r>
          </w:p>
        </w:tc>
      </w:tr>
      <w:tr w:rsidR="004E64BA" w:rsidRPr="00534FB2" w14:paraId="0A586E30" w14:textId="77777777" w:rsidTr="000F0F4C">
        <w:trPr>
          <w:jc w:val="center"/>
        </w:trPr>
        <w:tc>
          <w:tcPr>
            <w:tcW w:w="829" w:type="pct"/>
            <w:vMerge w:val="restart"/>
          </w:tcPr>
          <w:p w14:paraId="0FB8A575" w14:textId="77777777" w:rsidR="00BA2C09" w:rsidRPr="00534FB2" w:rsidRDefault="00BA2C09" w:rsidP="00BA2C09">
            <w:pPr>
              <w:rPr>
                <w:sz w:val="22"/>
                <w:szCs w:val="22"/>
                <w:lang w:val="sk-SK"/>
              </w:rPr>
            </w:pPr>
            <w:r w:rsidRPr="00534FB2">
              <w:rPr>
                <w:sz w:val="22"/>
                <w:szCs w:val="22"/>
                <w:lang w:val="sk-SK"/>
              </w:rPr>
              <w:t>Laboratórne a</w:t>
            </w:r>
          </w:p>
          <w:p w14:paraId="77F063AC" w14:textId="39B03D9D" w:rsidR="004E64BA" w:rsidRPr="00534FB2" w:rsidRDefault="00BA2C09" w:rsidP="00BA2C09">
            <w:pPr>
              <w:rPr>
                <w:sz w:val="22"/>
                <w:szCs w:val="22"/>
                <w:lang w:val="sk-SK"/>
              </w:rPr>
            </w:pPr>
            <w:r w:rsidRPr="00534FB2">
              <w:rPr>
                <w:sz w:val="22"/>
                <w:szCs w:val="22"/>
                <w:lang w:val="sk-SK"/>
              </w:rPr>
              <w:t>funkčné vyšetrenia</w:t>
            </w:r>
          </w:p>
        </w:tc>
        <w:tc>
          <w:tcPr>
            <w:tcW w:w="1134" w:type="pct"/>
            <w:vAlign w:val="center"/>
          </w:tcPr>
          <w:p w14:paraId="5C2CBC30" w14:textId="5CA594B6" w:rsidR="004E64BA" w:rsidRPr="00534FB2" w:rsidRDefault="00BA2C09" w:rsidP="004E64BA">
            <w:pPr>
              <w:rPr>
                <w:sz w:val="22"/>
                <w:szCs w:val="22"/>
                <w:lang w:val="sk-SK"/>
              </w:rPr>
            </w:pPr>
            <w:r w:rsidRPr="00534FB2">
              <w:rPr>
                <w:sz w:val="22"/>
                <w:szCs w:val="22"/>
                <w:lang w:val="sk-SK"/>
              </w:rPr>
              <w:t xml:space="preserve">Zvýšenie </w:t>
            </w:r>
            <w:r w:rsidR="00F06972">
              <w:rPr>
                <w:sz w:val="22"/>
                <w:szCs w:val="22"/>
                <w:lang w:val="sk-SK"/>
              </w:rPr>
              <w:t xml:space="preserve">hladiny </w:t>
            </w:r>
            <w:r w:rsidRPr="00534FB2">
              <w:rPr>
                <w:sz w:val="22"/>
                <w:szCs w:val="22"/>
                <w:lang w:val="sk-SK"/>
              </w:rPr>
              <w:t>lipidov</w:t>
            </w:r>
          </w:p>
        </w:tc>
        <w:tc>
          <w:tcPr>
            <w:tcW w:w="786" w:type="pct"/>
            <w:vAlign w:val="center"/>
          </w:tcPr>
          <w:p w14:paraId="3B3C5D45"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15D3061F"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5B9E95DF"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DE87835" w14:textId="3DC44EAD" w:rsidR="004E64BA" w:rsidRPr="00534FB2" w:rsidRDefault="00BA2C09" w:rsidP="004E64BA">
            <w:pPr>
              <w:rPr>
                <w:sz w:val="22"/>
                <w:szCs w:val="22"/>
                <w:lang w:val="sk-SK"/>
              </w:rPr>
            </w:pPr>
            <w:r w:rsidRPr="00534FB2">
              <w:rPr>
                <w:sz w:val="22"/>
                <w:szCs w:val="22"/>
                <w:lang w:val="sk-SK"/>
              </w:rPr>
              <w:t>Veľmi časté</w:t>
            </w:r>
          </w:p>
        </w:tc>
      </w:tr>
      <w:tr w:rsidR="004E64BA" w:rsidRPr="00534FB2" w14:paraId="4B2B1DE3" w14:textId="77777777" w:rsidTr="000F0F4C">
        <w:trPr>
          <w:jc w:val="center"/>
        </w:trPr>
        <w:tc>
          <w:tcPr>
            <w:tcW w:w="829" w:type="pct"/>
            <w:vMerge/>
          </w:tcPr>
          <w:p w14:paraId="7D87CE52" w14:textId="77777777" w:rsidR="004E64BA" w:rsidRPr="00534FB2" w:rsidRDefault="004E64BA" w:rsidP="004E64BA">
            <w:pPr>
              <w:rPr>
                <w:sz w:val="22"/>
                <w:szCs w:val="22"/>
                <w:lang w:val="sk-SK"/>
              </w:rPr>
            </w:pPr>
          </w:p>
        </w:tc>
        <w:tc>
          <w:tcPr>
            <w:tcW w:w="1134" w:type="pct"/>
            <w:vAlign w:val="center"/>
          </w:tcPr>
          <w:p w14:paraId="05724D29" w14:textId="515E16C9" w:rsidR="00BA2C09" w:rsidRPr="00534FB2" w:rsidRDefault="00BA2C09" w:rsidP="00BA2C09">
            <w:pPr>
              <w:rPr>
                <w:sz w:val="22"/>
                <w:szCs w:val="22"/>
                <w:lang w:val="sk-SK"/>
              </w:rPr>
            </w:pPr>
            <w:r w:rsidRPr="00534FB2">
              <w:rPr>
                <w:sz w:val="22"/>
                <w:szCs w:val="22"/>
                <w:lang w:val="sk-SK"/>
              </w:rPr>
              <w:t xml:space="preserve">Zvýšenie </w:t>
            </w:r>
            <w:r w:rsidR="00F06972">
              <w:rPr>
                <w:sz w:val="22"/>
                <w:szCs w:val="22"/>
                <w:lang w:val="sk-SK"/>
              </w:rPr>
              <w:t xml:space="preserve">hladiny </w:t>
            </w:r>
            <w:r w:rsidRPr="00534FB2">
              <w:rPr>
                <w:sz w:val="22"/>
                <w:szCs w:val="22"/>
                <w:lang w:val="sk-SK"/>
              </w:rPr>
              <w:t>močovinového</w:t>
            </w:r>
          </w:p>
          <w:p w14:paraId="5E032A68" w14:textId="0D06DBF0" w:rsidR="004E64BA" w:rsidRPr="00534FB2" w:rsidRDefault="00BA2C09" w:rsidP="00BA2C09">
            <w:pPr>
              <w:rPr>
                <w:sz w:val="22"/>
                <w:szCs w:val="22"/>
                <w:lang w:val="sk-SK"/>
              </w:rPr>
            </w:pPr>
            <w:r w:rsidRPr="00534FB2">
              <w:rPr>
                <w:sz w:val="22"/>
                <w:szCs w:val="22"/>
                <w:lang w:val="sk-SK"/>
              </w:rPr>
              <w:t>dusíka v krvi</w:t>
            </w:r>
          </w:p>
        </w:tc>
        <w:tc>
          <w:tcPr>
            <w:tcW w:w="786" w:type="pct"/>
            <w:vAlign w:val="center"/>
          </w:tcPr>
          <w:p w14:paraId="3A7EB31F" w14:textId="47F429CF" w:rsidR="004E64BA" w:rsidRPr="00534FB2" w:rsidRDefault="00BA2C09" w:rsidP="004E64BA">
            <w:pPr>
              <w:rPr>
                <w:sz w:val="22"/>
                <w:szCs w:val="22"/>
                <w:lang w:val="sk-SK"/>
              </w:rPr>
            </w:pPr>
            <w:r w:rsidRPr="00534FB2">
              <w:rPr>
                <w:sz w:val="22"/>
                <w:szCs w:val="22"/>
                <w:lang w:val="sk-SK"/>
              </w:rPr>
              <w:t>Menej časté</w:t>
            </w:r>
          </w:p>
        </w:tc>
        <w:tc>
          <w:tcPr>
            <w:tcW w:w="786" w:type="pct"/>
            <w:vAlign w:val="center"/>
          </w:tcPr>
          <w:p w14:paraId="29AA6FD9"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0A91AB8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116E2FC4"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0BBCB6AE" w14:textId="77777777" w:rsidTr="000F0F4C">
        <w:trPr>
          <w:jc w:val="center"/>
        </w:trPr>
        <w:tc>
          <w:tcPr>
            <w:tcW w:w="829" w:type="pct"/>
            <w:vMerge/>
          </w:tcPr>
          <w:p w14:paraId="50266355" w14:textId="77777777" w:rsidR="004E64BA" w:rsidRPr="00534FB2" w:rsidRDefault="004E64BA" w:rsidP="004E64BA">
            <w:pPr>
              <w:rPr>
                <w:sz w:val="22"/>
                <w:szCs w:val="22"/>
                <w:lang w:val="sk-SK"/>
              </w:rPr>
            </w:pPr>
          </w:p>
        </w:tc>
        <w:tc>
          <w:tcPr>
            <w:tcW w:w="1134" w:type="pct"/>
            <w:vAlign w:val="center"/>
          </w:tcPr>
          <w:p w14:paraId="63C38BBE" w14:textId="77B32AE2" w:rsidR="00BA2C09" w:rsidRPr="00534FB2" w:rsidRDefault="00BA2C09" w:rsidP="00BA2C09">
            <w:pPr>
              <w:rPr>
                <w:sz w:val="22"/>
                <w:szCs w:val="22"/>
                <w:lang w:val="sk-SK"/>
              </w:rPr>
            </w:pPr>
            <w:r w:rsidRPr="00534FB2">
              <w:rPr>
                <w:sz w:val="22"/>
                <w:szCs w:val="22"/>
                <w:lang w:val="sk-SK"/>
              </w:rPr>
              <w:t xml:space="preserve">Zvýšenie </w:t>
            </w:r>
            <w:r w:rsidR="00F06972">
              <w:rPr>
                <w:sz w:val="22"/>
                <w:szCs w:val="22"/>
                <w:lang w:val="sk-SK"/>
              </w:rPr>
              <w:t xml:space="preserve">hladiny </w:t>
            </w:r>
            <w:r w:rsidRPr="00534FB2">
              <w:rPr>
                <w:sz w:val="22"/>
                <w:szCs w:val="22"/>
                <w:lang w:val="sk-SK"/>
              </w:rPr>
              <w:t>kyseliny</w:t>
            </w:r>
          </w:p>
          <w:p w14:paraId="6BBD93DC" w14:textId="5FD4F1B5" w:rsidR="004E64BA" w:rsidRPr="00534FB2" w:rsidRDefault="00BA2C09" w:rsidP="00BA2C09">
            <w:pPr>
              <w:rPr>
                <w:sz w:val="22"/>
                <w:szCs w:val="22"/>
                <w:lang w:val="sk-SK"/>
              </w:rPr>
            </w:pPr>
            <w:r w:rsidRPr="00534FB2">
              <w:rPr>
                <w:sz w:val="22"/>
                <w:szCs w:val="22"/>
                <w:lang w:val="sk-SK"/>
              </w:rPr>
              <w:t>močovej v krvi</w:t>
            </w:r>
          </w:p>
        </w:tc>
        <w:tc>
          <w:tcPr>
            <w:tcW w:w="786" w:type="pct"/>
            <w:vAlign w:val="center"/>
          </w:tcPr>
          <w:p w14:paraId="62DE52E9" w14:textId="56A3F333" w:rsidR="004E64BA" w:rsidRPr="00534FB2" w:rsidRDefault="00BA2C09" w:rsidP="004E64BA">
            <w:pPr>
              <w:rPr>
                <w:sz w:val="22"/>
                <w:szCs w:val="22"/>
                <w:lang w:val="sk-SK"/>
              </w:rPr>
            </w:pPr>
            <w:r w:rsidRPr="00534FB2">
              <w:rPr>
                <w:sz w:val="22"/>
                <w:szCs w:val="22"/>
                <w:lang w:val="sk-SK"/>
              </w:rPr>
              <w:t>Menej časté</w:t>
            </w:r>
          </w:p>
        </w:tc>
        <w:tc>
          <w:tcPr>
            <w:tcW w:w="786" w:type="pct"/>
            <w:vAlign w:val="center"/>
          </w:tcPr>
          <w:p w14:paraId="061F9561"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04B270D3"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4C9F062C"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27E86C43" w14:textId="77777777" w:rsidTr="000F0F4C">
        <w:trPr>
          <w:jc w:val="center"/>
        </w:trPr>
        <w:tc>
          <w:tcPr>
            <w:tcW w:w="829" w:type="pct"/>
            <w:vMerge/>
          </w:tcPr>
          <w:p w14:paraId="61B8EBE1" w14:textId="77777777" w:rsidR="004E64BA" w:rsidRPr="00534FB2" w:rsidRDefault="004E64BA" w:rsidP="004E64BA">
            <w:pPr>
              <w:rPr>
                <w:sz w:val="22"/>
                <w:szCs w:val="22"/>
                <w:lang w:val="sk-SK"/>
              </w:rPr>
            </w:pPr>
          </w:p>
        </w:tc>
        <w:tc>
          <w:tcPr>
            <w:tcW w:w="1134" w:type="pct"/>
            <w:vAlign w:val="center"/>
          </w:tcPr>
          <w:p w14:paraId="0E3DF933" w14:textId="48222318" w:rsidR="004E64BA" w:rsidRPr="00534FB2" w:rsidRDefault="004E64BA" w:rsidP="00BA2C09">
            <w:pPr>
              <w:rPr>
                <w:sz w:val="22"/>
                <w:szCs w:val="22"/>
                <w:lang w:val="sk-SK"/>
              </w:rPr>
            </w:pPr>
            <w:r w:rsidRPr="00534FB2">
              <w:rPr>
                <w:sz w:val="22"/>
                <w:szCs w:val="22"/>
                <w:lang w:val="sk-SK"/>
              </w:rPr>
              <w:t>Gly</w:t>
            </w:r>
            <w:r w:rsidR="00BA2C09" w:rsidRPr="00534FB2">
              <w:rPr>
                <w:sz w:val="22"/>
                <w:szCs w:val="22"/>
                <w:lang w:val="sk-SK"/>
              </w:rPr>
              <w:t>kozúria</w:t>
            </w:r>
          </w:p>
        </w:tc>
        <w:tc>
          <w:tcPr>
            <w:tcW w:w="786" w:type="pct"/>
            <w:vAlign w:val="center"/>
          </w:tcPr>
          <w:p w14:paraId="7A8DC090"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2B214681"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369A95CF"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637202F5" w14:textId="6DCACEFB" w:rsidR="004E64BA" w:rsidRPr="00534FB2" w:rsidRDefault="00BA2C09" w:rsidP="004E64BA">
            <w:pPr>
              <w:rPr>
                <w:sz w:val="22"/>
                <w:szCs w:val="22"/>
                <w:lang w:val="sk-SK"/>
              </w:rPr>
            </w:pPr>
            <w:r w:rsidRPr="00534FB2">
              <w:rPr>
                <w:sz w:val="22"/>
                <w:szCs w:val="22"/>
                <w:lang w:val="sk-SK"/>
              </w:rPr>
              <w:t>Zriedkavé</w:t>
            </w:r>
          </w:p>
        </w:tc>
      </w:tr>
      <w:tr w:rsidR="004E64BA" w:rsidRPr="00534FB2" w14:paraId="18663CD5" w14:textId="77777777" w:rsidTr="000F0F4C">
        <w:trPr>
          <w:jc w:val="center"/>
        </w:trPr>
        <w:tc>
          <w:tcPr>
            <w:tcW w:w="829" w:type="pct"/>
            <w:vMerge/>
          </w:tcPr>
          <w:p w14:paraId="1A8E1877" w14:textId="77777777" w:rsidR="004E64BA" w:rsidRPr="00534FB2" w:rsidRDefault="004E64BA" w:rsidP="004E64BA">
            <w:pPr>
              <w:rPr>
                <w:sz w:val="22"/>
                <w:szCs w:val="22"/>
                <w:lang w:val="sk-SK"/>
              </w:rPr>
            </w:pPr>
          </w:p>
        </w:tc>
        <w:tc>
          <w:tcPr>
            <w:tcW w:w="1134" w:type="pct"/>
            <w:vAlign w:val="center"/>
          </w:tcPr>
          <w:p w14:paraId="584D43B4" w14:textId="0DC5FE09" w:rsidR="004E64BA" w:rsidRPr="00534FB2" w:rsidRDefault="00BA2C09" w:rsidP="004E64BA">
            <w:pPr>
              <w:rPr>
                <w:sz w:val="22"/>
                <w:szCs w:val="22"/>
                <w:lang w:val="sk-SK"/>
              </w:rPr>
            </w:pPr>
            <w:r w:rsidRPr="00534FB2">
              <w:rPr>
                <w:sz w:val="22"/>
                <w:szCs w:val="22"/>
                <w:lang w:val="sk-SK"/>
              </w:rPr>
              <w:t>Znížen</w:t>
            </w:r>
            <w:r w:rsidR="00F06972">
              <w:rPr>
                <w:sz w:val="22"/>
                <w:szCs w:val="22"/>
                <w:lang w:val="sk-SK"/>
              </w:rPr>
              <w:t>á hladina</w:t>
            </w:r>
            <w:r w:rsidRPr="00534FB2">
              <w:rPr>
                <w:sz w:val="22"/>
                <w:szCs w:val="22"/>
                <w:lang w:val="sk-SK"/>
              </w:rPr>
              <w:t xml:space="preserve"> draslík</w:t>
            </w:r>
            <w:r w:rsidR="00F06972">
              <w:rPr>
                <w:sz w:val="22"/>
                <w:szCs w:val="22"/>
                <w:lang w:val="sk-SK"/>
              </w:rPr>
              <w:t>a</w:t>
            </w:r>
            <w:r w:rsidRPr="00534FB2">
              <w:rPr>
                <w:sz w:val="22"/>
                <w:szCs w:val="22"/>
                <w:lang w:val="sk-SK"/>
              </w:rPr>
              <w:t xml:space="preserve"> v krvi</w:t>
            </w:r>
          </w:p>
        </w:tc>
        <w:tc>
          <w:tcPr>
            <w:tcW w:w="786" w:type="pct"/>
            <w:vAlign w:val="center"/>
          </w:tcPr>
          <w:p w14:paraId="272B2C41" w14:textId="5A1C7BEC" w:rsidR="004E64BA" w:rsidRPr="00534FB2" w:rsidRDefault="00BA2C09" w:rsidP="004E64BA">
            <w:pPr>
              <w:rPr>
                <w:sz w:val="22"/>
                <w:szCs w:val="22"/>
                <w:lang w:val="sk-SK"/>
              </w:rPr>
            </w:pPr>
            <w:r w:rsidRPr="00534FB2">
              <w:rPr>
                <w:sz w:val="22"/>
                <w:szCs w:val="22"/>
                <w:lang w:val="sk-SK"/>
              </w:rPr>
              <w:t>Menej časté</w:t>
            </w:r>
          </w:p>
        </w:tc>
        <w:tc>
          <w:tcPr>
            <w:tcW w:w="786" w:type="pct"/>
            <w:vAlign w:val="center"/>
          </w:tcPr>
          <w:p w14:paraId="3E4D879D"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3F586F3F"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3EB09C3A"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3CB03BB7" w14:textId="77777777" w:rsidTr="000F0F4C">
        <w:trPr>
          <w:jc w:val="center"/>
        </w:trPr>
        <w:tc>
          <w:tcPr>
            <w:tcW w:w="829" w:type="pct"/>
            <w:vMerge/>
          </w:tcPr>
          <w:p w14:paraId="2538701A" w14:textId="77777777" w:rsidR="004E64BA" w:rsidRPr="00534FB2" w:rsidRDefault="004E64BA" w:rsidP="004E64BA">
            <w:pPr>
              <w:rPr>
                <w:sz w:val="22"/>
                <w:szCs w:val="22"/>
                <w:lang w:val="sk-SK"/>
              </w:rPr>
            </w:pPr>
          </w:p>
        </w:tc>
        <w:tc>
          <w:tcPr>
            <w:tcW w:w="1134" w:type="pct"/>
            <w:vAlign w:val="center"/>
          </w:tcPr>
          <w:p w14:paraId="01315C2F" w14:textId="7FAF695F" w:rsidR="004E64BA" w:rsidRPr="00534FB2" w:rsidRDefault="00BA2C09" w:rsidP="004E64BA">
            <w:pPr>
              <w:rPr>
                <w:sz w:val="22"/>
                <w:szCs w:val="22"/>
                <w:lang w:val="sk-SK"/>
              </w:rPr>
            </w:pPr>
            <w:r w:rsidRPr="00534FB2">
              <w:rPr>
                <w:sz w:val="22"/>
                <w:szCs w:val="22"/>
                <w:lang w:val="sk-SK"/>
              </w:rPr>
              <w:t>Zvýšen</w:t>
            </w:r>
            <w:r w:rsidR="00F06972">
              <w:rPr>
                <w:sz w:val="22"/>
                <w:szCs w:val="22"/>
                <w:lang w:val="sk-SK"/>
              </w:rPr>
              <w:t>á hladina</w:t>
            </w:r>
            <w:r w:rsidRPr="00534FB2">
              <w:rPr>
                <w:sz w:val="22"/>
                <w:szCs w:val="22"/>
                <w:lang w:val="sk-SK"/>
              </w:rPr>
              <w:t xml:space="preserve"> draslík</w:t>
            </w:r>
            <w:r w:rsidR="00F06972">
              <w:rPr>
                <w:sz w:val="22"/>
                <w:szCs w:val="22"/>
                <w:lang w:val="sk-SK"/>
              </w:rPr>
              <w:t>a</w:t>
            </w:r>
            <w:r w:rsidRPr="00534FB2">
              <w:rPr>
                <w:sz w:val="22"/>
                <w:szCs w:val="22"/>
                <w:lang w:val="sk-SK"/>
              </w:rPr>
              <w:t xml:space="preserve"> v krvi</w:t>
            </w:r>
          </w:p>
        </w:tc>
        <w:tc>
          <w:tcPr>
            <w:tcW w:w="786" w:type="pct"/>
            <w:vAlign w:val="center"/>
          </w:tcPr>
          <w:p w14:paraId="5DAA162B"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61215812" w14:textId="77777777" w:rsidR="004E64BA" w:rsidRPr="00534FB2" w:rsidRDefault="004E64BA" w:rsidP="004E64BA">
            <w:pPr>
              <w:rPr>
                <w:sz w:val="22"/>
                <w:szCs w:val="22"/>
                <w:lang w:val="sk-SK"/>
              </w:rPr>
            </w:pPr>
            <w:r w:rsidRPr="00534FB2">
              <w:rPr>
                <w:sz w:val="22"/>
                <w:szCs w:val="22"/>
                <w:lang w:val="sk-SK"/>
              </w:rPr>
              <w:t>-</w:t>
            </w:r>
          </w:p>
        </w:tc>
        <w:tc>
          <w:tcPr>
            <w:tcW w:w="708" w:type="pct"/>
            <w:vAlign w:val="center"/>
          </w:tcPr>
          <w:p w14:paraId="573C97C9" w14:textId="1FDB9732" w:rsidR="004E64BA" w:rsidRPr="00534FB2" w:rsidRDefault="00BA2C09" w:rsidP="004E64BA">
            <w:pPr>
              <w:rPr>
                <w:sz w:val="22"/>
                <w:szCs w:val="22"/>
                <w:lang w:val="sk-SK"/>
              </w:rPr>
            </w:pPr>
            <w:r w:rsidRPr="00534FB2">
              <w:rPr>
                <w:sz w:val="22"/>
                <w:szCs w:val="22"/>
                <w:lang w:val="sk-SK"/>
              </w:rPr>
              <w:t>Neznáme</w:t>
            </w:r>
          </w:p>
        </w:tc>
        <w:tc>
          <w:tcPr>
            <w:tcW w:w="757" w:type="pct"/>
            <w:vAlign w:val="center"/>
          </w:tcPr>
          <w:p w14:paraId="4A97CD6A"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0E924F0B" w14:textId="77777777" w:rsidTr="000F0F4C">
        <w:trPr>
          <w:jc w:val="center"/>
        </w:trPr>
        <w:tc>
          <w:tcPr>
            <w:tcW w:w="829" w:type="pct"/>
            <w:vMerge/>
          </w:tcPr>
          <w:p w14:paraId="4FEFBE03" w14:textId="77777777" w:rsidR="004E64BA" w:rsidRPr="00534FB2" w:rsidRDefault="004E64BA" w:rsidP="004E64BA">
            <w:pPr>
              <w:rPr>
                <w:sz w:val="22"/>
                <w:szCs w:val="22"/>
                <w:lang w:val="sk-SK"/>
              </w:rPr>
            </w:pPr>
          </w:p>
        </w:tc>
        <w:tc>
          <w:tcPr>
            <w:tcW w:w="1134" w:type="pct"/>
            <w:vAlign w:val="center"/>
          </w:tcPr>
          <w:p w14:paraId="27FA5625" w14:textId="77777777" w:rsidR="00BA2C09" w:rsidRPr="00534FB2" w:rsidRDefault="00BA2C09" w:rsidP="00BA2C09">
            <w:pPr>
              <w:rPr>
                <w:sz w:val="22"/>
                <w:szCs w:val="22"/>
                <w:lang w:val="sk-SK"/>
              </w:rPr>
            </w:pPr>
            <w:r w:rsidRPr="00534FB2">
              <w:rPr>
                <w:sz w:val="22"/>
                <w:szCs w:val="22"/>
                <w:lang w:val="sk-SK"/>
              </w:rPr>
              <w:t>Zvýšenie telesnej</w:t>
            </w:r>
          </w:p>
          <w:p w14:paraId="3B594D76" w14:textId="49C78B01" w:rsidR="004E64BA" w:rsidRPr="00534FB2" w:rsidRDefault="00BA2C09" w:rsidP="00BA2C09">
            <w:pPr>
              <w:rPr>
                <w:sz w:val="22"/>
                <w:szCs w:val="22"/>
                <w:lang w:val="sk-SK"/>
              </w:rPr>
            </w:pPr>
            <w:r w:rsidRPr="00534FB2">
              <w:rPr>
                <w:sz w:val="22"/>
                <w:szCs w:val="22"/>
                <w:lang w:val="sk-SK"/>
              </w:rPr>
              <w:t>hmotnosti</w:t>
            </w:r>
          </w:p>
        </w:tc>
        <w:tc>
          <w:tcPr>
            <w:tcW w:w="786" w:type="pct"/>
            <w:vAlign w:val="center"/>
          </w:tcPr>
          <w:p w14:paraId="6BFD6F92" w14:textId="333E0192" w:rsidR="004E64BA" w:rsidRPr="00534FB2" w:rsidRDefault="00BA2C09" w:rsidP="004E64BA">
            <w:pPr>
              <w:rPr>
                <w:sz w:val="22"/>
                <w:szCs w:val="22"/>
                <w:lang w:val="sk-SK"/>
              </w:rPr>
            </w:pPr>
            <w:r w:rsidRPr="00534FB2">
              <w:rPr>
                <w:sz w:val="22"/>
                <w:szCs w:val="22"/>
                <w:lang w:val="sk-SK"/>
              </w:rPr>
              <w:t>Menej časté</w:t>
            </w:r>
          </w:p>
        </w:tc>
        <w:tc>
          <w:tcPr>
            <w:tcW w:w="786" w:type="pct"/>
            <w:vAlign w:val="center"/>
          </w:tcPr>
          <w:p w14:paraId="74AE2DB8" w14:textId="664EE9B4" w:rsidR="004E64BA" w:rsidRPr="00534FB2" w:rsidRDefault="00BA2C09" w:rsidP="004E64BA">
            <w:pPr>
              <w:rPr>
                <w:sz w:val="22"/>
                <w:szCs w:val="22"/>
                <w:lang w:val="sk-SK"/>
              </w:rPr>
            </w:pPr>
            <w:r w:rsidRPr="00534FB2">
              <w:rPr>
                <w:sz w:val="22"/>
                <w:szCs w:val="22"/>
                <w:lang w:val="sk-SK"/>
              </w:rPr>
              <w:t>Menej časté</w:t>
            </w:r>
          </w:p>
        </w:tc>
        <w:tc>
          <w:tcPr>
            <w:tcW w:w="708" w:type="pct"/>
            <w:vAlign w:val="center"/>
          </w:tcPr>
          <w:p w14:paraId="591CEB72"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45815B24" w14:textId="77777777" w:rsidR="004E64BA" w:rsidRPr="00534FB2" w:rsidRDefault="004E64BA" w:rsidP="004E64BA">
            <w:pPr>
              <w:rPr>
                <w:sz w:val="22"/>
                <w:szCs w:val="22"/>
                <w:lang w:val="sk-SK"/>
              </w:rPr>
            </w:pPr>
            <w:r w:rsidRPr="00534FB2">
              <w:rPr>
                <w:sz w:val="22"/>
                <w:szCs w:val="22"/>
                <w:lang w:val="sk-SK"/>
              </w:rPr>
              <w:t>-</w:t>
            </w:r>
          </w:p>
        </w:tc>
      </w:tr>
      <w:tr w:rsidR="004E64BA" w:rsidRPr="00534FB2" w14:paraId="33B3943C" w14:textId="77777777" w:rsidTr="000F0F4C">
        <w:trPr>
          <w:jc w:val="center"/>
        </w:trPr>
        <w:tc>
          <w:tcPr>
            <w:tcW w:w="829" w:type="pct"/>
            <w:vMerge/>
          </w:tcPr>
          <w:p w14:paraId="1DEF201B" w14:textId="77777777" w:rsidR="004E64BA" w:rsidRPr="00534FB2" w:rsidRDefault="004E64BA" w:rsidP="004E64BA">
            <w:pPr>
              <w:rPr>
                <w:sz w:val="22"/>
                <w:szCs w:val="22"/>
                <w:lang w:val="sk-SK"/>
              </w:rPr>
            </w:pPr>
          </w:p>
        </w:tc>
        <w:tc>
          <w:tcPr>
            <w:tcW w:w="1134" w:type="pct"/>
            <w:vAlign w:val="center"/>
          </w:tcPr>
          <w:p w14:paraId="550B1305" w14:textId="77777777" w:rsidR="00BA2C09" w:rsidRPr="00534FB2" w:rsidRDefault="00BA2C09" w:rsidP="00BA2C09">
            <w:pPr>
              <w:rPr>
                <w:sz w:val="22"/>
                <w:szCs w:val="22"/>
                <w:lang w:val="sk-SK"/>
              </w:rPr>
            </w:pPr>
            <w:r w:rsidRPr="00534FB2">
              <w:rPr>
                <w:sz w:val="22"/>
                <w:szCs w:val="22"/>
                <w:lang w:val="sk-SK"/>
              </w:rPr>
              <w:t>Zníženie telesnej</w:t>
            </w:r>
          </w:p>
          <w:p w14:paraId="79AF6DBE" w14:textId="24E5805C" w:rsidR="004E64BA" w:rsidRPr="00534FB2" w:rsidRDefault="00BA2C09" w:rsidP="00BA2C09">
            <w:pPr>
              <w:rPr>
                <w:sz w:val="22"/>
                <w:szCs w:val="22"/>
                <w:lang w:val="sk-SK"/>
              </w:rPr>
            </w:pPr>
            <w:r w:rsidRPr="00534FB2">
              <w:rPr>
                <w:sz w:val="22"/>
                <w:szCs w:val="22"/>
                <w:lang w:val="sk-SK"/>
              </w:rPr>
              <w:t>hmotnosti</w:t>
            </w:r>
          </w:p>
        </w:tc>
        <w:tc>
          <w:tcPr>
            <w:tcW w:w="786" w:type="pct"/>
            <w:vAlign w:val="center"/>
          </w:tcPr>
          <w:p w14:paraId="5A120C3B" w14:textId="77777777" w:rsidR="004E64BA" w:rsidRPr="00534FB2" w:rsidRDefault="004E64BA" w:rsidP="004E64BA">
            <w:pPr>
              <w:rPr>
                <w:sz w:val="22"/>
                <w:szCs w:val="22"/>
                <w:lang w:val="sk-SK"/>
              </w:rPr>
            </w:pPr>
            <w:r w:rsidRPr="00534FB2">
              <w:rPr>
                <w:sz w:val="22"/>
                <w:szCs w:val="22"/>
                <w:lang w:val="sk-SK"/>
              </w:rPr>
              <w:t>-</w:t>
            </w:r>
          </w:p>
        </w:tc>
        <w:tc>
          <w:tcPr>
            <w:tcW w:w="786" w:type="pct"/>
            <w:vAlign w:val="center"/>
          </w:tcPr>
          <w:p w14:paraId="016C172B" w14:textId="5EE26F46" w:rsidR="004E64BA" w:rsidRPr="00534FB2" w:rsidRDefault="00BA2C09" w:rsidP="004E64BA">
            <w:pPr>
              <w:rPr>
                <w:sz w:val="22"/>
                <w:szCs w:val="22"/>
                <w:lang w:val="sk-SK"/>
              </w:rPr>
            </w:pPr>
            <w:r w:rsidRPr="00534FB2">
              <w:rPr>
                <w:sz w:val="22"/>
                <w:szCs w:val="22"/>
                <w:lang w:val="sk-SK"/>
              </w:rPr>
              <w:t>Menej časté</w:t>
            </w:r>
          </w:p>
        </w:tc>
        <w:tc>
          <w:tcPr>
            <w:tcW w:w="708" w:type="pct"/>
            <w:vAlign w:val="center"/>
          </w:tcPr>
          <w:p w14:paraId="2AC17708" w14:textId="77777777" w:rsidR="004E64BA" w:rsidRPr="00534FB2" w:rsidRDefault="004E64BA" w:rsidP="004E64BA">
            <w:pPr>
              <w:rPr>
                <w:sz w:val="22"/>
                <w:szCs w:val="22"/>
                <w:lang w:val="sk-SK"/>
              </w:rPr>
            </w:pPr>
            <w:r w:rsidRPr="00534FB2">
              <w:rPr>
                <w:sz w:val="22"/>
                <w:szCs w:val="22"/>
                <w:lang w:val="sk-SK"/>
              </w:rPr>
              <w:t>-</w:t>
            </w:r>
          </w:p>
        </w:tc>
        <w:tc>
          <w:tcPr>
            <w:tcW w:w="757" w:type="pct"/>
            <w:vAlign w:val="center"/>
          </w:tcPr>
          <w:p w14:paraId="5B004067" w14:textId="77777777" w:rsidR="004E64BA" w:rsidRPr="00534FB2" w:rsidRDefault="004E64BA" w:rsidP="004E64BA">
            <w:pPr>
              <w:rPr>
                <w:sz w:val="22"/>
                <w:szCs w:val="22"/>
                <w:lang w:val="sk-SK"/>
              </w:rPr>
            </w:pPr>
            <w:r w:rsidRPr="00534FB2">
              <w:rPr>
                <w:sz w:val="22"/>
                <w:szCs w:val="22"/>
                <w:lang w:val="sk-SK"/>
              </w:rPr>
              <w:t>-</w:t>
            </w:r>
          </w:p>
        </w:tc>
      </w:tr>
    </w:tbl>
    <w:p w14:paraId="0B4A97AB" w14:textId="77777777" w:rsidR="00113219" w:rsidRPr="00534FB2" w:rsidRDefault="00113219" w:rsidP="00134CBE">
      <w:pPr>
        <w:rPr>
          <w:sz w:val="22"/>
          <w:szCs w:val="22"/>
          <w:lang w:val="sk-SK"/>
        </w:rPr>
      </w:pPr>
    </w:p>
    <w:p w14:paraId="47A934BE" w14:textId="5DDE7AF1" w:rsidR="00113219" w:rsidRPr="00534FB2" w:rsidRDefault="00E338F0" w:rsidP="00134CBE">
      <w:pPr>
        <w:rPr>
          <w:sz w:val="22"/>
          <w:szCs w:val="22"/>
          <w:lang w:val="sk-SK"/>
        </w:rPr>
      </w:pPr>
      <w:r w:rsidRPr="00534FB2">
        <w:rPr>
          <w:sz w:val="22"/>
          <w:szCs w:val="22"/>
          <w:lang w:val="sk-SK"/>
        </w:rPr>
        <w:t>*</w:t>
      </w:r>
      <w:r w:rsidRPr="00534FB2">
        <w:rPr>
          <w:sz w:val="22"/>
          <w:szCs w:val="22"/>
          <w:lang w:val="sk-SK"/>
        </w:rPr>
        <w:tab/>
      </w:r>
      <w:r w:rsidR="00BA2C09" w:rsidRPr="00534FB2">
        <w:rPr>
          <w:sz w:val="22"/>
          <w:szCs w:val="22"/>
          <w:lang w:val="sk-SK"/>
        </w:rPr>
        <w:t>Pozri časť 4.4 Fotosenzitivita</w:t>
      </w:r>
    </w:p>
    <w:p w14:paraId="14C6030A" w14:textId="433A056E" w:rsidR="00E338F0" w:rsidRPr="00534FB2" w:rsidRDefault="00E338F0" w:rsidP="00134CBE">
      <w:pPr>
        <w:rPr>
          <w:sz w:val="22"/>
          <w:szCs w:val="22"/>
          <w:lang w:val="sk-SK"/>
        </w:rPr>
      </w:pPr>
      <w:r w:rsidRPr="00534FB2">
        <w:rPr>
          <w:sz w:val="22"/>
          <w:szCs w:val="22"/>
          <w:lang w:val="sk-SK"/>
        </w:rPr>
        <w:t>**</w:t>
      </w:r>
      <w:r w:rsidRPr="00534FB2">
        <w:rPr>
          <w:sz w:val="22"/>
          <w:szCs w:val="22"/>
          <w:lang w:val="sk-SK"/>
        </w:rPr>
        <w:tab/>
      </w:r>
      <w:r w:rsidR="00BA2C09" w:rsidRPr="00534FB2">
        <w:rPr>
          <w:sz w:val="22"/>
          <w:szCs w:val="22"/>
          <w:lang w:val="sk-SK"/>
        </w:rPr>
        <w:t>Najčastejšie charakteru cholestázy</w:t>
      </w:r>
    </w:p>
    <w:p w14:paraId="23EF1C63" w14:textId="77777777" w:rsidR="00BA2C09" w:rsidRPr="00534FB2" w:rsidRDefault="00BA2C09" w:rsidP="00134CBE">
      <w:pPr>
        <w:rPr>
          <w:sz w:val="22"/>
          <w:szCs w:val="22"/>
          <w:lang w:val="sk-SK"/>
        </w:rPr>
      </w:pPr>
    </w:p>
    <w:p w14:paraId="7CB72D70" w14:textId="6134AB5D" w:rsidR="00DE220E" w:rsidRPr="00534FB2" w:rsidRDefault="00B00DFA" w:rsidP="00134CBE">
      <w:pPr>
        <w:rPr>
          <w:sz w:val="22"/>
          <w:szCs w:val="22"/>
          <w:u w:val="single"/>
          <w:lang w:val="sk-SK"/>
        </w:rPr>
      </w:pPr>
      <w:r w:rsidRPr="00534FB2">
        <w:rPr>
          <w:sz w:val="22"/>
          <w:szCs w:val="22"/>
          <w:u w:val="single"/>
          <w:lang w:val="sk-SK"/>
        </w:rPr>
        <w:t>Opis vybraných nežiaducich reakcií</w:t>
      </w:r>
    </w:p>
    <w:p w14:paraId="28FD42A0" w14:textId="77777777" w:rsidR="00B00DFA" w:rsidRPr="00534FB2" w:rsidRDefault="00B00DFA" w:rsidP="00B00DFA">
      <w:pPr>
        <w:rPr>
          <w:sz w:val="22"/>
          <w:szCs w:val="22"/>
          <w:lang w:val="sk-SK"/>
        </w:rPr>
      </w:pPr>
      <w:r w:rsidRPr="00534FB2">
        <w:rPr>
          <w:sz w:val="22"/>
          <w:szCs w:val="22"/>
          <w:lang w:val="sk-SK"/>
        </w:rPr>
        <w:t>Nemelanómová rakovina kože: Na základe dostupných údajov z epidemiologických štúdií sa</w:t>
      </w:r>
    </w:p>
    <w:p w14:paraId="3C0B83AF" w14:textId="152572D2" w:rsidR="00DE220E" w:rsidRPr="00534FB2" w:rsidRDefault="00B00DFA" w:rsidP="00B00DFA">
      <w:pPr>
        <w:rPr>
          <w:sz w:val="22"/>
          <w:szCs w:val="22"/>
          <w:lang w:val="sk-SK"/>
        </w:rPr>
      </w:pPr>
      <w:r w:rsidRPr="00534FB2">
        <w:rPr>
          <w:sz w:val="22"/>
          <w:szCs w:val="22"/>
          <w:lang w:val="sk-SK"/>
        </w:rPr>
        <w:t>pozorovala súvislosť medzi hydrochl</w:t>
      </w:r>
      <w:r w:rsidR="00C86DEB">
        <w:rPr>
          <w:sz w:val="22"/>
          <w:szCs w:val="22"/>
          <w:lang w:val="sk-SK"/>
        </w:rPr>
        <w:t>ó</w:t>
      </w:r>
      <w:r w:rsidRPr="00534FB2">
        <w:rPr>
          <w:sz w:val="22"/>
          <w:szCs w:val="22"/>
          <w:lang w:val="sk-SK"/>
        </w:rPr>
        <w:t>rtiazidom a NMSC v závislosti od kumulatívnej dávky (pozri tiež časti 4.4 a 5.1).</w:t>
      </w:r>
    </w:p>
    <w:p w14:paraId="102E5FF8" w14:textId="77777777" w:rsidR="00B00DFA" w:rsidRPr="00534FB2" w:rsidRDefault="00B00DFA" w:rsidP="00B00DFA">
      <w:pPr>
        <w:rPr>
          <w:sz w:val="22"/>
          <w:szCs w:val="22"/>
          <w:lang w:val="sk-SK"/>
        </w:rPr>
      </w:pPr>
    </w:p>
    <w:p w14:paraId="0B6F5D38" w14:textId="6F480538" w:rsidR="004D113C" w:rsidRPr="00534FB2" w:rsidRDefault="00B00DFA" w:rsidP="00134CBE">
      <w:pPr>
        <w:rPr>
          <w:sz w:val="22"/>
          <w:szCs w:val="22"/>
          <w:u w:val="single"/>
          <w:lang w:val="sk-SK"/>
        </w:rPr>
      </w:pPr>
      <w:r w:rsidRPr="00534FB2">
        <w:rPr>
          <w:sz w:val="22"/>
          <w:szCs w:val="22"/>
          <w:u w:val="single"/>
          <w:lang w:val="sk-SK"/>
        </w:rPr>
        <w:t>Hlásenie podozrení na nežiaduce reakcie</w:t>
      </w:r>
    </w:p>
    <w:p w14:paraId="4273144D" w14:textId="77777777" w:rsidR="00B00DFA" w:rsidRPr="00534FB2" w:rsidRDefault="00B00DFA" w:rsidP="00B00DFA">
      <w:pPr>
        <w:rPr>
          <w:sz w:val="22"/>
          <w:szCs w:val="22"/>
          <w:lang w:val="sk-SK"/>
        </w:rPr>
      </w:pPr>
      <w:r w:rsidRPr="00534FB2">
        <w:rPr>
          <w:sz w:val="22"/>
          <w:szCs w:val="22"/>
          <w:lang w:val="sk-SK"/>
        </w:rPr>
        <w:t>Hlásenie podozrení na nežiaduce reakcie po registrácii lieku je dôležité. Umožňuje priebežné</w:t>
      </w:r>
    </w:p>
    <w:p w14:paraId="4A57E4DE" w14:textId="17F3C245" w:rsidR="004D113C" w:rsidRPr="00534FB2" w:rsidRDefault="00B00DFA" w:rsidP="00B00DFA">
      <w:pPr>
        <w:rPr>
          <w:sz w:val="22"/>
          <w:szCs w:val="22"/>
          <w:lang w:val="sk-SK"/>
        </w:rPr>
      </w:pPr>
      <w:r w:rsidRPr="00534FB2">
        <w:rPr>
          <w:sz w:val="22"/>
          <w:szCs w:val="22"/>
          <w:lang w:val="sk-SK"/>
        </w:rPr>
        <w:t xml:space="preserve">monitorovanie pomeru prínosu a rizika lieku. Od zdravotníckych pracovníkov sa vyžaduje, aby hlásili akékoľvek podozrenia na nežiaduce reakcie na </w:t>
      </w:r>
      <w:r w:rsidRPr="00534FB2">
        <w:rPr>
          <w:sz w:val="22"/>
          <w:szCs w:val="22"/>
          <w:highlight w:val="lightGray"/>
          <w:lang w:val="sk-SK"/>
        </w:rPr>
        <w:t>národné centrum hlásenia uvedené v</w:t>
      </w:r>
      <w:r w:rsidRPr="00534FB2">
        <w:rPr>
          <w:color w:val="0000FF"/>
          <w:sz w:val="22"/>
          <w:szCs w:val="22"/>
          <w:highlight w:val="lightGray"/>
          <w:u w:val="single"/>
          <w:lang w:val="sk-SK"/>
        </w:rPr>
        <w:t xml:space="preserve"> Prílohe V</w:t>
      </w:r>
      <w:hyperlink r:id="rId8">
        <w:r w:rsidR="004D113C" w:rsidRPr="00534FB2">
          <w:rPr>
            <w:rStyle w:val="Hypertextovprepojenie"/>
            <w:sz w:val="22"/>
            <w:szCs w:val="22"/>
            <w:highlight w:val="lightGray"/>
            <w:lang w:val="sk-SK"/>
          </w:rPr>
          <w:t>.</w:t>
        </w:r>
      </w:hyperlink>
      <w:r w:rsidR="004D113C" w:rsidRPr="00534FB2">
        <w:rPr>
          <w:sz w:val="22"/>
          <w:szCs w:val="22"/>
          <w:lang w:val="sk-SK"/>
        </w:rPr>
        <w:t xml:space="preserve"> </w:t>
      </w:r>
    </w:p>
    <w:p w14:paraId="30AA13E4" w14:textId="77777777" w:rsidR="001F011B" w:rsidRPr="00534FB2" w:rsidRDefault="001F011B" w:rsidP="00134CBE">
      <w:pPr>
        <w:rPr>
          <w:sz w:val="22"/>
          <w:szCs w:val="22"/>
        </w:rPr>
      </w:pPr>
    </w:p>
    <w:p w14:paraId="2F5771DB" w14:textId="3AC17189" w:rsidR="004D113C" w:rsidRPr="00534FB2" w:rsidRDefault="00B00DFA" w:rsidP="00B00DFA">
      <w:pPr>
        <w:pStyle w:val="Odsekzoznamu"/>
        <w:numPr>
          <w:ilvl w:val="1"/>
          <w:numId w:val="1"/>
        </w:numPr>
        <w:ind w:left="567" w:hanging="567"/>
        <w:rPr>
          <w:b/>
          <w:sz w:val="22"/>
          <w:szCs w:val="22"/>
          <w:lang w:val="sk-SK"/>
        </w:rPr>
      </w:pPr>
      <w:r w:rsidRPr="00534FB2">
        <w:rPr>
          <w:b/>
          <w:sz w:val="22"/>
          <w:szCs w:val="22"/>
          <w:lang w:val="sk-SK"/>
        </w:rPr>
        <w:t>Predávkovanie</w:t>
      </w:r>
    </w:p>
    <w:p w14:paraId="48B79AA7" w14:textId="77777777" w:rsidR="004D113C" w:rsidRPr="00534FB2" w:rsidRDefault="004D113C" w:rsidP="00134CBE">
      <w:pPr>
        <w:pStyle w:val="Odsekzoznamu"/>
        <w:ind w:left="0"/>
        <w:rPr>
          <w:b/>
          <w:sz w:val="22"/>
          <w:szCs w:val="22"/>
          <w:lang w:val="sk-SK"/>
        </w:rPr>
      </w:pPr>
    </w:p>
    <w:p w14:paraId="46B4C612" w14:textId="41FA3F44" w:rsidR="0043633E" w:rsidRPr="00534FB2" w:rsidRDefault="002F0210" w:rsidP="00134CBE">
      <w:pPr>
        <w:rPr>
          <w:sz w:val="22"/>
          <w:szCs w:val="22"/>
          <w:u w:val="single"/>
          <w:lang w:val="sk-SK"/>
        </w:rPr>
      </w:pPr>
      <w:r w:rsidRPr="00534FB2">
        <w:rPr>
          <w:sz w:val="22"/>
          <w:szCs w:val="22"/>
          <w:u w:val="single"/>
          <w:lang w:val="sk-SK"/>
        </w:rPr>
        <w:t>Symptómy</w:t>
      </w:r>
    </w:p>
    <w:p w14:paraId="708D2517" w14:textId="70D8E6EC" w:rsidR="00E338F0" w:rsidRPr="00534FB2" w:rsidRDefault="002F0210" w:rsidP="002F0210">
      <w:pPr>
        <w:rPr>
          <w:sz w:val="22"/>
          <w:szCs w:val="22"/>
          <w:lang w:val="sk-SK"/>
        </w:rPr>
      </w:pPr>
      <w:r w:rsidRPr="00534FB2">
        <w:rPr>
          <w:sz w:val="22"/>
          <w:szCs w:val="22"/>
          <w:lang w:val="sk-SK"/>
        </w:rPr>
        <w:t>S predávkovaním amlodipínom/valsartanom/hydrochl</w:t>
      </w:r>
      <w:r w:rsidR="00C86DEB">
        <w:rPr>
          <w:sz w:val="22"/>
          <w:szCs w:val="22"/>
          <w:lang w:val="sk-SK"/>
        </w:rPr>
        <w:t>ó</w:t>
      </w:r>
      <w:r w:rsidRPr="00534FB2">
        <w:rPr>
          <w:sz w:val="22"/>
          <w:szCs w:val="22"/>
          <w:lang w:val="sk-SK"/>
        </w:rPr>
        <w:t>rtiazidom nie sú skúsenosti. Hlavným príznakom predávkovania valsartan</w:t>
      </w:r>
      <w:r w:rsidR="004F0B2B">
        <w:rPr>
          <w:sz w:val="22"/>
          <w:szCs w:val="22"/>
          <w:lang w:val="sk-SK"/>
        </w:rPr>
        <w:t>om</w:t>
      </w:r>
      <w:r w:rsidRPr="00534FB2">
        <w:rPr>
          <w:sz w:val="22"/>
          <w:szCs w:val="22"/>
          <w:lang w:val="sk-SK"/>
        </w:rPr>
        <w:t xml:space="preserve"> je </w:t>
      </w:r>
      <w:r w:rsidR="004F0B2B">
        <w:rPr>
          <w:sz w:val="22"/>
          <w:szCs w:val="22"/>
          <w:lang w:val="sk-SK"/>
        </w:rPr>
        <w:t>pravdepodobne</w:t>
      </w:r>
      <w:r w:rsidRPr="00534FB2">
        <w:rPr>
          <w:sz w:val="22"/>
          <w:szCs w:val="22"/>
          <w:lang w:val="sk-SK"/>
        </w:rPr>
        <w:t xml:space="preserve"> výrazná hypotenzia so závratmi. Predávkovanie amlodipínu môže mať za následok nadmernú periférnu vazodilatáciu a </w:t>
      </w:r>
      <w:r w:rsidR="004F0B2B">
        <w:rPr>
          <w:sz w:val="22"/>
          <w:szCs w:val="22"/>
          <w:lang w:val="sk-SK"/>
        </w:rPr>
        <w:t>prípadne</w:t>
      </w:r>
      <w:r w:rsidRPr="00534FB2">
        <w:rPr>
          <w:sz w:val="22"/>
          <w:szCs w:val="22"/>
          <w:lang w:val="sk-SK"/>
        </w:rPr>
        <w:t xml:space="preserve"> reflexnú tachykardiu. Pri amlodipíne bola hlásená výrazná a potenciálne dlhodobá systémová hypotenzia vrátane šoku končiaceho sa smrťou.</w:t>
      </w:r>
    </w:p>
    <w:p w14:paraId="2177E4D1" w14:textId="77777777" w:rsidR="002F0210" w:rsidRPr="00534FB2" w:rsidRDefault="002F0210" w:rsidP="002F0210">
      <w:pPr>
        <w:rPr>
          <w:sz w:val="22"/>
          <w:szCs w:val="22"/>
          <w:lang w:val="sk-SK"/>
        </w:rPr>
      </w:pPr>
    </w:p>
    <w:p w14:paraId="71D4E67A" w14:textId="20798568" w:rsidR="00E338F0" w:rsidRPr="00534FB2" w:rsidRDefault="002F0210" w:rsidP="00134CBE">
      <w:pPr>
        <w:rPr>
          <w:sz w:val="22"/>
          <w:szCs w:val="22"/>
          <w:u w:val="single"/>
          <w:lang w:val="sk-SK"/>
        </w:rPr>
      </w:pPr>
      <w:r w:rsidRPr="00534FB2">
        <w:rPr>
          <w:sz w:val="22"/>
          <w:szCs w:val="22"/>
          <w:u w:val="single"/>
          <w:lang w:val="sk-SK"/>
        </w:rPr>
        <w:t>Liečba</w:t>
      </w:r>
    </w:p>
    <w:p w14:paraId="3FD440AD" w14:textId="77777777" w:rsidR="004E64BA" w:rsidRPr="00534FB2" w:rsidRDefault="004E64BA" w:rsidP="00134CBE">
      <w:pPr>
        <w:rPr>
          <w:sz w:val="22"/>
          <w:szCs w:val="22"/>
          <w:u w:val="single"/>
          <w:lang w:val="sk-SK"/>
        </w:rPr>
      </w:pPr>
    </w:p>
    <w:p w14:paraId="0F9AD1BB" w14:textId="7FE4A558" w:rsidR="00E338F0" w:rsidRPr="00534FB2" w:rsidRDefault="002F0210" w:rsidP="00134CBE">
      <w:pPr>
        <w:rPr>
          <w:i/>
          <w:sz w:val="22"/>
          <w:szCs w:val="22"/>
          <w:u w:val="single"/>
          <w:lang w:val="sk-SK"/>
        </w:rPr>
      </w:pPr>
      <w:r w:rsidRPr="00534FB2">
        <w:rPr>
          <w:i/>
          <w:sz w:val="22"/>
          <w:szCs w:val="22"/>
          <w:u w:val="single"/>
          <w:lang w:val="sk-SK"/>
        </w:rPr>
        <w:t>Amlodipín</w:t>
      </w:r>
      <w:r w:rsidR="00E338F0" w:rsidRPr="00534FB2">
        <w:rPr>
          <w:i/>
          <w:sz w:val="22"/>
          <w:szCs w:val="22"/>
          <w:u w:val="single"/>
          <w:lang w:val="sk-SK"/>
        </w:rPr>
        <w:t>/</w:t>
      </w:r>
      <w:r w:rsidR="009577E0" w:rsidRPr="00534FB2">
        <w:rPr>
          <w:i/>
          <w:sz w:val="22"/>
          <w:szCs w:val="22"/>
          <w:u w:val="single"/>
          <w:lang w:val="sk-SK"/>
        </w:rPr>
        <w:t>v</w:t>
      </w:r>
      <w:r w:rsidR="00E338F0" w:rsidRPr="00534FB2">
        <w:rPr>
          <w:i/>
          <w:sz w:val="22"/>
          <w:szCs w:val="22"/>
          <w:u w:val="single"/>
          <w:lang w:val="sk-SK"/>
        </w:rPr>
        <w:t>alsartan/</w:t>
      </w:r>
      <w:r w:rsidR="009577E0" w:rsidRPr="00534FB2">
        <w:rPr>
          <w:i/>
          <w:sz w:val="22"/>
          <w:szCs w:val="22"/>
          <w:u w:val="single"/>
          <w:lang w:val="sk-SK"/>
        </w:rPr>
        <w:t>h</w:t>
      </w:r>
      <w:r w:rsidRPr="00534FB2">
        <w:rPr>
          <w:i/>
          <w:sz w:val="22"/>
          <w:szCs w:val="22"/>
          <w:u w:val="single"/>
          <w:lang w:val="sk-SK"/>
        </w:rPr>
        <w:t>ydrochl</w:t>
      </w:r>
      <w:r w:rsidR="000514B9">
        <w:rPr>
          <w:i/>
          <w:sz w:val="22"/>
          <w:szCs w:val="22"/>
          <w:u w:val="single"/>
          <w:lang w:val="sk-SK"/>
        </w:rPr>
        <w:t>ó</w:t>
      </w:r>
      <w:r w:rsidRPr="00534FB2">
        <w:rPr>
          <w:i/>
          <w:sz w:val="22"/>
          <w:szCs w:val="22"/>
          <w:u w:val="single"/>
          <w:lang w:val="sk-SK"/>
        </w:rPr>
        <w:t>rtiazid</w:t>
      </w:r>
    </w:p>
    <w:p w14:paraId="012A50F5" w14:textId="207892FA" w:rsidR="00E338F0" w:rsidRPr="00534FB2" w:rsidRDefault="002F0210" w:rsidP="002F0210">
      <w:pPr>
        <w:rPr>
          <w:sz w:val="22"/>
          <w:szCs w:val="22"/>
          <w:lang w:val="sk-SK"/>
        </w:rPr>
      </w:pPr>
      <w:r w:rsidRPr="00534FB2">
        <w:rPr>
          <w:sz w:val="22"/>
          <w:szCs w:val="22"/>
          <w:lang w:val="sk-SK"/>
        </w:rPr>
        <w:t>Klinicky významná hypotenzia spôsobená predávkovaním amlodipínom/valsartanom/hydrochl</w:t>
      </w:r>
      <w:r w:rsidR="000514B9">
        <w:rPr>
          <w:sz w:val="22"/>
          <w:szCs w:val="22"/>
          <w:lang w:val="sk-SK"/>
        </w:rPr>
        <w:t>ó</w:t>
      </w:r>
      <w:r w:rsidRPr="00534FB2">
        <w:rPr>
          <w:sz w:val="22"/>
          <w:szCs w:val="22"/>
          <w:lang w:val="sk-SK"/>
        </w:rPr>
        <w:t xml:space="preserve">rtiazidom vyžaduje aktívnu kardiovaskulárnu podpornú liečbu, vrátane častého monitorovania funkcie srdca a dýchania, vyvýšenia končatín a sledovania objemu cirkulujúcich tekutín a vylučovania moču. Pri obnovení cievneho tonusu a krvného tlaku môže pomôcť vazokonstrikčná látka za predpokladu, že jej podanie nie je kontraindikované. Intravenózne podanie glukonátu </w:t>
      </w:r>
      <w:r w:rsidR="00BE3121">
        <w:rPr>
          <w:sz w:val="22"/>
          <w:szCs w:val="22"/>
          <w:lang w:val="sk-SK"/>
        </w:rPr>
        <w:t xml:space="preserve">vápenatého </w:t>
      </w:r>
      <w:r w:rsidRPr="00534FB2">
        <w:rPr>
          <w:sz w:val="22"/>
          <w:szCs w:val="22"/>
          <w:lang w:val="sk-SK"/>
        </w:rPr>
        <w:t xml:space="preserve">môže byť prospešné pri zvrátení účinkov blokády </w:t>
      </w:r>
      <w:r w:rsidR="00BE3121">
        <w:rPr>
          <w:sz w:val="22"/>
          <w:szCs w:val="22"/>
          <w:lang w:val="sk-SK"/>
        </w:rPr>
        <w:t>vápnik</w:t>
      </w:r>
      <w:r w:rsidRPr="00534FB2">
        <w:rPr>
          <w:sz w:val="22"/>
          <w:szCs w:val="22"/>
          <w:lang w:val="sk-SK"/>
        </w:rPr>
        <w:t>ových kanálov.</w:t>
      </w:r>
    </w:p>
    <w:p w14:paraId="2A0124C4" w14:textId="77777777" w:rsidR="002F0210" w:rsidRPr="00534FB2" w:rsidRDefault="002F0210" w:rsidP="002F0210">
      <w:pPr>
        <w:rPr>
          <w:sz w:val="22"/>
          <w:szCs w:val="22"/>
          <w:lang w:val="sk-SK"/>
        </w:rPr>
      </w:pPr>
    </w:p>
    <w:p w14:paraId="4F707921" w14:textId="47E1AECC" w:rsidR="00E338F0" w:rsidRPr="00534FB2" w:rsidRDefault="002F0210" w:rsidP="00134CBE">
      <w:pPr>
        <w:rPr>
          <w:i/>
          <w:sz w:val="22"/>
          <w:szCs w:val="22"/>
          <w:u w:val="single"/>
          <w:lang w:val="sk-SK"/>
        </w:rPr>
      </w:pPr>
      <w:r w:rsidRPr="00534FB2">
        <w:rPr>
          <w:i/>
          <w:sz w:val="22"/>
          <w:szCs w:val="22"/>
          <w:u w:val="single"/>
          <w:lang w:val="sk-SK"/>
        </w:rPr>
        <w:t>Amlodipín</w:t>
      </w:r>
    </w:p>
    <w:p w14:paraId="47631FE1" w14:textId="7C7357BA" w:rsidR="00674319" w:rsidRPr="00534FB2" w:rsidRDefault="002F0210" w:rsidP="002F0210">
      <w:pPr>
        <w:rPr>
          <w:sz w:val="22"/>
          <w:szCs w:val="22"/>
          <w:lang w:val="sk-SK"/>
        </w:rPr>
      </w:pPr>
      <w:r w:rsidRPr="00534FB2">
        <w:rPr>
          <w:sz w:val="22"/>
          <w:szCs w:val="22"/>
          <w:lang w:val="sk-SK"/>
        </w:rPr>
        <w:t>Ak k požitiu lieku došlo nedávno, možno zvážiť vyvolanie vracania alebo výplach žalúdka. Ukázalo sa, že podanie aktívneho uhlia zdravým dobrovoľníkom ihneď alebo do dvoch hodín od požitia amlodipínu významne znížilo jeho absorpciu.</w:t>
      </w:r>
    </w:p>
    <w:p w14:paraId="3F4B8315" w14:textId="77777777" w:rsidR="002F0210" w:rsidRPr="00534FB2" w:rsidRDefault="002F0210" w:rsidP="002F0210">
      <w:pPr>
        <w:rPr>
          <w:sz w:val="22"/>
          <w:szCs w:val="22"/>
          <w:lang w:val="sk-SK"/>
        </w:rPr>
      </w:pPr>
    </w:p>
    <w:p w14:paraId="4215EEBF" w14:textId="1BCF9273" w:rsidR="00E338F0" w:rsidRPr="00534FB2" w:rsidRDefault="002F0210" w:rsidP="00134CBE">
      <w:pPr>
        <w:rPr>
          <w:sz w:val="22"/>
          <w:szCs w:val="22"/>
          <w:lang w:val="sk-SK"/>
        </w:rPr>
      </w:pPr>
      <w:r w:rsidRPr="00534FB2">
        <w:rPr>
          <w:sz w:val="22"/>
          <w:szCs w:val="22"/>
          <w:lang w:val="sk-SK"/>
        </w:rPr>
        <w:t>Odstránenie amlodipínu hemodialýzou nie je pravdepodobné.</w:t>
      </w:r>
    </w:p>
    <w:p w14:paraId="0531F97B" w14:textId="77777777" w:rsidR="002F0210" w:rsidRPr="00534FB2" w:rsidRDefault="002F0210" w:rsidP="00134CBE">
      <w:pPr>
        <w:rPr>
          <w:sz w:val="22"/>
          <w:szCs w:val="22"/>
          <w:lang w:val="sk-SK"/>
        </w:rPr>
      </w:pPr>
    </w:p>
    <w:p w14:paraId="5E74E795" w14:textId="77777777" w:rsidR="00E338F0" w:rsidRPr="00534FB2" w:rsidRDefault="00E338F0" w:rsidP="00134CBE">
      <w:pPr>
        <w:keepNext/>
        <w:rPr>
          <w:i/>
          <w:sz w:val="22"/>
          <w:szCs w:val="22"/>
          <w:u w:val="single"/>
          <w:lang w:val="sk-SK"/>
        </w:rPr>
      </w:pPr>
      <w:r w:rsidRPr="00534FB2">
        <w:rPr>
          <w:i/>
          <w:sz w:val="22"/>
          <w:szCs w:val="22"/>
          <w:u w:val="single"/>
          <w:lang w:val="sk-SK"/>
        </w:rPr>
        <w:t>Valsartan</w:t>
      </w:r>
    </w:p>
    <w:p w14:paraId="027A0292" w14:textId="0EB47791" w:rsidR="00E338F0" w:rsidRPr="00534FB2" w:rsidRDefault="002F0210" w:rsidP="00134CBE">
      <w:pPr>
        <w:rPr>
          <w:sz w:val="22"/>
          <w:szCs w:val="22"/>
          <w:lang w:val="sk-SK"/>
        </w:rPr>
      </w:pPr>
      <w:r w:rsidRPr="00534FB2">
        <w:rPr>
          <w:sz w:val="22"/>
          <w:szCs w:val="22"/>
          <w:lang w:val="sk-SK"/>
        </w:rPr>
        <w:t>Odstránenie valsartanu hemodialýzou nie je pravdepodobné.</w:t>
      </w:r>
    </w:p>
    <w:p w14:paraId="3C5BB9A3" w14:textId="77777777" w:rsidR="002F0210" w:rsidRPr="00534FB2" w:rsidRDefault="002F0210" w:rsidP="00134CBE">
      <w:pPr>
        <w:rPr>
          <w:sz w:val="22"/>
          <w:szCs w:val="22"/>
          <w:lang w:val="sk-SK"/>
        </w:rPr>
      </w:pPr>
    </w:p>
    <w:p w14:paraId="1DC1430E" w14:textId="5F2607AA" w:rsidR="00E338F0" w:rsidRPr="00534FB2" w:rsidRDefault="002F0210" w:rsidP="004E64BA">
      <w:pPr>
        <w:keepNext/>
        <w:rPr>
          <w:i/>
          <w:sz w:val="22"/>
          <w:szCs w:val="22"/>
          <w:u w:val="single"/>
          <w:lang w:val="sk-SK"/>
        </w:rPr>
      </w:pPr>
      <w:r w:rsidRPr="00534FB2">
        <w:rPr>
          <w:i/>
          <w:sz w:val="22"/>
          <w:szCs w:val="22"/>
          <w:u w:val="single"/>
          <w:lang w:val="sk-SK"/>
        </w:rPr>
        <w:t>Hydrochl</w:t>
      </w:r>
      <w:r w:rsidR="000514B9">
        <w:rPr>
          <w:i/>
          <w:sz w:val="22"/>
          <w:szCs w:val="22"/>
          <w:u w:val="single"/>
          <w:lang w:val="sk-SK"/>
        </w:rPr>
        <w:t>ó</w:t>
      </w:r>
      <w:r w:rsidRPr="00534FB2">
        <w:rPr>
          <w:i/>
          <w:sz w:val="22"/>
          <w:szCs w:val="22"/>
          <w:u w:val="single"/>
          <w:lang w:val="sk-SK"/>
        </w:rPr>
        <w:t>rtiazid</w:t>
      </w:r>
    </w:p>
    <w:p w14:paraId="29F9743F" w14:textId="2A3FFB8E" w:rsidR="00674319" w:rsidRPr="00534FB2" w:rsidRDefault="002F0210" w:rsidP="002F0210">
      <w:pPr>
        <w:rPr>
          <w:sz w:val="22"/>
          <w:szCs w:val="22"/>
          <w:lang w:val="sk-SK"/>
        </w:rPr>
      </w:pPr>
      <w:r w:rsidRPr="00534FB2">
        <w:rPr>
          <w:sz w:val="22"/>
          <w:szCs w:val="22"/>
          <w:lang w:val="sk-SK"/>
        </w:rPr>
        <w:t>Predávkovanie hydrochl</w:t>
      </w:r>
      <w:r w:rsidR="000514B9">
        <w:rPr>
          <w:sz w:val="22"/>
          <w:szCs w:val="22"/>
          <w:lang w:val="sk-SK"/>
        </w:rPr>
        <w:t>ó</w:t>
      </w:r>
      <w:r w:rsidRPr="00534FB2">
        <w:rPr>
          <w:sz w:val="22"/>
          <w:szCs w:val="22"/>
          <w:lang w:val="sk-SK"/>
        </w:rPr>
        <w:t>rtiazidom sa spája s depléciou elektrolytov (hypokaliémia, hypochlorémia) a s hypovolémiou, ktoré sú dôsledkom nadmernej diurézy. Najčastejšími príznakmi a prejavmi predávkovania sú nauzea a somnolencia. Hypokaliémia môže mať za následok svalové kŕče a/alebo zvýraznenie arytmie spojenej so súbežným podávaním digitálisových glykozidov alebo niektorých antiarytmík.</w:t>
      </w:r>
    </w:p>
    <w:p w14:paraId="2356BC40" w14:textId="77777777" w:rsidR="002F0210" w:rsidRPr="00534FB2" w:rsidRDefault="002F0210" w:rsidP="002F0210">
      <w:pPr>
        <w:rPr>
          <w:sz w:val="22"/>
          <w:szCs w:val="22"/>
          <w:lang w:val="sk-SK"/>
        </w:rPr>
      </w:pPr>
    </w:p>
    <w:p w14:paraId="6C8CC970" w14:textId="348F9BCC" w:rsidR="00E338F0" w:rsidRPr="00534FB2" w:rsidRDefault="002F0210" w:rsidP="00134CBE">
      <w:pPr>
        <w:rPr>
          <w:sz w:val="22"/>
          <w:szCs w:val="22"/>
          <w:lang w:val="sk-SK"/>
        </w:rPr>
      </w:pPr>
      <w:r w:rsidRPr="00534FB2">
        <w:rPr>
          <w:sz w:val="22"/>
          <w:szCs w:val="22"/>
          <w:lang w:val="sk-SK"/>
        </w:rPr>
        <w:lastRenderedPageBreak/>
        <w:t>Miera odstránenia hydrochl</w:t>
      </w:r>
      <w:r w:rsidR="004E6C31">
        <w:rPr>
          <w:sz w:val="22"/>
          <w:szCs w:val="22"/>
          <w:lang w:val="sk-SK"/>
        </w:rPr>
        <w:t>ó</w:t>
      </w:r>
      <w:r w:rsidRPr="00534FB2">
        <w:rPr>
          <w:sz w:val="22"/>
          <w:szCs w:val="22"/>
          <w:lang w:val="sk-SK"/>
        </w:rPr>
        <w:t>rtiazidu hemodialýzou sa nestanovila.</w:t>
      </w:r>
    </w:p>
    <w:p w14:paraId="569A4C15" w14:textId="77777777" w:rsidR="002F0210" w:rsidRPr="00534FB2" w:rsidRDefault="002F0210" w:rsidP="00134CBE">
      <w:pPr>
        <w:rPr>
          <w:sz w:val="22"/>
          <w:szCs w:val="22"/>
        </w:rPr>
      </w:pPr>
    </w:p>
    <w:p w14:paraId="0773E7C3" w14:textId="77777777" w:rsidR="005C7EBC" w:rsidRPr="00534FB2" w:rsidRDefault="005C7EBC" w:rsidP="00134CBE">
      <w:pPr>
        <w:rPr>
          <w:sz w:val="22"/>
          <w:szCs w:val="22"/>
        </w:rPr>
      </w:pPr>
    </w:p>
    <w:p w14:paraId="7018C6C5" w14:textId="72412FA2" w:rsidR="0043633E" w:rsidRPr="00534FB2" w:rsidRDefault="002F0210" w:rsidP="00134CBE">
      <w:pPr>
        <w:pStyle w:val="Odsekzoznamu"/>
        <w:numPr>
          <w:ilvl w:val="0"/>
          <w:numId w:val="1"/>
        </w:numPr>
        <w:rPr>
          <w:b/>
          <w:sz w:val="22"/>
          <w:szCs w:val="22"/>
        </w:rPr>
      </w:pPr>
      <w:r w:rsidRPr="00534FB2">
        <w:rPr>
          <w:b/>
          <w:bCs/>
          <w:sz w:val="22"/>
          <w:szCs w:val="22"/>
          <w:lang w:val="sk-SK"/>
        </w:rPr>
        <w:t>FARMAKOLOGICKÉ VLASTNOSTI</w:t>
      </w:r>
    </w:p>
    <w:p w14:paraId="169D5ED5" w14:textId="77777777" w:rsidR="00647023" w:rsidRPr="00534FB2" w:rsidRDefault="00647023" w:rsidP="00134CBE">
      <w:pPr>
        <w:rPr>
          <w:b/>
          <w:sz w:val="22"/>
          <w:szCs w:val="22"/>
          <w:lang w:val="sk-SK"/>
        </w:rPr>
      </w:pPr>
    </w:p>
    <w:p w14:paraId="018E61CA" w14:textId="61DB7908" w:rsidR="0043633E" w:rsidRPr="00534FB2" w:rsidRDefault="002F0210" w:rsidP="002F0210">
      <w:pPr>
        <w:pStyle w:val="Odsekzoznamu"/>
        <w:numPr>
          <w:ilvl w:val="1"/>
          <w:numId w:val="1"/>
        </w:numPr>
        <w:ind w:left="567" w:hanging="567"/>
        <w:rPr>
          <w:b/>
          <w:sz w:val="22"/>
          <w:szCs w:val="22"/>
          <w:lang w:val="sk-SK"/>
        </w:rPr>
      </w:pPr>
      <w:r w:rsidRPr="00534FB2">
        <w:rPr>
          <w:b/>
          <w:sz w:val="22"/>
          <w:szCs w:val="22"/>
          <w:lang w:val="sk-SK"/>
        </w:rPr>
        <w:t>Farmakodynamické vlastnosti</w:t>
      </w:r>
    </w:p>
    <w:p w14:paraId="4E4A3D5A" w14:textId="77777777" w:rsidR="0043633E" w:rsidRPr="00534FB2" w:rsidRDefault="0043633E" w:rsidP="00134CBE">
      <w:pPr>
        <w:rPr>
          <w:sz w:val="22"/>
          <w:szCs w:val="22"/>
          <w:lang w:val="sk-SK"/>
        </w:rPr>
      </w:pPr>
    </w:p>
    <w:p w14:paraId="3CCF8674" w14:textId="77777777" w:rsidR="002F0210" w:rsidRPr="00534FB2" w:rsidRDefault="002F0210" w:rsidP="002F0210">
      <w:pPr>
        <w:rPr>
          <w:sz w:val="22"/>
          <w:szCs w:val="22"/>
          <w:lang w:val="sk-SK"/>
        </w:rPr>
      </w:pPr>
      <w:r w:rsidRPr="00534FB2">
        <w:rPr>
          <w:sz w:val="22"/>
          <w:szCs w:val="22"/>
          <w:lang w:val="sk-SK"/>
        </w:rPr>
        <w:t>Farmakoterapeutická skupina: liečivá s účinkom na systém renínu-angiotenzínu, antagonisty</w:t>
      </w:r>
    </w:p>
    <w:p w14:paraId="2681AB24" w14:textId="0065EBC8" w:rsidR="00C8712D" w:rsidRPr="00534FB2" w:rsidRDefault="002F0210" w:rsidP="002F0210">
      <w:pPr>
        <w:rPr>
          <w:sz w:val="22"/>
          <w:szCs w:val="22"/>
          <w:lang w:val="sk-SK"/>
        </w:rPr>
      </w:pPr>
      <w:r w:rsidRPr="00534FB2">
        <w:rPr>
          <w:sz w:val="22"/>
          <w:szCs w:val="22"/>
          <w:lang w:val="sk-SK"/>
        </w:rPr>
        <w:t>angiotenzínu II, iné kombinácie, ATC kód: C09DX01.</w:t>
      </w:r>
    </w:p>
    <w:p w14:paraId="611310C0" w14:textId="77777777" w:rsidR="002F0210" w:rsidRPr="00534FB2" w:rsidRDefault="002F0210" w:rsidP="002F0210">
      <w:pPr>
        <w:rPr>
          <w:sz w:val="22"/>
          <w:szCs w:val="22"/>
          <w:lang w:val="sk-SK"/>
        </w:rPr>
      </w:pPr>
    </w:p>
    <w:p w14:paraId="578F4963" w14:textId="7761DBDA" w:rsidR="00C8712D" w:rsidRPr="00534FB2" w:rsidRDefault="002F0210" w:rsidP="00134CBE">
      <w:pPr>
        <w:keepNext/>
        <w:rPr>
          <w:sz w:val="22"/>
          <w:szCs w:val="22"/>
          <w:u w:val="single"/>
          <w:lang w:val="sk-SK"/>
        </w:rPr>
      </w:pPr>
      <w:r w:rsidRPr="00534FB2">
        <w:rPr>
          <w:sz w:val="22"/>
          <w:szCs w:val="22"/>
          <w:u w:val="single"/>
          <w:lang w:val="sk-SK"/>
        </w:rPr>
        <w:t>Mechanizmus účinku</w:t>
      </w:r>
    </w:p>
    <w:p w14:paraId="0FB37359" w14:textId="1217A065" w:rsidR="00C8712D" w:rsidRPr="00534FB2" w:rsidRDefault="003C1F54" w:rsidP="003C1F54">
      <w:pPr>
        <w:rPr>
          <w:sz w:val="22"/>
          <w:szCs w:val="22"/>
          <w:lang w:val="sk-SK"/>
        </w:rPr>
      </w:pPr>
      <w:r w:rsidRPr="00534FB2">
        <w:rPr>
          <w:sz w:val="22"/>
          <w:szCs w:val="22"/>
          <w:lang w:val="sk-SK"/>
        </w:rPr>
        <w:t>Asbima HCT kombinuje tri antihypertenzívne zlúčeniny s komplementárnymi mechanizmami znižovania krvného tlaku u pacientov s esenciálnou hypertenziou: amlodipín patrí do triedy antagonistov kalcia a valsartan do triedy antagonistov angiotenzínu II a</w:t>
      </w:r>
      <w:r w:rsidR="004E6C31">
        <w:rPr>
          <w:sz w:val="22"/>
          <w:szCs w:val="22"/>
          <w:lang w:val="sk-SK"/>
        </w:rPr>
        <w:t> </w:t>
      </w:r>
      <w:r w:rsidRPr="00534FB2">
        <w:rPr>
          <w:sz w:val="22"/>
          <w:szCs w:val="22"/>
          <w:lang w:val="sk-SK"/>
        </w:rPr>
        <w:t>hydrochl</w:t>
      </w:r>
      <w:r w:rsidR="004E6C31">
        <w:rPr>
          <w:sz w:val="22"/>
          <w:szCs w:val="22"/>
          <w:lang w:val="sk-SK"/>
        </w:rPr>
        <w:t>ó</w:t>
      </w:r>
      <w:r w:rsidRPr="00534FB2">
        <w:rPr>
          <w:sz w:val="22"/>
          <w:szCs w:val="22"/>
          <w:lang w:val="sk-SK"/>
        </w:rPr>
        <w:t>rtiazid patrí do triedy tiazidových diuretík. Kombinácia týchto látok má aditívny antihypertenzívny účinok.</w:t>
      </w:r>
    </w:p>
    <w:p w14:paraId="6BABCDF1" w14:textId="77777777" w:rsidR="003C1F54" w:rsidRPr="00534FB2" w:rsidRDefault="003C1F54" w:rsidP="003C1F54">
      <w:pPr>
        <w:rPr>
          <w:sz w:val="22"/>
          <w:szCs w:val="22"/>
          <w:lang w:val="sk-SK"/>
        </w:rPr>
      </w:pPr>
    </w:p>
    <w:p w14:paraId="725CD1A1" w14:textId="1DD407F3" w:rsidR="00674319" w:rsidRPr="00534FB2" w:rsidRDefault="003C1F54" w:rsidP="00134CBE">
      <w:pPr>
        <w:rPr>
          <w:sz w:val="22"/>
          <w:szCs w:val="22"/>
          <w:u w:val="single"/>
          <w:lang w:val="sk-SK"/>
        </w:rPr>
      </w:pPr>
      <w:r w:rsidRPr="00534FB2">
        <w:rPr>
          <w:sz w:val="22"/>
          <w:szCs w:val="22"/>
          <w:u w:val="single"/>
          <w:lang w:val="sk-SK"/>
        </w:rPr>
        <w:t>Amlodipín</w:t>
      </w:r>
      <w:r w:rsidR="00674319" w:rsidRPr="00534FB2">
        <w:rPr>
          <w:sz w:val="22"/>
          <w:szCs w:val="22"/>
          <w:u w:val="single"/>
          <w:lang w:val="sk-SK"/>
        </w:rPr>
        <w:t>/</w:t>
      </w:r>
      <w:r w:rsidR="00346769" w:rsidRPr="00534FB2">
        <w:rPr>
          <w:sz w:val="22"/>
          <w:szCs w:val="22"/>
          <w:u w:val="single"/>
          <w:lang w:val="sk-SK"/>
        </w:rPr>
        <w:t>v</w:t>
      </w:r>
      <w:r w:rsidR="00674319" w:rsidRPr="00534FB2">
        <w:rPr>
          <w:sz w:val="22"/>
          <w:szCs w:val="22"/>
          <w:u w:val="single"/>
          <w:lang w:val="sk-SK"/>
        </w:rPr>
        <w:t>alsartan/</w:t>
      </w:r>
      <w:r w:rsidR="00346769" w:rsidRPr="00534FB2">
        <w:rPr>
          <w:sz w:val="22"/>
          <w:szCs w:val="22"/>
          <w:u w:val="single"/>
          <w:lang w:val="sk-SK"/>
        </w:rPr>
        <w:t>h</w:t>
      </w:r>
      <w:r w:rsidRPr="00534FB2">
        <w:rPr>
          <w:sz w:val="22"/>
          <w:szCs w:val="22"/>
          <w:u w:val="single"/>
          <w:lang w:val="sk-SK"/>
        </w:rPr>
        <w:t>ydrochl</w:t>
      </w:r>
      <w:r w:rsidR="004E6C31">
        <w:rPr>
          <w:sz w:val="22"/>
          <w:szCs w:val="22"/>
          <w:u w:val="single"/>
          <w:lang w:val="sk-SK"/>
        </w:rPr>
        <w:t>ó</w:t>
      </w:r>
      <w:r w:rsidRPr="00534FB2">
        <w:rPr>
          <w:sz w:val="22"/>
          <w:szCs w:val="22"/>
          <w:u w:val="single"/>
          <w:lang w:val="sk-SK"/>
        </w:rPr>
        <w:t>rt</w:t>
      </w:r>
      <w:r w:rsidR="00674319" w:rsidRPr="00534FB2">
        <w:rPr>
          <w:sz w:val="22"/>
          <w:szCs w:val="22"/>
          <w:u w:val="single"/>
          <w:lang w:val="sk-SK"/>
        </w:rPr>
        <w:t>iaz</w:t>
      </w:r>
      <w:r w:rsidRPr="00534FB2">
        <w:rPr>
          <w:sz w:val="22"/>
          <w:szCs w:val="22"/>
          <w:u w:val="single"/>
          <w:lang w:val="sk-SK"/>
        </w:rPr>
        <w:t>id</w:t>
      </w:r>
    </w:p>
    <w:p w14:paraId="6DE30572" w14:textId="3FE99470" w:rsidR="00FA7B79" w:rsidRPr="00534FB2" w:rsidRDefault="003C1F54" w:rsidP="00134CBE">
      <w:pPr>
        <w:rPr>
          <w:i/>
          <w:sz w:val="22"/>
          <w:szCs w:val="22"/>
          <w:u w:val="single"/>
          <w:lang w:val="sk-SK"/>
        </w:rPr>
      </w:pPr>
      <w:r w:rsidRPr="00534FB2">
        <w:rPr>
          <w:i/>
          <w:sz w:val="22"/>
          <w:szCs w:val="22"/>
          <w:u w:val="single"/>
          <w:lang w:val="sk-SK"/>
        </w:rPr>
        <w:t>Klinická účinnosť a bezpečnosť</w:t>
      </w:r>
      <w:r w:rsidR="00FA7B79" w:rsidRPr="00534FB2">
        <w:rPr>
          <w:i/>
          <w:sz w:val="22"/>
          <w:szCs w:val="22"/>
          <w:lang w:val="sk-SK"/>
        </w:rPr>
        <w:t xml:space="preserve"> </w:t>
      </w:r>
    </w:p>
    <w:p w14:paraId="7EF05CB5" w14:textId="2C75542B" w:rsidR="003C1F54" w:rsidRPr="00534FB2" w:rsidRDefault="003C1F54" w:rsidP="003C1F54">
      <w:pPr>
        <w:rPr>
          <w:sz w:val="22"/>
          <w:szCs w:val="22"/>
          <w:lang w:val="sk-SK"/>
        </w:rPr>
      </w:pPr>
      <w:r w:rsidRPr="00534FB2">
        <w:rPr>
          <w:sz w:val="22"/>
          <w:szCs w:val="22"/>
          <w:lang w:val="sk-SK"/>
        </w:rPr>
        <w:t>Amlodipín/valsartan/hydrochl</w:t>
      </w:r>
      <w:r w:rsidR="000514B9">
        <w:rPr>
          <w:sz w:val="22"/>
          <w:szCs w:val="22"/>
          <w:lang w:val="sk-SK"/>
        </w:rPr>
        <w:t>ó</w:t>
      </w:r>
      <w:r w:rsidRPr="00534FB2">
        <w:rPr>
          <w:sz w:val="22"/>
          <w:szCs w:val="22"/>
          <w:lang w:val="sk-SK"/>
        </w:rPr>
        <w:t>rtiazid sa skúmal v dvojito slepej štúdii kontrolovanej účinným liekom u pacientov s hypertenziou. Celkovo 2 271 pacientov so stredne ťažkou až ťažkou hypertenziou (priemerná východisková hodnota systolického/diastolického krvného tlaku bola 170/107 mmHg) dostávalo liečbu amplodipínom/valsartanom/hydrochl</w:t>
      </w:r>
      <w:r w:rsidR="004E6C31">
        <w:rPr>
          <w:sz w:val="22"/>
          <w:szCs w:val="22"/>
          <w:lang w:val="sk-SK"/>
        </w:rPr>
        <w:t>ó</w:t>
      </w:r>
      <w:r w:rsidRPr="00534FB2">
        <w:rPr>
          <w:sz w:val="22"/>
          <w:szCs w:val="22"/>
          <w:lang w:val="sk-SK"/>
        </w:rPr>
        <w:t>rtiazidom 10 mg/320 mg/25 mg, valsartanom/hydrochl</w:t>
      </w:r>
      <w:r w:rsidR="004E6C31">
        <w:rPr>
          <w:sz w:val="22"/>
          <w:szCs w:val="22"/>
          <w:lang w:val="sk-SK"/>
        </w:rPr>
        <w:t>ó</w:t>
      </w:r>
      <w:r w:rsidRPr="00534FB2">
        <w:rPr>
          <w:sz w:val="22"/>
          <w:szCs w:val="22"/>
          <w:lang w:val="sk-SK"/>
        </w:rPr>
        <w:t>rtiazidom 320 mg/25 mg, amlodipínom/valsartanom 10 mg/320 mg alebo hydrochl</w:t>
      </w:r>
      <w:r w:rsidR="004E6C31">
        <w:rPr>
          <w:sz w:val="22"/>
          <w:szCs w:val="22"/>
          <w:lang w:val="sk-SK"/>
        </w:rPr>
        <w:t>ó</w:t>
      </w:r>
      <w:r w:rsidRPr="00534FB2">
        <w:rPr>
          <w:sz w:val="22"/>
          <w:szCs w:val="22"/>
          <w:lang w:val="sk-SK"/>
        </w:rPr>
        <w:t>rtiazidom/amlodipínom 25 mg/10 mg. Na začiatku štúdie pacienti dostávali nižšie dávky ich liečebnej kombinácie a na plnú terapeutickú dávku boli titrovaní do 2. týždňa.</w:t>
      </w:r>
    </w:p>
    <w:p w14:paraId="080659D3" w14:textId="77777777" w:rsidR="00FA7B79" w:rsidRPr="00534FB2" w:rsidRDefault="00FA7B79" w:rsidP="00134CBE">
      <w:pPr>
        <w:rPr>
          <w:sz w:val="22"/>
          <w:szCs w:val="22"/>
          <w:lang w:val="sk-SK"/>
        </w:rPr>
      </w:pPr>
    </w:p>
    <w:p w14:paraId="76B09B83" w14:textId="6F6E0548" w:rsidR="00674319" w:rsidRPr="00534FB2" w:rsidRDefault="003C1F54" w:rsidP="003C1F54">
      <w:pPr>
        <w:rPr>
          <w:sz w:val="22"/>
          <w:szCs w:val="22"/>
          <w:lang w:val="sk-SK"/>
        </w:rPr>
      </w:pPr>
      <w:r w:rsidRPr="00534FB2">
        <w:rPr>
          <w:sz w:val="22"/>
          <w:szCs w:val="22"/>
          <w:lang w:val="sk-SK"/>
        </w:rPr>
        <w:t>V 8. týždni bol priemerný pokles systolického/diastolického krvného tlaku 39,7/24,7 mmHg pri amlodipíne/valsartane/hydrochl</w:t>
      </w:r>
      <w:r w:rsidR="004E6C31">
        <w:rPr>
          <w:sz w:val="22"/>
          <w:szCs w:val="22"/>
          <w:lang w:val="sk-SK"/>
        </w:rPr>
        <w:t>ó</w:t>
      </w:r>
      <w:r w:rsidRPr="00534FB2">
        <w:rPr>
          <w:sz w:val="22"/>
          <w:szCs w:val="22"/>
          <w:lang w:val="sk-SK"/>
        </w:rPr>
        <w:t>rtiazide, 32,0/19,7 mmHg pri valsartane/hydrochl</w:t>
      </w:r>
      <w:r w:rsidR="004E6C31">
        <w:rPr>
          <w:sz w:val="22"/>
          <w:szCs w:val="22"/>
          <w:lang w:val="sk-SK"/>
        </w:rPr>
        <w:t>ó</w:t>
      </w:r>
      <w:r w:rsidRPr="00534FB2">
        <w:rPr>
          <w:sz w:val="22"/>
          <w:szCs w:val="22"/>
          <w:lang w:val="sk-SK"/>
        </w:rPr>
        <w:t>rtiazide, 33,5/21,5 mmHg pri amlodipíne/valsartane a 31,5/19,5 mmHg pri amlodipíne/hydrochl</w:t>
      </w:r>
      <w:r w:rsidR="004E6C31">
        <w:rPr>
          <w:sz w:val="22"/>
          <w:szCs w:val="22"/>
          <w:lang w:val="sk-SK"/>
        </w:rPr>
        <w:t>ó</w:t>
      </w:r>
      <w:r w:rsidRPr="00534FB2">
        <w:rPr>
          <w:sz w:val="22"/>
          <w:szCs w:val="22"/>
          <w:lang w:val="sk-SK"/>
        </w:rPr>
        <w:t>rtiazide. Liečba trojkombináciou bola štatisticky lepšia ako liečba ktoroukoľvek z troch dvojkombinácií vzhľadom na zníženie diastolického a systolického krvného tlaku. Pokles systolického/diastolického krvného tlaku pri amlodipíne/valsartane/hydrochl</w:t>
      </w:r>
      <w:r w:rsidR="004E6C31">
        <w:rPr>
          <w:sz w:val="22"/>
          <w:szCs w:val="22"/>
          <w:lang w:val="sk-SK"/>
        </w:rPr>
        <w:t>ó</w:t>
      </w:r>
      <w:r w:rsidRPr="00534FB2">
        <w:rPr>
          <w:sz w:val="22"/>
          <w:szCs w:val="22"/>
          <w:lang w:val="sk-SK"/>
        </w:rPr>
        <w:t>rtiazide bol o 7,6/5,0 mmHg väčší ako pri valsartane/hydrochl</w:t>
      </w:r>
      <w:r w:rsidR="004E6C31">
        <w:rPr>
          <w:sz w:val="22"/>
          <w:szCs w:val="22"/>
          <w:lang w:val="sk-SK"/>
        </w:rPr>
        <w:t>ó</w:t>
      </w:r>
      <w:r w:rsidRPr="00534FB2">
        <w:rPr>
          <w:sz w:val="22"/>
          <w:szCs w:val="22"/>
          <w:lang w:val="sk-SK"/>
        </w:rPr>
        <w:t>rtiazide, o 6,2/3,3 mmHg väčší ako pri amlodipíne/valsartane a o 8,2/5,3 mmHg väčší ako pri amlodipíne/hydrochl</w:t>
      </w:r>
      <w:r w:rsidR="004E6C31">
        <w:rPr>
          <w:sz w:val="22"/>
          <w:szCs w:val="22"/>
          <w:lang w:val="sk-SK"/>
        </w:rPr>
        <w:t>ó</w:t>
      </w:r>
      <w:r w:rsidRPr="00534FB2">
        <w:rPr>
          <w:sz w:val="22"/>
          <w:szCs w:val="22"/>
          <w:lang w:val="sk-SK"/>
        </w:rPr>
        <w:t>rtiazide. Plný hypotenzívny účinok sa dosiahol po 2 týždňoch užívania ich maximálnej dávky amlodipínu/valsartanu/hydrochl</w:t>
      </w:r>
      <w:r w:rsidR="004E6C31">
        <w:rPr>
          <w:sz w:val="22"/>
          <w:szCs w:val="22"/>
          <w:lang w:val="sk-SK"/>
        </w:rPr>
        <w:t>ó</w:t>
      </w:r>
      <w:r w:rsidRPr="00534FB2">
        <w:rPr>
          <w:sz w:val="22"/>
          <w:szCs w:val="22"/>
          <w:lang w:val="sk-SK"/>
        </w:rPr>
        <w:t>rtiazidu. U štatisticky vyššieho podielu pacientov sa dosiahlo zníženie krvného tlaku (&lt;140/90 mmHg) pri amlodipíne/valsartane/hydrochl</w:t>
      </w:r>
      <w:r w:rsidR="004E6C31">
        <w:rPr>
          <w:sz w:val="22"/>
          <w:szCs w:val="22"/>
          <w:lang w:val="sk-SK"/>
        </w:rPr>
        <w:t>ó</w:t>
      </w:r>
      <w:r w:rsidRPr="00534FB2">
        <w:rPr>
          <w:sz w:val="22"/>
          <w:szCs w:val="22"/>
          <w:lang w:val="sk-SK"/>
        </w:rPr>
        <w:t>rtiazide (71%) v porovnaní s liečbou ktoroukoľvek z troch dvojkombinácií (45-54%) (p&lt;0,0001).</w:t>
      </w:r>
    </w:p>
    <w:p w14:paraId="704AE2B4" w14:textId="77777777" w:rsidR="00674319" w:rsidRPr="00534FB2" w:rsidRDefault="00674319" w:rsidP="00134CBE">
      <w:pPr>
        <w:rPr>
          <w:sz w:val="22"/>
          <w:szCs w:val="22"/>
          <w:lang w:val="sk-SK"/>
        </w:rPr>
      </w:pPr>
    </w:p>
    <w:p w14:paraId="773397C2" w14:textId="1964427A" w:rsidR="00674319" w:rsidRPr="00534FB2" w:rsidRDefault="003C1F54" w:rsidP="003C1F54">
      <w:pPr>
        <w:rPr>
          <w:sz w:val="22"/>
          <w:szCs w:val="22"/>
          <w:lang w:val="sk-SK"/>
        </w:rPr>
      </w:pPr>
      <w:r w:rsidRPr="00534FB2">
        <w:rPr>
          <w:sz w:val="22"/>
          <w:szCs w:val="22"/>
          <w:lang w:val="sk-SK"/>
        </w:rPr>
        <w:t>V podskupine 283 pacientov zameranej na ambulantné monitorovanie krvného tlaku sa pozoroval klinicky a štatisticky lepší pokles 24-hodinového systolického a diastolického krvného tlaku pri trojkombinácii v porovnaní s valsartanom/hydrochl</w:t>
      </w:r>
      <w:r w:rsidR="004E6C31">
        <w:rPr>
          <w:sz w:val="22"/>
          <w:szCs w:val="22"/>
          <w:lang w:val="sk-SK"/>
        </w:rPr>
        <w:t>ó</w:t>
      </w:r>
      <w:r w:rsidRPr="00534FB2">
        <w:rPr>
          <w:sz w:val="22"/>
          <w:szCs w:val="22"/>
          <w:lang w:val="sk-SK"/>
        </w:rPr>
        <w:t>rtiazidom, valsartanom/amlodipínom a hydrochl</w:t>
      </w:r>
      <w:r w:rsidR="004E6C31">
        <w:rPr>
          <w:sz w:val="22"/>
          <w:szCs w:val="22"/>
          <w:lang w:val="sk-SK"/>
        </w:rPr>
        <w:t>ó</w:t>
      </w:r>
      <w:r w:rsidRPr="00534FB2">
        <w:rPr>
          <w:sz w:val="22"/>
          <w:szCs w:val="22"/>
          <w:lang w:val="sk-SK"/>
        </w:rPr>
        <w:t>rtiazidom/amlodipínom.</w:t>
      </w:r>
    </w:p>
    <w:p w14:paraId="37006578" w14:textId="77777777" w:rsidR="003C1F54" w:rsidRPr="00534FB2" w:rsidRDefault="003C1F54" w:rsidP="003C1F54">
      <w:pPr>
        <w:rPr>
          <w:sz w:val="22"/>
          <w:szCs w:val="22"/>
          <w:lang w:val="sk-SK"/>
        </w:rPr>
      </w:pPr>
    </w:p>
    <w:p w14:paraId="1151EB36" w14:textId="673391D3" w:rsidR="00C17BA7" w:rsidRPr="00534FB2" w:rsidRDefault="003C1F54" w:rsidP="00134CBE">
      <w:pPr>
        <w:rPr>
          <w:sz w:val="22"/>
          <w:szCs w:val="22"/>
          <w:u w:val="single"/>
          <w:lang w:val="sk-SK"/>
        </w:rPr>
      </w:pPr>
      <w:r w:rsidRPr="00534FB2">
        <w:rPr>
          <w:sz w:val="22"/>
          <w:szCs w:val="22"/>
          <w:u w:val="single"/>
          <w:lang w:val="sk-SK"/>
        </w:rPr>
        <w:t>Amlodipín</w:t>
      </w:r>
    </w:p>
    <w:p w14:paraId="0EB9224E" w14:textId="34AC63DC" w:rsidR="00C17BA7" w:rsidRPr="00534FB2" w:rsidRDefault="00F93D9C" w:rsidP="00134CBE">
      <w:pPr>
        <w:rPr>
          <w:i/>
          <w:sz w:val="22"/>
          <w:szCs w:val="22"/>
          <w:u w:val="single"/>
          <w:lang w:val="sk-SK"/>
        </w:rPr>
      </w:pPr>
      <w:r w:rsidRPr="00534FB2">
        <w:rPr>
          <w:i/>
          <w:sz w:val="22"/>
          <w:szCs w:val="22"/>
          <w:u w:val="single"/>
          <w:lang w:val="sk-SK"/>
        </w:rPr>
        <w:t>Mechanizmus účinku</w:t>
      </w:r>
    </w:p>
    <w:p w14:paraId="2C974D17" w14:textId="4BC27E58" w:rsidR="00C17BA7" w:rsidRPr="00534FB2" w:rsidRDefault="00F93D9C" w:rsidP="00F93D9C">
      <w:pPr>
        <w:rPr>
          <w:sz w:val="22"/>
          <w:szCs w:val="22"/>
          <w:lang w:val="sk-SK"/>
        </w:rPr>
      </w:pPr>
      <w:r w:rsidRPr="00534FB2">
        <w:rPr>
          <w:sz w:val="22"/>
          <w:szCs w:val="22"/>
          <w:lang w:val="sk-SK"/>
        </w:rPr>
        <w:t>Zložka amlodipínu v Asbime HCT inhibuje transmembránový vstup iónov vápnika do hladkého svalstva srdca a ciev. Mechanizmus antihypertenzívneho pôsobenia amlodipínu je podmienený priamym relaxačným účinkom na hladké svalstvo ciev, čo vyvoláva pokles odporu periférnych ciev a krvného tlaku.</w:t>
      </w:r>
    </w:p>
    <w:p w14:paraId="4EC8D2F2" w14:textId="77777777" w:rsidR="00F93D9C" w:rsidRPr="00534FB2" w:rsidRDefault="00F93D9C" w:rsidP="00F93D9C">
      <w:pPr>
        <w:rPr>
          <w:sz w:val="22"/>
          <w:szCs w:val="22"/>
          <w:lang w:val="sk-SK"/>
        </w:rPr>
      </w:pPr>
    </w:p>
    <w:p w14:paraId="4375390E" w14:textId="6A9C3CF2" w:rsidR="00C17BA7" w:rsidRPr="00534FB2" w:rsidRDefault="00F93D9C" w:rsidP="00134CBE">
      <w:pPr>
        <w:rPr>
          <w:i/>
          <w:sz w:val="22"/>
          <w:szCs w:val="22"/>
          <w:u w:val="single"/>
          <w:lang w:val="sk-SK"/>
        </w:rPr>
      </w:pPr>
      <w:r w:rsidRPr="00534FB2">
        <w:rPr>
          <w:i/>
          <w:sz w:val="22"/>
          <w:szCs w:val="22"/>
          <w:u w:val="single"/>
          <w:lang w:val="sk-SK"/>
        </w:rPr>
        <w:t>Farmakodynamické účinky</w:t>
      </w:r>
    </w:p>
    <w:p w14:paraId="1076872E" w14:textId="77777777" w:rsidR="00F93D9C" w:rsidRPr="00534FB2" w:rsidRDefault="00F93D9C" w:rsidP="00F93D9C">
      <w:pPr>
        <w:rPr>
          <w:sz w:val="22"/>
          <w:szCs w:val="22"/>
          <w:lang w:val="sk-SK"/>
        </w:rPr>
      </w:pPr>
      <w:r w:rsidRPr="00534FB2">
        <w:rPr>
          <w:sz w:val="22"/>
          <w:szCs w:val="22"/>
          <w:lang w:val="sk-SK"/>
        </w:rPr>
        <w:t>Experimentálne údaje naznačujú, že amlodipín sa viaže na dihydropyridínové aj na</w:t>
      </w:r>
    </w:p>
    <w:p w14:paraId="32BCC8D8" w14:textId="41528EEC" w:rsidR="00C17BA7" w:rsidRPr="00534FB2" w:rsidRDefault="00F93D9C" w:rsidP="00F93D9C">
      <w:pPr>
        <w:rPr>
          <w:sz w:val="22"/>
          <w:szCs w:val="22"/>
          <w:lang w:val="sk-SK"/>
        </w:rPr>
      </w:pPr>
      <w:r w:rsidRPr="00534FB2">
        <w:rPr>
          <w:sz w:val="22"/>
          <w:szCs w:val="22"/>
          <w:lang w:val="sk-SK"/>
        </w:rPr>
        <w:lastRenderedPageBreak/>
        <w:t>nedihydropyridínové väzbové miesta. Kontraktilné procesy srdcového svalstva a hladkého svalstva ciev závisia od pohybu extracelulárnych iónov vápnika do týchto buniek cez špecifické iónové kanály.</w:t>
      </w:r>
    </w:p>
    <w:p w14:paraId="3FD9C895" w14:textId="77777777" w:rsidR="00F93D9C" w:rsidRPr="00534FB2" w:rsidRDefault="00F93D9C" w:rsidP="00F93D9C">
      <w:pPr>
        <w:rPr>
          <w:sz w:val="22"/>
          <w:szCs w:val="22"/>
          <w:lang w:val="sk-SK"/>
        </w:rPr>
      </w:pPr>
    </w:p>
    <w:p w14:paraId="1F60B7BF" w14:textId="0E00F898" w:rsidR="00C17BA7" w:rsidRPr="00534FB2" w:rsidRDefault="00F93D9C" w:rsidP="00F93D9C">
      <w:pPr>
        <w:rPr>
          <w:sz w:val="22"/>
          <w:szCs w:val="22"/>
          <w:lang w:val="sk-SK"/>
        </w:rPr>
      </w:pPr>
      <w:r w:rsidRPr="00534FB2">
        <w:rPr>
          <w:sz w:val="22"/>
          <w:szCs w:val="22"/>
          <w:lang w:val="sk-SK"/>
        </w:rPr>
        <w:t>Po podaní terapeutických dávok pacientom s hypertenziou amlodipín vyvoláva vazodilatáciu, čo vedie k poklesu krvného tlaku u ležiaceho aj stojaceho pacienta. Tento pokles nesprevádza pri chronickom podávaní významná zmena srdcovej frekvencie ani plazmatických hladín katecholamínov.</w:t>
      </w:r>
    </w:p>
    <w:p w14:paraId="3CFE2A2C" w14:textId="77777777" w:rsidR="00F93D9C" w:rsidRPr="00534FB2" w:rsidRDefault="00F93D9C" w:rsidP="00F93D9C">
      <w:pPr>
        <w:rPr>
          <w:sz w:val="22"/>
          <w:szCs w:val="22"/>
          <w:lang w:val="sk-SK"/>
        </w:rPr>
      </w:pPr>
    </w:p>
    <w:p w14:paraId="30C8CD8B" w14:textId="21451C7C" w:rsidR="00C17BA7" w:rsidRPr="00534FB2" w:rsidRDefault="00F93D9C" w:rsidP="00134CBE">
      <w:pPr>
        <w:rPr>
          <w:sz w:val="22"/>
          <w:szCs w:val="22"/>
          <w:lang w:val="sk-SK"/>
        </w:rPr>
      </w:pPr>
      <w:r w:rsidRPr="00534FB2">
        <w:rPr>
          <w:sz w:val="22"/>
          <w:szCs w:val="22"/>
          <w:lang w:val="sk-SK"/>
        </w:rPr>
        <w:t>Plazmatické koncentrácie korelujú s účinkom u mladých aj starších pacientov.</w:t>
      </w:r>
    </w:p>
    <w:p w14:paraId="73628DB2" w14:textId="77777777" w:rsidR="00F93D9C" w:rsidRPr="00534FB2" w:rsidRDefault="00F93D9C" w:rsidP="00134CBE">
      <w:pPr>
        <w:rPr>
          <w:sz w:val="22"/>
          <w:szCs w:val="22"/>
          <w:lang w:val="sk-SK"/>
        </w:rPr>
      </w:pPr>
    </w:p>
    <w:p w14:paraId="71A853E6" w14:textId="57CE6666" w:rsidR="00C17BA7" w:rsidRPr="00534FB2" w:rsidRDefault="00F93D9C" w:rsidP="00F93D9C">
      <w:pPr>
        <w:rPr>
          <w:sz w:val="22"/>
          <w:szCs w:val="22"/>
          <w:lang w:val="sk-SK"/>
        </w:rPr>
      </w:pPr>
      <w:r w:rsidRPr="00534FB2">
        <w:rPr>
          <w:sz w:val="22"/>
          <w:szCs w:val="22"/>
          <w:lang w:val="sk-SK"/>
        </w:rPr>
        <w:t>U pacientov s hypertenziou s normálnou funkciou obličiek terapeutické dávky amlodipínu vyvolali zníženie odporu obličkových ciev a zvýšenie rýchlosti glomerulárnej filtrácie a efektívneho prietoku plazmy obličkami, a to bezo zmeny filtrovanej frakcie alebo proteinúrie.</w:t>
      </w:r>
    </w:p>
    <w:p w14:paraId="3C1598B7" w14:textId="77777777" w:rsidR="00F93D9C" w:rsidRPr="00534FB2" w:rsidRDefault="00F93D9C" w:rsidP="00F93D9C">
      <w:pPr>
        <w:rPr>
          <w:sz w:val="22"/>
          <w:szCs w:val="22"/>
          <w:lang w:val="sk-SK"/>
        </w:rPr>
      </w:pPr>
    </w:p>
    <w:p w14:paraId="777F3ED7" w14:textId="4E871B40" w:rsidR="00C17BA7" w:rsidRPr="00534FB2" w:rsidRDefault="00F93D9C" w:rsidP="00F93D9C">
      <w:pPr>
        <w:rPr>
          <w:sz w:val="22"/>
          <w:szCs w:val="22"/>
          <w:lang w:val="sk-SK"/>
        </w:rPr>
      </w:pPr>
      <w:r w:rsidRPr="00534FB2">
        <w:rPr>
          <w:sz w:val="22"/>
          <w:szCs w:val="22"/>
          <w:lang w:val="sk-SK"/>
        </w:rPr>
        <w:t xml:space="preserve">Tak ako pri iných blokátoroch kalciových kanálov, hemodynamické merania srdcovej funkcie v pokoji a pri telesnej námahe (alebo chôdzi) u pacientov s normálnou ventrikulárnou funkciou, ktorí sa liečili amlodipínom, spravidla ukázali malé zvýšenie srdcového indexu bez významného ovplyvnenia dP/dt alebo </w:t>
      </w:r>
      <w:r w:rsidR="000D438A" w:rsidRPr="00534FB2">
        <w:rPr>
          <w:sz w:val="22"/>
          <w:szCs w:val="22"/>
          <w:lang w:val="sk-SK"/>
        </w:rPr>
        <w:t xml:space="preserve">koncového objemu v ľavej komore alebo </w:t>
      </w:r>
      <w:r w:rsidRPr="00534FB2">
        <w:rPr>
          <w:sz w:val="22"/>
          <w:szCs w:val="22"/>
          <w:lang w:val="sk-SK"/>
        </w:rPr>
        <w:t>koncového diastolického tlaku</w:t>
      </w:r>
      <w:r w:rsidR="000D438A" w:rsidRPr="00534FB2">
        <w:rPr>
          <w:sz w:val="22"/>
          <w:szCs w:val="22"/>
          <w:lang w:val="sk-SK"/>
        </w:rPr>
        <w:t xml:space="preserve">. </w:t>
      </w:r>
      <w:r w:rsidRPr="00534FB2">
        <w:rPr>
          <w:sz w:val="22"/>
          <w:szCs w:val="22"/>
          <w:lang w:val="sk-SK"/>
        </w:rPr>
        <w:t>V štúdiách hemodynamiky sa podávanie amlodipínu v rozmedzí terapeutických dávok intaktným zvieratám a ľuďom nespájalo s negatívnym inotropným účinkom, a to ani vtedy, keď sa ľuďom súčasne podávali betablokátory.</w:t>
      </w:r>
    </w:p>
    <w:p w14:paraId="3779673F" w14:textId="77777777" w:rsidR="00F93D9C" w:rsidRPr="00534FB2" w:rsidRDefault="00F93D9C" w:rsidP="00F93D9C">
      <w:pPr>
        <w:rPr>
          <w:sz w:val="22"/>
          <w:szCs w:val="22"/>
          <w:lang w:val="sk-SK"/>
        </w:rPr>
      </w:pPr>
    </w:p>
    <w:p w14:paraId="34E2E146" w14:textId="591DD3F7" w:rsidR="00C17BA7" w:rsidRPr="00534FB2" w:rsidRDefault="000D438A" w:rsidP="000D438A">
      <w:pPr>
        <w:rPr>
          <w:sz w:val="22"/>
          <w:szCs w:val="22"/>
          <w:lang w:val="sk-SK"/>
        </w:rPr>
      </w:pPr>
      <w:r w:rsidRPr="00534FB2">
        <w:rPr>
          <w:sz w:val="22"/>
          <w:szCs w:val="22"/>
          <w:lang w:val="sk-SK"/>
        </w:rPr>
        <w:t>Amlodipín nemení funkciu sinoatriálneho uzla ani átrioventrikulárne vedenie u intaktných zvierat alebo ľudí. V klinických skúšaniach, v ktorých sa podával amlodipín v kombinácii s betablokátormi pacientom buď s hypertenziou, alebo s angina pectoris, sa nepozorovali nežiaduce účinky na elektrokardiografické parametre.</w:t>
      </w:r>
    </w:p>
    <w:p w14:paraId="685989F6" w14:textId="77777777" w:rsidR="000D438A" w:rsidRPr="00534FB2" w:rsidRDefault="000D438A" w:rsidP="000D438A">
      <w:pPr>
        <w:rPr>
          <w:sz w:val="22"/>
          <w:szCs w:val="22"/>
          <w:lang w:val="sk-SK"/>
        </w:rPr>
      </w:pPr>
    </w:p>
    <w:p w14:paraId="4E511186" w14:textId="060FA8F8" w:rsidR="00C17BA7" w:rsidRPr="00534FB2" w:rsidRDefault="000D438A" w:rsidP="000D438A">
      <w:pPr>
        <w:rPr>
          <w:sz w:val="22"/>
          <w:szCs w:val="22"/>
          <w:lang w:val="sk-SK"/>
        </w:rPr>
      </w:pPr>
      <w:r w:rsidRPr="00534FB2">
        <w:rPr>
          <w:sz w:val="22"/>
          <w:szCs w:val="22"/>
          <w:lang w:val="sk-SK"/>
        </w:rPr>
        <w:t>Amlodipín sa skúmal u pacientov s chronickou stabilnou angina pectoris, vazospastickou angínou a angiograficky potvrdenou ischemickou chorobou srdca.</w:t>
      </w:r>
    </w:p>
    <w:p w14:paraId="58AC3E0D" w14:textId="77777777" w:rsidR="000D438A" w:rsidRPr="00534FB2" w:rsidRDefault="000D438A" w:rsidP="000D438A">
      <w:pPr>
        <w:rPr>
          <w:sz w:val="22"/>
          <w:szCs w:val="22"/>
          <w:lang w:val="sk-SK"/>
        </w:rPr>
      </w:pPr>
    </w:p>
    <w:p w14:paraId="171A1A2C" w14:textId="6A523A3E" w:rsidR="00C17BA7" w:rsidRPr="00534FB2" w:rsidRDefault="000D438A" w:rsidP="006323B5">
      <w:pPr>
        <w:keepNext/>
        <w:rPr>
          <w:i/>
          <w:sz w:val="22"/>
          <w:szCs w:val="22"/>
          <w:u w:val="single"/>
          <w:lang w:val="sk-SK"/>
        </w:rPr>
      </w:pPr>
      <w:r w:rsidRPr="00534FB2">
        <w:rPr>
          <w:i/>
          <w:sz w:val="22"/>
          <w:szCs w:val="22"/>
          <w:u w:val="single"/>
          <w:lang w:val="sk-SK"/>
        </w:rPr>
        <w:t>Klinická účinnosť a bezpečnosť</w:t>
      </w:r>
    </w:p>
    <w:p w14:paraId="5F6AD151" w14:textId="2F021B2D" w:rsidR="00C17BA7" w:rsidRPr="00534FB2" w:rsidRDefault="000D438A" w:rsidP="006323B5">
      <w:pPr>
        <w:keepNext/>
        <w:rPr>
          <w:i/>
          <w:sz w:val="22"/>
          <w:szCs w:val="22"/>
          <w:lang w:val="sk-SK"/>
        </w:rPr>
      </w:pPr>
      <w:r w:rsidRPr="00534FB2">
        <w:rPr>
          <w:i/>
          <w:sz w:val="22"/>
          <w:szCs w:val="22"/>
          <w:lang w:val="sk-SK"/>
        </w:rPr>
        <w:t>Použitie u pacientov s hypertenziou</w:t>
      </w:r>
    </w:p>
    <w:p w14:paraId="5E71098C" w14:textId="620AC0B3" w:rsidR="00C17BA7" w:rsidRPr="00534FB2" w:rsidRDefault="00094C27" w:rsidP="00094C27">
      <w:pPr>
        <w:rPr>
          <w:sz w:val="22"/>
          <w:szCs w:val="22"/>
          <w:lang w:val="sk-SK"/>
        </w:rPr>
      </w:pPr>
      <w:r w:rsidRPr="00534FB2">
        <w:rPr>
          <w:sz w:val="22"/>
          <w:szCs w:val="22"/>
          <w:lang w:val="sk-SK"/>
        </w:rPr>
        <w:t>Randomizované, dvojito zaslepené klinické skúšanie morbidity a mortality s názvom Klinické skúšanie prevencie infarktu myokardu liečbou znižujúcou krvný tlak a lipidy (Antihypertensive and Lipid-Lowering treatment to prevent Heart Attack Trial, ALLHAT) sa uskutočnilo na porovnanie novších spôsobov liečby: amlodipín 2,5-10 mg/deň (blokátor kalciových kanálov) alebo lizinopril 10-40 mg/deň (inhibítor ACE) ako liečby prvej línie oproti liečbe tiazidovým diuretikom chlórtalidónom 12,5-25 mg/deň pri ľahkej až stredne ťažkej hypertenzii.</w:t>
      </w:r>
    </w:p>
    <w:p w14:paraId="0D4AA97B" w14:textId="77777777" w:rsidR="00094C27" w:rsidRPr="00534FB2" w:rsidRDefault="00094C27" w:rsidP="00094C27">
      <w:pPr>
        <w:rPr>
          <w:sz w:val="22"/>
          <w:szCs w:val="22"/>
          <w:lang w:val="sk-SK"/>
        </w:rPr>
      </w:pPr>
    </w:p>
    <w:p w14:paraId="4EF266D1" w14:textId="27AF5AD2" w:rsidR="00C17BA7" w:rsidRPr="00534FB2" w:rsidRDefault="00094C27" w:rsidP="00094C27">
      <w:pPr>
        <w:rPr>
          <w:sz w:val="22"/>
          <w:szCs w:val="22"/>
          <w:lang w:val="sk-SK"/>
        </w:rPr>
      </w:pPr>
      <w:r w:rsidRPr="00534FB2">
        <w:rPr>
          <w:sz w:val="22"/>
          <w:szCs w:val="22"/>
          <w:lang w:val="sk-SK"/>
        </w:rPr>
        <w:t>Celkovo 33 357 pacientov s hypertenziou vo veku 55 rokov alebo starších bolo randomizovaných a sledovaných v priemere 4,9 roka. Pacienti mali aspoň jeden ďalší rizikový faktor pre koronárnu chorobu srdca vrátane infarktu myokardu alebo cievnej mozgovej príhody v minulosti (&gt;6 mesiacov pred zaradením do klinického skúšania) alebo dokumentovaného iného aterosklerotického kardiovaskulárneho ochorenia (celkovo 51,5%), diabetu 2. typu (36,1%), HDL cholesterolu &lt;35 mg/dl alebo &lt;0,906 mmol/l (11,6%), hypertrofie ľavej komory diagnostikovanej pomocou elektrokardiogramu alebo echokardiograficky (20,9%), fajčenia cigariet v súčasnosti (21,9%).</w:t>
      </w:r>
    </w:p>
    <w:p w14:paraId="5A607E7F" w14:textId="77777777" w:rsidR="00094C27" w:rsidRPr="00534FB2" w:rsidRDefault="00094C27" w:rsidP="00094C27">
      <w:pPr>
        <w:rPr>
          <w:sz w:val="22"/>
          <w:szCs w:val="22"/>
          <w:lang w:val="sk-SK"/>
        </w:rPr>
      </w:pPr>
    </w:p>
    <w:p w14:paraId="0118DD0D" w14:textId="77777777" w:rsidR="00C6667C" w:rsidRPr="00534FB2" w:rsidRDefault="00C6667C" w:rsidP="00C6667C">
      <w:pPr>
        <w:rPr>
          <w:sz w:val="22"/>
          <w:szCs w:val="22"/>
          <w:lang w:val="sk-SK"/>
        </w:rPr>
      </w:pPr>
      <w:r w:rsidRPr="00534FB2">
        <w:rPr>
          <w:sz w:val="22"/>
          <w:szCs w:val="22"/>
          <w:lang w:val="sk-SK"/>
        </w:rPr>
        <w:t>Primárny parameter sa skladal z fatálnej koronárnej choroby srdca alebo nefatálneho infarktu</w:t>
      </w:r>
    </w:p>
    <w:p w14:paraId="31E4FE69" w14:textId="77777777" w:rsidR="00C6667C" w:rsidRPr="00534FB2" w:rsidRDefault="00C6667C" w:rsidP="00C6667C">
      <w:pPr>
        <w:rPr>
          <w:sz w:val="22"/>
          <w:szCs w:val="22"/>
          <w:lang w:val="sk-SK"/>
        </w:rPr>
      </w:pPr>
      <w:r w:rsidRPr="00534FB2">
        <w:rPr>
          <w:sz w:val="22"/>
          <w:szCs w:val="22"/>
          <w:lang w:val="sk-SK"/>
        </w:rPr>
        <w:t>myokardu. Primárny parameter sa významne nelíšil medzi liečbou založenou na amlodipíne a</w:t>
      </w:r>
    </w:p>
    <w:p w14:paraId="15F851B4" w14:textId="634DBD85" w:rsidR="00C17BA7" w:rsidRPr="00534FB2" w:rsidRDefault="00C6667C" w:rsidP="00C6667C">
      <w:pPr>
        <w:rPr>
          <w:sz w:val="22"/>
          <w:szCs w:val="22"/>
          <w:lang w:val="sk-SK"/>
        </w:rPr>
      </w:pPr>
      <w:r w:rsidRPr="00534FB2">
        <w:rPr>
          <w:sz w:val="22"/>
          <w:szCs w:val="22"/>
          <w:lang w:val="sk-SK"/>
        </w:rPr>
        <w:t xml:space="preserve">chlórtalidóne: pomer rizika (RR) 0,98, 95% IS (0,90-1,07), p=0,65. Medzi sekundárnymi parametrami bola incidencia srdcového zlyhávania (súčasť zloženého kombinovaného kardiovaskulárneho parametra) významne vyššia v skupine amlodipínu v porovnaní so skupinou chlórtalidónu (10,2% oproti 7,7%, RR 1,38, 95% IS [1,25-1,52], p&lt;0,001). V úmrtiach z akejkoľvek príčiny však nebol </w:t>
      </w:r>
      <w:r w:rsidRPr="00534FB2">
        <w:rPr>
          <w:sz w:val="22"/>
          <w:szCs w:val="22"/>
          <w:lang w:val="sk-SK"/>
        </w:rPr>
        <w:lastRenderedPageBreak/>
        <w:t>významný rozdiel medzi liečbou založenou na amlodipíne a chlórtalidóne: RR 0,96, 95% IS [0,89-1,02], p=0,20.</w:t>
      </w:r>
    </w:p>
    <w:p w14:paraId="4E0FFBD7" w14:textId="77777777" w:rsidR="00C6667C" w:rsidRPr="00534FB2" w:rsidRDefault="00C6667C" w:rsidP="00C6667C">
      <w:pPr>
        <w:rPr>
          <w:sz w:val="22"/>
          <w:szCs w:val="22"/>
          <w:lang w:val="sk-SK"/>
        </w:rPr>
      </w:pPr>
    </w:p>
    <w:p w14:paraId="726322B5" w14:textId="77777777" w:rsidR="00C17BA7" w:rsidRPr="00534FB2" w:rsidRDefault="00C17BA7" w:rsidP="00134CBE">
      <w:pPr>
        <w:rPr>
          <w:sz w:val="22"/>
          <w:szCs w:val="22"/>
          <w:u w:val="single"/>
          <w:lang w:val="sk-SK"/>
        </w:rPr>
      </w:pPr>
      <w:r w:rsidRPr="00534FB2">
        <w:rPr>
          <w:sz w:val="22"/>
          <w:szCs w:val="22"/>
          <w:u w:val="single"/>
          <w:lang w:val="sk-SK"/>
        </w:rPr>
        <w:t>Valsartan</w:t>
      </w:r>
    </w:p>
    <w:p w14:paraId="60375C0F" w14:textId="20A484AF" w:rsidR="00C17BA7" w:rsidRPr="00534FB2" w:rsidRDefault="00C6667C" w:rsidP="00134CBE">
      <w:pPr>
        <w:rPr>
          <w:i/>
          <w:sz w:val="22"/>
          <w:szCs w:val="22"/>
          <w:u w:val="single"/>
          <w:lang w:val="sk-SK"/>
        </w:rPr>
      </w:pPr>
      <w:r w:rsidRPr="00534FB2">
        <w:rPr>
          <w:i/>
          <w:sz w:val="22"/>
          <w:szCs w:val="22"/>
          <w:u w:val="single"/>
          <w:lang w:val="sk-SK"/>
        </w:rPr>
        <w:t>Mechanizmus účinku</w:t>
      </w:r>
    </w:p>
    <w:p w14:paraId="3D7924DD" w14:textId="46166774" w:rsidR="00C02D7F" w:rsidRPr="00534FB2" w:rsidRDefault="00C6667C" w:rsidP="00C6667C">
      <w:pPr>
        <w:rPr>
          <w:sz w:val="22"/>
          <w:szCs w:val="22"/>
          <w:lang w:val="sk-SK"/>
        </w:rPr>
      </w:pPr>
      <w:r w:rsidRPr="00534FB2">
        <w:rPr>
          <w:sz w:val="22"/>
          <w:szCs w:val="22"/>
          <w:lang w:val="sk-SK"/>
        </w:rPr>
        <w:t>Valsartan je perorálne aktívny, účinný a špecifický antagonista receptorov angiotenzínu II. Účinkuje selektívne na receptor podtypu AT1, ktorý je zodpovedný za známe účinky angiotenzínu II.</w:t>
      </w:r>
    </w:p>
    <w:p w14:paraId="4ADA28F2" w14:textId="77777777" w:rsidR="00C6667C" w:rsidRPr="00534FB2" w:rsidRDefault="00C6667C" w:rsidP="00C6667C">
      <w:pPr>
        <w:rPr>
          <w:sz w:val="22"/>
          <w:szCs w:val="22"/>
          <w:lang w:val="sk-SK"/>
        </w:rPr>
      </w:pPr>
    </w:p>
    <w:p w14:paraId="6B88047B" w14:textId="51520764" w:rsidR="00C02D7F" w:rsidRPr="00534FB2" w:rsidRDefault="00C6667C" w:rsidP="00134CBE">
      <w:pPr>
        <w:rPr>
          <w:i/>
          <w:sz w:val="22"/>
          <w:szCs w:val="22"/>
          <w:u w:val="single"/>
          <w:lang w:val="sk-SK"/>
        </w:rPr>
      </w:pPr>
      <w:r w:rsidRPr="00534FB2">
        <w:rPr>
          <w:i/>
          <w:sz w:val="22"/>
          <w:szCs w:val="22"/>
          <w:u w:val="single"/>
          <w:lang w:val="sk-SK"/>
        </w:rPr>
        <w:t>Klinická účinnosť a bezpečnosť</w:t>
      </w:r>
      <w:r w:rsidR="00C17BA7" w:rsidRPr="00534FB2">
        <w:rPr>
          <w:i/>
          <w:sz w:val="22"/>
          <w:szCs w:val="22"/>
          <w:u w:val="single"/>
          <w:lang w:val="sk-SK"/>
        </w:rPr>
        <w:t xml:space="preserve"> </w:t>
      </w:r>
    </w:p>
    <w:p w14:paraId="706B8126" w14:textId="4D92A73B" w:rsidR="00C17BA7" w:rsidRPr="00534FB2" w:rsidRDefault="00C6667C" w:rsidP="00C6667C">
      <w:pPr>
        <w:rPr>
          <w:sz w:val="22"/>
          <w:szCs w:val="22"/>
          <w:lang w:val="sk-SK"/>
        </w:rPr>
      </w:pPr>
      <w:r w:rsidRPr="00534FB2">
        <w:rPr>
          <w:sz w:val="22"/>
          <w:szCs w:val="22"/>
          <w:lang w:val="sk-SK"/>
        </w:rPr>
        <w:t>Podávanie valsartanu pacientom s hypertenziou vyvoláva pokles krvného tlaku bez ovplyvnenia tepovej frekvencie.</w:t>
      </w:r>
    </w:p>
    <w:p w14:paraId="0E266BB6" w14:textId="77777777" w:rsidR="00C6667C" w:rsidRPr="00534FB2" w:rsidRDefault="00C6667C" w:rsidP="00C6667C">
      <w:pPr>
        <w:rPr>
          <w:sz w:val="22"/>
          <w:szCs w:val="22"/>
          <w:lang w:val="sk-SK"/>
        </w:rPr>
      </w:pPr>
    </w:p>
    <w:p w14:paraId="17314557" w14:textId="785F4934" w:rsidR="00C02D7F" w:rsidRPr="00534FB2" w:rsidRDefault="00C6667C" w:rsidP="00C6667C">
      <w:pPr>
        <w:rPr>
          <w:sz w:val="22"/>
          <w:szCs w:val="22"/>
          <w:lang w:val="sk-SK"/>
        </w:rPr>
      </w:pPr>
      <w:r w:rsidRPr="00534FB2">
        <w:rPr>
          <w:sz w:val="22"/>
          <w:szCs w:val="22"/>
          <w:lang w:val="sk-SK"/>
        </w:rPr>
        <w:t>U väčšiny pacientov po podaní jednorazovej perorálnej dávky nastupuje antihypertenzívny účinok v priebehu 2 hodín a maximálny pokles krvného tlaku sa dosiahne počas 4-6 hodín. Antihypertenzívny účinok pretrváva 24 hodín po podaní. Pri opakovanom podávaní maximálne zníženie krvného tlaku pri akejkoľvek dávke sa spravidla dosiahne v priebehu 2-4 týždňov.</w:t>
      </w:r>
    </w:p>
    <w:p w14:paraId="34B571D0" w14:textId="77777777" w:rsidR="00C6667C" w:rsidRPr="00534FB2" w:rsidRDefault="00C6667C" w:rsidP="00C6667C">
      <w:pPr>
        <w:rPr>
          <w:sz w:val="22"/>
          <w:szCs w:val="22"/>
          <w:lang w:val="sk-SK"/>
        </w:rPr>
      </w:pPr>
    </w:p>
    <w:p w14:paraId="583DC5EA" w14:textId="415CC211" w:rsidR="00C17BA7" w:rsidRPr="00534FB2" w:rsidRDefault="00C6667C" w:rsidP="00134CBE">
      <w:pPr>
        <w:rPr>
          <w:sz w:val="22"/>
          <w:szCs w:val="22"/>
          <w:u w:val="single"/>
          <w:lang w:val="sk-SK"/>
        </w:rPr>
      </w:pPr>
      <w:r w:rsidRPr="00534FB2">
        <w:rPr>
          <w:sz w:val="22"/>
          <w:szCs w:val="22"/>
          <w:u w:val="single"/>
          <w:lang w:val="sk-SK"/>
        </w:rPr>
        <w:t>Hydrochl</w:t>
      </w:r>
      <w:r w:rsidR="000514B9">
        <w:rPr>
          <w:sz w:val="22"/>
          <w:szCs w:val="22"/>
          <w:u w:val="single"/>
          <w:lang w:val="sk-SK"/>
        </w:rPr>
        <w:t>ó</w:t>
      </w:r>
      <w:r w:rsidRPr="00534FB2">
        <w:rPr>
          <w:sz w:val="22"/>
          <w:szCs w:val="22"/>
          <w:u w:val="single"/>
          <w:lang w:val="sk-SK"/>
        </w:rPr>
        <w:t>rtiazid</w:t>
      </w:r>
    </w:p>
    <w:p w14:paraId="54DE7B65" w14:textId="548E7BE2" w:rsidR="00C17BA7" w:rsidRPr="00534FB2" w:rsidRDefault="00A57AC9" w:rsidP="00134CBE">
      <w:pPr>
        <w:rPr>
          <w:i/>
          <w:sz w:val="22"/>
          <w:szCs w:val="22"/>
          <w:u w:val="single"/>
          <w:lang w:val="sk-SK"/>
        </w:rPr>
      </w:pPr>
      <w:r w:rsidRPr="00534FB2">
        <w:rPr>
          <w:i/>
          <w:sz w:val="22"/>
          <w:szCs w:val="22"/>
          <w:u w:val="single"/>
          <w:lang w:val="sk-SK"/>
        </w:rPr>
        <w:t>Mechanizmus účinku</w:t>
      </w:r>
    </w:p>
    <w:p w14:paraId="7630C647" w14:textId="780C5D7E" w:rsidR="00C17BA7" w:rsidRPr="00534FB2" w:rsidRDefault="00A57AC9" w:rsidP="00A57AC9">
      <w:pPr>
        <w:rPr>
          <w:sz w:val="22"/>
          <w:szCs w:val="22"/>
          <w:lang w:val="sk-SK"/>
        </w:rPr>
      </w:pPr>
      <w:r w:rsidRPr="00534FB2">
        <w:rPr>
          <w:sz w:val="22"/>
          <w:szCs w:val="22"/>
          <w:lang w:val="sk-SK"/>
        </w:rPr>
        <w:t>Miesto účinku tiazidových diuretík je primárne v distálnom stočenom tubule obličiek. Ukázalo sa, že v kôre obličiek sa vyskytuje vysokoafinitný receptor ako primárne väzbové miesto pre pôsobenie tiazidových diuretík a inhibíciu transportu NaCl v distálnom stočenom tubule. Tiazidy účinkujú prostredníctvom inhibície symportéra Na</w:t>
      </w:r>
      <w:r w:rsidRPr="00534FB2">
        <w:rPr>
          <w:sz w:val="22"/>
          <w:szCs w:val="22"/>
          <w:vertAlign w:val="superscript"/>
          <w:lang w:val="sk-SK"/>
        </w:rPr>
        <w:t>+</w:t>
      </w:r>
      <w:r w:rsidRPr="00534FB2">
        <w:rPr>
          <w:sz w:val="22"/>
          <w:szCs w:val="22"/>
          <w:lang w:val="sk-SK"/>
        </w:rPr>
        <w:t>Cl</w:t>
      </w:r>
      <w:r w:rsidRPr="00534FB2">
        <w:rPr>
          <w:sz w:val="22"/>
          <w:szCs w:val="22"/>
          <w:vertAlign w:val="superscript"/>
          <w:lang w:val="sk-SK"/>
        </w:rPr>
        <w:t>-</w:t>
      </w:r>
      <w:r w:rsidRPr="00534FB2">
        <w:rPr>
          <w:sz w:val="22"/>
          <w:szCs w:val="22"/>
          <w:lang w:val="sk-SK"/>
        </w:rPr>
        <w:t>, možno kompetíciou o miesto Cl-, čím ovplyvňujú mechanizmy reabsorpcie elektrolytov: priamo zvyšujú vylučovanie sodíka a chloridu v približne rovnakom rozsahu, a týmto diuretickým účinkom nepriamo znižujú objem plazmy s následným zvýšením plazmatickej aktivity renínu, sekrécie aldosterónu a strát draslíka močom, aj znížením draslíka v sére.</w:t>
      </w:r>
    </w:p>
    <w:p w14:paraId="483383E9" w14:textId="4DE8DF07" w:rsidR="00C02D7F" w:rsidRPr="00534FB2" w:rsidRDefault="00C02D7F" w:rsidP="00134CBE">
      <w:pPr>
        <w:rPr>
          <w:sz w:val="22"/>
          <w:szCs w:val="22"/>
          <w:u w:val="single"/>
          <w:lang w:val="sk-SK"/>
        </w:rPr>
      </w:pPr>
    </w:p>
    <w:p w14:paraId="708B9FC3" w14:textId="04ED1FDB" w:rsidR="00D313E0" w:rsidRPr="00534FB2" w:rsidRDefault="00A57AC9" w:rsidP="00134CBE">
      <w:pPr>
        <w:rPr>
          <w:sz w:val="22"/>
          <w:szCs w:val="22"/>
          <w:u w:val="single"/>
          <w:lang w:val="sk-SK"/>
        </w:rPr>
      </w:pPr>
      <w:r w:rsidRPr="00534FB2">
        <w:rPr>
          <w:sz w:val="22"/>
          <w:szCs w:val="22"/>
          <w:u w:val="single"/>
          <w:lang w:val="sk-SK"/>
        </w:rPr>
        <w:t>Nemelanómová rakovina kože</w:t>
      </w:r>
    </w:p>
    <w:p w14:paraId="52DE2174" w14:textId="77777777" w:rsidR="00A57AC9" w:rsidRPr="00534FB2" w:rsidRDefault="00A57AC9" w:rsidP="00A57AC9">
      <w:pPr>
        <w:rPr>
          <w:sz w:val="22"/>
          <w:szCs w:val="22"/>
          <w:lang w:val="sk-SK"/>
        </w:rPr>
      </w:pPr>
      <w:r w:rsidRPr="00534FB2">
        <w:rPr>
          <w:sz w:val="22"/>
          <w:szCs w:val="22"/>
          <w:lang w:val="sk-SK"/>
        </w:rPr>
        <w:t>Na základe dostupných údajov z epidemiologických štúdií sa pozorovala súvislosť medzi</w:t>
      </w:r>
    </w:p>
    <w:p w14:paraId="79C0DC1E" w14:textId="5F357A86" w:rsidR="00D313E0" w:rsidRPr="00534FB2" w:rsidRDefault="00A57AC9" w:rsidP="00A57AC9">
      <w:pPr>
        <w:rPr>
          <w:sz w:val="22"/>
          <w:szCs w:val="22"/>
          <w:lang w:val="sk-SK"/>
        </w:rPr>
      </w:pPr>
      <w:r w:rsidRPr="00534FB2">
        <w:rPr>
          <w:sz w:val="22"/>
          <w:szCs w:val="22"/>
          <w:lang w:val="sk-SK"/>
        </w:rPr>
        <w:t>hydrochl</w:t>
      </w:r>
      <w:r w:rsidR="000514B9">
        <w:rPr>
          <w:sz w:val="22"/>
          <w:szCs w:val="22"/>
          <w:lang w:val="sk-SK"/>
        </w:rPr>
        <w:t>ó</w:t>
      </w:r>
      <w:r w:rsidRPr="00534FB2">
        <w:rPr>
          <w:sz w:val="22"/>
          <w:szCs w:val="22"/>
          <w:lang w:val="sk-SK"/>
        </w:rPr>
        <w:t>rtiazidom a NMSC v závislosti od kumulatívnej dávky. Jedna štúdia zahŕňala populáciu, v ktorej sa vyskytlo 71 533 prípadov BCC a 8 629 prípadov SCC, čo zodpovedalo 1 430 833 a 172 462 kontrolám populácie. Používanie vysokých dávok hydrochl</w:t>
      </w:r>
      <w:r w:rsidR="000514B9">
        <w:rPr>
          <w:sz w:val="22"/>
          <w:szCs w:val="22"/>
          <w:lang w:val="sk-SK"/>
        </w:rPr>
        <w:t>ó</w:t>
      </w:r>
      <w:r w:rsidRPr="00534FB2">
        <w:rPr>
          <w:sz w:val="22"/>
          <w:szCs w:val="22"/>
          <w:lang w:val="sk-SK"/>
        </w:rPr>
        <w:t>rtiazidu (≥50 000 mg kumulatívne) súviselo s upraveným pomerom šancí (odds ratio, OR) 1,29 (95 % IS: 1,23–1,35) pre BCC a 3,98 (95 % IS: 3,68–4,31) pre SCC. V prípade BCC aj SCC sa pozoroval zjavný vzťah medzi odpoveďou a kumulatívnou dávkou. V ďalšej štúdii sa preukázala možná súvislosť medzi rakovinou pier (SCC) a vystavením hydrochl</w:t>
      </w:r>
      <w:r w:rsidR="000514B9">
        <w:rPr>
          <w:sz w:val="22"/>
          <w:szCs w:val="22"/>
          <w:lang w:val="sk-SK"/>
        </w:rPr>
        <w:t>ó</w:t>
      </w:r>
      <w:r w:rsidRPr="00534FB2">
        <w:rPr>
          <w:sz w:val="22"/>
          <w:szCs w:val="22"/>
          <w:lang w:val="sk-SK"/>
        </w:rPr>
        <w:t>rtiazidu: 633 prípadov rakoviny pier zodpovedalo 63 067 kontrolám populácie s použitím stratégie vzorkovania riziko-súbor. Preukázal sa vzťah odpovede a kumulatívnej dávky s upraveným OR 2,1 (95 % IS: 1,7–2,6), ktorý sa zvýšil na OR 3,9 (3,0–4,9) pre používanie vysokých dávok (~25 000 mg) a OR 7,7 (5,7–10,5) pre najvyššiu kumulatívnu dávku (~100 000 mg) (pozri aj časť 4.4).</w:t>
      </w:r>
    </w:p>
    <w:p w14:paraId="2607EE40" w14:textId="77777777" w:rsidR="00D313E0" w:rsidRPr="00534FB2" w:rsidRDefault="00D313E0" w:rsidP="00134CBE">
      <w:pPr>
        <w:rPr>
          <w:sz w:val="22"/>
          <w:szCs w:val="22"/>
          <w:u w:val="single"/>
          <w:lang w:val="sk-SK"/>
        </w:rPr>
      </w:pPr>
    </w:p>
    <w:p w14:paraId="7B584DB2" w14:textId="68FE08F3" w:rsidR="00C17BA7" w:rsidRPr="00534FB2" w:rsidRDefault="00E80E74" w:rsidP="00134CBE">
      <w:pPr>
        <w:rPr>
          <w:sz w:val="22"/>
          <w:szCs w:val="22"/>
          <w:u w:val="single"/>
          <w:lang w:val="sk-SK"/>
        </w:rPr>
      </w:pPr>
      <w:r w:rsidRPr="00534FB2">
        <w:rPr>
          <w:sz w:val="22"/>
          <w:szCs w:val="22"/>
          <w:u w:val="single"/>
          <w:lang w:val="sk-SK"/>
        </w:rPr>
        <w:t>Pediatrická populácia</w:t>
      </w:r>
    </w:p>
    <w:p w14:paraId="54A6D180" w14:textId="1E541F24" w:rsidR="00C02D7F" w:rsidRPr="00534FB2" w:rsidRDefault="00E80E74" w:rsidP="00E80E74">
      <w:pPr>
        <w:rPr>
          <w:sz w:val="22"/>
          <w:szCs w:val="22"/>
          <w:lang w:val="sk-SK"/>
        </w:rPr>
      </w:pPr>
      <w:r w:rsidRPr="00534FB2">
        <w:rPr>
          <w:sz w:val="22"/>
          <w:szCs w:val="22"/>
          <w:lang w:val="sk-SK"/>
        </w:rPr>
        <w:t>Európska agentúra pre lieky udelila výnimku z povinnosti predložiť výsledky štúdií s amlodipínom/valsartanom/hydrochl</w:t>
      </w:r>
      <w:r w:rsidR="000514B9">
        <w:rPr>
          <w:sz w:val="22"/>
          <w:szCs w:val="22"/>
          <w:lang w:val="sk-SK"/>
        </w:rPr>
        <w:t>ó</w:t>
      </w:r>
      <w:r w:rsidRPr="00534FB2">
        <w:rPr>
          <w:sz w:val="22"/>
          <w:szCs w:val="22"/>
          <w:lang w:val="sk-SK"/>
        </w:rPr>
        <w:t>rtiazidom vo všetkých podskupinách pediatrickej populácie pre esenciálnu hypertenziu (informácie o použití v pediatrickej populácii, pozri časť 4.2).</w:t>
      </w:r>
    </w:p>
    <w:p w14:paraId="3F28C0DA" w14:textId="77777777" w:rsidR="00E80E74" w:rsidRPr="00534FB2" w:rsidRDefault="00E80E74" w:rsidP="00E80E74">
      <w:pPr>
        <w:rPr>
          <w:sz w:val="22"/>
          <w:szCs w:val="22"/>
          <w:lang w:val="sk-SK"/>
        </w:rPr>
      </w:pPr>
    </w:p>
    <w:p w14:paraId="3BB54E10" w14:textId="009C1CEC" w:rsidR="006323B5" w:rsidRPr="00534FB2" w:rsidRDefault="00E80E74" w:rsidP="00134CBE">
      <w:pPr>
        <w:rPr>
          <w:sz w:val="22"/>
          <w:szCs w:val="22"/>
          <w:u w:val="single"/>
          <w:lang w:val="sk-SK"/>
        </w:rPr>
      </w:pPr>
      <w:r w:rsidRPr="00534FB2">
        <w:rPr>
          <w:sz w:val="22"/>
          <w:szCs w:val="22"/>
          <w:u w:val="single"/>
          <w:lang w:val="sk-SK"/>
        </w:rPr>
        <w:t>Iné</w:t>
      </w:r>
      <w:r w:rsidR="00C17BA7" w:rsidRPr="00534FB2">
        <w:rPr>
          <w:sz w:val="22"/>
          <w:szCs w:val="22"/>
          <w:u w:val="single"/>
          <w:lang w:val="sk-SK"/>
        </w:rPr>
        <w:t>:</w:t>
      </w:r>
    </w:p>
    <w:p w14:paraId="1EBFFF75" w14:textId="5AE30689" w:rsidR="00C17BA7" w:rsidRPr="00534FB2" w:rsidRDefault="00E80E74" w:rsidP="00134CBE">
      <w:pPr>
        <w:rPr>
          <w:sz w:val="22"/>
          <w:szCs w:val="22"/>
          <w:u w:val="single"/>
          <w:lang w:val="sk-SK"/>
        </w:rPr>
      </w:pPr>
      <w:r w:rsidRPr="00534FB2">
        <w:rPr>
          <w:sz w:val="22"/>
          <w:szCs w:val="22"/>
          <w:u w:val="single"/>
          <w:lang w:val="sk-SK"/>
        </w:rPr>
        <w:t>Duálna inhibícia systému renín-angiotenzín-aldosterón (RAAS)</w:t>
      </w:r>
    </w:p>
    <w:p w14:paraId="18B8406D" w14:textId="66211770" w:rsidR="00C02D7F" w:rsidRPr="00534FB2" w:rsidRDefault="00E80E74" w:rsidP="00E80E74">
      <w:pPr>
        <w:rPr>
          <w:sz w:val="22"/>
          <w:szCs w:val="22"/>
          <w:lang w:val="sk-SK"/>
        </w:rPr>
      </w:pPr>
      <w:r w:rsidRPr="00534FB2">
        <w:rPr>
          <w:sz w:val="22"/>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ARB.</w:t>
      </w:r>
    </w:p>
    <w:p w14:paraId="7E86AD1E" w14:textId="77777777" w:rsidR="00E80E74" w:rsidRPr="00534FB2" w:rsidRDefault="00E80E74" w:rsidP="00E80E74">
      <w:pPr>
        <w:rPr>
          <w:sz w:val="22"/>
          <w:szCs w:val="22"/>
          <w:lang w:val="sk-SK"/>
        </w:rPr>
      </w:pPr>
    </w:p>
    <w:p w14:paraId="73F32E89" w14:textId="47D70352" w:rsidR="00C02D7F" w:rsidRPr="00534FB2" w:rsidRDefault="00E80E74" w:rsidP="00E80E74">
      <w:pPr>
        <w:rPr>
          <w:sz w:val="22"/>
          <w:szCs w:val="22"/>
          <w:lang w:val="sk-SK"/>
        </w:rPr>
      </w:pPr>
      <w:r w:rsidRPr="00534FB2">
        <w:rPr>
          <w:sz w:val="22"/>
          <w:szCs w:val="22"/>
          <w:lang w:val="sk-SK"/>
        </w:rPr>
        <w:t xml:space="preserve">Skúšanie ONTARGET sa vykonalo u pacientov s kardiovaskulárnym alebo cerebrovaskulárnym ochorením v anamnéze, alebo u pacientov s diabetes mellitus 2. typu, u ktorých sa preukázalo </w:t>
      </w:r>
      <w:r w:rsidRPr="00534FB2">
        <w:rPr>
          <w:sz w:val="22"/>
          <w:szCs w:val="22"/>
          <w:lang w:val="sk-SK"/>
        </w:rPr>
        <w:lastRenderedPageBreak/>
        <w:t>poškodenie cieľových orgánov. Skúšanie VA NEPHRON-D sa vykonalo u pacientov s diabetes mellitus 2. typu a diabetickou nefropatiou.</w:t>
      </w:r>
    </w:p>
    <w:p w14:paraId="1EA7462B" w14:textId="77777777" w:rsidR="00E80E74" w:rsidRPr="00534FB2" w:rsidRDefault="00E80E74" w:rsidP="00E80E74">
      <w:pPr>
        <w:rPr>
          <w:sz w:val="22"/>
          <w:szCs w:val="22"/>
          <w:lang w:val="sk-SK"/>
        </w:rPr>
      </w:pPr>
    </w:p>
    <w:p w14:paraId="534D4311" w14:textId="0BD78C44" w:rsidR="00C17BA7" w:rsidRPr="00534FB2" w:rsidRDefault="00E80E74" w:rsidP="00E80E74">
      <w:pPr>
        <w:rPr>
          <w:sz w:val="22"/>
          <w:szCs w:val="22"/>
          <w:lang w:val="sk-SK"/>
        </w:rPr>
      </w:pPr>
      <w:r w:rsidRPr="00534FB2">
        <w:rPr>
          <w:sz w:val="22"/>
          <w:szCs w:val="22"/>
          <w:lang w:val="sk-SK"/>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ARB. Inhibítory ACE a ARB sa preto nemajú používať súbežne u pacientov s diabetickou nefropatiou (pozri časť 4.4).</w:t>
      </w:r>
    </w:p>
    <w:p w14:paraId="5612C269" w14:textId="77777777" w:rsidR="00C02D7F" w:rsidRPr="00534FB2" w:rsidRDefault="00C02D7F" w:rsidP="00134CBE">
      <w:pPr>
        <w:rPr>
          <w:sz w:val="22"/>
          <w:szCs w:val="22"/>
          <w:lang w:val="sk-SK"/>
        </w:rPr>
      </w:pPr>
    </w:p>
    <w:p w14:paraId="5DE0B124" w14:textId="7AFE2E00" w:rsidR="00C17BA7" w:rsidRPr="00534FB2" w:rsidRDefault="00E80E74" w:rsidP="00E80E74">
      <w:pPr>
        <w:rPr>
          <w:sz w:val="22"/>
          <w:szCs w:val="22"/>
          <w:lang w:val="sk-SK"/>
        </w:rPr>
      </w:pPr>
      <w:r w:rsidRPr="00534FB2">
        <w:rPr>
          <w:sz w:val="22"/>
          <w:szCs w:val="22"/>
          <w:lang w:val="sk-SK"/>
        </w:rPr>
        <w:t>Skúšanie ALTITUDE (Aliskiren Trial in Type 2 Diabetes Using Cardiovascular and Renal Disease Endpoints) bolo navrhnuté na otestovanie prínosu pridania aliskir</w:t>
      </w:r>
      <w:r w:rsidR="00526F2A">
        <w:rPr>
          <w:sz w:val="22"/>
          <w:szCs w:val="22"/>
          <w:lang w:val="sk-SK"/>
        </w:rPr>
        <w:t>é</w:t>
      </w:r>
      <w:r w:rsidRPr="00534FB2">
        <w:rPr>
          <w:sz w:val="22"/>
          <w:szCs w:val="22"/>
          <w:lang w:val="sk-SK"/>
        </w:rPr>
        <w:t>nu k štandardnej liečbe inhibítorom ACE alebo ARB u pacientov s diabetes mellitus 2. typu a chronickým ochorením obličiek, kardiovaskulárnym ochorením, alebo oboma ochoreniami. Skúšanie bolo predčasne ukončené pre zvýšené riziko nežiaducich udalostí. V skupine aliskir</w:t>
      </w:r>
      <w:r w:rsidR="00526F2A">
        <w:rPr>
          <w:sz w:val="22"/>
          <w:szCs w:val="22"/>
          <w:lang w:val="sk-SK"/>
        </w:rPr>
        <w:t>é</w:t>
      </w:r>
      <w:r w:rsidRPr="00534FB2">
        <w:rPr>
          <w:sz w:val="22"/>
          <w:szCs w:val="22"/>
          <w:lang w:val="sk-SK"/>
        </w:rPr>
        <w:t>nu bolo numericky viac úmrtí z kardiovaskulárnej príčiny a cievnych mozgových príhod ako v skupine placeba a v skupine aliskir</w:t>
      </w:r>
      <w:r w:rsidR="00526F2A">
        <w:rPr>
          <w:sz w:val="22"/>
          <w:szCs w:val="22"/>
          <w:lang w:val="sk-SK"/>
        </w:rPr>
        <w:t>é</w:t>
      </w:r>
      <w:r w:rsidRPr="00534FB2">
        <w:rPr>
          <w:sz w:val="22"/>
          <w:szCs w:val="22"/>
          <w:lang w:val="sk-SK"/>
        </w:rPr>
        <w:t>nu boli častejšie hlásené sledované nežiaduce udalosti a závažné nežiaduce udalosti (hyperkaliémia, hypotenzia a renálna dysfunkcia) ako v skupine placeba.</w:t>
      </w:r>
    </w:p>
    <w:p w14:paraId="23F3D673" w14:textId="77777777" w:rsidR="00E80E74" w:rsidRPr="00534FB2" w:rsidRDefault="00E80E74" w:rsidP="00E80E74">
      <w:pPr>
        <w:rPr>
          <w:sz w:val="22"/>
          <w:szCs w:val="22"/>
          <w:lang w:val="sk-SK"/>
        </w:rPr>
      </w:pPr>
    </w:p>
    <w:p w14:paraId="0FF89B48" w14:textId="51E62C9F" w:rsidR="0043633E" w:rsidRPr="00534FB2" w:rsidRDefault="00E80E74" w:rsidP="00E80E74">
      <w:pPr>
        <w:pStyle w:val="Odsekzoznamu"/>
        <w:keepNext/>
        <w:numPr>
          <w:ilvl w:val="1"/>
          <w:numId w:val="1"/>
        </w:numPr>
        <w:ind w:left="567" w:hanging="567"/>
        <w:rPr>
          <w:b/>
          <w:sz w:val="22"/>
          <w:szCs w:val="22"/>
          <w:lang w:val="sk-SK"/>
        </w:rPr>
      </w:pPr>
      <w:r w:rsidRPr="00534FB2">
        <w:rPr>
          <w:b/>
          <w:sz w:val="22"/>
          <w:szCs w:val="22"/>
          <w:lang w:val="sk-SK"/>
        </w:rPr>
        <w:t>Farmakokinetické vlastnosti</w:t>
      </w:r>
    </w:p>
    <w:p w14:paraId="4F69CD88" w14:textId="77777777" w:rsidR="0043633E" w:rsidRPr="00534FB2" w:rsidRDefault="0043633E" w:rsidP="006323B5">
      <w:pPr>
        <w:keepNext/>
        <w:rPr>
          <w:sz w:val="22"/>
          <w:szCs w:val="22"/>
          <w:lang w:val="sk-SK"/>
        </w:rPr>
      </w:pPr>
    </w:p>
    <w:p w14:paraId="28FEB2F9" w14:textId="4ACB691D" w:rsidR="00730E83" w:rsidRPr="00534FB2" w:rsidRDefault="005C14E7" w:rsidP="00134CBE">
      <w:pPr>
        <w:rPr>
          <w:sz w:val="22"/>
          <w:szCs w:val="22"/>
          <w:u w:val="single"/>
          <w:lang w:val="sk-SK"/>
        </w:rPr>
      </w:pPr>
      <w:r w:rsidRPr="00534FB2">
        <w:rPr>
          <w:sz w:val="22"/>
          <w:szCs w:val="22"/>
          <w:u w:val="single"/>
          <w:lang w:val="sk-SK"/>
        </w:rPr>
        <w:t>Linearita</w:t>
      </w:r>
    </w:p>
    <w:p w14:paraId="4E24C8C2" w14:textId="698F0C77" w:rsidR="00730E83" w:rsidRPr="00534FB2" w:rsidRDefault="005C14E7" w:rsidP="00134CBE">
      <w:pPr>
        <w:rPr>
          <w:sz w:val="22"/>
          <w:szCs w:val="22"/>
          <w:lang w:val="sk-SK"/>
        </w:rPr>
      </w:pPr>
      <w:r w:rsidRPr="00534FB2">
        <w:rPr>
          <w:sz w:val="22"/>
          <w:szCs w:val="22"/>
          <w:lang w:val="sk-SK"/>
        </w:rPr>
        <w:t>Amlodipín, valsartan a hydrochl</w:t>
      </w:r>
      <w:r w:rsidR="000514B9">
        <w:rPr>
          <w:sz w:val="22"/>
          <w:szCs w:val="22"/>
          <w:lang w:val="sk-SK"/>
        </w:rPr>
        <w:t>ó</w:t>
      </w:r>
      <w:r w:rsidRPr="00534FB2">
        <w:rPr>
          <w:sz w:val="22"/>
          <w:szCs w:val="22"/>
          <w:lang w:val="sk-SK"/>
        </w:rPr>
        <w:t>rtiazid vykazujú lineárnu farmakokinetiku.</w:t>
      </w:r>
    </w:p>
    <w:p w14:paraId="74368D32" w14:textId="77777777" w:rsidR="00730E83" w:rsidRPr="00534FB2" w:rsidRDefault="00730E83" w:rsidP="00134CBE">
      <w:pPr>
        <w:rPr>
          <w:sz w:val="22"/>
          <w:szCs w:val="22"/>
          <w:lang w:val="sk-SK"/>
        </w:rPr>
      </w:pPr>
    </w:p>
    <w:p w14:paraId="6BD3A562" w14:textId="75F690B7" w:rsidR="00730E83" w:rsidRPr="00534FB2" w:rsidRDefault="005C14E7" w:rsidP="000416D6">
      <w:pPr>
        <w:keepNext/>
        <w:rPr>
          <w:i/>
          <w:iCs/>
          <w:sz w:val="22"/>
          <w:szCs w:val="22"/>
          <w:u w:val="single"/>
          <w:lang w:val="sk-SK"/>
        </w:rPr>
      </w:pPr>
      <w:r w:rsidRPr="00534FB2">
        <w:rPr>
          <w:i/>
          <w:iCs/>
          <w:sz w:val="22"/>
          <w:szCs w:val="22"/>
          <w:u w:val="single"/>
          <w:lang w:val="sk-SK"/>
        </w:rPr>
        <w:t>Amlodipín/valsartan/hydrochl</w:t>
      </w:r>
      <w:r w:rsidR="000514B9">
        <w:rPr>
          <w:i/>
          <w:iCs/>
          <w:sz w:val="22"/>
          <w:szCs w:val="22"/>
          <w:u w:val="single"/>
          <w:lang w:val="sk-SK"/>
        </w:rPr>
        <w:t>ó</w:t>
      </w:r>
      <w:r w:rsidRPr="00534FB2">
        <w:rPr>
          <w:i/>
          <w:iCs/>
          <w:sz w:val="22"/>
          <w:szCs w:val="22"/>
          <w:u w:val="single"/>
          <w:lang w:val="sk-SK"/>
        </w:rPr>
        <w:t>rtiazid</w:t>
      </w:r>
    </w:p>
    <w:p w14:paraId="109185DE" w14:textId="25533BE3" w:rsidR="00730E83" w:rsidRPr="00534FB2" w:rsidRDefault="005C14E7" w:rsidP="005C14E7">
      <w:pPr>
        <w:rPr>
          <w:sz w:val="22"/>
          <w:szCs w:val="22"/>
          <w:lang w:val="sk-SK"/>
        </w:rPr>
      </w:pPr>
      <w:r w:rsidRPr="00534FB2">
        <w:rPr>
          <w:sz w:val="22"/>
          <w:szCs w:val="22"/>
          <w:lang w:val="sk-SK"/>
        </w:rPr>
        <w:t>Po perorálnom podaní amlodipínu/valsartanu/hydrochl</w:t>
      </w:r>
      <w:r w:rsidR="000514B9">
        <w:rPr>
          <w:sz w:val="22"/>
          <w:szCs w:val="22"/>
          <w:lang w:val="sk-SK"/>
        </w:rPr>
        <w:t>ó</w:t>
      </w:r>
      <w:r w:rsidRPr="00534FB2">
        <w:rPr>
          <w:sz w:val="22"/>
          <w:szCs w:val="22"/>
          <w:lang w:val="sk-SK"/>
        </w:rPr>
        <w:t>rtiazidu zdravým dospelým osobám sa dosiahnu maximálne plazmatické koncentrácie amlodipínu za 6-8 hodín, valsartanu za 3 hodiny a hydrochl</w:t>
      </w:r>
      <w:r w:rsidR="000514B9">
        <w:rPr>
          <w:sz w:val="22"/>
          <w:szCs w:val="22"/>
          <w:lang w:val="sk-SK"/>
        </w:rPr>
        <w:t>ó</w:t>
      </w:r>
      <w:r w:rsidRPr="00534FB2">
        <w:rPr>
          <w:sz w:val="22"/>
          <w:szCs w:val="22"/>
          <w:lang w:val="sk-SK"/>
        </w:rPr>
        <w:t>rtiazidu za 2 hodiny. Rýchlosť a rozsah absorpcie amlodipínu, valsartanu a hydrochl</w:t>
      </w:r>
      <w:r w:rsidR="000514B9">
        <w:rPr>
          <w:sz w:val="22"/>
          <w:szCs w:val="22"/>
          <w:lang w:val="sk-SK"/>
        </w:rPr>
        <w:t>ó</w:t>
      </w:r>
      <w:r w:rsidRPr="00534FB2">
        <w:rPr>
          <w:sz w:val="22"/>
          <w:szCs w:val="22"/>
          <w:lang w:val="sk-SK"/>
        </w:rPr>
        <w:t>rtiazidu z Asbimy HCT sú rovnaké ako pri podávaní v osobitných liekoch.</w:t>
      </w:r>
    </w:p>
    <w:p w14:paraId="1AD41657" w14:textId="77777777" w:rsidR="005C14E7" w:rsidRPr="00534FB2" w:rsidRDefault="005C14E7" w:rsidP="005C14E7">
      <w:pPr>
        <w:rPr>
          <w:sz w:val="22"/>
          <w:szCs w:val="22"/>
          <w:lang w:val="sk-SK"/>
        </w:rPr>
      </w:pPr>
    </w:p>
    <w:p w14:paraId="39C95989" w14:textId="234D75F4" w:rsidR="00730E83" w:rsidRPr="00534FB2" w:rsidRDefault="005C14E7" w:rsidP="00134CBE">
      <w:pPr>
        <w:rPr>
          <w:sz w:val="22"/>
          <w:szCs w:val="22"/>
          <w:u w:val="single"/>
          <w:lang w:val="sk-SK"/>
        </w:rPr>
      </w:pPr>
      <w:r w:rsidRPr="00534FB2">
        <w:rPr>
          <w:sz w:val="22"/>
          <w:szCs w:val="22"/>
          <w:u w:val="single"/>
          <w:lang w:val="sk-SK"/>
        </w:rPr>
        <w:t>Amlodipín</w:t>
      </w:r>
    </w:p>
    <w:p w14:paraId="7C7CA5F9" w14:textId="1AC56F35" w:rsidR="00730E83" w:rsidRPr="00534FB2" w:rsidRDefault="00730E83" w:rsidP="00134CBE">
      <w:pPr>
        <w:rPr>
          <w:i/>
          <w:sz w:val="22"/>
          <w:szCs w:val="22"/>
          <w:u w:val="single"/>
          <w:lang w:val="sk-SK"/>
        </w:rPr>
      </w:pPr>
      <w:r w:rsidRPr="00534FB2">
        <w:rPr>
          <w:i/>
          <w:sz w:val="22"/>
          <w:szCs w:val="22"/>
          <w:u w:val="single"/>
          <w:lang w:val="sk-SK"/>
        </w:rPr>
        <w:t>Absorp</w:t>
      </w:r>
      <w:r w:rsidR="005C14E7" w:rsidRPr="00534FB2">
        <w:rPr>
          <w:i/>
          <w:sz w:val="22"/>
          <w:szCs w:val="22"/>
          <w:u w:val="single"/>
          <w:lang w:val="sk-SK"/>
        </w:rPr>
        <w:t>cia</w:t>
      </w:r>
    </w:p>
    <w:p w14:paraId="4FE545A1" w14:textId="51BA5D93" w:rsidR="00561C80" w:rsidRPr="00534FB2" w:rsidRDefault="005C14E7" w:rsidP="005C14E7">
      <w:pPr>
        <w:rPr>
          <w:sz w:val="22"/>
          <w:szCs w:val="22"/>
          <w:lang w:val="sk-SK"/>
        </w:rPr>
      </w:pPr>
      <w:r w:rsidRPr="00534FB2">
        <w:rPr>
          <w:sz w:val="22"/>
          <w:szCs w:val="22"/>
          <w:lang w:val="sk-SK"/>
        </w:rPr>
        <w:t>Po perorálnom podaní terapeutických dávok samotného amlodipínu sa jeho maximálne plazmatické koncentrácie dosiahnu v priebehu 6-12 hodín. Absolútna biologická dostupnosť sa vypočítala medzi 64% a 80%. Biologická dostupnosť amlodipínu nie je ovplyvnená požitím jedla.</w:t>
      </w:r>
    </w:p>
    <w:p w14:paraId="13152454" w14:textId="77777777" w:rsidR="005C14E7" w:rsidRPr="00534FB2" w:rsidRDefault="005C14E7" w:rsidP="005C14E7">
      <w:pPr>
        <w:rPr>
          <w:sz w:val="22"/>
          <w:szCs w:val="22"/>
          <w:lang w:val="sk-SK"/>
        </w:rPr>
      </w:pPr>
    </w:p>
    <w:p w14:paraId="29AD1FA2" w14:textId="6794729F" w:rsidR="00730E83" w:rsidRPr="00534FB2" w:rsidRDefault="00730E83" w:rsidP="00134CBE">
      <w:pPr>
        <w:rPr>
          <w:i/>
          <w:sz w:val="22"/>
          <w:szCs w:val="22"/>
          <w:u w:val="single"/>
          <w:lang w:val="sk-SK"/>
        </w:rPr>
      </w:pPr>
      <w:r w:rsidRPr="00534FB2">
        <w:rPr>
          <w:i/>
          <w:sz w:val="22"/>
          <w:szCs w:val="22"/>
          <w:u w:val="single"/>
          <w:lang w:val="sk-SK"/>
        </w:rPr>
        <w:t>Distrib</w:t>
      </w:r>
      <w:r w:rsidR="005C14E7" w:rsidRPr="00534FB2">
        <w:rPr>
          <w:i/>
          <w:sz w:val="22"/>
          <w:szCs w:val="22"/>
          <w:u w:val="single"/>
          <w:lang w:val="sk-SK"/>
        </w:rPr>
        <w:t>úcia</w:t>
      </w:r>
    </w:p>
    <w:p w14:paraId="24458E33" w14:textId="36B4DDFD" w:rsidR="00730E83" w:rsidRPr="00534FB2" w:rsidRDefault="005C14E7" w:rsidP="005C14E7">
      <w:pPr>
        <w:rPr>
          <w:sz w:val="22"/>
          <w:szCs w:val="22"/>
          <w:lang w:val="sk-SK"/>
        </w:rPr>
      </w:pPr>
      <w:r w:rsidRPr="00534FB2">
        <w:rPr>
          <w:sz w:val="22"/>
          <w:szCs w:val="22"/>
          <w:lang w:val="sk-SK"/>
        </w:rPr>
        <w:t xml:space="preserve">Distribučný objem je približne 21 l/kg. V štúdiách s amlodipínom </w:t>
      </w:r>
      <w:r w:rsidRPr="00534FB2">
        <w:rPr>
          <w:i/>
          <w:sz w:val="22"/>
          <w:szCs w:val="22"/>
          <w:lang w:val="sk-SK"/>
        </w:rPr>
        <w:t xml:space="preserve">in vitro </w:t>
      </w:r>
      <w:r w:rsidRPr="00534FB2">
        <w:rPr>
          <w:sz w:val="22"/>
          <w:szCs w:val="22"/>
          <w:lang w:val="sk-SK"/>
        </w:rPr>
        <w:t>sa ukázalo, že približne 97,5% cirkulujúceho liečiva sa viaže na bielkoviny plazmy.</w:t>
      </w:r>
    </w:p>
    <w:p w14:paraId="19017C31" w14:textId="77777777" w:rsidR="005C14E7" w:rsidRPr="00534FB2" w:rsidRDefault="005C14E7" w:rsidP="005C14E7">
      <w:pPr>
        <w:rPr>
          <w:sz w:val="22"/>
          <w:szCs w:val="22"/>
          <w:lang w:val="sk-SK"/>
        </w:rPr>
      </w:pPr>
    </w:p>
    <w:p w14:paraId="1B6CFB31" w14:textId="7509BF5E" w:rsidR="00730E83" w:rsidRPr="00534FB2" w:rsidRDefault="00730E83" w:rsidP="00134CBE">
      <w:pPr>
        <w:rPr>
          <w:i/>
          <w:sz w:val="22"/>
          <w:szCs w:val="22"/>
          <w:u w:val="single"/>
          <w:lang w:val="sk-SK"/>
        </w:rPr>
      </w:pPr>
      <w:r w:rsidRPr="00534FB2">
        <w:rPr>
          <w:i/>
          <w:sz w:val="22"/>
          <w:szCs w:val="22"/>
          <w:u w:val="single"/>
          <w:lang w:val="sk-SK"/>
        </w:rPr>
        <w:t>Biotransform</w:t>
      </w:r>
      <w:r w:rsidR="005C14E7" w:rsidRPr="00534FB2">
        <w:rPr>
          <w:i/>
          <w:sz w:val="22"/>
          <w:szCs w:val="22"/>
          <w:u w:val="single"/>
          <w:lang w:val="sk-SK"/>
        </w:rPr>
        <w:t>ácia</w:t>
      </w:r>
    </w:p>
    <w:p w14:paraId="3239F56B" w14:textId="6A08562A" w:rsidR="00730E83" w:rsidRPr="00534FB2" w:rsidRDefault="005C14E7" w:rsidP="00134CBE">
      <w:pPr>
        <w:rPr>
          <w:sz w:val="22"/>
          <w:szCs w:val="22"/>
          <w:lang w:val="sk-SK"/>
        </w:rPr>
      </w:pPr>
      <w:r w:rsidRPr="00534FB2">
        <w:rPr>
          <w:sz w:val="22"/>
          <w:szCs w:val="22"/>
          <w:lang w:val="sk-SK"/>
        </w:rPr>
        <w:t>Amlodipín sa extenzívne (približne 90%) metabolizuje v pečeni na neaktívne metabolity.</w:t>
      </w:r>
    </w:p>
    <w:p w14:paraId="5CDE74B4" w14:textId="77777777" w:rsidR="005C14E7" w:rsidRPr="00534FB2" w:rsidRDefault="005C14E7" w:rsidP="00134CBE">
      <w:pPr>
        <w:rPr>
          <w:sz w:val="22"/>
          <w:szCs w:val="22"/>
          <w:lang w:val="sk-SK"/>
        </w:rPr>
      </w:pPr>
    </w:p>
    <w:p w14:paraId="7488CD4E" w14:textId="449952BD" w:rsidR="00730E83" w:rsidRPr="00534FB2" w:rsidRDefault="00730E83" w:rsidP="00134CBE">
      <w:pPr>
        <w:rPr>
          <w:i/>
          <w:sz w:val="22"/>
          <w:szCs w:val="22"/>
          <w:u w:val="single"/>
          <w:lang w:val="sk-SK"/>
        </w:rPr>
      </w:pPr>
      <w:r w:rsidRPr="00534FB2">
        <w:rPr>
          <w:i/>
          <w:sz w:val="22"/>
          <w:szCs w:val="22"/>
          <w:u w:val="single"/>
          <w:lang w:val="sk-SK"/>
        </w:rPr>
        <w:t>Elimin</w:t>
      </w:r>
      <w:r w:rsidR="005C14E7" w:rsidRPr="00534FB2">
        <w:rPr>
          <w:i/>
          <w:sz w:val="22"/>
          <w:szCs w:val="22"/>
          <w:u w:val="single"/>
          <w:lang w:val="sk-SK"/>
        </w:rPr>
        <w:t>ácia</w:t>
      </w:r>
    </w:p>
    <w:p w14:paraId="0BF9078B" w14:textId="16B7D82C" w:rsidR="00730E83" w:rsidRPr="00534FB2" w:rsidRDefault="005C14E7" w:rsidP="005C14E7">
      <w:pPr>
        <w:rPr>
          <w:sz w:val="22"/>
          <w:szCs w:val="22"/>
          <w:lang w:val="sk-SK"/>
        </w:rPr>
      </w:pPr>
      <w:r w:rsidRPr="00534FB2">
        <w:rPr>
          <w:sz w:val="22"/>
          <w:szCs w:val="22"/>
          <w:lang w:val="sk-SK"/>
        </w:rPr>
        <w:t>Eliminácia amlodipínu z plazmy je bifázická s terminálnym polčasom eliminácie približne 30 až 50 hodín. Rovnovážne hladiny v plazme sa dosiahnu po kontinuálnom podávaní za 7-8 dní. Močom sa vylúči 10% pôvodného amlodipínu a 60% jeho metabolitov.</w:t>
      </w:r>
    </w:p>
    <w:p w14:paraId="75A5C307" w14:textId="77777777" w:rsidR="005C14E7" w:rsidRPr="00534FB2" w:rsidRDefault="005C14E7" w:rsidP="005C14E7">
      <w:pPr>
        <w:rPr>
          <w:sz w:val="22"/>
          <w:szCs w:val="22"/>
          <w:lang w:val="sk-SK"/>
        </w:rPr>
      </w:pPr>
    </w:p>
    <w:p w14:paraId="6BA31165" w14:textId="77777777" w:rsidR="00730E83" w:rsidRPr="00534FB2" w:rsidRDefault="00730E83" w:rsidP="00134CBE">
      <w:pPr>
        <w:rPr>
          <w:sz w:val="22"/>
          <w:szCs w:val="22"/>
          <w:u w:val="single"/>
          <w:lang w:val="sk-SK"/>
        </w:rPr>
      </w:pPr>
      <w:r w:rsidRPr="00534FB2">
        <w:rPr>
          <w:sz w:val="22"/>
          <w:szCs w:val="22"/>
          <w:u w:val="single"/>
          <w:lang w:val="sk-SK"/>
        </w:rPr>
        <w:t>Valsartan</w:t>
      </w:r>
    </w:p>
    <w:p w14:paraId="69DF4ED8" w14:textId="6A0965F0" w:rsidR="00730E83" w:rsidRPr="00534FB2" w:rsidRDefault="00730E83" w:rsidP="00134CBE">
      <w:pPr>
        <w:rPr>
          <w:i/>
          <w:sz w:val="22"/>
          <w:szCs w:val="22"/>
          <w:u w:val="single"/>
          <w:lang w:val="sk-SK"/>
        </w:rPr>
      </w:pPr>
      <w:r w:rsidRPr="00534FB2">
        <w:rPr>
          <w:i/>
          <w:sz w:val="22"/>
          <w:szCs w:val="22"/>
          <w:u w:val="single"/>
          <w:lang w:val="sk-SK"/>
        </w:rPr>
        <w:t>Absorp</w:t>
      </w:r>
      <w:r w:rsidR="005C14E7" w:rsidRPr="00534FB2">
        <w:rPr>
          <w:i/>
          <w:sz w:val="22"/>
          <w:szCs w:val="22"/>
          <w:u w:val="single"/>
          <w:lang w:val="sk-SK"/>
        </w:rPr>
        <w:t>cia</w:t>
      </w:r>
    </w:p>
    <w:p w14:paraId="04FC2830" w14:textId="4349FA07" w:rsidR="00C2008F" w:rsidRPr="00534FB2" w:rsidRDefault="005C14E7" w:rsidP="005C14E7">
      <w:pPr>
        <w:rPr>
          <w:sz w:val="22"/>
          <w:szCs w:val="22"/>
          <w:lang w:val="sk-SK"/>
        </w:rPr>
      </w:pPr>
      <w:r w:rsidRPr="00534FB2">
        <w:rPr>
          <w:sz w:val="22"/>
          <w:szCs w:val="22"/>
          <w:lang w:val="sk-SK"/>
        </w:rPr>
        <w:t>Po perorálnom podaní samotného valsartanu sa jeho maximálne plazmatické koncentrácie dosiahnu za</w:t>
      </w:r>
      <w:r w:rsidR="00531B70" w:rsidRPr="00534FB2">
        <w:rPr>
          <w:sz w:val="22"/>
          <w:szCs w:val="22"/>
          <w:lang w:val="sk-SK"/>
        </w:rPr>
        <w:t xml:space="preserve"> </w:t>
      </w:r>
      <w:r w:rsidRPr="00534FB2">
        <w:rPr>
          <w:sz w:val="22"/>
          <w:szCs w:val="22"/>
          <w:lang w:val="sk-SK"/>
        </w:rPr>
        <w:t>2-4 hodiny. Priemerná absolútna biologická dostupnosť je 23%. Jed</w:t>
      </w:r>
      <w:r w:rsidR="00531B70" w:rsidRPr="00534FB2">
        <w:rPr>
          <w:sz w:val="22"/>
          <w:szCs w:val="22"/>
          <w:lang w:val="sk-SK"/>
        </w:rPr>
        <w:t xml:space="preserve">lo znižuje expozíciu valsartanu </w:t>
      </w:r>
      <w:r w:rsidRPr="00534FB2">
        <w:rPr>
          <w:sz w:val="22"/>
          <w:szCs w:val="22"/>
          <w:lang w:val="sk-SK"/>
        </w:rPr>
        <w:t>(stanovené ako AUC) asi o 40% a maximálnu plazmatickú koncentráciu (C</w:t>
      </w:r>
      <w:r w:rsidRPr="00534FB2">
        <w:rPr>
          <w:sz w:val="22"/>
          <w:szCs w:val="22"/>
          <w:vertAlign w:val="subscript"/>
          <w:lang w:val="sk-SK"/>
        </w:rPr>
        <w:t>max</w:t>
      </w:r>
      <w:r w:rsidR="00531B70" w:rsidRPr="00534FB2">
        <w:rPr>
          <w:sz w:val="22"/>
          <w:szCs w:val="22"/>
          <w:lang w:val="sk-SK"/>
        </w:rPr>
        <w:t xml:space="preserve">) asi o 50%, aj keď asi </w:t>
      </w:r>
      <w:r w:rsidRPr="00534FB2">
        <w:rPr>
          <w:sz w:val="22"/>
          <w:szCs w:val="22"/>
          <w:lang w:val="sk-SK"/>
        </w:rPr>
        <w:t>po 8 hodinách od podania sú koncentrácie valsartanu v plazme podo</w:t>
      </w:r>
      <w:r w:rsidR="00531B70" w:rsidRPr="00534FB2">
        <w:rPr>
          <w:sz w:val="22"/>
          <w:szCs w:val="22"/>
          <w:lang w:val="sk-SK"/>
        </w:rPr>
        <w:t xml:space="preserve">bné v skupinách, ktoré ho užili </w:t>
      </w:r>
      <w:r w:rsidRPr="00534FB2">
        <w:rPr>
          <w:sz w:val="22"/>
          <w:szCs w:val="22"/>
          <w:lang w:val="sk-SK"/>
        </w:rPr>
        <w:t>buď s jedlom, alebo nalačno. Tento pokles AUC však nesprev</w:t>
      </w:r>
      <w:r w:rsidR="00531B70" w:rsidRPr="00534FB2">
        <w:rPr>
          <w:sz w:val="22"/>
          <w:szCs w:val="22"/>
          <w:lang w:val="sk-SK"/>
        </w:rPr>
        <w:t xml:space="preserve">ádza klinicky významné zníženie </w:t>
      </w:r>
      <w:r w:rsidRPr="00534FB2">
        <w:rPr>
          <w:sz w:val="22"/>
          <w:szCs w:val="22"/>
          <w:lang w:val="sk-SK"/>
        </w:rPr>
        <w:t>terapeutického účinku, a preto sa valsartan môže užívať buď s jedlom, alebo bez jedla.</w:t>
      </w:r>
    </w:p>
    <w:p w14:paraId="0809BFCE" w14:textId="77777777" w:rsidR="00531B70" w:rsidRPr="00534FB2" w:rsidRDefault="00531B70" w:rsidP="005C14E7">
      <w:pPr>
        <w:rPr>
          <w:sz w:val="22"/>
          <w:szCs w:val="22"/>
          <w:lang w:val="sk-SK"/>
        </w:rPr>
      </w:pPr>
    </w:p>
    <w:p w14:paraId="612A6E13" w14:textId="6DB36996" w:rsidR="00730E83" w:rsidRPr="00534FB2" w:rsidRDefault="00730E83" w:rsidP="00134CBE">
      <w:pPr>
        <w:rPr>
          <w:i/>
          <w:sz w:val="22"/>
          <w:szCs w:val="22"/>
          <w:u w:val="single"/>
          <w:lang w:val="sk-SK"/>
        </w:rPr>
      </w:pPr>
      <w:r w:rsidRPr="00534FB2">
        <w:rPr>
          <w:i/>
          <w:sz w:val="22"/>
          <w:szCs w:val="22"/>
          <w:u w:val="single"/>
          <w:lang w:val="sk-SK"/>
        </w:rPr>
        <w:t>Distrib</w:t>
      </w:r>
      <w:r w:rsidR="00531B70" w:rsidRPr="00534FB2">
        <w:rPr>
          <w:i/>
          <w:sz w:val="22"/>
          <w:szCs w:val="22"/>
          <w:u w:val="single"/>
          <w:lang w:val="sk-SK"/>
        </w:rPr>
        <w:t>úcia</w:t>
      </w:r>
    </w:p>
    <w:p w14:paraId="766A34B0" w14:textId="58BEA012" w:rsidR="004A0C46" w:rsidRPr="00534FB2" w:rsidRDefault="00531B70" w:rsidP="00531B70">
      <w:pPr>
        <w:rPr>
          <w:sz w:val="22"/>
          <w:szCs w:val="22"/>
          <w:lang w:val="sk-SK"/>
        </w:rPr>
      </w:pPr>
      <w:r w:rsidRPr="00534FB2">
        <w:rPr>
          <w:sz w:val="22"/>
          <w:szCs w:val="22"/>
          <w:lang w:val="sk-SK"/>
        </w:rPr>
        <w:t>Rovnovážny distribučný objem valsartanu po intravenóznom podaní je asi 17 litrov, čo naznačuje, že valsartan sa extenzívne nedistribuuje do tkanív. Valsartan sa vo vysokej miere viaže na bielkoviny séra (94-97%), prevažne na sérový albumín.</w:t>
      </w:r>
    </w:p>
    <w:p w14:paraId="63C41498" w14:textId="77777777" w:rsidR="00531B70" w:rsidRPr="00534FB2" w:rsidRDefault="00531B70" w:rsidP="00531B70">
      <w:pPr>
        <w:rPr>
          <w:sz w:val="22"/>
          <w:szCs w:val="22"/>
          <w:lang w:val="sk-SK"/>
        </w:rPr>
      </w:pPr>
    </w:p>
    <w:p w14:paraId="637446AF" w14:textId="44CF42DE" w:rsidR="00730E83" w:rsidRPr="00534FB2" w:rsidRDefault="00730E83" w:rsidP="006323B5">
      <w:pPr>
        <w:keepNext/>
        <w:rPr>
          <w:i/>
          <w:sz w:val="22"/>
          <w:szCs w:val="22"/>
          <w:u w:val="single"/>
          <w:lang w:val="sk-SK"/>
        </w:rPr>
      </w:pPr>
      <w:r w:rsidRPr="00534FB2">
        <w:rPr>
          <w:i/>
          <w:sz w:val="22"/>
          <w:szCs w:val="22"/>
          <w:u w:val="single"/>
          <w:lang w:val="sk-SK"/>
        </w:rPr>
        <w:t>Biotransform</w:t>
      </w:r>
      <w:r w:rsidR="00531B70" w:rsidRPr="00534FB2">
        <w:rPr>
          <w:i/>
          <w:sz w:val="22"/>
          <w:szCs w:val="22"/>
          <w:u w:val="single"/>
          <w:lang w:val="sk-SK"/>
        </w:rPr>
        <w:t>ácia</w:t>
      </w:r>
    </w:p>
    <w:p w14:paraId="72A5914A" w14:textId="052D47D7" w:rsidR="004A0C46" w:rsidRPr="00534FB2" w:rsidRDefault="00531B70" w:rsidP="00531B70">
      <w:pPr>
        <w:rPr>
          <w:sz w:val="22"/>
          <w:szCs w:val="22"/>
          <w:lang w:val="sk-SK"/>
        </w:rPr>
      </w:pPr>
      <w:r w:rsidRPr="00534FB2">
        <w:rPr>
          <w:sz w:val="22"/>
          <w:szCs w:val="22"/>
          <w:lang w:val="sk-SK"/>
        </w:rPr>
        <w:t xml:space="preserve">Valsartan sa netransformuje vo veľkom rozsahu, pretože iba asi 20% dávky sa </w:t>
      </w:r>
      <w:r w:rsidR="00526F2A">
        <w:rPr>
          <w:sz w:val="22"/>
          <w:szCs w:val="22"/>
          <w:lang w:val="sk-SK"/>
        </w:rPr>
        <w:t>objavuj</w:t>
      </w:r>
      <w:r w:rsidRPr="00534FB2">
        <w:rPr>
          <w:sz w:val="22"/>
          <w:szCs w:val="22"/>
          <w:lang w:val="sk-SK"/>
        </w:rPr>
        <w:t>e ako metabolity. V plazme bol v nízkych koncentráciách zistený hydroxymetabolit (menej ako 10% AUC valsartanu). Tento metabolit je farmakologicky neaktívny.</w:t>
      </w:r>
    </w:p>
    <w:p w14:paraId="389D06CB" w14:textId="77777777" w:rsidR="00531B70" w:rsidRPr="00534FB2" w:rsidRDefault="00531B70" w:rsidP="00531B70">
      <w:pPr>
        <w:rPr>
          <w:sz w:val="22"/>
          <w:szCs w:val="22"/>
          <w:lang w:val="sk-SK"/>
        </w:rPr>
      </w:pPr>
    </w:p>
    <w:p w14:paraId="54C3C116" w14:textId="1514B9DF" w:rsidR="00730E83" w:rsidRPr="00534FB2" w:rsidRDefault="00730E83" w:rsidP="00134CBE">
      <w:pPr>
        <w:rPr>
          <w:i/>
          <w:sz w:val="22"/>
          <w:szCs w:val="22"/>
          <w:u w:val="single"/>
          <w:lang w:val="sk-SK"/>
        </w:rPr>
      </w:pPr>
      <w:r w:rsidRPr="00534FB2">
        <w:rPr>
          <w:i/>
          <w:sz w:val="22"/>
          <w:szCs w:val="22"/>
          <w:u w:val="single"/>
          <w:lang w:val="sk-SK"/>
        </w:rPr>
        <w:t>Elimin</w:t>
      </w:r>
      <w:r w:rsidR="00531B70" w:rsidRPr="00534FB2">
        <w:rPr>
          <w:i/>
          <w:sz w:val="22"/>
          <w:szCs w:val="22"/>
          <w:u w:val="single"/>
          <w:lang w:val="sk-SK"/>
        </w:rPr>
        <w:t>ácia</w:t>
      </w:r>
    </w:p>
    <w:p w14:paraId="6ABA1464" w14:textId="208D003E" w:rsidR="004A0C46" w:rsidRPr="00534FB2" w:rsidRDefault="00531B70" w:rsidP="00531B70">
      <w:pPr>
        <w:rPr>
          <w:sz w:val="22"/>
          <w:szCs w:val="22"/>
          <w:lang w:val="sk-SK"/>
        </w:rPr>
      </w:pPr>
      <w:r w:rsidRPr="00534FB2">
        <w:rPr>
          <w:sz w:val="22"/>
          <w:szCs w:val="22"/>
          <w:lang w:val="sk-SK"/>
        </w:rPr>
        <w:t>Valsartan vykazuje multiexponenciálnu kinetiku rozkladu (t</w:t>
      </w:r>
      <w:r w:rsidRPr="00534FB2">
        <w:rPr>
          <w:sz w:val="22"/>
          <w:szCs w:val="22"/>
          <w:vertAlign w:val="subscript"/>
          <w:lang w:val="sk-SK"/>
        </w:rPr>
        <w:t>½α</w:t>
      </w:r>
      <w:r w:rsidRPr="00534FB2">
        <w:rPr>
          <w:sz w:val="22"/>
          <w:szCs w:val="22"/>
          <w:lang w:val="sk-SK"/>
        </w:rPr>
        <w:t>&lt;1 hod a t</w:t>
      </w:r>
      <w:r w:rsidRPr="00534FB2">
        <w:rPr>
          <w:sz w:val="22"/>
          <w:szCs w:val="22"/>
          <w:vertAlign w:val="subscript"/>
          <w:lang w:val="sk-SK"/>
        </w:rPr>
        <w:t>½ß</w:t>
      </w:r>
      <w:r w:rsidRPr="00534FB2">
        <w:rPr>
          <w:sz w:val="22"/>
          <w:szCs w:val="22"/>
          <w:lang w:val="sk-SK"/>
        </w:rPr>
        <w:t xml:space="preserve"> asi 9 hod). Valsartan sa primárne eliminuje stolicou (asi 83% dávky) a močom (asi 13% dávky), prevažne ako nezmenené liečivo. Po intravenóznom podaní plazmatický klírens valsartanu je asi 2 l/hod a jeho renálny klírens 0,62 l/hod (asi 30% celkového klírensu). Polčas valsartanu je 6 hodín.</w:t>
      </w:r>
    </w:p>
    <w:p w14:paraId="53E75E3C" w14:textId="77777777" w:rsidR="00531B70" w:rsidRPr="00534FB2" w:rsidRDefault="00531B70" w:rsidP="00531B70">
      <w:pPr>
        <w:rPr>
          <w:sz w:val="22"/>
          <w:szCs w:val="22"/>
          <w:lang w:val="sk-SK"/>
        </w:rPr>
      </w:pPr>
    </w:p>
    <w:p w14:paraId="7FAD21F5" w14:textId="1996A31A" w:rsidR="00730E83" w:rsidRPr="00534FB2" w:rsidRDefault="00531B70" w:rsidP="00134CBE">
      <w:pPr>
        <w:keepNext/>
        <w:rPr>
          <w:sz w:val="22"/>
          <w:szCs w:val="22"/>
          <w:u w:val="single"/>
          <w:lang w:val="sk-SK"/>
        </w:rPr>
      </w:pPr>
      <w:r w:rsidRPr="00534FB2">
        <w:rPr>
          <w:sz w:val="22"/>
          <w:szCs w:val="22"/>
          <w:u w:val="single"/>
          <w:lang w:val="sk-SK"/>
        </w:rPr>
        <w:t>Hydrochl</w:t>
      </w:r>
      <w:r w:rsidR="000514B9">
        <w:rPr>
          <w:sz w:val="22"/>
          <w:szCs w:val="22"/>
          <w:u w:val="single"/>
          <w:lang w:val="sk-SK"/>
        </w:rPr>
        <w:t>ó</w:t>
      </w:r>
      <w:r w:rsidRPr="00534FB2">
        <w:rPr>
          <w:sz w:val="22"/>
          <w:szCs w:val="22"/>
          <w:u w:val="single"/>
          <w:lang w:val="sk-SK"/>
        </w:rPr>
        <w:t>rtiazid</w:t>
      </w:r>
    </w:p>
    <w:p w14:paraId="2FFCA7D8" w14:textId="05A17ADA" w:rsidR="00730E83" w:rsidRPr="00534FB2" w:rsidRDefault="00730E83" w:rsidP="00134CBE">
      <w:pPr>
        <w:rPr>
          <w:i/>
          <w:sz w:val="22"/>
          <w:szCs w:val="22"/>
          <w:u w:val="single"/>
          <w:lang w:val="sk-SK"/>
        </w:rPr>
      </w:pPr>
      <w:r w:rsidRPr="00534FB2">
        <w:rPr>
          <w:i/>
          <w:sz w:val="22"/>
          <w:szCs w:val="22"/>
          <w:u w:val="single"/>
          <w:lang w:val="sk-SK"/>
        </w:rPr>
        <w:t>Absorp</w:t>
      </w:r>
      <w:r w:rsidR="00531B70" w:rsidRPr="00534FB2">
        <w:rPr>
          <w:i/>
          <w:sz w:val="22"/>
          <w:szCs w:val="22"/>
          <w:u w:val="single"/>
          <w:lang w:val="sk-SK"/>
        </w:rPr>
        <w:t>cia</w:t>
      </w:r>
    </w:p>
    <w:p w14:paraId="6E9DBE05" w14:textId="514D6371" w:rsidR="00531B70" w:rsidRPr="00534FB2" w:rsidRDefault="00531B70" w:rsidP="00531B70">
      <w:pPr>
        <w:rPr>
          <w:sz w:val="22"/>
          <w:szCs w:val="22"/>
          <w:lang w:val="sk-SK"/>
        </w:rPr>
      </w:pPr>
      <w:r w:rsidRPr="00534FB2">
        <w:rPr>
          <w:sz w:val="22"/>
          <w:szCs w:val="22"/>
          <w:lang w:val="sk-SK"/>
        </w:rPr>
        <w:t>Absorpcia hydrochl</w:t>
      </w:r>
      <w:r w:rsidR="000514B9">
        <w:rPr>
          <w:sz w:val="22"/>
          <w:szCs w:val="22"/>
          <w:lang w:val="sk-SK"/>
        </w:rPr>
        <w:t>ó</w:t>
      </w:r>
      <w:r w:rsidRPr="00534FB2">
        <w:rPr>
          <w:sz w:val="22"/>
          <w:szCs w:val="22"/>
          <w:lang w:val="sk-SK"/>
        </w:rPr>
        <w:t>rtiazidu po perorálnom podaní je rýchla (T</w:t>
      </w:r>
      <w:r w:rsidRPr="00534FB2">
        <w:rPr>
          <w:sz w:val="22"/>
          <w:szCs w:val="22"/>
          <w:vertAlign w:val="subscript"/>
          <w:lang w:val="sk-SK"/>
        </w:rPr>
        <w:t>max</w:t>
      </w:r>
      <w:r w:rsidRPr="00534FB2">
        <w:rPr>
          <w:sz w:val="22"/>
          <w:szCs w:val="22"/>
          <w:lang w:val="sk-SK"/>
        </w:rPr>
        <w:t xml:space="preserve"> približne 2 hodiny).</w:t>
      </w:r>
    </w:p>
    <w:p w14:paraId="7D77AB44" w14:textId="348FB23D" w:rsidR="004A0C46" w:rsidRPr="00534FB2" w:rsidRDefault="00531B70" w:rsidP="00531B70">
      <w:pPr>
        <w:rPr>
          <w:sz w:val="22"/>
          <w:szCs w:val="22"/>
          <w:lang w:val="sk-SK"/>
        </w:rPr>
      </w:pPr>
      <w:r w:rsidRPr="00534FB2">
        <w:rPr>
          <w:sz w:val="22"/>
          <w:szCs w:val="22"/>
          <w:lang w:val="sk-SK"/>
        </w:rPr>
        <w:t>V terapeutickom rozmedzí je vzostup priemernej AUC lineárny a úmerný dávke.</w:t>
      </w:r>
    </w:p>
    <w:p w14:paraId="07B5A1B5" w14:textId="77777777" w:rsidR="00531B70" w:rsidRPr="00534FB2" w:rsidRDefault="00531B70" w:rsidP="00531B70">
      <w:pPr>
        <w:rPr>
          <w:sz w:val="22"/>
          <w:szCs w:val="22"/>
          <w:lang w:val="sk-SK"/>
        </w:rPr>
      </w:pPr>
    </w:p>
    <w:p w14:paraId="54329190" w14:textId="4862AB3D" w:rsidR="004A0C46" w:rsidRPr="00534FB2" w:rsidRDefault="00531B70" w:rsidP="00531B70">
      <w:pPr>
        <w:rPr>
          <w:sz w:val="22"/>
          <w:szCs w:val="22"/>
          <w:lang w:val="sk-SK"/>
        </w:rPr>
      </w:pPr>
      <w:r w:rsidRPr="00534FB2">
        <w:rPr>
          <w:sz w:val="22"/>
          <w:szCs w:val="22"/>
          <w:lang w:val="sk-SK"/>
        </w:rPr>
        <w:t>Vplyv jedla na absorpciu hydrochl</w:t>
      </w:r>
      <w:r w:rsidR="004E6C31">
        <w:rPr>
          <w:sz w:val="22"/>
          <w:szCs w:val="22"/>
          <w:lang w:val="sk-SK"/>
        </w:rPr>
        <w:t>ó</w:t>
      </w:r>
      <w:r w:rsidRPr="00534FB2">
        <w:rPr>
          <w:sz w:val="22"/>
          <w:szCs w:val="22"/>
          <w:lang w:val="sk-SK"/>
        </w:rPr>
        <w:t>rtiazidu má, pokiaľ vôbec, malú klinickú významnosť. Absolútna biologická dostupnosť hydrochl</w:t>
      </w:r>
      <w:r w:rsidR="000514B9">
        <w:rPr>
          <w:sz w:val="22"/>
          <w:szCs w:val="22"/>
          <w:lang w:val="sk-SK"/>
        </w:rPr>
        <w:t>ó</w:t>
      </w:r>
      <w:r w:rsidRPr="00534FB2">
        <w:rPr>
          <w:sz w:val="22"/>
          <w:szCs w:val="22"/>
          <w:lang w:val="sk-SK"/>
        </w:rPr>
        <w:t>rtiazidu po perorálnom podaní je 70%.</w:t>
      </w:r>
    </w:p>
    <w:p w14:paraId="7A36E26F" w14:textId="77777777" w:rsidR="00531B70" w:rsidRPr="00534FB2" w:rsidRDefault="00531B70" w:rsidP="00531B70">
      <w:pPr>
        <w:rPr>
          <w:sz w:val="22"/>
          <w:szCs w:val="22"/>
          <w:lang w:val="sk-SK"/>
        </w:rPr>
      </w:pPr>
    </w:p>
    <w:p w14:paraId="33072531" w14:textId="14F5DAB7" w:rsidR="00730E83" w:rsidRPr="00534FB2" w:rsidRDefault="00730E83" w:rsidP="00134CBE">
      <w:pPr>
        <w:rPr>
          <w:i/>
          <w:sz w:val="22"/>
          <w:szCs w:val="22"/>
          <w:u w:val="single"/>
          <w:lang w:val="sk-SK"/>
        </w:rPr>
      </w:pPr>
      <w:r w:rsidRPr="00534FB2">
        <w:rPr>
          <w:i/>
          <w:sz w:val="22"/>
          <w:szCs w:val="22"/>
          <w:u w:val="single"/>
          <w:lang w:val="sk-SK"/>
        </w:rPr>
        <w:t>Distrib</w:t>
      </w:r>
      <w:r w:rsidR="00531B70" w:rsidRPr="00534FB2">
        <w:rPr>
          <w:i/>
          <w:sz w:val="22"/>
          <w:szCs w:val="22"/>
          <w:u w:val="single"/>
          <w:lang w:val="sk-SK"/>
        </w:rPr>
        <w:t>úcia</w:t>
      </w:r>
    </w:p>
    <w:p w14:paraId="636916D8" w14:textId="3A653797" w:rsidR="004A0C46" w:rsidRPr="00534FB2" w:rsidRDefault="00531B70" w:rsidP="00531B70">
      <w:pPr>
        <w:rPr>
          <w:sz w:val="22"/>
          <w:szCs w:val="22"/>
          <w:lang w:val="sk-SK"/>
        </w:rPr>
      </w:pPr>
      <w:r w:rsidRPr="00534FB2">
        <w:rPr>
          <w:sz w:val="22"/>
          <w:szCs w:val="22"/>
          <w:lang w:val="sk-SK"/>
        </w:rPr>
        <w:t>Zdanlivý distribučný objem je 4-8 l/kg. Cirkulujúci hydrochl</w:t>
      </w:r>
      <w:r w:rsidR="004E6C31">
        <w:rPr>
          <w:sz w:val="22"/>
          <w:szCs w:val="22"/>
          <w:lang w:val="sk-SK"/>
        </w:rPr>
        <w:t>ó</w:t>
      </w:r>
      <w:r w:rsidRPr="00534FB2">
        <w:rPr>
          <w:sz w:val="22"/>
          <w:szCs w:val="22"/>
          <w:lang w:val="sk-SK"/>
        </w:rPr>
        <w:t>rtiazid sa viaže na sérové bielkoviny (40-70%), hlavne na sérový albumín. Hydrochl</w:t>
      </w:r>
      <w:r w:rsidR="000514B9">
        <w:rPr>
          <w:sz w:val="22"/>
          <w:szCs w:val="22"/>
          <w:lang w:val="sk-SK"/>
        </w:rPr>
        <w:t>ó</w:t>
      </w:r>
      <w:r w:rsidRPr="00534FB2">
        <w:rPr>
          <w:sz w:val="22"/>
          <w:szCs w:val="22"/>
          <w:lang w:val="sk-SK"/>
        </w:rPr>
        <w:t>rtiazid sa tiež akumuluje v erytrocytoch v hladine približne 3-krát vyššej ako v plazme.</w:t>
      </w:r>
    </w:p>
    <w:p w14:paraId="5A4ACD97" w14:textId="77777777" w:rsidR="00531B70" w:rsidRPr="00534FB2" w:rsidRDefault="00531B70" w:rsidP="00531B70">
      <w:pPr>
        <w:rPr>
          <w:sz w:val="22"/>
          <w:szCs w:val="22"/>
          <w:lang w:val="sk-SK"/>
        </w:rPr>
      </w:pPr>
    </w:p>
    <w:p w14:paraId="519E3688" w14:textId="67F3402F" w:rsidR="00730E83" w:rsidRPr="00534FB2" w:rsidRDefault="00730E83" w:rsidP="00134CBE">
      <w:pPr>
        <w:rPr>
          <w:i/>
          <w:sz w:val="22"/>
          <w:szCs w:val="22"/>
          <w:u w:val="single"/>
          <w:lang w:val="sk-SK"/>
        </w:rPr>
      </w:pPr>
      <w:r w:rsidRPr="00534FB2">
        <w:rPr>
          <w:i/>
          <w:sz w:val="22"/>
          <w:szCs w:val="22"/>
          <w:u w:val="single"/>
          <w:lang w:val="sk-SK"/>
        </w:rPr>
        <w:t>Biotransform</w:t>
      </w:r>
      <w:r w:rsidR="00531B70" w:rsidRPr="00534FB2">
        <w:rPr>
          <w:i/>
          <w:sz w:val="22"/>
          <w:szCs w:val="22"/>
          <w:u w:val="single"/>
          <w:lang w:val="sk-SK"/>
        </w:rPr>
        <w:t>ácia</w:t>
      </w:r>
    </w:p>
    <w:p w14:paraId="13E9C194" w14:textId="5390E97F" w:rsidR="004A0C46" w:rsidRPr="00534FB2" w:rsidRDefault="00531B70" w:rsidP="00134CBE">
      <w:pPr>
        <w:rPr>
          <w:sz w:val="22"/>
          <w:szCs w:val="22"/>
          <w:lang w:val="sk-SK"/>
        </w:rPr>
      </w:pPr>
      <w:r w:rsidRPr="00534FB2">
        <w:rPr>
          <w:sz w:val="22"/>
          <w:szCs w:val="22"/>
          <w:lang w:val="sk-SK"/>
        </w:rPr>
        <w:t>Hydrochl</w:t>
      </w:r>
      <w:r w:rsidR="000514B9">
        <w:rPr>
          <w:sz w:val="22"/>
          <w:szCs w:val="22"/>
          <w:lang w:val="sk-SK"/>
        </w:rPr>
        <w:t>ó</w:t>
      </w:r>
      <w:r w:rsidRPr="00534FB2">
        <w:rPr>
          <w:sz w:val="22"/>
          <w:szCs w:val="22"/>
          <w:lang w:val="sk-SK"/>
        </w:rPr>
        <w:t>rtiazid sa eliminuje prevažne ako nezmenená zlúčenina.</w:t>
      </w:r>
    </w:p>
    <w:p w14:paraId="561F5B66" w14:textId="77777777" w:rsidR="00531B70" w:rsidRPr="00534FB2" w:rsidRDefault="00531B70" w:rsidP="00134CBE">
      <w:pPr>
        <w:rPr>
          <w:sz w:val="22"/>
          <w:szCs w:val="22"/>
          <w:lang w:val="sk-SK"/>
        </w:rPr>
      </w:pPr>
    </w:p>
    <w:p w14:paraId="09B3F3C1" w14:textId="4713FA53" w:rsidR="00730E83" w:rsidRPr="00534FB2" w:rsidRDefault="00730E83" w:rsidP="00134CBE">
      <w:pPr>
        <w:rPr>
          <w:i/>
          <w:sz w:val="22"/>
          <w:szCs w:val="22"/>
          <w:u w:val="single"/>
          <w:lang w:val="sk-SK"/>
        </w:rPr>
      </w:pPr>
      <w:r w:rsidRPr="00534FB2">
        <w:rPr>
          <w:i/>
          <w:sz w:val="22"/>
          <w:szCs w:val="22"/>
          <w:u w:val="single"/>
          <w:lang w:val="sk-SK"/>
        </w:rPr>
        <w:t>Elimin</w:t>
      </w:r>
      <w:r w:rsidR="00531B70" w:rsidRPr="00534FB2">
        <w:rPr>
          <w:i/>
          <w:sz w:val="22"/>
          <w:szCs w:val="22"/>
          <w:u w:val="single"/>
          <w:lang w:val="sk-SK"/>
        </w:rPr>
        <w:t>ácia</w:t>
      </w:r>
    </w:p>
    <w:p w14:paraId="6E9B08DC" w14:textId="73AA2F08" w:rsidR="004A0C46" w:rsidRPr="00534FB2" w:rsidRDefault="00531B70" w:rsidP="00531B70">
      <w:pPr>
        <w:rPr>
          <w:sz w:val="22"/>
          <w:szCs w:val="22"/>
          <w:lang w:val="sk-SK"/>
        </w:rPr>
      </w:pPr>
      <w:r w:rsidRPr="00534FB2">
        <w:rPr>
          <w:sz w:val="22"/>
          <w:szCs w:val="22"/>
          <w:lang w:val="sk-SK"/>
        </w:rPr>
        <w:t>Hydrochl</w:t>
      </w:r>
      <w:r w:rsidR="000514B9">
        <w:rPr>
          <w:sz w:val="22"/>
          <w:szCs w:val="22"/>
          <w:lang w:val="sk-SK"/>
        </w:rPr>
        <w:t>ó</w:t>
      </w:r>
      <w:r w:rsidRPr="00534FB2">
        <w:rPr>
          <w:sz w:val="22"/>
          <w:szCs w:val="22"/>
          <w:lang w:val="sk-SK"/>
        </w:rPr>
        <w:t>rtiazid sa eliminuje z plazmy s priemerným polčasom 6 až 15 hodín v terminálnej faze eliminácie. Po opakovanom podávaní hydrochl</w:t>
      </w:r>
      <w:r w:rsidR="000514B9">
        <w:rPr>
          <w:sz w:val="22"/>
          <w:szCs w:val="22"/>
          <w:lang w:val="sk-SK"/>
        </w:rPr>
        <w:t>ó</w:t>
      </w:r>
      <w:r w:rsidRPr="00534FB2">
        <w:rPr>
          <w:sz w:val="22"/>
          <w:szCs w:val="22"/>
          <w:lang w:val="sk-SK"/>
        </w:rPr>
        <w:t>rtiazidu sa kinetika nemení a akumulácia je minimálna, keď sa podáva raz denne. Viac ako 95% absorbovanej dávky sa vylúči ako nezmenená látka močom. Obličkový klírens sa skladá z pasívnej filtrácie a aktívnej sekrécie do renálneho tubulu.</w:t>
      </w:r>
    </w:p>
    <w:p w14:paraId="1EAEC1F9" w14:textId="77777777" w:rsidR="00531B70" w:rsidRPr="00534FB2" w:rsidRDefault="00531B70" w:rsidP="00531B70">
      <w:pPr>
        <w:rPr>
          <w:sz w:val="22"/>
          <w:szCs w:val="22"/>
          <w:lang w:val="sk-SK"/>
        </w:rPr>
      </w:pPr>
    </w:p>
    <w:p w14:paraId="4CAFC66C" w14:textId="79618B16" w:rsidR="00730E83" w:rsidRPr="00534FB2" w:rsidRDefault="00531B70" w:rsidP="00134CBE">
      <w:pPr>
        <w:rPr>
          <w:sz w:val="22"/>
          <w:szCs w:val="22"/>
          <w:u w:val="single"/>
          <w:lang w:val="sk-SK"/>
        </w:rPr>
      </w:pPr>
      <w:r w:rsidRPr="00534FB2">
        <w:rPr>
          <w:sz w:val="22"/>
          <w:szCs w:val="22"/>
          <w:u w:val="single"/>
          <w:lang w:val="sk-SK"/>
        </w:rPr>
        <w:t>Osobitné skupiny pacientov</w:t>
      </w:r>
    </w:p>
    <w:p w14:paraId="0E5C09A9" w14:textId="5C1137C0" w:rsidR="00730E83" w:rsidRPr="00534FB2" w:rsidRDefault="00531B70" w:rsidP="00134CBE">
      <w:pPr>
        <w:rPr>
          <w:i/>
          <w:sz w:val="22"/>
          <w:szCs w:val="22"/>
          <w:u w:val="single"/>
          <w:lang w:val="sk-SK"/>
        </w:rPr>
      </w:pPr>
      <w:r w:rsidRPr="00534FB2">
        <w:rPr>
          <w:i/>
          <w:sz w:val="22"/>
          <w:szCs w:val="22"/>
          <w:u w:val="single"/>
          <w:lang w:val="sk-SK"/>
        </w:rPr>
        <w:t>Pediatrickí pacienti (vo veku menej ako 18 rokov)</w:t>
      </w:r>
    </w:p>
    <w:p w14:paraId="0BD626AE" w14:textId="0A5D2FEB" w:rsidR="004A0C46" w:rsidRPr="00534FB2" w:rsidRDefault="00531B70" w:rsidP="00134CBE">
      <w:pPr>
        <w:rPr>
          <w:sz w:val="22"/>
          <w:szCs w:val="22"/>
          <w:lang w:val="sk-SK"/>
        </w:rPr>
      </w:pPr>
      <w:r w:rsidRPr="00534FB2">
        <w:rPr>
          <w:sz w:val="22"/>
          <w:szCs w:val="22"/>
          <w:lang w:val="sk-SK"/>
        </w:rPr>
        <w:t>Nie sú dostupné farmakokinetické údaje u pediatrickej populácie.</w:t>
      </w:r>
    </w:p>
    <w:p w14:paraId="3403FDA0" w14:textId="77777777" w:rsidR="00531B70" w:rsidRPr="00534FB2" w:rsidRDefault="00531B70" w:rsidP="00134CBE">
      <w:pPr>
        <w:rPr>
          <w:sz w:val="22"/>
          <w:szCs w:val="22"/>
          <w:lang w:val="sk-SK"/>
        </w:rPr>
      </w:pPr>
    </w:p>
    <w:p w14:paraId="7AC8E901" w14:textId="77777777" w:rsidR="00531B70" w:rsidRPr="00534FB2" w:rsidRDefault="00531B70" w:rsidP="00134CBE">
      <w:pPr>
        <w:rPr>
          <w:sz w:val="22"/>
          <w:szCs w:val="22"/>
          <w:lang w:val="sk-SK"/>
        </w:rPr>
      </w:pPr>
    </w:p>
    <w:p w14:paraId="362A2EE6" w14:textId="77777777" w:rsidR="00531B70" w:rsidRPr="00534FB2" w:rsidRDefault="00531B70" w:rsidP="00134CBE">
      <w:pPr>
        <w:rPr>
          <w:i/>
          <w:sz w:val="22"/>
          <w:szCs w:val="22"/>
          <w:u w:val="single"/>
          <w:lang w:val="sk-SK"/>
        </w:rPr>
      </w:pPr>
      <w:r w:rsidRPr="00534FB2">
        <w:rPr>
          <w:i/>
          <w:sz w:val="22"/>
          <w:szCs w:val="22"/>
          <w:u w:val="single"/>
          <w:lang w:val="sk-SK"/>
        </w:rPr>
        <w:t>Starší pacienti (vo veku 65 rokov alebo viac)</w:t>
      </w:r>
    </w:p>
    <w:p w14:paraId="0532E049" w14:textId="2A54AA32" w:rsidR="004A0C46" w:rsidRPr="00534FB2" w:rsidRDefault="00667F5C" w:rsidP="00667F5C">
      <w:pPr>
        <w:rPr>
          <w:sz w:val="22"/>
          <w:szCs w:val="22"/>
          <w:lang w:val="sk-SK"/>
        </w:rPr>
      </w:pPr>
      <w:r w:rsidRPr="00534FB2">
        <w:rPr>
          <w:sz w:val="22"/>
          <w:szCs w:val="22"/>
          <w:lang w:val="sk-SK"/>
        </w:rPr>
        <w:t>Čas do dosiahnutia maximálnych plazmatických koncentrácií amlodipínu je podobný u mladých a starších pacientov. U starších pacientov klírens amlodipínu má tendenciu klesať, čo spôsobuje zväčšenie plochy pod krivkou (AUC) a predĺženie polčasu eliminácie. Priemerná systémová AUC valsartanu je o 70% vyššia u starších ako u mladých ľudí, preto je pri zvyšovaní dávkovania potrebná opatrnosť.</w:t>
      </w:r>
    </w:p>
    <w:p w14:paraId="35A2DB7C" w14:textId="77777777" w:rsidR="00667F5C" w:rsidRPr="00534FB2" w:rsidRDefault="00667F5C" w:rsidP="00667F5C">
      <w:pPr>
        <w:rPr>
          <w:sz w:val="22"/>
          <w:szCs w:val="22"/>
          <w:lang w:val="sk-SK"/>
        </w:rPr>
      </w:pPr>
    </w:p>
    <w:p w14:paraId="3B0D8B22" w14:textId="4258D189" w:rsidR="004A0C46" w:rsidRPr="00534FB2" w:rsidRDefault="00667F5C" w:rsidP="00667F5C">
      <w:pPr>
        <w:rPr>
          <w:sz w:val="22"/>
          <w:szCs w:val="22"/>
          <w:lang w:val="sk-SK"/>
        </w:rPr>
      </w:pPr>
      <w:r w:rsidRPr="00534FB2">
        <w:rPr>
          <w:sz w:val="22"/>
          <w:szCs w:val="22"/>
          <w:lang w:val="sk-SK"/>
        </w:rPr>
        <w:t>Systémová expozícia valsartanu je mierne zvýšená u starších pacientov v porovnaní s mladšími, ale nepreukázalo sa, že by to bolo klinicky významné.</w:t>
      </w:r>
    </w:p>
    <w:p w14:paraId="2C054EF3" w14:textId="77777777" w:rsidR="00667F5C" w:rsidRPr="00534FB2" w:rsidRDefault="00667F5C" w:rsidP="00667F5C">
      <w:pPr>
        <w:rPr>
          <w:sz w:val="22"/>
          <w:szCs w:val="22"/>
          <w:lang w:val="sk-SK"/>
        </w:rPr>
      </w:pPr>
    </w:p>
    <w:p w14:paraId="1F996872" w14:textId="11682E8F" w:rsidR="004A0C46" w:rsidRPr="00534FB2" w:rsidRDefault="00667F5C" w:rsidP="00667F5C">
      <w:pPr>
        <w:rPr>
          <w:sz w:val="22"/>
          <w:szCs w:val="22"/>
          <w:lang w:val="sk-SK"/>
        </w:rPr>
      </w:pPr>
      <w:r w:rsidRPr="00534FB2">
        <w:rPr>
          <w:sz w:val="22"/>
          <w:szCs w:val="22"/>
          <w:lang w:val="sk-SK"/>
        </w:rPr>
        <w:lastRenderedPageBreak/>
        <w:t>Obmedzené údaje naznačujú, že systémový klírens hydrochl</w:t>
      </w:r>
      <w:r w:rsidR="000514B9">
        <w:rPr>
          <w:sz w:val="22"/>
          <w:szCs w:val="22"/>
          <w:lang w:val="sk-SK"/>
        </w:rPr>
        <w:t>ó</w:t>
      </w:r>
      <w:r w:rsidRPr="00534FB2">
        <w:rPr>
          <w:sz w:val="22"/>
          <w:szCs w:val="22"/>
          <w:lang w:val="sk-SK"/>
        </w:rPr>
        <w:t>rtiazidu je znížený u zdravých aj hypertenzných starších osôb v porovnaní s mladými zdravými dobrovoľníkmi.</w:t>
      </w:r>
    </w:p>
    <w:p w14:paraId="2075A28A" w14:textId="77777777" w:rsidR="00667F5C" w:rsidRPr="00534FB2" w:rsidRDefault="00667F5C" w:rsidP="00667F5C">
      <w:pPr>
        <w:rPr>
          <w:sz w:val="22"/>
          <w:szCs w:val="22"/>
          <w:lang w:val="sk-SK"/>
        </w:rPr>
      </w:pPr>
    </w:p>
    <w:p w14:paraId="0ECDB43F" w14:textId="7DB23054" w:rsidR="004A0C46" w:rsidRPr="00534FB2" w:rsidRDefault="00667F5C" w:rsidP="00667F5C">
      <w:pPr>
        <w:rPr>
          <w:sz w:val="22"/>
          <w:szCs w:val="22"/>
          <w:lang w:val="sk-SK"/>
        </w:rPr>
      </w:pPr>
      <w:r w:rsidRPr="00534FB2">
        <w:rPr>
          <w:sz w:val="22"/>
          <w:szCs w:val="22"/>
          <w:lang w:val="sk-SK"/>
        </w:rPr>
        <w:t>Keďže tieto tri zložky tolerujú rovnako dobre mladší aj starší pacienti, odporúčajú sa normálne dávkovacie režimy (pozri časť 4.2).</w:t>
      </w:r>
    </w:p>
    <w:p w14:paraId="24263947" w14:textId="77777777" w:rsidR="00667F5C" w:rsidRPr="00534FB2" w:rsidRDefault="00667F5C" w:rsidP="00667F5C">
      <w:pPr>
        <w:rPr>
          <w:sz w:val="22"/>
          <w:szCs w:val="22"/>
          <w:lang w:val="sk-SK"/>
        </w:rPr>
      </w:pPr>
    </w:p>
    <w:p w14:paraId="04889255" w14:textId="64CEE5E2" w:rsidR="004A0C46" w:rsidRPr="00534FB2" w:rsidRDefault="00667F5C" w:rsidP="00134CBE">
      <w:pPr>
        <w:rPr>
          <w:i/>
          <w:sz w:val="22"/>
          <w:szCs w:val="22"/>
          <w:u w:val="single"/>
          <w:lang w:val="sk-SK"/>
        </w:rPr>
      </w:pPr>
      <w:r w:rsidRPr="00534FB2">
        <w:rPr>
          <w:i/>
          <w:sz w:val="22"/>
          <w:szCs w:val="22"/>
          <w:u w:val="single"/>
          <w:lang w:val="sk-SK"/>
        </w:rPr>
        <w:t>Po</w:t>
      </w:r>
      <w:r w:rsidR="00526F2A">
        <w:rPr>
          <w:i/>
          <w:sz w:val="22"/>
          <w:szCs w:val="22"/>
          <w:u w:val="single"/>
          <w:lang w:val="sk-SK"/>
        </w:rPr>
        <w:t>rucha</w:t>
      </w:r>
      <w:r w:rsidRPr="00534FB2">
        <w:rPr>
          <w:i/>
          <w:sz w:val="22"/>
          <w:szCs w:val="22"/>
          <w:u w:val="single"/>
          <w:lang w:val="sk-SK"/>
        </w:rPr>
        <w:t xml:space="preserve"> funkcie obličiek</w:t>
      </w:r>
    </w:p>
    <w:p w14:paraId="0AAC4A5B" w14:textId="7056094F" w:rsidR="00B04A52" w:rsidRPr="00534FB2" w:rsidRDefault="00667F5C" w:rsidP="00667F5C">
      <w:pPr>
        <w:rPr>
          <w:sz w:val="22"/>
          <w:szCs w:val="22"/>
          <w:lang w:val="sk-SK"/>
        </w:rPr>
      </w:pPr>
      <w:r w:rsidRPr="00534FB2">
        <w:rPr>
          <w:sz w:val="22"/>
          <w:szCs w:val="22"/>
          <w:lang w:val="sk-SK"/>
        </w:rPr>
        <w:t>Farmakokinetiku amlodipínu po</w:t>
      </w:r>
      <w:r w:rsidR="00526F2A">
        <w:rPr>
          <w:sz w:val="22"/>
          <w:szCs w:val="22"/>
          <w:lang w:val="sk-SK"/>
        </w:rPr>
        <w:t>rucha</w:t>
      </w:r>
      <w:r w:rsidRPr="00534FB2">
        <w:rPr>
          <w:sz w:val="22"/>
          <w:szCs w:val="22"/>
          <w:lang w:val="sk-SK"/>
        </w:rPr>
        <w:t xml:space="preserve"> funkcie obličiek významne neovplyvňuje. Podľa očakávania pri zlúčenine, ktorej renálny klírens predstavuje iba 30% celkového plazmatického klírensu, sa nepozorovala žiadna korelácia medzi funkciou obličiek a systémovou expozíciou valsartanu.</w:t>
      </w:r>
    </w:p>
    <w:p w14:paraId="04BDC29A" w14:textId="77777777" w:rsidR="00667F5C" w:rsidRPr="00534FB2" w:rsidRDefault="00667F5C" w:rsidP="00667F5C">
      <w:pPr>
        <w:rPr>
          <w:sz w:val="22"/>
          <w:szCs w:val="22"/>
          <w:lang w:val="sk-SK"/>
        </w:rPr>
      </w:pPr>
    </w:p>
    <w:p w14:paraId="2658F1B4" w14:textId="014727A6" w:rsidR="00B04A52" w:rsidRPr="00534FB2" w:rsidRDefault="00667F5C" w:rsidP="00667F5C">
      <w:pPr>
        <w:rPr>
          <w:sz w:val="22"/>
          <w:szCs w:val="22"/>
          <w:lang w:val="sk-SK"/>
        </w:rPr>
      </w:pPr>
      <w:r w:rsidRPr="00534FB2">
        <w:rPr>
          <w:sz w:val="22"/>
          <w:szCs w:val="22"/>
          <w:lang w:val="sk-SK"/>
        </w:rPr>
        <w:t>Pacienti s ľahk</w:t>
      </w:r>
      <w:r w:rsidR="00526F2A">
        <w:rPr>
          <w:sz w:val="22"/>
          <w:szCs w:val="22"/>
          <w:lang w:val="sk-SK"/>
        </w:rPr>
        <w:t>ou</w:t>
      </w:r>
      <w:r w:rsidRPr="00534FB2">
        <w:rPr>
          <w:sz w:val="22"/>
          <w:szCs w:val="22"/>
          <w:lang w:val="sk-SK"/>
        </w:rPr>
        <w:t xml:space="preserve"> až stredne ťažk</w:t>
      </w:r>
      <w:r w:rsidR="00526F2A">
        <w:rPr>
          <w:sz w:val="22"/>
          <w:szCs w:val="22"/>
          <w:lang w:val="sk-SK"/>
        </w:rPr>
        <w:t>ou</w:t>
      </w:r>
      <w:r w:rsidRPr="00534FB2">
        <w:rPr>
          <w:sz w:val="22"/>
          <w:szCs w:val="22"/>
          <w:lang w:val="sk-SK"/>
        </w:rPr>
        <w:t xml:space="preserve"> po</w:t>
      </w:r>
      <w:r w:rsidR="00526F2A">
        <w:rPr>
          <w:sz w:val="22"/>
          <w:szCs w:val="22"/>
          <w:lang w:val="sk-SK"/>
        </w:rPr>
        <w:t>ruchou</w:t>
      </w:r>
      <w:r w:rsidRPr="00534FB2">
        <w:rPr>
          <w:sz w:val="22"/>
          <w:szCs w:val="22"/>
          <w:lang w:val="sk-SK"/>
        </w:rPr>
        <w:t xml:space="preserve"> funkcie obličiek môžu preto dostať obvyklú začiatočnú dávku (pozri časti 4.2 a 4.4).</w:t>
      </w:r>
    </w:p>
    <w:p w14:paraId="352218F0" w14:textId="77777777" w:rsidR="00667F5C" w:rsidRPr="00534FB2" w:rsidRDefault="00667F5C" w:rsidP="00667F5C">
      <w:pPr>
        <w:rPr>
          <w:sz w:val="22"/>
          <w:szCs w:val="22"/>
          <w:lang w:val="sk-SK"/>
        </w:rPr>
      </w:pPr>
    </w:p>
    <w:p w14:paraId="720CBDDE" w14:textId="625838EA" w:rsidR="00730E83" w:rsidRPr="00534FB2" w:rsidRDefault="00667F5C" w:rsidP="00667F5C">
      <w:pPr>
        <w:rPr>
          <w:sz w:val="22"/>
          <w:szCs w:val="22"/>
          <w:lang w:val="sk-SK"/>
        </w:rPr>
      </w:pPr>
      <w:r w:rsidRPr="00534FB2">
        <w:rPr>
          <w:sz w:val="22"/>
          <w:szCs w:val="22"/>
          <w:lang w:val="sk-SK"/>
        </w:rPr>
        <w:t>Pri poruche funkcie obličiek sú priemerné maximálne plazmatické koncentrácie a hodnoty AUC hydrochl</w:t>
      </w:r>
      <w:r w:rsidR="000514B9">
        <w:rPr>
          <w:sz w:val="22"/>
          <w:szCs w:val="22"/>
          <w:lang w:val="sk-SK"/>
        </w:rPr>
        <w:t>ó</w:t>
      </w:r>
      <w:r w:rsidRPr="00534FB2">
        <w:rPr>
          <w:sz w:val="22"/>
          <w:szCs w:val="22"/>
          <w:lang w:val="sk-SK"/>
        </w:rPr>
        <w:t>rtiazidu zvýšené a rýchlosť vylučovania močom je znížená. U pacientov s ľahkou až stredne ťažkou poruchou funkcie obličiek sa pozorovalo 3-násobné zvýšenie AUC hydrochl</w:t>
      </w:r>
      <w:r w:rsidR="000514B9">
        <w:rPr>
          <w:sz w:val="22"/>
          <w:szCs w:val="22"/>
          <w:lang w:val="sk-SK"/>
        </w:rPr>
        <w:t>ó</w:t>
      </w:r>
      <w:r w:rsidRPr="00534FB2">
        <w:rPr>
          <w:sz w:val="22"/>
          <w:szCs w:val="22"/>
          <w:lang w:val="sk-SK"/>
        </w:rPr>
        <w:t>rtiazidu. U pacientov s ťažkou poruchou funkcie obličiek sa pozorovalo 8-násobné zvýšenie AUC. Asbima HCT je kontraindikovaná u pacientov s ťažkou poruchou funkcie obličiek, anúriou alebo u dialyzovaných pacientov (pozri časť 4.3).</w:t>
      </w:r>
    </w:p>
    <w:p w14:paraId="4F9DF25A" w14:textId="77777777" w:rsidR="00667F5C" w:rsidRPr="00534FB2" w:rsidRDefault="00667F5C" w:rsidP="00667F5C">
      <w:pPr>
        <w:rPr>
          <w:sz w:val="22"/>
          <w:szCs w:val="22"/>
          <w:lang w:val="sk-SK"/>
        </w:rPr>
      </w:pPr>
    </w:p>
    <w:p w14:paraId="6DDCE6CE" w14:textId="6D8C6323" w:rsidR="00730E83" w:rsidRPr="00534FB2" w:rsidRDefault="00667F5C" w:rsidP="00134CBE">
      <w:pPr>
        <w:rPr>
          <w:i/>
          <w:sz w:val="22"/>
          <w:szCs w:val="22"/>
          <w:u w:val="single"/>
          <w:lang w:val="sk-SK"/>
        </w:rPr>
      </w:pPr>
      <w:r w:rsidRPr="00534FB2">
        <w:rPr>
          <w:i/>
          <w:sz w:val="22"/>
          <w:szCs w:val="22"/>
          <w:u w:val="single"/>
          <w:lang w:val="sk-SK"/>
        </w:rPr>
        <w:t>Po</w:t>
      </w:r>
      <w:r w:rsidR="00526F2A">
        <w:rPr>
          <w:i/>
          <w:sz w:val="22"/>
          <w:szCs w:val="22"/>
          <w:u w:val="single"/>
          <w:lang w:val="sk-SK"/>
        </w:rPr>
        <w:t>rucha</w:t>
      </w:r>
      <w:r w:rsidRPr="00534FB2">
        <w:rPr>
          <w:i/>
          <w:sz w:val="22"/>
          <w:szCs w:val="22"/>
          <w:u w:val="single"/>
          <w:lang w:val="sk-SK"/>
        </w:rPr>
        <w:t xml:space="preserve"> funkcie pečene</w:t>
      </w:r>
    </w:p>
    <w:p w14:paraId="6DB33D42" w14:textId="58E2293D" w:rsidR="0048743D" w:rsidRPr="00534FB2" w:rsidRDefault="00667F5C" w:rsidP="00667F5C">
      <w:pPr>
        <w:rPr>
          <w:sz w:val="22"/>
          <w:szCs w:val="22"/>
          <w:lang w:val="sk-SK"/>
        </w:rPr>
      </w:pPr>
      <w:r w:rsidRPr="00534FB2">
        <w:rPr>
          <w:sz w:val="22"/>
          <w:szCs w:val="22"/>
          <w:lang w:val="sk-SK"/>
        </w:rPr>
        <w:t>K dispozícii sú veľmi obmedzené údaje týkajúce sa podávania amlodipínu u pacientov s poruchou funkcie pečene. Pacienti s poruchou funkcie pečene majú znížený klírens amlodipínu, čo má za následok zväčšenie AUC približne o 40-60%. V priemere je u pacientov s ľahkým až stredne ťažkým chronickým ochorením pečene expozícia (stanovená hodnotami AUC) valsartanu dvojnásobná v porovnaní so zdravými dobrovoľníkmi (so zodpovedajúcim vekom, pohlavím a telesnou hmotnosťou). Pre valsartanovú zložku je Asbima HCT kontraindikovaná u pacientov s poruchou funkcie pečene (pozri časti 4.2 a 4.3).</w:t>
      </w:r>
    </w:p>
    <w:p w14:paraId="2B246F4B" w14:textId="77777777" w:rsidR="00667F5C" w:rsidRPr="00534FB2" w:rsidRDefault="00667F5C" w:rsidP="00667F5C">
      <w:pPr>
        <w:rPr>
          <w:sz w:val="22"/>
          <w:szCs w:val="22"/>
          <w:lang w:val="sk-SK"/>
        </w:rPr>
      </w:pPr>
    </w:p>
    <w:p w14:paraId="10420790" w14:textId="00B3FBCB" w:rsidR="0043633E" w:rsidRPr="00534FB2" w:rsidRDefault="00667F5C" w:rsidP="00667F5C">
      <w:pPr>
        <w:pStyle w:val="Odsekzoznamu"/>
        <w:numPr>
          <w:ilvl w:val="1"/>
          <w:numId w:val="1"/>
        </w:numPr>
        <w:ind w:left="567" w:hanging="567"/>
        <w:rPr>
          <w:b/>
          <w:sz w:val="22"/>
          <w:szCs w:val="22"/>
          <w:lang w:val="sk-SK"/>
        </w:rPr>
      </w:pPr>
      <w:r w:rsidRPr="00534FB2">
        <w:rPr>
          <w:b/>
          <w:sz w:val="22"/>
          <w:szCs w:val="22"/>
          <w:lang w:val="sk-SK"/>
        </w:rPr>
        <w:t>Predklinické údaje o bezpečnosti</w:t>
      </w:r>
    </w:p>
    <w:p w14:paraId="5028D915" w14:textId="77777777" w:rsidR="0043633E" w:rsidRPr="00534FB2" w:rsidRDefault="0043633E" w:rsidP="00134CBE">
      <w:pPr>
        <w:rPr>
          <w:sz w:val="22"/>
          <w:szCs w:val="22"/>
        </w:rPr>
      </w:pPr>
    </w:p>
    <w:p w14:paraId="4A1CD631" w14:textId="2BC28534" w:rsidR="00B04A52" w:rsidRPr="00534FB2" w:rsidRDefault="00667F5C" w:rsidP="00134CBE">
      <w:pPr>
        <w:rPr>
          <w:sz w:val="22"/>
          <w:szCs w:val="22"/>
          <w:u w:val="single"/>
          <w:lang w:val="sk-SK"/>
        </w:rPr>
      </w:pPr>
      <w:r w:rsidRPr="00534FB2">
        <w:rPr>
          <w:sz w:val="22"/>
          <w:szCs w:val="22"/>
          <w:u w:val="single"/>
          <w:lang w:val="sk-SK"/>
        </w:rPr>
        <w:t>Amlodipín</w:t>
      </w:r>
      <w:r w:rsidR="00B04A52" w:rsidRPr="00534FB2">
        <w:rPr>
          <w:sz w:val="22"/>
          <w:szCs w:val="22"/>
          <w:u w:val="single"/>
          <w:lang w:val="sk-SK"/>
        </w:rPr>
        <w:t>/</w:t>
      </w:r>
      <w:r w:rsidR="009577E0" w:rsidRPr="00534FB2">
        <w:rPr>
          <w:sz w:val="22"/>
          <w:szCs w:val="22"/>
          <w:u w:val="single"/>
          <w:lang w:val="sk-SK"/>
        </w:rPr>
        <w:t>v</w:t>
      </w:r>
      <w:r w:rsidR="00B04A52" w:rsidRPr="00534FB2">
        <w:rPr>
          <w:sz w:val="22"/>
          <w:szCs w:val="22"/>
          <w:u w:val="single"/>
          <w:lang w:val="sk-SK"/>
        </w:rPr>
        <w:t>alsartan/</w:t>
      </w:r>
      <w:r w:rsidR="009577E0" w:rsidRPr="00534FB2">
        <w:rPr>
          <w:sz w:val="22"/>
          <w:szCs w:val="22"/>
          <w:u w:val="single"/>
          <w:lang w:val="sk-SK"/>
        </w:rPr>
        <w:t>h</w:t>
      </w:r>
      <w:r w:rsidRPr="00534FB2">
        <w:rPr>
          <w:sz w:val="22"/>
          <w:szCs w:val="22"/>
          <w:u w:val="single"/>
          <w:lang w:val="sk-SK"/>
        </w:rPr>
        <w:t>ydrochl</w:t>
      </w:r>
      <w:r w:rsidR="000514B9">
        <w:rPr>
          <w:sz w:val="22"/>
          <w:szCs w:val="22"/>
          <w:u w:val="single"/>
          <w:lang w:val="sk-SK"/>
        </w:rPr>
        <w:t>ó</w:t>
      </w:r>
      <w:r w:rsidRPr="00534FB2">
        <w:rPr>
          <w:sz w:val="22"/>
          <w:szCs w:val="22"/>
          <w:u w:val="single"/>
          <w:lang w:val="sk-SK"/>
        </w:rPr>
        <w:t>rtiazid</w:t>
      </w:r>
    </w:p>
    <w:p w14:paraId="3124F2E5" w14:textId="356D32C9" w:rsidR="00403E8B" w:rsidRPr="00534FB2" w:rsidRDefault="00403E8B" w:rsidP="00403E8B">
      <w:pPr>
        <w:rPr>
          <w:sz w:val="22"/>
          <w:szCs w:val="22"/>
          <w:lang w:val="sk-SK"/>
        </w:rPr>
      </w:pPr>
      <w:r w:rsidRPr="00534FB2">
        <w:rPr>
          <w:sz w:val="22"/>
          <w:szCs w:val="22"/>
          <w:lang w:val="sk-SK"/>
        </w:rPr>
        <w:t>V rôznych predklinických štúdiách bezpečnosti amplodipínu, valsartanu, hydrochl</w:t>
      </w:r>
      <w:r w:rsidR="000514B9">
        <w:rPr>
          <w:sz w:val="22"/>
          <w:szCs w:val="22"/>
          <w:lang w:val="sk-SK"/>
        </w:rPr>
        <w:t>ó</w:t>
      </w:r>
      <w:r w:rsidRPr="00534FB2">
        <w:rPr>
          <w:sz w:val="22"/>
          <w:szCs w:val="22"/>
          <w:lang w:val="sk-SK"/>
        </w:rPr>
        <w:t>rtiazidu,</w:t>
      </w:r>
    </w:p>
    <w:p w14:paraId="1AAD262C" w14:textId="56495028" w:rsidR="00403E8B" w:rsidRPr="00534FB2" w:rsidRDefault="00403E8B" w:rsidP="00403E8B">
      <w:pPr>
        <w:rPr>
          <w:sz w:val="22"/>
          <w:szCs w:val="22"/>
          <w:lang w:val="sk-SK"/>
        </w:rPr>
      </w:pPr>
      <w:r w:rsidRPr="00534FB2">
        <w:rPr>
          <w:sz w:val="22"/>
          <w:szCs w:val="22"/>
          <w:lang w:val="sk-SK"/>
        </w:rPr>
        <w:t>valsartanu/hydrochl</w:t>
      </w:r>
      <w:r w:rsidR="000514B9">
        <w:rPr>
          <w:sz w:val="22"/>
          <w:szCs w:val="22"/>
          <w:lang w:val="sk-SK"/>
        </w:rPr>
        <w:t>ó</w:t>
      </w:r>
      <w:r w:rsidRPr="00534FB2">
        <w:rPr>
          <w:sz w:val="22"/>
          <w:szCs w:val="22"/>
          <w:lang w:val="sk-SK"/>
        </w:rPr>
        <w:t>rtiazidu, amlodipínu/valsartanu a amlodipínu/valsartanu/hydrochl</w:t>
      </w:r>
      <w:r w:rsidR="000514B9">
        <w:rPr>
          <w:sz w:val="22"/>
          <w:szCs w:val="22"/>
          <w:lang w:val="sk-SK"/>
        </w:rPr>
        <w:t>ó</w:t>
      </w:r>
      <w:r w:rsidRPr="00534FB2">
        <w:rPr>
          <w:sz w:val="22"/>
          <w:szCs w:val="22"/>
          <w:lang w:val="sk-SK"/>
        </w:rPr>
        <w:t>rtiazidu vykonaných na viacerých živočíšnych druhoch sa nepreukázala systémová ani cieľová orgánová toxicita, ktorá by nepriaznivo ovplyvnila vývoj amlodipínu/valsartanu/hydrochl</w:t>
      </w:r>
      <w:r w:rsidR="000514B9">
        <w:rPr>
          <w:sz w:val="22"/>
          <w:szCs w:val="22"/>
          <w:lang w:val="sk-SK"/>
        </w:rPr>
        <w:t>ó</w:t>
      </w:r>
      <w:r w:rsidRPr="00534FB2">
        <w:rPr>
          <w:sz w:val="22"/>
          <w:szCs w:val="22"/>
          <w:lang w:val="sk-SK"/>
        </w:rPr>
        <w:t>rtiazidu</w:t>
      </w:r>
      <w:r w:rsidR="00526F2A">
        <w:rPr>
          <w:sz w:val="22"/>
          <w:szCs w:val="22"/>
          <w:lang w:val="sk-SK"/>
        </w:rPr>
        <w:t xml:space="preserve"> </w:t>
      </w:r>
      <w:r w:rsidRPr="00534FB2">
        <w:rPr>
          <w:sz w:val="22"/>
          <w:szCs w:val="22"/>
          <w:lang w:val="sk-SK"/>
        </w:rPr>
        <w:t>pre klinické použitie u ľudí.</w:t>
      </w:r>
    </w:p>
    <w:p w14:paraId="7E93C448" w14:textId="77777777" w:rsidR="00403E8B" w:rsidRPr="00534FB2" w:rsidRDefault="00403E8B" w:rsidP="00134CBE">
      <w:pPr>
        <w:rPr>
          <w:sz w:val="22"/>
          <w:szCs w:val="22"/>
          <w:lang w:val="sk-SK"/>
        </w:rPr>
      </w:pPr>
    </w:p>
    <w:p w14:paraId="7B58246B" w14:textId="77777777" w:rsidR="00544650" w:rsidRPr="00534FB2" w:rsidRDefault="00544650" w:rsidP="00544650">
      <w:pPr>
        <w:rPr>
          <w:sz w:val="22"/>
          <w:szCs w:val="22"/>
          <w:lang w:val="sk-SK"/>
        </w:rPr>
      </w:pPr>
      <w:r w:rsidRPr="00534FB2">
        <w:rPr>
          <w:sz w:val="22"/>
          <w:szCs w:val="22"/>
          <w:lang w:val="sk-SK"/>
        </w:rPr>
        <w:t>Predklinické štúdie bezpečnosti trvajúce do 13 týždňov sa vykonali s</w:t>
      </w:r>
    </w:p>
    <w:p w14:paraId="16E11B7B" w14:textId="4C475A52" w:rsidR="00544650" w:rsidRPr="00534FB2" w:rsidRDefault="00544650" w:rsidP="00544650">
      <w:pPr>
        <w:rPr>
          <w:sz w:val="22"/>
          <w:szCs w:val="22"/>
          <w:lang w:val="sk-SK"/>
        </w:rPr>
      </w:pPr>
      <w:r w:rsidRPr="00534FB2">
        <w:rPr>
          <w:sz w:val="22"/>
          <w:szCs w:val="22"/>
          <w:lang w:val="sk-SK"/>
        </w:rPr>
        <w:t>amlodipínom/valsartanom/hydrochl</w:t>
      </w:r>
      <w:r w:rsidR="000514B9">
        <w:rPr>
          <w:sz w:val="22"/>
          <w:szCs w:val="22"/>
          <w:lang w:val="sk-SK"/>
        </w:rPr>
        <w:t>ó</w:t>
      </w:r>
      <w:r w:rsidRPr="00534FB2">
        <w:rPr>
          <w:sz w:val="22"/>
          <w:szCs w:val="22"/>
          <w:lang w:val="sk-SK"/>
        </w:rPr>
        <w:t xml:space="preserve">rtiazidom na potkanoch. </w:t>
      </w:r>
      <w:r w:rsidR="007A5706" w:rsidRPr="00534FB2">
        <w:rPr>
          <w:sz w:val="22"/>
          <w:szCs w:val="22"/>
          <w:lang w:val="sk-SK"/>
        </w:rPr>
        <w:t xml:space="preserve">Kombinácia viedla k očakávanému </w:t>
      </w:r>
      <w:r w:rsidRPr="00534FB2">
        <w:rPr>
          <w:sz w:val="22"/>
          <w:szCs w:val="22"/>
          <w:lang w:val="sk-SK"/>
        </w:rPr>
        <w:t>poklesu erytrocytovej masy (erytrocytov, hemoglobínu, hematok</w:t>
      </w:r>
      <w:r w:rsidR="007A5706" w:rsidRPr="00534FB2">
        <w:rPr>
          <w:sz w:val="22"/>
          <w:szCs w:val="22"/>
          <w:lang w:val="sk-SK"/>
        </w:rPr>
        <w:t xml:space="preserve">ritu a retikulocytov), vzostupu </w:t>
      </w:r>
      <w:r w:rsidRPr="00534FB2">
        <w:rPr>
          <w:sz w:val="22"/>
          <w:szCs w:val="22"/>
          <w:lang w:val="sk-SK"/>
        </w:rPr>
        <w:t xml:space="preserve">močoviny v sére, vzostupu kreatinínu v sére, zvýšeniu draslíka v sére, k </w:t>
      </w:r>
      <w:r w:rsidR="007A5706" w:rsidRPr="00534FB2">
        <w:rPr>
          <w:sz w:val="22"/>
          <w:szCs w:val="22"/>
          <w:lang w:val="sk-SK"/>
        </w:rPr>
        <w:t xml:space="preserve">juxtaglomerulárnej (JG) </w:t>
      </w:r>
      <w:r w:rsidRPr="00534FB2">
        <w:rPr>
          <w:sz w:val="22"/>
          <w:szCs w:val="22"/>
          <w:lang w:val="sk-SK"/>
        </w:rPr>
        <w:t>hyperplázii v obličke a fokálnym eróziám v žľazovom žalúdku po</w:t>
      </w:r>
      <w:r w:rsidR="007A5706" w:rsidRPr="00534FB2">
        <w:rPr>
          <w:sz w:val="22"/>
          <w:szCs w:val="22"/>
          <w:lang w:val="sk-SK"/>
        </w:rPr>
        <w:t xml:space="preserve">tkanov. Všetky tieto zmeny boli </w:t>
      </w:r>
      <w:r w:rsidRPr="00534FB2">
        <w:rPr>
          <w:sz w:val="22"/>
          <w:szCs w:val="22"/>
          <w:lang w:val="sk-SK"/>
        </w:rPr>
        <w:t>reverzibilné po 4-týždňovom období zotavenia a boli považované za vystupňované farmakologické</w:t>
      </w:r>
    </w:p>
    <w:p w14:paraId="5ECD6627" w14:textId="54E7F8BA" w:rsidR="00B04A52" w:rsidRPr="00534FB2" w:rsidRDefault="00544650" w:rsidP="00544650">
      <w:pPr>
        <w:rPr>
          <w:sz w:val="22"/>
          <w:szCs w:val="22"/>
          <w:lang w:val="sk-SK"/>
        </w:rPr>
      </w:pPr>
      <w:r w:rsidRPr="00534FB2">
        <w:rPr>
          <w:sz w:val="22"/>
          <w:szCs w:val="22"/>
          <w:lang w:val="sk-SK"/>
        </w:rPr>
        <w:t>účinky.</w:t>
      </w:r>
    </w:p>
    <w:p w14:paraId="3EA4BE69" w14:textId="77777777" w:rsidR="007A5706" w:rsidRPr="00534FB2" w:rsidRDefault="007A5706" w:rsidP="00544650">
      <w:pPr>
        <w:rPr>
          <w:sz w:val="22"/>
          <w:szCs w:val="22"/>
          <w:lang w:val="sk-SK"/>
        </w:rPr>
      </w:pPr>
    </w:p>
    <w:p w14:paraId="7933B687" w14:textId="6862F6F7" w:rsidR="007A5706" w:rsidRPr="00534FB2" w:rsidRDefault="007A5706" w:rsidP="007A5706">
      <w:pPr>
        <w:rPr>
          <w:sz w:val="22"/>
          <w:szCs w:val="22"/>
          <w:lang w:val="sk-SK"/>
        </w:rPr>
      </w:pPr>
      <w:r w:rsidRPr="00534FB2">
        <w:rPr>
          <w:sz w:val="22"/>
          <w:szCs w:val="22"/>
          <w:lang w:val="sk-SK"/>
        </w:rPr>
        <w:t>Kombinácia amlodipínu/valsartanu/hydrochl</w:t>
      </w:r>
      <w:r w:rsidR="000514B9">
        <w:rPr>
          <w:sz w:val="22"/>
          <w:szCs w:val="22"/>
          <w:lang w:val="sk-SK"/>
        </w:rPr>
        <w:t>ó</w:t>
      </w:r>
      <w:r w:rsidRPr="00534FB2">
        <w:rPr>
          <w:sz w:val="22"/>
          <w:szCs w:val="22"/>
          <w:lang w:val="sk-SK"/>
        </w:rPr>
        <w:t>rtiazidu sa netestovala na genotoxicitu alebo</w:t>
      </w:r>
    </w:p>
    <w:p w14:paraId="667A8B84" w14:textId="75A67BF2" w:rsidR="00B04A52" w:rsidRPr="00534FB2" w:rsidRDefault="007A5706" w:rsidP="007A5706">
      <w:pPr>
        <w:rPr>
          <w:sz w:val="22"/>
          <w:szCs w:val="22"/>
          <w:lang w:val="sk-SK"/>
        </w:rPr>
      </w:pPr>
      <w:r w:rsidRPr="00534FB2">
        <w:rPr>
          <w:sz w:val="22"/>
          <w:szCs w:val="22"/>
          <w:lang w:val="sk-SK"/>
        </w:rPr>
        <w:t>karcinogenitu, pretože nebol žiaden dôkaz o akejkoľvek interakcii medzi týmito látkami, ktoré sú už dlhý čas na trhu. Amlodipín, valsartan a hydrochl</w:t>
      </w:r>
      <w:r w:rsidR="000514B9">
        <w:rPr>
          <w:sz w:val="22"/>
          <w:szCs w:val="22"/>
          <w:lang w:val="sk-SK"/>
        </w:rPr>
        <w:t>ó</w:t>
      </w:r>
      <w:r w:rsidRPr="00534FB2">
        <w:rPr>
          <w:sz w:val="22"/>
          <w:szCs w:val="22"/>
          <w:lang w:val="sk-SK"/>
        </w:rPr>
        <w:t>rtiazid však boli samostatne testované na genotoxicitu a karcinogenitu s negatívnymi výsledkami.</w:t>
      </w:r>
    </w:p>
    <w:p w14:paraId="1CCE9837" w14:textId="77777777" w:rsidR="007A5706" w:rsidRPr="00534FB2" w:rsidRDefault="007A5706" w:rsidP="007A5706">
      <w:pPr>
        <w:rPr>
          <w:sz w:val="22"/>
          <w:szCs w:val="22"/>
          <w:lang w:val="sk-SK"/>
        </w:rPr>
      </w:pPr>
    </w:p>
    <w:p w14:paraId="06472C7C" w14:textId="58781562" w:rsidR="00B04A52" w:rsidRPr="00534FB2" w:rsidRDefault="00B04A52" w:rsidP="00134CBE">
      <w:pPr>
        <w:rPr>
          <w:sz w:val="22"/>
          <w:szCs w:val="22"/>
          <w:u w:val="single"/>
          <w:lang w:val="sk-SK"/>
        </w:rPr>
      </w:pPr>
      <w:r w:rsidRPr="00534FB2">
        <w:rPr>
          <w:sz w:val="22"/>
          <w:szCs w:val="22"/>
          <w:u w:val="single"/>
          <w:lang w:val="sk-SK"/>
        </w:rPr>
        <w:t>Amlodip</w:t>
      </w:r>
      <w:r w:rsidR="007A5706" w:rsidRPr="00534FB2">
        <w:rPr>
          <w:sz w:val="22"/>
          <w:szCs w:val="22"/>
          <w:u w:val="single"/>
          <w:lang w:val="sk-SK"/>
        </w:rPr>
        <w:t>ín</w:t>
      </w:r>
    </w:p>
    <w:p w14:paraId="7382493E" w14:textId="7BE4708E" w:rsidR="00B04A52" w:rsidRPr="00534FB2" w:rsidRDefault="007A5706" w:rsidP="00134CBE">
      <w:pPr>
        <w:rPr>
          <w:i/>
          <w:iCs/>
          <w:sz w:val="22"/>
          <w:szCs w:val="22"/>
          <w:u w:val="single"/>
          <w:lang w:val="sk-SK"/>
        </w:rPr>
      </w:pPr>
      <w:r w:rsidRPr="00534FB2">
        <w:rPr>
          <w:i/>
          <w:iCs/>
          <w:sz w:val="22"/>
          <w:szCs w:val="22"/>
          <w:u w:val="single"/>
          <w:lang w:val="sk-SK"/>
        </w:rPr>
        <w:t>Reprodukčná toxikológia</w:t>
      </w:r>
    </w:p>
    <w:p w14:paraId="15015746" w14:textId="69271DD3" w:rsidR="000F4F65" w:rsidRPr="00534FB2" w:rsidRDefault="007A5706" w:rsidP="007A5706">
      <w:pPr>
        <w:rPr>
          <w:sz w:val="22"/>
          <w:szCs w:val="22"/>
          <w:lang w:val="sk-SK"/>
        </w:rPr>
      </w:pPr>
      <w:r w:rsidRPr="00534FB2">
        <w:rPr>
          <w:sz w:val="22"/>
          <w:szCs w:val="22"/>
          <w:lang w:val="sk-SK"/>
        </w:rPr>
        <w:lastRenderedPageBreak/>
        <w:t>Reprodukčné štúdie u potkanov a myší preukázali oneskorený dátum pôrodu, dlhšie trvanie pôrodu a znížený počet prežívajúcich mláďat pri dávkach približne 50-krát vyšších, ako je maximálna odporúčaná dávka pre ľudí vyjadrená v mg/kg.</w:t>
      </w:r>
    </w:p>
    <w:p w14:paraId="18977C79" w14:textId="77777777" w:rsidR="007A5706" w:rsidRPr="00534FB2" w:rsidRDefault="007A5706" w:rsidP="007A5706">
      <w:pPr>
        <w:rPr>
          <w:sz w:val="22"/>
          <w:szCs w:val="22"/>
          <w:lang w:val="sk-SK"/>
        </w:rPr>
      </w:pPr>
    </w:p>
    <w:p w14:paraId="6F7DDEDC" w14:textId="523C1841" w:rsidR="00B04A52" w:rsidRPr="00534FB2" w:rsidRDefault="007A5706" w:rsidP="006D647D">
      <w:pPr>
        <w:keepNext/>
        <w:rPr>
          <w:i/>
          <w:iCs/>
          <w:sz w:val="22"/>
          <w:szCs w:val="22"/>
          <w:u w:val="single"/>
          <w:lang w:val="sk-SK"/>
        </w:rPr>
      </w:pPr>
      <w:r w:rsidRPr="00534FB2">
        <w:rPr>
          <w:i/>
          <w:iCs/>
          <w:sz w:val="22"/>
          <w:szCs w:val="22"/>
          <w:u w:val="single"/>
          <w:lang w:val="sk-SK"/>
        </w:rPr>
        <w:t>Poškodenie fertility</w:t>
      </w:r>
    </w:p>
    <w:p w14:paraId="64D29471" w14:textId="0EEDE495" w:rsidR="000F4F65" w:rsidRPr="00534FB2" w:rsidRDefault="007A5706" w:rsidP="007A5706">
      <w:pPr>
        <w:rPr>
          <w:sz w:val="22"/>
          <w:szCs w:val="22"/>
          <w:lang w:val="sk-SK"/>
        </w:rPr>
      </w:pPr>
      <w:r w:rsidRPr="00534FB2">
        <w:rPr>
          <w:sz w:val="22"/>
          <w:szCs w:val="22"/>
          <w:lang w:val="sk-SK"/>
        </w:rPr>
        <w:t>Nebol zaznamenaný žiaden účinok na fertilitu potkanov, ktoré boli liečené amlodipínom (samce počas 64 dní a samice 14 dní pred párením) v dávkach až do 10 mg/kg/deň (8-násobok* maximálnej odporúčanej dávky u ľudí rovnajúcej sa 10 mg po prepočítaní na mg/m</w:t>
      </w:r>
      <w:r w:rsidRPr="00534FB2">
        <w:rPr>
          <w:sz w:val="22"/>
          <w:szCs w:val="22"/>
          <w:vertAlign w:val="superscript"/>
          <w:lang w:val="sk-SK"/>
        </w:rPr>
        <w:t>2</w:t>
      </w:r>
      <w:r w:rsidRPr="00534FB2">
        <w:rPr>
          <w:sz w:val="22"/>
          <w:szCs w:val="22"/>
          <w:lang w:val="sk-SK"/>
        </w:rPr>
        <w:t xml:space="preserve"> povrchu). V inej štúdii s potkanmi, v ktorej boli samce potkanov liečené 30 dní amlodipínium-bezylátom v dávke porovnateľnej s dávkou u ľudí vyjadrenej v mg/kg, boli v plazme zistené poklesy hormónu stimulujúceho folikuly a testosterónu, ako aj zníženie hustoty spermií a počtu zrelých spermatoblastov a Sertoliho buniek.</w:t>
      </w:r>
    </w:p>
    <w:p w14:paraId="0953B716" w14:textId="77777777" w:rsidR="007A5706" w:rsidRPr="00534FB2" w:rsidRDefault="007A5706" w:rsidP="007A5706">
      <w:pPr>
        <w:rPr>
          <w:sz w:val="22"/>
          <w:szCs w:val="22"/>
          <w:lang w:val="sk-SK"/>
        </w:rPr>
      </w:pPr>
    </w:p>
    <w:p w14:paraId="7D959A4C" w14:textId="00DED428" w:rsidR="00B04A52" w:rsidRPr="00534FB2" w:rsidRDefault="007A5706" w:rsidP="00134CBE">
      <w:pPr>
        <w:rPr>
          <w:i/>
          <w:iCs/>
          <w:sz w:val="22"/>
          <w:szCs w:val="22"/>
          <w:u w:val="single"/>
          <w:lang w:val="sk-SK"/>
        </w:rPr>
      </w:pPr>
      <w:r w:rsidRPr="00534FB2">
        <w:rPr>
          <w:i/>
          <w:iCs/>
          <w:sz w:val="22"/>
          <w:szCs w:val="22"/>
          <w:u w:val="single"/>
          <w:lang w:val="sk-SK"/>
        </w:rPr>
        <w:t>Karcinogenéza, mutagenéza</w:t>
      </w:r>
    </w:p>
    <w:p w14:paraId="6E483F2E" w14:textId="77777777" w:rsidR="007A5706" w:rsidRPr="00534FB2" w:rsidRDefault="007A5706" w:rsidP="007A5706">
      <w:pPr>
        <w:rPr>
          <w:sz w:val="22"/>
          <w:szCs w:val="22"/>
          <w:lang w:val="sk-SK"/>
        </w:rPr>
      </w:pPr>
      <w:r w:rsidRPr="00534FB2">
        <w:rPr>
          <w:sz w:val="22"/>
          <w:szCs w:val="22"/>
          <w:lang w:val="sk-SK"/>
        </w:rPr>
        <w:t>U potkanov a myší užívajúcich amlodipín v potrave počas dvoch rokov v koncentráciách</w:t>
      </w:r>
    </w:p>
    <w:p w14:paraId="069C8A66" w14:textId="171AECBF" w:rsidR="000F4F65" w:rsidRPr="00534FB2" w:rsidRDefault="007A5706" w:rsidP="007A5706">
      <w:pPr>
        <w:rPr>
          <w:sz w:val="22"/>
          <w:szCs w:val="22"/>
          <w:lang w:val="sk-SK"/>
        </w:rPr>
      </w:pPr>
      <w:r w:rsidRPr="00534FB2">
        <w:rPr>
          <w:sz w:val="22"/>
          <w:szCs w:val="22"/>
          <w:lang w:val="sk-SK"/>
        </w:rPr>
        <w:t>vypočítaných tak, aby sa zabezpečili denné dávky 0,5, 1,25 a 2,5 mg/kg/deň, sa nepreukázali žiadne dôkazy o jeho karcinogenite. Najvyššia dávka v mg (pre myši približne rovnaká a pre potkany rovnajúca sa dvojnásobnej* maximálnej odporúčanej klinickej dávke 10 mg po prepočítaní na mg/m</w:t>
      </w:r>
      <w:r w:rsidRPr="00534FB2">
        <w:rPr>
          <w:sz w:val="22"/>
          <w:szCs w:val="22"/>
          <w:vertAlign w:val="superscript"/>
          <w:lang w:val="sk-SK"/>
        </w:rPr>
        <w:t>2</w:t>
      </w:r>
      <w:r w:rsidRPr="00534FB2">
        <w:rPr>
          <w:sz w:val="22"/>
          <w:szCs w:val="22"/>
          <w:lang w:val="sk-SK"/>
        </w:rPr>
        <w:t xml:space="preserve"> povrchu) sa blížila maximálnej tolerovanej dávke pre myši, ale nie pre potkany.</w:t>
      </w:r>
    </w:p>
    <w:p w14:paraId="226CF71A" w14:textId="77777777" w:rsidR="007A5706" w:rsidRPr="00534FB2" w:rsidRDefault="007A5706" w:rsidP="007A5706">
      <w:pPr>
        <w:rPr>
          <w:sz w:val="22"/>
          <w:szCs w:val="22"/>
          <w:lang w:val="sk-SK"/>
        </w:rPr>
      </w:pPr>
    </w:p>
    <w:p w14:paraId="525BF1A6" w14:textId="1877431E" w:rsidR="000F4F65" w:rsidRPr="00534FB2" w:rsidRDefault="007A5706" w:rsidP="007A5706">
      <w:pPr>
        <w:rPr>
          <w:sz w:val="22"/>
          <w:szCs w:val="22"/>
          <w:lang w:val="sk-SK"/>
        </w:rPr>
      </w:pPr>
      <w:r w:rsidRPr="00534FB2">
        <w:rPr>
          <w:sz w:val="22"/>
          <w:szCs w:val="22"/>
          <w:lang w:val="sk-SK"/>
        </w:rPr>
        <w:t>Štúdie mutagenity neodhalili žiadne účinky súvisiace s liekom či už na génovej alebo chromozomálnej úrovni.</w:t>
      </w:r>
    </w:p>
    <w:p w14:paraId="32569D88" w14:textId="77777777" w:rsidR="007A5706" w:rsidRPr="00534FB2" w:rsidRDefault="007A5706" w:rsidP="007A5706">
      <w:pPr>
        <w:rPr>
          <w:sz w:val="22"/>
          <w:szCs w:val="22"/>
          <w:lang w:val="sk-SK"/>
        </w:rPr>
      </w:pPr>
    </w:p>
    <w:p w14:paraId="6DCA8DBA" w14:textId="71117A6B" w:rsidR="000F4F65" w:rsidRPr="00534FB2" w:rsidRDefault="007A5706" w:rsidP="00134CBE">
      <w:pPr>
        <w:rPr>
          <w:sz w:val="22"/>
          <w:szCs w:val="22"/>
          <w:lang w:val="sk-SK"/>
        </w:rPr>
      </w:pPr>
      <w:r w:rsidRPr="00534FB2">
        <w:rPr>
          <w:sz w:val="22"/>
          <w:szCs w:val="22"/>
          <w:lang w:val="sk-SK"/>
        </w:rPr>
        <w:t>* Pri telesnej hmotnosti pacienta 50 kg</w:t>
      </w:r>
    </w:p>
    <w:p w14:paraId="469255D4" w14:textId="77777777" w:rsidR="007A5706" w:rsidRPr="00534FB2" w:rsidRDefault="007A5706" w:rsidP="00134CBE">
      <w:pPr>
        <w:rPr>
          <w:sz w:val="22"/>
          <w:szCs w:val="22"/>
          <w:lang w:val="sk-SK"/>
        </w:rPr>
      </w:pPr>
    </w:p>
    <w:p w14:paraId="0EAC1BA0" w14:textId="77777777" w:rsidR="00B04A52" w:rsidRPr="00534FB2" w:rsidRDefault="00B04A52" w:rsidP="00134CBE">
      <w:pPr>
        <w:rPr>
          <w:sz w:val="22"/>
          <w:szCs w:val="22"/>
          <w:u w:val="single"/>
          <w:lang w:val="sk-SK"/>
        </w:rPr>
      </w:pPr>
      <w:r w:rsidRPr="00534FB2">
        <w:rPr>
          <w:sz w:val="22"/>
          <w:szCs w:val="22"/>
          <w:u w:val="single"/>
          <w:lang w:val="sk-SK"/>
        </w:rPr>
        <w:t>Valsartan</w:t>
      </w:r>
    </w:p>
    <w:p w14:paraId="216EC60E" w14:textId="7CB93ABA" w:rsidR="000F4F65" w:rsidRPr="00534FB2" w:rsidRDefault="0053652C" w:rsidP="0053652C">
      <w:pPr>
        <w:rPr>
          <w:sz w:val="22"/>
          <w:szCs w:val="22"/>
          <w:lang w:val="sk-SK"/>
        </w:rPr>
      </w:pPr>
      <w:r w:rsidRPr="00534FB2">
        <w:rPr>
          <w:sz w:val="22"/>
          <w:szCs w:val="22"/>
          <w:lang w:val="sk-SK"/>
        </w:rPr>
        <w:t>Predklinické údaje získané na základe obvyklých farmakologických štúdií bezpečnosti, toxicity po opakovanom podávaní, genotoxicity, karcinogénneho potenciálu, reprodukčnej toxicity a vývinu neodhalili žiadne osobitné riziko pre ľudí.</w:t>
      </w:r>
    </w:p>
    <w:p w14:paraId="4E0D4CD9" w14:textId="77777777" w:rsidR="0053652C" w:rsidRPr="00534FB2" w:rsidRDefault="0053652C" w:rsidP="0053652C">
      <w:pPr>
        <w:rPr>
          <w:sz w:val="22"/>
          <w:szCs w:val="22"/>
          <w:lang w:val="sk-SK"/>
        </w:rPr>
      </w:pPr>
    </w:p>
    <w:p w14:paraId="63B87A92" w14:textId="1075C257" w:rsidR="000F4F65" w:rsidRPr="00534FB2" w:rsidRDefault="0053652C" w:rsidP="0053652C">
      <w:pPr>
        <w:rPr>
          <w:sz w:val="22"/>
          <w:szCs w:val="22"/>
          <w:lang w:val="sk-SK"/>
        </w:rPr>
      </w:pPr>
      <w:r w:rsidRPr="00534FB2">
        <w:rPr>
          <w:sz w:val="22"/>
          <w:szCs w:val="22"/>
          <w:lang w:val="sk-SK"/>
        </w:rPr>
        <w:t>Maternálne toxické dávky u potkanov (600 mg/kg/deň) počas posledných dní gestácie a laktácie viedli u potomkov k nižšiemu prežívaniu, nižšiemu prírastku hmotnosti a oneskorenému vývoju (oddelenie vonkajšej chrupavkovej časti ucha a otvorenie ušného kanála) (pozri časť 4.6). Tieto dávky u potkanov (600 mg/kg/deň) sú približne 18-krát vyššie ako maximálna odporúčaná dávka pre ľudí na mg/m</w:t>
      </w:r>
      <w:r w:rsidRPr="00534FB2">
        <w:rPr>
          <w:sz w:val="22"/>
          <w:szCs w:val="22"/>
          <w:vertAlign w:val="superscript"/>
          <w:lang w:val="sk-SK"/>
        </w:rPr>
        <w:t>2</w:t>
      </w:r>
      <w:r w:rsidRPr="00534FB2">
        <w:rPr>
          <w:sz w:val="22"/>
          <w:szCs w:val="22"/>
          <w:lang w:val="sk-SK"/>
        </w:rPr>
        <w:t xml:space="preserve"> (výpočty predpokladajú perorálnu dávku 320 mg/deň a pacienta s hmotnosťou 60 kg).</w:t>
      </w:r>
    </w:p>
    <w:p w14:paraId="2280FDF2" w14:textId="77777777" w:rsidR="0053652C" w:rsidRPr="00534FB2" w:rsidRDefault="0053652C" w:rsidP="0053652C">
      <w:pPr>
        <w:rPr>
          <w:sz w:val="22"/>
          <w:szCs w:val="22"/>
          <w:lang w:val="sk-SK"/>
        </w:rPr>
      </w:pPr>
    </w:p>
    <w:p w14:paraId="231B1C5C" w14:textId="2D578843" w:rsidR="000F4F65" w:rsidRPr="00534FB2" w:rsidRDefault="0053652C" w:rsidP="0053652C">
      <w:pPr>
        <w:rPr>
          <w:sz w:val="22"/>
          <w:szCs w:val="22"/>
          <w:lang w:val="sk-SK"/>
        </w:rPr>
      </w:pPr>
      <w:r w:rsidRPr="00534FB2">
        <w:rPr>
          <w:sz w:val="22"/>
          <w:szCs w:val="22"/>
          <w:lang w:val="sk-SK"/>
        </w:rPr>
        <w:t>V predklinických štúdiách bezpečnosti vyvolali vysoké dávky valsartanu (200 až 600 mg/kg telesnej hmotnosti) u potkanov zníženie parametrov krvných buniek (erytrocytov, hemoglobínu, hematokritu) a dokázané zmeny renálnej hemodynamiky (mierne zvýšenie dusíka močoviny v krvi a hyperpláziu obličkových tubulov a bazofíliu u samcov). Tieto dávky u potkanov (200 až 600 mg/kg/deň) sú približne 6- až 18-krát vyššie ako maximálna odporúčaná dávka pre ľudí na mg/m</w:t>
      </w:r>
      <w:r w:rsidRPr="00534FB2">
        <w:rPr>
          <w:sz w:val="22"/>
          <w:szCs w:val="22"/>
          <w:vertAlign w:val="superscript"/>
          <w:lang w:val="sk-SK"/>
        </w:rPr>
        <w:t>2</w:t>
      </w:r>
      <w:r w:rsidRPr="00534FB2">
        <w:rPr>
          <w:sz w:val="22"/>
          <w:szCs w:val="22"/>
          <w:lang w:val="sk-SK"/>
        </w:rPr>
        <w:t xml:space="preserve"> (výpočty predpokladajú perorálnu dávku 320 mg/deň a pacienta s hmotnosťou 60 kg).</w:t>
      </w:r>
    </w:p>
    <w:p w14:paraId="6D8C1EEB" w14:textId="77777777" w:rsidR="0053652C" w:rsidRPr="00534FB2" w:rsidRDefault="0053652C" w:rsidP="0053652C">
      <w:pPr>
        <w:rPr>
          <w:sz w:val="22"/>
          <w:szCs w:val="22"/>
          <w:lang w:val="sk-SK"/>
        </w:rPr>
      </w:pPr>
    </w:p>
    <w:p w14:paraId="14093F5D" w14:textId="77777777" w:rsidR="0053652C" w:rsidRPr="00534FB2" w:rsidRDefault="0053652C" w:rsidP="0053652C">
      <w:pPr>
        <w:rPr>
          <w:sz w:val="22"/>
          <w:szCs w:val="22"/>
          <w:lang w:val="sk-SK"/>
        </w:rPr>
      </w:pPr>
      <w:r w:rsidRPr="00534FB2">
        <w:rPr>
          <w:sz w:val="22"/>
          <w:szCs w:val="22"/>
          <w:lang w:val="sk-SK"/>
        </w:rPr>
        <w:t>Pri porovnateľných dávkach u opíc kozmáčov boli zmeny podobné, hoci závažnejšie, najmä</w:t>
      </w:r>
    </w:p>
    <w:p w14:paraId="5CDD3230" w14:textId="41D07C5F" w:rsidR="000F4F65" w:rsidRPr="00534FB2" w:rsidRDefault="0053652C" w:rsidP="0053652C">
      <w:pPr>
        <w:rPr>
          <w:sz w:val="22"/>
          <w:szCs w:val="22"/>
          <w:lang w:val="sk-SK"/>
        </w:rPr>
      </w:pPr>
      <w:r w:rsidRPr="00534FB2">
        <w:rPr>
          <w:sz w:val="22"/>
          <w:szCs w:val="22"/>
          <w:lang w:val="sk-SK"/>
        </w:rPr>
        <w:t>v obličkách, kde sa vyvinuli do nefropatie, vrátane zvýšeného dusíka močoviny a kreatinínu v krvi.</w:t>
      </w:r>
    </w:p>
    <w:p w14:paraId="76401B14" w14:textId="77777777" w:rsidR="0053652C" w:rsidRPr="00534FB2" w:rsidRDefault="0053652C" w:rsidP="0053652C">
      <w:pPr>
        <w:rPr>
          <w:sz w:val="22"/>
          <w:szCs w:val="22"/>
          <w:lang w:val="sk-SK"/>
        </w:rPr>
      </w:pPr>
    </w:p>
    <w:p w14:paraId="71C868C1" w14:textId="453B78F7" w:rsidR="0048743D" w:rsidRDefault="0053652C" w:rsidP="0053652C">
      <w:pPr>
        <w:rPr>
          <w:sz w:val="22"/>
          <w:szCs w:val="22"/>
          <w:lang w:val="sk-SK"/>
        </w:rPr>
      </w:pPr>
      <w:r w:rsidRPr="00534FB2">
        <w:rPr>
          <w:sz w:val="22"/>
          <w:szCs w:val="22"/>
          <w:lang w:val="sk-SK"/>
        </w:rPr>
        <w:t>U oboch druhov sa pozorovala aj hypertrofia obličkových juxtaglomerulárnych buniek. Za príčinu všetkých zmien sa považoval farmakologický účinok valsartanu, ktorý zvlášť u kozmáčov vyvoláva dlhodobú hypotenziu. Vzhľadom na terapeutické dávky valsartanu u ľudí sa nezdá, že by hypertrofia obličkových juxtaglomerulárnych buniek bola významná.</w:t>
      </w:r>
    </w:p>
    <w:p w14:paraId="159C6B88" w14:textId="77777777" w:rsidR="00526F2A" w:rsidRPr="00534FB2" w:rsidRDefault="00526F2A" w:rsidP="0053652C">
      <w:pPr>
        <w:rPr>
          <w:sz w:val="22"/>
          <w:szCs w:val="22"/>
          <w:lang w:val="sk-SK"/>
        </w:rPr>
      </w:pPr>
    </w:p>
    <w:p w14:paraId="009D0B89" w14:textId="77777777" w:rsidR="005C7EBC" w:rsidRPr="00534FB2" w:rsidRDefault="005C7EBC" w:rsidP="00134CBE">
      <w:pPr>
        <w:rPr>
          <w:sz w:val="22"/>
          <w:szCs w:val="22"/>
        </w:rPr>
      </w:pPr>
    </w:p>
    <w:p w14:paraId="3067A508" w14:textId="6D1299E4" w:rsidR="0043633E" w:rsidRPr="00534FB2" w:rsidRDefault="0053652C" w:rsidP="0053652C">
      <w:pPr>
        <w:pStyle w:val="Odsekzoznamu"/>
        <w:keepNext/>
        <w:numPr>
          <w:ilvl w:val="0"/>
          <w:numId w:val="1"/>
        </w:numPr>
        <w:rPr>
          <w:b/>
          <w:sz w:val="22"/>
          <w:szCs w:val="22"/>
        </w:rPr>
      </w:pPr>
      <w:r w:rsidRPr="00534FB2">
        <w:rPr>
          <w:b/>
          <w:sz w:val="22"/>
          <w:szCs w:val="22"/>
        </w:rPr>
        <w:t>FARMACEUTICKÉ INFORMÁCIE</w:t>
      </w:r>
    </w:p>
    <w:p w14:paraId="51487147" w14:textId="77777777" w:rsidR="00C2008F" w:rsidRPr="00534FB2" w:rsidRDefault="00C2008F" w:rsidP="00321C9C">
      <w:pPr>
        <w:keepNext/>
        <w:rPr>
          <w:b/>
          <w:sz w:val="22"/>
          <w:szCs w:val="22"/>
        </w:rPr>
      </w:pPr>
    </w:p>
    <w:p w14:paraId="1332F38F" w14:textId="1436BC4F" w:rsidR="0043633E" w:rsidRPr="00534FB2" w:rsidRDefault="0053652C" w:rsidP="0053652C">
      <w:pPr>
        <w:pStyle w:val="Odsekzoznamu"/>
        <w:numPr>
          <w:ilvl w:val="1"/>
          <w:numId w:val="1"/>
        </w:numPr>
        <w:ind w:left="567" w:hanging="567"/>
        <w:rPr>
          <w:b/>
          <w:sz w:val="22"/>
          <w:szCs w:val="22"/>
        </w:rPr>
      </w:pPr>
      <w:r w:rsidRPr="00534FB2">
        <w:rPr>
          <w:b/>
          <w:sz w:val="22"/>
          <w:szCs w:val="22"/>
        </w:rPr>
        <w:t>Zoznam pomocných látok</w:t>
      </w:r>
    </w:p>
    <w:p w14:paraId="24B66BA6" w14:textId="77777777" w:rsidR="0043633E" w:rsidRPr="00534FB2" w:rsidRDefault="0043633E" w:rsidP="00134CBE">
      <w:pPr>
        <w:rPr>
          <w:sz w:val="22"/>
          <w:szCs w:val="22"/>
        </w:rPr>
      </w:pPr>
    </w:p>
    <w:p w14:paraId="054C89B6" w14:textId="7FFFE967" w:rsidR="0048743D" w:rsidRPr="00534FB2" w:rsidRDefault="0053652C" w:rsidP="00134CBE">
      <w:pPr>
        <w:rPr>
          <w:sz w:val="22"/>
          <w:szCs w:val="22"/>
          <w:u w:val="single"/>
        </w:rPr>
      </w:pPr>
      <w:r w:rsidRPr="00534FB2">
        <w:rPr>
          <w:sz w:val="22"/>
          <w:szCs w:val="22"/>
          <w:u w:val="single"/>
        </w:rPr>
        <w:t>Jadro tablety</w:t>
      </w:r>
    </w:p>
    <w:p w14:paraId="5078015F" w14:textId="77777777" w:rsidR="0053652C" w:rsidRPr="00534FB2" w:rsidRDefault="0053652C" w:rsidP="00134CBE">
      <w:pPr>
        <w:rPr>
          <w:sz w:val="22"/>
          <w:szCs w:val="22"/>
        </w:rPr>
      </w:pPr>
      <w:r w:rsidRPr="00534FB2">
        <w:rPr>
          <w:sz w:val="22"/>
          <w:szCs w:val="22"/>
        </w:rPr>
        <w:t xml:space="preserve">Celulóza, mikrokryštalická </w:t>
      </w:r>
    </w:p>
    <w:p w14:paraId="4AFAE673" w14:textId="3E3A197C" w:rsidR="005B78BF" w:rsidRPr="00534FB2" w:rsidRDefault="0053652C" w:rsidP="00134CBE">
      <w:pPr>
        <w:rPr>
          <w:sz w:val="22"/>
          <w:szCs w:val="22"/>
        </w:rPr>
      </w:pPr>
      <w:r w:rsidRPr="00534FB2">
        <w:rPr>
          <w:sz w:val="22"/>
          <w:szCs w:val="22"/>
        </w:rPr>
        <w:t>Krospovidón</w:t>
      </w:r>
    </w:p>
    <w:p w14:paraId="1667978E" w14:textId="638B2B44" w:rsidR="005B78BF" w:rsidRPr="00534FB2" w:rsidRDefault="0053652C" w:rsidP="0053652C">
      <w:pPr>
        <w:rPr>
          <w:sz w:val="22"/>
          <w:szCs w:val="22"/>
        </w:rPr>
      </w:pPr>
      <w:r w:rsidRPr="00534FB2">
        <w:rPr>
          <w:sz w:val="22"/>
          <w:szCs w:val="22"/>
        </w:rPr>
        <w:t>Oxid kremičitý, koloidný, bezvodý</w:t>
      </w:r>
    </w:p>
    <w:p w14:paraId="3F991188" w14:textId="0FC4DCD6" w:rsidR="005B78BF" w:rsidRPr="00534FB2" w:rsidRDefault="0053652C" w:rsidP="00134CBE">
      <w:pPr>
        <w:rPr>
          <w:sz w:val="22"/>
          <w:szCs w:val="22"/>
        </w:rPr>
      </w:pPr>
      <w:r w:rsidRPr="00534FB2">
        <w:rPr>
          <w:sz w:val="22"/>
          <w:szCs w:val="22"/>
        </w:rPr>
        <w:t>Stearát horečnatý</w:t>
      </w:r>
    </w:p>
    <w:p w14:paraId="0E58AF33" w14:textId="77777777" w:rsidR="0053652C" w:rsidRPr="00534FB2" w:rsidRDefault="0053652C" w:rsidP="00134CBE">
      <w:pPr>
        <w:rPr>
          <w:sz w:val="22"/>
          <w:szCs w:val="22"/>
        </w:rPr>
      </w:pPr>
    </w:p>
    <w:p w14:paraId="6E426D0A" w14:textId="4077FC5F" w:rsidR="005B78BF" w:rsidRPr="00534FB2" w:rsidRDefault="0053652C" w:rsidP="00134CBE">
      <w:pPr>
        <w:rPr>
          <w:sz w:val="22"/>
          <w:szCs w:val="22"/>
          <w:u w:val="single"/>
        </w:rPr>
      </w:pPr>
      <w:r w:rsidRPr="00534FB2">
        <w:rPr>
          <w:sz w:val="22"/>
          <w:szCs w:val="22"/>
          <w:u w:val="single"/>
        </w:rPr>
        <w:t>Obal tablety</w:t>
      </w:r>
    </w:p>
    <w:p w14:paraId="055E0249" w14:textId="06090C7F" w:rsidR="005B78BF" w:rsidRPr="00534FB2" w:rsidRDefault="0053652C" w:rsidP="00134CBE">
      <w:pPr>
        <w:rPr>
          <w:i/>
          <w:sz w:val="22"/>
          <w:szCs w:val="22"/>
          <w:u w:val="single"/>
        </w:rPr>
      </w:pPr>
      <w:r w:rsidRPr="00534FB2">
        <w:rPr>
          <w:i/>
          <w:sz w:val="22"/>
          <w:szCs w:val="22"/>
          <w:u w:val="single"/>
        </w:rPr>
        <w:t>Asbima HCT 5 mg/ 160 mg/ 12,</w:t>
      </w:r>
      <w:r w:rsidR="005B78BF" w:rsidRPr="00534FB2">
        <w:rPr>
          <w:i/>
          <w:sz w:val="22"/>
          <w:szCs w:val="22"/>
          <w:u w:val="single"/>
        </w:rPr>
        <w:t>5 mg:</w:t>
      </w:r>
    </w:p>
    <w:p w14:paraId="028A627F" w14:textId="6EA768AF" w:rsidR="005B78BF" w:rsidRPr="00534FB2" w:rsidRDefault="0053652C" w:rsidP="00134CBE">
      <w:pPr>
        <w:rPr>
          <w:sz w:val="22"/>
          <w:szCs w:val="22"/>
        </w:rPr>
      </w:pPr>
      <w:r w:rsidRPr="00534FB2">
        <w:rPr>
          <w:sz w:val="22"/>
          <w:szCs w:val="22"/>
        </w:rPr>
        <w:t xml:space="preserve">Hypromelóza </w:t>
      </w:r>
      <w:r w:rsidR="005B78BF" w:rsidRPr="00534FB2">
        <w:rPr>
          <w:sz w:val="22"/>
          <w:szCs w:val="22"/>
        </w:rPr>
        <w:t xml:space="preserve">(E464), </w:t>
      </w:r>
      <w:r w:rsidRPr="00534FB2">
        <w:rPr>
          <w:sz w:val="22"/>
          <w:szCs w:val="22"/>
        </w:rPr>
        <w:t xml:space="preserve">oxid titaničitý </w:t>
      </w:r>
      <w:r w:rsidR="005B78BF" w:rsidRPr="00534FB2">
        <w:rPr>
          <w:sz w:val="22"/>
          <w:szCs w:val="22"/>
        </w:rPr>
        <w:t xml:space="preserve">(E171), </w:t>
      </w:r>
      <w:r w:rsidR="005734D9" w:rsidRPr="00534FB2">
        <w:rPr>
          <w:sz w:val="22"/>
          <w:szCs w:val="22"/>
        </w:rPr>
        <w:t xml:space="preserve">makrogol/polyetylénglykol </w:t>
      </w:r>
      <w:r w:rsidR="005B78BF" w:rsidRPr="00534FB2">
        <w:rPr>
          <w:sz w:val="22"/>
          <w:szCs w:val="22"/>
        </w:rPr>
        <w:t xml:space="preserve">(E1521), </w:t>
      </w:r>
      <w:r w:rsidR="005734D9" w:rsidRPr="00534FB2">
        <w:rPr>
          <w:sz w:val="22"/>
          <w:szCs w:val="22"/>
        </w:rPr>
        <w:t>mastenec</w:t>
      </w:r>
      <w:r w:rsidR="005B78BF" w:rsidRPr="00534FB2">
        <w:rPr>
          <w:sz w:val="22"/>
          <w:szCs w:val="22"/>
        </w:rPr>
        <w:t xml:space="preserve"> (E553b)</w:t>
      </w:r>
    </w:p>
    <w:p w14:paraId="11F1498D" w14:textId="408F2CA8" w:rsidR="00663FEE" w:rsidRPr="00534FB2" w:rsidRDefault="0053652C" w:rsidP="00134CBE">
      <w:pPr>
        <w:rPr>
          <w:i/>
          <w:sz w:val="22"/>
          <w:szCs w:val="22"/>
          <w:highlight w:val="lightGray"/>
          <w:u w:val="single"/>
        </w:rPr>
      </w:pPr>
      <w:r w:rsidRPr="00534FB2">
        <w:rPr>
          <w:i/>
          <w:sz w:val="22"/>
          <w:szCs w:val="22"/>
          <w:highlight w:val="lightGray"/>
          <w:u w:val="single"/>
        </w:rPr>
        <w:t>Asbima HCT 10 mg/ 160 mg/ 12,</w:t>
      </w:r>
      <w:r w:rsidR="00663FEE" w:rsidRPr="00534FB2">
        <w:rPr>
          <w:i/>
          <w:sz w:val="22"/>
          <w:szCs w:val="22"/>
          <w:highlight w:val="lightGray"/>
          <w:u w:val="single"/>
        </w:rPr>
        <w:t>5 mg:</w:t>
      </w:r>
    </w:p>
    <w:p w14:paraId="709F6E87" w14:textId="60624F4F" w:rsidR="00663FEE" w:rsidRPr="00534FB2" w:rsidRDefault="0053652C" w:rsidP="00134CBE">
      <w:pPr>
        <w:rPr>
          <w:sz w:val="22"/>
          <w:szCs w:val="22"/>
          <w:highlight w:val="lightGray"/>
        </w:rPr>
      </w:pPr>
      <w:r w:rsidRPr="00534FB2">
        <w:rPr>
          <w:sz w:val="22"/>
          <w:szCs w:val="22"/>
          <w:highlight w:val="lightGray"/>
        </w:rPr>
        <w:t>Hypromelóza</w:t>
      </w:r>
      <w:r w:rsidR="00663FEE" w:rsidRPr="00534FB2">
        <w:rPr>
          <w:sz w:val="22"/>
          <w:szCs w:val="22"/>
          <w:highlight w:val="lightGray"/>
        </w:rPr>
        <w:t xml:space="preserve"> (E464), </w:t>
      </w:r>
      <w:r w:rsidRPr="00534FB2">
        <w:rPr>
          <w:sz w:val="22"/>
          <w:szCs w:val="22"/>
          <w:highlight w:val="lightGray"/>
        </w:rPr>
        <w:t xml:space="preserve">oxid titaničitý </w:t>
      </w:r>
      <w:r w:rsidR="00663FEE" w:rsidRPr="00534FB2">
        <w:rPr>
          <w:sz w:val="22"/>
          <w:szCs w:val="22"/>
          <w:highlight w:val="lightGray"/>
        </w:rPr>
        <w:t xml:space="preserve">(E171), </w:t>
      </w:r>
      <w:r w:rsidRPr="00534FB2">
        <w:rPr>
          <w:sz w:val="22"/>
          <w:szCs w:val="22"/>
          <w:highlight w:val="lightGray"/>
        </w:rPr>
        <w:t>makrogol</w:t>
      </w:r>
      <w:r w:rsidR="00663FEE" w:rsidRPr="00534FB2">
        <w:rPr>
          <w:sz w:val="22"/>
          <w:szCs w:val="22"/>
          <w:highlight w:val="lightGray"/>
        </w:rPr>
        <w:t>/</w:t>
      </w:r>
      <w:r w:rsidRPr="00534FB2">
        <w:rPr>
          <w:sz w:val="22"/>
          <w:szCs w:val="22"/>
          <w:highlight w:val="lightGray"/>
        </w:rPr>
        <w:t>polyetylénglykol</w:t>
      </w:r>
      <w:r w:rsidR="00663FEE" w:rsidRPr="00534FB2">
        <w:rPr>
          <w:sz w:val="22"/>
          <w:szCs w:val="22"/>
          <w:highlight w:val="lightGray"/>
        </w:rPr>
        <w:t xml:space="preserve"> (E1521), </w:t>
      </w:r>
      <w:r w:rsidR="005734D9" w:rsidRPr="00534FB2">
        <w:rPr>
          <w:sz w:val="22"/>
          <w:szCs w:val="22"/>
          <w:highlight w:val="lightGray"/>
          <w:lang w:val="sk-SK"/>
        </w:rPr>
        <w:t>žltý oxid železitý</w:t>
      </w:r>
      <w:r w:rsidR="005734D9" w:rsidRPr="00534FB2">
        <w:rPr>
          <w:sz w:val="22"/>
          <w:szCs w:val="22"/>
          <w:highlight w:val="lightGray"/>
        </w:rPr>
        <w:t xml:space="preserve"> </w:t>
      </w:r>
      <w:r w:rsidR="00663FEE" w:rsidRPr="00534FB2">
        <w:rPr>
          <w:sz w:val="22"/>
          <w:szCs w:val="22"/>
          <w:highlight w:val="lightGray"/>
        </w:rPr>
        <w:t xml:space="preserve">(E172), </w:t>
      </w:r>
      <w:r w:rsidR="005734D9" w:rsidRPr="00534FB2">
        <w:rPr>
          <w:sz w:val="22"/>
          <w:szCs w:val="22"/>
          <w:highlight w:val="lightGray"/>
          <w:lang w:val="sk-SK"/>
        </w:rPr>
        <w:t>červený oxid železitý</w:t>
      </w:r>
      <w:r w:rsidR="005734D9" w:rsidRPr="00534FB2">
        <w:rPr>
          <w:sz w:val="22"/>
          <w:szCs w:val="22"/>
          <w:highlight w:val="lightGray"/>
        </w:rPr>
        <w:t xml:space="preserve"> </w:t>
      </w:r>
      <w:r w:rsidR="00663FEE" w:rsidRPr="00534FB2">
        <w:rPr>
          <w:sz w:val="22"/>
          <w:szCs w:val="22"/>
          <w:highlight w:val="lightGray"/>
        </w:rPr>
        <w:t xml:space="preserve">(E172), </w:t>
      </w:r>
      <w:r w:rsidR="005734D9" w:rsidRPr="00534FB2">
        <w:rPr>
          <w:sz w:val="22"/>
          <w:szCs w:val="22"/>
          <w:highlight w:val="lightGray"/>
        </w:rPr>
        <w:t>mastenec</w:t>
      </w:r>
      <w:r w:rsidR="00663FEE" w:rsidRPr="00534FB2">
        <w:rPr>
          <w:sz w:val="22"/>
          <w:szCs w:val="22"/>
          <w:highlight w:val="lightGray"/>
        </w:rPr>
        <w:t xml:space="preserve"> (E553b)</w:t>
      </w:r>
    </w:p>
    <w:p w14:paraId="2F602CC0" w14:textId="29D6C2CF" w:rsidR="00DD171A" w:rsidRPr="00534FB2" w:rsidRDefault="0053652C" w:rsidP="00134CBE">
      <w:pPr>
        <w:rPr>
          <w:i/>
          <w:sz w:val="22"/>
          <w:szCs w:val="22"/>
          <w:highlight w:val="lightGray"/>
          <w:u w:val="single"/>
        </w:rPr>
      </w:pPr>
      <w:r w:rsidRPr="00534FB2">
        <w:rPr>
          <w:i/>
          <w:sz w:val="22"/>
          <w:szCs w:val="22"/>
          <w:highlight w:val="lightGray"/>
          <w:u w:val="single"/>
        </w:rPr>
        <w:t xml:space="preserve">Asbima HCT </w:t>
      </w:r>
      <w:r w:rsidR="00DD171A" w:rsidRPr="00534FB2">
        <w:rPr>
          <w:i/>
          <w:sz w:val="22"/>
          <w:szCs w:val="22"/>
          <w:highlight w:val="lightGray"/>
          <w:u w:val="single"/>
        </w:rPr>
        <w:t>5 mg/ 160 mg/ 25 mg:</w:t>
      </w:r>
    </w:p>
    <w:p w14:paraId="17A19765" w14:textId="601F19E5" w:rsidR="00DD171A" w:rsidRPr="00534FB2" w:rsidRDefault="0053652C" w:rsidP="00134CBE">
      <w:pPr>
        <w:rPr>
          <w:sz w:val="22"/>
          <w:szCs w:val="22"/>
          <w:highlight w:val="lightGray"/>
        </w:rPr>
      </w:pPr>
      <w:r w:rsidRPr="00534FB2">
        <w:rPr>
          <w:sz w:val="22"/>
          <w:szCs w:val="22"/>
          <w:highlight w:val="lightGray"/>
        </w:rPr>
        <w:t xml:space="preserve">Hypromelóza </w:t>
      </w:r>
      <w:r w:rsidR="00DD171A" w:rsidRPr="00534FB2">
        <w:rPr>
          <w:sz w:val="22"/>
          <w:szCs w:val="22"/>
          <w:highlight w:val="lightGray"/>
        </w:rPr>
        <w:t xml:space="preserve">(E464), </w:t>
      </w:r>
      <w:r w:rsidRPr="00534FB2">
        <w:rPr>
          <w:sz w:val="22"/>
          <w:szCs w:val="22"/>
          <w:highlight w:val="lightGray"/>
        </w:rPr>
        <w:t xml:space="preserve">oxid titaničitý </w:t>
      </w:r>
      <w:r w:rsidR="00DD171A" w:rsidRPr="00534FB2">
        <w:rPr>
          <w:sz w:val="22"/>
          <w:szCs w:val="22"/>
          <w:highlight w:val="lightGray"/>
        </w:rPr>
        <w:t xml:space="preserve">(E171), </w:t>
      </w:r>
      <w:r w:rsidR="005734D9" w:rsidRPr="00534FB2">
        <w:rPr>
          <w:sz w:val="22"/>
          <w:szCs w:val="22"/>
          <w:highlight w:val="lightGray"/>
        </w:rPr>
        <w:t xml:space="preserve">makrogol/polyetylénglykol </w:t>
      </w:r>
      <w:r w:rsidR="00DD171A" w:rsidRPr="00534FB2">
        <w:rPr>
          <w:sz w:val="22"/>
          <w:szCs w:val="22"/>
          <w:highlight w:val="lightGray"/>
        </w:rPr>
        <w:t xml:space="preserve">(E1521), </w:t>
      </w:r>
      <w:r w:rsidR="005734D9" w:rsidRPr="00534FB2">
        <w:rPr>
          <w:sz w:val="22"/>
          <w:szCs w:val="22"/>
          <w:highlight w:val="lightGray"/>
          <w:lang w:val="sk-SK"/>
        </w:rPr>
        <w:t>žltý oxid železitý</w:t>
      </w:r>
      <w:r w:rsidR="00DD171A" w:rsidRPr="00534FB2">
        <w:rPr>
          <w:sz w:val="22"/>
          <w:szCs w:val="22"/>
          <w:highlight w:val="lightGray"/>
        </w:rPr>
        <w:t xml:space="preserve"> (E172), </w:t>
      </w:r>
      <w:r w:rsidR="005734D9" w:rsidRPr="00534FB2">
        <w:rPr>
          <w:sz w:val="22"/>
          <w:szCs w:val="22"/>
          <w:highlight w:val="lightGray"/>
        </w:rPr>
        <w:t>mastenec</w:t>
      </w:r>
      <w:r w:rsidR="00DD171A" w:rsidRPr="00534FB2">
        <w:rPr>
          <w:sz w:val="22"/>
          <w:szCs w:val="22"/>
          <w:highlight w:val="lightGray"/>
        </w:rPr>
        <w:t xml:space="preserve"> (E553b)</w:t>
      </w:r>
    </w:p>
    <w:p w14:paraId="2D39C8C5" w14:textId="37BD2B41" w:rsidR="00663FEE" w:rsidRPr="00534FB2" w:rsidRDefault="0053652C" w:rsidP="00134CBE">
      <w:pPr>
        <w:rPr>
          <w:i/>
          <w:sz w:val="22"/>
          <w:szCs w:val="22"/>
          <w:highlight w:val="lightGray"/>
          <w:u w:val="single"/>
        </w:rPr>
      </w:pPr>
      <w:r w:rsidRPr="00534FB2">
        <w:rPr>
          <w:i/>
          <w:sz w:val="22"/>
          <w:szCs w:val="22"/>
          <w:highlight w:val="lightGray"/>
          <w:u w:val="single"/>
        </w:rPr>
        <w:t xml:space="preserve">Asbima HCT </w:t>
      </w:r>
      <w:r w:rsidR="00663FEE" w:rsidRPr="00534FB2">
        <w:rPr>
          <w:i/>
          <w:sz w:val="22"/>
          <w:szCs w:val="22"/>
          <w:highlight w:val="lightGray"/>
          <w:u w:val="single"/>
        </w:rPr>
        <w:t>10 mg/ 160 mg/ 25 mg:</w:t>
      </w:r>
    </w:p>
    <w:p w14:paraId="1CD8078F" w14:textId="564C30E8" w:rsidR="00663FEE" w:rsidRPr="00534FB2" w:rsidRDefault="0053652C" w:rsidP="00134CBE">
      <w:pPr>
        <w:rPr>
          <w:sz w:val="22"/>
          <w:szCs w:val="22"/>
          <w:highlight w:val="lightGray"/>
        </w:rPr>
      </w:pPr>
      <w:r w:rsidRPr="00534FB2">
        <w:rPr>
          <w:sz w:val="22"/>
          <w:szCs w:val="22"/>
          <w:highlight w:val="lightGray"/>
        </w:rPr>
        <w:t>Hypromelóza</w:t>
      </w:r>
      <w:r w:rsidR="00663FEE" w:rsidRPr="00534FB2">
        <w:rPr>
          <w:sz w:val="22"/>
          <w:szCs w:val="22"/>
          <w:highlight w:val="lightGray"/>
        </w:rPr>
        <w:t xml:space="preserve"> (E464), </w:t>
      </w:r>
      <w:r w:rsidRPr="00534FB2">
        <w:rPr>
          <w:sz w:val="22"/>
          <w:szCs w:val="22"/>
          <w:highlight w:val="lightGray"/>
        </w:rPr>
        <w:t xml:space="preserve">oxid titaničitý </w:t>
      </w:r>
      <w:r w:rsidR="00663FEE" w:rsidRPr="00534FB2">
        <w:rPr>
          <w:sz w:val="22"/>
          <w:szCs w:val="22"/>
          <w:highlight w:val="lightGray"/>
        </w:rPr>
        <w:t xml:space="preserve">(E171), </w:t>
      </w:r>
      <w:r w:rsidR="005734D9" w:rsidRPr="00534FB2">
        <w:rPr>
          <w:sz w:val="22"/>
          <w:szCs w:val="22"/>
          <w:highlight w:val="lightGray"/>
        </w:rPr>
        <w:t xml:space="preserve">makrogol/polyetylénglykol </w:t>
      </w:r>
      <w:r w:rsidR="00663FEE" w:rsidRPr="00534FB2">
        <w:rPr>
          <w:sz w:val="22"/>
          <w:szCs w:val="22"/>
          <w:highlight w:val="lightGray"/>
        </w:rPr>
        <w:t xml:space="preserve">(E1521), </w:t>
      </w:r>
      <w:r w:rsidR="005734D9" w:rsidRPr="00534FB2">
        <w:rPr>
          <w:sz w:val="22"/>
          <w:szCs w:val="22"/>
          <w:highlight w:val="lightGray"/>
          <w:lang w:val="sk-SK"/>
        </w:rPr>
        <w:t>žltý oxid železitý</w:t>
      </w:r>
      <w:r w:rsidR="005734D9" w:rsidRPr="00534FB2">
        <w:rPr>
          <w:sz w:val="22"/>
          <w:szCs w:val="22"/>
          <w:highlight w:val="lightGray"/>
        </w:rPr>
        <w:t xml:space="preserve"> </w:t>
      </w:r>
      <w:r w:rsidR="00663FEE" w:rsidRPr="00534FB2">
        <w:rPr>
          <w:sz w:val="22"/>
          <w:szCs w:val="22"/>
          <w:highlight w:val="lightGray"/>
        </w:rPr>
        <w:t xml:space="preserve">(E172), </w:t>
      </w:r>
      <w:r w:rsidR="005734D9" w:rsidRPr="00534FB2">
        <w:rPr>
          <w:sz w:val="22"/>
          <w:szCs w:val="22"/>
          <w:highlight w:val="lightGray"/>
        </w:rPr>
        <w:t>mastenec</w:t>
      </w:r>
      <w:r w:rsidR="00663FEE" w:rsidRPr="00534FB2">
        <w:rPr>
          <w:sz w:val="22"/>
          <w:szCs w:val="22"/>
          <w:highlight w:val="lightGray"/>
        </w:rPr>
        <w:t xml:space="preserve"> (E553b)</w:t>
      </w:r>
    </w:p>
    <w:p w14:paraId="26A6B232" w14:textId="0897A2F3" w:rsidR="00663FEE" w:rsidRPr="00534FB2" w:rsidRDefault="0053652C" w:rsidP="00134CBE">
      <w:pPr>
        <w:rPr>
          <w:i/>
          <w:sz w:val="22"/>
          <w:szCs w:val="22"/>
          <w:highlight w:val="lightGray"/>
          <w:u w:val="single"/>
        </w:rPr>
      </w:pPr>
      <w:r w:rsidRPr="00534FB2">
        <w:rPr>
          <w:i/>
          <w:sz w:val="22"/>
          <w:szCs w:val="22"/>
          <w:highlight w:val="lightGray"/>
          <w:u w:val="single"/>
        </w:rPr>
        <w:t xml:space="preserve">Asbima HCT </w:t>
      </w:r>
      <w:r w:rsidR="00663FEE" w:rsidRPr="00534FB2">
        <w:rPr>
          <w:i/>
          <w:sz w:val="22"/>
          <w:szCs w:val="22"/>
          <w:highlight w:val="lightGray"/>
          <w:u w:val="single"/>
        </w:rPr>
        <w:t xml:space="preserve">10 mg/ 320 mg/ </w:t>
      </w:r>
      <w:r w:rsidR="00A12807" w:rsidRPr="00534FB2">
        <w:rPr>
          <w:i/>
          <w:sz w:val="22"/>
          <w:szCs w:val="22"/>
          <w:highlight w:val="lightGray"/>
          <w:u w:val="single"/>
        </w:rPr>
        <w:t>2</w:t>
      </w:r>
      <w:r w:rsidR="00663FEE" w:rsidRPr="00534FB2">
        <w:rPr>
          <w:i/>
          <w:sz w:val="22"/>
          <w:szCs w:val="22"/>
          <w:highlight w:val="lightGray"/>
          <w:u w:val="single"/>
        </w:rPr>
        <w:t>5 mg:</w:t>
      </w:r>
    </w:p>
    <w:p w14:paraId="640EF94F" w14:textId="1F2BC9F7" w:rsidR="00663FEE" w:rsidRPr="00534FB2" w:rsidRDefault="0053652C" w:rsidP="00134CBE">
      <w:pPr>
        <w:rPr>
          <w:sz w:val="22"/>
          <w:szCs w:val="22"/>
        </w:rPr>
      </w:pPr>
      <w:r w:rsidRPr="00534FB2">
        <w:rPr>
          <w:sz w:val="22"/>
          <w:szCs w:val="22"/>
          <w:highlight w:val="lightGray"/>
        </w:rPr>
        <w:t>Hypromelóza</w:t>
      </w:r>
      <w:r w:rsidR="00663FEE" w:rsidRPr="00534FB2">
        <w:rPr>
          <w:sz w:val="22"/>
          <w:szCs w:val="22"/>
          <w:highlight w:val="lightGray"/>
        </w:rPr>
        <w:t xml:space="preserve"> (E464), </w:t>
      </w:r>
      <w:r w:rsidRPr="00534FB2">
        <w:rPr>
          <w:sz w:val="22"/>
          <w:szCs w:val="22"/>
          <w:highlight w:val="lightGray"/>
        </w:rPr>
        <w:t xml:space="preserve">oxid titaničitý </w:t>
      </w:r>
      <w:r w:rsidR="00663FEE" w:rsidRPr="00534FB2">
        <w:rPr>
          <w:sz w:val="22"/>
          <w:szCs w:val="22"/>
          <w:highlight w:val="lightGray"/>
        </w:rPr>
        <w:t xml:space="preserve">(E171), </w:t>
      </w:r>
      <w:r w:rsidR="005734D9" w:rsidRPr="00534FB2">
        <w:rPr>
          <w:sz w:val="22"/>
          <w:szCs w:val="22"/>
          <w:highlight w:val="lightGray"/>
        </w:rPr>
        <w:t>makrogol/polyetylénglykol</w:t>
      </w:r>
      <w:r w:rsidR="00663FEE" w:rsidRPr="00534FB2">
        <w:rPr>
          <w:sz w:val="22"/>
          <w:szCs w:val="22"/>
          <w:highlight w:val="lightGray"/>
        </w:rPr>
        <w:t xml:space="preserve"> (E1521), </w:t>
      </w:r>
      <w:r w:rsidR="005734D9" w:rsidRPr="00534FB2">
        <w:rPr>
          <w:sz w:val="22"/>
          <w:szCs w:val="22"/>
          <w:highlight w:val="lightGray"/>
          <w:lang w:val="sk-SK"/>
        </w:rPr>
        <w:t>žltý oxid železitý</w:t>
      </w:r>
      <w:r w:rsidR="005734D9" w:rsidRPr="00534FB2">
        <w:rPr>
          <w:sz w:val="22"/>
          <w:szCs w:val="22"/>
          <w:highlight w:val="lightGray"/>
        </w:rPr>
        <w:t xml:space="preserve"> </w:t>
      </w:r>
      <w:r w:rsidR="00663FEE" w:rsidRPr="00534FB2">
        <w:rPr>
          <w:sz w:val="22"/>
          <w:szCs w:val="22"/>
          <w:highlight w:val="lightGray"/>
        </w:rPr>
        <w:t xml:space="preserve">(E172), </w:t>
      </w:r>
      <w:r w:rsidR="005734D9" w:rsidRPr="00534FB2">
        <w:rPr>
          <w:sz w:val="22"/>
          <w:szCs w:val="22"/>
          <w:highlight w:val="lightGray"/>
        </w:rPr>
        <w:t>mastenec</w:t>
      </w:r>
      <w:r w:rsidR="00663FEE" w:rsidRPr="00534FB2">
        <w:rPr>
          <w:sz w:val="22"/>
          <w:szCs w:val="22"/>
          <w:highlight w:val="lightGray"/>
        </w:rPr>
        <w:t xml:space="preserve"> (E553b)</w:t>
      </w:r>
    </w:p>
    <w:p w14:paraId="2D7F410A" w14:textId="77777777" w:rsidR="00663FEE" w:rsidRPr="00534FB2" w:rsidRDefault="00663FEE" w:rsidP="00134CBE">
      <w:pPr>
        <w:rPr>
          <w:sz w:val="22"/>
          <w:szCs w:val="22"/>
        </w:rPr>
      </w:pPr>
    </w:p>
    <w:p w14:paraId="05EEE159" w14:textId="2FFA5EEE" w:rsidR="0043633E" w:rsidRPr="00534FB2" w:rsidRDefault="005734D9" w:rsidP="005734D9">
      <w:pPr>
        <w:pStyle w:val="Odsekzoznamu"/>
        <w:numPr>
          <w:ilvl w:val="1"/>
          <w:numId w:val="1"/>
        </w:numPr>
        <w:ind w:left="567" w:hanging="567"/>
        <w:rPr>
          <w:b/>
          <w:sz w:val="22"/>
          <w:szCs w:val="22"/>
          <w:lang w:val="sk-SK"/>
        </w:rPr>
      </w:pPr>
      <w:r w:rsidRPr="00534FB2">
        <w:rPr>
          <w:b/>
          <w:sz w:val="22"/>
          <w:szCs w:val="22"/>
          <w:lang w:val="sk-SK"/>
        </w:rPr>
        <w:t>Inkompatibility</w:t>
      </w:r>
    </w:p>
    <w:p w14:paraId="3847B619" w14:textId="77777777" w:rsidR="0043633E" w:rsidRPr="00534FB2" w:rsidRDefault="0043633E" w:rsidP="00134CBE">
      <w:pPr>
        <w:rPr>
          <w:sz w:val="22"/>
          <w:szCs w:val="22"/>
          <w:lang w:val="sk-SK"/>
        </w:rPr>
      </w:pPr>
    </w:p>
    <w:p w14:paraId="3221C1B6" w14:textId="6F147001" w:rsidR="0048743D" w:rsidRPr="00534FB2" w:rsidRDefault="005734D9" w:rsidP="00134CBE">
      <w:pPr>
        <w:rPr>
          <w:sz w:val="22"/>
          <w:szCs w:val="22"/>
          <w:lang w:val="sk-SK"/>
        </w:rPr>
      </w:pPr>
      <w:r w:rsidRPr="00534FB2">
        <w:rPr>
          <w:sz w:val="22"/>
          <w:szCs w:val="22"/>
          <w:lang w:val="sk-SK"/>
        </w:rPr>
        <w:t>Neaplikovateľné.</w:t>
      </w:r>
    </w:p>
    <w:p w14:paraId="54113AC8" w14:textId="77777777" w:rsidR="00873563" w:rsidRPr="00534FB2" w:rsidRDefault="00873563" w:rsidP="00134CBE">
      <w:pPr>
        <w:rPr>
          <w:sz w:val="22"/>
          <w:szCs w:val="22"/>
          <w:lang w:val="sk-SK"/>
        </w:rPr>
      </w:pPr>
    </w:p>
    <w:p w14:paraId="3408F86D" w14:textId="1E4A21F8" w:rsidR="0043633E" w:rsidRPr="00534FB2" w:rsidRDefault="005734D9" w:rsidP="00134CBE">
      <w:pPr>
        <w:pStyle w:val="Odsekzoznamu"/>
        <w:numPr>
          <w:ilvl w:val="1"/>
          <w:numId w:val="1"/>
        </w:numPr>
        <w:ind w:left="0" w:firstLine="0"/>
        <w:rPr>
          <w:b/>
          <w:sz w:val="22"/>
          <w:szCs w:val="22"/>
          <w:lang w:val="sk-SK"/>
        </w:rPr>
      </w:pPr>
      <w:r w:rsidRPr="00534FB2">
        <w:rPr>
          <w:b/>
          <w:sz w:val="22"/>
          <w:szCs w:val="22"/>
          <w:lang w:val="sk-SK"/>
        </w:rPr>
        <w:t>Čas použiteľnosti</w:t>
      </w:r>
    </w:p>
    <w:p w14:paraId="572F4B68" w14:textId="77777777" w:rsidR="0043633E" w:rsidRPr="00534FB2" w:rsidRDefault="0043633E" w:rsidP="00134CBE">
      <w:pPr>
        <w:rPr>
          <w:sz w:val="22"/>
          <w:szCs w:val="22"/>
          <w:lang w:val="sk-SK"/>
        </w:rPr>
      </w:pPr>
    </w:p>
    <w:p w14:paraId="4A05BB89" w14:textId="54BA0AC2" w:rsidR="00193619" w:rsidRPr="00534FB2" w:rsidRDefault="00371D96" w:rsidP="00134CBE">
      <w:pPr>
        <w:rPr>
          <w:sz w:val="22"/>
          <w:szCs w:val="22"/>
          <w:highlight w:val="yellow"/>
          <w:lang w:val="sk-SK"/>
        </w:rPr>
      </w:pPr>
      <w:r w:rsidRPr="00534FB2">
        <w:rPr>
          <w:sz w:val="22"/>
          <w:szCs w:val="22"/>
          <w:lang w:val="sk-SK"/>
        </w:rPr>
        <w:t xml:space="preserve">24 </w:t>
      </w:r>
      <w:r w:rsidR="005734D9" w:rsidRPr="00534FB2">
        <w:rPr>
          <w:sz w:val="22"/>
          <w:szCs w:val="22"/>
          <w:lang w:val="sk-SK"/>
        </w:rPr>
        <w:t>mesiacov</w:t>
      </w:r>
      <w:r w:rsidR="00321C9C" w:rsidRPr="00534FB2">
        <w:rPr>
          <w:sz w:val="22"/>
          <w:szCs w:val="22"/>
          <w:lang w:val="sk-SK"/>
        </w:rPr>
        <w:t>.</w:t>
      </w:r>
    </w:p>
    <w:p w14:paraId="756A42AA" w14:textId="77777777" w:rsidR="00873563" w:rsidRPr="00534FB2" w:rsidRDefault="00873563" w:rsidP="00134CBE">
      <w:pPr>
        <w:rPr>
          <w:sz w:val="22"/>
          <w:szCs w:val="22"/>
          <w:lang w:val="sk-SK"/>
        </w:rPr>
      </w:pPr>
    </w:p>
    <w:p w14:paraId="088C62F5" w14:textId="068C3D53" w:rsidR="0043633E" w:rsidRPr="00534FB2" w:rsidRDefault="005734D9" w:rsidP="005734D9">
      <w:pPr>
        <w:pStyle w:val="Odsekzoznamu"/>
        <w:numPr>
          <w:ilvl w:val="1"/>
          <w:numId w:val="1"/>
        </w:numPr>
        <w:ind w:left="567" w:hanging="567"/>
        <w:rPr>
          <w:b/>
          <w:sz w:val="22"/>
          <w:szCs w:val="22"/>
        </w:rPr>
      </w:pPr>
      <w:r w:rsidRPr="00534FB2">
        <w:rPr>
          <w:b/>
          <w:sz w:val="22"/>
          <w:szCs w:val="22"/>
          <w:lang w:val="sk-SK"/>
        </w:rPr>
        <w:t>Špeciálne upozornenia na uchovávanie</w:t>
      </w:r>
    </w:p>
    <w:p w14:paraId="0CBCF366" w14:textId="77777777" w:rsidR="0043633E" w:rsidRPr="00534FB2" w:rsidRDefault="0043633E" w:rsidP="00134CBE">
      <w:pPr>
        <w:rPr>
          <w:sz w:val="22"/>
          <w:szCs w:val="22"/>
        </w:rPr>
      </w:pPr>
    </w:p>
    <w:p w14:paraId="47D251D7" w14:textId="21D278B2" w:rsidR="00873563" w:rsidRPr="00534FB2" w:rsidRDefault="005734D9" w:rsidP="00134CBE">
      <w:pPr>
        <w:rPr>
          <w:i/>
          <w:sz w:val="22"/>
          <w:szCs w:val="22"/>
          <w:u w:val="single"/>
          <w:lang w:val="sk-SK"/>
        </w:rPr>
      </w:pPr>
      <w:r w:rsidRPr="00534FB2">
        <w:rPr>
          <w:i/>
          <w:sz w:val="22"/>
          <w:szCs w:val="22"/>
          <w:highlight w:val="lightGray"/>
          <w:u w:val="single"/>
          <w:lang w:val="sk-SK"/>
        </w:rPr>
        <w:t>Pre</w:t>
      </w:r>
      <w:r w:rsidR="006310A1" w:rsidRPr="00534FB2">
        <w:rPr>
          <w:i/>
          <w:sz w:val="22"/>
          <w:szCs w:val="22"/>
          <w:highlight w:val="lightGray"/>
          <w:u w:val="single"/>
          <w:lang w:val="sk-SK"/>
        </w:rPr>
        <w:t xml:space="preserve"> PVC/PVDC/</w:t>
      </w:r>
      <w:r w:rsidRPr="00534FB2">
        <w:rPr>
          <w:i/>
          <w:sz w:val="22"/>
          <w:szCs w:val="22"/>
          <w:highlight w:val="lightGray"/>
          <w:u w:val="single"/>
          <w:lang w:val="sk-SK"/>
        </w:rPr>
        <w:t>hliníkové blistre</w:t>
      </w:r>
      <w:r w:rsidR="006310A1" w:rsidRPr="00534FB2">
        <w:rPr>
          <w:i/>
          <w:sz w:val="22"/>
          <w:szCs w:val="22"/>
          <w:u w:val="single"/>
          <w:lang w:val="sk-SK"/>
        </w:rPr>
        <w:t xml:space="preserve"> </w:t>
      </w:r>
    </w:p>
    <w:p w14:paraId="6A9A9160" w14:textId="3884B635" w:rsidR="006310A1" w:rsidRPr="00534FB2" w:rsidRDefault="005734D9" w:rsidP="00134CBE">
      <w:pPr>
        <w:rPr>
          <w:color w:val="000000" w:themeColor="text1"/>
          <w:sz w:val="22"/>
          <w:szCs w:val="22"/>
          <w:lang w:val="sk-SK"/>
        </w:rPr>
      </w:pPr>
      <w:r w:rsidRPr="00534FB2">
        <w:rPr>
          <w:sz w:val="22"/>
          <w:szCs w:val="22"/>
          <w:lang w:val="sk-SK"/>
        </w:rPr>
        <w:t xml:space="preserve">Uchovávajte pri teplote neprevyšujúcej 30°C. Blistre uchovávajte vo vonkajšom obale na ochranu pred </w:t>
      </w:r>
      <w:r w:rsidR="009C4557">
        <w:rPr>
          <w:sz w:val="22"/>
          <w:szCs w:val="22"/>
          <w:lang w:val="sk-SK"/>
        </w:rPr>
        <w:t xml:space="preserve">svetlom a </w:t>
      </w:r>
      <w:r w:rsidRPr="00534FB2">
        <w:rPr>
          <w:sz w:val="22"/>
          <w:szCs w:val="22"/>
          <w:lang w:val="sk-SK"/>
        </w:rPr>
        <w:t>vlhkosťou.</w:t>
      </w:r>
    </w:p>
    <w:p w14:paraId="46C7FBC6" w14:textId="45AF4C6B" w:rsidR="00D06C20" w:rsidRPr="00534FB2" w:rsidRDefault="00D06C20" w:rsidP="00134CBE">
      <w:pPr>
        <w:rPr>
          <w:i/>
          <w:color w:val="000000" w:themeColor="text1"/>
          <w:sz w:val="22"/>
          <w:szCs w:val="22"/>
          <w:u w:val="single"/>
          <w:lang w:val="sk-SK"/>
        </w:rPr>
      </w:pPr>
    </w:p>
    <w:p w14:paraId="07315CB4" w14:textId="372B7767" w:rsidR="00BB5C47" w:rsidRPr="00534FB2" w:rsidRDefault="005734D9" w:rsidP="00134CBE">
      <w:pPr>
        <w:rPr>
          <w:i/>
          <w:color w:val="000000" w:themeColor="text1"/>
          <w:sz w:val="22"/>
          <w:szCs w:val="22"/>
          <w:highlight w:val="lightGray"/>
          <w:u w:val="single"/>
          <w:lang w:val="sk-SK"/>
        </w:rPr>
      </w:pPr>
      <w:r w:rsidRPr="00534FB2">
        <w:rPr>
          <w:i/>
          <w:color w:val="000000" w:themeColor="text1"/>
          <w:sz w:val="22"/>
          <w:szCs w:val="22"/>
          <w:highlight w:val="lightGray"/>
          <w:u w:val="single"/>
          <w:lang w:val="sk-SK"/>
        </w:rPr>
        <w:t>Pre</w:t>
      </w:r>
      <w:r w:rsidR="00BB5C47" w:rsidRPr="00534FB2">
        <w:rPr>
          <w:i/>
          <w:color w:val="000000" w:themeColor="text1"/>
          <w:sz w:val="22"/>
          <w:szCs w:val="22"/>
          <w:highlight w:val="lightGray"/>
          <w:u w:val="single"/>
          <w:lang w:val="sk-SK"/>
        </w:rPr>
        <w:t xml:space="preserve"> PVC/PCTFE/</w:t>
      </w:r>
      <w:r w:rsidRPr="00534FB2">
        <w:rPr>
          <w:i/>
          <w:sz w:val="22"/>
          <w:szCs w:val="22"/>
          <w:highlight w:val="lightGray"/>
          <w:u w:val="single"/>
          <w:lang w:val="sk-SK"/>
        </w:rPr>
        <w:t xml:space="preserve"> hliníkové blistre</w:t>
      </w:r>
    </w:p>
    <w:p w14:paraId="0BBE1A85" w14:textId="2CF596AC" w:rsidR="00BB5C47" w:rsidRPr="00534FB2" w:rsidRDefault="005734D9" w:rsidP="00134CBE">
      <w:pPr>
        <w:rPr>
          <w:color w:val="000000" w:themeColor="text1"/>
          <w:sz w:val="22"/>
          <w:szCs w:val="22"/>
          <w:highlight w:val="lightGray"/>
          <w:lang w:val="sk-SK"/>
        </w:rPr>
      </w:pPr>
      <w:r w:rsidRPr="00534FB2">
        <w:rPr>
          <w:color w:val="000000" w:themeColor="text1"/>
          <w:sz w:val="22"/>
          <w:szCs w:val="22"/>
          <w:highlight w:val="lightGray"/>
          <w:lang w:val="sk-SK"/>
        </w:rPr>
        <w:t>Uchovávajte pri teplote neprevyšujúcej 30°C</w:t>
      </w:r>
      <w:r w:rsidR="00BB5C47" w:rsidRPr="00534FB2">
        <w:rPr>
          <w:color w:val="000000" w:themeColor="text1"/>
          <w:sz w:val="22"/>
          <w:szCs w:val="22"/>
          <w:highlight w:val="lightGray"/>
          <w:lang w:val="sk-SK"/>
        </w:rPr>
        <w:t>.</w:t>
      </w:r>
      <w:r w:rsidR="00D066C5" w:rsidRPr="00534FB2">
        <w:rPr>
          <w:color w:val="000000" w:themeColor="text1"/>
          <w:sz w:val="22"/>
          <w:szCs w:val="22"/>
          <w:highlight w:val="lightGray"/>
          <w:lang w:val="sk-SK"/>
        </w:rPr>
        <w:t xml:space="preserve"> Uchovávajte v blistroch na ochranu pred </w:t>
      </w:r>
      <w:r w:rsidR="009C4557">
        <w:rPr>
          <w:color w:val="000000" w:themeColor="text1"/>
          <w:sz w:val="22"/>
          <w:szCs w:val="22"/>
          <w:highlight w:val="lightGray"/>
          <w:lang w:val="sk-SK"/>
        </w:rPr>
        <w:t xml:space="preserve">svetlom a </w:t>
      </w:r>
      <w:r w:rsidR="00D066C5" w:rsidRPr="00534FB2">
        <w:rPr>
          <w:color w:val="000000" w:themeColor="text1"/>
          <w:sz w:val="22"/>
          <w:szCs w:val="22"/>
          <w:highlight w:val="lightGray"/>
          <w:lang w:val="sk-SK"/>
        </w:rPr>
        <w:t>vlhkosťou.</w:t>
      </w:r>
    </w:p>
    <w:p w14:paraId="2F9AB1FB" w14:textId="77777777" w:rsidR="00BB5C47" w:rsidRPr="00534FB2" w:rsidRDefault="00BB5C47" w:rsidP="00134CBE">
      <w:pPr>
        <w:rPr>
          <w:i/>
          <w:color w:val="000000" w:themeColor="text1"/>
          <w:sz w:val="22"/>
          <w:szCs w:val="22"/>
          <w:highlight w:val="lightGray"/>
          <w:u w:val="single"/>
          <w:lang w:val="sk-SK"/>
        </w:rPr>
      </w:pPr>
    </w:p>
    <w:p w14:paraId="0112A3FD" w14:textId="234472DE" w:rsidR="006310A1" w:rsidRPr="00534FB2" w:rsidRDefault="005734D9" w:rsidP="00147B7D">
      <w:pPr>
        <w:keepNext/>
        <w:rPr>
          <w:i/>
          <w:color w:val="000000" w:themeColor="text1"/>
          <w:sz w:val="22"/>
          <w:szCs w:val="22"/>
          <w:highlight w:val="lightGray"/>
          <w:u w:val="single"/>
          <w:lang w:val="sk-SK"/>
        </w:rPr>
      </w:pPr>
      <w:r w:rsidRPr="00534FB2">
        <w:rPr>
          <w:i/>
          <w:color w:val="000000" w:themeColor="text1"/>
          <w:sz w:val="22"/>
          <w:szCs w:val="22"/>
          <w:highlight w:val="lightGray"/>
          <w:u w:val="single"/>
          <w:lang w:val="sk-SK"/>
        </w:rPr>
        <w:t xml:space="preserve">Pre </w:t>
      </w:r>
      <w:r w:rsidR="00D066C5" w:rsidRPr="00534FB2">
        <w:rPr>
          <w:i/>
          <w:color w:val="000000" w:themeColor="text1"/>
          <w:sz w:val="22"/>
          <w:szCs w:val="22"/>
          <w:highlight w:val="lightGray"/>
          <w:u w:val="single"/>
          <w:lang w:val="sk-SK"/>
        </w:rPr>
        <w:t>hliníkovo</w:t>
      </w:r>
      <w:r w:rsidRPr="00534FB2">
        <w:rPr>
          <w:i/>
          <w:color w:val="000000" w:themeColor="text1"/>
          <w:sz w:val="22"/>
          <w:szCs w:val="22"/>
          <w:highlight w:val="lightGray"/>
          <w:u w:val="single"/>
          <w:lang w:val="sk-SK"/>
        </w:rPr>
        <w:t xml:space="preserve">/ hliníkové blistre </w:t>
      </w:r>
    </w:p>
    <w:p w14:paraId="4329D835" w14:textId="3AC863F2" w:rsidR="006310A1" w:rsidRPr="00534FB2" w:rsidRDefault="00D066C5" w:rsidP="00134CBE">
      <w:pPr>
        <w:rPr>
          <w:color w:val="000000" w:themeColor="text1"/>
          <w:sz w:val="22"/>
          <w:szCs w:val="22"/>
          <w:lang w:val="sk-SK"/>
        </w:rPr>
      </w:pPr>
      <w:r w:rsidRPr="00534FB2">
        <w:rPr>
          <w:color w:val="000000" w:themeColor="text1"/>
          <w:sz w:val="22"/>
          <w:szCs w:val="22"/>
          <w:highlight w:val="lightGray"/>
          <w:lang w:val="sk-SK"/>
        </w:rPr>
        <w:t>Tento </w:t>
      </w:r>
      <w:r w:rsidRPr="00534FB2">
        <w:rPr>
          <w:bCs/>
          <w:color w:val="000000" w:themeColor="text1"/>
          <w:sz w:val="22"/>
          <w:szCs w:val="22"/>
          <w:highlight w:val="lightGray"/>
          <w:lang w:val="sk-SK"/>
        </w:rPr>
        <w:t>liek nevyžaduje</w:t>
      </w:r>
      <w:r w:rsidRPr="00534FB2">
        <w:rPr>
          <w:color w:val="000000" w:themeColor="text1"/>
          <w:sz w:val="22"/>
          <w:szCs w:val="22"/>
          <w:highlight w:val="lightGray"/>
          <w:lang w:val="sk-SK"/>
        </w:rPr>
        <w:t> žiadne </w:t>
      </w:r>
      <w:r w:rsidRPr="00534FB2">
        <w:rPr>
          <w:bCs/>
          <w:color w:val="000000" w:themeColor="text1"/>
          <w:sz w:val="22"/>
          <w:szCs w:val="22"/>
          <w:highlight w:val="lightGray"/>
          <w:lang w:val="sk-SK"/>
        </w:rPr>
        <w:t>zvláštne teplotné podmienky</w:t>
      </w:r>
      <w:r w:rsidRPr="00534FB2">
        <w:rPr>
          <w:color w:val="000000" w:themeColor="text1"/>
          <w:sz w:val="22"/>
          <w:szCs w:val="22"/>
          <w:highlight w:val="lightGray"/>
          <w:lang w:val="sk-SK"/>
        </w:rPr>
        <w:t> na </w:t>
      </w:r>
      <w:r w:rsidRPr="00534FB2">
        <w:rPr>
          <w:bCs/>
          <w:color w:val="000000" w:themeColor="text1"/>
          <w:sz w:val="22"/>
          <w:szCs w:val="22"/>
          <w:highlight w:val="lightGray"/>
          <w:lang w:val="sk-SK"/>
        </w:rPr>
        <w:t>uchovávanie</w:t>
      </w:r>
      <w:r w:rsidR="006310A1" w:rsidRPr="00534FB2">
        <w:rPr>
          <w:color w:val="000000" w:themeColor="text1"/>
          <w:sz w:val="22"/>
          <w:szCs w:val="22"/>
          <w:highlight w:val="lightGray"/>
          <w:lang w:val="sk-SK"/>
        </w:rPr>
        <w:t xml:space="preserve">; </w:t>
      </w:r>
      <w:r w:rsidRPr="00534FB2">
        <w:rPr>
          <w:color w:val="000000" w:themeColor="text1"/>
          <w:sz w:val="22"/>
          <w:szCs w:val="22"/>
          <w:highlight w:val="lightGray"/>
          <w:lang w:val="sk-SK"/>
        </w:rPr>
        <w:t xml:space="preserve">uchovávajte v blistroch na ochranu pred </w:t>
      </w:r>
      <w:r w:rsidR="009C4557">
        <w:rPr>
          <w:color w:val="000000" w:themeColor="text1"/>
          <w:sz w:val="22"/>
          <w:szCs w:val="22"/>
          <w:highlight w:val="lightGray"/>
          <w:lang w:val="sk-SK"/>
        </w:rPr>
        <w:t xml:space="preserve">svetlom a </w:t>
      </w:r>
      <w:r w:rsidRPr="00534FB2">
        <w:rPr>
          <w:color w:val="000000" w:themeColor="text1"/>
          <w:sz w:val="22"/>
          <w:szCs w:val="22"/>
          <w:highlight w:val="lightGray"/>
          <w:lang w:val="sk-SK"/>
        </w:rPr>
        <w:t>vlhkosťou</w:t>
      </w:r>
      <w:r w:rsidR="006310A1" w:rsidRPr="00534FB2">
        <w:rPr>
          <w:color w:val="000000" w:themeColor="text1"/>
          <w:sz w:val="22"/>
          <w:szCs w:val="22"/>
          <w:highlight w:val="lightGray"/>
          <w:lang w:val="sk-SK"/>
        </w:rPr>
        <w:t>.</w:t>
      </w:r>
      <w:r w:rsidRPr="00534FB2">
        <w:rPr>
          <w:color w:val="000000" w:themeColor="text1"/>
          <w:sz w:val="22"/>
          <w:szCs w:val="22"/>
          <w:lang w:val="sk-SK"/>
        </w:rPr>
        <w:t xml:space="preserve"> </w:t>
      </w:r>
    </w:p>
    <w:p w14:paraId="3CF8ACAD" w14:textId="77777777" w:rsidR="00E37234" w:rsidRPr="00534FB2" w:rsidRDefault="00E37234" w:rsidP="00134CBE">
      <w:pPr>
        <w:rPr>
          <w:sz w:val="22"/>
          <w:szCs w:val="22"/>
          <w:lang w:val="sk-SK"/>
        </w:rPr>
      </w:pPr>
    </w:p>
    <w:p w14:paraId="505D897E" w14:textId="21AF330B" w:rsidR="0043633E" w:rsidRPr="00534FB2" w:rsidRDefault="00D066C5" w:rsidP="00D066C5">
      <w:pPr>
        <w:pStyle w:val="Odsekzoznamu"/>
        <w:numPr>
          <w:ilvl w:val="1"/>
          <w:numId w:val="1"/>
        </w:numPr>
        <w:ind w:left="567" w:hanging="567"/>
        <w:rPr>
          <w:b/>
          <w:sz w:val="22"/>
          <w:szCs w:val="22"/>
          <w:lang w:val="sk-SK"/>
        </w:rPr>
      </w:pPr>
      <w:r w:rsidRPr="00534FB2">
        <w:rPr>
          <w:b/>
          <w:sz w:val="22"/>
          <w:szCs w:val="22"/>
          <w:lang w:val="sk-SK"/>
        </w:rPr>
        <w:t>Druh obalu a obsah balenia</w:t>
      </w:r>
    </w:p>
    <w:p w14:paraId="2F708017" w14:textId="77777777" w:rsidR="0043633E" w:rsidRPr="00534FB2" w:rsidRDefault="0043633E" w:rsidP="00134CBE">
      <w:pPr>
        <w:rPr>
          <w:sz w:val="22"/>
          <w:szCs w:val="22"/>
          <w:lang w:val="sk-SK"/>
        </w:rPr>
      </w:pPr>
    </w:p>
    <w:p w14:paraId="09EEB99E" w14:textId="527FB0F2" w:rsidR="00980C70" w:rsidRPr="00534FB2" w:rsidRDefault="00E22127" w:rsidP="00134CBE">
      <w:pPr>
        <w:rPr>
          <w:sz w:val="22"/>
          <w:szCs w:val="22"/>
          <w:lang w:val="sk-SK"/>
        </w:rPr>
      </w:pPr>
      <w:r w:rsidRPr="00534FB2">
        <w:rPr>
          <w:sz w:val="22"/>
          <w:szCs w:val="22"/>
          <w:lang w:val="sk-SK"/>
        </w:rPr>
        <w:t>PVC/PVDC/</w:t>
      </w:r>
      <w:r w:rsidR="00D066C5" w:rsidRPr="00534FB2">
        <w:rPr>
          <w:sz w:val="22"/>
          <w:szCs w:val="22"/>
          <w:lang w:val="sk-SK"/>
        </w:rPr>
        <w:t>hliníkové</w:t>
      </w:r>
      <w:r w:rsidRPr="00534FB2">
        <w:rPr>
          <w:sz w:val="22"/>
          <w:szCs w:val="22"/>
          <w:lang w:val="sk-SK"/>
        </w:rPr>
        <w:t xml:space="preserve"> blist</w:t>
      </w:r>
      <w:r w:rsidR="00D066C5" w:rsidRPr="00534FB2">
        <w:rPr>
          <w:sz w:val="22"/>
          <w:szCs w:val="22"/>
          <w:lang w:val="sk-SK"/>
        </w:rPr>
        <w:t>re</w:t>
      </w:r>
      <w:r w:rsidR="004A4125" w:rsidRPr="00534FB2">
        <w:rPr>
          <w:sz w:val="22"/>
          <w:szCs w:val="22"/>
          <w:lang w:val="sk-SK"/>
        </w:rPr>
        <w:t>,</w:t>
      </w:r>
      <w:r w:rsidRPr="00534FB2">
        <w:rPr>
          <w:sz w:val="22"/>
          <w:szCs w:val="22"/>
          <w:lang w:val="sk-SK"/>
        </w:rPr>
        <w:t xml:space="preserve"> PVC/PCTFE/</w:t>
      </w:r>
      <w:r w:rsidR="00D066C5" w:rsidRPr="00534FB2">
        <w:rPr>
          <w:sz w:val="22"/>
          <w:szCs w:val="22"/>
          <w:lang w:val="sk-SK"/>
        </w:rPr>
        <w:t>hliníkové blistre</w:t>
      </w:r>
      <w:r w:rsidRPr="00534FB2">
        <w:rPr>
          <w:sz w:val="22"/>
          <w:szCs w:val="22"/>
          <w:lang w:val="sk-SK"/>
        </w:rPr>
        <w:t xml:space="preserve"> </w:t>
      </w:r>
      <w:r w:rsidR="00D066C5" w:rsidRPr="00534FB2">
        <w:rPr>
          <w:sz w:val="22"/>
          <w:szCs w:val="22"/>
          <w:lang w:val="sk-SK"/>
        </w:rPr>
        <w:t>a</w:t>
      </w:r>
      <w:r w:rsidR="007F1FD4" w:rsidRPr="00534FB2">
        <w:rPr>
          <w:sz w:val="22"/>
          <w:szCs w:val="22"/>
          <w:lang w:val="sk-SK"/>
        </w:rPr>
        <w:t xml:space="preserve"> </w:t>
      </w:r>
      <w:r w:rsidR="00D066C5" w:rsidRPr="00534FB2">
        <w:rPr>
          <w:sz w:val="22"/>
          <w:szCs w:val="22"/>
          <w:lang w:val="sk-SK"/>
        </w:rPr>
        <w:t>hliníkovo/hliníkové</w:t>
      </w:r>
      <w:r w:rsidR="007F1FD4" w:rsidRPr="00534FB2">
        <w:rPr>
          <w:sz w:val="22"/>
          <w:szCs w:val="22"/>
          <w:lang w:val="sk-SK"/>
        </w:rPr>
        <w:t xml:space="preserve"> blist</w:t>
      </w:r>
      <w:r w:rsidR="00D066C5" w:rsidRPr="00534FB2">
        <w:rPr>
          <w:sz w:val="22"/>
          <w:szCs w:val="22"/>
          <w:lang w:val="sk-SK"/>
        </w:rPr>
        <w:t>re</w:t>
      </w:r>
      <w:r w:rsidR="00740253" w:rsidRPr="00534FB2">
        <w:rPr>
          <w:sz w:val="22"/>
          <w:szCs w:val="22"/>
          <w:lang w:val="sk-SK"/>
        </w:rPr>
        <w:t xml:space="preserve">. </w:t>
      </w:r>
    </w:p>
    <w:p w14:paraId="7F9E9A1A" w14:textId="77777777" w:rsidR="00E37234" w:rsidRPr="00534FB2" w:rsidRDefault="00E37234" w:rsidP="00E37234">
      <w:pPr>
        <w:jc w:val="both"/>
        <w:rPr>
          <w:sz w:val="22"/>
          <w:szCs w:val="22"/>
          <w:lang w:val="sk-SK"/>
        </w:rPr>
      </w:pPr>
    </w:p>
    <w:p w14:paraId="2C15EA79" w14:textId="245AC93D" w:rsidR="00E65337" w:rsidRPr="00534FB2" w:rsidRDefault="00D066C5" w:rsidP="00EE79AA">
      <w:pPr>
        <w:keepNext/>
        <w:rPr>
          <w:sz w:val="22"/>
          <w:szCs w:val="22"/>
          <w:lang w:val="sk-SK"/>
        </w:rPr>
      </w:pPr>
      <w:r w:rsidRPr="00534FB2">
        <w:rPr>
          <w:sz w:val="22"/>
          <w:szCs w:val="22"/>
          <w:lang w:val="sk-SK"/>
        </w:rPr>
        <w:t>Veľkosti balenia</w:t>
      </w:r>
      <w:r w:rsidR="00740253" w:rsidRPr="00534FB2">
        <w:rPr>
          <w:sz w:val="22"/>
          <w:szCs w:val="22"/>
          <w:lang w:val="sk-SK"/>
        </w:rPr>
        <w:t>:</w:t>
      </w:r>
      <w:r w:rsidR="009B0BE9" w:rsidRPr="00534FB2">
        <w:rPr>
          <w:sz w:val="22"/>
          <w:szCs w:val="22"/>
          <w:lang w:val="sk-SK"/>
        </w:rPr>
        <w:t xml:space="preserve"> </w:t>
      </w:r>
    </w:p>
    <w:p w14:paraId="011A97E4" w14:textId="3882D69B" w:rsidR="00EE79AA" w:rsidRPr="00534FB2" w:rsidRDefault="00EE79AA" w:rsidP="00C46EEA">
      <w:pPr>
        <w:rPr>
          <w:sz w:val="22"/>
          <w:szCs w:val="22"/>
          <w:highlight w:val="lightGray"/>
          <w:lang w:val="sk-SK"/>
        </w:rPr>
      </w:pPr>
    </w:p>
    <w:p w14:paraId="39B90792" w14:textId="4308545F" w:rsidR="00C46EEA" w:rsidRPr="00534FB2" w:rsidRDefault="00626D15" w:rsidP="00C46EEA">
      <w:pPr>
        <w:rPr>
          <w:sz w:val="22"/>
          <w:szCs w:val="22"/>
          <w:highlight w:val="lightGray"/>
          <w:lang w:val="sk-SK"/>
        </w:rPr>
      </w:pPr>
      <w:bookmarkStart w:id="1" w:name="_Hlk43393145"/>
      <w:r w:rsidRPr="00534FB2">
        <w:rPr>
          <w:sz w:val="22"/>
          <w:szCs w:val="22"/>
          <w:highlight w:val="lightGray"/>
          <w:lang w:val="sk-SK"/>
        </w:rPr>
        <w:t>Asbima HCT</w:t>
      </w:r>
      <w:r w:rsidR="00C46EEA" w:rsidRPr="00534FB2">
        <w:rPr>
          <w:sz w:val="22"/>
          <w:szCs w:val="22"/>
          <w:highlight w:val="lightGray"/>
          <w:lang w:val="sk-SK"/>
        </w:rPr>
        <w:t xml:space="preserve"> </w:t>
      </w:r>
      <w:r w:rsidRPr="00534FB2">
        <w:rPr>
          <w:sz w:val="22"/>
          <w:szCs w:val="22"/>
          <w:highlight w:val="lightGray"/>
          <w:lang w:val="sk-SK"/>
        </w:rPr>
        <w:t>5 mg/160 mg/12,</w:t>
      </w:r>
      <w:r w:rsidR="00C46EEA" w:rsidRPr="00534FB2">
        <w:rPr>
          <w:sz w:val="22"/>
          <w:szCs w:val="22"/>
          <w:highlight w:val="lightGray"/>
          <w:lang w:val="sk-SK"/>
        </w:rPr>
        <w:t>5 mg</w:t>
      </w:r>
      <w:r w:rsidR="00C46EEA" w:rsidRPr="00534FB2">
        <w:rPr>
          <w:sz w:val="22"/>
          <w:szCs w:val="22"/>
          <w:lang w:val="sk-SK"/>
        </w:rPr>
        <w:t xml:space="preserve"> </w:t>
      </w:r>
      <w:bookmarkEnd w:id="1"/>
      <w:r w:rsidR="001961F1" w:rsidRPr="00534FB2">
        <w:rPr>
          <w:sz w:val="22"/>
          <w:szCs w:val="22"/>
          <w:highlight w:val="lightGray"/>
          <w:lang w:val="sk-SK"/>
        </w:rPr>
        <w:t>a</w:t>
      </w:r>
      <w:r w:rsidR="00C46EEA" w:rsidRPr="00534FB2">
        <w:rPr>
          <w:sz w:val="22"/>
          <w:szCs w:val="22"/>
          <w:highlight w:val="lightGray"/>
          <w:lang w:val="sk-SK"/>
        </w:rPr>
        <w:t xml:space="preserve"> </w:t>
      </w:r>
      <w:r w:rsidRPr="00534FB2">
        <w:rPr>
          <w:sz w:val="22"/>
          <w:szCs w:val="22"/>
          <w:highlight w:val="lightGray"/>
          <w:lang w:val="sk-SK"/>
        </w:rPr>
        <w:t>Asbima</w:t>
      </w:r>
      <w:r w:rsidR="00C46EEA" w:rsidRPr="00534FB2">
        <w:rPr>
          <w:sz w:val="22"/>
          <w:szCs w:val="22"/>
          <w:highlight w:val="lightGray"/>
          <w:lang w:val="sk-SK"/>
        </w:rPr>
        <w:t xml:space="preserve"> </w:t>
      </w:r>
      <w:r w:rsidR="003E654E">
        <w:rPr>
          <w:sz w:val="22"/>
          <w:szCs w:val="22"/>
          <w:highlight w:val="lightGray"/>
          <w:lang w:val="sk-SK"/>
        </w:rPr>
        <w:t xml:space="preserve">HCT </w:t>
      </w:r>
      <w:r w:rsidR="00C46EEA" w:rsidRPr="00534FB2">
        <w:rPr>
          <w:sz w:val="22"/>
          <w:szCs w:val="22"/>
          <w:highlight w:val="lightGray"/>
          <w:lang w:val="sk-SK"/>
        </w:rPr>
        <w:t>10 mg/160 mg/25 mg:</w:t>
      </w:r>
    </w:p>
    <w:p w14:paraId="462F3287" w14:textId="7E31ACE8" w:rsidR="00626D15" w:rsidRPr="00534FB2" w:rsidRDefault="00C46EEA" w:rsidP="00C46EEA">
      <w:pPr>
        <w:rPr>
          <w:sz w:val="22"/>
          <w:szCs w:val="22"/>
          <w:highlight w:val="lightGray"/>
          <w:lang w:val="sk-SK"/>
        </w:rPr>
      </w:pPr>
      <w:bookmarkStart w:id="2" w:name="_Hlk43393160"/>
      <w:r w:rsidRPr="00534FB2">
        <w:rPr>
          <w:sz w:val="22"/>
          <w:szCs w:val="22"/>
          <w:highlight w:val="lightGray"/>
          <w:lang w:val="sk-SK"/>
        </w:rPr>
        <w:t>14</w:t>
      </w:r>
      <w:r w:rsidR="00EE79AA" w:rsidRPr="00534FB2">
        <w:rPr>
          <w:sz w:val="22"/>
          <w:szCs w:val="22"/>
          <w:highlight w:val="lightGray"/>
          <w:lang w:val="sk-SK"/>
        </w:rPr>
        <w:t xml:space="preserve"> </w:t>
      </w:r>
      <w:r w:rsidR="00626D15" w:rsidRPr="00534FB2">
        <w:rPr>
          <w:sz w:val="22"/>
          <w:szCs w:val="22"/>
          <w:highlight w:val="lightGray"/>
          <w:lang w:val="sk-SK"/>
        </w:rPr>
        <w:t>filmom obalených tabliet</w:t>
      </w:r>
    </w:p>
    <w:p w14:paraId="43A2FCDE" w14:textId="2CA09CF6" w:rsidR="00C46EEA" w:rsidRPr="00534FB2" w:rsidRDefault="00C46EEA" w:rsidP="00C46EEA">
      <w:pPr>
        <w:rPr>
          <w:color w:val="000000"/>
          <w:sz w:val="22"/>
          <w:szCs w:val="22"/>
          <w:lang w:val="sk-SK"/>
        </w:rPr>
      </w:pPr>
      <w:r w:rsidRPr="00534FB2">
        <w:rPr>
          <w:color w:val="000000"/>
          <w:sz w:val="22"/>
          <w:szCs w:val="22"/>
          <w:highlight w:val="lightGray"/>
          <w:lang w:val="sk-SK"/>
        </w:rPr>
        <w:t>28</w:t>
      </w:r>
      <w:r w:rsidR="00EE79AA" w:rsidRPr="00534FB2">
        <w:rPr>
          <w:color w:val="000000"/>
          <w:sz w:val="22"/>
          <w:szCs w:val="22"/>
          <w:highlight w:val="lightGray"/>
          <w:lang w:val="sk-SK"/>
        </w:rPr>
        <w:t xml:space="preserve"> </w:t>
      </w:r>
      <w:r w:rsidR="00626D15" w:rsidRPr="00534FB2">
        <w:rPr>
          <w:color w:val="000000"/>
          <w:sz w:val="22"/>
          <w:szCs w:val="22"/>
          <w:highlight w:val="lightGray"/>
          <w:lang w:val="sk-SK"/>
        </w:rPr>
        <w:t xml:space="preserve"> </w:t>
      </w:r>
      <w:r w:rsidR="00626D15" w:rsidRPr="00534FB2">
        <w:rPr>
          <w:sz w:val="22"/>
          <w:szCs w:val="22"/>
          <w:highlight w:val="lightGray"/>
          <w:lang w:val="sk-SK"/>
        </w:rPr>
        <w:t>filmom obalených tabliet</w:t>
      </w:r>
      <w:r w:rsidR="00626D15" w:rsidRPr="00534FB2">
        <w:rPr>
          <w:color w:val="000000"/>
          <w:sz w:val="22"/>
          <w:szCs w:val="22"/>
          <w:highlight w:val="lightGray"/>
          <w:lang w:val="sk-SK"/>
        </w:rPr>
        <w:t xml:space="preserve"> </w:t>
      </w:r>
    </w:p>
    <w:p w14:paraId="5ECBAB9C" w14:textId="2CB64F12" w:rsidR="00C46EEA" w:rsidRPr="00534FB2" w:rsidRDefault="00C46EEA" w:rsidP="00C46EEA">
      <w:pPr>
        <w:rPr>
          <w:color w:val="000000"/>
          <w:sz w:val="22"/>
          <w:szCs w:val="22"/>
          <w:lang w:val="sk-SK"/>
        </w:rPr>
      </w:pPr>
      <w:r w:rsidRPr="00534FB2">
        <w:rPr>
          <w:color w:val="000000"/>
          <w:sz w:val="22"/>
          <w:szCs w:val="22"/>
          <w:highlight w:val="lightGray"/>
          <w:lang w:val="sk-SK"/>
        </w:rPr>
        <w:t>30</w:t>
      </w:r>
      <w:r w:rsidR="00EE79AA" w:rsidRPr="00534FB2">
        <w:rPr>
          <w:color w:val="000000"/>
          <w:sz w:val="22"/>
          <w:szCs w:val="22"/>
          <w:highlight w:val="lightGray"/>
          <w:lang w:val="sk-SK"/>
        </w:rPr>
        <w:t xml:space="preserve"> </w:t>
      </w:r>
      <w:r w:rsidR="00626D15" w:rsidRPr="00534FB2">
        <w:rPr>
          <w:sz w:val="22"/>
          <w:szCs w:val="22"/>
          <w:highlight w:val="lightGray"/>
          <w:lang w:val="sk-SK"/>
        </w:rPr>
        <w:t>filmom obalených tabliet</w:t>
      </w:r>
      <w:r w:rsidR="00626D15" w:rsidRPr="00534FB2">
        <w:rPr>
          <w:color w:val="000000"/>
          <w:sz w:val="22"/>
          <w:szCs w:val="22"/>
          <w:highlight w:val="lightGray"/>
          <w:lang w:val="sk-SK"/>
        </w:rPr>
        <w:t xml:space="preserve"> </w:t>
      </w:r>
    </w:p>
    <w:p w14:paraId="46836D24" w14:textId="2758D6F4" w:rsidR="00C46EEA" w:rsidRPr="00534FB2" w:rsidRDefault="00C46EEA" w:rsidP="00C46EEA">
      <w:pPr>
        <w:rPr>
          <w:color w:val="000000"/>
          <w:sz w:val="22"/>
          <w:szCs w:val="22"/>
          <w:lang w:val="sk-SK"/>
        </w:rPr>
      </w:pPr>
      <w:r w:rsidRPr="00534FB2">
        <w:rPr>
          <w:color w:val="000000"/>
          <w:sz w:val="22"/>
          <w:szCs w:val="22"/>
          <w:highlight w:val="lightGray"/>
          <w:lang w:val="sk-SK"/>
        </w:rPr>
        <w:lastRenderedPageBreak/>
        <w:t>90</w:t>
      </w:r>
      <w:r w:rsidR="00EE79AA" w:rsidRPr="00534FB2">
        <w:rPr>
          <w:color w:val="000000"/>
          <w:sz w:val="22"/>
          <w:szCs w:val="22"/>
          <w:highlight w:val="lightGray"/>
          <w:lang w:val="sk-SK"/>
        </w:rPr>
        <w:t xml:space="preserve"> </w:t>
      </w:r>
      <w:r w:rsidR="00626D15" w:rsidRPr="00534FB2">
        <w:rPr>
          <w:sz w:val="22"/>
          <w:szCs w:val="22"/>
          <w:highlight w:val="lightGray"/>
          <w:lang w:val="sk-SK"/>
        </w:rPr>
        <w:t>filmom obalených tabliet</w:t>
      </w:r>
      <w:r w:rsidR="00626D15" w:rsidRPr="00534FB2">
        <w:rPr>
          <w:color w:val="000000"/>
          <w:sz w:val="22"/>
          <w:szCs w:val="22"/>
          <w:highlight w:val="lightGray"/>
          <w:lang w:val="sk-SK"/>
        </w:rPr>
        <w:t xml:space="preserve"> </w:t>
      </w:r>
    </w:p>
    <w:p w14:paraId="3AFEE661" w14:textId="747060AA" w:rsidR="00C46EEA" w:rsidRPr="00534FB2" w:rsidRDefault="00C46EEA" w:rsidP="00C46EEA">
      <w:pPr>
        <w:rPr>
          <w:color w:val="000000"/>
          <w:sz w:val="22"/>
          <w:szCs w:val="22"/>
          <w:lang w:val="sk-SK"/>
        </w:rPr>
      </w:pPr>
      <w:r w:rsidRPr="00534FB2">
        <w:rPr>
          <w:color w:val="000000"/>
          <w:sz w:val="22"/>
          <w:szCs w:val="22"/>
          <w:highlight w:val="lightGray"/>
          <w:lang w:val="sk-SK"/>
        </w:rPr>
        <w:t>98</w:t>
      </w:r>
      <w:r w:rsidR="00EE79AA" w:rsidRPr="00534FB2">
        <w:rPr>
          <w:color w:val="000000"/>
          <w:sz w:val="22"/>
          <w:szCs w:val="22"/>
          <w:highlight w:val="lightGray"/>
          <w:lang w:val="sk-SK"/>
        </w:rPr>
        <w:t xml:space="preserve"> </w:t>
      </w:r>
      <w:bookmarkEnd w:id="2"/>
      <w:r w:rsidR="00626D15" w:rsidRPr="00534FB2">
        <w:rPr>
          <w:sz w:val="22"/>
          <w:szCs w:val="22"/>
          <w:highlight w:val="lightGray"/>
          <w:lang w:val="sk-SK"/>
        </w:rPr>
        <w:t>filmom obalených tabliet</w:t>
      </w:r>
    </w:p>
    <w:p w14:paraId="5FD8EB15" w14:textId="77777777" w:rsidR="00C46EEA" w:rsidRPr="00534FB2" w:rsidRDefault="00C46EEA" w:rsidP="00C46EEA">
      <w:pPr>
        <w:rPr>
          <w:color w:val="000000"/>
          <w:sz w:val="22"/>
          <w:szCs w:val="22"/>
          <w:lang w:val="sk-SK"/>
        </w:rPr>
      </w:pPr>
    </w:p>
    <w:p w14:paraId="1FBF6849" w14:textId="16B95402" w:rsidR="00C46EEA" w:rsidRPr="00534FB2" w:rsidRDefault="00626D15" w:rsidP="00C46EEA">
      <w:pPr>
        <w:rPr>
          <w:color w:val="000000"/>
          <w:sz w:val="22"/>
          <w:szCs w:val="22"/>
          <w:lang w:val="sk-SK"/>
        </w:rPr>
      </w:pPr>
      <w:r w:rsidRPr="00534FB2">
        <w:rPr>
          <w:sz w:val="22"/>
          <w:szCs w:val="22"/>
          <w:highlight w:val="lightGray"/>
          <w:lang w:val="sk-SK"/>
        </w:rPr>
        <w:t>Asbima HCT</w:t>
      </w:r>
      <w:r w:rsidR="00C46EEA" w:rsidRPr="00534FB2">
        <w:rPr>
          <w:sz w:val="22"/>
          <w:szCs w:val="22"/>
          <w:highlight w:val="lightGray"/>
          <w:lang w:val="sk-SK"/>
        </w:rPr>
        <w:t xml:space="preserve"> 5 mg/160 mg/25 mg, </w:t>
      </w:r>
      <w:r w:rsidRPr="00534FB2">
        <w:rPr>
          <w:sz w:val="22"/>
          <w:szCs w:val="22"/>
          <w:highlight w:val="lightGray"/>
          <w:lang w:val="sk-SK"/>
        </w:rPr>
        <w:t xml:space="preserve">Asbima HCT </w:t>
      </w:r>
      <w:r w:rsidRPr="00534FB2">
        <w:rPr>
          <w:vanish/>
          <w:sz w:val="22"/>
          <w:szCs w:val="22"/>
          <w:highlight w:val="lightGray"/>
          <w:lang w:val="sk-SK"/>
        </w:rPr>
        <w:t>CTHCT</w:t>
      </w:r>
      <w:r w:rsidRPr="00534FB2">
        <w:rPr>
          <w:sz w:val="22"/>
          <w:szCs w:val="22"/>
          <w:highlight w:val="lightGray"/>
          <w:lang w:val="sk-SK"/>
        </w:rPr>
        <w:t>10 mg/160 mg/12,</w:t>
      </w:r>
      <w:r w:rsidR="00C46EEA" w:rsidRPr="00534FB2">
        <w:rPr>
          <w:sz w:val="22"/>
          <w:szCs w:val="22"/>
          <w:highlight w:val="lightGray"/>
          <w:lang w:val="sk-SK"/>
        </w:rPr>
        <w:t>5 a</w:t>
      </w:r>
      <w:r w:rsidR="001961F1" w:rsidRPr="00534FB2">
        <w:rPr>
          <w:sz w:val="22"/>
          <w:szCs w:val="22"/>
          <w:highlight w:val="lightGray"/>
          <w:lang w:val="sk-SK"/>
        </w:rPr>
        <w:t xml:space="preserve"> </w:t>
      </w:r>
      <w:r w:rsidRPr="00534FB2">
        <w:rPr>
          <w:sz w:val="22"/>
          <w:szCs w:val="22"/>
          <w:highlight w:val="lightGray"/>
          <w:lang w:val="sk-SK"/>
        </w:rPr>
        <w:t>Asbima HCT</w:t>
      </w:r>
      <w:r w:rsidR="00C46EEA" w:rsidRPr="00534FB2">
        <w:rPr>
          <w:sz w:val="22"/>
          <w:szCs w:val="22"/>
          <w:highlight w:val="lightGray"/>
          <w:lang w:val="sk-SK"/>
        </w:rPr>
        <w:t xml:space="preserve"> 10 mg/320 mg/25 mg:</w:t>
      </w:r>
    </w:p>
    <w:p w14:paraId="0D108254" w14:textId="57C74EE1" w:rsidR="00C46EEA" w:rsidRPr="00534FB2" w:rsidRDefault="00C46EEA" w:rsidP="00C46EEA">
      <w:pPr>
        <w:rPr>
          <w:color w:val="000000"/>
          <w:sz w:val="22"/>
          <w:szCs w:val="22"/>
          <w:lang w:val="sk-SK"/>
        </w:rPr>
      </w:pPr>
      <w:r w:rsidRPr="00534FB2">
        <w:rPr>
          <w:color w:val="000000"/>
          <w:sz w:val="22"/>
          <w:szCs w:val="22"/>
          <w:highlight w:val="lightGray"/>
          <w:lang w:val="sk-SK"/>
        </w:rPr>
        <w:t>28</w:t>
      </w:r>
      <w:r w:rsidR="00EE79AA" w:rsidRPr="00534FB2">
        <w:rPr>
          <w:color w:val="000000"/>
          <w:sz w:val="22"/>
          <w:szCs w:val="22"/>
          <w:highlight w:val="lightGray"/>
          <w:lang w:val="sk-SK"/>
        </w:rPr>
        <w:t xml:space="preserve"> </w:t>
      </w:r>
      <w:r w:rsidR="00626D15" w:rsidRPr="00534FB2">
        <w:rPr>
          <w:sz w:val="22"/>
          <w:szCs w:val="22"/>
          <w:highlight w:val="lightGray"/>
          <w:lang w:val="sk-SK"/>
        </w:rPr>
        <w:t>filmom obalených tabliet</w:t>
      </w:r>
    </w:p>
    <w:p w14:paraId="4D6480C5" w14:textId="2957CB67" w:rsidR="00C46EEA" w:rsidRPr="00534FB2" w:rsidRDefault="00C46EEA" w:rsidP="00C46EEA">
      <w:pPr>
        <w:rPr>
          <w:color w:val="000000"/>
          <w:sz w:val="22"/>
          <w:szCs w:val="22"/>
          <w:lang w:val="sk-SK"/>
        </w:rPr>
      </w:pPr>
      <w:r w:rsidRPr="00534FB2">
        <w:rPr>
          <w:color w:val="000000"/>
          <w:sz w:val="22"/>
          <w:szCs w:val="22"/>
          <w:highlight w:val="lightGray"/>
          <w:lang w:val="sk-SK"/>
        </w:rPr>
        <w:t>30</w:t>
      </w:r>
      <w:r w:rsidR="00EE79AA" w:rsidRPr="00534FB2">
        <w:rPr>
          <w:color w:val="000000"/>
          <w:sz w:val="22"/>
          <w:szCs w:val="22"/>
          <w:highlight w:val="lightGray"/>
          <w:lang w:val="sk-SK"/>
        </w:rPr>
        <w:t xml:space="preserve"> </w:t>
      </w:r>
      <w:r w:rsidR="00626D15" w:rsidRPr="00534FB2">
        <w:rPr>
          <w:sz w:val="22"/>
          <w:szCs w:val="22"/>
          <w:highlight w:val="lightGray"/>
          <w:lang w:val="sk-SK"/>
        </w:rPr>
        <w:t>filmom obalených tabliet</w:t>
      </w:r>
    </w:p>
    <w:p w14:paraId="23ACDE82" w14:textId="5E719227" w:rsidR="00C46EEA" w:rsidRPr="00534FB2" w:rsidRDefault="00C46EEA" w:rsidP="00C46EEA">
      <w:pPr>
        <w:rPr>
          <w:color w:val="000000"/>
          <w:sz w:val="22"/>
          <w:szCs w:val="22"/>
          <w:lang w:val="sk-SK"/>
        </w:rPr>
      </w:pPr>
      <w:r w:rsidRPr="00534FB2">
        <w:rPr>
          <w:color w:val="000000"/>
          <w:sz w:val="22"/>
          <w:szCs w:val="22"/>
          <w:highlight w:val="lightGray"/>
          <w:lang w:val="sk-SK"/>
        </w:rPr>
        <w:t>90</w:t>
      </w:r>
      <w:r w:rsidR="00EE79AA" w:rsidRPr="00534FB2">
        <w:rPr>
          <w:color w:val="000000"/>
          <w:sz w:val="22"/>
          <w:szCs w:val="22"/>
          <w:highlight w:val="lightGray"/>
          <w:lang w:val="sk-SK"/>
        </w:rPr>
        <w:t xml:space="preserve"> </w:t>
      </w:r>
      <w:r w:rsidR="00626D15" w:rsidRPr="00534FB2">
        <w:rPr>
          <w:sz w:val="22"/>
          <w:szCs w:val="22"/>
          <w:highlight w:val="lightGray"/>
          <w:lang w:val="sk-SK"/>
        </w:rPr>
        <w:t>filmom obalených tabliet</w:t>
      </w:r>
    </w:p>
    <w:p w14:paraId="39E0EC01" w14:textId="28AEC291" w:rsidR="00C46EEA" w:rsidRPr="00534FB2" w:rsidRDefault="00C46EEA" w:rsidP="00C46EEA">
      <w:pPr>
        <w:rPr>
          <w:color w:val="000000"/>
          <w:sz w:val="22"/>
          <w:szCs w:val="22"/>
          <w:lang w:val="sk-SK"/>
        </w:rPr>
      </w:pPr>
      <w:r w:rsidRPr="00534FB2">
        <w:rPr>
          <w:color w:val="000000"/>
          <w:sz w:val="22"/>
          <w:szCs w:val="22"/>
          <w:highlight w:val="lightGray"/>
          <w:lang w:val="sk-SK"/>
        </w:rPr>
        <w:t>98</w:t>
      </w:r>
      <w:r w:rsidR="00EE79AA" w:rsidRPr="00534FB2">
        <w:rPr>
          <w:color w:val="000000"/>
          <w:sz w:val="22"/>
          <w:szCs w:val="22"/>
          <w:highlight w:val="lightGray"/>
          <w:lang w:val="sk-SK"/>
        </w:rPr>
        <w:t xml:space="preserve"> </w:t>
      </w:r>
      <w:r w:rsidR="00626D15" w:rsidRPr="00534FB2">
        <w:rPr>
          <w:sz w:val="22"/>
          <w:szCs w:val="22"/>
          <w:highlight w:val="lightGray"/>
          <w:lang w:val="sk-SK"/>
        </w:rPr>
        <w:t>filmom obalených tabliet</w:t>
      </w:r>
    </w:p>
    <w:p w14:paraId="35409F70" w14:textId="77777777" w:rsidR="00F35098" w:rsidRPr="00534FB2" w:rsidRDefault="00F35098" w:rsidP="00C46EEA">
      <w:pPr>
        <w:rPr>
          <w:color w:val="000000"/>
          <w:sz w:val="22"/>
          <w:szCs w:val="22"/>
          <w:lang w:val="sk-SK"/>
        </w:rPr>
      </w:pPr>
    </w:p>
    <w:p w14:paraId="2D1933F9" w14:textId="08749434" w:rsidR="00E37234" w:rsidRPr="00534FB2" w:rsidRDefault="00D066C5" w:rsidP="00134CBE">
      <w:pPr>
        <w:rPr>
          <w:sz w:val="22"/>
          <w:szCs w:val="22"/>
          <w:lang w:val="sk-SK"/>
        </w:rPr>
      </w:pPr>
      <w:r w:rsidRPr="00534FB2">
        <w:rPr>
          <w:sz w:val="22"/>
          <w:szCs w:val="22"/>
          <w:lang w:val="sk-SK"/>
        </w:rPr>
        <w:t>Na trh nemusia byť uvedené všetky veľkosti balenia.</w:t>
      </w:r>
    </w:p>
    <w:p w14:paraId="336D6ABC" w14:textId="77777777" w:rsidR="00626D15" w:rsidRPr="00534FB2" w:rsidRDefault="00626D15" w:rsidP="00134CBE">
      <w:pPr>
        <w:rPr>
          <w:sz w:val="22"/>
          <w:szCs w:val="22"/>
          <w:lang w:val="sk-SK"/>
        </w:rPr>
      </w:pPr>
    </w:p>
    <w:p w14:paraId="5BED72D2" w14:textId="01100B31" w:rsidR="0043633E" w:rsidRPr="00534FB2" w:rsidRDefault="00626D15" w:rsidP="00626D15">
      <w:pPr>
        <w:pStyle w:val="Odsekzoznamu"/>
        <w:numPr>
          <w:ilvl w:val="1"/>
          <w:numId w:val="1"/>
        </w:numPr>
        <w:ind w:left="567" w:hanging="567"/>
        <w:rPr>
          <w:b/>
          <w:sz w:val="22"/>
          <w:szCs w:val="22"/>
          <w:lang w:val="sk-SK"/>
        </w:rPr>
      </w:pPr>
      <w:r w:rsidRPr="00534FB2">
        <w:rPr>
          <w:b/>
          <w:sz w:val="22"/>
          <w:szCs w:val="22"/>
          <w:lang w:val="sk-SK"/>
        </w:rPr>
        <w:t>Špeciálne opatrenia na likvidáciu a iné zaobchádzanie s liekom</w:t>
      </w:r>
    </w:p>
    <w:p w14:paraId="3F5AD694" w14:textId="77777777" w:rsidR="0043633E" w:rsidRPr="00534FB2" w:rsidRDefault="0043633E" w:rsidP="00134CBE">
      <w:pPr>
        <w:rPr>
          <w:sz w:val="22"/>
          <w:szCs w:val="22"/>
          <w:lang w:val="sk-SK"/>
        </w:rPr>
      </w:pPr>
    </w:p>
    <w:p w14:paraId="21ADA331" w14:textId="581B81BE" w:rsidR="0048743D" w:rsidRPr="00534FB2" w:rsidRDefault="00626D15" w:rsidP="00134CBE">
      <w:pPr>
        <w:rPr>
          <w:sz w:val="22"/>
          <w:szCs w:val="22"/>
          <w:lang w:val="sk-SK"/>
        </w:rPr>
      </w:pPr>
      <w:r w:rsidRPr="00534FB2">
        <w:rPr>
          <w:sz w:val="22"/>
          <w:szCs w:val="22"/>
          <w:lang w:val="sk-SK"/>
        </w:rPr>
        <w:t>Žiadne zvláštne požiadavky.</w:t>
      </w:r>
    </w:p>
    <w:p w14:paraId="324D3D93" w14:textId="77777777" w:rsidR="00626D15" w:rsidRPr="00534FB2" w:rsidRDefault="00626D15" w:rsidP="00134CBE">
      <w:pPr>
        <w:rPr>
          <w:sz w:val="22"/>
          <w:szCs w:val="22"/>
          <w:lang w:val="sk-SK"/>
        </w:rPr>
      </w:pPr>
    </w:p>
    <w:p w14:paraId="2FEA18CF" w14:textId="77777777" w:rsidR="005C7EBC" w:rsidRPr="00534FB2" w:rsidRDefault="005C7EBC" w:rsidP="00134CBE">
      <w:pPr>
        <w:rPr>
          <w:sz w:val="22"/>
          <w:szCs w:val="22"/>
          <w:lang w:val="sk-SK"/>
        </w:rPr>
      </w:pPr>
    </w:p>
    <w:p w14:paraId="1D5A47D3" w14:textId="7F41E5D5" w:rsidR="0043633E" w:rsidRPr="00534FB2" w:rsidRDefault="00626D15" w:rsidP="00626D15">
      <w:pPr>
        <w:pStyle w:val="Odsekzoznamu"/>
        <w:numPr>
          <w:ilvl w:val="0"/>
          <w:numId w:val="1"/>
        </w:numPr>
        <w:rPr>
          <w:b/>
          <w:sz w:val="22"/>
          <w:szCs w:val="22"/>
          <w:lang w:val="sk-SK"/>
        </w:rPr>
      </w:pPr>
      <w:r w:rsidRPr="00534FB2">
        <w:rPr>
          <w:b/>
          <w:sz w:val="22"/>
          <w:szCs w:val="22"/>
          <w:lang w:val="sk-SK"/>
        </w:rPr>
        <w:t>DRŽITEĽ ROZHODNUTIA O REGISTRÁCII</w:t>
      </w:r>
    </w:p>
    <w:p w14:paraId="6F610E18" w14:textId="77777777" w:rsidR="00134CBE" w:rsidRPr="00534FB2" w:rsidRDefault="00134CBE" w:rsidP="00134CBE">
      <w:pPr>
        <w:rPr>
          <w:b/>
          <w:sz w:val="22"/>
          <w:szCs w:val="22"/>
          <w:lang w:val="sk-SK"/>
        </w:rPr>
      </w:pPr>
    </w:p>
    <w:p w14:paraId="67DFAEE3" w14:textId="77777777" w:rsidR="00626D15" w:rsidRPr="00534FB2" w:rsidRDefault="00626D15" w:rsidP="00626D15">
      <w:pPr>
        <w:rPr>
          <w:sz w:val="22"/>
          <w:szCs w:val="22"/>
          <w:lang w:val="sk-SK"/>
        </w:rPr>
      </w:pPr>
      <w:r w:rsidRPr="00534FB2">
        <w:rPr>
          <w:sz w:val="22"/>
          <w:szCs w:val="22"/>
          <w:lang w:val="sk-SK"/>
        </w:rPr>
        <w:t>Zentiva, k.s.</w:t>
      </w:r>
    </w:p>
    <w:p w14:paraId="0B451EF2" w14:textId="77777777" w:rsidR="00626D15" w:rsidRPr="00534FB2" w:rsidRDefault="00626D15" w:rsidP="00626D15">
      <w:pPr>
        <w:rPr>
          <w:sz w:val="22"/>
          <w:szCs w:val="22"/>
          <w:lang w:val="sk-SK"/>
        </w:rPr>
      </w:pPr>
      <w:r w:rsidRPr="00534FB2">
        <w:rPr>
          <w:sz w:val="22"/>
          <w:szCs w:val="22"/>
          <w:lang w:val="sk-SK"/>
        </w:rPr>
        <w:t>U kabelovny 130,</w:t>
      </w:r>
    </w:p>
    <w:p w14:paraId="75C0F3A4" w14:textId="77777777" w:rsidR="00626D15" w:rsidRPr="00534FB2" w:rsidRDefault="00626D15" w:rsidP="00626D15">
      <w:pPr>
        <w:rPr>
          <w:sz w:val="22"/>
          <w:szCs w:val="22"/>
          <w:lang w:val="sk-SK"/>
        </w:rPr>
      </w:pPr>
      <w:r w:rsidRPr="00534FB2">
        <w:rPr>
          <w:sz w:val="22"/>
          <w:szCs w:val="22"/>
          <w:lang w:val="sk-SK"/>
        </w:rPr>
        <w:t xml:space="preserve">Dolní Měcholupy, </w:t>
      </w:r>
    </w:p>
    <w:p w14:paraId="064FD098" w14:textId="636649FF" w:rsidR="00626D15" w:rsidRPr="00534FB2" w:rsidRDefault="00626D15" w:rsidP="00626D15">
      <w:pPr>
        <w:rPr>
          <w:sz w:val="22"/>
          <w:szCs w:val="22"/>
          <w:lang w:val="sk-SK"/>
        </w:rPr>
      </w:pPr>
      <w:r w:rsidRPr="00534FB2">
        <w:rPr>
          <w:sz w:val="22"/>
          <w:szCs w:val="22"/>
          <w:lang w:val="sk-SK"/>
        </w:rPr>
        <w:t>102 37 Praha 10</w:t>
      </w:r>
    </w:p>
    <w:p w14:paraId="3AF49D88" w14:textId="6F646281" w:rsidR="00873563" w:rsidRPr="00534FB2" w:rsidRDefault="00626D15" w:rsidP="00626D15">
      <w:pPr>
        <w:rPr>
          <w:sz w:val="22"/>
          <w:szCs w:val="22"/>
          <w:lang w:val="sk-SK"/>
        </w:rPr>
      </w:pPr>
      <w:r w:rsidRPr="00534FB2">
        <w:rPr>
          <w:sz w:val="22"/>
          <w:szCs w:val="22"/>
          <w:lang w:val="sk-SK"/>
        </w:rPr>
        <w:t>Česká republika</w:t>
      </w:r>
    </w:p>
    <w:p w14:paraId="7923F01D" w14:textId="77777777" w:rsidR="00626D15" w:rsidRPr="00534FB2" w:rsidRDefault="00626D15" w:rsidP="00626D15">
      <w:pPr>
        <w:rPr>
          <w:b/>
          <w:sz w:val="22"/>
          <w:szCs w:val="22"/>
          <w:lang w:val="sk-SK"/>
        </w:rPr>
      </w:pPr>
    </w:p>
    <w:p w14:paraId="56D6D53A" w14:textId="77777777" w:rsidR="005C7EBC" w:rsidRPr="00534FB2" w:rsidRDefault="005C7EBC" w:rsidP="00134CBE">
      <w:pPr>
        <w:rPr>
          <w:b/>
          <w:sz w:val="22"/>
          <w:szCs w:val="22"/>
          <w:lang w:val="sk-SK"/>
        </w:rPr>
      </w:pPr>
    </w:p>
    <w:p w14:paraId="554C2DFE" w14:textId="2FDECEC0" w:rsidR="0043633E" w:rsidRPr="00534FB2" w:rsidRDefault="00626D15" w:rsidP="00626D15">
      <w:pPr>
        <w:pStyle w:val="Odsekzoznamu"/>
        <w:numPr>
          <w:ilvl w:val="0"/>
          <w:numId w:val="1"/>
        </w:numPr>
        <w:rPr>
          <w:b/>
          <w:sz w:val="22"/>
          <w:szCs w:val="22"/>
          <w:lang w:val="sk-SK"/>
        </w:rPr>
      </w:pPr>
      <w:r w:rsidRPr="00534FB2">
        <w:rPr>
          <w:b/>
          <w:sz w:val="22"/>
          <w:szCs w:val="22"/>
          <w:lang w:val="sk-SK"/>
        </w:rPr>
        <w:t>REGISTRAČNÉ ČÍSLA</w:t>
      </w:r>
      <w:bookmarkStart w:id="3" w:name="_GoBack"/>
      <w:bookmarkEnd w:id="3"/>
    </w:p>
    <w:p w14:paraId="737C839D" w14:textId="77777777" w:rsidR="00134CBE" w:rsidRPr="00534FB2" w:rsidRDefault="00134CBE" w:rsidP="00134CBE">
      <w:pPr>
        <w:rPr>
          <w:b/>
          <w:sz w:val="22"/>
          <w:szCs w:val="22"/>
          <w:lang w:val="sk-SK"/>
        </w:rPr>
      </w:pPr>
    </w:p>
    <w:p w14:paraId="30A4AE58" w14:textId="38079589" w:rsidR="00213B2E" w:rsidRPr="00534FB2" w:rsidRDefault="00213B2E" w:rsidP="00213B2E">
      <w:pPr>
        <w:rPr>
          <w:sz w:val="22"/>
          <w:szCs w:val="22"/>
          <w:lang w:val="sk-SK"/>
        </w:rPr>
      </w:pPr>
      <w:r w:rsidRPr="00534FB2">
        <w:rPr>
          <w:sz w:val="22"/>
          <w:szCs w:val="22"/>
          <w:lang w:val="sk-SK"/>
        </w:rPr>
        <w:t xml:space="preserve">Asbima HCT 5 mg/160 mg/12,5 mg </w:t>
      </w:r>
      <w:r>
        <w:rPr>
          <w:sz w:val="22"/>
          <w:szCs w:val="22"/>
          <w:lang w:val="sk-SK"/>
        </w:rPr>
        <w:t>: 58/0004/21-S</w:t>
      </w:r>
    </w:p>
    <w:p w14:paraId="38C129DB" w14:textId="5E74C291" w:rsidR="00213B2E" w:rsidRPr="00213B2E" w:rsidRDefault="00213B2E" w:rsidP="00213B2E">
      <w:pPr>
        <w:rPr>
          <w:sz w:val="22"/>
          <w:szCs w:val="22"/>
          <w:lang w:val="sk-SK"/>
        </w:rPr>
      </w:pPr>
      <w:r w:rsidRPr="00213B2E">
        <w:rPr>
          <w:sz w:val="22"/>
          <w:szCs w:val="22"/>
          <w:lang w:val="sk-SK"/>
        </w:rPr>
        <w:t xml:space="preserve">Asbima HCT </w:t>
      </w:r>
      <w:r>
        <w:rPr>
          <w:sz w:val="22"/>
          <w:szCs w:val="22"/>
          <w:lang w:val="sk-SK"/>
        </w:rPr>
        <w:t>5</w:t>
      </w:r>
      <w:r w:rsidRPr="00213B2E">
        <w:rPr>
          <w:sz w:val="22"/>
          <w:szCs w:val="22"/>
          <w:lang w:val="sk-SK"/>
        </w:rPr>
        <w:t xml:space="preserve"> mg/160 mg/</w:t>
      </w:r>
      <w:r>
        <w:rPr>
          <w:sz w:val="22"/>
          <w:szCs w:val="22"/>
          <w:lang w:val="sk-SK"/>
        </w:rPr>
        <w:t>2</w:t>
      </w:r>
      <w:r w:rsidRPr="00213B2E">
        <w:rPr>
          <w:sz w:val="22"/>
          <w:szCs w:val="22"/>
          <w:lang w:val="sk-SK"/>
        </w:rPr>
        <w:t>5 mg</w:t>
      </w:r>
      <w:r>
        <w:rPr>
          <w:sz w:val="22"/>
          <w:szCs w:val="22"/>
          <w:lang w:val="sk-SK"/>
        </w:rPr>
        <w:t xml:space="preserve"> : </w:t>
      </w:r>
      <w:r w:rsidRPr="00213B2E">
        <w:rPr>
          <w:sz w:val="22"/>
          <w:szCs w:val="22"/>
          <w:lang w:val="sk-SK"/>
        </w:rPr>
        <w:t xml:space="preserve">58/0005/21-S </w:t>
      </w:r>
    </w:p>
    <w:p w14:paraId="656F7FC3" w14:textId="40591F73" w:rsidR="00213B2E" w:rsidRPr="00213B2E" w:rsidRDefault="00213B2E" w:rsidP="00213B2E">
      <w:pPr>
        <w:rPr>
          <w:sz w:val="22"/>
          <w:szCs w:val="22"/>
          <w:lang w:val="sk-SK"/>
        </w:rPr>
      </w:pPr>
      <w:r w:rsidRPr="00213B2E">
        <w:rPr>
          <w:sz w:val="22"/>
          <w:szCs w:val="22"/>
          <w:lang w:val="sk-SK"/>
        </w:rPr>
        <w:t xml:space="preserve">Asbima HCT </w:t>
      </w:r>
      <w:r>
        <w:rPr>
          <w:sz w:val="22"/>
          <w:szCs w:val="22"/>
          <w:lang w:val="sk-SK"/>
        </w:rPr>
        <w:t>10</w:t>
      </w:r>
      <w:r w:rsidRPr="00213B2E">
        <w:rPr>
          <w:sz w:val="22"/>
          <w:szCs w:val="22"/>
          <w:lang w:val="sk-SK"/>
        </w:rPr>
        <w:t xml:space="preserve"> mg/160 mg/</w:t>
      </w:r>
      <w:r>
        <w:rPr>
          <w:sz w:val="22"/>
          <w:szCs w:val="22"/>
          <w:lang w:val="sk-SK"/>
        </w:rPr>
        <w:t>1</w:t>
      </w:r>
      <w:r w:rsidRPr="00213B2E">
        <w:rPr>
          <w:sz w:val="22"/>
          <w:szCs w:val="22"/>
          <w:lang w:val="sk-SK"/>
        </w:rPr>
        <w:t>2</w:t>
      </w:r>
      <w:r>
        <w:rPr>
          <w:sz w:val="22"/>
          <w:szCs w:val="22"/>
          <w:lang w:val="sk-SK"/>
        </w:rPr>
        <w:t>,</w:t>
      </w:r>
      <w:r w:rsidRPr="00213B2E">
        <w:rPr>
          <w:sz w:val="22"/>
          <w:szCs w:val="22"/>
          <w:lang w:val="sk-SK"/>
        </w:rPr>
        <w:t xml:space="preserve">5 mg </w:t>
      </w:r>
      <w:r>
        <w:rPr>
          <w:sz w:val="22"/>
          <w:szCs w:val="22"/>
          <w:lang w:val="sk-SK"/>
        </w:rPr>
        <w:t xml:space="preserve">: </w:t>
      </w:r>
      <w:r w:rsidRPr="00213B2E">
        <w:rPr>
          <w:sz w:val="22"/>
          <w:szCs w:val="22"/>
          <w:lang w:val="sk-SK"/>
        </w:rPr>
        <w:t>58/000</w:t>
      </w:r>
      <w:r>
        <w:rPr>
          <w:sz w:val="22"/>
          <w:szCs w:val="22"/>
          <w:lang w:val="sk-SK"/>
        </w:rPr>
        <w:t>6</w:t>
      </w:r>
      <w:r w:rsidRPr="00213B2E">
        <w:rPr>
          <w:sz w:val="22"/>
          <w:szCs w:val="22"/>
          <w:lang w:val="sk-SK"/>
        </w:rPr>
        <w:t>/21-S</w:t>
      </w:r>
    </w:p>
    <w:p w14:paraId="01854771" w14:textId="48D8A128" w:rsidR="00213B2E" w:rsidRPr="00213B2E" w:rsidRDefault="00213B2E" w:rsidP="00213B2E">
      <w:pPr>
        <w:rPr>
          <w:sz w:val="22"/>
          <w:szCs w:val="22"/>
          <w:lang w:val="sk-SK"/>
        </w:rPr>
      </w:pPr>
      <w:r w:rsidRPr="00213B2E">
        <w:rPr>
          <w:sz w:val="22"/>
          <w:szCs w:val="22"/>
          <w:lang w:val="sk-SK"/>
        </w:rPr>
        <w:t xml:space="preserve">Asbima HCT 10 mg/160 mg/25 mg </w:t>
      </w:r>
      <w:r>
        <w:rPr>
          <w:sz w:val="22"/>
          <w:szCs w:val="22"/>
          <w:lang w:val="sk-SK"/>
        </w:rPr>
        <w:t xml:space="preserve">: </w:t>
      </w:r>
      <w:r w:rsidRPr="00213B2E">
        <w:rPr>
          <w:sz w:val="22"/>
          <w:szCs w:val="22"/>
          <w:lang w:val="sk-SK"/>
        </w:rPr>
        <w:t>58/000</w:t>
      </w:r>
      <w:r>
        <w:rPr>
          <w:sz w:val="22"/>
          <w:szCs w:val="22"/>
          <w:lang w:val="sk-SK"/>
        </w:rPr>
        <w:t>7</w:t>
      </w:r>
      <w:r w:rsidRPr="00213B2E">
        <w:rPr>
          <w:sz w:val="22"/>
          <w:szCs w:val="22"/>
          <w:lang w:val="sk-SK"/>
        </w:rPr>
        <w:t>/21-S</w:t>
      </w:r>
    </w:p>
    <w:p w14:paraId="7112673B" w14:textId="0101635D" w:rsidR="00213B2E" w:rsidRPr="00213B2E" w:rsidRDefault="00213B2E" w:rsidP="00213B2E">
      <w:pPr>
        <w:rPr>
          <w:sz w:val="22"/>
          <w:szCs w:val="22"/>
          <w:lang w:val="sk-SK"/>
        </w:rPr>
      </w:pPr>
      <w:r w:rsidRPr="00213B2E">
        <w:rPr>
          <w:sz w:val="22"/>
          <w:szCs w:val="22"/>
          <w:lang w:val="sk-SK"/>
        </w:rPr>
        <w:t xml:space="preserve">Asbima HCT 10 mg/320 mg/25 mg </w:t>
      </w:r>
      <w:r>
        <w:rPr>
          <w:sz w:val="22"/>
          <w:szCs w:val="22"/>
          <w:lang w:val="sk-SK"/>
        </w:rPr>
        <w:t>: 58/0008</w:t>
      </w:r>
      <w:r w:rsidRPr="00213B2E">
        <w:rPr>
          <w:sz w:val="22"/>
          <w:szCs w:val="22"/>
          <w:lang w:val="sk-SK"/>
        </w:rPr>
        <w:t>/21-S</w:t>
      </w:r>
    </w:p>
    <w:p w14:paraId="5368CBD0" w14:textId="0ABEFB46" w:rsidR="00873563" w:rsidRPr="00534FB2" w:rsidRDefault="00873563" w:rsidP="00134CBE">
      <w:pPr>
        <w:rPr>
          <w:sz w:val="22"/>
          <w:szCs w:val="22"/>
          <w:lang w:val="sk-SK"/>
        </w:rPr>
      </w:pPr>
    </w:p>
    <w:p w14:paraId="5BBA60CE" w14:textId="77777777" w:rsidR="005C7EBC" w:rsidRPr="00534FB2" w:rsidRDefault="005C7EBC" w:rsidP="00134CBE">
      <w:pPr>
        <w:rPr>
          <w:sz w:val="22"/>
          <w:szCs w:val="22"/>
          <w:lang w:val="sk-SK"/>
        </w:rPr>
      </w:pPr>
    </w:p>
    <w:p w14:paraId="765FBC9B" w14:textId="467C6199" w:rsidR="000C76FA" w:rsidRPr="00534FB2" w:rsidRDefault="00626D15" w:rsidP="00626D15">
      <w:pPr>
        <w:pStyle w:val="Odsekzoznamu"/>
        <w:numPr>
          <w:ilvl w:val="0"/>
          <w:numId w:val="1"/>
        </w:numPr>
        <w:rPr>
          <w:b/>
          <w:sz w:val="22"/>
          <w:szCs w:val="22"/>
          <w:lang w:val="sk-SK"/>
        </w:rPr>
      </w:pPr>
      <w:r w:rsidRPr="00534FB2">
        <w:rPr>
          <w:b/>
          <w:sz w:val="22"/>
          <w:szCs w:val="22"/>
          <w:lang w:val="sk-SK"/>
        </w:rPr>
        <w:t>DÁTUM PRVEJ REGISTRÁCIE/PREDĹŽENIA REGISTRÁCIE</w:t>
      </w:r>
    </w:p>
    <w:p w14:paraId="38636CFB" w14:textId="77777777" w:rsidR="00134CBE" w:rsidRPr="00534FB2" w:rsidRDefault="00134CBE" w:rsidP="00134CBE">
      <w:pPr>
        <w:rPr>
          <w:b/>
          <w:sz w:val="22"/>
          <w:szCs w:val="22"/>
          <w:lang w:val="sk-SK"/>
        </w:rPr>
      </w:pPr>
    </w:p>
    <w:p w14:paraId="51D3828A" w14:textId="30438E35" w:rsidR="00AB1A03" w:rsidRPr="00534FB2" w:rsidRDefault="00626D15" w:rsidP="00134CBE">
      <w:pPr>
        <w:rPr>
          <w:sz w:val="22"/>
          <w:szCs w:val="22"/>
          <w:lang w:val="sk-SK"/>
        </w:rPr>
      </w:pPr>
      <w:r w:rsidRPr="00534FB2">
        <w:rPr>
          <w:sz w:val="22"/>
          <w:szCs w:val="22"/>
          <w:lang w:val="sk-SK"/>
        </w:rPr>
        <w:t>Dátum prvej registrácie:</w:t>
      </w:r>
    </w:p>
    <w:p w14:paraId="3A43C844" w14:textId="18209767" w:rsidR="0048743D" w:rsidRPr="00534FB2" w:rsidRDefault="0048743D" w:rsidP="00134CBE">
      <w:pPr>
        <w:rPr>
          <w:sz w:val="22"/>
          <w:szCs w:val="22"/>
          <w:lang w:val="sk-SK"/>
        </w:rPr>
      </w:pPr>
    </w:p>
    <w:p w14:paraId="355D18B8" w14:textId="77777777" w:rsidR="005C7EBC" w:rsidRPr="00534FB2" w:rsidRDefault="005C7EBC" w:rsidP="00134CBE">
      <w:pPr>
        <w:rPr>
          <w:sz w:val="22"/>
          <w:szCs w:val="22"/>
          <w:lang w:val="sk-SK"/>
        </w:rPr>
      </w:pPr>
    </w:p>
    <w:p w14:paraId="5566B444" w14:textId="5E817414" w:rsidR="000C76FA" w:rsidRPr="00534FB2" w:rsidRDefault="00626D15" w:rsidP="00626D15">
      <w:pPr>
        <w:pStyle w:val="Odsekzoznamu"/>
        <w:keepNext/>
        <w:numPr>
          <w:ilvl w:val="0"/>
          <w:numId w:val="1"/>
        </w:numPr>
        <w:rPr>
          <w:b/>
          <w:sz w:val="22"/>
          <w:szCs w:val="22"/>
          <w:lang w:val="sk-SK"/>
        </w:rPr>
      </w:pPr>
      <w:r w:rsidRPr="00534FB2">
        <w:rPr>
          <w:b/>
          <w:sz w:val="22"/>
          <w:szCs w:val="22"/>
          <w:lang w:val="sk-SK"/>
        </w:rPr>
        <w:t>DÁTUM REVÍZIE TEXTU</w:t>
      </w:r>
    </w:p>
    <w:p w14:paraId="0C479A03" w14:textId="77777777" w:rsidR="00C2008F" w:rsidRPr="00B636A9" w:rsidRDefault="00C2008F" w:rsidP="00321C9C">
      <w:pPr>
        <w:keepNext/>
        <w:rPr>
          <w:b/>
          <w:szCs w:val="24"/>
        </w:rPr>
      </w:pPr>
    </w:p>
    <w:p w14:paraId="3590D6EB" w14:textId="7943E064" w:rsidR="002F3B83" w:rsidRPr="00213B2E" w:rsidRDefault="001760AF" w:rsidP="00134CBE">
      <w:pPr>
        <w:rPr>
          <w:szCs w:val="24"/>
        </w:rPr>
      </w:pPr>
      <w:r w:rsidRPr="00213B2E">
        <w:rPr>
          <w:szCs w:val="24"/>
        </w:rPr>
        <w:t>01/2021</w:t>
      </w:r>
    </w:p>
    <w:p w14:paraId="37608B13" w14:textId="77777777" w:rsidR="0030392E" w:rsidRDefault="0030392E" w:rsidP="0030392E">
      <w:pPr>
        <w:rPr>
          <w:szCs w:val="24"/>
        </w:rPr>
      </w:pPr>
    </w:p>
    <w:p w14:paraId="08166869" w14:textId="77777777" w:rsidR="00DA6F3C" w:rsidRDefault="00DA6F3C" w:rsidP="0030392E">
      <w:pPr>
        <w:rPr>
          <w:szCs w:val="24"/>
        </w:rPr>
      </w:pPr>
    </w:p>
    <w:p w14:paraId="5EB03A77" w14:textId="77777777" w:rsidR="00DA6F3C" w:rsidRDefault="00DA6F3C" w:rsidP="0030392E">
      <w:pPr>
        <w:rPr>
          <w:szCs w:val="24"/>
        </w:rPr>
      </w:pPr>
    </w:p>
    <w:p w14:paraId="29BFDB85" w14:textId="77777777" w:rsidR="00DA6F3C" w:rsidRDefault="00DA6F3C" w:rsidP="0030392E">
      <w:pPr>
        <w:rPr>
          <w:szCs w:val="24"/>
        </w:rPr>
      </w:pPr>
    </w:p>
    <w:p w14:paraId="4055538F" w14:textId="77777777" w:rsidR="00DA6F3C" w:rsidRDefault="00DA6F3C" w:rsidP="0030392E">
      <w:pPr>
        <w:rPr>
          <w:szCs w:val="24"/>
        </w:rPr>
      </w:pPr>
    </w:p>
    <w:p w14:paraId="2473716A" w14:textId="77777777" w:rsidR="00DA6F3C" w:rsidRDefault="00DA6F3C" w:rsidP="0030392E">
      <w:pPr>
        <w:rPr>
          <w:szCs w:val="24"/>
        </w:rPr>
      </w:pPr>
    </w:p>
    <w:p w14:paraId="7BD2A886" w14:textId="77777777" w:rsidR="00DA6F3C" w:rsidRDefault="00DA6F3C" w:rsidP="0030392E">
      <w:pPr>
        <w:rPr>
          <w:szCs w:val="24"/>
        </w:rPr>
      </w:pPr>
    </w:p>
    <w:p w14:paraId="5B9825A6" w14:textId="77777777" w:rsidR="00DA6F3C" w:rsidRDefault="00DA6F3C" w:rsidP="0030392E">
      <w:pPr>
        <w:rPr>
          <w:szCs w:val="24"/>
        </w:rPr>
      </w:pPr>
    </w:p>
    <w:p w14:paraId="76E92CA4" w14:textId="77777777" w:rsidR="00DA6F3C" w:rsidRDefault="00DA6F3C" w:rsidP="0030392E">
      <w:pPr>
        <w:rPr>
          <w:szCs w:val="24"/>
        </w:rPr>
      </w:pPr>
    </w:p>
    <w:p w14:paraId="6A627986" w14:textId="77777777" w:rsidR="00DA6F3C" w:rsidRDefault="00DA6F3C" w:rsidP="0030392E">
      <w:pPr>
        <w:rPr>
          <w:szCs w:val="24"/>
        </w:rPr>
      </w:pPr>
    </w:p>
    <w:sectPr w:rsidR="00DA6F3C" w:rsidSect="00FA7B79">
      <w:headerReference w:type="default" r:id="rId9"/>
      <w:footerReference w:type="default" r:id="rId10"/>
      <w:pgSz w:w="11906" w:h="16838"/>
      <w:pgMar w:top="1418" w:right="1440" w:bottom="1276"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A575" w16cex:dateUtc="2020-12-10T12:47:00Z"/>
  <w16cex:commentExtensible w16cex:durableId="2381B687" w16cex:dateUtc="2020-12-14T09:01:00Z"/>
  <w16cex:commentExtensible w16cex:durableId="237CB41E" w16cex:dateUtc="2020-12-10T13:50:00Z"/>
  <w16cex:commentExtensible w16cex:durableId="2381AD8A" w16cex:dateUtc="2020-12-14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ED8C7E" w16cid:durableId="237CA575"/>
  <w16cid:commentId w16cid:paraId="79920F2F" w16cid:durableId="2381B687"/>
  <w16cid:commentId w16cid:paraId="7805922A" w16cid:durableId="237CB41E"/>
  <w16cid:commentId w16cid:paraId="4A05A354" w16cid:durableId="2381AD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20771" w14:textId="77777777" w:rsidR="009A6532" w:rsidRDefault="009A6532" w:rsidP="004F7D6C">
      <w:r>
        <w:separator/>
      </w:r>
    </w:p>
  </w:endnote>
  <w:endnote w:type="continuationSeparator" w:id="0">
    <w:p w14:paraId="4FF3B06F" w14:textId="77777777" w:rsidR="009A6532" w:rsidRDefault="009A6532" w:rsidP="004F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003550"/>
      <w:docPartObj>
        <w:docPartGallery w:val="Page Numbers (Bottom of Page)"/>
        <w:docPartUnique/>
      </w:docPartObj>
    </w:sdtPr>
    <w:sdtEndPr>
      <w:rPr>
        <w:sz w:val="18"/>
        <w:szCs w:val="18"/>
      </w:rPr>
    </w:sdtEndPr>
    <w:sdtContent>
      <w:p w14:paraId="4ADAE77E" w14:textId="6A2D604C" w:rsidR="009A6532" w:rsidRPr="000102AE" w:rsidRDefault="009A6532">
        <w:pPr>
          <w:pStyle w:val="Pta"/>
          <w:jc w:val="center"/>
          <w:rPr>
            <w:sz w:val="18"/>
            <w:szCs w:val="18"/>
          </w:rPr>
        </w:pPr>
        <w:r w:rsidRPr="000102AE">
          <w:rPr>
            <w:sz w:val="18"/>
            <w:szCs w:val="18"/>
          </w:rPr>
          <w:fldChar w:fldCharType="begin"/>
        </w:r>
        <w:r w:rsidRPr="000102AE">
          <w:rPr>
            <w:sz w:val="18"/>
            <w:szCs w:val="18"/>
          </w:rPr>
          <w:instrText>PAGE   \* MERGEFORMAT</w:instrText>
        </w:r>
        <w:r w:rsidRPr="000102AE">
          <w:rPr>
            <w:sz w:val="18"/>
            <w:szCs w:val="18"/>
          </w:rPr>
          <w:fldChar w:fldCharType="separate"/>
        </w:r>
        <w:r w:rsidR="003E654E" w:rsidRPr="003E654E">
          <w:rPr>
            <w:noProof/>
            <w:sz w:val="18"/>
            <w:szCs w:val="18"/>
            <w:lang w:val="sk-SK"/>
          </w:rPr>
          <w:t>24</w:t>
        </w:r>
        <w:r w:rsidRPr="000102AE">
          <w:rPr>
            <w:sz w:val="18"/>
            <w:szCs w:val="18"/>
          </w:rPr>
          <w:fldChar w:fldCharType="end"/>
        </w:r>
      </w:p>
    </w:sdtContent>
  </w:sdt>
  <w:p w14:paraId="24372A5C" w14:textId="0B4756D5" w:rsidR="009A6532" w:rsidRPr="004F7D6C" w:rsidRDefault="009A6532" w:rsidP="004F7D6C">
    <w:pPr>
      <w:pStyle w:val="Pta"/>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4F692" w14:textId="77777777" w:rsidR="009A6532" w:rsidRDefault="009A6532" w:rsidP="004F7D6C">
      <w:r>
        <w:separator/>
      </w:r>
    </w:p>
  </w:footnote>
  <w:footnote w:type="continuationSeparator" w:id="0">
    <w:p w14:paraId="2772E404" w14:textId="77777777" w:rsidR="009A6532" w:rsidRDefault="009A6532" w:rsidP="004F7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7AAAB" w14:textId="77777777" w:rsidR="009A6532" w:rsidRPr="00C713C3" w:rsidRDefault="009A6532" w:rsidP="004F5D69">
    <w:pPr>
      <w:pStyle w:val="Hlavika"/>
      <w:rPr>
        <w:sz w:val="18"/>
        <w:szCs w:val="18"/>
      </w:rPr>
    </w:pPr>
    <w:r w:rsidRPr="00C713C3">
      <w:rPr>
        <w:sz w:val="18"/>
        <w:szCs w:val="18"/>
      </w:rPr>
      <w:t>Schválený text k rozhodnutiu o registrácii, ev. č.:</w:t>
    </w:r>
    <w:r>
      <w:rPr>
        <w:sz w:val="18"/>
        <w:szCs w:val="18"/>
      </w:rPr>
      <w:t xml:space="preserve"> </w:t>
    </w:r>
    <w:r w:rsidRPr="00C713C3">
      <w:rPr>
        <w:sz w:val="18"/>
        <w:szCs w:val="18"/>
      </w:rPr>
      <w:t>2020/00208-REG</w:t>
    </w:r>
    <w:r>
      <w:rPr>
        <w:sz w:val="18"/>
        <w:szCs w:val="18"/>
      </w:rPr>
      <w:t xml:space="preserve">, </w:t>
    </w:r>
    <w:r w:rsidRPr="00C713C3">
      <w:rPr>
        <w:sz w:val="18"/>
        <w:szCs w:val="18"/>
      </w:rPr>
      <w:t>2020/00209-REG</w:t>
    </w:r>
    <w:r>
      <w:rPr>
        <w:sz w:val="18"/>
        <w:szCs w:val="18"/>
      </w:rPr>
      <w:t xml:space="preserve">, </w:t>
    </w:r>
    <w:r w:rsidRPr="00C713C3">
      <w:rPr>
        <w:sz w:val="18"/>
        <w:szCs w:val="18"/>
      </w:rPr>
      <w:t>2020/00211-REG</w:t>
    </w:r>
    <w:r>
      <w:rPr>
        <w:sz w:val="18"/>
        <w:szCs w:val="18"/>
      </w:rPr>
      <w:t xml:space="preserve">, </w:t>
    </w:r>
    <w:r w:rsidRPr="00C713C3">
      <w:rPr>
        <w:sz w:val="18"/>
        <w:szCs w:val="18"/>
      </w:rPr>
      <w:t>2020/00212-REG</w:t>
    </w:r>
    <w:r>
      <w:rPr>
        <w:sz w:val="18"/>
        <w:szCs w:val="18"/>
      </w:rPr>
      <w:t xml:space="preserve">, </w:t>
    </w:r>
    <w:r w:rsidRPr="00C713C3">
      <w:rPr>
        <w:sz w:val="18"/>
        <w:szCs w:val="18"/>
      </w:rPr>
      <w:t>2020/00213-REG</w:t>
    </w:r>
  </w:p>
  <w:p w14:paraId="589D65E6" w14:textId="77777777" w:rsidR="009A6532" w:rsidRDefault="009A653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2CE5"/>
    <w:multiLevelType w:val="hybridMultilevel"/>
    <w:tmpl w:val="F25E8578"/>
    <w:lvl w:ilvl="0" w:tplc="9D8C83F2">
      <w:start w:val="1"/>
      <w:numFmt w:val="bullet"/>
      <w:lvlText w:val="­"/>
      <w:lvlJc w:val="left"/>
      <w:pPr>
        <w:ind w:left="360" w:hanging="360"/>
      </w:pPr>
      <w:rPr>
        <w:rFonts w:ascii="Courier New" w:hAnsi="Courier New" w:hint="default"/>
      </w:rPr>
    </w:lvl>
    <w:lvl w:ilvl="1" w:tplc="9E443B82">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54BD1"/>
    <w:multiLevelType w:val="hybridMultilevel"/>
    <w:tmpl w:val="D9705F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893386"/>
    <w:multiLevelType w:val="hybridMultilevel"/>
    <w:tmpl w:val="AF503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80875"/>
    <w:multiLevelType w:val="hybridMultilevel"/>
    <w:tmpl w:val="0AF481C0"/>
    <w:lvl w:ilvl="0" w:tplc="08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6A617EC">
      <w:start w:val="1"/>
      <w:numFmt w:val="bullet"/>
      <w:lvlText w:val="o"/>
      <w:lvlJc w:val="left"/>
      <w:pPr>
        <w:ind w:left="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CA7DF8">
      <w:start w:val="1"/>
      <w:numFmt w:val="bullet"/>
      <w:lvlText w:val="▪"/>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C477BE">
      <w:start w:val="1"/>
      <w:numFmt w:val="bullet"/>
      <w:lvlText w:val="•"/>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AABB6">
      <w:start w:val="1"/>
      <w:numFmt w:val="bullet"/>
      <w:lvlText w:val="o"/>
      <w:lvlJc w:val="left"/>
      <w:pPr>
        <w:ind w:left="2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0298F8">
      <w:start w:val="1"/>
      <w:numFmt w:val="bullet"/>
      <w:lvlText w:val="▪"/>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D00CE4">
      <w:start w:val="1"/>
      <w:numFmt w:val="bullet"/>
      <w:lvlText w:val="•"/>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88A30">
      <w:start w:val="1"/>
      <w:numFmt w:val="bullet"/>
      <w:lvlText w:val="o"/>
      <w:lvlJc w:val="left"/>
      <w:pPr>
        <w:ind w:left="5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005AD6">
      <w:start w:val="1"/>
      <w:numFmt w:val="bullet"/>
      <w:lvlText w:val="▪"/>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8C49F9"/>
    <w:multiLevelType w:val="hybridMultilevel"/>
    <w:tmpl w:val="59688248"/>
    <w:lvl w:ilvl="0" w:tplc="670E06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12356C">
      <w:start w:val="1"/>
      <w:numFmt w:val="bullet"/>
      <w:lvlText w:val="o"/>
      <w:lvlJc w:val="left"/>
      <w:pPr>
        <w:ind w:left="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8861C">
      <w:start w:val="1"/>
      <w:numFmt w:val="bullet"/>
      <w:lvlText w:val="▪"/>
      <w:lvlJc w:val="left"/>
      <w:pPr>
        <w:ind w:left="1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4292B0">
      <w:start w:val="1"/>
      <w:numFmt w:val="bullet"/>
      <w:lvlText w:val="•"/>
      <w:lvlJc w:val="left"/>
      <w:pPr>
        <w:ind w:left="2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08530C">
      <w:start w:val="1"/>
      <w:numFmt w:val="bullet"/>
      <w:lvlText w:val="o"/>
      <w:lvlJc w:val="left"/>
      <w:pPr>
        <w:ind w:left="3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46BD94">
      <w:start w:val="1"/>
      <w:numFmt w:val="bullet"/>
      <w:lvlText w:val="▪"/>
      <w:lvlJc w:val="left"/>
      <w:pPr>
        <w:ind w:left="3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B29B18">
      <w:start w:val="1"/>
      <w:numFmt w:val="bullet"/>
      <w:lvlText w:val="•"/>
      <w:lvlJc w:val="left"/>
      <w:pPr>
        <w:ind w:left="4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983218">
      <w:start w:val="1"/>
      <w:numFmt w:val="bullet"/>
      <w:lvlText w:val="o"/>
      <w:lvlJc w:val="left"/>
      <w:pPr>
        <w:ind w:left="5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EAC020">
      <w:start w:val="1"/>
      <w:numFmt w:val="bullet"/>
      <w:lvlText w:val="▪"/>
      <w:lvlJc w:val="left"/>
      <w:pPr>
        <w:ind w:left="5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2C7970"/>
    <w:multiLevelType w:val="hybridMultilevel"/>
    <w:tmpl w:val="141842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CB3616"/>
    <w:multiLevelType w:val="hybridMultilevel"/>
    <w:tmpl w:val="5656A79A"/>
    <w:lvl w:ilvl="0" w:tplc="9D8C83F2">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3042964"/>
    <w:multiLevelType w:val="hybridMultilevel"/>
    <w:tmpl w:val="35F08714"/>
    <w:lvl w:ilvl="0" w:tplc="9D8C83F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071EEA"/>
    <w:multiLevelType w:val="hybridMultilevel"/>
    <w:tmpl w:val="7DE06A36"/>
    <w:lvl w:ilvl="0" w:tplc="9D8C83F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6A05EF"/>
    <w:multiLevelType w:val="hybridMultilevel"/>
    <w:tmpl w:val="9536CE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255CBF"/>
    <w:multiLevelType w:val="hybridMultilevel"/>
    <w:tmpl w:val="96A84FCC"/>
    <w:lvl w:ilvl="0" w:tplc="9D8C83F2">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B5617A"/>
    <w:multiLevelType w:val="hybridMultilevel"/>
    <w:tmpl w:val="847AB10A"/>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3712F04"/>
    <w:multiLevelType w:val="hybridMultilevel"/>
    <w:tmpl w:val="F6EEC31C"/>
    <w:lvl w:ilvl="0" w:tplc="D4405CA6">
      <w:start w:val="4"/>
      <w:numFmt w:val="bullet"/>
      <w:lvlText w:val="-"/>
      <w:lvlJc w:val="left"/>
      <w:pPr>
        <w:ind w:left="1800" w:hanging="360"/>
      </w:pPr>
      <w:rPr>
        <w:rFonts w:ascii="Arial" w:eastAsia="Times New Roman"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3AED6418"/>
    <w:multiLevelType w:val="hybridMultilevel"/>
    <w:tmpl w:val="843E9F52"/>
    <w:lvl w:ilvl="0" w:tplc="AB2A0FCE">
      <w:start w:val="5"/>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79AFC14">
      <w:start w:val="1"/>
      <w:numFmt w:val="lowerLetter"/>
      <w:lvlText w:val="%2"/>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D9C6308">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8148358">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B700DB8">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D4ECC84">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A0EE412">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5BC6AD6">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644341A">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3D0F2F58"/>
    <w:multiLevelType w:val="hybridMultilevel"/>
    <w:tmpl w:val="F74CE15A"/>
    <w:lvl w:ilvl="0" w:tplc="9D8C83F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F423B3"/>
    <w:multiLevelType w:val="hybridMultilevel"/>
    <w:tmpl w:val="891EB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E00986"/>
    <w:multiLevelType w:val="hybridMultilevel"/>
    <w:tmpl w:val="663EC048"/>
    <w:lvl w:ilvl="0" w:tplc="9D8C83F2">
      <w:start w:val="1"/>
      <w:numFmt w:val="bullet"/>
      <w:lvlText w:val="­"/>
      <w:lvlJc w:val="left"/>
      <w:pPr>
        <w:ind w:left="360" w:hanging="360"/>
      </w:pPr>
      <w:rPr>
        <w:rFonts w:ascii="Courier New" w:hAnsi="Courier New" w:hint="default"/>
      </w:rPr>
    </w:lvl>
    <w:lvl w:ilvl="1" w:tplc="670E06A2">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132598"/>
    <w:multiLevelType w:val="hybridMultilevel"/>
    <w:tmpl w:val="CA967BAE"/>
    <w:lvl w:ilvl="0" w:tplc="9D8C83F2">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50CB364E"/>
    <w:multiLevelType w:val="hybridMultilevel"/>
    <w:tmpl w:val="F4DC2F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B97370"/>
    <w:multiLevelType w:val="hybridMultilevel"/>
    <w:tmpl w:val="C1103958"/>
    <w:lvl w:ilvl="0" w:tplc="9D8C83F2">
      <w:start w:val="1"/>
      <w:numFmt w:val="bullet"/>
      <w:lvlText w:val="­"/>
      <w:lvlJc w:val="left"/>
      <w:pPr>
        <w:ind w:left="1080" w:hanging="360"/>
      </w:pPr>
      <w:rPr>
        <w:rFonts w:ascii="Courier New" w:hAnsi="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5CD94CB1"/>
    <w:multiLevelType w:val="hybridMultilevel"/>
    <w:tmpl w:val="F40E7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0044B"/>
    <w:multiLevelType w:val="hybridMultilevel"/>
    <w:tmpl w:val="B7EC7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885B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942A0F"/>
    <w:multiLevelType w:val="hybridMultilevel"/>
    <w:tmpl w:val="7BD045CE"/>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BB4268E"/>
    <w:multiLevelType w:val="hybridMultilevel"/>
    <w:tmpl w:val="B0845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C990087"/>
    <w:multiLevelType w:val="hybridMultilevel"/>
    <w:tmpl w:val="F862811A"/>
    <w:lvl w:ilvl="0" w:tplc="9D8C83F2">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D470A77"/>
    <w:multiLevelType w:val="hybridMultilevel"/>
    <w:tmpl w:val="34D0681A"/>
    <w:lvl w:ilvl="0" w:tplc="9D8C83F2">
      <w:start w:val="1"/>
      <w:numFmt w:val="bullet"/>
      <w:lvlText w:val="­"/>
      <w:lvlJc w:val="left"/>
      <w:pPr>
        <w:ind w:left="360" w:hanging="360"/>
      </w:pPr>
      <w:rPr>
        <w:rFonts w:ascii="Courier New" w:hAnsi="Courier New" w:hint="default"/>
      </w:rPr>
    </w:lvl>
    <w:lvl w:ilvl="1" w:tplc="9D8C83F2">
      <w:start w:val="1"/>
      <w:numFmt w:val="bullet"/>
      <w:lvlText w:val="­"/>
      <w:lvlJc w:val="left"/>
      <w:pPr>
        <w:ind w:left="1080" w:hanging="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CA5A40"/>
    <w:multiLevelType w:val="hybridMultilevel"/>
    <w:tmpl w:val="03F4F5B6"/>
    <w:lvl w:ilvl="0" w:tplc="F288D236">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AB4DF4"/>
    <w:multiLevelType w:val="hybridMultilevel"/>
    <w:tmpl w:val="83D4FE12"/>
    <w:lvl w:ilvl="0" w:tplc="D4405CA6">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77AF4AC5"/>
    <w:multiLevelType w:val="hybridMultilevel"/>
    <w:tmpl w:val="7D1AAA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9"/>
  </w:num>
  <w:num w:numId="4">
    <w:abstractNumId w:val="1"/>
  </w:num>
  <w:num w:numId="5">
    <w:abstractNumId w:val="14"/>
  </w:num>
  <w:num w:numId="6">
    <w:abstractNumId w:val="5"/>
  </w:num>
  <w:num w:numId="7">
    <w:abstractNumId w:val="15"/>
  </w:num>
  <w:num w:numId="8">
    <w:abstractNumId w:val="20"/>
  </w:num>
  <w:num w:numId="9">
    <w:abstractNumId w:val="13"/>
  </w:num>
  <w:num w:numId="10">
    <w:abstractNumId w:val="3"/>
  </w:num>
  <w:num w:numId="11">
    <w:abstractNumId w:val="4"/>
  </w:num>
  <w:num w:numId="12">
    <w:abstractNumId w:val="8"/>
  </w:num>
  <w:num w:numId="13">
    <w:abstractNumId w:val="16"/>
  </w:num>
  <w:num w:numId="14">
    <w:abstractNumId w:val="21"/>
  </w:num>
  <w:num w:numId="15">
    <w:abstractNumId w:val="7"/>
  </w:num>
  <w:num w:numId="16">
    <w:abstractNumId w:val="2"/>
  </w:num>
  <w:num w:numId="17">
    <w:abstractNumId w:val="10"/>
  </w:num>
  <w:num w:numId="18">
    <w:abstractNumId w:val="19"/>
  </w:num>
  <w:num w:numId="19">
    <w:abstractNumId w:val="25"/>
  </w:num>
  <w:num w:numId="20">
    <w:abstractNumId w:val="26"/>
  </w:num>
  <w:num w:numId="21">
    <w:abstractNumId w:val="0"/>
  </w:num>
  <w:num w:numId="22">
    <w:abstractNumId w:val="12"/>
  </w:num>
  <w:num w:numId="23">
    <w:abstractNumId w:val="17"/>
  </w:num>
  <w:num w:numId="24">
    <w:abstractNumId w:val="6"/>
  </w:num>
  <w:num w:numId="25">
    <w:abstractNumId w:val="28"/>
  </w:num>
  <w:num w:numId="26">
    <w:abstractNumId w:val="23"/>
  </w:num>
  <w:num w:numId="27">
    <w:abstractNumId w:val="24"/>
  </w:num>
  <w:num w:numId="28">
    <w:abstractNumId w:val="29"/>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trackRevisions/>
  <w:defaultTabStop w:val="567"/>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B7"/>
    <w:rsid w:val="0000054A"/>
    <w:rsid w:val="00001950"/>
    <w:rsid w:val="000102AE"/>
    <w:rsid w:val="0003177B"/>
    <w:rsid w:val="000344FF"/>
    <w:rsid w:val="000416D6"/>
    <w:rsid w:val="000434C6"/>
    <w:rsid w:val="000514B9"/>
    <w:rsid w:val="0006254B"/>
    <w:rsid w:val="00094C27"/>
    <w:rsid w:val="000B665A"/>
    <w:rsid w:val="000B6FE9"/>
    <w:rsid w:val="000C4117"/>
    <w:rsid w:val="000C7678"/>
    <w:rsid w:val="000C76FA"/>
    <w:rsid w:val="000D394B"/>
    <w:rsid w:val="000D438A"/>
    <w:rsid w:val="000E0415"/>
    <w:rsid w:val="000E1420"/>
    <w:rsid w:val="000E4018"/>
    <w:rsid w:val="000F0F4C"/>
    <w:rsid w:val="000F0FBC"/>
    <w:rsid w:val="000F1592"/>
    <w:rsid w:val="000F4F65"/>
    <w:rsid w:val="000F5B3B"/>
    <w:rsid w:val="00113219"/>
    <w:rsid w:val="00113790"/>
    <w:rsid w:val="00116B70"/>
    <w:rsid w:val="00120BB9"/>
    <w:rsid w:val="001263B0"/>
    <w:rsid w:val="00126C5E"/>
    <w:rsid w:val="00130744"/>
    <w:rsid w:val="00134CBE"/>
    <w:rsid w:val="00143D22"/>
    <w:rsid w:val="0014497F"/>
    <w:rsid w:val="0014668C"/>
    <w:rsid w:val="00147B7D"/>
    <w:rsid w:val="001529A1"/>
    <w:rsid w:val="00153083"/>
    <w:rsid w:val="00156B13"/>
    <w:rsid w:val="001747CB"/>
    <w:rsid w:val="0017556D"/>
    <w:rsid w:val="001760AF"/>
    <w:rsid w:val="00177F95"/>
    <w:rsid w:val="00180A7C"/>
    <w:rsid w:val="00180E42"/>
    <w:rsid w:val="001834D9"/>
    <w:rsid w:val="0018723F"/>
    <w:rsid w:val="00193619"/>
    <w:rsid w:val="001958A3"/>
    <w:rsid w:val="001961F1"/>
    <w:rsid w:val="0019694F"/>
    <w:rsid w:val="001A7B91"/>
    <w:rsid w:val="001C3495"/>
    <w:rsid w:val="001C45FA"/>
    <w:rsid w:val="001C6476"/>
    <w:rsid w:val="001D1482"/>
    <w:rsid w:val="001D6381"/>
    <w:rsid w:val="001E173C"/>
    <w:rsid w:val="001E1C47"/>
    <w:rsid w:val="001E387B"/>
    <w:rsid w:val="001E3A44"/>
    <w:rsid w:val="001E471E"/>
    <w:rsid w:val="001E4DFF"/>
    <w:rsid w:val="001E6632"/>
    <w:rsid w:val="001F011B"/>
    <w:rsid w:val="001F1451"/>
    <w:rsid w:val="002006EF"/>
    <w:rsid w:val="00206DF2"/>
    <w:rsid w:val="00210017"/>
    <w:rsid w:val="00212CD8"/>
    <w:rsid w:val="00213B2E"/>
    <w:rsid w:val="00217EBF"/>
    <w:rsid w:val="00221E99"/>
    <w:rsid w:val="00224416"/>
    <w:rsid w:val="00233A37"/>
    <w:rsid w:val="00242872"/>
    <w:rsid w:val="00245477"/>
    <w:rsid w:val="002534D6"/>
    <w:rsid w:val="002611EA"/>
    <w:rsid w:val="00267090"/>
    <w:rsid w:val="002672CE"/>
    <w:rsid w:val="00267E10"/>
    <w:rsid w:val="00277845"/>
    <w:rsid w:val="00277F16"/>
    <w:rsid w:val="002A3C20"/>
    <w:rsid w:val="002B7E35"/>
    <w:rsid w:val="002C6A33"/>
    <w:rsid w:val="002C71F1"/>
    <w:rsid w:val="002D4537"/>
    <w:rsid w:val="002D62B3"/>
    <w:rsid w:val="002E5BC5"/>
    <w:rsid w:val="002F0210"/>
    <w:rsid w:val="002F251E"/>
    <w:rsid w:val="002F3B83"/>
    <w:rsid w:val="003012FE"/>
    <w:rsid w:val="0030392E"/>
    <w:rsid w:val="0031681F"/>
    <w:rsid w:val="00317F0F"/>
    <w:rsid w:val="003203DA"/>
    <w:rsid w:val="00321C9C"/>
    <w:rsid w:val="00322296"/>
    <w:rsid w:val="00325DC3"/>
    <w:rsid w:val="003329CA"/>
    <w:rsid w:val="00346769"/>
    <w:rsid w:val="0035567E"/>
    <w:rsid w:val="00357308"/>
    <w:rsid w:val="00371D96"/>
    <w:rsid w:val="00372B4B"/>
    <w:rsid w:val="003732B1"/>
    <w:rsid w:val="00375E38"/>
    <w:rsid w:val="00384F5A"/>
    <w:rsid w:val="00391ABF"/>
    <w:rsid w:val="00394456"/>
    <w:rsid w:val="0039468A"/>
    <w:rsid w:val="00396E53"/>
    <w:rsid w:val="003A1D7F"/>
    <w:rsid w:val="003B1352"/>
    <w:rsid w:val="003B174B"/>
    <w:rsid w:val="003B32FB"/>
    <w:rsid w:val="003C0480"/>
    <w:rsid w:val="003C1F54"/>
    <w:rsid w:val="003C3F4C"/>
    <w:rsid w:val="003D76C2"/>
    <w:rsid w:val="003E654E"/>
    <w:rsid w:val="003F23AE"/>
    <w:rsid w:val="003F3C6E"/>
    <w:rsid w:val="003F4850"/>
    <w:rsid w:val="00403E8B"/>
    <w:rsid w:val="00410762"/>
    <w:rsid w:val="00413465"/>
    <w:rsid w:val="004227C9"/>
    <w:rsid w:val="0042731F"/>
    <w:rsid w:val="0043633E"/>
    <w:rsid w:val="00437982"/>
    <w:rsid w:val="00447E05"/>
    <w:rsid w:val="00454423"/>
    <w:rsid w:val="004566E2"/>
    <w:rsid w:val="00457243"/>
    <w:rsid w:val="004679EC"/>
    <w:rsid w:val="00480405"/>
    <w:rsid w:val="0048136C"/>
    <w:rsid w:val="004855AB"/>
    <w:rsid w:val="0048743D"/>
    <w:rsid w:val="00490673"/>
    <w:rsid w:val="00494AB2"/>
    <w:rsid w:val="00497958"/>
    <w:rsid w:val="004A0C46"/>
    <w:rsid w:val="004A1CE8"/>
    <w:rsid w:val="004A3254"/>
    <w:rsid w:val="004A4125"/>
    <w:rsid w:val="004A4A20"/>
    <w:rsid w:val="004A52F5"/>
    <w:rsid w:val="004B2114"/>
    <w:rsid w:val="004B70FB"/>
    <w:rsid w:val="004C0D23"/>
    <w:rsid w:val="004C5CBE"/>
    <w:rsid w:val="004C7040"/>
    <w:rsid w:val="004D113C"/>
    <w:rsid w:val="004E01CE"/>
    <w:rsid w:val="004E2276"/>
    <w:rsid w:val="004E32CB"/>
    <w:rsid w:val="004E64BA"/>
    <w:rsid w:val="004E6C31"/>
    <w:rsid w:val="004F0B2B"/>
    <w:rsid w:val="004F5D69"/>
    <w:rsid w:val="004F7D6C"/>
    <w:rsid w:val="00501D5B"/>
    <w:rsid w:val="00506506"/>
    <w:rsid w:val="00514785"/>
    <w:rsid w:val="00514E02"/>
    <w:rsid w:val="00516738"/>
    <w:rsid w:val="00526F2A"/>
    <w:rsid w:val="00531B70"/>
    <w:rsid w:val="005337B7"/>
    <w:rsid w:val="00534FB2"/>
    <w:rsid w:val="00535871"/>
    <w:rsid w:val="0053652C"/>
    <w:rsid w:val="005376D1"/>
    <w:rsid w:val="00544650"/>
    <w:rsid w:val="005579DA"/>
    <w:rsid w:val="00561C80"/>
    <w:rsid w:val="005657FB"/>
    <w:rsid w:val="00565A10"/>
    <w:rsid w:val="005734D9"/>
    <w:rsid w:val="00583303"/>
    <w:rsid w:val="005858E9"/>
    <w:rsid w:val="005962BA"/>
    <w:rsid w:val="005A0071"/>
    <w:rsid w:val="005A1101"/>
    <w:rsid w:val="005A4087"/>
    <w:rsid w:val="005B46C3"/>
    <w:rsid w:val="005B78BF"/>
    <w:rsid w:val="005C039F"/>
    <w:rsid w:val="005C0524"/>
    <w:rsid w:val="005C14E7"/>
    <w:rsid w:val="005C6B34"/>
    <w:rsid w:val="005C7EBC"/>
    <w:rsid w:val="005D2255"/>
    <w:rsid w:val="005F1BE8"/>
    <w:rsid w:val="00603F78"/>
    <w:rsid w:val="00611833"/>
    <w:rsid w:val="00617D9C"/>
    <w:rsid w:val="00626D15"/>
    <w:rsid w:val="006310A1"/>
    <w:rsid w:val="00631D6E"/>
    <w:rsid w:val="006323B5"/>
    <w:rsid w:val="006440AD"/>
    <w:rsid w:val="006456C2"/>
    <w:rsid w:val="00647023"/>
    <w:rsid w:val="00650916"/>
    <w:rsid w:val="00651577"/>
    <w:rsid w:val="006576D0"/>
    <w:rsid w:val="00663FEE"/>
    <w:rsid w:val="00666DB3"/>
    <w:rsid w:val="00667F5C"/>
    <w:rsid w:val="00674319"/>
    <w:rsid w:val="0067797A"/>
    <w:rsid w:val="0068105B"/>
    <w:rsid w:val="00682882"/>
    <w:rsid w:val="00682FA9"/>
    <w:rsid w:val="00686AE9"/>
    <w:rsid w:val="0068707F"/>
    <w:rsid w:val="00694874"/>
    <w:rsid w:val="00697E85"/>
    <w:rsid w:val="006A05A0"/>
    <w:rsid w:val="006A789C"/>
    <w:rsid w:val="006B0313"/>
    <w:rsid w:val="006B5684"/>
    <w:rsid w:val="006C2F9C"/>
    <w:rsid w:val="006C366B"/>
    <w:rsid w:val="006C3B90"/>
    <w:rsid w:val="006C632F"/>
    <w:rsid w:val="006D647D"/>
    <w:rsid w:val="006E08CD"/>
    <w:rsid w:val="006E0AE1"/>
    <w:rsid w:val="006F105F"/>
    <w:rsid w:val="006F6F3A"/>
    <w:rsid w:val="00704925"/>
    <w:rsid w:val="007131C2"/>
    <w:rsid w:val="00714144"/>
    <w:rsid w:val="00730B60"/>
    <w:rsid w:val="00730E83"/>
    <w:rsid w:val="00736C12"/>
    <w:rsid w:val="00740253"/>
    <w:rsid w:val="0076699A"/>
    <w:rsid w:val="00766D7D"/>
    <w:rsid w:val="00776496"/>
    <w:rsid w:val="0077769F"/>
    <w:rsid w:val="007864FD"/>
    <w:rsid w:val="00791A35"/>
    <w:rsid w:val="007A5706"/>
    <w:rsid w:val="007B236E"/>
    <w:rsid w:val="007B3774"/>
    <w:rsid w:val="007B3D4E"/>
    <w:rsid w:val="007C1CC0"/>
    <w:rsid w:val="007C2B60"/>
    <w:rsid w:val="007C3048"/>
    <w:rsid w:val="007C33ED"/>
    <w:rsid w:val="007C5F69"/>
    <w:rsid w:val="007E261C"/>
    <w:rsid w:val="007F129E"/>
    <w:rsid w:val="007F1FD4"/>
    <w:rsid w:val="007F44F3"/>
    <w:rsid w:val="00800DF6"/>
    <w:rsid w:val="0081512E"/>
    <w:rsid w:val="008205B5"/>
    <w:rsid w:val="00824BD5"/>
    <w:rsid w:val="00830333"/>
    <w:rsid w:val="00837F70"/>
    <w:rsid w:val="00840DF4"/>
    <w:rsid w:val="00845FB7"/>
    <w:rsid w:val="00850705"/>
    <w:rsid w:val="00852808"/>
    <w:rsid w:val="00854E5A"/>
    <w:rsid w:val="008568DA"/>
    <w:rsid w:val="008573D5"/>
    <w:rsid w:val="00865EBA"/>
    <w:rsid w:val="00870625"/>
    <w:rsid w:val="00873563"/>
    <w:rsid w:val="00877580"/>
    <w:rsid w:val="00892815"/>
    <w:rsid w:val="00893223"/>
    <w:rsid w:val="008A2262"/>
    <w:rsid w:val="008A3BB3"/>
    <w:rsid w:val="008B13A0"/>
    <w:rsid w:val="008C5135"/>
    <w:rsid w:val="008C7784"/>
    <w:rsid w:val="008D050B"/>
    <w:rsid w:val="008E3F87"/>
    <w:rsid w:val="008E4AC2"/>
    <w:rsid w:val="008F02B4"/>
    <w:rsid w:val="008F2BA6"/>
    <w:rsid w:val="00903747"/>
    <w:rsid w:val="0091030C"/>
    <w:rsid w:val="00912834"/>
    <w:rsid w:val="00935AFB"/>
    <w:rsid w:val="00945959"/>
    <w:rsid w:val="0094720D"/>
    <w:rsid w:val="00947F24"/>
    <w:rsid w:val="009577E0"/>
    <w:rsid w:val="00961CF0"/>
    <w:rsid w:val="009635C0"/>
    <w:rsid w:val="00976D47"/>
    <w:rsid w:val="009777EA"/>
    <w:rsid w:val="0097786C"/>
    <w:rsid w:val="00980C70"/>
    <w:rsid w:val="0098798D"/>
    <w:rsid w:val="009A33B5"/>
    <w:rsid w:val="009A6532"/>
    <w:rsid w:val="009B0BE9"/>
    <w:rsid w:val="009B10F3"/>
    <w:rsid w:val="009B4ACE"/>
    <w:rsid w:val="009B6A04"/>
    <w:rsid w:val="009C4557"/>
    <w:rsid w:val="009E542D"/>
    <w:rsid w:val="009F52BD"/>
    <w:rsid w:val="00A0006C"/>
    <w:rsid w:val="00A12807"/>
    <w:rsid w:val="00A17EEF"/>
    <w:rsid w:val="00A34F2B"/>
    <w:rsid w:val="00A359F3"/>
    <w:rsid w:val="00A418A5"/>
    <w:rsid w:val="00A52551"/>
    <w:rsid w:val="00A535A4"/>
    <w:rsid w:val="00A57AC9"/>
    <w:rsid w:val="00A66602"/>
    <w:rsid w:val="00A66CB1"/>
    <w:rsid w:val="00A71713"/>
    <w:rsid w:val="00A73C8E"/>
    <w:rsid w:val="00A879C7"/>
    <w:rsid w:val="00A91A36"/>
    <w:rsid w:val="00AB1A03"/>
    <w:rsid w:val="00AB3316"/>
    <w:rsid w:val="00AB370B"/>
    <w:rsid w:val="00AC6163"/>
    <w:rsid w:val="00AE603F"/>
    <w:rsid w:val="00AE63F9"/>
    <w:rsid w:val="00AE7E8D"/>
    <w:rsid w:val="00AF679F"/>
    <w:rsid w:val="00B00DFA"/>
    <w:rsid w:val="00B04A52"/>
    <w:rsid w:val="00B04D0C"/>
    <w:rsid w:val="00B06E68"/>
    <w:rsid w:val="00B0781B"/>
    <w:rsid w:val="00B2146E"/>
    <w:rsid w:val="00B23299"/>
    <w:rsid w:val="00B30729"/>
    <w:rsid w:val="00B31FE1"/>
    <w:rsid w:val="00B369A2"/>
    <w:rsid w:val="00B47BD8"/>
    <w:rsid w:val="00B5199D"/>
    <w:rsid w:val="00B54750"/>
    <w:rsid w:val="00B55264"/>
    <w:rsid w:val="00B61A27"/>
    <w:rsid w:val="00B636A9"/>
    <w:rsid w:val="00B67533"/>
    <w:rsid w:val="00B72D0B"/>
    <w:rsid w:val="00B83AB7"/>
    <w:rsid w:val="00BA2C09"/>
    <w:rsid w:val="00BA3B25"/>
    <w:rsid w:val="00BA3D0C"/>
    <w:rsid w:val="00BB3C86"/>
    <w:rsid w:val="00BB5C47"/>
    <w:rsid w:val="00BC5B34"/>
    <w:rsid w:val="00BD434C"/>
    <w:rsid w:val="00BE3121"/>
    <w:rsid w:val="00BE3465"/>
    <w:rsid w:val="00BE45F2"/>
    <w:rsid w:val="00BF6CB3"/>
    <w:rsid w:val="00C02D7F"/>
    <w:rsid w:val="00C03511"/>
    <w:rsid w:val="00C03AE2"/>
    <w:rsid w:val="00C0565B"/>
    <w:rsid w:val="00C10714"/>
    <w:rsid w:val="00C17BA7"/>
    <w:rsid w:val="00C2008F"/>
    <w:rsid w:val="00C2091E"/>
    <w:rsid w:val="00C30404"/>
    <w:rsid w:val="00C32832"/>
    <w:rsid w:val="00C3460A"/>
    <w:rsid w:val="00C46EEA"/>
    <w:rsid w:val="00C6667C"/>
    <w:rsid w:val="00C72915"/>
    <w:rsid w:val="00C72FF0"/>
    <w:rsid w:val="00C7376A"/>
    <w:rsid w:val="00C86DEB"/>
    <w:rsid w:val="00C8712D"/>
    <w:rsid w:val="00C93EE3"/>
    <w:rsid w:val="00C97EC8"/>
    <w:rsid w:val="00CD1866"/>
    <w:rsid w:val="00CD6FB1"/>
    <w:rsid w:val="00CE0754"/>
    <w:rsid w:val="00CE2589"/>
    <w:rsid w:val="00CE4352"/>
    <w:rsid w:val="00D01187"/>
    <w:rsid w:val="00D066C5"/>
    <w:rsid w:val="00D06C20"/>
    <w:rsid w:val="00D13211"/>
    <w:rsid w:val="00D252A4"/>
    <w:rsid w:val="00D25FC5"/>
    <w:rsid w:val="00D313E0"/>
    <w:rsid w:val="00D3272F"/>
    <w:rsid w:val="00D40628"/>
    <w:rsid w:val="00D42988"/>
    <w:rsid w:val="00D44179"/>
    <w:rsid w:val="00D449E3"/>
    <w:rsid w:val="00D45DB5"/>
    <w:rsid w:val="00D53890"/>
    <w:rsid w:val="00D60AC9"/>
    <w:rsid w:val="00D61FE8"/>
    <w:rsid w:val="00D64958"/>
    <w:rsid w:val="00D71376"/>
    <w:rsid w:val="00D71B66"/>
    <w:rsid w:val="00DA3B40"/>
    <w:rsid w:val="00DA6F3C"/>
    <w:rsid w:val="00DA761F"/>
    <w:rsid w:val="00DB2790"/>
    <w:rsid w:val="00DB374E"/>
    <w:rsid w:val="00DB7B13"/>
    <w:rsid w:val="00DC5D41"/>
    <w:rsid w:val="00DC6280"/>
    <w:rsid w:val="00DC72B3"/>
    <w:rsid w:val="00DD171A"/>
    <w:rsid w:val="00DE0722"/>
    <w:rsid w:val="00DE220E"/>
    <w:rsid w:val="00DE2FB4"/>
    <w:rsid w:val="00DE47C1"/>
    <w:rsid w:val="00DF102C"/>
    <w:rsid w:val="00E10FD1"/>
    <w:rsid w:val="00E11225"/>
    <w:rsid w:val="00E15125"/>
    <w:rsid w:val="00E17679"/>
    <w:rsid w:val="00E22127"/>
    <w:rsid w:val="00E2610A"/>
    <w:rsid w:val="00E338F0"/>
    <w:rsid w:val="00E37234"/>
    <w:rsid w:val="00E41B36"/>
    <w:rsid w:val="00E44772"/>
    <w:rsid w:val="00E51584"/>
    <w:rsid w:val="00E520B1"/>
    <w:rsid w:val="00E554B7"/>
    <w:rsid w:val="00E55C0E"/>
    <w:rsid w:val="00E61578"/>
    <w:rsid w:val="00E65337"/>
    <w:rsid w:val="00E724EA"/>
    <w:rsid w:val="00E740D6"/>
    <w:rsid w:val="00E75949"/>
    <w:rsid w:val="00E8004A"/>
    <w:rsid w:val="00E80E74"/>
    <w:rsid w:val="00E97D5D"/>
    <w:rsid w:val="00EA3871"/>
    <w:rsid w:val="00EA58B8"/>
    <w:rsid w:val="00EA6ED5"/>
    <w:rsid w:val="00EC764B"/>
    <w:rsid w:val="00ED36B3"/>
    <w:rsid w:val="00EE1B68"/>
    <w:rsid w:val="00EE4C37"/>
    <w:rsid w:val="00EE657B"/>
    <w:rsid w:val="00EE79AA"/>
    <w:rsid w:val="00EF37EE"/>
    <w:rsid w:val="00F05190"/>
    <w:rsid w:val="00F06697"/>
    <w:rsid w:val="00F06972"/>
    <w:rsid w:val="00F12AD2"/>
    <w:rsid w:val="00F17B6C"/>
    <w:rsid w:val="00F35098"/>
    <w:rsid w:val="00F368B8"/>
    <w:rsid w:val="00F37049"/>
    <w:rsid w:val="00F51BED"/>
    <w:rsid w:val="00F5223D"/>
    <w:rsid w:val="00F6753A"/>
    <w:rsid w:val="00F73B8D"/>
    <w:rsid w:val="00F74C83"/>
    <w:rsid w:val="00F85CA2"/>
    <w:rsid w:val="00F87F77"/>
    <w:rsid w:val="00F93D9C"/>
    <w:rsid w:val="00FA0FE1"/>
    <w:rsid w:val="00FA231A"/>
    <w:rsid w:val="00FA7B79"/>
    <w:rsid w:val="00FB2DCC"/>
    <w:rsid w:val="00FB610D"/>
    <w:rsid w:val="00FC6B1F"/>
    <w:rsid w:val="00FD7914"/>
    <w:rsid w:val="00FF1274"/>
    <w:rsid w:val="00FF1F53"/>
    <w:rsid w:val="00FF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66BA37A"/>
  <w15:docId w15:val="{0E048A0B-0AED-426B-8662-91F0CDF5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261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a-DK"/>
    </w:rPr>
  </w:style>
  <w:style w:type="paragraph" w:styleId="Nadpis1">
    <w:name w:val="heading 1"/>
    <w:basedOn w:val="Normlny"/>
    <w:next w:val="Normlny"/>
    <w:link w:val="Nadpis1Char"/>
    <w:uiPriority w:val="9"/>
    <w:qFormat/>
    <w:rsid w:val="006456C2"/>
    <w:pPr>
      <w:keepNext/>
      <w:spacing w:line="276" w:lineRule="auto"/>
      <w:jc w:val="center"/>
      <w:outlineLvl w:val="0"/>
    </w:pPr>
    <w:rPr>
      <w:b/>
    </w:rPr>
  </w:style>
  <w:style w:type="paragraph" w:styleId="Nadpis2">
    <w:name w:val="heading 2"/>
    <w:basedOn w:val="Normlny"/>
    <w:next w:val="Normlny"/>
    <w:link w:val="Nadpis2Char"/>
    <w:uiPriority w:val="9"/>
    <w:unhideWhenUsed/>
    <w:qFormat/>
    <w:rsid w:val="00C72FF0"/>
    <w:pPr>
      <w:keepNext/>
      <w:spacing w:line="276" w:lineRule="auto"/>
      <w:jc w:val="both"/>
      <w:outlineLvl w:val="1"/>
    </w:pPr>
    <w:rPr>
      <w:b/>
      <w:sz w:val="22"/>
      <w:szCs w:val="22"/>
    </w:rPr>
  </w:style>
  <w:style w:type="paragraph" w:styleId="Nadpis3">
    <w:name w:val="heading 3"/>
    <w:basedOn w:val="Normlny"/>
    <w:next w:val="Normlny"/>
    <w:link w:val="Nadpis3Char"/>
    <w:uiPriority w:val="9"/>
    <w:unhideWhenUsed/>
    <w:qFormat/>
    <w:rsid w:val="00C72FF0"/>
    <w:pPr>
      <w:keepNext/>
      <w:spacing w:line="276" w:lineRule="auto"/>
      <w:jc w:val="both"/>
      <w:outlineLvl w:val="2"/>
    </w:pPr>
    <w:rPr>
      <w:sz w:val="22"/>
      <w:szCs w:val="22"/>
      <w:u w:val="single"/>
    </w:rPr>
  </w:style>
  <w:style w:type="paragraph" w:styleId="Nadpis4">
    <w:name w:val="heading 4"/>
    <w:basedOn w:val="Normlny"/>
    <w:next w:val="Normlny"/>
    <w:link w:val="Nadpis4Char"/>
    <w:uiPriority w:val="9"/>
    <w:unhideWhenUsed/>
    <w:qFormat/>
    <w:rsid w:val="000F0FBC"/>
    <w:pPr>
      <w:keepNext/>
      <w:spacing w:line="276" w:lineRule="auto"/>
      <w:outlineLvl w:val="3"/>
    </w:pPr>
    <w:rPr>
      <w:sz w:val="22"/>
      <w:szCs w:val="22"/>
      <w:u w:val="single"/>
    </w:rPr>
  </w:style>
  <w:style w:type="paragraph" w:styleId="Nadpis5">
    <w:name w:val="heading 5"/>
    <w:basedOn w:val="Normlny"/>
    <w:next w:val="Normlny"/>
    <w:link w:val="Nadpis5Char"/>
    <w:uiPriority w:val="9"/>
    <w:unhideWhenUsed/>
    <w:qFormat/>
    <w:rsid w:val="00CE4352"/>
    <w:pPr>
      <w:keepNext/>
      <w:spacing w:line="276" w:lineRule="auto"/>
      <w:outlineLvl w:val="4"/>
    </w:pPr>
    <w:rPr>
      <w:i/>
      <w:sz w:val="22"/>
      <w:szCs w:val="22"/>
    </w:rPr>
  </w:style>
  <w:style w:type="paragraph" w:styleId="Nadpis6">
    <w:name w:val="heading 6"/>
    <w:basedOn w:val="Normlny"/>
    <w:next w:val="Normlny"/>
    <w:link w:val="Nadpis6Char"/>
    <w:uiPriority w:val="9"/>
    <w:unhideWhenUsed/>
    <w:qFormat/>
    <w:rsid w:val="00001950"/>
    <w:pPr>
      <w:keepNext/>
      <w:spacing w:line="276" w:lineRule="auto"/>
      <w:jc w:val="both"/>
      <w:outlineLvl w:val="5"/>
    </w:pPr>
    <w:rPr>
      <w:i/>
      <w:sz w:val="22"/>
      <w:szCs w:val="22"/>
      <w:u w:val="single"/>
    </w:rPr>
  </w:style>
  <w:style w:type="paragraph" w:styleId="Nadpis7">
    <w:name w:val="heading 7"/>
    <w:basedOn w:val="Normlny"/>
    <w:next w:val="Normlny"/>
    <w:link w:val="Nadpis7Char"/>
    <w:uiPriority w:val="9"/>
    <w:unhideWhenUsed/>
    <w:qFormat/>
    <w:rsid w:val="006C366B"/>
    <w:pPr>
      <w:keepNext/>
      <w:spacing w:line="276" w:lineRule="auto"/>
      <w:jc w:val="both"/>
      <w:outlineLvl w:val="6"/>
    </w:pPr>
    <w:rPr>
      <w:i/>
      <w:iCs/>
      <w:sz w:val="22"/>
      <w:szCs w:val="22"/>
    </w:rPr>
  </w:style>
  <w:style w:type="paragraph" w:styleId="Nadpis8">
    <w:name w:val="heading 8"/>
    <w:basedOn w:val="Normlny"/>
    <w:next w:val="Normlny"/>
    <w:link w:val="Nadpis8Char"/>
    <w:uiPriority w:val="9"/>
    <w:unhideWhenUsed/>
    <w:qFormat/>
    <w:rsid w:val="00E55C0E"/>
    <w:pPr>
      <w:keepNext/>
      <w:spacing w:line="276" w:lineRule="auto"/>
      <w:jc w:val="center"/>
      <w:outlineLvl w:val="7"/>
    </w:pPr>
    <w:rPr>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3633E"/>
    <w:pPr>
      <w:ind w:left="720"/>
      <w:contextualSpacing/>
    </w:pPr>
  </w:style>
  <w:style w:type="table" w:styleId="Mriekatabuky">
    <w:name w:val="Table Grid"/>
    <w:basedOn w:val="Normlnatabuka"/>
    <w:uiPriority w:val="39"/>
    <w:rsid w:val="00947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686AE9"/>
    <w:pPr>
      <w:spacing w:line="276" w:lineRule="auto"/>
      <w:jc w:val="both"/>
    </w:pPr>
  </w:style>
  <w:style w:type="character" w:customStyle="1" w:styleId="ZkladntextChar">
    <w:name w:val="Základný text Char"/>
    <w:basedOn w:val="Predvolenpsmoodseku"/>
    <w:link w:val="Zkladntext"/>
    <w:uiPriority w:val="99"/>
    <w:rsid w:val="00686AE9"/>
    <w:rPr>
      <w:rFonts w:ascii="Times New Roman" w:eastAsia="Times New Roman" w:hAnsi="Times New Roman" w:cs="Times New Roman"/>
      <w:sz w:val="24"/>
      <w:szCs w:val="20"/>
      <w:lang w:eastAsia="da-DK"/>
    </w:rPr>
  </w:style>
  <w:style w:type="character" w:customStyle="1" w:styleId="Nadpis1Char">
    <w:name w:val="Nadpis 1 Char"/>
    <w:basedOn w:val="Predvolenpsmoodseku"/>
    <w:link w:val="Nadpis1"/>
    <w:uiPriority w:val="9"/>
    <w:rsid w:val="006456C2"/>
    <w:rPr>
      <w:rFonts w:ascii="Times New Roman" w:eastAsia="Times New Roman" w:hAnsi="Times New Roman" w:cs="Times New Roman"/>
      <w:b/>
      <w:sz w:val="24"/>
      <w:szCs w:val="20"/>
      <w:lang w:eastAsia="da-DK"/>
    </w:rPr>
  </w:style>
  <w:style w:type="paragraph" w:styleId="Textbubliny">
    <w:name w:val="Balloon Text"/>
    <w:basedOn w:val="Normlny"/>
    <w:link w:val="TextbublinyChar"/>
    <w:uiPriority w:val="99"/>
    <w:semiHidden/>
    <w:unhideWhenUsed/>
    <w:rsid w:val="006456C2"/>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56C2"/>
    <w:rPr>
      <w:rFonts w:ascii="Segoe UI" w:eastAsia="Times New Roman" w:hAnsi="Segoe UI" w:cs="Segoe UI"/>
      <w:sz w:val="18"/>
      <w:szCs w:val="18"/>
      <w:lang w:eastAsia="da-DK"/>
    </w:rPr>
  </w:style>
  <w:style w:type="paragraph" w:styleId="Zkladntext2">
    <w:name w:val="Body Text 2"/>
    <w:basedOn w:val="Normlny"/>
    <w:link w:val="Zkladntext2Char"/>
    <w:uiPriority w:val="99"/>
    <w:unhideWhenUsed/>
    <w:rsid w:val="006456C2"/>
    <w:pPr>
      <w:spacing w:line="276" w:lineRule="auto"/>
      <w:jc w:val="both"/>
    </w:pPr>
    <w:rPr>
      <w:b/>
    </w:rPr>
  </w:style>
  <w:style w:type="character" w:customStyle="1" w:styleId="Zkladntext2Char">
    <w:name w:val="Základný text 2 Char"/>
    <w:basedOn w:val="Predvolenpsmoodseku"/>
    <w:link w:val="Zkladntext2"/>
    <w:uiPriority w:val="99"/>
    <w:rsid w:val="006456C2"/>
    <w:rPr>
      <w:rFonts w:ascii="Times New Roman" w:eastAsia="Times New Roman" w:hAnsi="Times New Roman" w:cs="Times New Roman"/>
      <w:b/>
      <w:sz w:val="24"/>
      <w:szCs w:val="20"/>
      <w:lang w:eastAsia="da-DK"/>
    </w:rPr>
  </w:style>
  <w:style w:type="character" w:customStyle="1" w:styleId="Nadpis2Char">
    <w:name w:val="Nadpis 2 Char"/>
    <w:basedOn w:val="Predvolenpsmoodseku"/>
    <w:link w:val="Nadpis2"/>
    <w:uiPriority w:val="9"/>
    <w:rsid w:val="00C72FF0"/>
    <w:rPr>
      <w:rFonts w:ascii="Times New Roman" w:eastAsia="Times New Roman" w:hAnsi="Times New Roman" w:cs="Times New Roman"/>
      <w:b/>
      <w:lang w:eastAsia="da-DK"/>
    </w:rPr>
  </w:style>
  <w:style w:type="character" w:customStyle="1" w:styleId="Nadpis3Char">
    <w:name w:val="Nadpis 3 Char"/>
    <w:basedOn w:val="Predvolenpsmoodseku"/>
    <w:link w:val="Nadpis3"/>
    <w:uiPriority w:val="9"/>
    <w:rsid w:val="00C72FF0"/>
    <w:rPr>
      <w:rFonts w:ascii="Times New Roman" w:eastAsia="Times New Roman" w:hAnsi="Times New Roman" w:cs="Times New Roman"/>
      <w:u w:val="single"/>
      <w:lang w:eastAsia="da-DK"/>
    </w:rPr>
  </w:style>
  <w:style w:type="paragraph" w:styleId="Zkladntext3">
    <w:name w:val="Body Text 3"/>
    <w:basedOn w:val="Normlny"/>
    <w:link w:val="Zkladntext3Char"/>
    <w:uiPriority w:val="99"/>
    <w:unhideWhenUsed/>
    <w:rsid w:val="000F1592"/>
    <w:pPr>
      <w:spacing w:line="276" w:lineRule="auto"/>
      <w:jc w:val="both"/>
    </w:pPr>
    <w:rPr>
      <w:sz w:val="22"/>
      <w:szCs w:val="22"/>
    </w:rPr>
  </w:style>
  <w:style w:type="character" w:customStyle="1" w:styleId="Zkladntext3Char">
    <w:name w:val="Základný text 3 Char"/>
    <w:basedOn w:val="Predvolenpsmoodseku"/>
    <w:link w:val="Zkladntext3"/>
    <w:uiPriority w:val="99"/>
    <w:rsid w:val="000F1592"/>
    <w:rPr>
      <w:rFonts w:ascii="Times New Roman" w:eastAsia="Times New Roman" w:hAnsi="Times New Roman" w:cs="Times New Roman"/>
      <w:lang w:eastAsia="da-DK"/>
    </w:rPr>
  </w:style>
  <w:style w:type="character" w:customStyle="1" w:styleId="Nadpis4Char">
    <w:name w:val="Nadpis 4 Char"/>
    <w:basedOn w:val="Predvolenpsmoodseku"/>
    <w:link w:val="Nadpis4"/>
    <w:uiPriority w:val="9"/>
    <w:rsid w:val="000F0FBC"/>
    <w:rPr>
      <w:rFonts w:ascii="Times New Roman" w:eastAsia="Times New Roman" w:hAnsi="Times New Roman" w:cs="Times New Roman"/>
      <w:u w:val="single"/>
      <w:lang w:eastAsia="da-DK"/>
    </w:rPr>
  </w:style>
  <w:style w:type="character" w:customStyle="1" w:styleId="Nadpis5Char">
    <w:name w:val="Nadpis 5 Char"/>
    <w:basedOn w:val="Predvolenpsmoodseku"/>
    <w:link w:val="Nadpis5"/>
    <w:uiPriority w:val="9"/>
    <w:rsid w:val="00CE4352"/>
    <w:rPr>
      <w:rFonts w:ascii="Times New Roman" w:eastAsia="Times New Roman" w:hAnsi="Times New Roman" w:cs="Times New Roman"/>
      <w:i/>
      <w:lang w:eastAsia="da-DK"/>
    </w:rPr>
  </w:style>
  <w:style w:type="character" w:styleId="Hypertextovprepojenie">
    <w:name w:val="Hyperlink"/>
    <w:basedOn w:val="Predvolenpsmoodseku"/>
    <w:uiPriority w:val="99"/>
    <w:unhideWhenUsed/>
    <w:rsid w:val="004D113C"/>
    <w:rPr>
      <w:color w:val="0563C1" w:themeColor="hyperlink"/>
      <w:u w:val="single"/>
    </w:rPr>
  </w:style>
  <w:style w:type="character" w:customStyle="1" w:styleId="Nadpis6Char">
    <w:name w:val="Nadpis 6 Char"/>
    <w:basedOn w:val="Predvolenpsmoodseku"/>
    <w:link w:val="Nadpis6"/>
    <w:uiPriority w:val="9"/>
    <w:rsid w:val="00001950"/>
    <w:rPr>
      <w:rFonts w:ascii="Times New Roman" w:eastAsia="Times New Roman" w:hAnsi="Times New Roman" w:cs="Times New Roman"/>
      <w:i/>
      <w:u w:val="single"/>
      <w:lang w:eastAsia="da-DK"/>
    </w:rPr>
  </w:style>
  <w:style w:type="character" w:customStyle="1" w:styleId="Nadpis7Char">
    <w:name w:val="Nadpis 7 Char"/>
    <w:basedOn w:val="Predvolenpsmoodseku"/>
    <w:link w:val="Nadpis7"/>
    <w:uiPriority w:val="9"/>
    <w:rsid w:val="006C366B"/>
    <w:rPr>
      <w:rFonts w:ascii="Times New Roman" w:eastAsia="Times New Roman" w:hAnsi="Times New Roman" w:cs="Times New Roman"/>
      <w:i/>
      <w:iCs/>
      <w:lang w:eastAsia="da-DK"/>
    </w:rPr>
  </w:style>
  <w:style w:type="character" w:customStyle="1" w:styleId="Nadpis8Char">
    <w:name w:val="Nadpis 8 Char"/>
    <w:basedOn w:val="Predvolenpsmoodseku"/>
    <w:link w:val="Nadpis8"/>
    <w:uiPriority w:val="9"/>
    <w:rsid w:val="00E55C0E"/>
    <w:rPr>
      <w:rFonts w:ascii="Times New Roman" w:eastAsia="Times New Roman" w:hAnsi="Times New Roman" w:cs="Times New Roman"/>
      <w:b/>
      <w:lang w:eastAsia="da-DK"/>
    </w:rPr>
  </w:style>
  <w:style w:type="paragraph" w:styleId="Hlavika">
    <w:name w:val="header"/>
    <w:basedOn w:val="Normlny"/>
    <w:link w:val="HlavikaChar"/>
    <w:uiPriority w:val="99"/>
    <w:unhideWhenUsed/>
    <w:rsid w:val="004F7D6C"/>
    <w:pPr>
      <w:tabs>
        <w:tab w:val="center" w:pos="4513"/>
        <w:tab w:val="right" w:pos="9026"/>
      </w:tabs>
    </w:pPr>
  </w:style>
  <w:style w:type="character" w:customStyle="1" w:styleId="HlavikaChar">
    <w:name w:val="Hlavička Char"/>
    <w:basedOn w:val="Predvolenpsmoodseku"/>
    <w:link w:val="Hlavika"/>
    <w:uiPriority w:val="99"/>
    <w:rsid w:val="004F7D6C"/>
    <w:rPr>
      <w:rFonts w:ascii="Times New Roman" w:eastAsia="Times New Roman" w:hAnsi="Times New Roman" w:cs="Times New Roman"/>
      <w:sz w:val="24"/>
      <w:szCs w:val="20"/>
      <w:lang w:eastAsia="da-DK"/>
    </w:rPr>
  </w:style>
  <w:style w:type="paragraph" w:styleId="Pta">
    <w:name w:val="footer"/>
    <w:basedOn w:val="Normlny"/>
    <w:link w:val="PtaChar"/>
    <w:uiPriority w:val="99"/>
    <w:unhideWhenUsed/>
    <w:rsid w:val="004F7D6C"/>
    <w:pPr>
      <w:tabs>
        <w:tab w:val="center" w:pos="4513"/>
        <w:tab w:val="right" w:pos="9026"/>
      </w:tabs>
    </w:pPr>
  </w:style>
  <w:style w:type="character" w:customStyle="1" w:styleId="PtaChar">
    <w:name w:val="Päta Char"/>
    <w:basedOn w:val="Predvolenpsmoodseku"/>
    <w:link w:val="Pta"/>
    <w:uiPriority w:val="99"/>
    <w:rsid w:val="004F7D6C"/>
    <w:rPr>
      <w:rFonts w:ascii="Times New Roman" w:eastAsia="Times New Roman" w:hAnsi="Times New Roman" w:cs="Times New Roman"/>
      <w:sz w:val="24"/>
      <w:szCs w:val="20"/>
      <w:lang w:eastAsia="da-DK"/>
    </w:rPr>
  </w:style>
  <w:style w:type="character" w:styleId="Odkaznakomentr">
    <w:name w:val="annotation reference"/>
    <w:basedOn w:val="Predvolenpsmoodseku"/>
    <w:uiPriority w:val="99"/>
    <w:semiHidden/>
    <w:unhideWhenUsed/>
    <w:rsid w:val="007B3D4E"/>
    <w:rPr>
      <w:sz w:val="16"/>
      <w:szCs w:val="16"/>
    </w:rPr>
  </w:style>
  <w:style w:type="paragraph" w:styleId="Textkomentra">
    <w:name w:val="annotation text"/>
    <w:basedOn w:val="Normlny"/>
    <w:link w:val="TextkomentraChar"/>
    <w:uiPriority w:val="99"/>
    <w:semiHidden/>
    <w:unhideWhenUsed/>
    <w:rsid w:val="007B3D4E"/>
    <w:rPr>
      <w:sz w:val="20"/>
    </w:rPr>
  </w:style>
  <w:style w:type="character" w:customStyle="1" w:styleId="TextkomentraChar">
    <w:name w:val="Text komentára Char"/>
    <w:basedOn w:val="Predvolenpsmoodseku"/>
    <w:link w:val="Textkomentra"/>
    <w:uiPriority w:val="99"/>
    <w:semiHidden/>
    <w:rsid w:val="007B3D4E"/>
    <w:rPr>
      <w:rFonts w:ascii="Times New Roman" w:eastAsia="Times New Roman" w:hAnsi="Times New Roman" w:cs="Times New Roman"/>
      <w:sz w:val="20"/>
      <w:szCs w:val="20"/>
      <w:lang w:eastAsia="da-DK"/>
    </w:rPr>
  </w:style>
  <w:style w:type="paragraph" w:styleId="Predmetkomentra">
    <w:name w:val="annotation subject"/>
    <w:basedOn w:val="Textkomentra"/>
    <w:next w:val="Textkomentra"/>
    <w:link w:val="PredmetkomentraChar"/>
    <w:uiPriority w:val="99"/>
    <w:semiHidden/>
    <w:unhideWhenUsed/>
    <w:rsid w:val="007B3D4E"/>
    <w:rPr>
      <w:b/>
      <w:bCs/>
    </w:rPr>
  </w:style>
  <w:style w:type="character" w:customStyle="1" w:styleId="PredmetkomentraChar">
    <w:name w:val="Predmet komentára Char"/>
    <w:basedOn w:val="TextkomentraChar"/>
    <w:link w:val="Predmetkomentra"/>
    <w:uiPriority w:val="99"/>
    <w:semiHidden/>
    <w:rsid w:val="007B3D4E"/>
    <w:rPr>
      <w:rFonts w:ascii="Times New Roman" w:eastAsia="Times New Roman" w:hAnsi="Times New Roman" w:cs="Times New Roman"/>
      <w:b/>
      <w:bCs/>
      <w:sz w:val="20"/>
      <w:szCs w:val="20"/>
      <w:lang w:eastAsia="da-DK"/>
    </w:rPr>
  </w:style>
  <w:style w:type="paragraph" w:styleId="Revzia">
    <w:name w:val="Revision"/>
    <w:hidden/>
    <w:uiPriority w:val="99"/>
    <w:semiHidden/>
    <w:rsid w:val="00DE2FB4"/>
    <w:pPr>
      <w:spacing w:after="0" w:line="240" w:lineRule="auto"/>
    </w:pPr>
    <w:rPr>
      <w:rFonts w:ascii="Times New Roman" w:eastAsia="Times New Roman" w:hAnsi="Times New Roman" w:cs="Times New Roman"/>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76878">
      <w:bodyDiv w:val="1"/>
      <w:marLeft w:val="0"/>
      <w:marRight w:val="0"/>
      <w:marTop w:val="0"/>
      <w:marBottom w:val="0"/>
      <w:divBdr>
        <w:top w:val="none" w:sz="0" w:space="0" w:color="auto"/>
        <w:left w:val="none" w:sz="0" w:space="0" w:color="auto"/>
        <w:bottom w:val="none" w:sz="0" w:space="0" w:color="auto"/>
        <w:right w:val="none" w:sz="0" w:space="0" w:color="auto"/>
      </w:divBdr>
    </w:div>
    <w:div w:id="443113284">
      <w:bodyDiv w:val="1"/>
      <w:marLeft w:val="0"/>
      <w:marRight w:val="0"/>
      <w:marTop w:val="0"/>
      <w:marBottom w:val="0"/>
      <w:divBdr>
        <w:top w:val="none" w:sz="0" w:space="0" w:color="auto"/>
        <w:left w:val="none" w:sz="0" w:space="0" w:color="auto"/>
        <w:bottom w:val="none" w:sz="0" w:space="0" w:color="auto"/>
        <w:right w:val="none" w:sz="0" w:space="0" w:color="auto"/>
      </w:divBdr>
    </w:div>
    <w:div w:id="690111287">
      <w:bodyDiv w:val="1"/>
      <w:marLeft w:val="0"/>
      <w:marRight w:val="0"/>
      <w:marTop w:val="0"/>
      <w:marBottom w:val="0"/>
      <w:divBdr>
        <w:top w:val="none" w:sz="0" w:space="0" w:color="auto"/>
        <w:left w:val="none" w:sz="0" w:space="0" w:color="auto"/>
        <w:bottom w:val="none" w:sz="0" w:space="0" w:color="auto"/>
        <w:right w:val="none" w:sz="0" w:space="0" w:color="auto"/>
      </w:divBdr>
    </w:div>
    <w:div w:id="767971847">
      <w:bodyDiv w:val="1"/>
      <w:marLeft w:val="0"/>
      <w:marRight w:val="0"/>
      <w:marTop w:val="0"/>
      <w:marBottom w:val="0"/>
      <w:divBdr>
        <w:top w:val="none" w:sz="0" w:space="0" w:color="auto"/>
        <w:left w:val="none" w:sz="0" w:space="0" w:color="auto"/>
        <w:bottom w:val="none" w:sz="0" w:space="0" w:color="auto"/>
        <w:right w:val="none" w:sz="0" w:space="0" w:color="auto"/>
      </w:divBdr>
    </w:div>
    <w:div w:id="1218711691">
      <w:bodyDiv w:val="1"/>
      <w:marLeft w:val="0"/>
      <w:marRight w:val="0"/>
      <w:marTop w:val="0"/>
      <w:marBottom w:val="0"/>
      <w:divBdr>
        <w:top w:val="none" w:sz="0" w:space="0" w:color="auto"/>
        <w:left w:val="none" w:sz="0" w:space="0" w:color="auto"/>
        <w:bottom w:val="none" w:sz="0" w:space="0" w:color="auto"/>
        <w:right w:val="none" w:sz="0" w:space="0" w:color="auto"/>
      </w:divBdr>
    </w:div>
    <w:div w:id="127817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71D62-C7DD-4012-978C-B62EB941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10210</Words>
  <Characters>58199</Characters>
  <Application>Microsoft Office Word</Application>
  <DocSecurity>0</DocSecurity>
  <Lines>484</Lines>
  <Paragraphs>136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68273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Drosos Nikos</dc:creator>
  <cp:keywords/>
  <dc:description/>
  <cp:lastModifiedBy>Hudecová, Martina</cp:lastModifiedBy>
  <cp:revision>4</cp:revision>
  <dcterms:created xsi:type="dcterms:W3CDTF">2021-01-11T09:15:00Z</dcterms:created>
  <dcterms:modified xsi:type="dcterms:W3CDTF">2021-01-13T08:27:00Z</dcterms:modified>
</cp:coreProperties>
</file>