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40E86" w14:textId="77777777" w:rsidR="005A14BD" w:rsidRPr="005A14BD" w:rsidRDefault="005A14BD" w:rsidP="005A14BD"/>
    <w:p w14:paraId="547DE6B2" w14:textId="77777777" w:rsidR="00DF67E8" w:rsidRPr="001C4336" w:rsidRDefault="00DF67E8">
      <w:pPr>
        <w:pStyle w:val="Nadpis8"/>
        <w:rPr>
          <w:caps/>
        </w:rPr>
      </w:pPr>
      <w:r w:rsidRPr="001C4336">
        <w:rPr>
          <w:caps/>
        </w:rPr>
        <w:t>Súhrn charakteristických vlastností lieku</w:t>
      </w:r>
    </w:p>
    <w:p w14:paraId="7D082775" w14:textId="77777777" w:rsidR="00DF67E8" w:rsidRPr="00DB0DC3" w:rsidRDefault="00DF67E8">
      <w:pPr>
        <w:rPr>
          <w:b/>
          <w:szCs w:val="22"/>
        </w:rPr>
      </w:pPr>
    </w:p>
    <w:p w14:paraId="3CDEA9D1" w14:textId="77777777" w:rsidR="00DF67E8" w:rsidRPr="00DB0DC3" w:rsidRDefault="00DF67E8" w:rsidP="005E0FF9">
      <w:pPr>
        <w:ind w:left="0" w:firstLine="0"/>
        <w:rPr>
          <w:noProof/>
          <w:szCs w:val="22"/>
        </w:rPr>
      </w:pPr>
    </w:p>
    <w:p w14:paraId="45258992" w14:textId="77777777" w:rsidR="00DF67E8" w:rsidRPr="00DB0DC3" w:rsidRDefault="00DF67E8">
      <w:pPr>
        <w:rPr>
          <w:szCs w:val="22"/>
        </w:rPr>
      </w:pPr>
      <w:r w:rsidRPr="00DB0DC3">
        <w:rPr>
          <w:b/>
          <w:szCs w:val="22"/>
        </w:rPr>
        <w:t>1.</w:t>
      </w:r>
      <w:r w:rsidRPr="00DB0DC3">
        <w:rPr>
          <w:b/>
          <w:szCs w:val="22"/>
        </w:rPr>
        <w:tab/>
        <w:t>NÁZOV LIEKU</w:t>
      </w:r>
    </w:p>
    <w:p w14:paraId="4C1B8D4A" w14:textId="77777777" w:rsidR="00DF67E8" w:rsidRPr="00DB0DC3" w:rsidRDefault="00DF67E8">
      <w:pPr>
        <w:rPr>
          <w:szCs w:val="22"/>
        </w:rPr>
      </w:pPr>
    </w:p>
    <w:p w14:paraId="4DF01BF6" w14:textId="2905830F" w:rsidR="001C4336" w:rsidRPr="00DB0DC3" w:rsidRDefault="00DF67E8">
      <w:pPr>
        <w:rPr>
          <w:szCs w:val="22"/>
        </w:rPr>
      </w:pPr>
      <w:r w:rsidRPr="00DB0DC3">
        <w:rPr>
          <w:szCs w:val="22"/>
        </w:rPr>
        <w:t>Vreya</w:t>
      </w:r>
      <w:r w:rsidR="008728AA">
        <w:rPr>
          <w:szCs w:val="22"/>
        </w:rPr>
        <w:t xml:space="preserve"> </w:t>
      </w:r>
    </w:p>
    <w:p w14:paraId="0F6D974B" w14:textId="77777777" w:rsidR="00DF67E8" w:rsidRPr="00DB0DC3" w:rsidRDefault="002F349E">
      <w:pPr>
        <w:rPr>
          <w:szCs w:val="22"/>
        </w:rPr>
      </w:pPr>
      <w:r>
        <w:rPr>
          <w:szCs w:val="22"/>
        </w:rPr>
        <w:t xml:space="preserve">0,035 mg/2 mg </w:t>
      </w:r>
      <w:r w:rsidR="00D57C46" w:rsidRPr="00DB0DC3">
        <w:rPr>
          <w:szCs w:val="22"/>
        </w:rPr>
        <w:t>obalené tablety</w:t>
      </w:r>
    </w:p>
    <w:p w14:paraId="7A51D370" w14:textId="77777777" w:rsidR="00D57C46" w:rsidRPr="00DB0DC3" w:rsidRDefault="00D57C46">
      <w:pPr>
        <w:rPr>
          <w:szCs w:val="22"/>
        </w:rPr>
      </w:pPr>
    </w:p>
    <w:p w14:paraId="30295C8F" w14:textId="77777777" w:rsidR="00DF67E8" w:rsidRPr="00DB0DC3" w:rsidRDefault="00DF67E8">
      <w:pPr>
        <w:rPr>
          <w:szCs w:val="22"/>
        </w:rPr>
      </w:pPr>
    </w:p>
    <w:p w14:paraId="3DD0B0F1" w14:textId="77777777" w:rsidR="00DF67E8" w:rsidRPr="00DB0DC3" w:rsidRDefault="00DF67E8">
      <w:pPr>
        <w:rPr>
          <w:szCs w:val="22"/>
        </w:rPr>
      </w:pPr>
      <w:r w:rsidRPr="00DB0DC3">
        <w:rPr>
          <w:b/>
          <w:szCs w:val="22"/>
        </w:rPr>
        <w:t>2.</w:t>
      </w:r>
      <w:r w:rsidRPr="00DB0DC3">
        <w:rPr>
          <w:b/>
          <w:szCs w:val="22"/>
        </w:rPr>
        <w:tab/>
        <w:t>KVALITATÍVNE A KVANTITATÍVNE ZLOŽENIE</w:t>
      </w:r>
    </w:p>
    <w:p w14:paraId="0A20E2F9" w14:textId="77777777" w:rsidR="00DF67E8" w:rsidRPr="00DB0DC3" w:rsidRDefault="00DF67E8">
      <w:pPr>
        <w:rPr>
          <w:i/>
          <w:szCs w:val="22"/>
        </w:rPr>
      </w:pPr>
    </w:p>
    <w:p w14:paraId="2AB020A2" w14:textId="2D895650" w:rsidR="00DF67E8" w:rsidRPr="00DB0DC3" w:rsidRDefault="00DF67E8">
      <w:pPr>
        <w:ind w:left="0" w:firstLine="0"/>
        <w:outlineLvl w:val="0"/>
        <w:rPr>
          <w:szCs w:val="22"/>
        </w:rPr>
      </w:pPr>
      <w:r w:rsidRPr="00DB0DC3">
        <w:rPr>
          <w:szCs w:val="22"/>
        </w:rPr>
        <w:t>Každá obalená tableta obsahuje 0,035 mg etinylestradiolu a 2 mg cyproterón</w:t>
      </w:r>
      <w:r w:rsidR="003E5262">
        <w:rPr>
          <w:szCs w:val="22"/>
        </w:rPr>
        <w:t>ium-</w:t>
      </w:r>
      <w:r w:rsidRPr="00DB0DC3">
        <w:rPr>
          <w:szCs w:val="22"/>
        </w:rPr>
        <w:t>acetátu.</w:t>
      </w:r>
    </w:p>
    <w:p w14:paraId="41E0A6D7" w14:textId="77777777" w:rsidR="00DF67E8" w:rsidRPr="00DB0DC3" w:rsidRDefault="00DF67E8">
      <w:pPr>
        <w:ind w:left="0" w:firstLine="0"/>
        <w:outlineLvl w:val="0"/>
        <w:rPr>
          <w:szCs w:val="22"/>
        </w:rPr>
      </w:pPr>
    </w:p>
    <w:p w14:paraId="626D6497" w14:textId="77777777" w:rsidR="00E20DB0" w:rsidRDefault="005E0FF9">
      <w:pPr>
        <w:ind w:left="0" w:firstLine="0"/>
        <w:outlineLvl w:val="0"/>
        <w:rPr>
          <w:szCs w:val="22"/>
        </w:rPr>
      </w:pPr>
      <w:r w:rsidRPr="00E20DB0">
        <w:rPr>
          <w:szCs w:val="22"/>
          <w:u w:val="single"/>
        </w:rPr>
        <w:t>Pomocná látka so známym účinkom</w:t>
      </w:r>
    </w:p>
    <w:p w14:paraId="19B8D092" w14:textId="77777777" w:rsidR="00DF67E8" w:rsidRDefault="00DF67E8">
      <w:pPr>
        <w:ind w:left="0" w:firstLine="0"/>
        <w:outlineLvl w:val="0"/>
        <w:rPr>
          <w:szCs w:val="22"/>
        </w:rPr>
      </w:pPr>
      <w:r w:rsidRPr="00DB0DC3">
        <w:rPr>
          <w:szCs w:val="22"/>
        </w:rPr>
        <w:t>Každá obalená tableta obsahuje 31,115 mg monohydrátu laktózy a 19,637 mg sacharózy.</w:t>
      </w:r>
    </w:p>
    <w:p w14:paraId="6226311A" w14:textId="77777777" w:rsidR="001C4336" w:rsidRPr="00DB0DC3" w:rsidRDefault="001C4336">
      <w:pPr>
        <w:ind w:left="0" w:firstLine="0"/>
        <w:outlineLvl w:val="0"/>
        <w:rPr>
          <w:szCs w:val="22"/>
        </w:rPr>
      </w:pPr>
    </w:p>
    <w:p w14:paraId="6E3697E5" w14:textId="77777777" w:rsidR="00DF67E8" w:rsidRPr="00DB0DC3" w:rsidRDefault="00DF67E8">
      <w:pPr>
        <w:outlineLvl w:val="0"/>
        <w:rPr>
          <w:szCs w:val="22"/>
        </w:rPr>
      </w:pPr>
      <w:r w:rsidRPr="00DB0DC3">
        <w:rPr>
          <w:noProof/>
          <w:szCs w:val="22"/>
        </w:rPr>
        <w:t>Úplný zoznam pomocných látok, pozri časť 6.1.</w:t>
      </w:r>
    </w:p>
    <w:p w14:paraId="3F6E2A25" w14:textId="77777777" w:rsidR="00DF67E8" w:rsidRPr="00DB0DC3" w:rsidRDefault="00DF67E8">
      <w:pPr>
        <w:rPr>
          <w:szCs w:val="22"/>
        </w:rPr>
      </w:pPr>
    </w:p>
    <w:p w14:paraId="0053B452" w14:textId="77777777" w:rsidR="00DF67E8" w:rsidRPr="00DB0DC3" w:rsidRDefault="00DF67E8">
      <w:pPr>
        <w:rPr>
          <w:szCs w:val="22"/>
        </w:rPr>
      </w:pPr>
    </w:p>
    <w:p w14:paraId="26397054" w14:textId="77777777" w:rsidR="00DF67E8" w:rsidRPr="00DB0DC3" w:rsidRDefault="00DF67E8">
      <w:pPr>
        <w:rPr>
          <w:caps/>
          <w:szCs w:val="22"/>
        </w:rPr>
      </w:pPr>
      <w:r w:rsidRPr="00DB0DC3">
        <w:rPr>
          <w:b/>
          <w:szCs w:val="22"/>
        </w:rPr>
        <w:t>3.</w:t>
      </w:r>
      <w:r w:rsidRPr="00DB0DC3">
        <w:rPr>
          <w:b/>
          <w:szCs w:val="22"/>
        </w:rPr>
        <w:tab/>
        <w:t>LIEKOVÁ FORMA</w:t>
      </w:r>
    </w:p>
    <w:p w14:paraId="04970563" w14:textId="77777777" w:rsidR="00DF67E8" w:rsidRPr="00DB0DC3" w:rsidRDefault="00DF67E8">
      <w:pPr>
        <w:rPr>
          <w:szCs w:val="22"/>
        </w:rPr>
      </w:pPr>
    </w:p>
    <w:p w14:paraId="30B651AD" w14:textId="0D41A098" w:rsidR="00DF67E8" w:rsidRPr="00DB0DC3" w:rsidRDefault="00DF67E8">
      <w:pPr>
        <w:rPr>
          <w:szCs w:val="22"/>
        </w:rPr>
      </w:pPr>
      <w:r w:rsidRPr="00DB0DC3">
        <w:rPr>
          <w:szCs w:val="22"/>
        </w:rPr>
        <w:t>Obalená tableta.</w:t>
      </w:r>
      <w:bookmarkStart w:id="0" w:name="_GoBack"/>
      <w:bookmarkEnd w:id="0"/>
    </w:p>
    <w:p w14:paraId="5D6821DA" w14:textId="77777777" w:rsidR="00DF67E8" w:rsidRPr="00DB0DC3" w:rsidRDefault="00DF67E8">
      <w:pPr>
        <w:rPr>
          <w:szCs w:val="22"/>
        </w:rPr>
      </w:pPr>
      <w:r w:rsidRPr="00DB0DC3">
        <w:rPr>
          <w:szCs w:val="22"/>
        </w:rPr>
        <w:t>Biela, okrúhla, bikonvexná obalená tableta.</w:t>
      </w:r>
    </w:p>
    <w:p w14:paraId="7EE79763" w14:textId="77777777" w:rsidR="00DF67E8" w:rsidRPr="00DB0DC3" w:rsidRDefault="00DF67E8">
      <w:pPr>
        <w:ind w:left="0" w:firstLine="0"/>
        <w:rPr>
          <w:szCs w:val="22"/>
        </w:rPr>
      </w:pPr>
    </w:p>
    <w:p w14:paraId="15A7A016" w14:textId="77777777" w:rsidR="00DF67E8" w:rsidRPr="00DB0DC3" w:rsidRDefault="00DF67E8">
      <w:pPr>
        <w:ind w:left="0" w:firstLine="0"/>
        <w:rPr>
          <w:szCs w:val="22"/>
        </w:rPr>
      </w:pPr>
    </w:p>
    <w:p w14:paraId="5AB52DDA" w14:textId="77777777" w:rsidR="00DF67E8" w:rsidRPr="00DB0DC3" w:rsidRDefault="00DF67E8">
      <w:pPr>
        <w:rPr>
          <w:caps/>
          <w:szCs w:val="22"/>
        </w:rPr>
      </w:pPr>
      <w:r w:rsidRPr="00DB0DC3">
        <w:rPr>
          <w:b/>
          <w:caps/>
          <w:szCs w:val="22"/>
        </w:rPr>
        <w:t>4.</w:t>
      </w:r>
      <w:r w:rsidRPr="00DB0DC3">
        <w:rPr>
          <w:b/>
          <w:caps/>
          <w:szCs w:val="22"/>
        </w:rPr>
        <w:tab/>
        <w:t>KLINICKÉ ÚDAJE</w:t>
      </w:r>
    </w:p>
    <w:p w14:paraId="73ACF76F" w14:textId="77777777" w:rsidR="00DF67E8" w:rsidRPr="00DB0DC3" w:rsidRDefault="00DF67E8">
      <w:pPr>
        <w:rPr>
          <w:szCs w:val="22"/>
        </w:rPr>
      </w:pPr>
    </w:p>
    <w:p w14:paraId="4D9D4519" w14:textId="77777777" w:rsidR="00DF67E8" w:rsidRPr="00DB0DC3" w:rsidRDefault="00DF67E8">
      <w:pPr>
        <w:rPr>
          <w:szCs w:val="22"/>
        </w:rPr>
      </w:pPr>
      <w:r w:rsidRPr="00DB0DC3">
        <w:rPr>
          <w:b/>
          <w:szCs w:val="22"/>
        </w:rPr>
        <w:t>4.1</w:t>
      </w:r>
      <w:r w:rsidRPr="00DB0DC3">
        <w:rPr>
          <w:b/>
          <w:szCs w:val="22"/>
        </w:rPr>
        <w:tab/>
        <w:t>Terapeutické indikácie</w:t>
      </w:r>
    </w:p>
    <w:p w14:paraId="2570BFF4" w14:textId="77777777" w:rsidR="00DF67E8" w:rsidRPr="00DB0DC3" w:rsidRDefault="00DF67E8">
      <w:pPr>
        <w:rPr>
          <w:szCs w:val="22"/>
        </w:rPr>
      </w:pPr>
    </w:p>
    <w:p w14:paraId="7180AE62" w14:textId="77777777" w:rsidR="00E167DF" w:rsidRPr="00DB0DC3" w:rsidRDefault="002F349E" w:rsidP="00E167DF">
      <w:pPr>
        <w:pStyle w:val="Default"/>
        <w:rPr>
          <w:rFonts w:ascii="Times New Roman" w:hAnsi="Times New Roman" w:cs="Times New Roman"/>
          <w:sz w:val="22"/>
          <w:szCs w:val="22"/>
          <w:lang w:val="sk-SK"/>
        </w:rPr>
      </w:pPr>
      <w:r>
        <w:rPr>
          <w:rFonts w:ascii="Times New Roman" w:hAnsi="Times New Roman" w:cs="Times New Roman"/>
          <w:sz w:val="22"/>
          <w:szCs w:val="22"/>
          <w:lang w:val="sk-SK"/>
        </w:rPr>
        <w:t>Vreya je indikovaná na l</w:t>
      </w:r>
      <w:r w:rsidR="00E167DF" w:rsidRPr="00DB0DC3">
        <w:rPr>
          <w:rFonts w:ascii="Times New Roman" w:hAnsi="Times New Roman" w:cs="Times New Roman"/>
          <w:sz w:val="22"/>
          <w:szCs w:val="22"/>
          <w:lang w:val="sk-SK"/>
        </w:rPr>
        <w:t>iečb</w:t>
      </w:r>
      <w:r>
        <w:rPr>
          <w:rFonts w:ascii="Times New Roman" w:hAnsi="Times New Roman" w:cs="Times New Roman"/>
          <w:sz w:val="22"/>
          <w:szCs w:val="22"/>
          <w:lang w:val="sk-SK"/>
        </w:rPr>
        <w:t>u</w:t>
      </w:r>
      <w:r w:rsidR="00E167DF" w:rsidRPr="00DB0DC3">
        <w:rPr>
          <w:rFonts w:ascii="Times New Roman" w:hAnsi="Times New Roman" w:cs="Times New Roman"/>
          <w:sz w:val="22"/>
          <w:szCs w:val="22"/>
          <w:lang w:val="sk-SK"/>
        </w:rPr>
        <w:t xml:space="preserve"> stredne závažného až závažného androgén – dependentného akné (so seboreou alebo bez nej) a/alebo hirzutizmu u žien v reprodukčnom veku. </w:t>
      </w:r>
    </w:p>
    <w:p w14:paraId="70AECF06" w14:textId="77777777" w:rsidR="00E167DF" w:rsidRPr="00DB0DC3" w:rsidRDefault="00E167DF" w:rsidP="00E167DF">
      <w:pPr>
        <w:pStyle w:val="Default"/>
        <w:rPr>
          <w:rFonts w:ascii="Times New Roman" w:hAnsi="Times New Roman" w:cs="Times New Roman"/>
          <w:sz w:val="22"/>
          <w:szCs w:val="22"/>
          <w:lang w:val="sk-SK"/>
        </w:rPr>
      </w:pPr>
      <w:r w:rsidRPr="00DB0DC3">
        <w:rPr>
          <w:rFonts w:ascii="Times New Roman" w:hAnsi="Times New Roman" w:cs="Times New Roman"/>
          <w:sz w:val="22"/>
          <w:szCs w:val="22"/>
          <w:lang w:val="sk-SK"/>
        </w:rPr>
        <w:t xml:space="preserve">Vreya sa má používať na liečbu akné iba po zlyhaní lokálnej liečby alebo systémovej antibiotickej liečby. </w:t>
      </w:r>
    </w:p>
    <w:p w14:paraId="7D4908E5" w14:textId="77777777" w:rsidR="00DE2B94" w:rsidRPr="00DB0DC3" w:rsidRDefault="00E167DF" w:rsidP="00E167DF">
      <w:pPr>
        <w:ind w:left="0" w:firstLine="0"/>
        <w:rPr>
          <w:szCs w:val="22"/>
        </w:rPr>
      </w:pPr>
      <w:r w:rsidRPr="00DB0DC3">
        <w:rPr>
          <w:szCs w:val="22"/>
        </w:rPr>
        <w:t>Keďže Vreya je tiež hormonáln</w:t>
      </w:r>
      <w:r w:rsidR="00BA7D19">
        <w:rPr>
          <w:szCs w:val="22"/>
        </w:rPr>
        <w:t>a</w:t>
      </w:r>
      <w:r w:rsidRPr="00DB0DC3">
        <w:rPr>
          <w:szCs w:val="22"/>
        </w:rPr>
        <w:t xml:space="preserve"> </w:t>
      </w:r>
      <w:r w:rsidR="00BA7D19">
        <w:rPr>
          <w:szCs w:val="22"/>
        </w:rPr>
        <w:t>antikoncepcia</w:t>
      </w:r>
      <w:r w:rsidRPr="00DB0DC3">
        <w:rPr>
          <w:szCs w:val="22"/>
        </w:rPr>
        <w:t>, nemá sa používať v kombinácii s inými hormonálnymi antikoncepciami (pozri časť 4.3).</w:t>
      </w:r>
    </w:p>
    <w:p w14:paraId="75E732CC" w14:textId="77777777" w:rsidR="00E167DF" w:rsidRPr="00DB0DC3" w:rsidRDefault="00E167DF" w:rsidP="00E167DF">
      <w:pPr>
        <w:rPr>
          <w:szCs w:val="22"/>
        </w:rPr>
      </w:pPr>
    </w:p>
    <w:p w14:paraId="4194B4D2" w14:textId="77777777" w:rsidR="00DF67E8" w:rsidRDefault="00DF67E8">
      <w:pPr>
        <w:rPr>
          <w:b/>
          <w:szCs w:val="22"/>
        </w:rPr>
      </w:pPr>
      <w:r w:rsidRPr="00DB0DC3">
        <w:rPr>
          <w:b/>
          <w:szCs w:val="22"/>
        </w:rPr>
        <w:t>4.2</w:t>
      </w:r>
      <w:r w:rsidRPr="00DB0DC3">
        <w:rPr>
          <w:b/>
          <w:szCs w:val="22"/>
        </w:rPr>
        <w:tab/>
        <w:t>Dávkovanie a spôsob podávania</w:t>
      </w:r>
    </w:p>
    <w:p w14:paraId="00E9A7BF" w14:textId="77777777" w:rsidR="00580AD9" w:rsidRPr="00DB0DC3" w:rsidRDefault="00580AD9">
      <w:pPr>
        <w:rPr>
          <w:szCs w:val="22"/>
        </w:rPr>
      </w:pPr>
    </w:p>
    <w:p w14:paraId="1ED4FA7E" w14:textId="77777777" w:rsidR="00580AD9" w:rsidRPr="00580AD9" w:rsidRDefault="00580AD9" w:rsidP="00D63BE7">
      <w:pPr>
        <w:ind w:left="0" w:firstLine="0"/>
        <w:rPr>
          <w:szCs w:val="22"/>
          <w:u w:val="single"/>
        </w:rPr>
      </w:pPr>
      <w:r w:rsidRPr="00580AD9">
        <w:rPr>
          <w:szCs w:val="22"/>
          <w:u w:val="single"/>
        </w:rPr>
        <w:t>Dávkovanie</w:t>
      </w:r>
    </w:p>
    <w:p w14:paraId="6B9A7EC7" w14:textId="77777777" w:rsidR="00580AD9" w:rsidRDefault="00580AD9">
      <w:pPr>
        <w:ind w:left="0" w:firstLine="0"/>
        <w:rPr>
          <w:szCs w:val="22"/>
        </w:rPr>
      </w:pPr>
    </w:p>
    <w:p w14:paraId="20FE76D1" w14:textId="77777777" w:rsidR="00DF67E8" w:rsidRPr="00DB0DC3" w:rsidRDefault="00DF67E8">
      <w:pPr>
        <w:ind w:left="0" w:firstLine="0"/>
        <w:rPr>
          <w:szCs w:val="22"/>
        </w:rPr>
      </w:pPr>
      <w:r w:rsidRPr="00DB0DC3">
        <w:rPr>
          <w:szCs w:val="22"/>
        </w:rPr>
        <w:t>Vreya inhibuje ovuláciu, a tým chráni pred oplodnením. Pacientky, ktoré používajú Vreyu, preto nemajú používať ďalši</w:t>
      </w:r>
      <w:r w:rsidR="00250AA4">
        <w:rPr>
          <w:szCs w:val="22"/>
        </w:rPr>
        <w:t>u</w:t>
      </w:r>
      <w:r w:rsidRPr="00DB0DC3">
        <w:rPr>
          <w:szCs w:val="22"/>
        </w:rPr>
        <w:t xml:space="preserve"> hormonáln</w:t>
      </w:r>
      <w:r w:rsidR="00250AA4">
        <w:rPr>
          <w:szCs w:val="22"/>
        </w:rPr>
        <w:t>u</w:t>
      </w:r>
      <w:r w:rsidRPr="00DB0DC3">
        <w:rPr>
          <w:szCs w:val="22"/>
        </w:rPr>
        <w:t xml:space="preserve"> </w:t>
      </w:r>
      <w:r w:rsidR="00BA7D19">
        <w:rPr>
          <w:szCs w:val="22"/>
        </w:rPr>
        <w:t>antikoncepciu</w:t>
      </w:r>
      <w:r w:rsidRPr="00DB0DC3">
        <w:rPr>
          <w:szCs w:val="22"/>
        </w:rPr>
        <w:t>, pretože to vystaví pacientku nadmernej dávke hormónov a to nie je nutné na účinnú antikoncepciu.</w:t>
      </w:r>
    </w:p>
    <w:p w14:paraId="5D20FBFA" w14:textId="77777777" w:rsidR="00DF67E8" w:rsidRPr="00DB0DC3" w:rsidRDefault="00DF67E8">
      <w:pPr>
        <w:rPr>
          <w:szCs w:val="22"/>
        </w:rPr>
      </w:pPr>
    </w:p>
    <w:p w14:paraId="556F8DAC" w14:textId="77777777" w:rsidR="00DF67E8" w:rsidRPr="00DB0DC3" w:rsidRDefault="00DF67E8">
      <w:pPr>
        <w:pStyle w:val="Nadpis6"/>
      </w:pPr>
      <w:r w:rsidRPr="00DB0DC3">
        <w:t>Ako používať Vreyu</w:t>
      </w:r>
    </w:p>
    <w:p w14:paraId="339ACFE2" w14:textId="77777777" w:rsidR="00DF67E8" w:rsidRPr="00DB0DC3" w:rsidRDefault="00DF67E8">
      <w:pPr>
        <w:ind w:left="0" w:hanging="27"/>
        <w:rPr>
          <w:szCs w:val="22"/>
        </w:rPr>
      </w:pPr>
      <w:r w:rsidRPr="00DB0DC3">
        <w:rPr>
          <w:szCs w:val="22"/>
        </w:rPr>
        <w:t>Tablety sa majú užívať denne približne v rovnakom čase spolu s tekutinou v poradí uvedenom na blistri. Počas 21 dní sa má užívať jedna tableta denne, potom nasleduje 7-dňový interval bez tabliet. Krvácanie z vysadenia sa zvyčajne objaví na 2. alebo 3. deň po užití poslednej tablety a nemusí sa nevyhnutne skončiť pred začatím užívania tabliet z ďalšieho blistra.</w:t>
      </w:r>
    </w:p>
    <w:p w14:paraId="5525E71E" w14:textId="77777777" w:rsidR="00DF67E8" w:rsidRPr="00DB0DC3" w:rsidRDefault="00DF67E8">
      <w:pPr>
        <w:ind w:left="0" w:hanging="27"/>
        <w:rPr>
          <w:szCs w:val="22"/>
        </w:rPr>
      </w:pPr>
    </w:p>
    <w:p w14:paraId="2A2057D2" w14:textId="77777777" w:rsidR="00DF67E8" w:rsidRPr="00DB0DC3" w:rsidRDefault="00DF67E8">
      <w:pPr>
        <w:pStyle w:val="Nadpis6"/>
      </w:pPr>
      <w:r w:rsidRPr="00DB0DC3">
        <w:t xml:space="preserve">Ako začať užívať Vreyu </w:t>
      </w:r>
    </w:p>
    <w:p w14:paraId="35D5D8AC" w14:textId="77777777" w:rsidR="00DF67E8" w:rsidRPr="00DB0DC3" w:rsidRDefault="00DF67E8">
      <w:pPr>
        <w:rPr>
          <w:i/>
          <w:szCs w:val="22"/>
        </w:rPr>
      </w:pPr>
      <w:r w:rsidRPr="00DB0DC3">
        <w:rPr>
          <w:i/>
          <w:szCs w:val="22"/>
        </w:rPr>
        <w:t>Bez užívania hormonálne</w:t>
      </w:r>
      <w:r w:rsidR="0068685D">
        <w:rPr>
          <w:i/>
          <w:szCs w:val="22"/>
        </w:rPr>
        <w:t>j</w:t>
      </w:r>
      <w:r w:rsidRPr="00DB0DC3">
        <w:rPr>
          <w:i/>
          <w:szCs w:val="22"/>
        </w:rPr>
        <w:t xml:space="preserve"> </w:t>
      </w:r>
      <w:r w:rsidR="00C73C10">
        <w:rPr>
          <w:i/>
          <w:szCs w:val="22"/>
        </w:rPr>
        <w:t>antikoncepcie</w:t>
      </w:r>
      <w:r w:rsidRPr="00DB0DC3">
        <w:rPr>
          <w:i/>
          <w:szCs w:val="22"/>
        </w:rPr>
        <w:t xml:space="preserve"> v predošlom mesiaci</w:t>
      </w:r>
    </w:p>
    <w:p w14:paraId="67E61FF7" w14:textId="77777777" w:rsidR="00DF67E8" w:rsidRPr="00DB0DC3" w:rsidRDefault="00DF67E8">
      <w:pPr>
        <w:ind w:left="0" w:hanging="27"/>
        <w:rPr>
          <w:szCs w:val="22"/>
        </w:rPr>
      </w:pPr>
      <w:r w:rsidRPr="00DB0DC3">
        <w:rPr>
          <w:szCs w:val="22"/>
        </w:rPr>
        <w:t>Prvá tableta sa má užiť v prvý deň menštruačného cyklu (prvý deň menštruácie sa počíta ako deň 1). Začať možno tiež na 2. až 5. deň, ale počas prvých 7 dní prvého cyklu sa majú použiť ďalšie (bariérové) antikoncepčné opatrenia.</w:t>
      </w:r>
    </w:p>
    <w:p w14:paraId="02652CA3" w14:textId="77777777" w:rsidR="00DF67E8" w:rsidRPr="00DB0DC3" w:rsidRDefault="00DF67E8">
      <w:pPr>
        <w:ind w:left="0" w:hanging="27"/>
        <w:rPr>
          <w:szCs w:val="22"/>
        </w:rPr>
      </w:pPr>
    </w:p>
    <w:p w14:paraId="7E6E1DE3" w14:textId="77777777" w:rsidR="00DF67E8" w:rsidRPr="00DB0DC3" w:rsidRDefault="00DF67E8">
      <w:pPr>
        <w:rPr>
          <w:i/>
          <w:szCs w:val="22"/>
        </w:rPr>
      </w:pPr>
      <w:r w:rsidRPr="00DB0DC3">
        <w:rPr>
          <w:i/>
          <w:szCs w:val="22"/>
        </w:rPr>
        <w:t xml:space="preserve">Prechod z iné </w:t>
      </w:r>
      <w:r w:rsidR="0068685D" w:rsidRPr="00DB0DC3">
        <w:rPr>
          <w:i/>
          <w:szCs w:val="22"/>
        </w:rPr>
        <w:t>kombinovan</w:t>
      </w:r>
      <w:r w:rsidR="0068685D">
        <w:rPr>
          <w:i/>
          <w:szCs w:val="22"/>
        </w:rPr>
        <w:t>ej</w:t>
      </w:r>
      <w:r w:rsidR="0068685D" w:rsidRPr="00DB0DC3">
        <w:rPr>
          <w:i/>
          <w:szCs w:val="22"/>
        </w:rPr>
        <w:t xml:space="preserve"> </w:t>
      </w:r>
      <w:r w:rsidRPr="00DB0DC3">
        <w:rPr>
          <w:i/>
          <w:szCs w:val="22"/>
        </w:rPr>
        <w:t>perorálne</w:t>
      </w:r>
      <w:r w:rsidR="0068685D">
        <w:rPr>
          <w:i/>
          <w:szCs w:val="22"/>
        </w:rPr>
        <w:t>j</w:t>
      </w:r>
      <w:r w:rsidRPr="00DB0DC3">
        <w:rPr>
          <w:i/>
          <w:szCs w:val="22"/>
        </w:rPr>
        <w:t xml:space="preserve"> </w:t>
      </w:r>
      <w:r w:rsidR="00707449">
        <w:rPr>
          <w:i/>
          <w:szCs w:val="22"/>
        </w:rPr>
        <w:t>antikoncepcie</w:t>
      </w:r>
      <w:r w:rsidRPr="00DB0DC3">
        <w:rPr>
          <w:i/>
          <w:szCs w:val="22"/>
        </w:rPr>
        <w:t xml:space="preserve"> (COC)</w:t>
      </w:r>
    </w:p>
    <w:p w14:paraId="617D81E7" w14:textId="77777777" w:rsidR="00DF67E8" w:rsidRPr="00DB0DC3" w:rsidRDefault="00DF67E8">
      <w:pPr>
        <w:ind w:left="0" w:firstLine="0"/>
        <w:rPr>
          <w:szCs w:val="22"/>
        </w:rPr>
      </w:pPr>
      <w:r w:rsidRPr="00DB0DC3">
        <w:rPr>
          <w:szCs w:val="22"/>
        </w:rPr>
        <w:t>Užívanie Vreye sa má začať najlepšie v nasledujúci deň po užití poslednej aktívnej tablety z predchádzajúceho COC, ale najneskôr v deň, ktorý nasleduje po zvyčajnom intervale bez užívania tabliet (alebo po užití poslednej placebo tablety) z predchádzajúceho COC.</w:t>
      </w:r>
    </w:p>
    <w:p w14:paraId="26ED762D" w14:textId="77777777" w:rsidR="00DF67E8" w:rsidRPr="00DB0DC3" w:rsidRDefault="00DF67E8">
      <w:pPr>
        <w:rPr>
          <w:szCs w:val="22"/>
        </w:rPr>
      </w:pPr>
    </w:p>
    <w:p w14:paraId="7EDB6E77" w14:textId="77777777" w:rsidR="00DF67E8" w:rsidRPr="00DB0DC3" w:rsidRDefault="00DF67E8">
      <w:pPr>
        <w:ind w:left="0" w:hanging="27"/>
        <w:rPr>
          <w:i/>
          <w:szCs w:val="22"/>
        </w:rPr>
      </w:pPr>
      <w:r w:rsidRPr="00DB0DC3">
        <w:rPr>
          <w:i/>
          <w:szCs w:val="22"/>
        </w:rPr>
        <w:t>Prechod z  progestagénovej metódy ("tabletka", injekcia, implantát alebo IUS).</w:t>
      </w:r>
    </w:p>
    <w:p w14:paraId="4329CE6E" w14:textId="77777777" w:rsidR="00DF67E8" w:rsidRPr="00DB0DC3" w:rsidRDefault="00DF67E8">
      <w:pPr>
        <w:ind w:left="0" w:firstLine="0"/>
        <w:rPr>
          <w:szCs w:val="22"/>
        </w:rPr>
      </w:pPr>
      <w:r w:rsidRPr="00DB0DC3">
        <w:rPr>
          <w:szCs w:val="22"/>
        </w:rPr>
        <w:t xml:space="preserve">Žena môže prejsť z „tabletky“ kedykoľvek podľa rozhodnutia, z implantátu a vnútromaternicového systému uvoľňujúceho progestagén (IUS) v deň jeho vyňatia a z injekcie v deň, keď mala byť podaná ďalšia injekcia. </w:t>
      </w:r>
    </w:p>
    <w:p w14:paraId="35E12DE6" w14:textId="77777777" w:rsidR="00DF67E8" w:rsidRPr="00DB0DC3" w:rsidRDefault="00DF67E8">
      <w:pPr>
        <w:ind w:left="0" w:firstLine="0"/>
        <w:rPr>
          <w:szCs w:val="22"/>
        </w:rPr>
      </w:pPr>
      <w:r w:rsidRPr="00DB0DC3">
        <w:rPr>
          <w:szCs w:val="22"/>
        </w:rPr>
        <w:t>Počas prvých 7 dní sa majú použiť ďalšie (bariérové) antikoncepčné opatrenia.</w:t>
      </w:r>
    </w:p>
    <w:p w14:paraId="1AAAA587" w14:textId="77777777" w:rsidR="00DF67E8" w:rsidRPr="00DB0DC3" w:rsidRDefault="00DF67E8">
      <w:pPr>
        <w:ind w:left="0" w:firstLine="0"/>
        <w:rPr>
          <w:szCs w:val="22"/>
        </w:rPr>
      </w:pPr>
    </w:p>
    <w:p w14:paraId="1F9CDEC6" w14:textId="77777777" w:rsidR="00DF67E8" w:rsidRPr="00DB0DC3" w:rsidRDefault="00DF67E8">
      <w:pPr>
        <w:ind w:left="0" w:firstLine="0"/>
        <w:rPr>
          <w:i/>
          <w:szCs w:val="22"/>
        </w:rPr>
      </w:pPr>
      <w:r w:rsidRPr="00DB0DC3">
        <w:rPr>
          <w:i/>
          <w:szCs w:val="22"/>
        </w:rPr>
        <w:t>Používanie po potrate (1. trimester)</w:t>
      </w:r>
    </w:p>
    <w:p w14:paraId="601B0448" w14:textId="77777777" w:rsidR="00DF67E8" w:rsidRPr="00DB0DC3" w:rsidRDefault="00DF67E8">
      <w:pPr>
        <w:ind w:left="0" w:firstLine="0"/>
        <w:rPr>
          <w:szCs w:val="22"/>
        </w:rPr>
      </w:pPr>
      <w:r w:rsidRPr="00DB0DC3">
        <w:rPr>
          <w:szCs w:val="22"/>
        </w:rPr>
        <w:t>Používanie sa môže začať okamžite. V tomto prípade nie sú potrebné žiadne ďalšie antikoncepčné opatrenia.</w:t>
      </w:r>
    </w:p>
    <w:p w14:paraId="07801A66" w14:textId="77777777" w:rsidR="00DF67E8" w:rsidRPr="00DB0DC3" w:rsidRDefault="00DF67E8">
      <w:pPr>
        <w:ind w:left="0" w:firstLine="0"/>
        <w:rPr>
          <w:szCs w:val="22"/>
        </w:rPr>
      </w:pPr>
    </w:p>
    <w:p w14:paraId="58815F2B" w14:textId="77777777" w:rsidR="00DF67E8" w:rsidRPr="00DB0DC3" w:rsidRDefault="00DF67E8">
      <w:pPr>
        <w:ind w:left="0" w:firstLine="0"/>
        <w:rPr>
          <w:i/>
          <w:szCs w:val="22"/>
        </w:rPr>
      </w:pPr>
      <w:r w:rsidRPr="00DB0DC3">
        <w:rPr>
          <w:i/>
          <w:szCs w:val="22"/>
        </w:rPr>
        <w:t>Používanie po pôrode a po potrate (2. timester)</w:t>
      </w:r>
    </w:p>
    <w:p w14:paraId="762CE396" w14:textId="77777777" w:rsidR="00DF67E8" w:rsidRPr="00DB0DC3" w:rsidRDefault="00DF67E8">
      <w:pPr>
        <w:ind w:left="0" w:firstLine="0"/>
        <w:rPr>
          <w:szCs w:val="22"/>
        </w:rPr>
      </w:pPr>
      <w:r w:rsidRPr="00DB0DC3">
        <w:rPr>
          <w:szCs w:val="22"/>
        </w:rPr>
        <w:t>Dojčiace ženy: pozri časť 4.6.</w:t>
      </w:r>
    </w:p>
    <w:p w14:paraId="3323F212" w14:textId="77777777" w:rsidR="00DF67E8" w:rsidRPr="00DB0DC3" w:rsidRDefault="00DF67E8">
      <w:pPr>
        <w:ind w:left="0" w:firstLine="0"/>
        <w:rPr>
          <w:szCs w:val="22"/>
        </w:rPr>
      </w:pPr>
      <w:r w:rsidRPr="00DB0DC3">
        <w:rPr>
          <w:szCs w:val="22"/>
        </w:rPr>
        <w:t>U nedojčiacich žien sa odporúča začať medzi 21. a 28. dňom po pôrode. Ak sa začne po 28. dni, odporúča sa použitie ďalších (bariérových) antikoncepčných opatrení počas prvých 7 dní užívania tabliet. Ak v takomto prípade už pacientka mala pohlavný styk, musí sa pred začatím užívania COC vylúčiť tehotenstvo alebo počkať na prvé krvácanie, keďže prvá ovulácia po pôrode môže predchádzať prvému krvácaniu.</w:t>
      </w:r>
    </w:p>
    <w:p w14:paraId="050A6AB1" w14:textId="77777777" w:rsidR="00DF67E8" w:rsidRPr="00DB0DC3" w:rsidRDefault="00DF67E8">
      <w:pPr>
        <w:ind w:left="0" w:firstLine="0"/>
        <w:rPr>
          <w:szCs w:val="22"/>
        </w:rPr>
      </w:pPr>
    </w:p>
    <w:p w14:paraId="7BABCD15" w14:textId="77777777" w:rsidR="00DF67E8" w:rsidRPr="00DB0DC3" w:rsidRDefault="00DF67E8">
      <w:pPr>
        <w:pStyle w:val="Nadpis7"/>
      </w:pPr>
      <w:r w:rsidRPr="00DB0DC3">
        <w:t>Čo ak sa zabudnú užiť tablety</w:t>
      </w:r>
    </w:p>
    <w:p w14:paraId="08E79518" w14:textId="77777777" w:rsidR="00DF67E8" w:rsidRPr="00DB0DC3" w:rsidRDefault="00DF67E8">
      <w:pPr>
        <w:ind w:left="0" w:firstLine="0"/>
        <w:rPr>
          <w:szCs w:val="22"/>
        </w:rPr>
      </w:pPr>
      <w:r w:rsidRPr="00DB0DC3">
        <w:rPr>
          <w:szCs w:val="22"/>
        </w:rPr>
        <w:t>Ak sa užitie tablety oneskorí o </w:t>
      </w:r>
      <w:r w:rsidRPr="00DB0DC3">
        <w:rPr>
          <w:b/>
          <w:szCs w:val="22"/>
        </w:rPr>
        <w:t>menej ako 12 hodín</w:t>
      </w:r>
      <w:r w:rsidRPr="00DB0DC3">
        <w:rPr>
          <w:szCs w:val="22"/>
        </w:rPr>
        <w:t>, antikoncepčná ochrana je zachovaná. Zmeškaná tableta sa musí užiť čo najskôr, ako je možné a používanie zvyšných tabliet má pokračovať vo zvyčajnom čase.</w:t>
      </w:r>
    </w:p>
    <w:p w14:paraId="374F73F0" w14:textId="77777777" w:rsidR="00DF67E8" w:rsidRPr="00DB0DC3" w:rsidRDefault="00DF67E8">
      <w:pPr>
        <w:ind w:left="0" w:firstLine="0"/>
        <w:rPr>
          <w:szCs w:val="22"/>
        </w:rPr>
      </w:pPr>
      <w:r w:rsidRPr="00DB0DC3">
        <w:rPr>
          <w:szCs w:val="22"/>
        </w:rPr>
        <w:t>Ak sa užitie tablety oneskorí o </w:t>
      </w:r>
      <w:r w:rsidRPr="00DB0DC3">
        <w:rPr>
          <w:b/>
          <w:szCs w:val="22"/>
        </w:rPr>
        <w:t>viac ako 12 hodín</w:t>
      </w:r>
      <w:r w:rsidRPr="00DB0DC3">
        <w:rPr>
          <w:szCs w:val="22"/>
        </w:rPr>
        <w:t>, antikoncepčná ochrana môže byť znížená.</w:t>
      </w:r>
    </w:p>
    <w:p w14:paraId="7E1F9D31" w14:textId="77777777" w:rsidR="00DF67E8" w:rsidRPr="00DB0DC3" w:rsidRDefault="00DF67E8">
      <w:pPr>
        <w:ind w:left="0" w:firstLine="0"/>
        <w:rPr>
          <w:szCs w:val="22"/>
        </w:rPr>
      </w:pPr>
      <w:r w:rsidRPr="00DB0DC3">
        <w:rPr>
          <w:szCs w:val="22"/>
        </w:rPr>
        <w:t>Ďalšie opatrenia sa riadia základnými pravidlami:</w:t>
      </w:r>
    </w:p>
    <w:p w14:paraId="1DDE6D4B" w14:textId="77777777" w:rsidR="00DF67E8" w:rsidRPr="00DB0DC3" w:rsidRDefault="00DF67E8">
      <w:pPr>
        <w:numPr>
          <w:ilvl w:val="0"/>
          <w:numId w:val="4"/>
        </w:numPr>
        <w:tabs>
          <w:tab w:val="left" w:pos="360"/>
        </w:tabs>
        <w:rPr>
          <w:szCs w:val="22"/>
        </w:rPr>
      </w:pPr>
      <w:r w:rsidRPr="00DB0DC3">
        <w:rPr>
          <w:szCs w:val="22"/>
        </w:rPr>
        <w:t>Užívanie tabliet sa nesmie nikdy prerušiť na dlhšie ako 7 po sebe nasledujúcich dní.</w:t>
      </w:r>
    </w:p>
    <w:p w14:paraId="79139FE6" w14:textId="77777777" w:rsidR="00DF67E8" w:rsidRPr="00DB0DC3" w:rsidRDefault="00DF67E8">
      <w:pPr>
        <w:numPr>
          <w:ilvl w:val="0"/>
          <w:numId w:val="4"/>
        </w:numPr>
        <w:tabs>
          <w:tab w:val="left" w:pos="360"/>
        </w:tabs>
        <w:rPr>
          <w:szCs w:val="22"/>
        </w:rPr>
      </w:pPr>
      <w:r w:rsidRPr="00DB0DC3">
        <w:rPr>
          <w:szCs w:val="22"/>
        </w:rPr>
        <w:t>Tablety sa majú užívať 7 dní bez prerušenia na dosiahnutie supresie osi hypofýza-ováriá.</w:t>
      </w:r>
    </w:p>
    <w:p w14:paraId="00EA299A" w14:textId="77777777" w:rsidR="00DF67E8" w:rsidRPr="00DB0DC3" w:rsidRDefault="00DF67E8">
      <w:pPr>
        <w:ind w:left="0" w:firstLine="0"/>
        <w:rPr>
          <w:szCs w:val="22"/>
        </w:rPr>
      </w:pPr>
    </w:p>
    <w:p w14:paraId="324AB3EA" w14:textId="77777777" w:rsidR="00DF67E8" w:rsidRPr="00DB0DC3" w:rsidRDefault="00DF67E8">
      <w:pPr>
        <w:ind w:left="0" w:firstLine="0"/>
        <w:rPr>
          <w:szCs w:val="22"/>
        </w:rPr>
      </w:pPr>
      <w:r w:rsidRPr="00DB0DC3">
        <w:rPr>
          <w:szCs w:val="22"/>
        </w:rPr>
        <w:t>Z toho vyplýva nasledovné praktické odporúčanie:</w:t>
      </w:r>
    </w:p>
    <w:p w14:paraId="76E4EFF9" w14:textId="77777777" w:rsidR="00DF67E8" w:rsidRPr="00DB0DC3" w:rsidRDefault="00DF67E8">
      <w:pPr>
        <w:ind w:left="0" w:firstLine="0"/>
        <w:rPr>
          <w:bCs/>
          <w:i/>
          <w:iCs/>
          <w:szCs w:val="22"/>
        </w:rPr>
      </w:pPr>
      <w:r w:rsidRPr="00DB0DC3">
        <w:rPr>
          <w:bCs/>
          <w:i/>
          <w:iCs/>
          <w:szCs w:val="22"/>
        </w:rPr>
        <w:t>Prvý týždeň:</w:t>
      </w:r>
    </w:p>
    <w:p w14:paraId="47D7123D" w14:textId="77777777" w:rsidR="00DF67E8" w:rsidRPr="00DB0DC3" w:rsidRDefault="00DF67E8">
      <w:pPr>
        <w:numPr>
          <w:ilvl w:val="0"/>
          <w:numId w:val="18"/>
        </w:numPr>
        <w:tabs>
          <w:tab w:val="clear" w:pos="567"/>
          <w:tab w:val="num" w:pos="0"/>
        </w:tabs>
        <w:ind w:left="0" w:firstLine="0"/>
        <w:rPr>
          <w:szCs w:val="22"/>
        </w:rPr>
      </w:pPr>
      <w:r w:rsidRPr="00DB0DC3">
        <w:rPr>
          <w:szCs w:val="22"/>
        </w:rPr>
        <w:t>Žena má užiť poslednú vynechanú tabletu len čo si spomenie, aj keby to znamenalo užitie 2 tabliet súčasne. Potom pokračuje v užívaní ďalších tabliet vo zvyčajnom čase. Navyše sa počas nasledujúcich 7 dní má použiť bariérová metóda.</w:t>
      </w:r>
      <w:r w:rsidRPr="00DB0DC3">
        <w:t xml:space="preserve"> Ak mala žena pohlavný styk v týždni pred vynechaním tablety, musí sa zvážiť možnosť tehotenstva. Čím viac tabliet sa vynechalo a čím bližšie bolo toto obdobie k pravidelnému intervalu bez tabliet, tým vyššie je riziko otehotnenia.</w:t>
      </w:r>
    </w:p>
    <w:p w14:paraId="20E38A40" w14:textId="77777777" w:rsidR="00DF67E8" w:rsidRPr="00DB0DC3" w:rsidRDefault="00DF67E8">
      <w:pPr>
        <w:ind w:left="360" w:firstLine="0"/>
        <w:rPr>
          <w:szCs w:val="22"/>
        </w:rPr>
      </w:pPr>
    </w:p>
    <w:p w14:paraId="543B75CB" w14:textId="77777777" w:rsidR="00DF67E8" w:rsidRPr="00DB0DC3" w:rsidRDefault="00DF67E8">
      <w:pPr>
        <w:ind w:left="360" w:hanging="360"/>
        <w:rPr>
          <w:bCs/>
          <w:i/>
          <w:iCs/>
          <w:szCs w:val="22"/>
        </w:rPr>
      </w:pPr>
      <w:r w:rsidRPr="00DB0DC3">
        <w:rPr>
          <w:bCs/>
          <w:i/>
          <w:iCs/>
          <w:szCs w:val="22"/>
        </w:rPr>
        <w:t>Druhý týždeň:</w:t>
      </w:r>
    </w:p>
    <w:p w14:paraId="0822BD99" w14:textId="77777777" w:rsidR="00DF67E8" w:rsidRPr="00DB0DC3" w:rsidRDefault="00DF67E8">
      <w:pPr>
        <w:numPr>
          <w:ilvl w:val="0"/>
          <w:numId w:val="5"/>
        </w:numPr>
        <w:tabs>
          <w:tab w:val="clear" w:pos="720"/>
          <w:tab w:val="num" w:pos="0"/>
        </w:tabs>
        <w:ind w:left="0" w:firstLine="0"/>
        <w:rPr>
          <w:szCs w:val="22"/>
        </w:rPr>
      </w:pPr>
      <w:r w:rsidRPr="00DB0DC3">
        <w:rPr>
          <w:szCs w:val="22"/>
        </w:rPr>
        <w:t>Žena má užiť poslednú vynechanú tabletu len čo si spomenie, aj keby to znamenalo užitie 2 tabliet súčasne. Potom pokračuje v užívaní ďalších tabliet vo zvyčajnom čase. Pokiaľ žena užívala tablety pravidelne počas 7 dní pred prvou vynechanou tabletou, ďalšie antikoncepčné opatrenia nie sú potrebné. Ak žena vynechala viac ako jednu tabletu, má byť poučená, aby použila bariérovú antikoncepčnú metódu počas nasledujúcich 7 dní.</w:t>
      </w:r>
    </w:p>
    <w:p w14:paraId="37D049AF" w14:textId="77777777" w:rsidR="00DF67E8" w:rsidRPr="00DB0DC3" w:rsidRDefault="00DF67E8">
      <w:pPr>
        <w:rPr>
          <w:szCs w:val="22"/>
        </w:rPr>
      </w:pPr>
    </w:p>
    <w:p w14:paraId="4CA793C4" w14:textId="77777777" w:rsidR="00DF67E8" w:rsidRPr="00DB0DC3" w:rsidRDefault="00DF67E8">
      <w:pPr>
        <w:rPr>
          <w:bCs/>
          <w:i/>
          <w:iCs/>
          <w:szCs w:val="22"/>
        </w:rPr>
      </w:pPr>
      <w:r w:rsidRPr="00DB0DC3">
        <w:rPr>
          <w:bCs/>
          <w:i/>
          <w:iCs/>
          <w:szCs w:val="22"/>
        </w:rPr>
        <w:t>Tretí týždeň:</w:t>
      </w:r>
    </w:p>
    <w:p w14:paraId="53DCB432" w14:textId="77777777" w:rsidR="00DF67E8" w:rsidRPr="00DB0DC3" w:rsidRDefault="00DF67E8">
      <w:pPr>
        <w:numPr>
          <w:ilvl w:val="0"/>
          <w:numId w:val="5"/>
        </w:numPr>
        <w:tabs>
          <w:tab w:val="clear" w:pos="720"/>
          <w:tab w:val="num" w:pos="0"/>
        </w:tabs>
        <w:ind w:left="0" w:firstLine="0"/>
        <w:rPr>
          <w:szCs w:val="22"/>
        </w:rPr>
      </w:pPr>
      <w:r w:rsidRPr="00DB0DC3">
        <w:rPr>
          <w:szCs w:val="22"/>
        </w:rPr>
        <w:t>Vzhľadom na nadchádzajúci 7-dňový interval bez užívania tabliet je veľké riziko zníženia antikoncepčnej spoľahlivosti. Zníženiu antikoncepčnej ochrany však stále možno predísť úpravou dávky. Pri dodržaní niektorého z nasledovných odporúčaní, nie je potrebné používať ďalšie antikoncepčné opatrenia za predpokladu, že všetky tablety počas 7 dní, ktoré predchádzali prvej vynechanej tablete, boli správne užité.</w:t>
      </w:r>
    </w:p>
    <w:p w14:paraId="54F9D4E1" w14:textId="77777777" w:rsidR="00DF67E8" w:rsidRPr="00DB0DC3" w:rsidRDefault="00DF67E8">
      <w:pPr>
        <w:tabs>
          <w:tab w:val="num" w:pos="0"/>
        </w:tabs>
        <w:ind w:left="0" w:firstLine="0"/>
        <w:rPr>
          <w:szCs w:val="22"/>
        </w:rPr>
      </w:pPr>
      <w:r w:rsidRPr="00DB0DC3">
        <w:rPr>
          <w:szCs w:val="22"/>
        </w:rPr>
        <w:t xml:space="preserve">Ak tomu tak nie je, žena musí postupovať podľa </w:t>
      </w:r>
      <w:r w:rsidRPr="00DB0DC3">
        <w:rPr>
          <w:i/>
          <w:iCs/>
          <w:szCs w:val="22"/>
        </w:rPr>
        <w:t xml:space="preserve">prvej </w:t>
      </w:r>
      <w:r w:rsidRPr="00DB0DC3">
        <w:rPr>
          <w:szCs w:val="22"/>
        </w:rPr>
        <w:t>z nasledujúcich dvoch možností a navyše má tiež počas nasledujúcich 7 dní použiť bariérové antikoncepčné opatrenia.</w:t>
      </w:r>
    </w:p>
    <w:p w14:paraId="0F68991A" w14:textId="77777777" w:rsidR="00DF67E8" w:rsidRPr="00DB0DC3" w:rsidRDefault="00DF67E8">
      <w:pPr>
        <w:ind w:left="708" w:firstLine="0"/>
        <w:rPr>
          <w:szCs w:val="22"/>
        </w:rPr>
      </w:pPr>
    </w:p>
    <w:p w14:paraId="3AC63A5C" w14:textId="77777777" w:rsidR="00DF67E8" w:rsidRPr="00DB0DC3" w:rsidRDefault="00DF67E8">
      <w:pPr>
        <w:numPr>
          <w:ilvl w:val="0"/>
          <w:numId w:val="7"/>
        </w:numPr>
        <w:tabs>
          <w:tab w:val="clear" w:pos="1080"/>
          <w:tab w:val="num" w:pos="360"/>
        </w:tabs>
        <w:ind w:left="0" w:firstLine="0"/>
        <w:rPr>
          <w:szCs w:val="22"/>
        </w:rPr>
      </w:pPr>
      <w:r w:rsidRPr="00DB0DC3">
        <w:rPr>
          <w:szCs w:val="22"/>
        </w:rPr>
        <w:t>Žena má užiť poslednú vynechanú tabletu len čo si spomenie, aj keby to znamenalo užitie 2 tabliet súčasne. Potom pokračuje v užívaní ďalších tabliet vo zvyčajnom čase. Užívanie z nasledujúceho balenia začne ihneď po ukončení užívania terajšieho balenia, t.j. vynechá sa interval bez užívania tabliet. Krvácanie z vysadenia pravdepodobne nedostaví až do skončenia užívania druhého balenia, ale žena môže mať počas užívania tabliet špinenie alebo medzimenštruačné krvácanie.</w:t>
      </w:r>
    </w:p>
    <w:p w14:paraId="61B9B2F0" w14:textId="77777777" w:rsidR="00DF67E8" w:rsidRPr="00DB0DC3" w:rsidRDefault="00DF67E8">
      <w:pPr>
        <w:ind w:left="0" w:firstLine="0"/>
        <w:rPr>
          <w:szCs w:val="22"/>
        </w:rPr>
      </w:pPr>
    </w:p>
    <w:p w14:paraId="2C128106" w14:textId="77777777" w:rsidR="00DF67E8" w:rsidRPr="00DB0DC3" w:rsidRDefault="00DF67E8">
      <w:pPr>
        <w:numPr>
          <w:ilvl w:val="0"/>
          <w:numId w:val="7"/>
        </w:numPr>
        <w:tabs>
          <w:tab w:val="clear" w:pos="1080"/>
          <w:tab w:val="num" w:pos="360"/>
        </w:tabs>
        <w:ind w:left="0" w:firstLine="0"/>
        <w:rPr>
          <w:szCs w:val="22"/>
        </w:rPr>
      </w:pPr>
      <w:r w:rsidRPr="00DB0DC3">
        <w:rPr>
          <w:szCs w:val="22"/>
        </w:rPr>
        <w:t>Taktiež je možné prestať s užívaním tabliet z terajšieho balenia. Žena potom musí mať interval bez užívania tabliet počas 7 dní, vrátane dní, keď vynechala tablety a potom má pokračovať v užívaní z ďalšieho balenia.</w:t>
      </w:r>
    </w:p>
    <w:p w14:paraId="5CEC82DE" w14:textId="77777777" w:rsidR="00DF67E8" w:rsidRPr="00DB0DC3" w:rsidRDefault="00DF67E8">
      <w:pPr>
        <w:ind w:left="0" w:firstLine="0"/>
        <w:rPr>
          <w:szCs w:val="22"/>
        </w:rPr>
      </w:pPr>
    </w:p>
    <w:p w14:paraId="7865679F" w14:textId="77777777" w:rsidR="00DF67E8" w:rsidRPr="00DB0DC3" w:rsidRDefault="00DF67E8">
      <w:pPr>
        <w:ind w:left="0" w:firstLine="0"/>
        <w:rPr>
          <w:szCs w:val="22"/>
        </w:rPr>
      </w:pPr>
      <w:r w:rsidRPr="00DB0DC3">
        <w:rPr>
          <w:szCs w:val="22"/>
        </w:rPr>
        <w:t>Ak žena zabudne užiť niekoľko tabliet a krvácanie z vysadenia sa nedostaví v prvom normálnom intervale bez užívania tabliet, musí sa vziať do úvahy možnosť gravidity.</w:t>
      </w:r>
    </w:p>
    <w:p w14:paraId="65452AF5" w14:textId="77777777" w:rsidR="00DF67E8" w:rsidRPr="00DB0DC3" w:rsidRDefault="00DF67E8">
      <w:pPr>
        <w:ind w:left="1080" w:firstLine="0"/>
        <w:rPr>
          <w:szCs w:val="22"/>
        </w:rPr>
      </w:pPr>
    </w:p>
    <w:p w14:paraId="298DDDEF" w14:textId="77777777" w:rsidR="00DF67E8" w:rsidRPr="00DB0DC3" w:rsidRDefault="00DF67E8">
      <w:pPr>
        <w:pStyle w:val="Nadpis7"/>
      </w:pPr>
      <w:r w:rsidRPr="00DB0DC3">
        <w:t>Čo robiť v prípade vracania</w:t>
      </w:r>
    </w:p>
    <w:p w14:paraId="4287E700" w14:textId="77777777" w:rsidR="00DF67E8" w:rsidRPr="00DB0DC3" w:rsidRDefault="00DF67E8">
      <w:pPr>
        <w:ind w:left="0" w:firstLine="0"/>
        <w:rPr>
          <w:szCs w:val="22"/>
        </w:rPr>
      </w:pPr>
      <w:r w:rsidRPr="00DB0DC3">
        <w:rPr>
          <w:szCs w:val="22"/>
        </w:rPr>
        <w:t>Vracanie v priebehu 3 – 4 hodín po užití tablety môže zabrániť úplnej absorpcii.</w:t>
      </w:r>
    </w:p>
    <w:p w14:paraId="72B5C848" w14:textId="77777777" w:rsidR="00DF67E8" w:rsidRPr="00DB0DC3" w:rsidRDefault="00DF67E8">
      <w:pPr>
        <w:ind w:left="0" w:firstLine="0"/>
        <w:rPr>
          <w:b/>
          <w:szCs w:val="22"/>
        </w:rPr>
      </w:pPr>
      <w:r w:rsidRPr="00DB0DC3">
        <w:rPr>
          <w:szCs w:val="22"/>
        </w:rPr>
        <w:t xml:space="preserve">V takomto prípade sa má postupovať podľa odporúčania v časti </w:t>
      </w:r>
      <w:r w:rsidRPr="00DB0DC3">
        <w:rPr>
          <w:i/>
          <w:szCs w:val="22"/>
        </w:rPr>
        <w:t>Čo ak sa zabudnú užiť tablety.</w:t>
      </w:r>
    </w:p>
    <w:p w14:paraId="42D177D4" w14:textId="77777777" w:rsidR="00DF67E8" w:rsidRPr="00DB0DC3" w:rsidRDefault="00DF67E8">
      <w:pPr>
        <w:ind w:left="0" w:firstLine="0"/>
        <w:rPr>
          <w:szCs w:val="22"/>
        </w:rPr>
      </w:pPr>
      <w:r w:rsidRPr="00DB0DC3">
        <w:rPr>
          <w:szCs w:val="22"/>
        </w:rPr>
        <w:t xml:space="preserve">Ak žena nechce meniť obvyklý režim užívania tabliet, má užiť tabletu (tablety) z nového blistra. </w:t>
      </w:r>
    </w:p>
    <w:p w14:paraId="78EEDBA6" w14:textId="77777777" w:rsidR="00DF67E8" w:rsidRPr="00DB0DC3" w:rsidRDefault="00DF67E8">
      <w:pPr>
        <w:ind w:left="0" w:firstLine="0"/>
        <w:rPr>
          <w:szCs w:val="22"/>
        </w:rPr>
      </w:pPr>
    </w:p>
    <w:p w14:paraId="7E6D7520" w14:textId="77777777" w:rsidR="00DF67E8" w:rsidRPr="00DB0DC3" w:rsidRDefault="00DF67E8">
      <w:pPr>
        <w:pStyle w:val="Nadpis7"/>
      </w:pPr>
      <w:r w:rsidRPr="00DB0DC3">
        <w:t>Ako oddialiť pravidelné krvácanie alebo zmeniť prvý deň krvácania</w:t>
      </w:r>
    </w:p>
    <w:p w14:paraId="48333659" w14:textId="77777777" w:rsidR="00DF67E8" w:rsidRPr="00DB0DC3" w:rsidRDefault="00DF67E8">
      <w:pPr>
        <w:ind w:left="0" w:firstLine="0"/>
        <w:rPr>
          <w:szCs w:val="22"/>
        </w:rPr>
      </w:pPr>
      <w:r w:rsidRPr="00DB0DC3">
        <w:rPr>
          <w:szCs w:val="22"/>
        </w:rPr>
        <w:t>Na oddialenie pravidelného krvácania má žena pokračovať v užívaní tabliet z ďalšieho blistra bez intervalu bez užívania tabliet. Pokračovať môže niekoľko dní alebo až do skončenia užívania celého blistra. Počas tohto predĺženého užívania tabliet môže dôjsť k medzimenštruačnému krvácaniu alebo špineniu. Po zvyčajnom 7-dňovom intervale bez užívania tabliet sa pokračuje v obvyklom užívaní Vreye.</w:t>
      </w:r>
    </w:p>
    <w:p w14:paraId="6FB8D98F" w14:textId="77777777" w:rsidR="00DF67E8" w:rsidRPr="00DB0DC3" w:rsidRDefault="00DF67E8">
      <w:pPr>
        <w:ind w:left="0" w:firstLine="0"/>
        <w:rPr>
          <w:szCs w:val="22"/>
        </w:rPr>
      </w:pPr>
    </w:p>
    <w:p w14:paraId="217F2C00" w14:textId="77777777" w:rsidR="00DF67E8" w:rsidRPr="00DB0DC3" w:rsidRDefault="00DF67E8">
      <w:pPr>
        <w:ind w:left="0" w:firstLine="0"/>
        <w:rPr>
          <w:szCs w:val="22"/>
        </w:rPr>
      </w:pPr>
      <w:r w:rsidRPr="00DB0DC3">
        <w:rPr>
          <w:szCs w:val="22"/>
        </w:rPr>
        <w:t xml:space="preserve">Ak si žena želá zmeniť prvý deň menštruačného krvácania, možno jej odporučiť skrátenie nasledujúceho intervalu bez užívania tabliet o toľko dní, o koľko si praje. Čím kratší bude interval bez užívania tabliet, tým menšia je pravdepodobnosť, že dôjde ku krvácaniu z vysadenia a väčšia pravdepodobnosť, že dôjde k medzimenštruačnému krvácaniu/špineniu počas užívania tabliet z ďalšieho blistra (podobne ako pri oddialení krvácania, pozri vyššie). </w:t>
      </w:r>
    </w:p>
    <w:p w14:paraId="26C7C8F4" w14:textId="77777777" w:rsidR="00DF67E8" w:rsidRPr="00DB0DC3" w:rsidRDefault="00DF67E8">
      <w:pPr>
        <w:ind w:left="0" w:firstLine="0"/>
        <w:rPr>
          <w:szCs w:val="22"/>
        </w:rPr>
      </w:pPr>
    </w:p>
    <w:p w14:paraId="59750105" w14:textId="77777777" w:rsidR="00E167DF" w:rsidRPr="00DB0DC3" w:rsidRDefault="005A14BD" w:rsidP="00E167DF">
      <w:pPr>
        <w:pStyle w:val="Default"/>
        <w:rPr>
          <w:rFonts w:ascii="Times New Roman" w:hAnsi="Times New Roman" w:cs="Times New Roman"/>
          <w:sz w:val="22"/>
          <w:szCs w:val="22"/>
          <w:lang w:val="sk-SK"/>
        </w:rPr>
      </w:pPr>
      <w:r>
        <w:rPr>
          <w:rFonts w:ascii="Times New Roman" w:hAnsi="Times New Roman" w:cs="Times New Roman"/>
          <w:b/>
          <w:bCs/>
          <w:sz w:val="22"/>
          <w:szCs w:val="22"/>
          <w:u w:val="single"/>
          <w:lang w:val="sk-SK"/>
        </w:rPr>
        <w:t>Dĺžka používania</w:t>
      </w:r>
    </w:p>
    <w:p w14:paraId="78B5087C" w14:textId="77777777" w:rsidR="00E167DF" w:rsidRPr="00190BB9" w:rsidRDefault="00E167DF" w:rsidP="009B2DF0">
      <w:pPr>
        <w:ind w:left="0" w:firstLine="0"/>
      </w:pPr>
      <w:r w:rsidRPr="00190BB9">
        <w:t>Čas do zmiernenia symptómov je najmenej tri mesiace. Ošetrujúci lekár má pravidelne vyhodnocovaťpotrebu pokračovania v liečbe. Dĺžka liečby závisí na závažnosti klinického stavu. Liečba zvyčajne trvá niekoľko mesiacov. Odporúča sa liečbu ukončiť 3 až 4 cykly po úplnom vymiznutí indikovaného stavu / indikovaných stavov a v liečbe Vreyou sa nemá pokračovať výlučne z dôvodu poskytnutia perorálnej antikoncepcie.</w:t>
      </w:r>
    </w:p>
    <w:p w14:paraId="54137DEC" w14:textId="77777777" w:rsidR="00E167DF" w:rsidRDefault="00E167DF" w:rsidP="00E167DF">
      <w:pPr>
        <w:rPr>
          <w:szCs w:val="22"/>
        </w:rPr>
      </w:pPr>
    </w:p>
    <w:p w14:paraId="0AD2B0C3" w14:textId="77777777" w:rsidR="009B2DF0" w:rsidRPr="009B2DF0" w:rsidRDefault="009B2DF0" w:rsidP="00E167DF">
      <w:pPr>
        <w:rPr>
          <w:b/>
          <w:szCs w:val="22"/>
        </w:rPr>
      </w:pPr>
      <w:r>
        <w:rPr>
          <w:b/>
          <w:szCs w:val="22"/>
        </w:rPr>
        <w:t>Osobitné</w:t>
      </w:r>
      <w:r w:rsidRPr="009B2DF0">
        <w:rPr>
          <w:b/>
          <w:szCs w:val="22"/>
        </w:rPr>
        <w:t xml:space="preserve"> populáci</w:t>
      </w:r>
      <w:r>
        <w:rPr>
          <w:b/>
          <w:szCs w:val="22"/>
        </w:rPr>
        <w:t>e</w:t>
      </w:r>
    </w:p>
    <w:p w14:paraId="4FD3DD24" w14:textId="77777777" w:rsidR="009B2DF0" w:rsidRDefault="009B2DF0" w:rsidP="00E167DF">
      <w:pPr>
        <w:rPr>
          <w:szCs w:val="22"/>
        </w:rPr>
      </w:pPr>
    </w:p>
    <w:p w14:paraId="0DD77FAE" w14:textId="77777777" w:rsidR="009B2DF0" w:rsidRDefault="009B2DF0" w:rsidP="009B2DF0">
      <w:pPr>
        <w:jc w:val="both"/>
        <w:rPr>
          <w:i/>
          <w:szCs w:val="22"/>
        </w:rPr>
      </w:pPr>
      <w:r>
        <w:rPr>
          <w:i/>
          <w:szCs w:val="22"/>
        </w:rPr>
        <w:t>Detí a dospievajúci</w:t>
      </w:r>
    </w:p>
    <w:p w14:paraId="1F49E245" w14:textId="77777777" w:rsidR="009B2DF0" w:rsidRDefault="009B2DF0" w:rsidP="009B2DF0">
      <w:pPr>
        <w:jc w:val="both"/>
        <w:rPr>
          <w:szCs w:val="22"/>
        </w:rPr>
      </w:pPr>
      <w:r>
        <w:rPr>
          <w:szCs w:val="22"/>
        </w:rPr>
        <w:t xml:space="preserve">Vreya je určená </w:t>
      </w:r>
      <w:r w:rsidR="00B62224">
        <w:rPr>
          <w:szCs w:val="22"/>
        </w:rPr>
        <w:t xml:space="preserve">len </w:t>
      </w:r>
      <w:r>
        <w:rPr>
          <w:szCs w:val="22"/>
        </w:rPr>
        <w:t>pre ženy po prvej menštruácii.</w:t>
      </w:r>
    </w:p>
    <w:p w14:paraId="707A4369" w14:textId="77777777" w:rsidR="009B2DF0" w:rsidRDefault="009B2DF0" w:rsidP="009B2DF0">
      <w:pPr>
        <w:jc w:val="both"/>
        <w:rPr>
          <w:szCs w:val="22"/>
        </w:rPr>
      </w:pPr>
    </w:p>
    <w:p w14:paraId="1D7904E3" w14:textId="77777777" w:rsidR="009B2DF0" w:rsidRDefault="009B2DF0" w:rsidP="009B2DF0">
      <w:pPr>
        <w:jc w:val="both"/>
        <w:rPr>
          <w:i/>
          <w:szCs w:val="22"/>
        </w:rPr>
      </w:pPr>
      <w:r>
        <w:rPr>
          <w:i/>
          <w:szCs w:val="22"/>
        </w:rPr>
        <w:t>Staršie ženy</w:t>
      </w:r>
    </w:p>
    <w:p w14:paraId="46BD481D" w14:textId="77777777" w:rsidR="009B2DF0" w:rsidRDefault="009B2DF0" w:rsidP="009B2DF0">
      <w:pPr>
        <w:jc w:val="both"/>
        <w:rPr>
          <w:szCs w:val="22"/>
        </w:rPr>
      </w:pPr>
      <w:r>
        <w:rPr>
          <w:szCs w:val="22"/>
        </w:rPr>
        <w:t>Nepoužíva sa. Vreya nie je určená pre ženy po menopauze.</w:t>
      </w:r>
    </w:p>
    <w:p w14:paraId="66845D98" w14:textId="77777777" w:rsidR="009B2DF0" w:rsidRDefault="009B2DF0" w:rsidP="009B2DF0">
      <w:pPr>
        <w:jc w:val="both"/>
        <w:rPr>
          <w:szCs w:val="22"/>
        </w:rPr>
      </w:pPr>
    </w:p>
    <w:p w14:paraId="7F0780FB" w14:textId="77777777" w:rsidR="009B2DF0" w:rsidRDefault="009B2DF0" w:rsidP="009B2DF0">
      <w:pPr>
        <w:jc w:val="both"/>
        <w:rPr>
          <w:i/>
          <w:szCs w:val="22"/>
        </w:rPr>
      </w:pPr>
      <w:r>
        <w:rPr>
          <w:i/>
          <w:szCs w:val="22"/>
        </w:rPr>
        <w:t>Ženy s </w:t>
      </w:r>
      <w:r w:rsidR="00B62224">
        <w:rPr>
          <w:i/>
          <w:szCs w:val="22"/>
        </w:rPr>
        <w:t>poškodenou funkciou pečene</w:t>
      </w:r>
    </w:p>
    <w:p w14:paraId="5DEC2B8C" w14:textId="77777777" w:rsidR="009B2DF0" w:rsidRDefault="009B2DF0" w:rsidP="006B4A50">
      <w:pPr>
        <w:ind w:left="0" w:firstLine="0"/>
        <w:jc w:val="both"/>
        <w:rPr>
          <w:szCs w:val="22"/>
        </w:rPr>
      </w:pPr>
      <w:r>
        <w:rPr>
          <w:szCs w:val="22"/>
        </w:rPr>
        <w:t>Vrey</w:t>
      </w:r>
      <w:r w:rsidR="00B62224">
        <w:rPr>
          <w:szCs w:val="22"/>
        </w:rPr>
        <w:t>a</w:t>
      </w:r>
      <w:r>
        <w:rPr>
          <w:szCs w:val="22"/>
        </w:rPr>
        <w:t xml:space="preserve"> </w:t>
      </w:r>
      <w:r w:rsidR="00B62224">
        <w:rPr>
          <w:szCs w:val="22"/>
        </w:rPr>
        <w:t>je kontraindikovaná u</w:t>
      </w:r>
      <w:r>
        <w:rPr>
          <w:szCs w:val="22"/>
        </w:rPr>
        <w:t xml:space="preserve"> ž</w:t>
      </w:r>
      <w:r w:rsidR="00B62224">
        <w:rPr>
          <w:szCs w:val="22"/>
        </w:rPr>
        <w:t>i</w:t>
      </w:r>
      <w:r>
        <w:rPr>
          <w:szCs w:val="22"/>
        </w:rPr>
        <w:t>en so závažnými chorobami pečene dovtedy, pokiaľ sa hodnoty pečeňových funkcií nevrátia k normálnym hodnotám</w:t>
      </w:r>
      <w:r w:rsidR="006B4A50">
        <w:rPr>
          <w:szCs w:val="22"/>
        </w:rPr>
        <w:t xml:space="preserve"> (</w:t>
      </w:r>
      <w:r w:rsidR="00B62224">
        <w:rPr>
          <w:szCs w:val="22"/>
        </w:rPr>
        <w:t>p</w:t>
      </w:r>
      <w:r>
        <w:rPr>
          <w:szCs w:val="22"/>
        </w:rPr>
        <w:t>ozri časť</w:t>
      </w:r>
      <w:r w:rsidR="006B4A50">
        <w:rPr>
          <w:szCs w:val="22"/>
        </w:rPr>
        <w:t xml:space="preserve"> 4.3)</w:t>
      </w:r>
      <w:r>
        <w:rPr>
          <w:szCs w:val="22"/>
        </w:rPr>
        <w:t>.</w:t>
      </w:r>
    </w:p>
    <w:p w14:paraId="484F7832" w14:textId="77777777" w:rsidR="009B2DF0" w:rsidRDefault="009B2DF0" w:rsidP="009B2DF0">
      <w:pPr>
        <w:jc w:val="both"/>
        <w:rPr>
          <w:szCs w:val="22"/>
        </w:rPr>
      </w:pPr>
    </w:p>
    <w:p w14:paraId="2BC2E3F1" w14:textId="77777777" w:rsidR="009B2DF0" w:rsidRDefault="009B2DF0" w:rsidP="009B2DF0">
      <w:pPr>
        <w:jc w:val="both"/>
        <w:rPr>
          <w:i/>
          <w:szCs w:val="22"/>
        </w:rPr>
      </w:pPr>
      <w:r>
        <w:rPr>
          <w:i/>
          <w:szCs w:val="22"/>
        </w:rPr>
        <w:t>Ženy s </w:t>
      </w:r>
      <w:r w:rsidR="00B62224">
        <w:rPr>
          <w:i/>
          <w:szCs w:val="22"/>
        </w:rPr>
        <w:t>poškodenou funkciou obličiek</w:t>
      </w:r>
    </w:p>
    <w:p w14:paraId="6EAF5CDB" w14:textId="77777777" w:rsidR="009B2DF0" w:rsidRPr="00DB0DC3" w:rsidRDefault="00427DB7" w:rsidP="00427DB7">
      <w:pPr>
        <w:ind w:left="0" w:firstLine="0"/>
        <w:rPr>
          <w:szCs w:val="22"/>
        </w:rPr>
      </w:pPr>
      <w:r>
        <w:rPr>
          <w:szCs w:val="22"/>
        </w:rPr>
        <w:t xml:space="preserve">Neuskutočnil sa žiaden špecifický </w:t>
      </w:r>
      <w:r w:rsidR="00B62224">
        <w:rPr>
          <w:szCs w:val="22"/>
        </w:rPr>
        <w:t>vý</w:t>
      </w:r>
      <w:r>
        <w:rPr>
          <w:szCs w:val="22"/>
        </w:rPr>
        <w:t>skum u pacient</w:t>
      </w:r>
      <w:r w:rsidR="00B62224">
        <w:rPr>
          <w:szCs w:val="22"/>
        </w:rPr>
        <w:t>o</w:t>
      </w:r>
      <w:r>
        <w:rPr>
          <w:szCs w:val="22"/>
        </w:rPr>
        <w:t>k s </w:t>
      </w:r>
      <w:r w:rsidR="00B62224">
        <w:rPr>
          <w:szCs w:val="22"/>
        </w:rPr>
        <w:t>renálnou insuficienciou</w:t>
      </w:r>
      <w:r>
        <w:rPr>
          <w:szCs w:val="22"/>
        </w:rPr>
        <w:t>.</w:t>
      </w:r>
      <w:r w:rsidR="009B2DF0">
        <w:rPr>
          <w:szCs w:val="22"/>
        </w:rPr>
        <w:t xml:space="preserve"> </w:t>
      </w:r>
      <w:r w:rsidR="009B2DF0" w:rsidRPr="009E45AD">
        <w:rPr>
          <w:szCs w:val="22"/>
        </w:rPr>
        <w:t xml:space="preserve">Dostupné údaje nenaznačujú, že by bolo nutné </w:t>
      </w:r>
      <w:r w:rsidR="004C3D1F">
        <w:rPr>
          <w:szCs w:val="22"/>
        </w:rPr>
        <w:t>upraviť liečbu</w:t>
      </w:r>
      <w:r w:rsidR="009B2DF0" w:rsidRPr="009E45AD">
        <w:rPr>
          <w:szCs w:val="22"/>
        </w:rPr>
        <w:t xml:space="preserve"> </w:t>
      </w:r>
      <w:r>
        <w:rPr>
          <w:szCs w:val="22"/>
        </w:rPr>
        <w:t>u tejto skupiny pacient</w:t>
      </w:r>
      <w:r w:rsidR="004C3D1F">
        <w:rPr>
          <w:szCs w:val="22"/>
        </w:rPr>
        <w:t>o</w:t>
      </w:r>
      <w:r>
        <w:rPr>
          <w:szCs w:val="22"/>
        </w:rPr>
        <w:t>k.</w:t>
      </w:r>
    </w:p>
    <w:p w14:paraId="588A2243" w14:textId="77777777" w:rsidR="004E5E4E" w:rsidRDefault="004E5E4E" w:rsidP="004E5E4E">
      <w:pPr>
        <w:rPr>
          <w:szCs w:val="22"/>
          <w:u w:val="single"/>
        </w:rPr>
      </w:pPr>
    </w:p>
    <w:p w14:paraId="465142F9" w14:textId="77777777" w:rsidR="004E5E4E" w:rsidRDefault="004E5E4E" w:rsidP="004E5E4E">
      <w:pPr>
        <w:rPr>
          <w:noProof/>
          <w:szCs w:val="22"/>
          <w:u w:val="single"/>
        </w:rPr>
      </w:pPr>
      <w:r w:rsidRPr="00580AD9">
        <w:rPr>
          <w:szCs w:val="22"/>
          <w:u w:val="single"/>
        </w:rPr>
        <w:t>Spôsob</w:t>
      </w:r>
      <w:r w:rsidRPr="00580AD9">
        <w:rPr>
          <w:noProof/>
          <w:szCs w:val="22"/>
          <w:u w:val="single"/>
        </w:rPr>
        <w:t xml:space="preserve"> podávania</w:t>
      </w:r>
    </w:p>
    <w:p w14:paraId="3683341B" w14:textId="77777777" w:rsidR="004E5E4E" w:rsidRDefault="004E5E4E" w:rsidP="004E5E4E">
      <w:pPr>
        <w:rPr>
          <w:noProof/>
          <w:szCs w:val="22"/>
        </w:rPr>
      </w:pPr>
      <w:r w:rsidRPr="00580AD9">
        <w:rPr>
          <w:noProof/>
          <w:szCs w:val="22"/>
        </w:rPr>
        <w:lastRenderedPageBreak/>
        <w:t>Perorálne použitie</w:t>
      </w:r>
    </w:p>
    <w:p w14:paraId="6272CDFE" w14:textId="77777777" w:rsidR="00E167DF" w:rsidRPr="00DB0DC3" w:rsidRDefault="00E167DF" w:rsidP="00E167DF">
      <w:pPr>
        <w:ind w:left="0" w:firstLine="0"/>
        <w:rPr>
          <w:szCs w:val="22"/>
        </w:rPr>
      </w:pPr>
    </w:p>
    <w:p w14:paraId="69556F79" w14:textId="77777777" w:rsidR="00DF67E8" w:rsidRPr="00DB0DC3" w:rsidRDefault="00DF67E8">
      <w:pPr>
        <w:rPr>
          <w:szCs w:val="22"/>
        </w:rPr>
      </w:pPr>
      <w:r w:rsidRPr="00DB0DC3">
        <w:rPr>
          <w:b/>
          <w:szCs w:val="22"/>
        </w:rPr>
        <w:t>4.3</w:t>
      </w:r>
      <w:r w:rsidRPr="00DB0DC3">
        <w:rPr>
          <w:b/>
          <w:szCs w:val="22"/>
        </w:rPr>
        <w:tab/>
        <w:t xml:space="preserve">Kontraindikácie </w:t>
      </w:r>
    </w:p>
    <w:p w14:paraId="0DA26BDF" w14:textId="77777777" w:rsidR="00DF67E8" w:rsidRPr="00DB0DC3" w:rsidRDefault="00DF67E8">
      <w:pPr>
        <w:rPr>
          <w:szCs w:val="22"/>
        </w:rPr>
      </w:pPr>
    </w:p>
    <w:p w14:paraId="2B11079B" w14:textId="77777777" w:rsidR="00DF67E8" w:rsidRPr="00DB0DC3" w:rsidRDefault="00DF67E8">
      <w:pPr>
        <w:ind w:left="0" w:firstLine="0"/>
        <w:rPr>
          <w:szCs w:val="22"/>
        </w:rPr>
      </w:pPr>
      <w:r w:rsidRPr="00DB0DC3">
        <w:rPr>
          <w:szCs w:val="22"/>
        </w:rPr>
        <w:t xml:space="preserve">Tak ako iné kombinované perorálne </w:t>
      </w:r>
      <w:r w:rsidR="00667291">
        <w:rPr>
          <w:szCs w:val="22"/>
        </w:rPr>
        <w:t>antikoncepcie</w:t>
      </w:r>
      <w:r w:rsidRPr="00DB0DC3">
        <w:rPr>
          <w:szCs w:val="22"/>
        </w:rPr>
        <w:t>, aj Vreya obsahuje hormóny progest</w:t>
      </w:r>
      <w:r w:rsidR="00427DB7">
        <w:rPr>
          <w:szCs w:val="22"/>
        </w:rPr>
        <w:t>o</w:t>
      </w:r>
      <w:r w:rsidRPr="00DB0DC3">
        <w:rPr>
          <w:szCs w:val="22"/>
        </w:rPr>
        <w:t xml:space="preserve">gén a estrogén, a preto sa nesmie použiť - podobne ako iné COC - u pacientok so stavmi uvedenými nižšie. </w:t>
      </w:r>
    </w:p>
    <w:p w14:paraId="475D849F" w14:textId="77777777" w:rsidR="00DF67E8" w:rsidRPr="00DB0DC3" w:rsidRDefault="00DF67E8">
      <w:pPr>
        <w:ind w:left="0" w:firstLine="0"/>
        <w:rPr>
          <w:szCs w:val="22"/>
        </w:rPr>
      </w:pPr>
      <w:r w:rsidRPr="00DB0DC3">
        <w:rPr>
          <w:szCs w:val="22"/>
        </w:rPr>
        <w:t xml:space="preserve">V prípade, že sa po prvýkrát počas užívania Vreye vyskytne niektorý z nižšie uvedených stavov, užívanie sa musí okamžite ukončiť. </w:t>
      </w:r>
    </w:p>
    <w:p w14:paraId="69B5B441" w14:textId="77777777" w:rsidR="000E19A7" w:rsidRPr="00DB0DC3" w:rsidRDefault="000E19A7" w:rsidP="000E19A7">
      <w:pPr>
        <w:autoSpaceDE w:val="0"/>
        <w:autoSpaceDN w:val="0"/>
        <w:adjustRightInd w:val="0"/>
        <w:ind w:left="0" w:firstLine="0"/>
        <w:rPr>
          <w:rFonts w:ascii="Symbol" w:hAnsi="Symbol" w:cs="Symbol"/>
          <w:color w:val="000000"/>
          <w:sz w:val="24"/>
          <w:lang w:eastAsia="cs-CZ"/>
        </w:rPr>
      </w:pPr>
    </w:p>
    <w:p w14:paraId="7AD12269" w14:textId="77777777" w:rsidR="000E19A7" w:rsidRPr="00DB0DC3" w:rsidRDefault="000E19A7" w:rsidP="000E19A7">
      <w:pPr>
        <w:numPr>
          <w:ilvl w:val="0"/>
          <w:numId w:val="20"/>
        </w:numPr>
        <w:autoSpaceDE w:val="0"/>
        <w:autoSpaceDN w:val="0"/>
        <w:adjustRightInd w:val="0"/>
        <w:rPr>
          <w:color w:val="000000"/>
          <w:szCs w:val="22"/>
          <w:lang w:eastAsia="cs-CZ"/>
        </w:rPr>
      </w:pPr>
      <w:r w:rsidRPr="00DB0DC3">
        <w:rPr>
          <w:color w:val="000000"/>
          <w:szCs w:val="22"/>
          <w:lang w:eastAsia="cs-CZ"/>
        </w:rPr>
        <w:t xml:space="preserve">Súbežné používanie s inou hormonálnou antikoncepciou (pozri časť 4.1). </w:t>
      </w:r>
    </w:p>
    <w:p w14:paraId="44221F90" w14:textId="77777777" w:rsidR="000E19A7" w:rsidRPr="00DB0DC3" w:rsidRDefault="000E19A7" w:rsidP="000E19A7">
      <w:pPr>
        <w:numPr>
          <w:ilvl w:val="0"/>
          <w:numId w:val="20"/>
        </w:numPr>
        <w:autoSpaceDE w:val="0"/>
        <w:autoSpaceDN w:val="0"/>
        <w:adjustRightInd w:val="0"/>
        <w:rPr>
          <w:color w:val="000000"/>
          <w:szCs w:val="22"/>
          <w:lang w:eastAsia="cs-CZ"/>
        </w:rPr>
      </w:pPr>
      <w:r w:rsidRPr="00DB0DC3">
        <w:rPr>
          <w:color w:val="000000"/>
          <w:szCs w:val="22"/>
          <w:lang w:eastAsia="cs-CZ"/>
        </w:rPr>
        <w:t>Venózna trombóza prítomná v súčasnosti alebo v anamnéze (hlboká žilová trombóza, pľúcna embólia).</w:t>
      </w:r>
    </w:p>
    <w:p w14:paraId="6C21B63F" w14:textId="77777777" w:rsidR="000E19A7" w:rsidRPr="00DB0DC3" w:rsidRDefault="000E19A7" w:rsidP="000E19A7">
      <w:pPr>
        <w:numPr>
          <w:ilvl w:val="0"/>
          <w:numId w:val="20"/>
        </w:numPr>
        <w:autoSpaceDE w:val="0"/>
        <w:autoSpaceDN w:val="0"/>
        <w:adjustRightInd w:val="0"/>
        <w:rPr>
          <w:color w:val="000000"/>
          <w:szCs w:val="22"/>
          <w:lang w:eastAsia="cs-CZ"/>
        </w:rPr>
      </w:pPr>
      <w:r w:rsidRPr="00DB0DC3">
        <w:rPr>
          <w:color w:val="000000"/>
          <w:szCs w:val="22"/>
          <w:lang w:eastAsia="cs-CZ"/>
        </w:rPr>
        <w:t xml:space="preserve">Arteriálna trombóza prítomná v súčasnosti alebo v anamnéze (napr. infarkt myokardu) alebo prodromálne stavy (napr. angina pectoris a prechodný ischemický záchvat). </w:t>
      </w:r>
    </w:p>
    <w:p w14:paraId="64596E0B" w14:textId="77777777" w:rsidR="000E19A7" w:rsidRPr="00DB0DC3" w:rsidRDefault="000E19A7" w:rsidP="000E19A7">
      <w:pPr>
        <w:numPr>
          <w:ilvl w:val="0"/>
          <w:numId w:val="20"/>
        </w:numPr>
        <w:autoSpaceDE w:val="0"/>
        <w:autoSpaceDN w:val="0"/>
        <w:adjustRightInd w:val="0"/>
        <w:rPr>
          <w:color w:val="000000"/>
          <w:szCs w:val="22"/>
          <w:lang w:eastAsia="cs-CZ"/>
        </w:rPr>
      </w:pPr>
      <w:r w:rsidRPr="00DB0DC3">
        <w:rPr>
          <w:color w:val="000000"/>
          <w:szCs w:val="22"/>
          <w:lang w:eastAsia="cs-CZ"/>
        </w:rPr>
        <w:t>Cerebrovaskulárna príhoda prítomná v súčasnosti alebo v anamnéze.</w:t>
      </w:r>
    </w:p>
    <w:p w14:paraId="55DF9035" w14:textId="77777777" w:rsidR="000E19A7" w:rsidRPr="00DB0DC3" w:rsidRDefault="000E19A7" w:rsidP="000E19A7">
      <w:pPr>
        <w:numPr>
          <w:ilvl w:val="0"/>
          <w:numId w:val="20"/>
        </w:numPr>
        <w:autoSpaceDE w:val="0"/>
        <w:autoSpaceDN w:val="0"/>
        <w:adjustRightInd w:val="0"/>
        <w:rPr>
          <w:color w:val="000000"/>
          <w:szCs w:val="22"/>
          <w:lang w:eastAsia="cs-CZ"/>
        </w:rPr>
      </w:pPr>
      <w:r w:rsidRPr="00DB0DC3">
        <w:rPr>
          <w:color w:val="000000"/>
          <w:szCs w:val="22"/>
          <w:lang w:eastAsia="cs-CZ"/>
        </w:rPr>
        <w:t xml:space="preserve">Prítomnosť závažných alebo viacerých rizikových faktorov pre vznik žilovej alebo tepnovej trombózy (pozri časť 4.4), ako napríklad: </w:t>
      </w:r>
    </w:p>
    <w:p w14:paraId="7CAC36E3" w14:textId="77777777" w:rsidR="000E19A7" w:rsidRPr="00DB0DC3" w:rsidRDefault="000E19A7" w:rsidP="000E19A7">
      <w:pPr>
        <w:numPr>
          <w:ilvl w:val="1"/>
          <w:numId w:val="20"/>
        </w:numPr>
        <w:autoSpaceDE w:val="0"/>
        <w:autoSpaceDN w:val="0"/>
        <w:adjustRightInd w:val="0"/>
        <w:rPr>
          <w:color w:val="000000"/>
          <w:szCs w:val="22"/>
          <w:lang w:eastAsia="cs-CZ"/>
        </w:rPr>
      </w:pPr>
      <w:r w:rsidRPr="00DB0DC3">
        <w:rPr>
          <w:color w:val="000000"/>
          <w:szCs w:val="22"/>
          <w:lang w:eastAsia="cs-CZ"/>
        </w:rPr>
        <w:t xml:space="preserve">diabetes mellitus s cievnymi symptómami </w:t>
      </w:r>
    </w:p>
    <w:p w14:paraId="75C2A968" w14:textId="77777777" w:rsidR="000E19A7" w:rsidRPr="00DB0DC3" w:rsidRDefault="000E19A7" w:rsidP="000E19A7">
      <w:pPr>
        <w:numPr>
          <w:ilvl w:val="1"/>
          <w:numId w:val="20"/>
        </w:numPr>
        <w:autoSpaceDE w:val="0"/>
        <w:autoSpaceDN w:val="0"/>
        <w:adjustRightInd w:val="0"/>
        <w:rPr>
          <w:color w:val="000000"/>
          <w:szCs w:val="22"/>
          <w:lang w:eastAsia="cs-CZ"/>
        </w:rPr>
      </w:pPr>
      <w:r w:rsidRPr="00DB0DC3">
        <w:rPr>
          <w:color w:val="000000"/>
          <w:szCs w:val="22"/>
          <w:lang w:eastAsia="cs-CZ"/>
        </w:rPr>
        <w:t xml:space="preserve">závažná hypertenzia </w:t>
      </w:r>
    </w:p>
    <w:p w14:paraId="47EA003A" w14:textId="77777777" w:rsidR="000E19A7" w:rsidRPr="00DB0DC3" w:rsidRDefault="000E19A7" w:rsidP="000E19A7">
      <w:pPr>
        <w:numPr>
          <w:ilvl w:val="1"/>
          <w:numId w:val="20"/>
        </w:numPr>
        <w:autoSpaceDE w:val="0"/>
        <w:autoSpaceDN w:val="0"/>
        <w:adjustRightInd w:val="0"/>
        <w:rPr>
          <w:color w:val="000000"/>
          <w:szCs w:val="22"/>
          <w:lang w:eastAsia="cs-CZ"/>
        </w:rPr>
      </w:pPr>
      <w:r w:rsidRPr="00DB0DC3">
        <w:rPr>
          <w:color w:val="000000"/>
          <w:szCs w:val="22"/>
          <w:lang w:eastAsia="cs-CZ"/>
        </w:rPr>
        <w:t xml:space="preserve">ozávažná dyslipoproteinémia </w:t>
      </w:r>
    </w:p>
    <w:p w14:paraId="77179E3D" w14:textId="77777777" w:rsidR="000E19A7" w:rsidRPr="00DB0DC3" w:rsidRDefault="000E19A7" w:rsidP="000E19A7">
      <w:pPr>
        <w:numPr>
          <w:ilvl w:val="0"/>
          <w:numId w:val="20"/>
        </w:numPr>
        <w:autoSpaceDE w:val="0"/>
        <w:autoSpaceDN w:val="0"/>
        <w:adjustRightInd w:val="0"/>
        <w:rPr>
          <w:color w:val="000000"/>
          <w:szCs w:val="22"/>
          <w:lang w:eastAsia="cs-CZ"/>
        </w:rPr>
      </w:pPr>
      <w:r w:rsidRPr="00DB0DC3">
        <w:rPr>
          <w:color w:val="000000"/>
          <w:szCs w:val="22"/>
          <w:lang w:eastAsia="cs-CZ"/>
        </w:rPr>
        <w:t>Dedičná alebo získaná predispozícia na žilovú alebo tepnovú trombózu, ako napríklad rezistencia na aktivovaný proteín C (APC), nedostatok antitrombínu-III, nedostatok proteínu C, nedostatok proteínu S, hyperhomocysteinémia a antifosfolipidové protilátky (antikardiolipínové protilátky, lupus antikoagulans).</w:t>
      </w:r>
    </w:p>
    <w:p w14:paraId="601E7CF3" w14:textId="77777777" w:rsidR="00BB0BE4" w:rsidRPr="00DB0DC3" w:rsidRDefault="00BB0BE4" w:rsidP="000E19A7">
      <w:pPr>
        <w:numPr>
          <w:ilvl w:val="0"/>
          <w:numId w:val="20"/>
        </w:numPr>
        <w:autoSpaceDE w:val="0"/>
        <w:autoSpaceDN w:val="0"/>
        <w:adjustRightInd w:val="0"/>
        <w:rPr>
          <w:color w:val="000000"/>
          <w:szCs w:val="22"/>
          <w:lang w:eastAsia="cs-CZ"/>
        </w:rPr>
      </w:pPr>
      <w:r w:rsidRPr="00DB0DC3">
        <w:rPr>
          <w:color w:val="000000"/>
          <w:szCs w:val="22"/>
          <w:lang w:eastAsia="cs-CZ"/>
        </w:rPr>
        <w:t>Súčasná alebo predchádzajúca pankreatitida spojená so závažnou hypertriglyceridémiou.</w:t>
      </w:r>
    </w:p>
    <w:p w14:paraId="0CAC5A9C" w14:textId="77777777" w:rsidR="00BB0BE4" w:rsidRPr="00DB0DC3" w:rsidRDefault="00BB0BE4" w:rsidP="000E19A7">
      <w:pPr>
        <w:numPr>
          <w:ilvl w:val="0"/>
          <w:numId w:val="20"/>
        </w:numPr>
        <w:autoSpaceDE w:val="0"/>
        <w:autoSpaceDN w:val="0"/>
        <w:adjustRightInd w:val="0"/>
        <w:rPr>
          <w:color w:val="000000"/>
          <w:szCs w:val="22"/>
          <w:lang w:eastAsia="cs-CZ"/>
        </w:rPr>
      </w:pPr>
      <w:r w:rsidRPr="00DB0DC3">
        <w:rPr>
          <w:color w:val="000000"/>
          <w:szCs w:val="22"/>
          <w:lang w:eastAsia="cs-CZ"/>
        </w:rPr>
        <w:t>Súčasný alebo predchádzajúci nádor pečene (benigný alebo maligný).</w:t>
      </w:r>
    </w:p>
    <w:p w14:paraId="4B1CCE77" w14:textId="77777777" w:rsidR="00DF67E8" w:rsidRPr="00DB0DC3" w:rsidRDefault="00DF67E8" w:rsidP="00BB0BE4">
      <w:pPr>
        <w:numPr>
          <w:ilvl w:val="0"/>
          <w:numId w:val="9"/>
        </w:numPr>
        <w:tabs>
          <w:tab w:val="num" w:pos="709"/>
        </w:tabs>
        <w:ind w:left="720" w:hanging="720"/>
        <w:rPr>
          <w:szCs w:val="22"/>
        </w:rPr>
      </w:pPr>
      <w:r w:rsidRPr="00DB0DC3">
        <w:rPr>
          <w:szCs w:val="22"/>
        </w:rPr>
        <w:t>Gravidita alebo laktácia.</w:t>
      </w:r>
    </w:p>
    <w:p w14:paraId="2B29831F" w14:textId="77777777" w:rsidR="00DF67E8" w:rsidRPr="00DB0DC3" w:rsidRDefault="00DF67E8" w:rsidP="00CC2B3C">
      <w:pPr>
        <w:numPr>
          <w:ilvl w:val="0"/>
          <w:numId w:val="9"/>
        </w:numPr>
        <w:tabs>
          <w:tab w:val="num" w:pos="426"/>
        </w:tabs>
        <w:ind w:left="426" w:hanging="426"/>
        <w:rPr>
          <w:szCs w:val="22"/>
        </w:rPr>
      </w:pPr>
      <w:r w:rsidRPr="00DB0DC3">
        <w:rPr>
          <w:szCs w:val="22"/>
        </w:rPr>
        <w:t>Závažné poškodenie pečene v súčasnosti alebo v anamnéze, pokiaľ sa hodnoty funkčných pečeňových testov nevrátia do normálu.</w:t>
      </w:r>
    </w:p>
    <w:p w14:paraId="72981892" w14:textId="77777777" w:rsidR="00DF67E8" w:rsidRPr="00DB0DC3" w:rsidRDefault="00DF67E8" w:rsidP="00BB0BE4">
      <w:pPr>
        <w:numPr>
          <w:ilvl w:val="0"/>
          <w:numId w:val="9"/>
        </w:numPr>
        <w:tabs>
          <w:tab w:val="num" w:pos="426"/>
        </w:tabs>
        <w:ind w:left="426" w:hanging="426"/>
        <w:rPr>
          <w:szCs w:val="22"/>
        </w:rPr>
      </w:pPr>
      <w:r w:rsidRPr="00DB0DC3">
        <w:rPr>
          <w:szCs w:val="22"/>
        </w:rPr>
        <w:t>Gestačné hormonálno-dependentné malígne nádory pohlavných orgánov, prsníka alebo pečene v súčasnosti alebo podozrenie na ne.</w:t>
      </w:r>
    </w:p>
    <w:p w14:paraId="4FF390D9" w14:textId="77777777" w:rsidR="00DF67E8" w:rsidRPr="00DB0DC3" w:rsidRDefault="00DF67E8" w:rsidP="00BB0BE4">
      <w:pPr>
        <w:numPr>
          <w:ilvl w:val="0"/>
          <w:numId w:val="9"/>
        </w:numPr>
        <w:tabs>
          <w:tab w:val="num" w:pos="709"/>
        </w:tabs>
        <w:ind w:left="720" w:hanging="720"/>
        <w:rPr>
          <w:szCs w:val="22"/>
        </w:rPr>
      </w:pPr>
      <w:r w:rsidRPr="00DB0DC3">
        <w:rPr>
          <w:szCs w:val="22"/>
        </w:rPr>
        <w:t>Vaginálne krvácanie z neobjasnenej príčiny.</w:t>
      </w:r>
    </w:p>
    <w:p w14:paraId="4E08BFC1" w14:textId="77777777" w:rsidR="00DF67E8" w:rsidRPr="00DB0DC3" w:rsidRDefault="00DF67E8" w:rsidP="00BB0BE4">
      <w:pPr>
        <w:numPr>
          <w:ilvl w:val="0"/>
          <w:numId w:val="9"/>
        </w:numPr>
        <w:tabs>
          <w:tab w:val="num" w:pos="709"/>
        </w:tabs>
        <w:ind w:left="720" w:hanging="720"/>
        <w:rPr>
          <w:szCs w:val="22"/>
        </w:rPr>
      </w:pPr>
      <w:r w:rsidRPr="00DB0DC3">
        <w:rPr>
          <w:szCs w:val="22"/>
        </w:rPr>
        <w:t>Migréna s ložiskovými neurologickými príznakmi.</w:t>
      </w:r>
    </w:p>
    <w:p w14:paraId="40B130AC" w14:textId="30BC7F69" w:rsidR="00DF67E8" w:rsidRDefault="00DF67E8" w:rsidP="00BB0BE4">
      <w:pPr>
        <w:numPr>
          <w:ilvl w:val="0"/>
          <w:numId w:val="9"/>
        </w:numPr>
        <w:tabs>
          <w:tab w:val="num" w:pos="709"/>
        </w:tabs>
        <w:ind w:left="720" w:hanging="720"/>
        <w:rPr>
          <w:szCs w:val="22"/>
        </w:rPr>
      </w:pPr>
      <w:r w:rsidRPr="00DB0DC3">
        <w:rPr>
          <w:szCs w:val="22"/>
        </w:rPr>
        <w:t xml:space="preserve">Precitlivenosť na liečivá alebo na </w:t>
      </w:r>
      <w:r w:rsidR="00C807A5">
        <w:rPr>
          <w:szCs w:val="22"/>
        </w:rPr>
        <w:t>ktorúkoľvek</w:t>
      </w:r>
      <w:r w:rsidR="00C807A5" w:rsidRPr="00DB0DC3">
        <w:rPr>
          <w:szCs w:val="22"/>
        </w:rPr>
        <w:t xml:space="preserve"> </w:t>
      </w:r>
      <w:r w:rsidRPr="00DB0DC3">
        <w:rPr>
          <w:szCs w:val="22"/>
        </w:rPr>
        <w:t>z pomocných látok</w:t>
      </w:r>
      <w:r w:rsidR="00BB0BE4" w:rsidRPr="00DB0DC3">
        <w:rPr>
          <w:szCs w:val="22"/>
        </w:rPr>
        <w:t xml:space="preserve"> uvedených v časti 6.1</w:t>
      </w:r>
    </w:p>
    <w:p w14:paraId="68A4FCFD" w14:textId="77777777" w:rsidR="008728AA" w:rsidRPr="00FA0191" w:rsidRDefault="006031C2" w:rsidP="00FA0191">
      <w:pPr>
        <w:pStyle w:val="Odsekzoznamu"/>
        <w:numPr>
          <w:ilvl w:val="0"/>
          <w:numId w:val="9"/>
        </w:numPr>
        <w:spacing w:line="280" w:lineRule="atLeast"/>
        <w:rPr>
          <w:color w:val="000000"/>
          <w:szCs w:val="22"/>
        </w:rPr>
      </w:pPr>
      <w:r>
        <w:rPr>
          <w:rFonts w:ascii="Times New Roman" w:hAnsi="Times New Roman"/>
          <w:color w:val="000000"/>
          <w:sz w:val="22"/>
          <w:szCs w:val="22"/>
        </w:rPr>
        <w:t>M</w:t>
      </w:r>
      <w:r w:rsidR="008728AA" w:rsidRPr="00FA0191">
        <w:rPr>
          <w:rFonts w:ascii="Times New Roman" w:hAnsi="Times New Roman"/>
          <w:color w:val="000000"/>
          <w:sz w:val="22"/>
          <w:szCs w:val="22"/>
        </w:rPr>
        <w:t>eningióm alebo meningióm v</w:t>
      </w:r>
      <w:r w:rsidR="008728AA">
        <w:rPr>
          <w:rFonts w:ascii="Times New Roman" w:hAnsi="Times New Roman"/>
          <w:color w:val="000000"/>
          <w:sz w:val="22"/>
          <w:szCs w:val="22"/>
        </w:rPr>
        <w:t> </w:t>
      </w:r>
      <w:r w:rsidR="008728AA" w:rsidRPr="00FA0191">
        <w:rPr>
          <w:rFonts w:ascii="Times New Roman" w:hAnsi="Times New Roman"/>
          <w:color w:val="000000"/>
          <w:sz w:val="22"/>
          <w:szCs w:val="22"/>
        </w:rPr>
        <w:t>anamnéze</w:t>
      </w:r>
      <w:r w:rsidR="008728AA">
        <w:rPr>
          <w:rFonts w:ascii="Times New Roman" w:hAnsi="Times New Roman"/>
          <w:color w:val="000000"/>
          <w:sz w:val="22"/>
          <w:szCs w:val="22"/>
        </w:rPr>
        <w:t>.</w:t>
      </w:r>
    </w:p>
    <w:p w14:paraId="1C8A7331" w14:textId="77777777" w:rsidR="00DF67E8" w:rsidRPr="00DB0DC3" w:rsidRDefault="00DF67E8">
      <w:pPr>
        <w:ind w:left="360" w:firstLine="0"/>
        <w:rPr>
          <w:szCs w:val="22"/>
        </w:rPr>
      </w:pPr>
    </w:p>
    <w:p w14:paraId="0671ED41" w14:textId="77777777" w:rsidR="00F5509D" w:rsidRPr="00F5509D" w:rsidRDefault="00F5509D" w:rsidP="00F5509D">
      <w:pPr>
        <w:ind w:left="0" w:firstLine="0"/>
        <w:rPr>
          <w:szCs w:val="22"/>
        </w:rPr>
      </w:pPr>
      <w:r>
        <w:rPr>
          <w:szCs w:val="22"/>
        </w:rPr>
        <w:t xml:space="preserve">Vreya </w:t>
      </w:r>
      <w:r w:rsidRPr="00F5509D">
        <w:rPr>
          <w:szCs w:val="22"/>
        </w:rPr>
        <w:t>je kontraindikovan</w:t>
      </w:r>
      <w:r>
        <w:rPr>
          <w:szCs w:val="22"/>
        </w:rPr>
        <w:t>á</w:t>
      </w:r>
      <w:r w:rsidRPr="00F5509D">
        <w:rPr>
          <w:szCs w:val="22"/>
        </w:rPr>
        <w:t xml:space="preserve"> </w:t>
      </w:r>
      <w:r>
        <w:rPr>
          <w:szCs w:val="22"/>
        </w:rPr>
        <w:t>na</w:t>
      </w:r>
      <w:r w:rsidRPr="00F5509D">
        <w:rPr>
          <w:szCs w:val="22"/>
        </w:rPr>
        <w:t xml:space="preserve"> súbežn</w:t>
      </w:r>
      <w:r>
        <w:rPr>
          <w:szCs w:val="22"/>
        </w:rPr>
        <w:t>é</w:t>
      </w:r>
      <w:r w:rsidRPr="00F5509D">
        <w:rPr>
          <w:szCs w:val="22"/>
        </w:rPr>
        <w:t xml:space="preserve"> použitie s liekmi obsahujúcimi ombitasvir/paritaprevir/ritonavir a dasabuvir (pozri časti 4.4 a 4.5).</w:t>
      </w:r>
    </w:p>
    <w:p w14:paraId="5BA790E8" w14:textId="77777777" w:rsidR="00F5509D" w:rsidRPr="00F5509D" w:rsidRDefault="00F5509D">
      <w:pPr>
        <w:rPr>
          <w:szCs w:val="22"/>
        </w:rPr>
      </w:pPr>
    </w:p>
    <w:p w14:paraId="466EFA42" w14:textId="77777777" w:rsidR="00DF67E8" w:rsidRPr="00DB0DC3" w:rsidRDefault="00DF67E8">
      <w:pPr>
        <w:rPr>
          <w:szCs w:val="22"/>
        </w:rPr>
      </w:pPr>
      <w:r w:rsidRPr="00DB0DC3">
        <w:rPr>
          <w:b/>
          <w:szCs w:val="22"/>
        </w:rPr>
        <w:t>4.4</w:t>
      </w:r>
      <w:r w:rsidRPr="00DB0DC3">
        <w:rPr>
          <w:b/>
          <w:szCs w:val="22"/>
        </w:rPr>
        <w:tab/>
        <w:t>Osobitné upozornenia a opatrenia pri používaní</w:t>
      </w:r>
    </w:p>
    <w:p w14:paraId="2A8397FC" w14:textId="77777777" w:rsidR="00DF67E8" w:rsidRPr="00DB0DC3" w:rsidRDefault="00DF67E8">
      <w:pPr>
        <w:rPr>
          <w:szCs w:val="22"/>
        </w:rPr>
      </w:pPr>
    </w:p>
    <w:p w14:paraId="156A6881" w14:textId="77777777" w:rsidR="00DF67E8" w:rsidRPr="00DB0DC3" w:rsidRDefault="00DF67E8">
      <w:pPr>
        <w:pStyle w:val="Zkladntext"/>
      </w:pPr>
      <w:r w:rsidRPr="00DB0DC3">
        <w:t>Vreya nie je určená na liečbu mužov.</w:t>
      </w:r>
    </w:p>
    <w:p w14:paraId="2E37DB0E" w14:textId="77777777" w:rsidR="002D0116" w:rsidRDefault="002D0116">
      <w:pPr>
        <w:pStyle w:val="Zkladntext"/>
        <w:rPr>
          <w:bCs/>
          <w:u w:val="single"/>
        </w:rPr>
      </w:pPr>
    </w:p>
    <w:p w14:paraId="2FDB78C9" w14:textId="77777777" w:rsidR="00DF67E8" w:rsidRPr="00DB0DC3" w:rsidRDefault="00DF67E8">
      <w:pPr>
        <w:pStyle w:val="Zkladntext"/>
        <w:rPr>
          <w:bCs/>
          <w:u w:val="single"/>
        </w:rPr>
      </w:pPr>
      <w:r w:rsidRPr="00DB0DC3">
        <w:rPr>
          <w:bCs/>
          <w:u w:val="single"/>
        </w:rPr>
        <w:t>Upozornenia</w:t>
      </w:r>
    </w:p>
    <w:p w14:paraId="11B5828D" w14:textId="77777777" w:rsidR="00DF67E8" w:rsidRPr="00DB0DC3" w:rsidRDefault="00DF67E8">
      <w:pPr>
        <w:pStyle w:val="Zkladntext"/>
      </w:pPr>
      <w:r w:rsidRPr="00DB0DC3">
        <w:t>V prípade, že je prítomný ktorýkoľvek z nižšie uvedených stavov/rizikových faktorov, u každej ženy individuálne sa majú zvážiť prínosy použitia COC oproti možným rizikám a prediskutovať to so ženou skôr, než sa rozhodne začať užívať liek. V prípade zhoršenia, exacerbácie alebo prvého prejavu ktoréhokoľvek z týchto stavov alebo rizikových faktorov, má žena kontaktovať svojho lekára. Lekár potom musí rozhodnúť, či sa má užívanie ukončiť.</w:t>
      </w:r>
    </w:p>
    <w:p w14:paraId="7B5E124B" w14:textId="77777777" w:rsidR="00DF67E8" w:rsidRPr="00DB0DC3" w:rsidRDefault="00DF67E8">
      <w:pPr>
        <w:pStyle w:val="Zkladntext"/>
      </w:pPr>
    </w:p>
    <w:p w14:paraId="62F0B47D" w14:textId="4A5D1274" w:rsidR="007932D6" w:rsidRPr="00DB0DC3" w:rsidRDefault="007932D6">
      <w:pPr>
        <w:pStyle w:val="Zkladntext"/>
      </w:pPr>
      <w:r w:rsidRPr="00DB0DC3">
        <w:t>Vreya obsahuje gestagén cyproterón</w:t>
      </w:r>
      <w:r w:rsidR="003E5262">
        <w:t>ium-</w:t>
      </w:r>
      <w:r w:rsidRPr="00DB0DC3">
        <w:t>acetát a estrogén etinylestradiol a podáva sa počas 21 dní mesačného cyklu. Má podobné zloženie ako kombinovaná perorálna antikoncepcia (COC).</w:t>
      </w:r>
    </w:p>
    <w:p w14:paraId="47491952" w14:textId="77777777" w:rsidR="007932D6" w:rsidRPr="00DB0DC3" w:rsidRDefault="007932D6">
      <w:pPr>
        <w:pStyle w:val="Zkladntext"/>
      </w:pPr>
    </w:p>
    <w:p w14:paraId="5A5D2692" w14:textId="77777777" w:rsidR="007932D6" w:rsidRPr="00DB0DC3" w:rsidRDefault="005A14BD" w:rsidP="007932D6">
      <w:pPr>
        <w:pStyle w:val="Bezriadkovania"/>
        <w:rPr>
          <w:b/>
        </w:rPr>
      </w:pPr>
      <w:r>
        <w:rPr>
          <w:b/>
        </w:rPr>
        <w:t>Dĺžka používania</w:t>
      </w:r>
    </w:p>
    <w:p w14:paraId="429D8954" w14:textId="77777777" w:rsidR="007932D6" w:rsidRPr="00DB0DC3" w:rsidRDefault="007932D6" w:rsidP="007932D6">
      <w:pPr>
        <w:pStyle w:val="Bezriadkovania"/>
        <w:ind w:left="0" w:firstLine="0"/>
      </w:pPr>
      <w:r w:rsidRPr="00DB0DC3">
        <w:lastRenderedPageBreak/>
        <w:t>Čas do ustúpenia symptómov je najmenej tri mesiace. Ošetrujúci lekár má pravidelne vyhodnocovať potrebu pokračovania v liečbe (pozri časť 4.2).</w:t>
      </w:r>
    </w:p>
    <w:p w14:paraId="30AA30A3" w14:textId="77777777" w:rsidR="007932D6" w:rsidRPr="00DB0DC3" w:rsidRDefault="007932D6">
      <w:pPr>
        <w:pStyle w:val="Zkladntext"/>
      </w:pPr>
    </w:p>
    <w:p w14:paraId="0C189DE2" w14:textId="77777777" w:rsidR="00DF67E8" w:rsidRPr="00DB0DC3" w:rsidRDefault="00DF67E8">
      <w:pPr>
        <w:ind w:left="0" w:firstLine="0"/>
        <w:rPr>
          <w:szCs w:val="22"/>
        </w:rPr>
      </w:pPr>
      <w:r w:rsidRPr="00DB0DC3">
        <w:rPr>
          <w:szCs w:val="22"/>
        </w:rPr>
        <w:t>Používanie akéhokoľvek COC alebo Vreye prináša so sebou zvýšené riziko venóznej tromboembólie (VTE), vrátane hlbokej venóznej trombózy a pľúcnej embólie v porovnaní s neužívaním COC. Toto nadmerné riziko je u žien najväčšie počas prvého roku užívania COC. Toto zvýšené riziko je menšie ako riziko vzniku VTE spojené s graviditou, ktoré sa odhaduje na 60 prípadov na 100 000 gravidít.</w:t>
      </w:r>
    </w:p>
    <w:p w14:paraId="276D9137" w14:textId="77777777" w:rsidR="00DF67E8" w:rsidRPr="00DB0DC3" w:rsidRDefault="00DF67E8">
      <w:pPr>
        <w:ind w:left="0" w:firstLine="0"/>
        <w:rPr>
          <w:szCs w:val="22"/>
        </w:rPr>
      </w:pPr>
    </w:p>
    <w:p w14:paraId="3168A19B" w14:textId="77777777" w:rsidR="007932D6" w:rsidRPr="00DB0DC3" w:rsidRDefault="007932D6">
      <w:pPr>
        <w:ind w:left="0" w:firstLine="0"/>
        <w:rPr>
          <w:szCs w:val="22"/>
        </w:rPr>
      </w:pPr>
      <w:r w:rsidRPr="00DB0DC3">
        <w:rPr>
          <w:szCs w:val="22"/>
        </w:rPr>
        <w:t xml:space="preserve">Ak sa vyskytnú ktorékoľvek zo stavov/rizikových faktorov uvedených nižšie, u každej ženy je potrebné individuálne zvážiť prínos používania lieku Vreya v porovnaní s možnými rizikami a tieto riziká s ňou prediskutovať predtým, než sa rozhodne začať používať liek Vreya. Ak dôjde k zhoršeniu, exacerbácii alebo prvému prejavu ľubovoľného z týchto stavov alebo rizikových faktorov, žena má kontaktovať svojho lekára. Lekár má potom rozhodnúť, či sa má prerušiť používanie </w:t>
      </w:r>
      <w:r w:rsidR="00DB0DC3">
        <w:rPr>
          <w:szCs w:val="22"/>
        </w:rPr>
        <w:t xml:space="preserve">lieku </w:t>
      </w:r>
      <w:r w:rsidRPr="00DB0DC3">
        <w:rPr>
          <w:szCs w:val="22"/>
        </w:rPr>
        <w:t>Vreya.</w:t>
      </w:r>
    </w:p>
    <w:p w14:paraId="160C7ABF" w14:textId="77777777" w:rsidR="007932D6" w:rsidRPr="00DB0DC3" w:rsidRDefault="007932D6">
      <w:pPr>
        <w:ind w:left="0" w:firstLine="0"/>
        <w:rPr>
          <w:szCs w:val="22"/>
        </w:rPr>
      </w:pPr>
    </w:p>
    <w:p w14:paraId="77CDB724" w14:textId="77777777" w:rsidR="007932D6" w:rsidRPr="00DB0DC3" w:rsidRDefault="007932D6" w:rsidP="007932D6">
      <w:pPr>
        <w:autoSpaceDE w:val="0"/>
        <w:autoSpaceDN w:val="0"/>
        <w:adjustRightInd w:val="0"/>
        <w:ind w:left="0" w:firstLine="0"/>
        <w:rPr>
          <w:color w:val="000000"/>
          <w:szCs w:val="22"/>
          <w:lang w:eastAsia="cs-CZ"/>
        </w:rPr>
      </w:pPr>
      <w:r w:rsidRPr="00DB0DC3">
        <w:rPr>
          <w:b/>
          <w:bCs/>
          <w:color w:val="000000"/>
          <w:szCs w:val="22"/>
          <w:lang w:eastAsia="cs-CZ"/>
        </w:rPr>
        <w:t xml:space="preserve">Poruchy krvného obehu </w:t>
      </w:r>
    </w:p>
    <w:p w14:paraId="29F7E467" w14:textId="77777777" w:rsidR="007932D6" w:rsidRPr="00DB0DC3" w:rsidRDefault="007932D6" w:rsidP="007932D6">
      <w:pPr>
        <w:numPr>
          <w:ilvl w:val="0"/>
          <w:numId w:val="22"/>
        </w:numPr>
        <w:autoSpaceDE w:val="0"/>
        <w:autoSpaceDN w:val="0"/>
        <w:adjustRightInd w:val="0"/>
        <w:rPr>
          <w:color w:val="000000"/>
          <w:szCs w:val="22"/>
          <w:lang w:eastAsia="cs-CZ"/>
        </w:rPr>
      </w:pPr>
      <w:r w:rsidRPr="00DB0DC3">
        <w:rPr>
          <w:color w:val="000000"/>
          <w:szCs w:val="22"/>
          <w:lang w:eastAsia="cs-CZ"/>
        </w:rPr>
        <w:t>Používanie Vreya prináša v porovnaní s je</w:t>
      </w:r>
      <w:r w:rsidR="007308D6">
        <w:rPr>
          <w:color w:val="000000"/>
          <w:szCs w:val="22"/>
          <w:lang w:eastAsia="cs-CZ"/>
        </w:rPr>
        <w:t>j</w:t>
      </w:r>
      <w:r w:rsidRPr="00DB0DC3">
        <w:rPr>
          <w:color w:val="000000"/>
          <w:szCs w:val="22"/>
          <w:lang w:eastAsia="cs-CZ"/>
        </w:rPr>
        <w:t xml:space="preserve"> nepoužívaním zvýšené riziko žilového trombembolizmu (VTE). Zvýšené riziko VTE je najvyššie počas prvého roka, kedy žena začne používať Vrey</w:t>
      </w:r>
      <w:r w:rsidR="007308D6">
        <w:rPr>
          <w:color w:val="000000"/>
          <w:szCs w:val="22"/>
          <w:lang w:eastAsia="cs-CZ"/>
        </w:rPr>
        <w:t>u</w:t>
      </w:r>
      <w:r w:rsidRPr="00DB0DC3">
        <w:rPr>
          <w:color w:val="000000"/>
          <w:szCs w:val="22"/>
          <w:lang w:eastAsia="cs-CZ"/>
        </w:rPr>
        <w:t xml:space="preserve">, alebo pri obnovení alebo zmene liečby po nepoužívaní tohto lieku po dobu najmenej jedného mesiaca. Žilový tromboembolizmus môže v 1 až 2 % prípadov skončiť smrťou. </w:t>
      </w:r>
    </w:p>
    <w:p w14:paraId="260214DE" w14:textId="77777777" w:rsidR="007932D6" w:rsidRPr="00DB0DC3" w:rsidRDefault="007932D6" w:rsidP="004E479D">
      <w:pPr>
        <w:numPr>
          <w:ilvl w:val="0"/>
          <w:numId w:val="22"/>
        </w:numPr>
        <w:autoSpaceDE w:val="0"/>
        <w:autoSpaceDN w:val="0"/>
        <w:adjustRightInd w:val="0"/>
        <w:rPr>
          <w:color w:val="000000"/>
          <w:szCs w:val="22"/>
          <w:lang w:eastAsia="cs-CZ"/>
        </w:rPr>
      </w:pPr>
      <w:r w:rsidRPr="00DB0DC3">
        <w:rPr>
          <w:color w:val="000000"/>
          <w:szCs w:val="22"/>
          <w:lang w:eastAsia="cs-CZ"/>
        </w:rPr>
        <w:t xml:space="preserve">Epidemiologické štúdie preukázali, že miera výskytu VTE je 1,5- až 2-krát vyššia u používateliek </w:t>
      </w:r>
      <w:r w:rsidR="004E479D" w:rsidRPr="00DB0DC3">
        <w:rPr>
          <w:color w:val="000000"/>
          <w:szCs w:val="22"/>
          <w:lang w:eastAsia="cs-CZ"/>
        </w:rPr>
        <w:t>Vreya</w:t>
      </w:r>
      <w:r w:rsidRPr="00DB0DC3">
        <w:rPr>
          <w:color w:val="000000"/>
          <w:szCs w:val="22"/>
          <w:lang w:eastAsia="cs-CZ"/>
        </w:rPr>
        <w:t xml:space="preserve"> než u používateliek kombinovanej perorálnej antikoncepcie (COC) obsahujúcej levonorgestrel a môže predstavovať podobné riziko ako v prípade CO obsahujúcej dezogestrel/gestodén/drospirenón. </w:t>
      </w:r>
    </w:p>
    <w:p w14:paraId="38E74D22" w14:textId="77777777" w:rsidR="007932D6" w:rsidRPr="00DB0DC3" w:rsidRDefault="007932D6" w:rsidP="004E479D">
      <w:pPr>
        <w:numPr>
          <w:ilvl w:val="0"/>
          <w:numId w:val="22"/>
        </w:numPr>
        <w:autoSpaceDE w:val="0"/>
        <w:autoSpaceDN w:val="0"/>
        <w:adjustRightInd w:val="0"/>
        <w:rPr>
          <w:color w:val="000000"/>
          <w:szCs w:val="22"/>
          <w:lang w:eastAsia="cs-CZ"/>
        </w:rPr>
      </w:pPr>
      <w:r w:rsidRPr="00DB0DC3">
        <w:rPr>
          <w:color w:val="000000"/>
          <w:szCs w:val="22"/>
          <w:lang w:eastAsia="cs-CZ"/>
        </w:rPr>
        <w:t xml:space="preserve">Medzi používateľkami </w:t>
      </w:r>
      <w:r w:rsidR="004E479D" w:rsidRPr="00DB0DC3">
        <w:rPr>
          <w:color w:val="000000"/>
          <w:szCs w:val="22"/>
          <w:lang w:eastAsia="cs-CZ"/>
        </w:rPr>
        <w:t>lieku Vreya</w:t>
      </w:r>
      <w:r w:rsidRPr="00DB0DC3">
        <w:rPr>
          <w:color w:val="000000"/>
          <w:szCs w:val="22"/>
          <w:lang w:eastAsia="cs-CZ"/>
        </w:rPr>
        <w:t xml:space="preserve"> môžu pravdepodobne byť aj pacientky s jednoznačne zvýšeným kardiovaskulárnym rizikom, napríklad v súvislosti so syndrómom polycystických vaječníkov. </w:t>
      </w:r>
    </w:p>
    <w:p w14:paraId="1C86EBF1" w14:textId="77777777" w:rsidR="007932D6" w:rsidRPr="00DB0DC3" w:rsidRDefault="007932D6" w:rsidP="004E479D">
      <w:pPr>
        <w:numPr>
          <w:ilvl w:val="0"/>
          <w:numId w:val="22"/>
        </w:numPr>
        <w:autoSpaceDE w:val="0"/>
        <w:autoSpaceDN w:val="0"/>
        <w:adjustRightInd w:val="0"/>
        <w:rPr>
          <w:color w:val="000000"/>
          <w:szCs w:val="22"/>
          <w:lang w:eastAsia="cs-CZ"/>
        </w:rPr>
      </w:pPr>
      <w:r w:rsidRPr="00DB0DC3">
        <w:rPr>
          <w:color w:val="000000"/>
          <w:szCs w:val="22"/>
          <w:lang w:eastAsia="cs-CZ"/>
        </w:rPr>
        <w:t xml:space="preserve">Epidemiologické štúdie taktiež spájajú používanie hormonálnej antikoncepcie so zvýšeným rizikom arteriálneho trombembolizmu (infarkt myokardu, prechodný ischemický záchvat). </w:t>
      </w:r>
    </w:p>
    <w:p w14:paraId="7F16472D" w14:textId="77777777" w:rsidR="007932D6" w:rsidRPr="00DB0DC3" w:rsidRDefault="007932D6" w:rsidP="004E479D">
      <w:pPr>
        <w:numPr>
          <w:ilvl w:val="0"/>
          <w:numId w:val="22"/>
        </w:numPr>
        <w:autoSpaceDE w:val="0"/>
        <w:autoSpaceDN w:val="0"/>
        <w:adjustRightInd w:val="0"/>
        <w:rPr>
          <w:color w:val="000000"/>
          <w:szCs w:val="22"/>
          <w:lang w:eastAsia="cs-CZ"/>
        </w:rPr>
      </w:pPr>
      <w:r w:rsidRPr="00DB0DC3">
        <w:rPr>
          <w:color w:val="000000"/>
          <w:szCs w:val="22"/>
          <w:lang w:eastAsia="cs-CZ"/>
        </w:rPr>
        <w:t xml:space="preserve">U používateliek hormonálnej antikoncepcie bol mimoriadne zriedkavo hlásený výskyt trombózy v iných krvných cievach, napr. v pečeňových, mezenterických, obličkových, mozgových alebo sietnicových žilách a tepnách. </w:t>
      </w:r>
    </w:p>
    <w:p w14:paraId="14B58642" w14:textId="77777777" w:rsidR="007932D6" w:rsidRPr="00DB0DC3" w:rsidRDefault="007932D6" w:rsidP="004E479D">
      <w:pPr>
        <w:numPr>
          <w:ilvl w:val="0"/>
          <w:numId w:val="22"/>
        </w:numPr>
        <w:autoSpaceDE w:val="0"/>
        <w:autoSpaceDN w:val="0"/>
        <w:adjustRightInd w:val="0"/>
        <w:rPr>
          <w:color w:val="000000"/>
          <w:szCs w:val="22"/>
          <w:lang w:eastAsia="cs-CZ"/>
        </w:rPr>
      </w:pPr>
      <w:r w:rsidRPr="00DB0DC3">
        <w:rPr>
          <w:color w:val="000000"/>
          <w:szCs w:val="22"/>
          <w:lang w:eastAsia="cs-CZ"/>
        </w:rPr>
        <w:t xml:space="preserve">Symptómami žilovej a tepnovej trombózy alebo cievnej mozgovej príhody môžu byť: neobvyklá jednostranná bolesť a/alebo opuch nohy, náhla silná bolesť v hrudi, bez ohľadu na to, či vyžaruje do ľavého ramena, náhla dýchavičnosť, náhly kašeľ, akákoľvek neobvyklá, silná, dlhodobá bolesť hlavy, náhla čiastočná alebo úplná strata zraku, diplopia, nezrozumiteľná reč alebo afázia, strata rovnováhy, kolaps s ložiskovým záchvatom alebo bez neho, slabosť alebo veľmi značná strata citlivosti náhle postihujúca jednu stranu alebo jednu časť tela, motorické poruchy, „akútna“ bolesť brucha </w:t>
      </w:r>
    </w:p>
    <w:p w14:paraId="12EC3DAA" w14:textId="77777777" w:rsidR="007932D6" w:rsidRPr="00DB0DC3" w:rsidRDefault="007932D6" w:rsidP="004E479D">
      <w:pPr>
        <w:numPr>
          <w:ilvl w:val="0"/>
          <w:numId w:val="22"/>
        </w:numPr>
        <w:autoSpaceDE w:val="0"/>
        <w:autoSpaceDN w:val="0"/>
        <w:adjustRightInd w:val="0"/>
        <w:rPr>
          <w:color w:val="000000"/>
          <w:szCs w:val="22"/>
          <w:lang w:eastAsia="cs-CZ"/>
        </w:rPr>
      </w:pPr>
      <w:r w:rsidRPr="00DB0DC3">
        <w:rPr>
          <w:color w:val="000000"/>
          <w:szCs w:val="22"/>
          <w:lang w:eastAsia="cs-CZ"/>
        </w:rPr>
        <w:t xml:space="preserve">Riziko vzniku žilového trombembolizmu zvyšujú: </w:t>
      </w:r>
    </w:p>
    <w:p w14:paraId="0C065244" w14:textId="77777777" w:rsidR="007932D6" w:rsidRPr="00DB0DC3" w:rsidRDefault="007932D6" w:rsidP="004E479D">
      <w:pPr>
        <w:numPr>
          <w:ilvl w:val="0"/>
          <w:numId w:val="23"/>
        </w:numPr>
        <w:autoSpaceDE w:val="0"/>
        <w:autoSpaceDN w:val="0"/>
        <w:adjustRightInd w:val="0"/>
        <w:rPr>
          <w:color w:val="000000"/>
          <w:szCs w:val="22"/>
          <w:lang w:eastAsia="cs-CZ"/>
        </w:rPr>
      </w:pPr>
      <w:r w:rsidRPr="00DB0DC3">
        <w:rPr>
          <w:color w:val="000000"/>
          <w:szCs w:val="22"/>
          <w:lang w:eastAsia="cs-CZ"/>
        </w:rPr>
        <w:t xml:space="preserve">zvyšujúci sa vek, </w:t>
      </w:r>
    </w:p>
    <w:p w14:paraId="698EB452" w14:textId="77777777" w:rsidR="007932D6" w:rsidRPr="00DB0DC3" w:rsidRDefault="007932D6" w:rsidP="004E479D">
      <w:pPr>
        <w:numPr>
          <w:ilvl w:val="0"/>
          <w:numId w:val="23"/>
        </w:numPr>
        <w:autoSpaceDE w:val="0"/>
        <w:autoSpaceDN w:val="0"/>
        <w:adjustRightInd w:val="0"/>
        <w:rPr>
          <w:color w:val="000000"/>
          <w:szCs w:val="22"/>
          <w:lang w:eastAsia="cs-CZ"/>
        </w:rPr>
      </w:pPr>
      <w:r w:rsidRPr="00DB0DC3">
        <w:rPr>
          <w:color w:val="000000"/>
          <w:szCs w:val="22"/>
          <w:lang w:eastAsia="cs-CZ"/>
        </w:rPr>
        <w:t>fajčenie (so silným fajčením a zvyšujúcim sa vekom sa riziko ďalej zvyšuje, najmä u žien vo veku nad 35 rokov. Ženám vo veku nad 35 rokov sa má dôrazne odporučiť, aby nefajčili, ak chcú používať liek</w:t>
      </w:r>
      <w:r w:rsidR="004E479D" w:rsidRPr="00DB0DC3">
        <w:rPr>
          <w:color w:val="000000"/>
          <w:szCs w:val="22"/>
          <w:lang w:eastAsia="cs-CZ"/>
        </w:rPr>
        <w:t xml:space="preserve"> Vreya)</w:t>
      </w:r>
      <w:r w:rsidRPr="00DB0DC3">
        <w:rPr>
          <w:color w:val="000000"/>
          <w:szCs w:val="22"/>
          <w:lang w:eastAsia="cs-CZ"/>
        </w:rPr>
        <w:t xml:space="preserve">, </w:t>
      </w:r>
    </w:p>
    <w:p w14:paraId="22A8A1C8" w14:textId="77777777" w:rsidR="007932D6" w:rsidRPr="00DB0DC3" w:rsidRDefault="007932D6" w:rsidP="004E479D">
      <w:pPr>
        <w:numPr>
          <w:ilvl w:val="0"/>
          <w:numId w:val="23"/>
        </w:numPr>
        <w:autoSpaceDE w:val="0"/>
        <w:autoSpaceDN w:val="0"/>
        <w:adjustRightInd w:val="0"/>
        <w:rPr>
          <w:color w:val="000000"/>
          <w:szCs w:val="22"/>
          <w:lang w:eastAsia="cs-CZ"/>
        </w:rPr>
      </w:pPr>
      <w:r w:rsidRPr="00DB0DC3">
        <w:rPr>
          <w:color w:val="000000"/>
          <w:szCs w:val="22"/>
          <w:lang w:eastAsia="cs-CZ"/>
        </w:rPr>
        <w:t xml:space="preserve">pozitívna rodinná anamnéza (t. j. žilový trombembolizmus u niektorého súrodenca alebo rodiča v pomerne mladom veku). Ak existuje podozrenie na dedičnú predispozíciu, ženu musí pred rozhodnutím o používaní ľubovoľnej hormonálnej antikoncepcie vyšetriť odborný lekár, </w:t>
      </w:r>
    </w:p>
    <w:p w14:paraId="3A533007" w14:textId="77777777" w:rsidR="007932D6" w:rsidRPr="00DB0DC3" w:rsidRDefault="007932D6" w:rsidP="004E479D">
      <w:pPr>
        <w:numPr>
          <w:ilvl w:val="0"/>
          <w:numId w:val="23"/>
        </w:numPr>
        <w:autoSpaceDE w:val="0"/>
        <w:autoSpaceDN w:val="0"/>
        <w:adjustRightInd w:val="0"/>
        <w:rPr>
          <w:color w:val="000000"/>
          <w:szCs w:val="22"/>
          <w:lang w:eastAsia="cs-CZ"/>
        </w:rPr>
      </w:pPr>
      <w:r w:rsidRPr="00DB0DC3">
        <w:rPr>
          <w:color w:val="000000"/>
          <w:szCs w:val="22"/>
          <w:lang w:eastAsia="cs-CZ"/>
        </w:rPr>
        <w:t>dlhšia imobilizácia, veľký chirurgický zákrok, akýkoľvek chirurgický zákrok na nohách alebo veľký úraz. V týchto prípadoch sa odporúča prerušiť používanie (v prípade plánovaných chirurgických zákrokov najmenej štyri týždne pred zákrokom) a pokračovať v ňom najskôr dva týždne po úplnom zotavení. Ak sa používanie lieku</w:t>
      </w:r>
      <w:r w:rsidR="004E479D" w:rsidRPr="00DB0DC3">
        <w:rPr>
          <w:color w:val="000000"/>
          <w:szCs w:val="22"/>
          <w:lang w:eastAsia="cs-CZ"/>
        </w:rPr>
        <w:t xml:space="preserve"> Vreya</w:t>
      </w:r>
      <w:r w:rsidRPr="00DB0DC3">
        <w:rPr>
          <w:color w:val="000000"/>
          <w:szCs w:val="22"/>
          <w:lang w:eastAsia="cs-CZ"/>
        </w:rPr>
        <w:t xml:space="preserve"> nepreruší včas, má sa zvážiť antitrombotická liečba. </w:t>
      </w:r>
    </w:p>
    <w:p w14:paraId="24664321" w14:textId="77777777" w:rsidR="007932D6" w:rsidRPr="00DB0DC3" w:rsidRDefault="007932D6" w:rsidP="004E479D">
      <w:pPr>
        <w:numPr>
          <w:ilvl w:val="0"/>
          <w:numId w:val="23"/>
        </w:numPr>
        <w:autoSpaceDE w:val="0"/>
        <w:autoSpaceDN w:val="0"/>
        <w:adjustRightInd w:val="0"/>
        <w:rPr>
          <w:color w:val="000000"/>
          <w:szCs w:val="22"/>
          <w:lang w:eastAsia="cs-CZ"/>
        </w:rPr>
      </w:pPr>
      <w:r w:rsidRPr="00DB0DC3">
        <w:rPr>
          <w:color w:val="000000"/>
          <w:szCs w:val="22"/>
          <w:lang w:eastAsia="cs-CZ"/>
        </w:rPr>
        <w:t>obezita (index telesnej hmotnosti nad 30 kg/m</w:t>
      </w:r>
      <w:r w:rsidRPr="00DB0DC3">
        <w:rPr>
          <w:color w:val="000000"/>
          <w:position w:val="6"/>
          <w:szCs w:val="22"/>
          <w:vertAlign w:val="superscript"/>
          <w:lang w:eastAsia="cs-CZ"/>
        </w:rPr>
        <w:t>2</w:t>
      </w:r>
      <w:r w:rsidR="004E479D" w:rsidRPr="00DB0DC3">
        <w:rPr>
          <w:color w:val="000000"/>
          <w:szCs w:val="22"/>
          <w:lang w:eastAsia="cs-CZ"/>
        </w:rPr>
        <w:t>).</w:t>
      </w:r>
    </w:p>
    <w:p w14:paraId="022A0084" w14:textId="77777777" w:rsidR="00DF67E8" w:rsidRPr="00DB0DC3" w:rsidRDefault="00DF67E8">
      <w:pPr>
        <w:ind w:left="0" w:firstLine="0"/>
        <w:rPr>
          <w:szCs w:val="22"/>
        </w:rPr>
      </w:pPr>
    </w:p>
    <w:p w14:paraId="20626BEC" w14:textId="77777777" w:rsidR="004E479D" w:rsidRPr="00DB0DC3" w:rsidRDefault="004E479D" w:rsidP="004E479D">
      <w:pPr>
        <w:pStyle w:val="Default"/>
        <w:numPr>
          <w:ilvl w:val="0"/>
          <w:numId w:val="24"/>
        </w:numPr>
        <w:rPr>
          <w:rFonts w:ascii="Times New Roman" w:hAnsi="Times New Roman" w:cs="Times New Roman"/>
          <w:sz w:val="22"/>
          <w:szCs w:val="22"/>
          <w:lang w:val="sk-SK"/>
        </w:rPr>
      </w:pPr>
      <w:r w:rsidRPr="00DB0DC3">
        <w:rPr>
          <w:rFonts w:ascii="Times New Roman" w:hAnsi="Times New Roman" w:cs="Times New Roman"/>
          <w:sz w:val="22"/>
          <w:szCs w:val="22"/>
          <w:lang w:val="sk-SK"/>
        </w:rPr>
        <w:lastRenderedPageBreak/>
        <w:t xml:space="preserve">Riziko tepnových trombembolických komplikácií alebo cievnej mozgovej príhody zvyšujú: </w:t>
      </w:r>
    </w:p>
    <w:p w14:paraId="7AD2F767" w14:textId="77777777" w:rsidR="004E479D" w:rsidRPr="00DB0DC3" w:rsidRDefault="004E479D" w:rsidP="004E479D">
      <w:pPr>
        <w:pStyle w:val="Default"/>
        <w:numPr>
          <w:ilvl w:val="0"/>
          <w:numId w:val="25"/>
        </w:numPr>
        <w:rPr>
          <w:rFonts w:ascii="Times New Roman" w:hAnsi="Times New Roman" w:cs="Times New Roman"/>
          <w:sz w:val="22"/>
          <w:szCs w:val="22"/>
          <w:lang w:val="sk-SK"/>
        </w:rPr>
      </w:pPr>
      <w:r w:rsidRPr="00DB0DC3">
        <w:rPr>
          <w:rFonts w:ascii="Times New Roman" w:hAnsi="Times New Roman" w:cs="Times New Roman"/>
          <w:sz w:val="22"/>
          <w:szCs w:val="22"/>
          <w:lang w:val="sk-SK"/>
        </w:rPr>
        <w:t xml:space="preserve">zvyšujúci sa vek, </w:t>
      </w:r>
    </w:p>
    <w:p w14:paraId="0A6A23E1" w14:textId="77777777" w:rsidR="004E479D" w:rsidRPr="00DB0DC3" w:rsidRDefault="004E479D" w:rsidP="004E479D">
      <w:pPr>
        <w:pStyle w:val="Default"/>
        <w:numPr>
          <w:ilvl w:val="0"/>
          <w:numId w:val="25"/>
        </w:numPr>
        <w:rPr>
          <w:rFonts w:ascii="Times New Roman" w:hAnsi="Times New Roman" w:cs="Times New Roman"/>
          <w:sz w:val="22"/>
          <w:szCs w:val="22"/>
          <w:lang w:val="sk-SK"/>
        </w:rPr>
      </w:pPr>
      <w:r w:rsidRPr="00DB0DC3">
        <w:rPr>
          <w:rFonts w:ascii="Times New Roman" w:hAnsi="Times New Roman" w:cs="Times New Roman"/>
          <w:sz w:val="22"/>
          <w:szCs w:val="22"/>
          <w:lang w:val="sk-SK"/>
        </w:rPr>
        <w:t xml:space="preserve">fajčenie (so silným fajčením a zvyšujúcim sa vekom sa riziko ďalej zvyšuje, najmä u žien vo veku nad 35 rokov. Ženám vo veku nad 35 rokov sa má dôrazne odporučiť, aby nefajčili, ak chcú používať liek Vreya), </w:t>
      </w:r>
    </w:p>
    <w:p w14:paraId="24EF3326" w14:textId="77777777" w:rsidR="004E479D" w:rsidRPr="00DB0DC3" w:rsidRDefault="004E479D" w:rsidP="004E479D">
      <w:pPr>
        <w:pStyle w:val="Default"/>
        <w:numPr>
          <w:ilvl w:val="0"/>
          <w:numId w:val="25"/>
        </w:numPr>
        <w:rPr>
          <w:rFonts w:ascii="Times New Roman" w:hAnsi="Times New Roman" w:cs="Times New Roman"/>
          <w:sz w:val="22"/>
          <w:szCs w:val="22"/>
          <w:lang w:val="sk-SK"/>
        </w:rPr>
      </w:pPr>
      <w:r w:rsidRPr="00DB0DC3">
        <w:rPr>
          <w:rFonts w:ascii="Times New Roman" w:hAnsi="Times New Roman" w:cs="Times New Roman"/>
          <w:sz w:val="22"/>
          <w:szCs w:val="22"/>
          <w:lang w:val="sk-SK"/>
        </w:rPr>
        <w:t xml:space="preserve">dyslipoproteinémia, </w:t>
      </w:r>
    </w:p>
    <w:p w14:paraId="078A0C6E" w14:textId="77777777" w:rsidR="004E479D" w:rsidRPr="00DB0DC3" w:rsidRDefault="004E479D" w:rsidP="004E479D">
      <w:pPr>
        <w:pStyle w:val="Default"/>
        <w:numPr>
          <w:ilvl w:val="0"/>
          <w:numId w:val="25"/>
        </w:numPr>
        <w:rPr>
          <w:rFonts w:ascii="Times New Roman" w:hAnsi="Times New Roman" w:cs="Times New Roman"/>
          <w:sz w:val="22"/>
          <w:szCs w:val="22"/>
          <w:lang w:val="sk-SK"/>
        </w:rPr>
      </w:pPr>
      <w:r w:rsidRPr="00DB0DC3">
        <w:rPr>
          <w:rFonts w:ascii="Times New Roman" w:hAnsi="Times New Roman" w:cs="Times New Roman"/>
          <w:sz w:val="22"/>
          <w:szCs w:val="22"/>
          <w:lang w:val="sk-SK"/>
        </w:rPr>
        <w:t>obezita (index telesnej hmotnosti nad 30 kg/m</w:t>
      </w:r>
      <w:r w:rsidRPr="00DB0DC3">
        <w:rPr>
          <w:rFonts w:ascii="Times New Roman" w:hAnsi="Times New Roman" w:cs="Times New Roman"/>
          <w:position w:val="6"/>
          <w:sz w:val="22"/>
          <w:szCs w:val="22"/>
          <w:vertAlign w:val="superscript"/>
          <w:lang w:val="sk-SK"/>
        </w:rPr>
        <w:t>2</w:t>
      </w:r>
      <w:r w:rsidRPr="00DB0DC3">
        <w:rPr>
          <w:rFonts w:ascii="Times New Roman" w:hAnsi="Times New Roman" w:cs="Times New Roman"/>
          <w:sz w:val="22"/>
          <w:szCs w:val="22"/>
          <w:lang w:val="sk-SK"/>
        </w:rPr>
        <w:t>),</w:t>
      </w:r>
    </w:p>
    <w:p w14:paraId="560B8059" w14:textId="77777777" w:rsidR="004E479D" w:rsidRPr="00DB0DC3" w:rsidRDefault="004E479D" w:rsidP="004E479D">
      <w:pPr>
        <w:pStyle w:val="Default"/>
        <w:numPr>
          <w:ilvl w:val="0"/>
          <w:numId w:val="25"/>
        </w:numPr>
        <w:rPr>
          <w:rFonts w:ascii="Times New Roman" w:hAnsi="Times New Roman" w:cs="Times New Roman"/>
          <w:sz w:val="22"/>
          <w:szCs w:val="22"/>
          <w:lang w:val="sk-SK"/>
        </w:rPr>
      </w:pPr>
      <w:r w:rsidRPr="00DB0DC3">
        <w:rPr>
          <w:rFonts w:ascii="Times New Roman" w:hAnsi="Times New Roman" w:cs="Times New Roman"/>
          <w:sz w:val="22"/>
          <w:szCs w:val="22"/>
          <w:lang w:val="sk-SK"/>
        </w:rPr>
        <w:t xml:space="preserve">hypertenzia, </w:t>
      </w:r>
    </w:p>
    <w:p w14:paraId="1247AC81" w14:textId="77777777" w:rsidR="004E479D" w:rsidRPr="00DB0DC3" w:rsidRDefault="004E479D" w:rsidP="004E479D">
      <w:pPr>
        <w:pStyle w:val="Default"/>
        <w:numPr>
          <w:ilvl w:val="0"/>
          <w:numId w:val="25"/>
        </w:numPr>
        <w:rPr>
          <w:rFonts w:ascii="Times New Roman" w:hAnsi="Times New Roman" w:cs="Times New Roman"/>
          <w:sz w:val="22"/>
          <w:szCs w:val="22"/>
          <w:lang w:val="sk-SK"/>
        </w:rPr>
      </w:pPr>
      <w:r w:rsidRPr="00DB0DC3">
        <w:rPr>
          <w:rFonts w:ascii="Times New Roman" w:hAnsi="Times New Roman" w:cs="Times New Roman"/>
          <w:sz w:val="22"/>
          <w:szCs w:val="22"/>
          <w:lang w:val="sk-SK"/>
        </w:rPr>
        <w:t xml:space="preserve">migréna, </w:t>
      </w:r>
    </w:p>
    <w:p w14:paraId="62B17FFE" w14:textId="77777777" w:rsidR="004E479D" w:rsidRPr="00DB0DC3" w:rsidRDefault="004E479D" w:rsidP="004E479D">
      <w:pPr>
        <w:pStyle w:val="Default"/>
        <w:numPr>
          <w:ilvl w:val="0"/>
          <w:numId w:val="25"/>
        </w:numPr>
        <w:rPr>
          <w:rFonts w:ascii="Times New Roman" w:hAnsi="Times New Roman" w:cs="Times New Roman"/>
          <w:sz w:val="22"/>
          <w:szCs w:val="22"/>
          <w:lang w:val="sk-SK"/>
        </w:rPr>
      </w:pPr>
      <w:r w:rsidRPr="00DB0DC3">
        <w:rPr>
          <w:rFonts w:ascii="Times New Roman" w:hAnsi="Times New Roman" w:cs="Times New Roman"/>
          <w:sz w:val="22"/>
          <w:szCs w:val="22"/>
          <w:lang w:val="sk-SK"/>
        </w:rPr>
        <w:t xml:space="preserve">ochorenie srdcovej chlopne, </w:t>
      </w:r>
    </w:p>
    <w:p w14:paraId="4E8816C7" w14:textId="77777777" w:rsidR="004E479D" w:rsidRPr="00DB0DC3" w:rsidRDefault="004E479D" w:rsidP="004E479D">
      <w:pPr>
        <w:pStyle w:val="Default"/>
        <w:numPr>
          <w:ilvl w:val="0"/>
          <w:numId w:val="25"/>
        </w:numPr>
        <w:rPr>
          <w:rFonts w:ascii="Times New Roman" w:hAnsi="Times New Roman" w:cs="Times New Roman"/>
          <w:sz w:val="22"/>
          <w:szCs w:val="22"/>
          <w:lang w:val="sk-SK"/>
        </w:rPr>
      </w:pPr>
      <w:r w:rsidRPr="00DB0DC3">
        <w:rPr>
          <w:rFonts w:ascii="Times New Roman" w:hAnsi="Times New Roman" w:cs="Times New Roman"/>
          <w:sz w:val="22"/>
          <w:szCs w:val="22"/>
          <w:lang w:val="sk-SK"/>
        </w:rPr>
        <w:t xml:space="preserve">atriálna fibrilácia, </w:t>
      </w:r>
    </w:p>
    <w:p w14:paraId="55DEB286" w14:textId="77777777" w:rsidR="004E479D" w:rsidRPr="00DB0DC3" w:rsidRDefault="004E479D" w:rsidP="004E479D">
      <w:pPr>
        <w:pStyle w:val="Default"/>
        <w:numPr>
          <w:ilvl w:val="0"/>
          <w:numId w:val="25"/>
        </w:numPr>
        <w:rPr>
          <w:rFonts w:ascii="Times New Roman" w:hAnsi="Times New Roman" w:cs="Times New Roman"/>
          <w:sz w:val="22"/>
          <w:szCs w:val="22"/>
          <w:lang w:val="sk-SK"/>
        </w:rPr>
      </w:pPr>
      <w:r w:rsidRPr="00DB0DC3">
        <w:rPr>
          <w:rFonts w:ascii="Times New Roman" w:hAnsi="Times New Roman" w:cs="Times New Roman"/>
          <w:sz w:val="22"/>
          <w:szCs w:val="22"/>
          <w:lang w:val="sk-SK"/>
        </w:rPr>
        <w:t xml:space="preserve">pozitívna rodinná anamnéza (tepnová trombóza u niektorého súrodenca alebo rodiča v pomerne mladom veku). Ak existuje podozrenie na dedičnú predispozíciu, ženu musí pred rozhodnutím o používaní ľubovoľnej hormonálnej antikoncepcie vyšetriť odborný lekár. </w:t>
      </w:r>
    </w:p>
    <w:p w14:paraId="5B739D8A" w14:textId="77777777" w:rsidR="004E479D" w:rsidRPr="00DB0DC3" w:rsidRDefault="004E479D" w:rsidP="004E479D">
      <w:pPr>
        <w:pStyle w:val="Default"/>
        <w:numPr>
          <w:ilvl w:val="0"/>
          <w:numId w:val="26"/>
        </w:numPr>
        <w:ind w:left="709" w:hanging="283"/>
        <w:rPr>
          <w:rFonts w:ascii="Times New Roman" w:hAnsi="Times New Roman" w:cs="Times New Roman"/>
          <w:sz w:val="22"/>
          <w:szCs w:val="22"/>
          <w:lang w:val="sk-SK"/>
        </w:rPr>
      </w:pPr>
      <w:r w:rsidRPr="00DB0DC3">
        <w:rPr>
          <w:rFonts w:ascii="Times New Roman" w:hAnsi="Times New Roman" w:cs="Times New Roman"/>
          <w:sz w:val="22"/>
          <w:szCs w:val="22"/>
          <w:lang w:val="sk-SK"/>
        </w:rPr>
        <w:t xml:space="preserve">Medzi ďalšie ochorenia, ktoré sa spájajú s nežiaducimi účinkami na krvný obeh, patria diabetes mellitus, systémový lupus erythematosus, hemolyticko-uremický syndróm, chronické zápalové ochorenie čriev (napr. Crohnova choroba alebo ulcerózna kolitída) a kosáčikovitá anémia. </w:t>
      </w:r>
    </w:p>
    <w:p w14:paraId="7D6F8F52" w14:textId="77777777" w:rsidR="004E479D" w:rsidRPr="00DB0DC3" w:rsidRDefault="004E479D" w:rsidP="004E479D">
      <w:pPr>
        <w:pStyle w:val="Default"/>
        <w:numPr>
          <w:ilvl w:val="0"/>
          <w:numId w:val="26"/>
        </w:numPr>
        <w:ind w:left="709" w:hanging="283"/>
        <w:rPr>
          <w:rFonts w:ascii="Times New Roman" w:hAnsi="Times New Roman" w:cs="Times New Roman"/>
          <w:sz w:val="22"/>
          <w:szCs w:val="22"/>
          <w:lang w:val="sk-SK"/>
        </w:rPr>
      </w:pPr>
      <w:r w:rsidRPr="00DB0DC3">
        <w:rPr>
          <w:rFonts w:ascii="Times New Roman" w:hAnsi="Times New Roman" w:cs="Times New Roman"/>
          <w:sz w:val="22"/>
          <w:szCs w:val="22"/>
          <w:lang w:val="sk-SK"/>
        </w:rPr>
        <w:t xml:space="preserve">Musí sa zvážiť zvýšené riziko trombembolizmu v šestonedelí (informácie o „gravidite a laktácii“, pozri časť 4.6). </w:t>
      </w:r>
    </w:p>
    <w:p w14:paraId="3BDA34FA" w14:textId="77777777" w:rsidR="004E479D" w:rsidRPr="00DB0DC3" w:rsidRDefault="004E479D" w:rsidP="00414F00">
      <w:pPr>
        <w:pStyle w:val="Default"/>
        <w:numPr>
          <w:ilvl w:val="0"/>
          <w:numId w:val="26"/>
        </w:numPr>
        <w:ind w:left="709" w:hanging="283"/>
        <w:rPr>
          <w:rFonts w:ascii="Times New Roman" w:hAnsi="Times New Roman" w:cs="Times New Roman"/>
          <w:sz w:val="22"/>
          <w:szCs w:val="22"/>
          <w:lang w:val="sk-SK"/>
        </w:rPr>
      </w:pPr>
      <w:r w:rsidRPr="00DB0DC3">
        <w:rPr>
          <w:rFonts w:ascii="Times New Roman" w:hAnsi="Times New Roman" w:cs="Times New Roman"/>
          <w:sz w:val="22"/>
          <w:szCs w:val="22"/>
          <w:lang w:val="sk-SK"/>
        </w:rPr>
        <w:t xml:space="preserve">Zvýšenie frekvencie alebo závažnosti migrény v priebehu používania </w:t>
      </w:r>
      <w:r w:rsidR="00414F00" w:rsidRPr="00DB0DC3">
        <w:rPr>
          <w:rFonts w:ascii="Times New Roman" w:hAnsi="Times New Roman" w:cs="Times New Roman"/>
          <w:sz w:val="22"/>
          <w:szCs w:val="22"/>
          <w:lang w:val="sk-SK"/>
        </w:rPr>
        <w:t>Vreya</w:t>
      </w:r>
      <w:r w:rsidRPr="00DB0DC3">
        <w:rPr>
          <w:rFonts w:ascii="Times New Roman" w:hAnsi="Times New Roman" w:cs="Times New Roman"/>
          <w:sz w:val="22"/>
          <w:szCs w:val="22"/>
          <w:lang w:val="sk-SK"/>
        </w:rPr>
        <w:t xml:space="preserve"> (čo môžu byť skoré príznaky cievnej mozgovej príhody) môže byť dôvodom na okamžité ukončenia použ</w:t>
      </w:r>
      <w:r w:rsidR="00414F00" w:rsidRPr="00DB0DC3">
        <w:rPr>
          <w:rFonts w:ascii="Times New Roman" w:hAnsi="Times New Roman" w:cs="Times New Roman"/>
          <w:sz w:val="22"/>
          <w:szCs w:val="22"/>
          <w:lang w:val="sk-SK"/>
        </w:rPr>
        <w:t xml:space="preserve">ívania </w:t>
      </w:r>
      <w:r w:rsidRPr="00DB0DC3">
        <w:rPr>
          <w:rFonts w:ascii="Times New Roman" w:hAnsi="Times New Roman" w:cs="Times New Roman"/>
          <w:sz w:val="22"/>
          <w:szCs w:val="22"/>
          <w:lang w:val="sk-SK"/>
        </w:rPr>
        <w:t>lieku</w:t>
      </w:r>
      <w:r w:rsidR="00414F00" w:rsidRPr="00DB0DC3">
        <w:rPr>
          <w:rFonts w:ascii="Times New Roman" w:hAnsi="Times New Roman" w:cs="Times New Roman"/>
          <w:sz w:val="22"/>
          <w:szCs w:val="22"/>
          <w:lang w:val="sk-SK"/>
        </w:rPr>
        <w:t xml:space="preserve"> Vreya</w:t>
      </w:r>
      <w:r w:rsidRPr="00DB0DC3">
        <w:rPr>
          <w:rFonts w:ascii="Times New Roman" w:hAnsi="Times New Roman" w:cs="Times New Roman"/>
          <w:sz w:val="22"/>
          <w:szCs w:val="22"/>
          <w:lang w:val="sk-SK"/>
        </w:rPr>
        <w:t xml:space="preserve">. </w:t>
      </w:r>
    </w:p>
    <w:p w14:paraId="3D2F1BC9" w14:textId="77777777" w:rsidR="00DF67E8" w:rsidRPr="00DB0DC3" w:rsidRDefault="004E479D" w:rsidP="004E479D">
      <w:pPr>
        <w:ind w:left="0" w:firstLine="0"/>
        <w:rPr>
          <w:szCs w:val="22"/>
        </w:rPr>
      </w:pPr>
      <w:r w:rsidRPr="00DB0DC3">
        <w:rPr>
          <w:szCs w:val="22"/>
        </w:rPr>
        <w:t xml:space="preserve">Ženám používajúcim </w:t>
      </w:r>
      <w:r w:rsidR="00414F00" w:rsidRPr="00DB0DC3">
        <w:rPr>
          <w:szCs w:val="22"/>
        </w:rPr>
        <w:t xml:space="preserve">liek Vreya </w:t>
      </w:r>
      <w:r w:rsidRPr="00DB0DC3">
        <w:rPr>
          <w:szCs w:val="22"/>
        </w:rPr>
        <w:t xml:space="preserve">sa má obzvlášť zdôrazniť, aby v prípade výskytu možných symptómov trombózy kontaktovali svojho lekára. Pri podozrení na trombózu alebo po jej potvrdení sa musí ukončiť používanie </w:t>
      </w:r>
      <w:r w:rsidR="00414F00" w:rsidRPr="00DB0DC3">
        <w:rPr>
          <w:szCs w:val="22"/>
        </w:rPr>
        <w:t>Vreya</w:t>
      </w:r>
      <w:r w:rsidRPr="00DB0DC3">
        <w:rPr>
          <w:szCs w:val="22"/>
        </w:rPr>
        <w:t>. Z dôvodu teratogénnych účinkov antikoagulačnej liečby (kumaríny) sa má nasadiť vhodná antikoncepcia</w:t>
      </w:r>
      <w:r w:rsidR="00414F00" w:rsidRPr="00DB0DC3">
        <w:rPr>
          <w:szCs w:val="22"/>
        </w:rPr>
        <w:t>.</w:t>
      </w:r>
    </w:p>
    <w:p w14:paraId="5349B400" w14:textId="77777777" w:rsidR="00414F00" w:rsidRPr="00DB0DC3" w:rsidRDefault="00414F00" w:rsidP="004E479D">
      <w:pPr>
        <w:ind w:left="0" w:firstLine="0"/>
        <w:rPr>
          <w:szCs w:val="22"/>
        </w:rPr>
      </w:pPr>
    </w:p>
    <w:p w14:paraId="4D8B56DD" w14:textId="77777777" w:rsidR="00DF67E8" w:rsidRPr="00DB0DC3" w:rsidRDefault="00DF67E8">
      <w:pPr>
        <w:ind w:left="0" w:firstLine="0"/>
        <w:rPr>
          <w:bCs/>
          <w:caps/>
          <w:szCs w:val="22"/>
        </w:rPr>
      </w:pPr>
      <w:r w:rsidRPr="00DB0DC3">
        <w:rPr>
          <w:bCs/>
          <w:caps/>
          <w:szCs w:val="22"/>
        </w:rPr>
        <w:t>Nádory</w:t>
      </w:r>
    </w:p>
    <w:p w14:paraId="75904794" w14:textId="77777777" w:rsidR="00DF67E8" w:rsidRPr="00DB0DC3" w:rsidRDefault="00DF67E8" w:rsidP="00414F00">
      <w:pPr>
        <w:ind w:left="0" w:firstLine="0"/>
        <w:rPr>
          <w:szCs w:val="22"/>
        </w:rPr>
      </w:pPr>
      <w:r w:rsidRPr="00DB0DC3">
        <w:rPr>
          <w:szCs w:val="22"/>
        </w:rPr>
        <w:t xml:space="preserve">V niektorých štúdiách sa hlásilo zvýšené riziko rakoviny krčka maternice u dlhodobých používateliek kombinovaných perorálnych </w:t>
      </w:r>
      <w:r w:rsidR="001411C8">
        <w:rPr>
          <w:szCs w:val="22"/>
        </w:rPr>
        <w:t>antikoncepcií</w:t>
      </w:r>
      <w:r w:rsidRPr="00DB0DC3">
        <w:rPr>
          <w:szCs w:val="22"/>
        </w:rPr>
        <w:t>, ale dosiaľ neexistuje názorová zhoda o miere, do akej by mohlo byť toto riziko ovplyvnené sexuálnym správaním a výskytom ľudského papilomavírusu (HPV).</w:t>
      </w:r>
    </w:p>
    <w:p w14:paraId="3B16FD2A" w14:textId="77777777" w:rsidR="00414F00" w:rsidRPr="00DB0DC3" w:rsidRDefault="00414F00" w:rsidP="00414F00">
      <w:pPr>
        <w:ind w:left="0" w:firstLine="0"/>
        <w:rPr>
          <w:szCs w:val="22"/>
        </w:rPr>
      </w:pPr>
    </w:p>
    <w:p w14:paraId="7BFB0C98" w14:textId="77777777" w:rsidR="00DF67E8" w:rsidRPr="00DB0DC3" w:rsidRDefault="00DF67E8">
      <w:pPr>
        <w:numPr>
          <w:ilvl w:val="0"/>
          <w:numId w:val="13"/>
        </w:numPr>
        <w:tabs>
          <w:tab w:val="clear" w:pos="1080"/>
          <w:tab w:val="num" w:pos="720"/>
        </w:tabs>
        <w:ind w:left="720"/>
        <w:rPr>
          <w:szCs w:val="22"/>
        </w:rPr>
      </w:pPr>
      <w:r w:rsidRPr="00DB0DC3">
        <w:rPr>
          <w:szCs w:val="22"/>
        </w:rPr>
        <w:t xml:space="preserve">Metaanalýza 54 epidemiologických štúdií uviedla, že existuje mierne zvýšené relatívne riziko </w:t>
      </w:r>
      <w:r w:rsidRPr="00DB0DC3">
        <w:t>(RR = 1,24) výskytu rakoviny prsníka diagnostikovaného u žien, ktoré užívajú COC. Toto zvýšené riziko postupne klesá v priebehu obdobia 10 rokov po ukončení užívania COC. Keďže výskyt rakoviny prsníka je zriedkavý u žien do 40 rokov, zvýšený počet diagnostikovanej rakoviny prsníka u súčasných a nedávnych užívateliek COC je v pomere k celkovému riziku rakoviny prsníka malý. Pozorovaná schéma zvýšenia rizika môže byť dôsledkom skoršej diagnózy rakoviny prsníka u užívateliek COC, biologického účinku COC alebo kombináciou oboch faktorov. Rakovina prsníka diagnostikovaná u užívateliek býva klinicky menej rozvinutá ako rakovina diagnostikovaná u žien, ktoré COC nikdy neužívali. Pozorovaná schéma mohla byť dôsledkom skoršej diagnózy rakoviny prsníka u užívateliek OC, biologického účinku COC alebo kombináciou oboch faktorov.</w:t>
      </w:r>
    </w:p>
    <w:p w14:paraId="691F2957" w14:textId="77777777" w:rsidR="00DF67E8" w:rsidRPr="00DB0DC3" w:rsidRDefault="00DF67E8">
      <w:pPr>
        <w:tabs>
          <w:tab w:val="num" w:pos="720"/>
        </w:tabs>
        <w:ind w:left="720" w:hanging="360"/>
      </w:pPr>
    </w:p>
    <w:p w14:paraId="6B81CDD6" w14:textId="77777777" w:rsidR="00DF67E8" w:rsidRPr="00DB0DC3" w:rsidRDefault="00DF67E8">
      <w:pPr>
        <w:numPr>
          <w:ilvl w:val="0"/>
          <w:numId w:val="14"/>
        </w:numPr>
        <w:tabs>
          <w:tab w:val="clear" w:pos="1080"/>
          <w:tab w:val="num" w:pos="720"/>
        </w:tabs>
        <w:ind w:left="720"/>
        <w:rPr>
          <w:szCs w:val="22"/>
        </w:rPr>
      </w:pPr>
      <w:r w:rsidRPr="00DB0DC3">
        <w:rPr>
          <w:szCs w:val="22"/>
        </w:rPr>
        <w:t>V zriedkavých prípadoch sa po používaní hormonálnych liečiv, ako sú liečivá obsiahnuté v COC, pozorovali benígne a v ešte zriedkavejších prípadoch malígne tumory pečene, ktoré v jednotlivých prípadoch viedli k život ohrozujúcemu intraabdominálnemu krvácaniu. V prípade výskytu závažných bolestí brucha, zväčšenia pečene alebo príznakov intraabdominálneho krvácania, sa musí v diferenciálnej diagnóze uvažovať o nádore pečene.</w:t>
      </w:r>
    </w:p>
    <w:p w14:paraId="6DC285C6" w14:textId="77777777" w:rsidR="00DF67E8" w:rsidRDefault="00DF67E8">
      <w:pPr>
        <w:ind w:left="0" w:firstLine="0"/>
        <w:rPr>
          <w:szCs w:val="22"/>
        </w:rPr>
      </w:pPr>
    </w:p>
    <w:p w14:paraId="5A92E0A8" w14:textId="4A70ACC5" w:rsidR="00C63DEE" w:rsidRDefault="00C63DEE" w:rsidP="00FA0191">
      <w:pPr>
        <w:ind w:left="708" w:firstLine="0"/>
        <w:rPr>
          <w:color w:val="000000"/>
          <w:szCs w:val="22"/>
        </w:rPr>
      </w:pPr>
      <w:r w:rsidRPr="00FA0191">
        <w:rPr>
          <w:b/>
          <w:color w:val="000000"/>
          <w:szCs w:val="22"/>
        </w:rPr>
        <w:t>Meningióm</w:t>
      </w:r>
      <w:r w:rsidRPr="00FA0191">
        <w:rPr>
          <w:b/>
          <w:color w:val="000000"/>
          <w:szCs w:val="22"/>
        </w:rPr>
        <w:br/>
      </w:r>
      <w:r w:rsidRPr="00FA0191">
        <w:rPr>
          <w:color w:val="000000"/>
          <w:szCs w:val="22"/>
        </w:rPr>
        <w:t xml:space="preserve">V súvislosti s používaním cyproterónium-acetátu, najmä pri vysokých dávkach 25 mg a vyšších a pri dlhodobom používaní, bol hlásený výskyt meningiómov (jednotlivých a viacnásobných) (pozri časť 5.1). Ak sa u pacienta diagnostikuje meningióm, musí sa preventívne ukončiť liečba všetkými liekmi obsahujúcimi cyproterón vrátane </w:t>
      </w:r>
      <w:r w:rsidR="001636A4">
        <w:rPr>
          <w:color w:val="000000"/>
          <w:szCs w:val="22"/>
        </w:rPr>
        <w:t xml:space="preserve">lieku </w:t>
      </w:r>
      <w:r>
        <w:rPr>
          <w:color w:val="000000"/>
          <w:szCs w:val="22"/>
        </w:rPr>
        <w:t>Vrey</w:t>
      </w:r>
      <w:r w:rsidR="001636A4">
        <w:rPr>
          <w:color w:val="000000"/>
          <w:szCs w:val="22"/>
        </w:rPr>
        <w:t>a</w:t>
      </w:r>
      <w:r>
        <w:rPr>
          <w:color w:val="000000"/>
          <w:szCs w:val="22"/>
        </w:rPr>
        <w:t>.</w:t>
      </w:r>
    </w:p>
    <w:p w14:paraId="4FC1843E" w14:textId="77777777" w:rsidR="00C63DEE" w:rsidRPr="00C63DEE" w:rsidRDefault="00C63DEE" w:rsidP="00FA0191">
      <w:pPr>
        <w:ind w:left="708" w:firstLine="0"/>
        <w:rPr>
          <w:szCs w:val="22"/>
        </w:rPr>
      </w:pPr>
    </w:p>
    <w:p w14:paraId="4DFB17FD" w14:textId="77777777" w:rsidR="00DF67E8" w:rsidRPr="00DB0DC3" w:rsidRDefault="00DF67E8">
      <w:pPr>
        <w:ind w:left="0" w:firstLine="0"/>
        <w:rPr>
          <w:bCs/>
          <w:szCs w:val="22"/>
        </w:rPr>
      </w:pPr>
      <w:r w:rsidRPr="00DB0DC3">
        <w:rPr>
          <w:bCs/>
          <w:szCs w:val="22"/>
        </w:rPr>
        <w:t>INÉ PORUCHY</w:t>
      </w:r>
    </w:p>
    <w:p w14:paraId="34D41A1B" w14:textId="77777777" w:rsidR="00DF67E8" w:rsidRPr="00DB0DC3" w:rsidRDefault="00DF67E8">
      <w:pPr>
        <w:numPr>
          <w:ilvl w:val="1"/>
          <w:numId w:val="7"/>
        </w:numPr>
        <w:tabs>
          <w:tab w:val="clear" w:pos="1800"/>
          <w:tab w:val="num" w:pos="900"/>
        </w:tabs>
        <w:ind w:left="900"/>
        <w:rPr>
          <w:szCs w:val="22"/>
        </w:rPr>
      </w:pPr>
      <w:r w:rsidRPr="00DB0DC3">
        <w:rPr>
          <w:szCs w:val="22"/>
        </w:rPr>
        <w:t>U žien, ktoré majú hypertriglyceridémiu alebo majú toto ochorenie v rodinnej anamnéze, môže byť zvýšené riziko výskytu pankreatitídy počas užívania COC.</w:t>
      </w:r>
    </w:p>
    <w:p w14:paraId="47FA4571" w14:textId="77777777" w:rsidR="00DF67E8" w:rsidRPr="00DB0DC3" w:rsidRDefault="00DF67E8">
      <w:pPr>
        <w:numPr>
          <w:ilvl w:val="1"/>
          <w:numId w:val="7"/>
        </w:numPr>
        <w:tabs>
          <w:tab w:val="clear" w:pos="1800"/>
          <w:tab w:val="num" w:pos="900"/>
        </w:tabs>
        <w:ind w:left="900"/>
        <w:rPr>
          <w:szCs w:val="22"/>
        </w:rPr>
      </w:pPr>
      <w:r w:rsidRPr="00DB0DC3">
        <w:rPr>
          <w:szCs w:val="22"/>
        </w:rPr>
        <w:t>Hoci sa u </w:t>
      </w:r>
      <w:r w:rsidR="00DF167D">
        <w:rPr>
          <w:szCs w:val="22"/>
        </w:rPr>
        <w:t>veľa</w:t>
      </w:r>
      <w:r w:rsidR="00DF167D" w:rsidRPr="00DB0DC3">
        <w:rPr>
          <w:szCs w:val="22"/>
        </w:rPr>
        <w:t xml:space="preserve"> </w:t>
      </w:r>
      <w:r w:rsidRPr="00DB0DC3">
        <w:rPr>
          <w:szCs w:val="22"/>
        </w:rPr>
        <w:t xml:space="preserve">žien užívajúcich COC </w:t>
      </w:r>
      <w:r w:rsidR="000C259A">
        <w:rPr>
          <w:szCs w:val="22"/>
        </w:rPr>
        <w:t xml:space="preserve">alebo </w:t>
      </w:r>
      <w:r w:rsidR="00546137">
        <w:rPr>
          <w:szCs w:val="22"/>
        </w:rPr>
        <w:t>Vreyu</w:t>
      </w:r>
      <w:r w:rsidR="000C259A">
        <w:rPr>
          <w:szCs w:val="22"/>
        </w:rPr>
        <w:t xml:space="preserve"> </w:t>
      </w:r>
      <w:r w:rsidRPr="00DB0DC3">
        <w:rPr>
          <w:szCs w:val="22"/>
        </w:rPr>
        <w:t>hlásilo mierne zvýšenie krvného tlaku, klinicky významný nárast je zriedkavý. Ak počas užívania COC hodnoty krvného tlaku naďalej stúpajú alebo významné zvýšenie krvného tlaku dostatočne neodpovedá na antihypertenznú liečbu, užívanie COC sa musí prerušiť.</w:t>
      </w:r>
    </w:p>
    <w:p w14:paraId="6746CC67" w14:textId="77777777" w:rsidR="00DF67E8" w:rsidRPr="00DB0DC3" w:rsidRDefault="00DF67E8">
      <w:pPr>
        <w:numPr>
          <w:ilvl w:val="1"/>
          <w:numId w:val="7"/>
        </w:numPr>
        <w:tabs>
          <w:tab w:val="clear" w:pos="1800"/>
          <w:tab w:val="num" w:pos="900"/>
        </w:tabs>
        <w:ind w:left="900"/>
        <w:rPr>
          <w:szCs w:val="22"/>
        </w:rPr>
      </w:pPr>
      <w:r w:rsidRPr="00DB0DC3">
        <w:rPr>
          <w:szCs w:val="22"/>
        </w:rPr>
        <w:t xml:space="preserve">Počas tehotenstva a počas užívania COC sa hlásil výskyt alebo možné zhoršenie nasledovných ochorení, ale neexistuje jednoznačný dôkaz o súvislosti s užívaním COC: </w:t>
      </w:r>
    </w:p>
    <w:p w14:paraId="221C68C8" w14:textId="77777777" w:rsidR="00DF67E8" w:rsidRPr="00DB0DC3" w:rsidRDefault="00DF67E8">
      <w:pPr>
        <w:ind w:left="900" w:firstLine="0"/>
        <w:rPr>
          <w:szCs w:val="22"/>
        </w:rPr>
      </w:pPr>
      <w:r w:rsidRPr="00DB0DC3">
        <w:rPr>
          <w:szCs w:val="22"/>
        </w:rPr>
        <w:t>žlčové kamene, porfýria, generalizovaný lupus erythematosus, hemolyticko-uremický syndróm, Sydenhamova chorea, herpes gestationis, strata sluchu spôsobená otosklerózou.</w:t>
      </w:r>
    </w:p>
    <w:p w14:paraId="36EC8092" w14:textId="77777777" w:rsidR="00DF67E8" w:rsidRDefault="00DF67E8">
      <w:pPr>
        <w:numPr>
          <w:ilvl w:val="0"/>
          <w:numId w:val="15"/>
        </w:numPr>
        <w:tabs>
          <w:tab w:val="clear" w:pos="1620"/>
          <w:tab w:val="num" w:pos="900"/>
        </w:tabs>
        <w:ind w:left="900"/>
        <w:rPr>
          <w:szCs w:val="22"/>
        </w:rPr>
      </w:pPr>
      <w:r w:rsidRPr="00DB0DC3">
        <w:rPr>
          <w:szCs w:val="22"/>
        </w:rPr>
        <w:t>Akútne alebo chronické poškodenia funkcie pečene si môžu vyžadovať prerušenie užívania COC, pokiaľ sa hodnoty funkčných pečeňových testov nevrátia do normálu. Ak sa vyskytne cholestatická žltačka a/alebo pruritus súvisiaci s cholestázou, ktoré sa predtým vyskytli počas tehotenstva alebo pri používaní pohlavných hormónov v minulosti, používanie COC sa musí ukončiť.</w:t>
      </w:r>
    </w:p>
    <w:p w14:paraId="2A0D388F" w14:textId="77777777" w:rsidR="00FE3C4B" w:rsidRPr="00DB0DC3" w:rsidRDefault="00FE3C4B">
      <w:pPr>
        <w:numPr>
          <w:ilvl w:val="0"/>
          <w:numId w:val="15"/>
        </w:numPr>
        <w:tabs>
          <w:tab w:val="clear" w:pos="1620"/>
          <w:tab w:val="num" w:pos="900"/>
        </w:tabs>
        <w:ind w:left="900"/>
        <w:rPr>
          <w:szCs w:val="22"/>
        </w:rPr>
      </w:pPr>
      <w:r w:rsidRPr="00FE3C4B">
        <w:rPr>
          <w:szCs w:val="22"/>
        </w:rPr>
        <w:t xml:space="preserve">Počas klinických </w:t>
      </w:r>
      <w:r w:rsidR="004C3D1F">
        <w:rPr>
          <w:szCs w:val="22"/>
        </w:rPr>
        <w:t>skúšaní</w:t>
      </w:r>
      <w:r w:rsidRPr="00FE3C4B">
        <w:rPr>
          <w:szCs w:val="22"/>
        </w:rPr>
        <w:t xml:space="preserve"> s pacient</w:t>
      </w:r>
      <w:r>
        <w:rPr>
          <w:szCs w:val="22"/>
        </w:rPr>
        <w:t>ka</w:t>
      </w:r>
      <w:r w:rsidRPr="00FE3C4B">
        <w:rPr>
          <w:szCs w:val="22"/>
        </w:rPr>
        <w:t>mi liečenými na infekcie vírusom hepatitídy C (HCV) s liekmi obsahujúcimi ombitasvir / paritaprevir / ritonavir a dasabuvir s ri</w:t>
      </w:r>
      <w:r>
        <w:rPr>
          <w:szCs w:val="22"/>
        </w:rPr>
        <w:t>bavirínom alebo bez ribavirínu došlo k</w:t>
      </w:r>
      <w:r w:rsidRPr="00FE3C4B">
        <w:rPr>
          <w:szCs w:val="22"/>
        </w:rPr>
        <w:t xml:space="preserve"> zvýšeni</w:t>
      </w:r>
      <w:r>
        <w:rPr>
          <w:szCs w:val="22"/>
        </w:rPr>
        <w:t>u</w:t>
      </w:r>
      <w:r w:rsidRPr="00FE3C4B">
        <w:rPr>
          <w:szCs w:val="22"/>
        </w:rPr>
        <w:t xml:space="preserve"> transaminázy (ALT)</w:t>
      </w:r>
      <w:r w:rsidR="004C3D1F">
        <w:rPr>
          <w:szCs w:val="22"/>
        </w:rPr>
        <w:t xml:space="preserve"> </w:t>
      </w:r>
      <w:r>
        <w:rPr>
          <w:szCs w:val="22"/>
        </w:rPr>
        <w:t>na viac</w:t>
      </w:r>
      <w:r w:rsidRPr="00FE3C4B">
        <w:rPr>
          <w:szCs w:val="22"/>
        </w:rPr>
        <w:t xml:space="preserve"> ako 5-násobok hornej hranice norm</w:t>
      </w:r>
      <w:r>
        <w:rPr>
          <w:szCs w:val="22"/>
        </w:rPr>
        <w:t>álnych hodn</w:t>
      </w:r>
      <w:r w:rsidR="004C3D1F">
        <w:rPr>
          <w:szCs w:val="22"/>
        </w:rPr>
        <w:t>ô</w:t>
      </w:r>
      <w:r>
        <w:rPr>
          <w:szCs w:val="22"/>
        </w:rPr>
        <w:t>t</w:t>
      </w:r>
      <w:r w:rsidRPr="00FE3C4B">
        <w:rPr>
          <w:szCs w:val="22"/>
        </w:rPr>
        <w:t xml:space="preserve"> (ULN) vý</w:t>
      </w:r>
      <w:r>
        <w:rPr>
          <w:szCs w:val="22"/>
        </w:rPr>
        <w:t>razne</w:t>
      </w:r>
      <w:r w:rsidRPr="00FE3C4B">
        <w:rPr>
          <w:szCs w:val="22"/>
        </w:rPr>
        <w:t xml:space="preserve"> častejšie u</w:t>
      </w:r>
      <w:r>
        <w:rPr>
          <w:szCs w:val="22"/>
        </w:rPr>
        <w:t> </w:t>
      </w:r>
      <w:r w:rsidRPr="00FE3C4B">
        <w:rPr>
          <w:szCs w:val="22"/>
        </w:rPr>
        <w:t>žien</w:t>
      </w:r>
      <w:r>
        <w:rPr>
          <w:szCs w:val="22"/>
        </w:rPr>
        <w:t>, ktoré u</w:t>
      </w:r>
      <w:r w:rsidRPr="00FE3C4B">
        <w:rPr>
          <w:szCs w:val="22"/>
        </w:rPr>
        <w:t>žíva</w:t>
      </w:r>
      <w:r>
        <w:rPr>
          <w:szCs w:val="22"/>
        </w:rPr>
        <w:t>li</w:t>
      </w:r>
      <w:r w:rsidRPr="00FE3C4B">
        <w:rPr>
          <w:szCs w:val="22"/>
        </w:rPr>
        <w:t xml:space="preserve"> lieky obsahujúce etinylestradiol, ako sú kombinované hormonálne </w:t>
      </w:r>
      <w:r w:rsidR="00F72B3E">
        <w:rPr>
          <w:szCs w:val="22"/>
        </w:rPr>
        <w:t>antikoncepcie</w:t>
      </w:r>
      <w:r w:rsidRPr="00FE3C4B">
        <w:rPr>
          <w:szCs w:val="22"/>
        </w:rPr>
        <w:t xml:space="preserve"> (CHC) (pozri časti 4.3 a 4.5).</w:t>
      </w:r>
    </w:p>
    <w:p w14:paraId="583F7F6B" w14:textId="77777777" w:rsidR="00DF67E8" w:rsidRPr="00DB0DC3" w:rsidRDefault="00DF67E8">
      <w:pPr>
        <w:numPr>
          <w:ilvl w:val="0"/>
          <w:numId w:val="15"/>
        </w:numPr>
        <w:tabs>
          <w:tab w:val="clear" w:pos="1620"/>
          <w:tab w:val="num" w:pos="900"/>
        </w:tabs>
        <w:ind w:left="900"/>
        <w:rPr>
          <w:szCs w:val="22"/>
        </w:rPr>
      </w:pPr>
      <w:r w:rsidRPr="00DB0DC3">
        <w:rPr>
          <w:szCs w:val="22"/>
        </w:rPr>
        <w:t>Napriek tomu, že COC môžu mať vplyv na periférnu rezistenciu na inzulín a glukózovú toleranciu, neexistuje dôkaz, že je nutné meniť terapeutický režim u pacientok - diabetičiek používajúcich COC. Ženy trpiace diabetom však musia byť starostlivo sledované, osobitne na začiatku používania COC.</w:t>
      </w:r>
    </w:p>
    <w:p w14:paraId="170811ED" w14:textId="77777777" w:rsidR="00DF67E8" w:rsidRPr="00DB0DC3" w:rsidRDefault="00DF67E8">
      <w:pPr>
        <w:numPr>
          <w:ilvl w:val="0"/>
          <w:numId w:val="15"/>
        </w:numPr>
        <w:tabs>
          <w:tab w:val="clear" w:pos="1620"/>
          <w:tab w:val="num" w:pos="900"/>
        </w:tabs>
        <w:ind w:left="900"/>
        <w:rPr>
          <w:szCs w:val="22"/>
        </w:rPr>
      </w:pPr>
      <w:r w:rsidRPr="00DB0DC3">
        <w:rPr>
          <w:szCs w:val="22"/>
        </w:rPr>
        <w:t>Počas používania COC sa hlásilo zhoršenie Crohnovej choroby a klinických prejavov Dubinovho-Johnsonovho a Rotorovho syndrómu.</w:t>
      </w:r>
    </w:p>
    <w:p w14:paraId="2BA473B6" w14:textId="77777777" w:rsidR="00DF67E8" w:rsidRDefault="00DF67E8">
      <w:pPr>
        <w:numPr>
          <w:ilvl w:val="0"/>
          <w:numId w:val="15"/>
        </w:numPr>
        <w:tabs>
          <w:tab w:val="clear" w:pos="1620"/>
          <w:tab w:val="num" w:pos="900"/>
        </w:tabs>
        <w:ind w:left="900"/>
        <w:rPr>
          <w:szCs w:val="22"/>
        </w:rPr>
      </w:pPr>
      <w:r w:rsidRPr="00DB0DC3">
        <w:rPr>
          <w:szCs w:val="22"/>
        </w:rPr>
        <w:t>Niekedy sa môže objaviť chloazma, najmä u žien s chloazma gravidarum v anamnéze. Ženy s predispozíciou na vznik chloazmy sa majú vyhnúť expozícii slnečnému žiareniu alebo UV žiareniu počas užívania COC.</w:t>
      </w:r>
    </w:p>
    <w:p w14:paraId="5EF7D2F3" w14:textId="77777777" w:rsidR="004B7CD6" w:rsidRPr="004B7CD6" w:rsidRDefault="004B7CD6">
      <w:pPr>
        <w:numPr>
          <w:ilvl w:val="0"/>
          <w:numId w:val="15"/>
        </w:numPr>
        <w:tabs>
          <w:tab w:val="clear" w:pos="1620"/>
          <w:tab w:val="num" w:pos="900"/>
        </w:tabs>
        <w:ind w:left="900"/>
        <w:rPr>
          <w:szCs w:val="22"/>
        </w:rPr>
      </w:pPr>
      <w:r w:rsidRPr="00086F2E">
        <w:rPr>
          <w:szCs w:val="22"/>
        </w:rPr>
        <w:t>Depresívna nálada a depresia sú známe nežiaduce účinky, ktoré sa vyskytujú pri používaní hormonálnej antikoncepcie (pozri časť 4.8). Depresia môže byť závažná a je všeobecne známym rizikovým faktorom pre samovražedné správanie a samovraždu. Ženám je potrebné odporučiť, aby v prípade výskytu zmien nálady a príznakov depresie kontaktovali svojho lekára, vrátane prípadov, kedy sa tieto príznaky objavia krátko po začatí liečby.</w:t>
      </w:r>
    </w:p>
    <w:p w14:paraId="64649934" w14:textId="77777777" w:rsidR="00DF67E8" w:rsidRPr="00DB0DC3" w:rsidRDefault="00DF67E8">
      <w:pPr>
        <w:ind w:left="540" w:firstLine="0"/>
        <w:rPr>
          <w:szCs w:val="22"/>
        </w:rPr>
      </w:pPr>
    </w:p>
    <w:p w14:paraId="0256536F" w14:textId="77777777" w:rsidR="00DF67E8" w:rsidRPr="00DB0DC3" w:rsidRDefault="00DF67E8" w:rsidP="00A64B03">
      <w:pPr>
        <w:pStyle w:val="Zarkazkladnhotextu3"/>
        <w:ind w:left="0"/>
      </w:pPr>
      <w:r w:rsidRPr="00DB0DC3">
        <w:t>Tento liek obsahuje laktózu. Pacientky so zriedkavými dedičnými problémami</w:t>
      </w:r>
      <w:r w:rsidR="00ED46E7">
        <w:t xml:space="preserve"> galaktózovej</w:t>
      </w:r>
      <w:r w:rsidRPr="00DB0DC3">
        <w:t xml:space="preserve"> intolerancie</w:t>
      </w:r>
      <w:r w:rsidR="00ED46E7">
        <w:t>, celkovým deficitom laktázy</w:t>
      </w:r>
      <w:r w:rsidRPr="00DB0DC3">
        <w:t xml:space="preserve"> alebo glukózo-galaktózovou malabsorpciou ne</w:t>
      </w:r>
      <w:r w:rsidR="00ED46E7">
        <w:t>smú</w:t>
      </w:r>
      <w:r w:rsidRPr="00DB0DC3">
        <w:t xml:space="preserve"> užívať tento liek.</w:t>
      </w:r>
    </w:p>
    <w:p w14:paraId="44CB803F" w14:textId="77777777" w:rsidR="00DF67E8" w:rsidRPr="00DB0DC3" w:rsidRDefault="00DF67E8" w:rsidP="00A64B03">
      <w:pPr>
        <w:ind w:left="0" w:firstLine="0"/>
        <w:rPr>
          <w:szCs w:val="22"/>
        </w:rPr>
      </w:pPr>
    </w:p>
    <w:p w14:paraId="4E03D033" w14:textId="77777777" w:rsidR="00DF67E8" w:rsidRPr="00DB0DC3" w:rsidRDefault="00DF67E8" w:rsidP="00A64B03">
      <w:pPr>
        <w:ind w:left="0" w:firstLine="0"/>
        <w:rPr>
          <w:szCs w:val="22"/>
        </w:rPr>
      </w:pPr>
      <w:r w:rsidRPr="00DB0DC3">
        <w:rPr>
          <w:szCs w:val="22"/>
        </w:rPr>
        <w:t xml:space="preserve">Tento liek obsahuje sacharózu. </w:t>
      </w:r>
      <w:r w:rsidRPr="00DB0DC3">
        <w:t>Pacientky so zriedkavými dedičnými problémami intolerancie fruktózy, glukózo-galaktózov</w:t>
      </w:r>
      <w:r w:rsidR="0025163A">
        <w:t>ej</w:t>
      </w:r>
      <w:r w:rsidRPr="00DB0DC3">
        <w:t xml:space="preserve"> malabsorpci</w:t>
      </w:r>
      <w:r w:rsidR="0025163A">
        <w:t>e</w:t>
      </w:r>
      <w:r w:rsidRPr="00DB0DC3">
        <w:t xml:space="preserve"> alebo </w:t>
      </w:r>
      <w:r w:rsidR="0025163A">
        <w:t>deficitu</w:t>
      </w:r>
      <w:r w:rsidRPr="00DB0DC3">
        <w:t xml:space="preserve"> sacharázy</w:t>
      </w:r>
      <w:r w:rsidR="0025163A">
        <w:t xml:space="preserve"> a </w:t>
      </w:r>
      <w:r w:rsidRPr="00DB0DC3">
        <w:t>izomaltázy ne</w:t>
      </w:r>
      <w:r w:rsidR="0025163A">
        <w:t>smú</w:t>
      </w:r>
      <w:r w:rsidRPr="00DB0DC3">
        <w:t xml:space="preserve"> užívať tento liek.</w:t>
      </w:r>
    </w:p>
    <w:p w14:paraId="035700CF" w14:textId="77777777" w:rsidR="00DF67E8" w:rsidRPr="00DB0DC3" w:rsidRDefault="00DF67E8">
      <w:pPr>
        <w:ind w:left="540" w:firstLine="0"/>
        <w:rPr>
          <w:szCs w:val="22"/>
        </w:rPr>
      </w:pPr>
    </w:p>
    <w:p w14:paraId="3BC6B53B" w14:textId="77777777" w:rsidR="00DF67E8" w:rsidRPr="00DB0DC3" w:rsidRDefault="00DF67E8">
      <w:pPr>
        <w:pStyle w:val="Nadpis7"/>
      </w:pPr>
      <w:r w:rsidRPr="00DB0DC3">
        <w:t>Lekárske vyšetrenia a kontroly</w:t>
      </w:r>
    </w:p>
    <w:p w14:paraId="51235C78" w14:textId="77777777" w:rsidR="00DF67E8" w:rsidRPr="00DB0DC3" w:rsidRDefault="00DF67E8">
      <w:pPr>
        <w:ind w:left="0" w:firstLine="0"/>
        <w:rPr>
          <w:szCs w:val="22"/>
        </w:rPr>
      </w:pPr>
      <w:r w:rsidRPr="00DB0DC3">
        <w:rPr>
          <w:szCs w:val="22"/>
        </w:rPr>
        <w:t>Pred začiatkom alebo obnovením liečby má byť odobratá kompletná anamnéza (vrátane rodinnej anamnézy), má sa zmerať krvný tlak a  vykonať fyzikálne vyšetrenia s ohľadom na kontraindikácie (časť 4.3) a osobitné upozornenia (časť 4.4). Ženy majú byť tiež poučené, aby si pozorne prečítali písomnú informáciu pre používateľov a dodržiavali dané odporúčania. Po 3 mesiacoch používania COC sa má žena dostaviť na kontrolu, ktorá má zahŕňať meranie krvného tlaku a prediskutovanie prípadných otázok, nežiaducich účinkov a komplikácií. Frekvencia a povaha ďalších pravidelných vyšetrení má byť založená na štandardných terapeutických postupoch a prispôsobená individuálne každej žene.</w:t>
      </w:r>
    </w:p>
    <w:p w14:paraId="549F3EBC" w14:textId="77777777" w:rsidR="00DF67E8" w:rsidRPr="00DB0DC3" w:rsidRDefault="00DF67E8">
      <w:pPr>
        <w:ind w:left="0" w:firstLine="0"/>
        <w:rPr>
          <w:szCs w:val="22"/>
        </w:rPr>
      </w:pPr>
    </w:p>
    <w:p w14:paraId="7C3695A6" w14:textId="77777777" w:rsidR="00DF67E8" w:rsidRPr="00DB0DC3" w:rsidRDefault="00DF67E8">
      <w:pPr>
        <w:ind w:left="0" w:firstLine="0"/>
        <w:rPr>
          <w:szCs w:val="22"/>
        </w:rPr>
      </w:pPr>
      <w:r w:rsidRPr="00DB0DC3">
        <w:rPr>
          <w:szCs w:val="22"/>
        </w:rPr>
        <w:lastRenderedPageBreak/>
        <w:t>Ženy majú byť poučené, že COC nechránia pred HIV infekciou (AIDS) a inými pohlavne prenosnými chorobami.</w:t>
      </w:r>
    </w:p>
    <w:p w14:paraId="5517FBF6" w14:textId="77777777" w:rsidR="00DF67E8" w:rsidRPr="00DB0DC3" w:rsidRDefault="00DF67E8">
      <w:pPr>
        <w:ind w:left="0" w:firstLine="0"/>
        <w:rPr>
          <w:szCs w:val="22"/>
        </w:rPr>
      </w:pPr>
    </w:p>
    <w:p w14:paraId="1429F38C" w14:textId="77777777" w:rsidR="00DF67E8" w:rsidRPr="00DB0DC3" w:rsidRDefault="00DF67E8">
      <w:pPr>
        <w:pStyle w:val="Nadpis7"/>
      </w:pPr>
      <w:r w:rsidRPr="00DB0DC3">
        <w:t>Znížená antikoncepčná účinnosť</w:t>
      </w:r>
    </w:p>
    <w:p w14:paraId="2870F9E8" w14:textId="77777777" w:rsidR="00DF67E8" w:rsidRPr="00DB0DC3" w:rsidRDefault="00DF67E8">
      <w:pPr>
        <w:ind w:left="0" w:firstLine="0"/>
        <w:rPr>
          <w:szCs w:val="22"/>
        </w:rPr>
      </w:pPr>
      <w:r w:rsidRPr="00DB0DC3">
        <w:rPr>
          <w:szCs w:val="22"/>
        </w:rPr>
        <w:t>Antikoncepčná účinnosť COC môže byť znížená pri vynechaní tabliet (pozri časť 4.2 "Čo ak sa zabudnú užiť tablety"), v prípade vracania (pozri časť 4.2 "Čo robiť v prípade vracania") alebo pri súbežnom používaní iných liekov (pozri časť 4.5 "Liekové a iné interakcie").</w:t>
      </w:r>
    </w:p>
    <w:p w14:paraId="11300E07" w14:textId="77777777" w:rsidR="00DF67E8" w:rsidRPr="00DB0DC3" w:rsidRDefault="00DF67E8">
      <w:pPr>
        <w:ind w:left="0" w:firstLine="0"/>
        <w:rPr>
          <w:szCs w:val="22"/>
        </w:rPr>
      </w:pPr>
    </w:p>
    <w:p w14:paraId="7B96E6B9" w14:textId="77777777" w:rsidR="00DF67E8" w:rsidRPr="00DB0DC3" w:rsidRDefault="00DF67E8">
      <w:pPr>
        <w:ind w:left="0" w:firstLine="0"/>
        <w:rPr>
          <w:szCs w:val="22"/>
        </w:rPr>
      </w:pPr>
      <w:r w:rsidRPr="00DB0DC3">
        <w:rPr>
          <w:szCs w:val="22"/>
        </w:rPr>
        <w:t>Počas užívania Vreye sa nemajú používať lieky rastlinného pôvodu s obsahom ľubovníka bodkovaného (</w:t>
      </w:r>
      <w:r w:rsidRPr="00DB0DC3">
        <w:rPr>
          <w:i/>
          <w:szCs w:val="22"/>
        </w:rPr>
        <w:t>Hypericum perforatum</w:t>
      </w:r>
      <w:r w:rsidRPr="00DB0DC3">
        <w:rPr>
          <w:szCs w:val="22"/>
        </w:rPr>
        <w:t>) z dôvodu rizika poklesu plazmatických koncentrácii a zníženia klinických účinkov Vreye (pozri časť 4.5 "Liekové a iné interakcie").</w:t>
      </w:r>
    </w:p>
    <w:p w14:paraId="671E52A6" w14:textId="77777777" w:rsidR="00DF67E8" w:rsidRPr="00DB0DC3" w:rsidRDefault="00DF67E8">
      <w:pPr>
        <w:ind w:left="0" w:firstLine="0"/>
        <w:rPr>
          <w:szCs w:val="22"/>
        </w:rPr>
      </w:pPr>
    </w:p>
    <w:p w14:paraId="1155857F" w14:textId="77777777" w:rsidR="00DF67E8" w:rsidRPr="00DB0DC3" w:rsidRDefault="00DF67E8">
      <w:pPr>
        <w:pStyle w:val="Nadpis7"/>
      </w:pPr>
      <w:r w:rsidRPr="00DB0DC3">
        <w:t>Znížená kontrola cyklu</w:t>
      </w:r>
    </w:p>
    <w:p w14:paraId="18EF0ECA" w14:textId="77777777" w:rsidR="00DF67E8" w:rsidRPr="00DB0DC3" w:rsidRDefault="00DF67E8">
      <w:pPr>
        <w:ind w:left="0" w:firstLine="0"/>
        <w:rPr>
          <w:szCs w:val="22"/>
        </w:rPr>
      </w:pPr>
      <w:r w:rsidRPr="00DB0DC3">
        <w:rPr>
          <w:szCs w:val="22"/>
        </w:rPr>
        <w:t>Pri používaní všetkých COC sa môže vyskytnúť nepravidelné krvácanie (špinenie alebo medzimenštruačné krvácanie), predovšetkým počas niekoľkých začiatočných cyklov. Ďalšie vyšetrenia majú preto zvyčajne význam až po období prvých 3 cyklov.</w:t>
      </w:r>
    </w:p>
    <w:p w14:paraId="261710F5" w14:textId="77777777" w:rsidR="00DF67E8" w:rsidRPr="00DB0DC3" w:rsidRDefault="00DF67E8">
      <w:pPr>
        <w:ind w:left="0" w:firstLine="0"/>
        <w:rPr>
          <w:szCs w:val="22"/>
        </w:rPr>
      </w:pPr>
    </w:p>
    <w:p w14:paraId="5DF25BF9" w14:textId="77777777" w:rsidR="00DF67E8" w:rsidRPr="00DB0DC3" w:rsidRDefault="00DF67E8">
      <w:pPr>
        <w:ind w:left="0" w:firstLine="0"/>
        <w:rPr>
          <w:szCs w:val="22"/>
        </w:rPr>
      </w:pPr>
      <w:r w:rsidRPr="00DB0DC3">
        <w:rPr>
          <w:szCs w:val="22"/>
        </w:rPr>
        <w:t>Ak nepravidelné krvácanie pretrváva alebo ak sa objaví prvýkrát po období pravidelných cyklov, majú sa vykonať zodpovedajúce diagnostické kroky na vylúčenie gynekologickej poruchy alebo gravidity. Môžu zahŕňať aj kyretáž.</w:t>
      </w:r>
    </w:p>
    <w:p w14:paraId="35BF388C" w14:textId="77777777" w:rsidR="00DF67E8" w:rsidRPr="00DB0DC3" w:rsidRDefault="00DF67E8">
      <w:pPr>
        <w:ind w:left="0" w:firstLine="0"/>
        <w:rPr>
          <w:szCs w:val="22"/>
        </w:rPr>
      </w:pPr>
    </w:p>
    <w:p w14:paraId="03E92B94" w14:textId="77777777" w:rsidR="00DF67E8" w:rsidRPr="00DB0DC3" w:rsidRDefault="00DF67E8">
      <w:pPr>
        <w:ind w:left="0" w:firstLine="0"/>
        <w:rPr>
          <w:szCs w:val="22"/>
        </w:rPr>
      </w:pPr>
      <w:r w:rsidRPr="00DB0DC3">
        <w:rPr>
          <w:szCs w:val="22"/>
        </w:rPr>
        <w:t>Niekedy počas intervalu bez užívania tabliet nemusí dôjsť ku krvácaniu z vysadenia. Ak sa COC tablety užívali správne (časť 4.2), gravidita nepravdepodobná. Ak sa však tablety neužívali pravidelne pred prvým vynechaným krvácaním alebo ak nedošlo ku krvácaniu z vysadenia dvakrát po sebe, musí sa pred ďalším používaním COC vylúčiť gravidita.</w:t>
      </w:r>
    </w:p>
    <w:p w14:paraId="233982A4" w14:textId="77777777" w:rsidR="00DF67E8" w:rsidRPr="00DB0DC3" w:rsidRDefault="00DF67E8">
      <w:pPr>
        <w:ind w:left="0" w:firstLine="0"/>
        <w:rPr>
          <w:szCs w:val="22"/>
        </w:rPr>
      </w:pPr>
    </w:p>
    <w:p w14:paraId="7055980E" w14:textId="77777777" w:rsidR="00DF67E8" w:rsidRPr="00DB0DC3" w:rsidRDefault="00DF67E8">
      <w:pPr>
        <w:rPr>
          <w:szCs w:val="22"/>
        </w:rPr>
      </w:pPr>
      <w:r w:rsidRPr="00E20DB0">
        <w:rPr>
          <w:b/>
          <w:szCs w:val="22"/>
        </w:rPr>
        <w:t>4.5</w:t>
      </w:r>
      <w:r w:rsidRPr="00E20DB0">
        <w:rPr>
          <w:b/>
          <w:szCs w:val="22"/>
        </w:rPr>
        <w:tab/>
        <w:t>Liekové a iné interakcie</w:t>
      </w:r>
    </w:p>
    <w:p w14:paraId="1EB7400F" w14:textId="77777777" w:rsidR="00DF67E8" w:rsidRDefault="00DF67E8">
      <w:pPr>
        <w:ind w:left="0" w:firstLine="0"/>
        <w:rPr>
          <w:szCs w:val="22"/>
        </w:rPr>
      </w:pPr>
    </w:p>
    <w:p w14:paraId="7721335F" w14:textId="77777777" w:rsidR="001925BE" w:rsidRDefault="001925BE" w:rsidP="001925BE">
      <w:pPr>
        <w:ind w:left="0" w:firstLine="0"/>
        <w:rPr>
          <w:szCs w:val="22"/>
        </w:rPr>
      </w:pPr>
      <w:r w:rsidRPr="001925BE">
        <w:rPr>
          <w:szCs w:val="22"/>
        </w:rPr>
        <w:t xml:space="preserve">Poznámka: Na </w:t>
      </w:r>
      <w:r w:rsidR="00E20DB0">
        <w:rPr>
          <w:szCs w:val="22"/>
        </w:rPr>
        <w:t>zistenie</w:t>
      </w:r>
      <w:r w:rsidRPr="001925BE">
        <w:rPr>
          <w:szCs w:val="22"/>
        </w:rPr>
        <w:t xml:space="preserve"> potenciálnych interakcií </w:t>
      </w:r>
      <w:r>
        <w:rPr>
          <w:szCs w:val="22"/>
        </w:rPr>
        <w:t xml:space="preserve">je </w:t>
      </w:r>
      <w:r w:rsidRPr="001925BE">
        <w:rPr>
          <w:szCs w:val="22"/>
        </w:rPr>
        <w:t xml:space="preserve">treba konzultovať </w:t>
      </w:r>
      <w:r w:rsidR="000F79CC">
        <w:rPr>
          <w:szCs w:val="22"/>
        </w:rPr>
        <w:t xml:space="preserve">preskripčné </w:t>
      </w:r>
      <w:r w:rsidRPr="001925BE">
        <w:rPr>
          <w:szCs w:val="22"/>
        </w:rPr>
        <w:t>informácie sú</w:t>
      </w:r>
      <w:r w:rsidR="004C3D1F">
        <w:rPr>
          <w:szCs w:val="22"/>
        </w:rPr>
        <w:t>bež</w:t>
      </w:r>
      <w:r w:rsidRPr="001925BE">
        <w:rPr>
          <w:szCs w:val="22"/>
        </w:rPr>
        <w:t>ne</w:t>
      </w:r>
      <w:r>
        <w:rPr>
          <w:szCs w:val="22"/>
        </w:rPr>
        <w:t xml:space="preserve"> </w:t>
      </w:r>
      <w:r w:rsidRPr="001925BE">
        <w:rPr>
          <w:szCs w:val="22"/>
        </w:rPr>
        <w:t>podávaných</w:t>
      </w:r>
      <w:r>
        <w:rPr>
          <w:szCs w:val="22"/>
        </w:rPr>
        <w:t xml:space="preserve"> liekov.</w:t>
      </w:r>
    </w:p>
    <w:p w14:paraId="4FBCBEFE" w14:textId="77777777" w:rsidR="001925BE" w:rsidRPr="001925BE" w:rsidRDefault="001925BE" w:rsidP="001925BE">
      <w:pPr>
        <w:ind w:left="0" w:firstLine="0"/>
        <w:rPr>
          <w:szCs w:val="22"/>
        </w:rPr>
      </w:pPr>
    </w:p>
    <w:p w14:paraId="16F7FD4D" w14:textId="77777777" w:rsidR="001925BE" w:rsidRDefault="001925BE" w:rsidP="001925BE">
      <w:pPr>
        <w:numPr>
          <w:ilvl w:val="0"/>
          <w:numId w:val="29"/>
        </w:numPr>
        <w:rPr>
          <w:szCs w:val="22"/>
        </w:rPr>
      </w:pPr>
      <w:r w:rsidRPr="001925BE">
        <w:rPr>
          <w:szCs w:val="22"/>
        </w:rPr>
        <w:t xml:space="preserve">Účinky iných liekov na </w:t>
      </w:r>
      <w:r>
        <w:rPr>
          <w:szCs w:val="22"/>
        </w:rPr>
        <w:t>Vreyu</w:t>
      </w:r>
    </w:p>
    <w:p w14:paraId="42BD4372" w14:textId="77777777" w:rsidR="001925BE" w:rsidRDefault="001925BE" w:rsidP="001925BE">
      <w:pPr>
        <w:rPr>
          <w:szCs w:val="22"/>
        </w:rPr>
      </w:pPr>
    </w:p>
    <w:p w14:paraId="71D14966" w14:textId="77777777" w:rsidR="001925BE" w:rsidRDefault="001925BE" w:rsidP="001925BE">
      <w:pPr>
        <w:ind w:left="0" w:firstLine="0"/>
        <w:rPr>
          <w:szCs w:val="22"/>
        </w:rPr>
      </w:pPr>
      <w:r w:rsidRPr="001925BE">
        <w:rPr>
          <w:szCs w:val="22"/>
        </w:rPr>
        <w:t xml:space="preserve">Interakcie sa môžu </w:t>
      </w:r>
      <w:r>
        <w:rPr>
          <w:szCs w:val="22"/>
        </w:rPr>
        <w:t>objaviť s</w:t>
      </w:r>
      <w:r w:rsidRPr="001925BE">
        <w:rPr>
          <w:szCs w:val="22"/>
        </w:rPr>
        <w:t xml:space="preserve"> liek</w:t>
      </w:r>
      <w:r>
        <w:rPr>
          <w:szCs w:val="22"/>
        </w:rPr>
        <w:t>mi</w:t>
      </w:r>
      <w:r w:rsidRPr="001925BE">
        <w:rPr>
          <w:szCs w:val="22"/>
        </w:rPr>
        <w:t xml:space="preserve">, ktoré indukujú mikrozomálne enzýmy, </w:t>
      </w:r>
      <w:r w:rsidR="003152A8">
        <w:rPr>
          <w:szCs w:val="22"/>
        </w:rPr>
        <w:t>čo</w:t>
      </w:r>
      <w:r w:rsidRPr="001925BE">
        <w:rPr>
          <w:szCs w:val="22"/>
        </w:rPr>
        <w:t xml:space="preserve"> môž</w:t>
      </w:r>
      <w:r w:rsidR="003152A8">
        <w:rPr>
          <w:szCs w:val="22"/>
        </w:rPr>
        <w:t>e</w:t>
      </w:r>
      <w:r w:rsidRPr="001925BE">
        <w:rPr>
          <w:szCs w:val="22"/>
        </w:rPr>
        <w:t xml:space="preserve"> </w:t>
      </w:r>
      <w:r w:rsidR="003152A8">
        <w:rPr>
          <w:szCs w:val="22"/>
        </w:rPr>
        <w:t>mať za následok</w:t>
      </w:r>
      <w:r w:rsidRPr="001925BE">
        <w:rPr>
          <w:szCs w:val="22"/>
        </w:rPr>
        <w:t xml:space="preserve"> zvýšen</w:t>
      </w:r>
      <w:r w:rsidR="003152A8">
        <w:rPr>
          <w:szCs w:val="22"/>
        </w:rPr>
        <w:t>ý</w:t>
      </w:r>
      <w:r w:rsidRPr="001925BE">
        <w:rPr>
          <w:szCs w:val="22"/>
        </w:rPr>
        <w:t xml:space="preserve"> klírens pohlavných hormónov a môž</w:t>
      </w:r>
      <w:r w:rsidR="003152A8">
        <w:rPr>
          <w:szCs w:val="22"/>
        </w:rPr>
        <w:t>e</w:t>
      </w:r>
      <w:r w:rsidRPr="001925BE">
        <w:rPr>
          <w:szCs w:val="22"/>
        </w:rPr>
        <w:t xml:space="preserve"> viesť k </w:t>
      </w:r>
      <w:r w:rsidR="000F79CC">
        <w:rPr>
          <w:szCs w:val="22"/>
        </w:rPr>
        <w:t xml:space="preserve">medzimenštruačnému </w:t>
      </w:r>
      <w:r w:rsidRPr="001925BE">
        <w:rPr>
          <w:szCs w:val="22"/>
        </w:rPr>
        <w:t xml:space="preserve">krvácaniu a/alebo </w:t>
      </w:r>
      <w:r w:rsidR="000F79CC">
        <w:rPr>
          <w:szCs w:val="22"/>
        </w:rPr>
        <w:t xml:space="preserve">k </w:t>
      </w:r>
      <w:r w:rsidRPr="001925BE">
        <w:rPr>
          <w:szCs w:val="22"/>
        </w:rPr>
        <w:t>zlyhaniu antikoncepcie.</w:t>
      </w:r>
    </w:p>
    <w:p w14:paraId="04F9B7DB" w14:textId="77777777" w:rsidR="003152A8" w:rsidRDefault="003152A8" w:rsidP="001925BE">
      <w:pPr>
        <w:ind w:left="0" w:firstLine="0"/>
        <w:rPr>
          <w:szCs w:val="22"/>
        </w:rPr>
      </w:pPr>
    </w:p>
    <w:p w14:paraId="7B0F1250" w14:textId="77777777" w:rsidR="003152A8" w:rsidRPr="00E20DB0" w:rsidRDefault="003152A8" w:rsidP="001925BE">
      <w:pPr>
        <w:ind w:left="0" w:firstLine="0"/>
        <w:rPr>
          <w:i/>
          <w:szCs w:val="22"/>
        </w:rPr>
      </w:pPr>
      <w:r w:rsidRPr="00E20DB0">
        <w:rPr>
          <w:i/>
          <w:szCs w:val="22"/>
        </w:rPr>
        <w:t>Postup</w:t>
      </w:r>
    </w:p>
    <w:p w14:paraId="0C3E8B64" w14:textId="77777777" w:rsidR="003152A8" w:rsidRDefault="003152A8" w:rsidP="001925BE">
      <w:pPr>
        <w:ind w:left="0" w:firstLine="0"/>
        <w:rPr>
          <w:szCs w:val="22"/>
        </w:rPr>
      </w:pPr>
    </w:p>
    <w:p w14:paraId="56762669" w14:textId="77777777" w:rsidR="003152A8" w:rsidRDefault="003152A8" w:rsidP="001925BE">
      <w:pPr>
        <w:ind w:left="0" w:firstLine="0"/>
        <w:rPr>
          <w:szCs w:val="22"/>
        </w:rPr>
      </w:pPr>
      <w:r>
        <w:rPr>
          <w:szCs w:val="22"/>
        </w:rPr>
        <w:t>I</w:t>
      </w:r>
      <w:r w:rsidRPr="003152A8">
        <w:rPr>
          <w:szCs w:val="22"/>
        </w:rPr>
        <w:t>ndukcia</w:t>
      </w:r>
      <w:r>
        <w:rPr>
          <w:szCs w:val="22"/>
        </w:rPr>
        <w:t xml:space="preserve"> enzýmov</w:t>
      </w:r>
      <w:r w:rsidRPr="003152A8">
        <w:rPr>
          <w:szCs w:val="22"/>
        </w:rPr>
        <w:t xml:space="preserve"> sa môže pozorovať </w:t>
      </w:r>
      <w:r>
        <w:rPr>
          <w:szCs w:val="22"/>
        </w:rPr>
        <w:t xml:space="preserve">už </w:t>
      </w:r>
      <w:r w:rsidRPr="003152A8">
        <w:rPr>
          <w:szCs w:val="22"/>
        </w:rPr>
        <w:t xml:space="preserve">po niekoľkých dňoch liečby. Maximálna indukcia enzýmov sa zvyčajne pozoruje počas niekoľkých týždňov. Po ukončení </w:t>
      </w:r>
      <w:r>
        <w:rPr>
          <w:szCs w:val="22"/>
        </w:rPr>
        <w:t>liečby</w:t>
      </w:r>
      <w:r w:rsidRPr="003152A8">
        <w:rPr>
          <w:szCs w:val="22"/>
        </w:rPr>
        <w:t xml:space="preserve"> môže indukcia enzým</w:t>
      </w:r>
      <w:r>
        <w:rPr>
          <w:szCs w:val="22"/>
        </w:rPr>
        <w:t>ov</w:t>
      </w:r>
      <w:r w:rsidRPr="003152A8">
        <w:rPr>
          <w:szCs w:val="22"/>
        </w:rPr>
        <w:t xml:space="preserve"> </w:t>
      </w:r>
      <w:r>
        <w:rPr>
          <w:szCs w:val="22"/>
        </w:rPr>
        <w:t>pre</w:t>
      </w:r>
      <w:r w:rsidRPr="003152A8">
        <w:rPr>
          <w:szCs w:val="22"/>
        </w:rPr>
        <w:t>trv</w:t>
      </w:r>
      <w:r>
        <w:rPr>
          <w:szCs w:val="22"/>
        </w:rPr>
        <w:t>ávať</w:t>
      </w:r>
      <w:r w:rsidRPr="003152A8">
        <w:rPr>
          <w:szCs w:val="22"/>
        </w:rPr>
        <w:t xml:space="preserve"> </w:t>
      </w:r>
      <w:r>
        <w:rPr>
          <w:szCs w:val="22"/>
        </w:rPr>
        <w:t xml:space="preserve">po dobu </w:t>
      </w:r>
      <w:r w:rsidRPr="003152A8">
        <w:rPr>
          <w:szCs w:val="22"/>
        </w:rPr>
        <w:t>približne 4 týžd</w:t>
      </w:r>
      <w:r>
        <w:rPr>
          <w:szCs w:val="22"/>
        </w:rPr>
        <w:t>ňov.</w:t>
      </w:r>
    </w:p>
    <w:p w14:paraId="0DAC74FF" w14:textId="77777777" w:rsidR="006D2FBD" w:rsidRDefault="006D2FBD" w:rsidP="001925BE">
      <w:pPr>
        <w:ind w:left="0" w:firstLine="0"/>
        <w:rPr>
          <w:szCs w:val="22"/>
        </w:rPr>
      </w:pPr>
    </w:p>
    <w:p w14:paraId="2C110EDD" w14:textId="77777777" w:rsidR="006D2FBD" w:rsidRPr="00E20DB0" w:rsidRDefault="006D2FBD" w:rsidP="001925BE">
      <w:pPr>
        <w:ind w:left="0" w:firstLine="0"/>
        <w:rPr>
          <w:i/>
          <w:szCs w:val="22"/>
        </w:rPr>
      </w:pPr>
      <w:r w:rsidRPr="00E20DB0">
        <w:rPr>
          <w:i/>
          <w:szCs w:val="22"/>
        </w:rPr>
        <w:t>Krátkodobá liečba</w:t>
      </w:r>
    </w:p>
    <w:p w14:paraId="2573FEEA" w14:textId="77777777" w:rsidR="003E3A98" w:rsidRDefault="006D2FBD" w:rsidP="006D2FBD">
      <w:pPr>
        <w:ind w:left="0" w:firstLine="0"/>
        <w:rPr>
          <w:szCs w:val="22"/>
        </w:rPr>
      </w:pPr>
      <w:r w:rsidRPr="006D2FBD">
        <w:rPr>
          <w:szCs w:val="22"/>
        </w:rPr>
        <w:t xml:space="preserve">Ženy liečené </w:t>
      </w:r>
      <w:r>
        <w:rPr>
          <w:szCs w:val="22"/>
        </w:rPr>
        <w:t xml:space="preserve">liekmi indukujúcimi </w:t>
      </w:r>
      <w:r w:rsidRPr="006D2FBD">
        <w:rPr>
          <w:szCs w:val="22"/>
        </w:rPr>
        <w:t>enzým</w:t>
      </w:r>
      <w:r>
        <w:rPr>
          <w:szCs w:val="22"/>
        </w:rPr>
        <w:t>y</w:t>
      </w:r>
      <w:r w:rsidRPr="006D2FBD">
        <w:rPr>
          <w:szCs w:val="22"/>
        </w:rPr>
        <w:t xml:space="preserve"> ma</w:t>
      </w:r>
      <w:r>
        <w:rPr>
          <w:szCs w:val="22"/>
        </w:rPr>
        <w:t>jú</w:t>
      </w:r>
      <w:r w:rsidRPr="006D2FBD">
        <w:rPr>
          <w:szCs w:val="22"/>
        </w:rPr>
        <w:t xml:space="preserve"> okrem užívania </w:t>
      </w:r>
      <w:r>
        <w:rPr>
          <w:szCs w:val="22"/>
        </w:rPr>
        <w:t>lieku Vreya</w:t>
      </w:r>
      <w:r w:rsidRPr="006D2FBD">
        <w:rPr>
          <w:szCs w:val="22"/>
        </w:rPr>
        <w:t xml:space="preserve"> dočasne použ</w:t>
      </w:r>
      <w:r>
        <w:rPr>
          <w:szCs w:val="22"/>
        </w:rPr>
        <w:t>ívať</w:t>
      </w:r>
      <w:r w:rsidRPr="006D2FBD">
        <w:rPr>
          <w:szCs w:val="22"/>
        </w:rPr>
        <w:t xml:space="preserve"> bariérovú </w:t>
      </w:r>
      <w:r>
        <w:rPr>
          <w:szCs w:val="22"/>
        </w:rPr>
        <w:t xml:space="preserve">antikoncepčnú </w:t>
      </w:r>
      <w:r w:rsidRPr="006D2FBD">
        <w:rPr>
          <w:szCs w:val="22"/>
        </w:rPr>
        <w:t xml:space="preserve">metódu alebo inú antikoncepčnú metódu. Bariérová metóda sa musí používať počas celej doby súbežnej </w:t>
      </w:r>
      <w:r>
        <w:rPr>
          <w:szCs w:val="22"/>
        </w:rPr>
        <w:t>liečby</w:t>
      </w:r>
      <w:r w:rsidRPr="006D2FBD">
        <w:rPr>
          <w:szCs w:val="22"/>
        </w:rPr>
        <w:t xml:space="preserve"> a</w:t>
      </w:r>
      <w:r>
        <w:rPr>
          <w:szCs w:val="22"/>
        </w:rPr>
        <w:t xml:space="preserve"> ešte </w:t>
      </w:r>
      <w:r w:rsidRPr="006D2FBD">
        <w:rPr>
          <w:szCs w:val="22"/>
        </w:rPr>
        <w:t xml:space="preserve">28 dní po jej </w:t>
      </w:r>
      <w:r>
        <w:rPr>
          <w:szCs w:val="22"/>
        </w:rPr>
        <w:t>ukončení</w:t>
      </w:r>
      <w:r w:rsidRPr="006D2FBD">
        <w:rPr>
          <w:szCs w:val="22"/>
        </w:rPr>
        <w:t>.</w:t>
      </w:r>
      <w:r>
        <w:rPr>
          <w:szCs w:val="22"/>
        </w:rPr>
        <w:t xml:space="preserve"> </w:t>
      </w:r>
    </w:p>
    <w:p w14:paraId="6E072D8C" w14:textId="77777777" w:rsidR="006D2FBD" w:rsidRDefault="006D2FBD" w:rsidP="006D2FBD">
      <w:pPr>
        <w:ind w:left="0" w:firstLine="0"/>
        <w:rPr>
          <w:szCs w:val="22"/>
        </w:rPr>
      </w:pPr>
      <w:r w:rsidRPr="006D2FBD">
        <w:rPr>
          <w:szCs w:val="22"/>
        </w:rPr>
        <w:t>Ak lie</w:t>
      </w:r>
      <w:r>
        <w:rPr>
          <w:szCs w:val="22"/>
        </w:rPr>
        <w:t>čba</w:t>
      </w:r>
      <w:r w:rsidRPr="006D2FBD">
        <w:rPr>
          <w:szCs w:val="22"/>
        </w:rPr>
        <w:t xml:space="preserve"> </w:t>
      </w:r>
      <w:r>
        <w:rPr>
          <w:szCs w:val="22"/>
        </w:rPr>
        <w:t xml:space="preserve">zasiahne do obdobia ukončenia užívania tabliet zo </w:t>
      </w:r>
      <w:r w:rsidR="003E3A98">
        <w:rPr>
          <w:szCs w:val="22"/>
        </w:rPr>
        <w:t>súčasného</w:t>
      </w:r>
      <w:r w:rsidRPr="006D2FBD">
        <w:rPr>
          <w:szCs w:val="22"/>
        </w:rPr>
        <w:t xml:space="preserve"> blistr</w:t>
      </w:r>
      <w:r>
        <w:rPr>
          <w:szCs w:val="22"/>
        </w:rPr>
        <w:t>a</w:t>
      </w:r>
      <w:r w:rsidRPr="006D2FBD">
        <w:rPr>
          <w:szCs w:val="22"/>
        </w:rPr>
        <w:t xml:space="preserve">, </w:t>
      </w:r>
      <w:r>
        <w:rPr>
          <w:szCs w:val="22"/>
        </w:rPr>
        <w:t>m</w:t>
      </w:r>
      <w:r w:rsidR="003E3A98">
        <w:rPr>
          <w:szCs w:val="22"/>
        </w:rPr>
        <w:t>á</w:t>
      </w:r>
      <w:r>
        <w:rPr>
          <w:szCs w:val="22"/>
        </w:rPr>
        <w:t xml:space="preserve"> sa ihneď začať s užívaním </w:t>
      </w:r>
      <w:r w:rsidRPr="006D2FBD">
        <w:rPr>
          <w:szCs w:val="22"/>
        </w:rPr>
        <w:t>ďalšie</w:t>
      </w:r>
      <w:r>
        <w:rPr>
          <w:szCs w:val="22"/>
        </w:rPr>
        <w:t>ho</w:t>
      </w:r>
      <w:r w:rsidRPr="006D2FBD">
        <w:rPr>
          <w:szCs w:val="22"/>
        </w:rPr>
        <w:t xml:space="preserve"> blistrové</w:t>
      </w:r>
      <w:r>
        <w:rPr>
          <w:szCs w:val="22"/>
        </w:rPr>
        <w:t>ho</w:t>
      </w:r>
      <w:r w:rsidRPr="006D2FBD">
        <w:rPr>
          <w:szCs w:val="22"/>
        </w:rPr>
        <w:t xml:space="preserve"> baleni</w:t>
      </w:r>
      <w:r>
        <w:rPr>
          <w:szCs w:val="22"/>
        </w:rPr>
        <w:t>a</w:t>
      </w:r>
      <w:r w:rsidRPr="006D2FBD">
        <w:rPr>
          <w:szCs w:val="22"/>
        </w:rPr>
        <w:t>.</w:t>
      </w:r>
    </w:p>
    <w:p w14:paraId="246B4C32" w14:textId="77777777" w:rsidR="006D2FBD" w:rsidRDefault="006D2FBD" w:rsidP="001925BE">
      <w:pPr>
        <w:ind w:left="0" w:firstLine="0"/>
        <w:rPr>
          <w:szCs w:val="22"/>
        </w:rPr>
      </w:pPr>
    </w:p>
    <w:p w14:paraId="4356E937" w14:textId="77777777" w:rsidR="0015778B" w:rsidRPr="00E20DB0" w:rsidRDefault="0015778B" w:rsidP="001925BE">
      <w:pPr>
        <w:ind w:left="0" w:firstLine="0"/>
        <w:rPr>
          <w:i/>
          <w:szCs w:val="22"/>
        </w:rPr>
      </w:pPr>
      <w:r w:rsidRPr="00E20DB0">
        <w:rPr>
          <w:i/>
          <w:szCs w:val="22"/>
        </w:rPr>
        <w:t>Dlhodobá liečba</w:t>
      </w:r>
    </w:p>
    <w:p w14:paraId="783DAEA8" w14:textId="77777777" w:rsidR="0015778B" w:rsidRDefault="0015778B" w:rsidP="0015778B">
      <w:pPr>
        <w:ind w:left="0" w:firstLine="0"/>
        <w:rPr>
          <w:szCs w:val="22"/>
        </w:rPr>
      </w:pPr>
      <w:r w:rsidRPr="0015778B">
        <w:rPr>
          <w:szCs w:val="22"/>
        </w:rPr>
        <w:t>U žien dlhodob</w:t>
      </w:r>
      <w:r w:rsidR="008D1030">
        <w:rPr>
          <w:szCs w:val="22"/>
        </w:rPr>
        <w:t>o</w:t>
      </w:r>
      <w:r w:rsidRPr="0015778B">
        <w:rPr>
          <w:szCs w:val="22"/>
        </w:rPr>
        <w:t xml:space="preserve"> lieč</w:t>
      </w:r>
      <w:r w:rsidR="00A52C0B">
        <w:rPr>
          <w:szCs w:val="22"/>
        </w:rPr>
        <w:t>ených</w:t>
      </w:r>
      <w:r w:rsidRPr="0015778B">
        <w:rPr>
          <w:szCs w:val="22"/>
        </w:rPr>
        <w:t xml:space="preserve"> </w:t>
      </w:r>
      <w:r w:rsidR="00A52C0B">
        <w:rPr>
          <w:szCs w:val="22"/>
        </w:rPr>
        <w:t>liečivami</w:t>
      </w:r>
      <w:r w:rsidRPr="0015778B">
        <w:rPr>
          <w:szCs w:val="22"/>
        </w:rPr>
        <w:t xml:space="preserve"> indukujúcimi pečeňové enzýmy sa odporúča </w:t>
      </w:r>
      <w:r w:rsidR="00A52C0B">
        <w:rPr>
          <w:szCs w:val="22"/>
        </w:rPr>
        <w:t xml:space="preserve">používať </w:t>
      </w:r>
      <w:r w:rsidRPr="0015778B">
        <w:rPr>
          <w:szCs w:val="22"/>
        </w:rPr>
        <w:t>ďalši</w:t>
      </w:r>
      <w:r w:rsidR="00A52C0B">
        <w:rPr>
          <w:szCs w:val="22"/>
        </w:rPr>
        <w:t>u spoľahlivú</w:t>
      </w:r>
      <w:r w:rsidRPr="0015778B">
        <w:rPr>
          <w:szCs w:val="22"/>
        </w:rPr>
        <w:t xml:space="preserve"> nehormonáln</w:t>
      </w:r>
      <w:r w:rsidR="00A52C0B">
        <w:rPr>
          <w:szCs w:val="22"/>
        </w:rPr>
        <w:t>u</w:t>
      </w:r>
      <w:r w:rsidRPr="0015778B">
        <w:rPr>
          <w:szCs w:val="22"/>
        </w:rPr>
        <w:t xml:space="preserve"> metód</w:t>
      </w:r>
      <w:r w:rsidR="00A52C0B">
        <w:rPr>
          <w:szCs w:val="22"/>
        </w:rPr>
        <w:t>u</w:t>
      </w:r>
      <w:r w:rsidRPr="0015778B">
        <w:rPr>
          <w:szCs w:val="22"/>
        </w:rPr>
        <w:t xml:space="preserve"> antikoncepcie.</w:t>
      </w:r>
    </w:p>
    <w:p w14:paraId="71624E67" w14:textId="77777777" w:rsidR="0015778B" w:rsidRPr="0015778B" w:rsidRDefault="008D1030" w:rsidP="0015778B">
      <w:pPr>
        <w:ind w:left="0" w:firstLine="0"/>
        <w:rPr>
          <w:szCs w:val="22"/>
        </w:rPr>
      </w:pPr>
      <w:r>
        <w:rPr>
          <w:szCs w:val="22"/>
        </w:rPr>
        <w:t>V literatúre boli zaznamenané n</w:t>
      </w:r>
      <w:r w:rsidR="0015778B" w:rsidRPr="0015778B">
        <w:rPr>
          <w:szCs w:val="22"/>
        </w:rPr>
        <w:t>asledujúce interakcie</w:t>
      </w:r>
      <w:r>
        <w:rPr>
          <w:szCs w:val="22"/>
        </w:rPr>
        <w:t>:</w:t>
      </w:r>
    </w:p>
    <w:p w14:paraId="6366AA7F" w14:textId="77777777" w:rsidR="008D1030" w:rsidRDefault="008D1030" w:rsidP="0015778B">
      <w:pPr>
        <w:ind w:left="0" w:firstLine="0"/>
        <w:rPr>
          <w:szCs w:val="22"/>
        </w:rPr>
      </w:pPr>
    </w:p>
    <w:p w14:paraId="74A7A552" w14:textId="77777777" w:rsidR="0015778B" w:rsidRPr="00B10AED" w:rsidRDefault="0015778B" w:rsidP="0015778B">
      <w:pPr>
        <w:ind w:left="0" w:firstLine="0"/>
        <w:rPr>
          <w:i/>
          <w:szCs w:val="22"/>
        </w:rPr>
      </w:pPr>
      <w:r w:rsidRPr="00B10AED">
        <w:rPr>
          <w:i/>
          <w:szCs w:val="22"/>
        </w:rPr>
        <w:t>L</w:t>
      </w:r>
      <w:r w:rsidR="00A62650" w:rsidRPr="00B10AED">
        <w:rPr>
          <w:i/>
          <w:szCs w:val="22"/>
        </w:rPr>
        <w:t>iečivá</w:t>
      </w:r>
      <w:r w:rsidRPr="00B10AED">
        <w:rPr>
          <w:i/>
          <w:szCs w:val="22"/>
        </w:rPr>
        <w:t xml:space="preserve"> zvyšujúce klírens </w:t>
      </w:r>
      <w:r w:rsidR="00A62650" w:rsidRPr="00B10AED">
        <w:rPr>
          <w:i/>
          <w:szCs w:val="22"/>
        </w:rPr>
        <w:t>Vreye</w:t>
      </w:r>
      <w:r w:rsidRPr="00B10AED">
        <w:rPr>
          <w:i/>
          <w:szCs w:val="22"/>
        </w:rPr>
        <w:t xml:space="preserve"> (zn</w:t>
      </w:r>
      <w:r w:rsidR="00202F5B">
        <w:rPr>
          <w:i/>
          <w:szCs w:val="22"/>
        </w:rPr>
        <w:t>i</w:t>
      </w:r>
      <w:r w:rsidRPr="00B10AED">
        <w:rPr>
          <w:i/>
          <w:szCs w:val="22"/>
        </w:rPr>
        <w:t>ž</w:t>
      </w:r>
      <w:r w:rsidR="00A62650" w:rsidRPr="00B10AED">
        <w:rPr>
          <w:i/>
          <w:szCs w:val="22"/>
        </w:rPr>
        <w:t>ujúce</w:t>
      </w:r>
      <w:r w:rsidRPr="00B10AED">
        <w:rPr>
          <w:i/>
          <w:szCs w:val="22"/>
        </w:rPr>
        <w:t xml:space="preserve"> účinnosť</w:t>
      </w:r>
      <w:r w:rsidR="00202F5B">
        <w:rPr>
          <w:i/>
          <w:szCs w:val="22"/>
        </w:rPr>
        <w:t xml:space="preserve"> </w:t>
      </w:r>
      <w:r w:rsidR="00A62650" w:rsidRPr="00B10AED">
        <w:rPr>
          <w:i/>
          <w:szCs w:val="22"/>
        </w:rPr>
        <w:t>Vreye</w:t>
      </w:r>
      <w:r w:rsidRPr="00B10AED">
        <w:rPr>
          <w:i/>
          <w:szCs w:val="22"/>
        </w:rPr>
        <w:t xml:space="preserve"> indukciou enzýmov), napr.:</w:t>
      </w:r>
    </w:p>
    <w:p w14:paraId="5E7E3D2A" w14:textId="77777777" w:rsidR="0015778B" w:rsidRDefault="0015778B" w:rsidP="0015778B">
      <w:pPr>
        <w:ind w:left="0" w:firstLine="0"/>
        <w:rPr>
          <w:szCs w:val="22"/>
        </w:rPr>
      </w:pPr>
      <w:r w:rsidRPr="00B10AED">
        <w:rPr>
          <w:szCs w:val="22"/>
        </w:rPr>
        <w:lastRenderedPageBreak/>
        <w:t xml:space="preserve">Barbituráty, bosentan, karbamazepín, fenytoín, primidón, rifampicín a lieky </w:t>
      </w:r>
      <w:r w:rsidR="00A62650" w:rsidRPr="00B10AED">
        <w:rPr>
          <w:szCs w:val="22"/>
        </w:rPr>
        <w:t>na infekcie</w:t>
      </w:r>
      <w:r w:rsidRPr="00B10AED">
        <w:rPr>
          <w:szCs w:val="22"/>
        </w:rPr>
        <w:t xml:space="preserve"> HIV ritonavir, nevirap</w:t>
      </w:r>
      <w:r w:rsidR="00A62650" w:rsidRPr="00B10AED">
        <w:rPr>
          <w:szCs w:val="22"/>
        </w:rPr>
        <w:t>ín a efavirenz a pravdepodobne i</w:t>
      </w:r>
      <w:r w:rsidRPr="00B10AED">
        <w:rPr>
          <w:szCs w:val="22"/>
        </w:rPr>
        <w:t xml:space="preserve"> felbamát, griseofulvín, oxkarbazepín, topiramát a produkty obsahujúce </w:t>
      </w:r>
      <w:r w:rsidR="00A62650" w:rsidRPr="00B10AED">
        <w:rPr>
          <w:szCs w:val="22"/>
        </w:rPr>
        <w:t>rastlinný</w:t>
      </w:r>
      <w:r w:rsidRPr="00B10AED">
        <w:rPr>
          <w:szCs w:val="22"/>
        </w:rPr>
        <w:t xml:space="preserve"> liek </w:t>
      </w:r>
      <w:r w:rsidR="00A62650" w:rsidRPr="00B10AED">
        <w:rPr>
          <w:szCs w:val="22"/>
        </w:rPr>
        <w:t>ľubovník bodkovaný</w:t>
      </w:r>
      <w:r w:rsidRPr="00B10AED">
        <w:rPr>
          <w:szCs w:val="22"/>
        </w:rPr>
        <w:t xml:space="preserve"> (</w:t>
      </w:r>
      <w:r w:rsidRPr="00202F5B">
        <w:rPr>
          <w:i/>
          <w:szCs w:val="22"/>
        </w:rPr>
        <w:t>hypericum perforatum</w:t>
      </w:r>
      <w:r w:rsidRPr="00B10AED">
        <w:rPr>
          <w:szCs w:val="22"/>
        </w:rPr>
        <w:t>).</w:t>
      </w:r>
    </w:p>
    <w:p w14:paraId="2BFD5032" w14:textId="77777777" w:rsidR="0015778B" w:rsidRDefault="0015778B" w:rsidP="0015778B">
      <w:pPr>
        <w:ind w:left="0" w:firstLine="0"/>
        <w:rPr>
          <w:szCs w:val="22"/>
        </w:rPr>
      </w:pPr>
    </w:p>
    <w:p w14:paraId="2FFA6322" w14:textId="77777777" w:rsidR="00B10AED" w:rsidRPr="00B10AED" w:rsidRDefault="00B10AED" w:rsidP="00B10AED">
      <w:pPr>
        <w:ind w:left="0" w:firstLine="0"/>
        <w:rPr>
          <w:i/>
          <w:szCs w:val="22"/>
        </w:rPr>
      </w:pPr>
      <w:r w:rsidRPr="00B10AED">
        <w:rPr>
          <w:i/>
          <w:szCs w:val="22"/>
        </w:rPr>
        <w:t>L</w:t>
      </w:r>
      <w:r>
        <w:rPr>
          <w:i/>
          <w:szCs w:val="22"/>
        </w:rPr>
        <w:t xml:space="preserve">iečivá </w:t>
      </w:r>
      <w:r w:rsidRPr="00B10AED">
        <w:rPr>
          <w:i/>
          <w:szCs w:val="22"/>
        </w:rPr>
        <w:t>s premenlivým</w:t>
      </w:r>
      <w:r>
        <w:rPr>
          <w:i/>
          <w:szCs w:val="22"/>
        </w:rPr>
        <w:t>i</w:t>
      </w:r>
      <w:r w:rsidRPr="00B10AED">
        <w:rPr>
          <w:i/>
          <w:szCs w:val="22"/>
        </w:rPr>
        <w:t xml:space="preserve"> účink</w:t>
      </w:r>
      <w:r>
        <w:rPr>
          <w:i/>
          <w:szCs w:val="22"/>
        </w:rPr>
        <w:t>ami</w:t>
      </w:r>
      <w:r w:rsidRPr="00B10AED">
        <w:rPr>
          <w:i/>
          <w:szCs w:val="22"/>
        </w:rPr>
        <w:t xml:space="preserve"> na klírens </w:t>
      </w:r>
      <w:r>
        <w:rPr>
          <w:i/>
          <w:szCs w:val="22"/>
        </w:rPr>
        <w:t>Vreye</w:t>
      </w:r>
      <w:r w:rsidRPr="00B10AED">
        <w:rPr>
          <w:i/>
          <w:szCs w:val="22"/>
        </w:rPr>
        <w:t>:</w:t>
      </w:r>
    </w:p>
    <w:p w14:paraId="33B9E871" w14:textId="77777777" w:rsidR="0015778B" w:rsidRDefault="00B10AED" w:rsidP="00B10AED">
      <w:pPr>
        <w:ind w:left="0" w:firstLine="0"/>
        <w:rPr>
          <w:szCs w:val="22"/>
        </w:rPr>
      </w:pPr>
      <w:r w:rsidRPr="00B10AED">
        <w:rPr>
          <w:szCs w:val="22"/>
        </w:rPr>
        <w:t xml:space="preserve">Pri súbežnom podávaní </w:t>
      </w:r>
      <w:r>
        <w:rPr>
          <w:szCs w:val="22"/>
        </w:rPr>
        <w:t>Vreye</w:t>
      </w:r>
      <w:r w:rsidRPr="00B10AED">
        <w:rPr>
          <w:szCs w:val="22"/>
        </w:rPr>
        <w:t xml:space="preserve"> môžu mnohé kombinácie inhibítorov HIV proteáz a nenukleozidových inhibítorov reverznej transkriptázy vrátane kombinácií s inhibítormi HCV zvýšiť alebo znížiť plazmatické koncentrácie estrogénu alebo progestínov. </w:t>
      </w:r>
      <w:r w:rsidR="00202F5B">
        <w:rPr>
          <w:szCs w:val="22"/>
        </w:rPr>
        <w:t>Celkový ú</w:t>
      </w:r>
      <w:r w:rsidRPr="00B10AED">
        <w:rPr>
          <w:szCs w:val="22"/>
        </w:rPr>
        <w:t>činok týchto zmien môže byť v niektorých prípadoch klinicky relevantný.</w:t>
      </w:r>
    </w:p>
    <w:p w14:paraId="7E170FC3" w14:textId="77777777" w:rsidR="00C53DC2" w:rsidRDefault="00C53DC2" w:rsidP="00B10AED">
      <w:pPr>
        <w:ind w:left="0" w:firstLine="0"/>
        <w:rPr>
          <w:szCs w:val="22"/>
        </w:rPr>
      </w:pPr>
    </w:p>
    <w:p w14:paraId="55C4AE70" w14:textId="77777777" w:rsidR="00C53DC2" w:rsidRDefault="00C53DC2" w:rsidP="00B10AED">
      <w:pPr>
        <w:ind w:left="0" w:firstLine="0"/>
        <w:rPr>
          <w:szCs w:val="22"/>
        </w:rPr>
      </w:pPr>
      <w:r w:rsidRPr="00896A8D">
        <w:rPr>
          <w:szCs w:val="22"/>
        </w:rPr>
        <w:t>Preto sa m</w:t>
      </w:r>
      <w:r w:rsidR="00202F5B">
        <w:rPr>
          <w:szCs w:val="22"/>
        </w:rPr>
        <w:t>ajú</w:t>
      </w:r>
      <w:r w:rsidRPr="00896A8D">
        <w:rPr>
          <w:szCs w:val="22"/>
        </w:rPr>
        <w:t xml:space="preserve"> konzultovať </w:t>
      </w:r>
      <w:r w:rsidR="00202F5B">
        <w:rPr>
          <w:szCs w:val="22"/>
        </w:rPr>
        <w:t xml:space="preserve">preskripčné </w:t>
      </w:r>
      <w:r w:rsidRPr="00896A8D">
        <w:rPr>
          <w:szCs w:val="22"/>
        </w:rPr>
        <w:t>informácie sú</w:t>
      </w:r>
      <w:r w:rsidR="00202F5B">
        <w:rPr>
          <w:szCs w:val="22"/>
        </w:rPr>
        <w:t>bež</w:t>
      </w:r>
      <w:r w:rsidR="00896A8D" w:rsidRPr="00896A8D">
        <w:rPr>
          <w:szCs w:val="22"/>
        </w:rPr>
        <w:t>ne podávaných liekov proti HIV</w:t>
      </w:r>
      <w:r w:rsidRPr="00896A8D">
        <w:rPr>
          <w:szCs w:val="22"/>
        </w:rPr>
        <w:t>/HCV s cieľom identifikovať potenciálne interakcie a všetky súvisiace odporúčania. V prípade akýchkoľvek pochybností</w:t>
      </w:r>
      <w:r w:rsidR="00896A8D">
        <w:rPr>
          <w:szCs w:val="22"/>
        </w:rPr>
        <w:t xml:space="preserve"> majú ženy, ktoré sú liečené</w:t>
      </w:r>
      <w:r w:rsidRPr="00896A8D">
        <w:rPr>
          <w:szCs w:val="22"/>
        </w:rPr>
        <w:t xml:space="preserve"> inhibítorm</w:t>
      </w:r>
      <w:r w:rsidR="00896A8D">
        <w:rPr>
          <w:szCs w:val="22"/>
        </w:rPr>
        <w:t>i</w:t>
      </w:r>
      <w:r w:rsidRPr="00896A8D">
        <w:rPr>
          <w:szCs w:val="22"/>
        </w:rPr>
        <w:t xml:space="preserve"> proteáz alebo nenukleozidov</w:t>
      </w:r>
      <w:r w:rsidR="00896A8D">
        <w:rPr>
          <w:szCs w:val="22"/>
        </w:rPr>
        <w:t>ými</w:t>
      </w:r>
      <w:r w:rsidRPr="00896A8D">
        <w:rPr>
          <w:szCs w:val="22"/>
        </w:rPr>
        <w:t xml:space="preserve"> inhibí</w:t>
      </w:r>
      <w:r w:rsidR="00896A8D">
        <w:rPr>
          <w:szCs w:val="22"/>
        </w:rPr>
        <w:t>tormi</w:t>
      </w:r>
      <w:r w:rsidRPr="00896A8D">
        <w:rPr>
          <w:szCs w:val="22"/>
        </w:rPr>
        <w:t xml:space="preserve"> reverznej transkriptázy</w:t>
      </w:r>
      <w:r w:rsidR="00896A8D">
        <w:rPr>
          <w:szCs w:val="22"/>
        </w:rPr>
        <w:t xml:space="preserve">, </w:t>
      </w:r>
      <w:r w:rsidR="00896A8D" w:rsidRPr="00896A8D">
        <w:rPr>
          <w:szCs w:val="22"/>
        </w:rPr>
        <w:t>používať dodatočnú bariérovú antikoncepčnú metódu</w:t>
      </w:r>
      <w:r w:rsidRPr="00896A8D">
        <w:rPr>
          <w:szCs w:val="22"/>
        </w:rPr>
        <w:t>.</w:t>
      </w:r>
    </w:p>
    <w:p w14:paraId="7564EF9A" w14:textId="77777777" w:rsidR="00F21474" w:rsidRDefault="00F21474" w:rsidP="00B10AED">
      <w:pPr>
        <w:ind w:left="0" w:firstLine="0"/>
        <w:rPr>
          <w:szCs w:val="22"/>
        </w:rPr>
      </w:pPr>
    </w:p>
    <w:p w14:paraId="3C48DCE2" w14:textId="77777777" w:rsidR="00F21474" w:rsidRPr="00F21474" w:rsidRDefault="00F21474" w:rsidP="00F21474">
      <w:pPr>
        <w:ind w:left="0" w:firstLine="0"/>
        <w:rPr>
          <w:i/>
          <w:szCs w:val="22"/>
        </w:rPr>
      </w:pPr>
      <w:r w:rsidRPr="00F21474">
        <w:rPr>
          <w:i/>
          <w:szCs w:val="22"/>
        </w:rPr>
        <w:t>Látky znižujúce klírens Vreye (inhibítory enzýmov):</w:t>
      </w:r>
    </w:p>
    <w:p w14:paraId="524EA058" w14:textId="77777777" w:rsidR="00F21474" w:rsidRPr="00F21474" w:rsidRDefault="00F21474" w:rsidP="00F21474">
      <w:pPr>
        <w:ind w:left="0" w:firstLine="0"/>
        <w:rPr>
          <w:szCs w:val="22"/>
        </w:rPr>
      </w:pPr>
      <w:r w:rsidRPr="00F21474">
        <w:rPr>
          <w:szCs w:val="22"/>
        </w:rPr>
        <w:t>Klinický význam možných interakcií s inhibítormi enzýmov zostáva neznámy.</w:t>
      </w:r>
    </w:p>
    <w:p w14:paraId="2D6A2C6F" w14:textId="77777777" w:rsidR="00F21474" w:rsidRPr="00F21474" w:rsidRDefault="00F21474" w:rsidP="00F21474">
      <w:pPr>
        <w:ind w:left="0" w:firstLine="0"/>
        <w:rPr>
          <w:szCs w:val="22"/>
        </w:rPr>
      </w:pPr>
      <w:r w:rsidRPr="00F21474">
        <w:rPr>
          <w:szCs w:val="22"/>
        </w:rPr>
        <w:t>Súbežné podávanie silných inhibítorov CYP3A4 môže zv</w:t>
      </w:r>
      <w:r>
        <w:rPr>
          <w:szCs w:val="22"/>
        </w:rPr>
        <w:t>yšova</w:t>
      </w:r>
      <w:r w:rsidRPr="00F21474">
        <w:rPr>
          <w:szCs w:val="22"/>
        </w:rPr>
        <w:t>ť plazmatické koncentrácie estrogénu alebo progestínu</w:t>
      </w:r>
      <w:r w:rsidR="00202F5B">
        <w:rPr>
          <w:szCs w:val="22"/>
        </w:rPr>
        <w:t>,</w:t>
      </w:r>
      <w:r w:rsidRPr="00F21474">
        <w:rPr>
          <w:szCs w:val="22"/>
        </w:rPr>
        <w:t xml:space="preserve"> alebo obo</w:t>
      </w:r>
      <w:r>
        <w:rPr>
          <w:szCs w:val="22"/>
        </w:rPr>
        <w:t>ch</w:t>
      </w:r>
      <w:r w:rsidRPr="00F21474">
        <w:rPr>
          <w:szCs w:val="22"/>
        </w:rPr>
        <w:t>.</w:t>
      </w:r>
    </w:p>
    <w:p w14:paraId="5D375758" w14:textId="77777777" w:rsidR="00F21474" w:rsidRDefault="00F21474" w:rsidP="00F21474">
      <w:pPr>
        <w:ind w:left="0" w:firstLine="0"/>
        <w:rPr>
          <w:szCs w:val="22"/>
        </w:rPr>
      </w:pPr>
      <w:r>
        <w:rPr>
          <w:szCs w:val="22"/>
        </w:rPr>
        <w:t>Bolo preukázané, že d</w:t>
      </w:r>
      <w:r w:rsidRPr="00F21474">
        <w:rPr>
          <w:szCs w:val="22"/>
        </w:rPr>
        <w:t>ávky etorikoxibu v rozmedzí od 60 do 120 mg/deň zvyšujú plazmatické koncentrácie etinylestradiolu 1,4 až 1,6-násobne, keď sa užívajú súbežne s kombináciou estrogén/gestagén obsahujúcou 0,035 mg etinylestradiolu.</w:t>
      </w:r>
    </w:p>
    <w:p w14:paraId="2F1EAD93" w14:textId="77777777" w:rsidR="00F21474" w:rsidRDefault="00F21474" w:rsidP="00B10AED">
      <w:pPr>
        <w:ind w:left="0" w:firstLine="0"/>
        <w:rPr>
          <w:szCs w:val="22"/>
        </w:rPr>
      </w:pPr>
    </w:p>
    <w:p w14:paraId="46F5BBBD" w14:textId="77777777" w:rsidR="000A2017" w:rsidRPr="000A2017" w:rsidRDefault="000A2017" w:rsidP="000A2017">
      <w:pPr>
        <w:numPr>
          <w:ilvl w:val="0"/>
          <w:numId w:val="29"/>
        </w:numPr>
        <w:rPr>
          <w:szCs w:val="22"/>
        </w:rPr>
      </w:pPr>
      <w:r w:rsidRPr="000A2017">
        <w:rPr>
          <w:szCs w:val="22"/>
        </w:rPr>
        <w:t xml:space="preserve">Účinky </w:t>
      </w:r>
      <w:r>
        <w:rPr>
          <w:szCs w:val="22"/>
        </w:rPr>
        <w:t xml:space="preserve">Vreye </w:t>
      </w:r>
      <w:r w:rsidRPr="000A2017">
        <w:rPr>
          <w:szCs w:val="22"/>
        </w:rPr>
        <w:t>na iné lieky</w:t>
      </w:r>
    </w:p>
    <w:p w14:paraId="5C302B9B" w14:textId="77777777" w:rsidR="000A2017" w:rsidRDefault="000A2017" w:rsidP="000A2017">
      <w:pPr>
        <w:ind w:left="0" w:firstLine="0"/>
        <w:rPr>
          <w:szCs w:val="22"/>
        </w:rPr>
      </w:pPr>
    </w:p>
    <w:p w14:paraId="3F05D35E" w14:textId="77777777" w:rsidR="000A2017" w:rsidRPr="000A2017" w:rsidRDefault="000A2017" w:rsidP="000A2017">
      <w:pPr>
        <w:ind w:left="0" w:firstLine="0"/>
        <w:rPr>
          <w:szCs w:val="22"/>
        </w:rPr>
      </w:pPr>
      <w:r w:rsidRPr="000A2017">
        <w:rPr>
          <w:szCs w:val="22"/>
        </w:rPr>
        <w:t xml:space="preserve">COC môžu ovplyvniť metabolizmus niektorých ďalších účinných látok. </w:t>
      </w:r>
      <w:r w:rsidR="00750AC1">
        <w:rPr>
          <w:szCs w:val="22"/>
        </w:rPr>
        <w:t>M</w:t>
      </w:r>
      <w:r w:rsidR="00202F5B">
        <w:rPr>
          <w:szCs w:val="22"/>
        </w:rPr>
        <w:t>ô</w:t>
      </w:r>
      <w:r w:rsidR="00750AC1">
        <w:rPr>
          <w:szCs w:val="22"/>
        </w:rPr>
        <w:t>žu ich plazmatické a tkanivové koncentrácie buď zvyšovať (napríklad cy</w:t>
      </w:r>
      <w:r w:rsidR="00202F5B">
        <w:rPr>
          <w:szCs w:val="22"/>
        </w:rPr>
        <w:t>k</w:t>
      </w:r>
      <w:r w:rsidR="00750AC1">
        <w:rPr>
          <w:szCs w:val="22"/>
        </w:rPr>
        <w:t xml:space="preserve">losporín), </w:t>
      </w:r>
      <w:r w:rsidRPr="000A2017">
        <w:rPr>
          <w:szCs w:val="22"/>
        </w:rPr>
        <w:t>alebo zn</w:t>
      </w:r>
      <w:r w:rsidR="00750AC1">
        <w:rPr>
          <w:szCs w:val="22"/>
        </w:rPr>
        <w:t>ižova</w:t>
      </w:r>
      <w:r w:rsidRPr="000A2017">
        <w:rPr>
          <w:szCs w:val="22"/>
        </w:rPr>
        <w:t>ť (napríklad lamotrigín).</w:t>
      </w:r>
    </w:p>
    <w:p w14:paraId="5D8A92DD" w14:textId="77777777" w:rsidR="000A2017" w:rsidRDefault="000A2017" w:rsidP="000A2017">
      <w:pPr>
        <w:ind w:left="0" w:firstLine="0"/>
        <w:rPr>
          <w:szCs w:val="22"/>
        </w:rPr>
      </w:pPr>
      <w:r w:rsidRPr="000A2017">
        <w:rPr>
          <w:szCs w:val="22"/>
        </w:rPr>
        <w:t>Klinické údaje naznačujú, že etinylestradiol inhibuje klírens substrátov CYP1A2, čo vedie k slabému (napríklad teofylín) alebo k miernemu (napríklad tizanidín) zvýšeniu ich plazmatickej koncentrácie.</w:t>
      </w:r>
    </w:p>
    <w:p w14:paraId="283120B2" w14:textId="77777777" w:rsidR="000A2017" w:rsidRDefault="000A2017" w:rsidP="00B10AED">
      <w:pPr>
        <w:ind w:left="0" w:firstLine="0"/>
        <w:rPr>
          <w:szCs w:val="22"/>
        </w:rPr>
      </w:pPr>
    </w:p>
    <w:p w14:paraId="7FC02287" w14:textId="77777777" w:rsidR="00750AC1" w:rsidRPr="00AA49B0" w:rsidRDefault="00750AC1" w:rsidP="00750AC1">
      <w:pPr>
        <w:ind w:left="0" w:firstLine="0"/>
        <w:rPr>
          <w:szCs w:val="22"/>
          <w:u w:val="single"/>
        </w:rPr>
      </w:pPr>
      <w:r w:rsidRPr="00AA49B0">
        <w:rPr>
          <w:szCs w:val="22"/>
          <w:u w:val="single"/>
        </w:rPr>
        <w:t>Farmakodynamické interakcie</w:t>
      </w:r>
    </w:p>
    <w:p w14:paraId="08F99B65" w14:textId="77777777" w:rsidR="00750AC1" w:rsidRPr="00750AC1" w:rsidRDefault="00750AC1" w:rsidP="00750AC1">
      <w:pPr>
        <w:ind w:left="0" w:firstLine="0"/>
        <w:rPr>
          <w:szCs w:val="22"/>
        </w:rPr>
      </w:pPr>
      <w:r w:rsidRPr="00750AC1">
        <w:rPr>
          <w:szCs w:val="22"/>
        </w:rPr>
        <w:t>Súbežné už</w:t>
      </w:r>
      <w:r>
        <w:rPr>
          <w:szCs w:val="22"/>
        </w:rPr>
        <w:t>ívanie</w:t>
      </w:r>
      <w:r w:rsidRPr="00750AC1">
        <w:rPr>
          <w:szCs w:val="22"/>
        </w:rPr>
        <w:t xml:space="preserve"> s liekmi obsahujúcimi ombitasvir/paritaprevir/ritonavir a dasabuvir, s ribavirínom alebo bez ribavirínu, môže zvýšiť riziko zvýšenia </w:t>
      </w:r>
      <w:r>
        <w:rPr>
          <w:szCs w:val="22"/>
        </w:rPr>
        <w:t xml:space="preserve">hladiny </w:t>
      </w:r>
      <w:r w:rsidRPr="00750AC1">
        <w:rPr>
          <w:szCs w:val="22"/>
        </w:rPr>
        <w:t>ALT (pozri časti 4.3 a 4.4).</w:t>
      </w:r>
    </w:p>
    <w:p w14:paraId="6ACB1907" w14:textId="77777777" w:rsidR="00750AC1" w:rsidRDefault="00750AC1" w:rsidP="00750AC1">
      <w:pPr>
        <w:ind w:left="0" w:firstLine="0"/>
        <w:rPr>
          <w:szCs w:val="22"/>
        </w:rPr>
      </w:pPr>
      <w:r w:rsidRPr="00750AC1">
        <w:rPr>
          <w:szCs w:val="22"/>
        </w:rPr>
        <w:t>Preto užívate</w:t>
      </w:r>
      <w:r>
        <w:rPr>
          <w:szCs w:val="22"/>
        </w:rPr>
        <w:t>ľky Vreye</w:t>
      </w:r>
      <w:r w:rsidRPr="00750AC1">
        <w:rPr>
          <w:szCs w:val="22"/>
        </w:rPr>
        <w:t xml:space="preserve"> musia pred začiatkom liečby týmto kombinovaným lie</w:t>
      </w:r>
      <w:r>
        <w:rPr>
          <w:szCs w:val="22"/>
        </w:rPr>
        <w:t>čebným</w:t>
      </w:r>
      <w:r w:rsidRPr="00750AC1">
        <w:rPr>
          <w:szCs w:val="22"/>
        </w:rPr>
        <w:t xml:space="preserve"> režimom prejsť na alternatív</w:t>
      </w:r>
      <w:r>
        <w:rPr>
          <w:szCs w:val="22"/>
        </w:rPr>
        <w:t>nu metódu antikoncepcie (napr. a</w:t>
      </w:r>
      <w:r w:rsidRPr="00750AC1">
        <w:rPr>
          <w:szCs w:val="22"/>
        </w:rPr>
        <w:t xml:space="preserve">ntikoncepciu </w:t>
      </w:r>
      <w:r>
        <w:rPr>
          <w:szCs w:val="22"/>
        </w:rPr>
        <w:t xml:space="preserve">obsahujúcu </w:t>
      </w:r>
      <w:r w:rsidRPr="00750AC1">
        <w:rPr>
          <w:szCs w:val="22"/>
        </w:rPr>
        <w:t xml:space="preserve">iba </w:t>
      </w:r>
      <w:r>
        <w:rPr>
          <w:szCs w:val="22"/>
        </w:rPr>
        <w:t>pro</w:t>
      </w:r>
      <w:r w:rsidRPr="00750AC1">
        <w:rPr>
          <w:szCs w:val="22"/>
        </w:rPr>
        <w:t>gest</w:t>
      </w:r>
      <w:r>
        <w:rPr>
          <w:szCs w:val="22"/>
        </w:rPr>
        <w:t>o</w:t>
      </w:r>
      <w:r w:rsidRPr="00750AC1">
        <w:rPr>
          <w:szCs w:val="22"/>
        </w:rPr>
        <w:t xml:space="preserve">gén alebo nehormonálne metódy). </w:t>
      </w:r>
      <w:r>
        <w:rPr>
          <w:szCs w:val="22"/>
        </w:rPr>
        <w:t>Vreya</w:t>
      </w:r>
      <w:r w:rsidRPr="00750AC1">
        <w:rPr>
          <w:szCs w:val="22"/>
        </w:rPr>
        <w:t xml:space="preserve"> sa môže opätovne začať </w:t>
      </w:r>
      <w:r w:rsidR="0097408D">
        <w:rPr>
          <w:szCs w:val="22"/>
        </w:rPr>
        <w:t xml:space="preserve">užívať </w:t>
      </w:r>
      <w:r w:rsidRPr="00750AC1">
        <w:rPr>
          <w:szCs w:val="22"/>
        </w:rPr>
        <w:t>2 týždne po ukončení liečby týmto kombinovaným liečebným režimom.</w:t>
      </w:r>
    </w:p>
    <w:p w14:paraId="0C8C093F" w14:textId="77777777" w:rsidR="001925BE" w:rsidRPr="00DB0DC3" w:rsidRDefault="001925BE">
      <w:pPr>
        <w:ind w:left="0" w:firstLine="0"/>
        <w:rPr>
          <w:szCs w:val="22"/>
        </w:rPr>
      </w:pPr>
    </w:p>
    <w:p w14:paraId="734B7858" w14:textId="77777777" w:rsidR="00DF67E8" w:rsidRPr="00DB0DC3" w:rsidRDefault="00DF67E8">
      <w:pPr>
        <w:pStyle w:val="Nadpis7"/>
      </w:pPr>
      <w:r w:rsidRPr="00DB0DC3">
        <w:t>Laboratórne vyšetrenia</w:t>
      </w:r>
    </w:p>
    <w:p w14:paraId="3154CC98" w14:textId="77777777" w:rsidR="00DF67E8" w:rsidRDefault="00DF67E8">
      <w:pPr>
        <w:ind w:left="0" w:firstLine="0"/>
        <w:rPr>
          <w:szCs w:val="22"/>
        </w:rPr>
      </w:pPr>
      <w:r w:rsidRPr="00DB0DC3">
        <w:rPr>
          <w:szCs w:val="22"/>
        </w:rPr>
        <w:t>Používanie kontraceptívnych steroidov môže ovplyvniť výsledky niektorých laboratórnych testov, ako sú biochemické parametre pečeňových, tyreoidálnych, adrenálnych a obličkových funkcií, hladín sérových proteínov, ako sú globulín viažuci kortikosteroidy, lipidové a lipoproteínové frakcie, parametre metabolizmu sacharidov, parametre koagulácie a fibrinolýzy. Zmeny však zostávajú v rozmedzí normálnych hodnôt.</w:t>
      </w:r>
    </w:p>
    <w:p w14:paraId="1D39AA2E" w14:textId="77777777" w:rsidR="0068685D" w:rsidRPr="00DB0DC3" w:rsidRDefault="0068685D">
      <w:pPr>
        <w:ind w:left="0" w:firstLine="0"/>
        <w:rPr>
          <w:szCs w:val="22"/>
        </w:rPr>
      </w:pPr>
    </w:p>
    <w:p w14:paraId="48425AB6" w14:textId="77777777" w:rsidR="00DF67E8" w:rsidRPr="00DB0DC3" w:rsidRDefault="00DF67E8" w:rsidP="00D77AF3">
      <w:pPr>
        <w:ind w:left="0" w:firstLine="0"/>
        <w:rPr>
          <w:b/>
          <w:szCs w:val="22"/>
        </w:rPr>
      </w:pPr>
      <w:r w:rsidRPr="00DB0DC3">
        <w:rPr>
          <w:b/>
          <w:szCs w:val="22"/>
        </w:rPr>
        <w:t>4.6</w:t>
      </w:r>
      <w:r w:rsidRPr="00DB0DC3">
        <w:rPr>
          <w:b/>
          <w:szCs w:val="22"/>
        </w:rPr>
        <w:tab/>
      </w:r>
      <w:r w:rsidR="006966BB">
        <w:rPr>
          <w:b/>
          <w:szCs w:val="22"/>
        </w:rPr>
        <w:t>Fertilita, g</w:t>
      </w:r>
      <w:r w:rsidRPr="00DB0DC3">
        <w:rPr>
          <w:b/>
          <w:szCs w:val="22"/>
        </w:rPr>
        <w:t>ravidita a laktácia</w:t>
      </w:r>
    </w:p>
    <w:p w14:paraId="349ED435" w14:textId="77777777" w:rsidR="00DF67E8" w:rsidRPr="00DB0DC3" w:rsidRDefault="00DF67E8">
      <w:pPr>
        <w:rPr>
          <w:szCs w:val="22"/>
        </w:rPr>
      </w:pPr>
    </w:p>
    <w:p w14:paraId="4C3FB1CC" w14:textId="77777777" w:rsidR="00DF67E8" w:rsidRPr="00DB0DC3" w:rsidRDefault="00DF67E8">
      <w:pPr>
        <w:rPr>
          <w:szCs w:val="22"/>
        </w:rPr>
      </w:pPr>
      <w:r w:rsidRPr="00DB0DC3">
        <w:rPr>
          <w:szCs w:val="22"/>
        </w:rPr>
        <w:t xml:space="preserve">Vreya </w:t>
      </w:r>
      <w:r w:rsidRPr="00DB0DC3">
        <w:rPr>
          <w:b/>
          <w:szCs w:val="22"/>
          <w:u w:val="single"/>
        </w:rPr>
        <w:t>sa nesmie</w:t>
      </w:r>
      <w:r w:rsidRPr="00DB0DC3">
        <w:rPr>
          <w:szCs w:val="22"/>
        </w:rPr>
        <w:t xml:space="preserve"> užívať počas gravidity a laktácie.</w:t>
      </w:r>
    </w:p>
    <w:p w14:paraId="4294AFF5" w14:textId="77777777" w:rsidR="00DF67E8" w:rsidRPr="00DB0DC3" w:rsidRDefault="00DF67E8">
      <w:pPr>
        <w:rPr>
          <w:szCs w:val="22"/>
        </w:rPr>
      </w:pPr>
    </w:p>
    <w:p w14:paraId="5D2F2378" w14:textId="77777777" w:rsidR="00DF67E8" w:rsidRPr="00DB0DC3" w:rsidRDefault="00DF67E8">
      <w:pPr>
        <w:numPr>
          <w:ilvl w:val="1"/>
          <w:numId w:val="16"/>
        </w:numPr>
        <w:rPr>
          <w:b/>
          <w:szCs w:val="22"/>
        </w:rPr>
      </w:pPr>
      <w:r w:rsidRPr="00DB0DC3">
        <w:rPr>
          <w:b/>
          <w:szCs w:val="22"/>
        </w:rPr>
        <w:t>Ovplyvnenie schopnosti viesť vozidlá a obsluhovať stroje</w:t>
      </w:r>
    </w:p>
    <w:p w14:paraId="747087C9" w14:textId="77777777" w:rsidR="00DF67E8" w:rsidRPr="00DB0DC3" w:rsidRDefault="00DF67E8">
      <w:pPr>
        <w:ind w:left="0" w:firstLine="0"/>
        <w:rPr>
          <w:szCs w:val="22"/>
        </w:rPr>
      </w:pPr>
    </w:p>
    <w:p w14:paraId="1C161804" w14:textId="77777777" w:rsidR="00DF67E8" w:rsidRPr="00DB0DC3" w:rsidRDefault="00414F00">
      <w:pPr>
        <w:rPr>
          <w:noProof/>
          <w:szCs w:val="22"/>
        </w:rPr>
      </w:pPr>
      <w:r w:rsidRPr="00DB0DC3">
        <w:rPr>
          <w:szCs w:val="22"/>
        </w:rPr>
        <w:t xml:space="preserve">Vreya </w:t>
      </w:r>
      <w:r w:rsidRPr="00DB0DC3">
        <w:rPr>
          <w:noProof/>
          <w:szCs w:val="22"/>
        </w:rPr>
        <w:t>nemá žiadny vplyv na schopnosť viesť vozidlá a obsluhovať stroje.</w:t>
      </w:r>
    </w:p>
    <w:p w14:paraId="16A41DCF" w14:textId="77777777" w:rsidR="00414F00" w:rsidRPr="00DB0DC3" w:rsidRDefault="00414F00">
      <w:pPr>
        <w:rPr>
          <w:szCs w:val="22"/>
        </w:rPr>
      </w:pPr>
    </w:p>
    <w:p w14:paraId="31184533" w14:textId="77777777" w:rsidR="00DF67E8" w:rsidRPr="00DB0DC3" w:rsidRDefault="00DF67E8">
      <w:pPr>
        <w:rPr>
          <w:b/>
          <w:szCs w:val="22"/>
        </w:rPr>
      </w:pPr>
      <w:r w:rsidRPr="00DB0DC3">
        <w:rPr>
          <w:b/>
          <w:szCs w:val="22"/>
        </w:rPr>
        <w:t>4.8</w:t>
      </w:r>
      <w:r w:rsidRPr="00DB0DC3">
        <w:rPr>
          <w:b/>
          <w:szCs w:val="22"/>
        </w:rPr>
        <w:tab/>
        <w:t>Nežiaduce účinky</w:t>
      </w:r>
    </w:p>
    <w:p w14:paraId="0B237572" w14:textId="77777777" w:rsidR="00DF67E8" w:rsidRPr="00DB0DC3" w:rsidRDefault="00DF67E8">
      <w:pPr>
        <w:rPr>
          <w:b/>
          <w:szCs w:val="22"/>
        </w:rPr>
      </w:pPr>
    </w:p>
    <w:p w14:paraId="6A5D4791" w14:textId="77777777" w:rsidR="00414F00" w:rsidRPr="00DB0DC3" w:rsidRDefault="00414F00" w:rsidP="00414F00">
      <w:pPr>
        <w:pStyle w:val="Default"/>
        <w:rPr>
          <w:rFonts w:ascii="Times New Roman" w:hAnsi="Times New Roman" w:cs="Times New Roman"/>
          <w:sz w:val="22"/>
          <w:szCs w:val="22"/>
          <w:lang w:val="sk-SK"/>
        </w:rPr>
      </w:pPr>
      <w:r w:rsidRPr="00DB0DC3">
        <w:rPr>
          <w:rFonts w:ascii="Times New Roman" w:hAnsi="Times New Roman" w:cs="Times New Roman"/>
          <w:sz w:val="22"/>
          <w:szCs w:val="22"/>
          <w:lang w:val="sk-SK"/>
        </w:rPr>
        <w:lastRenderedPageBreak/>
        <w:t xml:space="preserve">U všetkých žien používajúcich liek Vreya existuje zvýšené riziko trombembolizmu (pozri časť 4.4). </w:t>
      </w:r>
    </w:p>
    <w:p w14:paraId="178F6583" w14:textId="77777777" w:rsidR="00DF67E8" w:rsidRPr="00DB0DC3" w:rsidRDefault="00DF67E8">
      <w:pPr>
        <w:ind w:left="0" w:firstLine="0"/>
        <w:rPr>
          <w:szCs w:val="22"/>
        </w:rPr>
      </w:pPr>
    </w:p>
    <w:p w14:paraId="73361247" w14:textId="77777777" w:rsidR="00DF67E8" w:rsidRPr="00DB0DC3" w:rsidRDefault="006966BB">
      <w:pPr>
        <w:pStyle w:val="Nadpis7"/>
      </w:pPr>
      <w:r>
        <w:t>Závažné</w:t>
      </w:r>
      <w:r w:rsidRPr="00DB0DC3">
        <w:t xml:space="preserve"> </w:t>
      </w:r>
      <w:r w:rsidR="00DF67E8" w:rsidRPr="00DB0DC3">
        <w:t>nežiaduce reakcie</w:t>
      </w:r>
    </w:p>
    <w:p w14:paraId="7C6816C4" w14:textId="77777777" w:rsidR="00DF67E8" w:rsidRPr="00DB0DC3" w:rsidRDefault="00DF67E8">
      <w:pPr>
        <w:ind w:left="0" w:firstLine="0"/>
        <w:rPr>
          <w:szCs w:val="22"/>
        </w:rPr>
      </w:pPr>
      <w:r w:rsidRPr="00DB0DC3">
        <w:rPr>
          <w:szCs w:val="22"/>
        </w:rPr>
        <w:t>Pozri časť 4.4</w:t>
      </w:r>
      <w:r w:rsidR="00D857D5">
        <w:rPr>
          <w:szCs w:val="22"/>
        </w:rPr>
        <w:t>.</w:t>
      </w:r>
    </w:p>
    <w:p w14:paraId="403E497A" w14:textId="77777777" w:rsidR="00DF67E8" w:rsidRPr="00DB0DC3" w:rsidRDefault="00DF67E8">
      <w:pPr>
        <w:ind w:left="0" w:firstLine="0"/>
        <w:rPr>
          <w:szCs w:val="22"/>
        </w:rPr>
      </w:pPr>
    </w:p>
    <w:p w14:paraId="309592EE" w14:textId="77777777" w:rsidR="00DF67E8" w:rsidRPr="00DB0DC3" w:rsidRDefault="00DF67E8">
      <w:pPr>
        <w:pStyle w:val="Nadpis7"/>
      </w:pPr>
      <w:r w:rsidRPr="00DB0DC3">
        <w:t>Iné nežiaduce reakcie</w:t>
      </w:r>
    </w:p>
    <w:p w14:paraId="7532847B" w14:textId="77777777" w:rsidR="00DF67E8" w:rsidRPr="00DB0DC3" w:rsidRDefault="00DF3A53">
      <w:pPr>
        <w:ind w:left="0" w:firstLine="0"/>
        <w:rPr>
          <w:szCs w:val="22"/>
        </w:rPr>
      </w:pPr>
      <w:r>
        <w:rPr>
          <w:szCs w:val="22"/>
        </w:rPr>
        <w:t>N</w:t>
      </w:r>
      <w:r w:rsidRPr="00DB0DC3">
        <w:rPr>
          <w:szCs w:val="22"/>
        </w:rPr>
        <w:t xml:space="preserve">asledovné nežiaduce účinky </w:t>
      </w:r>
      <w:r>
        <w:rPr>
          <w:szCs w:val="22"/>
        </w:rPr>
        <w:t xml:space="preserve">boli hlásené u užívateliek kombinovaných perorálnych </w:t>
      </w:r>
      <w:r w:rsidR="003520F3">
        <w:rPr>
          <w:szCs w:val="22"/>
        </w:rPr>
        <w:t>antikoncepcií</w:t>
      </w:r>
      <w:r>
        <w:rPr>
          <w:szCs w:val="22"/>
        </w:rPr>
        <w:t xml:space="preserve"> vrátane Vreya</w:t>
      </w:r>
      <w:r w:rsidR="00071E46" w:rsidRPr="00DB0DC3">
        <w:rPr>
          <w:szCs w:val="22"/>
        </w:rPr>
        <w:t xml:space="preserve"> (</w:t>
      </w:r>
      <w:r w:rsidR="00D857D5">
        <w:rPr>
          <w:szCs w:val="22"/>
        </w:rPr>
        <w:t xml:space="preserve">Poznámka: </w:t>
      </w:r>
      <w:r w:rsidR="00B01D0D" w:rsidRPr="00DB0DC3">
        <w:rPr>
          <w:szCs w:val="22"/>
        </w:rPr>
        <w:t>liek Vreya nesmie byť používaný iba ako antikoncepčný prípravok</w:t>
      </w:r>
      <w:r>
        <w:rPr>
          <w:szCs w:val="22"/>
        </w:rPr>
        <w:t>)</w:t>
      </w:r>
    </w:p>
    <w:p w14:paraId="2E116296" w14:textId="77777777" w:rsidR="00F30A64" w:rsidRPr="00DB0DC3" w:rsidRDefault="00F30A64">
      <w:pPr>
        <w:ind w:left="0" w:firstLine="0"/>
        <w:rPr>
          <w:szCs w:val="22"/>
        </w:rPr>
      </w:pPr>
    </w:p>
    <w:p w14:paraId="6BFFF0BA" w14:textId="77777777" w:rsidR="00B01D0D" w:rsidRDefault="00B01D0D">
      <w:pPr>
        <w:ind w:left="0" w:firstLine="0"/>
        <w:rPr>
          <w:szCs w:val="22"/>
        </w:rPr>
      </w:pPr>
    </w:p>
    <w:tbl>
      <w:tblPr>
        <w:tblW w:w="9498" w:type="dxa"/>
        <w:tblInd w:w="6" w:type="dxa"/>
        <w:tblLayout w:type="fixed"/>
        <w:tblCellMar>
          <w:left w:w="0" w:type="dxa"/>
          <w:right w:w="0" w:type="dxa"/>
        </w:tblCellMar>
        <w:tblLook w:val="0000" w:firstRow="0" w:lastRow="0" w:firstColumn="0" w:lastColumn="0" w:noHBand="0" w:noVBand="0"/>
      </w:tblPr>
      <w:tblGrid>
        <w:gridCol w:w="2127"/>
        <w:gridCol w:w="1842"/>
        <w:gridCol w:w="1985"/>
        <w:gridCol w:w="1843"/>
        <w:gridCol w:w="1701"/>
      </w:tblGrid>
      <w:tr w:rsidR="004A5134" w:rsidRPr="00DB0DC3" w14:paraId="39FE117E" w14:textId="77777777" w:rsidTr="00B52E08">
        <w:trPr>
          <w:cantSplit/>
          <w:trHeight w:hRule="exact" w:val="773"/>
        </w:trPr>
        <w:tc>
          <w:tcPr>
            <w:tcW w:w="2127" w:type="dxa"/>
            <w:vMerge w:val="restart"/>
            <w:tcBorders>
              <w:top w:val="single" w:sz="5" w:space="0" w:color="auto"/>
              <w:left w:val="single" w:sz="5" w:space="0" w:color="auto"/>
              <w:bottom w:val="nil"/>
              <w:right w:val="single" w:sz="5" w:space="0" w:color="auto"/>
            </w:tcBorders>
          </w:tcPr>
          <w:p w14:paraId="54C30069" w14:textId="77777777" w:rsidR="004A5134" w:rsidRPr="006D09F1" w:rsidRDefault="004A5134" w:rsidP="00B52E08">
            <w:pPr>
              <w:jc w:val="both"/>
              <w:rPr>
                <w:rFonts w:eastAsia="WEPBYN+TimesNewRoman"/>
                <w:b/>
                <w:szCs w:val="22"/>
              </w:rPr>
            </w:pPr>
            <w:r w:rsidRPr="006D09F1">
              <w:rPr>
                <w:rFonts w:eastAsia="WEPBYN+TimesNewRoman"/>
                <w:b/>
                <w:szCs w:val="22"/>
              </w:rPr>
              <w:t>Orgánový systém</w:t>
            </w:r>
          </w:p>
        </w:tc>
        <w:tc>
          <w:tcPr>
            <w:tcW w:w="7371" w:type="dxa"/>
            <w:gridSpan w:val="4"/>
            <w:tcBorders>
              <w:top w:val="single" w:sz="5" w:space="0" w:color="auto"/>
              <w:left w:val="single" w:sz="5" w:space="0" w:color="auto"/>
              <w:bottom w:val="single" w:sz="5" w:space="0" w:color="auto"/>
              <w:right w:val="single" w:sz="5" w:space="0" w:color="auto"/>
            </w:tcBorders>
            <w:vAlign w:val="center"/>
          </w:tcPr>
          <w:p w14:paraId="57F3AB43" w14:textId="77777777" w:rsidR="004A5134" w:rsidRPr="006D09F1" w:rsidRDefault="004A5134" w:rsidP="00B52E08">
            <w:pPr>
              <w:jc w:val="center"/>
              <w:rPr>
                <w:rFonts w:eastAsia="WEPBYN+TimesNewRoman"/>
                <w:b/>
                <w:szCs w:val="22"/>
              </w:rPr>
            </w:pPr>
            <w:r w:rsidRPr="006D09F1">
              <w:rPr>
                <w:rFonts w:eastAsia="WEPBYN+TimesNewRoman"/>
                <w:b/>
                <w:szCs w:val="22"/>
              </w:rPr>
              <w:t>Frekvencia nežiaducich účinkov</w:t>
            </w:r>
          </w:p>
        </w:tc>
      </w:tr>
      <w:tr w:rsidR="004A5134" w:rsidRPr="00DB0DC3" w14:paraId="45D7BB3C" w14:textId="77777777" w:rsidTr="00B52E08">
        <w:trPr>
          <w:cantSplit/>
          <w:trHeight w:hRule="exact" w:val="1019"/>
        </w:trPr>
        <w:tc>
          <w:tcPr>
            <w:tcW w:w="2127" w:type="dxa"/>
            <w:vMerge/>
            <w:tcBorders>
              <w:top w:val="nil"/>
              <w:left w:val="single" w:sz="5" w:space="0" w:color="auto"/>
              <w:bottom w:val="single" w:sz="5" w:space="0" w:color="auto"/>
              <w:right w:val="single" w:sz="5" w:space="0" w:color="auto"/>
            </w:tcBorders>
          </w:tcPr>
          <w:p w14:paraId="62F1D4AE" w14:textId="77777777" w:rsidR="004A5134" w:rsidRPr="00DB0DC3" w:rsidRDefault="004A5134" w:rsidP="00B52E08">
            <w:pPr>
              <w:jc w:val="both"/>
              <w:rPr>
                <w:rFonts w:eastAsia="WEPBYN+TimesNewRoman"/>
                <w:szCs w:val="22"/>
              </w:rPr>
            </w:pPr>
          </w:p>
        </w:tc>
        <w:tc>
          <w:tcPr>
            <w:tcW w:w="1842" w:type="dxa"/>
            <w:tcBorders>
              <w:top w:val="single" w:sz="5" w:space="0" w:color="auto"/>
              <w:left w:val="single" w:sz="5" w:space="0" w:color="auto"/>
              <w:bottom w:val="single" w:sz="5" w:space="0" w:color="auto"/>
              <w:right w:val="single" w:sz="5" w:space="0" w:color="auto"/>
            </w:tcBorders>
          </w:tcPr>
          <w:p w14:paraId="7279031B" w14:textId="77777777" w:rsidR="004A5134" w:rsidRPr="00DB0DC3" w:rsidRDefault="004A5134" w:rsidP="00DF167D">
            <w:pPr>
              <w:ind w:left="0" w:firstLine="0"/>
              <w:jc w:val="center"/>
              <w:rPr>
                <w:rFonts w:eastAsia="WEPBYN+TimesNewRoman"/>
                <w:szCs w:val="22"/>
              </w:rPr>
            </w:pPr>
            <w:r w:rsidRPr="00DB0DC3">
              <w:rPr>
                <w:rFonts w:eastAsia="WEPBYN+TimesNewRoman"/>
                <w:szCs w:val="22"/>
              </w:rPr>
              <w:t>Časté</w:t>
            </w:r>
          </w:p>
          <w:p w14:paraId="2779123B" w14:textId="77777777" w:rsidR="004A5134" w:rsidRPr="00DB0DC3" w:rsidRDefault="004A5134" w:rsidP="00DF167D">
            <w:pPr>
              <w:ind w:left="0" w:firstLine="0"/>
              <w:jc w:val="center"/>
              <w:rPr>
                <w:rFonts w:eastAsia="WEPBYN+TimesNewRoman"/>
                <w:szCs w:val="22"/>
              </w:rPr>
            </w:pPr>
            <w:r w:rsidRPr="00DB0DC3">
              <w:rPr>
                <w:rFonts w:eastAsia="WEPBYN+TimesNewRoman"/>
                <w:szCs w:val="22"/>
              </w:rPr>
              <w:t>≥1/100 až &lt;1/10</w:t>
            </w:r>
          </w:p>
        </w:tc>
        <w:tc>
          <w:tcPr>
            <w:tcW w:w="1985" w:type="dxa"/>
            <w:tcBorders>
              <w:top w:val="single" w:sz="5" w:space="0" w:color="auto"/>
              <w:left w:val="single" w:sz="5" w:space="0" w:color="auto"/>
              <w:bottom w:val="single" w:sz="5" w:space="0" w:color="auto"/>
              <w:right w:val="single" w:sz="5" w:space="0" w:color="auto"/>
            </w:tcBorders>
          </w:tcPr>
          <w:p w14:paraId="6ABD18CE" w14:textId="77777777" w:rsidR="004A5134" w:rsidRPr="00DB0DC3" w:rsidRDefault="004A5134" w:rsidP="00DF167D">
            <w:pPr>
              <w:ind w:left="0" w:firstLine="0"/>
              <w:jc w:val="center"/>
              <w:rPr>
                <w:rFonts w:eastAsia="WEPBYN+TimesNewRoman"/>
                <w:szCs w:val="22"/>
              </w:rPr>
            </w:pPr>
            <w:r w:rsidRPr="00DB0DC3">
              <w:rPr>
                <w:rFonts w:eastAsia="WEPBYN+TimesNewRoman"/>
                <w:szCs w:val="22"/>
              </w:rPr>
              <w:t>Menej časté</w:t>
            </w:r>
          </w:p>
          <w:p w14:paraId="736D7997" w14:textId="77777777" w:rsidR="004A5134" w:rsidRPr="00DB0DC3" w:rsidRDefault="004A5134" w:rsidP="00DF167D">
            <w:pPr>
              <w:ind w:left="0" w:firstLine="0"/>
              <w:jc w:val="center"/>
              <w:rPr>
                <w:rFonts w:eastAsia="WEPBYN+TimesNewRoman"/>
                <w:szCs w:val="22"/>
              </w:rPr>
            </w:pPr>
            <w:r w:rsidRPr="00DB0DC3">
              <w:rPr>
                <w:rFonts w:eastAsia="WEPBYN+TimesNewRoman"/>
                <w:szCs w:val="22"/>
              </w:rPr>
              <w:t>≥1/1</w:t>
            </w:r>
            <w:r w:rsidR="00DF167D">
              <w:rPr>
                <w:rFonts w:eastAsia="WEPBYN+TimesNewRoman"/>
                <w:szCs w:val="22"/>
              </w:rPr>
              <w:t> </w:t>
            </w:r>
            <w:r w:rsidRPr="00DB0DC3">
              <w:rPr>
                <w:rFonts w:eastAsia="WEPBYN+TimesNewRoman"/>
                <w:szCs w:val="22"/>
              </w:rPr>
              <w:t>000 až &lt;1/100</w:t>
            </w:r>
          </w:p>
        </w:tc>
        <w:tc>
          <w:tcPr>
            <w:tcW w:w="1843" w:type="dxa"/>
            <w:tcBorders>
              <w:top w:val="single" w:sz="5" w:space="0" w:color="auto"/>
              <w:left w:val="single" w:sz="5" w:space="0" w:color="auto"/>
              <w:bottom w:val="single" w:sz="5" w:space="0" w:color="auto"/>
              <w:right w:val="single" w:sz="5" w:space="0" w:color="auto"/>
            </w:tcBorders>
          </w:tcPr>
          <w:p w14:paraId="49DE7F21" w14:textId="77777777" w:rsidR="004A5134" w:rsidRPr="00DB0DC3" w:rsidRDefault="004A5134" w:rsidP="00DF167D">
            <w:pPr>
              <w:ind w:left="0" w:firstLine="0"/>
              <w:jc w:val="center"/>
              <w:rPr>
                <w:rFonts w:eastAsia="WEPBYN+TimesNewRoman"/>
                <w:szCs w:val="22"/>
              </w:rPr>
            </w:pPr>
            <w:r w:rsidRPr="00DB0DC3">
              <w:rPr>
                <w:rFonts w:eastAsia="WEPBYN+TimesNewRoman"/>
                <w:szCs w:val="22"/>
              </w:rPr>
              <w:t>Zriedkavé</w:t>
            </w:r>
          </w:p>
          <w:p w14:paraId="77BFF6C4" w14:textId="77777777" w:rsidR="004A5134" w:rsidRPr="00DB0DC3" w:rsidRDefault="004A5134" w:rsidP="00DF167D">
            <w:pPr>
              <w:ind w:left="0" w:firstLine="0"/>
              <w:jc w:val="center"/>
              <w:rPr>
                <w:rFonts w:eastAsia="WEPBYN+TimesNewRoman"/>
                <w:szCs w:val="22"/>
              </w:rPr>
            </w:pPr>
            <w:r w:rsidRPr="00DB0DC3">
              <w:rPr>
                <w:rFonts w:eastAsia="WEPBYN+TimesNewRoman"/>
                <w:szCs w:val="22"/>
              </w:rPr>
              <w:t>≥1/10</w:t>
            </w:r>
            <w:r w:rsidR="00DF167D">
              <w:rPr>
                <w:rFonts w:eastAsia="WEPBYN+TimesNewRoman"/>
                <w:szCs w:val="22"/>
              </w:rPr>
              <w:t> </w:t>
            </w:r>
            <w:r w:rsidRPr="00DB0DC3">
              <w:rPr>
                <w:rFonts w:eastAsia="WEPBYN+TimesNewRoman"/>
                <w:szCs w:val="22"/>
              </w:rPr>
              <w:t>000 až &lt;1/1</w:t>
            </w:r>
            <w:r w:rsidR="00DF167D">
              <w:rPr>
                <w:rFonts w:eastAsia="WEPBYN+TimesNewRoman"/>
                <w:szCs w:val="22"/>
              </w:rPr>
              <w:t> </w:t>
            </w:r>
            <w:r w:rsidRPr="00DB0DC3">
              <w:rPr>
                <w:rFonts w:eastAsia="WEPBYN+TimesNewRoman"/>
                <w:szCs w:val="22"/>
              </w:rPr>
              <w:t>000</w:t>
            </w:r>
          </w:p>
        </w:tc>
        <w:tc>
          <w:tcPr>
            <w:tcW w:w="1701" w:type="dxa"/>
            <w:tcBorders>
              <w:top w:val="single" w:sz="5" w:space="0" w:color="auto"/>
              <w:left w:val="single" w:sz="5" w:space="0" w:color="auto"/>
              <w:bottom w:val="single" w:sz="5" w:space="0" w:color="auto"/>
              <w:right w:val="single" w:sz="5" w:space="0" w:color="auto"/>
            </w:tcBorders>
          </w:tcPr>
          <w:p w14:paraId="1A6ABEFB" w14:textId="77777777" w:rsidR="004A5134" w:rsidRDefault="004A5134" w:rsidP="00DF167D">
            <w:pPr>
              <w:ind w:left="0" w:firstLine="0"/>
              <w:jc w:val="center"/>
              <w:rPr>
                <w:szCs w:val="22"/>
              </w:rPr>
            </w:pPr>
            <w:r w:rsidRPr="00801AC0">
              <w:rPr>
                <w:szCs w:val="22"/>
              </w:rPr>
              <w:t>Neznáme</w:t>
            </w:r>
          </w:p>
          <w:p w14:paraId="0C2D6DBE" w14:textId="77777777" w:rsidR="004A5134" w:rsidRPr="00DB0DC3" w:rsidRDefault="004A5134" w:rsidP="00DF167D">
            <w:pPr>
              <w:ind w:left="0" w:firstLine="0"/>
              <w:jc w:val="center"/>
              <w:rPr>
                <w:rFonts w:eastAsia="WEPBYN+TimesNewRoman"/>
                <w:szCs w:val="22"/>
              </w:rPr>
            </w:pPr>
            <w:r w:rsidRPr="00801AC0">
              <w:rPr>
                <w:szCs w:val="22"/>
              </w:rPr>
              <w:t>z dostupných údajov</w:t>
            </w:r>
          </w:p>
        </w:tc>
      </w:tr>
      <w:tr w:rsidR="004A5134" w:rsidRPr="00DB0DC3" w14:paraId="4091E798" w14:textId="77777777" w:rsidTr="00DF167D">
        <w:trPr>
          <w:trHeight w:hRule="exact" w:val="818"/>
        </w:trPr>
        <w:tc>
          <w:tcPr>
            <w:tcW w:w="2127" w:type="dxa"/>
            <w:tcBorders>
              <w:top w:val="single" w:sz="5" w:space="0" w:color="auto"/>
              <w:left w:val="single" w:sz="5" w:space="0" w:color="auto"/>
              <w:bottom w:val="single" w:sz="5" w:space="0" w:color="auto"/>
              <w:right w:val="single" w:sz="5" w:space="0" w:color="auto"/>
            </w:tcBorders>
            <w:vAlign w:val="center"/>
          </w:tcPr>
          <w:p w14:paraId="0036C2E5" w14:textId="77777777" w:rsidR="004A5134" w:rsidRPr="00F30A64" w:rsidRDefault="00DF167D" w:rsidP="00DF167D">
            <w:pPr>
              <w:ind w:left="0" w:firstLine="0"/>
              <w:rPr>
                <w:rFonts w:eastAsia="WEPBYN+TimesNewRoman"/>
                <w:b/>
                <w:szCs w:val="22"/>
              </w:rPr>
            </w:pPr>
            <w:r>
              <w:rPr>
                <w:rFonts w:eastAsia="WEPBYN+TimesNewRoman"/>
                <w:b/>
                <w:szCs w:val="22"/>
              </w:rPr>
              <w:t>Laboratórne a funkčné v</w:t>
            </w:r>
            <w:r w:rsidR="004A5134" w:rsidRPr="00F30A64">
              <w:rPr>
                <w:rFonts w:eastAsia="WEPBYN+TimesNewRoman"/>
                <w:b/>
                <w:szCs w:val="22"/>
              </w:rPr>
              <w:t>yšetreni</w:t>
            </w:r>
            <w:r>
              <w:rPr>
                <w:rFonts w:eastAsia="WEPBYN+TimesNewRoman"/>
                <w:b/>
                <w:szCs w:val="22"/>
              </w:rPr>
              <w:t>a</w:t>
            </w:r>
          </w:p>
        </w:tc>
        <w:tc>
          <w:tcPr>
            <w:tcW w:w="1842" w:type="dxa"/>
            <w:tcBorders>
              <w:top w:val="single" w:sz="5" w:space="0" w:color="auto"/>
              <w:left w:val="single" w:sz="5" w:space="0" w:color="auto"/>
              <w:bottom w:val="single" w:sz="5" w:space="0" w:color="auto"/>
              <w:right w:val="single" w:sz="5" w:space="0" w:color="auto"/>
            </w:tcBorders>
            <w:vAlign w:val="center"/>
          </w:tcPr>
          <w:p w14:paraId="4FDF735A" w14:textId="77777777" w:rsidR="004A5134" w:rsidRPr="00DB0DC3" w:rsidRDefault="004A5134" w:rsidP="00DF167D">
            <w:pPr>
              <w:ind w:left="0" w:firstLine="0"/>
              <w:jc w:val="center"/>
              <w:rPr>
                <w:rFonts w:eastAsia="WEPBYN+TimesNewRoman"/>
                <w:szCs w:val="22"/>
              </w:rPr>
            </w:pPr>
            <w:r w:rsidRPr="00DB0DC3">
              <w:rPr>
                <w:rFonts w:eastAsia="WEPBYN+TimesNewRoman"/>
                <w:szCs w:val="22"/>
              </w:rPr>
              <w:t>Zvýšenie telesnej hmotnosti</w:t>
            </w:r>
          </w:p>
        </w:tc>
        <w:tc>
          <w:tcPr>
            <w:tcW w:w="1985" w:type="dxa"/>
            <w:tcBorders>
              <w:top w:val="single" w:sz="5" w:space="0" w:color="auto"/>
              <w:left w:val="single" w:sz="5" w:space="0" w:color="auto"/>
              <w:bottom w:val="single" w:sz="5" w:space="0" w:color="auto"/>
              <w:right w:val="single" w:sz="5" w:space="0" w:color="auto"/>
            </w:tcBorders>
          </w:tcPr>
          <w:p w14:paraId="4A592B53" w14:textId="77777777" w:rsidR="004A5134" w:rsidRPr="00DB0DC3" w:rsidRDefault="004A5134" w:rsidP="00DF167D">
            <w:pPr>
              <w:ind w:left="0" w:firstLine="0"/>
              <w:jc w:val="center"/>
              <w:rPr>
                <w:rFonts w:eastAsia="WEPBYN+TimesNewRoman"/>
                <w:szCs w:val="22"/>
              </w:rPr>
            </w:pPr>
          </w:p>
        </w:tc>
        <w:tc>
          <w:tcPr>
            <w:tcW w:w="1843" w:type="dxa"/>
            <w:tcBorders>
              <w:top w:val="single" w:sz="5" w:space="0" w:color="auto"/>
              <w:left w:val="single" w:sz="5" w:space="0" w:color="auto"/>
              <w:bottom w:val="single" w:sz="5" w:space="0" w:color="auto"/>
              <w:right w:val="single" w:sz="5" w:space="0" w:color="auto"/>
            </w:tcBorders>
            <w:vAlign w:val="center"/>
          </w:tcPr>
          <w:p w14:paraId="59DFD908" w14:textId="77777777" w:rsidR="004A5134" w:rsidRPr="00DB0DC3" w:rsidRDefault="004A5134" w:rsidP="00DF167D">
            <w:pPr>
              <w:ind w:left="0" w:firstLine="0"/>
              <w:jc w:val="center"/>
              <w:rPr>
                <w:rFonts w:eastAsia="WEPBYN+TimesNewRoman"/>
                <w:szCs w:val="22"/>
              </w:rPr>
            </w:pPr>
            <w:r w:rsidRPr="00DB0DC3">
              <w:rPr>
                <w:rFonts w:eastAsia="WEPBYN+TimesNewRoman"/>
                <w:szCs w:val="22"/>
              </w:rPr>
              <w:t>Zníženie telesnej hmotnosti</w:t>
            </w:r>
          </w:p>
        </w:tc>
        <w:tc>
          <w:tcPr>
            <w:tcW w:w="1701" w:type="dxa"/>
            <w:tcBorders>
              <w:top w:val="single" w:sz="5" w:space="0" w:color="auto"/>
              <w:left w:val="single" w:sz="5" w:space="0" w:color="auto"/>
              <w:bottom w:val="single" w:sz="5" w:space="0" w:color="auto"/>
              <w:right w:val="single" w:sz="5" w:space="0" w:color="auto"/>
            </w:tcBorders>
          </w:tcPr>
          <w:p w14:paraId="7B95E57D" w14:textId="77777777" w:rsidR="004A5134" w:rsidRPr="00DB0DC3" w:rsidRDefault="004A5134" w:rsidP="00DF167D">
            <w:pPr>
              <w:ind w:left="0" w:firstLine="0"/>
              <w:jc w:val="center"/>
              <w:rPr>
                <w:rFonts w:eastAsia="WEPBYN+TimesNewRoman"/>
                <w:szCs w:val="22"/>
              </w:rPr>
            </w:pPr>
          </w:p>
        </w:tc>
      </w:tr>
      <w:tr w:rsidR="004A5134" w:rsidRPr="00DB0DC3" w14:paraId="60E7E1AD" w14:textId="77777777" w:rsidTr="00B52E08">
        <w:trPr>
          <w:trHeight w:hRule="exact" w:val="786"/>
        </w:trPr>
        <w:tc>
          <w:tcPr>
            <w:tcW w:w="2127" w:type="dxa"/>
            <w:tcBorders>
              <w:top w:val="single" w:sz="5" w:space="0" w:color="auto"/>
              <w:left w:val="single" w:sz="5" w:space="0" w:color="auto"/>
              <w:bottom w:val="single" w:sz="5" w:space="0" w:color="auto"/>
              <w:right w:val="single" w:sz="5" w:space="0" w:color="auto"/>
            </w:tcBorders>
          </w:tcPr>
          <w:p w14:paraId="386E7D5F" w14:textId="77777777" w:rsidR="004A5134" w:rsidRPr="00F30A64" w:rsidRDefault="004A5134" w:rsidP="00B52E08">
            <w:pPr>
              <w:ind w:left="0" w:firstLine="0"/>
              <w:jc w:val="both"/>
              <w:rPr>
                <w:rFonts w:eastAsia="WEPBYN+TimesNewRoman"/>
                <w:b/>
                <w:szCs w:val="22"/>
              </w:rPr>
            </w:pPr>
            <w:r w:rsidRPr="00F30A64">
              <w:rPr>
                <w:rFonts w:eastAsia="WEPBYN+TimesNewRoman"/>
                <w:b/>
                <w:szCs w:val="22"/>
              </w:rPr>
              <w:t>Poruchy nervového systému</w:t>
            </w:r>
          </w:p>
        </w:tc>
        <w:tc>
          <w:tcPr>
            <w:tcW w:w="1842" w:type="dxa"/>
            <w:tcBorders>
              <w:top w:val="single" w:sz="5" w:space="0" w:color="auto"/>
              <w:left w:val="single" w:sz="5" w:space="0" w:color="auto"/>
              <w:bottom w:val="single" w:sz="5" w:space="0" w:color="auto"/>
              <w:right w:val="single" w:sz="5" w:space="0" w:color="auto"/>
            </w:tcBorders>
          </w:tcPr>
          <w:p w14:paraId="01CC8679" w14:textId="77777777" w:rsidR="004A5134" w:rsidRPr="00DB0DC3" w:rsidRDefault="004A5134" w:rsidP="00DF167D">
            <w:pPr>
              <w:ind w:left="0" w:firstLine="0"/>
              <w:jc w:val="center"/>
              <w:rPr>
                <w:rFonts w:eastAsia="WEPBYN+TimesNewRoman"/>
                <w:szCs w:val="22"/>
              </w:rPr>
            </w:pPr>
            <w:r w:rsidRPr="00DB0DC3">
              <w:rPr>
                <w:rFonts w:eastAsia="WEPBYN+TimesNewRoman"/>
                <w:szCs w:val="22"/>
              </w:rPr>
              <w:t>Bolesť hlavy</w:t>
            </w:r>
          </w:p>
        </w:tc>
        <w:tc>
          <w:tcPr>
            <w:tcW w:w="1985" w:type="dxa"/>
            <w:tcBorders>
              <w:top w:val="single" w:sz="5" w:space="0" w:color="auto"/>
              <w:left w:val="single" w:sz="5" w:space="0" w:color="auto"/>
              <w:bottom w:val="single" w:sz="5" w:space="0" w:color="auto"/>
              <w:right w:val="single" w:sz="5" w:space="0" w:color="auto"/>
            </w:tcBorders>
          </w:tcPr>
          <w:p w14:paraId="1E4F8515" w14:textId="77777777" w:rsidR="004A5134" w:rsidRPr="00DB0DC3" w:rsidRDefault="004A5134" w:rsidP="00DF167D">
            <w:pPr>
              <w:ind w:left="0" w:firstLine="0"/>
              <w:jc w:val="center"/>
              <w:rPr>
                <w:rFonts w:eastAsia="WEPBYN+TimesNewRoman"/>
                <w:szCs w:val="22"/>
              </w:rPr>
            </w:pPr>
            <w:r w:rsidRPr="00DB0DC3">
              <w:rPr>
                <w:rFonts w:eastAsia="WEPBYN+TimesNewRoman"/>
                <w:szCs w:val="22"/>
              </w:rPr>
              <w:t>Migréna</w:t>
            </w:r>
          </w:p>
        </w:tc>
        <w:tc>
          <w:tcPr>
            <w:tcW w:w="1843" w:type="dxa"/>
            <w:tcBorders>
              <w:top w:val="single" w:sz="5" w:space="0" w:color="auto"/>
              <w:left w:val="single" w:sz="5" w:space="0" w:color="auto"/>
              <w:bottom w:val="single" w:sz="5" w:space="0" w:color="auto"/>
              <w:right w:val="single" w:sz="5" w:space="0" w:color="auto"/>
            </w:tcBorders>
          </w:tcPr>
          <w:p w14:paraId="6BB14827" w14:textId="77777777" w:rsidR="004A5134" w:rsidRPr="00DB0DC3" w:rsidRDefault="004A5134" w:rsidP="00DF167D">
            <w:pPr>
              <w:ind w:left="0" w:firstLine="0"/>
              <w:jc w:val="center"/>
              <w:rPr>
                <w:rFonts w:eastAsia="WEPBYN+TimesNewRoman"/>
                <w:szCs w:val="22"/>
              </w:rPr>
            </w:pPr>
          </w:p>
        </w:tc>
        <w:tc>
          <w:tcPr>
            <w:tcW w:w="1701" w:type="dxa"/>
            <w:tcBorders>
              <w:top w:val="single" w:sz="5" w:space="0" w:color="auto"/>
              <w:left w:val="single" w:sz="5" w:space="0" w:color="auto"/>
              <w:bottom w:val="single" w:sz="5" w:space="0" w:color="auto"/>
              <w:right w:val="single" w:sz="5" w:space="0" w:color="auto"/>
            </w:tcBorders>
          </w:tcPr>
          <w:p w14:paraId="0B29E2A1" w14:textId="77777777" w:rsidR="004A5134" w:rsidRPr="00DB0DC3" w:rsidRDefault="004A5134" w:rsidP="00DF167D">
            <w:pPr>
              <w:ind w:left="0" w:firstLine="0"/>
              <w:jc w:val="center"/>
              <w:rPr>
                <w:rFonts w:eastAsia="WEPBYN+TimesNewRoman"/>
                <w:szCs w:val="22"/>
              </w:rPr>
            </w:pPr>
          </w:p>
        </w:tc>
      </w:tr>
      <w:tr w:rsidR="004A5134" w:rsidRPr="00DB0DC3" w14:paraId="2FD9DC09" w14:textId="77777777" w:rsidTr="00DF167D">
        <w:trPr>
          <w:trHeight w:hRule="exact" w:val="912"/>
        </w:trPr>
        <w:tc>
          <w:tcPr>
            <w:tcW w:w="2127" w:type="dxa"/>
            <w:tcBorders>
              <w:top w:val="single" w:sz="5" w:space="0" w:color="auto"/>
              <w:left w:val="single" w:sz="5" w:space="0" w:color="auto"/>
              <w:bottom w:val="single" w:sz="5" w:space="0" w:color="auto"/>
              <w:right w:val="single" w:sz="5" w:space="0" w:color="auto"/>
            </w:tcBorders>
            <w:vAlign w:val="center"/>
          </w:tcPr>
          <w:p w14:paraId="3AC9839D" w14:textId="77777777" w:rsidR="004A5134" w:rsidRPr="00F30A64" w:rsidRDefault="004A5134" w:rsidP="00B52E08">
            <w:pPr>
              <w:ind w:left="0" w:firstLine="0"/>
              <w:jc w:val="both"/>
              <w:rPr>
                <w:rFonts w:eastAsia="WEPBYN+TimesNewRoman"/>
                <w:b/>
                <w:szCs w:val="22"/>
              </w:rPr>
            </w:pPr>
            <w:r w:rsidRPr="00F30A64">
              <w:rPr>
                <w:rFonts w:eastAsia="WEPBYN+TimesNewRoman"/>
                <w:b/>
                <w:szCs w:val="22"/>
              </w:rPr>
              <w:t>Poruchy oka</w:t>
            </w:r>
          </w:p>
        </w:tc>
        <w:tc>
          <w:tcPr>
            <w:tcW w:w="1842" w:type="dxa"/>
            <w:tcBorders>
              <w:top w:val="single" w:sz="5" w:space="0" w:color="auto"/>
              <w:left w:val="single" w:sz="5" w:space="0" w:color="auto"/>
              <w:bottom w:val="single" w:sz="5" w:space="0" w:color="auto"/>
              <w:right w:val="single" w:sz="5" w:space="0" w:color="auto"/>
            </w:tcBorders>
          </w:tcPr>
          <w:p w14:paraId="5FCAE8BD" w14:textId="77777777" w:rsidR="004A5134" w:rsidRPr="00DB0DC3" w:rsidRDefault="004A5134" w:rsidP="00DF167D">
            <w:pPr>
              <w:ind w:left="0" w:firstLine="0"/>
              <w:jc w:val="center"/>
              <w:rPr>
                <w:rFonts w:eastAsia="WEPBYN+TimesNewRoman"/>
                <w:szCs w:val="22"/>
              </w:rPr>
            </w:pPr>
          </w:p>
        </w:tc>
        <w:tc>
          <w:tcPr>
            <w:tcW w:w="1985" w:type="dxa"/>
            <w:tcBorders>
              <w:top w:val="single" w:sz="5" w:space="0" w:color="auto"/>
              <w:left w:val="single" w:sz="5" w:space="0" w:color="auto"/>
              <w:bottom w:val="single" w:sz="5" w:space="0" w:color="auto"/>
              <w:right w:val="single" w:sz="5" w:space="0" w:color="auto"/>
            </w:tcBorders>
          </w:tcPr>
          <w:p w14:paraId="064F782D" w14:textId="77777777" w:rsidR="004A5134" w:rsidRPr="00DB0DC3" w:rsidRDefault="004A5134" w:rsidP="00DF167D">
            <w:pPr>
              <w:ind w:left="0" w:firstLine="0"/>
              <w:jc w:val="center"/>
              <w:rPr>
                <w:rFonts w:eastAsia="WEPBYN+TimesNewRoman"/>
                <w:szCs w:val="22"/>
              </w:rPr>
            </w:pPr>
          </w:p>
        </w:tc>
        <w:tc>
          <w:tcPr>
            <w:tcW w:w="1843" w:type="dxa"/>
            <w:tcBorders>
              <w:top w:val="single" w:sz="5" w:space="0" w:color="auto"/>
              <w:left w:val="single" w:sz="5" w:space="0" w:color="auto"/>
              <w:bottom w:val="single" w:sz="5" w:space="0" w:color="auto"/>
              <w:right w:val="single" w:sz="5" w:space="0" w:color="auto"/>
            </w:tcBorders>
            <w:vAlign w:val="center"/>
          </w:tcPr>
          <w:p w14:paraId="31C1FDD6" w14:textId="77777777" w:rsidR="004A5134" w:rsidRPr="00DB0DC3" w:rsidRDefault="004A5134" w:rsidP="00DF167D">
            <w:pPr>
              <w:ind w:left="0" w:firstLine="0"/>
              <w:jc w:val="center"/>
              <w:rPr>
                <w:rFonts w:eastAsia="WEPBYN+TimesNewRoman"/>
                <w:szCs w:val="22"/>
              </w:rPr>
            </w:pPr>
            <w:r w:rsidRPr="00DB0DC3">
              <w:rPr>
                <w:rFonts w:eastAsia="WEPBYN+TimesNewRoman"/>
                <w:szCs w:val="22"/>
              </w:rPr>
              <w:t>Neznášanlivosť očných kontaktných šošoviek</w:t>
            </w:r>
          </w:p>
        </w:tc>
        <w:tc>
          <w:tcPr>
            <w:tcW w:w="1701" w:type="dxa"/>
            <w:tcBorders>
              <w:top w:val="single" w:sz="5" w:space="0" w:color="auto"/>
              <w:left w:val="single" w:sz="5" w:space="0" w:color="auto"/>
              <w:bottom w:val="single" w:sz="5" w:space="0" w:color="auto"/>
              <w:right w:val="single" w:sz="5" w:space="0" w:color="auto"/>
            </w:tcBorders>
          </w:tcPr>
          <w:p w14:paraId="7A33CA03" w14:textId="77777777" w:rsidR="004A5134" w:rsidRPr="00DB0DC3" w:rsidRDefault="004A5134" w:rsidP="00DF167D">
            <w:pPr>
              <w:ind w:left="0" w:firstLine="0"/>
              <w:jc w:val="center"/>
              <w:rPr>
                <w:rFonts w:eastAsia="WEPBYN+TimesNewRoman"/>
                <w:szCs w:val="22"/>
              </w:rPr>
            </w:pPr>
          </w:p>
        </w:tc>
      </w:tr>
      <w:tr w:rsidR="004A5134" w:rsidRPr="00DB0DC3" w14:paraId="06B85CCC" w14:textId="77777777" w:rsidTr="00DF167D">
        <w:trPr>
          <w:trHeight w:hRule="exact" w:val="764"/>
        </w:trPr>
        <w:tc>
          <w:tcPr>
            <w:tcW w:w="2127" w:type="dxa"/>
            <w:tcBorders>
              <w:top w:val="single" w:sz="5" w:space="0" w:color="auto"/>
              <w:left w:val="single" w:sz="5" w:space="0" w:color="auto"/>
              <w:bottom w:val="single" w:sz="5" w:space="0" w:color="auto"/>
              <w:right w:val="single" w:sz="5" w:space="0" w:color="auto"/>
            </w:tcBorders>
          </w:tcPr>
          <w:p w14:paraId="53DB245A" w14:textId="77777777" w:rsidR="004A5134" w:rsidRPr="00F30A64" w:rsidRDefault="004A5134" w:rsidP="00B52E08">
            <w:pPr>
              <w:ind w:left="0" w:firstLine="0"/>
              <w:jc w:val="both"/>
              <w:rPr>
                <w:rFonts w:eastAsia="WEPBYN+TimesNewRoman"/>
                <w:b/>
                <w:szCs w:val="22"/>
              </w:rPr>
            </w:pPr>
            <w:r w:rsidRPr="00F30A64">
              <w:rPr>
                <w:rFonts w:eastAsia="WEPBYN+TimesNewRoman"/>
                <w:b/>
                <w:szCs w:val="22"/>
              </w:rPr>
              <w:t>Poruchy gastrointestinálneho traktu</w:t>
            </w:r>
          </w:p>
        </w:tc>
        <w:tc>
          <w:tcPr>
            <w:tcW w:w="1842" w:type="dxa"/>
            <w:tcBorders>
              <w:top w:val="single" w:sz="5" w:space="0" w:color="auto"/>
              <w:left w:val="single" w:sz="5" w:space="0" w:color="auto"/>
              <w:bottom w:val="single" w:sz="5" w:space="0" w:color="auto"/>
              <w:right w:val="single" w:sz="5" w:space="0" w:color="auto"/>
            </w:tcBorders>
          </w:tcPr>
          <w:p w14:paraId="190E7DCB" w14:textId="77777777" w:rsidR="004A5134" w:rsidRPr="00DB0DC3" w:rsidRDefault="004A5134" w:rsidP="00DF167D">
            <w:pPr>
              <w:ind w:left="0" w:firstLine="0"/>
              <w:jc w:val="center"/>
              <w:rPr>
                <w:rFonts w:eastAsia="WEPBYN+TimesNewRoman"/>
                <w:szCs w:val="22"/>
              </w:rPr>
            </w:pPr>
            <w:r w:rsidRPr="00DB0DC3">
              <w:rPr>
                <w:rFonts w:eastAsia="WEPBYN+TimesNewRoman"/>
                <w:szCs w:val="22"/>
              </w:rPr>
              <w:t xml:space="preserve">Nevoľnosť, </w:t>
            </w:r>
            <w:r w:rsidR="00DF167D">
              <w:rPr>
                <w:rFonts w:eastAsia="WEPBYN+TimesNewRoman"/>
                <w:szCs w:val="22"/>
              </w:rPr>
              <w:t>abdminálna bolesť</w:t>
            </w:r>
          </w:p>
        </w:tc>
        <w:tc>
          <w:tcPr>
            <w:tcW w:w="1985" w:type="dxa"/>
            <w:tcBorders>
              <w:top w:val="single" w:sz="5" w:space="0" w:color="auto"/>
              <w:left w:val="single" w:sz="5" w:space="0" w:color="auto"/>
              <w:bottom w:val="single" w:sz="5" w:space="0" w:color="auto"/>
              <w:right w:val="single" w:sz="5" w:space="0" w:color="auto"/>
            </w:tcBorders>
          </w:tcPr>
          <w:p w14:paraId="5BFC9A34" w14:textId="77777777" w:rsidR="004A5134" w:rsidRPr="00DB0DC3" w:rsidRDefault="004A5134" w:rsidP="00DF167D">
            <w:pPr>
              <w:ind w:left="0" w:firstLine="0"/>
              <w:jc w:val="center"/>
              <w:rPr>
                <w:rFonts w:eastAsia="WEPBYN+TimesNewRoman"/>
                <w:szCs w:val="22"/>
              </w:rPr>
            </w:pPr>
            <w:r w:rsidRPr="00DB0DC3">
              <w:rPr>
                <w:rFonts w:eastAsia="WEPBYN+TimesNewRoman"/>
                <w:szCs w:val="22"/>
              </w:rPr>
              <w:t>Zvracanie,</w:t>
            </w:r>
          </w:p>
          <w:p w14:paraId="04B4A558" w14:textId="77777777" w:rsidR="004A5134" w:rsidRPr="00DB0DC3" w:rsidRDefault="004A5134" w:rsidP="00DF167D">
            <w:pPr>
              <w:ind w:left="0" w:firstLine="0"/>
              <w:jc w:val="center"/>
              <w:rPr>
                <w:rFonts w:eastAsia="WEPBYN+TimesNewRoman"/>
                <w:szCs w:val="22"/>
              </w:rPr>
            </w:pPr>
            <w:r w:rsidRPr="00DB0DC3">
              <w:rPr>
                <w:rFonts w:eastAsia="WEPBYN+TimesNewRoman"/>
                <w:szCs w:val="22"/>
              </w:rPr>
              <w:t>hnačka</w:t>
            </w:r>
          </w:p>
        </w:tc>
        <w:tc>
          <w:tcPr>
            <w:tcW w:w="1843" w:type="dxa"/>
            <w:tcBorders>
              <w:top w:val="single" w:sz="5" w:space="0" w:color="auto"/>
              <w:left w:val="single" w:sz="5" w:space="0" w:color="auto"/>
              <w:bottom w:val="single" w:sz="5" w:space="0" w:color="auto"/>
              <w:right w:val="single" w:sz="5" w:space="0" w:color="auto"/>
            </w:tcBorders>
          </w:tcPr>
          <w:p w14:paraId="2137DC64" w14:textId="77777777" w:rsidR="004A5134" w:rsidRPr="00DB0DC3" w:rsidRDefault="004A5134" w:rsidP="00DF167D">
            <w:pPr>
              <w:ind w:left="0" w:firstLine="0"/>
              <w:jc w:val="center"/>
              <w:rPr>
                <w:rFonts w:eastAsia="WEPBYN+TimesNewRoman"/>
                <w:szCs w:val="22"/>
              </w:rPr>
            </w:pPr>
          </w:p>
        </w:tc>
        <w:tc>
          <w:tcPr>
            <w:tcW w:w="1701" w:type="dxa"/>
            <w:tcBorders>
              <w:top w:val="single" w:sz="5" w:space="0" w:color="auto"/>
              <w:left w:val="single" w:sz="5" w:space="0" w:color="auto"/>
              <w:bottom w:val="single" w:sz="5" w:space="0" w:color="auto"/>
              <w:right w:val="single" w:sz="5" w:space="0" w:color="auto"/>
            </w:tcBorders>
          </w:tcPr>
          <w:p w14:paraId="770E9D60" w14:textId="77777777" w:rsidR="004A5134" w:rsidRPr="00DB0DC3" w:rsidRDefault="004A5134" w:rsidP="00DF167D">
            <w:pPr>
              <w:ind w:left="0" w:firstLine="0"/>
              <w:jc w:val="center"/>
              <w:rPr>
                <w:rFonts w:eastAsia="WEPBYN+TimesNewRoman"/>
                <w:szCs w:val="22"/>
              </w:rPr>
            </w:pPr>
          </w:p>
        </w:tc>
      </w:tr>
      <w:tr w:rsidR="004A5134" w:rsidRPr="00DB0DC3" w14:paraId="29D5028A" w14:textId="77777777" w:rsidTr="00DF167D">
        <w:trPr>
          <w:trHeight w:hRule="exact" w:val="861"/>
        </w:trPr>
        <w:tc>
          <w:tcPr>
            <w:tcW w:w="2127" w:type="dxa"/>
            <w:tcBorders>
              <w:top w:val="single" w:sz="5" w:space="0" w:color="auto"/>
              <w:left w:val="single" w:sz="5" w:space="0" w:color="auto"/>
              <w:bottom w:val="single" w:sz="5" w:space="0" w:color="auto"/>
              <w:right w:val="single" w:sz="5" w:space="0" w:color="auto"/>
            </w:tcBorders>
          </w:tcPr>
          <w:p w14:paraId="69CCA765" w14:textId="77777777" w:rsidR="004A5134" w:rsidRPr="00F30A64" w:rsidRDefault="004A5134" w:rsidP="00B52E08">
            <w:pPr>
              <w:ind w:left="0" w:firstLine="0"/>
              <w:jc w:val="both"/>
              <w:rPr>
                <w:rFonts w:eastAsia="WEPBYN+TimesNewRoman"/>
                <w:b/>
                <w:szCs w:val="22"/>
              </w:rPr>
            </w:pPr>
            <w:r w:rsidRPr="00F30A64">
              <w:rPr>
                <w:b/>
                <w:noProof/>
              </w:rPr>
              <w:t>Poruchy kože a podkožného tkaniva</w:t>
            </w:r>
          </w:p>
        </w:tc>
        <w:tc>
          <w:tcPr>
            <w:tcW w:w="1842" w:type="dxa"/>
            <w:tcBorders>
              <w:top w:val="single" w:sz="5" w:space="0" w:color="auto"/>
              <w:left w:val="single" w:sz="5" w:space="0" w:color="auto"/>
              <w:bottom w:val="single" w:sz="5" w:space="0" w:color="auto"/>
              <w:right w:val="single" w:sz="5" w:space="0" w:color="auto"/>
            </w:tcBorders>
          </w:tcPr>
          <w:p w14:paraId="6B3EAAC0" w14:textId="77777777" w:rsidR="004A5134" w:rsidRPr="00DB0DC3" w:rsidRDefault="004A5134" w:rsidP="00DF167D">
            <w:pPr>
              <w:ind w:left="0" w:firstLine="0"/>
              <w:jc w:val="center"/>
              <w:rPr>
                <w:rFonts w:eastAsia="WEPBYN+TimesNewRoman"/>
                <w:szCs w:val="22"/>
              </w:rPr>
            </w:pPr>
          </w:p>
        </w:tc>
        <w:tc>
          <w:tcPr>
            <w:tcW w:w="1985" w:type="dxa"/>
            <w:tcBorders>
              <w:top w:val="single" w:sz="5" w:space="0" w:color="auto"/>
              <w:left w:val="single" w:sz="5" w:space="0" w:color="auto"/>
              <w:bottom w:val="single" w:sz="5" w:space="0" w:color="auto"/>
              <w:right w:val="single" w:sz="5" w:space="0" w:color="auto"/>
            </w:tcBorders>
          </w:tcPr>
          <w:p w14:paraId="5E297884" w14:textId="77777777" w:rsidR="004A5134" w:rsidRDefault="004A5134" w:rsidP="00DF167D">
            <w:pPr>
              <w:ind w:left="0" w:firstLine="0"/>
              <w:jc w:val="center"/>
              <w:rPr>
                <w:rFonts w:eastAsia="WEPBYN+TimesNewRoman"/>
                <w:szCs w:val="22"/>
              </w:rPr>
            </w:pPr>
            <w:r w:rsidRPr="00DB0DC3">
              <w:rPr>
                <w:rFonts w:eastAsia="WEPBYN+TimesNewRoman"/>
                <w:szCs w:val="22"/>
              </w:rPr>
              <w:t>Žihľavka</w:t>
            </w:r>
            <w:r w:rsidR="00DF167D">
              <w:rPr>
                <w:rFonts w:eastAsia="WEPBYN+TimesNewRoman"/>
                <w:szCs w:val="22"/>
              </w:rPr>
              <w:t>,</w:t>
            </w:r>
          </w:p>
          <w:p w14:paraId="78014807" w14:textId="77777777" w:rsidR="00DF167D" w:rsidRPr="00DB0DC3" w:rsidRDefault="00DF167D" w:rsidP="00DF167D">
            <w:pPr>
              <w:ind w:left="0" w:firstLine="0"/>
              <w:jc w:val="center"/>
              <w:rPr>
                <w:rFonts w:eastAsia="WEPBYN+TimesNewRoman"/>
                <w:szCs w:val="22"/>
              </w:rPr>
            </w:pPr>
            <w:r>
              <w:rPr>
                <w:rFonts w:eastAsia="WEPBYN+TimesNewRoman"/>
                <w:szCs w:val="22"/>
              </w:rPr>
              <w:t>vyrážka</w:t>
            </w:r>
          </w:p>
        </w:tc>
        <w:tc>
          <w:tcPr>
            <w:tcW w:w="1843" w:type="dxa"/>
            <w:tcBorders>
              <w:top w:val="single" w:sz="5" w:space="0" w:color="auto"/>
              <w:left w:val="single" w:sz="5" w:space="0" w:color="auto"/>
              <w:bottom w:val="single" w:sz="5" w:space="0" w:color="auto"/>
              <w:right w:val="single" w:sz="5" w:space="0" w:color="auto"/>
            </w:tcBorders>
          </w:tcPr>
          <w:p w14:paraId="643519D8" w14:textId="77777777" w:rsidR="004A5134" w:rsidRDefault="004A5134" w:rsidP="00DF167D">
            <w:pPr>
              <w:ind w:left="0" w:firstLine="0"/>
              <w:jc w:val="center"/>
              <w:rPr>
                <w:rFonts w:eastAsia="WEPBYN+TimesNewRoman"/>
                <w:szCs w:val="22"/>
              </w:rPr>
            </w:pPr>
            <w:r w:rsidRPr="00DB0DC3">
              <w:rPr>
                <w:rFonts w:eastAsia="WEPBYN+TimesNewRoman"/>
                <w:szCs w:val="22"/>
              </w:rPr>
              <w:t>Erythema nodosum</w:t>
            </w:r>
            <w:r w:rsidR="00DF167D">
              <w:rPr>
                <w:rFonts w:eastAsia="WEPBYN+TimesNewRoman"/>
                <w:szCs w:val="22"/>
              </w:rPr>
              <w:t>,</w:t>
            </w:r>
          </w:p>
          <w:p w14:paraId="642D637C" w14:textId="77777777" w:rsidR="00DF167D" w:rsidRPr="00DB0DC3" w:rsidRDefault="00DF167D" w:rsidP="00DF167D">
            <w:pPr>
              <w:ind w:left="0" w:firstLine="0"/>
              <w:jc w:val="center"/>
              <w:rPr>
                <w:rFonts w:eastAsia="WEPBYN+TimesNewRoman"/>
                <w:szCs w:val="22"/>
              </w:rPr>
            </w:pPr>
            <w:r>
              <w:rPr>
                <w:rFonts w:eastAsia="WEPBYN+TimesNewRoman"/>
                <w:szCs w:val="22"/>
              </w:rPr>
              <w:t>Erythema multiforme</w:t>
            </w:r>
          </w:p>
        </w:tc>
        <w:tc>
          <w:tcPr>
            <w:tcW w:w="1701" w:type="dxa"/>
            <w:tcBorders>
              <w:top w:val="single" w:sz="5" w:space="0" w:color="auto"/>
              <w:left w:val="single" w:sz="5" w:space="0" w:color="auto"/>
              <w:bottom w:val="single" w:sz="5" w:space="0" w:color="auto"/>
              <w:right w:val="single" w:sz="5" w:space="0" w:color="auto"/>
            </w:tcBorders>
          </w:tcPr>
          <w:p w14:paraId="3C4E7B17" w14:textId="77777777" w:rsidR="004A5134" w:rsidRPr="00DB0DC3" w:rsidRDefault="004A5134" w:rsidP="00DF167D">
            <w:pPr>
              <w:ind w:left="0" w:firstLine="0"/>
              <w:jc w:val="center"/>
              <w:rPr>
                <w:rFonts w:eastAsia="WEPBYN+TimesNewRoman"/>
                <w:szCs w:val="22"/>
              </w:rPr>
            </w:pPr>
          </w:p>
        </w:tc>
      </w:tr>
      <w:tr w:rsidR="004A5134" w:rsidRPr="00DB0DC3" w14:paraId="47F00F78" w14:textId="77777777" w:rsidTr="00B52E08">
        <w:trPr>
          <w:trHeight w:hRule="exact" w:val="720"/>
        </w:trPr>
        <w:tc>
          <w:tcPr>
            <w:tcW w:w="2127" w:type="dxa"/>
            <w:tcBorders>
              <w:top w:val="single" w:sz="5" w:space="0" w:color="auto"/>
              <w:left w:val="single" w:sz="5" w:space="0" w:color="auto"/>
              <w:bottom w:val="single" w:sz="5" w:space="0" w:color="auto"/>
              <w:right w:val="single" w:sz="5" w:space="0" w:color="auto"/>
            </w:tcBorders>
          </w:tcPr>
          <w:p w14:paraId="6BCF3229" w14:textId="77777777" w:rsidR="004A5134" w:rsidRPr="00F30A64" w:rsidRDefault="004A5134" w:rsidP="00B52E08">
            <w:pPr>
              <w:ind w:left="0" w:firstLine="0"/>
              <w:jc w:val="both"/>
              <w:rPr>
                <w:rFonts w:eastAsia="WEPBYN+TimesNewRoman"/>
                <w:b/>
                <w:szCs w:val="22"/>
              </w:rPr>
            </w:pPr>
            <w:r w:rsidRPr="00F30A64">
              <w:rPr>
                <w:rFonts w:eastAsia="WEPBYN+TimesNewRoman"/>
                <w:b/>
                <w:szCs w:val="22"/>
              </w:rPr>
              <w:t>Poruchy metabolizmu a výživy</w:t>
            </w:r>
          </w:p>
        </w:tc>
        <w:tc>
          <w:tcPr>
            <w:tcW w:w="1842" w:type="dxa"/>
            <w:tcBorders>
              <w:top w:val="single" w:sz="5" w:space="0" w:color="auto"/>
              <w:left w:val="single" w:sz="5" w:space="0" w:color="auto"/>
              <w:bottom w:val="single" w:sz="5" w:space="0" w:color="auto"/>
              <w:right w:val="single" w:sz="5" w:space="0" w:color="auto"/>
            </w:tcBorders>
          </w:tcPr>
          <w:p w14:paraId="06C43A6C" w14:textId="77777777" w:rsidR="004A5134" w:rsidRPr="00DB0DC3" w:rsidRDefault="004A5134" w:rsidP="00DF167D">
            <w:pPr>
              <w:ind w:left="0" w:firstLine="0"/>
              <w:jc w:val="center"/>
              <w:rPr>
                <w:rFonts w:eastAsia="WEPBYN+TimesNewRoman"/>
                <w:szCs w:val="22"/>
              </w:rPr>
            </w:pPr>
          </w:p>
        </w:tc>
        <w:tc>
          <w:tcPr>
            <w:tcW w:w="1985" w:type="dxa"/>
            <w:tcBorders>
              <w:top w:val="single" w:sz="5" w:space="0" w:color="auto"/>
              <w:left w:val="single" w:sz="5" w:space="0" w:color="auto"/>
              <w:bottom w:val="single" w:sz="5" w:space="0" w:color="auto"/>
              <w:right w:val="single" w:sz="5" w:space="0" w:color="auto"/>
            </w:tcBorders>
          </w:tcPr>
          <w:p w14:paraId="3101E786" w14:textId="77777777" w:rsidR="004A5134" w:rsidRPr="00DB0DC3" w:rsidRDefault="00C966D8" w:rsidP="00C966D8">
            <w:pPr>
              <w:ind w:left="0" w:firstLine="0"/>
              <w:jc w:val="center"/>
              <w:rPr>
                <w:rFonts w:eastAsia="WEPBYN+TimesNewRoman"/>
                <w:szCs w:val="22"/>
              </w:rPr>
            </w:pPr>
            <w:r>
              <w:rPr>
                <w:rFonts w:eastAsia="WEPBYN+TimesNewRoman"/>
                <w:szCs w:val="22"/>
              </w:rPr>
              <w:t>Z</w:t>
            </w:r>
            <w:r w:rsidR="004A5134" w:rsidRPr="00DB0DC3">
              <w:rPr>
                <w:rFonts w:eastAsia="WEPBYN+TimesNewRoman"/>
                <w:szCs w:val="22"/>
              </w:rPr>
              <w:t>adržiavanie tekutín</w:t>
            </w:r>
          </w:p>
        </w:tc>
        <w:tc>
          <w:tcPr>
            <w:tcW w:w="1843" w:type="dxa"/>
            <w:tcBorders>
              <w:top w:val="single" w:sz="5" w:space="0" w:color="auto"/>
              <w:left w:val="single" w:sz="5" w:space="0" w:color="auto"/>
              <w:bottom w:val="single" w:sz="5" w:space="0" w:color="auto"/>
              <w:right w:val="single" w:sz="5" w:space="0" w:color="auto"/>
            </w:tcBorders>
          </w:tcPr>
          <w:p w14:paraId="311BD28D" w14:textId="77777777" w:rsidR="004A5134" w:rsidRPr="00DB0DC3" w:rsidRDefault="004A5134" w:rsidP="00DF167D">
            <w:pPr>
              <w:ind w:left="0" w:firstLine="0"/>
              <w:jc w:val="center"/>
              <w:rPr>
                <w:rFonts w:eastAsia="WEPBYN+TimesNewRoman"/>
                <w:szCs w:val="22"/>
              </w:rPr>
            </w:pPr>
          </w:p>
        </w:tc>
        <w:tc>
          <w:tcPr>
            <w:tcW w:w="1701" w:type="dxa"/>
            <w:tcBorders>
              <w:top w:val="single" w:sz="5" w:space="0" w:color="auto"/>
              <w:left w:val="single" w:sz="5" w:space="0" w:color="auto"/>
              <w:bottom w:val="single" w:sz="5" w:space="0" w:color="auto"/>
              <w:right w:val="single" w:sz="5" w:space="0" w:color="auto"/>
            </w:tcBorders>
          </w:tcPr>
          <w:p w14:paraId="13694105" w14:textId="77777777" w:rsidR="004A5134" w:rsidRPr="00DB0DC3" w:rsidRDefault="004A5134" w:rsidP="00DF167D">
            <w:pPr>
              <w:ind w:left="0" w:firstLine="0"/>
              <w:jc w:val="center"/>
              <w:rPr>
                <w:rFonts w:eastAsia="WEPBYN+TimesNewRoman"/>
                <w:szCs w:val="22"/>
              </w:rPr>
            </w:pPr>
          </w:p>
        </w:tc>
      </w:tr>
      <w:tr w:rsidR="004A5134" w:rsidRPr="00DB0DC3" w14:paraId="1EDAB7C4" w14:textId="77777777" w:rsidTr="00B52E08">
        <w:trPr>
          <w:trHeight w:hRule="exact" w:val="727"/>
        </w:trPr>
        <w:tc>
          <w:tcPr>
            <w:tcW w:w="2127" w:type="dxa"/>
            <w:tcBorders>
              <w:top w:val="single" w:sz="5" w:space="0" w:color="auto"/>
              <w:left w:val="single" w:sz="5" w:space="0" w:color="auto"/>
              <w:bottom w:val="single" w:sz="5" w:space="0" w:color="auto"/>
              <w:right w:val="single" w:sz="5" w:space="0" w:color="auto"/>
            </w:tcBorders>
          </w:tcPr>
          <w:p w14:paraId="5F8E4057" w14:textId="77777777" w:rsidR="004A5134" w:rsidRPr="00F30A64" w:rsidRDefault="004A5134" w:rsidP="00B52E08">
            <w:pPr>
              <w:ind w:left="0" w:firstLine="0"/>
              <w:jc w:val="both"/>
              <w:rPr>
                <w:rFonts w:eastAsia="WEPBYN+TimesNewRoman"/>
                <w:b/>
                <w:szCs w:val="22"/>
              </w:rPr>
            </w:pPr>
            <w:r w:rsidRPr="00F30A64">
              <w:rPr>
                <w:rFonts w:eastAsia="WEPBYN+TimesNewRoman"/>
                <w:b/>
                <w:szCs w:val="22"/>
              </w:rPr>
              <w:t>Poruchy imunitného systému</w:t>
            </w:r>
          </w:p>
        </w:tc>
        <w:tc>
          <w:tcPr>
            <w:tcW w:w="1842" w:type="dxa"/>
            <w:tcBorders>
              <w:top w:val="single" w:sz="5" w:space="0" w:color="auto"/>
              <w:left w:val="single" w:sz="5" w:space="0" w:color="auto"/>
              <w:bottom w:val="single" w:sz="5" w:space="0" w:color="auto"/>
              <w:right w:val="single" w:sz="5" w:space="0" w:color="auto"/>
            </w:tcBorders>
          </w:tcPr>
          <w:p w14:paraId="6F4729F6" w14:textId="77777777" w:rsidR="004A5134" w:rsidRPr="00DB0DC3" w:rsidRDefault="004A5134" w:rsidP="00DF167D">
            <w:pPr>
              <w:ind w:left="0" w:firstLine="0"/>
              <w:jc w:val="center"/>
              <w:rPr>
                <w:rFonts w:eastAsia="WEPBYN+TimesNewRoman"/>
                <w:szCs w:val="22"/>
              </w:rPr>
            </w:pPr>
          </w:p>
        </w:tc>
        <w:tc>
          <w:tcPr>
            <w:tcW w:w="1985" w:type="dxa"/>
            <w:tcBorders>
              <w:top w:val="single" w:sz="5" w:space="0" w:color="auto"/>
              <w:left w:val="single" w:sz="5" w:space="0" w:color="auto"/>
              <w:bottom w:val="single" w:sz="5" w:space="0" w:color="auto"/>
              <w:right w:val="single" w:sz="5" w:space="0" w:color="auto"/>
            </w:tcBorders>
          </w:tcPr>
          <w:p w14:paraId="1821B2D6" w14:textId="77777777" w:rsidR="004A5134" w:rsidRPr="00DB0DC3" w:rsidRDefault="004A5134" w:rsidP="00DF167D">
            <w:pPr>
              <w:ind w:left="0" w:firstLine="0"/>
              <w:jc w:val="center"/>
              <w:rPr>
                <w:rFonts w:eastAsia="WEPBYN+TimesNewRoman"/>
                <w:szCs w:val="22"/>
              </w:rPr>
            </w:pPr>
          </w:p>
        </w:tc>
        <w:tc>
          <w:tcPr>
            <w:tcW w:w="1843" w:type="dxa"/>
            <w:tcBorders>
              <w:top w:val="single" w:sz="5" w:space="0" w:color="auto"/>
              <w:left w:val="single" w:sz="5" w:space="0" w:color="auto"/>
              <w:bottom w:val="single" w:sz="5" w:space="0" w:color="auto"/>
              <w:right w:val="single" w:sz="5" w:space="0" w:color="auto"/>
            </w:tcBorders>
          </w:tcPr>
          <w:p w14:paraId="5FD687F1" w14:textId="77777777" w:rsidR="004A5134" w:rsidRPr="00DB0DC3" w:rsidRDefault="004A5134" w:rsidP="00DF167D">
            <w:pPr>
              <w:ind w:left="0" w:firstLine="0"/>
              <w:jc w:val="center"/>
              <w:rPr>
                <w:rFonts w:eastAsia="WEPBYN+TimesNewRoman"/>
                <w:szCs w:val="22"/>
              </w:rPr>
            </w:pPr>
            <w:r w:rsidRPr="00DB0DC3">
              <w:rPr>
                <w:rFonts w:eastAsia="WEPBYN+TimesNewRoman"/>
                <w:szCs w:val="22"/>
              </w:rPr>
              <w:t>Precitlivenosť</w:t>
            </w:r>
          </w:p>
        </w:tc>
        <w:tc>
          <w:tcPr>
            <w:tcW w:w="1701" w:type="dxa"/>
            <w:tcBorders>
              <w:top w:val="single" w:sz="5" w:space="0" w:color="auto"/>
              <w:left w:val="single" w:sz="5" w:space="0" w:color="auto"/>
              <w:bottom w:val="single" w:sz="5" w:space="0" w:color="auto"/>
              <w:right w:val="single" w:sz="5" w:space="0" w:color="auto"/>
            </w:tcBorders>
          </w:tcPr>
          <w:p w14:paraId="442A1E57" w14:textId="77777777" w:rsidR="004A5134" w:rsidRPr="00DB0DC3" w:rsidRDefault="004A5134" w:rsidP="00DF167D">
            <w:pPr>
              <w:ind w:left="0" w:firstLine="0"/>
              <w:jc w:val="center"/>
              <w:rPr>
                <w:rFonts w:eastAsia="WEPBYN+TimesNewRoman"/>
                <w:szCs w:val="22"/>
              </w:rPr>
            </w:pPr>
          </w:p>
        </w:tc>
      </w:tr>
      <w:tr w:rsidR="004A5134" w:rsidRPr="00DB0DC3" w14:paraId="5099CCD5" w14:textId="77777777" w:rsidTr="00DF167D">
        <w:trPr>
          <w:trHeight w:hRule="exact" w:val="919"/>
        </w:trPr>
        <w:tc>
          <w:tcPr>
            <w:tcW w:w="2127" w:type="dxa"/>
            <w:tcBorders>
              <w:top w:val="single" w:sz="5" w:space="0" w:color="auto"/>
              <w:left w:val="single" w:sz="5" w:space="0" w:color="auto"/>
              <w:bottom w:val="single" w:sz="5" w:space="0" w:color="auto"/>
              <w:right w:val="single" w:sz="5" w:space="0" w:color="auto"/>
            </w:tcBorders>
          </w:tcPr>
          <w:p w14:paraId="47C88A9B" w14:textId="77777777" w:rsidR="004A5134" w:rsidRDefault="004A5134" w:rsidP="00B52E08">
            <w:pPr>
              <w:ind w:left="0" w:firstLine="0"/>
              <w:jc w:val="both"/>
              <w:rPr>
                <w:b/>
                <w:noProof/>
              </w:rPr>
            </w:pPr>
            <w:r w:rsidRPr="00F30A64">
              <w:rPr>
                <w:b/>
                <w:noProof/>
              </w:rPr>
              <w:t>Poruchy reprodukčného systému a</w:t>
            </w:r>
            <w:r>
              <w:rPr>
                <w:b/>
                <w:noProof/>
              </w:rPr>
              <w:t> </w:t>
            </w:r>
            <w:r w:rsidRPr="00F30A64">
              <w:rPr>
                <w:b/>
                <w:noProof/>
              </w:rPr>
              <w:t>prsníkov</w:t>
            </w:r>
          </w:p>
          <w:p w14:paraId="737A432F" w14:textId="77777777" w:rsidR="004A5134" w:rsidRDefault="004A5134" w:rsidP="00B52E08">
            <w:pPr>
              <w:ind w:left="0" w:firstLine="0"/>
              <w:jc w:val="both"/>
              <w:rPr>
                <w:b/>
                <w:noProof/>
              </w:rPr>
            </w:pPr>
          </w:p>
          <w:p w14:paraId="34704AFA" w14:textId="77777777" w:rsidR="004A5134" w:rsidRPr="00F30A64" w:rsidRDefault="004A5134" w:rsidP="00B52E08">
            <w:pPr>
              <w:ind w:left="0" w:firstLine="0"/>
              <w:jc w:val="both"/>
              <w:rPr>
                <w:rFonts w:eastAsia="WEPBYN+TimesNewRoman"/>
                <w:b/>
                <w:szCs w:val="22"/>
              </w:rPr>
            </w:pPr>
          </w:p>
        </w:tc>
        <w:tc>
          <w:tcPr>
            <w:tcW w:w="1842" w:type="dxa"/>
            <w:tcBorders>
              <w:top w:val="single" w:sz="5" w:space="0" w:color="auto"/>
              <w:left w:val="single" w:sz="5" w:space="0" w:color="auto"/>
              <w:bottom w:val="single" w:sz="5" w:space="0" w:color="auto"/>
              <w:right w:val="single" w:sz="5" w:space="0" w:color="auto"/>
            </w:tcBorders>
          </w:tcPr>
          <w:p w14:paraId="52F917AF" w14:textId="77777777" w:rsidR="004A5134" w:rsidRPr="00DB0DC3" w:rsidRDefault="004A5134" w:rsidP="00DF167D">
            <w:pPr>
              <w:ind w:left="0" w:firstLine="0"/>
              <w:jc w:val="center"/>
              <w:rPr>
                <w:rFonts w:eastAsia="WEPBYN+TimesNewRoman"/>
                <w:szCs w:val="22"/>
              </w:rPr>
            </w:pPr>
            <w:r w:rsidRPr="00DB0DC3">
              <w:rPr>
                <w:rFonts w:eastAsia="WEPBYN+TimesNewRoman"/>
                <w:szCs w:val="22"/>
              </w:rPr>
              <w:t>Bolesť prsníkov, citlivosť prsníkov</w:t>
            </w:r>
          </w:p>
        </w:tc>
        <w:tc>
          <w:tcPr>
            <w:tcW w:w="1985" w:type="dxa"/>
            <w:tcBorders>
              <w:top w:val="single" w:sz="5" w:space="0" w:color="auto"/>
              <w:left w:val="single" w:sz="5" w:space="0" w:color="auto"/>
              <w:bottom w:val="single" w:sz="5" w:space="0" w:color="auto"/>
              <w:right w:val="single" w:sz="5" w:space="0" w:color="auto"/>
            </w:tcBorders>
          </w:tcPr>
          <w:p w14:paraId="390E7DA0" w14:textId="77777777" w:rsidR="004A5134" w:rsidRPr="00DB0DC3" w:rsidRDefault="004A5134" w:rsidP="00DF167D">
            <w:pPr>
              <w:ind w:left="0" w:firstLine="0"/>
              <w:jc w:val="center"/>
              <w:rPr>
                <w:rFonts w:eastAsia="WEPBYN+TimesNewRoman"/>
                <w:szCs w:val="22"/>
              </w:rPr>
            </w:pPr>
            <w:r w:rsidRPr="00DB0DC3">
              <w:rPr>
                <w:rFonts w:eastAsia="WEPBYN+TimesNewRoman"/>
                <w:szCs w:val="22"/>
              </w:rPr>
              <w:t>Zväčšenie prsníkov</w:t>
            </w:r>
          </w:p>
        </w:tc>
        <w:tc>
          <w:tcPr>
            <w:tcW w:w="1843" w:type="dxa"/>
            <w:tcBorders>
              <w:top w:val="single" w:sz="5" w:space="0" w:color="auto"/>
              <w:left w:val="single" w:sz="5" w:space="0" w:color="auto"/>
              <w:bottom w:val="single" w:sz="5" w:space="0" w:color="auto"/>
              <w:right w:val="single" w:sz="5" w:space="0" w:color="auto"/>
            </w:tcBorders>
          </w:tcPr>
          <w:p w14:paraId="7BF62FEC" w14:textId="77777777" w:rsidR="004A5134" w:rsidRPr="00DB0DC3" w:rsidRDefault="004A5134" w:rsidP="00DF167D">
            <w:pPr>
              <w:ind w:left="0" w:firstLine="0"/>
              <w:jc w:val="center"/>
              <w:rPr>
                <w:rFonts w:eastAsia="WEPBYN+TimesNewRoman"/>
                <w:szCs w:val="22"/>
              </w:rPr>
            </w:pPr>
            <w:r w:rsidRPr="00DB0DC3">
              <w:rPr>
                <w:rFonts w:eastAsia="WEPBYN+TimesNewRoman"/>
                <w:szCs w:val="22"/>
              </w:rPr>
              <w:t>Vaginálna sekrécia Výtok z prsníkov</w:t>
            </w:r>
          </w:p>
        </w:tc>
        <w:tc>
          <w:tcPr>
            <w:tcW w:w="1701" w:type="dxa"/>
            <w:tcBorders>
              <w:top w:val="single" w:sz="5" w:space="0" w:color="auto"/>
              <w:left w:val="single" w:sz="5" w:space="0" w:color="auto"/>
              <w:bottom w:val="single" w:sz="5" w:space="0" w:color="auto"/>
              <w:right w:val="single" w:sz="5" w:space="0" w:color="auto"/>
            </w:tcBorders>
          </w:tcPr>
          <w:p w14:paraId="2E9977E8" w14:textId="77777777" w:rsidR="004A5134" w:rsidRPr="00DB0DC3" w:rsidRDefault="004A5134" w:rsidP="00DF167D">
            <w:pPr>
              <w:ind w:left="0" w:firstLine="0"/>
              <w:jc w:val="center"/>
              <w:rPr>
                <w:rFonts w:eastAsia="WEPBYN+TimesNewRoman"/>
                <w:szCs w:val="22"/>
              </w:rPr>
            </w:pPr>
          </w:p>
        </w:tc>
      </w:tr>
      <w:tr w:rsidR="004A5134" w:rsidRPr="00DB0DC3" w14:paraId="331252F1" w14:textId="77777777" w:rsidTr="00AE6D9C">
        <w:trPr>
          <w:trHeight w:hRule="exact" w:val="877"/>
        </w:trPr>
        <w:tc>
          <w:tcPr>
            <w:tcW w:w="2127" w:type="dxa"/>
            <w:tcBorders>
              <w:top w:val="single" w:sz="5" w:space="0" w:color="auto"/>
              <w:left w:val="single" w:sz="5" w:space="0" w:color="auto"/>
              <w:bottom w:val="single" w:sz="5" w:space="0" w:color="auto"/>
              <w:right w:val="single" w:sz="5" w:space="0" w:color="auto"/>
            </w:tcBorders>
          </w:tcPr>
          <w:p w14:paraId="3753E125" w14:textId="77777777" w:rsidR="004A5134" w:rsidRPr="00F30A64" w:rsidRDefault="004A5134" w:rsidP="00B52E08">
            <w:pPr>
              <w:jc w:val="both"/>
              <w:rPr>
                <w:rFonts w:eastAsia="WEPBYN+TimesNewRoman"/>
                <w:b/>
                <w:szCs w:val="22"/>
              </w:rPr>
            </w:pPr>
            <w:r w:rsidRPr="00F30A64">
              <w:rPr>
                <w:rFonts w:eastAsia="WEPBYN+TimesNewRoman"/>
                <w:b/>
                <w:szCs w:val="22"/>
              </w:rPr>
              <w:t>Psychické poruchy</w:t>
            </w:r>
          </w:p>
        </w:tc>
        <w:tc>
          <w:tcPr>
            <w:tcW w:w="1842" w:type="dxa"/>
            <w:tcBorders>
              <w:top w:val="single" w:sz="5" w:space="0" w:color="auto"/>
              <w:left w:val="single" w:sz="5" w:space="0" w:color="auto"/>
              <w:bottom w:val="single" w:sz="5" w:space="0" w:color="auto"/>
              <w:right w:val="single" w:sz="5" w:space="0" w:color="auto"/>
            </w:tcBorders>
          </w:tcPr>
          <w:p w14:paraId="27F11326" w14:textId="77777777" w:rsidR="004A5134" w:rsidRPr="00DB0DC3" w:rsidRDefault="004A5134" w:rsidP="00DF167D">
            <w:pPr>
              <w:ind w:left="0" w:firstLine="0"/>
              <w:jc w:val="center"/>
              <w:rPr>
                <w:rFonts w:eastAsia="WEPBYN+TimesNewRoman"/>
                <w:szCs w:val="22"/>
              </w:rPr>
            </w:pPr>
            <w:r w:rsidRPr="00DB0DC3">
              <w:rPr>
                <w:rFonts w:eastAsia="WEPBYN+TimesNewRoman"/>
                <w:szCs w:val="22"/>
              </w:rPr>
              <w:t>Depres</w:t>
            </w:r>
            <w:r w:rsidR="00AE6D9C">
              <w:rPr>
                <w:rFonts w:eastAsia="WEPBYN+TimesNewRoman"/>
                <w:szCs w:val="22"/>
              </w:rPr>
              <w:t>ívna nálada</w:t>
            </w:r>
            <w:r w:rsidRPr="00DB0DC3">
              <w:rPr>
                <w:rFonts w:eastAsia="WEPBYN+TimesNewRoman"/>
                <w:szCs w:val="22"/>
              </w:rPr>
              <w:t>, zmeny nálady</w:t>
            </w:r>
          </w:p>
        </w:tc>
        <w:tc>
          <w:tcPr>
            <w:tcW w:w="1985" w:type="dxa"/>
            <w:tcBorders>
              <w:top w:val="single" w:sz="5" w:space="0" w:color="auto"/>
              <w:left w:val="single" w:sz="5" w:space="0" w:color="auto"/>
              <w:bottom w:val="single" w:sz="5" w:space="0" w:color="auto"/>
              <w:right w:val="single" w:sz="5" w:space="0" w:color="auto"/>
            </w:tcBorders>
          </w:tcPr>
          <w:p w14:paraId="66784FF3" w14:textId="77777777" w:rsidR="004A5134" w:rsidRPr="00DB0DC3" w:rsidRDefault="004A5134" w:rsidP="00DF167D">
            <w:pPr>
              <w:ind w:left="0" w:firstLine="0"/>
              <w:jc w:val="center"/>
              <w:rPr>
                <w:rFonts w:eastAsia="WEPBYN+TimesNewRoman"/>
                <w:szCs w:val="22"/>
              </w:rPr>
            </w:pPr>
            <w:r w:rsidRPr="00DB0DC3">
              <w:rPr>
                <w:rFonts w:eastAsia="WEPBYN+TimesNewRoman"/>
                <w:szCs w:val="22"/>
              </w:rPr>
              <w:t>Znížené libido</w:t>
            </w:r>
          </w:p>
        </w:tc>
        <w:tc>
          <w:tcPr>
            <w:tcW w:w="1843" w:type="dxa"/>
            <w:tcBorders>
              <w:top w:val="single" w:sz="5" w:space="0" w:color="auto"/>
              <w:left w:val="single" w:sz="5" w:space="0" w:color="auto"/>
              <w:bottom w:val="single" w:sz="5" w:space="0" w:color="auto"/>
              <w:right w:val="single" w:sz="5" w:space="0" w:color="auto"/>
            </w:tcBorders>
          </w:tcPr>
          <w:p w14:paraId="30A0117E" w14:textId="77777777" w:rsidR="004A5134" w:rsidRPr="00DB0DC3" w:rsidRDefault="004A5134" w:rsidP="00DF167D">
            <w:pPr>
              <w:ind w:left="0" w:firstLine="0"/>
              <w:jc w:val="center"/>
              <w:rPr>
                <w:rFonts w:eastAsia="WEPBYN+TimesNewRoman"/>
                <w:szCs w:val="22"/>
              </w:rPr>
            </w:pPr>
            <w:r w:rsidRPr="00DB0DC3">
              <w:rPr>
                <w:rFonts w:eastAsia="WEPBYN+TimesNewRoman"/>
                <w:szCs w:val="22"/>
              </w:rPr>
              <w:t>Zvýšené libido</w:t>
            </w:r>
          </w:p>
        </w:tc>
        <w:tc>
          <w:tcPr>
            <w:tcW w:w="1701" w:type="dxa"/>
            <w:tcBorders>
              <w:top w:val="single" w:sz="5" w:space="0" w:color="auto"/>
              <w:left w:val="single" w:sz="5" w:space="0" w:color="auto"/>
              <w:bottom w:val="single" w:sz="5" w:space="0" w:color="auto"/>
              <w:right w:val="single" w:sz="5" w:space="0" w:color="auto"/>
            </w:tcBorders>
          </w:tcPr>
          <w:p w14:paraId="07CBDE0D" w14:textId="77777777" w:rsidR="004A5134" w:rsidRPr="00DB0DC3" w:rsidRDefault="004A5134" w:rsidP="00DF167D">
            <w:pPr>
              <w:ind w:left="0" w:firstLine="0"/>
              <w:jc w:val="center"/>
              <w:rPr>
                <w:rFonts w:eastAsia="WEPBYN+TimesNewRoman"/>
                <w:szCs w:val="22"/>
              </w:rPr>
            </w:pPr>
          </w:p>
        </w:tc>
      </w:tr>
      <w:tr w:rsidR="004A5134" w:rsidRPr="00DB0DC3" w14:paraId="06535714" w14:textId="77777777" w:rsidTr="00B52E08">
        <w:trPr>
          <w:trHeight w:hRule="exact" w:val="560"/>
        </w:trPr>
        <w:tc>
          <w:tcPr>
            <w:tcW w:w="2127" w:type="dxa"/>
            <w:tcBorders>
              <w:top w:val="single" w:sz="5" w:space="0" w:color="auto"/>
              <w:left w:val="single" w:sz="5" w:space="0" w:color="auto"/>
              <w:bottom w:val="single" w:sz="5" w:space="0" w:color="auto"/>
              <w:right w:val="single" w:sz="5" w:space="0" w:color="auto"/>
            </w:tcBorders>
          </w:tcPr>
          <w:p w14:paraId="6104C68F" w14:textId="77777777" w:rsidR="004A5134" w:rsidRPr="00F30A64" w:rsidRDefault="004A5134" w:rsidP="00B52E08">
            <w:pPr>
              <w:jc w:val="both"/>
              <w:rPr>
                <w:rFonts w:eastAsia="WEPBYN+TimesNewRoman"/>
                <w:b/>
                <w:szCs w:val="22"/>
              </w:rPr>
            </w:pPr>
            <w:r w:rsidRPr="00F30A64">
              <w:rPr>
                <w:rFonts w:eastAsia="WEPBYN+TimesNewRoman"/>
                <w:b/>
                <w:szCs w:val="22"/>
              </w:rPr>
              <w:t>Poruchy ciev</w:t>
            </w:r>
          </w:p>
        </w:tc>
        <w:tc>
          <w:tcPr>
            <w:tcW w:w="1842" w:type="dxa"/>
            <w:tcBorders>
              <w:top w:val="single" w:sz="5" w:space="0" w:color="auto"/>
              <w:left w:val="single" w:sz="5" w:space="0" w:color="auto"/>
              <w:bottom w:val="single" w:sz="5" w:space="0" w:color="auto"/>
              <w:right w:val="single" w:sz="5" w:space="0" w:color="auto"/>
            </w:tcBorders>
          </w:tcPr>
          <w:p w14:paraId="0F424214" w14:textId="77777777" w:rsidR="004A5134" w:rsidRPr="00DB0DC3" w:rsidRDefault="004A5134" w:rsidP="00DF167D">
            <w:pPr>
              <w:ind w:left="0" w:firstLine="0"/>
              <w:jc w:val="center"/>
              <w:rPr>
                <w:rFonts w:eastAsia="WEPBYN+TimesNewRoman"/>
                <w:szCs w:val="22"/>
              </w:rPr>
            </w:pPr>
          </w:p>
        </w:tc>
        <w:tc>
          <w:tcPr>
            <w:tcW w:w="1985" w:type="dxa"/>
            <w:tcBorders>
              <w:top w:val="single" w:sz="5" w:space="0" w:color="auto"/>
              <w:left w:val="single" w:sz="5" w:space="0" w:color="auto"/>
              <w:bottom w:val="single" w:sz="5" w:space="0" w:color="auto"/>
              <w:right w:val="single" w:sz="5" w:space="0" w:color="auto"/>
            </w:tcBorders>
          </w:tcPr>
          <w:p w14:paraId="7BEDC2D8" w14:textId="77777777" w:rsidR="004A5134" w:rsidRPr="00DB0DC3" w:rsidRDefault="004A5134" w:rsidP="00DF167D">
            <w:pPr>
              <w:ind w:left="0" w:firstLine="0"/>
              <w:jc w:val="center"/>
              <w:rPr>
                <w:rFonts w:eastAsia="WEPBYN+TimesNewRoman"/>
                <w:szCs w:val="22"/>
              </w:rPr>
            </w:pPr>
          </w:p>
        </w:tc>
        <w:tc>
          <w:tcPr>
            <w:tcW w:w="1843" w:type="dxa"/>
            <w:tcBorders>
              <w:top w:val="single" w:sz="5" w:space="0" w:color="auto"/>
              <w:left w:val="single" w:sz="5" w:space="0" w:color="auto"/>
              <w:bottom w:val="single" w:sz="5" w:space="0" w:color="auto"/>
              <w:right w:val="single" w:sz="5" w:space="0" w:color="auto"/>
            </w:tcBorders>
          </w:tcPr>
          <w:p w14:paraId="6B58C08B" w14:textId="77777777" w:rsidR="004A5134" w:rsidRPr="00DB0DC3" w:rsidRDefault="004A5134" w:rsidP="00DF167D">
            <w:pPr>
              <w:ind w:left="0" w:firstLine="0"/>
              <w:jc w:val="center"/>
              <w:rPr>
                <w:rFonts w:eastAsia="WEPBYN+TimesNewRoman"/>
                <w:szCs w:val="22"/>
              </w:rPr>
            </w:pPr>
            <w:r w:rsidRPr="00DB0DC3">
              <w:rPr>
                <w:rFonts w:eastAsia="SimSun"/>
                <w:szCs w:val="22"/>
                <w:lang w:eastAsia="en-US"/>
              </w:rPr>
              <w:t>Tromboembolizmus</w:t>
            </w:r>
          </w:p>
        </w:tc>
        <w:tc>
          <w:tcPr>
            <w:tcW w:w="1701" w:type="dxa"/>
            <w:tcBorders>
              <w:top w:val="single" w:sz="5" w:space="0" w:color="auto"/>
              <w:left w:val="single" w:sz="5" w:space="0" w:color="auto"/>
              <w:bottom w:val="single" w:sz="5" w:space="0" w:color="auto"/>
              <w:right w:val="single" w:sz="5" w:space="0" w:color="auto"/>
            </w:tcBorders>
          </w:tcPr>
          <w:p w14:paraId="46DF79E0" w14:textId="77777777" w:rsidR="004A5134" w:rsidRPr="00DB0DC3" w:rsidRDefault="004A5134" w:rsidP="00DF167D">
            <w:pPr>
              <w:ind w:left="0" w:firstLine="0"/>
              <w:jc w:val="center"/>
              <w:rPr>
                <w:rFonts w:eastAsia="SimSun"/>
                <w:szCs w:val="22"/>
                <w:lang w:eastAsia="en-US"/>
              </w:rPr>
            </w:pPr>
            <w:r>
              <w:rPr>
                <w:rFonts w:eastAsia="SimSun"/>
                <w:szCs w:val="22"/>
                <w:lang w:eastAsia="en-US"/>
              </w:rPr>
              <w:t>Zvýšený krvný tlak</w:t>
            </w:r>
          </w:p>
        </w:tc>
      </w:tr>
    </w:tbl>
    <w:p w14:paraId="46403F6E" w14:textId="77777777" w:rsidR="004A5134" w:rsidRDefault="004A5134">
      <w:pPr>
        <w:ind w:left="0" w:firstLine="0"/>
        <w:rPr>
          <w:szCs w:val="22"/>
        </w:rPr>
      </w:pPr>
    </w:p>
    <w:p w14:paraId="29CE3C66" w14:textId="77777777" w:rsidR="00DB464B" w:rsidRPr="00DB0DC3" w:rsidRDefault="00DB464B" w:rsidP="00DB464B">
      <w:pPr>
        <w:autoSpaceDE w:val="0"/>
        <w:autoSpaceDN w:val="0"/>
        <w:adjustRightInd w:val="0"/>
        <w:ind w:left="0" w:firstLine="0"/>
        <w:rPr>
          <w:color w:val="000000"/>
          <w:szCs w:val="22"/>
          <w:lang w:eastAsia="cs-CZ"/>
        </w:rPr>
      </w:pPr>
      <w:r w:rsidRPr="00DB0DC3">
        <w:rPr>
          <w:color w:val="000000"/>
          <w:szCs w:val="22"/>
          <w:lang w:eastAsia="cs-CZ"/>
        </w:rPr>
        <w:t xml:space="preserve">U žien používajúcich </w:t>
      </w:r>
      <w:r w:rsidR="002B5F74">
        <w:rPr>
          <w:color w:val="000000"/>
          <w:szCs w:val="22"/>
          <w:lang w:eastAsia="cs-CZ"/>
        </w:rPr>
        <w:t xml:space="preserve">liek </w:t>
      </w:r>
      <w:r w:rsidRPr="00DB0DC3">
        <w:rPr>
          <w:color w:val="000000"/>
          <w:szCs w:val="22"/>
          <w:lang w:eastAsia="cs-CZ"/>
        </w:rPr>
        <w:t xml:space="preserve">Vreya boli hlásené nasledujúce závažné nežiaduce </w:t>
      </w:r>
      <w:r w:rsidR="00721952">
        <w:rPr>
          <w:color w:val="000000"/>
          <w:szCs w:val="22"/>
          <w:lang w:eastAsia="cs-CZ"/>
        </w:rPr>
        <w:t>reakcie</w:t>
      </w:r>
      <w:r w:rsidRPr="00DB0DC3">
        <w:rPr>
          <w:color w:val="000000"/>
          <w:szCs w:val="22"/>
          <w:lang w:eastAsia="cs-CZ"/>
        </w:rPr>
        <w:t xml:space="preserve">, ktoré sú popísané v časti 4.4 Osobitné upozornenia a opatrenia pri používaní: </w:t>
      </w:r>
    </w:p>
    <w:p w14:paraId="67EFDBEF" w14:textId="77777777" w:rsidR="00DB464B" w:rsidRPr="00DB0DC3" w:rsidRDefault="00DB464B" w:rsidP="00DB464B">
      <w:pPr>
        <w:numPr>
          <w:ilvl w:val="0"/>
          <w:numId w:val="28"/>
        </w:numPr>
        <w:autoSpaceDE w:val="0"/>
        <w:autoSpaceDN w:val="0"/>
        <w:adjustRightInd w:val="0"/>
        <w:rPr>
          <w:color w:val="000000"/>
          <w:szCs w:val="22"/>
          <w:lang w:eastAsia="cs-CZ"/>
        </w:rPr>
      </w:pPr>
      <w:r w:rsidRPr="00DB0DC3">
        <w:rPr>
          <w:color w:val="000000"/>
          <w:szCs w:val="22"/>
          <w:lang w:eastAsia="cs-CZ"/>
        </w:rPr>
        <w:t xml:space="preserve">Venózne trombembolické </w:t>
      </w:r>
      <w:r w:rsidR="00C966D8">
        <w:rPr>
          <w:color w:val="000000"/>
          <w:szCs w:val="22"/>
          <w:lang w:eastAsia="cs-CZ"/>
        </w:rPr>
        <w:t>stavy</w:t>
      </w:r>
      <w:r w:rsidRPr="00DB0DC3">
        <w:rPr>
          <w:color w:val="000000"/>
          <w:szCs w:val="22"/>
          <w:lang w:eastAsia="cs-CZ"/>
        </w:rPr>
        <w:t xml:space="preserve"> </w:t>
      </w:r>
    </w:p>
    <w:p w14:paraId="77D55994" w14:textId="77777777" w:rsidR="00DB464B" w:rsidRPr="00DB0DC3" w:rsidRDefault="00DB464B" w:rsidP="00DB464B">
      <w:pPr>
        <w:numPr>
          <w:ilvl w:val="0"/>
          <w:numId w:val="28"/>
        </w:numPr>
        <w:autoSpaceDE w:val="0"/>
        <w:autoSpaceDN w:val="0"/>
        <w:adjustRightInd w:val="0"/>
        <w:rPr>
          <w:color w:val="000000"/>
          <w:szCs w:val="22"/>
          <w:lang w:eastAsia="cs-CZ"/>
        </w:rPr>
      </w:pPr>
      <w:r w:rsidRPr="00DB0DC3">
        <w:rPr>
          <w:color w:val="000000"/>
          <w:szCs w:val="22"/>
          <w:lang w:eastAsia="cs-CZ"/>
        </w:rPr>
        <w:t xml:space="preserve">Arteriálne trombembolické </w:t>
      </w:r>
      <w:r w:rsidR="00C966D8">
        <w:rPr>
          <w:color w:val="000000"/>
          <w:szCs w:val="22"/>
          <w:lang w:eastAsia="cs-CZ"/>
        </w:rPr>
        <w:t>stavy</w:t>
      </w:r>
      <w:r w:rsidRPr="00DB0DC3">
        <w:rPr>
          <w:color w:val="000000"/>
          <w:szCs w:val="22"/>
          <w:lang w:eastAsia="cs-CZ"/>
        </w:rPr>
        <w:t xml:space="preserve"> </w:t>
      </w:r>
    </w:p>
    <w:p w14:paraId="4EDA8956" w14:textId="77777777" w:rsidR="00DF67E8" w:rsidRDefault="00DF67E8">
      <w:pPr>
        <w:ind w:left="0" w:firstLine="0"/>
        <w:rPr>
          <w:szCs w:val="22"/>
        </w:rPr>
      </w:pPr>
    </w:p>
    <w:p w14:paraId="30D38AC6" w14:textId="77777777" w:rsidR="00487C38" w:rsidRPr="00487C38" w:rsidRDefault="00487C38" w:rsidP="00487C38">
      <w:pPr>
        <w:ind w:left="0" w:firstLine="0"/>
        <w:rPr>
          <w:szCs w:val="22"/>
        </w:rPr>
      </w:pPr>
      <w:r w:rsidRPr="00487C38">
        <w:rPr>
          <w:szCs w:val="22"/>
        </w:rPr>
        <w:t xml:space="preserve">Nasledujúce </w:t>
      </w:r>
      <w:r>
        <w:rPr>
          <w:szCs w:val="22"/>
        </w:rPr>
        <w:t xml:space="preserve">závažné </w:t>
      </w:r>
      <w:r w:rsidRPr="00487C38">
        <w:rPr>
          <w:szCs w:val="22"/>
        </w:rPr>
        <w:t xml:space="preserve">nežiaduce reakcie </w:t>
      </w:r>
      <w:r>
        <w:rPr>
          <w:szCs w:val="22"/>
        </w:rPr>
        <w:t>boli hlásené</w:t>
      </w:r>
      <w:r w:rsidRPr="00487C38">
        <w:rPr>
          <w:szCs w:val="22"/>
        </w:rPr>
        <w:t xml:space="preserve"> aj u žien, ktoré používali kombinované perorálne</w:t>
      </w:r>
      <w:r w:rsidR="0010306E">
        <w:rPr>
          <w:szCs w:val="22"/>
        </w:rPr>
        <w:t xml:space="preserve"> antikoncepcie</w:t>
      </w:r>
      <w:r w:rsidRPr="00487C38">
        <w:rPr>
          <w:szCs w:val="22"/>
        </w:rPr>
        <w:t xml:space="preserve">; tieto </w:t>
      </w:r>
      <w:r>
        <w:rPr>
          <w:szCs w:val="22"/>
        </w:rPr>
        <w:t>sú</w:t>
      </w:r>
      <w:r w:rsidRPr="00487C38">
        <w:rPr>
          <w:szCs w:val="22"/>
        </w:rPr>
        <w:t xml:space="preserve"> uvedené v časti 4.4 "Osobitné upozornenia a opatrenia pr</w:t>
      </w:r>
      <w:r w:rsidR="00721952">
        <w:rPr>
          <w:szCs w:val="22"/>
        </w:rPr>
        <w:t>i</w:t>
      </w:r>
      <w:r w:rsidRPr="00487C38">
        <w:rPr>
          <w:szCs w:val="22"/>
        </w:rPr>
        <w:t xml:space="preserve"> použ</w:t>
      </w:r>
      <w:r w:rsidR="00721952">
        <w:rPr>
          <w:szCs w:val="22"/>
        </w:rPr>
        <w:t>ívaní</w:t>
      </w:r>
      <w:r w:rsidRPr="00487C38">
        <w:rPr>
          <w:szCs w:val="22"/>
        </w:rPr>
        <w:t>":</w:t>
      </w:r>
    </w:p>
    <w:p w14:paraId="3E7FA24D" w14:textId="77777777" w:rsidR="00487C38" w:rsidRPr="00487C38" w:rsidRDefault="00487C38" w:rsidP="00487C38">
      <w:pPr>
        <w:numPr>
          <w:ilvl w:val="0"/>
          <w:numId w:val="30"/>
        </w:numPr>
        <w:rPr>
          <w:szCs w:val="22"/>
        </w:rPr>
      </w:pPr>
      <w:r>
        <w:rPr>
          <w:szCs w:val="22"/>
        </w:rPr>
        <w:lastRenderedPageBreak/>
        <w:t>h</w:t>
      </w:r>
      <w:r w:rsidRPr="00487C38">
        <w:rPr>
          <w:szCs w:val="22"/>
        </w:rPr>
        <w:t>ypertenzia</w:t>
      </w:r>
    </w:p>
    <w:p w14:paraId="41822BAE" w14:textId="77777777" w:rsidR="00487C38" w:rsidRPr="00487C38" w:rsidRDefault="00487C38" w:rsidP="00487C38">
      <w:pPr>
        <w:numPr>
          <w:ilvl w:val="0"/>
          <w:numId w:val="30"/>
        </w:numPr>
        <w:rPr>
          <w:szCs w:val="22"/>
        </w:rPr>
      </w:pPr>
      <w:r w:rsidRPr="00487C38">
        <w:rPr>
          <w:szCs w:val="22"/>
        </w:rPr>
        <w:t>nádory pečene</w:t>
      </w:r>
    </w:p>
    <w:p w14:paraId="39D28588" w14:textId="77777777" w:rsidR="00487C38" w:rsidRPr="00487C38" w:rsidRDefault="00487C38" w:rsidP="00487C38">
      <w:pPr>
        <w:numPr>
          <w:ilvl w:val="0"/>
          <w:numId w:val="30"/>
        </w:numPr>
        <w:rPr>
          <w:szCs w:val="22"/>
        </w:rPr>
      </w:pPr>
      <w:r w:rsidRPr="00487C38">
        <w:rPr>
          <w:szCs w:val="22"/>
        </w:rPr>
        <w:t>Crohnova choroba, ulcerózna kolitída, porfýria, systémový lupus erythematosus, gestačný herpes (pemfigoid), Sydenhamova chorea, hemolytický uremický syndróm, cholestatická žltačka</w:t>
      </w:r>
    </w:p>
    <w:p w14:paraId="5C598BA5" w14:textId="77777777" w:rsidR="00487C38" w:rsidRDefault="00487C38" w:rsidP="00487C38">
      <w:pPr>
        <w:numPr>
          <w:ilvl w:val="0"/>
          <w:numId w:val="30"/>
        </w:numPr>
        <w:rPr>
          <w:szCs w:val="22"/>
        </w:rPr>
      </w:pPr>
      <w:r>
        <w:rPr>
          <w:szCs w:val="22"/>
        </w:rPr>
        <w:t>u</w:t>
      </w:r>
      <w:r w:rsidRPr="00487C38">
        <w:rPr>
          <w:szCs w:val="22"/>
        </w:rPr>
        <w:t xml:space="preserve"> žien s dedičným angioedémom môžu exogénne estrogény vyvolať alebo </w:t>
      </w:r>
      <w:r w:rsidR="00AE1196">
        <w:rPr>
          <w:szCs w:val="22"/>
        </w:rPr>
        <w:t>zhoršovať</w:t>
      </w:r>
      <w:r w:rsidRPr="00487C38">
        <w:rPr>
          <w:szCs w:val="22"/>
        </w:rPr>
        <w:t xml:space="preserve"> príznaky angioedému</w:t>
      </w:r>
    </w:p>
    <w:p w14:paraId="724F1F97" w14:textId="77777777" w:rsidR="00487C38" w:rsidRDefault="00487C38">
      <w:pPr>
        <w:ind w:left="0" w:firstLine="0"/>
        <w:rPr>
          <w:szCs w:val="22"/>
        </w:rPr>
      </w:pPr>
    </w:p>
    <w:p w14:paraId="607BDE36" w14:textId="77777777" w:rsidR="00AE1196" w:rsidRDefault="00AE1196">
      <w:pPr>
        <w:ind w:left="0" w:firstLine="0"/>
        <w:rPr>
          <w:szCs w:val="22"/>
        </w:rPr>
      </w:pPr>
      <w:r w:rsidRPr="00AE1196">
        <w:rPr>
          <w:szCs w:val="22"/>
        </w:rPr>
        <w:t>Frekvencia diagnostikovania rakoviny prsníka je mierne zvýšená u užívate</w:t>
      </w:r>
      <w:r>
        <w:rPr>
          <w:szCs w:val="22"/>
        </w:rPr>
        <w:t>liek</w:t>
      </w:r>
      <w:r w:rsidRPr="00AE1196">
        <w:rPr>
          <w:szCs w:val="22"/>
        </w:rPr>
        <w:t xml:space="preserve"> kombinovaných perorálnych </w:t>
      </w:r>
      <w:r w:rsidR="00DD538F">
        <w:rPr>
          <w:szCs w:val="22"/>
        </w:rPr>
        <w:t>antikoncepcií</w:t>
      </w:r>
      <w:r w:rsidR="0068685D">
        <w:rPr>
          <w:szCs w:val="22"/>
        </w:rPr>
        <w:t xml:space="preserve"> </w:t>
      </w:r>
      <w:r w:rsidRPr="00AE1196">
        <w:rPr>
          <w:szCs w:val="22"/>
        </w:rPr>
        <w:t xml:space="preserve">a </w:t>
      </w:r>
      <w:r>
        <w:rPr>
          <w:szCs w:val="22"/>
        </w:rPr>
        <w:t>Vreye</w:t>
      </w:r>
      <w:r w:rsidRPr="00AE1196">
        <w:rPr>
          <w:szCs w:val="22"/>
        </w:rPr>
        <w:t>. Pretože rakovina prsníka sa zriedkavo vyskytuje u žien mladších ako 40 rokov, počet prípadov</w:t>
      </w:r>
      <w:r w:rsidR="00721952">
        <w:rPr>
          <w:szCs w:val="22"/>
        </w:rPr>
        <w:t xml:space="preserve"> navyše</w:t>
      </w:r>
      <w:r w:rsidRPr="00AE1196">
        <w:rPr>
          <w:szCs w:val="22"/>
        </w:rPr>
        <w:t xml:space="preserve"> je malý v porovnaní s celoživotným rizikom rakoviny prsníka. Príčinná súvislosť s</w:t>
      </w:r>
      <w:r>
        <w:rPr>
          <w:szCs w:val="22"/>
        </w:rPr>
        <w:t xml:space="preserve"> užívaním </w:t>
      </w:r>
      <w:r w:rsidRPr="00AE1196">
        <w:rPr>
          <w:szCs w:val="22"/>
        </w:rPr>
        <w:t>kombinovan</w:t>
      </w:r>
      <w:r>
        <w:rPr>
          <w:szCs w:val="22"/>
        </w:rPr>
        <w:t>ej</w:t>
      </w:r>
      <w:r w:rsidRPr="00AE1196">
        <w:rPr>
          <w:szCs w:val="22"/>
        </w:rPr>
        <w:t xml:space="preserve"> peroráln</w:t>
      </w:r>
      <w:r>
        <w:rPr>
          <w:szCs w:val="22"/>
        </w:rPr>
        <w:t>ej</w:t>
      </w:r>
      <w:r w:rsidRPr="00AE1196">
        <w:rPr>
          <w:szCs w:val="22"/>
        </w:rPr>
        <w:t xml:space="preserve"> antikoncepci</w:t>
      </w:r>
      <w:r>
        <w:rPr>
          <w:szCs w:val="22"/>
        </w:rPr>
        <w:t>e</w:t>
      </w:r>
      <w:r w:rsidRPr="00AE1196">
        <w:rPr>
          <w:szCs w:val="22"/>
        </w:rPr>
        <w:t xml:space="preserve"> alebo </w:t>
      </w:r>
      <w:r>
        <w:rPr>
          <w:szCs w:val="22"/>
        </w:rPr>
        <w:t>Vreye</w:t>
      </w:r>
      <w:r w:rsidRPr="00AE1196">
        <w:rPr>
          <w:szCs w:val="22"/>
        </w:rPr>
        <w:t xml:space="preserve"> </w:t>
      </w:r>
      <w:r w:rsidR="00721952">
        <w:rPr>
          <w:szCs w:val="22"/>
        </w:rPr>
        <w:t>nebola dokázaná</w:t>
      </w:r>
      <w:r w:rsidRPr="00AE1196">
        <w:rPr>
          <w:szCs w:val="22"/>
        </w:rPr>
        <w:t xml:space="preserve">. Ďalšie informácie </w:t>
      </w:r>
      <w:r>
        <w:rPr>
          <w:szCs w:val="22"/>
        </w:rPr>
        <w:t>pozri</w:t>
      </w:r>
      <w:r w:rsidRPr="00AE1196">
        <w:rPr>
          <w:szCs w:val="22"/>
        </w:rPr>
        <w:t xml:space="preserve"> v častiach 4.3 a 4.4.</w:t>
      </w:r>
    </w:p>
    <w:p w14:paraId="0B08AF49" w14:textId="77777777" w:rsidR="00AE1196" w:rsidRPr="00DB0DC3" w:rsidRDefault="00AE1196">
      <w:pPr>
        <w:ind w:left="0" w:firstLine="0"/>
        <w:rPr>
          <w:szCs w:val="22"/>
        </w:rPr>
      </w:pPr>
    </w:p>
    <w:p w14:paraId="67394C0C" w14:textId="77777777" w:rsidR="003B7F42" w:rsidRPr="009C22B4" w:rsidRDefault="003B7F42" w:rsidP="003B7F42">
      <w:pPr>
        <w:pStyle w:val="Zkladntext"/>
        <w:jc w:val="both"/>
        <w:rPr>
          <w:u w:val="single"/>
        </w:rPr>
      </w:pPr>
      <w:r w:rsidRPr="009C22B4">
        <w:rPr>
          <w:u w:val="single"/>
        </w:rPr>
        <w:t>Hlásenie podozrení na nežiaduce reakcie</w:t>
      </w:r>
    </w:p>
    <w:p w14:paraId="1C2761F8" w14:textId="77777777" w:rsidR="003B7F42" w:rsidRPr="004318DE" w:rsidRDefault="003B7F42" w:rsidP="003B7F42">
      <w:pPr>
        <w:pStyle w:val="Zkladntext"/>
        <w:jc w:val="both"/>
        <w:rPr>
          <w:noProof/>
        </w:rPr>
      </w:pPr>
      <w:r w:rsidRPr="004318DE">
        <w:t>Hlásenie podozrení na nežiaduce reakcie po registrácii lieku je dôležité. Umožňuje priebežné monitorovanie pomeru prínosu a rizika lieku. Od zdravotníckych pracovníkov sa vyžaduje, aby hlásili akékoľvek podozrenia na nežiaduce reakcie</w:t>
      </w:r>
      <w:r w:rsidR="009C22B4">
        <w:t xml:space="preserve"> na</w:t>
      </w:r>
      <w:r w:rsidRPr="004318DE">
        <w:rPr>
          <w:noProof/>
        </w:rPr>
        <w:t xml:space="preserve"> </w:t>
      </w:r>
      <w:r w:rsidRPr="004318DE">
        <w:rPr>
          <w:noProof/>
          <w:highlight w:val="lightGray"/>
        </w:rPr>
        <w:t>národné</w:t>
      </w:r>
      <w:r w:rsidR="009C22B4">
        <w:rPr>
          <w:noProof/>
          <w:highlight w:val="lightGray"/>
        </w:rPr>
        <w:t xml:space="preserve"> centrum</w:t>
      </w:r>
      <w:r w:rsidRPr="004318DE">
        <w:rPr>
          <w:noProof/>
          <w:highlight w:val="lightGray"/>
        </w:rPr>
        <w:t xml:space="preserve"> hlásenia uvedené v </w:t>
      </w:r>
      <w:hyperlink r:id="rId8" w:history="1">
        <w:r w:rsidRPr="004318DE">
          <w:rPr>
            <w:rStyle w:val="Hypertextovprepojenie"/>
            <w:noProof/>
            <w:highlight w:val="lightGray"/>
          </w:rPr>
          <w:t>Prílohe V</w:t>
        </w:r>
      </w:hyperlink>
      <w:r w:rsidRPr="004318DE">
        <w:rPr>
          <w:noProof/>
        </w:rPr>
        <w:t>.</w:t>
      </w:r>
    </w:p>
    <w:p w14:paraId="2DE6395E" w14:textId="77777777" w:rsidR="00805C83" w:rsidRPr="00DB0DC3" w:rsidRDefault="00805C83" w:rsidP="00DB464B">
      <w:pPr>
        <w:ind w:left="0" w:firstLine="0"/>
        <w:rPr>
          <w:szCs w:val="22"/>
        </w:rPr>
      </w:pPr>
    </w:p>
    <w:p w14:paraId="74338F8E" w14:textId="77777777" w:rsidR="00DF67E8" w:rsidRPr="00DB0DC3" w:rsidRDefault="00DF67E8">
      <w:pPr>
        <w:numPr>
          <w:ilvl w:val="1"/>
          <w:numId w:val="3"/>
        </w:numPr>
        <w:rPr>
          <w:b/>
          <w:szCs w:val="22"/>
        </w:rPr>
      </w:pPr>
      <w:r w:rsidRPr="00DB0DC3">
        <w:rPr>
          <w:b/>
          <w:szCs w:val="22"/>
        </w:rPr>
        <w:t>Predávkovanie</w:t>
      </w:r>
    </w:p>
    <w:p w14:paraId="79173491" w14:textId="77777777" w:rsidR="00DF67E8" w:rsidRPr="00DB0DC3" w:rsidRDefault="00DF67E8">
      <w:pPr>
        <w:rPr>
          <w:b/>
          <w:szCs w:val="22"/>
        </w:rPr>
      </w:pPr>
    </w:p>
    <w:p w14:paraId="0A4893CB" w14:textId="77777777" w:rsidR="00DF67E8" w:rsidRPr="00DB0DC3" w:rsidRDefault="00DF67E8">
      <w:pPr>
        <w:ind w:left="0" w:firstLine="0"/>
        <w:rPr>
          <w:szCs w:val="22"/>
        </w:rPr>
      </w:pPr>
      <w:r w:rsidRPr="00DB0DC3">
        <w:rPr>
          <w:szCs w:val="22"/>
        </w:rPr>
        <w:t>Neboli hlásené žiadne prípady závažných ťažkých škodlivých účinkov po predávkovaní.</w:t>
      </w:r>
    </w:p>
    <w:p w14:paraId="1D5A82A1" w14:textId="77777777" w:rsidR="00DF67E8" w:rsidRPr="00DB0DC3" w:rsidRDefault="00DF67E8">
      <w:pPr>
        <w:ind w:left="0" w:firstLine="0"/>
        <w:rPr>
          <w:szCs w:val="22"/>
        </w:rPr>
      </w:pPr>
      <w:r w:rsidRPr="00DB0DC3">
        <w:rPr>
          <w:szCs w:val="22"/>
        </w:rPr>
        <w:t>Predávkovanie môže spôsobiť nauzeu, vracanie a u mladých dievčat slabé krvácanie z vysadenia.</w:t>
      </w:r>
    </w:p>
    <w:p w14:paraId="34521096" w14:textId="77777777" w:rsidR="00DF67E8" w:rsidRPr="00DB0DC3" w:rsidRDefault="00DF67E8">
      <w:pPr>
        <w:ind w:left="0" w:firstLine="0"/>
        <w:rPr>
          <w:szCs w:val="22"/>
        </w:rPr>
      </w:pPr>
      <w:r w:rsidRPr="00DB0DC3">
        <w:rPr>
          <w:szCs w:val="22"/>
        </w:rPr>
        <w:t>Neexistujú špecifické antidotá a ďalšia liečba má byť symptomatická.</w:t>
      </w:r>
    </w:p>
    <w:p w14:paraId="4B5329E0" w14:textId="77777777" w:rsidR="00DF67E8" w:rsidRPr="00DB0DC3" w:rsidRDefault="00DF67E8">
      <w:pPr>
        <w:ind w:left="0" w:firstLine="0"/>
        <w:rPr>
          <w:szCs w:val="22"/>
        </w:rPr>
      </w:pPr>
    </w:p>
    <w:p w14:paraId="507A58FB" w14:textId="77777777" w:rsidR="00DF67E8" w:rsidRPr="00DB0DC3" w:rsidRDefault="00DF67E8">
      <w:pPr>
        <w:rPr>
          <w:szCs w:val="22"/>
        </w:rPr>
      </w:pPr>
    </w:p>
    <w:p w14:paraId="00B47086" w14:textId="77777777" w:rsidR="00DF67E8" w:rsidRPr="00DB0DC3" w:rsidRDefault="00DF67E8">
      <w:pPr>
        <w:rPr>
          <w:szCs w:val="22"/>
        </w:rPr>
      </w:pPr>
      <w:r w:rsidRPr="00DB0DC3">
        <w:rPr>
          <w:b/>
          <w:szCs w:val="22"/>
        </w:rPr>
        <w:t>5.</w:t>
      </w:r>
      <w:r w:rsidRPr="00DB0DC3">
        <w:rPr>
          <w:b/>
          <w:szCs w:val="22"/>
        </w:rPr>
        <w:tab/>
        <w:t>FARMAKOLOGICKÉ VLASTNOSTI</w:t>
      </w:r>
    </w:p>
    <w:p w14:paraId="254D8844" w14:textId="77777777" w:rsidR="00DF67E8" w:rsidRPr="00DB0DC3" w:rsidRDefault="00DF67E8">
      <w:pPr>
        <w:rPr>
          <w:bCs/>
          <w:szCs w:val="22"/>
        </w:rPr>
      </w:pPr>
    </w:p>
    <w:p w14:paraId="2A716C67" w14:textId="77777777" w:rsidR="00DF67E8" w:rsidRPr="00DB0DC3" w:rsidRDefault="00DF67E8">
      <w:pPr>
        <w:rPr>
          <w:szCs w:val="22"/>
        </w:rPr>
      </w:pPr>
      <w:r w:rsidRPr="00DB0DC3">
        <w:rPr>
          <w:b/>
          <w:szCs w:val="22"/>
        </w:rPr>
        <w:t>5.1</w:t>
      </w:r>
      <w:r w:rsidRPr="00DB0DC3">
        <w:rPr>
          <w:b/>
          <w:szCs w:val="22"/>
        </w:rPr>
        <w:tab/>
        <w:t>Farmakodynamické vlastnosti</w:t>
      </w:r>
    </w:p>
    <w:p w14:paraId="5C586646" w14:textId="77777777" w:rsidR="00DF67E8" w:rsidRPr="00DB0DC3" w:rsidRDefault="00DF67E8">
      <w:pPr>
        <w:rPr>
          <w:szCs w:val="22"/>
        </w:rPr>
      </w:pPr>
    </w:p>
    <w:p w14:paraId="46586C20" w14:textId="77777777" w:rsidR="00DF67E8" w:rsidRPr="00DB0DC3" w:rsidRDefault="00DF67E8">
      <w:pPr>
        <w:ind w:left="0" w:firstLine="0"/>
        <w:outlineLvl w:val="0"/>
        <w:rPr>
          <w:szCs w:val="22"/>
        </w:rPr>
      </w:pPr>
      <w:r w:rsidRPr="00DB0DC3">
        <w:rPr>
          <w:szCs w:val="22"/>
        </w:rPr>
        <w:t xml:space="preserve">Farmakoterapeutická skupina: </w:t>
      </w:r>
      <w:r w:rsidR="00AE6D9C">
        <w:rPr>
          <w:szCs w:val="22"/>
        </w:rPr>
        <w:t>Pohlavné hormóny a modulátory genitálneho systému, antiandrogény a estrogény,</w:t>
      </w:r>
      <w:r w:rsidRPr="00DB0DC3">
        <w:rPr>
          <w:szCs w:val="22"/>
        </w:rPr>
        <w:t xml:space="preserve"> ATC kód: G03HB01.</w:t>
      </w:r>
    </w:p>
    <w:p w14:paraId="4938DDF1" w14:textId="77777777" w:rsidR="00DF67E8" w:rsidRDefault="00DF67E8">
      <w:pPr>
        <w:ind w:left="0" w:firstLine="0"/>
        <w:outlineLvl w:val="0"/>
        <w:rPr>
          <w:szCs w:val="22"/>
        </w:rPr>
      </w:pPr>
    </w:p>
    <w:p w14:paraId="25A749FC" w14:textId="77777777" w:rsidR="004F323A" w:rsidRDefault="00774AD1">
      <w:pPr>
        <w:ind w:left="0" w:firstLine="0"/>
        <w:outlineLvl w:val="0"/>
        <w:rPr>
          <w:szCs w:val="22"/>
        </w:rPr>
      </w:pPr>
      <w:r>
        <w:rPr>
          <w:szCs w:val="22"/>
        </w:rPr>
        <w:t>Celkový index zlyhania (zlyhania metódy + zlyhanie pacientok): 0,12 (horný, obojstranný 95 % - hranica spoľahlivosti: 0,44).</w:t>
      </w:r>
    </w:p>
    <w:p w14:paraId="1DCDFD73" w14:textId="77777777" w:rsidR="00774AD1" w:rsidRPr="00DB0DC3" w:rsidRDefault="00774AD1">
      <w:pPr>
        <w:ind w:left="0" w:firstLine="0"/>
        <w:outlineLvl w:val="0"/>
        <w:rPr>
          <w:szCs w:val="22"/>
        </w:rPr>
      </w:pPr>
    </w:p>
    <w:p w14:paraId="0280E166" w14:textId="0D6D785D" w:rsidR="00DF67E8" w:rsidRPr="00DB0DC3" w:rsidRDefault="00DF67E8">
      <w:pPr>
        <w:ind w:left="0" w:firstLine="0"/>
        <w:outlineLvl w:val="0"/>
      </w:pPr>
      <w:r w:rsidRPr="00DB0DC3">
        <w:t>Cyproterón</w:t>
      </w:r>
      <w:r w:rsidR="003E5262">
        <w:t>ium-</w:t>
      </w:r>
      <w:r w:rsidRPr="00DB0DC3">
        <w:t>acetát blokuje androgénne receptory, a tým znižuje vplyv androgénov na androgén-dependentné orgány.</w:t>
      </w:r>
    </w:p>
    <w:p w14:paraId="2553B782" w14:textId="17184E96" w:rsidR="00DF67E8" w:rsidRPr="00DB0DC3" w:rsidRDefault="00DF67E8">
      <w:pPr>
        <w:ind w:left="0" w:firstLine="0"/>
        <w:outlineLvl w:val="0"/>
      </w:pPr>
      <w:r w:rsidRPr="00DB0DC3">
        <w:t>Okrem tohto androgén-dependentného účinku cyproterón</w:t>
      </w:r>
      <w:r w:rsidR="003E5262">
        <w:t>ium-</w:t>
      </w:r>
      <w:r w:rsidRPr="00DB0DC3">
        <w:t>acetát vykazuje tiež výrazný progestagénny a antigonadotropný účinok.</w:t>
      </w:r>
    </w:p>
    <w:p w14:paraId="17B3CB93" w14:textId="77777777" w:rsidR="00DF67E8" w:rsidRPr="00DB0DC3" w:rsidRDefault="00DF67E8">
      <w:pPr>
        <w:ind w:left="0" w:firstLine="0"/>
        <w:outlineLvl w:val="0"/>
      </w:pPr>
    </w:p>
    <w:p w14:paraId="67958C9C" w14:textId="529238C0" w:rsidR="00DF67E8" w:rsidRPr="00DB0DC3" w:rsidRDefault="00DF67E8">
      <w:pPr>
        <w:ind w:left="0" w:firstLine="0"/>
        <w:outlineLvl w:val="0"/>
      </w:pPr>
      <w:r w:rsidRPr="00DB0DC3">
        <w:t>Použitie cyproterón</w:t>
      </w:r>
      <w:r w:rsidR="003E5262">
        <w:t>ium-</w:t>
      </w:r>
      <w:r w:rsidRPr="00DB0DC3">
        <w:t>acetátu umožňuje znížiť alebo eliminovať účinok virilizácie u žien, či už je pôvod v zvýšenej hladine androgénov alebo v zvýšenej periférnej citlivosti na androgény.</w:t>
      </w:r>
    </w:p>
    <w:p w14:paraId="6F401E13" w14:textId="77777777" w:rsidR="00DF67E8" w:rsidRPr="00DB0DC3" w:rsidRDefault="00DF67E8">
      <w:pPr>
        <w:ind w:left="0" w:firstLine="0"/>
        <w:outlineLvl w:val="0"/>
      </w:pPr>
    </w:p>
    <w:p w14:paraId="09CEC434" w14:textId="77777777" w:rsidR="00DF67E8" w:rsidRPr="00DB0DC3" w:rsidRDefault="00DF67E8">
      <w:pPr>
        <w:ind w:left="0" w:firstLine="0"/>
        <w:outlineLvl w:val="0"/>
        <w:rPr>
          <w:szCs w:val="22"/>
        </w:rPr>
      </w:pPr>
      <w:r w:rsidRPr="00DB0DC3">
        <w:t>Počas používania</w:t>
      </w:r>
      <w:r w:rsidRPr="00DB0DC3">
        <w:rPr>
          <w:szCs w:val="22"/>
        </w:rPr>
        <w:t xml:space="preserve"> Vreye sa značne znižuje zvýšená sekrécia mazových žliaz, ktorá je príčinou akné a seborey. Výsledkom je zvyčajne po 3 - 4 mesiacoch liečby vymiznutie eflorescencií akné a prevencia pred tvorbou nových ložísk. Seborea sa zvyčajne vylieči skôr. Klesne tiež strata vlasov, ktorá sa často pozoruje pri seborey. Liečba hirsutizmu sa zvyčajne ukáže ako účinná až po niekoľkých mesiacoch.</w:t>
      </w:r>
    </w:p>
    <w:p w14:paraId="5C49B7C3" w14:textId="77777777" w:rsidR="00DF67E8" w:rsidRPr="00DB0DC3" w:rsidRDefault="00DF67E8">
      <w:pPr>
        <w:ind w:left="0" w:firstLine="0"/>
        <w:outlineLvl w:val="0"/>
        <w:rPr>
          <w:szCs w:val="22"/>
        </w:rPr>
      </w:pPr>
    </w:p>
    <w:p w14:paraId="131B8883" w14:textId="1C163E4A" w:rsidR="00DF67E8" w:rsidRDefault="00DF67E8">
      <w:pPr>
        <w:ind w:left="0" w:firstLine="0"/>
        <w:outlineLvl w:val="0"/>
        <w:rPr>
          <w:szCs w:val="22"/>
        </w:rPr>
      </w:pPr>
      <w:r w:rsidRPr="00DB0DC3">
        <w:t>Kombináciou cyproterón</w:t>
      </w:r>
      <w:r w:rsidR="003E5262">
        <w:t>ium-</w:t>
      </w:r>
      <w:r w:rsidRPr="00DB0DC3">
        <w:t xml:space="preserve">acetátu a etinylestradiolu pôsobí </w:t>
      </w:r>
      <w:r w:rsidRPr="00DB0DC3">
        <w:rPr>
          <w:szCs w:val="22"/>
        </w:rPr>
        <w:t>Vreya ako peroráln</w:t>
      </w:r>
      <w:r w:rsidR="00AC76EE">
        <w:rPr>
          <w:szCs w:val="22"/>
        </w:rPr>
        <w:t>a</w:t>
      </w:r>
      <w:r w:rsidRPr="00DB0DC3">
        <w:rPr>
          <w:szCs w:val="22"/>
        </w:rPr>
        <w:t xml:space="preserve"> </w:t>
      </w:r>
      <w:r w:rsidR="00AC76EE">
        <w:rPr>
          <w:szCs w:val="22"/>
        </w:rPr>
        <w:t>antikoncepcia</w:t>
      </w:r>
      <w:r w:rsidRPr="00DB0DC3">
        <w:rPr>
          <w:szCs w:val="22"/>
        </w:rPr>
        <w:t xml:space="preserve"> s dobrou kontrolou cyklu, ak sa používa správne. Antikoncepčný účinok je výsledkom kombinácie centrálneho a periférneho mechanizmu, ktorého najdôležitejšou súčasťou je inhibícia ovulácie a zmeny cervikálnej sekrécie. Morfologické a enzymatické zmeny endometria navyše prispievajú k prevencii pred otehotnením.</w:t>
      </w:r>
    </w:p>
    <w:p w14:paraId="2250C6CF" w14:textId="77777777" w:rsidR="000C30B3" w:rsidRPr="000C30B3" w:rsidRDefault="000C30B3">
      <w:pPr>
        <w:ind w:left="0" w:firstLine="0"/>
        <w:outlineLvl w:val="0"/>
        <w:rPr>
          <w:szCs w:val="22"/>
        </w:rPr>
      </w:pPr>
    </w:p>
    <w:p w14:paraId="0FE7B60A" w14:textId="77777777" w:rsidR="000C30B3" w:rsidRDefault="000C30B3" w:rsidP="00D5009E">
      <w:pPr>
        <w:pStyle w:val="BodytextAgency"/>
        <w:spacing w:after="0" w:line="240" w:lineRule="auto"/>
        <w:rPr>
          <w:rFonts w:ascii="Times New Roman" w:hAnsi="Times New Roman" w:cs="Times New Roman"/>
          <w:sz w:val="22"/>
          <w:szCs w:val="22"/>
        </w:rPr>
      </w:pPr>
      <w:r w:rsidRPr="00FA0191">
        <w:rPr>
          <w:rFonts w:ascii="Times New Roman" w:hAnsi="Times New Roman" w:cs="Times New Roman"/>
          <w:b/>
          <w:sz w:val="22"/>
          <w:szCs w:val="22"/>
        </w:rPr>
        <w:lastRenderedPageBreak/>
        <w:t>Meningióm</w:t>
      </w:r>
      <w:r w:rsidRPr="00FA0191">
        <w:rPr>
          <w:rFonts w:ascii="Times New Roman" w:hAnsi="Times New Roman" w:cs="Times New Roman"/>
          <w:b/>
          <w:sz w:val="22"/>
          <w:szCs w:val="22"/>
        </w:rPr>
        <w:br/>
      </w:r>
      <w:r w:rsidRPr="00FA0191">
        <w:rPr>
          <w:rFonts w:ascii="Times New Roman" w:hAnsi="Times New Roman" w:cs="Times New Roman"/>
          <w:sz w:val="22"/>
          <w:szCs w:val="22"/>
        </w:rPr>
        <w:t>Na základe výsledkov francúzskej epidemiologickej kohortovej štúdie bola pozorovaná súvislosť medzi cyproterónium-acetátom a vznikom meningiómu závislá od kumulatívnej dávky. Táto štúdia vychádzala z údajov francúzskeho Národného fondu zdravotného poistenia (CNAM) a zahŕňala populáciu 253 777 žien užívajúcich tablety s obsahom 50 až 100 mg cyproterónu. Výskyt meningiómu liečeného chirurgicky alebo rádioterapiou sa porovnával u žien exponovaných vysokým dávkam cyproterónium-acetátu (kumulatívna dávka ≥ 3 g) a žien exponovaných miernym dávkam cyproterónium-acetátu (kumulatívna dávka &lt; 3 g). Preukázal sa vzťah medzi odpoveďou a kumulatívnou dávkou.</w:t>
      </w:r>
    </w:p>
    <w:p w14:paraId="1728BFDA" w14:textId="77777777" w:rsidR="00A64B03" w:rsidRPr="00FA0191" w:rsidRDefault="00A64B03" w:rsidP="00D5009E">
      <w:pPr>
        <w:pStyle w:val="BodytextAgency"/>
        <w:spacing w:after="0" w:line="240" w:lineRule="auto"/>
        <w:rPr>
          <w:rFonts w:ascii="Times New Roman" w:hAnsi="Times New Roman" w:cs="Times New Roman"/>
          <w:sz w:val="22"/>
          <w:szCs w:val="22"/>
        </w:rPr>
      </w:pPr>
    </w:p>
    <w:tbl>
      <w:tblPr>
        <w:tblStyle w:val="Mriekatabuky"/>
        <w:tblW w:w="0" w:type="auto"/>
        <w:tblLook w:val="04A0" w:firstRow="1" w:lastRow="0" w:firstColumn="1" w:lastColumn="0" w:noHBand="0" w:noVBand="1"/>
      </w:tblPr>
      <w:tblGrid>
        <w:gridCol w:w="3043"/>
        <w:gridCol w:w="3049"/>
        <w:gridCol w:w="2970"/>
      </w:tblGrid>
      <w:tr w:rsidR="000C30B3" w:rsidRPr="000C30B3" w14:paraId="65B1E2FC" w14:textId="77777777" w:rsidTr="003E5262">
        <w:tc>
          <w:tcPr>
            <w:tcW w:w="3184" w:type="dxa"/>
            <w:tcBorders>
              <w:top w:val="single" w:sz="4" w:space="0" w:color="auto"/>
              <w:left w:val="single" w:sz="4" w:space="0" w:color="auto"/>
              <w:bottom w:val="single" w:sz="4" w:space="0" w:color="auto"/>
              <w:right w:val="single" w:sz="4" w:space="0" w:color="auto"/>
            </w:tcBorders>
            <w:hideMark/>
          </w:tcPr>
          <w:p w14:paraId="473F5202"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Kumulatívna dávka cyproterónium-acetátu</w:t>
            </w:r>
          </w:p>
        </w:tc>
        <w:tc>
          <w:tcPr>
            <w:tcW w:w="3184" w:type="dxa"/>
            <w:tcBorders>
              <w:top w:val="single" w:sz="4" w:space="0" w:color="auto"/>
              <w:left w:val="single" w:sz="4" w:space="0" w:color="auto"/>
              <w:bottom w:val="single" w:sz="4" w:space="0" w:color="auto"/>
              <w:right w:val="single" w:sz="4" w:space="0" w:color="auto"/>
            </w:tcBorders>
            <w:hideMark/>
          </w:tcPr>
          <w:p w14:paraId="6339EF4A" w14:textId="77777777" w:rsidR="000C30B3" w:rsidRPr="00FA0191" w:rsidRDefault="000C30B3" w:rsidP="003E5262">
            <w:pPr>
              <w:pStyle w:val="BodytextAgency"/>
              <w:spacing w:after="0" w:line="240" w:lineRule="auto"/>
              <w:rPr>
                <w:rFonts w:ascii="Times New Roman" w:hAnsi="Times New Roman" w:cs="Times New Roman"/>
                <w:sz w:val="22"/>
                <w:szCs w:val="22"/>
              </w:rPr>
            </w:pPr>
            <w:r w:rsidRPr="00FA0191">
              <w:rPr>
                <w:rFonts w:ascii="Times New Roman" w:hAnsi="Times New Roman" w:cs="Times New Roman"/>
                <w:sz w:val="22"/>
                <w:szCs w:val="22"/>
              </w:rPr>
              <w:t xml:space="preserve">Miera výskytu </w:t>
            </w:r>
          </w:p>
          <w:p w14:paraId="409DDE8C" w14:textId="77777777" w:rsidR="000C30B3" w:rsidRPr="00FA0191" w:rsidRDefault="000C30B3" w:rsidP="003E5262">
            <w:pPr>
              <w:pStyle w:val="BodytextAgency"/>
              <w:spacing w:after="0" w:line="240" w:lineRule="auto"/>
              <w:rPr>
                <w:rFonts w:ascii="Times New Roman" w:hAnsi="Times New Roman" w:cs="Times New Roman"/>
                <w:sz w:val="22"/>
                <w:szCs w:val="22"/>
              </w:rPr>
            </w:pPr>
            <w:r w:rsidRPr="00FA0191">
              <w:rPr>
                <w:rFonts w:ascii="Times New Roman" w:hAnsi="Times New Roman" w:cs="Times New Roman"/>
                <w:sz w:val="22"/>
                <w:szCs w:val="22"/>
              </w:rPr>
              <w:t>(v pacientorokoch)</w:t>
            </w:r>
          </w:p>
        </w:tc>
        <w:tc>
          <w:tcPr>
            <w:tcW w:w="3184" w:type="dxa"/>
            <w:tcBorders>
              <w:top w:val="single" w:sz="4" w:space="0" w:color="auto"/>
              <w:left w:val="single" w:sz="4" w:space="0" w:color="auto"/>
              <w:bottom w:val="single" w:sz="4" w:space="0" w:color="auto"/>
              <w:right w:val="single" w:sz="4" w:space="0" w:color="auto"/>
            </w:tcBorders>
            <w:hideMark/>
          </w:tcPr>
          <w:p w14:paraId="036F7396"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HR</w:t>
            </w:r>
            <w:r w:rsidRPr="00FA0191">
              <w:rPr>
                <w:rFonts w:ascii="Times New Roman" w:hAnsi="Times New Roman" w:cs="Times New Roman"/>
                <w:sz w:val="22"/>
                <w:szCs w:val="22"/>
                <w:vertAlign w:val="subscript"/>
              </w:rPr>
              <w:t>adj</w:t>
            </w:r>
            <w:r w:rsidRPr="00FA0191">
              <w:rPr>
                <w:rFonts w:ascii="Times New Roman" w:hAnsi="Times New Roman" w:cs="Times New Roman"/>
                <w:sz w:val="22"/>
                <w:szCs w:val="22"/>
              </w:rPr>
              <w:t xml:space="preserve"> (95 % CI) </w:t>
            </w:r>
            <w:r w:rsidRPr="00FA0191">
              <w:rPr>
                <w:rFonts w:ascii="Times New Roman" w:hAnsi="Times New Roman" w:cs="Times New Roman"/>
                <w:sz w:val="22"/>
                <w:szCs w:val="22"/>
                <w:vertAlign w:val="superscript"/>
              </w:rPr>
              <w:t>a</w:t>
            </w:r>
          </w:p>
        </w:tc>
      </w:tr>
      <w:tr w:rsidR="000C30B3" w:rsidRPr="000C30B3" w14:paraId="64660C7A" w14:textId="77777777" w:rsidTr="003E5262">
        <w:tc>
          <w:tcPr>
            <w:tcW w:w="3184" w:type="dxa"/>
            <w:tcBorders>
              <w:top w:val="single" w:sz="4" w:space="0" w:color="auto"/>
              <w:left w:val="single" w:sz="4" w:space="0" w:color="auto"/>
              <w:bottom w:val="single" w:sz="4" w:space="0" w:color="auto"/>
              <w:right w:val="single" w:sz="4" w:space="0" w:color="auto"/>
            </w:tcBorders>
            <w:hideMark/>
          </w:tcPr>
          <w:p w14:paraId="745DBECD"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 xml:space="preserve">Mierna expozícia (&lt; 3 g) </w:t>
            </w:r>
          </w:p>
        </w:tc>
        <w:tc>
          <w:tcPr>
            <w:tcW w:w="3184" w:type="dxa"/>
            <w:tcBorders>
              <w:top w:val="single" w:sz="4" w:space="0" w:color="auto"/>
              <w:left w:val="single" w:sz="4" w:space="0" w:color="auto"/>
              <w:bottom w:val="single" w:sz="4" w:space="0" w:color="auto"/>
              <w:right w:val="single" w:sz="4" w:space="0" w:color="auto"/>
            </w:tcBorders>
            <w:hideMark/>
          </w:tcPr>
          <w:p w14:paraId="4B6DB5D5"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 xml:space="preserve">4,5/100 000 </w:t>
            </w:r>
          </w:p>
        </w:tc>
        <w:tc>
          <w:tcPr>
            <w:tcW w:w="3184" w:type="dxa"/>
            <w:tcBorders>
              <w:top w:val="single" w:sz="4" w:space="0" w:color="auto"/>
              <w:left w:val="single" w:sz="4" w:space="0" w:color="auto"/>
              <w:bottom w:val="single" w:sz="4" w:space="0" w:color="auto"/>
              <w:right w:val="single" w:sz="4" w:space="0" w:color="auto"/>
            </w:tcBorders>
            <w:hideMark/>
          </w:tcPr>
          <w:p w14:paraId="4AE593DB"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Ref.</w:t>
            </w:r>
          </w:p>
        </w:tc>
      </w:tr>
      <w:tr w:rsidR="000C30B3" w:rsidRPr="000C30B3" w14:paraId="2D2DE7D2" w14:textId="77777777" w:rsidTr="003E5262">
        <w:tc>
          <w:tcPr>
            <w:tcW w:w="3184" w:type="dxa"/>
            <w:tcBorders>
              <w:top w:val="single" w:sz="4" w:space="0" w:color="auto"/>
              <w:left w:val="single" w:sz="4" w:space="0" w:color="auto"/>
              <w:bottom w:val="double" w:sz="4" w:space="0" w:color="auto"/>
              <w:right w:val="single" w:sz="4" w:space="0" w:color="auto"/>
            </w:tcBorders>
            <w:hideMark/>
          </w:tcPr>
          <w:p w14:paraId="39F98EF2"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Expozícia ≥3 g</w:t>
            </w:r>
          </w:p>
        </w:tc>
        <w:tc>
          <w:tcPr>
            <w:tcW w:w="3184" w:type="dxa"/>
            <w:tcBorders>
              <w:top w:val="single" w:sz="4" w:space="0" w:color="auto"/>
              <w:left w:val="single" w:sz="4" w:space="0" w:color="auto"/>
              <w:bottom w:val="double" w:sz="4" w:space="0" w:color="auto"/>
              <w:right w:val="single" w:sz="4" w:space="0" w:color="auto"/>
            </w:tcBorders>
            <w:hideMark/>
          </w:tcPr>
          <w:p w14:paraId="35ED9F99"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23,8/100 000</w:t>
            </w:r>
          </w:p>
        </w:tc>
        <w:tc>
          <w:tcPr>
            <w:tcW w:w="3184" w:type="dxa"/>
            <w:tcBorders>
              <w:top w:val="single" w:sz="4" w:space="0" w:color="auto"/>
              <w:left w:val="single" w:sz="4" w:space="0" w:color="auto"/>
              <w:bottom w:val="double" w:sz="4" w:space="0" w:color="auto"/>
              <w:right w:val="single" w:sz="4" w:space="0" w:color="auto"/>
            </w:tcBorders>
            <w:hideMark/>
          </w:tcPr>
          <w:p w14:paraId="78108792"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6,6 [4,0-11,1]</w:t>
            </w:r>
          </w:p>
        </w:tc>
      </w:tr>
      <w:tr w:rsidR="000C30B3" w:rsidRPr="000C30B3" w14:paraId="6C8D7C8B" w14:textId="77777777" w:rsidTr="003E5262">
        <w:tc>
          <w:tcPr>
            <w:tcW w:w="3184" w:type="dxa"/>
            <w:tcBorders>
              <w:top w:val="double" w:sz="4" w:space="0" w:color="auto"/>
              <w:left w:val="single" w:sz="4" w:space="0" w:color="auto"/>
              <w:bottom w:val="single" w:sz="4" w:space="0" w:color="auto"/>
              <w:right w:val="single" w:sz="4" w:space="0" w:color="auto"/>
            </w:tcBorders>
            <w:hideMark/>
          </w:tcPr>
          <w:p w14:paraId="55233FD3"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 xml:space="preserve">          12 až 36 g</w:t>
            </w:r>
          </w:p>
        </w:tc>
        <w:tc>
          <w:tcPr>
            <w:tcW w:w="3184" w:type="dxa"/>
            <w:tcBorders>
              <w:top w:val="double" w:sz="4" w:space="0" w:color="auto"/>
              <w:left w:val="single" w:sz="4" w:space="0" w:color="auto"/>
              <w:bottom w:val="single" w:sz="4" w:space="0" w:color="auto"/>
              <w:right w:val="single" w:sz="4" w:space="0" w:color="auto"/>
            </w:tcBorders>
            <w:hideMark/>
          </w:tcPr>
          <w:p w14:paraId="44546801"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 xml:space="preserve">26/100 000 </w:t>
            </w:r>
          </w:p>
        </w:tc>
        <w:tc>
          <w:tcPr>
            <w:tcW w:w="3184" w:type="dxa"/>
            <w:tcBorders>
              <w:top w:val="double" w:sz="4" w:space="0" w:color="auto"/>
              <w:left w:val="single" w:sz="4" w:space="0" w:color="auto"/>
              <w:bottom w:val="single" w:sz="4" w:space="0" w:color="auto"/>
              <w:right w:val="single" w:sz="4" w:space="0" w:color="auto"/>
            </w:tcBorders>
            <w:hideMark/>
          </w:tcPr>
          <w:p w14:paraId="7526CCD8"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6,4 [3,6-11,5]</w:t>
            </w:r>
          </w:p>
        </w:tc>
      </w:tr>
      <w:tr w:rsidR="000C30B3" w:rsidRPr="000C30B3" w14:paraId="0BAC1B3D" w14:textId="77777777" w:rsidTr="003E5262">
        <w:tc>
          <w:tcPr>
            <w:tcW w:w="3184" w:type="dxa"/>
            <w:tcBorders>
              <w:top w:val="single" w:sz="4" w:space="0" w:color="auto"/>
              <w:left w:val="single" w:sz="4" w:space="0" w:color="auto"/>
              <w:bottom w:val="single" w:sz="4" w:space="0" w:color="auto"/>
              <w:right w:val="single" w:sz="4" w:space="0" w:color="auto"/>
            </w:tcBorders>
            <w:hideMark/>
          </w:tcPr>
          <w:p w14:paraId="0AEFC6ED"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 xml:space="preserve">         36 až 60 g</w:t>
            </w:r>
          </w:p>
        </w:tc>
        <w:tc>
          <w:tcPr>
            <w:tcW w:w="3184" w:type="dxa"/>
            <w:tcBorders>
              <w:top w:val="single" w:sz="4" w:space="0" w:color="auto"/>
              <w:left w:val="single" w:sz="4" w:space="0" w:color="auto"/>
              <w:bottom w:val="single" w:sz="4" w:space="0" w:color="auto"/>
              <w:right w:val="single" w:sz="4" w:space="0" w:color="auto"/>
            </w:tcBorders>
            <w:hideMark/>
          </w:tcPr>
          <w:p w14:paraId="2BAF3144"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 xml:space="preserve">54,4/100 000 </w:t>
            </w:r>
          </w:p>
        </w:tc>
        <w:tc>
          <w:tcPr>
            <w:tcW w:w="3184" w:type="dxa"/>
            <w:tcBorders>
              <w:top w:val="single" w:sz="4" w:space="0" w:color="auto"/>
              <w:left w:val="single" w:sz="4" w:space="0" w:color="auto"/>
              <w:bottom w:val="single" w:sz="4" w:space="0" w:color="auto"/>
              <w:right w:val="single" w:sz="4" w:space="0" w:color="auto"/>
            </w:tcBorders>
            <w:hideMark/>
          </w:tcPr>
          <w:p w14:paraId="7B01B5E5"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11,3 [5,8-22,2]</w:t>
            </w:r>
          </w:p>
        </w:tc>
      </w:tr>
      <w:tr w:rsidR="000C30B3" w:rsidRPr="000C30B3" w14:paraId="6BC58BE6" w14:textId="77777777" w:rsidTr="003E5262">
        <w:tc>
          <w:tcPr>
            <w:tcW w:w="3184" w:type="dxa"/>
            <w:tcBorders>
              <w:top w:val="single" w:sz="4" w:space="0" w:color="auto"/>
              <w:left w:val="single" w:sz="4" w:space="0" w:color="auto"/>
              <w:bottom w:val="single" w:sz="4" w:space="0" w:color="auto"/>
              <w:right w:val="single" w:sz="4" w:space="0" w:color="auto"/>
            </w:tcBorders>
            <w:hideMark/>
          </w:tcPr>
          <w:p w14:paraId="649DAF2D"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 xml:space="preserve">         viac ako 60 g</w:t>
            </w:r>
          </w:p>
        </w:tc>
        <w:tc>
          <w:tcPr>
            <w:tcW w:w="3184" w:type="dxa"/>
            <w:tcBorders>
              <w:top w:val="single" w:sz="4" w:space="0" w:color="auto"/>
              <w:left w:val="single" w:sz="4" w:space="0" w:color="auto"/>
              <w:bottom w:val="single" w:sz="4" w:space="0" w:color="auto"/>
              <w:right w:val="single" w:sz="4" w:space="0" w:color="auto"/>
            </w:tcBorders>
            <w:hideMark/>
          </w:tcPr>
          <w:p w14:paraId="10563E26"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 xml:space="preserve">129,1/100 000 </w:t>
            </w:r>
          </w:p>
        </w:tc>
        <w:tc>
          <w:tcPr>
            <w:tcW w:w="3184" w:type="dxa"/>
            <w:tcBorders>
              <w:top w:val="single" w:sz="4" w:space="0" w:color="auto"/>
              <w:left w:val="single" w:sz="4" w:space="0" w:color="auto"/>
              <w:bottom w:val="single" w:sz="4" w:space="0" w:color="auto"/>
              <w:right w:val="single" w:sz="4" w:space="0" w:color="auto"/>
            </w:tcBorders>
            <w:hideMark/>
          </w:tcPr>
          <w:p w14:paraId="579AE164" w14:textId="77777777" w:rsidR="000C30B3" w:rsidRPr="00FA0191" w:rsidRDefault="000C30B3" w:rsidP="003E5262">
            <w:pPr>
              <w:pStyle w:val="BodytextAgency"/>
              <w:spacing w:line="240" w:lineRule="auto"/>
              <w:rPr>
                <w:rFonts w:ascii="Times New Roman" w:hAnsi="Times New Roman" w:cs="Times New Roman"/>
                <w:sz w:val="22"/>
                <w:szCs w:val="22"/>
              </w:rPr>
            </w:pPr>
            <w:r w:rsidRPr="00FA0191">
              <w:rPr>
                <w:rFonts w:ascii="Times New Roman" w:hAnsi="Times New Roman" w:cs="Times New Roman"/>
                <w:sz w:val="22"/>
                <w:szCs w:val="22"/>
              </w:rPr>
              <w:t>21,7 [10,8-43,5]</w:t>
            </w:r>
          </w:p>
        </w:tc>
      </w:tr>
    </w:tbl>
    <w:p w14:paraId="1494D6D7" w14:textId="77777777" w:rsidR="000C30B3" w:rsidRDefault="000C30B3" w:rsidP="00D5009E">
      <w:pPr>
        <w:pStyle w:val="BodytextAgency"/>
        <w:spacing w:after="0" w:line="240" w:lineRule="auto"/>
        <w:rPr>
          <w:rFonts w:ascii="Times New Roman" w:hAnsi="Times New Roman" w:cs="Times New Roman"/>
          <w:sz w:val="22"/>
          <w:szCs w:val="22"/>
        </w:rPr>
      </w:pPr>
      <w:r w:rsidRPr="00FA0191">
        <w:rPr>
          <w:rFonts w:ascii="Times New Roman" w:hAnsi="Times New Roman" w:cs="Times New Roman"/>
          <w:sz w:val="22"/>
          <w:szCs w:val="22"/>
          <w:vertAlign w:val="superscript"/>
        </w:rPr>
        <w:t>a</w:t>
      </w:r>
      <w:r w:rsidRPr="00FA0191">
        <w:rPr>
          <w:rFonts w:ascii="Times New Roman" w:hAnsi="Times New Roman" w:cs="Times New Roman"/>
          <w:sz w:val="22"/>
          <w:szCs w:val="22"/>
        </w:rPr>
        <w:t xml:space="preserve"> Upravené na základe veku ako časovo závislej premennej a užívania estrogénu pri inklúzii</w:t>
      </w:r>
    </w:p>
    <w:p w14:paraId="6FDE8197" w14:textId="77777777" w:rsidR="00FE14F7" w:rsidRPr="00FA0191" w:rsidRDefault="00FE14F7" w:rsidP="00D5009E">
      <w:pPr>
        <w:pStyle w:val="BodytextAgency"/>
        <w:spacing w:after="0" w:line="240" w:lineRule="auto"/>
        <w:rPr>
          <w:rFonts w:ascii="Times New Roman" w:hAnsi="Times New Roman" w:cs="Times New Roman"/>
          <w:sz w:val="22"/>
          <w:szCs w:val="22"/>
        </w:rPr>
      </w:pPr>
    </w:p>
    <w:p w14:paraId="5C8C2FA4" w14:textId="5FA0E24C" w:rsidR="000C30B3" w:rsidRPr="00DB0DC3" w:rsidRDefault="000C30B3" w:rsidP="00D5009E">
      <w:pPr>
        <w:pStyle w:val="BodytextAgency"/>
        <w:spacing w:after="0" w:line="240" w:lineRule="auto"/>
      </w:pPr>
      <w:r w:rsidRPr="00FA0191">
        <w:rPr>
          <w:rFonts w:ascii="Times New Roman" w:hAnsi="Times New Roman" w:cs="Times New Roman"/>
          <w:sz w:val="22"/>
          <w:szCs w:val="22"/>
        </w:rPr>
        <w:t xml:space="preserve">Napríklad, kumulatívna dávka 12 g, môže zodpovedať 1-ročnej liečbe 50 mg denne počas 20 dní každý mesiac. </w:t>
      </w:r>
    </w:p>
    <w:p w14:paraId="090C90E8" w14:textId="77777777" w:rsidR="00DF67E8" w:rsidRPr="00DB0DC3" w:rsidRDefault="00DF67E8">
      <w:pPr>
        <w:ind w:left="0" w:firstLine="0"/>
        <w:outlineLvl w:val="0"/>
      </w:pPr>
    </w:p>
    <w:p w14:paraId="421FBE17" w14:textId="77777777" w:rsidR="00DF67E8" w:rsidRPr="00DB0DC3" w:rsidRDefault="00DF67E8">
      <w:pPr>
        <w:rPr>
          <w:szCs w:val="22"/>
        </w:rPr>
      </w:pPr>
      <w:r w:rsidRPr="00DB0DC3">
        <w:rPr>
          <w:b/>
          <w:szCs w:val="22"/>
        </w:rPr>
        <w:t>5.2</w:t>
      </w:r>
      <w:r w:rsidRPr="00DB0DC3">
        <w:rPr>
          <w:b/>
          <w:szCs w:val="22"/>
        </w:rPr>
        <w:tab/>
        <w:t>Farmakokinetické vlastnosti</w:t>
      </w:r>
    </w:p>
    <w:p w14:paraId="56CC5FD5" w14:textId="77777777" w:rsidR="00DF67E8" w:rsidRPr="00DB0DC3" w:rsidRDefault="00DF67E8">
      <w:pPr>
        <w:rPr>
          <w:szCs w:val="22"/>
        </w:rPr>
      </w:pPr>
    </w:p>
    <w:p w14:paraId="7985424C" w14:textId="155D62EE" w:rsidR="00DF67E8" w:rsidRPr="00DB0DC3" w:rsidRDefault="00DF67E8">
      <w:pPr>
        <w:rPr>
          <w:i/>
          <w:szCs w:val="22"/>
        </w:rPr>
      </w:pPr>
      <w:r w:rsidRPr="00DB0DC3">
        <w:rPr>
          <w:i/>
          <w:szCs w:val="22"/>
        </w:rPr>
        <w:t>Cyproterón</w:t>
      </w:r>
      <w:r w:rsidR="003E5262">
        <w:rPr>
          <w:i/>
          <w:szCs w:val="22"/>
        </w:rPr>
        <w:t>ium-</w:t>
      </w:r>
      <w:r w:rsidRPr="00DB0DC3">
        <w:rPr>
          <w:i/>
          <w:szCs w:val="22"/>
        </w:rPr>
        <w:t xml:space="preserve">acetát: </w:t>
      </w:r>
    </w:p>
    <w:p w14:paraId="084D483C" w14:textId="6B2357EB" w:rsidR="00DF67E8" w:rsidRPr="00DB0DC3" w:rsidRDefault="00DF67E8">
      <w:pPr>
        <w:ind w:left="0" w:firstLine="0"/>
        <w:rPr>
          <w:szCs w:val="22"/>
        </w:rPr>
      </w:pPr>
      <w:r w:rsidRPr="00DB0DC3">
        <w:rPr>
          <w:szCs w:val="22"/>
        </w:rPr>
        <w:t>Cyproterón</w:t>
      </w:r>
      <w:r w:rsidR="003E5262">
        <w:rPr>
          <w:szCs w:val="22"/>
        </w:rPr>
        <w:t>ium-</w:t>
      </w:r>
      <w:r w:rsidRPr="00DB0DC3">
        <w:rPr>
          <w:szCs w:val="22"/>
        </w:rPr>
        <w:t>acetát sa po perorálnom podaní kompletne absorbuje v širokom rozpätí dávok. Po požití Vreye sa maximálna sérová hladina 15 ng cyproterón</w:t>
      </w:r>
      <w:r w:rsidR="003E5262">
        <w:rPr>
          <w:szCs w:val="22"/>
        </w:rPr>
        <w:t>ium-</w:t>
      </w:r>
      <w:r w:rsidRPr="00DB0DC3">
        <w:rPr>
          <w:szCs w:val="22"/>
        </w:rPr>
        <w:t>acetátu/ml dosiahne za 1,6 hodiny. Následne hladina liečiva v sére klesá v dvoch rozlíšených fázach charakterizovaných polčasmi 0,8 hodiny a 2,3 dňa. Celkový klírens cyproterón</w:t>
      </w:r>
      <w:r w:rsidR="003E5262">
        <w:rPr>
          <w:szCs w:val="22"/>
        </w:rPr>
        <w:t>ium-</w:t>
      </w:r>
      <w:r w:rsidRPr="00DB0DC3">
        <w:rPr>
          <w:szCs w:val="22"/>
        </w:rPr>
        <w:t>acetátu zo séra sa stanovil na 3,6 ml/min/kg. Cyproterón</w:t>
      </w:r>
      <w:r w:rsidR="003E5262">
        <w:rPr>
          <w:szCs w:val="22"/>
        </w:rPr>
        <w:t>ium-</w:t>
      </w:r>
      <w:r w:rsidRPr="00DB0DC3">
        <w:rPr>
          <w:szCs w:val="22"/>
        </w:rPr>
        <w:t>acetát je metabolizovaný rôznymi cestami, vrátane hydroxylácie a konjugácie. Hlavným metabolitom v ľudskej plazme je 15β-hydroxy derivát.</w:t>
      </w:r>
    </w:p>
    <w:p w14:paraId="17D8EB8F" w14:textId="77777777" w:rsidR="00DF67E8" w:rsidRPr="00DB0DC3" w:rsidRDefault="00DF67E8">
      <w:pPr>
        <w:ind w:left="0" w:firstLine="0"/>
        <w:rPr>
          <w:szCs w:val="22"/>
        </w:rPr>
      </w:pPr>
    </w:p>
    <w:p w14:paraId="77D1848B" w14:textId="77777777" w:rsidR="00DF67E8" w:rsidRPr="00DB0DC3" w:rsidRDefault="00DF67E8">
      <w:pPr>
        <w:ind w:left="0" w:firstLine="0"/>
        <w:rPr>
          <w:szCs w:val="22"/>
        </w:rPr>
      </w:pPr>
      <w:r w:rsidRPr="00DB0DC3">
        <w:rPr>
          <w:szCs w:val="22"/>
        </w:rPr>
        <w:t>Niektoré časti dávky sa vylúčia nezmenené žlčou. Väčšina dávky sa vylúči vo forme metabolitov močom a žlčou v pomere 3:7. Polčas priebehu renálnej a biliárnej exkrécie sa stanovil na 1,9 dňa. Metabolity z plazmy sa eliminovali podobnou rýchlosťou (polčas 1,7 dňa).</w:t>
      </w:r>
    </w:p>
    <w:p w14:paraId="3BD6C028" w14:textId="77777777" w:rsidR="00DF67E8" w:rsidRPr="00DB0DC3" w:rsidRDefault="00DF67E8">
      <w:pPr>
        <w:ind w:left="0" w:firstLine="0"/>
        <w:rPr>
          <w:szCs w:val="22"/>
        </w:rPr>
      </w:pPr>
    </w:p>
    <w:p w14:paraId="38969B85" w14:textId="3A166A8E" w:rsidR="00DF67E8" w:rsidRPr="00DB0DC3" w:rsidRDefault="00DF67E8">
      <w:pPr>
        <w:ind w:left="0" w:firstLine="0"/>
        <w:rPr>
          <w:szCs w:val="22"/>
        </w:rPr>
      </w:pPr>
      <w:r w:rsidRPr="00DB0DC3">
        <w:rPr>
          <w:szCs w:val="22"/>
        </w:rPr>
        <w:t>Cyproterón</w:t>
      </w:r>
      <w:r w:rsidR="003E5262">
        <w:rPr>
          <w:szCs w:val="22"/>
        </w:rPr>
        <w:t>ium-</w:t>
      </w:r>
      <w:r w:rsidRPr="00DB0DC3">
        <w:rPr>
          <w:szCs w:val="22"/>
        </w:rPr>
        <w:t>acetát sa skoro výlučne viaže na albumín v plazme. Približne 3,5 – 4,0% z celkového množstva liečiva sa vyskytuje v neviazanej forme. Keďže väzba na proteíny je nešpecifická, zmeny hladín globulínu viažuceho pohlavné hormóny (SHBG) neovplyvňujú farmakokinetiku cyproterón</w:t>
      </w:r>
      <w:r w:rsidR="003E5262">
        <w:rPr>
          <w:szCs w:val="22"/>
        </w:rPr>
        <w:t>ium-</w:t>
      </w:r>
      <w:r w:rsidRPr="00DB0DC3">
        <w:rPr>
          <w:szCs w:val="22"/>
        </w:rPr>
        <w:t>acetátu.</w:t>
      </w:r>
    </w:p>
    <w:p w14:paraId="04D900C1" w14:textId="77777777" w:rsidR="00DF67E8" w:rsidRPr="00DB0DC3" w:rsidRDefault="00DF67E8">
      <w:pPr>
        <w:ind w:left="0" w:firstLine="0"/>
        <w:rPr>
          <w:szCs w:val="22"/>
        </w:rPr>
      </w:pPr>
    </w:p>
    <w:p w14:paraId="13FEB1E0" w14:textId="66B18081" w:rsidR="00DF67E8" w:rsidRPr="00DB0DC3" w:rsidRDefault="00DF67E8">
      <w:pPr>
        <w:ind w:left="0" w:firstLine="0"/>
        <w:rPr>
          <w:szCs w:val="22"/>
        </w:rPr>
      </w:pPr>
      <w:r w:rsidRPr="00DB0DC3">
        <w:rPr>
          <w:szCs w:val="22"/>
        </w:rPr>
        <w:t>Vzhľadom na dlhý polčas eliminácie z plazmy (séra) a dennú dávku, cyproterón</w:t>
      </w:r>
      <w:r w:rsidR="003E5262">
        <w:rPr>
          <w:szCs w:val="22"/>
        </w:rPr>
        <w:t>ium-</w:t>
      </w:r>
      <w:r w:rsidRPr="00DB0DC3">
        <w:rPr>
          <w:szCs w:val="22"/>
        </w:rPr>
        <w:t>acetát sa počas jedného liečebného cyklu kumuluje. Stredné maximálne hladiny liečiva v sére stúpajú z 15 ng/ml (1. deň) na 21 ng/ml a 24 ng/ml na konci 1., resp. 3. liečebného cyklu. Plocha pod krivkou závislosti koncentrácie na čase sa zväčší 2,2-krát (koniec 1. cyklu) a 2,4-krát (koniec 3. cyklu). Rovnovážny stav sa dosiahol približne po 10 dňoch. Počas dlhodobej liečby je kumulácia cyproterón</w:t>
      </w:r>
      <w:r w:rsidR="003E5262">
        <w:rPr>
          <w:szCs w:val="22"/>
        </w:rPr>
        <w:t>ium-</w:t>
      </w:r>
      <w:r w:rsidRPr="00DB0DC3">
        <w:rPr>
          <w:szCs w:val="22"/>
        </w:rPr>
        <w:t>acetátu dvojnásobná.</w:t>
      </w:r>
    </w:p>
    <w:p w14:paraId="2CFA95F9" w14:textId="77777777" w:rsidR="00DF67E8" w:rsidRPr="00DB0DC3" w:rsidRDefault="00DF67E8">
      <w:pPr>
        <w:ind w:left="0" w:firstLine="0"/>
        <w:rPr>
          <w:szCs w:val="22"/>
        </w:rPr>
      </w:pPr>
    </w:p>
    <w:p w14:paraId="245842C2" w14:textId="2607B0A3" w:rsidR="00DF67E8" w:rsidRPr="00DB0DC3" w:rsidRDefault="00DF67E8">
      <w:pPr>
        <w:ind w:left="0" w:firstLine="0"/>
        <w:rPr>
          <w:szCs w:val="22"/>
        </w:rPr>
      </w:pPr>
      <w:r w:rsidRPr="00DB0DC3">
        <w:rPr>
          <w:szCs w:val="22"/>
        </w:rPr>
        <w:t>Absolútna biologická dostupnosť cyproterón</w:t>
      </w:r>
      <w:r w:rsidR="003E5262">
        <w:rPr>
          <w:szCs w:val="22"/>
        </w:rPr>
        <w:t>ium-</w:t>
      </w:r>
      <w:r w:rsidRPr="00DB0DC3">
        <w:rPr>
          <w:szCs w:val="22"/>
        </w:rPr>
        <w:t>acetátu je takmer úplná (88% dávky). Relatívna biodostupnosť cyproterón</w:t>
      </w:r>
      <w:r w:rsidR="003E5262">
        <w:rPr>
          <w:szCs w:val="22"/>
        </w:rPr>
        <w:t>ium-</w:t>
      </w:r>
      <w:r w:rsidRPr="00DB0DC3">
        <w:rPr>
          <w:szCs w:val="22"/>
        </w:rPr>
        <w:t>acetátu z Vreye bola 109% v porovnaní s vodnou mikrokryštalickou suspenziou.</w:t>
      </w:r>
    </w:p>
    <w:p w14:paraId="6905C306" w14:textId="77777777" w:rsidR="00DF67E8" w:rsidRPr="00DB0DC3" w:rsidRDefault="00DF67E8">
      <w:pPr>
        <w:ind w:left="0" w:firstLine="0"/>
        <w:rPr>
          <w:szCs w:val="22"/>
        </w:rPr>
      </w:pPr>
    </w:p>
    <w:p w14:paraId="1D17A003" w14:textId="77777777" w:rsidR="00DF67E8" w:rsidRPr="00DB0DC3" w:rsidRDefault="00DF67E8">
      <w:pPr>
        <w:ind w:left="0" w:firstLine="0"/>
        <w:rPr>
          <w:i/>
          <w:szCs w:val="22"/>
        </w:rPr>
      </w:pPr>
      <w:r w:rsidRPr="00DB0DC3">
        <w:rPr>
          <w:i/>
          <w:szCs w:val="22"/>
        </w:rPr>
        <w:t>Etinylestradiol:</w:t>
      </w:r>
    </w:p>
    <w:p w14:paraId="2E625CF8" w14:textId="77777777" w:rsidR="00DF67E8" w:rsidRPr="00DB0DC3" w:rsidRDefault="00DF67E8">
      <w:pPr>
        <w:ind w:left="0" w:firstLine="0"/>
        <w:rPr>
          <w:szCs w:val="22"/>
        </w:rPr>
      </w:pPr>
      <w:r w:rsidRPr="00DB0DC3">
        <w:rPr>
          <w:szCs w:val="22"/>
        </w:rPr>
        <w:lastRenderedPageBreak/>
        <w:t>Perorálne podaný etinylestradiol sa absorbuje rýchlo a úplne. Maximálna hladina liečiva v sére, 80 pg/ml etinylestradiolu, sa dosiahne 1,7 hodiny po požití 2 mg Vreye. Následne hladina etinylestradiolu v plazme klesá v dvoch fázach charakterizovaných polčasmi 1 – 2 hodiny a asi 20 hodín. Z analytických dôvodov sa tieto parametre mohli stanoviť len pri vyššom dávkovaní.</w:t>
      </w:r>
    </w:p>
    <w:p w14:paraId="0E9573AF" w14:textId="77777777" w:rsidR="00DF67E8" w:rsidRPr="00DB0DC3" w:rsidRDefault="00DF67E8">
      <w:pPr>
        <w:ind w:left="0" w:firstLine="0"/>
        <w:rPr>
          <w:szCs w:val="22"/>
        </w:rPr>
      </w:pPr>
    </w:p>
    <w:p w14:paraId="1683AF08" w14:textId="77777777" w:rsidR="00DF67E8" w:rsidRPr="00DB0DC3" w:rsidRDefault="00DF67E8">
      <w:pPr>
        <w:ind w:left="0" w:firstLine="0"/>
        <w:rPr>
          <w:szCs w:val="22"/>
        </w:rPr>
      </w:pPr>
      <w:r w:rsidRPr="00DB0DC3">
        <w:rPr>
          <w:szCs w:val="22"/>
        </w:rPr>
        <w:t xml:space="preserve">Zdanlivý distribučný objem etinylestradiolu sa stanovil asi na 5 l/kg a metabolický plazmatický klírens bol približne 5 ml/min/kg. </w:t>
      </w:r>
    </w:p>
    <w:p w14:paraId="54DE910F" w14:textId="77777777" w:rsidR="00DF67E8" w:rsidRPr="00DB0DC3" w:rsidRDefault="00DF67E8">
      <w:pPr>
        <w:ind w:left="0" w:firstLine="0"/>
        <w:rPr>
          <w:szCs w:val="22"/>
        </w:rPr>
      </w:pPr>
      <w:r w:rsidRPr="00DB0DC3">
        <w:rPr>
          <w:szCs w:val="22"/>
        </w:rPr>
        <w:t>Etinylestradiol sa vysoko, ale nešpecificky, viaže na sérový albumín. 2% liečiva sa vyskytujú v neviazanej forme. Etinylestradiol sa metabolizuje počas absorpcie a prvého prechodu pečeňou, čo vedie k zníženiu celkovej a variabilnej perorálnej biologickej dostupnosti. Nezmenené liečivo sa nevylučuje. Metabolity etinylestradiolu sa vylučujú močom a žlčou v pomere 4:6 s polčasom vylučovania približne 1 deň.</w:t>
      </w:r>
    </w:p>
    <w:p w14:paraId="796FCD67" w14:textId="77777777" w:rsidR="00DF67E8" w:rsidRPr="00DB0DC3" w:rsidRDefault="00DF67E8">
      <w:pPr>
        <w:ind w:left="0" w:firstLine="0"/>
        <w:rPr>
          <w:szCs w:val="22"/>
        </w:rPr>
      </w:pPr>
    </w:p>
    <w:p w14:paraId="5127EA45" w14:textId="77777777" w:rsidR="00DF67E8" w:rsidRPr="00DB0DC3" w:rsidRDefault="00DF67E8">
      <w:pPr>
        <w:ind w:left="0" w:firstLine="0"/>
        <w:rPr>
          <w:szCs w:val="22"/>
        </w:rPr>
      </w:pPr>
      <w:r w:rsidRPr="00DB0DC3">
        <w:rPr>
          <w:szCs w:val="22"/>
        </w:rPr>
        <w:t>Rovnovážne plazmatické hladiny sa v závislosti od polčasu terminálnej eliminačnej fázy z plazmy a od denného príjmu dosiahnu po 3 – 4 dňoch a v porovnaní s jednorazovou dávkou sú vyššie o 30 -40%. Relatívna biologická dostupnosť etinylestradiolu z Vreye (v porovnaní s vodnou mikrokryštalickou suspenziou) bola 85%.</w:t>
      </w:r>
    </w:p>
    <w:p w14:paraId="03532AAB" w14:textId="77777777" w:rsidR="00DF67E8" w:rsidRPr="00DB0DC3" w:rsidRDefault="00DF67E8">
      <w:pPr>
        <w:ind w:left="0" w:firstLine="0"/>
        <w:rPr>
          <w:szCs w:val="22"/>
        </w:rPr>
      </w:pPr>
    </w:p>
    <w:p w14:paraId="28988E2E" w14:textId="77777777" w:rsidR="00DF67E8" w:rsidRPr="00DB0DC3" w:rsidRDefault="00DF67E8">
      <w:pPr>
        <w:ind w:left="0" w:firstLine="0"/>
        <w:rPr>
          <w:szCs w:val="22"/>
        </w:rPr>
      </w:pPr>
      <w:r w:rsidRPr="00DB0DC3">
        <w:rPr>
          <w:szCs w:val="22"/>
        </w:rPr>
        <w:t>Etinylestradiol v priebehu kontinuálneho používania indukuje hepatálnu syntézu globulínu viažuceho pohlavné hormóny (SHBG) a globulínu viažuceho kortikosteroidy (CBG). Rozsah indukcie SHBG však závisí od chemickej štruktúry a dávky súbežne podávaného progestínu. Sérové koncentrácie SHBG počas liečby Vreyou stúpajú približne zo 100 nmol/l na 300 nmol/l a sérové hladiny CBG vzrastú asi z 50 µg/ml na 95 µg/ml.</w:t>
      </w:r>
    </w:p>
    <w:p w14:paraId="7F934D0E" w14:textId="77777777" w:rsidR="00DF67E8" w:rsidRPr="00DB0DC3" w:rsidRDefault="00DF67E8">
      <w:pPr>
        <w:ind w:left="0" w:firstLine="0"/>
        <w:rPr>
          <w:szCs w:val="22"/>
        </w:rPr>
      </w:pPr>
    </w:p>
    <w:p w14:paraId="51001AD4" w14:textId="77777777" w:rsidR="00DF67E8" w:rsidRPr="00DB0DC3" w:rsidRDefault="00DF67E8">
      <w:pPr>
        <w:rPr>
          <w:szCs w:val="22"/>
        </w:rPr>
      </w:pPr>
      <w:r w:rsidRPr="00DB0DC3">
        <w:rPr>
          <w:b/>
          <w:szCs w:val="22"/>
        </w:rPr>
        <w:t>5.3 Predklinické údaje o bezpečnosti</w:t>
      </w:r>
      <w:r w:rsidRPr="00DB0DC3">
        <w:rPr>
          <w:szCs w:val="22"/>
        </w:rPr>
        <w:t xml:space="preserve"> </w:t>
      </w:r>
    </w:p>
    <w:p w14:paraId="0C1223E4" w14:textId="77777777" w:rsidR="00DB464B" w:rsidRPr="00DB0DC3" w:rsidRDefault="00DB464B">
      <w:pPr>
        <w:rPr>
          <w:szCs w:val="22"/>
        </w:rPr>
      </w:pPr>
    </w:p>
    <w:p w14:paraId="2EF79262" w14:textId="77777777" w:rsidR="00DF67E8" w:rsidRPr="00DB0DC3" w:rsidRDefault="00DB464B">
      <w:pPr>
        <w:rPr>
          <w:szCs w:val="22"/>
          <w:u w:val="single"/>
        </w:rPr>
      </w:pPr>
      <w:r w:rsidRPr="00DB0DC3">
        <w:rPr>
          <w:szCs w:val="22"/>
          <w:u w:val="single"/>
        </w:rPr>
        <w:t>Etinylestradiol</w:t>
      </w:r>
    </w:p>
    <w:p w14:paraId="6AB7880D" w14:textId="77777777" w:rsidR="00DB464B" w:rsidRPr="00DB0DC3" w:rsidRDefault="00DB464B" w:rsidP="00DB464B">
      <w:pPr>
        <w:ind w:left="0" w:firstLine="0"/>
        <w:rPr>
          <w:color w:val="222222"/>
          <w:szCs w:val="22"/>
        </w:rPr>
      </w:pPr>
      <w:r w:rsidRPr="00DB0DC3">
        <w:rPr>
          <w:rStyle w:val="hps"/>
          <w:color w:val="222222"/>
          <w:szCs w:val="22"/>
        </w:rPr>
        <w:t>Profil</w:t>
      </w:r>
      <w:r w:rsidRPr="00DB0DC3">
        <w:rPr>
          <w:color w:val="222222"/>
          <w:szCs w:val="22"/>
        </w:rPr>
        <w:t xml:space="preserve"> </w:t>
      </w:r>
      <w:r w:rsidRPr="00DB0DC3">
        <w:rPr>
          <w:rStyle w:val="hps"/>
          <w:color w:val="222222"/>
          <w:szCs w:val="22"/>
        </w:rPr>
        <w:t>toxicity</w:t>
      </w:r>
      <w:r w:rsidRPr="00DB0DC3">
        <w:rPr>
          <w:color w:val="222222"/>
          <w:szCs w:val="22"/>
        </w:rPr>
        <w:t xml:space="preserve"> </w:t>
      </w:r>
      <w:r w:rsidRPr="00DB0DC3">
        <w:rPr>
          <w:rStyle w:val="hps"/>
          <w:color w:val="222222"/>
          <w:szCs w:val="22"/>
        </w:rPr>
        <w:t>etinylestradiolu</w:t>
      </w:r>
      <w:r w:rsidRPr="00DB0DC3">
        <w:rPr>
          <w:color w:val="222222"/>
          <w:szCs w:val="22"/>
        </w:rPr>
        <w:t xml:space="preserve"> </w:t>
      </w:r>
      <w:r w:rsidRPr="00DB0DC3">
        <w:rPr>
          <w:rStyle w:val="hps"/>
          <w:color w:val="222222"/>
          <w:szCs w:val="22"/>
        </w:rPr>
        <w:t>je</w:t>
      </w:r>
      <w:r w:rsidRPr="00DB0DC3">
        <w:rPr>
          <w:color w:val="222222"/>
          <w:szCs w:val="22"/>
        </w:rPr>
        <w:t xml:space="preserve"> </w:t>
      </w:r>
      <w:r w:rsidRPr="00DB0DC3">
        <w:rPr>
          <w:rStyle w:val="hps"/>
          <w:color w:val="222222"/>
          <w:szCs w:val="22"/>
        </w:rPr>
        <w:t>dobre</w:t>
      </w:r>
      <w:r w:rsidRPr="00DB0DC3">
        <w:rPr>
          <w:color w:val="222222"/>
          <w:szCs w:val="22"/>
        </w:rPr>
        <w:t xml:space="preserve"> </w:t>
      </w:r>
      <w:r w:rsidRPr="00DB0DC3">
        <w:rPr>
          <w:rStyle w:val="hps"/>
          <w:color w:val="222222"/>
          <w:szCs w:val="22"/>
        </w:rPr>
        <w:t>známy</w:t>
      </w:r>
      <w:r w:rsidRPr="00DB0DC3">
        <w:rPr>
          <w:color w:val="222222"/>
          <w:szCs w:val="22"/>
        </w:rPr>
        <w:t xml:space="preserve">. </w:t>
      </w:r>
      <w:r w:rsidRPr="00DB0DC3">
        <w:rPr>
          <w:rStyle w:val="hps"/>
          <w:color w:val="222222"/>
          <w:szCs w:val="22"/>
        </w:rPr>
        <w:t>Pre</w:t>
      </w:r>
      <w:r w:rsidRPr="00DB0DC3">
        <w:rPr>
          <w:color w:val="222222"/>
          <w:szCs w:val="22"/>
        </w:rPr>
        <w:t xml:space="preserve"> </w:t>
      </w:r>
      <w:r w:rsidRPr="00DB0DC3">
        <w:rPr>
          <w:rStyle w:val="hps"/>
          <w:color w:val="222222"/>
          <w:szCs w:val="22"/>
        </w:rPr>
        <w:t>predpisujúceho lekára</w:t>
      </w:r>
      <w:r w:rsidRPr="00DB0DC3">
        <w:rPr>
          <w:color w:val="222222"/>
          <w:szCs w:val="22"/>
        </w:rPr>
        <w:t xml:space="preserve">, </w:t>
      </w:r>
      <w:r w:rsidR="00B1422F" w:rsidRPr="00DB0DC3">
        <w:rPr>
          <w:rStyle w:val="hps"/>
          <w:color w:val="222222"/>
          <w:szCs w:val="22"/>
        </w:rPr>
        <w:t xml:space="preserve">nie sú k dispozícii </w:t>
      </w:r>
      <w:r w:rsidRPr="00DB0DC3">
        <w:rPr>
          <w:rStyle w:val="hps"/>
          <w:color w:val="222222"/>
          <w:szCs w:val="22"/>
        </w:rPr>
        <w:t>žiadne</w:t>
      </w:r>
      <w:r w:rsidRPr="00DB0DC3">
        <w:rPr>
          <w:color w:val="222222"/>
          <w:szCs w:val="22"/>
        </w:rPr>
        <w:t xml:space="preserve"> </w:t>
      </w:r>
      <w:r w:rsidR="00B1422F" w:rsidRPr="00DB0DC3">
        <w:rPr>
          <w:color w:val="222222"/>
          <w:szCs w:val="22"/>
        </w:rPr>
        <w:t xml:space="preserve">ďalšie </w:t>
      </w:r>
      <w:r w:rsidRPr="00DB0DC3">
        <w:rPr>
          <w:rStyle w:val="hps"/>
          <w:color w:val="222222"/>
          <w:szCs w:val="22"/>
        </w:rPr>
        <w:t>relevantné</w:t>
      </w:r>
      <w:r w:rsidRPr="00DB0DC3">
        <w:rPr>
          <w:color w:val="222222"/>
          <w:szCs w:val="22"/>
        </w:rPr>
        <w:t xml:space="preserve"> </w:t>
      </w:r>
      <w:r w:rsidRPr="00DB0DC3">
        <w:rPr>
          <w:rStyle w:val="hps"/>
          <w:color w:val="222222"/>
          <w:szCs w:val="22"/>
        </w:rPr>
        <w:t>predklinické</w:t>
      </w:r>
      <w:r w:rsidRPr="00DB0DC3">
        <w:rPr>
          <w:color w:val="222222"/>
          <w:szCs w:val="22"/>
        </w:rPr>
        <w:t xml:space="preserve"> </w:t>
      </w:r>
      <w:r w:rsidRPr="00DB0DC3">
        <w:rPr>
          <w:rStyle w:val="hps"/>
          <w:color w:val="222222"/>
          <w:szCs w:val="22"/>
        </w:rPr>
        <w:t>údaj</w:t>
      </w:r>
      <w:r w:rsidR="00B1422F" w:rsidRPr="00DB0DC3">
        <w:rPr>
          <w:rStyle w:val="hps"/>
          <w:color w:val="222222"/>
          <w:szCs w:val="22"/>
        </w:rPr>
        <w:t>e,</w:t>
      </w:r>
      <w:r w:rsidRPr="00DB0DC3">
        <w:rPr>
          <w:color w:val="222222"/>
          <w:szCs w:val="22"/>
        </w:rPr>
        <w:t xml:space="preserve"> </w:t>
      </w:r>
      <w:r w:rsidRPr="00DB0DC3">
        <w:rPr>
          <w:rStyle w:val="hps"/>
          <w:color w:val="222222"/>
          <w:szCs w:val="22"/>
        </w:rPr>
        <w:t>okrem údajov uvedených</w:t>
      </w:r>
      <w:r w:rsidRPr="00DB0DC3">
        <w:rPr>
          <w:color w:val="222222"/>
          <w:szCs w:val="22"/>
        </w:rPr>
        <w:t xml:space="preserve"> </w:t>
      </w:r>
      <w:r w:rsidRPr="00DB0DC3">
        <w:rPr>
          <w:rStyle w:val="hps"/>
          <w:color w:val="222222"/>
          <w:szCs w:val="22"/>
        </w:rPr>
        <w:t>už</w:t>
      </w:r>
      <w:r w:rsidRPr="00DB0DC3">
        <w:rPr>
          <w:color w:val="222222"/>
          <w:szCs w:val="22"/>
        </w:rPr>
        <w:t xml:space="preserve"> </w:t>
      </w:r>
      <w:r w:rsidRPr="00DB0DC3">
        <w:rPr>
          <w:rStyle w:val="hps"/>
          <w:color w:val="222222"/>
          <w:szCs w:val="22"/>
        </w:rPr>
        <w:t>v</w:t>
      </w:r>
      <w:r w:rsidRPr="00DB0DC3">
        <w:rPr>
          <w:color w:val="222222"/>
          <w:szCs w:val="22"/>
        </w:rPr>
        <w:t xml:space="preserve"> </w:t>
      </w:r>
      <w:r w:rsidRPr="00DB0DC3">
        <w:rPr>
          <w:rStyle w:val="hps"/>
          <w:color w:val="222222"/>
          <w:szCs w:val="22"/>
        </w:rPr>
        <w:t>iných častiach</w:t>
      </w:r>
      <w:r w:rsidRPr="00DB0DC3">
        <w:rPr>
          <w:color w:val="222222"/>
          <w:szCs w:val="22"/>
        </w:rPr>
        <w:t xml:space="preserve"> </w:t>
      </w:r>
      <w:r w:rsidR="00B1422F" w:rsidRPr="00DB0DC3">
        <w:rPr>
          <w:color w:val="222222"/>
          <w:szCs w:val="22"/>
        </w:rPr>
        <w:t>tohto súhrnu.</w:t>
      </w:r>
    </w:p>
    <w:p w14:paraId="1DEB3B62" w14:textId="77777777" w:rsidR="00B1422F" w:rsidRPr="00DB0DC3" w:rsidRDefault="00B1422F" w:rsidP="00DB464B">
      <w:pPr>
        <w:ind w:left="0" w:firstLine="0"/>
        <w:rPr>
          <w:color w:val="222222"/>
          <w:szCs w:val="22"/>
        </w:rPr>
      </w:pPr>
    </w:p>
    <w:p w14:paraId="6451DE37" w14:textId="42800E36" w:rsidR="00B1422F" w:rsidRPr="00DB0DC3" w:rsidRDefault="00B1422F" w:rsidP="00DB464B">
      <w:pPr>
        <w:ind w:left="0" w:firstLine="0"/>
        <w:rPr>
          <w:szCs w:val="22"/>
          <w:u w:val="single"/>
        </w:rPr>
      </w:pPr>
      <w:r w:rsidRPr="00DB0DC3">
        <w:rPr>
          <w:color w:val="222222"/>
          <w:szCs w:val="22"/>
          <w:u w:val="single"/>
        </w:rPr>
        <w:t>Cyproterón</w:t>
      </w:r>
      <w:r w:rsidR="003E5262">
        <w:rPr>
          <w:color w:val="222222"/>
          <w:szCs w:val="22"/>
          <w:u w:val="single"/>
        </w:rPr>
        <w:t>ium-</w:t>
      </w:r>
      <w:r w:rsidRPr="00DB0DC3">
        <w:rPr>
          <w:color w:val="222222"/>
          <w:szCs w:val="22"/>
          <w:u w:val="single"/>
        </w:rPr>
        <w:t>acetát</w:t>
      </w:r>
    </w:p>
    <w:p w14:paraId="33C6C5FD" w14:textId="45DF9749" w:rsidR="00DF67E8" w:rsidRPr="00DB0DC3" w:rsidRDefault="00DF67E8">
      <w:pPr>
        <w:ind w:left="0" w:firstLine="0"/>
        <w:rPr>
          <w:szCs w:val="22"/>
        </w:rPr>
      </w:pPr>
      <w:r w:rsidRPr="00DB0DC3">
        <w:rPr>
          <w:szCs w:val="22"/>
        </w:rPr>
        <w:t>Uznávané testy genotoxicity prvej línie s</w:t>
      </w:r>
      <w:r w:rsidR="003E5262">
        <w:rPr>
          <w:szCs w:val="22"/>
        </w:rPr>
        <w:t> </w:t>
      </w:r>
      <w:r w:rsidRPr="00DB0DC3">
        <w:rPr>
          <w:szCs w:val="22"/>
        </w:rPr>
        <w:t>cyproterón</w:t>
      </w:r>
      <w:r w:rsidR="003E5262">
        <w:rPr>
          <w:szCs w:val="22"/>
        </w:rPr>
        <w:t>ium-</w:t>
      </w:r>
      <w:r w:rsidRPr="00DB0DC3">
        <w:rPr>
          <w:szCs w:val="22"/>
        </w:rPr>
        <w:t>acetátom vykázali negatívne výsledky. Ďalšie testy však ukázali, že cyproterón</w:t>
      </w:r>
      <w:r w:rsidR="003E5262">
        <w:rPr>
          <w:szCs w:val="22"/>
        </w:rPr>
        <w:t>ium-</w:t>
      </w:r>
      <w:r w:rsidRPr="00DB0DC3">
        <w:rPr>
          <w:szCs w:val="22"/>
        </w:rPr>
        <w:t>acetát je schopný tvoriť adukty DNA (a zvyšovať reparačnú aktivitu DNA) v pečeňových bunkách potkanov a opíc, rovnako aj v čerstvo izolovaných ľudských hepatocytoch. Táto tvorba aduktov DNA bola zistená pri expozíciách očakávaných pri odporúčanom dávkovaní cyproterón</w:t>
      </w:r>
      <w:r w:rsidR="003E5262">
        <w:rPr>
          <w:szCs w:val="22"/>
        </w:rPr>
        <w:t>ium-</w:t>
      </w:r>
      <w:r w:rsidRPr="00DB0DC3">
        <w:rPr>
          <w:szCs w:val="22"/>
        </w:rPr>
        <w:t xml:space="preserve">acetátu. Jediným </w:t>
      </w:r>
      <w:r w:rsidRPr="00DB0DC3">
        <w:rPr>
          <w:i/>
          <w:szCs w:val="22"/>
        </w:rPr>
        <w:t>in vivo</w:t>
      </w:r>
      <w:r w:rsidRPr="00DB0DC3">
        <w:rPr>
          <w:szCs w:val="22"/>
        </w:rPr>
        <w:t xml:space="preserve"> dôsledkom liečby cyproterón</w:t>
      </w:r>
      <w:r w:rsidR="003E5262">
        <w:rPr>
          <w:szCs w:val="22"/>
        </w:rPr>
        <w:t>ium-</w:t>
      </w:r>
      <w:r w:rsidRPr="00DB0DC3">
        <w:rPr>
          <w:szCs w:val="22"/>
        </w:rPr>
        <w:t>acetátom u potkanov bol zvýšený výskyt fokálnych, možno prekanceróznych poškodení funkcie pečene, ktorej bunkové enzýmy boli zmenené u samíc potkanov. Klinický význam týchto zistení je v súčasnosti neistý. Doterajšie klinické skúsenosti nepotvrdzujú zvýšený výskyt nádorov pečene u človeka.</w:t>
      </w:r>
    </w:p>
    <w:p w14:paraId="6BA644DD" w14:textId="77777777" w:rsidR="00DF67E8" w:rsidRPr="00DB0DC3" w:rsidRDefault="00DF67E8">
      <w:pPr>
        <w:rPr>
          <w:szCs w:val="22"/>
        </w:rPr>
      </w:pPr>
    </w:p>
    <w:p w14:paraId="64ACB6D6" w14:textId="77777777" w:rsidR="00DF67E8" w:rsidRPr="00DB0DC3" w:rsidRDefault="00DF67E8">
      <w:pPr>
        <w:rPr>
          <w:szCs w:val="22"/>
        </w:rPr>
      </w:pPr>
    </w:p>
    <w:p w14:paraId="50EF26F4" w14:textId="77777777" w:rsidR="00DF67E8" w:rsidRPr="00DB0DC3" w:rsidRDefault="00DF67E8">
      <w:pPr>
        <w:rPr>
          <w:b/>
          <w:szCs w:val="22"/>
        </w:rPr>
      </w:pPr>
      <w:r w:rsidRPr="00DB0DC3">
        <w:rPr>
          <w:b/>
          <w:szCs w:val="22"/>
        </w:rPr>
        <w:t>6.</w:t>
      </w:r>
      <w:r w:rsidRPr="00DB0DC3">
        <w:rPr>
          <w:b/>
          <w:szCs w:val="22"/>
        </w:rPr>
        <w:tab/>
        <w:t>FARMACEUTICKÉ INFORMÁCIE</w:t>
      </w:r>
    </w:p>
    <w:p w14:paraId="01B6381C" w14:textId="77777777" w:rsidR="00DF67E8" w:rsidRPr="00DB0DC3" w:rsidRDefault="00DF67E8">
      <w:pPr>
        <w:rPr>
          <w:szCs w:val="22"/>
        </w:rPr>
      </w:pPr>
    </w:p>
    <w:p w14:paraId="46933901" w14:textId="77777777" w:rsidR="00DF67E8" w:rsidRPr="00DB0DC3" w:rsidRDefault="00DF67E8">
      <w:pPr>
        <w:rPr>
          <w:szCs w:val="22"/>
        </w:rPr>
      </w:pPr>
      <w:r w:rsidRPr="00DB0DC3">
        <w:rPr>
          <w:b/>
          <w:szCs w:val="22"/>
        </w:rPr>
        <w:t>6.1</w:t>
      </w:r>
      <w:r w:rsidRPr="00DB0DC3">
        <w:rPr>
          <w:b/>
          <w:szCs w:val="22"/>
        </w:rPr>
        <w:tab/>
        <w:t>Zoznam pomocných látok</w:t>
      </w:r>
    </w:p>
    <w:p w14:paraId="18FEA300" w14:textId="77777777" w:rsidR="00DF67E8" w:rsidRPr="00DB0DC3" w:rsidRDefault="00DF67E8">
      <w:pPr>
        <w:rPr>
          <w:szCs w:val="22"/>
        </w:rPr>
      </w:pPr>
    </w:p>
    <w:p w14:paraId="7BBFF3FD" w14:textId="77777777" w:rsidR="00DF67E8" w:rsidRPr="00DB0DC3" w:rsidRDefault="00DF67E8">
      <w:pPr>
        <w:ind w:left="0" w:firstLine="0"/>
        <w:rPr>
          <w:b/>
          <w:bCs/>
          <w:szCs w:val="22"/>
        </w:rPr>
      </w:pPr>
      <w:r w:rsidRPr="00DB0DC3">
        <w:rPr>
          <w:b/>
          <w:bCs/>
          <w:szCs w:val="22"/>
        </w:rPr>
        <w:t>Jadro tablety:</w:t>
      </w:r>
    </w:p>
    <w:p w14:paraId="0E002B92" w14:textId="2DBBAC8E" w:rsidR="00DF67E8" w:rsidRPr="00DB0DC3" w:rsidRDefault="007E0C34">
      <w:pPr>
        <w:ind w:left="0" w:firstLine="0"/>
        <w:rPr>
          <w:szCs w:val="22"/>
        </w:rPr>
      </w:pPr>
      <w:r>
        <w:rPr>
          <w:szCs w:val="22"/>
        </w:rPr>
        <w:t xml:space="preserve">laktóza, </w:t>
      </w:r>
      <w:r w:rsidR="00546137">
        <w:rPr>
          <w:szCs w:val="22"/>
        </w:rPr>
        <w:t>m</w:t>
      </w:r>
      <w:r w:rsidR="00DF67E8" w:rsidRPr="00DB0DC3">
        <w:rPr>
          <w:szCs w:val="22"/>
        </w:rPr>
        <w:t>onohydrát</w:t>
      </w:r>
    </w:p>
    <w:p w14:paraId="379440DA" w14:textId="77777777" w:rsidR="00DF67E8" w:rsidRPr="00DB0DC3" w:rsidRDefault="00546137">
      <w:pPr>
        <w:ind w:left="0" w:firstLine="0"/>
        <w:rPr>
          <w:szCs w:val="22"/>
        </w:rPr>
      </w:pPr>
      <w:r>
        <w:rPr>
          <w:szCs w:val="22"/>
        </w:rPr>
        <w:t>k</w:t>
      </w:r>
      <w:r w:rsidR="00DF67E8" w:rsidRPr="00DB0DC3">
        <w:rPr>
          <w:szCs w:val="22"/>
        </w:rPr>
        <w:t>ukuričný škrob</w:t>
      </w:r>
    </w:p>
    <w:p w14:paraId="4D88C99B" w14:textId="77777777" w:rsidR="00DF67E8" w:rsidRPr="00DB0DC3" w:rsidRDefault="00546137">
      <w:pPr>
        <w:ind w:left="0" w:firstLine="0"/>
        <w:rPr>
          <w:szCs w:val="22"/>
        </w:rPr>
      </w:pPr>
      <w:r>
        <w:rPr>
          <w:szCs w:val="22"/>
        </w:rPr>
        <w:t>p</w:t>
      </w:r>
      <w:r w:rsidR="00DF67E8" w:rsidRPr="00DB0DC3">
        <w:rPr>
          <w:szCs w:val="22"/>
        </w:rPr>
        <w:t xml:space="preserve">ovidón </w:t>
      </w:r>
      <w:r w:rsidR="00724267">
        <w:rPr>
          <w:szCs w:val="22"/>
        </w:rPr>
        <w:t xml:space="preserve"> K</w:t>
      </w:r>
      <w:r w:rsidR="00DF67E8" w:rsidRPr="00DB0DC3">
        <w:rPr>
          <w:szCs w:val="22"/>
        </w:rPr>
        <w:t>25 (E1201)</w:t>
      </w:r>
    </w:p>
    <w:p w14:paraId="13AB140E" w14:textId="4D4A039D" w:rsidR="00DF67E8" w:rsidRPr="00DB0DC3" w:rsidRDefault="007E0C34">
      <w:pPr>
        <w:ind w:left="0" w:firstLine="0"/>
        <w:rPr>
          <w:szCs w:val="22"/>
        </w:rPr>
      </w:pPr>
      <w:r>
        <w:rPr>
          <w:szCs w:val="22"/>
        </w:rPr>
        <w:t>stearát horečnatý</w:t>
      </w:r>
      <w:r w:rsidR="00DF67E8" w:rsidRPr="00DB0DC3">
        <w:rPr>
          <w:szCs w:val="22"/>
        </w:rPr>
        <w:t xml:space="preserve"> (E470B)</w:t>
      </w:r>
    </w:p>
    <w:p w14:paraId="252D2146" w14:textId="77777777" w:rsidR="00DF67E8" w:rsidRPr="00DB0DC3" w:rsidRDefault="00546137">
      <w:pPr>
        <w:ind w:left="0" w:firstLine="0"/>
        <w:rPr>
          <w:szCs w:val="22"/>
        </w:rPr>
      </w:pPr>
      <w:r>
        <w:rPr>
          <w:szCs w:val="22"/>
        </w:rPr>
        <w:t>m</w:t>
      </w:r>
      <w:r w:rsidR="00DF67E8" w:rsidRPr="00DB0DC3">
        <w:rPr>
          <w:szCs w:val="22"/>
        </w:rPr>
        <w:t>astenec (E553B)</w:t>
      </w:r>
    </w:p>
    <w:p w14:paraId="4F623925" w14:textId="77777777" w:rsidR="00DF67E8" w:rsidRPr="00DB0DC3" w:rsidRDefault="00DF67E8">
      <w:pPr>
        <w:ind w:left="0" w:firstLine="0"/>
        <w:rPr>
          <w:szCs w:val="22"/>
        </w:rPr>
      </w:pPr>
    </w:p>
    <w:p w14:paraId="06371B8F" w14:textId="77777777" w:rsidR="00DF67E8" w:rsidRPr="00DB0DC3" w:rsidRDefault="00DF67E8">
      <w:pPr>
        <w:ind w:left="0" w:firstLine="0"/>
        <w:rPr>
          <w:b/>
          <w:bCs/>
          <w:szCs w:val="22"/>
        </w:rPr>
      </w:pPr>
      <w:r w:rsidRPr="00DB0DC3">
        <w:rPr>
          <w:b/>
          <w:bCs/>
          <w:szCs w:val="22"/>
        </w:rPr>
        <w:t>Obaľovacia vrstva:</w:t>
      </w:r>
    </w:p>
    <w:p w14:paraId="0B28EBA2" w14:textId="77777777" w:rsidR="00DF67E8" w:rsidRPr="00DB0DC3" w:rsidRDefault="00546137">
      <w:pPr>
        <w:ind w:left="0" w:firstLine="0"/>
        <w:rPr>
          <w:szCs w:val="22"/>
        </w:rPr>
      </w:pPr>
      <w:r>
        <w:rPr>
          <w:szCs w:val="22"/>
        </w:rPr>
        <w:t>s</w:t>
      </w:r>
      <w:r w:rsidR="00DF67E8" w:rsidRPr="00DB0DC3">
        <w:rPr>
          <w:szCs w:val="22"/>
        </w:rPr>
        <w:t>acharóza</w:t>
      </w:r>
    </w:p>
    <w:p w14:paraId="3BE45F8C" w14:textId="77777777" w:rsidR="00DF67E8" w:rsidRPr="00DB0DC3" w:rsidRDefault="00546137">
      <w:pPr>
        <w:ind w:left="0" w:firstLine="0"/>
        <w:rPr>
          <w:szCs w:val="22"/>
        </w:rPr>
      </w:pPr>
      <w:r>
        <w:rPr>
          <w:szCs w:val="22"/>
        </w:rPr>
        <w:t>u</w:t>
      </w:r>
      <w:r w:rsidR="00DF67E8" w:rsidRPr="00DB0DC3">
        <w:rPr>
          <w:szCs w:val="22"/>
        </w:rPr>
        <w:t>hličitan vápenatý (E170)</w:t>
      </w:r>
    </w:p>
    <w:p w14:paraId="43325274" w14:textId="77777777" w:rsidR="00DF67E8" w:rsidRPr="00DB0DC3" w:rsidRDefault="00546137">
      <w:pPr>
        <w:ind w:left="0" w:firstLine="0"/>
        <w:rPr>
          <w:szCs w:val="22"/>
        </w:rPr>
      </w:pPr>
      <w:r>
        <w:rPr>
          <w:szCs w:val="22"/>
        </w:rPr>
        <w:t>m</w:t>
      </w:r>
      <w:r w:rsidR="00DF67E8" w:rsidRPr="00DB0DC3">
        <w:rPr>
          <w:szCs w:val="22"/>
        </w:rPr>
        <w:t>akrogol 6000</w:t>
      </w:r>
    </w:p>
    <w:p w14:paraId="7C9208C0" w14:textId="77777777" w:rsidR="00DF67E8" w:rsidRPr="00DB0DC3" w:rsidRDefault="00546137">
      <w:pPr>
        <w:ind w:left="0" w:firstLine="0"/>
        <w:rPr>
          <w:szCs w:val="22"/>
        </w:rPr>
      </w:pPr>
      <w:r>
        <w:rPr>
          <w:szCs w:val="22"/>
        </w:rPr>
        <w:lastRenderedPageBreak/>
        <w:t>m</w:t>
      </w:r>
      <w:r w:rsidR="00DF67E8" w:rsidRPr="00DB0DC3">
        <w:rPr>
          <w:szCs w:val="22"/>
        </w:rPr>
        <w:t>astenec (E553B)</w:t>
      </w:r>
    </w:p>
    <w:p w14:paraId="09669B13" w14:textId="77777777" w:rsidR="00DF67E8" w:rsidRPr="00DB0DC3" w:rsidRDefault="00546137">
      <w:pPr>
        <w:ind w:left="0" w:firstLine="0"/>
        <w:rPr>
          <w:szCs w:val="22"/>
        </w:rPr>
      </w:pPr>
      <w:r>
        <w:rPr>
          <w:szCs w:val="22"/>
        </w:rPr>
        <w:t>o</w:t>
      </w:r>
      <w:r w:rsidR="00DF67E8" w:rsidRPr="00DB0DC3">
        <w:rPr>
          <w:szCs w:val="22"/>
        </w:rPr>
        <w:t>xid titaničitý (E171)</w:t>
      </w:r>
    </w:p>
    <w:p w14:paraId="4057DBFA" w14:textId="77777777" w:rsidR="00DF67E8" w:rsidRPr="00DB0DC3" w:rsidRDefault="00546137">
      <w:pPr>
        <w:ind w:left="0" w:firstLine="0"/>
        <w:rPr>
          <w:szCs w:val="22"/>
        </w:rPr>
      </w:pPr>
      <w:r>
        <w:rPr>
          <w:szCs w:val="22"/>
        </w:rPr>
        <w:t>p</w:t>
      </w:r>
      <w:r w:rsidR="00DF67E8" w:rsidRPr="00DB0DC3">
        <w:rPr>
          <w:szCs w:val="22"/>
        </w:rPr>
        <w:t>ovidón 360 (E1201)</w:t>
      </w:r>
    </w:p>
    <w:p w14:paraId="059EE8E1" w14:textId="77777777" w:rsidR="00DF67E8" w:rsidRPr="00DB0DC3" w:rsidRDefault="00546137">
      <w:pPr>
        <w:ind w:left="0" w:firstLine="0"/>
        <w:rPr>
          <w:szCs w:val="22"/>
        </w:rPr>
      </w:pPr>
      <w:r>
        <w:rPr>
          <w:szCs w:val="22"/>
        </w:rPr>
        <w:t>g</w:t>
      </w:r>
      <w:r w:rsidR="00DF67E8" w:rsidRPr="00DB0DC3">
        <w:rPr>
          <w:szCs w:val="22"/>
        </w:rPr>
        <w:t xml:space="preserve">lycerol 85% (E422) </w:t>
      </w:r>
    </w:p>
    <w:p w14:paraId="3C58B829" w14:textId="77777777" w:rsidR="00DF67E8" w:rsidRDefault="00546137">
      <w:pPr>
        <w:ind w:left="0" w:firstLine="0"/>
        <w:rPr>
          <w:szCs w:val="22"/>
        </w:rPr>
      </w:pPr>
      <w:r>
        <w:rPr>
          <w:szCs w:val="22"/>
        </w:rPr>
        <w:t>m</w:t>
      </w:r>
      <w:r w:rsidR="00DF67E8" w:rsidRPr="00DB0DC3">
        <w:rPr>
          <w:szCs w:val="22"/>
        </w:rPr>
        <w:t>ontánový vosk (E912)</w:t>
      </w:r>
    </w:p>
    <w:p w14:paraId="329DCE1E" w14:textId="77777777" w:rsidR="0068685D" w:rsidRPr="00DB0DC3" w:rsidRDefault="0068685D">
      <w:pPr>
        <w:ind w:left="0" w:firstLine="0"/>
        <w:rPr>
          <w:szCs w:val="22"/>
        </w:rPr>
      </w:pPr>
    </w:p>
    <w:p w14:paraId="6AF92AD7" w14:textId="77777777" w:rsidR="00DF67E8" w:rsidRPr="00DB0DC3" w:rsidRDefault="00DF67E8">
      <w:pPr>
        <w:rPr>
          <w:szCs w:val="22"/>
        </w:rPr>
      </w:pPr>
      <w:r w:rsidRPr="00DB0DC3">
        <w:rPr>
          <w:b/>
          <w:szCs w:val="22"/>
        </w:rPr>
        <w:t>6.2</w:t>
      </w:r>
      <w:r w:rsidRPr="00DB0DC3">
        <w:rPr>
          <w:b/>
          <w:szCs w:val="22"/>
        </w:rPr>
        <w:tab/>
        <w:t>Inkompatibility</w:t>
      </w:r>
    </w:p>
    <w:p w14:paraId="73ED610E" w14:textId="77777777" w:rsidR="00DF67E8" w:rsidRPr="00DB0DC3" w:rsidRDefault="00DF67E8">
      <w:pPr>
        <w:rPr>
          <w:szCs w:val="22"/>
        </w:rPr>
      </w:pPr>
    </w:p>
    <w:p w14:paraId="74B1461A" w14:textId="77777777" w:rsidR="00DF67E8" w:rsidRPr="00DB0DC3" w:rsidRDefault="00DF67E8">
      <w:r w:rsidRPr="00DB0DC3">
        <w:t>Neaplikovateľné.</w:t>
      </w:r>
    </w:p>
    <w:p w14:paraId="4FDB4290" w14:textId="77777777" w:rsidR="00DF67E8" w:rsidRPr="00DB0DC3" w:rsidRDefault="00DF67E8">
      <w:pPr>
        <w:rPr>
          <w:b/>
          <w:szCs w:val="22"/>
        </w:rPr>
      </w:pPr>
    </w:p>
    <w:p w14:paraId="2995768A" w14:textId="77777777" w:rsidR="00DF67E8" w:rsidRPr="00DB0DC3" w:rsidRDefault="00DF67E8">
      <w:pPr>
        <w:rPr>
          <w:szCs w:val="22"/>
        </w:rPr>
      </w:pPr>
      <w:r w:rsidRPr="00DB0DC3">
        <w:rPr>
          <w:b/>
          <w:szCs w:val="22"/>
        </w:rPr>
        <w:t>6.3</w:t>
      </w:r>
      <w:r w:rsidRPr="00DB0DC3">
        <w:rPr>
          <w:b/>
          <w:szCs w:val="22"/>
        </w:rPr>
        <w:tab/>
        <w:t>Čas použiteľnosti</w:t>
      </w:r>
    </w:p>
    <w:p w14:paraId="65F15902" w14:textId="77777777" w:rsidR="00DF67E8" w:rsidRPr="00DB0DC3" w:rsidRDefault="00DF67E8">
      <w:pPr>
        <w:rPr>
          <w:szCs w:val="22"/>
        </w:rPr>
      </w:pPr>
    </w:p>
    <w:p w14:paraId="76F08980" w14:textId="77777777" w:rsidR="00DF67E8" w:rsidRPr="00DB0DC3" w:rsidRDefault="00DF67E8">
      <w:pPr>
        <w:ind w:left="540" w:hanging="540"/>
        <w:rPr>
          <w:szCs w:val="22"/>
        </w:rPr>
      </w:pPr>
      <w:r w:rsidRPr="00DB0DC3">
        <w:rPr>
          <w:szCs w:val="22"/>
        </w:rPr>
        <w:t xml:space="preserve">3 roky </w:t>
      </w:r>
    </w:p>
    <w:p w14:paraId="04D7E34C" w14:textId="77777777" w:rsidR="00DF67E8" w:rsidRPr="00DB0DC3" w:rsidRDefault="00DF67E8">
      <w:pPr>
        <w:ind w:left="540" w:hanging="540"/>
        <w:rPr>
          <w:szCs w:val="22"/>
        </w:rPr>
      </w:pPr>
    </w:p>
    <w:p w14:paraId="69378E62" w14:textId="77777777" w:rsidR="00DF67E8" w:rsidRPr="00DB0DC3" w:rsidRDefault="00DF67E8">
      <w:pPr>
        <w:rPr>
          <w:szCs w:val="22"/>
        </w:rPr>
      </w:pPr>
      <w:r w:rsidRPr="00DB0DC3">
        <w:rPr>
          <w:b/>
          <w:szCs w:val="22"/>
        </w:rPr>
        <w:t>6.4</w:t>
      </w:r>
      <w:r w:rsidRPr="00DB0DC3">
        <w:rPr>
          <w:b/>
          <w:szCs w:val="22"/>
        </w:rPr>
        <w:tab/>
        <w:t>Špeciálne upozornenia na uchovávanie</w:t>
      </w:r>
    </w:p>
    <w:p w14:paraId="135E3326" w14:textId="77777777" w:rsidR="00DF67E8" w:rsidRPr="00DB0DC3" w:rsidRDefault="00DF67E8">
      <w:pPr>
        <w:rPr>
          <w:szCs w:val="22"/>
        </w:rPr>
      </w:pPr>
    </w:p>
    <w:p w14:paraId="1FDD01B6" w14:textId="77777777" w:rsidR="00DF67E8" w:rsidRPr="00DB0DC3" w:rsidRDefault="00DF67E8">
      <w:pPr>
        <w:rPr>
          <w:szCs w:val="22"/>
        </w:rPr>
      </w:pPr>
      <w:r w:rsidRPr="00DB0DC3">
        <w:rPr>
          <w:noProof/>
        </w:rPr>
        <w:t>Tento liek nevyžaduje žiadne zvláštne podmienky na uchovávanie.</w:t>
      </w:r>
    </w:p>
    <w:p w14:paraId="7C9772D6" w14:textId="77777777" w:rsidR="00DF67E8" w:rsidRPr="00DB0DC3" w:rsidRDefault="00DF67E8">
      <w:pPr>
        <w:rPr>
          <w:szCs w:val="22"/>
        </w:rPr>
      </w:pPr>
    </w:p>
    <w:p w14:paraId="591D8622" w14:textId="77777777" w:rsidR="00DF67E8" w:rsidRPr="00DB0DC3" w:rsidRDefault="00DF67E8">
      <w:pPr>
        <w:rPr>
          <w:szCs w:val="22"/>
        </w:rPr>
      </w:pPr>
      <w:r w:rsidRPr="00DB0DC3">
        <w:rPr>
          <w:b/>
          <w:szCs w:val="22"/>
        </w:rPr>
        <w:t>6.5</w:t>
      </w:r>
      <w:r w:rsidRPr="00DB0DC3">
        <w:rPr>
          <w:b/>
          <w:szCs w:val="22"/>
        </w:rPr>
        <w:tab/>
        <w:t>Druh obalu a obsah balenia</w:t>
      </w:r>
      <w:r w:rsidRPr="00DB0DC3">
        <w:rPr>
          <w:b/>
          <w:color w:val="0000FF"/>
          <w:szCs w:val="22"/>
        </w:rPr>
        <w:t xml:space="preserve"> </w:t>
      </w:r>
    </w:p>
    <w:p w14:paraId="5CAFB312" w14:textId="77777777" w:rsidR="00DF67E8" w:rsidRPr="00DB0DC3" w:rsidRDefault="00DF67E8">
      <w:pPr>
        <w:rPr>
          <w:szCs w:val="22"/>
        </w:rPr>
      </w:pPr>
    </w:p>
    <w:p w14:paraId="5B75A8E2" w14:textId="77777777" w:rsidR="00DF67E8" w:rsidRPr="00DB0DC3" w:rsidRDefault="00DF67E8">
      <w:pPr>
        <w:rPr>
          <w:szCs w:val="22"/>
        </w:rPr>
      </w:pPr>
      <w:r w:rsidRPr="00DB0DC3">
        <w:rPr>
          <w:szCs w:val="22"/>
        </w:rPr>
        <w:t>Primárny obal:</w:t>
      </w:r>
    </w:p>
    <w:p w14:paraId="4BDCBCCB" w14:textId="77777777" w:rsidR="00DF67E8" w:rsidRPr="00DB0DC3" w:rsidRDefault="00DF67E8">
      <w:pPr>
        <w:rPr>
          <w:szCs w:val="22"/>
        </w:rPr>
      </w:pPr>
      <w:r w:rsidRPr="00DB0DC3">
        <w:rPr>
          <w:szCs w:val="22"/>
        </w:rPr>
        <w:t>Kalendárové blistrové balenie vyrobené z PVC/hliníkovej fólie.</w:t>
      </w:r>
    </w:p>
    <w:p w14:paraId="6E4397A7" w14:textId="77777777" w:rsidR="00DF67E8" w:rsidRPr="00DB0DC3" w:rsidRDefault="00DF67E8">
      <w:pPr>
        <w:rPr>
          <w:szCs w:val="22"/>
        </w:rPr>
      </w:pPr>
    </w:p>
    <w:p w14:paraId="321DCEB1" w14:textId="77777777" w:rsidR="00DF67E8" w:rsidRPr="00DB0DC3" w:rsidRDefault="00DF67E8">
      <w:pPr>
        <w:rPr>
          <w:szCs w:val="22"/>
        </w:rPr>
      </w:pPr>
      <w:r w:rsidRPr="00DB0DC3">
        <w:rPr>
          <w:szCs w:val="22"/>
        </w:rPr>
        <w:t>Veľkosť balenia:</w:t>
      </w:r>
    </w:p>
    <w:p w14:paraId="3C8F1ADE" w14:textId="77777777" w:rsidR="00DF67E8" w:rsidRPr="00DB0DC3" w:rsidRDefault="00DF67E8">
      <w:pPr>
        <w:rPr>
          <w:szCs w:val="22"/>
        </w:rPr>
      </w:pPr>
      <w:r w:rsidRPr="00DB0DC3">
        <w:rPr>
          <w:szCs w:val="22"/>
        </w:rPr>
        <w:t>Papierové skladačky obsahujú 1x21; 3x21 alebo 6x21 tabliet.</w:t>
      </w:r>
    </w:p>
    <w:p w14:paraId="590683D3" w14:textId="77777777" w:rsidR="001D18B9" w:rsidRPr="00DB0DC3" w:rsidRDefault="001D18B9">
      <w:pPr>
        <w:rPr>
          <w:szCs w:val="22"/>
        </w:rPr>
      </w:pPr>
    </w:p>
    <w:p w14:paraId="69FC12F0" w14:textId="77777777" w:rsidR="00DF67E8" w:rsidRPr="00DB0DC3" w:rsidRDefault="00546137">
      <w:pPr>
        <w:rPr>
          <w:szCs w:val="22"/>
        </w:rPr>
      </w:pPr>
      <w:r>
        <w:rPr>
          <w:szCs w:val="22"/>
        </w:rPr>
        <w:t>N</w:t>
      </w:r>
      <w:r w:rsidRPr="00DB0DC3">
        <w:rPr>
          <w:szCs w:val="22"/>
        </w:rPr>
        <w:t xml:space="preserve">a trh </w:t>
      </w:r>
      <w:r>
        <w:rPr>
          <w:szCs w:val="22"/>
        </w:rPr>
        <w:t>ne</w:t>
      </w:r>
      <w:r w:rsidRPr="00DB0DC3">
        <w:rPr>
          <w:szCs w:val="22"/>
        </w:rPr>
        <w:t xml:space="preserve">musia byť uvedené </w:t>
      </w:r>
      <w:r w:rsidR="00DF67E8" w:rsidRPr="00DB0DC3">
        <w:rPr>
          <w:szCs w:val="22"/>
        </w:rPr>
        <w:t>všetky veľkosti balenia</w:t>
      </w:r>
      <w:r w:rsidR="001D18B9" w:rsidRPr="00DB0DC3">
        <w:rPr>
          <w:szCs w:val="22"/>
        </w:rPr>
        <w:t>.</w:t>
      </w:r>
    </w:p>
    <w:p w14:paraId="066F6080" w14:textId="77777777" w:rsidR="00DF67E8" w:rsidRPr="00DB0DC3" w:rsidRDefault="00DF67E8">
      <w:pPr>
        <w:rPr>
          <w:szCs w:val="22"/>
        </w:rPr>
      </w:pPr>
    </w:p>
    <w:p w14:paraId="79D5C3C5" w14:textId="77777777" w:rsidR="00DF67E8" w:rsidRPr="00DB0DC3" w:rsidRDefault="00DF67E8">
      <w:pPr>
        <w:rPr>
          <w:szCs w:val="22"/>
        </w:rPr>
      </w:pPr>
      <w:r w:rsidRPr="00DB0DC3">
        <w:rPr>
          <w:b/>
          <w:noProof/>
          <w:szCs w:val="22"/>
        </w:rPr>
        <w:t>6.6</w:t>
      </w:r>
      <w:r w:rsidRPr="00DB0DC3">
        <w:rPr>
          <w:b/>
          <w:noProof/>
          <w:szCs w:val="22"/>
        </w:rPr>
        <w:tab/>
      </w:r>
      <w:r w:rsidRPr="00DB0DC3">
        <w:rPr>
          <w:b/>
          <w:bCs/>
          <w:noProof/>
        </w:rPr>
        <w:t>Špeciálne opatrenia na likvidáciu</w:t>
      </w:r>
    </w:p>
    <w:p w14:paraId="18C46264" w14:textId="77777777" w:rsidR="00DF67E8" w:rsidRPr="00DB0DC3" w:rsidRDefault="00DF67E8">
      <w:pPr>
        <w:rPr>
          <w:szCs w:val="22"/>
        </w:rPr>
      </w:pPr>
    </w:p>
    <w:p w14:paraId="40FF59B0" w14:textId="77777777" w:rsidR="00DF67E8" w:rsidRPr="00DB0DC3" w:rsidRDefault="00DF67E8">
      <w:pPr>
        <w:ind w:left="0" w:firstLine="0"/>
        <w:rPr>
          <w:szCs w:val="22"/>
        </w:rPr>
      </w:pPr>
      <w:r w:rsidRPr="00DB0DC3">
        <w:rPr>
          <w:noProof/>
          <w:szCs w:val="22"/>
        </w:rPr>
        <w:t>Žiadne zvláštne požiadavky.</w:t>
      </w:r>
    </w:p>
    <w:p w14:paraId="1F209A18" w14:textId="77777777" w:rsidR="00DF67E8" w:rsidRPr="00DB0DC3" w:rsidRDefault="00DF67E8">
      <w:pPr>
        <w:rPr>
          <w:szCs w:val="22"/>
        </w:rPr>
      </w:pPr>
    </w:p>
    <w:p w14:paraId="40C44670" w14:textId="77777777" w:rsidR="00DF67E8" w:rsidRPr="00DB0DC3" w:rsidRDefault="00DF67E8">
      <w:pPr>
        <w:rPr>
          <w:szCs w:val="22"/>
        </w:rPr>
      </w:pPr>
    </w:p>
    <w:p w14:paraId="44CF079C" w14:textId="77777777" w:rsidR="00DF67E8" w:rsidRPr="00DB0DC3" w:rsidRDefault="00DF67E8">
      <w:pPr>
        <w:rPr>
          <w:szCs w:val="22"/>
        </w:rPr>
      </w:pPr>
      <w:r w:rsidRPr="00DB0DC3">
        <w:rPr>
          <w:b/>
          <w:szCs w:val="22"/>
        </w:rPr>
        <w:t>7.</w:t>
      </w:r>
      <w:r w:rsidRPr="00DB0DC3">
        <w:rPr>
          <w:b/>
          <w:szCs w:val="22"/>
        </w:rPr>
        <w:tab/>
        <w:t>DRŽITEĽ ROZHODNUTIA O REGISTRÁCII</w:t>
      </w:r>
    </w:p>
    <w:p w14:paraId="5563CC1B" w14:textId="77777777" w:rsidR="00DF67E8" w:rsidRPr="00DB0DC3" w:rsidRDefault="00DF67E8">
      <w:pPr>
        <w:rPr>
          <w:szCs w:val="22"/>
        </w:rPr>
      </w:pPr>
    </w:p>
    <w:p w14:paraId="7099F8E1" w14:textId="77777777" w:rsidR="00DF67E8" w:rsidRPr="00DB0DC3" w:rsidRDefault="00721952">
      <w:pPr>
        <w:rPr>
          <w:szCs w:val="22"/>
        </w:rPr>
      </w:pPr>
      <w:r w:rsidRPr="00DB0DC3">
        <w:rPr>
          <w:szCs w:val="22"/>
        </w:rPr>
        <w:t>H</w:t>
      </w:r>
      <w:r>
        <w:rPr>
          <w:szCs w:val="22"/>
        </w:rPr>
        <w:t>EATON</w:t>
      </w:r>
      <w:r w:rsidRPr="00DB0DC3">
        <w:rPr>
          <w:szCs w:val="22"/>
        </w:rPr>
        <w:t xml:space="preserve"> </w:t>
      </w:r>
      <w:r w:rsidR="00217946" w:rsidRPr="00DB0DC3">
        <w:rPr>
          <w:szCs w:val="22"/>
        </w:rPr>
        <w:t>k</w:t>
      </w:r>
      <w:r w:rsidR="00DF67E8" w:rsidRPr="00DB0DC3">
        <w:rPr>
          <w:szCs w:val="22"/>
        </w:rPr>
        <w:t>.s.</w:t>
      </w:r>
    </w:p>
    <w:p w14:paraId="5DEDBE1B" w14:textId="77777777" w:rsidR="00AE1E62" w:rsidRPr="00DB0DC3" w:rsidRDefault="00AE1E62">
      <w:r w:rsidRPr="00DB0DC3">
        <w:t>Na Pankráci 14</w:t>
      </w:r>
    </w:p>
    <w:p w14:paraId="04A30115" w14:textId="77777777" w:rsidR="00DF67E8" w:rsidRPr="00DB0DC3" w:rsidRDefault="00DF67E8">
      <w:r w:rsidRPr="00DB0DC3">
        <w:t>140 00 Praha 4</w:t>
      </w:r>
    </w:p>
    <w:p w14:paraId="7C6D2BFC" w14:textId="77777777" w:rsidR="00DF67E8" w:rsidRPr="00DB0DC3" w:rsidRDefault="00DF67E8">
      <w:r w:rsidRPr="00DB0DC3">
        <w:t>Česká republika</w:t>
      </w:r>
    </w:p>
    <w:p w14:paraId="033D6CF2" w14:textId="77777777" w:rsidR="00DF67E8" w:rsidRPr="00DB0DC3" w:rsidRDefault="00DF67E8">
      <w:pPr>
        <w:rPr>
          <w:szCs w:val="22"/>
        </w:rPr>
      </w:pPr>
    </w:p>
    <w:p w14:paraId="66891FE8" w14:textId="77777777" w:rsidR="00DF67E8" w:rsidRPr="00DB0DC3" w:rsidRDefault="00DF67E8">
      <w:pPr>
        <w:rPr>
          <w:szCs w:val="22"/>
        </w:rPr>
      </w:pPr>
    </w:p>
    <w:p w14:paraId="3599F6A1" w14:textId="77777777" w:rsidR="00DF67E8" w:rsidRPr="00DB0DC3" w:rsidRDefault="00DF67E8">
      <w:pPr>
        <w:rPr>
          <w:b/>
          <w:szCs w:val="22"/>
        </w:rPr>
      </w:pPr>
      <w:r w:rsidRPr="00DB0DC3">
        <w:rPr>
          <w:b/>
          <w:szCs w:val="22"/>
        </w:rPr>
        <w:t>8.</w:t>
      </w:r>
      <w:r w:rsidRPr="00DB0DC3">
        <w:rPr>
          <w:b/>
          <w:szCs w:val="22"/>
        </w:rPr>
        <w:tab/>
        <w:t>REGISTRAČNÉ ČÍSLO</w:t>
      </w:r>
    </w:p>
    <w:p w14:paraId="6E9745D1" w14:textId="77777777" w:rsidR="00DF67E8" w:rsidRPr="00DB0DC3" w:rsidRDefault="00DF67E8">
      <w:pPr>
        <w:rPr>
          <w:szCs w:val="22"/>
        </w:rPr>
      </w:pPr>
    </w:p>
    <w:p w14:paraId="3C5E6022" w14:textId="77777777" w:rsidR="00DF67E8" w:rsidRPr="00DB0DC3" w:rsidRDefault="00DF67E8">
      <w:pPr>
        <w:rPr>
          <w:bCs/>
          <w:szCs w:val="22"/>
        </w:rPr>
      </w:pPr>
      <w:r w:rsidRPr="00DB0DC3">
        <w:rPr>
          <w:szCs w:val="22"/>
        </w:rPr>
        <w:t>17/0123/06-S</w:t>
      </w:r>
    </w:p>
    <w:p w14:paraId="0B9ABFE9" w14:textId="77777777" w:rsidR="00DF67E8" w:rsidRPr="00DB0DC3" w:rsidRDefault="00DF67E8">
      <w:pPr>
        <w:rPr>
          <w:szCs w:val="22"/>
        </w:rPr>
      </w:pPr>
    </w:p>
    <w:p w14:paraId="4AC11307" w14:textId="77777777" w:rsidR="00DF67E8" w:rsidRPr="00DB0DC3" w:rsidRDefault="00DF67E8">
      <w:pPr>
        <w:rPr>
          <w:szCs w:val="22"/>
        </w:rPr>
      </w:pPr>
    </w:p>
    <w:p w14:paraId="6C03D506" w14:textId="77777777" w:rsidR="00DF67E8" w:rsidRPr="00DB0DC3" w:rsidRDefault="00DF67E8">
      <w:pPr>
        <w:rPr>
          <w:szCs w:val="22"/>
        </w:rPr>
      </w:pPr>
      <w:r w:rsidRPr="00DB0DC3">
        <w:rPr>
          <w:b/>
          <w:szCs w:val="22"/>
        </w:rPr>
        <w:t>9.</w:t>
      </w:r>
      <w:r w:rsidRPr="00DB0DC3">
        <w:rPr>
          <w:b/>
          <w:szCs w:val="22"/>
        </w:rPr>
        <w:tab/>
        <w:t>DÁTUM PRVEJ REGISTRÁCIE/ PREDĹŽENIA REGISTRÁCIE</w:t>
      </w:r>
    </w:p>
    <w:p w14:paraId="6A102D14" w14:textId="77777777" w:rsidR="00DF67E8" w:rsidRPr="00DB0DC3" w:rsidRDefault="00DF67E8">
      <w:pPr>
        <w:rPr>
          <w:szCs w:val="22"/>
        </w:rPr>
      </w:pPr>
    </w:p>
    <w:p w14:paraId="099E59AC" w14:textId="77777777" w:rsidR="00DF67E8" w:rsidRPr="00DB0DC3" w:rsidRDefault="002544C1">
      <w:pPr>
        <w:rPr>
          <w:szCs w:val="22"/>
        </w:rPr>
      </w:pPr>
      <w:r w:rsidRPr="00DB0DC3">
        <w:rPr>
          <w:szCs w:val="22"/>
        </w:rPr>
        <w:t xml:space="preserve">Dátum prvej registrácie: </w:t>
      </w:r>
      <w:r w:rsidR="00AE6D9C">
        <w:rPr>
          <w:szCs w:val="22"/>
        </w:rPr>
        <w:t>23. mája 2</w:t>
      </w:r>
      <w:r w:rsidR="00DF67E8" w:rsidRPr="00DB0DC3">
        <w:rPr>
          <w:szCs w:val="22"/>
        </w:rPr>
        <w:t>006</w:t>
      </w:r>
    </w:p>
    <w:p w14:paraId="1AE2C333" w14:textId="77777777" w:rsidR="002544C1" w:rsidRPr="00DB0DC3" w:rsidRDefault="002544C1">
      <w:pPr>
        <w:rPr>
          <w:szCs w:val="22"/>
        </w:rPr>
      </w:pPr>
      <w:r w:rsidRPr="00DB0DC3">
        <w:rPr>
          <w:szCs w:val="22"/>
        </w:rPr>
        <w:t>Dátum posledného predĺženia</w:t>
      </w:r>
      <w:r w:rsidR="00724267">
        <w:rPr>
          <w:szCs w:val="22"/>
        </w:rPr>
        <w:t xml:space="preserve"> registrácie</w:t>
      </w:r>
      <w:r w:rsidRPr="00DB0DC3">
        <w:rPr>
          <w:szCs w:val="22"/>
        </w:rPr>
        <w:t>:</w:t>
      </w:r>
      <w:r w:rsidR="00792C92" w:rsidRPr="00DB0DC3">
        <w:rPr>
          <w:szCs w:val="22"/>
        </w:rPr>
        <w:t xml:space="preserve"> 16.</w:t>
      </w:r>
      <w:r w:rsidR="00546137">
        <w:rPr>
          <w:szCs w:val="22"/>
        </w:rPr>
        <w:t xml:space="preserve"> decembra </w:t>
      </w:r>
      <w:r w:rsidR="00792C92" w:rsidRPr="00DB0DC3">
        <w:rPr>
          <w:szCs w:val="22"/>
        </w:rPr>
        <w:t>2010</w:t>
      </w:r>
    </w:p>
    <w:p w14:paraId="08673959" w14:textId="77777777" w:rsidR="00DF67E8" w:rsidRPr="00DB0DC3" w:rsidRDefault="00DF67E8">
      <w:pPr>
        <w:rPr>
          <w:szCs w:val="22"/>
        </w:rPr>
      </w:pPr>
    </w:p>
    <w:p w14:paraId="7B0FB92F" w14:textId="77777777" w:rsidR="00DF67E8" w:rsidRPr="00DB0DC3" w:rsidRDefault="00DF67E8">
      <w:pPr>
        <w:rPr>
          <w:szCs w:val="22"/>
        </w:rPr>
      </w:pPr>
    </w:p>
    <w:p w14:paraId="25404693" w14:textId="77777777" w:rsidR="00DF67E8" w:rsidRPr="00DB0DC3" w:rsidRDefault="00DF67E8">
      <w:pPr>
        <w:rPr>
          <w:b/>
          <w:szCs w:val="22"/>
        </w:rPr>
      </w:pPr>
      <w:r w:rsidRPr="00DB0DC3">
        <w:rPr>
          <w:b/>
          <w:szCs w:val="22"/>
        </w:rPr>
        <w:t>10.</w:t>
      </w:r>
      <w:r w:rsidRPr="00DB0DC3">
        <w:rPr>
          <w:b/>
          <w:szCs w:val="22"/>
        </w:rPr>
        <w:tab/>
        <w:t>DÁTUM REVÍZIE TEXTU</w:t>
      </w:r>
    </w:p>
    <w:p w14:paraId="2DE02AAE" w14:textId="77777777" w:rsidR="00DF67E8" w:rsidRPr="00DB0DC3" w:rsidRDefault="00DF67E8">
      <w:pPr>
        <w:rPr>
          <w:b/>
          <w:szCs w:val="22"/>
        </w:rPr>
      </w:pPr>
    </w:p>
    <w:p w14:paraId="0BD20E4F" w14:textId="6864B231" w:rsidR="00DF67E8" w:rsidRPr="00DB0DC3" w:rsidRDefault="00FE14F7">
      <w:pPr>
        <w:rPr>
          <w:bCs/>
          <w:szCs w:val="22"/>
        </w:rPr>
      </w:pPr>
      <w:r>
        <w:rPr>
          <w:bCs/>
          <w:szCs w:val="22"/>
        </w:rPr>
        <w:t>01/2021</w:t>
      </w:r>
    </w:p>
    <w:sectPr w:rsidR="00DF67E8" w:rsidRPr="00DB0DC3" w:rsidSect="00F40696">
      <w:headerReference w:type="default" r:id="rId9"/>
      <w:footerReference w:type="even" r:id="rId10"/>
      <w:footerReference w:type="default" r:id="rId11"/>
      <w:pgSz w:w="11906" w:h="16838"/>
      <w:pgMar w:top="107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B16257" w16cid:durableId="23A97DE0"/>
  <w16cid:commentId w16cid:paraId="461E67A7" w16cid:durableId="23A97D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BE02C" w14:textId="77777777" w:rsidR="00074C71" w:rsidRDefault="00074C71">
      <w:r>
        <w:separator/>
      </w:r>
    </w:p>
  </w:endnote>
  <w:endnote w:type="continuationSeparator" w:id="0">
    <w:p w14:paraId="0B520114" w14:textId="77777777" w:rsidR="00074C71" w:rsidRDefault="0007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PBYN+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9B796" w14:textId="77777777" w:rsidR="003E5262" w:rsidRDefault="003E526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344B57B" w14:textId="77777777" w:rsidR="003E5262" w:rsidRDefault="003E526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69A4E" w14:textId="1242BA51" w:rsidR="003E5262" w:rsidRDefault="003E5262" w:rsidP="00D5009E">
    <w:pPr>
      <w:pStyle w:val="Pta"/>
      <w:jc w:val="center"/>
    </w:pPr>
    <w:r w:rsidRPr="003B53A1">
      <w:rPr>
        <w:sz w:val="18"/>
        <w:szCs w:val="18"/>
      </w:rPr>
      <w:fldChar w:fldCharType="begin"/>
    </w:r>
    <w:r w:rsidRPr="003B53A1">
      <w:rPr>
        <w:sz w:val="18"/>
        <w:szCs w:val="18"/>
      </w:rPr>
      <w:instrText>PAGE   \* MERGEFORMAT</w:instrText>
    </w:r>
    <w:r w:rsidRPr="003B53A1">
      <w:rPr>
        <w:sz w:val="18"/>
        <w:szCs w:val="18"/>
      </w:rPr>
      <w:fldChar w:fldCharType="separate"/>
    </w:r>
    <w:r w:rsidR="00681C6F">
      <w:rPr>
        <w:noProof/>
        <w:sz w:val="18"/>
        <w:szCs w:val="18"/>
      </w:rPr>
      <w:t>1</w:t>
    </w:r>
    <w:r w:rsidRPr="003B53A1">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423E6" w14:textId="77777777" w:rsidR="00074C71" w:rsidRDefault="00074C71">
      <w:r>
        <w:separator/>
      </w:r>
    </w:p>
  </w:footnote>
  <w:footnote w:type="continuationSeparator" w:id="0">
    <w:p w14:paraId="16980F1E" w14:textId="77777777" w:rsidR="00074C71" w:rsidRDefault="00074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FA45" w14:textId="7A14FD34" w:rsidR="003E5262" w:rsidRPr="001C4336" w:rsidRDefault="003E5262">
    <w:pPr>
      <w:pStyle w:val="Hlavika"/>
      <w:rPr>
        <w:sz w:val="18"/>
        <w:szCs w:val="18"/>
      </w:rPr>
    </w:pPr>
    <w:r w:rsidRPr="001C4336">
      <w:rPr>
        <w:sz w:val="18"/>
        <w:szCs w:val="18"/>
      </w:rPr>
      <w:t xml:space="preserve">Príloha č. 1 k notifikácii o zmene, ev. č.: </w:t>
    </w:r>
    <w:r>
      <w:rPr>
        <w:sz w:val="18"/>
        <w:szCs w:val="18"/>
      </w:rPr>
      <w:t>2020/02867-ZIB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3.5pt;visibility:visible" o:bullet="t">
        <v:imagedata r:id="rId1" o:title="BT_1000x858px"/>
      </v:shape>
    </w:pict>
  </w:numPicBullet>
  <w:abstractNum w:abstractNumId="0" w15:restartNumberingAfterBreak="0">
    <w:nsid w:val="013D2155"/>
    <w:multiLevelType w:val="multilevel"/>
    <w:tmpl w:val="CFEE5E7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BD2213"/>
    <w:multiLevelType w:val="hybridMultilevel"/>
    <w:tmpl w:val="E3AA98E8"/>
    <w:lvl w:ilvl="0" w:tplc="FFFFFFFF">
      <w:start w:val="1"/>
      <w:numFmt w:val="bullet"/>
      <w:lvlText w:val="-"/>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5EE1CCB"/>
    <w:multiLevelType w:val="hybridMultilevel"/>
    <w:tmpl w:val="865CE52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95B04"/>
    <w:multiLevelType w:val="hybridMultilevel"/>
    <w:tmpl w:val="E79E3F1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71D65"/>
    <w:multiLevelType w:val="hybridMultilevel"/>
    <w:tmpl w:val="E534BBC6"/>
    <w:lvl w:ilvl="0" w:tplc="041B0001">
      <w:start w:val="1"/>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4A4599"/>
    <w:multiLevelType w:val="hybridMultilevel"/>
    <w:tmpl w:val="721039E0"/>
    <w:lvl w:ilvl="0" w:tplc="B76EAED8">
      <w:start w:val="1"/>
      <w:numFmt w:val="bullet"/>
      <w:lvlText w:val=""/>
      <w:lvlPicBulletId w:val="0"/>
      <w:lvlJc w:val="left"/>
      <w:pPr>
        <w:tabs>
          <w:tab w:val="num" w:pos="360"/>
        </w:tabs>
        <w:ind w:left="360" w:hanging="360"/>
      </w:pPr>
      <w:rPr>
        <w:rFonts w:ascii="Symbol" w:hAnsi="Symbol" w:hint="default"/>
      </w:rPr>
    </w:lvl>
    <w:lvl w:ilvl="1" w:tplc="140A1E3E" w:tentative="1">
      <w:start w:val="1"/>
      <w:numFmt w:val="bullet"/>
      <w:lvlText w:val=""/>
      <w:lvlJc w:val="left"/>
      <w:pPr>
        <w:tabs>
          <w:tab w:val="num" w:pos="1080"/>
        </w:tabs>
        <w:ind w:left="1080" w:hanging="360"/>
      </w:pPr>
      <w:rPr>
        <w:rFonts w:ascii="Symbol" w:hAnsi="Symbol" w:hint="default"/>
      </w:rPr>
    </w:lvl>
    <w:lvl w:ilvl="2" w:tplc="AC2C94AA" w:tentative="1">
      <w:start w:val="1"/>
      <w:numFmt w:val="bullet"/>
      <w:lvlText w:val=""/>
      <w:lvlJc w:val="left"/>
      <w:pPr>
        <w:tabs>
          <w:tab w:val="num" w:pos="1800"/>
        </w:tabs>
        <w:ind w:left="1800" w:hanging="360"/>
      </w:pPr>
      <w:rPr>
        <w:rFonts w:ascii="Symbol" w:hAnsi="Symbol" w:hint="default"/>
      </w:rPr>
    </w:lvl>
    <w:lvl w:ilvl="3" w:tplc="D3BC7154" w:tentative="1">
      <w:start w:val="1"/>
      <w:numFmt w:val="bullet"/>
      <w:lvlText w:val=""/>
      <w:lvlJc w:val="left"/>
      <w:pPr>
        <w:tabs>
          <w:tab w:val="num" w:pos="2520"/>
        </w:tabs>
        <w:ind w:left="2520" w:hanging="360"/>
      </w:pPr>
      <w:rPr>
        <w:rFonts w:ascii="Symbol" w:hAnsi="Symbol" w:hint="default"/>
      </w:rPr>
    </w:lvl>
    <w:lvl w:ilvl="4" w:tplc="120813DA" w:tentative="1">
      <w:start w:val="1"/>
      <w:numFmt w:val="bullet"/>
      <w:lvlText w:val=""/>
      <w:lvlJc w:val="left"/>
      <w:pPr>
        <w:tabs>
          <w:tab w:val="num" w:pos="3240"/>
        </w:tabs>
        <w:ind w:left="3240" w:hanging="360"/>
      </w:pPr>
      <w:rPr>
        <w:rFonts w:ascii="Symbol" w:hAnsi="Symbol" w:hint="default"/>
      </w:rPr>
    </w:lvl>
    <w:lvl w:ilvl="5" w:tplc="CEF4F354" w:tentative="1">
      <w:start w:val="1"/>
      <w:numFmt w:val="bullet"/>
      <w:lvlText w:val=""/>
      <w:lvlJc w:val="left"/>
      <w:pPr>
        <w:tabs>
          <w:tab w:val="num" w:pos="3960"/>
        </w:tabs>
        <w:ind w:left="3960" w:hanging="360"/>
      </w:pPr>
      <w:rPr>
        <w:rFonts w:ascii="Symbol" w:hAnsi="Symbol" w:hint="default"/>
      </w:rPr>
    </w:lvl>
    <w:lvl w:ilvl="6" w:tplc="8612FCD2" w:tentative="1">
      <w:start w:val="1"/>
      <w:numFmt w:val="bullet"/>
      <w:lvlText w:val=""/>
      <w:lvlJc w:val="left"/>
      <w:pPr>
        <w:tabs>
          <w:tab w:val="num" w:pos="4680"/>
        </w:tabs>
        <w:ind w:left="4680" w:hanging="360"/>
      </w:pPr>
      <w:rPr>
        <w:rFonts w:ascii="Symbol" w:hAnsi="Symbol" w:hint="default"/>
      </w:rPr>
    </w:lvl>
    <w:lvl w:ilvl="7" w:tplc="B5C61984" w:tentative="1">
      <w:start w:val="1"/>
      <w:numFmt w:val="bullet"/>
      <w:lvlText w:val=""/>
      <w:lvlJc w:val="left"/>
      <w:pPr>
        <w:tabs>
          <w:tab w:val="num" w:pos="5400"/>
        </w:tabs>
        <w:ind w:left="5400" w:hanging="360"/>
      </w:pPr>
      <w:rPr>
        <w:rFonts w:ascii="Symbol" w:hAnsi="Symbol" w:hint="default"/>
      </w:rPr>
    </w:lvl>
    <w:lvl w:ilvl="8" w:tplc="5A528390"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100D0432"/>
    <w:multiLevelType w:val="hybridMultilevel"/>
    <w:tmpl w:val="FF20FEB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33E63D1"/>
    <w:multiLevelType w:val="hybridMultilevel"/>
    <w:tmpl w:val="4842763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86FBC51"/>
    <w:multiLevelType w:val="hybridMultilevel"/>
    <w:tmpl w:val="945B06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CD1159A"/>
    <w:multiLevelType w:val="hybridMultilevel"/>
    <w:tmpl w:val="4C88864A"/>
    <w:lvl w:ilvl="0" w:tplc="A522B2B6">
      <w:start w:val="1"/>
      <w:numFmt w:val="bullet"/>
      <w:lvlText w:val=""/>
      <w:lvlJc w:val="left"/>
      <w:pPr>
        <w:ind w:left="720" w:hanging="360"/>
      </w:pPr>
      <w:rPr>
        <w:rFonts w:ascii="Symbol" w:hAnsi="Symbol" w:hint="default"/>
      </w:rPr>
    </w:lvl>
    <w:lvl w:ilvl="1" w:tplc="6394BAA6" w:tentative="1">
      <w:start w:val="1"/>
      <w:numFmt w:val="bullet"/>
      <w:lvlText w:val="o"/>
      <w:lvlJc w:val="left"/>
      <w:pPr>
        <w:ind w:left="1440" w:hanging="360"/>
      </w:pPr>
      <w:rPr>
        <w:rFonts w:ascii="Courier New" w:hAnsi="Courier New" w:hint="default"/>
      </w:rPr>
    </w:lvl>
    <w:lvl w:ilvl="2" w:tplc="079C2CCA" w:tentative="1">
      <w:start w:val="1"/>
      <w:numFmt w:val="bullet"/>
      <w:lvlText w:val=""/>
      <w:lvlJc w:val="left"/>
      <w:pPr>
        <w:ind w:left="2160" w:hanging="360"/>
      </w:pPr>
      <w:rPr>
        <w:rFonts w:ascii="Wingdings" w:hAnsi="Wingdings" w:hint="default"/>
      </w:rPr>
    </w:lvl>
    <w:lvl w:ilvl="3" w:tplc="BB74FE90" w:tentative="1">
      <w:start w:val="1"/>
      <w:numFmt w:val="bullet"/>
      <w:lvlText w:val=""/>
      <w:lvlJc w:val="left"/>
      <w:pPr>
        <w:ind w:left="2880" w:hanging="360"/>
      </w:pPr>
      <w:rPr>
        <w:rFonts w:ascii="Symbol" w:hAnsi="Symbol" w:hint="default"/>
      </w:rPr>
    </w:lvl>
    <w:lvl w:ilvl="4" w:tplc="5E9E37B2" w:tentative="1">
      <w:start w:val="1"/>
      <w:numFmt w:val="bullet"/>
      <w:lvlText w:val="o"/>
      <w:lvlJc w:val="left"/>
      <w:pPr>
        <w:ind w:left="3600" w:hanging="360"/>
      </w:pPr>
      <w:rPr>
        <w:rFonts w:ascii="Courier New" w:hAnsi="Courier New" w:hint="default"/>
      </w:rPr>
    </w:lvl>
    <w:lvl w:ilvl="5" w:tplc="F970F4AA" w:tentative="1">
      <w:start w:val="1"/>
      <w:numFmt w:val="bullet"/>
      <w:lvlText w:val=""/>
      <w:lvlJc w:val="left"/>
      <w:pPr>
        <w:ind w:left="4320" w:hanging="360"/>
      </w:pPr>
      <w:rPr>
        <w:rFonts w:ascii="Wingdings" w:hAnsi="Wingdings" w:hint="default"/>
      </w:rPr>
    </w:lvl>
    <w:lvl w:ilvl="6" w:tplc="BC70BD3A" w:tentative="1">
      <w:start w:val="1"/>
      <w:numFmt w:val="bullet"/>
      <w:lvlText w:val=""/>
      <w:lvlJc w:val="left"/>
      <w:pPr>
        <w:ind w:left="5040" w:hanging="360"/>
      </w:pPr>
      <w:rPr>
        <w:rFonts w:ascii="Symbol" w:hAnsi="Symbol" w:hint="default"/>
      </w:rPr>
    </w:lvl>
    <w:lvl w:ilvl="7" w:tplc="0C1AACE8" w:tentative="1">
      <w:start w:val="1"/>
      <w:numFmt w:val="bullet"/>
      <w:lvlText w:val="o"/>
      <w:lvlJc w:val="left"/>
      <w:pPr>
        <w:ind w:left="5760" w:hanging="360"/>
      </w:pPr>
      <w:rPr>
        <w:rFonts w:ascii="Courier New" w:hAnsi="Courier New" w:hint="default"/>
      </w:rPr>
    </w:lvl>
    <w:lvl w:ilvl="8" w:tplc="B5925636" w:tentative="1">
      <w:start w:val="1"/>
      <w:numFmt w:val="bullet"/>
      <w:lvlText w:val=""/>
      <w:lvlJc w:val="left"/>
      <w:pPr>
        <w:ind w:left="6480" w:hanging="360"/>
      </w:pPr>
      <w:rPr>
        <w:rFonts w:ascii="Wingdings" w:hAnsi="Wingdings" w:hint="default"/>
      </w:rPr>
    </w:lvl>
  </w:abstractNum>
  <w:abstractNum w:abstractNumId="10" w15:restartNumberingAfterBreak="0">
    <w:nsid w:val="2CD52033"/>
    <w:multiLevelType w:val="hybridMultilevel"/>
    <w:tmpl w:val="95320516"/>
    <w:lvl w:ilvl="0" w:tplc="04050001">
      <w:start w:val="1"/>
      <w:numFmt w:val="bullet"/>
      <w:lvlText w:val=""/>
      <w:lvlJc w:val="left"/>
      <w:pPr>
        <w:ind w:left="720" w:hanging="360"/>
      </w:pPr>
      <w:rPr>
        <w:rFonts w:ascii="Symbol" w:hAnsi="Symbol" w:hint="default"/>
      </w:rPr>
    </w:lvl>
    <w:lvl w:ilvl="1" w:tplc="5E78B108">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AC616D"/>
    <w:multiLevelType w:val="hybridMultilevel"/>
    <w:tmpl w:val="210AE0E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1A63AE"/>
    <w:multiLevelType w:val="hybridMultilevel"/>
    <w:tmpl w:val="4522AE4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C6525E3"/>
    <w:multiLevelType w:val="hybridMultilevel"/>
    <w:tmpl w:val="48543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566EF6"/>
    <w:multiLevelType w:val="hybridMultilevel"/>
    <w:tmpl w:val="B41C0B22"/>
    <w:lvl w:ilvl="0" w:tplc="10CE0E06">
      <w:start w:val="4"/>
      <w:numFmt w:val="bullet"/>
      <w:lvlText w:val="-"/>
      <w:lvlJc w:val="left"/>
      <w:pPr>
        <w:tabs>
          <w:tab w:val="num" w:pos="720"/>
        </w:tabs>
        <w:ind w:left="720" w:hanging="360"/>
      </w:pPr>
      <w:rPr>
        <w:rFonts w:ascii="Times New Roman" w:eastAsia="Times New Roman" w:hAnsi="Times New Roman" w:cs="Times New Roman" w:hint="default"/>
      </w:rPr>
    </w:lvl>
    <w:lvl w:ilvl="1" w:tplc="E10AE4A8">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893378"/>
    <w:multiLevelType w:val="hybridMultilevel"/>
    <w:tmpl w:val="DD56C78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A149F"/>
    <w:multiLevelType w:val="hybridMultilevel"/>
    <w:tmpl w:val="A60EFDD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4EB372E"/>
    <w:multiLevelType w:val="hybridMultilevel"/>
    <w:tmpl w:val="2B549DC8"/>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8274A69"/>
    <w:multiLevelType w:val="hybridMultilevel"/>
    <w:tmpl w:val="4BD2205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51C4AAF"/>
    <w:multiLevelType w:val="hybridMultilevel"/>
    <w:tmpl w:val="B734D9C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6C763A"/>
    <w:multiLevelType w:val="hybridMultilevel"/>
    <w:tmpl w:val="9EFCC200"/>
    <w:lvl w:ilvl="0" w:tplc="041B0001">
      <w:start w:val="1"/>
      <w:numFmt w:val="bullet"/>
      <w:lvlText w:val=""/>
      <w:lvlJc w:val="left"/>
      <w:pPr>
        <w:tabs>
          <w:tab w:val="num" w:pos="1620"/>
        </w:tabs>
        <w:ind w:left="1620" w:hanging="360"/>
      </w:pPr>
      <w:rPr>
        <w:rFonts w:ascii="Symbol" w:hAnsi="Symbol" w:hint="default"/>
      </w:rPr>
    </w:lvl>
    <w:lvl w:ilvl="1" w:tplc="041B0003" w:tentative="1">
      <w:start w:val="1"/>
      <w:numFmt w:val="bullet"/>
      <w:lvlText w:val="o"/>
      <w:lvlJc w:val="left"/>
      <w:pPr>
        <w:tabs>
          <w:tab w:val="num" w:pos="2340"/>
        </w:tabs>
        <w:ind w:left="2340" w:hanging="360"/>
      </w:pPr>
      <w:rPr>
        <w:rFonts w:ascii="Courier New" w:hAnsi="Courier New" w:cs="Courier New" w:hint="default"/>
      </w:rPr>
    </w:lvl>
    <w:lvl w:ilvl="2" w:tplc="041B0005" w:tentative="1">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cs="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cs="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5C9F1467"/>
    <w:multiLevelType w:val="hybridMultilevel"/>
    <w:tmpl w:val="0624FA78"/>
    <w:lvl w:ilvl="0" w:tplc="E10AE4A8">
      <w:start w:val="1"/>
      <w:numFmt w:val="decimal"/>
      <w:lvlText w:val="%1."/>
      <w:lvlJc w:val="left"/>
      <w:pPr>
        <w:tabs>
          <w:tab w:val="num" w:pos="1080"/>
        </w:tabs>
        <w:ind w:left="1080" w:hanging="360"/>
      </w:pPr>
      <w:rPr>
        <w:rFonts w:hint="default"/>
      </w:rPr>
    </w:lvl>
    <w:lvl w:ilvl="1" w:tplc="041B0001">
      <w:start w:val="1"/>
      <w:numFmt w:val="bullet"/>
      <w:lvlText w:val=""/>
      <w:lvlJc w:val="left"/>
      <w:pPr>
        <w:tabs>
          <w:tab w:val="num" w:pos="1800"/>
        </w:tabs>
        <w:ind w:left="1800" w:hanging="360"/>
      </w:pPr>
      <w:rPr>
        <w:rFonts w:ascii="Symbol" w:hAnsi="Symbol" w:hint="default"/>
      </w:rPr>
    </w:lvl>
    <w:lvl w:ilvl="2" w:tplc="89C83086">
      <w:numFmt w:val="bullet"/>
      <w:lvlText w:val="•"/>
      <w:lvlJc w:val="left"/>
      <w:pPr>
        <w:ind w:left="2700" w:hanging="360"/>
      </w:pPr>
      <w:rPr>
        <w:rFonts w:ascii="Times New Roman" w:eastAsia="Times New Roman" w:hAnsi="Times New Roman" w:cs="Times New Roman"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5D4E3B4C"/>
    <w:multiLevelType w:val="hybridMultilevel"/>
    <w:tmpl w:val="0FE666E6"/>
    <w:lvl w:ilvl="0" w:tplc="8F0ADC5E">
      <w:start w:val="1"/>
      <w:numFmt w:val="bullet"/>
      <w:lvlText w:val=""/>
      <w:lvlJc w:val="left"/>
      <w:pPr>
        <w:tabs>
          <w:tab w:val="num" w:pos="420"/>
        </w:tabs>
        <w:ind w:left="60" w:firstLine="0"/>
      </w:pPr>
      <w:rPr>
        <w:rFonts w:ascii="Wingdings" w:hAnsi="Wingdings"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F1F6776"/>
    <w:multiLevelType w:val="hybridMultilevel"/>
    <w:tmpl w:val="17346B26"/>
    <w:lvl w:ilvl="0" w:tplc="FFFFFFFF">
      <w:start w:val="1"/>
      <w:numFmt w:val="bullet"/>
      <w:lvlText w:val="-"/>
      <w:lvlJc w:val="left"/>
      <w:pPr>
        <w:ind w:left="1068" w:hanging="360"/>
      </w:p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5FD0B581"/>
    <w:multiLevelType w:val="hybridMultilevel"/>
    <w:tmpl w:val="206CE3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893122A"/>
    <w:multiLevelType w:val="hybridMultilevel"/>
    <w:tmpl w:val="0DD4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755E80"/>
    <w:multiLevelType w:val="hybridMultilevel"/>
    <w:tmpl w:val="5C5EE602"/>
    <w:lvl w:ilvl="0" w:tplc="AAEE01DA">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424E39"/>
    <w:multiLevelType w:val="hybridMultilevel"/>
    <w:tmpl w:val="6958CDE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74E2579A"/>
    <w:multiLevelType w:val="multilevel"/>
    <w:tmpl w:val="EA2AEB6E"/>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84A73F9"/>
    <w:multiLevelType w:val="hybridMultilevel"/>
    <w:tmpl w:val="3014CC70"/>
    <w:lvl w:ilvl="0" w:tplc="041B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E0C78E2"/>
    <w:multiLevelType w:val="hybridMultilevel"/>
    <w:tmpl w:val="9C503862"/>
    <w:lvl w:ilvl="0" w:tplc="35B25132">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2"/>
  </w:num>
  <w:num w:numId="3">
    <w:abstractNumId w:val="28"/>
  </w:num>
  <w:num w:numId="4">
    <w:abstractNumId w:val="6"/>
  </w:num>
  <w:num w:numId="5">
    <w:abstractNumId w:val="15"/>
  </w:num>
  <w:num w:numId="6">
    <w:abstractNumId w:val="2"/>
  </w:num>
  <w:num w:numId="7">
    <w:abstractNumId w:val="21"/>
  </w:num>
  <w:num w:numId="8">
    <w:abstractNumId w:val="14"/>
  </w:num>
  <w:num w:numId="9">
    <w:abstractNumId w:val="17"/>
  </w:num>
  <w:num w:numId="10">
    <w:abstractNumId w:val="27"/>
  </w:num>
  <w:num w:numId="11">
    <w:abstractNumId w:val="3"/>
  </w:num>
  <w:num w:numId="12">
    <w:abstractNumId w:val="19"/>
  </w:num>
  <w:num w:numId="13">
    <w:abstractNumId w:val="29"/>
  </w:num>
  <w:num w:numId="14">
    <w:abstractNumId w:val="4"/>
  </w:num>
  <w:num w:numId="15">
    <w:abstractNumId w:val="20"/>
  </w:num>
  <w:num w:numId="16">
    <w:abstractNumId w:val="0"/>
  </w:num>
  <w:num w:numId="17">
    <w:abstractNumId w:val="11"/>
  </w:num>
  <w:num w:numId="18">
    <w:abstractNumId w:val="30"/>
  </w:num>
  <w:num w:numId="19">
    <w:abstractNumId w:val="5"/>
  </w:num>
  <w:num w:numId="20">
    <w:abstractNumId w:val="7"/>
  </w:num>
  <w:num w:numId="21">
    <w:abstractNumId w:val="8"/>
  </w:num>
  <w:num w:numId="22">
    <w:abstractNumId w:val="10"/>
  </w:num>
  <w:num w:numId="23">
    <w:abstractNumId w:val="1"/>
  </w:num>
  <w:num w:numId="24">
    <w:abstractNumId w:val="13"/>
  </w:num>
  <w:num w:numId="25">
    <w:abstractNumId w:val="23"/>
  </w:num>
  <w:num w:numId="26">
    <w:abstractNumId w:val="18"/>
  </w:num>
  <w:num w:numId="27">
    <w:abstractNumId w:val="24"/>
  </w:num>
  <w:num w:numId="28">
    <w:abstractNumId w:val="25"/>
  </w:num>
  <w:num w:numId="29">
    <w:abstractNumId w:val="16"/>
  </w:num>
  <w:num w:numId="30">
    <w:abstractNumId w:val="1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B9"/>
    <w:rsid w:val="00002F52"/>
    <w:rsid w:val="00003036"/>
    <w:rsid w:val="000422D7"/>
    <w:rsid w:val="0004686E"/>
    <w:rsid w:val="000539FB"/>
    <w:rsid w:val="00066036"/>
    <w:rsid w:val="00071E46"/>
    <w:rsid w:val="00074C71"/>
    <w:rsid w:val="00086F2E"/>
    <w:rsid w:val="00094AEF"/>
    <w:rsid w:val="00096690"/>
    <w:rsid w:val="000A2017"/>
    <w:rsid w:val="000B0DF3"/>
    <w:rsid w:val="000C259A"/>
    <w:rsid w:val="000C30B3"/>
    <w:rsid w:val="000E19A7"/>
    <w:rsid w:val="000F79CC"/>
    <w:rsid w:val="0010306E"/>
    <w:rsid w:val="0011702A"/>
    <w:rsid w:val="00123422"/>
    <w:rsid w:val="001411C8"/>
    <w:rsid w:val="0015778B"/>
    <w:rsid w:val="001636A4"/>
    <w:rsid w:val="00187492"/>
    <w:rsid w:val="00187AE5"/>
    <w:rsid w:val="00190BB9"/>
    <w:rsid w:val="001925BE"/>
    <w:rsid w:val="001C4336"/>
    <w:rsid w:val="001C68FD"/>
    <w:rsid w:val="001D18B9"/>
    <w:rsid w:val="001D47BA"/>
    <w:rsid w:val="00202F5B"/>
    <w:rsid w:val="00211EC6"/>
    <w:rsid w:val="00217946"/>
    <w:rsid w:val="00221B5A"/>
    <w:rsid w:val="002402D4"/>
    <w:rsid w:val="00250AA4"/>
    <w:rsid w:val="0025163A"/>
    <w:rsid w:val="002544C1"/>
    <w:rsid w:val="00263B97"/>
    <w:rsid w:val="00276956"/>
    <w:rsid w:val="002B5F74"/>
    <w:rsid w:val="002D0116"/>
    <w:rsid w:val="002F0EE7"/>
    <w:rsid w:val="002F349E"/>
    <w:rsid w:val="003152A8"/>
    <w:rsid w:val="003307BD"/>
    <w:rsid w:val="00340279"/>
    <w:rsid w:val="003520F3"/>
    <w:rsid w:val="003846A9"/>
    <w:rsid w:val="00386069"/>
    <w:rsid w:val="003B53A1"/>
    <w:rsid w:val="003B7F42"/>
    <w:rsid w:val="003D3762"/>
    <w:rsid w:val="003E3A98"/>
    <w:rsid w:val="003E5262"/>
    <w:rsid w:val="004110F0"/>
    <w:rsid w:val="00414F00"/>
    <w:rsid w:val="00427DB7"/>
    <w:rsid w:val="004318DE"/>
    <w:rsid w:val="0047211B"/>
    <w:rsid w:val="00487C38"/>
    <w:rsid w:val="004A5134"/>
    <w:rsid w:val="004B7CD6"/>
    <w:rsid w:val="004C3D1F"/>
    <w:rsid w:val="004D0F6B"/>
    <w:rsid w:val="004E479D"/>
    <w:rsid w:val="004E5E4E"/>
    <w:rsid w:val="004F323A"/>
    <w:rsid w:val="0050467A"/>
    <w:rsid w:val="005159F6"/>
    <w:rsid w:val="00546137"/>
    <w:rsid w:val="00554B52"/>
    <w:rsid w:val="00560BA4"/>
    <w:rsid w:val="00580AD9"/>
    <w:rsid w:val="005A14BD"/>
    <w:rsid w:val="005E0FF9"/>
    <w:rsid w:val="005E1D3D"/>
    <w:rsid w:val="005E4366"/>
    <w:rsid w:val="006031C2"/>
    <w:rsid w:val="00640112"/>
    <w:rsid w:val="0064624C"/>
    <w:rsid w:val="006660E0"/>
    <w:rsid w:val="00667291"/>
    <w:rsid w:val="00681C6F"/>
    <w:rsid w:val="00681DAB"/>
    <w:rsid w:val="0068685D"/>
    <w:rsid w:val="006966BB"/>
    <w:rsid w:val="006B4A50"/>
    <w:rsid w:val="006B6CC0"/>
    <w:rsid w:val="006C7F53"/>
    <w:rsid w:val="006D09F1"/>
    <w:rsid w:val="006D1B08"/>
    <w:rsid w:val="006D2FBD"/>
    <w:rsid w:val="006D39B3"/>
    <w:rsid w:val="00707449"/>
    <w:rsid w:val="00721952"/>
    <w:rsid w:val="00724267"/>
    <w:rsid w:val="007308D6"/>
    <w:rsid w:val="00737D4D"/>
    <w:rsid w:val="00743344"/>
    <w:rsid w:val="00750AC1"/>
    <w:rsid w:val="00774AD1"/>
    <w:rsid w:val="00792C92"/>
    <w:rsid w:val="007932D6"/>
    <w:rsid w:val="007E0C34"/>
    <w:rsid w:val="008005CD"/>
    <w:rsid w:val="00805C83"/>
    <w:rsid w:val="00826C9F"/>
    <w:rsid w:val="008509FF"/>
    <w:rsid w:val="00851F3D"/>
    <w:rsid w:val="008728AA"/>
    <w:rsid w:val="00887827"/>
    <w:rsid w:val="00896A8D"/>
    <w:rsid w:val="008A311F"/>
    <w:rsid w:val="008B4E00"/>
    <w:rsid w:val="008C285D"/>
    <w:rsid w:val="008D1030"/>
    <w:rsid w:val="008F5339"/>
    <w:rsid w:val="00906A3C"/>
    <w:rsid w:val="00910DF2"/>
    <w:rsid w:val="00952518"/>
    <w:rsid w:val="00953D47"/>
    <w:rsid w:val="0097408D"/>
    <w:rsid w:val="00982794"/>
    <w:rsid w:val="009B2DF0"/>
    <w:rsid w:val="009C22B4"/>
    <w:rsid w:val="009C4232"/>
    <w:rsid w:val="009F405C"/>
    <w:rsid w:val="009F63AC"/>
    <w:rsid w:val="00A17D47"/>
    <w:rsid w:val="00A259EC"/>
    <w:rsid w:val="00A2763D"/>
    <w:rsid w:val="00A42ED1"/>
    <w:rsid w:val="00A43AB4"/>
    <w:rsid w:val="00A52C0B"/>
    <w:rsid w:val="00A62650"/>
    <w:rsid w:val="00A64B03"/>
    <w:rsid w:val="00AA49B0"/>
    <w:rsid w:val="00AA7A27"/>
    <w:rsid w:val="00AB60B3"/>
    <w:rsid w:val="00AC76EE"/>
    <w:rsid w:val="00AE1196"/>
    <w:rsid w:val="00AE1E62"/>
    <w:rsid w:val="00AE6D9C"/>
    <w:rsid w:val="00AF119C"/>
    <w:rsid w:val="00B01D0D"/>
    <w:rsid w:val="00B10AED"/>
    <w:rsid w:val="00B1422F"/>
    <w:rsid w:val="00B227CC"/>
    <w:rsid w:val="00B42A7C"/>
    <w:rsid w:val="00B52E08"/>
    <w:rsid w:val="00B575E7"/>
    <w:rsid w:val="00B62224"/>
    <w:rsid w:val="00BA3D97"/>
    <w:rsid w:val="00BA7D19"/>
    <w:rsid w:val="00BB0BE4"/>
    <w:rsid w:val="00BD3FE4"/>
    <w:rsid w:val="00BF63EB"/>
    <w:rsid w:val="00BF7A60"/>
    <w:rsid w:val="00C140CE"/>
    <w:rsid w:val="00C53DC2"/>
    <w:rsid w:val="00C552FA"/>
    <w:rsid w:val="00C63DEE"/>
    <w:rsid w:val="00C73C10"/>
    <w:rsid w:val="00C775AF"/>
    <w:rsid w:val="00C807A5"/>
    <w:rsid w:val="00C966D8"/>
    <w:rsid w:val="00CC2B3C"/>
    <w:rsid w:val="00CC5693"/>
    <w:rsid w:val="00CC76A4"/>
    <w:rsid w:val="00D34ED9"/>
    <w:rsid w:val="00D43423"/>
    <w:rsid w:val="00D5009E"/>
    <w:rsid w:val="00D55851"/>
    <w:rsid w:val="00D57C46"/>
    <w:rsid w:val="00D63BE7"/>
    <w:rsid w:val="00D77AF3"/>
    <w:rsid w:val="00D857D5"/>
    <w:rsid w:val="00DA2724"/>
    <w:rsid w:val="00DB0DC3"/>
    <w:rsid w:val="00DB464B"/>
    <w:rsid w:val="00DD538F"/>
    <w:rsid w:val="00DE01AC"/>
    <w:rsid w:val="00DE2B94"/>
    <w:rsid w:val="00DE6047"/>
    <w:rsid w:val="00DF167C"/>
    <w:rsid w:val="00DF167D"/>
    <w:rsid w:val="00DF3A53"/>
    <w:rsid w:val="00DF5CF3"/>
    <w:rsid w:val="00DF67E8"/>
    <w:rsid w:val="00E12E04"/>
    <w:rsid w:val="00E167DF"/>
    <w:rsid w:val="00E20DB0"/>
    <w:rsid w:val="00E464CB"/>
    <w:rsid w:val="00ED46E7"/>
    <w:rsid w:val="00F21474"/>
    <w:rsid w:val="00F30A64"/>
    <w:rsid w:val="00F37D71"/>
    <w:rsid w:val="00F40696"/>
    <w:rsid w:val="00F46440"/>
    <w:rsid w:val="00F5509D"/>
    <w:rsid w:val="00F72B3E"/>
    <w:rsid w:val="00F83013"/>
    <w:rsid w:val="00FA0191"/>
    <w:rsid w:val="00FC2393"/>
    <w:rsid w:val="00FE14F7"/>
    <w:rsid w:val="00FE3C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01390"/>
  <w15:docId w15:val="{D2D42E13-59BE-44DE-92BC-C267AA4F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keepNext/>
      <w:ind w:left="0" w:hanging="27"/>
      <w:outlineLvl w:val="0"/>
    </w:pPr>
    <w:rPr>
      <w:b/>
      <w:bCs/>
      <w:szCs w:val="22"/>
    </w:rPr>
  </w:style>
  <w:style w:type="paragraph" w:styleId="Nadpis2">
    <w:name w:val="heading 2"/>
    <w:basedOn w:val="Normlny"/>
    <w:next w:val="Normlny"/>
    <w:qFormat/>
    <w:pPr>
      <w:keepNext/>
      <w:ind w:left="0" w:firstLine="0"/>
      <w:outlineLvl w:val="1"/>
    </w:pPr>
    <w:rPr>
      <w:b/>
      <w:bCs/>
      <w:szCs w:val="22"/>
    </w:rPr>
  </w:style>
  <w:style w:type="paragraph" w:styleId="Nadpis3">
    <w:name w:val="heading 3"/>
    <w:basedOn w:val="Normlny"/>
    <w:next w:val="Normlny"/>
    <w:qFormat/>
    <w:pPr>
      <w:keepNext/>
      <w:ind w:left="0" w:firstLine="0"/>
      <w:outlineLvl w:val="2"/>
    </w:pPr>
    <w:rPr>
      <w:b/>
      <w:bCs/>
      <w:i/>
      <w:iCs/>
      <w:szCs w:val="22"/>
    </w:rPr>
  </w:style>
  <w:style w:type="paragraph" w:styleId="Nadpis4">
    <w:name w:val="heading 4"/>
    <w:basedOn w:val="Normlny"/>
    <w:next w:val="Normlny"/>
    <w:qFormat/>
    <w:pPr>
      <w:keepNext/>
      <w:outlineLvl w:val="3"/>
    </w:pPr>
    <w:rPr>
      <w:b/>
      <w:bCs/>
      <w:szCs w:val="22"/>
    </w:rPr>
  </w:style>
  <w:style w:type="paragraph" w:styleId="Nadpis5">
    <w:name w:val="heading 5"/>
    <w:basedOn w:val="Normlny"/>
    <w:next w:val="Normlny"/>
    <w:qFormat/>
    <w:pPr>
      <w:keepNext/>
      <w:outlineLvl w:val="4"/>
    </w:pPr>
    <w:rPr>
      <w:b/>
      <w:caps/>
      <w:sz w:val="16"/>
      <w:szCs w:val="18"/>
    </w:rPr>
  </w:style>
  <w:style w:type="paragraph" w:styleId="Nadpis6">
    <w:name w:val="heading 6"/>
    <w:basedOn w:val="Normlny"/>
    <w:next w:val="Normlny"/>
    <w:qFormat/>
    <w:pPr>
      <w:keepNext/>
      <w:outlineLvl w:val="5"/>
    </w:pPr>
    <w:rPr>
      <w:bCs/>
      <w:szCs w:val="22"/>
      <w:u w:val="single"/>
    </w:rPr>
  </w:style>
  <w:style w:type="paragraph" w:styleId="Nadpis7">
    <w:name w:val="heading 7"/>
    <w:basedOn w:val="Normlny"/>
    <w:next w:val="Normlny"/>
    <w:qFormat/>
    <w:pPr>
      <w:keepNext/>
      <w:ind w:left="0" w:firstLine="0"/>
      <w:outlineLvl w:val="6"/>
    </w:pPr>
    <w:rPr>
      <w:bCs/>
      <w:szCs w:val="22"/>
      <w:u w:val="single"/>
    </w:rPr>
  </w:style>
  <w:style w:type="paragraph" w:styleId="Nadpis8">
    <w:name w:val="heading 8"/>
    <w:basedOn w:val="Normlny"/>
    <w:next w:val="Normlny"/>
    <w:qFormat/>
    <w:pPr>
      <w:keepNext/>
      <w:jc w:val="center"/>
      <w:outlineLvl w:val="7"/>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ind w:left="0" w:firstLine="0"/>
    </w:pPr>
    <w:rPr>
      <w:szCs w:val="22"/>
    </w:rPr>
  </w:style>
  <w:style w:type="paragraph" w:styleId="Zarkazkladnhotextu">
    <w:name w:val="Body Text Indent"/>
    <w:basedOn w:val="Normlny"/>
    <w:pPr>
      <w:ind w:left="60" w:firstLine="0"/>
    </w:pPr>
    <w:rPr>
      <w:bCs/>
      <w:szCs w:val="22"/>
    </w:rPr>
  </w:style>
  <w:style w:type="paragraph" w:styleId="Zarkazkladnhotextu2">
    <w:name w:val="Body Text Indent 2"/>
    <w:basedOn w:val="Normlny"/>
    <w:pPr>
      <w:ind w:left="720" w:firstLine="0"/>
    </w:pPr>
    <w:rPr>
      <w:szCs w:val="22"/>
    </w:rPr>
  </w:style>
  <w:style w:type="paragraph" w:styleId="Zarkazkladnhotextu3">
    <w:name w:val="Body Text Indent 3"/>
    <w:basedOn w:val="Normlny"/>
    <w:pPr>
      <w:ind w:left="900" w:firstLine="0"/>
    </w:pPr>
    <w:rPr>
      <w:szCs w:val="22"/>
    </w:rPr>
  </w:style>
  <w:style w:type="paragraph" w:styleId="Textbubliny">
    <w:name w:val="Balloon Text"/>
    <w:basedOn w:val="Normlny"/>
    <w:semiHidden/>
    <w:rPr>
      <w:rFonts w:ascii="Tahoma" w:hAnsi="Tahoma" w:cs="Tahoma"/>
      <w:sz w:val="16"/>
      <w:szCs w:val="16"/>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customStyle="1" w:styleId="Default">
    <w:name w:val="Default"/>
    <w:rsid w:val="00E167DF"/>
    <w:pPr>
      <w:autoSpaceDE w:val="0"/>
      <w:autoSpaceDN w:val="0"/>
      <w:adjustRightInd w:val="0"/>
    </w:pPr>
    <w:rPr>
      <w:rFonts w:ascii="Verdana" w:hAnsi="Verdana" w:cs="Verdana"/>
      <w:color w:val="000000"/>
      <w:sz w:val="24"/>
      <w:szCs w:val="24"/>
    </w:rPr>
  </w:style>
  <w:style w:type="paragraph" w:styleId="Bezriadkovania">
    <w:name w:val="No Spacing"/>
    <w:uiPriority w:val="1"/>
    <w:qFormat/>
    <w:rsid w:val="007932D6"/>
    <w:pPr>
      <w:ind w:left="567" w:hanging="567"/>
    </w:pPr>
    <w:rPr>
      <w:sz w:val="22"/>
      <w:szCs w:val="24"/>
      <w:lang w:val="sk-SK" w:eastAsia="sk-SK"/>
    </w:rPr>
  </w:style>
  <w:style w:type="character" w:styleId="Hypertextovprepojenie">
    <w:name w:val="Hyperlink"/>
    <w:rsid w:val="00DB464B"/>
    <w:rPr>
      <w:color w:val="0000FF"/>
      <w:u w:val="single"/>
    </w:rPr>
  </w:style>
  <w:style w:type="character" w:customStyle="1" w:styleId="hps">
    <w:name w:val="hps"/>
    <w:basedOn w:val="Predvolenpsmoodseku"/>
    <w:rsid w:val="00DB464B"/>
  </w:style>
  <w:style w:type="character" w:styleId="Odkaznakomentr">
    <w:name w:val="annotation reference"/>
    <w:semiHidden/>
    <w:rsid w:val="004F323A"/>
    <w:rPr>
      <w:sz w:val="16"/>
      <w:szCs w:val="16"/>
    </w:rPr>
  </w:style>
  <w:style w:type="paragraph" w:styleId="Textkomentra">
    <w:name w:val="annotation text"/>
    <w:basedOn w:val="Normlny"/>
    <w:semiHidden/>
    <w:rsid w:val="004F323A"/>
    <w:rPr>
      <w:sz w:val="20"/>
      <w:szCs w:val="20"/>
    </w:rPr>
  </w:style>
  <w:style w:type="paragraph" w:styleId="Predmetkomentra">
    <w:name w:val="annotation subject"/>
    <w:basedOn w:val="Textkomentra"/>
    <w:next w:val="Textkomentra"/>
    <w:semiHidden/>
    <w:rsid w:val="004F323A"/>
    <w:rPr>
      <w:b/>
      <w:bCs/>
    </w:rPr>
  </w:style>
  <w:style w:type="paragraph" w:styleId="Hlavika">
    <w:name w:val="header"/>
    <w:basedOn w:val="Normlny"/>
    <w:link w:val="HlavikaChar"/>
    <w:rsid w:val="001C4336"/>
    <w:pPr>
      <w:tabs>
        <w:tab w:val="center" w:pos="4536"/>
        <w:tab w:val="right" w:pos="9072"/>
      </w:tabs>
    </w:pPr>
  </w:style>
  <w:style w:type="character" w:customStyle="1" w:styleId="HlavikaChar">
    <w:name w:val="Hlavička Char"/>
    <w:link w:val="Hlavika"/>
    <w:rsid w:val="001C4336"/>
    <w:rPr>
      <w:sz w:val="22"/>
      <w:szCs w:val="24"/>
    </w:rPr>
  </w:style>
  <w:style w:type="character" w:customStyle="1" w:styleId="PtaChar">
    <w:name w:val="Päta Char"/>
    <w:link w:val="Pta"/>
    <w:uiPriority w:val="99"/>
    <w:rsid w:val="003B53A1"/>
    <w:rPr>
      <w:sz w:val="22"/>
      <w:szCs w:val="24"/>
    </w:rPr>
  </w:style>
  <w:style w:type="paragraph" w:styleId="Odsekzoznamu">
    <w:name w:val="List Paragraph"/>
    <w:basedOn w:val="Normlny"/>
    <w:link w:val="OdsekzoznamuChar"/>
    <w:uiPriority w:val="34"/>
    <w:qFormat/>
    <w:rsid w:val="008728AA"/>
    <w:pPr>
      <w:ind w:left="720" w:firstLine="0"/>
      <w:contextualSpacing/>
    </w:pPr>
    <w:rPr>
      <w:rFonts w:ascii="Calibri" w:eastAsia="Calibri" w:hAnsi="Calibri"/>
      <w:sz w:val="24"/>
      <w:lang w:eastAsia="en-US" w:bidi="en-US"/>
    </w:rPr>
  </w:style>
  <w:style w:type="character" w:customStyle="1" w:styleId="OdsekzoznamuChar">
    <w:name w:val="Odsek zoznamu Char"/>
    <w:basedOn w:val="Predvolenpsmoodseku"/>
    <w:link w:val="Odsekzoznamu"/>
    <w:uiPriority w:val="34"/>
    <w:locked/>
    <w:rsid w:val="008728AA"/>
    <w:rPr>
      <w:rFonts w:ascii="Calibri" w:eastAsia="Calibri" w:hAnsi="Calibri"/>
      <w:sz w:val="24"/>
      <w:szCs w:val="24"/>
      <w:lang w:val="sk-SK" w:eastAsia="en-US" w:bidi="en-US"/>
    </w:rPr>
  </w:style>
  <w:style w:type="paragraph" w:customStyle="1" w:styleId="BodytextAgency">
    <w:name w:val="Body text (Agency)"/>
    <w:basedOn w:val="Normlny"/>
    <w:link w:val="BodytextAgencyChar"/>
    <w:qFormat/>
    <w:rsid w:val="000C30B3"/>
    <w:pPr>
      <w:spacing w:after="140" w:line="280" w:lineRule="atLeast"/>
      <w:ind w:left="0" w:firstLine="0"/>
    </w:pPr>
    <w:rPr>
      <w:rFonts w:ascii="Verdana" w:eastAsia="Verdana" w:hAnsi="Verdana" w:cs="Verdana"/>
      <w:sz w:val="18"/>
      <w:szCs w:val="18"/>
      <w:lang w:eastAsia="en-GB"/>
    </w:rPr>
  </w:style>
  <w:style w:type="character" w:customStyle="1" w:styleId="BodytextAgencyChar">
    <w:name w:val="Body text (Agency) Char"/>
    <w:link w:val="BodytextAgency"/>
    <w:rsid w:val="000C30B3"/>
    <w:rPr>
      <w:rFonts w:ascii="Verdana" w:eastAsia="Verdana" w:hAnsi="Verdana" w:cs="Verdana"/>
      <w:sz w:val="18"/>
      <w:szCs w:val="18"/>
      <w:lang w:val="sk-SK" w:eastAsia="en-GB"/>
    </w:rPr>
  </w:style>
  <w:style w:type="table" w:styleId="Mriekatabuky">
    <w:name w:val="Table Grid"/>
    <w:basedOn w:val="Normlnatabuka"/>
    <w:rsid w:val="000C30B3"/>
    <w:rPr>
      <w:rFonts w:eastAsia="SimSun"/>
      <w:lang w:val="sk-SK"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806C1-8BD9-4E7F-A367-A9885C43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5959</Words>
  <Characters>33972</Characters>
  <Application>Microsoft Office Word</Application>
  <DocSecurity>0</DocSecurity>
  <Lines>283</Lines>
  <Paragraphs>79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I</vt:lpstr>
      <vt:lpstr>PRÍLOHA I</vt:lpstr>
    </vt:vector>
  </TitlesOfParts>
  <Company>.</Company>
  <LinksUpToDate>false</LinksUpToDate>
  <CharactersWithSpaces>39852</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3866708</vt:i4>
      </vt:variant>
      <vt:variant>
        <vt:i4>0</vt:i4>
      </vt:variant>
      <vt:variant>
        <vt:i4>0</vt:i4>
      </vt:variant>
      <vt:variant>
        <vt:i4>5</vt:i4>
      </vt:variant>
      <vt:variant>
        <vt:lpwstr>http://www.ema.europa.eu/docs/sk_SK/document_library/Scientific_guideline/2009/09/WC500003412.pdf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I</dc:title>
  <dc:creator>R-Pharmaservices</dc:creator>
  <cp:lastModifiedBy>Slahúčková, Miroslava</cp:lastModifiedBy>
  <cp:revision>3</cp:revision>
  <cp:lastPrinted>2007-02-13T13:23:00Z</cp:lastPrinted>
  <dcterms:created xsi:type="dcterms:W3CDTF">2021-01-15T07:37:00Z</dcterms:created>
  <dcterms:modified xsi:type="dcterms:W3CDTF">2021-01-26T08:46:00Z</dcterms:modified>
</cp:coreProperties>
</file>